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168"/>
        <w:gridCol w:w="2976"/>
      </w:tblGrid>
      <w:tr w:rsidR="00A511C7" w:rsidRPr="00723ECA" w:rsidTr="00A83E46">
        <w:trPr>
          <w:trHeight w:val="851"/>
        </w:trPr>
        <w:tc>
          <w:tcPr>
            <w:tcW w:w="1259" w:type="dxa"/>
            <w:tcBorders>
              <w:top w:val="nil"/>
              <w:left w:val="nil"/>
              <w:bottom w:val="single" w:sz="4" w:space="0" w:color="auto"/>
              <w:right w:val="nil"/>
            </w:tcBorders>
          </w:tcPr>
          <w:p w:rsidR="00A511C7" w:rsidRPr="00E512AD" w:rsidRDefault="00A511C7" w:rsidP="00A511C7">
            <w:pPr>
              <w:tabs>
                <w:tab w:val="right" w:pos="850"/>
                <w:tab w:val="left" w:pos="1134"/>
                <w:tab w:val="right" w:leader="dot" w:pos="8504"/>
              </w:tabs>
              <w:spacing w:before="360" w:after="240"/>
              <w:rPr>
                <w:sz w:val="22"/>
                <w:lang w:val="en-US"/>
              </w:rPr>
            </w:pPr>
          </w:p>
        </w:tc>
        <w:tc>
          <w:tcPr>
            <w:tcW w:w="2236" w:type="dxa"/>
            <w:tcBorders>
              <w:top w:val="nil"/>
              <w:left w:val="nil"/>
              <w:bottom w:val="single" w:sz="4" w:space="0" w:color="auto"/>
              <w:right w:val="nil"/>
            </w:tcBorders>
            <w:vAlign w:val="bottom"/>
          </w:tcPr>
          <w:p w:rsidR="00A511C7" w:rsidRPr="00723ECA" w:rsidRDefault="00A511C7" w:rsidP="00A511C7">
            <w:pPr>
              <w:spacing w:after="80" w:line="300" w:lineRule="exact"/>
              <w:rPr>
                <w:sz w:val="32"/>
                <w:szCs w:val="28"/>
                <w:lang w:val="en-US"/>
              </w:rPr>
            </w:pPr>
            <w:proofErr w:type="spellStart"/>
            <w:r w:rsidRPr="00723ECA">
              <w:rPr>
                <w:sz w:val="32"/>
                <w:szCs w:val="28"/>
                <w:lang w:val="en-US"/>
              </w:rPr>
              <w:t>Nações</w:t>
            </w:r>
            <w:proofErr w:type="spellEnd"/>
            <w:r w:rsidRPr="00723ECA">
              <w:rPr>
                <w:sz w:val="32"/>
                <w:szCs w:val="28"/>
                <w:lang w:val="en-US"/>
              </w:rPr>
              <w:t xml:space="preserve"> </w:t>
            </w:r>
            <w:proofErr w:type="spellStart"/>
            <w:r w:rsidRPr="00723ECA">
              <w:rPr>
                <w:sz w:val="32"/>
                <w:szCs w:val="28"/>
                <w:lang w:val="en-US"/>
              </w:rPr>
              <w:t>Unidas</w:t>
            </w:r>
            <w:proofErr w:type="spellEnd"/>
          </w:p>
        </w:tc>
        <w:tc>
          <w:tcPr>
            <w:tcW w:w="6144" w:type="dxa"/>
            <w:gridSpan w:val="2"/>
            <w:tcBorders>
              <w:top w:val="nil"/>
              <w:left w:val="nil"/>
              <w:bottom w:val="single" w:sz="4" w:space="0" w:color="auto"/>
              <w:right w:val="nil"/>
            </w:tcBorders>
            <w:vAlign w:val="bottom"/>
          </w:tcPr>
          <w:p w:rsidR="00A511C7" w:rsidRPr="00723ECA" w:rsidRDefault="00A511C7" w:rsidP="00A511C7">
            <w:pPr>
              <w:jc w:val="right"/>
              <w:rPr>
                <w:sz w:val="22"/>
                <w:lang w:val="en-US"/>
              </w:rPr>
            </w:pPr>
            <w:r w:rsidRPr="00723ECA">
              <w:rPr>
                <w:sz w:val="44"/>
                <w:lang w:val="en-US"/>
              </w:rPr>
              <w:t>A</w:t>
            </w:r>
            <w:r w:rsidRPr="00723ECA">
              <w:rPr>
                <w:sz w:val="22"/>
                <w:lang w:val="en-US"/>
              </w:rPr>
              <w:t>/HRC/36/45</w:t>
            </w:r>
          </w:p>
        </w:tc>
      </w:tr>
      <w:tr w:rsidR="00A511C7" w:rsidRPr="001C058B" w:rsidTr="00A83E46">
        <w:trPr>
          <w:trHeight w:val="2835"/>
        </w:trPr>
        <w:tc>
          <w:tcPr>
            <w:tcW w:w="1259" w:type="dxa"/>
            <w:tcBorders>
              <w:top w:val="single" w:sz="4" w:space="0" w:color="auto"/>
              <w:left w:val="nil"/>
              <w:bottom w:val="single" w:sz="12" w:space="0" w:color="auto"/>
              <w:right w:val="nil"/>
            </w:tcBorders>
          </w:tcPr>
          <w:p w:rsidR="00A511C7" w:rsidRPr="00723ECA" w:rsidRDefault="00A511C7" w:rsidP="00A511C7">
            <w:pPr>
              <w:spacing w:before="120"/>
              <w:jc w:val="center"/>
              <w:rPr>
                <w:sz w:val="22"/>
                <w:lang w:val="en-US"/>
              </w:rPr>
            </w:pPr>
            <w:r w:rsidRPr="00723ECA">
              <w:rPr>
                <w:noProof/>
                <w:sz w:val="22"/>
                <w:lang w:eastAsia="ko-KR"/>
              </w:rPr>
              <w:drawing>
                <wp:inline distT="0" distB="0" distL="0" distR="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04" w:type="dxa"/>
            <w:gridSpan w:val="2"/>
            <w:tcBorders>
              <w:top w:val="single" w:sz="4" w:space="0" w:color="auto"/>
              <w:left w:val="nil"/>
              <w:bottom w:val="single" w:sz="12" w:space="0" w:color="auto"/>
              <w:right w:val="nil"/>
            </w:tcBorders>
          </w:tcPr>
          <w:p w:rsidR="00A511C7" w:rsidRDefault="00A511C7" w:rsidP="00A511C7">
            <w:pPr>
              <w:spacing w:before="120" w:line="420" w:lineRule="exact"/>
              <w:rPr>
                <w:b/>
                <w:sz w:val="44"/>
                <w:szCs w:val="40"/>
                <w:lang w:val="en-US"/>
              </w:rPr>
            </w:pPr>
            <w:r w:rsidRPr="00723ECA">
              <w:rPr>
                <w:b/>
                <w:sz w:val="44"/>
                <w:szCs w:val="40"/>
                <w:lang w:val="en-US"/>
              </w:rPr>
              <w:t xml:space="preserve">Assembleia </w:t>
            </w:r>
            <w:proofErr w:type="spellStart"/>
            <w:r w:rsidRPr="00723ECA">
              <w:rPr>
                <w:b/>
                <w:sz w:val="44"/>
                <w:szCs w:val="40"/>
                <w:lang w:val="en-US"/>
              </w:rPr>
              <w:t>Geral</w:t>
            </w:r>
            <w:proofErr w:type="spellEnd"/>
            <w:r w:rsidRPr="00723ECA">
              <w:rPr>
                <w:b/>
                <w:sz w:val="44"/>
                <w:szCs w:val="40"/>
                <w:lang w:val="en-US"/>
              </w:rPr>
              <w:t xml:space="preserve"> </w:t>
            </w:r>
          </w:p>
          <w:p w:rsidR="0002379D" w:rsidRPr="00723ECA" w:rsidRDefault="0002379D" w:rsidP="00A511C7">
            <w:pPr>
              <w:spacing w:before="120" w:line="420" w:lineRule="exact"/>
              <w:rPr>
                <w:b/>
                <w:sz w:val="44"/>
                <w:szCs w:val="40"/>
                <w:lang w:val="en-US"/>
              </w:rPr>
            </w:pPr>
            <w:r w:rsidRPr="0002379D">
              <w:rPr>
                <w:b/>
                <w:color w:val="FF0000"/>
                <w:sz w:val="44"/>
                <w:szCs w:val="40"/>
                <w:lang w:val="en-US"/>
              </w:rPr>
              <w:t>UNOFFICIAL TRANSLATION</w:t>
            </w:r>
            <w:bookmarkStart w:id="0" w:name="_GoBack"/>
            <w:bookmarkEnd w:id="0"/>
          </w:p>
        </w:tc>
        <w:tc>
          <w:tcPr>
            <w:tcW w:w="2976" w:type="dxa"/>
            <w:tcBorders>
              <w:top w:val="single" w:sz="4" w:space="0" w:color="auto"/>
              <w:left w:val="nil"/>
              <w:bottom w:val="single" w:sz="12" w:space="0" w:color="auto"/>
              <w:right w:val="nil"/>
            </w:tcBorders>
          </w:tcPr>
          <w:p w:rsidR="00A511C7" w:rsidRPr="00723ECA" w:rsidRDefault="00A511C7" w:rsidP="00A511C7">
            <w:pPr>
              <w:spacing w:before="240" w:line="240" w:lineRule="exact"/>
              <w:rPr>
                <w:sz w:val="22"/>
                <w:lang w:val="pt-BR"/>
              </w:rPr>
            </w:pPr>
            <w:proofErr w:type="spellStart"/>
            <w:r w:rsidRPr="00723ECA">
              <w:rPr>
                <w:sz w:val="22"/>
                <w:lang w:val="pt-BR"/>
              </w:rPr>
              <w:t>Distr</w:t>
            </w:r>
            <w:proofErr w:type="spellEnd"/>
            <w:proofErr w:type="gramStart"/>
            <w:r w:rsidRPr="00723ECA">
              <w:rPr>
                <w:sz w:val="22"/>
                <w:lang w:val="pt-BR"/>
              </w:rPr>
              <w:t>.:</w:t>
            </w:r>
            <w:proofErr w:type="gramEnd"/>
            <w:r w:rsidRPr="00723ECA">
              <w:rPr>
                <w:sz w:val="22"/>
                <w:lang w:val="pt-BR"/>
              </w:rPr>
              <w:t xml:space="preserve"> Geral</w:t>
            </w:r>
          </w:p>
          <w:p w:rsidR="00A511C7" w:rsidRPr="00723ECA" w:rsidRDefault="00A511C7" w:rsidP="00A511C7">
            <w:pPr>
              <w:spacing w:line="240" w:lineRule="exact"/>
              <w:rPr>
                <w:sz w:val="22"/>
                <w:lang w:val="pt-BR"/>
              </w:rPr>
            </w:pPr>
            <w:r w:rsidRPr="00723ECA">
              <w:rPr>
                <w:sz w:val="22"/>
                <w:lang w:val="pt-BR"/>
              </w:rPr>
              <w:t xml:space="preserve">19 </w:t>
            </w:r>
            <w:r w:rsidR="00D60BD6" w:rsidRPr="00723ECA">
              <w:rPr>
                <w:sz w:val="22"/>
                <w:lang w:val="pt-BR"/>
              </w:rPr>
              <w:t>Julho</w:t>
            </w:r>
            <w:r w:rsidRPr="00723ECA">
              <w:rPr>
                <w:sz w:val="22"/>
                <w:lang w:val="pt-BR"/>
              </w:rPr>
              <w:t xml:space="preserve"> 2017</w:t>
            </w:r>
          </w:p>
          <w:p w:rsidR="00A511C7" w:rsidRPr="00723ECA" w:rsidRDefault="00A511C7" w:rsidP="00A511C7">
            <w:pPr>
              <w:spacing w:line="240" w:lineRule="exact"/>
              <w:rPr>
                <w:sz w:val="22"/>
                <w:lang w:val="pt-BR"/>
              </w:rPr>
            </w:pPr>
          </w:p>
          <w:p w:rsidR="00A511C7" w:rsidRPr="00723ECA" w:rsidRDefault="00A511C7" w:rsidP="00A511C7">
            <w:pPr>
              <w:spacing w:line="240" w:lineRule="exact"/>
              <w:rPr>
                <w:sz w:val="22"/>
                <w:lang w:val="pt-BR"/>
              </w:rPr>
            </w:pPr>
            <w:r w:rsidRPr="00723ECA">
              <w:rPr>
                <w:sz w:val="22"/>
                <w:lang w:val="pt-BR"/>
              </w:rPr>
              <w:t>Original: Inglês</w:t>
            </w:r>
          </w:p>
          <w:p w:rsidR="00A511C7" w:rsidRPr="00723ECA" w:rsidRDefault="00A511C7" w:rsidP="00F90890">
            <w:pPr>
              <w:spacing w:line="240" w:lineRule="exact"/>
              <w:rPr>
                <w:sz w:val="22"/>
                <w:lang w:val="pt-BR"/>
              </w:rPr>
            </w:pPr>
            <w:r w:rsidRPr="00723ECA">
              <w:rPr>
                <w:sz w:val="22"/>
                <w:lang w:val="pt-BR"/>
              </w:rPr>
              <w:t>Tradução</w:t>
            </w:r>
            <w:r w:rsidR="00B756E4" w:rsidRPr="00723ECA">
              <w:rPr>
                <w:sz w:val="22"/>
                <w:lang w:val="pt-BR"/>
              </w:rPr>
              <w:t>:</w:t>
            </w:r>
            <w:r w:rsidRPr="00723ECA">
              <w:rPr>
                <w:sz w:val="22"/>
                <w:lang w:val="pt-BR"/>
              </w:rPr>
              <w:t xml:space="preserve"> Português</w:t>
            </w:r>
            <w:r w:rsidR="00F90890" w:rsidRPr="00F90890">
              <w:rPr>
                <w:rStyle w:val="FootnoteReference"/>
                <w:lang w:val="pt-BR"/>
              </w:rPr>
              <w:footnoteReference w:customMarkFollows="1" w:id="2"/>
              <w:sym w:font="Symbol" w:char="F0A7"/>
            </w:r>
          </w:p>
        </w:tc>
      </w:tr>
    </w:tbl>
    <w:p w:rsidR="00A511C7" w:rsidRPr="00723ECA" w:rsidRDefault="00A511C7" w:rsidP="002E1B36">
      <w:pPr>
        <w:pStyle w:val="Body1"/>
        <w:spacing w:before="120" w:line="240" w:lineRule="auto"/>
        <w:outlineLvl w:val="9"/>
        <w:rPr>
          <w:b/>
          <w:sz w:val="28"/>
          <w:szCs w:val="24"/>
          <w:lang w:val="pt-BR"/>
        </w:rPr>
      </w:pPr>
      <w:r w:rsidRPr="00723ECA">
        <w:rPr>
          <w:b/>
          <w:sz w:val="28"/>
          <w:szCs w:val="24"/>
          <w:lang w:val="pt-BR"/>
        </w:rPr>
        <w:t>Conselho de Direitos Humanos</w:t>
      </w:r>
    </w:p>
    <w:p w:rsidR="00A511C7" w:rsidRPr="00723ECA" w:rsidRDefault="00A511C7" w:rsidP="002E1B36">
      <w:pPr>
        <w:pStyle w:val="Body1"/>
        <w:spacing w:line="240" w:lineRule="auto"/>
        <w:outlineLvl w:val="9"/>
        <w:rPr>
          <w:b/>
          <w:sz w:val="22"/>
          <w:szCs w:val="24"/>
          <w:lang w:val="pt-BR"/>
        </w:rPr>
      </w:pPr>
      <w:r w:rsidRPr="00723ECA">
        <w:rPr>
          <w:b/>
          <w:sz w:val="22"/>
          <w:szCs w:val="24"/>
          <w:lang w:val="pt-BR"/>
        </w:rPr>
        <w:t xml:space="preserve">Trigésima sexta sessão </w:t>
      </w:r>
    </w:p>
    <w:p w:rsidR="00A511C7" w:rsidRPr="00723ECA" w:rsidRDefault="002E1B36" w:rsidP="002E1B36">
      <w:pPr>
        <w:pStyle w:val="Body1"/>
        <w:spacing w:line="240" w:lineRule="auto"/>
        <w:outlineLvl w:val="9"/>
        <w:rPr>
          <w:b/>
          <w:sz w:val="22"/>
          <w:szCs w:val="24"/>
          <w:lang w:val="pt-BR"/>
        </w:rPr>
      </w:pPr>
      <w:r w:rsidRPr="00723ECA">
        <w:rPr>
          <w:b/>
          <w:sz w:val="22"/>
          <w:szCs w:val="24"/>
          <w:lang w:val="pt-BR"/>
        </w:rPr>
        <w:t>11-</w:t>
      </w:r>
      <w:r w:rsidR="00A511C7" w:rsidRPr="00723ECA">
        <w:rPr>
          <w:b/>
          <w:sz w:val="22"/>
          <w:szCs w:val="24"/>
          <w:lang w:val="pt-BR"/>
        </w:rPr>
        <w:t>29 de setembro de 2017</w:t>
      </w:r>
    </w:p>
    <w:p w:rsidR="00A511C7" w:rsidRPr="00723ECA" w:rsidRDefault="00A511C7" w:rsidP="002E1B36">
      <w:pPr>
        <w:pStyle w:val="Body1"/>
        <w:spacing w:line="240" w:lineRule="auto"/>
        <w:outlineLvl w:val="9"/>
        <w:rPr>
          <w:sz w:val="22"/>
          <w:szCs w:val="24"/>
          <w:lang w:val="pt-BR"/>
        </w:rPr>
      </w:pPr>
      <w:r w:rsidRPr="00723ECA">
        <w:rPr>
          <w:sz w:val="22"/>
          <w:szCs w:val="24"/>
          <w:lang w:val="pt-BR"/>
        </w:rPr>
        <w:t xml:space="preserve">Item </w:t>
      </w:r>
      <w:proofErr w:type="gramStart"/>
      <w:r w:rsidRPr="00723ECA">
        <w:rPr>
          <w:sz w:val="22"/>
          <w:szCs w:val="24"/>
          <w:lang w:val="pt-BR"/>
        </w:rPr>
        <w:t>3</w:t>
      </w:r>
      <w:proofErr w:type="gramEnd"/>
      <w:r w:rsidRPr="00723ECA">
        <w:rPr>
          <w:sz w:val="22"/>
          <w:szCs w:val="24"/>
          <w:lang w:val="pt-BR"/>
        </w:rPr>
        <w:t xml:space="preserve"> da Agenda </w:t>
      </w:r>
    </w:p>
    <w:p w:rsidR="002E1B36" w:rsidRPr="00723ECA" w:rsidRDefault="00A511C7" w:rsidP="002E1B36">
      <w:pPr>
        <w:pStyle w:val="Body1"/>
        <w:spacing w:line="240" w:lineRule="auto"/>
        <w:outlineLvl w:val="9"/>
        <w:rPr>
          <w:b/>
          <w:sz w:val="22"/>
          <w:szCs w:val="24"/>
          <w:lang w:val="pt-BR"/>
        </w:rPr>
      </w:pPr>
      <w:r w:rsidRPr="00723ECA">
        <w:rPr>
          <w:b/>
          <w:sz w:val="22"/>
          <w:szCs w:val="24"/>
          <w:lang w:val="pt-BR"/>
        </w:rPr>
        <w:t xml:space="preserve">Promoção e proteção de todos os direitos </w:t>
      </w:r>
      <w:r w:rsidR="002E1B36" w:rsidRPr="00723ECA">
        <w:rPr>
          <w:b/>
          <w:sz w:val="22"/>
          <w:szCs w:val="24"/>
          <w:lang w:val="pt-BR"/>
        </w:rPr>
        <w:t>humanos,</w:t>
      </w:r>
    </w:p>
    <w:p w:rsidR="002E1B36" w:rsidRPr="00723ECA" w:rsidRDefault="002E1B36" w:rsidP="002E1B36">
      <w:pPr>
        <w:pStyle w:val="Body1"/>
        <w:spacing w:line="240" w:lineRule="auto"/>
        <w:outlineLvl w:val="9"/>
        <w:rPr>
          <w:b/>
          <w:sz w:val="22"/>
          <w:szCs w:val="24"/>
          <w:lang w:val="pt-BR"/>
        </w:rPr>
      </w:pPr>
      <w:proofErr w:type="gramStart"/>
      <w:r w:rsidRPr="00723ECA">
        <w:rPr>
          <w:b/>
          <w:sz w:val="22"/>
          <w:szCs w:val="24"/>
          <w:lang w:val="pt-BR"/>
        </w:rPr>
        <w:t>direitos</w:t>
      </w:r>
      <w:proofErr w:type="gramEnd"/>
      <w:r w:rsidRPr="00723ECA">
        <w:rPr>
          <w:b/>
          <w:sz w:val="22"/>
          <w:szCs w:val="24"/>
          <w:lang w:val="pt-BR"/>
        </w:rPr>
        <w:t xml:space="preserve"> </w:t>
      </w:r>
      <w:r w:rsidR="00A511C7" w:rsidRPr="00723ECA">
        <w:rPr>
          <w:b/>
          <w:sz w:val="22"/>
          <w:szCs w:val="24"/>
          <w:lang w:val="pt-BR"/>
        </w:rPr>
        <w:t>civis, políticos, e</w:t>
      </w:r>
      <w:r w:rsidRPr="00723ECA">
        <w:rPr>
          <w:b/>
          <w:sz w:val="22"/>
          <w:szCs w:val="24"/>
          <w:lang w:val="pt-BR"/>
        </w:rPr>
        <w:t>conômicos, sociais e culturais,</w:t>
      </w:r>
    </w:p>
    <w:p w:rsidR="00A511C7" w:rsidRPr="00723ECA" w:rsidRDefault="00A511C7" w:rsidP="002E1B36">
      <w:pPr>
        <w:pStyle w:val="Body1"/>
        <w:spacing w:line="240" w:lineRule="auto"/>
        <w:outlineLvl w:val="9"/>
        <w:rPr>
          <w:b/>
          <w:sz w:val="22"/>
          <w:szCs w:val="24"/>
          <w:lang w:val="pt-BR"/>
        </w:rPr>
      </w:pPr>
      <w:proofErr w:type="gramStart"/>
      <w:r w:rsidRPr="00723ECA">
        <w:rPr>
          <w:b/>
          <w:sz w:val="22"/>
          <w:szCs w:val="24"/>
          <w:lang w:val="pt-BR"/>
        </w:rPr>
        <w:t>incluindo</w:t>
      </w:r>
      <w:proofErr w:type="gramEnd"/>
      <w:r w:rsidRPr="00723ECA">
        <w:rPr>
          <w:b/>
          <w:sz w:val="22"/>
          <w:szCs w:val="24"/>
          <w:lang w:val="pt-BR"/>
        </w:rPr>
        <w:t xml:space="preserve"> o direito ao desenvolvimento</w:t>
      </w:r>
    </w:p>
    <w:p w:rsidR="00A511C7" w:rsidRPr="00723ECA" w:rsidRDefault="00A511C7" w:rsidP="002E1B36">
      <w:pPr>
        <w:pStyle w:val="Body1"/>
        <w:spacing w:before="360" w:after="240"/>
        <w:ind w:left="1134" w:right="1134"/>
        <w:outlineLvl w:val="9"/>
        <w:rPr>
          <w:b/>
          <w:sz w:val="32"/>
          <w:szCs w:val="24"/>
          <w:lang w:val="pt-BR"/>
        </w:rPr>
      </w:pPr>
      <w:r w:rsidRPr="00723ECA">
        <w:rPr>
          <w:b/>
          <w:sz w:val="28"/>
          <w:szCs w:val="24"/>
          <w:lang w:val="pt-BR"/>
        </w:rPr>
        <w:tab/>
      </w:r>
      <w:r w:rsidRPr="00723ECA">
        <w:rPr>
          <w:b/>
          <w:sz w:val="32"/>
          <w:szCs w:val="24"/>
          <w:lang w:val="pt-BR"/>
        </w:rPr>
        <w:t>Relatório do Relator Especial sobre o direito humano à água potável segura e ao esgotamento sanitário</w:t>
      </w:r>
    </w:p>
    <w:p w:rsidR="00A511C7" w:rsidRPr="00723ECA" w:rsidRDefault="00A511C7" w:rsidP="002E1B36">
      <w:pPr>
        <w:pStyle w:val="Body1"/>
        <w:spacing w:before="360" w:after="240"/>
        <w:ind w:left="1134" w:right="1134"/>
        <w:outlineLvl w:val="9"/>
        <w:rPr>
          <w:b/>
          <w:sz w:val="28"/>
          <w:szCs w:val="24"/>
          <w:lang w:val="pt-BR"/>
        </w:rPr>
      </w:pPr>
      <w:r w:rsidRPr="00723ECA">
        <w:rPr>
          <w:b/>
          <w:sz w:val="28"/>
          <w:szCs w:val="24"/>
          <w:lang w:val="pt-BR"/>
        </w:rPr>
        <w:t xml:space="preserve">Nota do secretariado </w:t>
      </w:r>
    </w:p>
    <w:p w:rsidR="00A511C7" w:rsidRPr="00723ECA" w:rsidRDefault="00A511C7" w:rsidP="00C33942">
      <w:pPr>
        <w:pStyle w:val="SingleTxtG"/>
        <w:ind w:firstLine="567"/>
        <w:rPr>
          <w:sz w:val="22"/>
          <w:lang w:val="pt-BR"/>
        </w:rPr>
      </w:pPr>
      <w:r w:rsidRPr="00723ECA">
        <w:rPr>
          <w:sz w:val="22"/>
          <w:lang w:val="pt-BR"/>
        </w:rPr>
        <w:tab/>
        <w:t xml:space="preserve">O secretariado tem a honra de transmitir ao Conselho de Direitos Humanos o </w:t>
      </w:r>
      <w:proofErr w:type="gramStart"/>
      <w:r w:rsidRPr="00723ECA">
        <w:rPr>
          <w:sz w:val="22"/>
          <w:lang w:val="pt-BR"/>
        </w:rPr>
        <w:t>relatório</w:t>
      </w:r>
      <w:proofErr w:type="gramEnd"/>
      <w:r w:rsidRPr="00723ECA">
        <w:rPr>
          <w:sz w:val="22"/>
          <w:lang w:val="pt-BR"/>
        </w:rPr>
        <w:t xml:space="preserve"> do Relator Especial sobre o direito humano à água potável segura e ao esgotamento sanitário, preparado nos termos das resoluções 27/7</w:t>
      </w:r>
      <w:r w:rsidR="00886302">
        <w:rPr>
          <w:sz w:val="22"/>
          <w:lang w:val="pt-BR"/>
        </w:rPr>
        <w:t>,</w:t>
      </w:r>
      <w:r w:rsidRPr="00723ECA">
        <w:rPr>
          <w:sz w:val="22"/>
          <w:lang w:val="pt-BR"/>
        </w:rPr>
        <w:t xml:space="preserve"> de 2014</w:t>
      </w:r>
      <w:r w:rsidR="00886302">
        <w:rPr>
          <w:sz w:val="22"/>
          <w:lang w:val="pt-BR"/>
        </w:rPr>
        <w:t>,</w:t>
      </w:r>
      <w:r w:rsidRPr="00723ECA">
        <w:rPr>
          <w:sz w:val="22"/>
          <w:lang w:val="pt-BR"/>
        </w:rPr>
        <w:t xml:space="preserve"> e 33/10</w:t>
      </w:r>
      <w:r w:rsidR="00886302">
        <w:rPr>
          <w:sz w:val="22"/>
          <w:lang w:val="pt-BR"/>
        </w:rPr>
        <w:t>,</w:t>
      </w:r>
      <w:r w:rsidRPr="00723ECA">
        <w:rPr>
          <w:sz w:val="22"/>
          <w:lang w:val="pt-BR"/>
        </w:rPr>
        <w:t xml:space="preserve"> de 2016</w:t>
      </w:r>
      <w:r w:rsidR="00886302">
        <w:rPr>
          <w:sz w:val="22"/>
          <w:lang w:val="pt-BR"/>
        </w:rPr>
        <w:t>,</w:t>
      </w:r>
      <w:r w:rsidRPr="00723ECA">
        <w:rPr>
          <w:sz w:val="22"/>
          <w:lang w:val="pt-BR"/>
        </w:rPr>
        <w:t xml:space="preserve"> do Conselho. O foco deste relatório é a regulação de serviços e o papel </w:t>
      </w:r>
      <w:proofErr w:type="gramStart"/>
      <w:r w:rsidRPr="00723ECA">
        <w:rPr>
          <w:sz w:val="22"/>
          <w:lang w:val="pt-BR"/>
        </w:rPr>
        <w:t>dessa</w:t>
      </w:r>
      <w:proofErr w:type="gramEnd"/>
      <w:r w:rsidRPr="00723ECA">
        <w:rPr>
          <w:sz w:val="22"/>
          <w:lang w:val="pt-BR"/>
        </w:rPr>
        <w:t xml:space="preserve"> na efetivação progressiva dos direitos humanos à água e ao esgotamento sanitário. O Relator Especial </w:t>
      </w:r>
      <w:r w:rsidR="00C33942" w:rsidRPr="00723ECA">
        <w:rPr>
          <w:sz w:val="22"/>
          <w:lang w:val="pt-BR"/>
        </w:rPr>
        <w:t xml:space="preserve">inicia </w:t>
      </w:r>
      <w:r w:rsidRPr="00723ECA">
        <w:rPr>
          <w:sz w:val="22"/>
          <w:lang w:val="pt-BR"/>
        </w:rPr>
        <w:t>o relatório ressaltando</w:t>
      </w:r>
      <w:r w:rsidR="00A745D4" w:rsidRPr="00723ECA">
        <w:rPr>
          <w:sz w:val="22"/>
          <w:lang w:val="pt-BR"/>
        </w:rPr>
        <w:t xml:space="preserve"> </w:t>
      </w:r>
      <w:r w:rsidRPr="00723ECA">
        <w:rPr>
          <w:sz w:val="22"/>
          <w:lang w:val="pt-BR"/>
        </w:rPr>
        <w:t xml:space="preserve">as obrigações de Estados, </w:t>
      </w:r>
      <w:r w:rsidR="002533F0">
        <w:rPr>
          <w:sz w:val="22"/>
          <w:lang w:val="pt-BR"/>
        </w:rPr>
        <w:t xml:space="preserve">agentes </w:t>
      </w:r>
      <w:r w:rsidRPr="00723ECA">
        <w:rPr>
          <w:sz w:val="22"/>
          <w:lang w:val="pt-BR"/>
        </w:rPr>
        <w:t>regulatórios e prestadores de serviço</w:t>
      </w:r>
      <w:r w:rsidR="00A745D4" w:rsidRPr="00723ECA">
        <w:rPr>
          <w:sz w:val="22"/>
          <w:lang w:val="pt-BR"/>
        </w:rPr>
        <w:t xml:space="preserve"> </w:t>
      </w:r>
      <w:r w:rsidRPr="00723ECA">
        <w:rPr>
          <w:sz w:val="22"/>
          <w:lang w:val="pt-BR"/>
        </w:rPr>
        <w:t>em relação aos direitos huma</w:t>
      </w:r>
      <w:r w:rsidR="001119C4" w:rsidRPr="00723ECA">
        <w:rPr>
          <w:sz w:val="22"/>
          <w:lang w:val="pt-BR"/>
        </w:rPr>
        <w:t>nos, no contexto da regulação dos</w:t>
      </w:r>
      <w:r w:rsidRPr="00723ECA">
        <w:rPr>
          <w:sz w:val="22"/>
          <w:lang w:val="pt-BR"/>
        </w:rPr>
        <w:t xml:space="preserve"> serviços. O Relator Especial oferece uma visão geral do papel da regulação dos serviços de abastecimento de água e esgotamento sanitário, identificando </w:t>
      </w:r>
      <w:r w:rsidR="00C33942" w:rsidRPr="00723ECA">
        <w:rPr>
          <w:sz w:val="22"/>
          <w:lang w:val="pt-BR"/>
        </w:rPr>
        <w:t>distintos</w:t>
      </w:r>
      <w:r w:rsidR="00C03E77" w:rsidRPr="00723ECA">
        <w:rPr>
          <w:sz w:val="22"/>
          <w:lang w:val="pt-BR"/>
        </w:rPr>
        <w:t xml:space="preserve"> tipos de marcos regulatórios</w:t>
      </w:r>
      <w:r w:rsidRPr="00723ECA">
        <w:rPr>
          <w:sz w:val="22"/>
          <w:lang w:val="pt-BR"/>
        </w:rPr>
        <w:t xml:space="preserve"> e discutindo como e</w:t>
      </w:r>
      <w:r w:rsidR="00C33942" w:rsidRPr="00723ECA">
        <w:rPr>
          <w:sz w:val="22"/>
          <w:lang w:val="pt-BR"/>
        </w:rPr>
        <w:t>l</w:t>
      </w:r>
      <w:r w:rsidRPr="00723ECA">
        <w:rPr>
          <w:sz w:val="22"/>
          <w:lang w:val="pt-BR"/>
        </w:rPr>
        <w:t xml:space="preserve">es se relacionam com as normas de direitos humanos. </w:t>
      </w:r>
      <w:r w:rsidR="00C33942" w:rsidRPr="00723ECA">
        <w:rPr>
          <w:sz w:val="22"/>
          <w:lang w:val="pt-BR"/>
        </w:rPr>
        <w:t xml:space="preserve">Ele </w:t>
      </w:r>
      <w:r w:rsidR="00F13A0D" w:rsidRPr="00723ECA">
        <w:rPr>
          <w:sz w:val="22"/>
          <w:lang w:val="pt-BR"/>
        </w:rPr>
        <w:t>aborda</w:t>
      </w:r>
      <w:r w:rsidR="001119C4" w:rsidRPr="00723ECA">
        <w:rPr>
          <w:sz w:val="22"/>
          <w:lang w:val="pt-BR"/>
        </w:rPr>
        <w:t xml:space="preserve"> a</w:t>
      </w:r>
      <w:r w:rsidR="00C33942" w:rsidRPr="00723ECA">
        <w:rPr>
          <w:sz w:val="22"/>
          <w:lang w:val="pt-BR"/>
        </w:rPr>
        <w:t>s funções</w:t>
      </w:r>
      <w:r w:rsidRPr="00723ECA">
        <w:rPr>
          <w:sz w:val="22"/>
          <w:lang w:val="pt-BR"/>
        </w:rPr>
        <w:t xml:space="preserve"> </w:t>
      </w:r>
      <w:r w:rsidR="00C33942" w:rsidRPr="00723ECA">
        <w:rPr>
          <w:sz w:val="22"/>
          <w:lang w:val="pt-BR"/>
        </w:rPr>
        <w:t>primordiais</w:t>
      </w:r>
      <w:r w:rsidRPr="00723ECA">
        <w:rPr>
          <w:sz w:val="22"/>
          <w:lang w:val="pt-BR"/>
        </w:rPr>
        <w:t xml:space="preserve"> dos</w:t>
      </w:r>
      <w:r w:rsidR="00C03E77" w:rsidRPr="00723ECA">
        <w:rPr>
          <w:sz w:val="22"/>
          <w:lang w:val="pt-BR"/>
        </w:rPr>
        <w:t xml:space="preserve"> agentes</w:t>
      </w:r>
      <w:r w:rsidRPr="00723ECA">
        <w:rPr>
          <w:sz w:val="22"/>
          <w:lang w:val="pt-BR"/>
        </w:rPr>
        <w:t xml:space="preserve"> da regulação. Por fim, apresenta recomendações para Estados e </w:t>
      </w:r>
      <w:r w:rsidR="002533F0">
        <w:rPr>
          <w:sz w:val="22"/>
          <w:lang w:val="pt-BR"/>
        </w:rPr>
        <w:t xml:space="preserve">agentes </w:t>
      </w:r>
      <w:r w:rsidRPr="00723ECA">
        <w:rPr>
          <w:sz w:val="22"/>
          <w:lang w:val="pt-BR"/>
        </w:rPr>
        <w:t xml:space="preserve">da regulação a </w:t>
      </w:r>
      <w:r w:rsidR="002533F0">
        <w:rPr>
          <w:sz w:val="22"/>
          <w:lang w:val="pt-BR"/>
        </w:rPr>
        <w:t>respeito</w:t>
      </w:r>
      <w:r w:rsidR="001119C4" w:rsidRPr="00723ECA">
        <w:rPr>
          <w:sz w:val="22"/>
          <w:lang w:val="pt-BR"/>
        </w:rPr>
        <w:t xml:space="preserve"> dess</w:t>
      </w:r>
      <w:r w:rsidRPr="00723ECA">
        <w:rPr>
          <w:sz w:val="22"/>
          <w:lang w:val="pt-BR"/>
        </w:rPr>
        <w:t xml:space="preserve">as questões. </w:t>
      </w:r>
    </w:p>
    <w:p w:rsidR="00A511C7" w:rsidRPr="00723ECA" w:rsidRDefault="00A511C7" w:rsidP="00A511C7">
      <w:pPr>
        <w:pStyle w:val="SingleTxtG"/>
        <w:ind w:firstLine="567"/>
        <w:rPr>
          <w:sz w:val="22"/>
          <w:lang w:val="pt-BR"/>
        </w:rPr>
      </w:pPr>
      <w:r w:rsidRPr="00723ECA">
        <w:rPr>
          <w:sz w:val="22"/>
          <w:lang w:val="pt-BR"/>
        </w:rPr>
        <w:tab/>
      </w:r>
    </w:p>
    <w:p w:rsidR="00A511C7" w:rsidRPr="00723ECA" w:rsidRDefault="00A511C7" w:rsidP="00A511C7">
      <w:pPr>
        <w:pStyle w:val="Body1"/>
        <w:spacing w:before="120"/>
        <w:jc w:val="both"/>
        <w:outlineLvl w:val="9"/>
        <w:rPr>
          <w:sz w:val="28"/>
          <w:szCs w:val="24"/>
          <w:lang w:val="pt-BR"/>
        </w:rPr>
      </w:pPr>
    </w:p>
    <w:p w:rsidR="00A511C7" w:rsidRPr="00723ECA" w:rsidRDefault="00A511C7" w:rsidP="00A511C7">
      <w:pPr>
        <w:pStyle w:val="Body1"/>
        <w:spacing w:before="120"/>
        <w:jc w:val="both"/>
        <w:outlineLvl w:val="9"/>
        <w:rPr>
          <w:sz w:val="28"/>
          <w:szCs w:val="24"/>
          <w:lang w:val="pt-BR"/>
        </w:rPr>
      </w:pPr>
    </w:p>
    <w:p w:rsidR="00A511C7" w:rsidRPr="00723ECA" w:rsidRDefault="00A511C7" w:rsidP="00A511C7">
      <w:pPr>
        <w:pStyle w:val="Body1"/>
        <w:spacing w:before="120"/>
        <w:jc w:val="both"/>
        <w:outlineLvl w:val="9"/>
        <w:rPr>
          <w:sz w:val="28"/>
          <w:szCs w:val="24"/>
          <w:lang w:val="pt-BR"/>
        </w:rPr>
      </w:pPr>
    </w:p>
    <w:p w:rsidR="00A511C7" w:rsidRPr="00723ECA" w:rsidRDefault="00A511C7">
      <w:pPr>
        <w:suppressAutoHyphens w:val="0"/>
        <w:spacing w:line="240" w:lineRule="auto"/>
        <w:rPr>
          <w:rFonts w:eastAsia="Arial Unicode MS"/>
          <w:sz w:val="22"/>
          <w:u w:color="000000"/>
          <w:lang w:val="pt-BR"/>
        </w:rPr>
      </w:pPr>
      <w:r w:rsidRPr="00723ECA">
        <w:rPr>
          <w:rFonts w:eastAsia="Arial Unicode MS"/>
          <w:sz w:val="22"/>
          <w:u w:color="000000"/>
          <w:lang w:val="pt-BR"/>
        </w:rPr>
        <w:br w:type="page"/>
      </w:r>
    </w:p>
    <w:p w:rsidR="00B756E4" w:rsidRPr="00723ECA" w:rsidRDefault="00B756E4" w:rsidP="00B756E4">
      <w:pPr>
        <w:pStyle w:val="Body1"/>
        <w:spacing w:before="360" w:after="240"/>
        <w:ind w:left="1134" w:right="1134"/>
        <w:outlineLvl w:val="9"/>
        <w:rPr>
          <w:b/>
          <w:sz w:val="32"/>
          <w:szCs w:val="24"/>
          <w:lang w:val="pt-BR"/>
        </w:rPr>
      </w:pPr>
      <w:r w:rsidRPr="00723ECA">
        <w:rPr>
          <w:sz w:val="22"/>
          <w:lang w:val="pt-BR"/>
        </w:rPr>
        <w:lastRenderedPageBreak/>
        <w:tab/>
      </w:r>
      <w:r w:rsidRPr="00723ECA">
        <w:rPr>
          <w:b/>
          <w:sz w:val="32"/>
          <w:szCs w:val="24"/>
          <w:lang w:val="pt-BR"/>
        </w:rPr>
        <w:t>Relatório do Relator Especial sobre o direito humano à água potável segura e ao esgotamento sanitário</w:t>
      </w:r>
    </w:p>
    <w:p w:rsidR="0011182D" w:rsidRPr="00723ECA" w:rsidRDefault="00B756E4" w:rsidP="0011182D">
      <w:pPr>
        <w:spacing w:after="120"/>
        <w:outlineLvl w:val="0"/>
        <w:rPr>
          <w:i/>
          <w:sz w:val="32"/>
          <w:szCs w:val="28"/>
          <w:lang w:val="pt-BR"/>
        </w:rPr>
      </w:pPr>
      <w:r w:rsidRPr="00723ECA">
        <w:rPr>
          <w:sz w:val="32"/>
          <w:szCs w:val="28"/>
          <w:lang w:val="pt-BR"/>
        </w:rPr>
        <w:t>Conteúdo</w:t>
      </w:r>
    </w:p>
    <w:p w:rsidR="0011182D" w:rsidRPr="00723ECA" w:rsidRDefault="00B756E4" w:rsidP="0011182D">
      <w:pPr>
        <w:tabs>
          <w:tab w:val="right" w:pos="8929"/>
          <w:tab w:val="right" w:pos="9638"/>
        </w:tabs>
        <w:spacing w:after="120"/>
        <w:ind w:left="283"/>
        <w:rPr>
          <w:sz w:val="22"/>
          <w:lang w:val="pt-BR"/>
        </w:rPr>
      </w:pPr>
      <w:r w:rsidRPr="00723ECA">
        <w:rPr>
          <w:i/>
          <w:lang w:val="pt-BR"/>
        </w:rPr>
        <w:tab/>
      </w:r>
      <w:r w:rsidRPr="00723ECA">
        <w:rPr>
          <w:i/>
          <w:lang w:val="pt-BR"/>
        </w:rPr>
        <w:tab/>
        <w:t>Página</w:t>
      </w:r>
    </w:p>
    <w:p w:rsidR="0011182D" w:rsidRPr="00723ECA" w:rsidRDefault="00215655" w:rsidP="0011182D">
      <w:pPr>
        <w:tabs>
          <w:tab w:val="right" w:pos="850"/>
          <w:tab w:val="left" w:pos="1134"/>
          <w:tab w:val="left" w:pos="1559"/>
          <w:tab w:val="left" w:pos="1984"/>
          <w:tab w:val="left" w:leader="dot" w:pos="8931"/>
          <w:tab w:val="right" w:pos="9638"/>
        </w:tabs>
        <w:spacing w:after="120"/>
        <w:rPr>
          <w:sz w:val="22"/>
          <w:lang w:val="pt-BR"/>
        </w:rPr>
      </w:pPr>
      <w:r w:rsidRPr="00723ECA">
        <w:rPr>
          <w:sz w:val="22"/>
          <w:lang w:val="pt-BR"/>
        </w:rPr>
        <w:tab/>
        <w:t>I.</w:t>
      </w:r>
      <w:r w:rsidRPr="00723ECA">
        <w:rPr>
          <w:sz w:val="22"/>
          <w:lang w:val="pt-BR"/>
        </w:rPr>
        <w:tab/>
        <w:t>Intro</w:t>
      </w:r>
      <w:r w:rsidR="00D60BD6" w:rsidRPr="00723ECA">
        <w:rPr>
          <w:sz w:val="22"/>
          <w:lang w:val="pt-BR"/>
        </w:rPr>
        <w:t>dução</w:t>
      </w:r>
      <w:r w:rsidRPr="00723ECA">
        <w:rPr>
          <w:sz w:val="22"/>
          <w:lang w:val="pt-BR"/>
        </w:rPr>
        <w:tab/>
      </w:r>
      <w:r w:rsidRPr="00723ECA">
        <w:rPr>
          <w:sz w:val="22"/>
          <w:lang w:val="pt-BR"/>
        </w:rPr>
        <w:tab/>
        <w:t>3</w:t>
      </w:r>
    </w:p>
    <w:p w:rsidR="0011182D" w:rsidRPr="00723ECA" w:rsidRDefault="00215655" w:rsidP="00C33F71">
      <w:pPr>
        <w:tabs>
          <w:tab w:val="right" w:pos="850"/>
          <w:tab w:val="left" w:pos="1134"/>
          <w:tab w:val="left" w:pos="1559"/>
          <w:tab w:val="left" w:pos="1984"/>
          <w:tab w:val="left" w:leader="dot" w:pos="8931"/>
          <w:tab w:val="right" w:pos="9638"/>
        </w:tabs>
        <w:spacing w:after="120"/>
        <w:rPr>
          <w:sz w:val="22"/>
          <w:lang w:val="pt-BR"/>
        </w:rPr>
      </w:pPr>
      <w:r w:rsidRPr="00723ECA">
        <w:rPr>
          <w:sz w:val="22"/>
          <w:lang w:val="pt-BR"/>
        </w:rPr>
        <w:tab/>
        <w:t>II.</w:t>
      </w:r>
      <w:r w:rsidRPr="00723ECA">
        <w:rPr>
          <w:sz w:val="22"/>
          <w:lang w:val="pt-BR"/>
        </w:rPr>
        <w:tab/>
      </w:r>
      <w:r w:rsidR="00D60BD6" w:rsidRPr="00723ECA">
        <w:rPr>
          <w:sz w:val="22"/>
          <w:lang w:val="pt-BR"/>
        </w:rPr>
        <w:t>Obrigações e responsabilidades no âmbito dos direitos humanos</w:t>
      </w:r>
      <w:r w:rsidRPr="00723ECA">
        <w:rPr>
          <w:sz w:val="22"/>
          <w:lang w:val="pt-BR"/>
        </w:rPr>
        <w:tab/>
      </w:r>
      <w:r w:rsidRPr="00723ECA">
        <w:rPr>
          <w:sz w:val="22"/>
          <w:lang w:val="pt-BR"/>
        </w:rPr>
        <w:tab/>
      </w:r>
      <w:proofErr w:type="gramStart"/>
      <w:r w:rsidRPr="00723ECA">
        <w:rPr>
          <w:sz w:val="22"/>
          <w:lang w:val="pt-BR"/>
        </w:rPr>
        <w:t>4</w:t>
      </w:r>
      <w:proofErr w:type="gramEnd"/>
    </w:p>
    <w:p w:rsidR="00694DD8" w:rsidRPr="00723ECA" w:rsidRDefault="00215655" w:rsidP="00C33F71">
      <w:pPr>
        <w:tabs>
          <w:tab w:val="right" w:pos="850"/>
          <w:tab w:val="left" w:pos="1134"/>
          <w:tab w:val="left" w:pos="1559"/>
          <w:tab w:val="left" w:pos="1984"/>
          <w:tab w:val="left" w:leader="dot" w:pos="8931"/>
          <w:tab w:val="right" w:pos="9638"/>
        </w:tabs>
        <w:spacing w:after="120"/>
        <w:rPr>
          <w:sz w:val="22"/>
          <w:lang w:val="pt-BR"/>
        </w:rPr>
      </w:pPr>
      <w:r w:rsidRPr="00723ECA">
        <w:rPr>
          <w:sz w:val="22"/>
          <w:lang w:val="pt-BR"/>
        </w:rPr>
        <w:tab/>
      </w:r>
      <w:r w:rsidRPr="00723ECA">
        <w:rPr>
          <w:sz w:val="22"/>
          <w:lang w:val="pt-BR"/>
        </w:rPr>
        <w:tab/>
        <w:t>A.</w:t>
      </w:r>
      <w:r w:rsidRPr="00723ECA">
        <w:rPr>
          <w:sz w:val="22"/>
          <w:lang w:val="pt-BR"/>
        </w:rPr>
        <w:tab/>
      </w:r>
      <w:r w:rsidR="00D60BD6" w:rsidRPr="00723ECA">
        <w:rPr>
          <w:sz w:val="22"/>
          <w:lang w:val="pt-BR"/>
        </w:rPr>
        <w:t>Obrigações dos Estados</w:t>
      </w:r>
      <w:r w:rsidRPr="00723ECA">
        <w:rPr>
          <w:sz w:val="22"/>
          <w:lang w:val="pt-BR"/>
        </w:rPr>
        <w:tab/>
      </w:r>
      <w:r w:rsidRPr="00723ECA">
        <w:rPr>
          <w:sz w:val="22"/>
          <w:lang w:val="pt-BR"/>
        </w:rPr>
        <w:tab/>
        <w:t>4</w:t>
      </w:r>
    </w:p>
    <w:p w:rsidR="00694DD8" w:rsidRPr="00723ECA" w:rsidRDefault="00215655" w:rsidP="00694DD8">
      <w:pPr>
        <w:tabs>
          <w:tab w:val="right" w:pos="850"/>
          <w:tab w:val="left" w:pos="1134"/>
          <w:tab w:val="left" w:pos="1559"/>
          <w:tab w:val="left" w:pos="1984"/>
          <w:tab w:val="left" w:leader="dot" w:pos="8931"/>
          <w:tab w:val="right" w:pos="9638"/>
        </w:tabs>
        <w:spacing w:after="120"/>
        <w:rPr>
          <w:sz w:val="22"/>
          <w:lang w:val="pt-BR"/>
        </w:rPr>
      </w:pPr>
      <w:r w:rsidRPr="00723ECA">
        <w:rPr>
          <w:sz w:val="22"/>
          <w:lang w:val="pt-BR"/>
        </w:rPr>
        <w:tab/>
      </w:r>
      <w:r w:rsidRPr="00723ECA">
        <w:rPr>
          <w:sz w:val="22"/>
          <w:lang w:val="pt-BR"/>
        </w:rPr>
        <w:tab/>
        <w:t>B.</w:t>
      </w:r>
      <w:r w:rsidRPr="00723ECA">
        <w:rPr>
          <w:sz w:val="22"/>
          <w:lang w:val="pt-BR"/>
        </w:rPr>
        <w:tab/>
      </w:r>
      <w:r w:rsidR="00D60BD6" w:rsidRPr="00723ECA">
        <w:rPr>
          <w:sz w:val="22"/>
          <w:lang w:val="pt-BR"/>
        </w:rPr>
        <w:t xml:space="preserve">Obrigações dos </w:t>
      </w:r>
      <w:r w:rsidR="002533F0">
        <w:rPr>
          <w:sz w:val="22"/>
          <w:lang w:val="pt-BR"/>
        </w:rPr>
        <w:t xml:space="preserve">agentes </w:t>
      </w:r>
      <w:r w:rsidR="00D60BD6" w:rsidRPr="00723ECA">
        <w:rPr>
          <w:sz w:val="22"/>
          <w:lang w:val="pt-BR"/>
        </w:rPr>
        <w:t>regulatórios</w:t>
      </w:r>
      <w:r w:rsidRPr="00723ECA">
        <w:rPr>
          <w:sz w:val="22"/>
          <w:lang w:val="pt-BR"/>
        </w:rPr>
        <w:tab/>
      </w:r>
      <w:r w:rsidRPr="00723ECA">
        <w:rPr>
          <w:sz w:val="22"/>
          <w:lang w:val="pt-BR"/>
        </w:rPr>
        <w:tab/>
        <w:t>6</w:t>
      </w:r>
    </w:p>
    <w:p w:rsidR="00694DD8" w:rsidRPr="00723ECA" w:rsidRDefault="00215655" w:rsidP="00694DD8">
      <w:pPr>
        <w:tabs>
          <w:tab w:val="right" w:pos="850"/>
          <w:tab w:val="left" w:pos="1134"/>
          <w:tab w:val="left" w:pos="1559"/>
          <w:tab w:val="left" w:pos="1984"/>
          <w:tab w:val="left" w:leader="dot" w:pos="8931"/>
          <w:tab w:val="right" w:pos="9638"/>
        </w:tabs>
        <w:spacing w:after="120"/>
        <w:rPr>
          <w:sz w:val="22"/>
          <w:lang w:val="pt-BR"/>
        </w:rPr>
      </w:pPr>
      <w:r w:rsidRPr="00723ECA">
        <w:rPr>
          <w:sz w:val="22"/>
          <w:lang w:val="pt-BR"/>
        </w:rPr>
        <w:tab/>
      </w:r>
      <w:r w:rsidRPr="00723ECA">
        <w:rPr>
          <w:sz w:val="22"/>
          <w:lang w:val="pt-BR"/>
        </w:rPr>
        <w:tab/>
        <w:t>C.</w:t>
      </w:r>
      <w:r w:rsidRPr="00723ECA">
        <w:rPr>
          <w:sz w:val="22"/>
          <w:lang w:val="pt-BR"/>
        </w:rPr>
        <w:tab/>
      </w:r>
      <w:r w:rsidR="00D60BD6" w:rsidRPr="00723ECA">
        <w:rPr>
          <w:sz w:val="22"/>
          <w:lang w:val="pt-BR"/>
        </w:rPr>
        <w:t>Responsabilidades dos prestadores de serviços</w:t>
      </w:r>
      <w:r w:rsidR="008E7627">
        <w:rPr>
          <w:sz w:val="22"/>
          <w:lang w:val="pt-BR"/>
        </w:rPr>
        <w:tab/>
      </w:r>
      <w:r w:rsidR="008E7627">
        <w:rPr>
          <w:sz w:val="22"/>
          <w:lang w:val="pt-BR"/>
        </w:rPr>
        <w:tab/>
        <w:t>8</w:t>
      </w:r>
    </w:p>
    <w:p w:rsidR="00694DD8" w:rsidRPr="00723ECA" w:rsidRDefault="00215655" w:rsidP="00694DD8">
      <w:pPr>
        <w:tabs>
          <w:tab w:val="right" w:pos="850"/>
          <w:tab w:val="left" w:pos="1134"/>
          <w:tab w:val="left" w:pos="1559"/>
          <w:tab w:val="left" w:pos="1984"/>
          <w:tab w:val="left" w:leader="dot" w:pos="8931"/>
          <w:tab w:val="right" w:pos="9638"/>
        </w:tabs>
        <w:spacing w:after="120"/>
        <w:rPr>
          <w:sz w:val="22"/>
          <w:lang w:val="pt-BR"/>
        </w:rPr>
      </w:pPr>
      <w:r w:rsidRPr="00723ECA">
        <w:rPr>
          <w:sz w:val="22"/>
          <w:lang w:val="pt-BR"/>
        </w:rPr>
        <w:tab/>
        <w:t>III.</w:t>
      </w:r>
      <w:r w:rsidRPr="00723ECA">
        <w:rPr>
          <w:sz w:val="22"/>
          <w:lang w:val="pt-BR"/>
        </w:rPr>
        <w:tab/>
      </w:r>
      <w:r w:rsidR="00D60BD6" w:rsidRPr="00723ECA">
        <w:rPr>
          <w:sz w:val="22"/>
          <w:lang w:val="pt-BR"/>
        </w:rPr>
        <w:t xml:space="preserve">Regulação </w:t>
      </w:r>
      <w:r w:rsidR="00F62990">
        <w:rPr>
          <w:sz w:val="22"/>
          <w:lang w:val="pt-BR"/>
        </w:rPr>
        <w:t>d</w:t>
      </w:r>
      <w:r w:rsidR="00D60BD6" w:rsidRPr="00723ECA">
        <w:rPr>
          <w:sz w:val="22"/>
          <w:lang w:val="pt-BR"/>
        </w:rPr>
        <w:t>os serviços de abastecimento de água e esgotamento sanitário</w:t>
      </w:r>
      <w:r w:rsidR="008E7627">
        <w:rPr>
          <w:sz w:val="22"/>
          <w:lang w:val="pt-BR"/>
        </w:rPr>
        <w:tab/>
      </w:r>
      <w:r w:rsidR="008E7627">
        <w:rPr>
          <w:sz w:val="22"/>
          <w:lang w:val="pt-BR"/>
        </w:rPr>
        <w:tab/>
      </w:r>
      <w:proofErr w:type="gramStart"/>
      <w:r w:rsidR="008E7627">
        <w:rPr>
          <w:sz w:val="22"/>
          <w:lang w:val="pt-BR"/>
        </w:rPr>
        <w:t>9</w:t>
      </w:r>
      <w:proofErr w:type="gramEnd"/>
    </w:p>
    <w:p w:rsidR="00694DD8" w:rsidRPr="00723ECA" w:rsidRDefault="00215655" w:rsidP="00694DD8">
      <w:pPr>
        <w:tabs>
          <w:tab w:val="right" w:pos="850"/>
          <w:tab w:val="left" w:pos="1134"/>
          <w:tab w:val="left" w:pos="1559"/>
          <w:tab w:val="left" w:pos="1984"/>
          <w:tab w:val="left" w:leader="dot" w:pos="8931"/>
          <w:tab w:val="right" w:pos="9638"/>
        </w:tabs>
        <w:spacing w:after="120"/>
        <w:rPr>
          <w:sz w:val="22"/>
          <w:lang w:val="pt-BR"/>
        </w:rPr>
      </w:pPr>
      <w:r w:rsidRPr="00723ECA">
        <w:rPr>
          <w:sz w:val="22"/>
          <w:lang w:val="pt-BR"/>
        </w:rPr>
        <w:tab/>
      </w:r>
      <w:r w:rsidRPr="00723ECA">
        <w:rPr>
          <w:sz w:val="22"/>
          <w:lang w:val="pt-BR"/>
        </w:rPr>
        <w:tab/>
        <w:t>A.</w:t>
      </w:r>
      <w:r w:rsidRPr="00723ECA">
        <w:rPr>
          <w:sz w:val="22"/>
          <w:lang w:val="pt-BR"/>
        </w:rPr>
        <w:tab/>
      </w:r>
      <w:r w:rsidR="00D60BD6" w:rsidRPr="00723ECA">
        <w:rPr>
          <w:sz w:val="22"/>
          <w:lang w:val="pt-BR"/>
        </w:rPr>
        <w:t>Papel da regulação</w:t>
      </w:r>
      <w:r w:rsidR="008E7627">
        <w:rPr>
          <w:sz w:val="22"/>
          <w:lang w:val="pt-BR"/>
        </w:rPr>
        <w:tab/>
      </w:r>
      <w:r w:rsidR="008E7627">
        <w:rPr>
          <w:sz w:val="22"/>
          <w:lang w:val="pt-BR"/>
        </w:rPr>
        <w:tab/>
        <w:t>9</w:t>
      </w:r>
    </w:p>
    <w:p w:rsidR="00694DD8" w:rsidRPr="00723ECA" w:rsidRDefault="00215655" w:rsidP="00694DD8">
      <w:pPr>
        <w:tabs>
          <w:tab w:val="right" w:pos="850"/>
          <w:tab w:val="left" w:pos="1134"/>
          <w:tab w:val="left" w:pos="1559"/>
          <w:tab w:val="left" w:pos="1984"/>
          <w:tab w:val="left" w:leader="dot" w:pos="8931"/>
          <w:tab w:val="right" w:pos="9638"/>
        </w:tabs>
        <w:spacing w:after="120"/>
        <w:rPr>
          <w:sz w:val="22"/>
          <w:lang w:val="pt-BR"/>
        </w:rPr>
      </w:pPr>
      <w:r w:rsidRPr="00723ECA">
        <w:rPr>
          <w:sz w:val="22"/>
          <w:lang w:val="pt-BR"/>
        </w:rPr>
        <w:tab/>
      </w:r>
      <w:r w:rsidRPr="00723ECA">
        <w:rPr>
          <w:sz w:val="22"/>
          <w:lang w:val="pt-BR"/>
        </w:rPr>
        <w:tab/>
        <w:t>B.</w:t>
      </w:r>
      <w:r w:rsidRPr="00723ECA">
        <w:rPr>
          <w:sz w:val="22"/>
          <w:lang w:val="pt-BR"/>
        </w:rPr>
        <w:tab/>
      </w:r>
      <w:r w:rsidR="00D60BD6" w:rsidRPr="00723ECA">
        <w:rPr>
          <w:sz w:val="22"/>
          <w:lang w:val="pt-BR"/>
        </w:rPr>
        <w:t>Tipos de arcabouços regulatórios</w:t>
      </w:r>
      <w:r w:rsidR="008E7627">
        <w:rPr>
          <w:sz w:val="22"/>
          <w:lang w:val="pt-BR"/>
        </w:rPr>
        <w:tab/>
      </w:r>
      <w:r w:rsidR="008E7627">
        <w:rPr>
          <w:sz w:val="22"/>
          <w:lang w:val="pt-BR"/>
        </w:rPr>
        <w:tab/>
        <w:t>11</w:t>
      </w:r>
    </w:p>
    <w:p w:rsidR="00694DD8" w:rsidRPr="00723ECA" w:rsidRDefault="00215655" w:rsidP="00694DD8">
      <w:pPr>
        <w:tabs>
          <w:tab w:val="right" w:pos="850"/>
          <w:tab w:val="left" w:pos="1134"/>
          <w:tab w:val="left" w:pos="1559"/>
          <w:tab w:val="left" w:pos="1984"/>
          <w:tab w:val="left" w:leader="dot" w:pos="8931"/>
          <w:tab w:val="right" w:pos="9638"/>
        </w:tabs>
        <w:spacing w:after="120"/>
        <w:rPr>
          <w:sz w:val="22"/>
          <w:lang w:val="pt-BR"/>
        </w:rPr>
      </w:pPr>
      <w:r w:rsidRPr="00723ECA">
        <w:rPr>
          <w:sz w:val="22"/>
          <w:lang w:val="pt-BR"/>
        </w:rPr>
        <w:tab/>
      </w:r>
      <w:r w:rsidRPr="00723ECA">
        <w:rPr>
          <w:sz w:val="22"/>
          <w:lang w:val="pt-BR"/>
        </w:rPr>
        <w:tab/>
      </w:r>
      <w:r w:rsidRPr="00723ECA">
        <w:rPr>
          <w:sz w:val="22"/>
          <w:lang w:val="pt-BR"/>
        </w:rPr>
        <w:tab/>
        <w:t>1.</w:t>
      </w:r>
      <w:r w:rsidRPr="00723ECA">
        <w:rPr>
          <w:sz w:val="22"/>
          <w:lang w:val="pt-BR"/>
        </w:rPr>
        <w:tab/>
      </w:r>
      <w:proofErr w:type="spellStart"/>
      <w:r w:rsidR="00D60BD6" w:rsidRPr="00723ECA">
        <w:rPr>
          <w:sz w:val="22"/>
          <w:lang w:val="pt-BR"/>
        </w:rPr>
        <w:t>Autorregulação</w:t>
      </w:r>
      <w:proofErr w:type="spellEnd"/>
      <w:r w:rsidR="008E7627">
        <w:rPr>
          <w:sz w:val="22"/>
          <w:lang w:val="pt-BR"/>
        </w:rPr>
        <w:tab/>
      </w:r>
      <w:r w:rsidR="008E7627">
        <w:rPr>
          <w:sz w:val="22"/>
          <w:lang w:val="pt-BR"/>
        </w:rPr>
        <w:tab/>
        <w:t>11</w:t>
      </w:r>
    </w:p>
    <w:p w:rsidR="005415AC" w:rsidRPr="00723ECA" w:rsidRDefault="00215655" w:rsidP="00694DD8">
      <w:pPr>
        <w:tabs>
          <w:tab w:val="right" w:pos="850"/>
          <w:tab w:val="left" w:pos="1134"/>
          <w:tab w:val="left" w:pos="1559"/>
          <w:tab w:val="left" w:pos="1984"/>
          <w:tab w:val="left" w:leader="dot" w:pos="8931"/>
          <w:tab w:val="right" w:pos="9638"/>
        </w:tabs>
        <w:spacing w:after="120"/>
        <w:rPr>
          <w:sz w:val="22"/>
          <w:lang w:val="pt-BR"/>
        </w:rPr>
      </w:pPr>
      <w:r w:rsidRPr="00723ECA">
        <w:rPr>
          <w:sz w:val="22"/>
          <w:lang w:val="pt-BR"/>
        </w:rPr>
        <w:tab/>
      </w:r>
      <w:r w:rsidRPr="00723ECA">
        <w:rPr>
          <w:sz w:val="22"/>
          <w:lang w:val="pt-BR"/>
        </w:rPr>
        <w:tab/>
      </w:r>
      <w:r w:rsidRPr="00723ECA">
        <w:rPr>
          <w:sz w:val="22"/>
          <w:lang w:val="pt-BR"/>
        </w:rPr>
        <w:tab/>
        <w:t>2.</w:t>
      </w:r>
      <w:r w:rsidRPr="00723ECA">
        <w:rPr>
          <w:sz w:val="22"/>
          <w:lang w:val="pt-BR"/>
        </w:rPr>
        <w:tab/>
      </w:r>
      <w:r w:rsidR="00D60BD6" w:rsidRPr="00723ECA">
        <w:rPr>
          <w:sz w:val="22"/>
          <w:lang w:val="pt-BR"/>
        </w:rPr>
        <w:t>Regulação por contrato</w:t>
      </w:r>
      <w:r w:rsidR="008E7627">
        <w:rPr>
          <w:sz w:val="22"/>
          <w:lang w:val="pt-BR"/>
        </w:rPr>
        <w:tab/>
      </w:r>
      <w:r w:rsidR="008E7627">
        <w:rPr>
          <w:sz w:val="22"/>
          <w:lang w:val="pt-BR"/>
        </w:rPr>
        <w:tab/>
      </w:r>
      <w:proofErr w:type="gramStart"/>
      <w:r w:rsidR="008E7627">
        <w:rPr>
          <w:sz w:val="22"/>
          <w:lang w:val="pt-BR"/>
        </w:rPr>
        <w:t>11</w:t>
      </w:r>
      <w:proofErr w:type="gramEnd"/>
    </w:p>
    <w:p w:rsidR="00694DD8" w:rsidRPr="00723ECA" w:rsidRDefault="00215655" w:rsidP="00694DD8">
      <w:pPr>
        <w:tabs>
          <w:tab w:val="right" w:pos="850"/>
          <w:tab w:val="left" w:pos="1134"/>
          <w:tab w:val="left" w:pos="1559"/>
          <w:tab w:val="left" w:pos="1984"/>
          <w:tab w:val="left" w:leader="dot" w:pos="8931"/>
          <w:tab w:val="right" w:pos="9638"/>
        </w:tabs>
        <w:spacing w:after="120"/>
        <w:rPr>
          <w:sz w:val="22"/>
          <w:lang w:val="pt-BR"/>
        </w:rPr>
      </w:pPr>
      <w:r w:rsidRPr="00723ECA">
        <w:rPr>
          <w:sz w:val="22"/>
          <w:lang w:val="pt-BR"/>
        </w:rPr>
        <w:tab/>
      </w:r>
      <w:r w:rsidRPr="00723ECA">
        <w:rPr>
          <w:sz w:val="22"/>
          <w:lang w:val="pt-BR"/>
        </w:rPr>
        <w:tab/>
      </w:r>
      <w:r w:rsidRPr="00723ECA">
        <w:rPr>
          <w:sz w:val="22"/>
          <w:lang w:val="pt-BR"/>
        </w:rPr>
        <w:tab/>
        <w:t>3.</w:t>
      </w:r>
      <w:r w:rsidRPr="00723ECA">
        <w:rPr>
          <w:sz w:val="22"/>
          <w:lang w:val="pt-BR"/>
        </w:rPr>
        <w:tab/>
      </w:r>
      <w:r w:rsidR="00D60BD6" w:rsidRPr="00723ECA">
        <w:rPr>
          <w:sz w:val="22"/>
          <w:lang w:val="pt-BR"/>
        </w:rPr>
        <w:t xml:space="preserve">Regulação por um órgão regulador </w:t>
      </w:r>
      <w:r w:rsidR="00D60BD6" w:rsidRPr="00A57A2C">
        <w:rPr>
          <w:sz w:val="22"/>
          <w:lang w:val="pt-BR"/>
        </w:rPr>
        <w:t>independente</w:t>
      </w:r>
      <w:r w:rsidR="008E7627">
        <w:rPr>
          <w:sz w:val="22"/>
          <w:lang w:val="pt-BR"/>
        </w:rPr>
        <w:tab/>
      </w:r>
      <w:r w:rsidR="008E7627">
        <w:rPr>
          <w:sz w:val="22"/>
          <w:lang w:val="pt-BR"/>
        </w:rPr>
        <w:tab/>
      </w:r>
      <w:proofErr w:type="gramStart"/>
      <w:r w:rsidR="008E7627">
        <w:rPr>
          <w:sz w:val="22"/>
          <w:lang w:val="pt-BR"/>
        </w:rPr>
        <w:t>12</w:t>
      </w:r>
      <w:proofErr w:type="gramEnd"/>
    </w:p>
    <w:p w:rsidR="005415AC" w:rsidRPr="00723ECA" w:rsidRDefault="00215655" w:rsidP="00694DD8">
      <w:pPr>
        <w:tabs>
          <w:tab w:val="right" w:pos="850"/>
          <w:tab w:val="left" w:pos="1134"/>
          <w:tab w:val="left" w:pos="1559"/>
          <w:tab w:val="left" w:pos="1984"/>
          <w:tab w:val="left" w:leader="dot" w:pos="8931"/>
          <w:tab w:val="right" w:pos="9638"/>
        </w:tabs>
        <w:spacing w:after="120"/>
        <w:rPr>
          <w:sz w:val="22"/>
          <w:lang w:val="pt-BR"/>
        </w:rPr>
      </w:pPr>
      <w:r w:rsidRPr="00723ECA">
        <w:rPr>
          <w:sz w:val="22"/>
          <w:lang w:val="pt-BR"/>
        </w:rPr>
        <w:tab/>
        <w:t>IV.</w:t>
      </w:r>
      <w:r w:rsidRPr="00723ECA">
        <w:rPr>
          <w:sz w:val="22"/>
          <w:lang w:val="pt-BR"/>
        </w:rPr>
        <w:tab/>
      </w:r>
      <w:r w:rsidR="00D60BD6" w:rsidRPr="00723ECA">
        <w:rPr>
          <w:sz w:val="22"/>
          <w:lang w:val="pt-BR"/>
        </w:rPr>
        <w:t xml:space="preserve">Funções centrais dos </w:t>
      </w:r>
      <w:r w:rsidR="002533F0">
        <w:rPr>
          <w:sz w:val="22"/>
          <w:lang w:val="pt-BR"/>
        </w:rPr>
        <w:t xml:space="preserve">agentes </w:t>
      </w:r>
      <w:r w:rsidR="00D60BD6" w:rsidRPr="00723ECA">
        <w:rPr>
          <w:sz w:val="22"/>
          <w:lang w:val="pt-BR"/>
        </w:rPr>
        <w:t>regulatórios</w:t>
      </w:r>
      <w:r w:rsidR="008E7627">
        <w:rPr>
          <w:sz w:val="22"/>
          <w:lang w:val="pt-BR"/>
        </w:rPr>
        <w:tab/>
      </w:r>
      <w:r w:rsidR="008E7627">
        <w:rPr>
          <w:sz w:val="22"/>
          <w:lang w:val="pt-BR"/>
        </w:rPr>
        <w:tab/>
      </w:r>
      <w:proofErr w:type="gramStart"/>
      <w:r w:rsidR="008E7627">
        <w:rPr>
          <w:sz w:val="22"/>
          <w:lang w:val="pt-BR"/>
        </w:rPr>
        <w:t>14</w:t>
      </w:r>
      <w:proofErr w:type="gramEnd"/>
    </w:p>
    <w:p w:rsidR="00694DD8" w:rsidRPr="00723ECA" w:rsidRDefault="00215655" w:rsidP="00694DD8">
      <w:pPr>
        <w:tabs>
          <w:tab w:val="right" w:pos="850"/>
          <w:tab w:val="left" w:pos="1134"/>
          <w:tab w:val="left" w:pos="1559"/>
          <w:tab w:val="left" w:pos="1984"/>
          <w:tab w:val="left" w:leader="dot" w:pos="8931"/>
          <w:tab w:val="right" w:pos="9638"/>
        </w:tabs>
        <w:spacing w:after="120"/>
        <w:rPr>
          <w:sz w:val="22"/>
          <w:lang w:val="pt-BR"/>
        </w:rPr>
      </w:pPr>
      <w:r w:rsidRPr="00723ECA">
        <w:rPr>
          <w:sz w:val="22"/>
          <w:lang w:val="pt-BR"/>
        </w:rPr>
        <w:tab/>
      </w:r>
      <w:r w:rsidRPr="00723ECA">
        <w:rPr>
          <w:sz w:val="22"/>
          <w:lang w:val="pt-BR"/>
        </w:rPr>
        <w:tab/>
        <w:t>A.</w:t>
      </w:r>
      <w:r w:rsidRPr="00723ECA">
        <w:rPr>
          <w:sz w:val="22"/>
          <w:lang w:val="pt-BR"/>
        </w:rPr>
        <w:tab/>
      </w:r>
      <w:r w:rsidR="00D60BD6" w:rsidRPr="00723ECA">
        <w:rPr>
          <w:sz w:val="22"/>
          <w:lang w:val="pt-BR"/>
        </w:rPr>
        <w:t xml:space="preserve">Definição de </w:t>
      </w:r>
      <w:r w:rsidR="00061D27" w:rsidRPr="00723ECA">
        <w:rPr>
          <w:sz w:val="22"/>
          <w:lang w:val="pt-BR"/>
        </w:rPr>
        <w:t>padrões</w:t>
      </w:r>
      <w:r w:rsidR="008E7627">
        <w:rPr>
          <w:sz w:val="22"/>
          <w:lang w:val="pt-BR"/>
        </w:rPr>
        <w:tab/>
      </w:r>
      <w:r w:rsidR="008E7627">
        <w:rPr>
          <w:sz w:val="22"/>
          <w:lang w:val="pt-BR"/>
        </w:rPr>
        <w:tab/>
        <w:t>14</w:t>
      </w:r>
    </w:p>
    <w:p w:rsidR="00694DD8" w:rsidRPr="00723ECA" w:rsidRDefault="00215655" w:rsidP="00694DD8">
      <w:pPr>
        <w:tabs>
          <w:tab w:val="right" w:pos="850"/>
          <w:tab w:val="left" w:pos="1134"/>
          <w:tab w:val="left" w:pos="1559"/>
          <w:tab w:val="left" w:pos="1984"/>
          <w:tab w:val="left" w:leader="dot" w:pos="8931"/>
          <w:tab w:val="right" w:pos="9638"/>
        </w:tabs>
        <w:spacing w:after="120"/>
        <w:rPr>
          <w:sz w:val="22"/>
          <w:lang w:val="pt-BR"/>
        </w:rPr>
      </w:pPr>
      <w:r w:rsidRPr="00723ECA">
        <w:rPr>
          <w:sz w:val="22"/>
          <w:lang w:val="pt-BR"/>
        </w:rPr>
        <w:tab/>
      </w:r>
      <w:r w:rsidRPr="00723ECA">
        <w:rPr>
          <w:sz w:val="22"/>
          <w:lang w:val="pt-BR"/>
        </w:rPr>
        <w:tab/>
      </w:r>
      <w:r w:rsidRPr="00723ECA">
        <w:rPr>
          <w:sz w:val="22"/>
          <w:lang w:val="pt-BR"/>
        </w:rPr>
        <w:tab/>
        <w:t>1.</w:t>
      </w:r>
      <w:r w:rsidRPr="00723ECA">
        <w:rPr>
          <w:sz w:val="22"/>
          <w:lang w:val="pt-BR"/>
        </w:rPr>
        <w:tab/>
      </w:r>
      <w:r w:rsidR="00D60BD6" w:rsidRPr="00723ECA">
        <w:rPr>
          <w:sz w:val="22"/>
          <w:lang w:val="pt-BR"/>
        </w:rPr>
        <w:t>Disponibilidade</w:t>
      </w:r>
      <w:r w:rsidR="008E7627">
        <w:rPr>
          <w:sz w:val="22"/>
          <w:lang w:val="pt-BR"/>
        </w:rPr>
        <w:tab/>
      </w:r>
      <w:r w:rsidR="008E7627">
        <w:rPr>
          <w:sz w:val="22"/>
          <w:lang w:val="pt-BR"/>
        </w:rPr>
        <w:tab/>
        <w:t>14</w:t>
      </w:r>
    </w:p>
    <w:p w:rsidR="00694DD8" w:rsidRPr="00723ECA" w:rsidRDefault="00215655" w:rsidP="00694DD8">
      <w:pPr>
        <w:tabs>
          <w:tab w:val="right" w:pos="850"/>
          <w:tab w:val="left" w:pos="1134"/>
          <w:tab w:val="left" w:pos="1559"/>
          <w:tab w:val="left" w:pos="1984"/>
          <w:tab w:val="left" w:leader="dot" w:pos="8931"/>
          <w:tab w:val="right" w:pos="9638"/>
        </w:tabs>
        <w:spacing w:after="120"/>
        <w:rPr>
          <w:sz w:val="22"/>
          <w:lang w:val="pt-BR"/>
        </w:rPr>
      </w:pPr>
      <w:r w:rsidRPr="00723ECA">
        <w:rPr>
          <w:sz w:val="22"/>
          <w:lang w:val="pt-BR"/>
        </w:rPr>
        <w:tab/>
      </w:r>
      <w:r w:rsidRPr="00723ECA">
        <w:rPr>
          <w:sz w:val="22"/>
          <w:lang w:val="pt-BR"/>
        </w:rPr>
        <w:tab/>
      </w:r>
      <w:r w:rsidRPr="00723ECA">
        <w:rPr>
          <w:sz w:val="22"/>
          <w:lang w:val="pt-BR"/>
        </w:rPr>
        <w:tab/>
        <w:t>2.</w:t>
      </w:r>
      <w:r w:rsidRPr="00723ECA">
        <w:rPr>
          <w:sz w:val="22"/>
          <w:lang w:val="pt-BR"/>
        </w:rPr>
        <w:tab/>
      </w:r>
      <w:r w:rsidR="00D60BD6" w:rsidRPr="00723ECA">
        <w:rPr>
          <w:sz w:val="22"/>
          <w:lang w:val="pt-BR"/>
        </w:rPr>
        <w:t>Acessibilidade</w:t>
      </w:r>
      <w:r w:rsidR="008E7627">
        <w:rPr>
          <w:sz w:val="22"/>
          <w:lang w:val="pt-BR"/>
        </w:rPr>
        <w:tab/>
      </w:r>
      <w:r w:rsidR="008E7627">
        <w:rPr>
          <w:sz w:val="22"/>
          <w:lang w:val="pt-BR"/>
        </w:rPr>
        <w:tab/>
        <w:t>15</w:t>
      </w:r>
    </w:p>
    <w:p w:rsidR="00694DD8" w:rsidRPr="00723ECA" w:rsidRDefault="00215655" w:rsidP="00694DD8">
      <w:pPr>
        <w:tabs>
          <w:tab w:val="right" w:pos="850"/>
          <w:tab w:val="left" w:pos="1134"/>
          <w:tab w:val="left" w:pos="1559"/>
          <w:tab w:val="left" w:pos="1984"/>
          <w:tab w:val="left" w:leader="dot" w:pos="8931"/>
          <w:tab w:val="right" w:pos="9638"/>
        </w:tabs>
        <w:spacing w:after="120"/>
        <w:rPr>
          <w:sz w:val="22"/>
          <w:lang w:val="pt-BR"/>
        </w:rPr>
      </w:pPr>
      <w:r w:rsidRPr="00723ECA">
        <w:rPr>
          <w:sz w:val="22"/>
          <w:lang w:val="pt-BR"/>
        </w:rPr>
        <w:tab/>
      </w:r>
      <w:r w:rsidRPr="00723ECA">
        <w:rPr>
          <w:sz w:val="22"/>
          <w:lang w:val="pt-BR"/>
        </w:rPr>
        <w:tab/>
      </w:r>
      <w:r w:rsidRPr="00723ECA">
        <w:rPr>
          <w:sz w:val="22"/>
          <w:lang w:val="pt-BR"/>
        </w:rPr>
        <w:tab/>
        <w:t>3.</w:t>
      </w:r>
      <w:r w:rsidRPr="00723ECA">
        <w:rPr>
          <w:sz w:val="22"/>
          <w:lang w:val="pt-BR"/>
        </w:rPr>
        <w:tab/>
      </w:r>
      <w:r w:rsidR="00D60BD6" w:rsidRPr="00723ECA">
        <w:rPr>
          <w:sz w:val="22"/>
          <w:lang w:val="pt-BR"/>
        </w:rPr>
        <w:t>Qualidade e segurança</w:t>
      </w:r>
      <w:r w:rsidR="008E7627">
        <w:rPr>
          <w:sz w:val="22"/>
          <w:lang w:val="pt-BR"/>
        </w:rPr>
        <w:tab/>
      </w:r>
      <w:r w:rsidR="008E7627">
        <w:rPr>
          <w:sz w:val="22"/>
          <w:lang w:val="pt-BR"/>
        </w:rPr>
        <w:tab/>
      </w:r>
      <w:proofErr w:type="gramStart"/>
      <w:r w:rsidR="008E7627">
        <w:rPr>
          <w:sz w:val="22"/>
          <w:lang w:val="pt-BR"/>
        </w:rPr>
        <w:t>16</w:t>
      </w:r>
      <w:proofErr w:type="gramEnd"/>
    </w:p>
    <w:p w:rsidR="00694DD8" w:rsidRPr="00723ECA" w:rsidRDefault="00215655" w:rsidP="00694DD8">
      <w:pPr>
        <w:tabs>
          <w:tab w:val="right" w:pos="850"/>
          <w:tab w:val="left" w:pos="1134"/>
          <w:tab w:val="left" w:pos="1559"/>
          <w:tab w:val="left" w:pos="1984"/>
          <w:tab w:val="left" w:leader="dot" w:pos="8931"/>
          <w:tab w:val="right" w:pos="9638"/>
        </w:tabs>
        <w:spacing w:after="120"/>
        <w:rPr>
          <w:sz w:val="22"/>
          <w:lang w:val="pt-BR"/>
        </w:rPr>
      </w:pPr>
      <w:r w:rsidRPr="00723ECA">
        <w:rPr>
          <w:sz w:val="22"/>
          <w:lang w:val="pt-BR"/>
        </w:rPr>
        <w:tab/>
      </w:r>
      <w:r w:rsidRPr="00723ECA">
        <w:rPr>
          <w:sz w:val="22"/>
          <w:lang w:val="pt-BR"/>
        </w:rPr>
        <w:tab/>
      </w:r>
      <w:r w:rsidRPr="00723ECA">
        <w:rPr>
          <w:sz w:val="22"/>
          <w:lang w:val="pt-BR"/>
        </w:rPr>
        <w:tab/>
        <w:t>4.</w:t>
      </w:r>
      <w:r w:rsidRPr="00723ECA">
        <w:rPr>
          <w:sz w:val="22"/>
          <w:lang w:val="pt-BR"/>
        </w:rPr>
        <w:tab/>
      </w:r>
      <w:r w:rsidR="0066661A">
        <w:rPr>
          <w:sz w:val="22"/>
          <w:lang w:val="pt-BR"/>
        </w:rPr>
        <w:t xml:space="preserve">Acessibilidade econômica </w:t>
      </w:r>
      <w:r w:rsidR="008E7627">
        <w:rPr>
          <w:sz w:val="22"/>
          <w:lang w:val="pt-BR"/>
        </w:rPr>
        <w:tab/>
      </w:r>
      <w:r w:rsidR="008E7627">
        <w:rPr>
          <w:sz w:val="22"/>
          <w:lang w:val="pt-BR"/>
        </w:rPr>
        <w:tab/>
        <w:t>17</w:t>
      </w:r>
    </w:p>
    <w:p w:rsidR="00694DD8" w:rsidRPr="00723ECA" w:rsidRDefault="00215655" w:rsidP="00694DD8">
      <w:pPr>
        <w:tabs>
          <w:tab w:val="right" w:pos="850"/>
          <w:tab w:val="left" w:pos="1134"/>
          <w:tab w:val="left" w:pos="1559"/>
          <w:tab w:val="left" w:pos="1984"/>
          <w:tab w:val="left" w:leader="dot" w:pos="8931"/>
          <w:tab w:val="right" w:pos="9638"/>
        </w:tabs>
        <w:spacing w:after="120"/>
        <w:rPr>
          <w:sz w:val="22"/>
          <w:lang w:val="pt-BR"/>
        </w:rPr>
      </w:pPr>
      <w:r w:rsidRPr="00723ECA">
        <w:rPr>
          <w:sz w:val="22"/>
          <w:lang w:val="pt-BR"/>
        </w:rPr>
        <w:tab/>
      </w:r>
      <w:r w:rsidRPr="00723ECA">
        <w:rPr>
          <w:sz w:val="22"/>
          <w:lang w:val="pt-BR"/>
        </w:rPr>
        <w:tab/>
      </w:r>
      <w:r w:rsidRPr="00723ECA">
        <w:rPr>
          <w:sz w:val="22"/>
          <w:lang w:val="pt-BR"/>
        </w:rPr>
        <w:tab/>
        <w:t>5.</w:t>
      </w:r>
      <w:r w:rsidRPr="00723ECA">
        <w:rPr>
          <w:sz w:val="22"/>
          <w:lang w:val="pt-BR"/>
        </w:rPr>
        <w:tab/>
      </w:r>
      <w:r w:rsidR="00D60BD6" w:rsidRPr="00723ECA">
        <w:rPr>
          <w:sz w:val="22"/>
          <w:lang w:val="pt-BR"/>
        </w:rPr>
        <w:t>Aceitabilidade, privacidade e segurança</w:t>
      </w:r>
      <w:r w:rsidR="008E7627">
        <w:rPr>
          <w:sz w:val="22"/>
          <w:lang w:val="pt-BR"/>
        </w:rPr>
        <w:tab/>
      </w:r>
      <w:r w:rsidR="008E7627">
        <w:rPr>
          <w:sz w:val="22"/>
          <w:lang w:val="pt-BR"/>
        </w:rPr>
        <w:tab/>
      </w:r>
      <w:proofErr w:type="gramStart"/>
      <w:r w:rsidR="008E7627">
        <w:rPr>
          <w:sz w:val="22"/>
          <w:lang w:val="pt-BR"/>
        </w:rPr>
        <w:t>18</w:t>
      </w:r>
      <w:proofErr w:type="gramEnd"/>
    </w:p>
    <w:p w:rsidR="00694DD8" w:rsidRPr="00723ECA" w:rsidRDefault="00215655" w:rsidP="00694DD8">
      <w:pPr>
        <w:tabs>
          <w:tab w:val="right" w:pos="850"/>
          <w:tab w:val="left" w:pos="1134"/>
          <w:tab w:val="left" w:pos="1559"/>
          <w:tab w:val="left" w:pos="1984"/>
          <w:tab w:val="left" w:leader="dot" w:pos="8931"/>
          <w:tab w:val="right" w:pos="9638"/>
        </w:tabs>
        <w:spacing w:after="120"/>
        <w:rPr>
          <w:sz w:val="22"/>
          <w:lang w:val="pt-BR"/>
        </w:rPr>
      </w:pPr>
      <w:r w:rsidRPr="00723ECA">
        <w:rPr>
          <w:sz w:val="22"/>
          <w:lang w:val="pt-BR"/>
        </w:rPr>
        <w:tab/>
      </w:r>
      <w:r w:rsidRPr="00723ECA">
        <w:rPr>
          <w:sz w:val="22"/>
          <w:lang w:val="pt-BR"/>
        </w:rPr>
        <w:tab/>
      </w:r>
      <w:r w:rsidRPr="00723ECA">
        <w:rPr>
          <w:sz w:val="22"/>
          <w:lang w:val="pt-BR"/>
        </w:rPr>
        <w:tab/>
        <w:t>6.</w:t>
      </w:r>
      <w:r w:rsidRPr="00723ECA">
        <w:rPr>
          <w:sz w:val="22"/>
          <w:lang w:val="pt-BR"/>
        </w:rPr>
        <w:tab/>
      </w:r>
      <w:r w:rsidR="00D60BD6" w:rsidRPr="00723ECA">
        <w:rPr>
          <w:sz w:val="22"/>
          <w:lang w:val="pt-BR"/>
        </w:rPr>
        <w:t>Participação e acesso à informação</w:t>
      </w:r>
      <w:r w:rsidR="008E7627">
        <w:rPr>
          <w:sz w:val="22"/>
          <w:lang w:val="pt-BR"/>
        </w:rPr>
        <w:tab/>
      </w:r>
      <w:r w:rsidR="008E7627">
        <w:rPr>
          <w:sz w:val="22"/>
          <w:lang w:val="pt-BR"/>
        </w:rPr>
        <w:tab/>
      </w:r>
      <w:proofErr w:type="gramStart"/>
      <w:r w:rsidR="008E7627">
        <w:rPr>
          <w:sz w:val="22"/>
          <w:lang w:val="pt-BR"/>
        </w:rPr>
        <w:t>18</w:t>
      </w:r>
      <w:proofErr w:type="gramEnd"/>
    </w:p>
    <w:p w:rsidR="00694DD8" w:rsidRPr="00723ECA" w:rsidRDefault="00215655" w:rsidP="00694DD8">
      <w:pPr>
        <w:tabs>
          <w:tab w:val="right" w:pos="850"/>
          <w:tab w:val="left" w:pos="1134"/>
          <w:tab w:val="left" w:pos="1559"/>
          <w:tab w:val="left" w:pos="1984"/>
          <w:tab w:val="left" w:leader="dot" w:pos="8931"/>
          <w:tab w:val="right" w:pos="9638"/>
        </w:tabs>
        <w:spacing w:after="120"/>
        <w:rPr>
          <w:sz w:val="22"/>
          <w:lang w:val="pt-BR"/>
        </w:rPr>
      </w:pPr>
      <w:r w:rsidRPr="00723ECA">
        <w:rPr>
          <w:sz w:val="22"/>
          <w:lang w:val="pt-BR"/>
        </w:rPr>
        <w:tab/>
      </w:r>
      <w:r w:rsidRPr="00723ECA">
        <w:rPr>
          <w:sz w:val="22"/>
          <w:lang w:val="pt-BR"/>
        </w:rPr>
        <w:tab/>
      </w:r>
      <w:r w:rsidRPr="00723ECA">
        <w:rPr>
          <w:sz w:val="22"/>
          <w:lang w:val="pt-BR"/>
        </w:rPr>
        <w:tab/>
        <w:t>7.</w:t>
      </w:r>
      <w:r w:rsidRPr="00723ECA">
        <w:rPr>
          <w:sz w:val="22"/>
          <w:lang w:val="pt-BR"/>
        </w:rPr>
        <w:tab/>
      </w:r>
      <w:r w:rsidR="00D60BD6" w:rsidRPr="00723ECA">
        <w:rPr>
          <w:sz w:val="22"/>
          <w:lang w:val="pt-BR"/>
        </w:rPr>
        <w:t>Equidade e não discriminação</w:t>
      </w:r>
      <w:r w:rsidR="008E7627">
        <w:rPr>
          <w:sz w:val="22"/>
          <w:lang w:val="pt-BR"/>
        </w:rPr>
        <w:tab/>
      </w:r>
      <w:r w:rsidR="008E7627">
        <w:rPr>
          <w:sz w:val="22"/>
          <w:lang w:val="pt-BR"/>
        </w:rPr>
        <w:tab/>
      </w:r>
      <w:proofErr w:type="gramStart"/>
      <w:r w:rsidR="008E7627">
        <w:rPr>
          <w:sz w:val="22"/>
          <w:lang w:val="pt-BR"/>
        </w:rPr>
        <w:t>19</w:t>
      </w:r>
      <w:proofErr w:type="gramEnd"/>
    </w:p>
    <w:p w:rsidR="00694DD8" w:rsidRPr="00723ECA" w:rsidRDefault="00215655" w:rsidP="00694DD8">
      <w:pPr>
        <w:tabs>
          <w:tab w:val="right" w:pos="850"/>
          <w:tab w:val="left" w:pos="1134"/>
          <w:tab w:val="left" w:pos="1559"/>
          <w:tab w:val="left" w:pos="1984"/>
          <w:tab w:val="left" w:leader="dot" w:pos="8931"/>
          <w:tab w:val="right" w:pos="9638"/>
        </w:tabs>
        <w:spacing w:after="120"/>
        <w:rPr>
          <w:sz w:val="22"/>
          <w:lang w:val="pt-BR"/>
        </w:rPr>
      </w:pPr>
      <w:r w:rsidRPr="00723ECA">
        <w:rPr>
          <w:sz w:val="22"/>
          <w:lang w:val="pt-BR"/>
        </w:rPr>
        <w:tab/>
      </w:r>
      <w:r w:rsidRPr="00723ECA">
        <w:rPr>
          <w:sz w:val="22"/>
          <w:lang w:val="pt-BR"/>
        </w:rPr>
        <w:tab/>
      </w:r>
      <w:r w:rsidRPr="00723ECA">
        <w:rPr>
          <w:sz w:val="22"/>
          <w:lang w:val="pt-BR"/>
        </w:rPr>
        <w:tab/>
        <w:t>8.</w:t>
      </w:r>
      <w:r w:rsidRPr="00723ECA">
        <w:rPr>
          <w:sz w:val="22"/>
          <w:lang w:val="pt-BR"/>
        </w:rPr>
        <w:tab/>
      </w:r>
      <w:r w:rsidR="00D60BD6" w:rsidRPr="00723ECA">
        <w:rPr>
          <w:sz w:val="22"/>
          <w:lang w:val="pt-BR"/>
        </w:rPr>
        <w:t>Sustentabilidade</w:t>
      </w:r>
      <w:r w:rsidR="008E7627">
        <w:rPr>
          <w:sz w:val="22"/>
          <w:lang w:val="pt-BR"/>
        </w:rPr>
        <w:tab/>
      </w:r>
      <w:r w:rsidR="008E7627">
        <w:rPr>
          <w:sz w:val="22"/>
          <w:lang w:val="pt-BR"/>
        </w:rPr>
        <w:tab/>
        <w:t>19</w:t>
      </w:r>
    </w:p>
    <w:p w:rsidR="00694DD8" w:rsidRPr="00723ECA" w:rsidRDefault="00215655" w:rsidP="00694DD8">
      <w:pPr>
        <w:tabs>
          <w:tab w:val="right" w:pos="850"/>
          <w:tab w:val="left" w:pos="1134"/>
          <w:tab w:val="left" w:pos="1559"/>
          <w:tab w:val="left" w:pos="1984"/>
          <w:tab w:val="left" w:leader="dot" w:pos="8931"/>
          <w:tab w:val="right" w:pos="9638"/>
        </w:tabs>
        <w:spacing w:after="120"/>
        <w:rPr>
          <w:sz w:val="22"/>
          <w:lang w:val="pt-BR"/>
        </w:rPr>
      </w:pPr>
      <w:r w:rsidRPr="00723ECA">
        <w:rPr>
          <w:sz w:val="22"/>
          <w:lang w:val="pt-BR"/>
        </w:rPr>
        <w:tab/>
      </w:r>
      <w:r w:rsidRPr="00723ECA">
        <w:rPr>
          <w:sz w:val="22"/>
          <w:lang w:val="pt-BR"/>
        </w:rPr>
        <w:tab/>
      </w:r>
      <w:r w:rsidRPr="00723ECA">
        <w:rPr>
          <w:sz w:val="22"/>
          <w:lang w:val="pt-BR"/>
        </w:rPr>
        <w:tab/>
        <w:t>9.</w:t>
      </w:r>
      <w:r w:rsidRPr="00723ECA">
        <w:rPr>
          <w:sz w:val="22"/>
          <w:lang w:val="pt-BR"/>
        </w:rPr>
        <w:tab/>
      </w:r>
      <w:r w:rsidR="00645526" w:rsidRPr="00723ECA">
        <w:rPr>
          <w:sz w:val="22"/>
          <w:lang w:val="pt-BR"/>
        </w:rPr>
        <w:t>Responsabilização</w:t>
      </w:r>
      <w:r w:rsidR="008E7627">
        <w:rPr>
          <w:sz w:val="22"/>
          <w:lang w:val="pt-BR"/>
        </w:rPr>
        <w:tab/>
      </w:r>
      <w:r w:rsidR="008E7627">
        <w:rPr>
          <w:sz w:val="22"/>
          <w:lang w:val="pt-BR"/>
        </w:rPr>
        <w:tab/>
        <w:t>20</w:t>
      </w:r>
    </w:p>
    <w:p w:rsidR="00694DD8" w:rsidRPr="00723ECA" w:rsidRDefault="00215655" w:rsidP="00694DD8">
      <w:pPr>
        <w:tabs>
          <w:tab w:val="right" w:pos="850"/>
          <w:tab w:val="left" w:pos="1134"/>
          <w:tab w:val="left" w:pos="1559"/>
          <w:tab w:val="left" w:pos="1984"/>
          <w:tab w:val="left" w:leader="dot" w:pos="8931"/>
          <w:tab w:val="right" w:pos="9638"/>
        </w:tabs>
        <w:spacing w:after="120"/>
        <w:rPr>
          <w:sz w:val="22"/>
          <w:lang w:val="pt-BR"/>
        </w:rPr>
      </w:pPr>
      <w:r w:rsidRPr="00723ECA">
        <w:rPr>
          <w:sz w:val="22"/>
          <w:lang w:val="pt-BR"/>
        </w:rPr>
        <w:tab/>
      </w:r>
      <w:r w:rsidRPr="00723ECA">
        <w:rPr>
          <w:sz w:val="22"/>
          <w:lang w:val="pt-BR"/>
        </w:rPr>
        <w:tab/>
        <w:t>B.</w:t>
      </w:r>
      <w:r w:rsidRPr="00723ECA">
        <w:rPr>
          <w:sz w:val="22"/>
          <w:lang w:val="pt-BR"/>
        </w:rPr>
        <w:tab/>
      </w:r>
      <w:proofErr w:type="gramStart"/>
      <w:r w:rsidR="0009734F">
        <w:rPr>
          <w:sz w:val="22"/>
          <w:lang w:val="pt-BR"/>
        </w:rPr>
        <w:t>Implementação</w:t>
      </w:r>
      <w:proofErr w:type="gramEnd"/>
      <w:r w:rsidR="0009734F">
        <w:rPr>
          <w:sz w:val="22"/>
          <w:lang w:val="pt-BR"/>
        </w:rPr>
        <w:t xml:space="preserve"> do</w:t>
      </w:r>
      <w:r w:rsidR="001119C4" w:rsidRPr="00723ECA">
        <w:rPr>
          <w:sz w:val="22"/>
          <w:lang w:val="pt-BR"/>
        </w:rPr>
        <w:t xml:space="preserve"> monitoramento</w:t>
      </w:r>
      <w:r w:rsidR="008E7627">
        <w:rPr>
          <w:sz w:val="22"/>
          <w:lang w:val="pt-BR"/>
        </w:rPr>
        <w:tab/>
      </w:r>
      <w:r w:rsidR="008E7627">
        <w:rPr>
          <w:sz w:val="22"/>
          <w:lang w:val="pt-BR"/>
        </w:rPr>
        <w:tab/>
        <w:t>20</w:t>
      </w:r>
    </w:p>
    <w:p w:rsidR="00694DD8" w:rsidRPr="00723ECA" w:rsidRDefault="00215655" w:rsidP="00694DD8">
      <w:pPr>
        <w:tabs>
          <w:tab w:val="right" w:pos="850"/>
          <w:tab w:val="left" w:pos="1134"/>
          <w:tab w:val="left" w:pos="1559"/>
          <w:tab w:val="left" w:pos="1984"/>
          <w:tab w:val="left" w:leader="dot" w:pos="8931"/>
          <w:tab w:val="right" w:pos="9638"/>
        </w:tabs>
        <w:spacing w:after="120"/>
        <w:rPr>
          <w:sz w:val="22"/>
          <w:lang w:val="pt-BR"/>
        </w:rPr>
      </w:pPr>
      <w:r w:rsidRPr="00723ECA">
        <w:rPr>
          <w:sz w:val="22"/>
          <w:lang w:val="pt-BR"/>
        </w:rPr>
        <w:tab/>
      </w:r>
      <w:r w:rsidRPr="00723ECA">
        <w:rPr>
          <w:sz w:val="22"/>
          <w:lang w:val="pt-BR"/>
        </w:rPr>
        <w:tab/>
      </w:r>
      <w:r w:rsidRPr="00723ECA">
        <w:rPr>
          <w:sz w:val="22"/>
          <w:lang w:val="pt-BR"/>
        </w:rPr>
        <w:tab/>
        <w:t>1.</w:t>
      </w:r>
      <w:r w:rsidRPr="00723ECA">
        <w:rPr>
          <w:sz w:val="22"/>
          <w:lang w:val="pt-BR"/>
        </w:rPr>
        <w:tab/>
      </w:r>
      <w:r w:rsidR="001119C4" w:rsidRPr="00723ECA">
        <w:rPr>
          <w:sz w:val="22"/>
          <w:lang w:val="pt-BR"/>
        </w:rPr>
        <w:t>Prestadores de serviço formais</w:t>
      </w:r>
      <w:r w:rsidR="008E7627">
        <w:rPr>
          <w:sz w:val="22"/>
          <w:lang w:val="pt-BR"/>
        </w:rPr>
        <w:tab/>
      </w:r>
      <w:r w:rsidR="008E7627">
        <w:rPr>
          <w:sz w:val="22"/>
          <w:lang w:val="pt-BR"/>
        </w:rPr>
        <w:tab/>
      </w:r>
      <w:proofErr w:type="gramStart"/>
      <w:r w:rsidR="008E7627">
        <w:rPr>
          <w:sz w:val="22"/>
          <w:lang w:val="pt-BR"/>
        </w:rPr>
        <w:t>21</w:t>
      </w:r>
      <w:proofErr w:type="gramEnd"/>
    </w:p>
    <w:p w:rsidR="00694DD8" w:rsidRPr="00723ECA" w:rsidRDefault="00215655" w:rsidP="00694DD8">
      <w:pPr>
        <w:tabs>
          <w:tab w:val="right" w:pos="850"/>
          <w:tab w:val="left" w:pos="1134"/>
          <w:tab w:val="left" w:pos="1559"/>
          <w:tab w:val="left" w:pos="1984"/>
          <w:tab w:val="left" w:leader="dot" w:pos="8931"/>
          <w:tab w:val="right" w:pos="9638"/>
        </w:tabs>
        <w:spacing w:after="120"/>
        <w:rPr>
          <w:sz w:val="22"/>
          <w:lang w:val="pt-BR"/>
        </w:rPr>
      </w:pPr>
      <w:r w:rsidRPr="00723ECA">
        <w:rPr>
          <w:sz w:val="22"/>
          <w:lang w:val="pt-BR"/>
        </w:rPr>
        <w:tab/>
      </w:r>
      <w:r w:rsidRPr="00723ECA">
        <w:rPr>
          <w:sz w:val="22"/>
          <w:lang w:val="pt-BR"/>
        </w:rPr>
        <w:tab/>
      </w:r>
      <w:r w:rsidRPr="00723ECA">
        <w:rPr>
          <w:sz w:val="22"/>
          <w:lang w:val="pt-BR"/>
        </w:rPr>
        <w:tab/>
        <w:t>2.</w:t>
      </w:r>
      <w:r w:rsidRPr="00723ECA">
        <w:rPr>
          <w:sz w:val="22"/>
          <w:lang w:val="pt-BR"/>
        </w:rPr>
        <w:tab/>
      </w:r>
      <w:r w:rsidR="001119C4" w:rsidRPr="00723ECA">
        <w:rPr>
          <w:sz w:val="22"/>
          <w:lang w:val="pt-BR"/>
        </w:rPr>
        <w:t>Prestadores de serviço informais</w:t>
      </w:r>
      <w:r w:rsidR="008E7627">
        <w:rPr>
          <w:sz w:val="22"/>
          <w:lang w:val="pt-BR"/>
        </w:rPr>
        <w:tab/>
      </w:r>
      <w:r w:rsidR="008E7627">
        <w:rPr>
          <w:sz w:val="22"/>
          <w:lang w:val="pt-BR"/>
        </w:rPr>
        <w:tab/>
      </w:r>
      <w:proofErr w:type="gramStart"/>
      <w:r w:rsidR="008E7627">
        <w:rPr>
          <w:sz w:val="22"/>
          <w:lang w:val="pt-BR"/>
        </w:rPr>
        <w:t>22</w:t>
      </w:r>
      <w:proofErr w:type="gramEnd"/>
    </w:p>
    <w:p w:rsidR="00694DD8" w:rsidRPr="00723ECA" w:rsidRDefault="00215655" w:rsidP="00694DD8">
      <w:pPr>
        <w:tabs>
          <w:tab w:val="right" w:pos="850"/>
          <w:tab w:val="left" w:pos="1134"/>
          <w:tab w:val="left" w:pos="1559"/>
          <w:tab w:val="left" w:pos="1984"/>
          <w:tab w:val="left" w:leader="dot" w:pos="8931"/>
          <w:tab w:val="right" w:pos="9638"/>
        </w:tabs>
        <w:spacing w:after="120"/>
        <w:rPr>
          <w:sz w:val="22"/>
          <w:lang w:val="pt-BR"/>
        </w:rPr>
      </w:pPr>
      <w:r w:rsidRPr="00723ECA">
        <w:rPr>
          <w:sz w:val="22"/>
          <w:lang w:val="pt-BR"/>
        </w:rPr>
        <w:tab/>
      </w:r>
      <w:r w:rsidRPr="00723ECA">
        <w:rPr>
          <w:sz w:val="22"/>
          <w:lang w:val="pt-BR"/>
        </w:rPr>
        <w:tab/>
      </w:r>
      <w:r w:rsidRPr="00723ECA">
        <w:rPr>
          <w:sz w:val="22"/>
          <w:lang w:val="pt-BR"/>
        </w:rPr>
        <w:tab/>
        <w:t>3.</w:t>
      </w:r>
      <w:r w:rsidRPr="00723ECA">
        <w:rPr>
          <w:sz w:val="22"/>
          <w:lang w:val="pt-BR"/>
        </w:rPr>
        <w:tab/>
      </w:r>
      <w:r w:rsidR="0009734F">
        <w:rPr>
          <w:sz w:val="22"/>
          <w:lang w:val="pt-BR"/>
        </w:rPr>
        <w:t xml:space="preserve">Órgãos </w:t>
      </w:r>
      <w:r w:rsidR="00D60BD6" w:rsidRPr="00723ECA">
        <w:rPr>
          <w:sz w:val="22"/>
          <w:lang w:val="pt-BR"/>
        </w:rPr>
        <w:t>reguladores</w:t>
      </w:r>
      <w:r w:rsidR="008E7627">
        <w:rPr>
          <w:sz w:val="22"/>
          <w:lang w:val="pt-BR"/>
        </w:rPr>
        <w:tab/>
      </w:r>
      <w:r w:rsidR="008E7627">
        <w:rPr>
          <w:sz w:val="22"/>
          <w:lang w:val="pt-BR"/>
        </w:rPr>
        <w:tab/>
        <w:t>24</w:t>
      </w:r>
    </w:p>
    <w:p w:rsidR="00694DD8" w:rsidRPr="00723ECA" w:rsidRDefault="00215655" w:rsidP="00694DD8">
      <w:pPr>
        <w:tabs>
          <w:tab w:val="right" w:pos="850"/>
          <w:tab w:val="left" w:pos="1134"/>
          <w:tab w:val="left" w:pos="1559"/>
          <w:tab w:val="left" w:pos="1984"/>
          <w:tab w:val="left" w:leader="dot" w:pos="8931"/>
          <w:tab w:val="right" w:pos="9638"/>
        </w:tabs>
        <w:spacing w:after="120"/>
        <w:rPr>
          <w:sz w:val="22"/>
          <w:lang w:val="pt-BR"/>
        </w:rPr>
      </w:pPr>
      <w:r w:rsidRPr="00723ECA">
        <w:rPr>
          <w:sz w:val="22"/>
          <w:lang w:val="pt-BR"/>
        </w:rPr>
        <w:tab/>
      </w:r>
      <w:r w:rsidRPr="00723ECA">
        <w:rPr>
          <w:sz w:val="22"/>
          <w:lang w:val="pt-BR"/>
        </w:rPr>
        <w:tab/>
        <w:t>C.</w:t>
      </w:r>
      <w:r w:rsidRPr="00723ECA">
        <w:rPr>
          <w:sz w:val="22"/>
          <w:lang w:val="pt-BR"/>
        </w:rPr>
        <w:tab/>
      </w:r>
      <w:r w:rsidR="00D60BD6" w:rsidRPr="00723ECA">
        <w:rPr>
          <w:sz w:val="22"/>
          <w:lang w:val="pt-BR"/>
        </w:rPr>
        <w:t xml:space="preserve">Garantia da </w:t>
      </w:r>
      <w:r w:rsidR="009D6ACE" w:rsidRPr="00723ECA">
        <w:rPr>
          <w:sz w:val="22"/>
          <w:lang w:val="pt-BR"/>
        </w:rPr>
        <w:t>responsabilização</w:t>
      </w:r>
      <w:r w:rsidR="008E7627">
        <w:rPr>
          <w:sz w:val="22"/>
          <w:lang w:val="pt-BR"/>
        </w:rPr>
        <w:tab/>
      </w:r>
      <w:r w:rsidR="008E7627">
        <w:rPr>
          <w:sz w:val="22"/>
          <w:lang w:val="pt-BR"/>
        </w:rPr>
        <w:tab/>
        <w:t>25</w:t>
      </w:r>
    </w:p>
    <w:p w:rsidR="0011182D" w:rsidRPr="00723ECA" w:rsidRDefault="00215655" w:rsidP="00E512AD">
      <w:pPr>
        <w:tabs>
          <w:tab w:val="right" w:pos="850"/>
          <w:tab w:val="left" w:pos="1134"/>
          <w:tab w:val="left" w:pos="1559"/>
          <w:tab w:val="left" w:pos="1984"/>
          <w:tab w:val="left" w:leader="dot" w:pos="8931"/>
          <w:tab w:val="right" w:pos="9638"/>
        </w:tabs>
        <w:spacing w:after="120"/>
        <w:rPr>
          <w:sz w:val="22"/>
          <w:lang w:val="en-US"/>
        </w:rPr>
      </w:pPr>
      <w:r w:rsidRPr="00723ECA">
        <w:rPr>
          <w:sz w:val="22"/>
          <w:lang w:val="pt-BR"/>
        </w:rPr>
        <w:tab/>
      </w:r>
      <w:r w:rsidRPr="00723ECA">
        <w:rPr>
          <w:sz w:val="22"/>
          <w:lang w:val="en-US"/>
        </w:rPr>
        <w:t>V.</w:t>
      </w:r>
      <w:r w:rsidRPr="00723ECA">
        <w:rPr>
          <w:sz w:val="22"/>
          <w:lang w:val="en-US"/>
        </w:rPr>
        <w:tab/>
      </w:r>
      <w:proofErr w:type="spellStart"/>
      <w:r w:rsidR="00D60BD6" w:rsidRPr="00723ECA">
        <w:rPr>
          <w:sz w:val="22"/>
          <w:lang w:val="en-US"/>
        </w:rPr>
        <w:t>Conclusões</w:t>
      </w:r>
      <w:proofErr w:type="spellEnd"/>
      <w:r w:rsidR="00D60BD6" w:rsidRPr="00723ECA">
        <w:rPr>
          <w:sz w:val="22"/>
          <w:lang w:val="en-US"/>
        </w:rPr>
        <w:t xml:space="preserve"> e </w:t>
      </w:r>
      <w:proofErr w:type="spellStart"/>
      <w:r w:rsidR="00D60BD6" w:rsidRPr="00723ECA">
        <w:rPr>
          <w:sz w:val="22"/>
          <w:lang w:val="en-US"/>
        </w:rPr>
        <w:t>recomendações</w:t>
      </w:r>
      <w:proofErr w:type="spellEnd"/>
      <w:r w:rsidR="008E7627">
        <w:rPr>
          <w:sz w:val="22"/>
          <w:lang w:val="en-US"/>
        </w:rPr>
        <w:tab/>
      </w:r>
      <w:r w:rsidR="008E7627">
        <w:rPr>
          <w:sz w:val="22"/>
          <w:lang w:val="en-US"/>
        </w:rPr>
        <w:tab/>
        <w:t>26</w:t>
      </w:r>
    </w:p>
    <w:p w:rsidR="00A511C7" w:rsidRPr="00723ECA" w:rsidRDefault="0011182D" w:rsidP="00B756E4">
      <w:pPr>
        <w:pStyle w:val="HChG"/>
        <w:numPr>
          <w:ilvl w:val="0"/>
          <w:numId w:val="8"/>
        </w:numPr>
        <w:ind w:left="1134" w:hanging="425"/>
        <w:rPr>
          <w:sz w:val="32"/>
          <w:lang w:val="en-US"/>
        </w:rPr>
      </w:pPr>
      <w:r w:rsidRPr="00723ECA">
        <w:rPr>
          <w:sz w:val="32"/>
          <w:lang w:val="en-US"/>
        </w:rPr>
        <w:lastRenderedPageBreak/>
        <w:tab/>
      </w:r>
      <w:proofErr w:type="spellStart"/>
      <w:r w:rsidR="00A511C7" w:rsidRPr="00723ECA">
        <w:rPr>
          <w:sz w:val="32"/>
          <w:lang w:val="en-US"/>
        </w:rPr>
        <w:t>Introdução</w:t>
      </w:r>
      <w:proofErr w:type="spellEnd"/>
    </w:p>
    <w:p w:rsidR="00A511C7" w:rsidRPr="00723ECA" w:rsidRDefault="00A511C7" w:rsidP="00B756E4">
      <w:pPr>
        <w:spacing w:after="120"/>
        <w:ind w:left="1134" w:right="1134"/>
        <w:jc w:val="both"/>
        <w:rPr>
          <w:sz w:val="22"/>
          <w:lang w:val="pt-BR"/>
        </w:rPr>
      </w:pPr>
      <w:r w:rsidRPr="00723ECA">
        <w:rPr>
          <w:sz w:val="22"/>
          <w:lang w:val="pt-BR"/>
        </w:rPr>
        <w:t xml:space="preserve">1. </w:t>
      </w:r>
      <w:r w:rsidR="00C33942" w:rsidRPr="00723ECA">
        <w:rPr>
          <w:sz w:val="22"/>
          <w:lang w:val="pt-BR"/>
        </w:rPr>
        <w:t xml:space="preserve">Nos termos das </w:t>
      </w:r>
      <w:r w:rsidRPr="00723ECA">
        <w:rPr>
          <w:sz w:val="22"/>
          <w:lang w:val="pt-BR"/>
        </w:rPr>
        <w:t>resoluções nº 27/7</w:t>
      </w:r>
      <w:r w:rsidR="00C33942" w:rsidRPr="00723ECA">
        <w:rPr>
          <w:sz w:val="22"/>
          <w:lang w:val="pt-BR"/>
        </w:rPr>
        <w:t>,</w:t>
      </w:r>
      <w:r w:rsidRPr="00723ECA">
        <w:rPr>
          <w:sz w:val="22"/>
          <w:lang w:val="pt-BR"/>
        </w:rPr>
        <w:t xml:space="preserve"> de 2014</w:t>
      </w:r>
      <w:r w:rsidR="00886302">
        <w:rPr>
          <w:sz w:val="22"/>
          <w:lang w:val="pt-BR"/>
        </w:rPr>
        <w:t>,</w:t>
      </w:r>
      <w:r w:rsidRPr="00723ECA">
        <w:rPr>
          <w:sz w:val="22"/>
          <w:lang w:val="pt-BR"/>
        </w:rPr>
        <w:t xml:space="preserve"> e nº 33/10</w:t>
      </w:r>
      <w:r w:rsidR="00C33942" w:rsidRPr="00723ECA">
        <w:rPr>
          <w:sz w:val="22"/>
          <w:lang w:val="pt-BR"/>
        </w:rPr>
        <w:t>,</w:t>
      </w:r>
      <w:r w:rsidRPr="00723ECA">
        <w:rPr>
          <w:sz w:val="22"/>
          <w:lang w:val="pt-BR"/>
        </w:rPr>
        <w:t xml:space="preserve"> de 2016</w:t>
      </w:r>
      <w:r w:rsidR="00886302">
        <w:rPr>
          <w:sz w:val="22"/>
          <w:lang w:val="pt-BR"/>
        </w:rPr>
        <w:t>,</w:t>
      </w:r>
      <w:r w:rsidR="00C33942" w:rsidRPr="00723ECA">
        <w:rPr>
          <w:sz w:val="22"/>
          <w:lang w:val="pt-BR"/>
        </w:rPr>
        <w:t xml:space="preserve"> do Conselho de Direitos Humanos</w:t>
      </w:r>
      <w:r w:rsidRPr="00723ECA">
        <w:rPr>
          <w:sz w:val="22"/>
          <w:lang w:val="pt-BR"/>
        </w:rPr>
        <w:t xml:space="preserve">, o Relator Especial sobre os direitos humanos à água potável e ao esgotamento sanitário, Léo Heller, recebeu o mandato de identificar desafios e obstáculos </w:t>
      </w:r>
      <w:proofErr w:type="gramStart"/>
      <w:r w:rsidRPr="00723ECA">
        <w:rPr>
          <w:sz w:val="22"/>
          <w:lang w:val="pt-BR"/>
        </w:rPr>
        <w:t>para a plena efetivação desses direitos, bem como lacunas de proteção, boas</w:t>
      </w:r>
      <w:proofErr w:type="gramEnd"/>
      <w:r w:rsidRPr="00723ECA">
        <w:rPr>
          <w:sz w:val="22"/>
          <w:lang w:val="pt-BR"/>
        </w:rPr>
        <w:t xml:space="preserve"> práticas e fatores </w:t>
      </w:r>
      <w:r w:rsidR="00E4021F" w:rsidRPr="00723ECA">
        <w:rPr>
          <w:sz w:val="22"/>
          <w:lang w:val="pt-BR"/>
        </w:rPr>
        <w:t>indutores</w:t>
      </w:r>
      <w:r w:rsidRPr="00723ECA">
        <w:rPr>
          <w:sz w:val="22"/>
          <w:lang w:val="pt-BR"/>
        </w:rPr>
        <w:t xml:space="preserve">. O tema do presente relatório é a regulação dos serviços de abastecimento de água e esgotamento sanitário no contexto da </w:t>
      </w:r>
      <w:r w:rsidR="00C33942" w:rsidRPr="00723ECA">
        <w:rPr>
          <w:sz w:val="22"/>
          <w:lang w:val="pt-BR"/>
        </w:rPr>
        <w:t xml:space="preserve">realização </w:t>
      </w:r>
      <w:r w:rsidRPr="00723ECA">
        <w:rPr>
          <w:sz w:val="22"/>
          <w:lang w:val="pt-BR"/>
        </w:rPr>
        <w:t xml:space="preserve">dos direitos humanos e o relatório pretende discutir o papel essencial que os marcos regulatórios </w:t>
      </w:r>
      <w:proofErr w:type="gramStart"/>
      <w:r w:rsidRPr="00723ECA">
        <w:rPr>
          <w:sz w:val="22"/>
          <w:lang w:val="pt-BR"/>
        </w:rPr>
        <w:t>podem</w:t>
      </w:r>
      <w:proofErr w:type="gramEnd"/>
      <w:r w:rsidRPr="00723ECA">
        <w:rPr>
          <w:sz w:val="22"/>
          <w:lang w:val="pt-BR"/>
        </w:rPr>
        <w:t xml:space="preserve"> desempenhar na implementação desses direitos humanos a nível nacional. A esse respeito, o relatório aponta as obrigações e responsabilidades legais dos Estados, </w:t>
      </w:r>
      <w:r w:rsidR="002533F0">
        <w:rPr>
          <w:sz w:val="22"/>
          <w:lang w:val="pt-BR"/>
        </w:rPr>
        <w:t>agentes</w:t>
      </w:r>
      <w:r w:rsidRPr="00723ECA">
        <w:rPr>
          <w:sz w:val="22"/>
          <w:lang w:val="pt-BR"/>
        </w:rPr>
        <w:t xml:space="preserve"> regulatórios e prestadores de serviços na efetivação progressiva dos direitos humanos à água potável e ao esgotamento sanitário através dos arcabouços regulatórios.</w:t>
      </w:r>
    </w:p>
    <w:p w:rsidR="00A511C7" w:rsidRPr="00723ECA" w:rsidRDefault="00A511C7" w:rsidP="00B756E4">
      <w:pPr>
        <w:pStyle w:val="Normali"/>
        <w:numPr>
          <w:ilvl w:val="0"/>
          <w:numId w:val="0"/>
        </w:numPr>
        <w:ind w:left="1134"/>
        <w:rPr>
          <w:sz w:val="22"/>
          <w:lang w:val="pt-BR"/>
        </w:rPr>
      </w:pPr>
      <w:r w:rsidRPr="00723ECA">
        <w:rPr>
          <w:sz w:val="22"/>
          <w:lang w:val="pt-BR"/>
        </w:rPr>
        <w:t xml:space="preserve">2. Como parte do processo de consulta, o Relator Especial convidou </w:t>
      </w:r>
      <w:proofErr w:type="gramStart"/>
      <w:r w:rsidRPr="00723ECA">
        <w:rPr>
          <w:sz w:val="22"/>
          <w:lang w:val="pt-BR"/>
        </w:rPr>
        <w:t>Estados</w:t>
      </w:r>
      <w:proofErr w:type="gramEnd"/>
      <w:r w:rsidRPr="00723ECA">
        <w:rPr>
          <w:sz w:val="22"/>
          <w:lang w:val="pt-BR"/>
        </w:rPr>
        <w:t xml:space="preserve"> e atores não estatais a contribuir por escrito com seus pontos de vista e perspectivas, por meio de um questionário. Foi recebido um total de 43 submissões</w:t>
      </w:r>
      <w:r w:rsidRPr="00723ECA">
        <w:rPr>
          <w:rStyle w:val="FootnoteReference"/>
          <w:sz w:val="20"/>
          <w:lang w:val="pt-BR"/>
        </w:rPr>
        <w:footnoteReference w:id="3"/>
      </w:r>
      <w:r w:rsidRPr="00723ECA">
        <w:rPr>
          <w:sz w:val="22"/>
          <w:lang w:val="pt-BR"/>
        </w:rPr>
        <w:t xml:space="preserve">. Dezoito </w:t>
      </w:r>
      <w:r w:rsidR="00AB4F61" w:rsidRPr="00723ECA">
        <w:rPr>
          <w:sz w:val="22"/>
          <w:lang w:val="pt-BR"/>
        </w:rPr>
        <w:t xml:space="preserve">submissões </w:t>
      </w:r>
      <w:r w:rsidRPr="00723ECA">
        <w:rPr>
          <w:sz w:val="22"/>
          <w:lang w:val="pt-BR"/>
        </w:rPr>
        <w:t>foram recebidas dos Estados e 25 de atores não estatais, incluindo organizações da sociedade civil, prestadores de serviços privados, universidades e organizações internacionais. Além disso, para coletar as opiniões de outras partes interessadas</w:t>
      </w:r>
      <w:r w:rsidR="00E4021F" w:rsidRPr="00723ECA">
        <w:rPr>
          <w:rStyle w:val="FootnoteReference"/>
          <w:sz w:val="20"/>
          <w:lang w:val="pt-BR"/>
        </w:rPr>
        <w:footnoteReference w:id="4"/>
      </w:r>
      <w:r w:rsidRPr="00723ECA">
        <w:rPr>
          <w:sz w:val="22"/>
          <w:lang w:val="pt-BR"/>
        </w:rPr>
        <w:t xml:space="preserve">, o Relator Especial convocou uma consulta com especialistas que </w:t>
      </w:r>
      <w:r w:rsidR="00AB4F61" w:rsidRPr="00723ECA">
        <w:rPr>
          <w:sz w:val="22"/>
          <w:lang w:val="pt-BR"/>
        </w:rPr>
        <w:t xml:space="preserve">teve lugar no Rio de Janeiro, Brasil, </w:t>
      </w:r>
      <w:r w:rsidRPr="00723ECA">
        <w:rPr>
          <w:sz w:val="22"/>
          <w:lang w:val="pt-BR"/>
        </w:rPr>
        <w:t>nos dias 22 e 23 de maio de 2017.</w:t>
      </w:r>
    </w:p>
    <w:p w:rsidR="00A511C7" w:rsidRPr="00723ECA" w:rsidRDefault="00A511C7" w:rsidP="00B756E4">
      <w:pPr>
        <w:pStyle w:val="Normali"/>
        <w:numPr>
          <w:ilvl w:val="0"/>
          <w:numId w:val="0"/>
        </w:numPr>
        <w:ind w:left="1134"/>
        <w:rPr>
          <w:sz w:val="22"/>
          <w:lang w:val="pt-BR"/>
        </w:rPr>
      </w:pPr>
      <w:r w:rsidRPr="00723ECA">
        <w:rPr>
          <w:sz w:val="22"/>
          <w:lang w:val="pt-BR"/>
        </w:rPr>
        <w:t xml:space="preserve">3. A incorporação dos direitos humanos à água e ao esgotamento </w:t>
      </w:r>
      <w:proofErr w:type="gramStart"/>
      <w:r w:rsidRPr="00723ECA">
        <w:rPr>
          <w:sz w:val="22"/>
          <w:lang w:val="pt-BR"/>
        </w:rPr>
        <w:t xml:space="preserve">sanitário nos </w:t>
      </w:r>
      <w:r w:rsidR="00AB4F61" w:rsidRPr="00723ECA">
        <w:rPr>
          <w:sz w:val="22"/>
          <w:lang w:val="pt-BR"/>
        </w:rPr>
        <w:t xml:space="preserve">marcos </w:t>
      </w:r>
      <w:r w:rsidRPr="00723ECA">
        <w:rPr>
          <w:sz w:val="22"/>
          <w:lang w:val="pt-BR"/>
        </w:rPr>
        <w:t>legais nacionais</w:t>
      </w:r>
      <w:proofErr w:type="gramEnd"/>
      <w:r w:rsidRPr="00723ECA">
        <w:rPr>
          <w:sz w:val="22"/>
          <w:lang w:val="pt-BR"/>
        </w:rPr>
        <w:t xml:space="preserve"> pode ser feita em diferentes níveis e com o uso de diferentes instrumentos, incluindo a constituição, legislação, políticas e </w:t>
      </w:r>
      <w:r w:rsidR="00E4021F" w:rsidRPr="00723ECA">
        <w:rPr>
          <w:sz w:val="22"/>
          <w:lang w:val="pt-BR"/>
        </w:rPr>
        <w:t>outras normas</w:t>
      </w:r>
      <w:r w:rsidRPr="00723ECA">
        <w:rPr>
          <w:sz w:val="22"/>
          <w:lang w:val="pt-BR"/>
        </w:rPr>
        <w:t>. Os Estados têm uma obrigação imed</w:t>
      </w:r>
      <w:r w:rsidR="00AB4F61" w:rsidRPr="00723ECA">
        <w:rPr>
          <w:sz w:val="22"/>
          <w:lang w:val="pt-BR"/>
        </w:rPr>
        <w:t>iata e juridicamente vinculante</w:t>
      </w:r>
      <w:r w:rsidRPr="00723ECA">
        <w:rPr>
          <w:sz w:val="22"/>
          <w:lang w:val="pt-BR"/>
        </w:rPr>
        <w:t xml:space="preserve"> de tomar medidas deliberadas, concretas e direcionadas, com o máximo de seus recursos disponíveis, para alcançar progressivamente a plena efetivação desses direitos humanos (ver artigo 2º do Pacto Internacional sobre os Direitos Econômicos, Sociais e Culturais</w:t>
      </w:r>
      <w:r w:rsidRPr="00723ECA">
        <w:rPr>
          <w:sz w:val="22"/>
          <w:vertAlign w:val="superscript"/>
        </w:rPr>
        <w:footnoteReference w:id="5"/>
      </w:r>
      <w:r w:rsidRPr="00723ECA">
        <w:rPr>
          <w:sz w:val="22"/>
          <w:lang w:val="pt-BR"/>
        </w:rPr>
        <w:t xml:space="preserve">). Isso inclui a obrigação de adotar medidas legislativas, tal como estipulado explicitamente no Pacto, e a obrigação de avançar no </w:t>
      </w:r>
      <w:proofErr w:type="gramStart"/>
      <w:r w:rsidRPr="00723ECA">
        <w:rPr>
          <w:sz w:val="22"/>
          <w:lang w:val="pt-BR"/>
        </w:rPr>
        <w:t xml:space="preserve">estabelecimento de </w:t>
      </w:r>
      <w:r w:rsidR="00AB4F61" w:rsidRPr="00723ECA">
        <w:rPr>
          <w:sz w:val="22"/>
          <w:lang w:val="pt-BR"/>
        </w:rPr>
        <w:t xml:space="preserve">marcos </w:t>
      </w:r>
      <w:r w:rsidRPr="00723ECA">
        <w:rPr>
          <w:sz w:val="22"/>
          <w:lang w:val="pt-BR"/>
        </w:rPr>
        <w:t>regulatórios baseados nas normas e princípios desses direitos</w:t>
      </w:r>
      <w:proofErr w:type="gramEnd"/>
      <w:r w:rsidRPr="00723ECA">
        <w:rPr>
          <w:sz w:val="22"/>
          <w:lang w:val="pt-BR"/>
        </w:rPr>
        <w:t>.</w:t>
      </w:r>
    </w:p>
    <w:p w:rsidR="00A511C7" w:rsidRPr="00723ECA" w:rsidRDefault="00AB4F61" w:rsidP="00B756E4">
      <w:pPr>
        <w:pStyle w:val="Normali"/>
        <w:numPr>
          <w:ilvl w:val="0"/>
          <w:numId w:val="0"/>
        </w:numPr>
        <w:ind w:left="1134"/>
        <w:rPr>
          <w:sz w:val="22"/>
          <w:lang w:val="pt-BR"/>
        </w:rPr>
      </w:pPr>
      <w:r w:rsidRPr="00723ECA">
        <w:rPr>
          <w:sz w:val="22"/>
          <w:lang w:val="pt-BR"/>
        </w:rPr>
        <w:t>4. Quando os termos “</w:t>
      </w:r>
      <w:r w:rsidR="00A511C7" w:rsidRPr="00723ECA">
        <w:rPr>
          <w:sz w:val="22"/>
          <w:lang w:val="pt-BR"/>
        </w:rPr>
        <w:t xml:space="preserve">arcabouço </w:t>
      </w:r>
      <w:r w:rsidRPr="00723ECA">
        <w:rPr>
          <w:sz w:val="22"/>
          <w:lang w:val="pt-BR"/>
        </w:rPr>
        <w:t>regulatório”</w:t>
      </w:r>
      <w:r w:rsidR="00A511C7" w:rsidRPr="00723ECA">
        <w:rPr>
          <w:sz w:val="22"/>
          <w:lang w:val="pt-BR"/>
        </w:rPr>
        <w:t>, “m</w:t>
      </w:r>
      <w:r w:rsidR="002533F0">
        <w:rPr>
          <w:sz w:val="22"/>
          <w:lang w:val="pt-BR"/>
        </w:rPr>
        <w:t>arco regulatório” ou “regulação”</w:t>
      </w:r>
      <w:r w:rsidR="00A511C7" w:rsidRPr="00723ECA">
        <w:rPr>
          <w:sz w:val="22"/>
          <w:lang w:val="pt-BR"/>
        </w:rPr>
        <w:t xml:space="preserve"> (em geral) são utilizados no relatório, eles se referem à legislação secundária, como normas, regras ou padrões que estabelecem como os serviços devem ser </w:t>
      </w:r>
      <w:r w:rsidRPr="00723ECA">
        <w:rPr>
          <w:sz w:val="22"/>
          <w:lang w:val="pt-BR"/>
        </w:rPr>
        <w:t xml:space="preserve">prestados </w:t>
      </w:r>
      <w:r w:rsidR="00A511C7" w:rsidRPr="00723ECA">
        <w:rPr>
          <w:sz w:val="22"/>
          <w:lang w:val="pt-BR"/>
        </w:rPr>
        <w:t>em um determinado contexto e as instituições responsáveis pelo monitoramento do cumprimento dessas normas e padrões</w:t>
      </w:r>
      <w:r w:rsidRPr="00723ECA">
        <w:rPr>
          <w:sz w:val="22"/>
          <w:lang w:val="pt-BR"/>
        </w:rPr>
        <w:t>. Os termos “órgão regulador”, “</w:t>
      </w:r>
      <w:r w:rsidR="00A511C7" w:rsidRPr="00723ECA">
        <w:rPr>
          <w:sz w:val="22"/>
          <w:lang w:val="pt-BR"/>
        </w:rPr>
        <w:t xml:space="preserve">entidade reguladora”, </w:t>
      </w:r>
      <w:r w:rsidRPr="00723ECA">
        <w:rPr>
          <w:sz w:val="22"/>
          <w:lang w:val="pt-BR"/>
        </w:rPr>
        <w:t>“autoridade reguladora” ou “regulador”</w:t>
      </w:r>
      <w:r w:rsidR="00886302">
        <w:rPr>
          <w:sz w:val="22"/>
          <w:lang w:val="pt-BR"/>
        </w:rPr>
        <w:t xml:space="preserve"> </w:t>
      </w:r>
      <w:r w:rsidR="00A511C7" w:rsidRPr="00723ECA">
        <w:rPr>
          <w:sz w:val="22"/>
          <w:lang w:val="pt-BR"/>
        </w:rPr>
        <w:t>referem</w:t>
      </w:r>
      <w:r w:rsidR="00886302">
        <w:rPr>
          <w:sz w:val="22"/>
          <w:lang w:val="pt-BR"/>
        </w:rPr>
        <w:t>-se</w:t>
      </w:r>
      <w:r w:rsidR="00A511C7" w:rsidRPr="00723ECA">
        <w:rPr>
          <w:sz w:val="22"/>
          <w:lang w:val="pt-BR"/>
        </w:rPr>
        <w:t xml:space="preserve"> a um órgão </w:t>
      </w:r>
      <w:r w:rsidR="00A511C7" w:rsidRPr="00A57A2C">
        <w:rPr>
          <w:sz w:val="22"/>
          <w:lang w:val="pt-BR"/>
        </w:rPr>
        <w:t>independente</w:t>
      </w:r>
      <w:r w:rsidR="002533F0">
        <w:rPr>
          <w:sz w:val="22"/>
          <w:lang w:val="pt-BR"/>
        </w:rPr>
        <w:t xml:space="preserve"> </w:t>
      </w:r>
      <w:r w:rsidR="00A511C7" w:rsidRPr="00723ECA">
        <w:rPr>
          <w:sz w:val="22"/>
          <w:lang w:val="pt-BR"/>
        </w:rPr>
        <w:t xml:space="preserve">ao qual o Estado delega </w:t>
      </w:r>
      <w:r w:rsidR="00A511C7" w:rsidRPr="00723ECA">
        <w:rPr>
          <w:sz w:val="22"/>
          <w:lang w:val="pt-BR"/>
        </w:rPr>
        <w:lastRenderedPageBreak/>
        <w:t xml:space="preserve">funções regulatórias. Esses órgãos são frequentemente responsáveis por estabelecer padrões, aplicá-los e garantir seu cumprimento. O termo </w:t>
      </w:r>
      <w:r w:rsidRPr="00723ECA">
        <w:rPr>
          <w:sz w:val="22"/>
          <w:lang w:val="pt-BR"/>
        </w:rPr>
        <w:t>“</w:t>
      </w:r>
      <w:r w:rsidR="002533F0">
        <w:rPr>
          <w:sz w:val="22"/>
          <w:lang w:val="pt-BR"/>
        </w:rPr>
        <w:t xml:space="preserve">agentes </w:t>
      </w:r>
      <w:r w:rsidR="00A511C7" w:rsidRPr="00723ECA">
        <w:rPr>
          <w:sz w:val="22"/>
          <w:lang w:val="pt-BR"/>
        </w:rPr>
        <w:t>regulatórios</w:t>
      </w:r>
      <w:r w:rsidRPr="00723ECA">
        <w:rPr>
          <w:sz w:val="22"/>
          <w:lang w:val="pt-BR"/>
        </w:rPr>
        <w:t>”</w:t>
      </w:r>
      <w:r w:rsidR="00A511C7" w:rsidRPr="00723ECA">
        <w:rPr>
          <w:sz w:val="22"/>
          <w:lang w:val="pt-BR"/>
        </w:rPr>
        <w:t xml:space="preserve"> é usado em um sentido amplo e inclui instituições governamentais que exercem funções regulatórias (i.e. um departamento dentro de um ministério) e órgãos separados criados pelo Estado para desempenhar funções regulatórias.</w:t>
      </w:r>
    </w:p>
    <w:p w:rsidR="00A511C7" w:rsidRPr="00723ECA" w:rsidRDefault="00A511C7" w:rsidP="00B756E4">
      <w:pPr>
        <w:pStyle w:val="Normali"/>
        <w:numPr>
          <w:ilvl w:val="0"/>
          <w:numId w:val="0"/>
        </w:numPr>
        <w:spacing w:after="240"/>
        <w:ind w:left="1134"/>
        <w:rPr>
          <w:sz w:val="22"/>
          <w:lang w:val="pt-BR"/>
        </w:rPr>
      </w:pPr>
      <w:r w:rsidRPr="00723ECA">
        <w:rPr>
          <w:sz w:val="22"/>
          <w:lang w:val="pt-BR"/>
        </w:rPr>
        <w:t xml:space="preserve">5. O número de Estados com um marco regulatório para os serviços de água e esgotamento sanitário está aumentando e o contingente de </w:t>
      </w:r>
      <w:r w:rsidR="002533F0">
        <w:rPr>
          <w:sz w:val="22"/>
          <w:lang w:val="pt-BR"/>
        </w:rPr>
        <w:t>agentes regulatórios</w:t>
      </w:r>
      <w:r w:rsidRPr="00723ECA">
        <w:rPr>
          <w:sz w:val="22"/>
          <w:lang w:val="pt-BR"/>
        </w:rPr>
        <w:t xml:space="preserve"> também. No entanto, não existe um modelo regulatório universal. A regulação deve ser adaptada às circunstâncias, necessidades e desafios locais. A legislação internacional sobre os direitos humanos não indica a escolha de um arcabouço regulatório em particular. O que é essencial</w:t>
      </w:r>
      <w:r w:rsidR="00053CE2" w:rsidRPr="00723ECA">
        <w:rPr>
          <w:sz w:val="22"/>
          <w:lang w:val="pt-BR"/>
        </w:rPr>
        <w:t xml:space="preserve"> </w:t>
      </w:r>
      <w:r w:rsidRPr="00723ECA">
        <w:rPr>
          <w:sz w:val="22"/>
          <w:lang w:val="pt-BR"/>
        </w:rPr>
        <w:t>do ponto de vista dos direitos humanos é que aqueles que desempenham funções regulatórias sejam imunes a pressões de quaisquer interesses ilegítimos e que os principais objetivos da regulação sejam alinhados com os direitos humanos à água potável e ao esgotamento sanitário.</w:t>
      </w:r>
    </w:p>
    <w:p w:rsidR="00A511C7" w:rsidRPr="00723ECA" w:rsidRDefault="00A511C7" w:rsidP="00B756E4">
      <w:pPr>
        <w:pStyle w:val="HChG"/>
        <w:numPr>
          <w:ilvl w:val="0"/>
          <w:numId w:val="8"/>
        </w:numPr>
        <w:ind w:left="1134" w:hanging="425"/>
        <w:rPr>
          <w:sz w:val="32"/>
          <w:lang w:val="pt-BR"/>
        </w:rPr>
      </w:pPr>
      <w:r w:rsidRPr="00723ECA">
        <w:rPr>
          <w:sz w:val="32"/>
          <w:lang w:val="pt-BR"/>
        </w:rPr>
        <w:t>Obrigações e responsabilidades no âmbito dos direitos humanos</w:t>
      </w:r>
    </w:p>
    <w:p w:rsidR="00A511C7" w:rsidRPr="00723ECA" w:rsidRDefault="00A511C7" w:rsidP="00B756E4">
      <w:pPr>
        <w:pStyle w:val="H1G"/>
        <w:numPr>
          <w:ilvl w:val="0"/>
          <w:numId w:val="5"/>
        </w:numPr>
        <w:ind w:left="851" w:hanging="142"/>
        <w:rPr>
          <w:sz w:val="28"/>
          <w:lang w:val="pt-BR"/>
        </w:rPr>
      </w:pPr>
      <w:r w:rsidRPr="00723ECA">
        <w:rPr>
          <w:sz w:val="28"/>
          <w:lang w:val="pt-BR"/>
        </w:rPr>
        <w:t>Obrigações dos Estados</w:t>
      </w:r>
    </w:p>
    <w:p w:rsidR="00A511C7" w:rsidRPr="00723ECA" w:rsidRDefault="00A511C7" w:rsidP="00A546BB">
      <w:pPr>
        <w:spacing w:after="120"/>
        <w:ind w:left="1134" w:right="1134"/>
        <w:jc w:val="both"/>
        <w:rPr>
          <w:sz w:val="22"/>
          <w:lang w:val="pt-BR"/>
        </w:rPr>
      </w:pPr>
      <w:r w:rsidRPr="00723ECA">
        <w:rPr>
          <w:sz w:val="22"/>
          <w:lang w:val="pt-BR"/>
        </w:rPr>
        <w:t xml:space="preserve">6. O Estado é o principal responsável pela efetivação dos direitos humanos à água e ao </w:t>
      </w:r>
      <w:r w:rsidR="00053CE2" w:rsidRPr="00723ECA">
        <w:rPr>
          <w:sz w:val="22"/>
          <w:lang w:val="pt-BR"/>
        </w:rPr>
        <w:t>esgotamento sanitário</w:t>
      </w:r>
      <w:r w:rsidRPr="00723ECA">
        <w:rPr>
          <w:sz w:val="22"/>
          <w:lang w:val="pt-BR"/>
        </w:rPr>
        <w:t xml:space="preserve">. Embora o Pacto Internacional dos Direitos Econômicos, Sociais e Culturais, no artigo 2º, preveja a efetivação progressiva e reconheça as restrições relacionadas à limitação de recursos disponíveis, ele também impõe aos Estados diversas obrigações de efeito imediato. No contexto de regulação dos serviços, as obrigações previstas no artigo 2º incluem: (a) a obrigação de tomar medidas deliberadas, concretas e direcionadas para </w:t>
      </w:r>
      <w:proofErr w:type="gramStart"/>
      <w:r w:rsidRPr="00723ECA">
        <w:rPr>
          <w:sz w:val="22"/>
          <w:lang w:val="pt-BR"/>
        </w:rPr>
        <w:t>implementar</w:t>
      </w:r>
      <w:proofErr w:type="gramEnd"/>
      <w:r w:rsidRPr="00723ECA">
        <w:rPr>
          <w:sz w:val="22"/>
          <w:lang w:val="pt-BR"/>
        </w:rPr>
        <w:t xml:space="preserve"> um arcabouço regulatório para a prestação de serviços de água e esgotamento sanitário alinhados aos direitos humanos; e (b) a obrigação de garantir que as </w:t>
      </w:r>
      <w:r w:rsidR="00726C93" w:rsidRPr="00723ECA">
        <w:rPr>
          <w:sz w:val="22"/>
          <w:lang w:val="pt-BR"/>
        </w:rPr>
        <w:t>normas estabelecida</w:t>
      </w:r>
      <w:r w:rsidRPr="00723ECA">
        <w:rPr>
          <w:sz w:val="22"/>
          <w:lang w:val="pt-BR"/>
        </w:rPr>
        <w:t>s e as atividades daqueles que exercem funções regulatórias contribuam para o gozo dos direitos humanos à água e ao esgotamento sanitário sem qualquer tipo de discriminação. Por exemplo, o exercício dos direitos humanos à água e ao esgotamento sanitário não deve ser condicionado ou determinado pelo local de residência de uma pessoa (p.ex. se uma pessoa vive ou está registrada em uma área urbana ou rural, ou em um assentamento formal ou informal</w:t>
      </w:r>
      <w:proofErr w:type="gramStart"/>
      <w:r w:rsidRPr="00723ECA">
        <w:rPr>
          <w:sz w:val="22"/>
          <w:lang w:val="pt-BR"/>
        </w:rPr>
        <w:t>)</w:t>
      </w:r>
      <w:proofErr w:type="gramEnd"/>
      <w:r w:rsidRPr="00723ECA">
        <w:rPr>
          <w:rStyle w:val="FootnoteReference"/>
          <w:sz w:val="20"/>
        </w:rPr>
        <w:footnoteReference w:id="6"/>
      </w:r>
      <w:r w:rsidRPr="00723ECA">
        <w:rPr>
          <w:sz w:val="22"/>
          <w:lang w:val="pt-BR"/>
        </w:rPr>
        <w:t xml:space="preserve">. O fracasso do Estado em tomar as medidas regulatórias necessárias para prevenir e </w:t>
      </w:r>
      <w:r w:rsidR="00D600DC" w:rsidRPr="00723ECA">
        <w:rPr>
          <w:sz w:val="22"/>
          <w:lang w:val="pt-BR"/>
        </w:rPr>
        <w:t>reparar</w:t>
      </w:r>
      <w:r w:rsidRPr="00723ECA">
        <w:rPr>
          <w:sz w:val="22"/>
          <w:lang w:val="pt-BR"/>
        </w:rPr>
        <w:t xml:space="preserve"> adequadamente comportamentos discriminatórios, seja por prestadores de serviços ou por </w:t>
      </w:r>
      <w:r w:rsidR="002533F0">
        <w:rPr>
          <w:sz w:val="22"/>
          <w:lang w:val="pt-BR"/>
        </w:rPr>
        <w:t>agentes regulatórios</w:t>
      </w:r>
      <w:r w:rsidRPr="00723ECA">
        <w:rPr>
          <w:sz w:val="22"/>
          <w:lang w:val="pt-BR"/>
        </w:rPr>
        <w:t xml:space="preserve">, constitui uma </w:t>
      </w:r>
      <w:r w:rsidRPr="00723ECA">
        <w:rPr>
          <w:sz w:val="22"/>
          <w:lang w:val="pt-BR"/>
        </w:rPr>
        <w:lastRenderedPageBreak/>
        <w:t>violação das obrigações do Estado nos termos do Pacto Internacional dos Direitos Econômicos, Sociais e Culturais.</w:t>
      </w:r>
    </w:p>
    <w:p w:rsidR="00A511C7" w:rsidRPr="00723ECA" w:rsidRDefault="00A511C7" w:rsidP="00B756E4">
      <w:pPr>
        <w:pStyle w:val="Normali"/>
        <w:numPr>
          <w:ilvl w:val="0"/>
          <w:numId w:val="0"/>
        </w:numPr>
        <w:ind w:left="1134"/>
        <w:rPr>
          <w:sz w:val="22"/>
          <w:lang w:val="pt-BR"/>
        </w:rPr>
      </w:pPr>
      <w:r w:rsidRPr="00723ECA">
        <w:rPr>
          <w:sz w:val="22"/>
          <w:lang w:val="pt-BR"/>
        </w:rPr>
        <w:t>7. As obrigações dos Estados sobre os direitos humanos são classificadas como obrigações de respeit</w:t>
      </w:r>
      <w:r w:rsidR="00E70934" w:rsidRPr="00723ECA">
        <w:rPr>
          <w:sz w:val="22"/>
          <w:lang w:val="pt-BR"/>
        </w:rPr>
        <w:t>ar</w:t>
      </w:r>
      <w:r w:rsidRPr="00723ECA">
        <w:rPr>
          <w:sz w:val="22"/>
          <w:lang w:val="pt-BR"/>
        </w:rPr>
        <w:t>, prote</w:t>
      </w:r>
      <w:r w:rsidR="00E70934" w:rsidRPr="00723ECA">
        <w:rPr>
          <w:sz w:val="22"/>
          <w:lang w:val="pt-BR"/>
        </w:rPr>
        <w:t>ger</w:t>
      </w:r>
      <w:r w:rsidRPr="00723ECA">
        <w:rPr>
          <w:sz w:val="22"/>
          <w:lang w:val="pt-BR"/>
        </w:rPr>
        <w:t xml:space="preserve"> e cumpri</w:t>
      </w:r>
      <w:r w:rsidR="00E70934" w:rsidRPr="00723ECA">
        <w:rPr>
          <w:sz w:val="22"/>
          <w:lang w:val="pt-BR"/>
        </w:rPr>
        <w:t>r</w:t>
      </w:r>
      <w:r w:rsidRPr="00723ECA">
        <w:rPr>
          <w:sz w:val="22"/>
          <w:lang w:val="pt-BR"/>
        </w:rPr>
        <w:t xml:space="preserve">. A obrigação de respeitar exige que o </w:t>
      </w:r>
      <w:r w:rsidR="00E70934" w:rsidRPr="00723ECA">
        <w:rPr>
          <w:sz w:val="22"/>
          <w:lang w:val="pt-BR"/>
        </w:rPr>
        <w:t xml:space="preserve">marco </w:t>
      </w:r>
      <w:r w:rsidRPr="00723ECA">
        <w:rPr>
          <w:sz w:val="22"/>
          <w:lang w:val="pt-BR"/>
        </w:rPr>
        <w:t xml:space="preserve">regulatório dos Estados se abstenha de interferir direta ou indiretamente no acesso já existente das pessoas à água e ao esgotamento sanitário. Nesse sentido, os Estados devem garantir que o seu marco regulatório proíba desconexões dos serviços de água e esgotamento sanitário por incapacidade dos usuários de pagar, pois </w:t>
      </w:r>
      <w:proofErr w:type="gramStart"/>
      <w:r w:rsidR="00726C93" w:rsidRPr="00723ECA">
        <w:rPr>
          <w:sz w:val="22"/>
          <w:lang w:val="pt-BR"/>
        </w:rPr>
        <w:t>trata-se</w:t>
      </w:r>
      <w:proofErr w:type="gramEnd"/>
      <w:r w:rsidR="00726C93" w:rsidRPr="00723ECA">
        <w:rPr>
          <w:sz w:val="22"/>
          <w:lang w:val="pt-BR"/>
        </w:rPr>
        <w:t xml:space="preserve"> de retrocesso qu</w:t>
      </w:r>
      <w:r w:rsidRPr="00723ECA">
        <w:rPr>
          <w:sz w:val="22"/>
          <w:lang w:val="pt-BR"/>
        </w:rPr>
        <w:t>e viola os direitos humanos à água e ao esgotamento sanitário</w:t>
      </w:r>
      <w:r w:rsidRPr="00723ECA">
        <w:rPr>
          <w:rStyle w:val="FootnoteReference"/>
          <w:sz w:val="20"/>
          <w:lang w:val="pt-BR"/>
        </w:rPr>
        <w:footnoteReference w:id="7"/>
      </w:r>
      <w:r w:rsidRPr="00723ECA">
        <w:rPr>
          <w:sz w:val="22"/>
          <w:lang w:val="pt-BR"/>
        </w:rPr>
        <w:t>; devem</w:t>
      </w:r>
      <w:r w:rsidR="00726C93" w:rsidRPr="00723ECA">
        <w:rPr>
          <w:sz w:val="22"/>
          <w:lang w:val="pt-BR"/>
        </w:rPr>
        <w:t xml:space="preserve"> garantir que, quando se expanda</w:t>
      </w:r>
      <w:r w:rsidRPr="00723ECA">
        <w:rPr>
          <w:sz w:val="22"/>
          <w:lang w:val="pt-BR"/>
        </w:rPr>
        <w:t xml:space="preserve">m as redes a assentamentos informais, seja observada a </w:t>
      </w:r>
      <w:r w:rsidR="00726C93" w:rsidRPr="00723ECA">
        <w:rPr>
          <w:sz w:val="22"/>
          <w:lang w:val="pt-BR"/>
        </w:rPr>
        <w:t xml:space="preserve">capacidade de pagamento </w:t>
      </w:r>
      <w:r w:rsidRPr="00723ECA">
        <w:rPr>
          <w:sz w:val="22"/>
          <w:lang w:val="pt-BR"/>
        </w:rPr>
        <w:t xml:space="preserve">dos usuários </w:t>
      </w:r>
      <w:r w:rsidR="00726C93" w:rsidRPr="00723ECA">
        <w:rPr>
          <w:sz w:val="22"/>
          <w:lang w:val="pt-BR"/>
        </w:rPr>
        <w:t>d</w:t>
      </w:r>
      <w:r w:rsidRPr="00723ECA">
        <w:rPr>
          <w:sz w:val="22"/>
          <w:lang w:val="pt-BR"/>
        </w:rPr>
        <w:t xml:space="preserve">esses serviços, de modo a não </w:t>
      </w:r>
      <w:r w:rsidR="00726C93" w:rsidRPr="00723ECA">
        <w:rPr>
          <w:sz w:val="22"/>
          <w:lang w:val="pt-BR"/>
        </w:rPr>
        <w:t xml:space="preserve">lhes </w:t>
      </w:r>
      <w:r w:rsidRPr="00723ECA">
        <w:rPr>
          <w:sz w:val="22"/>
          <w:lang w:val="pt-BR"/>
        </w:rPr>
        <w:t xml:space="preserve">restringir </w:t>
      </w:r>
      <w:r w:rsidR="00E70934" w:rsidRPr="00723ECA">
        <w:rPr>
          <w:sz w:val="22"/>
          <w:lang w:val="pt-BR"/>
        </w:rPr>
        <w:t>o acesso</w:t>
      </w:r>
      <w:r w:rsidRPr="00723ECA">
        <w:rPr>
          <w:sz w:val="22"/>
          <w:lang w:val="pt-BR"/>
        </w:rPr>
        <w:t>; e devem evitar aumentos discriminatórios no preço dos serviços de água e esgotamento</w:t>
      </w:r>
      <w:r w:rsidR="0083302D" w:rsidRPr="00723ECA">
        <w:rPr>
          <w:sz w:val="22"/>
          <w:lang w:val="pt-BR"/>
        </w:rPr>
        <w:t xml:space="preserve"> sanitário, devido a uma regula</w:t>
      </w:r>
      <w:r w:rsidRPr="00723ECA">
        <w:rPr>
          <w:sz w:val="22"/>
          <w:lang w:val="pt-BR"/>
        </w:rPr>
        <w:t xml:space="preserve">ção inadequada. Ademais, a </w:t>
      </w:r>
      <w:r w:rsidR="00C03E77" w:rsidRPr="00723ECA">
        <w:rPr>
          <w:sz w:val="22"/>
          <w:lang w:val="pt-BR"/>
        </w:rPr>
        <w:t xml:space="preserve">necessidade de preparação para </w:t>
      </w:r>
      <w:r w:rsidRPr="00723ECA">
        <w:rPr>
          <w:sz w:val="22"/>
          <w:lang w:val="pt-BR"/>
        </w:rPr>
        <w:t xml:space="preserve">situações de conflito armado, emergência, catástrofes naturais e efeitos das mudanças climáticas exige que os Estados </w:t>
      </w:r>
      <w:r w:rsidR="00726C93" w:rsidRPr="00723ECA">
        <w:rPr>
          <w:sz w:val="22"/>
          <w:lang w:val="pt-BR"/>
        </w:rPr>
        <w:t>incorporem</w:t>
      </w:r>
      <w:r w:rsidRPr="00723ECA">
        <w:rPr>
          <w:sz w:val="22"/>
          <w:lang w:val="pt-BR"/>
        </w:rPr>
        <w:t xml:space="preserve"> em </w:t>
      </w:r>
      <w:proofErr w:type="gramStart"/>
      <w:r w:rsidRPr="00723ECA">
        <w:rPr>
          <w:sz w:val="22"/>
          <w:lang w:val="pt-BR"/>
        </w:rPr>
        <w:t>seus marcos</w:t>
      </w:r>
      <w:proofErr w:type="gramEnd"/>
      <w:r w:rsidRPr="00723ECA">
        <w:rPr>
          <w:sz w:val="22"/>
          <w:lang w:val="pt-BR"/>
        </w:rPr>
        <w:t xml:space="preserve"> regulatórios as obrigações relevantes para a provisão dos serviços de água e esgotamento sanitário de acordo com o direito humanitário internacional.</w:t>
      </w:r>
    </w:p>
    <w:p w:rsidR="00A511C7" w:rsidRPr="00723ECA" w:rsidRDefault="00A511C7" w:rsidP="00B756E4">
      <w:pPr>
        <w:pStyle w:val="Normali"/>
        <w:numPr>
          <w:ilvl w:val="0"/>
          <w:numId w:val="0"/>
        </w:numPr>
        <w:ind w:left="1134"/>
        <w:rPr>
          <w:sz w:val="22"/>
          <w:lang w:val="pt-BR"/>
        </w:rPr>
      </w:pPr>
      <w:r w:rsidRPr="00723ECA">
        <w:rPr>
          <w:sz w:val="22"/>
          <w:lang w:val="pt-BR"/>
        </w:rPr>
        <w:t xml:space="preserve">8. A obrigação de proteger exige que os Estados impeçam que terceiros interfiram de alguma forma no gozo dos direitos humanos à água e ao esgotamento sanitário, estabelecendo um sistema </w:t>
      </w:r>
      <w:r w:rsidR="0083302D" w:rsidRPr="00723ECA">
        <w:rPr>
          <w:sz w:val="22"/>
          <w:lang w:val="pt-BR"/>
        </w:rPr>
        <w:t>de regulação efetivo, que inclua</w:t>
      </w:r>
      <w:r w:rsidRPr="00723ECA">
        <w:rPr>
          <w:sz w:val="22"/>
          <w:lang w:val="pt-BR"/>
        </w:rPr>
        <w:t xml:space="preserve"> monitoramento independente, participação pública genuína e imposição de penalidades por descumprimento</w:t>
      </w:r>
      <w:r w:rsidRPr="00723ECA">
        <w:rPr>
          <w:rStyle w:val="FootnoteReference"/>
          <w:sz w:val="20"/>
          <w:lang w:val="pt-BR"/>
        </w:rPr>
        <w:footnoteReference w:id="8"/>
      </w:r>
      <w:r w:rsidRPr="00723ECA">
        <w:rPr>
          <w:sz w:val="22"/>
          <w:lang w:val="pt-BR"/>
        </w:rPr>
        <w:t>. Nos casos em que a prestação dos serviços de água e esgotamento sanitário é delegada a terceiros, o Estado tem a obrigação de regular as atividades dessas instituições para garantir que todos os aspectos dos direitos humanos sejam garantidos (ver A/HRC/ 33/49/</w:t>
      </w:r>
      <w:proofErr w:type="gramStart"/>
      <w:r w:rsidRPr="00723ECA">
        <w:rPr>
          <w:sz w:val="22"/>
          <w:lang w:val="pt-BR"/>
        </w:rPr>
        <w:t>Add.</w:t>
      </w:r>
      <w:proofErr w:type="gramEnd"/>
      <w:r w:rsidRPr="00723ECA">
        <w:rPr>
          <w:sz w:val="22"/>
          <w:lang w:val="pt-BR"/>
        </w:rPr>
        <w:t>2). Estabelecer um arcabouço regulatório eficaz inclui as obrigações de estabelecer normas de serviço de acordo com o conteúdo normativo dos direitos humanos à água e ao esgotamento sanitário e de criar autoridades públicas para desempenhar funções regulatórias de forma</w:t>
      </w:r>
      <w:r w:rsidR="002533F0">
        <w:rPr>
          <w:sz w:val="22"/>
          <w:lang w:val="pt-BR"/>
        </w:rPr>
        <w:t xml:space="preserve"> </w:t>
      </w:r>
      <w:r w:rsidRPr="00A57A2C">
        <w:rPr>
          <w:sz w:val="22"/>
          <w:lang w:val="pt-BR"/>
        </w:rPr>
        <w:t>independente</w:t>
      </w:r>
      <w:r w:rsidRPr="00723ECA">
        <w:rPr>
          <w:sz w:val="22"/>
          <w:lang w:val="pt-BR"/>
        </w:rPr>
        <w:t>.</w:t>
      </w:r>
    </w:p>
    <w:p w:rsidR="00A511C7" w:rsidRPr="00723ECA" w:rsidRDefault="00A511C7" w:rsidP="00B756E4">
      <w:pPr>
        <w:pStyle w:val="Normali"/>
        <w:numPr>
          <w:ilvl w:val="0"/>
          <w:numId w:val="0"/>
        </w:numPr>
        <w:ind w:left="1134"/>
        <w:rPr>
          <w:color w:val="000000" w:themeColor="text1"/>
          <w:sz w:val="22"/>
          <w:lang w:val="pt-BR"/>
        </w:rPr>
      </w:pPr>
      <w:r w:rsidRPr="00723ECA">
        <w:rPr>
          <w:color w:val="000000" w:themeColor="text1"/>
          <w:sz w:val="22"/>
          <w:lang w:val="pt-BR"/>
        </w:rPr>
        <w:t>9. As falhas na proteção dos direitos à água e ao esgotamento sanitário no contexto da prestação dos serviços geralmente decorrem da falta de regulação ou d</w:t>
      </w:r>
      <w:r w:rsidR="0083302D" w:rsidRPr="00723ECA">
        <w:rPr>
          <w:color w:val="000000" w:themeColor="text1"/>
          <w:sz w:val="22"/>
          <w:lang w:val="pt-BR"/>
        </w:rPr>
        <w:t>o não cumprimento d</w:t>
      </w:r>
      <w:r w:rsidRPr="00723ECA">
        <w:rPr>
          <w:color w:val="000000" w:themeColor="text1"/>
          <w:sz w:val="22"/>
          <w:lang w:val="pt-BR"/>
        </w:rPr>
        <w:t>essa regulação. Essas falhas também podem resultar de negociações de contratos de serviços ou acordos de desempenho que não protejam os direitos dos usuários. Quando a prestação de serviços é regulada por contrato, os Estados devem assegurar que as normas e princípios de direitos humanos sejam abordados no contrato, mas também que as obrigações do Estado sejam transferidas, conforme apropriado, para os prestadores de serviços</w:t>
      </w:r>
      <w:r w:rsidRPr="00723ECA">
        <w:rPr>
          <w:rStyle w:val="FootnoteReference"/>
          <w:color w:val="000000" w:themeColor="text1"/>
          <w:sz w:val="20"/>
          <w:lang w:val="pt-BR"/>
        </w:rPr>
        <w:footnoteReference w:id="9"/>
      </w:r>
      <w:r w:rsidRPr="00723ECA">
        <w:rPr>
          <w:color w:val="000000" w:themeColor="text1"/>
          <w:sz w:val="22"/>
          <w:lang w:val="pt-BR"/>
        </w:rPr>
        <w:t>.</w:t>
      </w:r>
    </w:p>
    <w:p w:rsidR="00A511C7" w:rsidRPr="00723ECA" w:rsidRDefault="00A511C7" w:rsidP="00B756E4">
      <w:pPr>
        <w:pStyle w:val="Normali"/>
        <w:numPr>
          <w:ilvl w:val="0"/>
          <w:numId w:val="0"/>
        </w:numPr>
        <w:ind w:left="1134"/>
        <w:rPr>
          <w:sz w:val="22"/>
          <w:lang w:val="pt-BR"/>
        </w:rPr>
      </w:pPr>
      <w:r w:rsidRPr="00723ECA">
        <w:rPr>
          <w:sz w:val="22"/>
          <w:lang w:val="pt-BR"/>
        </w:rPr>
        <w:lastRenderedPageBreak/>
        <w:t>10. As violações da obrigação de proteger podem ocorrer quando os Estados</w:t>
      </w:r>
      <w:r w:rsidR="00025979" w:rsidRPr="00723ECA">
        <w:rPr>
          <w:sz w:val="22"/>
          <w:lang w:val="pt-BR"/>
        </w:rPr>
        <w:t xml:space="preserve"> falham em</w:t>
      </w:r>
      <w:r w:rsidR="009B702A" w:rsidRPr="00723ECA">
        <w:rPr>
          <w:sz w:val="22"/>
          <w:lang w:val="pt-BR"/>
        </w:rPr>
        <w:t xml:space="preserve"> </w:t>
      </w:r>
      <w:r w:rsidRPr="00723ECA">
        <w:rPr>
          <w:sz w:val="22"/>
          <w:lang w:val="pt-BR"/>
        </w:rPr>
        <w:t xml:space="preserve">regular e controlar efetivamente os prestadores de serviços em relação à segurança, quantidade ou desconexões; </w:t>
      </w:r>
      <w:r w:rsidR="009B702A" w:rsidRPr="00723ECA">
        <w:rPr>
          <w:sz w:val="22"/>
          <w:lang w:val="pt-BR"/>
        </w:rPr>
        <w:t xml:space="preserve">falham em </w:t>
      </w:r>
      <w:r w:rsidRPr="00723ECA">
        <w:rPr>
          <w:sz w:val="22"/>
          <w:lang w:val="pt-BR"/>
        </w:rPr>
        <w:t xml:space="preserve">regular os preços para garantir que os serviços sejam economicamente acessíveis a todos; </w:t>
      </w:r>
      <w:r w:rsidR="009B702A" w:rsidRPr="00723ECA">
        <w:rPr>
          <w:sz w:val="22"/>
          <w:lang w:val="pt-BR"/>
        </w:rPr>
        <w:t xml:space="preserve">falham em </w:t>
      </w:r>
      <w:r w:rsidRPr="00723ECA">
        <w:rPr>
          <w:sz w:val="22"/>
          <w:lang w:val="pt-BR"/>
        </w:rPr>
        <w:t xml:space="preserve">impedir a discriminação por atores não estatais; </w:t>
      </w:r>
      <w:r w:rsidR="009B702A" w:rsidRPr="00723ECA">
        <w:rPr>
          <w:sz w:val="22"/>
          <w:lang w:val="pt-BR"/>
        </w:rPr>
        <w:t xml:space="preserve">não </w:t>
      </w:r>
      <w:r w:rsidRPr="00723ECA">
        <w:rPr>
          <w:sz w:val="22"/>
          <w:lang w:val="pt-BR"/>
        </w:rPr>
        <w:t>garant</w:t>
      </w:r>
      <w:r w:rsidR="009B702A" w:rsidRPr="00723ECA">
        <w:rPr>
          <w:sz w:val="22"/>
          <w:lang w:val="pt-BR"/>
        </w:rPr>
        <w:t>em</w:t>
      </w:r>
      <w:r w:rsidRPr="00723ECA">
        <w:rPr>
          <w:sz w:val="22"/>
          <w:lang w:val="pt-BR"/>
        </w:rPr>
        <w:t xml:space="preserve"> que os prestadores de serviços estendam os serviços às famílias ou comunidades </w:t>
      </w:r>
      <w:r w:rsidRPr="00FC3B7A">
        <w:rPr>
          <w:sz w:val="22"/>
          <w:lang w:val="pt-BR"/>
        </w:rPr>
        <w:t>marginalizadas;</w:t>
      </w:r>
      <w:r w:rsidR="009B702A" w:rsidRPr="00723ECA">
        <w:rPr>
          <w:sz w:val="22"/>
          <w:lang w:val="pt-BR"/>
        </w:rPr>
        <w:t xml:space="preserve"> e falham em </w:t>
      </w:r>
      <w:r w:rsidRPr="00723ECA">
        <w:rPr>
          <w:sz w:val="22"/>
          <w:lang w:val="pt-BR"/>
        </w:rPr>
        <w:t>garantir que os procedimentos de monitoramento e de reclamação estejam em vigor (ver A/HRC/27/55, parágrafo 27).</w:t>
      </w:r>
    </w:p>
    <w:p w:rsidR="00A511C7" w:rsidRPr="00723ECA" w:rsidRDefault="00A511C7" w:rsidP="00B756E4">
      <w:pPr>
        <w:pStyle w:val="Normali"/>
        <w:numPr>
          <w:ilvl w:val="0"/>
          <w:numId w:val="0"/>
        </w:numPr>
        <w:ind w:left="1134"/>
        <w:rPr>
          <w:sz w:val="22"/>
          <w:lang w:val="pt-BR"/>
        </w:rPr>
      </w:pPr>
      <w:r w:rsidRPr="00723ECA">
        <w:rPr>
          <w:sz w:val="22"/>
          <w:lang w:val="pt-BR"/>
        </w:rPr>
        <w:t>11. A obrigação de cumprir tem três componentes: a obrigação de facilitar, a obrigação de promover e a obrigação de</w:t>
      </w:r>
      <w:r w:rsidR="00C03E77" w:rsidRPr="00723ECA">
        <w:rPr>
          <w:sz w:val="22"/>
          <w:lang w:val="pt-BR"/>
        </w:rPr>
        <w:t xml:space="preserve"> prover. </w:t>
      </w:r>
      <w:r w:rsidRPr="00723ECA">
        <w:rPr>
          <w:sz w:val="22"/>
          <w:lang w:val="pt-BR"/>
        </w:rPr>
        <w:t>A obrigação de facilitar exige que os Estados adotem medidas regulatórias afirmativas para criar um ambiente propício para que os prestadores de serviços respeitem os direitos humanos à água e ao esgotamento sanitário e contribuam para a plena efetivação desses direitos. As medidas de facilitação incluem não apenas o reconhecimento desses direitos nas políticas nacionais e nos marcos legais e a adoção de e</w:t>
      </w:r>
      <w:r w:rsidR="002533F0">
        <w:rPr>
          <w:sz w:val="22"/>
          <w:lang w:val="pt-BR"/>
        </w:rPr>
        <w:t>stratégias e planos nacionais com</w:t>
      </w:r>
      <w:r w:rsidRPr="00723ECA">
        <w:rPr>
          <w:sz w:val="22"/>
          <w:lang w:val="pt-BR"/>
        </w:rPr>
        <w:t xml:space="preserve"> ações para efetivá-los, mas também o estabelecimento de normas de serviço para os prestadores, em linha com o conteúdo normativo dos direitos humanos à água e ao esgotamento sanitário, o monitoramento do cumprimento, pelos prestadores, das normas estabelecidas, e o exercício de funções regulatórias, diretamente ou por meio de um órgão distinto. Por exemplo, quando, devido à falta de regulamentação, o acesso a instalações de água e esgotamento sanitário não está disponível ou é inadequado em edifícios públicos como escolas, prisões ou hospitais, ou em casos em que pessoas que vivem em assentamentos informais são deixadas sem opção senão recorrer a serviços informais não regulados, o Estado está violando a obrigação de facilitar.</w:t>
      </w:r>
    </w:p>
    <w:p w:rsidR="00A511C7" w:rsidRPr="00723ECA" w:rsidRDefault="00A511C7" w:rsidP="00B756E4">
      <w:pPr>
        <w:pStyle w:val="Normali"/>
        <w:numPr>
          <w:ilvl w:val="0"/>
          <w:numId w:val="0"/>
        </w:numPr>
        <w:ind w:left="1134"/>
        <w:rPr>
          <w:color w:val="000000" w:themeColor="text1"/>
          <w:sz w:val="22"/>
          <w:lang w:val="pt-BR"/>
        </w:rPr>
      </w:pPr>
      <w:r w:rsidRPr="00723ECA">
        <w:rPr>
          <w:color w:val="000000" w:themeColor="text1"/>
          <w:sz w:val="22"/>
          <w:lang w:val="pt-BR"/>
        </w:rPr>
        <w:t>12. A obrigação de promover exige que os Estados forneçam informações e orientações para os prestadores de serviços e para a população sobre como cumprir os padrões, normas e</w:t>
      </w:r>
      <w:r w:rsidR="00025979" w:rsidRPr="00723ECA">
        <w:rPr>
          <w:color w:val="000000" w:themeColor="text1"/>
          <w:sz w:val="22"/>
          <w:lang w:val="pt-BR"/>
        </w:rPr>
        <w:t xml:space="preserve"> regulamentos estabelecidos. Ess</w:t>
      </w:r>
      <w:r w:rsidRPr="00723ECA">
        <w:rPr>
          <w:color w:val="000000" w:themeColor="text1"/>
          <w:sz w:val="22"/>
          <w:lang w:val="pt-BR"/>
        </w:rPr>
        <w:t xml:space="preserve">a obrigação também implica informar e capacitar </w:t>
      </w:r>
      <w:r w:rsidR="002533F0">
        <w:rPr>
          <w:color w:val="000000" w:themeColor="text1"/>
          <w:sz w:val="22"/>
          <w:lang w:val="pt-BR"/>
        </w:rPr>
        <w:t>agentes regulatórios</w:t>
      </w:r>
      <w:r w:rsidRPr="00723ECA">
        <w:rPr>
          <w:color w:val="000000" w:themeColor="text1"/>
          <w:sz w:val="22"/>
          <w:lang w:val="pt-BR"/>
        </w:rPr>
        <w:t xml:space="preserve"> sobre as consequências práticas dos direitos humanos à água e ao esgotamento sanitário em sua área de atuação.</w:t>
      </w:r>
    </w:p>
    <w:p w:rsidR="00A511C7" w:rsidRPr="00723ECA" w:rsidRDefault="00A511C7" w:rsidP="00B756E4">
      <w:pPr>
        <w:pStyle w:val="Normali"/>
        <w:numPr>
          <w:ilvl w:val="0"/>
          <w:numId w:val="0"/>
        </w:numPr>
        <w:ind w:left="1134"/>
        <w:rPr>
          <w:color w:val="000000" w:themeColor="text1"/>
          <w:sz w:val="22"/>
          <w:lang w:val="pt-BR"/>
        </w:rPr>
      </w:pPr>
      <w:r w:rsidRPr="00723ECA">
        <w:rPr>
          <w:color w:val="000000" w:themeColor="text1"/>
          <w:sz w:val="22"/>
          <w:lang w:val="pt-BR"/>
        </w:rPr>
        <w:t>13. A obrigação de</w:t>
      </w:r>
      <w:r w:rsidR="00C03E77" w:rsidRPr="00723ECA">
        <w:rPr>
          <w:color w:val="000000" w:themeColor="text1"/>
          <w:sz w:val="22"/>
          <w:lang w:val="pt-BR"/>
        </w:rPr>
        <w:t xml:space="preserve"> prover</w:t>
      </w:r>
      <w:r w:rsidRPr="00723ECA">
        <w:rPr>
          <w:color w:val="000000" w:themeColor="text1"/>
          <w:sz w:val="22"/>
          <w:lang w:val="pt-BR"/>
        </w:rPr>
        <w:t xml:space="preserve"> exige que os Estados efetivem o direito à água e ao esgotamento sanitário quando os indivíduos não conseguem, por razões que estão fora de seu controle, efetivar esse direito pelos meios de que dispõem. A esse respeito, é crucial que o Estado estabeleça regulamentação específica para a prestação de serviços a, </w:t>
      </w:r>
      <w:proofErr w:type="spellStart"/>
      <w:proofErr w:type="gramStart"/>
      <w:r w:rsidRPr="00723ECA">
        <w:rPr>
          <w:i/>
          <w:color w:val="000000" w:themeColor="text1"/>
          <w:sz w:val="22"/>
          <w:lang w:val="pt-BR"/>
        </w:rPr>
        <w:t>inter</w:t>
      </w:r>
      <w:proofErr w:type="spellEnd"/>
      <w:r w:rsidRPr="00723ECA">
        <w:rPr>
          <w:i/>
          <w:color w:val="000000" w:themeColor="text1"/>
          <w:sz w:val="22"/>
          <w:lang w:val="pt-BR"/>
        </w:rPr>
        <w:t xml:space="preserve"> alia</w:t>
      </w:r>
      <w:proofErr w:type="gramEnd"/>
      <w:r w:rsidRPr="00723ECA">
        <w:rPr>
          <w:color w:val="000000" w:themeColor="text1"/>
          <w:sz w:val="22"/>
          <w:lang w:val="pt-BR"/>
        </w:rPr>
        <w:t>, pessoas sem-teto, comunidades nômades pobres e vítimas de situações de conflito armado, emergências, catástrofes naturais ou efeitos de mudanças climáticas.</w:t>
      </w:r>
    </w:p>
    <w:p w:rsidR="00A511C7" w:rsidRPr="00723ECA" w:rsidRDefault="00A511C7" w:rsidP="00B756E4">
      <w:pPr>
        <w:pStyle w:val="Normali"/>
        <w:numPr>
          <w:ilvl w:val="0"/>
          <w:numId w:val="0"/>
        </w:numPr>
        <w:ind w:left="1134"/>
        <w:rPr>
          <w:sz w:val="22"/>
          <w:lang w:val="pt-BR"/>
        </w:rPr>
      </w:pPr>
      <w:r w:rsidRPr="00723ECA">
        <w:rPr>
          <w:sz w:val="22"/>
          <w:lang w:val="pt-BR"/>
        </w:rPr>
        <w:t xml:space="preserve">14. As violações da obrigação de cumprir incluem a falha do Estado em tomar medidas para estabelecer um marco regulatório em linha com as normas de direitos humanos e a falha em </w:t>
      </w:r>
      <w:r w:rsidRPr="00723ECA">
        <w:rPr>
          <w:sz w:val="22"/>
          <w:lang w:val="pt-BR"/>
        </w:rPr>
        <w:lastRenderedPageBreak/>
        <w:t xml:space="preserve">garantir, com seu marco regulatório, que o nível mínimo essencial de serviços de água e esgotamento sanitário seja </w:t>
      </w:r>
      <w:r w:rsidR="004658A8" w:rsidRPr="00723ECA">
        <w:rPr>
          <w:sz w:val="22"/>
          <w:lang w:val="pt-BR"/>
        </w:rPr>
        <w:t>usufruído</w:t>
      </w:r>
      <w:r w:rsidRPr="00723ECA">
        <w:rPr>
          <w:sz w:val="22"/>
          <w:lang w:val="pt-BR"/>
        </w:rPr>
        <w:t xml:space="preserve"> por todos.</w:t>
      </w:r>
    </w:p>
    <w:p w:rsidR="00A511C7" w:rsidRPr="00723ECA" w:rsidRDefault="00A511C7" w:rsidP="00B756E4">
      <w:pPr>
        <w:pStyle w:val="H1G"/>
        <w:numPr>
          <w:ilvl w:val="0"/>
          <w:numId w:val="5"/>
        </w:numPr>
        <w:ind w:left="851" w:hanging="142"/>
        <w:rPr>
          <w:sz w:val="28"/>
          <w:lang w:val="pt-BR"/>
        </w:rPr>
      </w:pPr>
      <w:r w:rsidRPr="00723ECA">
        <w:rPr>
          <w:sz w:val="28"/>
          <w:lang w:val="pt-BR"/>
        </w:rPr>
        <w:t xml:space="preserve">Obrigações dos </w:t>
      </w:r>
      <w:r w:rsidR="002533F0">
        <w:rPr>
          <w:sz w:val="28"/>
          <w:lang w:val="pt-BR"/>
        </w:rPr>
        <w:t>agentes regulatórios</w:t>
      </w:r>
    </w:p>
    <w:p w:rsidR="00A511C7" w:rsidRPr="00723ECA" w:rsidRDefault="00A511C7" w:rsidP="00B756E4">
      <w:pPr>
        <w:pStyle w:val="Body1"/>
        <w:spacing w:before="120"/>
        <w:ind w:left="1134" w:right="1134"/>
        <w:jc w:val="both"/>
        <w:outlineLvl w:val="9"/>
        <w:rPr>
          <w:sz w:val="22"/>
          <w:szCs w:val="24"/>
          <w:lang w:val="pt-BR"/>
        </w:rPr>
      </w:pPr>
      <w:r w:rsidRPr="00723ECA">
        <w:rPr>
          <w:sz w:val="22"/>
          <w:szCs w:val="24"/>
          <w:lang w:val="pt-BR"/>
        </w:rPr>
        <w:t>15. Os direitos humanos à água e ao esgota</w:t>
      </w:r>
      <w:r w:rsidR="00CD5058" w:rsidRPr="00723ECA">
        <w:rPr>
          <w:sz w:val="22"/>
          <w:szCs w:val="24"/>
          <w:lang w:val="pt-BR"/>
        </w:rPr>
        <w:t>mento sanitário são vinculantes</w:t>
      </w:r>
      <w:r w:rsidRPr="00723ECA">
        <w:rPr>
          <w:sz w:val="22"/>
          <w:szCs w:val="24"/>
          <w:lang w:val="pt-BR"/>
        </w:rPr>
        <w:t xml:space="preserve"> para o Estado como um todo. Todas as autoridades públicas ou governamentais, ou órgãos estatais </w:t>
      </w:r>
      <w:r w:rsidRPr="00A57A2C">
        <w:rPr>
          <w:sz w:val="22"/>
          <w:szCs w:val="24"/>
          <w:lang w:val="pt-BR"/>
        </w:rPr>
        <w:t>independentes</w:t>
      </w:r>
      <w:r w:rsidR="00886302">
        <w:rPr>
          <w:sz w:val="22"/>
          <w:szCs w:val="24"/>
          <w:lang w:val="pt-BR"/>
        </w:rPr>
        <w:t>,</w:t>
      </w:r>
      <w:r w:rsidRPr="00723ECA">
        <w:rPr>
          <w:sz w:val="22"/>
          <w:szCs w:val="24"/>
          <w:lang w:val="pt-BR"/>
        </w:rPr>
        <w:t xml:space="preserve"> que exercem funções regulatórias a nível nacional, regional ou local, têm a responsabilidade de </w:t>
      </w:r>
      <w:r w:rsidR="004658A8" w:rsidRPr="00723ECA">
        <w:rPr>
          <w:sz w:val="22"/>
          <w:szCs w:val="24"/>
          <w:lang w:val="pt-BR"/>
        </w:rPr>
        <w:t>cumprir</w:t>
      </w:r>
      <w:r w:rsidR="00CD5058" w:rsidRPr="00723ECA">
        <w:rPr>
          <w:sz w:val="22"/>
          <w:szCs w:val="24"/>
          <w:lang w:val="pt-BR"/>
        </w:rPr>
        <w:t xml:space="preserve"> </w:t>
      </w:r>
      <w:r w:rsidRPr="00723ECA">
        <w:rPr>
          <w:sz w:val="22"/>
          <w:szCs w:val="24"/>
          <w:lang w:val="pt-BR"/>
        </w:rPr>
        <w:t>as obrigações do Estado em relação aos</w:t>
      </w:r>
      <w:r w:rsidR="002943C0" w:rsidRPr="00723ECA">
        <w:rPr>
          <w:sz w:val="22"/>
          <w:szCs w:val="24"/>
          <w:lang w:val="pt-BR"/>
        </w:rPr>
        <w:t xml:space="preserve"> </w:t>
      </w:r>
      <w:r w:rsidRPr="00723ECA">
        <w:rPr>
          <w:sz w:val="22"/>
          <w:szCs w:val="24"/>
          <w:lang w:val="pt-BR"/>
        </w:rPr>
        <w:t xml:space="preserve">direitos humanos. Para tal, os </w:t>
      </w:r>
      <w:r w:rsidR="002533F0">
        <w:rPr>
          <w:sz w:val="22"/>
          <w:szCs w:val="24"/>
          <w:lang w:val="pt-BR"/>
        </w:rPr>
        <w:t>agentes regulatórios</w:t>
      </w:r>
      <w:r w:rsidRPr="00723ECA">
        <w:rPr>
          <w:sz w:val="22"/>
          <w:szCs w:val="24"/>
          <w:lang w:val="pt-BR"/>
        </w:rPr>
        <w:t xml:space="preserve"> devem assegurar que suas políticas, procedimentos e atividades sejam compatíveis com as obrigações </w:t>
      </w:r>
      <w:r w:rsidRPr="002452B8">
        <w:rPr>
          <w:sz w:val="22"/>
          <w:szCs w:val="24"/>
          <w:lang w:val="pt-BR"/>
        </w:rPr>
        <w:t>internacionais</w:t>
      </w:r>
      <w:r w:rsidR="002943C0" w:rsidRPr="002452B8">
        <w:rPr>
          <w:sz w:val="22"/>
          <w:szCs w:val="24"/>
          <w:lang w:val="pt-BR"/>
        </w:rPr>
        <w:t xml:space="preserve"> </w:t>
      </w:r>
      <w:r w:rsidRPr="002452B8">
        <w:rPr>
          <w:sz w:val="22"/>
          <w:szCs w:val="24"/>
          <w:lang w:val="pt-BR"/>
        </w:rPr>
        <w:t>do Estado em relação</w:t>
      </w:r>
      <w:r w:rsidR="002943C0" w:rsidRPr="002452B8">
        <w:rPr>
          <w:sz w:val="22"/>
          <w:szCs w:val="24"/>
          <w:lang w:val="pt-BR"/>
        </w:rPr>
        <w:t xml:space="preserve"> </w:t>
      </w:r>
      <w:r w:rsidRPr="002452B8">
        <w:rPr>
          <w:sz w:val="22"/>
          <w:szCs w:val="24"/>
          <w:lang w:val="pt-BR"/>
        </w:rPr>
        <w:t xml:space="preserve">aos direitos humanos à água e ao esgotamento sanitário. </w:t>
      </w:r>
      <w:r w:rsidR="00FC3B7A" w:rsidRPr="002452B8">
        <w:rPr>
          <w:sz w:val="22"/>
          <w:szCs w:val="24"/>
          <w:lang w:val="pt-BR"/>
        </w:rPr>
        <w:t>Sua</w:t>
      </w:r>
      <w:r w:rsidRPr="002452B8">
        <w:rPr>
          <w:sz w:val="22"/>
          <w:szCs w:val="24"/>
          <w:lang w:val="pt-BR"/>
        </w:rPr>
        <w:t>s obrigações incluem</w:t>
      </w:r>
      <w:r w:rsidR="00FC3B7A" w:rsidRPr="002452B8">
        <w:rPr>
          <w:sz w:val="22"/>
          <w:szCs w:val="24"/>
          <w:lang w:val="pt-BR"/>
        </w:rPr>
        <w:t xml:space="preserve"> também</w:t>
      </w:r>
      <w:r w:rsidRPr="002452B8">
        <w:rPr>
          <w:sz w:val="22"/>
          <w:szCs w:val="24"/>
          <w:lang w:val="pt-BR"/>
        </w:rPr>
        <w:t xml:space="preserve"> garantir </w:t>
      </w:r>
      <w:r w:rsidR="00FC3B7A" w:rsidRPr="002452B8">
        <w:rPr>
          <w:sz w:val="22"/>
          <w:szCs w:val="24"/>
          <w:lang w:val="pt-BR"/>
        </w:rPr>
        <w:t xml:space="preserve">o cumprimento </w:t>
      </w:r>
      <w:r w:rsidRPr="002452B8">
        <w:rPr>
          <w:sz w:val="22"/>
          <w:szCs w:val="24"/>
          <w:lang w:val="pt-BR"/>
        </w:rPr>
        <w:t>dos direitos humanos p</w:t>
      </w:r>
      <w:r w:rsidR="00FC3B7A" w:rsidRPr="002452B8">
        <w:rPr>
          <w:sz w:val="22"/>
          <w:szCs w:val="24"/>
          <w:lang w:val="pt-BR"/>
        </w:rPr>
        <w:t xml:space="preserve">elas municipalidades </w:t>
      </w:r>
      <w:r w:rsidRPr="002452B8">
        <w:rPr>
          <w:sz w:val="22"/>
          <w:szCs w:val="24"/>
          <w:lang w:val="pt-BR"/>
        </w:rPr>
        <w:t xml:space="preserve">e outras entidades </w:t>
      </w:r>
      <w:r w:rsidR="00FC3B7A" w:rsidRPr="002452B8">
        <w:rPr>
          <w:sz w:val="22"/>
          <w:szCs w:val="24"/>
          <w:lang w:val="pt-BR"/>
        </w:rPr>
        <w:t>por</w:t>
      </w:r>
      <w:r w:rsidRPr="002452B8">
        <w:rPr>
          <w:sz w:val="22"/>
          <w:szCs w:val="24"/>
          <w:lang w:val="pt-BR"/>
        </w:rPr>
        <w:t xml:space="preserve"> eles regula</w:t>
      </w:r>
      <w:r w:rsidR="00FC3B7A" w:rsidRPr="002452B8">
        <w:rPr>
          <w:sz w:val="22"/>
          <w:szCs w:val="24"/>
          <w:lang w:val="pt-BR"/>
        </w:rPr>
        <w:t>das</w:t>
      </w:r>
      <w:r w:rsidRPr="002452B8">
        <w:rPr>
          <w:sz w:val="22"/>
          <w:szCs w:val="24"/>
          <w:lang w:val="pt-BR"/>
        </w:rPr>
        <w:t xml:space="preserve"> (Ver A/HRC/36/45/</w:t>
      </w:r>
      <w:proofErr w:type="gramStart"/>
      <w:r w:rsidRPr="002452B8">
        <w:rPr>
          <w:sz w:val="22"/>
          <w:szCs w:val="24"/>
          <w:lang w:val="pt-BR"/>
        </w:rPr>
        <w:t>Add.</w:t>
      </w:r>
      <w:proofErr w:type="gramEnd"/>
      <w:r w:rsidRPr="002452B8">
        <w:rPr>
          <w:sz w:val="22"/>
          <w:szCs w:val="24"/>
          <w:lang w:val="pt-BR"/>
        </w:rPr>
        <w:t>1, parágrafo 31).</w:t>
      </w:r>
    </w:p>
    <w:p w:rsidR="00A511C7" w:rsidRPr="00723ECA" w:rsidRDefault="00A511C7" w:rsidP="00B756E4">
      <w:pPr>
        <w:pStyle w:val="Body1"/>
        <w:spacing w:before="120"/>
        <w:ind w:left="1134" w:right="1134"/>
        <w:jc w:val="both"/>
        <w:outlineLvl w:val="9"/>
        <w:rPr>
          <w:sz w:val="22"/>
          <w:szCs w:val="24"/>
          <w:lang w:val="pt-BR"/>
        </w:rPr>
      </w:pPr>
      <w:r w:rsidRPr="00723ECA">
        <w:rPr>
          <w:sz w:val="22"/>
          <w:szCs w:val="24"/>
          <w:lang w:val="pt-BR"/>
        </w:rPr>
        <w:t xml:space="preserve">16. Nas suas principais áreas de atuação, que incluem o estabelecimento de normas, o monitoramento e a </w:t>
      </w:r>
      <w:r w:rsidR="00C03E77" w:rsidRPr="00723ECA">
        <w:rPr>
          <w:sz w:val="22"/>
          <w:szCs w:val="24"/>
          <w:lang w:val="pt-BR"/>
        </w:rPr>
        <w:t>responsabilização</w:t>
      </w:r>
      <w:r w:rsidR="005A2302" w:rsidRPr="00723ECA">
        <w:rPr>
          <w:rStyle w:val="FootnoteReference"/>
          <w:sz w:val="20"/>
          <w:szCs w:val="24"/>
          <w:lang w:val="pt-BR"/>
        </w:rPr>
        <w:footnoteReference w:id="10"/>
      </w:r>
      <w:r w:rsidR="00CD5058" w:rsidRPr="00723ECA">
        <w:rPr>
          <w:sz w:val="22"/>
          <w:szCs w:val="24"/>
          <w:lang w:val="pt-BR"/>
        </w:rPr>
        <w:t xml:space="preserve"> </w:t>
      </w:r>
      <w:r w:rsidR="00C03E77" w:rsidRPr="00723ECA">
        <w:rPr>
          <w:sz w:val="22"/>
          <w:szCs w:val="24"/>
          <w:lang w:val="pt-BR"/>
        </w:rPr>
        <w:t>d</w:t>
      </w:r>
      <w:r w:rsidR="00CD5058" w:rsidRPr="00723ECA">
        <w:rPr>
          <w:sz w:val="22"/>
          <w:szCs w:val="24"/>
          <w:lang w:val="pt-BR"/>
        </w:rPr>
        <w:t>os</w:t>
      </w:r>
      <w:r w:rsidRPr="00723ECA">
        <w:rPr>
          <w:sz w:val="22"/>
          <w:szCs w:val="24"/>
          <w:lang w:val="pt-BR"/>
        </w:rPr>
        <w:t xml:space="preserve"> </w:t>
      </w:r>
      <w:r w:rsidR="00CD5058" w:rsidRPr="00723ECA">
        <w:rPr>
          <w:sz w:val="22"/>
          <w:szCs w:val="24"/>
          <w:lang w:val="pt-BR"/>
        </w:rPr>
        <w:t>prestadores</w:t>
      </w:r>
      <w:r w:rsidR="005A2302" w:rsidRPr="00723ECA">
        <w:rPr>
          <w:sz w:val="22"/>
          <w:szCs w:val="24"/>
          <w:lang w:val="pt-BR"/>
        </w:rPr>
        <w:t xml:space="preserve"> </w:t>
      </w:r>
      <w:r w:rsidR="00C03E77" w:rsidRPr="00723ECA">
        <w:rPr>
          <w:sz w:val="22"/>
          <w:szCs w:val="24"/>
          <w:lang w:val="pt-BR"/>
        </w:rPr>
        <w:t xml:space="preserve">de </w:t>
      </w:r>
      <w:r w:rsidR="00CD5058" w:rsidRPr="00723ECA">
        <w:rPr>
          <w:sz w:val="22"/>
          <w:szCs w:val="24"/>
          <w:lang w:val="pt-BR"/>
        </w:rPr>
        <w:t>serviços</w:t>
      </w:r>
      <w:r w:rsidRPr="00723ECA">
        <w:rPr>
          <w:sz w:val="22"/>
          <w:szCs w:val="24"/>
          <w:lang w:val="pt-BR"/>
        </w:rPr>
        <w:t xml:space="preserve">, os </w:t>
      </w:r>
      <w:r w:rsidR="002533F0">
        <w:rPr>
          <w:sz w:val="22"/>
          <w:szCs w:val="24"/>
          <w:lang w:val="pt-BR"/>
        </w:rPr>
        <w:t>agentes regulatórios</w:t>
      </w:r>
      <w:r w:rsidR="002943C0" w:rsidRPr="00723ECA">
        <w:rPr>
          <w:sz w:val="22"/>
          <w:szCs w:val="24"/>
          <w:lang w:val="pt-BR"/>
        </w:rPr>
        <w:t xml:space="preserve"> </w:t>
      </w:r>
      <w:r w:rsidRPr="00723ECA">
        <w:rPr>
          <w:sz w:val="22"/>
          <w:szCs w:val="24"/>
          <w:lang w:val="pt-BR"/>
        </w:rPr>
        <w:t xml:space="preserve">são vinculados pelo princípio da </w:t>
      </w:r>
      <w:r w:rsidR="004658A8" w:rsidRPr="00723ECA">
        <w:rPr>
          <w:sz w:val="22"/>
          <w:szCs w:val="24"/>
          <w:lang w:val="pt-BR"/>
        </w:rPr>
        <w:t>realização</w:t>
      </w:r>
      <w:r w:rsidR="00CD5058" w:rsidRPr="00723ECA">
        <w:rPr>
          <w:sz w:val="22"/>
          <w:szCs w:val="24"/>
          <w:lang w:val="pt-BR"/>
        </w:rPr>
        <w:t xml:space="preserve"> </w:t>
      </w:r>
      <w:r w:rsidRPr="00723ECA">
        <w:rPr>
          <w:sz w:val="22"/>
          <w:szCs w:val="24"/>
          <w:lang w:val="pt-BR"/>
        </w:rPr>
        <w:t xml:space="preserve">progressiva, mas também pelas obrigações imediatas de não discriminação e de tomar medidas para a efetivação completa desses direitos. O Comitê de Direitos Econômicos, Sociais e Culturais ressalta que </w:t>
      </w:r>
      <w:r w:rsidR="00CD5058" w:rsidRPr="00723ECA">
        <w:rPr>
          <w:sz w:val="22"/>
          <w:szCs w:val="24"/>
          <w:lang w:val="pt-BR"/>
        </w:rPr>
        <w:t xml:space="preserve">o gozo </w:t>
      </w:r>
      <w:r w:rsidRPr="00723ECA">
        <w:rPr>
          <w:sz w:val="22"/>
          <w:szCs w:val="24"/>
          <w:lang w:val="pt-BR"/>
        </w:rPr>
        <w:t>dos direitos humanos à água e ao esgotamento sanitário sem qualquer tipo de discriminação pode ser comprometid</w:t>
      </w:r>
      <w:r w:rsidR="00CD5058" w:rsidRPr="00723ECA">
        <w:rPr>
          <w:sz w:val="22"/>
          <w:szCs w:val="24"/>
          <w:lang w:val="pt-BR"/>
        </w:rPr>
        <w:t>o</w:t>
      </w:r>
      <w:r w:rsidRPr="00723ECA">
        <w:rPr>
          <w:sz w:val="22"/>
          <w:szCs w:val="24"/>
          <w:lang w:val="pt-BR"/>
        </w:rPr>
        <w:t xml:space="preserve"> não só pela ação direta ou omissão dos Estados, mas também por instituições ou agências do Estado nos níveis nacional e local, o que inclui </w:t>
      </w:r>
      <w:r w:rsidR="002533F0">
        <w:rPr>
          <w:sz w:val="22"/>
          <w:szCs w:val="24"/>
          <w:lang w:val="pt-BR"/>
        </w:rPr>
        <w:t>agentes regulatórios</w:t>
      </w:r>
      <w:r w:rsidRPr="00723ECA">
        <w:rPr>
          <w:rStyle w:val="FootnoteReference"/>
          <w:sz w:val="20"/>
          <w:szCs w:val="24"/>
          <w:lang w:val="pt-BR"/>
        </w:rPr>
        <w:footnoteReference w:id="11"/>
      </w:r>
      <w:r w:rsidRPr="00723ECA">
        <w:rPr>
          <w:sz w:val="22"/>
          <w:szCs w:val="24"/>
          <w:lang w:val="pt-BR"/>
        </w:rPr>
        <w:t xml:space="preserve">. Para que os </w:t>
      </w:r>
      <w:r w:rsidR="002533F0">
        <w:rPr>
          <w:sz w:val="22"/>
          <w:szCs w:val="24"/>
          <w:lang w:val="pt-BR"/>
        </w:rPr>
        <w:t>agentes regulatórios</w:t>
      </w:r>
      <w:r w:rsidRPr="00723ECA">
        <w:rPr>
          <w:sz w:val="22"/>
          <w:szCs w:val="24"/>
          <w:lang w:val="pt-BR"/>
        </w:rPr>
        <w:t xml:space="preserve"> atinjam suas obrigações imediatas de igualdade e não discriminação, esses devem, ao definir as tarifas, considerar aqueles que não têm a capacidade de pagar pelos serviços e, então, </w:t>
      </w:r>
      <w:proofErr w:type="gramStart"/>
      <w:r w:rsidRPr="00723ECA">
        <w:rPr>
          <w:sz w:val="22"/>
          <w:szCs w:val="24"/>
          <w:lang w:val="pt-BR"/>
        </w:rPr>
        <w:t>implementar</w:t>
      </w:r>
      <w:proofErr w:type="gramEnd"/>
      <w:r w:rsidRPr="00723ECA">
        <w:rPr>
          <w:sz w:val="22"/>
          <w:szCs w:val="24"/>
          <w:lang w:val="pt-BR"/>
        </w:rPr>
        <w:t xml:space="preserve"> mecanismos para </w:t>
      </w:r>
      <w:r w:rsidR="00CD5058" w:rsidRPr="00723ECA">
        <w:rPr>
          <w:sz w:val="22"/>
          <w:szCs w:val="24"/>
          <w:lang w:val="pt-BR"/>
        </w:rPr>
        <w:t xml:space="preserve">sua </w:t>
      </w:r>
      <w:r w:rsidRPr="00723ECA">
        <w:rPr>
          <w:sz w:val="22"/>
          <w:szCs w:val="24"/>
          <w:lang w:val="pt-BR"/>
        </w:rPr>
        <w:t>proteção.</w:t>
      </w:r>
      <w:r w:rsidR="009E3FFE" w:rsidRPr="00723ECA">
        <w:rPr>
          <w:sz w:val="22"/>
          <w:szCs w:val="24"/>
          <w:lang w:val="pt-BR"/>
        </w:rPr>
        <w:t xml:space="preserve"> </w:t>
      </w:r>
      <w:r w:rsidRPr="00723ECA">
        <w:rPr>
          <w:sz w:val="22"/>
          <w:szCs w:val="24"/>
          <w:lang w:val="pt-BR"/>
        </w:rPr>
        <w:t xml:space="preserve">Os </w:t>
      </w:r>
      <w:r w:rsidR="002533F0">
        <w:rPr>
          <w:sz w:val="22"/>
          <w:szCs w:val="24"/>
          <w:lang w:val="pt-BR"/>
        </w:rPr>
        <w:t>agentes regulatórios</w:t>
      </w:r>
      <w:r w:rsidRPr="00723ECA">
        <w:rPr>
          <w:sz w:val="22"/>
          <w:szCs w:val="24"/>
          <w:lang w:val="pt-BR"/>
        </w:rPr>
        <w:t xml:space="preserve"> devem</w:t>
      </w:r>
      <w:r w:rsidR="009E3FFE" w:rsidRPr="00723ECA">
        <w:rPr>
          <w:sz w:val="22"/>
          <w:szCs w:val="24"/>
          <w:lang w:val="pt-BR"/>
        </w:rPr>
        <w:t xml:space="preserve"> </w:t>
      </w:r>
      <w:r w:rsidRPr="00723ECA">
        <w:rPr>
          <w:sz w:val="22"/>
          <w:szCs w:val="24"/>
          <w:lang w:val="pt-BR"/>
        </w:rPr>
        <w:t xml:space="preserve">também garantir que os prestadores </w:t>
      </w:r>
      <w:r w:rsidR="00965164" w:rsidRPr="00723ECA">
        <w:rPr>
          <w:sz w:val="22"/>
          <w:szCs w:val="24"/>
          <w:lang w:val="pt-BR"/>
        </w:rPr>
        <w:t xml:space="preserve">prestem </w:t>
      </w:r>
      <w:r w:rsidRPr="00723ECA">
        <w:rPr>
          <w:sz w:val="22"/>
          <w:szCs w:val="24"/>
          <w:lang w:val="pt-BR"/>
        </w:rPr>
        <w:t>o</w:t>
      </w:r>
      <w:r w:rsidR="00965164" w:rsidRPr="00723ECA">
        <w:rPr>
          <w:sz w:val="22"/>
          <w:szCs w:val="24"/>
          <w:lang w:val="pt-BR"/>
        </w:rPr>
        <w:t>s</w:t>
      </w:r>
      <w:r w:rsidRPr="00723ECA">
        <w:rPr>
          <w:sz w:val="22"/>
          <w:szCs w:val="24"/>
          <w:lang w:val="pt-BR"/>
        </w:rPr>
        <w:t xml:space="preserve"> serviço</w:t>
      </w:r>
      <w:r w:rsidR="00965164" w:rsidRPr="00723ECA">
        <w:rPr>
          <w:sz w:val="22"/>
          <w:szCs w:val="24"/>
          <w:lang w:val="pt-BR"/>
        </w:rPr>
        <w:t>s</w:t>
      </w:r>
      <w:r w:rsidRPr="00723ECA">
        <w:rPr>
          <w:sz w:val="22"/>
          <w:szCs w:val="24"/>
          <w:lang w:val="pt-BR"/>
        </w:rPr>
        <w:t xml:space="preserve"> em bairros pobres e assentamentos informais.</w:t>
      </w:r>
    </w:p>
    <w:p w:rsidR="00A511C7" w:rsidRPr="00723ECA" w:rsidRDefault="00A511C7" w:rsidP="00B756E4">
      <w:pPr>
        <w:pStyle w:val="Body1"/>
        <w:spacing w:before="120"/>
        <w:ind w:left="1134" w:right="1134"/>
        <w:jc w:val="both"/>
        <w:outlineLvl w:val="9"/>
        <w:rPr>
          <w:sz w:val="22"/>
          <w:szCs w:val="24"/>
          <w:lang w:val="pt-BR"/>
        </w:rPr>
      </w:pPr>
      <w:r w:rsidRPr="00723ECA">
        <w:rPr>
          <w:sz w:val="22"/>
          <w:szCs w:val="24"/>
          <w:lang w:val="pt-BR"/>
        </w:rPr>
        <w:t xml:space="preserve">17. Embora a existência de </w:t>
      </w:r>
      <w:r w:rsidRPr="00886302">
        <w:rPr>
          <w:sz w:val="22"/>
          <w:szCs w:val="24"/>
          <w:lang w:val="pt-BR"/>
        </w:rPr>
        <w:t xml:space="preserve">políticas e estratégias nacionais corroboradas pelos direitos humanos à água e ao </w:t>
      </w:r>
      <w:r w:rsidR="00886302">
        <w:rPr>
          <w:sz w:val="22"/>
          <w:szCs w:val="24"/>
          <w:lang w:val="pt-BR"/>
        </w:rPr>
        <w:t>esgotamento sanitário contribua</w:t>
      </w:r>
      <w:r w:rsidR="009E3FFE" w:rsidRPr="00886302">
        <w:rPr>
          <w:sz w:val="22"/>
          <w:szCs w:val="24"/>
          <w:lang w:val="pt-BR"/>
        </w:rPr>
        <w:t xml:space="preserve"> </w:t>
      </w:r>
      <w:r w:rsidRPr="00886302">
        <w:rPr>
          <w:sz w:val="22"/>
          <w:szCs w:val="24"/>
          <w:lang w:val="pt-BR"/>
        </w:rPr>
        <w:t xml:space="preserve">enormemente para a criação de um ambiente regulatório propício, os </w:t>
      </w:r>
      <w:r w:rsidR="002533F0" w:rsidRPr="00886302">
        <w:rPr>
          <w:sz w:val="22"/>
          <w:szCs w:val="24"/>
          <w:lang w:val="pt-BR"/>
        </w:rPr>
        <w:t>agentes regulatórios</w:t>
      </w:r>
      <w:r w:rsidRPr="00886302">
        <w:rPr>
          <w:sz w:val="22"/>
          <w:szCs w:val="24"/>
          <w:lang w:val="pt-BR"/>
        </w:rPr>
        <w:t xml:space="preserve"> não podem simplesmente ignorar suas obrigações em matéria de direitos humanos com o argumento de que as políticas nacionais são inadequadas. Estando na interface entre os formuladores de políticas, os prestadores de serviços e os usuários</w:t>
      </w:r>
      <w:r w:rsidR="00965164" w:rsidRPr="00886302">
        <w:rPr>
          <w:sz w:val="22"/>
          <w:szCs w:val="24"/>
          <w:lang w:val="pt-BR"/>
        </w:rPr>
        <w:t>,</w:t>
      </w:r>
      <w:r w:rsidRPr="00886302">
        <w:rPr>
          <w:sz w:val="22"/>
          <w:szCs w:val="24"/>
          <w:lang w:val="pt-BR"/>
        </w:rPr>
        <w:t xml:space="preserve"> e </w:t>
      </w:r>
      <w:r w:rsidR="00965164" w:rsidRPr="00886302">
        <w:rPr>
          <w:sz w:val="22"/>
          <w:szCs w:val="24"/>
          <w:lang w:val="pt-BR"/>
        </w:rPr>
        <w:t xml:space="preserve">enquanto </w:t>
      </w:r>
      <w:r w:rsidRPr="00886302">
        <w:rPr>
          <w:sz w:val="22"/>
          <w:szCs w:val="24"/>
          <w:lang w:val="pt-BR"/>
        </w:rPr>
        <w:t xml:space="preserve">garantidores da </w:t>
      </w:r>
      <w:r w:rsidR="009D6ACE" w:rsidRPr="00886302">
        <w:rPr>
          <w:sz w:val="22"/>
          <w:szCs w:val="24"/>
          <w:lang w:val="pt-BR"/>
        </w:rPr>
        <w:t>responsabilização</w:t>
      </w:r>
      <w:r w:rsidRPr="00886302">
        <w:rPr>
          <w:sz w:val="22"/>
          <w:szCs w:val="24"/>
          <w:lang w:val="pt-BR"/>
        </w:rPr>
        <w:t xml:space="preserve">, os </w:t>
      </w:r>
      <w:r w:rsidR="002533F0" w:rsidRPr="00886302">
        <w:rPr>
          <w:sz w:val="22"/>
          <w:szCs w:val="24"/>
          <w:lang w:val="pt-BR"/>
        </w:rPr>
        <w:t>agentes regulatórios</w:t>
      </w:r>
      <w:r w:rsidRPr="00886302">
        <w:rPr>
          <w:sz w:val="22"/>
          <w:szCs w:val="24"/>
          <w:lang w:val="pt-BR"/>
        </w:rPr>
        <w:t xml:space="preserve"> estão em melhores condiçõe</w:t>
      </w:r>
      <w:r w:rsidR="00965164" w:rsidRPr="00886302">
        <w:rPr>
          <w:sz w:val="22"/>
          <w:szCs w:val="24"/>
          <w:lang w:val="pt-BR"/>
        </w:rPr>
        <w:t xml:space="preserve">s para avaliar se os padrões dos serviços de </w:t>
      </w:r>
      <w:r w:rsidRPr="00886302">
        <w:rPr>
          <w:sz w:val="22"/>
          <w:szCs w:val="24"/>
          <w:lang w:val="pt-BR"/>
        </w:rPr>
        <w:t xml:space="preserve">água e </w:t>
      </w:r>
      <w:r w:rsidR="00965164" w:rsidRPr="00886302">
        <w:rPr>
          <w:sz w:val="22"/>
          <w:szCs w:val="24"/>
          <w:lang w:val="pt-BR"/>
        </w:rPr>
        <w:t xml:space="preserve">de </w:t>
      </w:r>
      <w:r w:rsidRPr="00886302">
        <w:rPr>
          <w:sz w:val="22"/>
          <w:szCs w:val="24"/>
          <w:lang w:val="pt-BR"/>
        </w:rPr>
        <w:t xml:space="preserve">esgotamento sanitário estão sendo progressivamente alcançados ou ignorados. Eles também têm o papel </w:t>
      </w:r>
      <w:r w:rsidR="00965164" w:rsidRPr="00886302">
        <w:rPr>
          <w:sz w:val="22"/>
          <w:szCs w:val="24"/>
          <w:lang w:val="pt-BR"/>
        </w:rPr>
        <w:t xml:space="preserve">essencial </w:t>
      </w:r>
      <w:r w:rsidRPr="00886302">
        <w:rPr>
          <w:sz w:val="22"/>
          <w:szCs w:val="24"/>
          <w:lang w:val="pt-BR"/>
        </w:rPr>
        <w:t xml:space="preserve">de identificar retrocessos na efetivação dos direitos e exigir que os prestadores abordem as verdadeiras causas dessas violações. Como tal, a obrigação de </w:t>
      </w:r>
      <w:r w:rsidRPr="00886302">
        <w:rPr>
          <w:sz w:val="22"/>
          <w:szCs w:val="24"/>
          <w:lang w:val="pt-BR"/>
        </w:rPr>
        <w:lastRenderedPageBreak/>
        <w:t xml:space="preserve">monitorar a conformidade dos prestadores de serviços com os padrões dos direitos humanos à água e ao esgotamento sanitário e identificar o que compromete a efetivação desses direitos, ultrapassa </w:t>
      </w:r>
      <w:r w:rsidR="00C03E77" w:rsidRPr="00886302">
        <w:rPr>
          <w:sz w:val="22"/>
          <w:szCs w:val="24"/>
          <w:lang w:val="pt-BR"/>
        </w:rPr>
        <w:t>a mera fiscalização</w:t>
      </w:r>
      <w:r w:rsidRPr="00886302">
        <w:rPr>
          <w:sz w:val="22"/>
          <w:szCs w:val="24"/>
          <w:lang w:val="pt-BR"/>
        </w:rPr>
        <w:t xml:space="preserve">. Envolve, por exemplo, apoiar e influenciar as decisões de investimento e as mudanças políticas e legislativas, de acordo com </w:t>
      </w:r>
      <w:r w:rsidR="00965164" w:rsidRPr="00886302">
        <w:rPr>
          <w:sz w:val="22"/>
          <w:szCs w:val="24"/>
          <w:lang w:val="pt-BR"/>
        </w:rPr>
        <w:t>o marco</w:t>
      </w:r>
      <w:r w:rsidRPr="00886302">
        <w:rPr>
          <w:sz w:val="22"/>
          <w:szCs w:val="24"/>
          <w:lang w:val="pt-BR"/>
        </w:rPr>
        <w:t xml:space="preserve"> </w:t>
      </w:r>
      <w:r w:rsidR="00965164" w:rsidRPr="00886302">
        <w:rPr>
          <w:sz w:val="22"/>
          <w:szCs w:val="24"/>
          <w:lang w:val="pt-BR"/>
        </w:rPr>
        <w:t>dos</w:t>
      </w:r>
      <w:r w:rsidRPr="00886302">
        <w:rPr>
          <w:sz w:val="22"/>
          <w:szCs w:val="24"/>
          <w:lang w:val="pt-BR"/>
        </w:rPr>
        <w:t xml:space="preserve"> direitos humanos.</w:t>
      </w:r>
    </w:p>
    <w:p w:rsidR="00A511C7" w:rsidRPr="00723ECA" w:rsidRDefault="00A511C7" w:rsidP="00B756E4">
      <w:pPr>
        <w:pStyle w:val="Body1"/>
        <w:spacing w:before="120"/>
        <w:ind w:left="1134" w:right="1134"/>
        <w:jc w:val="both"/>
        <w:outlineLvl w:val="9"/>
        <w:rPr>
          <w:sz w:val="22"/>
          <w:szCs w:val="24"/>
          <w:lang w:val="pt-BR"/>
        </w:rPr>
      </w:pPr>
      <w:r w:rsidRPr="00723ECA">
        <w:rPr>
          <w:sz w:val="22"/>
          <w:szCs w:val="24"/>
          <w:lang w:val="pt-BR"/>
        </w:rPr>
        <w:t xml:space="preserve">18. A Carta de Lisboa da </w:t>
      </w:r>
      <w:proofErr w:type="spellStart"/>
      <w:r w:rsidRPr="00723ECA">
        <w:rPr>
          <w:i/>
          <w:sz w:val="22"/>
          <w:lang w:val="pt-BR"/>
        </w:rPr>
        <w:t>International</w:t>
      </w:r>
      <w:proofErr w:type="spellEnd"/>
      <w:r w:rsidRPr="00723ECA">
        <w:rPr>
          <w:i/>
          <w:sz w:val="22"/>
          <w:lang w:val="pt-BR"/>
        </w:rPr>
        <w:t xml:space="preserve"> </w:t>
      </w:r>
      <w:proofErr w:type="spellStart"/>
      <w:r w:rsidRPr="00723ECA">
        <w:rPr>
          <w:i/>
          <w:sz w:val="22"/>
          <w:lang w:val="pt-BR"/>
        </w:rPr>
        <w:t>Water</w:t>
      </w:r>
      <w:proofErr w:type="spellEnd"/>
      <w:r w:rsidRPr="00723ECA">
        <w:rPr>
          <w:i/>
          <w:sz w:val="22"/>
          <w:lang w:val="pt-BR"/>
        </w:rPr>
        <w:t xml:space="preserve"> </w:t>
      </w:r>
      <w:proofErr w:type="spellStart"/>
      <w:r w:rsidRPr="00723ECA">
        <w:rPr>
          <w:i/>
          <w:sz w:val="22"/>
          <w:lang w:val="pt-BR"/>
        </w:rPr>
        <w:t>Association</w:t>
      </w:r>
      <w:proofErr w:type="spellEnd"/>
      <w:r w:rsidRPr="00723ECA">
        <w:rPr>
          <w:sz w:val="22"/>
          <w:szCs w:val="24"/>
          <w:lang w:val="pt-BR"/>
        </w:rPr>
        <w:t xml:space="preserve"> </w:t>
      </w:r>
      <w:r w:rsidRPr="00723ECA">
        <w:rPr>
          <w:sz w:val="22"/>
          <w:lang w:val="pt-BR"/>
        </w:rPr>
        <w:t>sobre políticas públicas e regulação dos serviços de</w:t>
      </w:r>
      <w:r w:rsidR="00965164" w:rsidRPr="00723ECA">
        <w:rPr>
          <w:sz w:val="22"/>
          <w:lang w:val="pt-BR"/>
        </w:rPr>
        <w:t xml:space="preserve"> </w:t>
      </w:r>
      <w:r w:rsidRPr="00723ECA">
        <w:rPr>
          <w:sz w:val="22"/>
          <w:lang w:val="pt-BR"/>
        </w:rPr>
        <w:t xml:space="preserve">abastecimento de água potável, </w:t>
      </w:r>
      <w:r w:rsidR="00886302">
        <w:rPr>
          <w:sz w:val="22"/>
          <w:lang w:val="pt-BR"/>
        </w:rPr>
        <w:t xml:space="preserve">esgotamento sanitário </w:t>
      </w:r>
      <w:r w:rsidRPr="00723ECA">
        <w:rPr>
          <w:sz w:val="22"/>
          <w:lang w:val="pt-BR"/>
        </w:rPr>
        <w:t xml:space="preserve">e </w:t>
      </w:r>
      <w:r w:rsidR="00886302">
        <w:rPr>
          <w:sz w:val="22"/>
          <w:lang w:val="pt-BR"/>
        </w:rPr>
        <w:t xml:space="preserve">gestão de águas </w:t>
      </w:r>
      <w:proofErr w:type="spellStart"/>
      <w:r w:rsidR="00886302">
        <w:rPr>
          <w:sz w:val="22"/>
          <w:lang w:val="pt-BR"/>
        </w:rPr>
        <w:t>residuária</w:t>
      </w:r>
      <w:r w:rsidRPr="00723ECA">
        <w:rPr>
          <w:sz w:val="22"/>
          <w:lang w:val="pt-BR"/>
        </w:rPr>
        <w:t>s</w:t>
      </w:r>
      <w:proofErr w:type="spellEnd"/>
      <w:r w:rsidRPr="00723ECA">
        <w:rPr>
          <w:sz w:val="22"/>
          <w:lang w:val="pt-BR"/>
        </w:rPr>
        <w:t xml:space="preserve">, </w:t>
      </w:r>
      <w:r w:rsidRPr="00723ECA">
        <w:rPr>
          <w:sz w:val="22"/>
          <w:szCs w:val="24"/>
          <w:lang w:val="pt-BR"/>
        </w:rPr>
        <w:t xml:space="preserve">aprovada por 85 representantes governamentais em 2015, afirma que as ações dos </w:t>
      </w:r>
      <w:r w:rsidR="002533F0">
        <w:rPr>
          <w:sz w:val="22"/>
          <w:szCs w:val="24"/>
          <w:lang w:val="pt-BR"/>
        </w:rPr>
        <w:t>agentes regulatórios</w:t>
      </w:r>
      <w:r w:rsidRPr="00723ECA">
        <w:rPr>
          <w:sz w:val="22"/>
          <w:szCs w:val="24"/>
          <w:lang w:val="pt-BR"/>
        </w:rPr>
        <w:t xml:space="preserve"> </w:t>
      </w:r>
      <w:r w:rsidR="00965164" w:rsidRPr="00723ECA">
        <w:rPr>
          <w:sz w:val="22"/>
          <w:szCs w:val="24"/>
          <w:lang w:val="pt-BR"/>
        </w:rPr>
        <w:t>“</w:t>
      </w:r>
      <w:r w:rsidRPr="00723ECA">
        <w:rPr>
          <w:sz w:val="22"/>
          <w:lang w:val="pt-BR"/>
        </w:rPr>
        <w:t xml:space="preserve">devem </w:t>
      </w:r>
      <w:r w:rsidR="00886302">
        <w:rPr>
          <w:sz w:val="22"/>
          <w:lang w:val="pt-BR"/>
        </w:rPr>
        <w:t>se basear</w:t>
      </w:r>
      <w:r w:rsidRPr="00723ECA">
        <w:rPr>
          <w:sz w:val="22"/>
          <w:lang w:val="pt-BR"/>
        </w:rPr>
        <w:t xml:space="preserve"> nos princípios da competência, profissionalismo, imparcialidade, responsabilidade e transparência” </w:t>
      </w:r>
      <w:r w:rsidRPr="00723ECA">
        <w:rPr>
          <w:sz w:val="22"/>
          <w:szCs w:val="24"/>
          <w:lang w:val="pt-BR"/>
        </w:rPr>
        <w:t>(</w:t>
      </w:r>
      <w:r w:rsidR="009D6ACE" w:rsidRPr="00723ECA">
        <w:rPr>
          <w:sz w:val="22"/>
          <w:szCs w:val="24"/>
          <w:lang w:val="pt-BR"/>
        </w:rPr>
        <w:t>Art.</w:t>
      </w:r>
      <w:r w:rsidRPr="00723ECA">
        <w:rPr>
          <w:sz w:val="22"/>
          <w:szCs w:val="24"/>
          <w:lang w:val="pt-BR"/>
        </w:rPr>
        <w:t xml:space="preserve"> 4). Do ponto de vista dos direitos humanos, existem princípios fundamentais adicionais que devem orientar a intervenção regulatória em todas as circunstâncias: os princípios da igualdade e da não discriminação; participação ativa, </w:t>
      </w:r>
      <w:r w:rsidR="00965164" w:rsidRPr="00723ECA">
        <w:rPr>
          <w:sz w:val="22"/>
          <w:szCs w:val="24"/>
          <w:lang w:val="pt-BR"/>
        </w:rPr>
        <w:t xml:space="preserve">livre </w:t>
      </w:r>
      <w:r w:rsidRPr="00723ECA">
        <w:rPr>
          <w:sz w:val="22"/>
          <w:szCs w:val="24"/>
          <w:lang w:val="pt-BR"/>
        </w:rPr>
        <w:t xml:space="preserve">e significativa; acesso à informação; e sustentabilidade. Esses princípios abrangentes não devem apenas orientar as políticas nacionais de água e esgotamento sanitário, mas </w:t>
      </w:r>
      <w:r w:rsidR="00965164" w:rsidRPr="00723ECA">
        <w:rPr>
          <w:sz w:val="22"/>
          <w:szCs w:val="24"/>
          <w:lang w:val="pt-BR"/>
        </w:rPr>
        <w:t xml:space="preserve">devem </w:t>
      </w:r>
      <w:r w:rsidRPr="00723ECA">
        <w:rPr>
          <w:sz w:val="22"/>
          <w:szCs w:val="24"/>
          <w:lang w:val="pt-BR"/>
        </w:rPr>
        <w:t xml:space="preserve">também ser incorporados em marcos legais e regulatórios que vinculam todas as partes interessadas no setor de abastecimento de água e esgotamento sanitário, incluindo </w:t>
      </w:r>
      <w:r w:rsidR="002533F0">
        <w:rPr>
          <w:sz w:val="22"/>
          <w:szCs w:val="24"/>
          <w:lang w:val="pt-BR"/>
        </w:rPr>
        <w:t>agentes regulatórios</w:t>
      </w:r>
      <w:r w:rsidRPr="00723ECA">
        <w:rPr>
          <w:sz w:val="22"/>
          <w:szCs w:val="24"/>
          <w:lang w:val="pt-BR"/>
        </w:rPr>
        <w:t>.</w:t>
      </w:r>
    </w:p>
    <w:p w:rsidR="00A511C7" w:rsidRPr="00723ECA" w:rsidRDefault="00A511C7" w:rsidP="00B756E4">
      <w:pPr>
        <w:pStyle w:val="Body1"/>
        <w:spacing w:before="120" w:after="240"/>
        <w:ind w:left="1134" w:right="1134"/>
        <w:jc w:val="both"/>
        <w:outlineLvl w:val="9"/>
        <w:rPr>
          <w:sz w:val="22"/>
          <w:szCs w:val="24"/>
          <w:lang w:val="pt-BR"/>
        </w:rPr>
      </w:pPr>
      <w:r w:rsidRPr="00723ECA">
        <w:rPr>
          <w:sz w:val="22"/>
          <w:szCs w:val="24"/>
          <w:lang w:val="pt-BR"/>
        </w:rPr>
        <w:t xml:space="preserve">19. O acesso à informação é crucial para o trabalho dos </w:t>
      </w:r>
      <w:r w:rsidR="002533F0">
        <w:rPr>
          <w:sz w:val="22"/>
          <w:szCs w:val="24"/>
          <w:lang w:val="pt-BR"/>
        </w:rPr>
        <w:t>agentes regulatórios</w:t>
      </w:r>
      <w:r w:rsidRPr="00723ECA">
        <w:rPr>
          <w:sz w:val="22"/>
          <w:szCs w:val="24"/>
          <w:lang w:val="pt-BR"/>
        </w:rPr>
        <w:t xml:space="preserve">, que têm a obrigação de coletar, analisar e disseminar informações precisas e desagregadas sobre a </w:t>
      </w:r>
      <w:proofErr w:type="gramStart"/>
      <w:r w:rsidRPr="00723ECA">
        <w:rPr>
          <w:sz w:val="22"/>
          <w:szCs w:val="24"/>
          <w:lang w:val="pt-BR"/>
        </w:rPr>
        <w:t>implementação</w:t>
      </w:r>
      <w:proofErr w:type="gramEnd"/>
      <w:r w:rsidRPr="00723ECA">
        <w:rPr>
          <w:sz w:val="22"/>
          <w:szCs w:val="24"/>
          <w:lang w:val="pt-BR"/>
        </w:rPr>
        <w:t xml:space="preserve"> dos direitos à água e ao esgotamento sanitário pelos prestadores de serviços que eles regulam. O acesso à informação é essencial para permitir uma participação significativa. Neste contexto, é importante ressaltar que a obrigação dos </w:t>
      </w:r>
      <w:r w:rsidR="002533F0">
        <w:rPr>
          <w:sz w:val="22"/>
          <w:szCs w:val="24"/>
          <w:lang w:val="pt-BR"/>
        </w:rPr>
        <w:t>agentes regulatórios</w:t>
      </w:r>
      <w:r w:rsidR="00E33D74" w:rsidRPr="00723ECA">
        <w:rPr>
          <w:sz w:val="22"/>
          <w:szCs w:val="24"/>
          <w:lang w:val="pt-BR"/>
        </w:rPr>
        <w:t xml:space="preserve"> </w:t>
      </w:r>
      <w:r w:rsidR="0036400E" w:rsidRPr="00723ECA">
        <w:rPr>
          <w:sz w:val="22"/>
          <w:szCs w:val="24"/>
          <w:lang w:val="pt-BR"/>
        </w:rPr>
        <w:t>de</w:t>
      </w:r>
      <w:r w:rsidRPr="00723ECA">
        <w:rPr>
          <w:sz w:val="22"/>
          <w:szCs w:val="24"/>
          <w:lang w:val="pt-BR"/>
        </w:rPr>
        <w:t xml:space="preserve"> assegurar uma participação </w:t>
      </w:r>
      <w:r w:rsidR="0036400E" w:rsidRPr="00723ECA">
        <w:rPr>
          <w:sz w:val="22"/>
          <w:szCs w:val="24"/>
          <w:lang w:val="pt-BR"/>
        </w:rPr>
        <w:t xml:space="preserve">pública </w:t>
      </w:r>
      <w:r w:rsidRPr="00723ECA">
        <w:rPr>
          <w:sz w:val="22"/>
          <w:szCs w:val="24"/>
          <w:lang w:val="pt-BR"/>
        </w:rPr>
        <w:t xml:space="preserve">significativa em decisões regulatórias fundamentais, incluindo a definição de tarifas, não é </w:t>
      </w:r>
      <w:r w:rsidR="00A57A2C">
        <w:rPr>
          <w:sz w:val="22"/>
          <w:szCs w:val="24"/>
          <w:lang w:val="pt-BR"/>
        </w:rPr>
        <w:t xml:space="preserve">de modo algum incompatível com a </w:t>
      </w:r>
      <w:r w:rsidRPr="00A57A2C">
        <w:rPr>
          <w:sz w:val="22"/>
          <w:szCs w:val="24"/>
          <w:lang w:val="pt-BR"/>
        </w:rPr>
        <w:t>independência</w:t>
      </w:r>
      <w:r w:rsidRPr="00723ECA">
        <w:rPr>
          <w:sz w:val="22"/>
          <w:szCs w:val="24"/>
          <w:lang w:val="pt-BR"/>
        </w:rPr>
        <w:t xml:space="preserve"> </w:t>
      </w:r>
      <w:r w:rsidR="004658A8" w:rsidRPr="00723ECA">
        <w:rPr>
          <w:sz w:val="22"/>
          <w:szCs w:val="24"/>
          <w:lang w:val="pt-BR"/>
        </w:rPr>
        <w:t>preconizada</w:t>
      </w:r>
      <w:r w:rsidRPr="00723ECA">
        <w:rPr>
          <w:sz w:val="22"/>
          <w:szCs w:val="24"/>
          <w:lang w:val="pt-BR"/>
        </w:rPr>
        <w:t>.</w:t>
      </w:r>
    </w:p>
    <w:p w:rsidR="00A511C7" w:rsidRPr="00723ECA" w:rsidRDefault="00A511C7" w:rsidP="00B756E4">
      <w:pPr>
        <w:pStyle w:val="H1G"/>
        <w:numPr>
          <w:ilvl w:val="0"/>
          <w:numId w:val="5"/>
        </w:numPr>
        <w:ind w:left="851" w:hanging="142"/>
        <w:rPr>
          <w:sz w:val="28"/>
          <w:lang w:val="pt-BR"/>
        </w:rPr>
      </w:pPr>
      <w:r w:rsidRPr="00723ECA">
        <w:rPr>
          <w:sz w:val="28"/>
          <w:lang w:val="pt-BR"/>
        </w:rPr>
        <w:t>Responsabilidades dos prestadores de serviços</w:t>
      </w:r>
    </w:p>
    <w:p w:rsidR="00A511C7" w:rsidRPr="00723ECA" w:rsidRDefault="00A511C7" w:rsidP="00B756E4">
      <w:pPr>
        <w:pStyle w:val="Body1"/>
        <w:spacing w:before="120"/>
        <w:ind w:left="1134" w:right="1134"/>
        <w:jc w:val="both"/>
        <w:outlineLvl w:val="9"/>
        <w:rPr>
          <w:sz w:val="22"/>
          <w:szCs w:val="24"/>
          <w:lang w:val="pt-BR"/>
        </w:rPr>
      </w:pPr>
      <w:r w:rsidRPr="00723ECA">
        <w:rPr>
          <w:sz w:val="22"/>
          <w:szCs w:val="24"/>
          <w:lang w:val="pt-BR"/>
        </w:rPr>
        <w:t>20. Todos os prestadores de serviços</w:t>
      </w:r>
      <w:proofErr w:type="gramStart"/>
      <w:r w:rsidRPr="00723ECA">
        <w:rPr>
          <w:sz w:val="22"/>
          <w:szCs w:val="24"/>
          <w:lang w:val="pt-BR"/>
        </w:rPr>
        <w:t>, sejam</w:t>
      </w:r>
      <w:proofErr w:type="gramEnd"/>
      <w:r w:rsidRPr="00723ECA">
        <w:rPr>
          <w:sz w:val="22"/>
          <w:szCs w:val="24"/>
          <w:lang w:val="pt-BR"/>
        </w:rPr>
        <w:t xml:space="preserve"> esses públicos, estatais ou privados, devem cumprir os</w:t>
      </w:r>
      <w:r w:rsidR="002943C0" w:rsidRPr="00723ECA">
        <w:rPr>
          <w:sz w:val="22"/>
          <w:szCs w:val="24"/>
          <w:lang w:val="pt-BR"/>
        </w:rPr>
        <w:t xml:space="preserve"> </w:t>
      </w:r>
      <w:r w:rsidR="00723ECA">
        <w:rPr>
          <w:sz w:val="22"/>
          <w:szCs w:val="24"/>
          <w:lang w:val="pt-BR"/>
        </w:rPr>
        <w:t xml:space="preserve">marcos </w:t>
      </w:r>
      <w:r w:rsidR="0036400E" w:rsidRPr="00723ECA">
        <w:rPr>
          <w:sz w:val="22"/>
          <w:szCs w:val="24"/>
          <w:lang w:val="pt-BR"/>
        </w:rPr>
        <w:t xml:space="preserve">legal e </w:t>
      </w:r>
      <w:r w:rsidRPr="00723ECA">
        <w:rPr>
          <w:sz w:val="22"/>
          <w:szCs w:val="24"/>
          <w:lang w:val="pt-BR"/>
        </w:rPr>
        <w:t xml:space="preserve">regulatório do Estado. Nos casos em que o Estado é o prestador de serviços, no nível central ou muitas vezes por intermédio de seus municípios, deve fazê-lo de acordo com as leis e regulamentos do Estado e de acordo com suas obrigações internacionais em matéria de direitos humanos. Quando a prestação de serviços é formalmente delegada pelo Estado a atores não estatais, </w:t>
      </w:r>
      <w:r w:rsidR="0036400E" w:rsidRPr="00723ECA">
        <w:rPr>
          <w:sz w:val="22"/>
          <w:szCs w:val="24"/>
          <w:lang w:val="pt-BR"/>
        </w:rPr>
        <w:t>o Estado</w:t>
      </w:r>
      <w:r w:rsidRPr="00723ECA">
        <w:rPr>
          <w:sz w:val="22"/>
          <w:szCs w:val="24"/>
          <w:lang w:val="pt-BR"/>
        </w:rPr>
        <w:t xml:space="preserve"> não pode isentar-se de suas obrigações em relação aos direitos humanos e </w:t>
      </w:r>
      <w:r w:rsidR="0036400E" w:rsidRPr="00723ECA">
        <w:rPr>
          <w:sz w:val="22"/>
          <w:szCs w:val="24"/>
          <w:lang w:val="pt-BR"/>
        </w:rPr>
        <w:t>mantém</w:t>
      </w:r>
      <w:r w:rsidR="00E10C95" w:rsidRPr="00723ECA">
        <w:rPr>
          <w:sz w:val="22"/>
          <w:szCs w:val="24"/>
          <w:lang w:val="pt-BR"/>
        </w:rPr>
        <w:t xml:space="preserve"> </w:t>
      </w:r>
      <w:r w:rsidR="0036400E" w:rsidRPr="00723ECA">
        <w:rPr>
          <w:sz w:val="22"/>
          <w:szCs w:val="24"/>
          <w:lang w:val="pt-BR"/>
        </w:rPr>
        <w:t>a obrigação de regul</w:t>
      </w:r>
      <w:r w:rsidRPr="00723ECA">
        <w:rPr>
          <w:sz w:val="22"/>
          <w:szCs w:val="24"/>
          <w:lang w:val="pt-BR"/>
        </w:rPr>
        <w:t>ar e monitorar as atividades dos prestadores. Os prestadores de serviços não estatais (formais e informais), por outro lado, têm responsabilidades em matéria de direitos humanos, que incluem cumprir o marco regulatório nacional e respeitar os direitos humanos à água e ao esgotamento sanitário.</w:t>
      </w:r>
    </w:p>
    <w:p w:rsidR="00A511C7" w:rsidRPr="00723ECA" w:rsidRDefault="00A511C7" w:rsidP="00B756E4">
      <w:pPr>
        <w:pStyle w:val="Body1"/>
        <w:spacing w:before="120"/>
        <w:ind w:left="1134" w:right="1134"/>
        <w:jc w:val="both"/>
        <w:outlineLvl w:val="9"/>
        <w:rPr>
          <w:sz w:val="22"/>
          <w:szCs w:val="24"/>
          <w:lang w:val="pt-BR"/>
        </w:rPr>
      </w:pPr>
      <w:r w:rsidRPr="00723ECA">
        <w:rPr>
          <w:sz w:val="22"/>
          <w:szCs w:val="24"/>
          <w:lang w:val="pt-BR"/>
        </w:rPr>
        <w:t xml:space="preserve">21. No mínimo, as empresas públicas têm as mesmas responsabilidades </w:t>
      </w:r>
      <w:r w:rsidR="0036400E" w:rsidRPr="00723ECA">
        <w:rPr>
          <w:sz w:val="22"/>
          <w:szCs w:val="24"/>
          <w:lang w:val="pt-BR"/>
        </w:rPr>
        <w:t xml:space="preserve">das </w:t>
      </w:r>
      <w:r w:rsidRPr="00723ECA">
        <w:rPr>
          <w:sz w:val="22"/>
          <w:szCs w:val="24"/>
          <w:lang w:val="pt-BR"/>
        </w:rPr>
        <w:t xml:space="preserve">demais empresas e devem cumprir o marco regulatório nacional. Quando as empresas públicas atuam como ramos do governo ou agentes de </w:t>
      </w:r>
      <w:proofErr w:type="gramStart"/>
      <w:r w:rsidRPr="00723ECA">
        <w:rPr>
          <w:sz w:val="22"/>
          <w:szCs w:val="24"/>
          <w:lang w:val="pt-BR"/>
        </w:rPr>
        <w:t>implementação</w:t>
      </w:r>
      <w:proofErr w:type="gramEnd"/>
      <w:r w:rsidRPr="00723ECA">
        <w:rPr>
          <w:sz w:val="22"/>
          <w:szCs w:val="24"/>
          <w:lang w:val="pt-BR"/>
        </w:rPr>
        <w:t xml:space="preserve"> de políticas públicas, o Estado deve garantir a coerência das políticas e garantir que as atividades dessas empresas contribuam para a efetivação dos direitos humanos à água e ao esgotamento sanitário.</w:t>
      </w:r>
    </w:p>
    <w:p w:rsidR="00A511C7" w:rsidRPr="00723ECA" w:rsidRDefault="00A511C7" w:rsidP="00B756E4">
      <w:pPr>
        <w:pStyle w:val="Body1"/>
        <w:spacing w:before="120"/>
        <w:ind w:left="1134" w:right="1134"/>
        <w:jc w:val="both"/>
        <w:outlineLvl w:val="9"/>
        <w:rPr>
          <w:sz w:val="22"/>
          <w:szCs w:val="24"/>
          <w:lang w:val="pt-BR"/>
        </w:rPr>
      </w:pPr>
      <w:r w:rsidRPr="00723ECA">
        <w:rPr>
          <w:sz w:val="22"/>
          <w:szCs w:val="24"/>
          <w:lang w:val="pt-BR"/>
        </w:rPr>
        <w:t xml:space="preserve">22. Os instrumentos de delegação da prestação de serviços, incluindo contratos, devem refletir o marco regulatório nacional e as normas de direitos humanos. Isso significa que esses instrumentos devem incluir uma definição clara de responsabilidades dos prestadores </w:t>
      </w:r>
      <w:r w:rsidRPr="00723ECA">
        <w:rPr>
          <w:sz w:val="22"/>
          <w:szCs w:val="24"/>
          <w:lang w:val="pt-BR"/>
        </w:rPr>
        <w:lastRenderedPageBreak/>
        <w:t>em matéria de direitos humanos, metas de cobertur</w:t>
      </w:r>
      <w:r w:rsidR="00266405">
        <w:rPr>
          <w:sz w:val="22"/>
          <w:szCs w:val="24"/>
          <w:lang w:val="pt-BR"/>
        </w:rPr>
        <w:t>a para eliminar desigualdades de</w:t>
      </w:r>
      <w:r w:rsidRPr="00723ECA">
        <w:rPr>
          <w:sz w:val="22"/>
          <w:szCs w:val="24"/>
          <w:lang w:val="pt-BR"/>
        </w:rPr>
        <w:t xml:space="preserve"> acesso,</w:t>
      </w:r>
      <w:r w:rsidR="00C03E77" w:rsidRPr="00723ECA">
        <w:rPr>
          <w:sz w:val="22"/>
          <w:szCs w:val="24"/>
          <w:lang w:val="pt-BR"/>
        </w:rPr>
        <w:t xml:space="preserve"> suficiente provisão da </w:t>
      </w:r>
      <w:r w:rsidRPr="00723ECA">
        <w:rPr>
          <w:sz w:val="22"/>
          <w:szCs w:val="24"/>
          <w:lang w:val="pt-BR"/>
        </w:rPr>
        <w:t xml:space="preserve">participação, </w:t>
      </w:r>
      <w:proofErr w:type="gramStart"/>
      <w:r w:rsidRPr="00723ECA">
        <w:rPr>
          <w:sz w:val="22"/>
          <w:szCs w:val="24"/>
          <w:lang w:val="pt-BR"/>
        </w:rPr>
        <w:t>acesso</w:t>
      </w:r>
      <w:proofErr w:type="gramEnd"/>
      <w:r w:rsidRPr="00723ECA">
        <w:rPr>
          <w:sz w:val="22"/>
          <w:szCs w:val="24"/>
          <w:lang w:val="pt-BR"/>
        </w:rPr>
        <w:t xml:space="preserve"> a informações e mecanismos de </w:t>
      </w:r>
      <w:r w:rsidR="009D6ACE" w:rsidRPr="00723ECA">
        <w:rPr>
          <w:sz w:val="22"/>
          <w:szCs w:val="24"/>
          <w:lang w:val="pt-BR"/>
        </w:rPr>
        <w:t>responsabilização</w:t>
      </w:r>
      <w:r w:rsidRPr="00723ECA">
        <w:rPr>
          <w:sz w:val="22"/>
          <w:szCs w:val="24"/>
          <w:lang w:val="pt-BR"/>
        </w:rPr>
        <w:t>. Ao garantir isso, os prestadores de serviços não estatais também devem respeitar os direitos humanos. Para isso, eles devem exercer a devida diligência</w:t>
      </w:r>
      <w:r w:rsidR="00266405">
        <w:rPr>
          <w:rStyle w:val="FootnoteReference"/>
          <w:szCs w:val="24"/>
          <w:lang w:val="pt-BR"/>
        </w:rPr>
        <w:footnoteReference w:id="12"/>
      </w:r>
      <w:r w:rsidRPr="00723ECA">
        <w:rPr>
          <w:sz w:val="22"/>
          <w:szCs w:val="24"/>
          <w:lang w:val="pt-BR"/>
        </w:rPr>
        <w:t xml:space="preserve"> para tomar </w:t>
      </w:r>
      <w:r w:rsidR="00911E4D">
        <w:rPr>
          <w:sz w:val="22"/>
          <w:szCs w:val="24"/>
          <w:lang w:val="pt-BR"/>
        </w:rPr>
        <w:t xml:space="preserve">conhecimento </w:t>
      </w:r>
      <w:r w:rsidRPr="00723ECA">
        <w:rPr>
          <w:sz w:val="22"/>
          <w:szCs w:val="24"/>
          <w:lang w:val="pt-BR"/>
        </w:rPr>
        <w:t>e enfrentar qualquer impacto potencial na efetivação dos direitos humanos à água e ao esgotamento sanitário, inclusive por meio da análise, na perspectiva de direitos humanos, dos instrumentos de delegação propostos (ver A/HRC/15/31, parágrafo 38) e, quando</w:t>
      </w:r>
      <w:r w:rsidR="004658A8" w:rsidRPr="00723ECA">
        <w:rPr>
          <w:sz w:val="22"/>
          <w:szCs w:val="24"/>
          <w:lang w:val="pt-BR"/>
        </w:rPr>
        <w:t xml:space="preserve"> couber</w:t>
      </w:r>
      <w:r w:rsidRPr="00723ECA">
        <w:rPr>
          <w:sz w:val="22"/>
          <w:szCs w:val="24"/>
          <w:lang w:val="pt-BR"/>
        </w:rPr>
        <w:t xml:space="preserve">, realizando avaliações de impacto </w:t>
      </w:r>
      <w:r w:rsidR="003714FB" w:rsidRPr="00723ECA">
        <w:rPr>
          <w:sz w:val="22"/>
          <w:szCs w:val="24"/>
          <w:lang w:val="pt-BR"/>
        </w:rPr>
        <w:t>de</w:t>
      </w:r>
      <w:r w:rsidRPr="00723ECA">
        <w:rPr>
          <w:sz w:val="22"/>
          <w:szCs w:val="24"/>
          <w:lang w:val="pt-BR"/>
        </w:rPr>
        <w:t xml:space="preserve"> direitos</w:t>
      </w:r>
      <w:r w:rsidR="003714FB" w:rsidRPr="00723ECA">
        <w:rPr>
          <w:sz w:val="22"/>
          <w:szCs w:val="24"/>
          <w:lang w:val="pt-BR"/>
        </w:rPr>
        <w:t xml:space="preserve"> humanos</w:t>
      </w:r>
      <w:r w:rsidRPr="00723ECA">
        <w:rPr>
          <w:sz w:val="22"/>
          <w:szCs w:val="24"/>
          <w:lang w:val="pt-BR"/>
        </w:rPr>
        <w:t xml:space="preserve">. A Assembleia Geral recentemente </w:t>
      </w:r>
      <w:r w:rsidR="003714FB" w:rsidRPr="00723ECA">
        <w:rPr>
          <w:sz w:val="22"/>
          <w:szCs w:val="24"/>
          <w:lang w:val="pt-BR"/>
        </w:rPr>
        <w:t xml:space="preserve">conclamou </w:t>
      </w:r>
      <w:r w:rsidRPr="00723ECA">
        <w:rPr>
          <w:sz w:val="22"/>
          <w:szCs w:val="24"/>
          <w:lang w:val="pt-BR"/>
        </w:rPr>
        <w:t xml:space="preserve">os atores não estatais, inclusive as empresas, a cumprir sua responsabilidade </w:t>
      </w:r>
      <w:r w:rsidR="003714FB" w:rsidRPr="00723ECA">
        <w:rPr>
          <w:sz w:val="22"/>
          <w:szCs w:val="24"/>
          <w:lang w:val="pt-BR"/>
        </w:rPr>
        <w:t>de</w:t>
      </w:r>
      <w:r w:rsidRPr="00723ECA">
        <w:rPr>
          <w:sz w:val="22"/>
          <w:szCs w:val="24"/>
          <w:lang w:val="pt-BR"/>
        </w:rPr>
        <w:t xml:space="preserve"> respeitar os direitos humanos à água e ao esgotamento sanitário, inclusive cooperando com as investigações do Estado sobre denúncias de abusos desses direitos e se envolvendo progressivamente com o poder público para detectar e </w:t>
      </w:r>
      <w:r w:rsidR="003714FB" w:rsidRPr="00723ECA">
        <w:rPr>
          <w:sz w:val="22"/>
          <w:szCs w:val="24"/>
          <w:lang w:val="pt-BR"/>
        </w:rPr>
        <w:t>reparar</w:t>
      </w:r>
      <w:r w:rsidRPr="00723ECA">
        <w:rPr>
          <w:sz w:val="22"/>
          <w:szCs w:val="24"/>
          <w:lang w:val="pt-BR"/>
        </w:rPr>
        <w:t xml:space="preserve"> esses abusos (ver resolução 70/169</w:t>
      </w:r>
      <w:r w:rsidR="00E10C95" w:rsidRPr="00723ECA">
        <w:rPr>
          <w:sz w:val="22"/>
          <w:szCs w:val="24"/>
          <w:lang w:val="pt-BR"/>
        </w:rPr>
        <w:t xml:space="preserve"> </w:t>
      </w:r>
      <w:r w:rsidRPr="00723ECA">
        <w:rPr>
          <w:sz w:val="22"/>
          <w:szCs w:val="24"/>
          <w:lang w:val="pt-BR"/>
        </w:rPr>
        <w:t>da Assembleia Geral, parágrafo 6).</w:t>
      </w:r>
    </w:p>
    <w:p w:rsidR="00A511C7" w:rsidRPr="00723ECA" w:rsidRDefault="00A511C7" w:rsidP="00B756E4">
      <w:pPr>
        <w:pStyle w:val="Body1"/>
        <w:spacing w:before="120"/>
        <w:ind w:left="1134" w:right="1134"/>
        <w:jc w:val="both"/>
        <w:outlineLvl w:val="9"/>
        <w:rPr>
          <w:sz w:val="22"/>
          <w:szCs w:val="24"/>
          <w:lang w:val="pt-BR"/>
        </w:rPr>
      </w:pPr>
      <w:r w:rsidRPr="00723ECA">
        <w:rPr>
          <w:sz w:val="22"/>
          <w:szCs w:val="24"/>
          <w:lang w:val="pt-BR"/>
        </w:rPr>
        <w:t xml:space="preserve">23. Como </w:t>
      </w:r>
      <w:proofErr w:type="gramStart"/>
      <w:r w:rsidRPr="00723ECA">
        <w:rPr>
          <w:sz w:val="22"/>
          <w:szCs w:val="24"/>
          <w:lang w:val="pt-BR"/>
        </w:rPr>
        <w:t>parte</w:t>
      </w:r>
      <w:proofErr w:type="gramEnd"/>
      <w:r w:rsidRPr="00723ECA">
        <w:rPr>
          <w:sz w:val="22"/>
          <w:szCs w:val="24"/>
          <w:lang w:val="pt-BR"/>
        </w:rPr>
        <w:t xml:space="preserve"> de suas responsabilidades em matéria de direitos humanos, os prestadores de serviços devem estabelecer sistemas </w:t>
      </w:r>
      <w:r w:rsidR="00886302">
        <w:rPr>
          <w:sz w:val="22"/>
          <w:szCs w:val="24"/>
          <w:lang w:val="pt-BR"/>
        </w:rPr>
        <w:t xml:space="preserve">para </w:t>
      </w:r>
      <w:r w:rsidR="00886302" w:rsidRPr="00723ECA">
        <w:rPr>
          <w:sz w:val="22"/>
          <w:szCs w:val="24"/>
          <w:lang w:val="pt-BR"/>
        </w:rPr>
        <w:t>recebimento de reclamações</w:t>
      </w:r>
      <w:r w:rsidR="00886302">
        <w:rPr>
          <w:sz w:val="22"/>
          <w:szCs w:val="24"/>
          <w:lang w:val="pt-BR"/>
        </w:rPr>
        <w:t xml:space="preserve"> que sejam </w:t>
      </w:r>
      <w:r w:rsidR="004658A8" w:rsidRPr="00723ECA">
        <w:rPr>
          <w:sz w:val="22"/>
          <w:szCs w:val="24"/>
          <w:lang w:val="pt-BR"/>
        </w:rPr>
        <w:t xml:space="preserve">legítimos acessíveis, previsíveis, equitativos, baseados em direitos e transparentes, </w:t>
      </w:r>
      <w:r w:rsidRPr="00723ECA">
        <w:rPr>
          <w:sz w:val="22"/>
          <w:szCs w:val="24"/>
          <w:lang w:val="pt-BR"/>
        </w:rPr>
        <w:t>além de mecanismos de reparação que permitam aos indivíduos trazer</w:t>
      </w:r>
      <w:r w:rsidR="00C03E77" w:rsidRPr="00723ECA">
        <w:rPr>
          <w:sz w:val="22"/>
          <w:szCs w:val="24"/>
          <w:lang w:val="pt-BR"/>
        </w:rPr>
        <w:t xml:space="preserve"> potenciais</w:t>
      </w:r>
      <w:r w:rsidRPr="00723ECA">
        <w:rPr>
          <w:sz w:val="22"/>
          <w:szCs w:val="24"/>
          <w:lang w:val="pt-BR"/>
        </w:rPr>
        <w:t xml:space="preserve"> abusos aos direitos humanos à atenção do prestador (ver A/HRC/8/5, parágrafos 82 e 92). Isso deve ser exigido pelo marco regulatório,</w:t>
      </w:r>
      <w:r w:rsidR="00F62990">
        <w:rPr>
          <w:sz w:val="22"/>
          <w:szCs w:val="24"/>
          <w:lang w:val="pt-BR"/>
        </w:rPr>
        <w:t xml:space="preserve"> pois faz parte do exercício da devida diligência </w:t>
      </w:r>
      <w:r w:rsidRPr="00723ECA">
        <w:rPr>
          <w:sz w:val="22"/>
          <w:szCs w:val="24"/>
          <w:lang w:val="pt-BR"/>
        </w:rPr>
        <w:t xml:space="preserve">em direitos humanos, uma vez que os mecanismos de </w:t>
      </w:r>
      <w:r w:rsidR="009D6ACE" w:rsidRPr="00723ECA">
        <w:rPr>
          <w:sz w:val="22"/>
          <w:szCs w:val="24"/>
          <w:lang w:val="pt-BR"/>
        </w:rPr>
        <w:t xml:space="preserve">responsabilização </w:t>
      </w:r>
      <w:r w:rsidRPr="00723ECA">
        <w:rPr>
          <w:sz w:val="22"/>
          <w:szCs w:val="24"/>
          <w:lang w:val="pt-BR"/>
        </w:rPr>
        <w:t xml:space="preserve">permitem ao prestador de serviços </w:t>
      </w:r>
      <w:proofErr w:type="gramStart"/>
      <w:r w:rsidRPr="00723ECA">
        <w:rPr>
          <w:sz w:val="22"/>
          <w:szCs w:val="24"/>
          <w:lang w:val="pt-BR"/>
        </w:rPr>
        <w:t>tomar</w:t>
      </w:r>
      <w:proofErr w:type="gramEnd"/>
      <w:r w:rsidRPr="00723ECA">
        <w:rPr>
          <w:sz w:val="22"/>
          <w:szCs w:val="24"/>
          <w:lang w:val="pt-BR"/>
        </w:rPr>
        <w:t xml:space="preserve"> con</w:t>
      </w:r>
      <w:r w:rsidR="00886302">
        <w:rPr>
          <w:sz w:val="22"/>
          <w:szCs w:val="24"/>
          <w:lang w:val="pt-BR"/>
        </w:rPr>
        <w:t>hecimento</w:t>
      </w:r>
      <w:r w:rsidRPr="00723ECA">
        <w:rPr>
          <w:sz w:val="22"/>
          <w:szCs w:val="24"/>
          <w:lang w:val="pt-BR"/>
        </w:rPr>
        <w:t xml:space="preserve"> dos impactos </w:t>
      </w:r>
      <w:r w:rsidR="003714FB" w:rsidRPr="00723ECA">
        <w:rPr>
          <w:sz w:val="22"/>
          <w:szCs w:val="24"/>
          <w:lang w:val="pt-BR"/>
        </w:rPr>
        <w:t>n</w:t>
      </w:r>
      <w:r w:rsidRPr="00723ECA">
        <w:rPr>
          <w:sz w:val="22"/>
          <w:szCs w:val="24"/>
          <w:lang w:val="pt-BR"/>
        </w:rPr>
        <w:t xml:space="preserve">os direitos humanos. Igualmente importante é a responsabilidade dos prestadores </w:t>
      </w:r>
      <w:r w:rsidR="003714FB" w:rsidRPr="00723ECA">
        <w:rPr>
          <w:sz w:val="22"/>
          <w:szCs w:val="24"/>
          <w:lang w:val="pt-BR"/>
        </w:rPr>
        <w:t>de</w:t>
      </w:r>
      <w:r w:rsidRPr="00723ECA">
        <w:rPr>
          <w:sz w:val="22"/>
          <w:szCs w:val="24"/>
          <w:lang w:val="pt-BR"/>
        </w:rPr>
        <w:t xml:space="preserve"> fornecer aos </w:t>
      </w:r>
      <w:r w:rsidR="002533F0">
        <w:rPr>
          <w:sz w:val="22"/>
          <w:szCs w:val="24"/>
          <w:lang w:val="pt-BR"/>
        </w:rPr>
        <w:t>agentes regulatórios</w:t>
      </w:r>
      <w:r w:rsidRPr="00723ECA">
        <w:rPr>
          <w:sz w:val="22"/>
          <w:szCs w:val="24"/>
          <w:lang w:val="pt-BR"/>
        </w:rPr>
        <w:t xml:space="preserve"> as informações necessárias a respeito</w:t>
      </w:r>
      <w:r w:rsidR="00A32E4F" w:rsidRPr="00723ECA">
        <w:rPr>
          <w:sz w:val="22"/>
          <w:szCs w:val="24"/>
          <w:lang w:val="pt-BR"/>
        </w:rPr>
        <w:t xml:space="preserve"> </w:t>
      </w:r>
      <w:r w:rsidRPr="00723ECA">
        <w:rPr>
          <w:sz w:val="22"/>
          <w:szCs w:val="24"/>
          <w:lang w:val="pt-BR"/>
        </w:rPr>
        <w:t>da prestação de serviços, especialmente informações sobre o desempenho</w:t>
      </w:r>
      <w:r w:rsidRPr="00723ECA">
        <w:rPr>
          <w:rStyle w:val="FootnoteReference"/>
          <w:sz w:val="20"/>
          <w:szCs w:val="24"/>
          <w:lang w:val="pt-BR"/>
        </w:rPr>
        <w:footnoteReference w:id="13"/>
      </w:r>
      <w:r w:rsidRPr="00723ECA">
        <w:rPr>
          <w:sz w:val="22"/>
          <w:szCs w:val="24"/>
          <w:lang w:val="pt-BR"/>
        </w:rPr>
        <w:t>.</w:t>
      </w:r>
    </w:p>
    <w:p w:rsidR="00A511C7" w:rsidRPr="00723ECA" w:rsidRDefault="00A511C7" w:rsidP="00B756E4">
      <w:pPr>
        <w:pStyle w:val="HChG"/>
        <w:numPr>
          <w:ilvl w:val="0"/>
          <w:numId w:val="8"/>
        </w:numPr>
        <w:ind w:left="1134" w:hanging="567"/>
        <w:rPr>
          <w:sz w:val="32"/>
          <w:lang w:val="pt-BR"/>
        </w:rPr>
      </w:pPr>
      <w:r w:rsidRPr="00723ECA">
        <w:rPr>
          <w:sz w:val="32"/>
          <w:lang w:val="pt-BR"/>
        </w:rPr>
        <w:t xml:space="preserve">Regulação </w:t>
      </w:r>
      <w:r w:rsidR="00F62990">
        <w:rPr>
          <w:sz w:val="32"/>
          <w:lang w:val="pt-BR"/>
        </w:rPr>
        <w:t>d</w:t>
      </w:r>
      <w:r w:rsidRPr="00723ECA">
        <w:rPr>
          <w:sz w:val="32"/>
          <w:lang w:val="pt-BR"/>
        </w:rPr>
        <w:t>os serviços de abastecimento de água e esgotamento sanitário</w:t>
      </w:r>
    </w:p>
    <w:p w:rsidR="00A511C7" w:rsidRPr="00723ECA" w:rsidRDefault="004658A8" w:rsidP="009A77DC">
      <w:pPr>
        <w:pStyle w:val="H1G"/>
        <w:numPr>
          <w:ilvl w:val="0"/>
          <w:numId w:val="10"/>
        </w:numPr>
        <w:ind w:left="1134"/>
        <w:rPr>
          <w:sz w:val="28"/>
          <w:lang w:val="pt-BR"/>
        </w:rPr>
      </w:pPr>
      <w:r w:rsidRPr="00723ECA">
        <w:rPr>
          <w:sz w:val="28"/>
          <w:lang w:val="pt-BR"/>
        </w:rPr>
        <w:t>O p</w:t>
      </w:r>
      <w:r w:rsidR="00A511C7" w:rsidRPr="00723ECA">
        <w:rPr>
          <w:sz w:val="28"/>
          <w:lang w:val="pt-BR"/>
        </w:rPr>
        <w:t>apel da regulação</w:t>
      </w:r>
    </w:p>
    <w:p w:rsidR="00A511C7" w:rsidRPr="00723ECA" w:rsidRDefault="00F62990" w:rsidP="00BB43E6">
      <w:pPr>
        <w:pStyle w:val="Body1"/>
        <w:spacing w:before="120"/>
        <w:ind w:left="1134" w:right="1134"/>
        <w:jc w:val="both"/>
        <w:outlineLvl w:val="9"/>
        <w:rPr>
          <w:sz w:val="18"/>
          <w:szCs w:val="24"/>
          <w:lang w:val="pt-BR"/>
        </w:rPr>
      </w:pPr>
      <w:r>
        <w:rPr>
          <w:sz w:val="22"/>
          <w:szCs w:val="24"/>
          <w:lang w:val="pt-BR"/>
        </w:rPr>
        <w:t xml:space="preserve">24. A </w:t>
      </w:r>
      <w:proofErr w:type="gramStart"/>
      <w:r>
        <w:rPr>
          <w:sz w:val="22"/>
          <w:szCs w:val="24"/>
          <w:lang w:val="pt-BR"/>
        </w:rPr>
        <w:t>implementação</w:t>
      </w:r>
      <w:proofErr w:type="gramEnd"/>
      <w:r>
        <w:rPr>
          <w:sz w:val="22"/>
          <w:szCs w:val="24"/>
          <w:lang w:val="pt-BR"/>
        </w:rPr>
        <w:t xml:space="preserve"> dos</w:t>
      </w:r>
      <w:r w:rsidR="00A511C7" w:rsidRPr="00723ECA">
        <w:rPr>
          <w:sz w:val="22"/>
          <w:szCs w:val="24"/>
          <w:lang w:val="pt-BR"/>
        </w:rPr>
        <w:t xml:space="preserve"> direitos humanos à água potável e ao esgotamento sanitário depende profundamente do arcabouço legal e regulatório nacional. Ainda que o reconhecimento constitucional desses direitos mostre um compromisso co</w:t>
      </w:r>
      <w:r w:rsidR="00BB43E6" w:rsidRPr="00723ECA">
        <w:rPr>
          <w:sz w:val="22"/>
          <w:szCs w:val="24"/>
          <w:lang w:val="pt-BR"/>
        </w:rPr>
        <w:t>ntundente para a sua realização</w:t>
      </w:r>
      <w:r w:rsidR="00A511C7" w:rsidRPr="00723ECA">
        <w:rPr>
          <w:sz w:val="22"/>
          <w:szCs w:val="24"/>
          <w:lang w:val="pt-BR"/>
        </w:rPr>
        <w:t xml:space="preserve"> e facilite a sua inclusão na</w:t>
      </w:r>
      <w:r w:rsidR="00911E4D">
        <w:rPr>
          <w:sz w:val="22"/>
          <w:szCs w:val="24"/>
          <w:lang w:val="pt-BR"/>
        </w:rPr>
        <w:t xml:space="preserve"> legislação nacional</w:t>
      </w:r>
      <w:r w:rsidR="00A511C7" w:rsidRPr="00723ECA">
        <w:rPr>
          <w:sz w:val="22"/>
          <w:szCs w:val="24"/>
          <w:lang w:val="pt-BR"/>
        </w:rPr>
        <w:t>, isto não constitui</w:t>
      </w:r>
      <w:r w:rsidR="00BB43E6" w:rsidRPr="00723ECA">
        <w:rPr>
          <w:sz w:val="22"/>
          <w:szCs w:val="24"/>
          <w:lang w:val="pt-BR"/>
        </w:rPr>
        <w:t xml:space="preserve"> uma</w:t>
      </w:r>
      <w:r w:rsidR="00A511C7" w:rsidRPr="00723ECA">
        <w:rPr>
          <w:sz w:val="22"/>
          <w:szCs w:val="24"/>
          <w:lang w:val="pt-BR"/>
        </w:rPr>
        <w:t xml:space="preserve"> </w:t>
      </w:r>
      <w:r w:rsidR="00A511C7" w:rsidRPr="00723ECA">
        <w:rPr>
          <w:i/>
          <w:sz w:val="22"/>
          <w:szCs w:val="24"/>
          <w:lang w:val="pt-BR"/>
        </w:rPr>
        <w:t xml:space="preserve">conditio </w:t>
      </w:r>
      <w:proofErr w:type="spellStart"/>
      <w:r w:rsidR="00A511C7" w:rsidRPr="00723ECA">
        <w:rPr>
          <w:i/>
          <w:sz w:val="22"/>
          <w:szCs w:val="24"/>
          <w:lang w:val="pt-BR"/>
        </w:rPr>
        <w:t>sine</w:t>
      </w:r>
      <w:proofErr w:type="spellEnd"/>
      <w:r w:rsidR="00A511C7" w:rsidRPr="00723ECA">
        <w:rPr>
          <w:i/>
          <w:sz w:val="22"/>
          <w:szCs w:val="24"/>
          <w:lang w:val="pt-BR"/>
        </w:rPr>
        <w:t xml:space="preserve"> </w:t>
      </w:r>
      <w:proofErr w:type="spellStart"/>
      <w:r w:rsidR="00A511C7" w:rsidRPr="00723ECA">
        <w:rPr>
          <w:i/>
          <w:sz w:val="22"/>
          <w:szCs w:val="24"/>
          <w:lang w:val="pt-BR"/>
        </w:rPr>
        <w:t>qua</w:t>
      </w:r>
      <w:proofErr w:type="spellEnd"/>
      <w:r w:rsidR="00A511C7" w:rsidRPr="00723ECA">
        <w:rPr>
          <w:i/>
          <w:sz w:val="22"/>
          <w:szCs w:val="24"/>
          <w:lang w:val="pt-BR"/>
        </w:rPr>
        <w:t xml:space="preserve"> non</w:t>
      </w:r>
      <w:r w:rsidR="00A511C7" w:rsidRPr="00723ECA">
        <w:rPr>
          <w:sz w:val="22"/>
          <w:szCs w:val="24"/>
          <w:lang w:val="pt-BR"/>
        </w:rPr>
        <w:t xml:space="preserve"> para a inclusão dos direitos no ordenamento jurídico nacional. O Quênia, por exemplo, passou por um processo de reforma legal e </w:t>
      </w:r>
      <w:r w:rsidR="00BB43E6" w:rsidRPr="00723ECA">
        <w:rPr>
          <w:sz w:val="22"/>
          <w:szCs w:val="24"/>
          <w:lang w:val="pt-BR"/>
        </w:rPr>
        <w:t xml:space="preserve">institucional </w:t>
      </w:r>
      <w:r w:rsidR="00A511C7" w:rsidRPr="00723ECA">
        <w:rPr>
          <w:sz w:val="22"/>
          <w:szCs w:val="24"/>
          <w:lang w:val="pt-BR"/>
        </w:rPr>
        <w:t>antes de assegurar esses direitos na Constituição. Lei</w:t>
      </w:r>
      <w:r w:rsidR="00BB43E6" w:rsidRPr="00723ECA">
        <w:rPr>
          <w:sz w:val="22"/>
          <w:szCs w:val="24"/>
          <w:lang w:val="pt-BR"/>
        </w:rPr>
        <w:t>s dão voz a políticas nacionais</w:t>
      </w:r>
      <w:r w:rsidR="00A511C7" w:rsidRPr="00723ECA">
        <w:rPr>
          <w:sz w:val="22"/>
          <w:szCs w:val="24"/>
          <w:lang w:val="pt-BR"/>
        </w:rPr>
        <w:t xml:space="preserve"> e aspiram conseguir a efetivação </w:t>
      </w:r>
      <w:r w:rsidR="00A511C7" w:rsidRPr="00723ECA">
        <w:rPr>
          <w:sz w:val="22"/>
          <w:szCs w:val="24"/>
          <w:lang w:val="pt-BR"/>
        </w:rPr>
        <w:lastRenderedPageBreak/>
        <w:t xml:space="preserve">universal de direitos, ao passo que </w:t>
      </w:r>
      <w:r w:rsidR="00BB43E6" w:rsidRPr="00723ECA">
        <w:rPr>
          <w:sz w:val="22"/>
          <w:szCs w:val="24"/>
          <w:lang w:val="pt-BR"/>
        </w:rPr>
        <w:t>normas regulatórias</w:t>
      </w:r>
      <w:r w:rsidR="00A511C7" w:rsidRPr="00723ECA">
        <w:rPr>
          <w:sz w:val="22"/>
          <w:szCs w:val="24"/>
          <w:lang w:val="pt-BR"/>
        </w:rPr>
        <w:t xml:space="preserve"> definem padrões de desempenho e determinam como os serviços devem ser providos à população, porque elas – normas e regulamentações – </w:t>
      </w:r>
      <w:r w:rsidR="00FC3B7A">
        <w:rPr>
          <w:sz w:val="22"/>
          <w:szCs w:val="24"/>
          <w:lang w:val="pt-BR"/>
        </w:rPr>
        <w:t>incluem</w:t>
      </w:r>
      <w:r w:rsidR="00A511C7" w:rsidRPr="00723ECA">
        <w:rPr>
          <w:sz w:val="22"/>
          <w:szCs w:val="24"/>
          <w:lang w:val="pt-BR"/>
        </w:rPr>
        <w:t xml:space="preserve"> os requisitos técnicos e científicos necessários para dar significado aos termos gerais contidos nas leis. O fato de que a prestação dos serviços de abastecimento de água e esgotamento sanitário deve ser adequada à dignidade, à vida e à saúde humana, </w:t>
      </w:r>
      <w:r w:rsidR="00BB43E6" w:rsidRPr="00723ECA">
        <w:rPr>
          <w:sz w:val="22"/>
          <w:szCs w:val="24"/>
          <w:lang w:val="pt-BR"/>
        </w:rPr>
        <w:t>de</w:t>
      </w:r>
      <w:r w:rsidR="00A511C7" w:rsidRPr="00723ECA">
        <w:rPr>
          <w:sz w:val="22"/>
          <w:szCs w:val="24"/>
          <w:lang w:val="pt-BR"/>
        </w:rPr>
        <w:t xml:space="preserve"> acordo com </w:t>
      </w:r>
      <w:r w:rsidR="00A511C7" w:rsidRPr="00911E4D">
        <w:rPr>
          <w:sz w:val="22"/>
          <w:szCs w:val="24"/>
          <w:lang w:val="pt-BR"/>
        </w:rPr>
        <w:t xml:space="preserve">o Pacto Internacional de Direitos Econômicos, Sociais e Culturais, impõe a inclusão de obrigações concretas de direitos humanos nos </w:t>
      </w:r>
      <w:r w:rsidR="00330395" w:rsidRPr="00911E4D">
        <w:rPr>
          <w:sz w:val="22"/>
          <w:szCs w:val="24"/>
          <w:lang w:val="pt-BR"/>
        </w:rPr>
        <w:t>marcos regulatórios</w:t>
      </w:r>
      <w:r w:rsidR="00A511C7" w:rsidRPr="00911E4D">
        <w:rPr>
          <w:sz w:val="22"/>
          <w:szCs w:val="24"/>
          <w:lang w:val="pt-BR"/>
        </w:rPr>
        <w:t xml:space="preserve"> nacionais.</w:t>
      </w:r>
      <w:r w:rsidR="00A511C7" w:rsidRPr="00723ECA">
        <w:rPr>
          <w:sz w:val="22"/>
          <w:szCs w:val="24"/>
          <w:lang w:val="pt-BR"/>
        </w:rPr>
        <w:t xml:space="preserve"> </w:t>
      </w:r>
    </w:p>
    <w:p w:rsidR="00A511C7" w:rsidRPr="00723ECA" w:rsidRDefault="00A511C7" w:rsidP="00B756E4">
      <w:pPr>
        <w:pStyle w:val="Body1"/>
        <w:spacing w:before="120"/>
        <w:ind w:left="1134" w:right="1134"/>
        <w:jc w:val="both"/>
        <w:outlineLvl w:val="9"/>
        <w:rPr>
          <w:sz w:val="22"/>
          <w:szCs w:val="24"/>
          <w:lang w:val="pt-BR"/>
        </w:rPr>
      </w:pPr>
      <w:r w:rsidRPr="00723ECA">
        <w:rPr>
          <w:sz w:val="22"/>
          <w:szCs w:val="24"/>
          <w:lang w:val="pt-BR"/>
        </w:rPr>
        <w:t xml:space="preserve">25. Independentemente do modelo de regulação escolhido, atualmente a maior parte dos </w:t>
      </w:r>
      <w:proofErr w:type="gramStart"/>
      <w:r w:rsidRPr="00723ECA">
        <w:rPr>
          <w:sz w:val="22"/>
          <w:szCs w:val="24"/>
          <w:lang w:val="pt-BR"/>
        </w:rPr>
        <w:t>marcos regulatórios nos serviços de abastecimento de água e esgotamento sanitário</w:t>
      </w:r>
      <w:proofErr w:type="gramEnd"/>
      <w:r w:rsidRPr="00723ECA">
        <w:rPr>
          <w:sz w:val="22"/>
          <w:szCs w:val="24"/>
          <w:lang w:val="pt-BR"/>
        </w:rPr>
        <w:t xml:space="preserve"> incorpora aspectos de regulação econômica (gestão de ativos e definição de tarifas), de regulação da qualidade do serviço e de regulação da qualidade da água potável. Alguns arcabouços podem incluir aspectos de regulação ambiental, principalmente relativos </w:t>
      </w:r>
      <w:r w:rsidR="00911E4D">
        <w:rPr>
          <w:sz w:val="22"/>
          <w:szCs w:val="24"/>
          <w:lang w:val="pt-BR"/>
        </w:rPr>
        <w:t>à</w:t>
      </w:r>
      <w:r w:rsidRPr="00723ECA">
        <w:rPr>
          <w:sz w:val="22"/>
          <w:szCs w:val="24"/>
          <w:lang w:val="pt-BR"/>
        </w:rPr>
        <w:t xml:space="preserve"> captação de água e despej</w:t>
      </w:r>
      <w:r w:rsidR="00911E4D">
        <w:rPr>
          <w:sz w:val="22"/>
          <w:szCs w:val="24"/>
          <w:lang w:val="pt-BR"/>
        </w:rPr>
        <w:t xml:space="preserve">o de águas </w:t>
      </w:r>
      <w:proofErr w:type="spellStart"/>
      <w:r w:rsidR="00911E4D">
        <w:rPr>
          <w:sz w:val="22"/>
          <w:szCs w:val="24"/>
          <w:lang w:val="pt-BR"/>
        </w:rPr>
        <w:t>residuária</w:t>
      </w:r>
      <w:r w:rsidRPr="00723ECA">
        <w:rPr>
          <w:sz w:val="22"/>
          <w:szCs w:val="24"/>
          <w:lang w:val="pt-BR"/>
        </w:rPr>
        <w:t>s</w:t>
      </w:r>
      <w:proofErr w:type="spellEnd"/>
      <w:r w:rsidRPr="002452B8">
        <w:rPr>
          <w:sz w:val="22"/>
          <w:szCs w:val="24"/>
          <w:lang w:val="pt-BR"/>
        </w:rPr>
        <w:t xml:space="preserve">, regulação </w:t>
      </w:r>
      <w:r w:rsidR="004658A8" w:rsidRPr="002452B8">
        <w:rPr>
          <w:sz w:val="22"/>
          <w:szCs w:val="24"/>
          <w:lang w:val="pt-BR"/>
        </w:rPr>
        <w:t>por meio da</w:t>
      </w:r>
      <w:r w:rsidR="00BB43E6" w:rsidRPr="002452B8">
        <w:rPr>
          <w:sz w:val="22"/>
          <w:szCs w:val="24"/>
          <w:lang w:val="pt-BR"/>
        </w:rPr>
        <w:t xml:space="preserve"> </w:t>
      </w:r>
      <w:r w:rsidRPr="002452B8">
        <w:rPr>
          <w:sz w:val="22"/>
          <w:szCs w:val="24"/>
          <w:lang w:val="pt-BR"/>
        </w:rPr>
        <w:t>interface com o usuário ou</w:t>
      </w:r>
      <w:r w:rsidR="003170AF" w:rsidRPr="002452B8">
        <w:rPr>
          <w:sz w:val="22"/>
          <w:szCs w:val="24"/>
          <w:lang w:val="pt-BR"/>
        </w:rPr>
        <w:t xml:space="preserve"> regulação legal e por contrato</w:t>
      </w:r>
      <w:r w:rsidRPr="002452B8">
        <w:rPr>
          <w:sz w:val="22"/>
          <w:szCs w:val="24"/>
          <w:lang w:val="pt-BR"/>
        </w:rPr>
        <w:t>.</w:t>
      </w:r>
      <w:r w:rsidR="00BB43E6" w:rsidRPr="002452B8">
        <w:rPr>
          <w:sz w:val="22"/>
          <w:szCs w:val="24"/>
          <w:lang w:val="pt-BR"/>
        </w:rPr>
        <w:t xml:space="preserve"> </w:t>
      </w:r>
      <w:r w:rsidRPr="002452B8">
        <w:rPr>
          <w:sz w:val="22"/>
          <w:szCs w:val="24"/>
          <w:lang w:val="pt-BR"/>
        </w:rPr>
        <w:t>O fato de que</w:t>
      </w:r>
      <w:r w:rsidRPr="00723ECA">
        <w:rPr>
          <w:sz w:val="22"/>
          <w:szCs w:val="24"/>
          <w:lang w:val="pt-BR"/>
        </w:rPr>
        <w:t xml:space="preserve"> diferentes formas de regulação têm sido utilizadas sem a explícita menção às normas e princípios do</w:t>
      </w:r>
      <w:r w:rsidR="00911E4D">
        <w:rPr>
          <w:sz w:val="22"/>
          <w:szCs w:val="24"/>
          <w:lang w:val="pt-BR"/>
        </w:rPr>
        <w:t>s</w:t>
      </w:r>
      <w:r w:rsidRPr="00723ECA">
        <w:rPr>
          <w:sz w:val="22"/>
          <w:szCs w:val="24"/>
          <w:lang w:val="pt-BR"/>
        </w:rPr>
        <w:t xml:space="preserve"> direito</w:t>
      </w:r>
      <w:r w:rsidR="00911E4D">
        <w:rPr>
          <w:sz w:val="22"/>
          <w:szCs w:val="24"/>
          <w:lang w:val="pt-BR"/>
        </w:rPr>
        <w:t>s</w:t>
      </w:r>
      <w:r w:rsidRPr="00723ECA">
        <w:rPr>
          <w:sz w:val="22"/>
          <w:szCs w:val="24"/>
          <w:lang w:val="pt-BR"/>
        </w:rPr>
        <w:t xml:space="preserve"> humano</w:t>
      </w:r>
      <w:r w:rsidR="00911E4D">
        <w:rPr>
          <w:sz w:val="22"/>
          <w:szCs w:val="24"/>
          <w:lang w:val="pt-BR"/>
        </w:rPr>
        <w:t>s</w:t>
      </w:r>
      <w:r w:rsidRPr="00723ECA">
        <w:rPr>
          <w:sz w:val="22"/>
          <w:szCs w:val="24"/>
          <w:lang w:val="pt-BR"/>
        </w:rPr>
        <w:t xml:space="preserve"> à água e ao esgotamento sanitário não significa que essas formas de regulação não levem em consideração, ao menos parcialmente, estas normas e princípios</w:t>
      </w:r>
      <w:r w:rsidRPr="00723ECA">
        <w:rPr>
          <w:rStyle w:val="FootnoteReference"/>
          <w:sz w:val="20"/>
          <w:szCs w:val="24"/>
          <w:lang w:val="pt-BR"/>
        </w:rPr>
        <w:footnoteReference w:id="14"/>
      </w:r>
      <w:r w:rsidRPr="00723ECA">
        <w:rPr>
          <w:sz w:val="22"/>
          <w:szCs w:val="24"/>
          <w:lang w:val="pt-BR"/>
        </w:rPr>
        <w:t>. Neste contexto, é essenci</w:t>
      </w:r>
      <w:r w:rsidRPr="00911E4D">
        <w:rPr>
          <w:sz w:val="22"/>
          <w:szCs w:val="24"/>
          <w:lang w:val="pt-BR"/>
        </w:rPr>
        <w:t xml:space="preserve">al enfatizar a distinção entre incorporar integralmente os direitos humanos à água e ao esgotamento </w:t>
      </w:r>
      <w:proofErr w:type="gramStart"/>
      <w:r w:rsidRPr="00911E4D">
        <w:rPr>
          <w:sz w:val="22"/>
          <w:szCs w:val="24"/>
          <w:lang w:val="pt-BR"/>
        </w:rPr>
        <w:t>sa</w:t>
      </w:r>
      <w:r w:rsidR="00F62990" w:rsidRPr="00911E4D">
        <w:rPr>
          <w:sz w:val="22"/>
          <w:szCs w:val="24"/>
          <w:lang w:val="pt-BR"/>
        </w:rPr>
        <w:t>nitário nos marcos regulatórios</w:t>
      </w:r>
      <w:proofErr w:type="gramEnd"/>
      <w:r w:rsidR="00F62990" w:rsidRPr="00911E4D">
        <w:rPr>
          <w:sz w:val="22"/>
          <w:szCs w:val="24"/>
          <w:lang w:val="pt-BR"/>
        </w:rPr>
        <w:t xml:space="preserve"> </w:t>
      </w:r>
      <w:r w:rsidRPr="00911E4D">
        <w:rPr>
          <w:sz w:val="22"/>
          <w:szCs w:val="24"/>
          <w:lang w:val="pt-BR"/>
        </w:rPr>
        <w:t xml:space="preserve">e escolher </w:t>
      </w:r>
      <w:r w:rsidR="003E5B97" w:rsidRPr="00911E4D">
        <w:rPr>
          <w:sz w:val="22"/>
          <w:szCs w:val="24"/>
          <w:lang w:val="pt-BR"/>
        </w:rPr>
        <w:t xml:space="preserve">alguns </w:t>
      </w:r>
      <w:r w:rsidRPr="00911E4D">
        <w:rPr>
          <w:sz w:val="22"/>
          <w:szCs w:val="24"/>
          <w:lang w:val="pt-BR"/>
        </w:rPr>
        <w:t xml:space="preserve">aspectos selecionados </w:t>
      </w:r>
      <w:r w:rsidR="003E5B97" w:rsidRPr="00911E4D">
        <w:rPr>
          <w:sz w:val="22"/>
          <w:szCs w:val="24"/>
          <w:lang w:val="pt-BR"/>
        </w:rPr>
        <w:t xml:space="preserve">para </w:t>
      </w:r>
      <w:r w:rsidR="00C03E77" w:rsidRPr="00911E4D">
        <w:rPr>
          <w:sz w:val="22"/>
          <w:szCs w:val="24"/>
          <w:lang w:val="pt-BR"/>
        </w:rPr>
        <w:t>serem seguidos</w:t>
      </w:r>
      <w:r w:rsidRPr="00911E4D">
        <w:rPr>
          <w:sz w:val="22"/>
          <w:szCs w:val="24"/>
          <w:lang w:val="pt-BR"/>
        </w:rPr>
        <w:t xml:space="preserve">. Para os Estados cumprirem as suas obrigações com os direitos humanos, </w:t>
      </w:r>
      <w:proofErr w:type="gramStart"/>
      <w:r w:rsidRPr="00911E4D">
        <w:rPr>
          <w:sz w:val="22"/>
          <w:szCs w:val="24"/>
          <w:lang w:val="pt-BR"/>
        </w:rPr>
        <w:t xml:space="preserve">toda </w:t>
      </w:r>
      <w:r w:rsidR="003E5B97" w:rsidRPr="00911E4D">
        <w:rPr>
          <w:sz w:val="22"/>
          <w:szCs w:val="24"/>
          <w:lang w:val="pt-BR"/>
        </w:rPr>
        <w:t>o</w:t>
      </w:r>
      <w:proofErr w:type="gramEnd"/>
      <w:r w:rsidR="003E5B97" w:rsidRPr="00911E4D">
        <w:rPr>
          <w:sz w:val="22"/>
          <w:szCs w:val="24"/>
          <w:lang w:val="pt-BR"/>
        </w:rPr>
        <w:t xml:space="preserve"> marco do</w:t>
      </w:r>
      <w:r w:rsidRPr="00911E4D">
        <w:rPr>
          <w:sz w:val="22"/>
          <w:szCs w:val="24"/>
          <w:lang w:val="pt-BR"/>
        </w:rPr>
        <w:t>s direitos humanos à água e ao</w:t>
      </w:r>
      <w:r w:rsidR="003E5B97" w:rsidRPr="00911E4D">
        <w:rPr>
          <w:sz w:val="22"/>
          <w:szCs w:val="24"/>
          <w:lang w:val="pt-BR"/>
        </w:rPr>
        <w:t xml:space="preserve"> saneamento deve estar refletido</w:t>
      </w:r>
      <w:r w:rsidRPr="00911E4D">
        <w:rPr>
          <w:sz w:val="22"/>
          <w:szCs w:val="24"/>
          <w:lang w:val="pt-BR"/>
        </w:rPr>
        <w:t xml:space="preserve"> nas normas e atividades regulatórias d</w:t>
      </w:r>
      <w:r w:rsidR="003E5B97" w:rsidRPr="00911E4D">
        <w:rPr>
          <w:sz w:val="22"/>
          <w:szCs w:val="24"/>
          <w:lang w:val="pt-BR"/>
        </w:rPr>
        <w:t>o</w:t>
      </w:r>
      <w:r w:rsidRPr="00911E4D">
        <w:rPr>
          <w:sz w:val="22"/>
          <w:szCs w:val="24"/>
          <w:lang w:val="pt-BR"/>
        </w:rPr>
        <w:t>s Estados.</w:t>
      </w:r>
      <w:r w:rsidRPr="00723ECA">
        <w:rPr>
          <w:sz w:val="22"/>
          <w:szCs w:val="24"/>
          <w:lang w:val="pt-BR"/>
        </w:rPr>
        <w:t xml:space="preserve"> </w:t>
      </w:r>
    </w:p>
    <w:p w:rsidR="00A511C7" w:rsidRPr="00723ECA" w:rsidRDefault="00A511C7" w:rsidP="00B756E4">
      <w:pPr>
        <w:pStyle w:val="Body1"/>
        <w:spacing w:before="120"/>
        <w:ind w:left="1134" w:right="1134"/>
        <w:jc w:val="both"/>
        <w:outlineLvl w:val="9"/>
        <w:rPr>
          <w:sz w:val="22"/>
          <w:szCs w:val="24"/>
          <w:lang w:val="pt-BR"/>
        </w:rPr>
      </w:pPr>
      <w:r w:rsidRPr="00723ECA">
        <w:rPr>
          <w:sz w:val="22"/>
          <w:szCs w:val="24"/>
          <w:lang w:val="pt-BR"/>
        </w:rPr>
        <w:t xml:space="preserve">26. É amplamente aceito que o espaço para a competição no setor de abastecimento de água e esgotamento sanitário é limitado, devido à </w:t>
      </w:r>
      <w:r w:rsidR="00645526" w:rsidRPr="00723ECA">
        <w:rPr>
          <w:sz w:val="22"/>
          <w:szCs w:val="24"/>
          <w:lang w:val="pt-BR"/>
        </w:rPr>
        <w:t>necessidade de se anteciparem</w:t>
      </w:r>
      <w:r w:rsidRPr="00723ECA">
        <w:rPr>
          <w:sz w:val="22"/>
          <w:szCs w:val="24"/>
          <w:lang w:val="pt-BR"/>
        </w:rPr>
        <w:t xml:space="preserve"> significativos custos </w:t>
      </w:r>
      <w:r w:rsidR="005C1FD7">
        <w:rPr>
          <w:sz w:val="22"/>
          <w:szCs w:val="24"/>
          <w:lang w:val="pt-BR"/>
        </w:rPr>
        <w:t>irrecuperáveis</w:t>
      </w:r>
      <w:r w:rsidRPr="00723ECA">
        <w:rPr>
          <w:sz w:val="22"/>
          <w:vertAlign w:val="superscript"/>
        </w:rPr>
        <w:footnoteReference w:id="15"/>
      </w:r>
      <w:r w:rsidRPr="00723ECA">
        <w:rPr>
          <w:sz w:val="22"/>
          <w:szCs w:val="24"/>
          <w:lang w:val="pt-BR"/>
        </w:rPr>
        <w:t>. Essa situação</w:t>
      </w:r>
      <w:r w:rsidR="00911E4D">
        <w:rPr>
          <w:sz w:val="22"/>
          <w:szCs w:val="24"/>
          <w:lang w:val="pt-BR"/>
        </w:rPr>
        <w:t>,</w:t>
      </w:r>
      <w:r w:rsidR="00911E4D" w:rsidRPr="00911E4D">
        <w:rPr>
          <w:sz w:val="22"/>
          <w:szCs w:val="24"/>
          <w:lang w:val="pt-BR"/>
        </w:rPr>
        <w:t xml:space="preserve"> </w:t>
      </w:r>
      <w:r w:rsidR="00911E4D" w:rsidRPr="00723ECA">
        <w:rPr>
          <w:sz w:val="22"/>
          <w:szCs w:val="24"/>
          <w:lang w:val="pt-BR"/>
        </w:rPr>
        <w:t>definida como monopólio natural,</w:t>
      </w:r>
      <w:r w:rsidRPr="00723ECA">
        <w:rPr>
          <w:sz w:val="22"/>
          <w:szCs w:val="24"/>
          <w:lang w:val="pt-BR"/>
        </w:rPr>
        <w:t xml:space="preserve"> comumente resulta na existência de um único prestador de serviços – público ou privado – em uma determinada área, reforçando a necessidade de medidas regulatórias adequadas para assegurar que os direitos dos usuários não sejam comprometidos.</w:t>
      </w:r>
      <w:r w:rsidR="003E5B97" w:rsidRPr="00723ECA">
        <w:rPr>
          <w:sz w:val="22"/>
          <w:szCs w:val="24"/>
          <w:lang w:val="pt-BR"/>
        </w:rPr>
        <w:t xml:space="preserve"> Na realidade, historicamente, </w:t>
      </w:r>
      <w:r w:rsidR="00911E4D">
        <w:rPr>
          <w:sz w:val="22"/>
          <w:szCs w:val="24"/>
          <w:lang w:val="pt-BR"/>
        </w:rPr>
        <w:t>a</w:t>
      </w:r>
      <w:r w:rsidR="003E5B97" w:rsidRPr="00723ECA">
        <w:rPr>
          <w:sz w:val="22"/>
          <w:szCs w:val="24"/>
          <w:lang w:val="pt-BR"/>
        </w:rPr>
        <w:t xml:space="preserve"> racional</w:t>
      </w:r>
      <w:r w:rsidR="00911E4D">
        <w:rPr>
          <w:sz w:val="22"/>
          <w:szCs w:val="24"/>
          <w:lang w:val="pt-BR"/>
        </w:rPr>
        <w:t>idade</w:t>
      </w:r>
      <w:r w:rsidRPr="00723ECA">
        <w:rPr>
          <w:sz w:val="22"/>
          <w:szCs w:val="24"/>
          <w:lang w:val="pt-BR"/>
        </w:rPr>
        <w:t xml:space="preserve"> para a introdução da regulação no setor de abastecimento de água e esgotament</w:t>
      </w:r>
      <w:r w:rsidR="003E5B97" w:rsidRPr="00723ECA">
        <w:rPr>
          <w:sz w:val="22"/>
          <w:szCs w:val="24"/>
          <w:lang w:val="pt-BR"/>
        </w:rPr>
        <w:t>o sanitário tem sido relacionado</w:t>
      </w:r>
      <w:r w:rsidRPr="00723ECA">
        <w:rPr>
          <w:sz w:val="22"/>
          <w:szCs w:val="24"/>
          <w:lang w:val="pt-BR"/>
        </w:rPr>
        <w:t xml:space="preserve"> a situações de “falhas de mercado”, em particular, à prevenção do abuso de poder de mercado</w:t>
      </w:r>
      <w:r w:rsidRPr="00723ECA">
        <w:rPr>
          <w:sz w:val="22"/>
          <w:vertAlign w:val="superscript"/>
        </w:rPr>
        <w:footnoteReference w:id="16"/>
      </w:r>
      <w:r w:rsidRPr="00723ECA">
        <w:rPr>
          <w:sz w:val="22"/>
          <w:szCs w:val="24"/>
          <w:lang w:val="pt-BR"/>
        </w:rPr>
        <w:t xml:space="preserve">. Nessas situações de monopólio, os órgãos reguladores podem se encontrar expostos ao risco de captura por parte dos </w:t>
      </w:r>
      <w:r w:rsidRPr="00723ECA">
        <w:rPr>
          <w:sz w:val="22"/>
          <w:szCs w:val="24"/>
          <w:lang w:val="pt-BR"/>
        </w:rPr>
        <w:lastRenderedPageBreak/>
        <w:t>prestadores, devido às assimetrias de informações e de poder, dentre outros fatores, e também por interesses políticos, já que esses órgãos são parte dos governos</w:t>
      </w:r>
      <w:r w:rsidRPr="00723ECA">
        <w:rPr>
          <w:sz w:val="22"/>
          <w:vertAlign w:val="superscript"/>
        </w:rPr>
        <w:footnoteReference w:id="17"/>
      </w:r>
      <w:r w:rsidRPr="00723ECA">
        <w:rPr>
          <w:sz w:val="22"/>
          <w:szCs w:val="24"/>
          <w:lang w:val="pt-BR"/>
        </w:rPr>
        <w:t xml:space="preserve">.  </w:t>
      </w:r>
    </w:p>
    <w:p w:rsidR="003E5B97" w:rsidRPr="00723ECA" w:rsidRDefault="00A511C7" w:rsidP="003E5B97">
      <w:pPr>
        <w:pStyle w:val="Body1"/>
        <w:spacing w:before="120"/>
        <w:ind w:left="1134" w:right="1134"/>
        <w:jc w:val="both"/>
        <w:outlineLvl w:val="9"/>
        <w:rPr>
          <w:sz w:val="22"/>
          <w:szCs w:val="24"/>
          <w:lang w:val="pt-BR"/>
        </w:rPr>
      </w:pPr>
      <w:r w:rsidRPr="00723ECA">
        <w:rPr>
          <w:sz w:val="22"/>
          <w:szCs w:val="24"/>
          <w:lang w:val="pt-BR"/>
        </w:rPr>
        <w:t>27.</w:t>
      </w:r>
      <w:r w:rsidR="003E5B97" w:rsidRPr="00723ECA">
        <w:rPr>
          <w:sz w:val="22"/>
          <w:szCs w:val="24"/>
          <w:lang w:val="pt-BR"/>
        </w:rPr>
        <w:t xml:space="preserve"> </w:t>
      </w:r>
      <w:r w:rsidRPr="00723ECA">
        <w:rPr>
          <w:sz w:val="22"/>
          <w:szCs w:val="24"/>
          <w:lang w:val="pt-BR"/>
        </w:rPr>
        <w:t>Alguns autores argumentam que recentemente tem ocorrido uma mudança gradual nos objetivos normativos da regulação, de metas econômicas “puras” para uma maior inclusão de objetivos sociais. Alguns afirmam que a racionalidade da regulação dos serviços de abastecimento de água e esgotamento sanitário deveria envolver três dimensões de sustentabilidade: (a) a sustentabilidade social dos serviços, protegendo os usuários; (b) a sustentabilidade econômica, de infraestrutura e de recursos humanos d</w:t>
      </w:r>
      <w:r w:rsidR="00F62990">
        <w:rPr>
          <w:sz w:val="22"/>
          <w:szCs w:val="24"/>
          <w:lang w:val="pt-BR"/>
        </w:rPr>
        <w:t>os prestadores de</w:t>
      </w:r>
      <w:r w:rsidRPr="00723ECA">
        <w:rPr>
          <w:sz w:val="22"/>
          <w:szCs w:val="24"/>
          <w:lang w:val="pt-BR"/>
        </w:rPr>
        <w:t xml:space="preserve"> serviços; e (c) a sustentabilidade ambiental, em termos de eficiência no uso dos recursos naturais</w:t>
      </w:r>
      <w:r w:rsidRPr="00723ECA">
        <w:rPr>
          <w:sz w:val="22"/>
          <w:vertAlign w:val="superscript"/>
        </w:rPr>
        <w:footnoteReference w:id="18"/>
      </w:r>
      <w:r w:rsidRPr="00723ECA">
        <w:rPr>
          <w:sz w:val="22"/>
          <w:szCs w:val="24"/>
          <w:lang w:val="pt-BR"/>
        </w:rPr>
        <w:t>. Outros identificam “direitos humanos” como uma racionalidade regulatória adicional, de acordo com a qual o órgão regulador protege os direitos dos usuários diretamente “por meio do desenvolvimento de normas que reflitam esses direitos e monitorando sua aplicação por intermédio de inspeção</w:t>
      </w:r>
      <w:proofErr w:type="gramStart"/>
      <w:r w:rsidRPr="00723ECA">
        <w:rPr>
          <w:sz w:val="22"/>
          <w:szCs w:val="24"/>
          <w:lang w:val="pt-BR"/>
        </w:rPr>
        <w:t>”</w:t>
      </w:r>
      <w:proofErr w:type="gramEnd"/>
      <w:r w:rsidRPr="00723ECA">
        <w:rPr>
          <w:sz w:val="22"/>
          <w:vertAlign w:val="superscript"/>
        </w:rPr>
        <w:footnoteReference w:id="19"/>
      </w:r>
      <w:r w:rsidRPr="00723ECA">
        <w:rPr>
          <w:sz w:val="22"/>
          <w:szCs w:val="24"/>
          <w:lang w:val="pt-BR"/>
        </w:rPr>
        <w:t xml:space="preserve">. Do ponto de visto dos direitos humanos, os objetivos, atividades e normas dos </w:t>
      </w:r>
      <w:proofErr w:type="gramStart"/>
      <w:r w:rsidRPr="00723ECA">
        <w:rPr>
          <w:sz w:val="22"/>
          <w:szCs w:val="24"/>
          <w:lang w:val="pt-BR"/>
        </w:rPr>
        <w:t>marcos regulatórios</w:t>
      </w:r>
      <w:proofErr w:type="gramEnd"/>
      <w:r w:rsidRPr="00723ECA">
        <w:rPr>
          <w:sz w:val="22"/>
          <w:szCs w:val="24"/>
          <w:lang w:val="pt-BR"/>
        </w:rPr>
        <w:t xml:space="preserve"> devem derivar do referencial dos direitos humanos. </w:t>
      </w:r>
    </w:p>
    <w:p w:rsidR="00A511C7" w:rsidRPr="00723ECA" w:rsidRDefault="003E5B97" w:rsidP="003E5B97">
      <w:pPr>
        <w:pStyle w:val="Body1"/>
        <w:spacing w:before="120"/>
        <w:ind w:left="1134" w:right="1134"/>
        <w:jc w:val="both"/>
        <w:outlineLvl w:val="9"/>
        <w:rPr>
          <w:sz w:val="22"/>
          <w:szCs w:val="24"/>
          <w:lang w:val="pt-BR"/>
        </w:rPr>
      </w:pPr>
      <w:r w:rsidRPr="00723ECA">
        <w:rPr>
          <w:sz w:val="22"/>
          <w:szCs w:val="24"/>
          <w:lang w:val="pt-BR"/>
        </w:rPr>
        <w:t xml:space="preserve">28. </w:t>
      </w:r>
      <w:r w:rsidR="003F6085" w:rsidRPr="00723ECA">
        <w:rPr>
          <w:sz w:val="22"/>
          <w:szCs w:val="24"/>
          <w:lang w:val="pt-BR"/>
        </w:rPr>
        <w:t xml:space="preserve">O papel da regulação e do monitoramento torna-se particularmente desafiante em áreas rurais e assentamentos informais urbanos densamente povoados, onde elevadas proporções da população não são servidas por redes e dependem de prestadores informais de pequeno porte, os quais operam frequentemente sem qualquer tipo de regulação e, assim, prestam serviços de qualidade inferior a preços altos. Dada </w:t>
      </w:r>
      <w:proofErr w:type="gramStart"/>
      <w:r w:rsidR="003F6085" w:rsidRPr="00723ECA">
        <w:rPr>
          <w:sz w:val="22"/>
          <w:szCs w:val="24"/>
          <w:lang w:val="pt-BR"/>
        </w:rPr>
        <w:t>a</w:t>
      </w:r>
      <w:proofErr w:type="gramEnd"/>
      <w:r w:rsidR="003F6085" w:rsidRPr="00723ECA">
        <w:rPr>
          <w:sz w:val="22"/>
          <w:szCs w:val="24"/>
          <w:lang w:val="pt-BR"/>
        </w:rPr>
        <w:t xml:space="preserve"> natureza informal da prestação e a falta de regulação e monitoramento, usuários desses serviços não contam com mecanismos de recebimen</w:t>
      </w:r>
      <w:r w:rsidR="00F62990">
        <w:rPr>
          <w:sz w:val="22"/>
          <w:szCs w:val="24"/>
          <w:lang w:val="pt-BR"/>
        </w:rPr>
        <w:t>to de reclamações aos quais possa</w:t>
      </w:r>
      <w:r w:rsidR="003F6085" w:rsidRPr="00723ECA">
        <w:rPr>
          <w:sz w:val="22"/>
          <w:szCs w:val="24"/>
          <w:lang w:val="pt-BR"/>
        </w:rPr>
        <w:t>m apelar quando os serviços são inadequados ou demasiadamente caros.</w:t>
      </w:r>
      <w:r w:rsidRPr="00723ECA">
        <w:rPr>
          <w:sz w:val="28"/>
          <w:szCs w:val="24"/>
          <w:lang w:val="pt-BR"/>
        </w:rPr>
        <w:t xml:space="preserve"> </w:t>
      </w:r>
    </w:p>
    <w:p w:rsidR="00A511C7" w:rsidRPr="00723ECA" w:rsidRDefault="00A511C7" w:rsidP="009A77DC">
      <w:pPr>
        <w:pStyle w:val="H1G"/>
        <w:numPr>
          <w:ilvl w:val="0"/>
          <w:numId w:val="10"/>
        </w:numPr>
        <w:ind w:left="1134"/>
        <w:rPr>
          <w:sz w:val="28"/>
          <w:lang w:val="pt-BR"/>
        </w:rPr>
      </w:pPr>
      <w:r w:rsidRPr="00723ECA">
        <w:rPr>
          <w:sz w:val="28"/>
          <w:lang w:val="pt-BR"/>
        </w:rPr>
        <w:t xml:space="preserve">Tipos de marcos regulatórios </w:t>
      </w:r>
    </w:p>
    <w:p w:rsidR="00A511C7" w:rsidRPr="00723ECA" w:rsidRDefault="00A511C7" w:rsidP="00B756E4">
      <w:pPr>
        <w:pStyle w:val="Body1"/>
        <w:spacing w:before="120"/>
        <w:ind w:left="1134" w:right="1134"/>
        <w:jc w:val="both"/>
        <w:outlineLvl w:val="9"/>
        <w:rPr>
          <w:sz w:val="22"/>
          <w:szCs w:val="24"/>
          <w:lang w:val="pt-BR"/>
        </w:rPr>
      </w:pPr>
      <w:r w:rsidRPr="00723ECA">
        <w:rPr>
          <w:sz w:val="22"/>
          <w:szCs w:val="24"/>
          <w:lang w:val="pt-BR"/>
        </w:rPr>
        <w:t xml:space="preserve">29. Os Estados interpretam o papel da regulação de formas variadas, dependendo em grande parte das normas aplicadas em cada contexto particular e necessidades correspondentes, o que leva a uma gama de diferentes modelos regulatórios e arranjos institucionais. A </w:t>
      </w:r>
      <w:r w:rsidRPr="00723ECA">
        <w:rPr>
          <w:sz w:val="22"/>
          <w:szCs w:val="24"/>
          <w:lang w:val="pt-BR"/>
        </w:rPr>
        <w:lastRenderedPageBreak/>
        <w:t xml:space="preserve">abordagem mais </w:t>
      </w:r>
      <w:r w:rsidR="005A2302" w:rsidRPr="00723ECA">
        <w:rPr>
          <w:sz w:val="22"/>
          <w:szCs w:val="24"/>
          <w:lang w:val="pt-BR"/>
        </w:rPr>
        <w:t xml:space="preserve">apropriada </w:t>
      </w:r>
      <w:r w:rsidRPr="00723ECA">
        <w:rPr>
          <w:sz w:val="22"/>
          <w:szCs w:val="24"/>
          <w:lang w:val="pt-BR"/>
        </w:rPr>
        <w:t>varia de país para país e depende do marco regulatório geral, do nível de capacidade institucional e dos tipos de problemas que devem ser solucionados.</w:t>
      </w:r>
    </w:p>
    <w:p w:rsidR="00A511C7" w:rsidRPr="00723ECA" w:rsidRDefault="00A511C7" w:rsidP="009A77DC">
      <w:pPr>
        <w:pStyle w:val="H23G"/>
        <w:numPr>
          <w:ilvl w:val="0"/>
          <w:numId w:val="12"/>
        </w:numPr>
        <w:ind w:left="1134"/>
        <w:rPr>
          <w:sz w:val="22"/>
          <w:lang w:val="en-US"/>
        </w:rPr>
      </w:pPr>
      <w:proofErr w:type="spellStart"/>
      <w:r w:rsidRPr="00723ECA">
        <w:rPr>
          <w:sz w:val="22"/>
          <w:lang w:val="en-US"/>
        </w:rPr>
        <w:t>Autorregulação</w:t>
      </w:r>
      <w:proofErr w:type="spellEnd"/>
    </w:p>
    <w:p w:rsidR="00A511C7" w:rsidRPr="00723ECA" w:rsidRDefault="00A511C7" w:rsidP="00B756E4">
      <w:pPr>
        <w:pStyle w:val="Body1"/>
        <w:spacing w:before="120"/>
        <w:ind w:left="1134" w:right="1134"/>
        <w:jc w:val="both"/>
        <w:outlineLvl w:val="9"/>
        <w:rPr>
          <w:sz w:val="22"/>
          <w:szCs w:val="24"/>
          <w:lang w:val="pt-BR"/>
        </w:rPr>
      </w:pPr>
      <w:r w:rsidRPr="00723ECA">
        <w:rPr>
          <w:sz w:val="22"/>
          <w:szCs w:val="24"/>
          <w:lang w:val="pt-BR"/>
        </w:rPr>
        <w:t xml:space="preserve">30. Em alguns países, o marco regulatório inclui o modelo de </w:t>
      </w:r>
      <w:proofErr w:type="spellStart"/>
      <w:r w:rsidRPr="00723ECA">
        <w:rPr>
          <w:sz w:val="22"/>
          <w:szCs w:val="24"/>
          <w:lang w:val="pt-BR"/>
        </w:rPr>
        <w:t>autorregulação</w:t>
      </w:r>
      <w:proofErr w:type="spellEnd"/>
      <w:r w:rsidRPr="00723ECA">
        <w:rPr>
          <w:sz w:val="22"/>
          <w:szCs w:val="24"/>
          <w:lang w:val="pt-BR"/>
        </w:rPr>
        <w:t xml:space="preserve">, em que os prestadores de serviços públicos regulam suas próprias atividades, definem tarifas e padrões de qualidade e monitoram a próprio desempenho. Muitos países com prestadores de serviço públicos não veem a necessidade de criar uma função regulatória separada para o setor de abastecimento de água. Em El Salvador, o principal prestador em áreas urbanas define o próprio padrão de serviço, enquanto </w:t>
      </w:r>
      <w:proofErr w:type="gramStart"/>
      <w:r w:rsidRPr="00723ECA">
        <w:rPr>
          <w:sz w:val="22"/>
          <w:szCs w:val="24"/>
          <w:lang w:val="pt-BR"/>
        </w:rPr>
        <w:t xml:space="preserve">o Ministério da Saúde monitora a qualidade da água potável e o </w:t>
      </w:r>
      <w:r w:rsidR="002E4786">
        <w:rPr>
          <w:sz w:val="22"/>
          <w:szCs w:val="24"/>
          <w:lang w:val="pt-BR"/>
        </w:rPr>
        <w:t>M</w:t>
      </w:r>
      <w:r w:rsidRPr="00723ECA">
        <w:rPr>
          <w:sz w:val="22"/>
          <w:szCs w:val="24"/>
          <w:lang w:val="pt-BR"/>
        </w:rPr>
        <w:t>inistério</w:t>
      </w:r>
      <w:r w:rsidR="002E4786">
        <w:rPr>
          <w:sz w:val="22"/>
          <w:szCs w:val="24"/>
          <w:lang w:val="pt-BR"/>
        </w:rPr>
        <w:t xml:space="preserve"> de Economia</w:t>
      </w:r>
      <w:r w:rsidR="00330395" w:rsidRPr="00723ECA">
        <w:rPr>
          <w:sz w:val="22"/>
          <w:szCs w:val="24"/>
          <w:lang w:val="pt-BR"/>
        </w:rPr>
        <w:t xml:space="preserve"> </w:t>
      </w:r>
      <w:r w:rsidRPr="00723ECA">
        <w:rPr>
          <w:sz w:val="22"/>
          <w:szCs w:val="24"/>
          <w:lang w:val="pt-BR"/>
        </w:rPr>
        <w:t>aprova</w:t>
      </w:r>
      <w:proofErr w:type="gramEnd"/>
      <w:r w:rsidRPr="00723ECA">
        <w:rPr>
          <w:sz w:val="22"/>
          <w:szCs w:val="24"/>
          <w:lang w:val="pt-BR"/>
        </w:rPr>
        <w:t xml:space="preserve"> mudanças nas tarifas de água (ver A/HRC/33/49/Add.1, parágrafo 25). No Tajiquistão, o Ministério de Energia e Recursos Hídricos tem a responsabilidade geral de garantir a oferta nacional de água potável e coordenar os atores relevantes no setor de abastecimento de água (ver A/HRC/33/49/</w:t>
      </w:r>
      <w:proofErr w:type="gramStart"/>
      <w:r w:rsidRPr="00723ECA">
        <w:rPr>
          <w:sz w:val="22"/>
          <w:szCs w:val="24"/>
          <w:lang w:val="pt-BR"/>
        </w:rPr>
        <w:t>Add.</w:t>
      </w:r>
      <w:proofErr w:type="gramEnd"/>
      <w:r w:rsidRPr="00723ECA">
        <w:rPr>
          <w:sz w:val="22"/>
          <w:szCs w:val="24"/>
          <w:lang w:val="pt-BR"/>
        </w:rPr>
        <w:t xml:space="preserve">2, parágrafo 10). Também é responsável pela adoção e </w:t>
      </w:r>
      <w:proofErr w:type="gramStart"/>
      <w:r w:rsidRPr="00723ECA">
        <w:rPr>
          <w:sz w:val="22"/>
          <w:szCs w:val="24"/>
          <w:lang w:val="pt-BR"/>
        </w:rPr>
        <w:t>implementação</w:t>
      </w:r>
      <w:proofErr w:type="gramEnd"/>
      <w:r w:rsidRPr="00723ECA">
        <w:rPr>
          <w:sz w:val="22"/>
          <w:szCs w:val="24"/>
          <w:lang w:val="pt-BR"/>
        </w:rPr>
        <w:t xml:space="preserve"> de programas estatais para o desenvolvimento de sistemas de abastecimento de água potável, pel</w:t>
      </w:r>
      <w:r w:rsidR="005A2302" w:rsidRPr="00723ECA">
        <w:rPr>
          <w:sz w:val="22"/>
          <w:szCs w:val="24"/>
          <w:lang w:val="pt-BR"/>
        </w:rPr>
        <w:t>o estabelecimento e regula</w:t>
      </w:r>
      <w:r w:rsidRPr="00723ECA">
        <w:rPr>
          <w:sz w:val="22"/>
          <w:szCs w:val="24"/>
          <w:lang w:val="pt-BR"/>
        </w:rPr>
        <w:t>ção de tarifas de água e pelo fornecimento de informações públicas.</w:t>
      </w:r>
    </w:p>
    <w:p w:rsidR="00A511C7" w:rsidRPr="00723ECA" w:rsidRDefault="00A511C7" w:rsidP="00B756E4">
      <w:pPr>
        <w:pStyle w:val="Body1"/>
        <w:spacing w:before="120"/>
        <w:ind w:left="1134" w:right="1134"/>
        <w:jc w:val="both"/>
        <w:outlineLvl w:val="9"/>
        <w:rPr>
          <w:sz w:val="22"/>
          <w:szCs w:val="24"/>
          <w:lang w:val="pt-BR"/>
        </w:rPr>
      </w:pPr>
      <w:r w:rsidRPr="00723ECA">
        <w:rPr>
          <w:sz w:val="22"/>
          <w:szCs w:val="24"/>
          <w:lang w:val="pt-BR"/>
        </w:rPr>
        <w:t xml:space="preserve">31. A </w:t>
      </w:r>
      <w:proofErr w:type="spellStart"/>
      <w:r w:rsidRPr="00723ECA">
        <w:rPr>
          <w:sz w:val="22"/>
          <w:szCs w:val="24"/>
          <w:lang w:val="pt-BR"/>
        </w:rPr>
        <w:t>autorregulação</w:t>
      </w:r>
      <w:proofErr w:type="spellEnd"/>
      <w:r w:rsidRPr="00723ECA">
        <w:rPr>
          <w:sz w:val="22"/>
          <w:szCs w:val="24"/>
          <w:lang w:val="pt-BR"/>
        </w:rPr>
        <w:t xml:space="preserve"> cria um significativo desafio aos direitos humanos em termos de garantir monitoramento</w:t>
      </w:r>
      <w:r w:rsidR="002E4786">
        <w:rPr>
          <w:sz w:val="22"/>
          <w:szCs w:val="24"/>
          <w:lang w:val="pt-BR"/>
        </w:rPr>
        <w:t xml:space="preserve"> </w:t>
      </w:r>
      <w:r w:rsidRPr="00A57A2C">
        <w:rPr>
          <w:sz w:val="22"/>
          <w:szCs w:val="24"/>
          <w:lang w:val="pt-BR"/>
        </w:rPr>
        <w:t>independente</w:t>
      </w:r>
      <w:r w:rsidRPr="00723ECA">
        <w:rPr>
          <w:sz w:val="22"/>
          <w:szCs w:val="24"/>
          <w:lang w:val="pt-BR"/>
        </w:rPr>
        <w:t xml:space="preserve"> e prover mecanismos de </w:t>
      </w:r>
      <w:r w:rsidR="009D6ACE" w:rsidRPr="00723ECA">
        <w:rPr>
          <w:sz w:val="22"/>
          <w:szCs w:val="24"/>
          <w:lang w:val="pt-BR"/>
        </w:rPr>
        <w:t>responsabilização</w:t>
      </w:r>
      <w:r w:rsidRPr="00723ECA">
        <w:rPr>
          <w:sz w:val="22"/>
          <w:szCs w:val="24"/>
          <w:lang w:val="pt-BR"/>
        </w:rPr>
        <w:t xml:space="preserve"> confiáveis.  Princípios regulatórios como imparcialidade, responsabilização, transparência e boa governança podem potencialmente ser ameaçados pela </w:t>
      </w:r>
      <w:proofErr w:type="spellStart"/>
      <w:r w:rsidRPr="00723ECA">
        <w:rPr>
          <w:sz w:val="22"/>
          <w:szCs w:val="24"/>
          <w:lang w:val="pt-BR"/>
        </w:rPr>
        <w:t>autorregulação</w:t>
      </w:r>
      <w:proofErr w:type="spellEnd"/>
      <w:r w:rsidRPr="00723ECA">
        <w:rPr>
          <w:sz w:val="22"/>
          <w:szCs w:val="24"/>
          <w:lang w:val="pt-BR"/>
        </w:rPr>
        <w:t xml:space="preserve">, pois não há separação entre política, regulação e prestação de serviço. A </w:t>
      </w:r>
      <w:proofErr w:type="spellStart"/>
      <w:r w:rsidRPr="00723ECA">
        <w:rPr>
          <w:sz w:val="22"/>
          <w:szCs w:val="24"/>
          <w:lang w:val="pt-BR"/>
        </w:rPr>
        <w:t>autorregulação</w:t>
      </w:r>
      <w:proofErr w:type="spellEnd"/>
      <w:r w:rsidRPr="00723ECA">
        <w:rPr>
          <w:sz w:val="22"/>
          <w:szCs w:val="24"/>
          <w:lang w:val="pt-BR"/>
        </w:rPr>
        <w:t xml:space="preserve"> pode </w:t>
      </w:r>
      <w:r w:rsidR="005A2302" w:rsidRPr="00723ECA">
        <w:rPr>
          <w:sz w:val="22"/>
          <w:szCs w:val="24"/>
          <w:lang w:val="pt-BR"/>
        </w:rPr>
        <w:t xml:space="preserve">também </w:t>
      </w:r>
      <w:r w:rsidRPr="00723ECA">
        <w:rPr>
          <w:sz w:val="22"/>
          <w:szCs w:val="24"/>
          <w:lang w:val="pt-BR"/>
        </w:rPr>
        <w:t xml:space="preserve">levar </w:t>
      </w:r>
      <w:r w:rsidR="005A2302" w:rsidRPr="00723ECA">
        <w:rPr>
          <w:sz w:val="22"/>
          <w:szCs w:val="24"/>
          <w:lang w:val="pt-BR"/>
        </w:rPr>
        <w:t>à</w:t>
      </w:r>
      <w:r w:rsidRPr="00723ECA">
        <w:rPr>
          <w:sz w:val="22"/>
          <w:szCs w:val="24"/>
          <w:lang w:val="pt-BR"/>
        </w:rPr>
        <w:t xml:space="preserve"> falta de uniformidade de </w:t>
      </w:r>
      <w:r w:rsidR="00B92884">
        <w:rPr>
          <w:sz w:val="22"/>
          <w:szCs w:val="24"/>
          <w:lang w:val="pt-BR"/>
        </w:rPr>
        <w:t>desempenho</w:t>
      </w:r>
      <w:r w:rsidRPr="00723ECA">
        <w:rPr>
          <w:sz w:val="22"/>
          <w:szCs w:val="24"/>
          <w:lang w:val="pt-BR"/>
        </w:rPr>
        <w:t xml:space="preserve">, inclusive na definição das tarifas, com diferentes prestadores seguindo diferentes </w:t>
      </w:r>
      <w:r w:rsidR="00E72D2F" w:rsidRPr="00723ECA">
        <w:rPr>
          <w:sz w:val="22"/>
          <w:szCs w:val="24"/>
          <w:lang w:val="pt-BR"/>
        </w:rPr>
        <w:t>parâmetros</w:t>
      </w:r>
      <w:r w:rsidRPr="00723ECA">
        <w:rPr>
          <w:sz w:val="22"/>
          <w:szCs w:val="24"/>
          <w:lang w:val="pt-BR"/>
        </w:rPr>
        <w:t xml:space="preserve">. </w:t>
      </w:r>
    </w:p>
    <w:p w:rsidR="00A511C7" w:rsidRPr="00723ECA" w:rsidRDefault="00A511C7" w:rsidP="009A77DC">
      <w:pPr>
        <w:pStyle w:val="H23G"/>
        <w:numPr>
          <w:ilvl w:val="0"/>
          <w:numId w:val="12"/>
        </w:numPr>
        <w:ind w:left="1134"/>
        <w:rPr>
          <w:sz w:val="22"/>
          <w:lang w:val="en-US"/>
        </w:rPr>
      </w:pPr>
      <w:proofErr w:type="spellStart"/>
      <w:r w:rsidRPr="00723ECA">
        <w:rPr>
          <w:sz w:val="22"/>
          <w:lang w:val="en-US"/>
        </w:rPr>
        <w:t>Regulação</w:t>
      </w:r>
      <w:proofErr w:type="spellEnd"/>
      <w:r w:rsidRPr="00723ECA">
        <w:rPr>
          <w:sz w:val="22"/>
          <w:lang w:val="en-US"/>
        </w:rPr>
        <w:t xml:space="preserve"> </w:t>
      </w:r>
      <w:proofErr w:type="spellStart"/>
      <w:r w:rsidRPr="00723ECA">
        <w:rPr>
          <w:sz w:val="22"/>
          <w:lang w:val="en-US"/>
        </w:rPr>
        <w:t>por</w:t>
      </w:r>
      <w:proofErr w:type="spellEnd"/>
      <w:r w:rsidRPr="00723ECA">
        <w:rPr>
          <w:sz w:val="22"/>
          <w:lang w:val="en-US"/>
        </w:rPr>
        <w:t xml:space="preserve"> </w:t>
      </w:r>
      <w:proofErr w:type="spellStart"/>
      <w:r w:rsidRPr="00723ECA">
        <w:rPr>
          <w:sz w:val="22"/>
          <w:lang w:val="en-US"/>
        </w:rPr>
        <w:t>contrato</w:t>
      </w:r>
      <w:proofErr w:type="spellEnd"/>
    </w:p>
    <w:p w:rsidR="00A511C7" w:rsidRPr="00723ECA" w:rsidRDefault="00A511C7" w:rsidP="00B756E4">
      <w:pPr>
        <w:pStyle w:val="Body1"/>
        <w:spacing w:before="120"/>
        <w:ind w:left="1134" w:right="1134"/>
        <w:jc w:val="both"/>
        <w:outlineLvl w:val="9"/>
        <w:rPr>
          <w:sz w:val="22"/>
          <w:szCs w:val="24"/>
          <w:lang w:val="pt-BR"/>
        </w:rPr>
      </w:pPr>
      <w:r w:rsidRPr="00723ECA">
        <w:rPr>
          <w:sz w:val="22"/>
          <w:szCs w:val="24"/>
          <w:lang w:val="pt-BR"/>
        </w:rPr>
        <w:t xml:space="preserve">32. </w:t>
      </w:r>
      <w:proofErr w:type="gramStart"/>
      <w:r w:rsidRPr="00723ECA">
        <w:rPr>
          <w:sz w:val="22"/>
          <w:szCs w:val="24"/>
          <w:lang w:val="pt-BR"/>
        </w:rPr>
        <w:t>Marcos regulatórios podem ser</w:t>
      </w:r>
      <w:proofErr w:type="gramEnd"/>
      <w:r w:rsidRPr="00723ECA">
        <w:rPr>
          <w:sz w:val="22"/>
          <w:szCs w:val="24"/>
          <w:lang w:val="pt-BR"/>
        </w:rPr>
        <w:t xml:space="preserve"> caracterizados também por um amplo espectro de arranjos contratuais entre governos, que delegam formalmente a </w:t>
      </w:r>
      <w:r w:rsidR="00E72D2F" w:rsidRPr="00723ECA">
        <w:rPr>
          <w:sz w:val="22"/>
          <w:szCs w:val="24"/>
          <w:lang w:val="pt-BR"/>
        </w:rPr>
        <w:t>prestação de</w:t>
      </w:r>
      <w:r w:rsidRPr="00723ECA">
        <w:rPr>
          <w:sz w:val="22"/>
          <w:szCs w:val="24"/>
          <w:lang w:val="pt-BR"/>
        </w:rPr>
        <w:t xml:space="preserve"> serviços, e terceiros. Nesses casos, o instrumento de delegação da prestação de serviços define a relação entre o titular do ativo público e o prestador, além do estabelecimento de padrões para a operação do serviço. No caso de prestadores públicos, geralmente a gestão </w:t>
      </w:r>
      <w:r w:rsidR="00B92884">
        <w:rPr>
          <w:sz w:val="22"/>
          <w:szCs w:val="24"/>
          <w:lang w:val="pt-BR"/>
        </w:rPr>
        <w:t xml:space="preserve">é </w:t>
      </w:r>
      <w:r w:rsidRPr="00723ECA">
        <w:rPr>
          <w:sz w:val="22"/>
          <w:szCs w:val="24"/>
          <w:lang w:val="pt-BR"/>
        </w:rPr>
        <w:t xml:space="preserve">delegada via legislação, decretos ou contratos, enquanto o poder público frequentemente </w:t>
      </w:r>
      <w:r w:rsidR="00E72D2F" w:rsidRPr="00723ECA">
        <w:rPr>
          <w:sz w:val="22"/>
          <w:szCs w:val="24"/>
          <w:lang w:val="pt-BR"/>
        </w:rPr>
        <w:t>assin</w:t>
      </w:r>
      <w:r w:rsidR="00B92884">
        <w:rPr>
          <w:sz w:val="22"/>
          <w:szCs w:val="24"/>
          <w:lang w:val="pt-BR"/>
        </w:rPr>
        <w:t>a</w:t>
      </w:r>
      <w:r w:rsidRPr="00723ECA">
        <w:rPr>
          <w:sz w:val="22"/>
          <w:szCs w:val="24"/>
          <w:lang w:val="pt-BR"/>
        </w:rPr>
        <w:t xml:space="preserve"> contratos com prestadores privados. Contratos podem diferir com relação </w:t>
      </w:r>
      <w:r w:rsidR="00E72D2F" w:rsidRPr="00723ECA">
        <w:rPr>
          <w:sz w:val="22"/>
          <w:szCs w:val="24"/>
          <w:lang w:val="pt-BR"/>
        </w:rPr>
        <w:t>à</w:t>
      </w:r>
      <w:r w:rsidRPr="00723ECA">
        <w:rPr>
          <w:sz w:val="22"/>
          <w:szCs w:val="24"/>
          <w:lang w:val="pt-BR"/>
        </w:rPr>
        <w:t xml:space="preserve"> titularidade dos ativos, responsabilidade pelo investimento em capital, alocação de riscos, responsabili</w:t>
      </w:r>
      <w:r w:rsidR="00E72D2F" w:rsidRPr="00723ECA">
        <w:rPr>
          <w:sz w:val="22"/>
          <w:szCs w:val="24"/>
          <w:lang w:val="pt-BR"/>
        </w:rPr>
        <w:t>dade pela operação e manutenção</w:t>
      </w:r>
      <w:r w:rsidRPr="00723ECA">
        <w:rPr>
          <w:sz w:val="22"/>
          <w:szCs w:val="24"/>
          <w:lang w:val="pt-BR"/>
        </w:rPr>
        <w:t xml:space="preserve"> e duração típica. A França tem longa história com esse tipo de regulação, estabelecida por meio de participação do setor privado celebrando um contrato com o governo local. </w:t>
      </w:r>
    </w:p>
    <w:p w:rsidR="00A511C7" w:rsidRPr="00723ECA" w:rsidRDefault="00A511C7" w:rsidP="00B756E4">
      <w:pPr>
        <w:pStyle w:val="Body1"/>
        <w:spacing w:before="120"/>
        <w:ind w:left="1134" w:right="1134"/>
        <w:jc w:val="both"/>
        <w:outlineLvl w:val="9"/>
        <w:rPr>
          <w:sz w:val="22"/>
          <w:szCs w:val="24"/>
          <w:lang w:val="pt-BR"/>
        </w:rPr>
      </w:pPr>
      <w:r w:rsidRPr="00723ECA">
        <w:rPr>
          <w:sz w:val="22"/>
          <w:szCs w:val="24"/>
          <w:lang w:val="pt-BR"/>
        </w:rPr>
        <w:t>33. Diversos desafios aos diretos humanos surgem quando a prestação de serviço é regulada por contrato, particularmente quando</w:t>
      </w:r>
      <w:r w:rsidR="00E72D2F" w:rsidRPr="00723ECA">
        <w:rPr>
          <w:sz w:val="22"/>
          <w:szCs w:val="24"/>
          <w:lang w:val="pt-BR"/>
        </w:rPr>
        <w:t xml:space="preserve"> </w:t>
      </w:r>
      <w:r w:rsidRPr="00723ECA">
        <w:rPr>
          <w:sz w:val="22"/>
          <w:szCs w:val="24"/>
          <w:lang w:val="pt-BR"/>
        </w:rPr>
        <w:t xml:space="preserve">atores que não pertencem ao Estado estão envolvidos. Esses desafios incluem garantir processos decisórios democráticos e transparentes, abordar as assimetrias de poder nos processos licitatórios e de negociação, assegurar a acessibilidade econômica aos serviços, evitando desconexões em casos de incapacidade de pagamento, assegurar monitoramento e </w:t>
      </w:r>
      <w:r w:rsidR="009D6ACE" w:rsidRPr="00723ECA">
        <w:rPr>
          <w:sz w:val="22"/>
          <w:szCs w:val="24"/>
          <w:lang w:val="pt-BR"/>
        </w:rPr>
        <w:t xml:space="preserve">responsabilização </w:t>
      </w:r>
      <w:r w:rsidRPr="00723ECA">
        <w:rPr>
          <w:sz w:val="22"/>
          <w:szCs w:val="24"/>
          <w:lang w:val="pt-BR"/>
        </w:rPr>
        <w:t>e lidar com a corrupção. É importante também que os contratos, que normalmente são válidos por décadas, possam ser re</w:t>
      </w:r>
      <w:r w:rsidR="00E72D2F" w:rsidRPr="00723ECA">
        <w:rPr>
          <w:sz w:val="22"/>
          <w:szCs w:val="24"/>
          <w:lang w:val="pt-BR"/>
        </w:rPr>
        <w:t>vist</w:t>
      </w:r>
      <w:r w:rsidRPr="00723ECA">
        <w:rPr>
          <w:sz w:val="22"/>
          <w:szCs w:val="24"/>
          <w:lang w:val="pt-BR"/>
        </w:rPr>
        <w:t xml:space="preserve">os e adaptados com o tempo. </w:t>
      </w:r>
    </w:p>
    <w:p w:rsidR="00A511C7" w:rsidRPr="00723ECA" w:rsidRDefault="00A511C7" w:rsidP="00B756E4">
      <w:pPr>
        <w:pStyle w:val="Body1"/>
        <w:spacing w:before="120"/>
        <w:ind w:left="1134" w:right="1134"/>
        <w:jc w:val="both"/>
        <w:outlineLvl w:val="9"/>
        <w:rPr>
          <w:sz w:val="22"/>
          <w:szCs w:val="24"/>
          <w:lang w:val="pt-BR"/>
        </w:rPr>
      </w:pPr>
      <w:r w:rsidRPr="00723ECA">
        <w:rPr>
          <w:sz w:val="22"/>
          <w:szCs w:val="24"/>
          <w:lang w:val="pt-BR"/>
        </w:rPr>
        <w:lastRenderedPageBreak/>
        <w:t xml:space="preserve">34. A efetiva participação pública e o acesso à informação são princípios de direitos humanos que com frequência são negligenciados pelos Estados e prestadores de serviços nos procedimentos licitatórios e de negociação de contratos. Da perspectiva de direitos humanos, é crucial que os governos assegurem que os arranjos contratuais incluam as necessárias salvaguardas dos direitos humanos e que, em geral, aqueles – os </w:t>
      </w:r>
      <w:r w:rsidR="00E72D2F" w:rsidRPr="00723ECA">
        <w:rPr>
          <w:sz w:val="22"/>
          <w:szCs w:val="24"/>
          <w:lang w:val="pt-BR"/>
        </w:rPr>
        <w:t>arranjos contratuais – contribu</w:t>
      </w:r>
      <w:r w:rsidRPr="00723ECA">
        <w:rPr>
          <w:sz w:val="22"/>
          <w:szCs w:val="24"/>
          <w:lang w:val="pt-BR"/>
        </w:rPr>
        <w:t>am</w:t>
      </w:r>
      <w:r w:rsidR="007B462D">
        <w:rPr>
          <w:sz w:val="22"/>
          <w:szCs w:val="24"/>
          <w:lang w:val="pt-BR"/>
        </w:rPr>
        <w:t xml:space="preserve"> para</w:t>
      </w:r>
      <w:r w:rsidRPr="00723ECA">
        <w:rPr>
          <w:sz w:val="22"/>
          <w:szCs w:val="24"/>
          <w:lang w:val="pt-BR"/>
        </w:rPr>
        <w:t xml:space="preserve">, ao invés de minarem, a efetivação dos direitos humanos </w:t>
      </w:r>
      <w:r w:rsidR="00F80610" w:rsidRPr="00723ECA">
        <w:rPr>
          <w:sz w:val="22"/>
          <w:szCs w:val="24"/>
          <w:lang w:val="pt-BR"/>
        </w:rPr>
        <w:t>à</w:t>
      </w:r>
      <w:r w:rsidRPr="00723ECA">
        <w:rPr>
          <w:sz w:val="22"/>
          <w:szCs w:val="24"/>
          <w:lang w:val="pt-BR"/>
        </w:rPr>
        <w:t xml:space="preserve"> água e </w:t>
      </w:r>
      <w:r w:rsidR="00F80610" w:rsidRPr="00723ECA">
        <w:rPr>
          <w:sz w:val="22"/>
          <w:szCs w:val="24"/>
          <w:lang w:val="pt-BR"/>
        </w:rPr>
        <w:t xml:space="preserve">ao </w:t>
      </w:r>
      <w:r w:rsidRPr="00723ECA">
        <w:rPr>
          <w:sz w:val="22"/>
          <w:szCs w:val="24"/>
          <w:lang w:val="pt-BR"/>
        </w:rPr>
        <w:t xml:space="preserve">esgotamento sanitário, sem discriminação. </w:t>
      </w:r>
    </w:p>
    <w:p w:rsidR="00A511C7" w:rsidRPr="00723ECA" w:rsidRDefault="007B462D" w:rsidP="00B756E4">
      <w:pPr>
        <w:pStyle w:val="Body1"/>
        <w:spacing w:before="120"/>
        <w:ind w:left="1134" w:right="1134"/>
        <w:jc w:val="both"/>
        <w:outlineLvl w:val="9"/>
        <w:rPr>
          <w:sz w:val="22"/>
          <w:szCs w:val="24"/>
          <w:lang w:val="pt-BR"/>
        </w:rPr>
      </w:pPr>
      <w:r>
        <w:rPr>
          <w:sz w:val="22"/>
          <w:szCs w:val="24"/>
          <w:lang w:val="pt-BR"/>
        </w:rPr>
        <w:t>35. A regulação por contrato</w:t>
      </w:r>
      <w:r w:rsidR="00A511C7" w:rsidRPr="00723ECA">
        <w:rPr>
          <w:sz w:val="22"/>
          <w:szCs w:val="24"/>
          <w:lang w:val="pt-BR"/>
        </w:rPr>
        <w:t xml:space="preserve"> pode ser combinada com supervisão por agentes regulatórios. Nesses casos, as normas de serviços e tarifas </w:t>
      </w:r>
      <w:r>
        <w:rPr>
          <w:sz w:val="22"/>
          <w:szCs w:val="24"/>
          <w:lang w:val="pt-BR"/>
        </w:rPr>
        <w:t xml:space="preserve">acertadas </w:t>
      </w:r>
      <w:r w:rsidR="00A511C7" w:rsidRPr="00723ECA">
        <w:rPr>
          <w:sz w:val="22"/>
          <w:szCs w:val="24"/>
          <w:lang w:val="pt-BR"/>
        </w:rPr>
        <w:t xml:space="preserve">entre as partes do contrato têm de ser aprovadas pelo ator regulatório. A intervenção e supervisão do contrato pelo ente regulador, se orientadas </w:t>
      </w:r>
      <w:r w:rsidR="00F80610" w:rsidRPr="00723ECA">
        <w:rPr>
          <w:sz w:val="22"/>
          <w:szCs w:val="24"/>
          <w:lang w:val="pt-BR"/>
        </w:rPr>
        <w:t>pel</w:t>
      </w:r>
      <w:r w:rsidR="00A511C7" w:rsidRPr="00723ECA">
        <w:rPr>
          <w:sz w:val="22"/>
          <w:szCs w:val="24"/>
          <w:lang w:val="pt-BR"/>
        </w:rPr>
        <w:t>a abordagem de direitos humanos, pode contribuir para a realização dos dire</w:t>
      </w:r>
      <w:r w:rsidR="00F80610" w:rsidRPr="00723ECA">
        <w:rPr>
          <w:sz w:val="22"/>
          <w:szCs w:val="24"/>
          <w:lang w:val="pt-BR"/>
        </w:rPr>
        <w:t>i</w:t>
      </w:r>
      <w:r w:rsidR="00A511C7" w:rsidRPr="00723ECA">
        <w:rPr>
          <w:sz w:val="22"/>
          <w:szCs w:val="24"/>
          <w:lang w:val="pt-BR"/>
        </w:rPr>
        <w:t xml:space="preserve">tos à água e ao esgotamento sanitário. </w:t>
      </w:r>
    </w:p>
    <w:p w:rsidR="00A511C7" w:rsidRPr="00723ECA" w:rsidRDefault="00A511C7" w:rsidP="009A77DC">
      <w:pPr>
        <w:pStyle w:val="H23G"/>
        <w:numPr>
          <w:ilvl w:val="0"/>
          <w:numId w:val="12"/>
        </w:numPr>
        <w:ind w:left="1134"/>
        <w:rPr>
          <w:sz w:val="22"/>
          <w:lang w:val="pt-BR"/>
        </w:rPr>
      </w:pPr>
      <w:r w:rsidRPr="00723ECA">
        <w:rPr>
          <w:sz w:val="22"/>
          <w:lang w:val="pt-BR"/>
        </w:rPr>
        <w:t>Regulação por um órgão regulador</w:t>
      </w:r>
      <w:r w:rsidR="00A57A2C">
        <w:rPr>
          <w:sz w:val="22"/>
          <w:lang w:val="pt-BR"/>
        </w:rPr>
        <w:t xml:space="preserve"> </w:t>
      </w:r>
      <w:r w:rsidRPr="00A57A2C">
        <w:rPr>
          <w:sz w:val="22"/>
          <w:lang w:val="pt-BR"/>
        </w:rPr>
        <w:t>independente</w:t>
      </w:r>
    </w:p>
    <w:p w:rsidR="00A511C7" w:rsidRPr="00723ECA" w:rsidRDefault="00A511C7" w:rsidP="00B756E4">
      <w:pPr>
        <w:pStyle w:val="Normali"/>
        <w:numPr>
          <w:ilvl w:val="0"/>
          <w:numId w:val="0"/>
        </w:numPr>
        <w:ind w:left="1134"/>
        <w:rPr>
          <w:sz w:val="22"/>
          <w:lang w:val="pt-BR"/>
        </w:rPr>
      </w:pPr>
      <w:r w:rsidRPr="00723ECA">
        <w:rPr>
          <w:sz w:val="22"/>
          <w:lang w:val="pt-BR"/>
        </w:rPr>
        <w:t>36. Nas duas últimas décadas, uma tendência geral em muitos países em termos de regulação foi o estabelecimento de entidades públicas que são presumidamente independentes de prestadores, governos e da administração direta do Estado, designados como órgãos reguladores independentes. A necessidade de órgãos reguladores autônomos foi reforçada pela convicção de que a política, a regulação e a prestação de serviços devem ser preferencialme</w:t>
      </w:r>
      <w:r w:rsidR="007B462D">
        <w:rPr>
          <w:sz w:val="22"/>
          <w:lang w:val="pt-BR"/>
        </w:rPr>
        <w:t xml:space="preserve">nte separadas, para assegurar </w:t>
      </w:r>
      <w:r w:rsidRPr="00723ECA">
        <w:rPr>
          <w:sz w:val="22"/>
          <w:lang w:val="pt-BR"/>
        </w:rPr>
        <w:t>o</w:t>
      </w:r>
      <w:r w:rsidR="00F80610" w:rsidRPr="00723ECA">
        <w:rPr>
          <w:sz w:val="22"/>
          <w:lang w:val="pt-BR"/>
        </w:rPr>
        <w:t xml:space="preserve"> máximo</w:t>
      </w:r>
      <w:r w:rsidRPr="00723ECA">
        <w:rPr>
          <w:sz w:val="22"/>
          <w:lang w:val="pt-BR"/>
        </w:rPr>
        <w:t xml:space="preserve"> benefício da expertise</w:t>
      </w:r>
      <w:r w:rsidR="00F80610" w:rsidRPr="00723ECA">
        <w:rPr>
          <w:sz w:val="22"/>
          <w:lang w:val="pt-BR"/>
        </w:rPr>
        <w:t xml:space="preserve"> </w:t>
      </w:r>
      <w:r w:rsidRPr="00723ECA">
        <w:rPr>
          <w:sz w:val="22"/>
          <w:lang w:val="pt-BR"/>
        </w:rPr>
        <w:t>requerida e para proporcionar transparência</w:t>
      </w:r>
      <w:r w:rsidRPr="00723ECA">
        <w:rPr>
          <w:rStyle w:val="FootnoteReference"/>
          <w:sz w:val="20"/>
          <w:lang w:val="pt-BR"/>
        </w:rPr>
        <w:footnoteReference w:id="20"/>
      </w:r>
      <w:r w:rsidRPr="00723ECA">
        <w:rPr>
          <w:sz w:val="22"/>
          <w:lang w:val="pt-BR"/>
        </w:rPr>
        <w:t>.</w:t>
      </w:r>
    </w:p>
    <w:p w:rsidR="00A511C7" w:rsidRPr="00723ECA" w:rsidRDefault="00A511C7" w:rsidP="00B756E4">
      <w:pPr>
        <w:pStyle w:val="Normali"/>
        <w:numPr>
          <w:ilvl w:val="0"/>
          <w:numId w:val="0"/>
        </w:numPr>
        <w:ind w:left="1134"/>
        <w:rPr>
          <w:sz w:val="22"/>
          <w:lang w:val="pt-BR"/>
        </w:rPr>
      </w:pPr>
      <w:r w:rsidRPr="00723ECA">
        <w:rPr>
          <w:sz w:val="22"/>
          <w:lang w:val="pt-BR"/>
        </w:rPr>
        <w:t xml:space="preserve">37. A função dessas entidades inclui a instituição de normas, </w:t>
      </w:r>
      <w:r w:rsidR="00F80610" w:rsidRPr="00723ECA">
        <w:rPr>
          <w:sz w:val="22"/>
          <w:lang w:val="pt-BR"/>
        </w:rPr>
        <w:t xml:space="preserve">a fiscalização </w:t>
      </w:r>
      <w:r w:rsidRPr="00723ECA">
        <w:rPr>
          <w:sz w:val="22"/>
          <w:lang w:val="pt-BR"/>
        </w:rPr>
        <w:t xml:space="preserve">dos serviços de abastecimento de água e esgotamento sanitário </w:t>
      </w:r>
      <w:r w:rsidR="00F80610" w:rsidRPr="00723ECA">
        <w:rPr>
          <w:sz w:val="22"/>
          <w:lang w:val="pt-BR"/>
        </w:rPr>
        <w:t>quanto ao</w:t>
      </w:r>
      <w:r w:rsidRPr="00723ECA">
        <w:rPr>
          <w:sz w:val="22"/>
          <w:lang w:val="pt-BR"/>
        </w:rPr>
        <w:t xml:space="preserve"> cumprimento de padrões relevantes, </w:t>
      </w:r>
      <w:r w:rsidR="00F80610" w:rsidRPr="00723ECA">
        <w:rPr>
          <w:sz w:val="22"/>
          <w:lang w:val="pt-BR"/>
        </w:rPr>
        <w:t>a criação de</w:t>
      </w:r>
      <w:r w:rsidRPr="00723ECA">
        <w:rPr>
          <w:sz w:val="22"/>
          <w:lang w:val="pt-BR"/>
        </w:rPr>
        <w:t xml:space="preserve"> um fórum para reclamações de indivíduos, a definição e aprovação de </w:t>
      </w:r>
      <w:r w:rsidR="00F80610" w:rsidRPr="00723ECA">
        <w:rPr>
          <w:sz w:val="22"/>
          <w:lang w:val="pt-BR"/>
        </w:rPr>
        <w:t>tarifas. Quando o exercício dess</w:t>
      </w:r>
      <w:r w:rsidRPr="00723ECA">
        <w:rPr>
          <w:sz w:val="22"/>
          <w:lang w:val="pt-BR"/>
        </w:rPr>
        <w:t xml:space="preserve">as funções é guiado pela abordagem de direitos humanos, esse modelo regulatório pode contribuir significantemente para a efetivação progressiva dos direitos humanos à água e ao esgotamento sanitário. De qualquer maneira, na ausência de </w:t>
      </w:r>
      <w:r w:rsidR="00F80610" w:rsidRPr="00723ECA">
        <w:rPr>
          <w:sz w:val="22"/>
          <w:lang w:val="pt-BR"/>
        </w:rPr>
        <w:t xml:space="preserve">uma </w:t>
      </w:r>
      <w:r w:rsidRPr="00723ECA">
        <w:rPr>
          <w:sz w:val="22"/>
          <w:lang w:val="pt-BR"/>
        </w:rPr>
        <w:t xml:space="preserve">política nacional e </w:t>
      </w:r>
      <w:r w:rsidR="00F80610" w:rsidRPr="00723ECA">
        <w:rPr>
          <w:sz w:val="22"/>
          <w:lang w:val="pt-BR"/>
        </w:rPr>
        <w:t xml:space="preserve">de um </w:t>
      </w:r>
      <w:r w:rsidRPr="00723ECA">
        <w:rPr>
          <w:sz w:val="22"/>
          <w:lang w:val="pt-BR"/>
        </w:rPr>
        <w:t xml:space="preserve">ordenamento </w:t>
      </w:r>
      <w:proofErr w:type="gramStart"/>
      <w:r w:rsidRPr="00723ECA">
        <w:rPr>
          <w:sz w:val="22"/>
          <w:lang w:val="pt-BR"/>
        </w:rPr>
        <w:t>jurídico fortes</w:t>
      </w:r>
      <w:proofErr w:type="gramEnd"/>
      <w:r w:rsidRPr="00723ECA">
        <w:rPr>
          <w:sz w:val="22"/>
          <w:lang w:val="pt-BR"/>
        </w:rPr>
        <w:t xml:space="preserve"> no direito à água </w:t>
      </w:r>
      <w:r w:rsidR="00F80610" w:rsidRPr="00723ECA">
        <w:rPr>
          <w:sz w:val="22"/>
          <w:lang w:val="pt-BR"/>
        </w:rPr>
        <w:t>e ao esgotamento sanitário, aquela</w:t>
      </w:r>
      <w:r w:rsidRPr="00723ECA">
        <w:rPr>
          <w:sz w:val="22"/>
          <w:lang w:val="pt-BR"/>
        </w:rPr>
        <w:t xml:space="preserve">s entidades encontram desafios na efetivação desses direitos. </w:t>
      </w:r>
    </w:p>
    <w:p w:rsidR="00A511C7" w:rsidRPr="00723ECA" w:rsidRDefault="00A511C7" w:rsidP="00B756E4">
      <w:pPr>
        <w:pStyle w:val="Normali"/>
        <w:numPr>
          <w:ilvl w:val="0"/>
          <w:numId w:val="0"/>
        </w:numPr>
        <w:ind w:left="1134"/>
        <w:rPr>
          <w:sz w:val="22"/>
          <w:lang w:val="pt-BR"/>
        </w:rPr>
      </w:pPr>
      <w:r w:rsidRPr="00723ECA">
        <w:rPr>
          <w:sz w:val="22"/>
          <w:lang w:val="pt-BR"/>
        </w:rPr>
        <w:t xml:space="preserve">38. A Carta de Lisboa, produzida pela </w:t>
      </w:r>
      <w:proofErr w:type="spellStart"/>
      <w:r w:rsidRPr="00723ECA">
        <w:rPr>
          <w:i/>
          <w:sz w:val="22"/>
          <w:lang w:val="pt-BR"/>
        </w:rPr>
        <w:t>International</w:t>
      </w:r>
      <w:proofErr w:type="spellEnd"/>
      <w:r w:rsidRPr="00723ECA">
        <w:rPr>
          <w:i/>
          <w:sz w:val="22"/>
          <w:lang w:val="pt-BR"/>
        </w:rPr>
        <w:t xml:space="preserve"> </w:t>
      </w:r>
      <w:proofErr w:type="spellStart"/>
      <w:r w:rsidRPr="00723ECA">
        <w:rPr>
          <w:i/>
          <w:sz w:val="22"/>
          <w:lang w:val="pt-BR"/>
        </w:rPr>
        <w:t>Water</w:t>
      </w:r>
      <w:proofErr w:type="spellEnd"/>
      <w:r w:rsidRPr="00723ECA">
        <w:rPr>
          <w:i/>
          <w:sz w:val="22"/>
          <w:lang w:val="pt-BR"/>
        </w:rPr>
        <w:t xml:space="preserve"> </w:t>
      </w:r>
      <w:proofErr w:type="spellStart"/>
      <w:r w:rsidRPr="00723ECA">
        <w:rPr>
          <w:i/>
          <w:sz w:val="22"/>
          <w:lang w:val="pt-BR"/>
        </w:rPr>
        <w:t>Association</w:t>
      </w:r>
      <w:proofErr w:type="spellEnd"/>
      <w:r w:rsidRPr="00723ECA">
        <w:rPr>
          <w:sz w:val="22"/>
          <w:lang w:val="pt-BR"/>
        </w:rPr>
        <w:t>, destaca a importância de se garantir um adequado nível de independência institucional, funcional e financeira aos órgãos reguladores</w:t>
      </w:r>
      <w:r w:rsidRPr="00723ECA">
        <w:rPr>
          <w:rStyle w:val="FootnoteReference"/>
          <w:sz w:val="20"/>
          <w:lang w:val="pt-BR"/>
        </w:rPr>
        <w:footnoteReference w:id="21"/>
      </w:r>
      <w:r w:rsidRPr="00723ECA">
        <w:rPr>
          <w:sz w:val="22"/>
          <w:lang w:val="pt-BR"/>
        </w:rPr>
        <w:t xml:space="preserve">. Algumas características que definem a independência das entidades reguladoras incluem: (a) mandato estável, que não dependa nem do ciclo eleitoral nem das mudanças de governo; (b) autonomia no exercício da função regulatória; (c) a natureza definitiva das decisões do regulador, que só podem ser questionadas na </w:t>
      </w:r>
      <w:r w:rsidRPr="00723ECA">
        <w:rPr>
          <w:sz w:val="22"/>
          <w:lang w:val="pt-BR"/>
        </w:rPr>
        <w:lastRenderedPageBreak/>
        <w:t>justiça; e (d) autonomia administrativa substancial na gestão dos recursos orçamentários e humanos</w:t>
      </w:r>
      <w:r w:rsidRPr="00723ECA">
        <w:rPr>
          <w:rStyle w:val="FootnoteReference"/>
          <w:sz w:val="20"/>
          <w:lang w:val="pt-BR"/>
        </w:rPr>
        <w:footnoteReference w:id="22"/>
      </w:r>
      <w:r w:rsidRPr="00723ECA">
        <w:rPr>
          <w:sz w:val="22"/>
          <w:lang w:val="pt-BR"/>
        </w:rPr>
        <w:t xml:space="preserve">.     </w:t>
      </w:r>
    </w:p>
    <w:p w:rsidR="00A511C7" w:rsidRPr="00723ECA" w:rsidRDefault="00A511C7" w:rsidP="00B756E4">
      <w:pPr>
        <w:pStyle w:val="Body1"/>
        <w:spacing w:before="120"/>
        <w:ind w:left="1134" w:right="1134"/>
        <w:jc w:val="both"/>
        <w:outlineLvl w:val="9"/>
        <w:rPr>
          <w:sz w:val="22"/>
          <w:szCs w:val="24"/>
          <w:lang w:val="pt-BR"/>
        </w:rPr>
      </w:pPr>
      <w:r w:rsidRPr="00723ECA">
        <w:rPr>
          <w:sz w:val="22"/>
          <w:szCs w:val="24"/>
          <w:lang w:val="pt-BR"/>
        </w:rPr>
        <w:t>39. No entanto, alguns autores argumentam que a independência do governo pode ser tanto irrealista quanto, em algumas ocasiões, indesejável</w:t>
      </w:r>
      <w:r w:rsidRPr="00723ECA">
        <w:rPr>
          <w:rStyle w:val="FootnoteReference"/>
          <w:sz w:val="20"/>
          <w:szCs w:val="24"/>
          <w:lang w:val="pt-BR"/>
        </w:rPr>
        <w:footnoteReference w:id="23"/>
      </w:r>
      <w:r w:rsidRPr="00723ECA">
        <w:rPr>
          <w:sz w:val="22"/>
          <w:szCs w:val="24"/>
          <w:lang w:val="pt-BR"/>
        </w:rPr>
        <w:t xml:space="preserve">. Em essência, os órgãos reguladores devem assegurar a </w:t>
      </w:r>
      <w:proofErr w:type="gramStart"/>
      <w:r w:rsidRPr="00723ECA">
        <w:rPr>
          <w:sz w:val="22"/>
          <w:szCs w:val="24"/>
          <w:lang w:val="pt-BR"/>
        </w:rPr>
        <w:t>implementação</w:t>
      </w:r>
      <w:proofErr w:type="gramEnd"/>
      <w:r w:rsidRPr="00723ECA">
        <w:rPr>
          <w:sz w:val="22"/>
          <w:szCs w:val="24"/>
          <w:lang w:val="pt-BR"/>
        </w:rPr>
        <w:t xml:space="preserve"> de políticas públicas definidas pelo governo para os setores regulados. Isto significa que, em situações em que a política de água necessite ser </w:t>
      </w:r>
      <w:proofErr w:type="gramStart"/>
      <w:r w:rsidRPr="00723ECA">
        <w:rPr>
          <w:sz w:val="22"/>
          <w:szCs w:val="24"/>
          <w:lang w:val="pt-BR"/>
        </w:rPr>
        <w:t>conciliada ou balanceada</w:t>
      </w:r>
      <w:proofErr w:type="gramEnd"/>
      <w:r w:rsidRPr="00723ECA">
        <w:rPr>
          <w:sz w:val="22"/>
          <w:szCs w:val="24"/>
          <w:lang w:val="pt-BR"/>
        </w:rPr>
        <w:t xml:space="preserve"> com as políticas públicas</w:t>
      </w:r>
      <w:r w:rsidR="00F80610" w:rsidRPr="00723ECA">
        <w:rPr>
          <w:sz w:val="22"/>
          <w:szCs w:val="24"/>
          <w:lang w:val="pt-BR"/>
        </w:rPr>
        <w:t xml:space="preserve"> e sociais</w:t>
      </w:r>
      <w:r w:rsidRPr="00723ECA">
        <w:rPr>
          <w:sz w:val="22"/>
          <w:szCs w:val="24"/>
          <w:lang w:val="pt-BR"/>
        </w:rPr>
        <w:t xml:space="preserve">, tendo em vista as normas de direitos humanos (p.ex. capacidade de pagamento) ou o cumprimento das obrigações governamentais de direitos humanos, o processo decisório regulatório deve incentivar a participação significativa dos setores governamentais relevantes (ver </w:t>
      </w:r>
      <w:r w:rsidRPr="00723ECA">
        <w:rPr>
          <w:sz w:val="22"/>
          <w:lang w:val="pt-BR"/>
        </w:rPr>
        <w:t>A/HRC/36/45/Add.1, parágrafo 36</w:t>
      </w:r>
      <w:r w:rsidRPr="00723ECA">
        <w:rPr>
          <w:sz w:val="22"/>
          <w:szCs w:val="24"/>
          <w:lang w:val="pt-BR"/>
        </w:rPr>
        <w:t xml:space="preserve">). Os governos devem ser capazes de influenciar legitimamente tanto os processos de decisão regulatórios quanto seus resultados nos casos em que a regulação por si não seja suficiente para atender as normas de direitos humanos à água e ao esgotamento sanitário. </w:t>
      </w:r>
      <w:r w:rsidR="00222787" w:rsidRPr="00723ECA">
        <w:rPr>
          <w:sz w:val="22"/>
          <w:szCs w:val="24"/>
          <w:lang w:val="pt-BR"/>
        </w:rPr>
        <w:t>Embora</w:t>
      </w:r>
      <w:r w:rsidRPr="00723ECA">
        <w:rPr>
          <w:sz w:val="22"/>
          <w:szCs w:val="24"/>
          <w:lang w:val="pt-BR"/>
        </w:rPr>
        <w:t xml:space="preserve"> a independência dos órgãos reguladores em relação à interferência governamental não deva ser menosprezada, particularmente em países onde a corrupção é </w:t>
      </w:r>
      <w:r w:rsidR="00222787" w:rsidRPr="00723ECA">
        <w:rPr>
          <w:sz w:val="22"/>
          <w:szCs w:val="24"/>
          <w:lang w:val="pt-BR"/>
        </w:rPr>
        <w:t>intensa</w:t>
      </w:r>
      <w:r w:rsidRPr="00723ECA">
        <w:rPr>
          <w:sz w:val="22"/>
          <w:szCs w:val="24"/>
          <w:lang w:val="pt-BR"/>
        </w:rPr>
        <w:t xml:space="preserve">, tal independência não deve ser vista isoladamente das considerações de direitos humanos. </w:t>
      </w:r>
    </w:p>
    <w:p w:rsidR="00A511C7" w:rsidRPr="00723ECA" w:rsidRDefault="00A511C7" w:rsidP="00B756E4">
      <w:pPr>
        <w:pStyle w:val="Body1"/>
        <w:spacing w:before="120"/>
        <w:ind w:left="1134" w:right="1134"/>
        <w:jc w:val="both"/>
        <w:outlineLvl w:val="9"/>
        <w:rPr>
          <w:color w:val="auto"/>
          <w:szCs w:val="24"/>
          <w:lang w:val="pt-BR"/>
        </w:rPr>
      </w:pPr>
      <w:r w:rsidRPr="00723ECA">
        <w:rPr>
          <w:sz w:val="22"/>
          <w:szCs w:val="24"/>
          <w:lang w:val="pt-BR"/>
        </w:rPr>
        <w:t>40. Um número crescente de entidades reguladoras</w:t>
      </w:r>
      <w:r w:rsidR="00A57A2C">
        <w:rPr>
          <w:sz w:val="22"/>
          <w:szCs w:val="24"/>
          <w:lang w:val="pt-BR"/>
        </w:rPr>
        <w:t xml:space="preserve"> </w:t>
      </w:r>
      <w:r w:rsidRPr="00053DDA">
        <w:rPr>
          <w:sz w:val="22"/>
          <w:szCs w:val="24"/>
          <w:lang w:val="pt-BR"/>
        </w:rPr>
        <w:t>independentes</w:t>
      </w:r>
      <w:r w:rsidRPr="00723ECA">
        <w:rPr>
          <w:sz w:val="22"/>
          <w:szCs w:val="24"/>
          <w:lang w:val="pt-BR"/>
        </w:rPr>
        <w:t xml:space="preserve"> tem sido </w:t>
      </w:r>
      <w:proofErr w:type="gramStart"/>
      <w:r w:rsidRPr="00723ECA">
        <w:rPr>
          <w:sz w:val="22"/>
          <w:szCs w:val="24"/>
          <w:lang w:val="pt-BR"/>
        </w:rPr>
        <w:t>criadas</w:t>
      </w:r>
      <w:proofErr w:type="gramEnd"/>
      <w:r w:rsidRPr="00723ECA">
        <w:rPr>
          <w:sz w:val="22"/>
          <w:szCs w:val="24"/>
          <w:lang w:val="pt-BR"/>
        </w:rPr>
        <w:t xml:space="preserve"> nos últimos anos. O Conselho Regulador Palestino do Setor de Águas</w:t>
      </w:r>
      <w:r w:rsidRPr="00723ECA">
        <w:rPr>
          <w:rStyle w:val="FootnoteReference"/>
          <w:sz w:val="20"/>
          <w:szCs w:val="24"/>
          <w:lang w:val="pt-BR"/>
        </w:rPr>
        <w:footnoteReference w:id="24"/>
      </w:r>
      <w:r w:rsidRPr="00723ECA">
        <w:rPr>
          <w:sz w:val="22"/>
          <w:szCs w:val="24"/>
          <w:lang w:val="pt-BR"/>
        </w:rPr>
        <w:t xml:space="preserve"> foi </w:t>
      </w:r>
      <w:r w:rsidR="00222787" w:rsidRPr="00723ECA">
        <w:rPr>
          <w:sz w:val="22"/>
          <w:szCs w:val="24"/>
          <w:lang w:val="pt-BR"/>
        </w:rPr>
        <w:t xml:space="preserve">instituído </w:t>
      </w:r>
      <w:r w:rsidRPr="00723ECA">
        <w:rPr>
          <w:sz w:val="22"/>
          <w:szCs w:val="24"/>
          <w:lang w:val="pt-BR"/>
        </w:rPr>
        <w:t xml:space="preserve">pelo Decreto de Águas pela Lei </w:t>
      </w:r>
      <w:r w:rsidR="00222787" w:rsidRPr="00723ECA">
        <w:rPr>
          <w:sz w:val="22"/>
          <w:szCs w:val="24"/>
          <w:lang w:val="pt-BR"/>
        </w:rPr>
        <w:t>nº 14 em 2014, e tem como missões</w:t>
      </w:r>
      <w:r w:rsidRPr="00723ECA">
        <w:rPr>
          <w:sz w:val="22"/>
          <w:szCs w:val="24"/>
          <w:lang w:val="pt-BR"/>
        </w:rPr>
        <w:t xml:space="preserve"> o monitoramento da </w:t>
      </w:r>
      <w:proofErr w:type="gramStart"/>
      <w:r w:rsidRPr="00723ECA">
        <w:rPr>
          <w:sz w:val="22"/>
          <w:szCs w:val="24"/>
          <w:lang w:val="pt-BR"/>
        </w:rPr>
        <w:t>performance</w:t>
      </w:r>
      <w:proofErr w:type="gramEnd"/>
      <w:r w:rsidRPr="00723ECA">
        <w:rPr>
          <w:sz w:val="22"/>
          <w:szCs w:val="24"/>
          <w:lang w:val="pt-BR"/>
        </w:rPr>
        <w:t xml:space="preserve"> de todos os prestadores de serviço, </w:t>
      </w:r>
      <w:r w:rsidR="00222787" w:rsidRPr="00723ECA">
        <w:rPr>
          <w:sz w:val="22"/>
          <w:szCs w:val="24"/>
          <w:lang w:val="pt-BR"/>
        </w:rPr>
        <w:t xml:space="preserve">a </w:t>
      </w:r>
      <w:r w:rsidRPr="00723ECA">
        <w:rPr>
          <w:sz w:val="22"/>
          <w:szCs w:val="24"/>
          <w:lang w:val="pt-BR"/>
        </w:rPr>
        <w:t xml:space="preserve">aprovação de tarifas de água, emissão de licenças, definição de padrões de qualidade e </w:t>
      </w:r>
      <w:r w:rsidR="00222787" w:rsidRPr="00723ECA">
        <w:rPr>
          <w:sz w:val="22"/>
          <w:szCs w:val="24"/>
          <w:lang w:val="pt-BR"/>
        </w:rPr>
        <w:t xml:space="preserve">o </w:t>
      </w:r>
      <w:r w:rsidRPr="00723ECA">
        <w:rPr>
          <w:sz w:val="22"/>
          <w:szCs w:val="24"/>
          <w:lang w:val="pt-BR"/>
        </w:rPr>
        <w:t>processamento de reclamações. De maneira similar, em Portugal, a Lei nº 10/2014</w:t>
      </w:r>
      <w:r w:rsidR="00330395" w:rsidRPr="00723ECA">
        <w:rPr>
          <w:sz w:val="22"/>
          <w:szCs w:val="24"/>
          <w:lang w:val="pt-BR"/>
        </w:rPr>
        <w:t>, que</w:t>
      </w:r>
      <w:r w:rsidRPr="00723ECA">
        <w:rPr>
          <w:sz w:val="22"/>
          <w:szCs w:val="24"/>
          <w:lang w:val="pt-BR"/>
        </w:rPr>
        <w:t xml:space="preserve"> cria a </w:t>
      </w:r>
      <w:r w:rsidRPr="00723ECA">
        <w:rPr>
          <w:color w:val="auto"/>
          <w:sz w:val="22"/>
          <w:szCs w:val="21"/>
          <w:lang w:val="pt-BR"/>
        </w:rPr>
        <w:t>Entidade Reguladora dos Serviços de Águas e Resíduos, confer</w:t>
      </w:r>
      <w:r w:rsidR="00330395" w:rsidRPr="00723ECA">
        <w:rPr>
          <w:color w:val="auto"/>
          <w:sz w:val="22"/>
          <w:szCs w:val="21"/>
          <w:lang w:val="pt-BR"/>
        </w:rPr>
        <w:t>e</w:t>
      </w:r>
      <w:r w:rsidRPr="00723ECA">
        <w:rPr>
          <w:color w:val="auto"/>
          <w:sz w:val="22"/>
          <w:szCs w:val="21"/>
          <w:lang w:val="pt-BR"/>
        </w:rPr>
        <w:t xml:space="preserve"> </w:t>
      </w:r>
      <w:r w:rsidR="00330395" w:rsidRPr="00723ECA">
        <w:rPr>
          <w:color w:val="auto"/>
          <w:sz w:val="22"/>
          <w:szCs w:val="21"/>
          <w:lang w:val="pt-BR"/>
        </w:rPr>
        <w:t xml:space="preserve">a esta entidade </w:t>
      </w:r>
      <w:r w:rsidR="00222787" w:rsidRPr="00723ECA">
        <w:rPr>
          <w:color w:val="auto"/>
          <w:sz w:val="22"/>
          <w:szCs w:val="21"/>
          <w:lang w:val="pt-BR"/>
        </w:rPr>
        <w:t>o poder de regular</w:t>
      </w:r>
      <w:r w:rsidR="004658A8" w:rsidRPr="00723ECA">
        <w:rPr>
          <w:color w:val="auto"/>
          <w:sz w:val="22"/>
          <w:szCs w:val="21"/>
          <w:lang w:val="pt-BR"/>
        </w:rPr>
        <w:t xml:space="preserve">, monitorar e </w:t>
      </w:r>
      <w:r w:rsidR="00330395" w:rsidRPr="00723ECA">
        <w:rPr>
          <w:color w:val="auto"/>
          <w:sz w:val="22"/>
          <w:szCs w:val="21"/>
          <w:lang w:val="pt-BR"/>
        </w:rPr>
        <w:t>exigir</w:t>
      </w:r>
      <w:r w:rsidR="004658A8" w:rsidRPr="00723ECA">
        <w:rPr>
          <w:color w:val="auto"/>
          <w:sz w:val="22"/>
          <w:szCs w:val="21"/>
          <w:lang w:val="pt-BR"/>
        </w:rPr>
        <w:t xml:space="preserve"> o cumprimento de normas</w:t>
      </w:r>
      <w:r w:rsidR="00330395" w:rsidRPr="00723ECA">
        <w:rPr>
          <w:color w:val="auto"/>
          <w:sz w:val="22"/>
          <w:szCs w:val="21"/>
          <w:lang w:val="pt-BR"/>
        </w:rPr>
        <w:t>,</w:t>
      </w:r>
      <w:r w:rsidRPr="00723ECA">
        <w:rPr>
          <w:color w:val="auto"/>
          <w:sz w:val="22"/>
          <w:szCs w:val="21"/>
          <w:lang w:val="pt-BR"/>
        </w:rPr>
        <w:t xml:space="preserve"> </w:t>
      </w:r>
      <w:r w:rsidR="00330395" w:rsidRPr="00723ECA">
        <w:rPr>
          <w:color w:val="auto"/>
          <w:sz w:val="22"/>
          <w:szCs w:val="21"/>
          <w:lang w:val="pt-BR"/>
        </w:rPr>
        <w:t xml:space="preserve">o </w:t>
      </w:r>
      <w:r w:rsidRPr="00723ECA">
        <w:rPr>
          <w:color w:val="auto"/>
          <w:sz w:val="22"/>
          <w:szCs w:val="21"/>
          <w:lang w:val="pt-BR"/>
        </w:rPr>
        <w:t>que se aplica a todos os prestadores. É também o caso do Brasil, um Estado Federativo, que aprovou em 2007 a Lei Federal do Saneamento que estabelece as diretrizes para a criação de agências reguladoras no</w:t>
      </w:r>
      <w:r w:rsidR="00222787" w:rsidRPr="00723ECA">
        <w:rPr>
          <w:color w:val="auto"/>
          <w:sz w:val="22"/>
          <w:szCs w:val="21"/>
          <w:lang w:val="pt-BR"/>
        </w:rPr>
        <w:t>s níveis</w:t>
      </w:r>
      <w:r w:rsidRPr="00723ECA">
        <w:rPr>
          <w:color w:val="auto"/>
          <w:sz w:val="22"/>
          <w:szCs w:val="21"/>
          <w:lang w:val="pt-BR"/>
        </w:rPr>
        <w:t xml:space="preserve"> municipal, intermunicipal e estadual.    </w:t>
      </w:r>
    </w:p>
    <w:p w:rsidR="00A511C7" w:rsidRPr="00723ECA" w:rsidRDefault="00B756E4" w:rsidP="00B756E4">
      <w:pPr>
        <w:pStyle w:val="HChG"/>
        <w:numPr>
          <w:ilvl w:val="0"/>
          <w:numId w:val="8"/>
        </w:numPr>
        <w:ind w:left="1134" w:hanging="567"/>
        <w:rPr>
          <w:sz w:val="32"/>
          <w:lang w:val="pt-BR"/>
        </w:rPr>
      </w:pPr>
      <w:r w:rsidRPr="00723ECA">
        <w:rPr>
          <w:sz w:val="32"/>
          <w:lang w:val="pt-BR"/>
        </w:rPr>
        <w:lastRenderedPageBreak/>
        <w:t xml:space="preserve">Funções centrais dos </w:t>
      </w:r>
      <w:r w:rsidR="002533F0">
        <w:rPr>
          <w:sz w:val="32"/>
          <w:lang w:val="pt-BR"/>
        </w:rPr>
        <w:t>agentes regulatórios</w:t>
      </w:r>
    </w:p>
    <w:p w:rsidR="00A511C7" w:rsidRPr="00723ECA" w:rsidRDefault="009A77DC" w:rsidP="009A77DC">
      <w:pPr>
        <w:pStyle w:val="H1G"/>
        <w:numPr>
          <w:ilvl w:val="0"/>
          <w:numId w:val="11"/>
        </w:numPr>
        <w:rPr>
          <w:sz w:val="28"/>
          <w:lang w:val="pt-BR"/>
        </w:rPr>
      </w:pPr>
      <w:r w:rsidRPr="00723ECA">
        <w:rPr>
          <w:sz w:val="28"/>
          <w:lang w:val="pt-BR"/>
        </w:rPr>
        <w:t xml:space="preserve">Definição de </w:t>
      </w:r>
      <w:r w:rsidR="00061D27" w:rsidRPr="00723ECA">
        <w:rPr>
          <w:sz w:val="28"/>
          <w:lang w:val="pt-BR"/>
        </w:rPr>
        <w:t>padrões</w:t>
      </w:r>
    </w:p>
    <w:p w:rsidR="00061D27" w:rsidRPr="00723ECA" w:rsidRDefault="00061D27" w:rsidP="00061D27">
      <w:pPr>
        <w:ind w:left="1134" w:right="1134"/>
        <w:jc w:val="both"/>
        <w:rPr>
          <w:rFonts w:eastAsia="Arial Unicode MS"/>
          <w:color w:val="000000"/>
          <w:sz w:val="22"/>
          <w:szCs w:val="24"/>
          <w:u w:color="000000"/>
          <w:lang w:val="pt-BR" w:eastAsia="en-GB"/>
        </w:rPr>
      </w:pPr>
      <w:r w:rsidRPr="00723ECA">
        <w:rPr>
          <w:rFonts w:eastAsia="Arial Unicode MS"/>
          <w:color w:val="000000"/>
          <w:sz w:val="22"/>
          <w:szCs w:val="24"/>
          <w:u w:color="000000"/>
          <w:lang w:val="pt-BR" w:eastAsia="en-GB"/>
        </w:rPr>
        <w:t xml:space="preserve">41. Um dos papéis fundamentais da regulação é o estabelecimento de </w:t>
      </w:r>
      <w:r w:rsidR="00330395" w:rsidRPr="00723ECA">
        <w:rPr>
          <w:rFonts w:eastAsia="Arial Unicode MS"/>
          <w:color w:val="000000"/>
          <w:sz w:val="22"/>
          <w:szCs w:val="24"/>
          <w:u w:color="000000"/>
          <w:lang w:val="pt-BR" w:eastAsia="en-GB"/>
        </w:rPr>
        <w:t>padrões de desempenho</w:t>
      </w:r>
      <w:r w:rsidRPr="00723ECA">
        <w:rPr>
          <w:rFonts w:eastAsia="Arial Unicode MS"/>
          <w:color w:val="000000"/>
          <w:sz w:val="22"/>
          <w:szCs w:val="24"/>
          <w:u w:color="000000"/>
          <w:lang w:val="pt-BR" w:eastAsia="en-GB"/>
        </w:rPr>
        <w:t xml:space="preserve">. O estabelecimento de padrões para a prestação dos serviços é uma das principais funções do Estado. O Estado deve cumprir suas obrigações em cumprimento ao Pacto Internacional dos Direitos Econômicos, Sociais e Culturais – PIDESC </w:t>
      </w:r>
      <w:r w:rsidR="00AD53D2" w:rsidRPr="00723ECA">
        <w:rPr>
          <w:rFonts w:eastAsia="Arial Unicode MS"/>
          <w:color w:val="000000"/>
          <w:sz w:val="22"/>
          <w:szCs w:val="24"/>
          <w:u w:color="000000"/>
          <w:lang w:val="pt-BR" w:eastAsia="en-GB"/>
        </w:rPr>
        <w:t>–</w:t>
      </w:r>
      <w:r w:rsidRPr="00723ECA">
        <w:rPr>
          <w:rFonts w:eastAsia="Arial Unicode MS"/>
          <w:color w:val="000000"/>
          <w:sz w:val="22"/>
          <w:szCs w:val="24"/>
          <w:u w:color="000000"/>
          <w:lang w:val="pt-BR" w:eastAsia="en-GB"/>
        </w:rPr>
        <w:t xml:space="preserve"> e</w:t>
      </w:r>
      <w:r w:rsidR="00AD53D2" w:rsidRPr="00723ECA">
        <w:rPr>
          <w:rFonts w:eastAsia="Arial Unicode MS"/>
          <w:color w:val="000000"/>
          <w:sz w:val="22"/>
          <w:szCs w:val="24"/>
          <w:u w:color="000000"/>
          <w:lang w:val="pt-BR" w:eastAsia="en-GB"/>
        </w:rPr>
        <w:t xml:space="preserve"> </w:t>
      </w:r>
      <w:r w:rsidRPr="00723ECA">
        <w:rPr>
          <w:rFonts w:eastAsia="Arial Unicode MS"/>
          <w:color w:val="000000"/>
          <w:sz w:val="22"/>
          <w:szCs w:val="24"/>
          <w:u w:color="000000"/>
          <w:lang w:val="pt-BR" w:eastAsia="en-GB"/>
        </w:rPr>
        <w:t xml:space="preserve">deve assegurar que aqueles que desempenham funções regulatórias contribuam para a progressiva efetivação do direito à água e ao </w:t>
      </w:r>
      <w:r w:rsidR="00034B4F" w:rsidRPr="00723ECA">
        <w:rPr>
          <w:rFonts w:eastAsia="Arial Unicode MS"/>
          <w:color w:val="000000"/>
          <w:sz w:val="22"/>
          <w:szCs w:val="24"/>
          <w:u w:color="000000"/>
          <w:lang w:val="pt-BR" w:eastAsia="en-GB"/>
        </w:rPr>
        <w:t>esgotamento sanitário</w:t>
      </w:r>
      <w:r w:rsidRPr="00723ECA">
        <w:rPr>
          <w:rFonts w:eastAsia="Arial Unicode MS"/>
          <w:color w:val="000000"/>
          <w:sz w:val="22"/>
          <w:szCs w:val="24"/>
          <w:u w:color="000000"/>
          <w:lang w:val="pt-BR" w:eastAsia="en-GB"/>
        </w:rPr>
        <w:t>.</w:t>
      </w:r>
      <w:r w:rsidR="00F40306" w:rsidRPr="00723ECA">
        <w:rPr>
          <w:rStyle w:val="FootnoteReference"/>
          <w:rFonts w:eastAsia="Arial Unicode MS"/>
          <w:color w:val="000000"/>
          <w:sz w:val="20"/>
          <w:szCs w:val="24"/>
          <w:u w:color="000000"/>
          <w:lang w:val="pt-BR" w:eastAsia="en-GB"/>
        </w:rPr>
        <w:footnoteReference w:id="25"/>
      </w:r>
      <w:r w:rsidRPr="00723ECA">
        <w:rPr>
          <w:rFonts w:eastAsia="Arial Unicode MS"/>
          <w:color w:val="000000"/>
          <w:sz w:val="22"/>
          <w:szCs w:val="24"/>
          <w:u w:color="000000"/>
          <w:lang w:val="pt-BR" w:eastAsia="en-GB"/>
        </w:rPr>
        <w:t xml:space="preserve"> Isso significa que o </w:t>
      </w:r>
      <w:r w:rsidR="00053DDA">
        <w:rPr>
          <w:rFonts w:eastAsia="Arial Unicode MS"/>
          <w:color w:val="000000"/>
          <w:sz w:val="22"/>
          <w:szCs w:val="24"/>
          <w:u w:color="000000"/>
          <w:lang w:val="pt-BR" w:eastAsia="en-GB"/>
        </w:rPr>
        <w:t>exercício</w:t>
      </w:r>
      <w:r w:rsidR="00AD53D2" w:rsidRPr="00723ECA">
        <w:rPr>
          <w:rFonts w:eastAsia="Arial Unicode MS"/>
          <w:color w:val="000000"/>
          <w:sz w:val="22"/>
          <w:szCs w:val="24"/>
          <w:u w:color="000000"/>
          <w:lang w:val="pt-BR" w:eastAsia="en-GB"/>
        </w:rPr>
        <w:t xml:space="preserve"> das funções regulatórias em</w:t>
      </w:r>
      <w:r w:rsidRPr="00723ECA">
        <w:rPr>
          <w:rFonts w:eastAsia="Arial Unicode MS"/>
          <w:color w:val="000000"/>
          <w:sz w:val="22"/>
          <w:szCs w:val="24"/>
          <w:u w:color="000000"/>
          <w:lang w:val="pt-BR" w:eastAsia="en-GB"/>
        </w:rPr>
        <w:t xml:space="preserve"> </w:t>
      </w:r>
      <w:r w:rsidR="00AD53D2" w:rsidRPr="00723ECA">
        <w:rPr>
          <w:rFonts w:eastAsia="Arial Unicode MS"/>
          <w:color w:val="000000"/>
          <w:sz w:val="22"/>
          <w:szCs w:val="24"/>
          <w:u w:color="000000"/>
          <w:lang w:val="pt-BR" w:eastAsia="en-GB"/>
        </w:rPr>
        <w:t>geral</w:t>
      </w:r>
      <w:r w:rsidRPr="00723ECA">
        <w:rPr>
          <w:rFonts w:eastAsia="Arial Unicode MS"/>
          <w:color w:val="000000"/>
          <w:sz w:val="22"/>
          <w:szCs w:val="24"/>
          <w:u w:color="000000"/>
          <w:lang w:val="pt-BR" w:eastAsia="en-GB"/>
        </w:rPr>
        <w:t xml:space="preserve"> </w:t>
      </w:r>
      <w:r w:rsidR="00426CFC" w:rsidRPr="00723ECA">
        <w:rPr>
          <w:rFonts w:eastAsia="Arial Unicode MS"/>
          <w:color w:val="000000"/>
          <w:sz w:val="22"/>
          <w:szCs w:val="24"/>
          <w:u w:color="000000"/>
          <w:lang w:val="pt-BR" w:eastAsia="en-GB"/>
        </w:rPr>
        <w:t xml:space="preserve">e </w:t>
      </w:r>
      <w:r w:rsidRPr="00723ECA">
        <w:rPr>
          <w:rFonts w:eastAsia="Arial Unicode MS"/>
          <w:color w:val="000000"/>
          <w:sz w:val="22"/>
          <w:szCs w:val="24"/>
          <w:u w:color="000000"/>
          <w:lang w:val="pt-BR" w:eastAsia="en-GB"/>
        </w:rPr>
        <w:t xml:space="preserve">a elaboração de </w:t>
      </w:r>
      <w:r w:rsidR="004658A8" w:rsidRPr="00723ECA">
        <w:rPr>
          <w:rFonts w:eastAsia="Arial Unicode MS"/>
          <w:color w:val="000000"/>
          <w:sz w:val="22"/>
          <w:szCs w:val="24"/>
          <w:u w:color="000000"/>
          <w:lang w:val="pt-BR" w:eastAsia="en-GB"/>
        </w:rPr>
        <w:t>normas regulatórias</w:t>
      </w:r>
      <w:r w:rsidRPr="00723ECA">
        <w:rPr>
          <w:rFonts w:eastAsia="Arial Unicode MS"/>
          <w:color w:val="000000"/>
          <w:sz w:val="22"/>
          <w:szCs w:val="24"/>
          <w:u w:color="000000"/>
          <w:lang w:val="pt-BR" w:eastAsia="en-GB"/>
        </w:rPr>
        <w:t>, em particular, deve estar em conformidade com a defesa dos direitos humanos, independente d</w:t>
      </w:r>
      <w:r w:rsidR="00AD53D2" w:rsidRPr="00723ECA">
        <w:rPr>
          <w:rFonts w:eastAsia="Arial Unicode MS"/>
          <w:color w:val="000000"/>
          <w:sz w:val="22"/>
          <w:szCs w:val="24"/>
          <w:u w:color="000000"/>
          <w:lang w:val="pt-BR" w:eastAsia="en-GB"/>
        </w:rPr>
        <w:t>o órgão</w:t>
      </w:r>
      <w:r w:rsidRPr="00723ECA">
        <w:rPr>
          <w:rFonts w:eastAsia="Arial Unicode MS"/>
          <w:color w:val="000000"/>
          <w:sz w:val="22"/>
          <w:szCs w:val="24"/>
          <w:u w:color="000000"/>
          <w:lang w:val="pt-BR" w:eastAsia="en-GB"/>
        </w:rPr>
        <w:t xml:space="preserve"> que as desempenha.</w:t>
      </w:r>
    </w:p>
    <w:p w:rsidR="00061D27" w:rsidRPr="00723ECA" w:rsidRDefault="00061D27" w:rsidP="00061D27">
      <w:pPr>
        <w:ind w:left="1134" w:right="1134"/>
        <w:jc w:val="both"/>
        <w:rPr>
          <w:rFonts w:eastAsia="Arial Unicode MS"/>
          <w:color w:val="000000"/>
          <w:sz w:val="22"/>
          <w:szCs w:val="24"/>
          <w:u w:color="000000"/>
          <w:lang w:val="pt-BR" w:eastAsia="en-GB"/>
        </w:rPr>
      </w:pPr>
    </w:p>
    <w:p w:rsidR="00061D27" w:rsidRPr="00723ECA" w:rsidRDefault="00426CFC" w:rsidP="00061D27">
      <w:pPr>
        <w:ind w:left="1134" w:right="1134"/>
        <w:jc w:val="both"/>
        <w:rPr>
          <w:sz w:val="22"/>
          <w:lang w:val="pt-BR"/>
        </w:rPr>
      </w:pPr>
      <w:r w:rsidRPr="00723ECA">
        <w:rPr>
          <w:rFonts w:eastAsia="Arial Unicode MS"/>
          <w:color w:val="000000"/>
          <w:sz w:val="22"/>
          <w:szCs w:val="24"/>
          <w:u w:color="000000"/>
          <w:lang w:val="pt-BR" w:eastAsia="en-GB"/>
        </w:rPr>
        <w:t xml:space="preserve">42. Desse modo, </w:t>
      </w:r>
      <w:r w:rsidR="00AD53D2" w:rsidRPr="00723ECA">
        <w:rPr>
          <w:rFonts w:eastAsia="Arial Unicode MS"/>
          <w:color w:val="000000"/>
          <w:sz w:val="22"/>
          <w:szCs w:val="24"/>
          <w:u w:color="000000"/>
          <w:lang w:val="pt-BR" w:eastAsia="en-GB"/>
        </w:rPr>
        <w:t>na regulação dos</w:t>
      </w:r>
      <w:r w:rsidR="00061D27" w:rsidRPr="00723ECA">
        <w:rPr>
          <w:rFonts w:eastAsia="Arial Unicode MS"/>
          <w:color w:val="000000"/>
          <w:sz w:val="22"/>
          <w:szCs w:val="24"/>
          <w:u w:color="000000"/>
          <w:lang w:val="pt-BR" w:eastAsia="en-GB"/>
        </w:rPr>
        <w:t xml:space="preserve"> serviços de água e </w:t>
      </w:r>
      <w:r w:rsidR="00AD53D2" w:rsidRPr="00723ECA">
        <w:rPr>
          <w:rFonts w:eastAsia="Arial Unicode MS"/>
          <w:color w:val="000000"/>
          <w:sz w:val="22"/>
          <w:szCs w:val="24"/>
          <w:u w:color="000000"/>
          <w:lang w:val="pt-BR" w:eastAsia="en-GB"/>
        </w:rPr>
        <w:t xml:space="preserve">de </w:t>
      </w:r>
      <w:r w:rsidR="00034B4F" w:rsidRPr="00723ECA">
        <w:rPr>
          <w:rFonts w:eastAsia="Arial Unicode MS"/>
          <w:color w:val="000000"/>
          <w:sz w:val="22"/>
          <w:szCs w:val="24"/>
          <w:u w:color="000000"/>
          <w:lang w:val="pt-BR" w:eastAsia="en-GB"/>
        </w:rPr>
        <w:t>esgotamento sanitário</w:t>
      </w:r>
      <w:r w:rsidR="00061D27" w:rsidRPr="00723ECA">
        <w:rPr>
          <w:rFonts w:eastAsia="Arial Unicode MS"/>
          <w:color w:val="000000"/>
          <w:sz w:val="22"/>
          <w:szCs w:val="24"/>
          <w:u w:color="000000"/>
          <w:lang w:val="pt-BR" w:eastAsia="en-GB"/>
        </w:rPr>
        <w:t xml:space="preserve">, </w:t>
      </w:r>
      <w:proofErr w:type="gramStart"/>
      <w:r w:rsidR="00061D27" w:rsidRPr="00723ECA">
        <w:rPr>
          <w:rFonts w:eastAsia="Arial Unicode MS"/>
          <w:color w:val="000000"/>
          <w:sz w:val="22"/>
          <w:szCs w:val="24"/>
          <w:u w:color="000000"/>
          <w:lang w:val="pt-BR" w:eastAsia="en-GB"/>
        </w:rPr>
        <w:t>deve-se</w:t>
      </w:r>
      <w:proofErr w:type="gramEnd"/>
      <w:r w:rsidR="00061D27" w:rsidRPr="00723ECA">
        <w:rPr>
          <w:rFonts w:eastAsia="Arial Unicode MS"/>
          <w:color w:val="000000"/>
          <w:sz w:val="22"/>
          <w:szCs w:val="24"/>
          <w:u w:color="000000"/>
          <w:lang w:val="pt-BR" w:eastAsia="en-GB"/>
        </w:rPr>
        <w:t xml:space="preserve"> reconhecer, como ponto de partida, que água</w:t>
      </w:r>
      <w:r w:rsidR="005E51AA" w:rsidRPr="00723ECA">
        <w:rPr>
          <w:rFonts w:eastAsia="Arial Unicode MS"/>
          <w:color w:val="000000"/>
          <w:sz w:val="22"/>
          <w:szCs w:val="24"/>
          <w:u w:color="000000"/>
          <w:lang w:val="pt-BR" w:eastAsia="en-GB"/>
        </w:rPr>
        <w:t xml:space="preserve"> potável</w:t>
      </w:r>
      <w:r w:rsidR="00061D27" w:rsidRPr="00723ECA">
        <w:rPr>
          <w:rFonts w:eastAsia="Arial Unicode MS"/>
          <w:color w:val="000000"/>
          <w:sz w:val="22"/>
          <w:szCs w:val="24"/>
          <w:u w:color="000000"/>
          <w:lang w:val="pt-BR" w:eastAsia="en-GB"/>
        </w:rPr>
        <w:t xml:space="preserve"> e </w:t>
      </w:r>
      <w:r w:rsidR="00034B4F" w:rsidRPr="00723ECA">
        <w:rPr>
          <w:rFonts w:eastAsia="Arial Unicode MS"/>
          <w:color w:val="000000"/>
          <w:sz w:val="22"/>
          <w:szCs w:val="24"/>
          <w:u w:color="000000"/>
          <w:lang w:val="pt-BR" w:eastAsia="en-GB"/>
        </w:rPr>
        <w:t>esgotamento sanitário</w:t>
      </w:r>
      <w:r w:rsidR="00061D27" w:rsidRPr="00723ECA">
        <w:rPr>
          <w:rFonts w:eastAsia="Arial Unicode MS"/>
          <w:color w:val="000000"/>
          <w:sz w:val="22"/>
          <w:szCs w:val="24"/>
          <w:u w:color="000000"/>
          <w:lang w:val="pt-BR" w:eastAsia="en-GB"/>
        </w:rPr>
        <w:t xml:space="preserve"> são direitos humanos derivados do direito a um nível de vida adequado (ver Art. 11 do PIDESC) e indissociáveis do direito a gozar das melhores condições possíveis de saúde física e mental (ver Art. 12 do PIDESC), do direto à vida (ver Art. 6 do PIDESC) e do dire</w:t>
      </w:r>
      <w:r w:rsidR="00371A98" w:rsidRPr="00723ECA">
        <w:rPr>
          <w:rFonts w:eastAsia="Arial Unicode MS"/>
          <w:color w:val="000000"/>
          <w:sz w:val="22"/>
          <w:szCs w:val="24"/>
          <w:u w:color="000000"/>
          <w:lang w:val="pt-BR" w:eastAsia="en-GB"/>
        </w:rPr>
        <w:t>ito à dignidade humana (ver artigos</w:t>
      </w:r>
      <w:r w:rsidR="00061D27" w:rsidRPr="00723ECA">
        <w:rPr>
          <w:rFonts w:eastAsia="Arial Unicode MS"/>
          <w:color w:val="000000"/>
          <w:sz w:val="22"/>
          <w:szCs w:val="24"/>
          <w:u w:color="000000"/>
          <w:lang w:val="pt-BR" w:eastAsia="en-GB"/>
        </w:rPr>
        <w:t xml:space="preserve"> 1 e 22 da Declaração Universal dos Direitos Humanos). De acordo com a le</w:t>
      </w:r>
      <w:r w:rsidR="00034B4F" w:rsidRPr="00723ECA">
        <w:rPr>
          <w:rFonts w:eastAsia="Arial Unicode MS"/>
          <w:color w:val="000000"/>
          <w:sz w:val="22"/>
          <w:szCs w:val="24"/>
          <w:u w:color="000000"/>
          <w:lang w:val="pt-BR" w:eastAsia="en-GB"/>
        </w:rPr>
        <w:t>gislação</w:t>
      </w:r>
      <w:r w:rsidR="00061D27" w:rsidRPr="00723ECA">
        <w:rPr>
          <w:rFonts w:eastAsia="Arial Unicode MS"/>
          <w:color w:val="000000"/>
          <w:sz w:val="22"/>
          <w:szCs w:val="24"/>
          <w:u w:color="000000"/>
          <w:lang w:val="pt-BR" w:eastAsia="en-GB"/>
        </w:rPr>
        <w:t xml:space="preserve"> internacional de direitos humanos, o direito humano à água </w:t>
      </w:r>
      <w:r w:rsidR="005E51AA" w:rsidRPr="00723ECA">
        <w:rPr>
          <w:rFonts w:eastAsia="Arial Unicode MS"/>
          <w:color w:val="000000"/>
          <w:sz w:val="22"/>
          <w:szCs w:val="24"/>
          <w:u w:color="000000"/>
          <w:lang w:val="pt-BR" w:eastAsia="en-GB"/>
        </w:rPr>
        <w:t xml:space="preserve">potável </w:t>
      </w:r>
      <w:r w:rsidR="00061D27" w:rsidRPr="00723ECA">
        <w:rPr>
          <w:rFonts w:eastAsia="Arial Unicode MS"/>
          <w:color w:val="000000"/>
          <w:sz w:val="22"/>
          <w:szCs w:val="24"/>
          <w:u w:color="000000"/>
          <w:lang w:val="pt-BR" w:eastAsia="en-GB"/>
        </w:rPr>
        <w:t xml:space="preserve">confere a todos, sem discriminação, o direito </w:t>
      </w:r>
      <w:r w:rsidR="001C02D8" w:rsidRPr="00723ECA">
        <w:rPr>
          <w:rFonts w:eastAsia="Arial Unicode MS"/>
          <w:color w:val="000000"/>
          <w:sz w:val="22"/>
          <w:szCs w:val="24"/>
          <w:u w:color="000000"/>
          <w:lang w:val="pt-BR" w:eastAsia="en-GB"/>
        </w:rPr>
        <w:t xml:space="preserve">a ter água para uso pessoal e doméstico </w:t>
      </w:r>
      <w:r w:rsidR="00061D27" w:rsidRPr="00723ECA">
        <w:rPr>
          <w:rFonts w:eastAsia="Arial Unicode MS"/>
          <w:color w:val="000000"/>
          <w:sz w:val="22"/>
          <w:szCs w:val="24"/>
          <w:u w:color="000000"/>
          <w:lang w:val="pt-BR" w:eastAsia="en-GB"/>
        </w:rPr>
        <w:t xml:space="preserve">suficiente, </w:t>
      </w:r>
      <w:r w:rsidR="001C02D8" w:rsidRPr="00723ECA">
        <w:rPr>
          <w:rFonts w:eastAsia="Arial Unicode MS"/>
          <w:color w:val="000000"/>
          <w:sz w:val="22"/>
          <w:szCs w:val="24"/>
          <w:u w:color="000000"/>
          <w:lang w:val="pt-BR" w:eastAsia="en-GB"/>
        </w:rPr>
        <w:t xml:space="preserve">segura, </w:t>
      </w:r>
      <w:r w:rsidR="00061D27" w:rsidRPr="00723ECA">
        <w:rPr>
          <w:rFonts w:eastAsia="Arial Unicode MS"/>
          <w:color w:val="000000"/>
          <w:sz w:val="22"/>
          <w:szCs w:val="24"/>
          <w:u w:color="000000"/>
          <w:lang w:val="pt-BR" w:eastAsia="en-GB"/>
        </w:rPr>
        <w:t>aceitável</w:t>
      </w:r>
      <w:r w:rsidR="001C02D8" w:rsidRPr="00723ECA">
        <w:rPr>
          <w:rFonts w:eastAsia="Arial Unicode MS"/>
          <w:color w:val="000000"/>
          <w:sz w:val="22"/>
          <w:szCs w:val="24"/>
          <w:u w:color="000000"/>
          <w:lang w:val="pt-BR" w:eastAsia="en-GB"/>
        </w:rPr>
        <w:t xml:space="preserve"> e acessível física </w:t>
      </w:r>
      <w:r w:rsidR="00061D27" w:rsidRPr="00723ECA">
        <w:rPr>
          <w:rFonts w:eastAsia="Arial Unicode MS"/>
          <w:color w:val="000000"/>
          <w:sz w:val="22"/>
          <w:szCs w:val="24"/>
          <w:u w:color="000000"/>
          <w:lang w:val="pt-BR" w:eastAsia="en-GB"/>
        </w:rPr>
        <w:t xml:space="preserve">e economicamente. O direito humano ao </w:t>
      </w:r>
      <w:r w:rsidR="00034B4F" w:rsidRPr="00723ECA">
        <w:rPr>
          <w:rFonts w:eastAsia="Arial Unicode MS"/>
          <w:color w:val="000000"/>
          <w:sz w:val="22"/>
          <w:szCs w:val="24"/>
          <w:u w:color="000000"/>
          <w:lang w:val="pt-BR" w:eastAsia="en-GB"/>
        </w:rPr>
        <w:t>esgotamento sanitário</w:t>
      </w:r>
      <w:r w:rsidR="00061D27" w:rsidRPr="00723ECA">
        <w:rPr>
          <w:rFonts w:eastAsia="Arial Unicode MS"/>
          <w:color w:val="000000"/>
          <w:sz w:val="22"/>
          <w:szCs w:val="24"/>
          <w:u w:color="000000"/>
          <w:lang w:val="pt-BR" w:eastAsia="en-GB"/>
        </w:rPr>
        <w:t xml:space="preserve"> confere a todos, sem discriminação, o </w:t>
      </w:r>
      <w:r w:rsidR="00034B4F" w:rsidRPr="00723ECA">
        <w:rPr>
          <w:rFonts w:eastAsia="Arial Unicode MS"/>
          <w:color w:val="000000"/>
          <w:sz w:val="22"/>
          <w:szCs w:val="24"/>
          <w:u w:color="000000"/>
          <w:lang w:val="pt-BR" w:eastAsia="en-GB"/>
        </w:rPr>
        <w:t>direito</w:t>
      </w:r>
      <w:r w:rsidR="001C02D8" w:rsidRPr="00723ECA">
        <w:rPr>
          <w:rFonts w:eastAsia="Arial Unicode MS"/>
          <w:color w:val="000000"/>
          <w:sz w:val="22"/>
          <w:szCs w:val="24"/>
          <w:u w:color="000000"/>
          <w:lang w:val="pt-BR" w:eastAsia="en-GB"/>
        </w:rPr>
        <w:t xml:space="preserve"> de ter acesso</w:t>
      </w:r>
      <w:r w:rsidR="00061D27" w:rsidRPr="00723ECA">
        <w:rPr>
          <w:rFonts w:eastAsia="Arial Unicode MS"/>
          <w:color w:val="000000"/>
          <w:sz w:val="22"/>
          <w:szCs w:val="24"/>
          <w:u w:color="000000"/>
          <w:lang w:val="pt-BR" w:eastAsia="en-GB"/>
        </w:rPr>
        <w:t xml:space="preserve"> ao </w:t>
      </w:r>
      <w:r w:rsidR="001C02D8" w:rsidRPr="00723ECA">
        <w:rPr>
          <w:rFonts w:eastAsia="Arial Unicode MS"/>
          <w:color w:val="000000"/>
          <w:sz w:val="22"/>
          <w:szCs w:val="24"/>
          <w:u w:color="000000"/>
          <w:lang w:val="pt-BR" w:eastAsia="en-GB"/>
        </w:rPr>
        <w:t xml:space="preserve">esgotamento </w:t>
      </w:r>
      <w:r w:rsidR="00034B4F" w:rsidRPr="00723ECA">
        <w:rPr>
          <w:rFonts w:eastAsia="Arial Unicode MS"/>
          <w:color w:val="000000"/>
          <w:sz w:val="22"/>
          <w:szCs w:val="24"/>
          <w:u w:color="000000"/>
          <w:lang w:val="pt-BR" w:eastAsia="en-GB"/>
        </w:rPr>
        <w:t>sanitário</w:t>
      </w:r>
      <w:r w:rsidR="001C02D8" w:rsidRPr="00723ECA">
        <w:rPr>
          <w:rFonts w:eastAsia="Arial Unicode MS"/>
          <w:color w:val="000000"/>
          <w:sz w:val="22"/>
          <w:szCs w:val="24"/>
          <w:u w:color="000000"/>
          <w:lang w:val="pt-BR" w:eastAsia="en-GB"/>
        </w:rPr>
        <w:t xml:space="preserve"> que seja física </w:t>
      </w:r>
      <w:r w:rsidR="00061D27" w:rsidRPr="00723ECA">
        <w:rPr>
          <w:rFonts w:eastAsia="Arial Unicode MS"/>
          <w:color w:val="000000"/>
          <w:sz w:val="22"/>
          <w:szCs w:val="24"/>
          <w:u w:color="000000"/>
          <w:lang w:val="pt-BR" w:eastAsia="en-GB"/>
        </w:rPr>
        <w:t xml:space="preserve">e economicamente </w:t>
      </w:r>
      <w:r w:rsidR="001C02D8" w:rsidRPr="00723ECA">
        <w:rPr>
          <w:rFonts w:eastAsia="Arial Unicode MS"/>
          <w:color w:val="000000"/>
          <w:sz w:val="22"/>
          <w:szCs w:val="24"/>
          <w:u w:color="000000"/>
          <w:lang w:val="pt-BR" w:eastAsia="en-GB"/>
        </w:rPr>
        <w:t>acessível</w:t>
      </w:r>
      <w:r w:rsidR="00061D27" w:rsidRPr="00723ECA">
        <w:rPr>
          <w:rFonts w:eastAsia="Arial Unicode MS"/>
          <w:color w:val="000000"/>
          <w:sz w:val="22"/>
          <w:szCs w:val="24"/>
          <w:u w:color="000000"/>
          <w:lang w:val="pt-BR" w:eastAsia="en-GB"/>
        </w:rPr>
        <w:t>, saudável, higiênico, seguro, social e culturalmente aceitável, que</w:t>
      </w:r>
      <w:r w:rsidR="00061D27" w:rsidRPr="00723ECA">
        <w:rPr>
          <w:sz w:val="22"/>
          <w:lang w:val="pt-BR"/>
        </w:rPr>
        <w:t xml:space="preserve"> promova </w:t>
      </w:r>
      <w:r w:rsidR="00B01FF9" w:rsidRPr="00723ECA">
        <w:rPr>
          <w:sz w:val="22"/>
          <w:lang w:val="pt-BR"/>
        </w:rPr>
        <w:t xml:space="preserve">a </w:t>
      </w:r>
      <w:r w:rsidR="00061D27" w:rsidRPr="00723ECA">
        <w:rPr>
          <w:sz w:val="22"/>
          <w:lang w:val="pt-BR"/>
        </w:rPr>
        <w:t xml:space="preserve">privacidade e garanta a dignidade humana. </w:t>
      </w:r>
      <w:r w:rsidR="00B01FF9" w:rsidRPr="00723ECA">
        <w:rPr>
          <w:sz w:val="22"/>
          <w:lang w:val="pt-BR"/>
        </w:rPr>
        <w:t>Sob uma perspectiva de direitos humanos, o</w:t>
      </w:r>
      <w:r w:rsidR="00061D27" w:rsidRPr="00723ECA">
        <w:rPr>
          <w:sz w:val="22"/>
          <w:lang w:val="pt-BR"/>
        </w:rPr>
        <w:t xml:space="preserve"> objetivo </w:t>
      </w:r>
      <w:r w:rsidR="00B01FF9" w:rsidRPr="00723ECA">
        <w:rPr>
          <w:sz w:val="22"/>
          <w:lang w:val="pt-BR"/>
        </w:rPr>
        <w:t xml:space="preserve">principal </w:t>
      </w:r>
      <w:proofErr w:type="gramStart"/>
      <w:r w:rsidR="00910C8F" w:rsidRPr="00723ECA">
        <w:rPr>
          <w:sz w:val="22"/>
          <w:lang w:val="pt-BR"/>
        </w:rPr>
        <w:t>do</w:t>
      </w:r>
      <w:r w:rsidR="00B01FF9" w:rsidRPr="00723ECA">
        <w:rPr>
          <w:sz w:val="22"/>
          <w:lang w:val="pt-BR"/>
        </w:rPr>
        <w:t>s</w:t>
      </w:r>
      <w:r w:rsidR="00910C8F" w:rsidRPr="00723ECA">
        <w:rPr>
          <w:sz w:val="22"/>
          <w:lang w:val="pt-BR"/>
        </w:rPr>
        <w:t xml:space="preserve"> </w:t>
      </w:r>
      <w:r w:rsidR="00B01FF9" w:rsidRPr="00723ECA">
        <w:rPr>
          <w:sz w:val="22"/>
          <w:lang w:val="pt-BR"/>
        </w:rPr>
        <w:t>normas</w:t>
      </w:r>
      <w:proofErr w:type="gramEnd"/>
      <w:r w:rsidR="00B01FF9" w:rsidRPr="00723ECA">
        <w:rPr>
          <w:sz w:val="22"/>
          <w:lang w:val="pt-BR"/>
        </w:rPr>
        <w:t xml:space="preserve"> regulatórias </w:t>
      </w:r>
      <w:r w:rsidR="00061D27" w:rsidRPr="00723ECA">
        <w:rPr>
          <w:sz w:val="22"/>
          <w:lang w:val="pt-BR"/>
        </w:rPr>
        <w:t xml:space="preserve">é </w:t>
      </w:r>
      <w:r w:rsidRPr="00723ECA">
        <w:rPr>
          <w:sz w:val="22"/>
          <w:lang w:val="pt-BR"/>
        </w:rPr>
        <w:t>dar</w:t>
      </w:r>
      <w:r w:rsidR="00061D27" w:rsidRPr="00723ECA">
        <w:rPr>
          <w:sz w:val="22"/>
          <w:lang w:val="pt-BR"/>
        </w:rPr>
        <w:t xml:space="preserve"> significado prático ao</w:t>
      </w:r>
      <w:r w:rsidR="00B01FF9" w:rsidRPr="00723ECA">
        <w:rPr>
          <w:sz w:val="22"/>
          <w:lang w:val="pt-BR"/>
        </w:rPr>
        <w:t xml:space="preserve"> conteúdo normativo desse</w:t>
      </w:r>
      <w:r w:rsidR="00B30915" w:rsidRPr="00723ECA">
        <w:rPr>
          <w:sz w:val="22"/>
          <w:lang w:val="pt-BR"/>
        </w:rPr>
        <w:t>s</w:t>
      </w:r>
      <w:r w:rsidR="00061D27" w:rsidRPr="00723ECA">
        <w:rPr>
          <w:sz w:val="22"/>
          <w:lang w:val="pt-BR"/>
        </w:rPr>
        <w:t xml:space="preserve"> direitos, conforme detalhado a seguir: </w:t>
      </w:r>
    </w:p>
    <w:p w:rsidR="00061D27" w:rsidRPr="00723ECA" w:rsidRDefault="00061D27" w:rsidP="00061D27">
      <w:pPr>
        <w:pStyle w:val="H23G"/>
        <w:numPr>
          <w:ilvl w:val="0"/>
          <w:numId w:val="14"/>
        </w:numPr>
        <w:ind w:left="1134"/>
        <w:rPr>
          <w:sz w:val="22"/>
          <w:lang w:val="en-US"/>
        </w:rPr>
      </w:pPr>
      <w:r w:rsidRPr="00723ECA">
        <w:rPr>
          <w:sz w:val="22"/>
          <w:lang w:val="pt-BR"/>
        </w:rPr>
        <w:tab/>
      </w:r>
      <w:proofErr w:type="spellStart"/>
      <w:r w:rsidRPr="00723ECA">
        <w:rPr>
          <w:sz w:val="22"/>
          <w:lang w:val="en-US"/>
        </w:rPr>
        <w:t>Disponibilidade</w:t>
      </w:r>
      <w:proofErr w:type="spellEnd"/>
    </w:p>
    <w:p w:rsidR="00B30915" w:rsidRPr="00723ECA" w:rsidRDefault="00B30915" w:rsidP="00B30915">
      <w:pPr>
        <w:pStyle w:val="FootnoteText"/>
        <w:ind w:right="1134"/>
        <w:jc w:val="both"/>
        <w:rPr>
          <w:sz w:val="22"/>
        </w:rPr>
      </w:pPr>
      <w:r w:rsidRPr="00723ECA">
        <w:rPr>
          <w:sz w:val="22"/>
        </w:rPr>
        <w:t xml:space="preserve">43. </w:t>
      </w:r>
      <w:r w:rsidR="00AC370D" w:rsidRPr="00723ECA">
        <w:rPr>
          <w:sz w:val="22"/>
        </w:rPr>
        <w:t>As normas regulatórias</w:t>
      </w:r>
      <w:r w:rsidR="00426CFC" w:rsidRPr="00723ECA">
        <w:rPr>
          <w:sz w:val="22"/>
        </w:rPr>
        <w:t xml:space="preserve"> </w:t>
      </w:r>
      <w:r w:rsidRPr="00723ECA">
        <w:rPr>
          <w:sz w:val="22"/>
        </w:rPr>
        <w:t>deve</w:t>
      </w:r>
      <w:r w:rsidR="00426CFC" w:rsidRPr="00723ECA">
        <w:rPr>
          <w:sz w:val="22"/>
        </w:rPr>
        <w:t>m</w:t>
      </w:r>
      <w:r w:rsidRPr="00723ECA">
        <w:rPr>
          <w:sz w:val="22"/>
        </w:rPr>
        <w:t xml:space="preserve"> dar um significado prático para a “disponibilidade” e assegurar, pelo menos, </w:t>
      </w:r>
      <w:proofErr w:type="gramStart"/>
      <w:r w:rsidRPr="00723ECA">
        <w:rPr>
          <w:sz w:val="22"/>
        </w:rPr>
        <w:t>acesso</w:t>
      </w:r>
      <w:proofErr w:type="gramEnd"/>
      <w:r w:rsidRPr="00723ECA">
        <w:rPr>
          <w:sz w:val="22"/>
        </w:rPr>
        <w:t xml:space="preserve"> a uma quantidade mínima de água que seja suficiente, confiável e segura para uso pessoal e doméstico, </w:t>
      </w:r>
      <w:r w:rsidR="005E51AA" w:rsidRPr="00723ECA">
        <w:rPr>
          <w:sz w:val="22"/>
        </w:rPr>
        <w:t xml:space="preserve">a fim de prevenir doenças. De acordo com as diretrizes da Organização Mundial de Saúde (OMS), um nível intermediário de acesso à água, de 50 litros por pessoa por dia, representa um nível </w:t>
      </w:r>
      <w:r w:rsidR="00C16014" w:rsidRPr="00723ECA">
        <w:rPr>
          <w:sz w:val="22"/>
        </w:rPr>
        <w:t xml:space="preserve">baixo </w:t>
      </w:r>
      <w:r w:rsidR="005E51AA" w:rsidRPr="00723ECA">
        <w:rPr>
          <w:sz w:val="22"/>
        </w:rPr>
        <w:t>de preocupação em relação à saúde (desde que a ausência de contaminação seja rigorosamente avaliada), enquanto um nível ótimo de acesso, de 100 litros de água por pessoa por dia</w:t>
      </w:r>
      <w:r w:rsidR="00C16014" w:rsidRPr="00723ECA">
        <w:rPr>
          <w:sz w:val="22"/>
        </w:rPr>
        <w:t xml:space="preserve">, representa um nível muito </w:t>
      </w:r>
      <w:r w:rsidR="00C16014" w:rsidRPr="00723ECA">
        <w:rPr>
          <w:sz w:val="22"/>
        </w:rPr>
        <w:lastRenderedPageBreak/>
        <w:t>baixo de preocupação em relação à saúde</w:t>
      </w:r>
      <w:r w:rsidR="00F40306" w:rsidRPr="00723ECA">
        <w:rPr>
          <w:rStyle w:val="FootnoteReference"/>
          <w:sz w:val="20"/>
        </w:rPr>
        <w:footnoteReference w:id="26"/>
      </w:r>
      <w:r w:rsidR="00C16014" w:rsidRPr="00723ECA">
        <w:rPr>
          <w:sz w:val="22"/>
        </w:rPr>
        <w:t xml:space="preserve">. </w:t>
      </w:r>
      <w:r w:rsidR="00F27296" w:rsidRPr="00723ECA">
        <w:rPr>
          <w:sz w:val="22"/>
        </w:rPr>
        <w:t>Uma interpretação regulatória de “disponibilidade” deve também considerar situaç</w:t>
      </w:r>
      <w:r w:rsidR="000E4B51" w:rsidRPr="00723ECA">
        <w:rPr>
          <w:sz w:val="22"/>
        </w:rPr>
        <w:t xml:space="preserve">ões em que uma oferta </w:t>
      </w:r>
      <w:r w:rsidR="00F27296" w:rsidRPr="00723ECA">
        <w:rPr>
          <w:sz w:val="22"/>
        </w:rPr>
        <w:t xml:space="preserve">adicional de água é </w:t>
      </w:r>
      <w:proofErr w:type="gramStart"/>
      <w:r w:rsidR="00F27296" w:rsidRPr="00723ECA">
        <w:rPr>
          <w:sz w:val="22"/>
        </w:rPr>
        <w:t>necessári</w:t>
      </w:r>
      <w:r w:rsidR="000E4B51" w:rsidRPr="00723ECA">
        <w:rPr>
          <w:sz w:val="22"/>
        </w:rPr>
        <w:t>a</w:t>
      </w:r>
      <w:r w:rsidR="00F27296" w:rsidRPr="00723ECA">
        <w:rPr>
          <w:sz w:val="22"/>
        </w:rPr>
        <w:t xml:space="preserve"> devido </w:t>
      </w:r>
      <w:r w:rsidR="000E4B51" w:rsidRPr="00723ECA">
        <w:rPr>
          <w:sz w:val="22"/>
        </w:rPr>
        <w:t>a</w:t>
      </w:r>
      <w:r w:rsidR="00F27296" w:rsidRPr="00723ECA">
        <w:rPr>
          <w:sz w:val="22"/>
        </w:rPr>
        <w:t xml:space="preserve"> condições de saúde, climáticas</w:t>
      </w:r>
      <w:proofErr w:type="gramEnd"/>
      <w:r w:rsidR="00F27296" w:rsidRPr="00723ECA">
        <w:rPr>
          <w:sz w:val="22"/>
        </w:rPr>
        <w:t>, situações de emergência e desastres</w:t>
      </w:r>
      <w:r w:rsidR="00F40306" w:rsidRPr="00723ECA">
        <w:rPr>
          <w:rStyle w:val="FootnoteReference"/>
          <w:sz w:val="20"/>
        </w:rPr>
        <w:footnoteReference w:id="27"/>
      </w:r>
      <w:r w:rsidR="00F27296" w:rsidRPr="00723ECA">
        <w:rPr>
          <w:sz w:val="22"/>
        </w:rPr>
        <w:t>, condições de trabalho e quaisquer outras circunstâncias especiais</w:t>
      </w:r>
      <w:r w:rsidR="000E4B51" w:rsidRPr="00723ECA">
        <w:rPr>
          <w:sz w:val="22"/>
        </w:rPr>
        <w:t xml:space="preserve">, bem como interrupções do abastecimento. </w:t>
      </w:r>
    </w:p>
    <w:p w:rsidR="000E4B51" w:rsidRPr="00723ECA" w:rsidRDefault="000E4B51" w:rsidP="00B30915">
      <w:pPr>
        <w:pStyle w:val="FootnoteText"/>
        <w:ind w:right="1134"/>
        <w:jc w:val="both"/>
        <w:rPr>
          <w:sz w:val="22"/>
        </w:rPr>
      </w:pPr>
    </w:p>
    <w:p w:rsidR="000E4B51" w:rsidRPr="00723ECA" w:rsidRDefault="000E4B51" w:rsidP="00B30915">
      <w:pPr>
        <w:pStyle w:val="FootnoteText"/>
        <w:ind w:right="1134"/>
        <w:jc w:val="both"/>
        <w:rPr>
          <w:sz w:val="22"/>
        </w:rPr>
      </w:pPr>
      <w:r w:rsidRPr="00723ECA">
        <w:rPr>
          <w:sz w:val="22"/>
        </w:rPr>
        <w:t xml:space="preserve">44. </w:t>
      </w:r>
      <w:r w:rsidR="00AC370D" w:rsidRPr="00723ECA">
        <w:rPr>
          <w:sz w:val="22"/>
        </w:rPr>
        <w:t xml:space="preserve">Quanto </w:t>
      </w:r>
      <w:r w:rsidRPr="00723ECA">
        <w:rPr>
          <w:sz w:val="22"/>
        </w:rPr>
        <w:t xml:space="preserve">ao esgotamento sanitário, </w:t>
      </w:r>
      <w:r w:rsidR="00AC370D" w:rsidRPr="00723ECA">
        <w:rPr>
          <w:sz w:val="22"/>
        </w:rPr>
        <w:t xml:space="preserve">a norma regulatória </w:t>
      </w:r>
      <w:r w:rsidRPr="00723ECA">
        <w:rPr>
          <w:sz w:val="22"/>
        </w:rPr>
        <w:t xml:space="preserve">deve recomendar um número suficiente de instalações sanitárias dentro das residências ou na vizinhança imediata (ver A/HRC/12/24, parágrafo 70). A avaliação das necessidades de esgotamento sanitário de cada comunidade deve </w:t>
      </w:r>
      <w:r w:rsidR="00910C8F" w:rsidRPr="00723ECA">
        <w:rPr>
          <w:sz w:val="22"/>
        </w:rPr>
        <w:t>levar em consideração</w:t>
      </w:r>
      <w:r w:rsidRPr="00723ECA">
        <w:rPr>
          <w:sz w:val="22"/>
        </w:rPr>
        <w:t xml:space="preserve"> o contexto e as características de grupos particulares que tenham necessidades diferentes (ex. mulheres, portadores de necessidades especiais, crianças). Em locais onde a rede de esgoto não esteja disponível, </w:t>
      </w:r>
      <w:r w:rsidR="00AC370D" w:rsidRPr="00723ECA">
        <w:rPr>
          <w:sz w:val="22"/>
        </w:rPr>
        <w:t>a norma regulatória</w:t>
      </w:r>
      <w:r w:rsidRPr="00723ECA">
        <w:rPr>
          <w:sz w:val="22"/>
        </w:rPr>
        <w:t xml:space="preserve"> deve considerar a possibilidade de soluções alternativas</w:t>
      </w:r>
      <w:r w:rsidR="00910C8F" w:rsidRPr="00723ECA">
        <w:rPr>
          <w:sz w:val="22"/>
        </w:rPr>
        <w:t xml:space="preserve">, tais como a construção e manutenção de instalações sanitárias, bem como o afastamento e tratamento de águas </w:t>
      </w:r>
      <w:proofErr w:type="spellStart"/>
      <w:r w:rsidR="00910C8F" w:rsidRPr="00723ECA">
        <w:rPr>
          <w:sz w:val="22"/>
        </w:rPr>
        <w:t>residu</w:t>
      </w:r>
      <w:r w:rsidR="007B462D">
        <w:rPr>
          <w:sz w:val="22"/>
        </w:rPr>
        <w:t>ária</w:t>
      </w:r>
      <w:r w:rsidR="00910C8F" w:rsidRPr="00723ECA">
        <w:rPr>
          <w:sz w:val="22"/>
        </w:rPr>
        <w:t>s</w:t>
      </w:r>
      <w:proofErr w:type="spellEnd"/>
      <w:r w:rsidR="00910C8F" w:rsidRPr="00723ECA">
        <w:rPr>
          <w:sz w:val="22"/>
        </w:rPr>
        <w:t xml:space="preserve">. Nos casos em que as instalações sanitárias são compartilhadas, </w:t>
      </w:r>
      <w:r w:rsidR="00AC370D" w:rsidRPr="00723ECA">
        <w:rPr>
          <w:sz w:val="22"/>
        </w:rPr>
        <w:t xml:space="preserve">a norma </w:t>
      </w:r>
      <w:r w:rsidR="00910C8F" w:rsidRPr="00723ECA">
        <w:rPr>
          <w:sz w:val="22"/>
        </w:rPr>
        <w:t xml:space="preserve">deve estimar um número suficiente de instalações disponíveis. </w:t>
      </w:r>
    </w:p>
    <w:p w:rsidR="00910C8F" w:rsidRPr="00723ECA" w:rsidRDefault="00910C8F" w:rsidP="00B30915">
      <w:pPr>
        <w:pStyle w:val="FootnoteText"/>
        <w:ind w:right="1134"/>
        <w:jc w:val="both"/>
        <w:rPr>
          <w:sz w:val="22"/>
        </w:rPr>
      </w:pPr>
    </w:p>
    <w:p w:rsidR="00910C8F" w:rsidRPr="00723ECA" w:rsidRDefault="00910C8F" w:rsidP="00B30915">
      <w:pPr>
        <w:pStyle w:val="FootnoteText"/>
        <w:ind w:right="1134"/>
        <w:jc w:val="both"/>
        <w:rPr>
          <w:sz w:val="22"/>
        </w:rPr>
      </w:pPr>
      <w:r w:rsidRPr="00723ECA">
        <w:rPr>
          <w:sz w:val="22"/>
        </w:rPr>
        <w:t>4</w:t>
      </w:r>
      <w:r w:rsidR="005D706F" w:rsidRPr="00723ECA">
        <w:rPr>
          <w:sz w:val="22"/>
        </w:rPr>
        <w:t>5</w:t>
      </w:r>
      <w:r w:rsidRPr="00723ECA">
        <w:rPr>
          <w:sz w:val="22"/>
        </w:rPr>
        <w:t>.</w:t>
      </w:r>
      <w:r w:rsidR="005D706F" w:rsidRPr="00723ECA">
        <w:rPr>
          <w:sz w:val="22"/>
        </w:rPr>
        <w:t xml:space="preserve"> Os </w:t>
      </w:r>
      <w:r w:rsidR="00CF0B22" w:rsidRPr="00723ECA">
        <w:rPr>
          <w:sz w:val="22"/>
        </w:rPr>
        <w:t>pa</w:t>
      </w:r>
      <w:r w:rsidR="00330395" w:rsidRPr="00723ECA">
        <w:rPr>
          <w:sz w:val="22"/>
        </w:rPr>
        <w:t>drões</w:t>
      </w:r>
      <w:r w:rsidR="00CF0B22" w:rsidRPr="00723ECA">
        <w:rPr>
          <w:sz w:val="22"/>
        </w:rPr>
        <w:t xml:space="preserve"> regulatórios</w:t>
      </w:r>
      <w:r w:rsidR="005D706F" w:rsidRPr="00723ECA">
        <w:rPr>
          <w:sz w:val="22"/>
        </w:rPr>
        <w:t xml:space="preserve"> devem priorizar</w:t>
      </w:r>
      <w:r w:rsidR="00097BA6" w:rsidRPr="00723ECA">
        <w:rPr>
          <w:sz w:val="22"/>
        </w:rPr>
        <w:t xml:space="preserve"> o</w:t>
      </w:r>
      <w:r w:rsidR="005D706F" w:rsidRPr="00723ECA">
        <w:rPr>
          <w:sz w:val="22"/>
        </w:rPr>
        <w:t xml:space="preserve"> acesso </w:t>
      </w:r>
      <w:r w:rsidR="00097BA6" w:rsidRPr="00723ECA">
        <w:rPr>
          <w:sz w:val="22"/>
        </w:rPr>
        <w:t>às</w:t>
      </w:r>
      <w:r w:rsidR="005D706F" w:rsidRPr="00723ECA">
        <w:rPr>
          <w:sz w:val="22"/>
        </w:rPr>
        <w:t xml:space="preserve"> instalações de água e </w:t>
      </w:r>
      <w:r w:rsidR="00097BA6" w:rsidRPr="00723ECA">
        <w:rPr>
          <w:sz w:val="22"/>
        </w:rPr>
        <w:t xml:space="preserve">de </w:t>
      </w:r>
      <w:r w:rsidR="005D706F" w:rsidRPr="00723ECA">
        <w:rPr>
          <w:sz w:val="22"/>
        </w:rPr>
        <w:t>esgoto</w:t>
      </w:r>
      <w:r w:rsidR="00CF0B22" w:rsidRPr="00723ECA">
        <w:rPr>
          <w:sz w:val="22"/>
        </w:rPr>
        <w:t xml:space="preserve"> em locais públicos</w:t>
      </w:r>
      <w:r w:rsidR="00097BA6" w:rsidRPr="00723ECA">
        <w:rPr>
          <w:sz w:val="22"/>
        </w:rPr>
        <w:t xml:space="preserve"> em n</w:t>
      </w:r>
      <w:r w:rsidR="00CF0B22" w:rsidRPr="00723ECA">
        <w:rPr>
          <w:sz w:val="22"/>
        </w:rPr>
        <w:t>úmero suficiente: em instituições que prestam</w:t>
      </w:r>
      <w:r w:rsidR="00C255D7" w:rsidRPr="00723ECA">
        <w:rPr>
          <w:sz w:val="22"/>
        </w:rPr>
        <w:t xml:space="preserve"> serviços</w:t>
      </w:r>
      <w:r w:rsidR="00097BA6" w:rsidRPr="00723ECA">
        <w:rPr>
          <w:sz w:val="22"/>
        </w:rPr>
        <w:t xml:space="preserve"> essenciais, </w:t>
      </w:r>
      <w:r w:rsidR="00CF0B22" w:rsidRPr="00723ECA">
        <w:rPr>
          <w:sz w:val="22"/>
        </w:rPr>
        <w:t xml:space="preserve">como </w:t>
      </w:r>
      <w:r w:rsidR="00097BA6" w:rsidRPr="00723ECA">
        <w:rPr>
          <w:sz w:val="22"/>
        </w:rPr>
        <w:t>hospitais, escolas, centros de transporte público, prisões</w:t>
      </w:r>
      <w:r w:rsidR="00CF0B22" w:rsidRPr="00723ECA">
        <w:rPr>
          <w:sz w:val="22"/>
        </w:rPr>
        <w:t>,</w:t>
      </w:r>
      <w:r w:rsidR="00C255D7" w:rsidRPr="00723ECA">
        <w:rPr>
          <w:sz w:val="22"/>
        </w:rPr>
        <w:t xml:space="preserve"> no trabalho e em residências de aluguel, considerando necessidades especiais de, entre outras, mulheres e meninas; </w:t>
      </w:r>
      <w:r w:rsidR="00CF0B22" w:rsidRPr="00723ECA">
        <w:rPr>
          <w:sz w:val="22"/>
        </w:rPr>
        <w:t xml:space="preserve">e </w:t>
      </w:r>
      <w:r w:rsidR="00C255D7" w:rsidRPr="00723ECA">
        <w:rPr>
          <w:sz w:val="22"/>
        </w:rPr>
        <w:t xml:space="preserve">para aqueles que não têm residência permanente, incluindo moradores </w:t>
      </w:r>
      <w:r w:rsidR="007B462D">
        <w:rPr>
          <w:sz w:val="22"/>
        </w:rPr>
        <w:t xml:space="preserve">em situação </w:t>
      </w:r>
      <w:r w:rsidR="00C255D7" w:rsidRPr="00723ECA">
        <w:rPr>
          <w:sz w:val="22"/>
        </w:rPr>
        <w:t>de rua e c</w:t>
      </w:r>
      <w:r w:rsidR="00CF0B22" w:rsidRPr="00723ECA">
        <w:rPr>
          <w:sz w:val="22"/>
        </w:rPr>
        <w:t>omunidades nômades. A regul</w:t>
      </w:r>
      <w:r w:rsidR="00C255D7" w:rsidRPr="00723ECA">
        <w:rPr>
          <w:sz w:val="22"/>
        </w:rPr>
        <w:t xml:space="preserve">ação deve distinguir o acesso à água potável e ao esgotamento sanitário das questões de posse de terra, que são frequentemente um obstáculo para </w:t>
      </w:r>
      <w:r w:rsidR="00CF0B22" w:rsidRPr="00723ECA">
        <w:rPr>
          <w:sz w:val="22"/>
        </w:rPr>
        <w:t xml:space="preserve">o </w:t>
      </w:r>
      <w:r w:rsidR="00C255D7" w:rsidRPr="00723ECA">
        <w:rPr>
          <w:sz w:val="22"/>
        </w:rPr>
        <w:t xml:space="preserve">acesso a esses serviços em assentamentos informais. </w:t>
      </w:r>
    </w:p>
    <w:p w:rsidR="001C60E6" w:rsidRPr="00723ECA" w:rsidRDefault="002523E5" w:rsidP="001C60E6">
      <w:pPr>
        <w:pStyle w:val="H23G"/>
        <w:numPr>
          <w:ilvl w:val="0"/>
          <w:numId w:val="14"/>
        </w:numPr>
        <w:ind w:left="1134"/>
        <w:rPr>
          <w:sz w:val="22"/>
          <w:lang w:val="pt-BR"/>
        </w:rPr>
      </w:pPr>
      <w:r w:rsidRPr="00723ECA">
        <w:rPr>
          <w:sz w:val="22"/>
          <w:lang w:val="pt-BR"/>
        </w:rPr>
        <w:tab/>
      </w:r>
      <w:r w:rsidR="00D60BD6" w:rsidRPr="00723ECA">
        <w:rPr>
          <w:sz w:val="22"/>
          <w:lang w:val="pt-BR"/>
        </w:rPr>
        <w:t>Acessibilidade</w:t>
      </w:r>
    </w:p>
    <w:p w:rsidR="00123CF7" w:rsidRPr="00723ECA" w:rsidRDefault="000E4B51" w:rsidP="00123CF7">
      <w:pPr>
        <w:ind w:left="1134" w:right="992"/>
        <w:jc w:val="both"/>
        <w:rPr>
          <w:rStyle w:val="CommentReference"/>
          <w:sz w:val="18"/>
          <w:lang w:val="pt-BR"/>
        </w:rPr>
      </w:pPr>
      <w:r w:rsidRPr="00723ECA">
        <w:rPr>
          <w:sz w:val="22"/>
          <w:lang w:val="pt-BR"/>
        </w:rPr>
        <w:t>4</w:t>
      </w:r>
      <w:r w:rsidR="001C60E6" w:rsidRPr="00723ECA">
        <w:rPr>
          <w:sz w:val="22"/>
          <w:lang w:val="pt-BR"/>
        </w:rPr>
        <w:t>6</w:t>
      </w:r>
      <w:r w:rsidRPr="00723ECA">
        <w:rPr>
          <w:rFonts w:eastAsia="Arial Unicode MS"/>
          <w:sz w:val="22"/>
          <w:lang w:val="pt-BR"/>
        </w:rPr>
        <w:t xml:space="preserve">. </w:t>
      </w:r>
      <w:r w:rsidR="00D375C4" w:rsidRPr="00723ECA">
        <w:rPr>
          <w:rFonts w:eastAsia="Arial Unicode MS"/>
          <w:sz w:val="22"/>
          <w:lang w:val="pt-BR"/>
        </w:rPr>
        <w:t>A interpretação regulatória</w:t>
      </w:r>
      <w:r w:rsidR="001C60E6" w:rsidRPr="00723ECA">
        <w:rPr>
          <w:rFonts w:eastAsia="Arial Unicode MS"/>
          <w:sz w:val="22"/>
          <w:lang w:val="pt-BR"/>
        </w:rPr>
        <w:t xml:space="preserve"> de acessibilidade física </w:t>
      </w:r>
      <w:r w:rsidR="00330395" w:rsidRPr="00723ECA">
        <w:rPr>
          <w:rFonts w:eastAsia="Arial Unicode MS"/>
          <w:sz w:val="22"/>
          <w:lang w:val="pt-BR"/>
        </w:rPr>
        <w:t>a instalações de</w:t>
      </w:r>
      <w:r w:rsidR="001C60E6" w:rsidRPr="00723ECA">
        <w:rPr>
          <w:rFonts w:eastAsia="Arial Unicode MS"/>
          <w:sz w:val="22"/>
          <w:lang w:val="pt-BR"/>
        </w:rPr>
        <w:t xml:space="preserve"> água potável e </w:t>
      </w:r>
      <w:r w:rsidR="00330395" w:rsidRPr="00723ECA">
        <w:rPr>
          <w:rFonts w:eastAsia="Arial Unicode MS"/>
          <w:sz w:val="22"/>
          <w:lang w:val="pt-BR"/>
        </w:rPr>
        <w:t>de</w:t>
      </w:r>
      <w:r w:rsidR="001C60E6" w:rsidRPr="00723ECA">
        <w:rPr>
          <w:rFonts w:eastAsia="Arial Unicode MS"/>
          <w:sz w:val="22"/>
          <w:lang w:val="pt-BR"/>
        </w:rPr>
        <w:t xml:space="preserve"> esgotamento sanitário deve estabelecer como </w:t>
      </w:r>
      <w:r w:rsidR="00D375C4" w:rsidRPr="00723ECA">
        <w:rPr>
          <w:rFonts w:eastAsia="Arial Unicode MS"/>
          <w:sz w:val="22"/>
          <w:lang w:val="pt-BR"/>
        </w:rPr>
        <w:t>pa</w:t>
      </w:r>
      <w:r w:rsidR="00330395" w:rsidRPr="00723ECA">
        <w:rPr>
          <w:rFonts w:eastAsia="Arial Unicode MS"/>
          <w:sz w:val="22"/>
          <w:lang w:val="pt-BR"/>
        </w:rPr>
        <w:t>drão</w:t>
      </w:r>
      <w:r w:rsidR="001C60E6" w:rsidRPr="00723ECA">
        <w:rPr>
          <w:rFonts w:eastAsia="Arial Unicode MS"/>
          <w:sz w:val="22"/>
          <w:lang w:val="pt-BR"/>
        </w:rPr>
        <w:t xml:space="preserve"> mínimo que essas instalações estejam </w:t>
      </w:r>
      <w:r w:rsidR="00D375C4" w:rsidRPr="00723ECA">
        <w:rPr>
          <w:rFonts w:eastAsia="Arial Unicode MS"/>
          <w:sz w:val="22"/>
          <w:lang w:val="pt-BR"/>
        </w:rPr>
        <w:t>na vizinhança imediata das residências ou</w:t>
      </w:r>
      <w:r w:rsidR="001C60E6" w:rsidRPr="00723ECA">
        <w:rPr>
          <w:rFonts w:eastAsia="Arial Unicode MS"/>
          <w:sz w:val="22"/>
          <w:lang w:val="pt-BR"/>
        </w:rPr>
        <w:t xml:space="preserve"> </w:t>
      </w:r>
      <w:r w:rsidR="00D375C4" w:rsidRPr="00723ECA">
        <w:rPr>
          <w:rFonts w:eastAsia="Arial Unicode MS"/>
          <w:sz w:val="22"/>
          <w:lang w:val="pt-BR"/>
        </w:rPr>
        <w:t>ao</w:t>
      </w:r>
      <w:r w:rsidR="00123CF7" w:rsidRPr="00723ECA">
        <w:rPr>
          <w:rFonts w:eastAsia="Arial Unicode MS"/>
          <w:sz w:val="22"/>
          <w:lang w:val="pt-BR"/>
        </w:rPr>
        <w:t xml:space="preserve"> </w:t>
      </w:r>
      <w:r w:rsidR="001C60E6" w:rsidRPr="00723ECA">
        <w:rPr>
          <w:rFonts w:eastAsia="Arial Unicode MS"/>
          <w:sz w:val="22"/>
          <w:lang w:val="pt-BR"/>
        </w:rPr>
        <w:t>alcance físico</w:t>
      </w:r>
      <w:r w:rsidR="00D375C4" w:rsidRPr="00723ECA">
        <w:rPr>
          <w:rFonts w:eastAsia="Arial Unicode MS"/>
          <w:sz w:val="22"/>
          <w:lang w:val="pt-BR"/>
        </w:rPr>
        <w:t xml:space="preserve"> seguro</w:t>
      </w:r>
      <w:r w:rsidR="001C60E6" w:rsidRPr="00723ECA">
        <w:rPr>
          <w:rFonts w:eastAsia="Arial Unicode MS"/>
          <w:sz w:val="22"/>
          <w:lang w:val="pt-BR"/>
        </w:rPr>
        <w:t>, a qualquer</w:t>
      </w:r>
      <w:r w:rsidR="00D375C4" w:rsidRPr="00723ECA">
        <w:rPr>
          <w:rFonts w:eastAsia="Arial Unicode MS"/>
          <w:sz w:val="22"/>
          <w:lang w:val="pt-BR"/>
        </w:rPr>
        <w:t xml:space="preserve"> hora do dia ou da noite.</w:t>
      </w:r>
      <w:r w:rsidR="00086E9D" w:rsidRPr="00723ECA">
        <w:rPr>
          <w:rStyle w:val="FootnoteReference"/>
          <w:rFonts w:eastAsia="Arial Unicode MS"/>
          <w:sz w:val="20"/>
          <w:lang w:val="pt-BR"/>
        </w:rPr>
        <w:footnoteReference w:id="28"/>
      </w:r>
      <w:r w:rsidR="00D375C4" w:rsidRPr="00723ECA">
        <w:rPr>
          <w:rFonts w:eastAsia="Arial Unicode MS"/>
          <w:sz w:val="22"/>
          <w:lang w:val="pt-BR"/>
        </w:rPr>
        <w:t xml:space="preserve"> </w:t>
      </w:r>
      <w:r w:rsidR="001C60E6" w:rsidRPr="00723ECA">
        <w:rPr>
          <w:rFonts w:eastAsia="Arial Unicode MS"/>
          <w:sz w:val="22"/>
          <w:lang w:val="pt-BR"/>
        </w:rPr>
        <w:t xml:space="preserve">Os indicadores propostos para monitoramento </w:t>
      </w:r>
      <w:r w:rsidR="007B462D">
        <w:rPr>
          <w:rFonts w:eastAsia="Arial Unicode MS"/>
          <w:sz w:val="22"/>
          <w:lang w:val="pt-BR"/>
        </w:rPr>
        <w:t xml:space="preserve">do Objetivo </w:t>
      </w:r>
      <w:r w:rsidR="001C60E6" w:rsidRPr="00723ECA">
        <w:rPr>
          <w:rFonts w:eastAsia="Arial Unicode MS"/>
          <w:sz w:val="22"/>
          <w:lang w:val="pt-BR"/>
        </w:rPr>
        <w:t xml:space="preserve">de Desenvolvimento Sustentável </w:t>
      </w:r>
      <w:proofErr w:type="gramStart"/>
      <w:r w:rsidR="001C60E6" w:rsidRPr="00723ECA">
        <w:rPr>
          <w:rFonts w:eastAsia="Arial Unicode MS"/>
          <w:sz w:val="22"/>
          <w:lang w:val="pt-BR"/>
        </w:rPr>
        <w:t>6</w:t>
      </w:r>
      <w:proofErr w:type="gramEnd"/>
      <w:r w:rsidR="001C60E6" w:rsidRPr="00723ECA">
        <w:rPr>
          <w:rFonts w:eastAsia="Arial Unicode MS"/>
          <w:sz w:val="22"/>
          <w:lang w:val="pt-BR"/>
        </w:rPr>
        <w:t>, do Programa Conjunto OMS/UNICEF</w:t>
      </w:r>
      <w:r w:rsidR="00123CF7" w:rsidRPr="00723ECA">
        <w:rPr>
          <w:rFonts w:eastAsia="Arial Unicode MS"/>
          <w:sz w:val="22"/>
          <w:lang w:val="pt-BR"/>
        </w:rPr>
        <w:t xml:space="preserve"> de Monitoramento do Abastecimento de Água e </w:t>
      </w:r>
      <w:r w:rsidR="001C60E6" w:rsidRPr="00723ECA">
        <w:rPr>
          <w:rFonts w:eastAsia="Arial Unicode MS"/>
          <w:sz w:val="22"/>
          <w:lang w:val="pt-BR"/>
        </w:rPr>
        <w:t>Saneament</w:t>
      </w:r>
      <w:r w:rsidR="00123CF7" w:rsidRPr="00723ECA">
        <w:rPr>
          <w:rFonts w:eastAsia="Arial Unicode MS"/>
          <w:sz w:val="22"/>
          <w:lang w:val="pt-BR"/>
        </w:rPr>
        <w:t>o, sugerem que o deslocamento completo (ida e volta) para acessar uma fonte de água potável não leve mais do que 30 minutos, incluindo tempo de permanência em filas (nível básico)</w:t>
      </w:r>
      <w:r w:rsidR="007B462D">
        <w:rPr>
          <w:rFonts w:eastAsia="Arial Unicode MS"/>
          <w:sz w:val="22"/>
          <w:lang w:val="pt-BR"/>
        </w:rPr>
        <w:t>,</w:t>
      </w:r>
      <w:r w:rsidR="00123CF7" w:rsidRPr="00723ECA">
        <w:rPr>
          <w:rFonts w:eastAsia="Arial Unicode MS"/>
          <w:sz w:val="22"/>
          <w:lang w:val="pt-BR"/>
        </w:rPr>
        <w:t xml:space="preserve"> e que um nível básico de esgotamento sanitário proporcione acesso a uma </w:t>
      </w:r>
      <w:r w:rsidR="00123CF7" w:rsidRPr="00723ECA">
        <w:rPr>
          <w:rFonts w:eastAsia="Arial Unicode MS"/>
          <w:sz w:val="22"/>
          <w:lang w:val="pt-BR"/>
        </w:rPr>
        <w:lastRenderedPageBreak/>
        <w:t>instalação sanitária melhorada que não seja compartilhada com outras residência</w:t>
      </w:r>
      <w:r w:rsidR="00D375C4" w:rsidRPr="00723ECA">
        <w:rPr>
          <w:rFonts w:eastAsia="Arial Unicode MS"/>
          <w:sz w:val="22"/>
          <w:lang w:val="pt-BR"/>
        </w:rPr>
        <w:t>s. Adicionalmente, a regula</w:t>
      </w:r>
      <w:r w:rsidR="00123CF7" w:rsidRPr="00723ECA">
        <w:rPr>
          <w:rFonts w:eastAsia="Arial Unicode MS"/>
          <w:sz w:val="22"/>
          <w:lang w:val="pt-BR"/>
        </w:rPr>
        <w:t xml:space="preserve">ção deve se voltar especificamente para aqueles que possuem necessidades especiais em termos de </w:t>
      </w:r>
      <w:r w:rsidR="00D375C4" w:rsidRPr="00723ECA">
        <w:rPr>
          <w:rFonts w:eastAsia="Arial Unicode MS"/>
          <w:sz w:val="22"/>
          <w:lang w:val="pt-BR"/>
        </w:rPr>
        <w:t>acessibilidade,</w:t>
      </w:r>
      <w:r w:rsidR="00123CF7" w:rsidRPr="00723ECA">
        <w:rPr>
          <w:rFonts w:eastAsia="Arial Unicode MS"/>
          <w:sz w:val="22"/>
          <w:lang w:val="pt-BR"/>
        </w:rPr>
        <w:t xml:space="preserve"> tais como crianças, portadores de deficiência física,</w:t>
      </w:r>
      <w:r w:rsidR="00812280" w:rsidRPr="00723ECA">
        <w:rPr>
          <w:rFonts w:eastAsia="Arial Unicode MS"/>
          <w:sz w:val="22"/>
          <w:lang w:val="pt-BR"/>
        </w:rPr>
        <w:t xml:space="preserve"> idosos, mulheres grávidas e pessoas em condições de saúde vulneráveis; e recomendar que as instalações sanitárias sejam projetadas para acomodar suas necessidades especiais, além de serem tecnicamente seguras para uso. Locais como escolas, creches, asilos e centros de detenção requerem regulamentação específica para garantir a acessibilidade física. </w:t>
      </w:r>
    </w:p>
    <w:p w:rsidR="00D60BD6" w:rsidRPr="00723ECA" w:rsidRDefault="00D60BD6" w:rsidP="00812280">
      <w:pPr>
        <w:pStyle w:val="H23G"/>
        <w:numPr>
          <w:ilvl w:val="0"/>
          <w:numId w:val="14"/>
        </w:numPr>
        <w:ind w:left="1134"/>
        <w:rPr>
          <w:sz w:val="22"/>
          <w:lang w:val="pt-BR"/>
        </w:rPr>
      </w:pPr>
      <w:r w:rsidRPr="00723ECA">
        <w:rPr>
          <w:sz w:val="22"/>
          <w:lang w:val="pt-BR"/>
        </w:rPr>
        <w:t>Qualidade e segurança</w:t>
      </w:r>
    </w:p>
    <w:p w:rsidR="00812280" w:rsidRPr="00723ECA" w:rsidRDefault="00812280" w:rsidP="00812280">
      <w:pPr>
        <w:rPr>
          <w:sz w:val="22"/>
          <w:lang w:val="pt-BR"/>
        </w:rPr>
      </w:pPr>
    </w:p>
    <w:p w:rsidR="00A83E46" w:rsidRPr="00723ECA" w:rsidRDefault="00812280" w:rsidP="00812280">
      <w:pPr>
        <w:ind w:left="1134" w:right="1134"/>
        <w:jc w:val="both"/>
        <w:rPr>
          <w:sz w:val="22"/>
          <w:lang w:val="pt-BR"/>
        </w:rPr>
      </w:pPr>
      <w:r w:rsidRPr="00723ECA">
        <w:rPr>
          <w:sz w:val="22"/>
          <w:lang w:val="pt-BR"/>
        </w:rPr>
        <w:t>47. Os p</w:t>
      </w:r>
      <w:r w:rsidR="00D375C4" w:rsidRPr="00723ECA">
        <w:rPr>
          <w:sz w:val="22"/>
          <w:lang w:val="pt-BR"/>
        </w:rPr>
        <w:t>arâmetros nacionais devem assegurar</w:t>
      </w:r>
      <w:r w:rsidRPr="00723ECA">
        <w:rPr>
          <w:sz w:val="22"/>
          <w:lang w:val="pt-BR"/>
        </w:rPr>
        <w:t xml:space="preserve"> que a água utilizada para uso pessoal e doméstico seja segura para a saúde humana no que concerne à presença de microrganismos, substâncias q</w:t>
      </w:r>
      <w:r w:rsidR="00D375C4" w:rsidRPr="00723ECA">
        <w:rPr>
          <w:sz w:val="22"/>
          <w:lang w:val="pt-BR"/>
        </w:rPr>
        <w:t>uímicas e ameaças radiológicas.</w:t>
      </w:r>
      <w:r w:rsidR="00086E9D" w:rsidRPr="00723ECA">
        <w:rPr>
          <w:rStyle w:val="FootnoteReference"/>
          <w:sz w:val="20"/>
          <w:lang w:val="pt-BR"/>
        </w:rPr>
        <w:footnoteReference w:id="29"/>
      </w:r>
      <w:r w:rsidR="00D375C4" w:rsidRPr="00723ECA">
        <w:rPr>
          <w:sz w:val="22"/>
          <w:lang w:val="pt-BR"/>
        </w:rPr>
        <w:t xml:space="preserve"> </w:t>
      </w:r>
      <w:r w:rsidR="00A83E46" w:rsidRPr="00723ECA">
        <w:rPr>
          <w:sz w:val="22"/>
          <w:lang w:val="pt-BR"/>
        </w:rPr>
        <w:t xml:space="preserve">O </w:t>
      </w:r>
      <w:r w:rsidR="00B53DFE" w:rsidRPr="00723ECA">
        <w:rPr>
          <w:sz w:val="22"/>
          <w:lang w:val="pt-BR"/>
        </w:rPr>
        <w:t>Guia</w:t>
      </w:r>
      <w:r w:rsidR="00A83E46" w:rsidRPr="00723ECA">
        <w:rPr>
          <w:sz w:val="22"/>
          <w:lang w:val="pt-BR"/>
        </w:rPr>
        <w:t xml:space="preserve"> de </w:t>
      </w:r>
      <w:r w:rsidR="00B53DFE" w:rsidRPr="00723ECA">
        <w:rPr>
          <w:sz w:val="22"/>
          <w:lang w:val="pt-BR"/>
        </w:rPr>
        <w:t>Q</w:t>
      </w:r>
      <w:r w:rsidR="00A83E46" w:rsidRPr="00723ECA">
        <w:rPr>
          <w:sz w:val="22"/>
          <w:lang w:val="pt-BR"/>
        </w:rPr>
        <w:t xml:space="preserve">ualidade da </w:t>
      </w:r>
      <w:r w:rsidR="00B53DFE" w:rsidRPr="00723ECA">
        <w:rPr>
          <w:sz w:val="22"/>
          <w:lang w:val="pt-BR"/>
        </w:rPr>
        <w:t>Á</w:t>
      </w:r>
      <w:r w:rsidR="00A83E46" w:rsidRPr="00723ECA">
        <w:rPr>
          <w:sz w:val="22"/>
          <w:lang w:val="pt-BR"/>
        </w:rPr>
        <w:t xml:space="preserve">gua para </w:t>
      </w:r>
      <w:r w:rsidR="00B53DFE" w:rsidRPr="00723ECA">
        <w:rPr>
          <w:sz w:val="22"/>
          <w:lang w:val="pt-BR"/>
        </w:rPr>
        <w:t>C</w:t>
      </w:r>
      <w:r w:rsidR="00A83E46" w:rsidRPr="00723ECA">
        <w:rPr>
          <w:sz w:val="22"/>
          <w:lang w:val="pt-BR"/>
        </w:rPr>
        <w:t xml:space="preserve">onsumo </w:t>
      </w:r>
      <w:r w:rsidR="00B53DFE" w:rsidRPr="00723ECA">
        <w:rPr>
          <w:sz w:val="22"/>
          <w:lang w:val="pt-BR"/>
        </w:rPr>
        <w:t>H</w:t>
      </w:r>
      <w:r w:rsidR="00D375C4" w:rsidRPr="00723ECA">
        <w:rPr>
          <w:sz w:val="22"/>
          <w:lang w:val="pt-BR"/>
        </w:rPr>
        <w:t>umano</w:t>
      </w:r>
      <w:r w:rsidR="00086E9D" w:rsidRPr="00723ECA">
        <w:rPr>
          <w:rStyle w:val="FootnoteReference"/>
          <w:sz w:val="20"/>
          <w:lang w:val="pt-BR"/>
        </w:rPr>
        <w:footnoteReference w:id="30"/>
      </w:r>
      <w:r w:rsidR="00D375C4" w:rsidRPr="00723ECA">
        <w:rPr>
          <w:sz w:val="22"/>
          <w:lang w:val="pt-BR"/>
        </w:rPr>
        <w:t xml:space="preserve"> </w:t>
      </w:r>
      <w:r w:rsidR="000267D1" w:rsidRPr="00723ECA">
        <w:rPr>
          <w:sz w:val="22"/>
          <w:lang w:val="pt-BR"/>
        </w:rPr>
        <w:t>fornece</w:t>
      </w:r>
      <w:r w:rsidR="00A83E46" w:rsidRPr="00723ECA">
        <w:rPr>
          <w:sz w:val="22"/>
          <w:lang w:val="pt-BR"/>
        </w:rPr>
        <w:t xml:space="preserve"> orientações para o estabele</w:t>
      </w:r>
      <w:r w:rsidR="000267D1" w:rsidRPr="00723ECA">
        <w:rPr>
          <w:sz w:val="22"/>
          <w:lang w:val="pt-BR"/>
        </w:rPr>
        <w:t xml:space="preserve">cimento de regulamentos e parâmetros </w:t>
      </w:r>
      <w:r w:rsidR="00A83E46" w:rsidRPr="00723ECA">
        <w:rPr>
          <w:sz w:val="22"/>
          <w:lang w:val="pt-BR"/>
        </w:rPr>
        <w:t xml:space="preserve">nacionais para a segurança da água em benefício da saúde pública. O </w:t>
      </w:r>
      <w:r w:rsidR="00B53DFE" w:rsidRPr="00723ECA">
        <w:rPr>
          <w:sz w:val="22"/>
          <w:lang w:val="pt-BR"/>
        </w:rPr>
        <w:t>G</w:t>
      </w:r>
      <w:r w:rsidR="00A83E46" w:rsidRPr="00723ECA">
        <w:rPr>
          <w:sz w:val="22"/>
          <w:lang w:val="pt-BR"/>
        </w:rPr>
        <w:t xml:space="preserve">uia descreve requisitos </w:t>
      </w:r>
      <w:r w:rsidR="000267D1" w:rsidRPr="00723ECA">
        <w:rPr>
          <w:sz w:val="22"/>
          <w:lang w:val="pt-BR"/>
        </w:rPr>
        <w:t xml:space="preserve">de segurança </w:t>
      </w:r>
      <w:r w:rsidR="00645526" w:rsidRPr="00723ECA">
        <w:rPr>
          <w:sz w:val="22"/>
          <w:lang w:val="pt-BR"/>
        </w:rPr>
        <w:t xml:space="preserve">mínimos </w:t>
      </w:r>
      <w:r w:rsidR="00B53DFE" w:rsidRPr="00723ECA">
        <w:rPr>
          <w:sz w:val="22"/>
          <w:lang w:val="pt-BR"/>
        </w:rPr>
        <w:t xml:space="preserve">razoáveis </w:t>
      </w:r>
      <w:r w:rsidR="00A83E46" w:rsidRPr="00723ECA">
        <w:rPr>
          <w:sz w:val="22"/>
          <w:lang w:val="pt-BR"/>
        </w:rPr>
        <w:t xml:space="preserve">para a proteção da saúde e estabelece valores numéricos para os </w:t>
      </w:r>
      <w:r w:rsidR="00B53DFE" w:rsidRPr="00723ECA">
        <w:rPr>
          <w:sz w:val="22"/>
          <w:lang w:val="pt-BR"/>
        </w:rPr>
        <w:t xml:space="preserve">parâmetros </w:t>
      </w:r>
      <w:r w:rsidR="00A83E46" w:rsidRPr="00723ECA">
        <w:rPr>
          <w:sz w:val="22"/>
          <w:lang w:val="pt-BR"/>
        </w:rPr>
        <w:t xml:space="preserve">ou indicadores de qualidade de água. </w:t>
      </w:r>
      <w:r w:rsidR="000267D1" w:rsidRPr="00723ECA">
        <w:rPr>
          <w:sz w:val="22"/>
          <w:lang w:val="pt-BR"/>
        </w:rPr>
        <w:t xml:space="preserve">Ao </w:t>
      </w:r>
      <w:r w:rsidR="00B53DFE" w:rsidRPr="00723ECA">
        <w:rPr>
          <w:sz w:val="22"/>
          <w:lang w:val="pt-BR"/>
        </w:rPr>
        <w:t>estabelecer limites obrigatórios, o Guia é uma fonte</w:t>
      </w:r>
      <w:r w:rsidR="000267D1" w:rsidRPr="00723ECA">
        <w:rPr>
          <w:sz w:val="22"/>
          <w:lang w:val="pt-BR"/>
        </w:rPr>
        <w:t xml:space="preserve"> oficial e</w:t>
      </w:r>
      <w:r w:rsidR="00B53DFE" w:rsidRPr="00723ECA">
        <w:rPr>
          <w:sz w:val="22"/>
          <w:lang w:val="pt-BR"/>
        </w:rPr>
        <w:t xml:space="preserve"> </w:t>
      </w:r>
      <w:r w:rsidR="00FC3B7A">
        <w:rPr>
          <w:sz w:val="22"/>
          <w:lang w:val="pt-BR"/>
        </w:rPr>
        <w:t>vinculante</w:t>
      </w:r>
      <w:r w:rsidR="00B53DFE" w:rsidRPr="00723ECA">
        <w:rPr>
          <w:sz w:val="22"/>
          <w:lang w:val="pt-BR"/>
        </w:rPr>
        <w:t xml:space="preserve"> e deve ser levado em consideração em quaisquer contextos (local e nacional) e condições (ambiental, social, econômica e cultural). </w:t>
      </w:r>
    </w:p>
    <w:p w:rsidR="00A83E46" w:rsidRPr="00723ECA" w:rsidRDefault="00A83E46" w:rsidP="00812280">
      <w:pPr>
        <w:ind w:left="1134" w:right="1134"/>
        <w:jc w:val="both"/>
        <w:rPr>
          <w:sz w:val="22"/>
          <w:lang w:val="pt-BR"/>
        </w:rPr>
      </w:pPr>
    </w:p>
    <w:p w:rsidR="00B42DC3" w:rsidRPr="00723ECA" w:rsidRDefault="00B42DC3" w:rsidP="00812280">
      <w:pPr>
        <w:ind w:left="1134" w:right="1134"/>
        <w:jc w:val="both"/>
        <w:rPr>
          <w:sz w:val="22"/>
          <w:lang w:val="pt-BR"/>
        </w:rPr>
      </w:pPr>
      <w:r w:rsidRPr="00723ECA">
        <w:rPr>
          <w:sz w:val="22"/>
          <w:lang w:val="pt-BR"/>
        </w:rPr>
        <w:t xml:space="preserve">48. Mesmo quando </w:t>
      </w:r>
      <w:r w:rsidR="000267D1" w:rsidRPr="00723ECA">
        <w:rPr>
          <w:sz w:val="22"/>
          <w:lang w:val="pt-BR"/>
        </w:rPr>
        <w:t>existentes, as normas regulatórias nem sempre são usada</w:t>
      </w:r>
      <w:r w:rsidRPr="00723ECA">
        <w:rPr>
          <w:sz w:val="22"/>
          <w:lang w:val="pt-BR"/>
        </w:rPr>
        <w:t xml:space="preserve">s em todo seu potencial para maximizar os benefícios à saúde pública. Por exemplo, </w:t>
      </w:r>
      <w:r w:rsidR="000267D1" w:rsidRPr="00723ECA">
        <w:rPr>
          <w:sz w:val="22"/>
          <w:lang w:val="pt-BR"/>
        </w:rPr>
        <w:t>as normas</w:t>
      </w:r>
      <w:r w:rsidRPr="00723ECA">
        <w:rPr>
          <w:sz w:val="22"/>
          <w:lang w:val="pt-BR"/>
        </w:rPr>
        <w:t xml:space="preserve"> nem sempre indicam todas as partes interessadas que são responsáveis p</w:t>
      </w:r>
      <w:r w:rsidR="008254D7" w:rsidRPr="00723ECA">
        <w:rPr>
          <w:sz w:val="22"/>
          <w:lang w:val="pt-BR"/>
        </w:rPr>
        <w:t xml:space="preserve">ela </w:t>
      </w:r>
      <w:r w:rsidRPr="00723ECA">
        <w:rPr>
          <w:sz w:val="22"/>
          <w:lang w:val="pt-BR"/>
        </w:rPr>
        <w:t xml:space="preserve">identificação, resposta e mitigação de riscos à qualidade da água potável. </w:t>
      </w:r>
      <w:r w:rsidR="008254D7" w:rsidRPr="00723ECA">
        <w:rPr>
          <w:sz w:val="22"/>
          <w:lang w:val="pt-BR"/>
        </w:rPr>
        <w:t xml:space="preserve">As normas regulatórias </w:t>
      </w:r>
      <w:r w:rsidRPr="00723ECA">
        <w:rPr>
          <w:sz w:val="22"/>
          <w:lang w:val="pt-BR"/>
        </w:rPr>
        <w:t xml:space="preserve">devem contemplar também situações nas quais a água torna-se imprópria para consumo humano e estabelecer medidas de enfrentamento (ex. alertas) e ações preventivas. Nesse contexto, o acesso </w:t>
      </w:r>
      <w:r w:rsidR="008254D7" w:rsidRPr="00723ECA">
        <w:rPr>
          <w:sz w:val="22"/>
          <w:lang w:val="pt-BR"/>
        </w:rPr>
        <w:t>a</w:t>
      </w:r>
      <w:r w:rsidRPr="00723ECA">
        <w:rPr>
          <w:sz w:val="22"/>
          <w:lang w:val="pt-BR"/>
        </w:rPr>
        <w:t xml:space="preserve"> informações de qualidade de água é essencial e deve ser resguardado pel</w:t>
      </w:r>
      <w:r w:rsidR="008254D7" w:rsidRPr="00723ECA">
        <w:rPr>
          <w:sz w:val="22"/>
          <w:lang w:val="pt-BR"/>
        </w:rPr>
        <w:t>a regulação</w:t>
      </w:r>
      <w:r w:rsidRPr="00723ECA">
        <w:rPr>
          <w:sz w:val="22"/>
          <w:lang w:val="pt-BR"/>
        </w:rPr>
        <w:t xml:space="preserve">, </w:t>
      </w:r>
      <w:r w:rsidR="00350911" w:rsidRPr="00723ECA">
        <w:rPr>
          <w:sz w:val="22"/>
          <w:lang w:val="pt-BR"/>
        </w:rPr>
        <w:t xml:space="preserve">usando linguagem clara e de fácil entendimento, além de </w:t>
      </w:r>
      <w:r w:rsidR="008254D7" w:rsidRPr="00723ECA">
        <w:rPr>
          <w:sz w:val="22"/>
          <w:lang w:val="pt-BR"/>
        </w:rPr>
        <w:t>ser de fácil acesso</w:t>
      </w:r>
      <w:r w:rsidR="00350911" w:rsidRPr="00723ECA">
        <w:rPr>
          <w:sz w:val="22"/>
          <w:lang w:val="pt-BR"/>
        </w:rPr>
        <w:t xml:space="preserve"> para toda a população. </w:t>
      </w:r>
    </w:p>
    <w:p w:rsidR="00812280" w:rsidRPr="00723ECA" w:rsidRDefault="00812280" w:rsidP="00812280">
      <w:pPr>
        <w:ind w:left="1134" w:right="1134"/>
        <w:jc w:val="both"/>
        <w:rPr>
          <w:sz w:val="22"/>
          <w:lang w:val="pt-BR"/>
        </w:rPr>
      </w:pPr>
    </w:p>
    <w:p w:rsidR="00350911" w:rsidRPr="00723ECA" w:rsidRDefault="00350911" w:rsidP="00812280">
      <w:pPr>
        <w:ind w:left="1134" w:right="1134"/>
        <w:jc w:val="both"/>
        <w:rPr>
          <w:sz w:val="22"/>
          <w:lang w:val="pt-BR"/>
        </w:rPr>
      </w:pPr>
      <w:r w:rsidRPr="00723ECA">
        <w:rPr>
          <w:sz w:val="22"/>
          <w:lang w:val="pt-BR"/>
        </w:rPr>
        <w:t>49. A regulamentação de instalações sanitárias deve e</w:t>
      </w:r>
      <w:r w:rsidR="008254D7" w:rsidRPr="00723ECA">
        <w:rPr>
          <w:sz w:val="22"/>
          <w:lang w:val="pt-BR"/>
        </w:rPr>
        <w:t>stabelecer</w:t>
      </w:r>
      <w:r w:rsidRPr="00723ECA">
        <w:rPr>
          <w:sz w:val="22"/>
          <w:lang w:val="pt-BR"/>
        </w:rPr>
        <w:t xml:space="preserve"> que elas </w:t>
      </w:r>
      <w:proofErr w:type="gramStart"/>
      <w:r w:rsidRPr="00723ECA">
        <w:rPr>
          <w:sz w:val="22"/>
          <w:lang w:val="pt-BR"/>
        </w:rPr>
        <w:t>sejam</w:t>
      </w:r>
      <w:proofErr w:type="gramEnd"/>
      <w:r w:rsidRPr="00723ECA">
        <w:rPr>
          <w:sz w:val="22"/>
          <w:lang w:val="pt-BR"/>
        </w:rPr>
        <w:t xml:space="preserve"> projetadas e construídas de forma a evitar o contato humano</w:t>
      </w:r>
      <w:r w:rsidR="002452B8">
        <w:rPr>
          <w:sz w:val="22"/>
          <w:lang w:val="pt-BR"/>
        </w:rPr>
        <w:t xml:space="preserve"> e de</w:t>
      </w:r>
      <w:r w:rsidRPr="00723ECA">
        <w:rPr>
          <w:sz w:val="22"/>
          <w:lang w:val="pt-BR"/>
        </w:rPr>
        <w:t xml:space="preserve"> </w:t>
      </w:r>
      <w:r w:rsidRPr="002452B8">
        <w:rPr>
          <w:sz w:val="22"/>
          <w:lang w:val="pt-BR"/>
        </w:rPr>
        <w:t>animais</w:t>
      </w:r>
      <w:r w:rsidR="00FC3B7A" w:rsidRPr="002452B8">
        <w:rPr>
          <w:sz w:val="22"/>
          <w:lang w:val="pt-BR"/>
        </w:rPr>
        <w:t>, incluindo</w:t>
      </w:r>
      <w:r w:rsidRPr="002452B8">
        <w:rPr>
          <w:sz w:val="22"/>
          <w:lang w:val="pt-BR"/>
        </w:rPr>
        <w:t xml:space="preserve"> insetos</w:t>
      </w:r>
      <w:r w:rsidR="00FC3B7A">
        <w:rPr>
          <w:sz w:val="22"/>
          <w:lang w:val="pt-BR"/>
        </w:rPr>
        <w:t>,</w:t>
      </w:r>
      <w:r w:rsidRPr="00723ECA">
        <w:rPr>
          <w:sz w:val="22"/>
          <w:lang w:val="pt-BR"/>
        </w:rPr>
        <w:t xml:space="preserve"> com excre</w:t>
      </w:r>
      <w:r w:rsidR="007B462D">
        <w:rPr>
          <w:sz w:val="22"/>
          <w:lang w:val="pt-BR"/>
        </w:rPr>
        <w:t>tas</w:t>
      </w:r>
      <w:r w:rsidRPr="00723ECA">
        <w:rPr>
          <w:sz w:val="22"/>
          <w:lang w:val="pt-BR"/>
        </w:rPr>
        <w:t xml:space="preserve"> humanos e de forma a proporcionar acesso à água segura para a </w:t>
      </w:r>
      <w:r w:rsidR="008254D7" w:rsidRPr="00723ECA">
        <w:rPr>
          <w:sz w:val="22"/>
          <w:lang w:val="pt-BR"/>
        </w:rPr>
        <w:t>lavagem</w:t>
      </w:r>
      <w:r w:rsidRPr="00723ECA">
        <w:rPr>
          <w:sz w:val="22"/>
          <w:lang w:val="pt-BR"/>
        </w:rPr>
        <w:t xml:space="preserve"> das m</w:t>
      </w:r>
      <w:r w:rsidR="0039220C" w:rsidRPr="00723ECA">
        <w:rPr>
          <w:sz w:val="22"/>
          <w:lang w:val="pt-BR"/>
        </w:rPr>
        <w:t xml:space="preserve">ãos, </w:t>
      </w:r>
      <w:r w:rsidR="008254D7" w:rsidRPr="00723ECA">
        <w:rPr>
          <w:sz w:val="22"/>
          <w:lang w:val="pt-BR"/>
        </w:rPr>
        <w:t xml:space="preserve">limpeza </w:t>
      </w:r>
      <w:r w:rsidR="0039220C" w:rsidRPr="00723ECA">
        <w:rPr>
          <w:sz w:val="22"/>
          <w:lang w:val="pt-BR"/>
        </w:rPr>
        <w:t>genital</w:t>
      </w:r>
      <w:r w:rsidR="008254D7" w:rsidRPr="00723ECA">
        <w:rPr>
          <w:sz w:val="22"/>
          <w:lang w:val="pt-BR"/>
        </w:rPr>
        <w:t xml:space="preserve"> e</w:t>
      </w:r>
      <w:r w:rsidRPr="00723ECA">
        <w:rPr>
          <w:sz w:val="22"/>
          <w:lang w:val="pt-BR"/>
        </w:rPr>
        <w:t xml:space="preserve"> anal e </w:t>
      </w:r>
      <w:r w:rsidR="008254D7" w:rsidRPr="00723ECA">
        <w:rPr>
          <w:sz w:val="22"/>
          <w:lang w:val="pt-BR"/>
        </w:rPr>
        <w:t xml:space="preserve">higiene </w:t>
      </w:r>
      <w:r w:rsidRPr="00723ECA">
        <w:rPr>
          <w:sz w:val="22"/>
          <w:lang w:val="pt-BR"/>
        </w:rPr>
        <w:t xml:space="preserve">menstrual, garantindo mecanismos para a disposição de produtos da higiene menstrual (ver A/HCR/12/24, parágrafo 72). O Relator Especial recomenda que a regulamentação exija que as necessidades especiais das mulheres e meninas sejam incorporadas no projeto, </w:t>
      </w:r>
      <w:proofErr w:type="gramStart"/>
      <w:r w:rsidRPr="00723ECA">
        <w:rPr>
          <w:sz w:val="22"/>
          <w:lang w:val="pt-BR"/>
        </w:rPr>
        <w:t>implementação</w:t>
      </w:r>
      <w:proofErr w:type="gramEnd"/>
      <w:r w:rsidRPr="00723ECA">
        <w:rPr>
          <w:sz w:val="22"/>
          <w:lang w:val="pt-BR"/>
        </w:rPr>
        <w:t xml:space="preserve">, monitoramento e avaliação das </w:t>
      </w:r>
      <w:r w:rsidRPr="00723ECA">
        <w:rPr>
          <w:sz w:val="22"/>
          <w:lang w:val="pt-BR"/>
        </w:rPr>
        <w:lastRenderedPageBreak/>
        <w:t xml:space="preserve">instalações de água e esgoto (ver A/HCR/33/49, </w:t>
      </w:r>
      <w:r w:rsidR="0039220C" w:rsidRPr="00723ECA">
        <w:rPr>
          <w:sz w:val="22"/>
          <w:lang w:val="pt-BR"/>
        </w:rPr>
        <w:t>parágrafo</w:t>
      </w:r>
      <w:r w:rsidRPr="00723ECA">
        <w:rPr>
          <w:sz w:val="22"/>
          <w:lang w:val="pt-BR"/>
        </w:rPr>
        <w:t xml:space="preserve"> 77 (h)). Para este fim, </w:t>
      </w:r>
      <w:r w:rsidR="0039220C" w:rsidRPr="00723ECA">
        <w:rPr>
          <w:sz w:val="22"/>
          <w:lang w:val="pt-BR"/>
        </w:rPr>
        <w:t xml:space="preserve">a participações de mulheres e meninas no projeto das instalações sanitárias deve ser considerada pelos prestadores de serviços. </w:t>
      </w:r>
    </w:p>
    <w:p w:rsidR="0039220C" w:rsidRPr="00723ECA" w:rsidRDefault="0039220C" w:rsidP="00812280">
      <w:pPr>
        <w:ind w:left="1134" w:right="1134"/>
        <w:jc w:val="both"/>
        <w:rPr>
          <w:sz w:val="22"/>
          <w:lang w:val="pt-BR"/>
        </w:rPr>
      </w:pPr>
    </w:p>
    <w:p w:rsidR="0039220C" w:rsidRPr="00723ECA" w:rsidRDefault="0039220C" w:rsidP="00812280">
      <w:pPr>
        <w:ind w:left="1134" w:right="1134"/>
        <w:jc w:val="both"/>
        <w:rPr>
          <w:sz w:val="22"/>
          <w:lang w:val="pt-BR"/>
        </w:rPr>
      </w:pPr>
      <w:r w:rsidRPr="00723ECA">
        <w:rPr>
          <w:sz w:val="22"/>
          <w:lang w:val="pt-BR"/>
        </w:rPr>
        <w:t xml:space="preserve">50. </w:t>
      </w:r>
      <w:r w:rsidR="00E61609" w:rsidRPr="00723ECA">
        <w:rPr>
          <w:sz w:val="22"/>
          <w:lang w:val="pt-BR"/>
        </w:rPr>
        <w:t xml:space="preserve">A limpeza </w:t>
      </w:r>
      <w:r w:rsidR="00F40306" w:rsidRPr="00723ECA">
        <w:rPr>
          <w:sz w:val="22"/>
          <w:lang w:val="pt-BR"/>
        </w:rPr>
        <w:t>regular</w:t>
      </w:r>
      <w:r w:rsidR="00E61609" w:rsidRPr="00723ECA">
        <w:rPr>
          <w:sz w:val="22"/>
          <w:lang w:val="pt-BR"/>
        </w:rPr>
        <w:t xml:space="preserve">, o </w:t>
      </w:r>
      <w:r w:rsidRPr="00723ECA">
        <w:rPr>
          <w:sz w:val="22"/>
          <w:lang w:val="pt-BR"/>
        </w:rPr>
        <w:t>esvaziamento de fossas e outras i</w:t>
      </w:r>
      <w:r w:rsidR="008254D7" w:rsidRPr="00723ECA">
        <w:rPr>
          <w:sz w:val="22"/>
          <w:lang w:val="pt-BR"/>
        </w:rPr>
        <w:t>nstala</w:t>
      </w:r>
      <w:r w:rsidR="007B462D">
        <w:rPr>
          <w:sz w:val="22"/>
          <w:lang w:val="pt-BR"/>
        </w:rPr>
        <w:t xml:space="preserve">ções que coletem </w:t>
      </w:r>
      <w:proofErr w:type="gramStart"/>
      <w:r w:rsidR="007B462D">
        <w:rPr>
          <w:sz w:val="22"/>
          <w:lang w:val="pt-BR"/>
        </w:rPr>
        <w:t>excretas humano</w:t>
      </w:r>
      <w:r w:rsidR="008254D7" w:rsidRPr="00723ECA">
        <w:rPr>
          <w:sz w:val="22"/>
          <w:lang w:val="pt-BR"/>
        </w:rPr>
        <w:t>s</w:t>
      </w:r>
      <w:proofErr w:type="gramEnd"/>
      <w:r w:rsidRPr="00723ECA">
        <w:rPr>
          <w:sz w:val="22"/>
          <w:lang w:val="pt-BR"/>
        </w:rPr>
        <w:t xml:space="preserve"> e </w:t>
      </w:r>
      <w:r w:rsidR="008254D7" w:rsidRPr="00723ECA">
        <w:rPr>
          <w:sz w:val="22"/>
          <w:lang w:val="pt-BR"/>
        </w:rPr>
        <w:t>su</w:t>
      </w:r>
      <w:r w:rsidR="00E61609" w:rsidRPr="00723ECA">
        <w:rPr>
          <w:sz w:val="22"/>
          <w:lang w:val="pt-BR"/>
        </w:rPr>
        <w:t xml:space="preserve">a </w:t>
      </w:r>
      <w:r w:rsidRPr="00723ECA">
        <w:rPr>
          <w:sz w:val="22"/>
          <w:lang w:val="pt-BR"/>
        </w:rPr>
        <w:t xml:space="preserve">manutenção também devem ser regulamentados, a fim de garantir a sustentabilidade das instalações sanitárias e o acesso continuado a elas. Em regiões onde as soluções </w:t>
      </w:r>
      <w:r w:rsidR="007B462D" w:rsidRPr="007B462D">
        <w:rPr>
          <w:i/>
          <w:sz w:val="22"/>
          <w:lang w:val="pt-BR"/>
        </w:rPr>
        <w:t>in situ</w:t>
      </w:r>
      <w:r w:rsidR="007B462D">
        <w:rPr>
          <w:sz w:val="22"/>
          <w:lang w:val="pt-BR"/>
        </w:rPr>
        <w:t xml:space="preserve"> </w:t>
      </w:r>
      <w:r w:rsidRPr="00723ECA">
        <w:rPr>
          <w:sz w:val="22"/>
          <w:lang w:val="pt-BR"/>
        </w:rPr>
        <w:t>são utilizadas, a regulamentaç</w:t>
      </w:r>
      <w:r w:rsidR="00E61609" w:rsidRPr="00723ECA">
        <w:rPr>
          <w:sz w:val="22"/>
          <w:lang w:val="pt-BR"/>
        </w:rPr>
        <w:t xml:space="preserve">ão deve estabelecer que fossas e tanques sépticos </w:t>
      </w:r>
      <w:proofErr w:type="gramStart"/>
      <w:r w:rsidR="00E61609" w:rsidRPr="00723ECA">
        <w:rPr>
          <w:sz w:val="22"/>
          <w:lang w:val="pt-BR"/>
        </w:rPr>
        <w:t>sejam</w:t>
      </w:r>
      <w:proofErr w:type="gramEnd"/>
      <w:r w:rsidR="00E61609" w:rsidRPr="00723ECA">
        <w:rPr>
          <w:sz w:val="22"/>
          <w:lang w:val="pt-BR"/>
        </w:rPr>
        <w:t xml:space="preserve"> construídos de forma que seu conteúdo seja adequadamente coletado e disposto em unidades de tratamento de lodo, ao invés de serem lançados no meio ambiente</w:t>
      </w:r>
      <w:r w:rsidR="0003502E" w:rsidRPr="00723ECA">
        <w:rPr>
          <w:rStyle w:val="FootnoteReference"/>
          <w:sz w:val="20"/>
          <w:lang w:val="pt-BR"/>
        </w:rPr>
        <w:footnoteReference w:id="31"/>
      </w:r>
      <w:r w:rsidR="00E61609" w:rsidRPr="00723ECA">
        <w:rPr>
          <w:sz w:val="22"/>
          <w:lang w:val="pt-BR"/>
        </w:rPr>
        <w:t xml:space="preserve">.  </w:t>
      </w:r>
    </w:p>
    <w:p w:rsidR="00A511C7" w:rsidRPr="00723ECA" w:rsidRDefault="008254D7" w:rsidP="00812280">
      <w:pPr>
        <w:pStyle w:val="H23G"/>
        <w:numPr>
          <w:ilvl w:val="0"/>
          <w:numId w:val="14"/>
        </w:numPr>
        <w:ind w:left="1134"/>
        <w:jc w:val="both"/>
        <w:rPr>
          <w:sz w:val="22"/>
          <w:lang w:val="pt-BR"/>
        </w:rPr>
      </w:pPr>
      <w:r w:rsidRPr="00723ECA">
        <w:rPr>
          <w:sz w:val="22"/>
          <w:lang w:val="pt-BR"/>
        </w:rPr>
        <w:t>Acessibilidade econômica</w:t>
      </w:r>
      <w:r w:rsidRPr="00723ECA">
        <w:rPr>
          <w:rStyle w:val="FootnoteReference"/>
          <w:sz w:val="20"/>
          <w:lang w:val="pt-BR"/>
        </w:rPr>
        <w:footnoteReference w:id="32"/>
      </w:r>
    </w:p>
    <w:p w:rsidR="00A511C7" w:rsidRPr="00723ECA" w:rsidRDefault="00A511C7" w:rsidP="00B756E4">
      <w:pPr>
        <w:pStyle w:val="Normali"/>
        <w:numPr>
          <w:ilvl w:val="0"/>
          <w:numId w:val="0"/>
        </w:numPr>
        <w:ind w:left="1134"/>
        <w:rPr>
          <w:sz w:val="22"/>
          <w:lang w:val="pt-BR"/>
        </w:rPr>
      </w:pPr>
      <w:r w:rsidRPr="00723ECA">
        <w:rPr>
          <w:sz w:val="22"/>
          <w:lang w:val="pt-BR"/>
        </w:rPr>
        <w:t xml:space="preserve">51. A regulação deve oferecer uma interpretação contextual e multifacetada de acessibilidade econômica, em linha com a abordagem de direitos humanos. As normas nacionais devem garantir que os serviços de água e esgotamento sanitário, sejam eles </w:t>
      </w:r>
      <w:proofErr w:type="gramStart"/>
      <w:r w:rsidR="008254D7" w:rsidRPr="00723ECA">
        <w:rPr>
          <w:sz w:val="22"/>
          <w:lang w:val="pt-BR"/>
        </w:rPr>
        <w:t xml:space="preserve">prestados </w:t>
      </w:r>
      <w:r w:rsidRPr="00723ECA">
        <w:rPr>
          <w:sz w:val="22"/>
          <w:lang w:val="pt-BR"/>
        </w:rPr>
        <w:t>de forma pública ou privada</w:t>
      </w:r>
      <w:proofErr w:type="gramEnd"/>
      <w:r w:rsidRPr="00723ECA">
        <w:rPr>
          <w:sz w:val="22"/>
          <w:lang w:val="pt-BR"/>
        </w:rPr>
        <w:t>, sejam economicamente acessíveis a todos, inclusive aos mais pobres, e que as tarifas desses serviços não comprometam ou ameacem a efetivação de outros direitos.</w:t>
      </w:r>
    </w:p>
    <w:p w:rsidR="00A511C7" w:rsidRPr="00723ECA" w:rsidRDefault="00A511C7" w:rsidP="00B756E4">
      <w:pPr>
        <w:pStyle w:val="Normali"/>
        <w:numPr>
          <w:ilvl w:val="0"/>
          <w:numId w:val="0"/>
        </w:numPr>
        <w:ind w:left="1134"/>
        <w:rPr>
          <w:sz w:val="22"/>
          <w:lang w:val="pt-BR"/>
        </w:rPr>
      </w:pPr>
      <w:r w:rsidRPr="00723ECA">
        <w:rPr>
          <w:sz w:val="22"/>
          <w:lang w:val="pt-BR"/>
        </w:rPr>
        <w:t>52. Embora disposições sobre capacidade de pagamento sejam basta</w:t>
      </w:r>
      <w:r w:rsidR="008254D7" w:rsidRPr="00723ECA">
        <w:rPr>
          <w:sz w:val="22"/>
          <w:lang w:val="pt-BR"/>
        </w:rPr>
        <w:t>nte comuns nas leis referentes à</w:t>
      </w:r>
      <w:r w:rsidRPr="00723ECA">
        <w:rPr>
          <w:sz w:val="22"/>
          <w:lang w:val="pt-BR"/>
        </w:rPr>
        <w:t xml:space="preserve"> água e </w:t>
      </w:r>
      <w:r w:rsidR="008254D7" w:rsidRPr="00723ECA">
        <w:rPr>
          <w:sz w:val="22"/>
          <w:lang w:val="pt-BR"/>
        </w:rPr>
        <w:t xml:space="preserve">ao </w:t>
      </w:r>
      <w:r w:rsidRPr="00723ECA">
        <w:rPr>
          <w:sz w:val="22"/>
          <w:lang w:val="pt-BR"/>
        </w:rPr>
        <w:t>esgotamento sanitário, o desafio é traduzir disposições gerais em normas concretas de acessibilidade econômica (ver A/HRC/30/39, parágrafo 26). A Análise e Avaliação Global de Saneamento e Água Potável 2016-2017</w:t>
      </w:r>
      <w:r w:rsidRPr="00723ECA">
        <w:rPr>
          <w:rStyle w:val="FootnoteReference"/>
          <w:sz w:val="20"/>
          <w:lang w:val="pt-BR"/>
        </w:rPr>
        <w:footnoteReference w:id="33"/>
      </w:r>
      <w:r w:rsidRPr="00723ECA">
        <w:rPr>
          <w:sz w:val="22"/>
          <w:lang w:val="pt-BR"/>
        </w:rPr>
        <w:t xml:space="preserve"> indica que 68% dos países participantes da pesquisa possuem uma autoridade reguladora que é responsável por estabelecer tarifas urbanas para água potável ou esgotamento sanitário ou ambos. Para garantir a acessibilidade aos serviços, </w:t>
      </w:r>
      <w:proofErr w:type="gramStart"/>
      <w:r w:rsidRPr="00723ECA">
        <w:rPr>
          <w:sz w:val="22"/>
          <w:lang w:val="pt-BR"/>
        </w:rPr>
        <w:t>os marcos</w:t>
      </w:r>
      <w:proofErr w:type="gramEnd"/>
      <w:r w:rsidRPr="00723ECA">
        <w:rPr>
          <w:sz w:val="22"/>
          <w:lang w:val="pt-BR"/>
        </w:rPr>
        <w:t xml:space="preserve"> regulatórios devem capturar as necessidades específicas dos vários grupos que vivem em situações vulneráveis e oferecer soluções diferenciadas para as duas principais despesas incorridas pelos usuários: as taxas de conexões individuais</w:t>
      </w:r>
      <w:r w:rsidR="007B462D">
        <w:rPr>
          <w:sz w:val="22"/>
          <w:lang w:val="pt-BR"/>
        </w:rPr>
        <w:t>,</w:t>
      </w:r>
      <w:r w:rsidRPr="00723ECA">
        <w:rPr>
          <w:sz w:val="22"/>
          <w:lang w:val="pt-BR"/>
        </w:rPr>
        <w:t xml:space="preserve"> que contribuem para os custos de construção</w:t>
      </w:r>
      <w:r w:rsidR="007B462D">
        <w:rPr>
          <w:sz w:val="22"/>
          <w:lang w:val="pt-BR"/>
        </w:rPr>
        <w:t>,</w:t>
      </w:r>
      <w:r w:rsidRPr="00723ECA">
        <w:rPr>
          <w:sz w:val="22"/>
          <w:lang w:val="pt-BR"/>
        </w:rPr>
        <w:t xml:space="preserve"> e os encargos recorrentes (tarifas para operação, manutenção, renovação de ativos de capital e quaisquer custos de financiamento de capital para novos ativos fixos). Para esse fim, os </w:t>
      </w:r>
      <w:r w:rsidR="003E2643" w:rsidRPr="00723ECA">
        <w:rPr>
          <w:sz w:val="22"/>
          <w:lang w:val="pt-BR"/>
        </w:rPr>
        <w:t xml:space="preserve">reguladores </w:t>
      </w:r>
      <w:r w:rsidRPr="00723ECA">
        <w:rPr>
          <w:sz w:val="22"/>
          <w:lang w:val="pt-BR"/>
        </w:rPr>
        <w:t xml:space="preserve">devem promover o uso de medidas adequadas, incluindo a prestação de serviços gratuitos ou de baixo custo para famílias com muito baixa ou nenhuma renda, complementações de renda, tarifas sociais e subsídios direcionados. É essencial que a sustentabilidade financeira não se torne prioridade na fixação das tarifas em detrimento da acessibilidade econômica, mas que ambos os elementos sejam conciliados. Analogamente, é essencial que o </w:t>
      </w:r>
      <w:r w:rsidRPr="00723ECA">
        <w:rPr>
          <w:sz w:val="22"/>
          <w:lang w:val="pt-BR"/>
        </w:rPr>
        <w:lastRenderedPageBreak/>
        <w:t>investimento na expansão de redes de distribuição para áreas de baixa renda ainda não atendidas não seja adiado na tentativa de minimizar o desafio da acessibilidade.</w:t>
      </w:r>
    </w:p>
    <w:p w:rsidR="00A511C7" w:rsidRPr="00723ECA" w:rsidRDefault="00A511C7" w:rsidP="00B756E4">
      <w:pPr>
        <w:pStyle w:val="Normali"/>
        <w:numPr>
          <w:ilvl w:val="0"/>
          <w:numId w:val="0"/>
        </w:numPr>
        <w:ind w:left="1134"/>
        <w:rPr>
          <w:sz w:val="22"/>
          <w:lang w:val="pt-BR"/>
        </w:rPr>
      </w:pPr>
      <w:r w:rsidRPr="00723ECA">
        <w:rPr>
          <w:sz w:val="22"/>
          <w:lang w:val="pt-BR"/>
        </w:rPr>
        <w:t xml:space="preserve">53. </w:t>
      </w:r>
      <w:r w:rsidR="003E2643" w:rsidRPr="00723ECA">
        <w:rPr>
          <w:sz w:val="22"/>
          <w:lang w:val="pt-BR"/>
        </w:rPr>
        <w:t>A questão das desconexões é i</w:t>
      </w:r>
      <w:r w:rsidRPr="00723ECA">
        <w:rPr>
          <w:sz w:val="22"/>
          <w:lang w:val="pt-BR"/>
        </w:rPr>
        <w:t xml:space="preserve">nextricavelmente ligada à questão de </w:t>
      </w:r>
      <w:r w:rsidR="003E2643" w:rsidRPr="00723ECA">
        <w:rPr>
          <w:sz w:val="22"/>
          <w:lang w:val="pt-BR"/>
        </w:rPr>
        <w:t xml:space="preserve">se </w:t>
      </w:r>
      <w:r w:rsidRPr="00723ECA">
        <w:rPr>
          <w:sz w:val="22"/>
          <w:lang w:val="pt-BR"/>
        </w:rPr>
        <w:t>estabelecer</w:t>
      </w:r>
      <w:r w:rsidR="003E2643" w:rsidRPr="00723ECA">
        <w:rPr>
          <w:sz w:val="22"/>
          <w:lang w:val="pt-BR"/>
        </w:rPr>
        <w:t>em</w:t>
      </w:r>
      <w:r w:rsidRPr="00723ECA">
        <w:rPr>
          <w:sz w:val="22"/>
          <w:lang w:val="pt-BR"/>
        </w:rPr>
        <w:t xml:space="preserve"> normas de acessibilidade econômica para serviços d</w:t>
      </w:r>
      <w:r w:rsidR="003E2643" w:rsidRPr="00723ECA">
        <w:rPr>
          <w:sz w:val="22"/>
          <w:lang w:val="pt-BR"/>
        </w:rPr>
        <w:t>e água e esgotamento sanitário</w:t>
      </w:r>
      <w:r w:rsidRPr="00723ECA">
        <w:rPr>
          <w:sz w:val="22"/>
          <w:lang w:val="pt-BR"/>
        </w:rPr>
        <w:t xml:space="preserve">. </w:t>
      </w:r>
      <w:proofErr w:type="gramStart"/>
      <w:r w:rsidRPr="00723ECA">
        <w:rPr>
          <w:sz w:val="22"/>
          <w:lang w:val="pt-BR"/>
        </w:rPr>
        <w:t>Os marcos regulatórios devem estabelecer</w:t>
      </w:r>
      <w:proofErr w:type="gramEnd"/>
      <w:r w:rsidRPr="00723ECA">
        <w:rPr>
          <w:sz w:val="22"/>
          <w:lang w:val="pt-BR"/>
        </w:rPr>
        <w:t xml:space="preserve"> uma proibição absoluta de desconexões em consequência de incapacidade de pagamento.</w:t>
      </w:r>
    </w:p>
    <w:p w:rsidR="00A511C7" w:rsidRPr="00723ECA" w:rsidRDefault="00A511C7" w:rsidP="002523E5">
      <w:pPr>
        <w:pStyle w:val="H23G"/>
        <w:numPr>
          <w:ilvl w:val="0"/>
          <w:numId w:val="14"/>
        </w:numPr>
        <w:ind w:left="1134"/>
        <w:rPr>
          <w:sz w:val="22"/>
          <w:lang w:val="en-US"/>
        </w:rPr>
      </w:pPr>
      <w:proofErr w:type="spellStart"/>
      <w:r w:rsidRPr="00723ECA">
        <w:rPr>
          <w:sz w:val="22"/>
          <w:lang w:val="en-US"/>
        </w:rPr>
        <w:t>Aceitabilidade</w:t>
      </w:r>
      <w:proofErr w:type="spellEnd"/>
      <w:r w:rsidRPr="00723ECA">
        <w:rPr>
          <w:sz w:val="22"/>
          <w:lang w:val="en-US"/>
        </w:rPr>
        <w:t xml:space="preserve">, </w:t>
      </w:r>
      <w:proofErr w:type="spellStart"/>
      <w:r w:rsidRPr="00723ECA">
        <w:rPr>
          <w:sz w:val="22"/>
          <w:lang w:val="en-US"/>
        </w:rPr>
        <w:t>privacidade</w:t>
      </w:r>
      <w:proofErr w:type="spellEnd"/>
      <w:r w:rsidRPr="00723ECA">
        <w:rPr>
          <w:sz w:val="22"/>
          <w:lang w:val="en-US"/>
        </w:rPr>
        <w:t xml:space="preserve"> e </w:t>
      </w:r>
      <w:proofErr w:type="spellStart"/>
      <w:r w:rsidRPr="00723ECA">
        <w:rPr>
          <w:sz w:val="22"/>
          <w:lang w:val="en-US"/>
        </w:rPr>
        <w:t>dignidade</w:t>
      </w:r>
      <w:proofErr w:type="spellEnd"/>
    </w:p>
    <w:p w:rsidR="00A511C7" w:rsidRPr="00723ECA" w:rsidRDefault="00A511C7" w:rsidP="00B756E4">
      <w:pPr>
        <w:pStyle w:val="Normali"/>
        <w:numPr>
          <w:ilvl w:val="0"/>
          <w:numId w:val="0"/>
        </w:numPr>
        <w:ind w:left="1134"/>
        <w:rPr>
          <w:sz w:val="22"/>
          <w:lang w:val="pt-BR"/>
        </w:rPr>
      </w:pPr>
      <w:r w:rsidRPr="00723ECA">
        <w:rPr>
          <w:sz w:val="22"/>
          <w:lang w:val="pt-BR"/>
        </w:rPr>
        <w:t>54. O arcabouço regulatório deve prover um significado contextual da aceitabilidade social e cultural das instalações de sistemas de abastecimento de água e esgotamento sanitário. Isso não pode ser feito de forma significativa sem a participação genuína daqueles que usam os serviços. Embora a água deva ser de uma cor, odor e sabor aceitáveis para cada uso pessoal ou doméstico</w:t>
      </w:r>
      <w:r w:rsidRPr="00723ECA">
        <w:rPr>
          <w:rStyle w:val="FootnoteReference"/>
          <w:sz w:val="20"/>
          <w:lang w:val="pt-BR"/>
        </w:rPr>
        <w:footnoteReference w:id="34"/>
      </w:r>
      <w:r w:rsidRPr="00723ECA">
        <w:rPr>
          <w:sz w:val="22"/>
          <w:lang w:val="pt-BR"/>
        </w:rPr>
        <w:t>, esses são parâmetros altamente subjetivos, e as percepções dessas características dependem da cultura, educação e experiência locais</w:t>
      </w:r>
      <w:r w:rsidRPr="00723ECA">
        <w:rPr>
          <w:rStyle w:val="FootnoteReference"/>
          <w:sz w:val="20"/>
          <w:lang w:val="pt-BR"/>
        </w:rPr>
        <w:footnoteReference w:id="35"/>
      </w:r>
      <w:r w:rsidRPr="00723ECA">
        <w:rPr>
          <w:sz w:val="22"/>
          <w:lang w:val="pt-BR"/>
        </w:rPr>
        <w:t xml:space="preserve">. A higiene pessoal é uma questão altamente sensível às diferentes regiões e culturas, e as diferentes perspectivas sobre quais soluções de saneamento são aceitáveis devem ser levadas em consideração ao projetar, posicionar e fixar </w:t>
      </w:r>
      <w:r w:rsidR="003E2643" w:rsidRPr="00723ECA">
        <w:rPr>
          <w:sz w:val="22"/>
          <w:lang w:val="pt-BR"/>
        </w:rPr>
        <w:t xml:space="preserve">as </w:t>
      </w:r>
      <w:r w:rsidRPr="00723ECA">
        <w:rPr>
          <w:sz w:val="22"/>
          <w:lang w:val="pt-BR"/>
        </w:rPr>
        <w:t xml:space="preserve">condições para o uso de instalações sanitárias (ver A/70/203, p. 13). As normas regulatórias devem estipular que as instalações precisam permitir práticas de higiene aceitáveis em culturas específicas, como a limpeza anal e genital e a higiene menstrual (ver A/HRC/12/24, parágrafo 80). A aceitabilidade geralmente requer instalações separadas para mulheres e homens em espaços públicos, e para meninas e meninos nas escolas, o que deve ser </w:t>
      </w:r>
      <w:proofErr w:type="gramStart"/>
      <w:r w:rsidRPr="00723ECA">
        <w:rPr>
          <w:sz w:val="22"/>
          <w:lang w:val="pt-BR"/>
        </w:rPr>
        <w:t xml:space="preserve">refletido </w:t>
      </w:r>
      <w:r w:rsidR="003E2643" w:rsidRPr="00723ECA">
        <w:rPr>
          <w:sz w:val="22"/>
          <w:lang w:val="pt-BR"/>
        </w:rPr>
        <w:t>nos marcos regulatórios</w:t>
      </w:r>
      <w:proofErr w:type="gramEnd"/>
      <w:r w:rsidRPr="00723ECA">
        <w:rPr>
          <w:sz w:val="22"/>
          <w:lang w:val="pt-BR"/>
        </w:rPr>
        <w:t>. A regulação deve desempenhar um papel essencial em assegurar que os sanitários sejam construídos de forma a salvaguardar a privacidade e a dignidade.</w:t>
      </w:r>
    </w:p>
    <w:p w:rsidR="00A511C7" w:rsidRPr="00723ECA" w:rsidRDefault="00A511C7" w:rsidP="002523E5">
      <w:pPr>
        <w:pStyle w:val="H23G"/>
        <w:numPr>
          <w:ilvl w:val="0"/>
          <w:numId w:val="14"/>
        </w:numPr>
        <w:ind w:left="1134"/>
        <w:rPr>
          <w:sz w:val="22"/>
          <w:lang w:val="pt-BR"/>
        </w:rPr>
      </w:pPr>
      <w:r w:rsidRPr="00723ECA">
        <w:rPr>
          <w:sz w:val="22"/>
          <w:lang w:val="pt-BR"/>
        </w:rPr>
        <w:t>Participação e acesso à informação</w:t>
      </w:r>
    </w:p>
    <w:p w:rsidR="00A511C7" w:rsidRPr="00723ECA" w:rsidRDefault="00A511C7" w:rsidP="00B756E4">
      <w:pPr>
        <w:pStyle w:val="Normali"/>
        <w:numPr>
          <w:ilvl w:val="0"/>
          <w:numId w:val="0"/>
        </w:numPr>
        <w:ind w:left="1134"/>
        <w:rPr>
          <w:sz w:val="22"/>
          <w:lang w:val="pt-BR"/>
        </w:rPr>
      </w:pPr>
      <w:r w:rsidRPr="00723ECA">
        <w:rPr>
          <w:sz w:val="22"/>
          <w:lang w:val="pt-BR"/>
        </w:rPr>
        <w:t>55. Para cumprir as normas de direitos humanos, os</w:t>
      </w:r>
      <w:r w:rsidR="007B462D">
        <w:rPr>
          <w:sz w:val="22"/>
          <w:lang w:val="pt-BR"/>
        </w:rPr>
        <w:t xml:space="preserve"> processos de tomada de decisão regulatória</w:t>
      </w:r>
      <w:r w:rsidRPr="00723ECA">
        <w:rPr>
          <w:sz w:val="22"/>
          <w:lang w:val="pt-BR"/>
        </w:rPr>
        <w:t xml:space="preserve"> devem assegurar genuína participação do público nas d</w:t>
      </w:r>
      <w:r w:rsidR="003E2643" w:rsidRPr="00723ECA">
        <w:rPr>
          <w:sz w:val="22"/>
          <w:lang w:val="pt-BR"/>
        </w:rPr>
        <w:t xml:space="preserve">ecisões-chave. Todo indivíduo ou </w:t>
      </w:r>
      <w:r w:rsidRPr="00723ECA">
        <w:rPr>
          <w:sz w:val="22"/>
          <w:lang w:val="pt-BR"/>
        </w:rPr>
        <w:t xml:space="preserve">grupo tem o </w:t>
      </w:r>
      <w:r w:rsidR="0066661A">
        <w:rPr>
          <w:sz w:val="22"/>
          <w:lang w:val="pt-BR"/>
        </w:rPr>
        <w:t>direito de participar ativa</w:t>
      </w:r>
      <w:r w:rsidRPr="00723ECA">
        <w:rPr>
          <w:sz w:val="22"/>
          <w:lang w:val="pt-BR"/>
        </w:rPr>
        <w:t>, livremente e de forma significativa no processo de definição de</w:t>
      </w:r>
      <w:r w:rsidR="00645526" w:rsidRPr="00723ECA">
        <w:rPr>
          <w:sz w:val="22"/>
          <w:lang w:val="pt-BR"/>
        </w:rPr>
        <w:t xml:space="preserve"> regras</w:t>
      </w:r>
      <w:r w:rsidR="003E2643" w:rsidRPr="00723ECA">
        <w:rPr>
          <w:sz w:val="22"/>
          <w:lang w:val="pt-BR"/>
        </w:rPr>
        <w:t xml:space="preserve"> </w:t>
      </w:r>
      <w:r w:rsidRPr="00723ECA">
        <w:rPr>
          <w:sz w:val="22"/>
          <w:lang w:val="pt-BR"/>
        </w:rPr>
        <w:t xml:space="preserve">de serviço que possam afetar o gozo dos direitos à água e ao esgotamento sanitário. Com frequência serão necessárias medidas afirmativas para garantir que todas as pessoas, incluindo mulheres e populações em situações vulneráveis, tenham uma oportunidade real de participar e influenciar a elaboração de normas regulatórias. O Relator Especial adverte que as tentativas de garantir a participação das mulheres em processos regulatórios podem não corresponder às normas usuais locais e sua </w:t>
      </w:r>
      <w:proofErr w:type="gramStart"/>
      <w:r w:rsidRPr="00723ECA">
        <w:rPr>
          <w:sz w:val="22"/>
          <w:lang w:val="pt-BR"/>
        </w:rPr>
        <w:t>implementação</w:t>
      </w:r>
      <w:proofErr w:type="gramEnd"/>
      <w:r w:rsidRPr="00723ECA">
        <w:rPr>
          <w:sz w:val="22"/>
          <w:lang w:val="pt-BR"/>
        </w:rPr>
        <w:t xml:space="preserve"> subsequentemente falha (ver A/HRC/33/49, parágrafos 56 e 59). Por conseguinte, devem ser </w:t>
      </w:r>
      <w:proofErr w:type="gramStart"/>
      <w:r w:rsidRPr="00723ECA">
        <w:rPr>
          <w:sz w:val="22"/>
          <w:lang w:val="pt-BR"/>
        </w:rPr>
        <w:t>implementados</w:t>
      </w:r>
      <w:proofErr w:type="gramEnd"/>
      <w:r w:rsidRPr="00723ECA">
        <w:rPr>
          <w:sz w:val="22"/>
          <w:lang w:val="pt-BR"/>
        </w:rPr>
        <w:t xml:space="preserve"> mecanismos para envolver as mulheres na </w:t>
      </w:r>
      <w:r w:rsidRPr="00723ECA">
        <w:rPr>
          <w:sz w:val="22"/>
          <w:lang w:val="pt-BR"/>
        </w:rPr>
        <w:lastRenderedPageBreak/>
        <w:t>formulação de normas sobre o abastecimento de água e o esgotamento sanitário e para eliminar barreiras à sua participação.</w:t>
      </w:r>
    </w:p>
    <w:p w:rsidR="00A511C7" w:rsidRPr="00723ECA" w:rsidRDefault="00A511C7" w:rsidP="00B756E4">
      <w:pPr>
        <w:pStyle w:val="Normali"/>
        <w:numPr>
          <w:ilvl w:val="0"/>
          <w:numId w:val="0"/>
        </w:numPr>
        <w:ind w:left="1134"/>
        <w:rPr>
          <w:sz w:val="22"/>
          <w:lang w:val="pt-BR"/>
        </w:rPr>
      </w:pPr>
      <w:r w:rsidRPr="00723ECA">
        <w:rPr>
          <w:sz w:val="22"/>
          <w:lang w:val="pt-BR"/>
        </w:rPr>
        <w:t>56. As normas regulatórias devem garantir que as decisões sobre o tipo, a localização e as melhorias dos serviços sejam participativas e inclusivas. Nesse processo, a inclusão é crucial, de modo que os serviços sejam projetados para responder às necessidades da população, inclusive das pessoas em situação vulnerável.</w:t>
      </w:r>
    </w:p>
    <w:p w:rsidR="00A511C7" w:rsidRPr="00723ECA" w:rsidRDefault="0066661A" w:rsidP="00B756E4">
      <w:pPr>
        <w:pStyle w:val="Normali"/>
        <w:numPr>
          <w:ilvl w:val="0"/>
          <w:numId w:val="0"/>
        </w:numPr>
        <w:ind w:left="1134"/>
        <w:rPr>
          <w:sz w:val="22"/>
          <w:lang w:val="pt-BR"/>
        </w:rPr>
      </w:pPr>
      <w:r>
        <w:rPr>
          <w:sz w:val="22"/>
          <w:lang w:val="pt-BR"/>
        </w:rPr>
        <w:t>57. O acesso à informação e a</w:t>
      </w:r>
      <w:r w:rsidR="00A511C7" w:rsidRPr="00723ECA">
        <w:rPr>
          <w:sz w:val="22"/>
          <w:lang w:val="pt-BR"/>
        </w:rPr>
        <w:t xml:space="preserve"> transparência são essenciais para que a participação seja significativa. Os atores envolvidos na regulação devem possibilitar uma cultura de transparência, proporcionando acesso a informações objetivas, compreensíveis, claras e consistentes e que sejam disponibilizadas a todos em diferentes formatos e na linguagem apropriada. O Relator Especial observou que, em El Salvador, as decisões sobre as medidas de racionamento da água não são sistematicamente divulgadas e parece não haver uma regra padrão para informar os usuários sobre tais medidas (ver A/HRC/33/49/</w:t>
      </w:r>
      <w:proofErr w:type="gramStart"/>
      <w:r w:rsidR="00A511C7" w:rsidRPr="00723ECA">
        <w:rPr>
          <w:sz w:val="22"/>
          <w:lang w:val="pt-BR"/>
        </w:rPr>
        <w:t>Add.</w:t>
      </w:r>
      <w:proofErr w:type="gramEnd"/>
      <w:r w:rsidR="00A511C7" w:rsidRPr="00723ECA">
        <w:rPr>
          <w:sz w:val="22"/>
          <w:lang w:val="pt-BR"/>
        </w:rPr>
        <w:t xml:space="preserve">1, parágrafo 32). Da mesma forma, os resultados de testes de qualidade da água para consumo humano não são tornados públicos nem enviados aos usuários. A </w:t>
      </w:r>
      <w:r w:rsidR="00D644AD" w:rsidRPr="00723ECA">
        <w:rPr>
          <w:sz w:val="22"/>
          <w:lang w:val="pt-BR"/>
        </w:rPr>
        <w:t>normatiz</w:t>
      </w:r>
      <w:r w:rsidR="00A511C7" w:rsidRPr="00723ECA">
        <w:rPr>
          <w:sz w:val="22"/>
          <w:lang w:val="pt-BR"/>
        </w:rPr>
        <w:t xml:space="preserve">ação </w:t>
      </w:r>
      <w:r w:rsidR="00D644AD" w:rsidRPr="00723ECA">
        <w:rPr>
          <w:sz w:val="22"/>
          <w:lang w:val="pt-BR"/>
        </w:rPr>
        <w:t xml:space="preserve">sobre </w:t>
      </w:r>
      <w:r w:rsidR="007B462D">
        <w:rPr>
          <w:sz w:val="22"/>
          <w:lang w:val="pt-BR"/>
        </w:rPr>
        <w:t>a forma com</w:t>
      </w:r>
      <w:r w:rsidR="00A511C7" w:rsidRPr="00723ECA">
        <w:rPr>
          <w:sz w:val="22"/>
          <w:lang w:val="pt-BR"/>
        </w:rPr>
        <w:t xml:space="preserve"> que as informações devem ser compartilhadas é, portanto, essencial.</w:t>
      </w:r>
    </w:p>
    <w:p w:rsidR="00A511C7" w:rsidRPr="00723ECA" w:rsidRDefault="00A511C7" w:rsidP="002523E5">
      <w:pPr>
        <w:pStyle w:val="H23G"/>
        <w:numPr>
          <w:ilvl w:val="0"/>
          <w:numId w:val="14"/>
        </w:numPr>
        <w:ind w:left="1134"/>
        <w:rPr>
          <w:sz w:val="22"/>
          <w:lang w:val="pt-BR"/>
        </w:rPr>
      </w:pPr>
      <w:r w:rsidRPr="00723ECA">
        <w:rPr>
          <w:sz w:val="22"/>
          <w:lang w:val="pt-BR"/>
        </w:rPr>
        <w:t>Equidade e não discriminação</w:t>
      </w:r>
    </w:p>
    <w:p w:rsidR="00A511C7" w:rsidRPr="00723ECA" w:rsidRDefault="00A511C7" w:rsidP="00B756E4">
      <w:pPr>
        <w:pStyle w:val="Normali"/>
        <w:numPr>
          <w:ilvl w:val="0"/>
          <w:numId w:val="0"/>
        </w:numPr>
        <w:ind w:left="1134"/>
        <w:rPr>
          <w:sz w:val="22"/>
          <w:lang w:val="pt-BR"/>
        </w:rPr>
      </w:pPr>
      <w:r w:rsidRPr="00723ECA">
        <w:rPr>
          <w:sz w:val="22"/>
          <w:lang w:val="pt-BR"/>
        </w:rPr>
        <w:t xml:space="preserve">58. Um marco regulatório deve contemplar medidas </w:t>
      </w:r>
      <w:r w:rsidR="00D644AD" w:rsidRPr="00723ECA">
        <w:rPr>
          <w:sz w:val="22"/>
          <w:lang w:val="pt-BR"/>
        </w:rPr>
        <w:t xml:space="preserve">ou </w:t>
      </w:r>
      <w:r w:rsidRPr="00723ECA">
        <w:rPr>
          <w:sz w:val="22"/>
          <w:lang w:val="pt-BR"/>
        </w:rPr>
        <w:t xml:space="preserve">ações afirmativas que assegurem a efetivação progressiva do direito humano à água e ao esgotamento sanitário para todos, de forma não discriminatória, ao mesmo tempo em que se eliminam as desigualdades no acesso, inclusive para indivíduos pertencentes a grupos de risco e a grupos que são marginalizados com base em raça, gênero, idade, deficiência, etnia, cultura, religião, procedência nacional ou social ou qualquer outro motivo. Tais medidas devem ser direcionadas a desafios específicos, incluindo: (a) priorização da expansão da cobertura dos serviços de água e esgotamento sanitário </w:t>
      </w:r>
      <w:r w:rsidR="00D644AD" w:rsidRPr="00723ECA">
        <w:rPr>
          <w:sz w:val="22"/>
          <w:lang w:val="pt-BR"/>
        </w:rPr>
        <w:t>par</w:t>
      </w:r>
      <w:r w:rsidRPr="00723ECA">
        <w:rPr>
          <w:sz w:val="22"/>
          <w:lang w:val="pt-BR"/>
        </w:rPr>
        <w:t>a áreas rurais e áreas urbanas desfavorecidas, levando em consideração as necessidades específicas de mulheres e crianças; (b) a negação do direito à água e ao esgotamento sanitário para as pessoas que vivem em assentamentos informais, com base em sua habitação ou situação fundiária; e (c) a falta de acessibilidade econômica</w:t>
      </w:r>
      <w:proofErr w:type="gramStart"/>
      <w:r w:rsidRPr="00723ECA">
        <w:rPr>
          <w:sz w:val="22"/>
          <w:lang w:val="pt-BR"/>
        </w:rPr>
        <w:t xml:space="preserve"> </w:t>
      </w:r>
      <w:r w:rsidR="00D644AD" w:rsidRPr="00723ECA">
        <w:rPr>
          <w:sz w:val="22"/>
          <w:lang w:val="pt-BR"/>
        </w:rPr>
        <w:t xml:space="preserve"> </w:t>
      </w:r>
      <w:proofErr w:type="gramEnd"/>
      <w:r w:rsidR="00A31598" w:rsidRPr="00723ECA">
        <w:rPr>
          <w:sz w:val="22"/>
          <w:lang w:val="pt-BR"/>
        </w:rPr>
        <w:t>a</w:t>
      </w:r>
      <w:r w:rsidRPr="00723ECA">
        <w:rPr>
          <w:sz w:val="22"/>
          <w:lang w:val="pt-BR"/>
        </w:rPr>
        <w:t>os serviços p</w:t>
      </w:r>
      <w:r w:rsidR="00A31598" w:rsidRPr="00723ECA">
        <w:rPr>
          <w:sz w:val="22"/>
          <w:lang w:val="pt-BR"/>
        </w:rPr>
        <w:t>elos</w:t>
      </w:r>
      <w:r w:rsidRPr="00723ECA">
        <w:rPr>
          <w:sz w:val="22"/>
          <w:lang w:val="pt-BR"/>
        </w:rPr>
        <w:t xml:space="preserve"> mais pobres.</w:t>
      </w:r>
    </w:p>
    <w:p w:rsidR="00A511C7" w:rsidRPr="00723ECA" w:rsidRDefault="00A511C7" w:rsidP="002523E5">
      <w:pPr>
        <w:pStyle w:val="H23G"/>
        <w:numPr>
          <w:ilvl w:val="0"/>
          <w:numId w:val="14"/>
        </w:numPr>
        <w:ind w:left="1134"/>
        <w:rPr>
          <w:sz w:val="22"/>
          <w:lang w:val="en-US"/>
        </w:rPr>
      </w:pPr>
      <w:proofErr w:type="spellStart"/>
      <w:r w:rsidRPr="00723ECA">
        <w:rPr>
          <w:sz w:val="22"/>
          <w:lang w:val="en-US"/>
        </w:rPr>
        <w:t>Sustentabilidade</w:t>
      </w:r>
      <w:proofErr w:type="spellEnd"/>
    </w:p>
    <w:p w:rsidR="00A511C7" w:rsidRPr="00723ECA" w:rsidRDefault="00A511C7" w:rsidP="00B756E4">
      <w:pPr>
        <w:pStyle w:val="Normali"/>
        <w:numPr>
          <w:ilvl w:val="0"/>
          <w:numId w:val="0"/>
        </w:numPr>
        <w:ind w:left="1134"/>
        <w:rPr>
          <w:sz w:val="22"/>
          <w:lang w:val="pt-BR"/>
        </w:rPr>
      </w:pPr>
      <w:r w:rsidRPr="00723ECA">
        <w:rPr>
          <w:sz w:val="22"/>
          <w:lang w:val="pt-BR"/>
        </w:rPr>
        <w:t>59. Ao estabelecer pa</w:t>
      </w:r>
      <w:r w:rsidR="00D644AD" w:rsidRPr="00723ECA">
        <w:rPr>
          <w:sz w:val="22"/>
          <w:lang w:val="pt-BR"/>
        </w:rPr>
        <w:t>râmetros</w:t>
      </w:r>
      <w:r w:rsidRPr="00723ECA">
        <w:rPr>
          <w:sz w:val="22"/>
          <w:lang w:val="pt-BR"/>
        </w:rPr>
        <w:t xml:space="preserve">, a regulação deve visar </w:t>
      </w:r>
      <w:r w:rsidR="00D644AD" w:rsidRPr="00723ECA">
        <w:rPr>
          <w:sz w:val="22"/>
          <w:lang w:val="pt-BR"/>
        </w:rPr>
        <w:t>a</w:t>
      </w:r>
      <w:r w:rsidRPr="00723ECA">
        <w:rPr>
          <w:sz w:val="22"/>
          <w:lang w:val="pt-BR"/>
        </w:rPr>
        <w:t>o alcance da sustentabilidade econômica, ambiental e social da prestação de serviços. A regulação deve refletir a obrigação d</w:t>
      </w:r>
      <w:r w:rsidR="000F5B2E">
        <w:rPr>
          <w:sz w:val="22"/>
          <w:lang w:val="pt-BR"/>
        </w:rPr>
        <w:t xml:space="preserve">e </w:t>
      </w:r>
      <w:r w:rsidRPr="00723ECA">
        <w:rPr>
          <w:sz w:val="22"/>
          <w:lang w:val="pt-BR"/>
        </w:rPr>
        <w:t>o Estado garantir os direitos à água e ao esgotamento sanitário de forma sustentável e sem discriminação, tanto para as gerações atuais como para as futuras</w:t>
      </w:r>
      <w:r w:rsidRPr="00723ECA">
        <w:rPr>
          <w:rStyle w:val="FootnoteReference"/>
          <w:sz w:val="20"/>
          <w:lang w:val="pt-BR"/>
        </w:rPr>
        <w:footnoteReference w:id="36"/>
      </w:r>
      <w:r w:rsidRPr="00723ECA">
        <w:rPr>
          <w:sz w:val="22"/>
          <w:lang w:val="pt-BR"/>
        </w:rPr>
        <w:t xml:space="preserve">. Isso significa que os serviços de hoje não devem limitar ou afetar negativamente o acesso das gerações futuras aos mesmos serviços. Para esse fim, ao desenvolver um marco regulatório, </w:t>
      </w:r>
      <w:r w:rsidRPr="00723ECA">
        <w:rPr>
          <w:sz w:val="22"/>
          <w:lang w:val="pt-BR"/>
        </w:rPr>
        <w:lastRenderedPageBreak/>
        <w:t xml:space="preserve">os Estados devem assegurar uma abordagem regulatória integrada para os serviços, incluindo tanto a regulamentação do setor como um todo quanto </w:t>
      </w:r>
      <w:proofErr w:type="gramStart"/>
      <w:r w:rsidRPr="00723ECA">
        <w:rPr>
          <w:sz w:val="22"/>
          <w:lang w:val="pt-BR"/>
        </w:rPr>
        <w:t>a</w:t>
      </w:r>
      <w:proofErr w:type="gramEnd"/>
      <w:r w:rsidRPr="00723ECA">
        <w:rPr>
          <w:sz w:val="22"/>
          <w:lang w:val="pt-BR"/>
        </w:rPr>
        <w:t xml:space="preserve"> regulação de cada prestador de serviços individualmente</w:t>
      </w:r>
      <w:r w:rsidRPr="00723ECA">
        <w:rPr>
          <w:rStyle w:val="FootnoteReference"/>
          <w:sz w:val="20"/>
          <w:lang w:val="pt-BR"/>
        </w:rPr>
        <w:footnoteReference w:id="37"/>
      </w:r>
      <w:r w:rsidRPr="00723ECA">
        <w:rPr>
          <w:sz w:val="22"/>
          <w:lang w:val="pt-BR"/>
        </w:rPr>
        <w:t xml:space="preserve">. A regulação também tem um papel </w:t>
      </w:r>
      <w:r w:rsidR="00D644AD" w:rsidRPr="00723ECA">
        <w:rPr>
          <w:sz w:val="22"/>
          <w:lang w:val="pt-BR"/>
        </w:rPr>
        <w:t xml:space="preserve">importante na contribuição </w:t>
      </w:r>
      <w:r w:rsidRPr="00723ECA">
        <w:rPr>
          <w:sz w:val="22"/>
          <w:lang w:val="pt-BR"/>
        </w:rPr>
        <w:t>para prover medidas de prevenção e resiliência em situações de emergência.</w:t>
      </w:r>
    </w:p>
    <w:p w:rsidR="00A511C7" w:rsidRPr="00723ECA" w:rsidRDefault="00A511C7" w:rsidP="00D644AD">
      <w:pPr>
        <w:pStyle w:val="Normali"/>
        <w:numPr>
          <w:ilvl w:val="0"/>
          <w:numId w:val="0"/>
        </w:numPr>
        <w:ind w:left="1134"/>
        <w:rPr>
          <w:sz w:val="22"/>
          <w:lang w:val="pt-BR"/>
        </w:rPr>
      </w:pPr>
      <w:r w:rsidRPr="00723ECA">
        <w:rPr>
          <w:sz w:val="22"/>
          <w:lang w:val="pt-BR"/>
        </w:rPr>
        <w:t xml:space="preserve">60. Promover a </w:t>
      </w:r>
      <w:r w:rsidR="00D644AD" w:rsidRPr="00723ECA">
        <w:rPr>
          <w:sz w:val="22"/>
          <w:lang w:val="pt-BR"/>
        </w:rPr>
        <w:t>acessibilidade econômica a</w:t>
      </w:r>
      <w:r w:rsidRPr="00723ECA">
        <w:rPr>
          <w:sz w:val="22"/>
          <w:lang w:val="pt-BR"/>
        </w:rPr>
        <w:t xml:space="preserve">os serviços, juntamente com um nível de recuperação de custos que atenda aos requisitos de sustentabilidade financeira, é um grande desafio para </w:t>
      </w:r>
      <w:proofErr w:type="gramStart"/>
      <w:r w:rsidRPr="00723ECA">
        <w:rPr>
          <w:sz w:val="22"/>
          <w:lang w:val="pt-BR"/>
        </w:rPr>
        <w:t xml:space="preserve">os </w:t>
      </w:r>
      <w:r w:rsidR="00D644AD" w:rsidRPr="00723ECA">
        <w:rPr>
          <w:sz w:val="22"/>
          <w:lang w:val="pt-BR"/>
        </w:rPr>
        <w:t>marcos</w:t>
      </w:r>
      <w:proofErr w:type="gramEnd"/>
      <w:r w:rsidR="00D644AD" w:rsidRPr="00723ECA">
        <w:rPr>
          <w:sz w:val="22"/>
          <w:lang w:val="pt-BR"/>
        </w:rPr>
        <w:t xml:space="preserve"> </w:t>
      </w:r>
      <w:r w:rsidRPr="00723ECA">
        <w:rPr>
          <w:sz w:val="22"/>
          <w:lang w:val="pt-BR"/>
        </w:rPr>
        <w:t>regulatórios. Os atores envolvidos na regulação devem encontrar o equilíbrio entre permitir que os prestadores de serviços realizem adequadamente as atividades operacionais e de manutenção</w:t>
      </w:r>
      <w:r w:rsidR="00A31598" w:rsidRPr="00723ECA">
        <w:rPr>
          <w:sz w:val="22"/>
          <w:lang w:val="pt-BR"/>
        </w:rPr>
        <w:t>,</w:t>
      </w:r>
      <w:r w:rsidRPr="00723ECA">
        <w:rPr>
          <w:sz w:val="22"/>
          <w:lang w:val="pt-BR"/>
        </w:rPr>
        <w:t xml:space="preserve"> considera</w:t>
      </w:r>
      <w:r w:rsidR="00A31598" w:rsidRPr="00723ECA">
        <w:rPr>
          <w:sz w:val="22"/>
          <w:lang w:val="pt-BR"/>
        </w:rPr>
        <w:t>ndo</w:t>
      </w:r>
      <w:r w:rsidRPr="00723ECA">
        <w:rPr>
          <w:sz w:val="22"/>
          <w:lang w:val="pt-BR"/>
        </w:rPr>
        <w:t xml:space="preserve"> os custos de infraestrutura, </w:t>
      </w:r>
      <w:r w:rsidR="00A31598" w:rsidRPr="00723ECA">
        <w:rPr>
          <w:sz w:val="22"/>
          <w:lang w:val="pt-BR"/>
        </w:rPr>
        <w:t>ambientais</w:t>
      </w:r>
      <w:r w:rsidRPr="00723ECA">
        <w:rPr>
          <w:sz w:val="22"/>
          <w:lang w:val="pt-BR"/>
        </w:rPr>
        <w:t xml:space="preserve"> e </w:t>
      </w:r>
      <w:r w:rsidR="00A31598" w:rsidRPr="00723ECA">
        <w:rPr>
          <w:sz w:val="22"/>
          <w:lang w:val="pt-BR"/>
        </w:rPr>
        <w:t>operacionais</w:t>
      </w:r>
      <w:r w:rsidRPr="00723ECA">
        <w:rPr>
          <w:sz w:val="22"/>
          <w:lang w:val="pt-BR"/>
        </w:rPr>
        <w:t xml:space="preserve">, e </w:t>
      </w:r>
      <w:r w:rsidR="00A31598" w:rsidRPr="00723ECA">
        <w:rPr>
          <w:sz w:val="22"/>
          <w:lang w:val="pt-BR"/>
        </w:rPr>
        <w:t>a garantia da</w:t>
      </w:r>
      <w:r w:rsidRPr="00723ECA">
        <w:rPr>
          <w:sz w:val="22"/>
          <w:lang w:val="pt-BR"/>
        </w:rPr>
        <w:t xml:space="preserve"> </w:t>
      </w:r>
      <w:r w:rsidR="00EC7E89" w:rsidRPr="00723ECA">
        <w:rPr>
          <w:sz w:val="22"/>
          <w:lang w:val="pt-BR"/>
        </w:rPr>
        <w:t>acessibilidade econômica</w:t>
      </w:r>
      <w:r w:rsidR="00933914" w:rsidRPr="00723ECA">
        <w:rPr>
          <w:sz w:val="22"/>
          <w:lang w:val="pt-BR"/>
        </w:rPr>
        <w:t xml:space="preserve"> </w:t>
      </w:r>
      <w:r w:rsidRPr="00723ECA">
        <w:rPr>
          <w:sz w:val="22"/>
          <w:lang w:val="pt-BR"/>
        </w:rPr>
        <w:t xml:space="preserve">dos usuários. Perspectivas econômicas e de direitos humanos são passíveis de se conciliar, exigindo dos atores </w:t>
      </w:r>
      <w:proofErr w:type="gramStart"/>
      <w:r w:rsidRPr="00723ECA">
        <w:rPr>
          <w:sz w:val="22"/>
          <w:lang w:val="pt-BR"/>
        </w:rPr>
        <w:t>envolvidos na regulação abordagens inovadoras</w:t>
      </w:r>
      <w:proofErr w:type="gramEnd"/>
      <w:r w:rsidRPr="00723ECA">
        <w:rPr>
          <w:sz w:val="22"/>
          <w:lang w:val="pt-BR"/>
        </w:rPr>
        <w:t xml:space="preserve"> e um redesenho de instrumentos econômicos em algumas situações.</w:t>
      </w:r>
    </w:p>
    <w:p w:rsidR="00A511C7" w:rsidRPr="00723ECA" w:rsidRDefault="00645526" w:rsidP="00ED260E">
      <w:pPr>
        <w:pStyle w:val="H23G"/>
        <w:numPr>
          <w:ilvl w:val="0"/>
          <w:numId w:val="14"/>
        </w:numPr>
        <w:ind w:left="1134" w:right="0"/>
        <w:rPr>
          <w:sz w:val="22"/>
          <w:lang w:val="en-US"/>
        </w:rPr>
      </w:pPr>
      <w:proofErr w:type="spellStart"/>
      <w:r w:rsidRPr="00723ECA">
        <w:rPr>
          <w:sz w:val="22"/>
          <w:lang w:val="en-US"/>
        </w:rPr>
        <w:t>Responsabiliza</w:t>
      </w:r>
      <w:r w:rsidRPr="00723ECA">
        <w:rPr>
          <w:sz w:val="22"/>
          <w:lang w:val="pt-BR"/>
        </w:rPr>
        <w:t>çã</w:t>
      </w:r>
      <w:proofErr w:type="spellEnd"/>
      <w:r w:rsidRPr="00723ECA">
        <w:rPr>
          <w:sz w:val="22"/>
          <w:lang w:val="en-US"/>
        </w:rPr>
        <w:t xml:space="preserve">o </w:t>
      </w:r>
    </w:p>
    <w:p w:rsidR="00A511C7" w:rsidRPr="00723ECA" w:rsidRDefault="00A511C7" w:rsidP="008952EA">
      <w:pPr>
        <w:pStyle w:val="Normali"/>
        <w:numPr>
          <w:ilvl w:val="0"/>
          <w:numId w:val="0"/>
        </w:numPr>
        <w:ind w:left="1134"/>
        <w:rPr>
          <w:sz w:val="28"/>
          <w:szCs w:val="24"/>
          <w:lang w:val="pt-BR"/>
        </w:rPr>
      </w:pPr>
      <w:r w:rsidRPr="00723ECA">
        <w:rPr>
          <w:sz w:val="22"/>
          <w:lang w:val="pt-BR"/>
        </w:rPr>
        <w:t xml:space="preserve">61. Para serem efetivos, os arcabouços regulatórios devem permitir que </w:t>
      </w:r>
      <w:proofErr w:type="gramStart"/>
      <w:r w:rsidRPr="00723ECA">
        <w:rPr>
          <w:sz w:val="22"/>
          <w:lang w:val="pt-BR"/>
        </w:rPr>
        <w:t>haja</w:t>
      </w:r>
      <w:proofErr w:type="gramEnd"/>
      <w:r w:rsidRPr="00723ECA">
        <w:rPr>
          <w:sz w:val="22"/>
          <w:lang w:val="pt-BR"/>
        </w:rPr>
        <w:t xml:space="preserve"> monitoramento independente da conformidade dos prestadores de serviços em relação à observância do direito humano à água e ao esgotamento sanitário, e devem salvaguardar o direito dos indivíduos de apresentar reclamações quando o gozo desses </w:t>
      </w:r>
      <w:r w:rsidR="00933914" w:rsidRPr="00723ECA">
        <w:rPr>
          <w:sz w:val="22"/>
          <w:lang w:val="pt-BR"/>
        </w:rPr>
        <w:t>direitos houver sido</w:t>
      </w:r>
      <w:r w:rsidRPr="00723ECA">
        <w:rPr>
          <w:sz w:val="22"/>
          <w:lang w:val="pt-BR"/>
        </w:rPr>
        <w:t xml:space="preserve"> comprometido</w:t>
      </w:r>
      <w:r w:rsidRPr="00723ECA">
        <w:rPr>
          <w:rStyle w:val="FootnoteReference"/>
          <w:sz w:val="20"/>
          <w:lang w:val="pt-BR"/>
        </w:rPr>
        <w:footnoteReference w:id="38"/>
      </w:r>
      <w:r w:rsidRPr="00723ECA">
        <w:rPr>
          <w:sz w:val="22"/>
          <w:lang w:val="pt-BR"/>
        </w:rPr>
        <w:t xml:space="preserve">. </w:t>
      </w:r>
      <w:proofErr w:type="gramStart"/>
      <w:r w:rsidRPr="00723ECA">
        <w:rPr>
          <w:sz w:val="22"/>
          <w:lang w:val="pt-BR"/>
        </w:rPr>
        <w:t>Os marcos</w:t>
      </w:r>
      <w:proofErr w:type="gramEnd"/>
      <w:r w:rsidRPr="00723ECA">
        <w:rPr>
          <w:sz w:val="22"/>
          <w:lang w:val="pt-BR"/>
        </w:rPr>
        <w:t xml:space="preserve"> regulatórios devem impor sanções adequadas e proporcionais aos prestadores de serviços em caso de não conformidade com o conteúdo normativo dos direitos humanos à água e ao esgotamento sanitário</w:t>
      </w:r>
      <w:r w:rsidRPr="00723ECA">
        <w:rPr>
          <w:rStyle w:val="FootnoteReference"/>
          <w:sz w:val="20"/>
          <w:lang w:val="pt-BR"/>
        </w:rPr>
        <w:footnoteReference w:id="39"/>
      </w:r>
      <w:r w:rsidRPr="00723ECA">
        <w:rPr>
          <w:sz w:val="22"/>
          <w:lang w:val="pt-BR"/>
        </w:rPr>
        <w:t>.</w:t>
      </w:r>
    </w:p>
    <w:p w:rsidR="002523E5" w:rsidRPr="00723ECA" w:rsidRDefault="002523E5" w:rsidP="008952EA">
      <w:pPr>
        <w:pStyle w:val="H1G"/>
        <w:numPr>
          <w:ilvl w:val="0"/>
          <w:numId w:val="11"/>
        </w:numPr>
        <w:rPr>
          <w:sz w:val="28"/>
          <w:lang w:val="pt-BR"/>
        </w:rPr>
      </w:pPr>
      <w:r w:rsidRPr="00723ECA">
        <w:rPr>
          <w:sz w:val="28"/>
          <w:lang w:val="pt-BR"/>
        </w:rPr>
        <w:tab/>
      </w:r>
      <w:proofErr w:type="gramStart"/>
      <w:r w:rsidR="001119C4" w:rsidRPr="00723ECA">
        <w:rPr>
          <w:sz w:val="28"/>
          <w:lang w:val="pt-BR"/>
        </w:rPr>
        <w:t>Implementação</w:t>
      </w:r>
      <w:proofErr w:type="gramEnd"/>
      <w:r w:rsidR="001119C4" w:rsidRPr="00723ECA">
        <w:rPr>
          <w:sz w:val="28"/>
          <w:lang w:val="pt-BR"/>
        </w:rPr>
        <w:t xml:space="preserve"> d</w:t>
      </w:r>
      <w:r w:rsidR="00933914" w:rsidRPr="00723ECA">
        <w:rPr>
          <w:sz w:val="28"/>
          <w:lang w:val="pt-BR"/>
        </w:rPr>
        <w:t>o</w:t>
      </w:r>
      <w:r w:rsidR="001119C4" w:rsidRPr="00723ECA">
        <w:rPr>
          <w:sz w:val="28"/>
          <w:lang w:val="pt-BR"/>
        </w:rPr>
        <w:t xml:space="preserve"> monitoramento</w:t>
      </w:r>
    </w:p>
    <w:p w:rsidR="000616AB" w:rsidRPr="00723ECA" w:rsidRDefault="000616AB" w:rsidP="008952EA">
      <w:pPr>
        <w:ind w:left="1134" w:right="1134"/>
        <w:jc w:val="both"/>
        <w:rPr>
          <w:sz w:val="22"/>
          <w:lang w:val="pt-BR"/>
        </w:rPr>
      </w:pPr>
      <w:r w:rsidRPr="00723ECA">
        <w:rPr>
          <w:sz w:val="22"/>
          <w:lang w:val="pt-BR"/>
        </w:rPr>
        <w:t xml:space="preserve">62. O monitoramento é essencial para a compreensão dos níveis </w:t>
      </w:r>
      <w:r w:rsidR="004C1C9A" w:rsidRPr="00723ECA">
        <w:rPr>
          <w:sz w:val="22"/>
          <w:lang w:val="pt-BR"/>
        </w:rPr>
        <w:t>presentes</w:t>
      </w:r>
      <w:r w:rsidRPr="00723ECA">
        <w:rPr>
          <w:sz w:val="22"/>
          <w:lang w:val="pt-BR"/>
        </w:rPr>
        <w:t xml:space="preserve"> de acesso à água potável e esgotamento sanitário </w:t>
      </w:r>
      <w:r w:rsidR="002107E8" w:rsidRPr="00723ECA">
        <w:rPr>
          <w:sz w:val="22"/>
          <w:lang w:val="pt-BR"/>
        </w:rPr>
        <w:t>– focando-se</w:t>
      </w:r>
      <w:r w:rsidR="004C1C9A" w:rsidRPr="00723ECA">
        <w:rPr>
          <w:sz w:val="22"/>
          <w:lang w:val="pt-BR"/>
        </w:rPr>
        <w:t xml:space="preserve"> questões como </w:t>
      </w:r>
      <w:r w:rsidR="00371A98" w:rsidRPr="00723ECA">
        <w:rPr>
          <w:sz w:val="22"/>
          <w:lang w:val="pt-BR"/>
        </w:rPr>
        <w:t xml:space="preserve">acessibilidade </w:t>
      </w:r>
      <w:r w:rsidR="00BA39A7" w:rsidRPr="00723ECA">
        <w:rPr>
          <w:sz w:val="22"/>
          <w:lang w:val="pt-BR"/>
        </w:rPr>
        <w:t xml:space="preserve">econômica </w:t>
      </w:r>
      <w:r w:rsidR="004C1C9A" w:rsidRPr="00723ECA">
        <w:rPr>
          <w:sz w:val="22"/>
          <w:lang w:val="pt-BR"/>
        </w:rPr>
        <w:t>e qual</w:t>
      </w:r>
      <w:r w:rsidR="00BA39A7" w:rsidRPr="00723ECA">
        <w:rPr>
          <w:sz w:val="22"/>
          <w:lang w:val="pt-BR"/>
        </w:rPr>
        <w:t>idade de água, identificação de</w:t>
      </w:r>
      <w:r w:rsidR="004C1C9A" w:rsidRPr="00723ECA">
        <w:rPr>
          <w:sz w:val="22"/>
          <w:lang w:val="pt-BR"/>
        </w:rPr>
        <w:t xml:space="preserve"> barreiras ao acesso para populações mal atendidas e não atendidas e garantia de que os processos de participação sejam inclusivos. Os processos de monitoramento nacional e local reúnem informações que ajudam a identificar catalisadores e gargalos, evidenciar lacunas e avaliar forças e desafios para a efetivação do direito humano à água potável e </w:t>
      </w:r>
      <w:r w:rsidR="00BA39A7" w:rsidRPr="00723ECA">
        <w:rPr>
          <w:sz w:val="22"/>
          <w:lang w:val="pt-BR"/>
        </w:rPr>
        <w:t>ao esgotamento sanitário</w:t>
      </w:r>
      <w:r w:rsidR="004C1C9A" w:rsidRPr="00723ECA">
        <w:rPr>
          <w:sz w:val="22"/>
          <w:lang w:val="pt-BR"/>
        </w:rPr>
        <w:t xml:space="preserve">. </w:t>
      </w:r>
    </w:p>
    <w:p w:rsidR="004C1C9A" w:rsidRPr="00723ECA" w:rsidRDefault="004C1C9A" w:rsidP="008952EA">
      <w:pPr>
        <w:ind w:left="1134" w:right="1134"/>
        <w:jc w:val="both"/>
        <w:rPr>
          <w:sz w:val="22"/>
          <w:lang w:val="pt-BR"/>
        </w:rPr>
      </w:pPr>
    </w:p>
    <w:p w:rsidR="004C1C9A" w:rsidRPr="00723ECA" w:rsidRDefault="004C1C9A" w:rsidP="008952EA">
      <w:pPr>
        <w:ind w:left="1134" w:right="1134"/>
        <w:jc w:val="both"/>
        <w:rPr>
          <w:sz w:val="22"/>
          <w:lang w:val="pt-BR"/>
        </w:rPr>
      </w:pPr>
      <w:r w:rsidRPr="00723ECA">
        <w:rPr>
          <w:sz w:val="22"/>
          <w:lang w:val="pt-BR"/>
        </w:rPr>
        <w:t xml:space="preserve">63. Os </w:t>
      </w:r>
      <w:r w:rsidR="002533F0">
        <w:rPr>
          <w:sz w:val="22"/>
          <w:lang w:val="pt-BR"/>
        </w:rPr>
        <w:t>agentes regulatórios</w:t>
      </w:r>
      <w:r w:rsidRPr="00723ECA">
        <w:rPr>
          <w:sz w:val="22"/>
          <w:lang w:val="pt-BR"/>
        </w:rPr>
        <w:t xml:space="preserve"> desempenham um papel essencial no monitoramento </w:t>
      </w:r>
      <w:r w:rsidR="00A64BA0" w:rsidRPr="00723ECA">
        <w:rPr>
          <w:sz w:val="22"/>
          <w:lang w:val="pt-BR"/>
        </w:rPr>
        <w:t xml:space="preserve">do cumprimento pelos prestadores de serviços das normas relativas ao direito humano à água potável e esgotamento sanitário. O acesso à informação é crucial neste processo. Os </w:t>
      </w:r>
      <w:r w:rsidR="002533F0">
        <w:rPr>
          <w:sz w:val="22"/>
          <w:lang w:val="pt-BR"/>
        </w:rPr>
        <w:t xml:space="preserve">agentes </w:t>
      </w:r>
      <w:r w:rsidR="002533F0">
        <w:rPr>
          <w:sz w:val="22"/>
          <w:lang w:val="pt-BR"/>
        </w:rPr>
        <w:lastRenderedPageBreak/>
        <w:t>regulatórios</w:t>
      </w:r>
      <w:r w:rsidR="00A64BA0" w:rsidRPr="00723ECA">
        <w:rPr>
          <w:sz w:val="22"/>
          <w:lang w:val="pt-BR"/>
        </w:rPr>
        <w:t xml:space="preserve"> devem ser capazes de coletar, analisar e disseminar informações precisas sobre </w:t>
      </w:r>
      <w:r w:rsidR="000F5B2E">
        <w:rPr>
          <w:sz w:val="22"/>
          <w:lang w:val="pt-BR"/>
        </w:rPr>
        <w:t xml:space="preserve">o desempenho </w:t>
      </w:r>
      <w:r w:rsidR="00A64BA0" w:rsidRPr="00723ECA">
        <w:rPr>
          <w:sz w:val="22"/>
          <w:lang w:val="pt-BR"/>
        </w:rPr>
        <w:t xml:space="preserve">dos prestadores de serviços. Por outro lado, os prestadores de serviços têm a responsabilidade de fornecer aos </w:t>
      </w:r>
      <w:r w:rsidR="002533F0">
        <w:rPr>
          <w:sz w:val="22"/>
          <w:lang w:val="pt-BR"/>
        </w:rPr>
        <w:t>agentes regulatórios</w:t>
      </w:r>
      <w:r w:rsidR="00A64BA0" w:rsidRPr="00723ECA">
        <w:rPr>
          <w:sz w:val="22"/>
          <w:lang w:val="pt-BR"/>
        </w:rPr>
        <w:t xml:space="preserve"> informações completas e confiáveis sobre os serviços que prestam, incluindo qualidade, reclamações recebidas dos usuários e desafios para a expansão dos serviços em áreas mais pobres. </w:t>
      </w:r>
    </w:p>
    <w:p w:rsidR="00A64BA0" w:rsidRPr="00723ECA" w:rsidRDefault="00A64BA0" w:rsidP="008952EA">
      <w:pPr>
        <w:ind w:left="1134" w:right="1134"/>
        <w:jc w:val="both"/>
        <w:rPr>
          <w:sz w:val="22"/>
          <w:lang w:val="pt-BR"/>
        </w:rPr>
      </w:pPr>
    </w:p>
    <w:p w:rsidR="008F51EE" w:rsidRPr="00723ECA" w:rsidRDefault="00A64BA0" w:rsidP="008952EA">
      <w:pPr>
        <w:ind w:left="1134" w:right="1134"/>
        <w:jc w:val="both"/>
        <w:rPr>
          <w:sz w:val="22"/>
          <w:lang w:val="pt-BR"/>
        </w:rPr>
      </w:pPr>
      <w:r w:rsidRPr="00723ECA">
        <w:rPr>
          <w:sz w:val="22"/>
          <w:lang w:val="pt-BR"/>
        </w:rPr>
        <w:t xml:space="preserve">64. O monitoramento não deve apenas examinar o </w:t>
      </w:r>
      <w:r w:rsidR="005C3DBC" w:rsidRPr="00723ECA">
        <w:rPr>
          <w:sz w:val="22"/>
          <w:lang w:val="pt-BR"/>
        </w:rPr>
        <w:t>atendimento</w:t>
      </w:r>
      <w:r w:rsidR="009E3FFE" w:rsidRPr="00723ECA">
        <w:rPr>
          <w:sz w:val="22"/>
          <w:lang w:val="pt-BR"/>
        </w:rPr>
        <w:t xml:space="preserve"> </w:t>
      </w:r>
      <w:r w:rsidR="005C3DBC" w:rsidRPr="00723ECA">
        <w:rPr>
          <w:sz w:val="22"/>
          <w:lang w:val="pt-BR"/>
        </w:rPr>
        <w:t>a</w:t>
      </w:r>
      <w:r w:rsidRPr="00723ECA">
        <w:rPr>
          <w:sz w:val="22"/>
          <w:lang w:val="pt-BR"/>
        </w:rPr>
        <w:t xml:space="preserve">os padrões nacionais e locais pelos prestadores de serviços, mas também avaliar se a prestação dos serviços é realizada de forma a garantir o cumprimento das obrigações referentes ao direito humano internacional, tais como equidade e não discriminação, participação, acesso à informação e </w:t>
      </w:r>
      <w:r w:rsidR="009D6ACE" w:rsidRPr="00723ECA">
        <w:rPr>
          <w:sz w:val="22"/>
          <w:lang w:val="pt-BR"/>
        </w:rPr>
        <w:t>responsabilização</w:t>
      </w:r>
      <w:r w:rsidRPr="00723ECA">
        <w:rPr>
          <w:sz w:val="22"/>
          <w:lang w:val="pt-BR"/>
        </w:rPr>
        <w:t xml:space="preserve">. Os </w:t>
      </w:r>
      <w:r w:rsidR="002533F0">
        <w:rPr>
          <w:sz w:val="22"/>
          <w:lang w:val="pt-BR"/>
        </w:rPr>
        <w:t>agentes regulatórios</w:t>
      </w:r>
      <w:r w:rsidR="005C3DBC" w:rsidRPr="00723ECA">
        <w:rPr>
          <w:sz w:val="22"/>
          <w:lang w:val="pt-BR"/>
        </w:rPr>
        <w:t xml:space="preserve"> são responsáveis por estabelecer e monitorar os indicadores de desempenho voltados para a efetivação do direito humano à água potável e esgotamento sanitário, que devem refletir os princípios e </w:t>
      </w:r>
      <w:r w:rsidR="00A31598" w:rsidRPr="00723ECA">
        <w:rPr>
          <w:sz w:val="22"/>
          <w:lang w:val="pt-BR"/>
        </w:rPr>
        <w:t>padrões</w:t>
      </w:r>
      <w:r w:rsidR="00BA39A7" w:rsidRPr="00723ECA">
        <w:rPr>
          <w:sz w:val="22"/>
          <w:lang w:val="pt-BR"/>
        </w:rPr>
        <w:t xml:space="preserve"> </w:t>
      </w:r>
      <w:r w:rsidR="005C3DBC" w:rsidRPr="00723ECA">
        <w:rPr>
          <w:sz w:val="22"/>
          <w:lang w:val="pt-BR"/>
        </w:rPr>
        <w:t>dos direitos humanos de forma direta.</w:t>
      </w:r>
      <w:r w:rsidR="009E3FFE" w:rsidRPr="00723ECA">
        <w:rPr>
          <w:sz w:val="22"/>
          <w:lang w:val="pt-BR"/>
        </w:rPr>
        <w:t xml:space="preserve"> </w:t>
      </w:r>
      <w:r w:rsidR="005C3DBC" w:rsidRPr="00723ECA">
        <w:rPr>
          <w:sz w:val="22"/>
          <w:lang w:val="pt-BR"/>
        </w:rPr>
        <w:t xml:space="preserve">Os indicadores devem contemplar os diferentes elementos </w:t>
      </w:r>
      <w:r w:rsidR="00812159" w:rsidRPr="00723ECA">
        <w:rPr>
          <w:sz w:val="22"/>
          <w:lang w:val="pt-BR"/>
        </w:rPr>
        <w:t>do</w:t>
      </w:r>
      <w:r w:rsidR="00A31598" w:rsidRPr="00723ECA">
        <w:rPr>
          <w:sz w:val="22"/>
          <w:lang w:val="pt-BR"/>
        </w:rPr>
        <w:t>s</w:t>
      </w:r>
      <w:r w:rsidR="00812159" w:rsidRPr="00723ECA">
        <w:rPr>
          <w:sz w:val="22"/>
          <w:lang w:val="pt-BR"/>
        </w:rPr>
        <w:t xml:space="preserve"> direito</w:t>
      </w:r>
      <w:r w:rsidR="00A31598" w:rsidRPr="00723ECA">
        <w:rPr>
          <w:sz w:val="22"/>
          <w:lang w:val="pt-BR"/>
        </w:rPr>
        <w:t>s</w:t>
      </w:r>
      <w:r w:rsidR="00812159" w:rsidRPr="00723ECA">
        <w:rPr>
          <w:sz w:val="22"/>
          <w:lang w:val="pt-BR"/>
        </w:rPr>
        <w:t xml:space="preserve"> à água potável e </w:t>
      </w:r>
      <w:r w:rsidR="00A31598" w:rsidRPr="00723ECA">
        <w:rPr>
          <w:sz w:val="22"/>
          <w:lang w:val="pt-BR"/>
        </w:rPr>
        <w:t xml:space="preserve">ao </w:t>
      </w:r>
      <w:r w:rsidR="00812159" w:rsidRPr="00723ECA">
        <w:rPr>
          <w:sz w:val="22"/>
          <w:lang w:val="pt-BR"/>
        </w:rPr>
        <w:t xml:space="preserve">esgotamento sanitário e </w:t>
      </w:r>
      <w:r w:rsidR="00A31598" w:rsidRPr="00723ECA">
        <w:rPr>
          <w:sz w:val="22"/>
          <w:lang w:val="pt-BR"/>
        </w:rPr>
        <w:t>ser</w:t>
      </w:r>
      <w:r w:rsidR="005365BC" w:rsidRPr="00723ECA">
        <w:rPr>
          <w:sz w:val="22"/>
          <w:lang w:val="pt-BR"/>
        </w:rPr>
        <w:t xml:space="preserve"> d</w:t>
      </w:r>
      <w:r w:rsidR="00BA39A7" w:rsidRPr="00723ECA">
        <w:rPr>
          <w:sz w:val="22"/>
          <w:lang w:val="pt-BR"/>
        </w:rPr>
        <w:t>esagregados</w:t>
      </w:r>
      <w:r w:rsidR="005365BC" w:rsidRPr="00723ECA">
        <w:rPr>
          <w:sz w:val="22"/>
          <w:lang w:val="pt-BR"/>
        </w:rPr>
        <w:t xml:space="preserve"> </w:t>
      </w:r>
      <w:r w:rsidR="00A31598" w:rsidRPr="00723ECA">
        <w:rPr>
          <w:sz w:val="22"/>
          <w:lang w:val="pt-BR"/>
        </w:rPr>
        <w:t>de acordo</w:t>
      </w:r>
      <w:r w:rsidR="00BA39A7" w:rsidRPr="00723ECA">
        <w:rPr>
          <w:sz w:val="22"/>
          <w:lang w:val="pt-BR"/>
        </w:rPr>
        <w:t xml:space="preserve"> </w:t>
      </w:r>
      <w:r w:rsidR="00A31598" w:rsidRPr="00723ECA">
        <w:rPr>
          <w:sz w:val="22"/>
          <w:lang w:val="pt-BR"/>
        </w:rPr>
        <w:t>com os fatores</w:t>
      </w:r>
      <w:r w:rsidR="005365BC" w:rsidRPr="00723ECA">
        <w:rPr>
          <w:sz w:val="22"/>
          <w:lang w:val="pt-BR"/>
        </w:rPr>
        <w:t xml:space="preserve"> de discriminação proibid</w:t>
      </w:r>
      <w:r w:rsidR="00A31598" w:rsidRPr="00723ECA">
        <w:rPr>
          <w:sz w:val="22"/>
          <w:lang w:val="pt-BR"/>
        </w:rPr>
        <w:t>o</w:t>
      </w:r>
      <w:r w:rsidR="005365BC" w:rsidRPr="00723ECA">
        <w:rPr>
          <w:sz w:val="22"/>
          <w:lang w:val="pt-BR"/>
        </w:rPr>
        <w:t xml:space="preserve">s, estabelecendo referências (metas viáveis para melhoria dos indicadores) </w:t>
      </w:r>
      <w:r w:rsidR="008F51EE" w:rsidRPr="00723ECA">
        <w:rPr>
          <w:sz w:val="22"/>
          <w:lang w:val="pt-BR"/>
        </w:rPr>
        <w:t>em relação a cada indicador</w:t>
      </w:r>
      <w:r w:rsidR="00ED260E" w:rsidRPr="00723ECA">
        <w:rPr>
          <w:sz w:val="22"/>
          <w:lang w:val="pt-BR"/>
        </w:rPr>
        <w:t>.</w:t>
      </w:r>
    </w:p>
    <w:p w:rsidR="008F51EE" w:rsidRPr="00723ECA" w:rsidRDefault="008F51EE" w:rsidP="008952EA">
      <w:pPr>
        <w:ind w:left="1134" w:right="1134"/>
        <w:jc w:val="both"/>
        <w:rPr>
          <w:sz w:val="22"/>
          <w:lang w:val="pt-BR"/>
        </w:rPr>
      </w:pPr>
    </w:p>
    <w:p w:rsidR="008F32CA" w:rsidRPr="00723ECA" w:rsidRDefault="008F51EE" w:rsidP="008952EA">
      <w:pPr>
        <w:ind w:left="1134" w:right="1134"/>
        <w:jc w:val="both"/>
        <w:rPr>
          <w:sz w:val="22"/>
          <w:lang w:val="pt-BR"/>
        </w:rPr>
      </w:pPr>
      <w:r w:rsidRPr="00723ECA">
        <w:rPr>
          <w:sz w:val="22"/>
          <w:lang w:val="pt-BR"/>
        </w:rPr>
        <w:t xml:space="preserve">65. O princípio da efetivação progressiva deve guiar o processo de monitoramento e qualquer retrocesso </w:t>
      </w:r>
      <w:r w:rsidR="008F32CA" w:rsidRPr="00723ECA">
        <w:rPr>
          <w:sz w:val="22"/>
          <w:lang w:val="pt-BR"/>
        </w:rPr>
        <w:t xml:space="preserve">observado na prestação dos serviços deve ser proibido e sancionado de acordo com o </w:t>
      </w:r>
      <w:r w:rsidR="00BA39A7" w:rsidRPr="00723ECA">
        <w:rPr>
          <w:sz w:val="22"/>
          <w:lang w:val="pt-BR"/>
        </w:rPr>
        <w:t xml:space="preserve">marco </w:t>
      </w:r>
      <w:r w:rsidR="008F32CA" w:rsidRPr="00723ECA">
        <w:rPr>
          <w:sz w:val="22"/>
          <w:lang w:val="pt-BR"/>
        </w:rPr>
        <w:t xml:space="preserve">regulatório. </w:t>
      </w:r>
    </w:p>
    <w:p w:rsidR="005C3DBC" w:rsidRPr="00723ECA" w:rsidRDefault="005C3DBC" w:rsidP="008952EA">
      <w:pPr>
        <w:ind w:left="1134" w:right="1134"/>
        <w:jc w:val="both"/>
        <w:rPr>
          <w:sz w:val="22"/>
          <w:lang w:val="pt-BR"/>
        </w:rPr>
      </w:pPr>
    </w:p>
    <w:p w:rsidR="002523E5" w:rsidRPr="00723ECA" w:rsidRDefault="001119C4" w:rsidP="008952EA">
      <w:pPr>
        <w:pStyle w:val="H23G"/>
        <w:numPr>
          <w:ilvl w:val="0"/>
          <w:numId w:val="15"/>
        </w:numPr>
        <w:ind w:left="1134"/>
        <w:rPr>
          <w:sz w:val="22"/>
          <w:lang w:val="en-US"/>
        </w:rPr>
      </w:pPr>
      <w:proofErr w:type="spellStart"/>
      <w:r w:rsidRPr="00723ECA">
        <w:rPr>
          <w:sz w:val="22"/>
          <w:lang w:val="en-US"/>
        </w:rPr>
        <w:t>Prestadores</w:t>
      </w:r>
      <w:proofErr w:type="spellEnd"/>
      <w:r w:rsidRPr="00723ECA">
        <w:rPr>
          <w:sz w:val="22"/>
          <w:lang w:val="en-US"/>
        </w:rPr>
        <w:t xml:space="preserve"> de </w:t>
      </w:r>
      <w:proofErr w:type="spellStart"/>
      <w:r w:rsidRPr="00723ECA">
        <w:rPr>
          <w:sz w:val="22"/>
          <w:lang w:val="en-US"/>
        </w:rPr>
        <w:t>serviço</w:t>
      </w:r>
      <w:proofErr w:type="spellEnd"/>
      <w:r w:rsidRPr="00723ECA">
        <w:rPr>
          <w:sz w:val="22"/>
          <w:lang w:val="en-US"/>
        </w:rPr>
        <w:t xml:space="preserve"> </w:t>
      </w:r>
      <w:proofErr w:type="spellStart"/>
      <w:r w:rsidRPr="00723ECA">
        <w:rPr>
          <w:sz w:val="22"/>
          <w:lang w:val="en-US"/>
        </w:rPr>
        <w:t>formais</w:t>
      </w:r>
      <w:proofErr w:type="spellEnd"/>
    </w:p>
    <w:p w:rsidR="009C4D0B" w:rsidRPr="00723ECA" w:rsidRDefault="009C4D0B" w:rsidP="008952EA">
      <w:pPr>
        <w:ind w:left="1134" w:right="1134"/>
        <w:jc w:val="both"/>
        <w:rPr>
          <w:sz w:val="22"/>
          <w:lang w:val="pt-BR"/>
        </w:rPr>
      </w:pPr>
      <w:r w:rsidRPr="00723ECA">
        <w:rPr>
          <w:sz w:val="22"/>
          <w:lang w:val="pt-BR"/>
        </w:rPr>
        <w:t xml:space="preserve">66. </w:t>
      </w:r>
      <w:proofErr w:type="gramStart"/>
      <w:r w:rsidRPr="00723ECA">
        <w:rPr>
          <w:sz w:val="22"/>
          <w:lang w:val="pt-BR"/>
        </w:rPr>
        <w:t xml:space="preserve">Os </w:t>
      </w:r>
      <w:r w:rsidR="00BA39A7" w:rsidRPr="00723ECA">
        <w:rPr>
          <w:sz w:val="22"/>
          <w:lang w:val="pt-BR"/>
        </w:rPr>
        <w:t>marc</w:t>
      </w:r>
      <w:r w:rsidRPr="00723ECA">
        <w:rPr>
          <w:sz w:val="22"/>
          <w:lang w:val="pt-BR"/>
        </w:rPr>
        <w:t>os regulatórios frequentemente aplicam</w:t>
      </w:r>
      <w:r w:rsidR="00BA39A7" w:rsidRPr="00723ECA">
        <w:rPr>
          <w:sz w:val="22"/>
          <w:lang w:val="pt-BR"/>
        </w:rPr>
        <w:t>-se</w:t>
      </w:r>
      <w:proofErr w:type="gramEnd"/>
      <w:r w:rsidR="00BA39A7" w:rsidRPr="00723ECA">
        <w:rPr>
          <w:sz w:val="22"/>
          <w:lang w:val="pt-BR"/>
        </w:rPr>
        <w:t xml:space="preserve"> apenas</w:t>
      </w:r>
      <w:r w:rsidRPr="00723ECA">
        <w:rPr>
          <w:sz w:val="22"/>
          <w:lang w:val="pt-BR"/>
        </w:rPr>
        <w:t xml:space="preserve"> aos prestadores de serviços formais, que podem variar de prestadores de grande escala a pequenos prestadores municipais e cooperativas.  Em locais onde existe a prestação formal de serviços, esper</w:t>
      </w:r>
      <w:r w:rsidR="000F5B2E">
        <w:rPr>
          <w:sz w:val="22"/>
          <w:lang w:val="pt-BR"/>
        </w:rPr>
        <w:t xml:space="preserve">a-se que estejam disponíveis </w:t>
      </w:r>
      <w:r w:rsidRPr="00723ECA">
        <w:rPr>
          <w:sz w:val="22"/>
          <w:lang w:val="pt-BR"/>
        </w:rPr>
        <w:t>dados referentes a padrões e metas</w:t>
      </w:r>
      <w:r w:rsidR="00BA39A7" w:rsidRPr="00723ECA">
        <w:rPr>
          <w:sz w:val="22"/>
          <w:lang w:val="pt-BR"/>
        </w:rPr>
        <w:t xml:space="preserve"> estabelecidas</w:t>
      </w:r>
      <w:r w:rsidRPr="00723ECA">
        <w:rPr>
          <w:sz w:val="22"/>
          <w:lang w:val="pt-BR"/>
        </w:rPr>
        <w:t>, que po</w:t>
      </w:r>
      <w:r w:rsidR="000F5B2E">
        <w:rPr>
          <w:sz w:val="22"/>
          <w:lang w:val="pt-BR"/>
        </w:rPr>
        <w:t>ssa</w:t>
      </w:r>
      <w:r w:rsidRPr="00723ECA">
        <w:rPr>
          <w:sz w:val="22"/>
          <w:lang w:val="pt-BR"/>
        </w:rPr>
        <w:t>m ser monitorados pelo</w:t>
      </w:r>
      <w:r w:rsidR="00BA39A7" w:rsidRPr="00723ECA">
        <w:rPr>
          <w:sz w:val="22"/>
          <w:lang w:val="pt-BR"/>
        </w:rPr>
        <w:t>s</w:t>
      </w:r>
      <w:r w:rsidRPr="00723ECA">
        <w:rPr>
          <w:sz w:val="22"/>
          <w:lang w:val="pt-BR"/>
        </w:rPr>
        <w:t xml:space="preserve"> </w:t>
      </w:r>
      <w:r w:rsidR="00BA39A7" w:rsidRPr="00723ECA">
        <w:rPr>
          <w:sz w:val="22"/>
          <w:lang w:val="pt-BR"/>
        </w:rPr>
        <w:t>reguladores</w:t>
      </w:r>
      <w:r w:rsidRPr="00723ECA">
        <w:rPr>
          <w:sz w:val="22"/>
          <w:lang w:val="pt-BR"/>
        </w:rPr>
        <w:t xml:space="preserve">. No entanto, </w:t>
      </w:r>
      <w:proofErr w:type="gramStart"/>
      <w:r w:rsidRPr="00723ECA">
        <w:rPr>
          <w:sz w:val="22"/>
          <w:lang w:val="pt-BR"/>
        </w:rPr>
        <w:t>pequenos prestadores municipais e cooperativas</w:t>
      </w:r>
      <w:proofErr w:type="gramEnd"/>
      <w:r w:rsidRPr="00723ECA">
        <w:rPr>
          <w:sz w:val="22"/>
          <w:lang w:val="pt-BR"/>
        </w:rPr>
        <w:t xml:space="preserve"> apresentam frequentemente maiores dificuldades para manter os padrões de qualidade quando comparados a prestadores de grande escala. Os </w:t>
      </w:r>
      <w:r w:rsidR="002533F0">
        <w:rPr>
          <w:sz w:val="22"/>
          <w:lang w:val="pt-BR"/>
        </w:rPr>
        <w:t>agentes regulatórios</w:t>
      </w:r>
      <w:r w:rsidRPr="00723ECA">
        <w:rPr>
          <w:sz w:val="22"/>
          <w:lang w:val="pt-BR"/>
        </w:rPr>
        <w:t xml:space="preserve"> podem desempenhar um papel proativo na melhoria d</w:t>
      </w:r>
      <w:r w:rsidR="00896A02" w:rsidRPr="00723ECA">
        <w:rPr>
          <w:sz w:val="22"/>
          <w:lang w:val="pt-BR"/>
        </w:rPr>
        <w:t>o desempenho</w:t>
      </w:r>
      <w:r w:rsidRPr="00723ECA">
        <w:rPr>
          <w:sz w:val="22"/>
          <w:lang w:val="pt-BR"/>
        </w:rPr>
        <w:t xml:space="preserve"> dos prestadores de pequena escala ao monitorá-los, muni-los de informações e recomendar estratégias que possam ajudar na melhoria dos padrões. </w:t>
      </w:r>
    </w:p>
    <w:p w:rsidR="009C4D0B" w:rsidRPr="00723ECA" w:rsidRDefault="009C4D0B" w:rsidP="008952EA">
      <w:pPr>
        <w:ind w:left="1134" w:right="1134"/>
        <w:jc w:val="both"/>
        <w:rPr>
          <w:sz w:val="22"/>
          <w:lang w:val="pt-BR"/>
        </w:rPr>
      </w:pPr>
    </w:p>
    <w:p w:rsidR="009C4D0B" w:rsidRPr="00723ECA" w:rsidRDefault="009C4D0B" w:rsidP="008952EA">
      <w:pPr>
        <w:ind w:left="1134" w:right="1134"/>
        <w:jc w:val="both"/>
        <w:rPr>
          <w:sz w:val="22"/>
          <w:lang w:val="pt-BR"/>
        </w:rPr>
      </w:pPr>
      <w:r w:rsidRPr="00723ECA">
        <w:rPr>
          <w:sz w:val="22"/>
          <w:lang w:val="pt-BR"/>
        </w:rPr>
        <w:t xml:space="preserve">67. </w:t>
      </w:r>
      <w:r w:rsidR="00896A02" w:rsidRPr="00723ECA">
        <w:rPr>
          <w:sz w:val="22"/>
          <w:lang w:val="pt-BR"/>
        </w:rPr>
        <w:t xml:space="preserve">De acordo com o texto </w:t>
      </w:r>
      <w:r w:rsidRPr="00723ECA">
        <w:rPr>
          <w:sz w:val="22"/>
          <w:lang w:val="pt-BR"/>
        </w:rPr>
        <w:t>“Investi</w:t>
      </w:r>
      <w:r w:rsidR="00A31598" w:rsidRPr="00723ECA">
        <w:rPr>
          <w:sz w:val="22"/>
          <w:lang w:val="pt-BR"/>
        </w:rPr>
        <w:t>ndo</w:t>
      </w:r>
      <w:r w:rsidRPr="00723ECA">
        <w:rPr>
          <w:sz w:val="22"/>
          <w:lang w:val="pt-BR"/>
        </w:rPr>
        <w:t xml:space="preserve"> em água e </w:t>
      </w:r>
      <w:r w:rsidR="00A31598" w:rsidRPr="00723ECA">
        <w:rPr>
          <w:sz w:val="22"/>
          <w:lang w:val="pt-BR"/>
        </w:rPr>
        <w:t>esgotamento sanitário</w:t>
      </w:r>
      <w:r w:rsidRPr="00723ECA">
        <w:rPr>
          <w:sz w:val="22"/>
          <w:lang w:val="pt-BR"/>
        </w:rPr>
        <w:t>: aumenta</w:t>
      </w:r>
      <w:r w:rsidR="00A31598" w:rsidRPr="00723ECA">
        <w:rPr>
          <w:sz w:val="22"/>
          <w:lang w:val="pt-BR"/>
        </w:rPr>
        <w:t>ndo</w:t>
      </w:r>
      <w:r w:rsidRPr="00723ECA">
        <w:rPr>
          <w:sz w:val="22"/>
          <w:lang w:val="pt-BR"/>
        </w:rPr>
        <w:t xml:space="preserve"> o acesso e reduzi</w:t>
      </w:r>
      <w:r w:rsidR="00A31598" w:rsidRPr="00723ECA">
        <w:rPr>
          <w:sz w:val="22"/>
          <w:lang w:val="pt-BR"/>
        </w:rPr>
        <w:t>ndo</w:t>
      </w:r>
      <w:r w:rsidRPr="00723ECA">
        <w:rPr>
          <w:sz w:val="22"/>
          <w:lang w:val="pt-BR"/>
        </w:rPr>
        <w:t xml:space="preserve"> as desigualdades</w:t>
      </w:r>
      <w:proofErr w:type="gramStart"/>
      <w:r w:rsidR="00896A02" w:rsidRPr="00723ECA">
        <w:rPr>
          <w:sz w:val="22"/>
          <w:lang w:val="pt-BR"/>
        </w:rPr>
        <w:t>”</w:t>
      </w:r>
      <w:proofErr w:type="gramEnd"/>
      <w:r w:rsidRPr="00723ECA">
        <w:rPr>
          <w:rStyle w:val="FootnoteReference"/>
          <w:sz w:val="20"/>
          <w:lang w:val="pt-BR"/>
        </w:rPr>
        <w:footnoteReference w:id="40"/>
      </w:r>
      <w:r w:rsidRPr="00723ECA">
        <w:rPr>
          <w:sz w:val="22"/>
          <w:lang w:val="pt-BR"/>
        </w:rPr>
        <w:t xml:space="preserve"> </w:t>
      </w:r>
      <w:r w:rsidR="00A31598" w:rsidRPr="00723ECA">
        <w:rPr>
          <w:sz w:val="22"/>
          <w:lang w:val="pt-BR"/>
        </w:rPr>
        <w:t>(</w:t>
      </w:r>
      <w:r w:rsidR="0026340B" w:rsidRPr="00723ECA">
        <w:rPr>
          <w:sz w:val="22"/>
          <w:lang w:val="pt-BR"/>
        </w:rPr>
        <w:t>R</w:t>
      </w:r>
      <w:r w:rsidR="00896A02" w:rsidRPr="00723ECA">
        <w:rPr>
          <w:sz w:val="22"/>
          <w:lang w:val="pt-BR"/>
        </w:rPr>
        <w:t xml:space="preserve">elatório </w:t>
      </w:r>
      <w:r w:rsidR="0026340B" w:rsidRPr="00723ECA">
        <w:rPr>
          <w:sz w:val="22"/>
          <w:lang w:val="pt-BR"/>
        </w:rPr>
        <w:t xml:space="preserve">GLAAS </w:t>
      </w:r>
      <w:r w:rsidR="00896A02" w:rsidRPr="00723ECA">
        <w:rPr>
          <w:sz w:val="22"/>
          <w:lang w:val="pt-BR"/>
        </w:rPr>
        <w:t>de 2014</w:t>
      </w:r>
      <w:r w:rsidR="00371A98" w:rsidRPr="00723ECA">
        <w:rPr>
          <w:sz w:val="22"/>
          <w:lang w:val="pt-BR"/>
        </w:rPr>
        <w:t>)</w:t>
      </w:r>
      <w:r w:rsidRPr="00723ECA">
        <w:rPr>
          <w:rStyle w:val="FootnoteReference"/>
          <w:sz w:val="20"/>
          <w:lang w:val="pt-BR"/>
        </w:rPr>
        <w:footnoteReference w:id="41"/>
      </w:r>
      <w:r w:rsidRPr="00723ECA">
        <w:rPr>
          <w:sz w:val="22"/>
          <w:lang w:val="pt-BR"/>
        </w:rPr>
        <w:t>”</w:t>
      </w:r>
      <w:r w:rsidR="00896A02" w:rsidRPr="00723ECA">
        <w:rPr>
          <w:sz w:val="22"/>
          <w:lang w:val="pt-BR"/>
        </w:rPr>
        <w:t xml:space="preserve">, </w:t>
      </w:r>
      <w:r w:rsidRPr="00723ECA">
        <w:rPr>
          <w:sz w:val="22"/>
          <w:lang w:val="pt-BR"/>
        </w:rPr>
        <w:t>menos da met</w:t>
      </w:r>
      <w:r w:rsidR="00896A02" w:rsidRPr="00723ECA">
        <w:rPr>
          <w:sz w:val="22"/>
          <w:lang w:val="pt-BR"/>
        </w:rPr>
        <w:t xml:space="preserve">ade dos países </w:t>
      </w:r>
      <w:r w:rsidR="0026340B" w:rsidRPr="00723ECA">
        <w:rPr>
          <w:sz w:val="22"/>
          <w:lang w:val="pt-BR"/>
        </w:rPr>
        <w:t>relatam</w:t>
      </w:r>
      <w:r w:rsidR="00896A02" w:rsidRPr="00723ECA">
        <w:rPr>
          <w:sz w:val="22"/>
          <w:lang w:val="pt-BR"/>
        </w:rPr>
        <w:t xml:space="preserve"> existir </w:t>
      </w:r>
      <w:r w:rsidRPr="00723ECA">
        <w:rPr>
          <w:sz w:val="22"/>
          <w:lang w:val="pt-BR"/>
        </w:rPr>
        <w:t xml:space="preserve">um processo </w:t>
      </w:r>
      <w:r w:rsidR="00896A02" w:rsidRPr="00723ECA">
        <w:rPr>
          <w:sz w:val="22"/>
          <w:lang w:val="pt-BR"/>
        </w:rPr>
        <w:t xml:space="preserve">de disponibilização às autoridades reguladoras dos </w:t>
      </w:r>
      <w:r w:rsidR="00896A02" w:rsidRPr="00723ECA">
        <w:rPr>
          <w:sz w:val="22"/>
          <w:lang w:val="pt-BR"/>
        </w:rPr>
        <w:lastRenderedPageBreak/>
        <w:t>resultados d</w:t>
      </w:r>
      <w:r w:rsidR="0026340B" w:rsidRPr="00723ECA">
        <w:rPr>
          <w:sz w:val="22"/>
          <w:lang w:val="pt-BR"/>
        </w:rPr>
        <w:t>o</w:t>
      </w:r>
      <w:r w:rsidR="00896A02" w:rsidRPr="00723ECA">
        <w:rPr>
          <w:sz w:val="22"/>
          <w:lang w:val="pt-BR"/>
        </w:rPr>
        <w:t xml:space="preserve"> monitoramento </w:t>
      </w:r>
      <w:r w:rsidR="007B462D">
        <w:rPr>
          <w:sz w:val="22"/>
          <w:lang w:val="pt-BR"/>
        </w:rPr>
        <w:t>interno</w:t>
      </w:r>
      <w:r w:rsidR="00896A02" w:rsidRPr="00723ECA">
        <w:rPr>
          <w:sz w:val="22"/>
          <w:lang w:val="pt-BR"/>
        </w:rPr>
        <w:t xml:space="preserve"> pel</w:t>
      </w:r>
      <w:r w:rsidRPr="00723ECA">
        <w:rPr>
          <w:sz w:val="22"/>
          <w:lang w:val="pt-BR"/>
        </w:rPr>
        <w:t xml:space="preserve">os prestadores de serviço </w:t>
      </w:r>
      <w:r w:rsidR="0026340B" w:rsidRPr="00723ECA">
        <w:rPr>
          <w:sz w:val="22"/>
          <w:lang w:val="pt-BR"/>
        </w:rPr>
        <w:t>de abastecimento de água</w:t>
      </w:r>
      <w:r w:rsidR="00896A02" w:rsidRPr="00723ECA">
        <w:rPr>
          <w:sz w:val="22"/>
          <w:lang w:val="pt-BR"/>
        </w:rPr>
        <w:t xml:space="preserve"> rura</w:t>
      </w:r>
      <w:r w:rsidR="0026340B" w:rsidRPr="00723ECA">
        <w:rPr>
          <w:sz w:val="22"/>
          <w:lang w:val="pt-BR"/>
        </w:rPr>
        <w:t>l</w:t>
      </w:r>
      <w:r w:rsidR="00896A02" w:rsidRPr="00723ECA">
        <w:rPr>
          <w:sz w:val="22"/>
          <w:lang w:val="pt-BR"/>
        </w:rPr>
        <w:t>,</w:t>
      </w:r>
      <w:r w:rsidRPr="00723ECA">
        <w:rPr>
          <w:sz w:val="22"/>
          <w:lang w:val="pt-BR"/>
        </w:rPr>
        <w:t xml:space="preserve"> </w:t>
      </w:r>
      <w:r w:rsidR="0026340B" w:rsidRPr="00723ECA">
        <w:rPr>
          <w:sz w:val="22"/>
          <w:lang w:val="pt-BR"/>
        </w:rPr>
        <w:t>e</w:t>
      </w:r>
      <w:r w:rsidRPr="00723ECA">
        <w:rPr>
          <w:sz w:val="22"/>
          <w:lang w:val="pt-BR"/>
        </w:rPr>
        <w:t xml:space="preserve"> </w:t>
      </w:r>
      <w:r w:rsidR="007B462D">
        <w:rPr>
          <w:sz w:val="22"/>
          <w:lang w:val="pt-BR"/>
        </w:rPr>
        <w:t>que utiliza</w:t>
      </w:r>
      <w:r w:rsidR="0026340B" w:rsidRPr="00723ECA">
        <w:rPr>
          <w:sz w:val="22"/>
          <w:lang w:val="pt-BR"/>
        </w:rPr>
        <w:t xml:space="preserve">m </w:t>
      </w:r>
      <w:r w:rsidRPr="00723ECA">
        <w:rPr>
          <w:sz w:val="22"/>
          <w:lang w:val="pt-BR"/>
        </w:rPr>
        <w:t xml:space="preserve">esses resultados para </w:t>
      </w:r>
      <w:r w:rsidR="0026340B" w:rsidRPr="00723ECA">
        <w:rPr>
          <w:sz w:val="22"/>
          <w:lang w:val="pt-BR"/>
        </w:rPr>
        <w:t>dar suporte</w:t>
      </w:r>
      <w:r w:rsidR="007B462D">
        <w:rPr>
          <w:sz w:val="22"/>
          <w:lang w:val="pt-BR"/>
        </w:rPr>
        <w:t xml:space="preserve"> a</w:t>
      </w:r>
      <w:r w:rsidRPr="00723ECA">
        <w:rPr>
          <w:sz w:val="22"/>
          <w:lang w:val="pt-BR"/>
        </w:rPr>
        <w:t xml:space="preserve"> ações corretivas. Além disso, os resultados de </w:t>
      </w:r>
      <w:r w:rsidR="00896A02" w:rsidRPr="00723ECA">
        <w:rPr>
          <w:sz w:val="22"/>
          <w:lang w:val="pt-BR"/>
        </w:rPr>
        <w:t xml:space="preserve">desempenho </w:t>
      </w:r>
      <w:r w:rsidRPr="00723ECA">
        <w:rPr>
          <w:sz w:val="22"/>
          <w:lang w:val="pt-BR"/>
        </w:rPr>
        <w:t xml:space="preserve">não são comumente tornados públicos pela maioria dos prestadores de serviços. </w:t>
      </w:r>
      <w:r w:rsidR="00896A02" w:rsidRPr="00723ECA">
        <w:rPr>
          <w:sz w:val="22"/>
          <w:lang w:val="pt-BR"/>
        </w:rPr>
        <w:t>Somente para</w:t>
      </w:r>
      <w:r w:rsidRPr="00723ECA">
        <w:rPr>
          <w:sz w:val="22"/>
          <w:lang w:val="pt-BR"/>
        </w:rPr>
        <w:t xml:space="preserve"> os prestador</w:t>
      </w:r>
      <w:r w:rsidR="00896A02" w:rsidRPr="00723ECA">
        <w:rPr>
          <w:sz w:val="22"/>
          <w:lang w:val="pt-BR"/>
        </w:rPr>
        <w:t>es de serviços de áreas urbanas</w:t>
      </w:r>
      <w:r w:rsidRPr="00723ECA">
        <w:rPr>
          <w:sz w:val="22"/>
          <w:lang w:val="pt-BR"/>
        </w:rPr>
        <w:t xml:space="preserve"> </w:t>
      </w:r>
      <w:r w:rsidR="00896A02" w:rsidRPr="00723ECA">
        <w:rPr>
          <w:sz w:val="22"/>
          <w:lang w:val="pt-BR"/>
        </w:rPr>
        <w:t xml:space="preserve">é que </w:t>
      </w:r>
      <w:r w:rsidRPr="00723ECA">
        <w:rPr>
          <w:sz w:val="22"/>
          <w:lang w:val="pt-BR"/>
        </w:rPr>
        <w:t xml:space="preserve">os resultados de </w:t>
      </w:r>
      <w:r w:rsidR="00896A02" w:rsidRPr="00723ECA">
        <w:rPr>
          <w:sz w:val="22"/>
          <w:lang w:val="pt-BR"/>
        </w:rPr>
        <w:t xml:space="preserve">desempenho </w:t>
      </w:r>
      <w:r w:rsidRPr="00723ECA">
        <w:rPr>
          <w:sz w:val="22"/>
          <w:lang w:val="pt-BR"/>
        </w:rPr>
        <w:t xml:space="preserve">foram </w:t>
      </w:r>
      <w:r w:rsidR="008362C4" w:rsidRPr="00723ECA">
        <w:rPr>
          <w:sz w:val="22"/>
          <w:lang w:val="pt-BR"/>
        </w:rPr>
        <w:t xml:space="preserve">tornados </w:t>
      </w:r>
      <w:r w:rsidRPr="00723ECA">
        <w:rPr>
          <w:sz w:val="22"/>
          <w:lang w:val="pt-BR"/>
        </w:rPr>
        <w:t>público</w:t>
      </w:r>
      <w:r w:rsidR="008362C4" w:rsidRPr="00723ECA">
        <w:rPr>
          <w:sz w:val="22"/>
          <w:lang w:val="pt-BR"/>
        </w:rPr>
        <w:t>s em mais de 60% dos países que responderam à pesquisa</w:t>
      </w:r>
      <w:r w:rsidRPr="00723ECA">
        <w:rPr>
          <w:sz w:val="22"/>
          <w:lang w:val="pt-BR"/>
        </w:rPr>
        <w:t xml:space="preserve">. </w:t>
      </w:r>
      <w:r w:rsidR="008362C4" w:rsidRPr="00723ECA">
        <w:rPr>
          <w:sz w:val="22"/>
          <w:lang w:val="pt-BR"/>
        </w:rPr>
        <w:t>Esse</w:t>
      </w:r>
      <w:r w:rsidRPr="00723ECA">
        <w:rPr>
          <w:sz w:val="22"/>
          <w:lang w:val="pt-BR"/>
        </w:rPr>
        <w:t xml:space="preserve">s países também indicaram que a abrangência da vigilância independente de qualidade da água é bem maior em áreas urbanas do que em áreas rurais: cerca de 70% dos países relatou haver vigilância em áreas urbanas, comparados a </w:t>
      </w:r>
      <w:r w:rsidR="008362C4" w:rsidRPr="00723ECA">
        <w:rPr>
          <w:sz w:val="22"/>
          <w:lang w:val="pt-BR"/>
        </w:rPr>
        <w:t xml:space="preserve">apenas </w:t>
      </w:r>
      <w:r w:rsidRPr="00723ECA">
        <w:rPr>
          <w:sz w:val="22"/>
          <w:lang w:val="pt-BR"/>
        </w:rPr>
        <w:t xml:space="preserve">40% em áreas rurais. </w:t>
      </w:r>
    </w:p>
    <w:p w:rsidR="009C4D0B" w:rsidRPr="00723ECA" w:rsidRDefault="009C4D0B" w:rsidP="008952EA">
      <w:pPr>
        <w:ind w:left="1134" w:right="1134"/>
        <w:jc w:val="both"/>
        <w:rPr>
          <w:sz w:val="22"/>
          <w:lang w:val="pt-BR"/>
        </w:rPr>
      </w:pPr>
    </w:p>
    <w:p w:rsidR="009C4D0B" w:rsidRPr="00723ECA" w:rsidRDefault="009C4D0B" w:rsidP="008952EA">
      <w:pPr>
        <w:ind w:left="1134" w:right="1134"/>
        <w:jc w:val="both"/>
        <w:rPr>
          <w:sz w:val="22"/>
          <w:lang w:val="pt-BR"/>
        </w:rPr>
      </w:pPr>
      <w:r w:rsidRPr="00723ECA">
        <w:rPr>
          <w:sz w:val="22"/>
          <w:lang w:val="pt-BR"/>
        </w:rPr>
        <w:t xml:space="preserve">68. Similarmente, prestadores </w:t>
      </w:r>
      <w:r w:rsidR="008362C4" w:rsidRPr="00723ECA">
        <w:rPr>
          <w:sz w:val="22"/>
          <w:lang w:val="pt-BR"/>
        </w:rPr>
        <w:t xml:space="preserve">formais </w:t>
      </w:r>
      <w:r w:rsidRPr="00723ECA">
        <w:rPr>
          <w:sz w:val="22"/>
          <w:lang w:val="pt-BR"/>
        </w:rPr>
        <w:t xml:space="preserve">de serviços </w:t>
      </w:r>
      <w:r w:rsidR="008362C4" w:rsidRPr="00723ECA">
        <w:rPr>
          <w:sz w:val="22"/>
          <w:lang w:val="pt-BR"/>
        </w:rPr>
        <w:t>de esgotamento sanitário</w:t>
      </w:r>
      <w:r w:rsidRPr="00723ECA">
        <w:rPr>
          <w:sz w:val="22"/>
          <w:lang w:val="pt-BR"/>
        </w:rPr>
        <w:t xml:space="preserve">, urbanos ou rurais, geralmente não fornecem dados às autoridades reguladoras. Embora o </w:t>
      </w:r>
      <w:r w:rsidR="008362C4" w:rsidRPr="00723ECA">
        <w:rPr>
          <w:sz w:val="22"/>
          <w:lang w:val="pt-BR"/>
        </w:rPr>
        <w:t>marc</w:t>
      </w:r>
      <w:r w:rsidRPr="00723ECA">
        <w:rPr>
          <w:sz w:val="22"/>
          <w:lang w:val="pt-BR"/>
        </w:rPr>
        <w:t>o regulatório e os pa</w:t>
      </w:r>
      <w:r w:rsidR="008362C4" w:rsidRPr="00723ECA">
        <w:rPr>
          <w:sz w:val="22"/>
          <w:lang w:val="pt-BR"/>
        </w:rPr>
        <w:t>râmetro</w:t>
      </w:r>
      <w:r w:rsidRPr="00723ECA">
        <w:rPr>
          <w:sz w:val="22"/>
          <w:lang w:val="pt-BR"/>
        </w:rPr>
        <w:t xml:space="preserve">s para as redes </w:t>
      </w:r>
      <w:r w:rsidR="008362C4" w:rsidRPr="00723ECA">
        <w:rPr>
          <w:sz w:val="22"/>
          <w:lang w:val="pt-BR"/>
        </w:rPr>
        <w:t xml:space="preserve">de </w:t>
      </w:r>
      <w:r w:rsidRPr="00723ECA">
        <w:rPr>
          <w:sz w:val="22"/>
          <w:lang w:val="pt-BR"/>
        </w:rPr>
        <w:t xml:space="preserve">esgoto geralmente estejam disponíveis, nem sempre </w:t>
      </w:r>
      <w:r w:rsidR="008362C4" w:rsidRPr="00723ECA">
        <w:rPr>
          <w:sz w:val="22"/>
          <w:lang w:val="pt-BR"/>
        </w:rPr>
        <w:t xml:space="preserve">os parâmetros </w:t>
      </w:r>
      <w:r w:rsidRPr="00723ECA">
        <w:rPr>
          <w:sz w:val="22"/>
          <w:lang w:val="pt-BR"/>
        </w:rPr>
        <w:t xml:space="preserve">são efetivamente </w:t>
      </w:r>
      <w:proofErr w:type="gramStart"/>
      <w:r w:rsidRPr="00723ECA">
        <w:rPr>
          <w:sz w:val="22"/>
          <w:lang w:val="pt-BR"/>
        </w:rPr>
        <w:t>implementados</w:t>
      </w:r>
      <w:proofErr w:type="gramEnd"/>
      <w:r w:rsidRPr="00723ECA">
        <w:rPr>
          <w:sz w:val="22"/>
          <w:lang w:val="pt-BR"/>
        </w:rPr>
        <w:t xml:space="preserve"> e monitor</w:t>
      </w:r>
      <w:r w:rsidR="008362C4" w:rsidRPr="00723ECA">
        <w:rPr>
          <w:sz w:val="22"/>
          <w:lang w:val="pt-BR"/>
        </w:rPr>
        <w:t>ados.</w:t>
      </w:r>
      <w:r w:rsidRPr="00723ECA">
        <w:rPr>
          <w:rStyle w:val="FootnoteReference"/>
          <w:sz w:val="20"/>
          <w:lang w:val="pt-BR"/>
        </w:rPr>
        <w:footnoteReference w:id="42"/>
      </w:r>
      <w:r w:rsidR="008362C4" w:rsidRPr="00723ECA">
        <w:rPr>
          <w:sz w:val="22"/>
          <w:lang w:val="pt-BR"/>
        </w:rPr>
        <w:t xml:space="preserve"> </w:t>
      </w:r>
      <w:r w:rsidRPr="00723ECA">
        <w:rPr>
          <w:sz w:val="22"/>
          <w:lang w:val="pt-BR"/>
        </w:rPr>
        <w:t xml:space="preserve">Os sistemas de </w:t>
      </w:r>
      <w:r w:rsidR="008362C4" w:rsidRPr="00723ECA">
        <w:rPr>
          <w:sz w:val="22"/>
          <w:lang w:val="pt-BR"/>
        </w:rPr>
        <w:t xml:space="preserve">esgotamento em rede </w:t>
      </w:r>
      <w:r w:rsidRPr="00723ECA">
        <w:rPr>
          <w:sz w:val="22"/>
          <w:lang w:val="pt-BR"/>
        </w:rPr>
        <w:t>fre</w:t>
      </w:r>
      <w:r w:rsidR="000F5B2E">
        <w:rPr>
          <w:sz w:val="22"/>
          <w:lang w:val="pt-BR"/>
        </w:rPr>
        <w:t xml:space="preserve">quentemente geram preocupações para o Estado, os prestadores de serviços e </w:t>
      </w:r>
      <w:r w:rsidRPr="00723ECA">
        <w:rPr>
          <w:sz w:val="22"/>
          <w:lang w:val="pt-BR"/>
        </w:rPr>
        <w:t xml:space="preserve">os usuários </w:t>
      </w:r>
      <w:r w:rsidR="000F5B2E">
        <w:rPr>
          <w:sz w:val="22"/>
          <w:lang w:val="pt-BR"/>
        </w:rPr>
        <w:t xml:space="preserve">em relação </w:t>
      </w:r>
      <w:r w:rsidRPr="00723ECA">
        <w:rPr>
          <w:sz w:val="22"/>
          <w:lang w:val="pt-BR"/>
        </w:rPr>
        <w:t xml:space="preserve">à </w:t>
      </w:r>
      <w:r w:rsidR="000F5B2E">
        <w:rPr>
          <w:sz w:val="22"/>
          <w:lang w:val="pt-BR"/>
        </w:rPr>
        <w:t>acessibilidade econômica</w:t>
      </w:r>
      <w:r w:rsidRPr="00723ECA">
        <w:rPr>
          <w:sz w:val="22"/>
          <w:lang w:val="pt-BR"/>
        </w:rPr>
        <w:t xml:space="preserve"> e requerem monitoramento cuidadoso. O custo das ligações pode impedir o acesso aos serviços pelas residências mais pobres, a menos que uma regulação apropriada seja </w:t>
      </w:r>
      <w:proofErr w:type="gramStart"/>
      <w:r w:rsidRPr="00723ECA">
        <w:rPr>
          <w:sz w:val="22"/>
          <w:lang w:val="pt-BR"/>
        </w:rPr>
        <w:t>implementada</w:t>
      </w:r>
      <w:proofErr w:type="gramEnd"/>
      <w:r w:rsidRPr="00723ECA">
        <w:rPr>
          <w:sz w:val="22"/>
          <w:lang w:val="pt-BR"/>
        </w:rPr>
        <w:t xml:space="preserve"> para garantir a </w:t>
      </w:r>
      <w:r w:rsidR="00EC7E89" w:rsidRPr="00723ECA">
        <w:rPr>
          <w:sz w:val="22"/>
          <w:lang w:val="pt-BR"/>
        </w:rPr>
        <w:t>acessibilidade econômica</w:t>
      </w:r>
      <w:r w:rsidRPr="00723ECA">
        <w:rPr>
          <w:sz w:val="22"/>
          <w:lang w:val="pt-BR"/>
        </w:rPr>
        <w:t xml:space="preserve">. </w:t>
      </w:r>
    </w:p>
    <w:p w:rsidR="009C4D0B" w:rsidRPr="00723ECA" w:rsidRDefault="009C4D0B" w:rsidP="008952EA">
      <w:pPr>
        <w:ind w:left="1134" w:right="1134"/>
        <w:jc w:val="both"/>
        <w:rPr>
          <w:sz w:val="22"/>
          <w:lang w:val="pt-BR"/>
        </w:rPr>
      </w:pPr>
    </w:p>
    <w:p w:rsidR="009C4D0B" w:rsidRPr="00723ECA" w:rsidRDefault="009C4D0B" w:rsidP="008952EA">
      <w:pPr>
        <w:pStyle w:val="H23G"/>
        <w:numPr>
          <w:ilvl w:val="0"/>
          <w:numId w:val="15"/>
        </w:numPr>
        <w:ind w:left="1134"/>
        <w:rPr>
          <w:sz w:val="22"/>
          <w:lang w:val="pt-BR"/>
        </w:rPr>
      </w:pPr>
      <w:r w:rsidRPr="00723ECA">
        <w:rPr>
          <w:sz w:val="22"/>
          <w:lang w:val="pt-BR"/>
        </w:rPr>
        <w:tab/>
        <w:t>Prestadores de serviço informais</w:t>
      </w:r>
    </w:p>
    <w:p w:rsidR="009C4D0B" w:rsidRPr="00723ECA" w:rsidRDefault="009C4D0B" w:rsidP="008952EA">
      <w:pPr>
        <w:ind w:right="1134"/>
        <w:rPr>
          <w:sz w:val="22"/>
          <w:lang w:val="pt-BR"/>
        </w:rPr>
      </w:pPr>
    </w:p>
    <w:p w:rsidR="009C4D0B" w:rsidRPr="00723ECA" w:rsidRDefault="0027205A" w:rsidP="008952EA">
      <w:pPr>
        <w:ind w:left="1134" w:right="1134"/>
        <w:jc w:val="both"/>
        <w:rPr>
          <w:sz w:val="22"/>
          <w:lang w:val="pt-BR"/>
        </w:rPr>
      </w:pPr>
      <w:r>
        <w:rPr>
          <w:sz w:val="22"/>
          <w:lang w:val="pt-BR"/>
        </w:rPr>
        <w:t xml:space="preserve">69. A situação </w:t>
      </w:r>
      <w:r w:rsidR="009C4D0B" w:rsidRPr="00723ECA">
        <w:rPr>
          <w:sz w:val="22"/>
          <w:lang w:val="pt-BR"/>
        </w:rPr>
        <w:t>torna</w:t>
      </w:r>
      <w:r>
        <w:rPr>
          <w:sz w:val="22"/>
          <w:lang w:val="pt-BR"/>
        </w:rPr>
        <w:t>-se</w:t>
      </w:r>
      <w:r w:rsidR="009C4D0B" w:rsidRPr="00723ECA">
        <w:rPr>
          <w:sz w:val="22"/>
          <w:lang w:val="pt-BR"/>
        </w:rPr>
        <w:t xml:space="preserve"> ainda mais complexa no caso do monitoramento de prestadores de serviços informais de pequena escala. Os sistemas </w:t>
      </w:r>
      <w:r w:rsidR="008362C4" w:rsidRPr="00723ECA">
        <w:rPr>
          <w:sz w:val="22"/>
          <w:lang w:val="pt-BR"/>
        </w:rPr>
        <w:t>em rede</w:t>
      </w:r>
      <w:r w:rsidR="009C4D0B" w:rsidRPr="00723ECA">
        <w:rPr>
          <w:sz w:val="22"/>
          <w:lang w:val="pt-BR"/>
        </w:rPr>
        <w:t xml:space="preserve"> geralmente não estão disponíveis para as residências rurais ou para aqueles que vivem em </w:t>
      </w:r>
      <w:r w:rsidR="008362C4" w:rsidRPr="00723ECA">
        <w:rPr>
          <w:sz w:val="22"/>
          <w:lang w:val="pt-BR"/>
        </w:rPr>
        <w:t>assentamentos urbanos informais</w:t>
      </w:r>
      <w:r w:rsidR="009C4D0B" w:rsidRPr="00723ECA">
        <w:rPr>
          <w:sz w:val="22"/>
          <w:lang w:val="pt-BR"/>
        </w:rPr>
        <w:t xml:space="preserve"> (ver A/70/203, parágrafo 64). Isso representa um problema considerável </w:t>
      </w:r>
      <w:r>
        <w:rPr>
          <w:sz w:val="22"/>
          <w:lang w:val="pt-BR"/>
        </w:rPr>
        <w:t xml:space="preserve">de </w:t>
      </w:r>
      <w:r w:rsidR="008362C4" w:rsidRPr="00723ECA">
        <w:rPr>
          <w:sz w:val="22"/>
          <w:lang w:val="pt-BR"/>
        </w:rPr>
        <w:t>in</w:t>
      </w:r>
      <w:r w:rsidR="009C4D0B" w:rsidRPr="00723ECA">
        <w:rPr>
          <w:sz w:val="22"/>
          <w:lang w:val="pt-BR"/>
        </w:rPr>
        <w:t xml:space="preserve">equidade de acesso, uma vez que as pessoas que vivem nessas áreas, </w:t>
      </w:r>
      <w:r w:rsidR="008362C4" w:rsidRPr="00723ECA">
        <w:rPr>
          <w:sz w:val="22"/>
          <w:lang w:val="pt-BR"/>
        </w:rPr>
        <w:t xml:space="preserve">frequentemente </w:t>
      </w:r>
      <w:r w:rsidR="009C4D0B" w:rsidRPr="00723ECA">
        <w:rPr>
          <w:sz w:val="22"/>
          <w:lang w:val="pt-BR"/>
        </w:rPr>
        <w:t xml:space="preserve">os mais pobres, precisam confiar em alternativas </w:t>
      </w:r>
      <w:r w:rsidR="008362C4" w:rsidRPr="00723ECA">
        <w:rPr>
          <w:sz w:val="22"/>
          <w:lang w:val="pt-BR"/>
        </w:rPr>
        <w:t xml:space="preserve">por vezes </w:t>
      </w:r>
      <w:r w:rsidR="009C4D0B" w:rsidRPr="00723ECA">
        <w:rPr>
          <w:sz w:val="22"/>
          <w:lang w:val="pt-BR"/>
        </w:rPr>
        <w:t xml:space="preserve">de qualidade </w:t>
      </w:r>
      <w:r w:rsidR="008362C4" w:rsidRPr="00723ECA">
        <w:rPr>
          <w:sz w:val="22"/>
          <w:lang w:val="pt-BR"/>
        </w:rPr>
        <w:t xml:space="preserve">inferior </w:t>
      </w:r>
      <w:r w:rsidR="009C4D0B" w:rsidRPr="00723ECA">
        <w:rPr>
          <w:sz w:val="22"/>
          <w:lang w:val="pt-BR"/>
        </w:rPr>
        <w:t xml:space="preserve">e </w:t>
      </w:r>
      <w:r w:rsidR="008362C4" w:rsidRPr="00723ECA">
        <w:rPr>
          <w:sz w:val="22"/>
          <w:lang w:val="pt-BR"/>
        </w:rPr>
        <w:t xml:space="preserve">que </w:t>
      </w:r>
      <w:r w:rsidR="009C4D0B" w:rsidRPr="00723ECA">
        <w:rPr>
          <w:sz w:val="22"/>
          <w:lang w:val="pt-BR"/>
        </w:rPr>
        <w:t xml:space="preserve">tendem a custar mais caro. Nessas situações, alguns tipos de serviços, tais como instalações compartilhadas e soluções individuais </w:t>
      </w:r>
      <w:proofErr w:type="spellStart"/>
      <w:r w:rsidR="009C4D0B" w:rsidRPr="00723ECA">
        <w:rPr>
          <w:i/>
          <w:sz w:val="22"/>
          <w:lang w:val="pt-BR"/>
        </w:rPr>
        <w:t>in-loco</w:t>
      </w:r>
      <w:proofErr w:type="spellEnd"/>
      <w:r w:rsidR="009C4D0B" w:rsidRPr="00723ECA">
        <w:rPr>
          <w:sz w:val="22"/>
          <w:lang w:val="pt-BR"/>
        </w:rPr>
        <w:t xml:space="preserve"> não reguladas, são vistas como soluções necessárias de </w:t>
      </w:r>
      <w:r w:rsidR="008362C4" w:rsidRPr="00723ECA">
        <w:rPr>
          <w:sz w:val="22"/>
          <w:lang w:val="pt-BR"/>
        </w:rPr>
        <w:t>curto</w:t>
      </w:r>
      <w:r w:rsidR="009C4D0B" w:rsidRPr="00723ECA">
        <w:rPr>
          <w:sz w:val="22"/>
          <w:lang w:val="pt-BR"/>
        </w:rPr>
        <w:t xml:space="preserve"> e médio p</w:t>
      </w:r>
      <w:r w:rsidR="008362C4" w:rsidRPr="00723ECA">
        <w:rPr>
          <w:sz w:val="22"/>
          <w:lang w:val="pt-BR"/>
        </w:rPr>
        <w:t>razo. No entanto, sem regul</w:t>
      </w:r>
      <w:r w:rsidR="009C4D0B" w:rsidRPr="00723ECA">
        <w:rPr>
          <w:sz w:val="22"/>
          <w:lang w:val="pt-BR"/>
        </w:rPr>
        <w:t xml:space="preserve">ação e monitoramento apropriados, não há garantia de que </w:t>
      </w:r>
      <w:r w:rsidR="008362C4" w:rsidRPr="00723ECA">
        <w:rPr>
          <w:sz w:val="22"/>
          <w:lang w:val="pt-BR"/>
        </w:rPr>
        <w:t>quaisquer</w:t>
      </w:r>
      <w:r w:rsidR="009C4D0B" w:rsidRPr="00723ECA">
        <w:rPr>
          <w:sz w:val="22"/>
          <w:lang w:val="pt-BR"/>
        </w:rPr>
        <w:t xml:space="preserve"> desses serviços atendam aos padrões de direitos humanos. </w:t>
      </w:r>
    </w:p>
    <w:p w:rsidR="009C4D0B" w:rsidRPr="00723ECA" w:rsidRDefault="009C4D0B" w:rsidP="008952EA">
      <w:pPr>
        <w:ind w:left="1134" w:right="1134"/>
        <w:jc w:val="both"/>
        <w:rPr>
          <w:sz w:val="22"/>
          <w:lang w:val="pt-BR"/>
        </w:rPr>
      </w:pPr>
    </w:p>
    <w:p w:rsidR="009C4D0B" w:rsidRPr="00723ECA" w:rsidRDefault="009C4D0B" w:rsidP="008952EA">
      <w:pPr>
        <w:ind w:left="1134" w:right="1134"/>
        <w:jc w:val="both"/>
        <w:rPr>
          <w:sz w:val="22"/>
          <w:lang w:val="pt-BR"/>
        </w:rPr>
      </w:pPr>
      <w:r w:rsidRPr="00723ECA">
        <w:rPr>
          <w:sz w:val="22"/>
          <w:lang w:val="pt-BR"/>
        </w:rPr>
        <w:t xml:space="preserve">70. Organizações </w:t>
      </w:r>
      <w:proofErr w:type="gramStart"/>
      <w:r w:rsidRPr="00723ECA">
        <w:rPr>
          <w:sz w:val="22"/>
          <w:lang w:val="pt-BR"/>
        </w:rPr>
        <w:t>não-governamentais</w:t>
      </w:r>
      <w:proofErr w:type="gramEnd"/>
      <w:r w:rsidRPr="00723ECA">
        <w:rPr>
          <w:sz w:val="22"/>
          <w:lang w:val="pt-BR"/>
        </w:rPr>
        <w:t xml:space="preserve"> e organizações de base comunitária têm assumido um importante papel na prestação informal de serviços, intervindo em locais onde o Estado não se envolve em tais atividades. Muitos dos </w:t>
      </w:r>
      <w:r w:rsidR="00245553" w:rsidRPr="00723ECA">
        <w:rPr>
          <w:sz w:val="22"/>
          <w:lang w:val="pt-BR"/>
        </w:rPr>
        <w:t xml:space="preserve">mesmos </w:t>
      </w:r>
      <w:r w:rsidRPr="00723ECA">
        <w:rPr>
          <w:sz w:val="22"/>
          <w:lang w:val="pt-BR"/>
        </w:rPr>
        <w:t xml:space="preserve">desafios relacionados à regulação e à </w:t>
      </w:r>
      <w:r w:rsidR="009D6ACE" w:rsidRPr="00723ECA">
        <w:rPr>
          <w:sz w:val="22"/>
          <w:lang w:val="pt-BR"/>
        </w:rPr>
        <w:t>responsabilização</w:t>
      </w:r>
      <w:r w:rsidRPr="00723ECA">
        <w:rPr>
          <w:sz w:val="22"/>
          <w:lang w:val="pt-BR"/>
        </w:rPr>
        <w:t xml:space="preserve"> se aplicam às atividades dessas organizações, como </w:t>
      </w:r>
      <w:proofErr w:type="gramStart"/>
      <w:r w:rsidRPr="00723ECA">
        <w:rPr>
          <w:sz w:val="22"/>
          <w:lang w:val="pt-BR"/>
        </w:rPr>
        <w:t>por exemplo</w:t>
      </w:r>
      <w:proofErr w:type="gramEnd"/>
      <w:r w:rsidRPr="00723ECA">
        <w:rPr>
          <w:sz w:val="22"/>
          <w:lang w:val="pt-BR"/>
        </w:rPr>
        <w:t xml:space="preserve"> a garantia de padrões consistentes relacionados à qualidade dos serviços e a garantia</w:t>
      </w:r>
      <w:r w:rsidR="00BB6C9C" w:rsidRPr="00723ECA">
        <w:rPr>
          <w:sz w:val="22"/>
          <w:lang w:val="pt-BR"/>
        </w:rPr>
        <w:t xml:space="preserve"> de que </w:t>
      </w:r>
      <w:r w:rsidR="00BB6C9C" w:rsidRPr="00723ECA">
        <w:rPr>
          <w:sz w:val="22"/>
          <w:lang w:val="pt-BR"/>
        </w:rPr>
        <w:lastRenderedPageBreak/>
        <w:t>tais organizações preste</w:t>
      </w:r>
      <w:r w:rsidRPr="00723ECA">
        <w:rPr>
          <w:sz w:val="22"/>
          <w:lang w:val="pt-BR"/>
        </w:rPr>
        <w:t>m contas àqueles que atendem. Grupos populacionais de muitos países são atendidos por prestadores de serviços comunitários e informais, que raramente reportam resultados de monitoramento interno às autoridades</w:t>
      </w:r>
      <w:r w:rsidRPr="00723ECA">
        <w:rPr>
          <w:rStyle w:val="FootnoteReference"/>
          <w:sz w:val="20"/>
          <w:lang w:val="pt-BR"/>
        </w:rPr>
        <w:footnoteReference w:id="43"/>
      </w:r>
      <w:r w:rsidRPr="00723ECA">
        <w:rPr>
          <w:sz w:val="22"/>
          <w:lang w:val="pt-BR"/>
        </w:rPr>
        <w:t xml:space="preserve">. </w:t>
      </w:r>
    </w:p>
    <w:p w:rsidR="009C4D0B" w:rsidRPr="00723ECA" w:rsidRDefault="009C4D0B" w:rsidP="008952EA">
      <w:pPr>
        <w:ind w:left="1134" w:right="1134"/>
        <w:jc w:val="both"/>
        <w:rPr>
          <w:sz w:val="22"/>
          <w:lang w:val="pt-BR"/>
        </w:rPr>
      </w:pPr>
    </w:p>
    <w:p w:rsidR="009C4D0B" w:rsidRPr="00723ECA" w:rsidRDefault="009C4D0B" w:rsidP="008952EA">
      <w:pPr>
        <w:ind w:left="1134" w:right="1134"/>
        <w:jc w:val="both"/>
        <w:rPr>
          <w:sz w:val="22"/>
          <w:lang w:val="pt-BR"/>
        </w:rPr>
      </w:pPr>
      <w:r w:rsidRPr="00723ECA">
        <w:rPr>
          <w:sz w:val="22"/>
          <w:lang w:val="pt-BR"/>
        </w:rPr>
        <w:t xml:space="preserve">71. Uma abordagem para o monitoramento em assentamentos informais que tem mostrado resultados positivos é o uso de sistemas de informações geográficas participativos, que combinam informações espaciais técnicas com conhecimento regional específico da comunidade local, e que frequentemente produzem informações valiosas sobre uso do solo, fontes de água, acessos diferenciados a recursos e </w:t>
      </w:r>
      <w:r w:rsidR="00245553" w:rsidRPr="00723ECA">
        <w:rPr>
          <w:sz w:val="22"/>
          <w:lang w:val="pt-BR"/>
        </w:rPr>
        <w:t>locais de riscos ambientais reais ou potenciais</w:t>
      </w:r>
      <w:r w:rsidRPr="00723ECA">
        <w:rPr>
          <w:sz w:val="22"/>
          <w:lang w:val="pt-BR"/>
        </w:rPr>
        <w:t xml:space="preserve">. Por exemplo, a iniciativa </w:t>
      </w:r>
      <w:proofErr w:type="spellStart"/>
      <w:proofErr w:type="gramStart"/>
      <w:r w:rsidRPr="0027205A">
        <w:rPr>
          <w:i/>
          <w:sz w:val="22"/>
          <w:lang w:val="pt-BR"/>
        </w:rPr>
        <w:t>OpenStreetMap</w:t>
      </w:r>
      <w:proofErr w:type="spellEnd"/>
      <w:proofErr w:type="gramEnd"/>
      <w:r w:rsidRPr="00723ECA">
        <w:rPr>
          <w:rStyle w:val="FootnoteReference"/>
          <w:sz w:val="20"/>
          <w:lang w:val="pt-BR"/>
        </w:rPr>
        <w:footnoteReference w:id="44"/>
      </w:r>
      <w:r w:rsidRPr="00723ECA">
        <w:rPr>
          <w:sz w:val="22"/>
          <w:lang w:val="pt-BR"/>
        </w:rPr>
        <w:t xml:space="preserve"> em assentamentos informais de </w:t>
      </w:r>
      <w:r w:rsidR="0027205A" w:rsidRPr="00723ECA">
        <w:rPr>
          <w:sz w:val="22"/>
          <w:lang w:val="pt-BR"/>
        </w:rPr>
        <w:t>Nairóbi</w:t>
      </w:r>
      <w:r w:rsidRPr="00723ECA">
        <w:rPr>
          <w:sz w:val="22"/>
          <w:lang w:val="pt-BR"/>
        </w:rPr>
        <w:t xml:space="preserve"> gerou dados detalhados que indicam quantas residências compartilham banheiros, se existem banheiros separados por gênero, se existem banheiros acessíveis para os portadores de necessidades especiais e se os banheiros oferecem lixeiras para mulheres (ver A/69/213, parágrafo 82). </w:t>
      </w:r>
    </w:p>
    <w:p w:rsidR="009C4D0B" w:rsidRPr="00723ECA" w:rsidRDefault="009C4D0B" w:rsidP="008952EA">
      <w:pPr>
        <w:ind w:left="1134" w:right="1134"/>
        <w:jc w:val="both"/>
        <w:rPr>
          <w:sz w:val="22"/>
          <w:lang w:val="pt-BR"/>
        </w:rPr>
      </w:pPr>
    </w:p>
    <w:p w:rsidR="009C4D0B" w:rsidRPr="00723ECA" w:rsidRDefault="009C4D0B" w:rsidP="008952EA">
      <w:pPr>
        <w:ind w:left="1134" w:right="1134"/>
        <w:jc w:val="both"/>
        <w:rPr>
          <w:sz w:val="22"/>
          <w:lang w:val="pt-BR"/>
        </w:rPr>
      </w:pPr>
      <w:r w:rsidRPr="00723ECA">
        <w:rPr>
          <w:sz w:val="22"/>
          <w:lang w:val="pt-BR"/>
        </w:rPr>
        <w:t xml:space="preserve">72. É importante que Estados e </w:t>
      </w:r>
      <w:r w:rsidR="002533F0">
        <w:rPr>
          <w:sz w:val="22"/>
          <w:lang w:val="pt-BR"/>
        </w:rPr>
        <w:t>agentes regulatórios</w:t>
      </w:r>
      <w:r w:rsidRPr="00723ECA">
        <w:rPr>
          <w:sz w:val="22"/>
          <w:lang w:val="pt-BR"/>
        </w:rPr>
        <w:t xml:space="preserve"> reconheçam a existência da prestação de serviços informal e avaliem o papel que essa prestação desempenha em um dado contexto. Embora a escolha da melhor abordagem a ser dada </w:t>
      </w:r>
      <w:r w:rsidR="00245553" w:rsidRPr="00723ECA">
        <w:rPr>
          <w:sz w:val="22"/>
          <w:lang w:val="pt-BR"/>
        </w:rPr>
        <w:t xml:space="preserve">em termos de política pública </w:t>
      </w:r>
      <w:r w:rsidRPr="00723ECA">
        <w:rPr>
          <w:sz w:val="22"/>
          <w:lang w:val="pt-BR"/>
        </w:rPr>
        <w:t>aos prestadores informais seja competência do Estado e dependa de circunstâncias particulares em cada caso, a</w:t>
      </w:r>
      <w:r w:rsidR="0026340B" w:rsidRPr="00723ECA">
        <w:rPr>
          <w:sz w:val="22"/>
          <w:lang w:val="pt-BR"/>
        </w:rPr>
        <w:t xml:space="preserve"> legislação dos</w:t>
      </w:r>
      <w:r w:rsidRPr="00723ECA">
        <w:rPr>
          <w:sz w:val="22"/>
          <w:lang w:val="pt-BR"/>
        </w:rPr>
        <w:t xml:space="preserve"> direitos humanos estabelece </w:t>
      </w:r>
      <w:r w:rsidR="00245553" w:rsidRPr="00723ECA">
        <w:rPr>
          <w:sz w:val="22"/>
          <w:lang w:val="pt-BR"/>
        </w:rPr>
        <w:t>que, n</w:t>
      </w:r>
      <w:r w:rsidRPr="00723ECA">
        <w:rPr>
          <w:sz w:val="22"/>
          <w:lang w:val="pt-BR"/>
        </w:rPr>
        <w:t xml:space="preserve">os locais onde os serviços são operados e controlados por </w:t>
      </w:r>
      <w:r w:rsidR="00245553" w:rsidRPr="00723ECA">
        <w:rPr>
          <w:sz w:val="22"/>
          <w:lang w:val="pt-BR"/>
        </w:rPr>
        <w:t>terceiros</w:t>
      </w:r>
      <w:r w:rsidRPr="00723ECA">
        <w:rPr>
          <w:sz w:val="22"/>
          <w:lang w:val="pt-BR"/>
        </w:rPr>
        <w:t>, os Estados devem impedi</w:t>
      </w:r>
      <w:r w:rsidR="0026340B" w:rsidRPr="00723ECA">
        <w:rPr>
          <w:sz w:val="22"/>
          <w:lang w:val="pt-BR"/>
        </w:rPr>
        <w:t>-los de provocar</w:t>
      </w:r>
      <w:r w:rsidRPr="00723ECA">
        <w:rPr>
          <w:sz w:val="22"/>
          <w:lang w:val="pt-BR"/>
        </w:rPr>
        <w:t xml:space="preserve"> comprometimento </w:t>
      </w:r>
      <w:r w:rsidR="00245553" w:rsidRPr="00723ECA">
        <w:rPr>
          <w:sz w:val="22"/>
          <w:lang w:val="pt-BR"/>
        </w:rPr>
        <w:t xml:space="preserve">da acessibilidade física e econômica à </w:t>
      </w:r>
      <w:r w:rsidRPr="00723ECA">
        <w:rPr>
          <w:sz w:val="22"/>
          <w:lang w:val="pt-BR"/>
        </w:rPr>
        <w:t>água de forma suficiente, segura e aceitável</w:t>
      </w:r>
      <w:r w:rsidR="00245553" w:rsidRPr="00723ECA">
        <w:rPr>
          <w:sz w:val="22"/>
          <w:lang w:val="pt-BR"/>
        </w:rPr>
        <w:t>, com equidade</w:t>
      </w:r>
      <w:r w:rsidRPr="00723ECA">
        <w:rPr>
          <w:sz w:val="22"/>
          <w:lang w:val="pt-BR"/>
        </w:rPr>
        <w:t xml:space="preserve">. Nesses casos, o Pacto Internacional dos Direitos Econômicos, Sociais e Culturais </w:t>
      </w:r>
      <w:r w:rsidR="00FC3B7A">
        <w:rPr>
          <w:sz w:val="22"/>
          <w:lang w:val="pt-BR"/>
        </w:rPr>
        <w:t>recomenda</w:t>
      </w:r>
      <w:r w:rsidRPr="00723ECA">
        <w:rPr>
          <w:sz w:val="22"/>
          <w:lang w:val="pt-BR"/>
        </w:rPr>
        <w:t xml:space="preserve"> que seja estabelecido um sistema regulatório efetivo. Nessas situações, é importante que os instrumentos regulatórios e </w:t>
      </w:r>
      <w:proofErr w:type="gramStart"/>
      <w:r w:rsidR="00245553" w:rsidRPr="00723ECA">
        <w:rPr>
          <w:sz w:val="22"/>
          <w:lang w:val="pt-BR"/>
        </w:rPr>
        <w:t>os marcos</w:t>
      </w:r>
      <w:proofErr w:type="gramEnd"/>
      <w:r w:rsidR="00245553" w:rsidRPr="00723ECA">
        <w:rPr>
          <w:sz w:val="22"/>
          <w:lang w:val="pt-BR"/>
        </w:rPr>
        <w:t xml:space="preserve"> institucionais escolhidos </w:t>
      </w:r>
      <w:r w:rsidRPr="00723ECA">
        <w:rPr>
          <w:sz w:val="22"/>
          <w:lang w:val="pt-BR"/>
        </w:rPr>
        <w:t xml:space="preserve">sejam adaptados à natureza da prestação de serviços em pequena escala. </w:t>
      </w:r>
    </w:p>
    <w:p w:rsidR="009C4D0B" w:rsidRPr="00723ECA" w:rsidRDefault="009C4D0B" w:rsidP="008952EA">
      <w:pPr>
        <w:ind w:left="1134" w:right="1134"/>
        <w:jc w:val="both"/>
        <w:rPr>
          <w:sz w:val="22"/>
          <w:lang w:val="pt-BR"/>
        </w:rPr>
      </w:pPr>
    </w:p>
    <w:p w:rsidR="009C4D0B" w:rsidRPr="00723ECA" w:rsidRDefault="009C4D0B" w:rsidP="008952EA">
      <w:pPr>
        <w:ind w:left="1134" w:right="1134"/>
        <w:jc w:val="both"/>
        <w:rPr>
          <w:sz w:val="22"/>
          <w:lang w:val="pt-BR"/>
        </w:rPr>
      </w:pPr>
      <w:r w:rsidRPr="00723ECA">
        <w:rPr>
          <w:sz w:val="22"/>
          <w:lang w:val="pt-BR"/>
        </w:rPr>
        <w:t>73. O Estado da Palestina reporta que</w:t>
      </w:r>
      <w:r w:rsidR="00245553" w:rsidRPr="00723ECA">
        <w:rPr>
          <w:sz w:val="22"/>
          <w:lang w:val="pt-BR"/>
        </w:rPr>
        <w:t>,</w:t>
      </w:r>
      <w:r w:rsidRPr="00723ECA">
        <w:rPr>
          <w:sz w:val="22"/>
          <w:lang w:val="pt-BR"/>
        </w:rPr>
        <w:t xml:space="preserve"> em seu território</w:t>
      </w:r>
      <w:r w:rsidR="00245553" w:rsidRPr="00723ECA">
        <w:rPr>
          <w:sz w:val="22"/>
          <w:lang w:val="pt-BR"/>
        </w:rPr>
        <w:t>,</w:t>
      </w:r>
      <w:r w:rsidRPr="00723ECA">
        <w:rPr>
          <w:sz w:val="22"/>
          <w:lang w:val="pt-BR"/>
        </w:rPr>
        <w:t xml:space="preserve"> os prestadores informais não apenas estão presentes, como são essenciais para garantir o acesso das comunidades à água. Esses prestadores informais são a única opção efetiva para muitas comunidades e, consequentemente, são considerados como um serviço público. Atualmente, diferentes instituições governamentais estão colaborando a fim de garantir a regulação e </w:t>
      </w:r>
      <w:r w:rsidR="00245553" w:rsidRPr="00723ECA">
        <w:rPr>
          <w:sz w:val="22"/>
          <w:lang w:val="pt-BR"/>
        </w:rPr>
        <w:t xml:space="preserve">a </w:t>
      </w:r>
      <w:r w:rsidRPr="00723ECA">
        <w:rPr>
          <w:sz w:val="22"/>
          <w:lang w:val="pt-BR"/>
        </w:rPr>
        <w:t xml:space="preserve">supervisão desses prestadores informais, realizando esforços para licenciá-los e certificá-los. A estratégia governamental traçada para </w:t>
      </w:r>
      <w:r w:rsidR="00245553" w:rsidRPr="00723ECA">
        <w:rPr>
          <w:sz w:val="22"/>
          <w:lang w:val="pt-BR"/>
        </w:rPr>
        <w:t xml:space="preserve">o </w:t>
      </w:r>
      <w:r w:rsidRPr="00723ECA">
        <w:rPr>
          <w:sz w:val="22"/>
          <w:lang w:val="pt-BR"/>
        </w:rPr>
        <w:t xml:space="preserve">longo prazo é conectar completamente as comunidades locais às redes públicas de distribuição de água. Em curto prazo, no entanto, a estratégia é regular esses serviços e facilitar o apoio mútuo entre comunidades locais e prestadores de serviços informais.  </w:t>
      </w:r>
    </w:p>
    <w:p w:rsidR="009C4D0B" w:rsidRPr="00723ECA" w:rsidRDefault="009C4D0B" w:rsidP="008952EA">
      <w:pPr>
        <w:ind w:left="1134" w:right="1134"/>
        <w:jc w:val="both"/>
        <w:rPr>
          <w:sz w:val="22"/>
          <w:lang w:val="pt-BR"/>
        </w:rPr>
      </w:pPr>
    </w:p>
    <w:p w:rsidR="009C4D0B" w:rsidRPr="00723ECA" w:rsidRDefault="009C4D0B" w:rsidP="008952EA">
      <w:pPr>
        <w:ind w:left="1134" w:right="1134"/>
        <w:jc w:val="both"/>
        <w:rPr>
          <w:sz w:val="22"/>
          <w:lang w:val="pt-BR"/>
        </w:rPr>
      </w:pPr>
      <w:r w:rsidRPr="00723ECA">
        <w:rPr>
          <w:sz w:val="22"/>
          <w:lang w:val="pt-BR"/>
        </w:rPr>
        <w:lastRenderedPageBreak/>
        <w:t>74. No Qu</w:t>
      </w:r>
      <w:r w:rsidR="00245553" w:rsidRPr="00723ECA">
        <w:rPr>
          <w:sz w:val="22"/>
          <w:lang w:val="pt-BR"/>
        </w:rPr>
        <w:t>ê</w:t>
      </w:r>
      <w:r w:rsidRPr="00723ECA">
        <w:rPr>
          <w:sz w:val="22"/>
          <w:lang w:val="pt-BR"/>
        </w:rPr>
        <w:t>nia, por outro lado, o arcabouço regulatório não se aplica aos fornecedores de água que atendem menos do que 20 residências ou fornecem menos do que 25 m³ de água por dia para uso doméstico. Esses prestadores estão fora da estrutura tarifária regulada e do sistema de ins</w:t>
      </w:r>
      <w:r w:rsidR="00245553" w:rsidRPr="00723ECA">
        <w:rPr>
          <w:sz w:val="22"/>
          <w:lang w:val="pt-BR"/>
        </w:rPr>
        <w:t>peções de qualidade frequentes.</w:t>
      </w:r>
      <w:r w:rsidRPr="00723ECA">
        <w:rPr>
          <w:rStyle w:val="FootnoteReference"/>
          <w:sz w:val="20"/>
          <w:lang w:val="pt-BR"/>
        </w:rPr>
        <w:footnoteReference w:id="45"/>
      </w:r>
      <w:r w:rsidR="00245553" w:rsidRPr="00723ECA">
        <w:rPr>
          <w:sz w:val="22"/>
          <w:lang w:val="pt-BR"/>
        </w:rPr>
        <w:t xml:space="preserve"> </w:t>
      </w:r>
      <w:r w:rsidRPr="00723ECA">
        <w:rPr>
          <w:sz w:val="22"/>
          <w:lang w:val="pt-BR"/>
        </w:rPr>
        <w:t>O posici</w:t>
      </w:r>
      <w:r w:rsidR="00245553" w:rsidRPr="00723ECA">
        <w:rPr>
          <w:sz w:val="22"/>
          <w:lang w:val="pt-BR"/>
        </w:rPr>
        <w:t xml:space="preserve">onamento do Governo é de que, </w:t>
      </w:r>
      <w:proofErr w:type="gramStart"/>
      <w:r w:rsidR="00245553" w:rsidRPr="00723ECA">
        <w:rPr>
          <w:sz w:val="22"/>
          <w:lang w:val="pt-BR"/>
        </w:rPr>
        <w:t>a</w:t>
      </w:r>
      <w:r w:rsidRPr="00723ECA">
        <w:rPr>
          <w:sz w:val="22"/>
          <w:lang w:val="pt-BR"/>
        </w:rPr>
        <w:t xml:space="preserve"> longo prazo</w:t>
      </w:r>
      <w:proofErr w:type="gramEnd"/>
      <w:r w:rsidRPr="00723ECA">
        <w:rPr>
          <w:sz w:val="22"/>
          <w:lang w:val="pt-BR"/>
        </w:rPr>
        <w:t xml:space="preserve">, os serviços informais </w:t>
      </w:r>
      <w:r w:rsidR="007B462D">
        <w:rPr>
          <w:sz w:val="22"/>
          <w:lang w:val="pt-BR"/>
        </w:rPr>
        <w:t xml:space="preserve">estejam </w:t>
      </w:r>
      <w:r w:rsidRPr="00723ECA">
        <w:rPr>
          <w:sz w:val="22"/>
          <w:lang w:val="pt-BR"/>
        </w:rPr>
        <w:t xml:space="preserve">conectados ao sistema formal e </w:t>
      </w:r>
      <w:r w:rsidR="007B462D">
        <w:rPr>
          <w:sz w:val="22"/>
          <w:lang w:val="pt-BR"/>
        </w:rPr>
        <w:t xml:space="preserve">apliquem </w:t>
      </w:r>
      <w:r w:rsidRPr="00723ECA">
        <w:rPr>
          <w:sz w:val="22"/>
          <w:lang w:val="pt-BR"/>
        </w:rPr>
        <w:t xml:space="preserve">as tarifas oficiais e </w:t>
      </w:r>
      <w:r w:rsidR="00245553" w:rsidRPr="00723ECA">
        <w:rPr>
          <w:sz w:val="22"/>
          <w:lang w:val="pt-BR"/>
        </w:rPr>
        <w:t xml:space="preserve">os </w:t>
      </w:r>
      <w:r w:rsidRPr="00723ECA">
        <w:rPr>
          <w:sz w:val="22"/>
          <w:lang w:val="pt-BR"/>
        </w:rPr>
        <w:t xml:space="preserve">padrões de qualidade. </w:t>
      </w:r>
      <w:r w:rsidR="00245553" w:rsidRPr="00723ECA">
        <w:rPr>
          <w:sz w:val="22"/>
          <w:lang w:val="pt-BR"/>
        </w:rPr>
        <w:t>No</w:t>
      </w:r>
      <w:r w:rsidRPr="00723ECA">
        <w:rPr>
          <w:sz w:val="22"/>
          <w:lang w:val="pt-BR"/>
        </w:rPr>
        <w:t xml:space="preserve"> curto prazo, o Governo </w:t>
      </w:r>
      <w:r w:rsidR="00245553" w:rsidRPr="00723ECA">
        <w:rPr>
          <w:sz w:val="22"/>
          <w:lang w:val="pt-BR"/>
        </w:rPr>
        <w:t>aceita</w:t>
      </w:r>
      <w:r w:rsidRPr="00723ECA">
        <w:rPr>
          <w:sz w:val="22"/>
          <w:lang w:val="pt-BR"/>
        </w:rPr>
        <w:t xml:space="preserve"> a prestação </w:t>
      </w:r>
      <w:r w:rsidR="00245553" w:rsidRPr="00723ECA">
        <w:rPr>
          <w:sz w:val="22"/>
          <w:lang w:val="pt-BR"/>
        </w:rPr>
        <w:t xml:space="preserve">informal </w:t>
      </w:r>
      <w:r w:rsidRPr="00723ECA">
        <w:rPr>
          <w:sz w:val="22"/>
          <w:lang w:val="pt-BR"/>
        </w:rPr>
        <w:t xml:space="preserve">de serviços, mas não a regula. </w:t>
      </w:r>
    </w:p>
    <w:p w:rsidR="009C4D0B" w:rsidRPr="00723ECA" w:rsidRDefault="009C4D0B" w:rsidP="008952EA">
      <w:pPr>
        <w:ind w:left="1134" w:right="1134"/>
        <w:jc w:val="both"/>
        <w:rPr>
          <w:sz w:val="22"/>
          <w:lang w:val="pt-BR"/>
        </w:rPr>
      </w:pPr>
    </w:p>
    <w:p w:rsidR="009C4D0B" w:rsidRPr="00723ECA" w:rsidRDefault="009C4D0B" w:rsidP="008952EA">
      <w:pPr>
        <w:ind w:left="1134" w:right="1134"/>
        <w:jc w:val="both"/>
        <w:rPr>
          <w:sz w:val="22"/>
          <w:lang w:val="pt-BR"/>
        </w:rPr>
      </w:pPr>
      <w:r w:rsidRPr="00723ECA">
        <w:rPr>
          <w:sz w:val="22"/>
          <w:lang w:val="pt-BR"/>
        </w:rPr>
        <w:t>75. Caso os Estados</w:t>
      </w:r>
      <w:r w:rsidR="00F12FBC" w:rsidRPr="00723ECA">
        <w:rPr>
          <w:sz w:val="22"/>
          <w:lang w:val="pt-BR"/>
        </w:rPr>
        <w:t xml:space="preserve"> decidam buscar a regulação, usar</w:t>
      </w:r>
      <w:r w:rsidRPr="00723ECA">
        <w:rPr>
          <w:sz w:val="22"/>
          <w:lang w:val="pt-BR"/>
        </w:rPr>
        <w:t xml:space="preserve"> incentivos para a prestação de serviços d</w:t>
      </w:r>
      <w:r w:rsidR="00F12FBC" w:rsidRPr="00723ECA">
        <w:rPr>
          <w:sz w:val="22"/>
          <w:lang w:val="pt-BR"/>
        </w:rPr>
        <w:t>e qualidade a preços acessíveis ou eliminar</w:t>
      </w:r>
      <w:r w:rsidRPr="00723ECA">
        <w:rPr>
          <w:sz w:val="22"/>
          <w:lang w:val="pt-BR"/>
        </w:rPr>
        <w:t xml:space="preserve"> os prestadores de serviço de pequena escala no longo prazo</w:t>
      </w:r>
      <w:r w:rsidR="00F12FBC" w:rsidRPr="00723ECA">
        <w:rPr>
          <w:sz w:val="22"/>
          <w:lang w:val="pt-BR"/>
        </w:rPr>
        <w:t>,</w:t>
      </w:r>
      <w:r w:rsidRPr="00723ECA">
        <w:rPr>
          <w:sz w:val="22"/>
          <w:lang w:val="pt-BR"/>
        </w:rPr>
        <w:t xml:space="preserve"> substituindo-os por prestadores formais, é essencial que </w:t>
      </w:r>
      <w:r w:rsidR="00F12FBC" w:rsidRPr="00723ECA">
        <w:rPr>
          <w:sz w:val="22"/>
          <w:lang w:val="pt-BR"/>
        </w:rPr>
        <w:t xml:space="preserve">não agravem </w:t>
      </w:r>
      <w:r w:rsidRPr="00723ECA">
        <w:rPr>
          <w:sz w:val="22"/>
          <w:lang w:val="pt-BR"/>
        </w:rPr>
        <w:t xml:space="preserve">a situação e que as pessoas não fiquem sem acesso aos serviços (ver A/HRC/15/31, parágrafo 53). Em particular, </w:t>
      </w:r>
      <w:r w:rsidR="0026340B" w:rsidRPr="00723ECA">
        <w:rPr>
          <w:sz w:val="22"/>
          <w:lang w:val="pt-BR"/>
        </w:rPr>
        <w:t>quando atribuem</w:t>
      </w:r>
      <w:r w:rsidRPr="00723ECA">
        <w:rPr>
          <w:sz w:val="22"/>
          <w:lang w:val="pt-BR"/>
        </w:rPr>
        <w:t xml:space="preserve"> exclusividade aos prestadores </w:t>
      </w:r>
      <w:r w:rsidR="00F12FBC" w:rsidRPr="00723ECA">
        <w:rPr>
          <w:sz w:val="22"/>
          <w:lang w:val="pt-BR"/>
        </w:rPr>
        <w:t>formais</w:t>
      </w:r>
      <w:r w:rsidR="0026340B" w:rsidRPr="00723ECA">
        <w:rPr>
          <w:sz w:val="22"/>
          <w:lang w:val="pt-BR"/>
        </w:rPr>
        <w:t xml:space="preserve"> para a extensão dos serviços</w:t>
      </w:r>
      <w:r w:rsidRPr="00723ECA">
        <w:rPr>
          <w:sz w:val="22"/>
          <w:lang w:val="pt-BR"/>
        </w:rPr>
        <w:t xml:space="preserve"> a áreas anteriormente atendidas por prestadores informais, o Estado deve garantir que a conexão à rede seja uma alternativa viável financeiramente. Nesses casos, devem ser realizados estudos sobre a </w:t>
      </w:r>
      <w:r w:rsidR="00EC7E89" w:rsidRPr="00723ECA">
        <w:rPr>
          <w:sz w:val="22"/>
          <w:lang w:val="pt-BR"/>
        </w:rPr>
        <w:t xml:space="preserve">acessibilidade financeira </w:t>
      </w:r>
      <w:r w:rsidRPr="00723ECA">
        <w:rPr>
          <w:sz w:val="22"/>
          <w:lang w:val="pt-BR"/>
        </w:rPr>
        <w:t xml:space="preserve">a fim de impedir o retrocesso. </w:t>
      </w:r>
    </w:p>
    <w:p w:rsidR="008952EA" w:rsidRPr="00723ECA" w:rsidRDefault="008952EA" w:rsidP="008952EA">
      <w:pPr>
        <w:ind w:left="1134" w:right="1134"/>
        <w:jc w:val="both"/>
        <w:rPr>
          <w:sz w:val="22"/>
          <w:lang w:val="pt-BR"/>
        </w:rPr>
      </w:pPr>
    </w:p>
    <w:p w:rsidR="009C4D0B" w:rsidRPr="00723ECA" w:rsidRDefault="009C4D0B" w:rsidP="008952EA">
      <w:pPr>
        <w:ind w:left="1134" w:right="1134"/>
        <w:jc w:val="both"/>
        <w:rPr>
          <w:sz w:val="22"/>
          <w:lang w:val="pt-BR"/>
        </w:rPr>
      </w:pPr>
      <w:r w:rsidRPr="00723ECA">
        <w:rPr>
          <w:sz w:val="22"/>
          <w:lang w:val="pt-BR"/>
        </w:rPr>
        <w:t>76. A regulação d</w:t>
      </w:r>
      <w:r w:rsidR="00F12FBC" w:rsidRPr="00723ECA">
        <w:rPr>
          <w:sz w:val="22"/>
          <w:lang w:val="pt-BR"/>
        </w:rPr>
        <w:t>os serviços de água e de esgot</w:t>
      </w:r>
      <w:r w:rsidRPr="00723ECA">
        <w:rPr>
          <w:sz w:val="22"/>
          <w:lang w:val="pt-BR"/>
        </w:rPr>
        <w:t>o (ou a falta dela) em áreas rurais é igualmente desafiadora. O abastecimento rural de água geralmente é gerido p</w:t>
      </w:r>
      <w:r w:rsidR="006809A9" w:rsidRPr="00723ECA">
        <w:rPr>
          <w:sz w:val="22"/>
          <w:lang w:val="pt-BR"/>
        </w:rPr>
        <w:t>or</w:t>
      </w:r>
      <w:r w:rsidRPr="00723ECA">
        <w:rPr>
          <w:sz w:val="22"/>
          <w:lang w:val="pt-BR"/>
        </w:rPr>
        <w:t xml:space="preserve"> membros </w:t>
      </w:r>
      <w:r w:rsidR="006809A9" w:rsidRPr="00723ECA">
        <w:rPr>
          <w:sz w:val="22"/>
          <w:lang w:val="pt-BR"/>
        </w:rPr>
        <w:t>ou uma organização da</w:t>
      </w:r>
      <w:r w:rsidRPr="00723ECA">
        <w:rPr>
          <w:sz w:val="22"/>
          <w:lang w:val="pt-BR"/>
        </w:rPr>
        <w:t xml:space="preserve"> comuni</w:t>
      </w:r>
      <w:r w:rsidR="006809A9" w:rsidRPr="00723ECA">
        <w:rPr>
          <w:sz w:val="22"/>
          <w:lang w:val="pt-BR"/>
        </w:rPr>
        <w:t>dade</w:t>
      </w:r>
      <w:r w:rsidRPr="00723ECA">
        <w:rPr>
          <w:sz w:val="22"/>
          <w:lang w:val="pt-BR"/>
        </w:rPr>
        <w:t xml:space="preserve">, sem treinamento e sem pagamento, e há </w:t>
      </w:r>
      <w:r w:rsidR="006809A9" w:rsidRPr="00723ECA">
        <w:rPr>
          <w:sz w:val="22"/>
          <w:lang w:val="pt-BR"/>
        </w:rPr>
        <w:t xml:space="preserve">os </w:t>
      </w:r>
      <w:r w:rsidRPr="00723ECA">
        <w:rPr>
          <w:sz w:val="22"/>
          <w:lang w:val="pt-BR"/>
        </w:rPr>
        <w:t xml:space="preserve">que </w:t>
      </w:r>
      <w:r w:rsidR="006809A9" w:rsidRPr="00723ECA">
        <w:rPr>
          <w:sz w:val="22"/>
          <w:lang w:val="pt-BR"/>
        </w:rPr>
        <w:t>argumentem que</w:t>
      </w:r>
      <w:r w:rsidRPr="00723ECA">
        <w:rPr>
          <w:sz w:val="22"/>
          <w:lang w:val="pt-BR"/>
        </w:rPr>
        <w:t xml:space="preserve"> eles seriam mais beneficiados </w:t>
      </w:r>
      <w:r w:rsidR="00F12FBC" w:rsidRPr="00723ECA">
        <w:rPr>
          <w:sz w:val="22"/>
          <w:lang w:val="pt-BR"/>
        </w:rPr>
        <w:t>por</w:t>
      </w:r>
      <w:r w:rsidRPr="00723ECA">
        <w:rPr>
          <w:sz w:val="22"/>
          <w:lang w:val="pt-BR"/>
        </w:rPr>
        <w:t xml:space="preserve"> treinamentos, rec</w:t>
      </w:r>
      <w:r w:rsidR="00F12FBC" w:rsidRPr="00723ECA">
        <w:rPr>
          <w:sz w:val="22"/>
          <w:lang w:val="pt-BR"/>
        </w:rPr>
        <w:t xml:space="preserve">ursos e assistência do que por uma </w:t>
      </w:r>
      <w:r w:rsidR="006809A9" w:rsidRPr="00723ECA">
        <w:rPr>
          <w:sz w:val="22"/>
          <w:lang w:val="pt-BR"/>
        </w:rPr>
        <w:t>ação regulatória</w:t>
      </w:r>
      <w:r w:rsidRPr="00723ECA">
        <w:rPr>
          <w:sz w:val="22"/>
          <w:lang w:val="pt-BR"/>
        </w:rPr>
        <w:t xml:space="preserve">. </w:t>
      </w:r>
      <w:r w:rsidRPr="00723ECA">
        <w:rPr>
          <w:rStyle w:val="FootnoteReference"/>
          <w:sz w:val="20"/>
          <w:lang w:val="pt-BR"/>
        </w:rPr>
        <w:footnoteReference w:id="46"/>
      </w:r>
      <w:r w:rsidRPr="00723ECA">
        <w:rPr>
          <w:sz w:val="22"/>
          <w:lang w:val="pt-BR"/>
        </w:rPr>
        <w:t>No entanto, as duas medidas não são incompatíveis e o equilíbrio entre regulação e apoio comunitário é uma questão para os governos</w:t>
      </w:r>
      <w:r w:rsidR="00F12FBC" w:rsidRPr="00723ECA">
        <w:rPr>
          <w:sz w:val="22"/>
          <w:lang w:val="pt-BR"/>
        </w:rPr>
        <w:t xml:space="preserve"> tratarem</w:t>
      </w:r>
      <w:r w:rsidRPr="00723ECA">
        <w:rPr>
          <w:sz w:val="22"/>
          <w:lang w:val="pt-BR"/>
        </w:rPr>
        <w:t xml:space="preserve">. </w:t>
      </w:r>
    </w:p>
    <w:p w:rsidR="008952EA" w:rsidRPr="00723ECA" w:rsidRDefault="008952EA" w:rsidP="008952EA">
      <w:pPr>
        <w:ind w:left="1134" w:right="1134"/>
        <w:jc w:val="both"/>
        <w:rPr>
          <w:sz w:val="22"/>
          <w:lang w:val="pt-BR"/>
        </w:rPr>
      </w:pPr>
    </w:p>
    <w:p w:rsidR="009C4D0B" w:rsidRPr="00723ECA" w:rsidRDefault="009C4D0B" w:rsidP="008952EA">
      <w:pPr>
        <w:ind w:left="1134" w:right="1134"/>
        <w:jc w:val="both"/>
        <w:rPr>
          <w:sz w:val="22"/>
          <w:lang w:val="pt-BR"/>
        </w:rPr>
      </w:pPr>
      <w:r w:rsidRPr="00723ECA">
        <w:rPr>
          <w:sz w:val="22"/>
          <w:lang w:val="pt-BR"/>
        </w:rPr>
        <w:t>77. A atualização de 2015 do Programa de Monitoramento Conjunto</w:t>
      </w:r>
      <w:r w:rsidR="00F12FBC" w:rsidRPr="00723ECA">
        <w:rPr>
          <w:sz w:val="22"/>
          <w:lang w:val="pt-BR"/>
        </w:rPr>
        <w:t xml:space="preserve"> para Abastecimento de Água e Esgotamento Sanitário</w:t>
      </w:r>
      <w:r w:rsidR="00F12FBC" w:rsidRPr="00723ECA">
        <w:rPr>
          <w:rStyle w:val="FootnoteReference"/>
          <w:sz w:val="20"/>
          <w:lang w:val="pt-BR"/>
        </w:rPr>
        <w:footnoteReference w:id="47"/>
      </w:r>
      <w:r w:rsidRPr="00723ECA">
        <w:rPr>
          <w:sz w:val="22"/>
          <w:lang w:val="pt-BR"/>
        </w:rPr>
        <w:t xml:space="preserve"> mostra que 70% das pessoas que não fazem uso de instalações sanitárias melhoradas e 90% das pessoas que defecam ao ar livre vivem em áreas rurais. Na perspectiva da regulação, o saneamento rural é o maior desafio, uma vez que a necessidade de </w:t>
      </w:r>
      <w:r w:rsidR="00E35997">
        <w:rPr>
          <w:sz w:val="22"/>
          <w:lang w:val="pt-BR"/>
        </w:rPr>
        <w:t xml:space="preserve">esgotamento sanitário </w:t>
      </w:r>
      <w:r w:rsidRPr="00723ECA">
        <w:rPr>
          <w:sz w:val="22"/>
          <w:lang w:val="pt-BR"/>
        </w:rPr>
        <w:t xml:space="preserve">seguro não é frequentemente reconhecida. A construção e manutenção de latrinas é </w:t>
      </w:r>
      <w:r w:rsidR="00B66DCA" w:rsidRPr="00723ECA">
        <w:rPr>
          <w:sz w:val="22"/>
          <w:lang w:val="pt-BR"/>
        </w:rPr>
        <w:t xml:space="preserve">quase sempre </w:t>
      </w:r>
      <w:proofErr w:type="gramStart"/>
      <w:r w:rsidRPr="00723ECA">
        <w:rPr>
          <w:sz w:val="22"/>
          <w:lang w:val="pt-BR"/>
        </w:rPr>
        <w:t>negligenciada</w:t>
      </w:r>
      <w:proofErr w:type="gramEnd"/>
      <w:r w:rsidRPr="00723ECA">
        <w:rPr>
          <w:sz w:val="22"/>
          <w:lang w:val="pt-BR"/>
        </w:rPr>
        <w:t xml:space="preserve">, em parte devido ao tabu que </w:t>
      </w:r>
      <w:r w:rsidR="00E35997">
        <w:rPr>
          <w:sz w:val="22"/>
          <w:lang w:val="pt-BR"/>
        </w:rPr>
        <w:t xml:space="preserve">envolve </w:t>
      </w:r>
      <w:r w:rsidRPr="00723ECA">
        <w:rPr>
          <w:sz w:val="22"/>
          <w:lang w:val="pt-BR"/>
        </w:rPr>
        <w:t xml:space="preserve">o </w:t>
      </w:r>
      <w:r w:rsidR="00E35997">
        <w:rPr>
          <w:sz w:val="22"/>
          <w:lang w:val="pt-BR"/>
        </w:rPr>
        <w:t>esgotamento sanitário</w:t>
      </w:r>
      <w:r w:rsidRPr="00723ECA">
        <w:rPr>
          <w:sz w:val="22"/>
          <w:lang w:val="pt-BR"/>
        </w:rPr>
        <w:t xml:space="preserve">. Com frequência, a grande maioria das soluções de </w:t>
      </w:r>
      <w:r w:rsidR="00B66DCA" w:rsidRPr="00723ECA">
        <w:rPr>
          <w:sz w:val="22"/>
          <w:lang w:val="pt-BR"/>
        </w:rPr>
        <w:t>esgotamento</w:t>
      </w:r>
      <w:r w:rsidRPr="00723ECA">
        <w:rPr>
          <w:sz w:val="22"/>
          <w:lang w:val="pt-BR"/>
        </w:rPr>
        <w:t xml:space="preserve"> não </w:t>
      </w:r>
      <w:r w:rsidR="00E35997">
        <w:rPr>
          <w:sz w:val="22"/>
          <w:lang w:val="pt-BR"/>
        </w:rPr>
        <w:t>é regulada, gerenciada</w:t>
      </w:r>
      <w:r w:rsidRPr="00723ECA">
        <w:rPr>
          <w:sz w:val="22"/>
          <w:lang w:val="pt-BR"/>
        </w:rPr>
        <w:t xml:space="preserve"> ou moni</w:t>
      </w:r>
      <w:r w:rsidR="00E35997">
        <w:rPr>
          <w:sz w:val="22"/>
          <w:lang w:val="pt-BR"/>
        </w:rPr>
        <w:t>torada</w:t>
      </w:r>
      <w:r w:rsidRPr="00723ECA">
        <w:rPr>
          <w:sz w:val="22"/>
          <w:lang w:val="pt-BR"/>
        </w:rPr>
        <w:t xml:space="preserve"> pelos Estados (Ver A/HRC/33/49/Adendo2, parágrafo 14). O reconhecimento do </w:t>
      </w:r>
      <w:r w:rsidR="00B66DCA" w:rsidRPr="00723ECA">
        <w:rPr>
          <w:sz w:val="22"/>
          <w:lang w:val="pt-BR"/>
        </w:rPr>
        <w:t>esgotamento sanitário</w:t>
      </w:r>
      <w:r w:rsidRPr="00723ECA">
        <w:rPr>
          <w:sz w:val="22"/>
          <w:lang w:val="pt-BR"/>
        </w:rPr>
        <w:t xml:space="preserve"> como um direito distinto</w:t>
      </w:r>
      <w:r w:rsidR="00EC7E89" w:rsidRPr="00723ECA">
        <w:rPr>
          <w:sz w:val="22"/>
          <w:lang w:val="pt-BR"/>
        </w:rPr>
        <w:t xml:space="preserve"> em relação a</w:t>
      </w:r>
      <w:r w:rsidR="002F7146" w:rsidRPr="00723ECA">
        <w:rPr>
          <w:sz w:val="22"/>
          <w:lang w:val="pt-BR"/>
        </w:rPr>
        <w:t>o direito humano à água</w:t>
      </w:r>
      <w:r w:rsidRPr="00723ECA">
        <w:rPr>
          <w:sz w:val="22"/>
          <w:lang w:val="pt-BR"/>
        </w:rPr>
        <w:t xml:space="preserve"> pela Assembleia Geral e pelo Conselho de Direitos Humanos garante sua priorização política </w:t>
      </w:r>
      <w:proofErr w:type="gramStart"/>
      <w:r w:rsidRPr="00723ECA">
        <w:rPr>
          <w:sz w:val="22"/>
          <w:lang w:val="pt-BR"/>
        </w:rPr>
        <w:t>pelos Estado</w:t>
      </w:r>
      <w:proofErr w:type="gramEnd"/>
      <w:r w:rsidRPr="00723ECA">
        <w:rPr>
          <w:sz w:val="22"/>
          <w:lang w:val="pt-BR"/>
        </w:rPr>
        <w:t xml:space="preserve"> e a criação de </w:t>
      </w:r>
      <w:r w:rsidRPr="00723ECA">
        <w:rPr>
          <w:sz w:val="22"/>
          <w:lang w:val="pt-BR"/>
        </w:rPr>
        <w:lastRenderedPageBreak/>
        <w:t xml:space="preserve">um ambiente propício para sua efetivação progressiva, por meio do estabelecimento de um </w:t>
      </w:r>
      <w:r w:rsidR="00B66DCA" w:rsidRPr="00723ECA">
        <w:rPr>
          <w:sz w:val="22"/>
          <w:lang w:val="pt-BR"/>
        </w:rPr>
        <w:t xml:space="preserve">marco </w:t>
      </w:r>
      <w:r w:rsidRPr="00723ECA">
        <w:rPr>
          <w:sz w:val="22"/>
          <w:lang w:val="pt-BR"/>
        </w:rPr>
        <w:t xml:space="preserve">regulatório adaptado às circunstâncias locais que se dirija às dimensões de dignidade individual e de saúde pública preconizadas por esse direito. </w:t>
      </w:r>
    </w:p>
    <w:p w:rsidR="002523E5" w:rsidRPr="00723ECA" w:rsidRDefault="002523E5" w:rsidP="008952EA">
      <w:pPr>
        <w:pStyle w:val="H23G"/>
        <w:numPr>
          <w:ilvl w:val="0"/>
          <w:numId w:val="15"/>
        </w:numPr>
        <w:ind w:left="1134"/>
        <w:rPr>
          <w:sz w:val="22"/>
          <w:lang w:val="en-US"/>
        </w:rPr>
      </w:pPr>
      <w:r w:rsidRPr="00723ECA">
        <w:rPr>
          <w:sz w:val="22"/>
          <w:lang w:val="pt-BR"/>
        </w:rPr>
        <w:tab/>
      </w:r>
      <w:proofErr w:type="spellStart"/>
      <w:r w:rsidR="00B66DCA" w:rsidRPr="00723ECA">
        <w:rPr>
          <w:sz w:val="22"/>
          <w:lang w:val="en-US"/>
        </w:rPr>
        <w:t>Órgãos</w:t>
      </w:r>
      <w:proofErr w:type="spellEnd"/>
      <w:r w:rsidRPr="00723ECA">
        <w:rPr>
          <w:sz w:val="22"/>
          <w:lang w:val="en-US"/>
        </w:rPr>
        <w:t xml:space="preserve"> </w:t>
      </w:r>
      <w:proofErr w:type="spellStart"/>
      <w:r w:rsidRPr="00723ECA">
        <w:rPr>
          <w:sz w:val="22"/>
          <w:lang w:val="en-US"/>
        </w:rPr>
        <w:t>reguladores</w:t>
      </w:r>
      <w:proofErr w:type="spellEnd"/>
    </w:p>
    <w:p w:rsidR="003102B4" w:rsidRPr="00723ECA" w:rsidRDefault="003102B4" w:rsidP="008952EA">
      <w:pPr>
        <w:ind w:left="1134" w:right="1134"/>
        <w:jc w:val="both"/>
        <w:rPr>
          <w:sz w:val="22"/>
          <w:lang w:val="pt-BR"/>
        </w:rPr>
      </w:pPr>
      <w:r w:rsidRPr="00723ECA">
        <w:rPr>
          <w:sz w:val="22"/>
          <w:lang w:val="pt-BR"/>
        </w:rPr>
        <w:t>78. Comparando com outras áreas, a regulação d</w:t>
      </w:r>
      <w:r w:rsidR="00B66DCA" w:rsidRPr="00723ECA">
        <w:rPr>
          <w:sz w:val="22"/>
          <w:lang w:val="pt-BR"/>
        </w:rPr>
        <w:t>os serviços d</w:t>
      </w:r>
      <w:r w:rsidRPr="00723ECA">
        <w:rPr>
          <w:sz w:val="22"/>
          <w:lang w:val="pt-BR"/>
        </w:rPr>
        <w:t xml:space="preserve">e água e de esgotamento sanitário é </w:t>
      </w:r>
      <w:r w:rsidR="00B66DCA" w:rsidRPr="00723ECA">
        <w:rPr>
          <w:sz w:val="22"/>
          <w:lang w:val="pt-BR"/>
        </w:rPr>
        <w:t>caracterizada pelo fato de que esse</w:t>
      </w:r>
      <w:r w:rsidRPr="00723ECA">
        <w:rPr>
          <w:sz w:val="22"/>
          <w:lang w:val="pt-BR"/>
        </w:rPr>
        <w:t xml:space="preserve">s serviços se relacionam diretamente com o cumprimento dos direitos humanos. Enquanto os órgãos reguladores de água e de esgotamento sanitário estão bem posicionados para contribuir </w:t>
      </w:r>
      <w:r w:rsidR="00B66DCA" w:rsidRPr="00723ECA">
        <w:rPr>
          <w:sz w:val="22"/>
          <w:lang w:val="pt-BR"/>
        </w:rPr>
        <w:t xml:space="preserve">para </w:t>
      </w:r>
      <w:r w:rsidRPr="00723ECA">
        <w:rPr>
          <w:sz w:val="22"/>
          <w:lang w:val="pt-BR"/>
        </w:rPr>
        <w:t>a realização progressiva dos direitos à água e ao esgotamento sanitário, suas atividades</w:t>
      </w:r>
      <w:proofErr w:type="gramStart"/>
      <w:r w:rsidRPr="00723ECA">
        <w:rPr>
          <w:sz w:val="22"/>
          <w:lang w:val="pt-BR"/>
        </w:rPr>
        <w:t>, seja</w:t>
      </w:r>
      <w:proofErr w:type="gramEnd"/>
      <w:r w:rsidRPr="00723ECA">
        <w:rPr>
          <w:sz w:val="22"/>
          <w:lang w:val="pt-BR"/>
        </w:rPr>
        <w:t xml:space="preserve"> por meio de suas re</w:t>
      </w:r>
      <w:r w:rsidR="00B66DCA" w:rsidRPr="00723ECA">
        <w:rPr>
          <w:sz w:val="22"/>
          <w:lang w:val="pt-BR"/>
        </w:rPr>
        <w:t xml:space="preserve">gulações e decisões ou por falhas no </w:t>
      </w:r>
      <w:r w:rsidRPr="00723ECA">
        <w:rPr>
          <w:sz w:val="22"/>
          <w:lang w:val="pt-BR"/>
        </w:rPr>
        <w:t>cumprimento de seu mandato, pode</w:t>
      </w:r>
      <w:r w:rsidR="009C4D0B" w:rsidRPr="00723ECA">
        <w:rPr>
          <w:sz w:val="22"/>
          <w:lang w:val="pt-BR"/>
        </w:rPr>
        <w:t>m</w:t>
      </w:r>
      <w:r w:rsidRPr="00723ECA">
        <w:rPr>
          <w:sz w:val="22"/>
          <w:lang w:val="pt-BR"/>
        </w:rPr>
        <w:t xml:space="preserve"> também resultar em violações desses direitos. </w:t>
      </w:r>
      <w:r w:rsidR="00A85529" w:rsidRPr="00723ECA">
        <w:rPr>
          <w:sz w:val="22"/>
          <w:lang w:val="pt-BR"/>
        </w:rPr>
        <w:t xml:space="preserve">Nos seus planos e relatórios de atividades, os órgãos reguladores devem fornecer informações claras e relevantes sobre suas políticas, procedimentos e atividades e indicar como contribuem </w:t>
      </w:r>
      <w:r w:rsidR="00C219AD" w:rsidRPr="00723ECA">
        <w:rPr>
          <w:sz w:val="22"/>
          <w:lang w:val="pt-BR"/>
        </w:rPr>
        <w:t xml:space="preserve">progressivamente </w:t>
      </w:r>
      <w:r w:rsidR="00A85529" w:rsidRPr="00723ECA">
        <w:rPr>
          <w:sz w:val="22"/>
          <w:lang w:val="pt-BR"/>
        </w:rPr>
        <w:t>para o cumprimento d</w:t>
      </w:r>
      <w:r w:rsidR="006809A9" w:rsidRPr="00723ECA">
        <w:rPr>
          <w:sz w:val="22"/>
          <w:lang w:val="pt-BR"/>
        </w:rPr>
        <w:t>o</w:t>
      </w:r>
      <w:r w:rsidR="00B66DCA" w:rsidRPr="00723ECA">
        <w:rPr>
          <w:sz w:val="22"/>
          <w:lang w:val="pt-BR"/>
        </w:rPr>
        <w:t xml:space="preserve">s </w:t>
      </w:r>
      <w:r w:rsidR="006809A9" w:rsidRPr="00723ECA">
        <w:rPr>
          <w:sz w:val="22"/>
          <w:lang w:val="pt-BR"/>
        </w:rPr>
        <w:t>padrões</w:t>
      </w:r>
      <w:r w:rsidR="00A85529" w:rsidRPr="00723ECA">
        <w:rPr>
          <w:sz w:val="22"/>
          <w:lang w:val="pt-BR"/>
        </w:rPr>
        <w:t xml:space="preserve"> d</w:t>
      </w:r>
      <w:r w:rsidR="006809A9" w:rsidRPr="00723ECA">
        <w:rPr>
          <w:sz w:val="22"/>
          <w:lang w:val="pt-BR"/>
        </w:rPr>
        <w:t>os</w:t>
      </w:r>
      <w:r w:rsidR="00A85529" w:rsidRPr="00723ECA">
        <w:rPr>
          <w:sz w:val="22"/>
          <w:lang w:val="pt-BR"/>
        </w:rPr>
        <w:t xml:space="preserve"> </w:t>
      </w:r>
      <w:r w:rsidR="00C219AD" w:rsidRPr="00723ECA">
        <w:rPr>
          <w:sz w:val="22"/>
          <w:lang w:val="pt-BR"/>
        </w:rPr>
        <w:t>direitos humanos.</w:t>
      </w:r>
    </w:p>
    <w:p w:rsidR="008952EA" w:rsidRPr="00723ECA" w:rsidRDefault="008952EA" w:rsidP="008952EA">
      <w:pPr>
        <w:ind w:left="1134" w:right="1134"/>
        <w:jc w:val="both"/>
        <w:rPr>
          <w:sz w:val="22"/>
          <w:lang w:val="pt-BR"/>
        </w:rPr>
      </w:pPr>
    </w:p>
    <w:p w:rsidR="00C219AD" w:rsidRPr="00723ECA" w:rsidRDefault="00C219AD" w:rsidP="008952EA">
      <w:pPr>
        <w:ind w:left="1134" w:right="1134"/>
        <w:jc w:val="both"/>
        <w:rPr>
          <w:sz w:val="22"/>
          <w:lang w:val="pt-BR"/>
        </w:rPr>
      </w:pPr>
      <w:r w:rsidRPr="00723ECA">
        <w:rPr>
          <w:sz w:val="22"/>
          <w:lang w:val="pt-BR"/>
        </w:rPr>
        <w:t>79. As atividades dos órgãos reguladores devem ser</w:t>
      </w:r>
      <w:r w:rsidR="00B66DCA" w:rsidRPr="00723ECA">
        <w:rPr>
          <w:sz w:val="22"/>
          <w:lang w:val="pt-BR"/>
        </w:rPr>
        <w:t xml:space="preserve"> controladas e monitoradas por</w:t>
      </w:r>
      <w:r w:rsidRPr="00723ECA">
        <w:rPr>
          <w:sz w:val="22"/>
          <w:lang w:val="pt-BR"/>
        </w:rPr>
        <w:t xml:space="preserve"> diferentes entidades, como conselhos de usuários, comissões parlamentares ou tribunais de auditoria. Por exemplo, no início de 2014, o Tribunal de Contas </w:t>
      </w:r>
      <w:r w:rsidR="00B66DCA" w:rsidRPr="00723ECA">
        <w:rPr>
          <w:sz w:val="22"/>
          <w:lang w:val="pt-BR"/>
        </w:rPr>
        <w:t xml:space="preserve">português </w:t>
      </w:r>
      <w:r w:rsidRPr="00723ECA">
        <w:rPr>
          <w:sz w:val="22"/>
          <w:lang w:val="pt-BR"/>
        </w:rPr>
        <w:t xml:space="preserve">divulgou um relatório </w:t>
      </w:r>
      <w:r w:rsidR="00B66DCA" w:rsidRPr="00723ECA">
        <w:rPr>
          <w:sz w:val="22"/>
          <w:lang w:val="pt-BR"/>
        </w:rPr>
        <w:t xml:space="preserve">de auditoria sobre </w:t>
      </w:r>
      <w:r w:rsidRPr="00723ECA">
        <w:rPr>
          <w:sz w:val="22"/>
          <w:lang w:val="pt-BR"/>
        </w:rPr>
        <w:t xml:space="preserve">a regulação e </w:t>
      </w:r>
      <w:r w:rsidR="00B66DCA" w:rsidRPr="00723ECA">
        <w:rPr>
          <w:sz w:val="22"/>
          <w:lang w:val="pt-BR"/>
        </w:rPr>
        <w:t>a gestão de concessões</w:t>
      </w:r>
      <w:r w:rsidRPr="00723ECA">
        <w:rPr>
          <w:sz w:val="22"/>
          <w:lang w:val="pt-BR"/>
        </w:rPr>
        <w:t xml:space="preserve"> dos serviços de água e parcerias público-privadas. A auditoria do Tribunal examinou a atividade da </w:t>
      </w:r>
      <w:r w:rsidR="00B66DCA" w:rsidRPr="00723ECA">
        <w:rPr>
          <w:sz w:val="22"/>
          <w:lang w:val="pt-BR"/>
        </w:rPr>
        <w:t xml:space="preserve">Entidade </w:t>
      </w:r>
      <w:r w:rsidRPr="00723ECA">
        <w:rPr>
          <w:sz w:val="22"/>
          <w:lang w:val="pt-BR"/>
        </w:rPr>
        <w:t>Reguladora dos Serviços de Água e Resíduos como regulador das concessões, identificou os processos</w:t>
      </w:r>
      <w:r w:rsidR="007B1944" w:rsidRPr="00723ECA">
        <w:rPr>
          <w:sz w:val="22"/>
          <w:lang w:val="pt-BR"/>
        </w:rPr>
        <w:t xml:space="preserve"> de revisão de contrato, identificou os gastos públicos envolvendo cada concessão e examinou a efetividade das concessões em termos de qualidade dos serviços (ver A/HRC/36/45/</w:t>
      </w:r>
      <w:proofErr w:type="gramStart"/>
      <w:r w:rsidR="007B1944" w:rsidRPr="00723ECA">
        <w:rPr>
          <w:sz w:val="22"/>
          <w:lang w:val="pt-BR"/>
        </w:rPr>
        <w:t>Add.</w:t>
      </w:r>
      <w:proofErr w:type="gramEnd"/>
      <w:r w:rsidR="007B1944" w:rsidRPr="00723ECA">
        <w:rPr>
          <w:sz w:val="22"/>
          <w:lang w:val="pt-BR"/>
        </w:rPr>
        <w:t xml:space="preserve">1, </w:t>
      </w:r>
      <w:r w:rsidR="00E10C95" w:rsidRPr="00723ECA">
        <w:rPr>
          <w:sz w:val="22"/>
          <w:lang w:val="pt-BR"/>
        </w:rPr>
        <w:t xml:space="preserve">parágrafo </w:t>
      </w:r>
      <w:r w:rsidR="007B1944" w:rsidRPr="00723ECA">
        <w:rPr>
          <w:sz w:val="22"/>
          <w:lang w:val="pt-BR"/>
        </w:rPr>
        <w:t xml:space="preserve">39). As principais conclusões mostram que a maioria das concessões beneficiou sistematicamente o setor privado em detrimento dos orçamentos municipais e da </w:t>
      </w:r>
      <w:r w:rsidR="002E0182" w:rsidRPr="00723ECA">
        <w:rPr>
          <w:sz w:val="22"/>
          <w:lang w:val="pt-BR"/>
        </w:rPr>
        <w:t>acessibilidade econômica</w:t>
      </w:r>
      <w:r w:rsidR="00EC7E89" w:rsidRPr="00723ECA">
        <w:rPr>
          <w:sz w:val="22"/>
          <w:lang w:val="pt-BR"/>
        </w:rPr>
        <w:t xml:space="preserve"> a</w:t>
      </w:r>
      <w:r w:rsidR="002E0182" w:rsidRPr="00723ECA">
        <w:rPr>
          <w:sz w:val="22"/>
          <w:lang w:val="pt-BR"/>
        </w:rPr>
        <w:t>os serviços pelos usuários (ver A/HRC/36/45/</w:t>
      </w:r>
      <w:proofErr w:type="gramStart"/>
      <w:r w:rsidR="002E0182" w:rsidRPr="00723ECA">
        <w:rPr>
          <w:sz w:val="22"/>
          <w:lang w:val="pt-BR"/>
        </w:rPr>
        <w:t>Add.</w:t>
      </w:r>
      <w:proofErr w:type="gramEnd"/>
      <w:r w:rsidR="002E0182" w:rsidRPr="00723ECA">
        <w:rPr>
          <w:sz w:val="22"/>
          <w:lang w:val="pt-BR"/>
        </w:rPr>
        <w:t>1, parágrafos 39 e 40).</w:t>
      </w:r>
    </w:p>
    <w:p w:rsidR="002523E5" w:rsidRPr="00723ECA" w:rsidRDefault="002523E5" w:rsidP="008952EA">
      <w:pPr>
        <w:pStyle w:val="H1G"/>
        <w:numPr>
          <w:ilvl w:val="0"/>
          <w:numId w:val="11"/>
        </w:numPr>
        <w:rPr>
          <w:sz w:val="28"/>
          <w:lang w:val="pt-BR"/>
        </w:rPr>
      </w:pPr>
      <w:r w:rsidRPr="00723ECA">
        <w:rPr>
          <w:sz w:val="28"/>
          <w:lang w:val="pt-BR"/>
        </w:rPr>
        <w:tab/>
      </w:r>
      <w:r w:rsidR="002E0182" w:rsidRPr="00723ECA">
        <w:rPr>
          <w:sz w:val="28"/>
          <w:lang w:val="pt-BR"/>
        </w:rPr>
        <w:t>Garantindo</w:t>
      </w:r>
      <w:r w:rsidRPr="00723ECA">
        <w:rPr>
          <w:sz w:val="28"/>
          <w:lang w:val="pt-BR"/>
        </w:rPr>
        <w:t xml:space="preserve"> a </w:t>
      </w:r>
      <w:r w:rsidR="00BB6C9C" w:rsidRPr="00723ECA">
        <w:rPr>
          <w:sz w:val="28"/>
          <w:lang w:val="pt-BR"/>
        </w:rPr>
        <w:t xml:space="preserve">responsabilização </w:t>
      </w:r>
    </w:p>
    <w:p w:rsidR="0030354E" w:rsidRPr="00723ECA" w:rsidRDefault="00227BC4" w:rsidP="008952EA">
      <w:pPr>
        <w:ind w:left="1134" w:right="1134"/>
        <w:jc w:val="both"/>
        <w:rPr>
          <w:sz w:val="22"/>
          <w:lang w:val="pt-BR"/>
        </w:rPr>
      </w:pPr>
      <w:r w:rsidRPr="00723ECA">
        <w:rPr>
          <w:sz w:val="22"/>
          <w:lang w:val="pt-BR"/>
        </w:rPr>
        <w:t xml:space="preserve">80. </w:t>
      </w:r>
      <w:r w:rsidR="0030354E" w:rsidRPr="00723ECA">
        <w:rPr>
          <w:sz w:val="22"/>
          <w:lang w:val="pt-BR"/>
        </w:rPr>
        <w:t>A</w:t>
      </w:r>
      <w:r w:rsidR="009D6ACE" w:rsidRPr="00723ECA">
        <w:rPr>
          <w:sz w:val="22"/>
          <w:lang w:val="pt-BR"/>
        </w:rPr>
        <w:t xml:space="preserve"> responsabilização </w:t>
      </w:r>
      <w:r w:rsidR="009C4D0B" w:rsidRPr="00723ECA">
        <w:rPr>
          <w:sz w:val="22"/>
          <w:lang w:val="pt-BR"/>
        </w:rPr>
        <w:t>em</w:t>
      </w:r>
      <w:r w:rsidR="0030354E" w:rsidRPr="00723ECA">
        <w:rPr>
          <w:sz w:val="22"/>
          <w:lang w:val="pt-BR"/>
        </w:rPr>
        <w:t xml:space="preserve"> nível nacional pode ser obtida através de mecanismos administrativo</w:t>
      </w:r>
      <w:r w:rsidR="00B00529" w:rsidRPr="00723ECA">
        <w:rPr>
          <w:sz w:val="22"/>
          <w:lang w:val="pt-BR"/>
        </w:rPr>
        <w:t>s</w:t>
      </w:r>
      <w:r w:rsidR="002E0182" w:rsidRPr="00723ECA">
        <w:rPr>
          <w:sz w:val="22"/>
          <w:lang w:val="pt-BR"/>
        </w:rPr>
        <w:t xml:space="preserve">, </w:t>
      </w:r>
      <w:r w:rsidR="0030354E" w:rsidRPr="00723ECA">
        <w:rPr>
          <w:sz w:val="22"/>
          <w:lang w:val="pt-BR"/>
        </w:rPr>
        <w:t>judicia</w:t>
      </w:r>
      <w:r w:rsidR="00B00529" w:rsidRPr="00723ECA">
        <w:rPr>
          <w:sz w:val="22"/>
          <w:lang w:val="pt-BR"/>
        </w:rPr>
        <w:t>is</w:t>
      </w:r>
      <w:r w:rsidR="00EB73D6" w:rsidRPr="00723ECA">
        <w:rPr>
          <w:sz w:val="22"/>
          <w:lang w:val="pt-BR"/>
        </w:rPr>
        <w:t xml:space="preserve"> e </w:t>
      </w:r>
      <w:proofErr w:type="gramStart"/>
      <w:r w:rsidR="009D6ACE" w:rsidRPr="00723ECA">
        <w:rPr>
          <w:sz w:val="22"/>
          <w:lang w:val="pt-BR"/>
        </w:rPr>
        <w:t>quase-judiciais</w:t>
      </w:r>
      <w:proofErr w:type="gramEnd"/>
      <w:r w:rsidR="002E0182" w:rsidRPr="00723ECA">
        <w:rPr>
          <w:rStyle w:val="FootnoteReference"/>
          <w:sz w:val="20"/>
          <w:lang w:val="pt-BR"/>
        </w:rPr>
        <w:footnoteReference w:id="48"/>
      </w:r>
      <w:r w:rsidR="0030354E" w:rsidRPr="00723ECA">
        <w:rPr>
          <w:sz w:val="22"/>
          <w:lang w:val="pt-BR"/>
        </w:rPr>
        <w:t>.</w:t>
      </w:r>
      <w:r w:rsidR="000B24B7" w:rsidRPr="00723ECA">
        <w:rPr>
          <w:sz w:val="22"/>
          <w:lang w:val="pt-BR"/>
        </w:rPr>
        <w:t xml:space="preserve"> Os mecanismos podem </w:t>
      </w:r>
      <w:r w:rsidR="002E0182" w:rsidRPr="00723ECA">
        <w:rPr>
          <w:sz w:val="22"/>
          <w:lang w:val="pt-BR"/>
        </w:rPr>
        <w:t>estar adstritos a</w:t>
      </w:r>
      <w:r w:rsidR="000B24B7" w:rsidRPr="00723ECA">
        <w:rPr>
          <w:sz w:val="22"/>
          <w:lang w:val="pt-BR"/>
        </w:rPr>
        <w:t xml:space="preserve">o </w:t>
      </w:r>
      <w:r w:rsidR="000365BB" w:rsidRPr="00723ECA">
        <w:rPr>
          <w:sz w:val="22"/>
          <w:lang w:val="pt-BR"/>
        </w:rPr>
        <w:t>prestador de s</w:t>
      </w:r>
      <w:r w:rsidR="000B24B7" w:rsidRPr="00723ECA">
        <w:rPr>
          <w:sz w:val="22"/>
          <w:lang w:val="pt-BR"/>
        </w:rPr>
        <w:t xml:space="preserve">erviços ou </w:t>
      </w:r>
      <w:r w:rsidR="002E0182" w:rsidRPr="00723ECA">
        <w:rPr>
          <w:sz w:val="22"/>
          <w:lang w:val="pt-BR"/>
        </w:rPr>
        <w:t>a</w:t>
      </w:r>
      <w:r w:rsidR="000B24B7" w:rsidRPr="00723ECA">
        <w:rPr>
          <w:sz w:val="22"/>
          <w:lang w:val="pt-BR"/>
        </w:rPr>
        <w:t>o Estado.</w:t>
      </w:r>
      <w:r w:rsidR="00B00529" w:rsidRPr="00723ECA">
        <w:rPr>
          <w:sz w:val="22"/>
          <w:lang w:val="pt-BR"/>
        </w:rPr>
        <w:t xml:space="preserve"> </w:t>
      </w:r>
      <w:r w:rsidR="000B24B7" w:rsidRPr="00723ECA">
        <w:rPr>
          <w:sz w:val="22"/>
          <w:lang w:val="pt-BR"/>
        </w:rPr>
        <w:t xml:space="preserve">Por exemplo, quando a reclamação não é resolvida </w:t>
      </w:r>
      <w:r w:rsidR="009C4D0B" w:rsidRPr="00723ECA">
        <w:rPr>
          <w:sz w:val="22"/>
          <w:lang w:val="pt-BR"/>
        </w:rPr>
        <w:t>n</w:t>
      </w:r>
      <w:r w:rsidR="00B00529" w:rsidRPr="00723ECA">
        <w:rPr>
          <w:sz w:val="22"/>
          <w:lang w:val="pt-BR"/>
        </w:rPr>
        <w:t>o</w:t>
      </w:r>
      <w:r w:rsidR="000B24B7" w:rsidRPr="00723ECA">
        <w:rPr>
          <w:sz w:val="22"/>
          <w:lang w:val="pt-BR"/>
        </w:rPr>
        <w:t xml:space="preserve"> </w:t>
      </w:r>
      <w:r w:rsidR="002E0182" w:rsidRPr="00723ECA">
        <w:rPr>
          <w:sz w:val="22"/>
          <w:lang w:val="pt-BR"/>
        </w:rPr>
        <w:t xml:space="preserve">âmbito </w:t>
      </w:r>
      <w:r w:rsidR="000B24B7" w:rsidRPr="00723ECA">
        <w:rPr>
          <w:sz w:val="22"/>
          <w:lang w:val="pt-BR"/>
        </w:rPr>
        <w:t xml:space="preserve">do </w:t>
      </w:r>
      <w:r w:rsidR="000365BB" w:rsidRPr="00723ECA">
        <w:rPr>
          <w:sz w:val="22"/>
          <w:lang w:val="pt-BR"/>
        </w:rPr>
        <w:t>p</w:t>
      </w:r>
      <w:r w:rsidR="000B24B7" w:rsidRPr="00723ECA">
        <w:rPr>
          <w:sz w:val="22"/>
          <w:lang w:val="pt-BR"/>
        </w:rPr>
        <w:t xml:space="preserve">restador, as pessoas devem ter </w:t>
      </w:r>
      <w:r w:rsidR="00B00529" w:rsidRPr="00723ECA">
        <w:rPr>
          <w:sz w:val="22"/>
          <w:lang w:val="pt-BR"/>
        </w:rPr>
        <w:t xml:space="preserve">o </w:t>
      </w:r>
      <w:r w:rsidR="000B24B7" w:rsidRPr="00723ECA">
        <w:rPr>
          <w:sz w:val="22"/>
          <w:lang w:val="pt-BR"/>
        </w:rPr>
        <w:t xml:space="preserve">direito de </w:t>
      </w:r>
      <w:r w:rsidR="00B00529" w:rsidRPr="00723ECA">
        <w:rPr>
          <w:sz w:val="22"/>
          <w:lang w:val="pt-BR"/>
        </w:rPr>
        <w:t>apresentar sua</w:t>
      </w:r>
      <w:r w:rsidR="000365BB" w:rsidRPr="00723ECA">
        <w:rPr>
          <w:sz w:val="22"/>
          <w:lang w:val="pt-BR"/>
        </w:rPr>
        <w:t>s reclamações</w:t>
      </w:r>
      <w:r w:rsidR="00B00529" w:rsidRPr="00723ECA">
        <w:rPr>
          <w:sz w:val="22"/>
          <w:lang w:val="pt-BR"/>
        </w:rPr>
        <w:t xml:space="preserve"> a um mecanismo </w:t>
      </w:r>
      <w:r w:rsidRPr="00723ECA">
        <w:rPr>
          <w:sz w:val="22"/>
          <w:lang w:val="pt-BR"/>
        </w:rPr>
        <w:t>administrativo</w:t>
      </w:r>
      <w:r w:rsidR="002E0182" w:rsidRPr="00723ECA">
        <w:rPr>
          <w:sz w:val="22"/>
          <w:lang w:val="pt-BR"/>
        </w:rPr>
        <w:t>, tal</w:t>
      </w:r>
      <w:r w:rsidR="00B00529" w:rsidRPr="00723ECA">
        <w:rPr>
          <w:sz w:val="22"/>
          <w:lang w:val="pt-BR"/>
        </w:rPr>
        <w:t xml:space="preserve"> como </w:t>
      </w:r>
      <w:r w:rsidRPr="00723ECA">
        <w:rPr>
          <w:sz w:val="22"/>
          <w:lang w:val="pt-BR"/>
        </w:rPr>
        <w:t>um órgão regulador.</w:t>
      </w:r>
    </w:p>
    <w:p w:rsidR="008952EA" w:rsidRPr="00723ECA" w:rsidRDefault="008952EA" w:rsidP="008952EA">
      <w:pPr>
        <w:ind w:left="1134" w:right="1134"/>
        <w:jc w:val="both"/>
        <w:rPr>
          <w:sz w:val="22"/>
          <w:lang w:val="pt-BR"/>
        </w:rPr>
      </w:pPr>
    </w:p>
    <w:p w:rsidR="00BA750D" w:rsidRPr="00723ECA" w:rsidRDefault="00227BC4" w:rsidP="008952EA">
      <w:pPr>
        <w:ind w:left="1134" w:right="1134"/>
        <w:jc w:val="both"/>
        <w:rPr>
          <w:sz w:val="22"/>
          <w:lang w:val="pt-BR"/>
        </w:rPr>
      </w:pPr>
      <w:r w:rsidRPr="00723ECA">
        <w:rPr>
          <w:sz w:val="22"/>
          <w:lang w:val="pt-BR"/>
        </w:rPr>
        <w:lastRenderedPageBreak/>
        <w:t xml:space="preserve">81. Os </w:t>
      </w:r>
      <w:r w:rsidR="002533F0">
        <w:rPr>
          <w:sz w:val="22"/>
          <w:lang w:val="pt-BR"/>
        </w:rPr>
        <w:t>agentes regulatórios</w:t>
      </w:r>
      <w:r w:rsidRPr="00723ECA">
        <w:rPr>
          <w:sz w:val="22"/>
          <w:lang w:val="pt-BR"/>
        </w:rPr>
        <w:t xml:space="preserve"> desempenham um papel essencial na garantia</w:t>
      </w:r>
      <w:r w:rsidR="00BA750D" w:rsidRPr="00723ECA">
        <w:rPr>
          <w:sz w:val="22"/>
          <w:lang w:val="pt-BR"/>
        </w:rPr>
        <w:t xml:space="preserve"> da </w:t>
      </w:r>
      <w:r w:rsidR="00BB6C9C" w:rsidRPr="00723ECA">
        <w:rPr>
          <w:sz w:val="22"/>
          <w:lang w:val="pt-BR"/>
        </w:rPr>
        <w:t xml:space="preserve">responsabilização </w:t>
      </w:r>
      <w:r w:rsidR="002E0182" w:rsidRPr="00723ECA">
        <w:rPr>
          <w:sz w:val="22"/>
          <w:lang w:val="pt-BR"/>
        </w:rPr>
        <w:t>quando d</w:t>
      </w:r>
      <w:r w:rsidR="00BA750D" w:rsidRPr="00723ECA">
        <w:rPr>
          <w:sz w:val="22"/>
          <w:lang w:val="pt-BR"/>
        </w:rPr>
        <w:t xml:space="preserve">a não conformidade com os direitos humanos à água e ao esgotamento sanitário. Para a garantia da </w:t>
      </w:r>
      <w:r w:rsidR="00BB6C9C" w:rsidRPr="00723ECA">
        <w:rPr>
          <w:sz w:val="22"/>
          <w:lang w:val="pt-BR"/>
        </w:rPr>
        <w:t>responsabilização</w:t>
      </w:r>
      <w:r w:rsidR="00BA750D" w:rsidRPr="00723ECA">
        <w:rPr>
          <w:sz w:val="22"/>
          <w:lang w:val="pt-BR"/>
        </w:rPr>
        <w:t xml:space="preserve">, </w:t>
      </w:r>
      <w:proofErr w:type="gramStart"/>
      <w:r w:rsidR="009C4D0B" w:rsidRPr="00723ECA">
        <w:rPr>
          <w:sz w:val="22"/>
          <w:lang w:val="pt-BR"/>
        </w:rPr>
        <w:t xml:space="preserve">os </w:t>
      </w:r>
      <w:r w:rsidR="00BA750D" w:rsidRPr="00723ECA">
        <w:rPr>
          <w:sz w:val="22"/>
          <w:lang w:val="pt-BR"/>
        </w:rPr>
        <w:t>marcos</w:t>
      </w:r>
      <w:proofErr w:type="gramEnd"/>
      <w:r w:rsidR="00BA750D" w:rsidRPr="00723ECA">
        <w:rPr>
          <w:sz w:val="22"/>
          <w:lang w:val="pt-BR"/>
        </w:rPr>
        <w:t xml:space="preserve"> regulatórios devem definir claramente os papeis e as responsabilidades de todas as partes interessadas envolvidas na prestação dos serviços e fornecer informações claras e acessíveis sobre </w:t>
      </w:r>
      <w:r w:rsidR="00144CBA" w:rsidRPr="00723ECA">
        <w:rPr>
          <w:sz w:val="22"/>
          <w:lang w:val="pt-BR"/>
        </w:rPr>
        <w:t>os mecanismos de reclamações</w:t>
      </w:r>
      <w:r w:rsidR="00B41F25" w:rsidRPr="00723ECA">
        <w:rPr>
          <w:sz w:val="22"/>
          <w:lang w:val="pt-BR"/>
        </w:rPr>
        <w:t xml:space="preserve"> </w:t>
      </w:r>
      <w:r w:rsidR="00144CBA" w:rsidRPr="00723ECA">
        <w:rPr>
          <w:sz w:val="22"/>
          <w:lang w:val="pt-BR"/>
        </w:rPr>
        <w:t>disponíveis em diferentes níveis</w:t>
      </w:r>
      <w:r w:rsidR="00BA750D" w:rsidRPr="00723ECA">
        <w:rPr>
          <w:sz w:val="22"/>
          <w:lang w:val="pt-BR"/>
        </w:rPr>
        <w:t xml:space="preserve">. </w:t>
      </w:r>
      <w:r w:rsidR="0088594B" w:rsidRPr="00723ECA">
        <w:rPr>
          <w:sz w:val="22"/>
          <w:lang w:val="pt-BR"/>
        </w:rPr>
        <w:t>Um número crescente de órgãos reguladores independentes tem</w:t>
      </w:r>
      <w:r w:rsidR="00BA750D" w:rsidRPr="00723ECA">
        <w:rPr>
          <w:sz w:val="22"/>
          <w:lang w:val="pt-BR"/>
        </w:rPr>
        <w:t xml:space="preserve"> mecanismos de reclama</w:t>
      </w:r>
      <w:r w:rsidR="00B41F25" w:rsidRPr="00723ECA">
        <w:rPr>
          <w:sz w:val="22"/>
          <w:lang w:val="pt-BR"/>
        </w:rPr>
        <w:t>ção para a resolução de conflitos</w:t>
      </w:r>
      <w:r w:rsidR="00BA750D" w:rsidRPr="00723ECA">
        <w:rPr>
          <w:sz w:val="22"/>
          <w:lang w:val="pt-BR"/>
        </w:rPr>
        <w:t xml:space="preserve"> </w:t>
      </w:r>
      <w:r w:rsidR="00B41F25" w:rsidRPr="00723ECA">
        <w:rPr>
          <w:sz w:val="22"/>
          <w:lang w:val="pt-BR"/>
        </w:rPr>
        <w:t xml:space="preserve">entre </w:t>
      </w:r>
      <w:r w:rsidR="0088594B" w:rsidRPr="00723ECA">
        <w:rPr>
          <w:sz w:val="22"/>
          <w:lang w:val="pt-BR"/>
        </w:rPr>
        <w:t>p</w:t>
      </w:r>
      <w:r w:rsidR="00BA750D" w:rsidRPr="00723ECA">
        <w:rPr>
          <w:sz w:val="22"/>
          <w:lang w:val="pt-BR"/>
        </w:rPr>
        <w:t xml:space="preserve">restadores de </w:t>
      </w:r>
      <w:r w:rsidR="0088594B" w:rsidRPr="00723ECA">
        <w:rPr>
          <w:sz w:val="22"/>
          <w:lang w:val="pt-BR"/>
        </w:rPr>
        <w:t>s</w:t>
      </w:r>
      <w:r w:rsidR="00BA750D" w:rsidRPr="00723ECA">
        <w:rPr>
          <w:sz w:val="22"/>
          <w:lang w:val="pt-BR"/>
        </w:rPr>
        <w:t>erviços</w:t>
      </w:r>
      <w:r w:rsidR="00B41F25" w:rsidRPr="00723ECA">
        <w:rPr>
          <w:sz w:val="22"/>
          <w:lang w:val="pt-BR"/>
        </w:rPr>
        <w:t xml:space="preserve"> e usuários.</w:t>
      </w:r>
    </w:p>
    <w:p w:rsidR="008952EA" w:rsidRPr="00723ECA" w:rsidRDefault="008952EA" w:rsidP="008952EA">
      <w:pPr>
        <w:ind w:left="1134" w:right="1134"/>
        <w:jc w:val="both"/>
        <w:rPr>
          <w:sz w:val="22"/>
          <w:lang w:val="pt-BR"/>
        </w:rPr>
      </w:pPr>
    </w:p>
    <w:p w:rsidR="00B41F25" w:rsidRPr="00723ECA" w:rsidRDefault="00B41F25" w:rsidP="008952EA">
      <w:pPr>
        <w:ind w:left="1134" w:right="1134"/>
        <w:jc w:val="both"/>
        <w:rPr>
          <w:sz w:val="22"/>
          <w:lang w:val="pt-BR"/>
        </w:rPr>
      </w:pPr>
      <w:r w:rsidRPr="00723ECA">
        <w:rPr>
          <w:sz w:val="22"/>
          <w:lang w:val="pt-BR"/>
        </w:rPr>
        <w:t>82. N</w:t>
      </w:r>
      <w:r w:rsidR="00144CBA" w:rsidRPr="00723ECA">
        <w:rPr>
          <w:sz w:val="22"/>
          <w:lang w:val="pt-BR"/>
        </w:rPr>
        <w:t>o processamento</w:t>
      </w:r>
      <w:r w:rsidRPr="00723ECA">
        <w:rPr>
          <w:sz w:val="22"/>
          <w:lang w:val="pt-BR"/>
        </w:rPr>
        <w:t xml:space="preserve"> de reclamações contra </w:t>
      </w:r>
      <w:r w:rsidR="00144CBA" w:rsidRPr="00723ECA">
        <w:rPr>
          <w:sz w:val="22"/>
          <w:lang w:val="pt-BR"/>
        </w:rPr>
        <w:t xml:space="preserve">prestadores </w:t>
      </w:r>
      <w:r w:rsidRPr="00723ECA">
        <w:rPr>
          <w:sz w:val="22"/>
          <w:lang w:val="pt-BR"/>
        </w:rPr>
        <w:t xml:space="preserve">de serviços, </w:t>
      </w:r>
      <w:r w:rsidR="002533F0">
        <w:rPr>
          <w:sz w:val="22"/>
          <w:lang w:val="pt-BR"/>
        </w:rPr>
        <w:t>agentes regulatórios</w:t>
      </w:r>
      <w:r w:rsidR="0068708C" w:rsidRPr="00723ECA">
        <w:rPr>
          <w:sz w:val="22"/>
          <w:lang w:val="pt-BR"/>
        </w:rPr>
        <w:t xml:space="preserve"> devem garantir </w:t>
      </w:r>
      <w:r w:rsidR="00144CBA" w:rsidRPr="00723ECA">
        <w:rPr>
          <w:sz w:val="22"/>
          <w:lang w:val="pt-BR"/>
        </w:rPr>
        <w:t xml:space="preserve">que </w:t>
      </w:r>
      <w:r w:rsidR="0068708C" w:rsidRPr="00723ECA">
        <w:rPr>
          <w:sz w:val="22"/>
          <w:lang w:val="pt-BR"/>
        </w:rPr>
        <w:t xml:space="preserve">qualquer ação que interfira nas condições das pessoas </w:t>
      </w:r>
      <w:r w:rsidR="00144CBA" w:rsidRPr="00723ECA">
        <w:rPr>
          <w:sz w:val="22"/>
          <w:lang w:val="pt-BR"/>
        </w:rPr>
        <w:t xml:space="preserve">de </w:t>
      </w:r>
      <w:r w:rsidR="00E35997">
        <w:rPr>
          <w:sz w:val="22"/>
          <w:lang w:val="pt-BR"/>
        </w:rPr>
        <w:t>usu</w:t>
      </w:r>
      <w:r w:rsidR="00144CBA" w:rsidRPr="00723ECA">
        <w:rPr>
          <w:sz w:val="22"/>
          <w:lang w:val="pt-BR"/>
        </w:rPr>
        <w:t xml:space="preserve">fruir </w:t>
      </w:r>
      <w:r w:rsidR="0068708C" w:rsidRPr="00723ECA">
        <w:rPr>
          <w:sz w:val="22"/>
          <w:lang w:val="pt-BR"/>
        </w:rPr>
        <w:t xml:space="preserve">os direitos à água e ao esgotamento sanitário </w:t>
      </w:r>
      <w:r w:rsidR="00144CBA" w:rsidRPr="00723ECA">
        <w:rPr>
          <w:sz w:val="22"/>
          <w:lang w:val="pt-BR"/>
        </w:rPr>
        <w:t xml:space="preserve">seja precedida </w:t>
      </w:r>
      <w:r w:rsidR="00E35997">
        <w:rPr>
          <w:sz w:val="22"/>
          <w:lang w:val="pt-BR"/>
        </w:rPr>
        <w:t xml:space="preserve">por </w:t>
      </w:r>
      <w:r w:rsidR="0068708C" w:rsidRPr="00723ECA">
        <w:rPr>
          <w:sz w:val="22"/>
          <w:lang w:val="pt-BR"/>
        </w:rPr>
        <w:t xml:space="preserve">uma </w:t>
      </w:r>
      <w:r w:rsidR="00E35997">
        <w:rPr>
          <w:sz w:val="22"/>
          <w:lang w:val="pt-BR"/>
        </w:rPr>
        <w:t xml:space="preserve">real </w:t>
      </w:r>
      <w:r w:rsidR="0068708C" w:rsidRPr="00723ECA">
        <w:rPr>
          <w:sz w:val="22"/>
          <w:lang w:val="pt-BR"/>
        </w:rPr>
        <w:t xml:space="preserve">consulta </w:t>
      </w:r>
      <w:r w:rsidR="00144CBA" w:rsidRPr="00723ECA">
        <w:rPr>
          <w:sz w:val="22"/>
          <w:lang w:val="pt-BR"/>
        </w:rPr>
        <w:t>junto à</w:t>
      </w:r>
      <w:r w:rsidR="0068708C" w:rsidRPr="00723ECA">
        <w:rPr>
          <w:sz w:val="22"/>
          <w:lang w:val="pt-BR"/>
        </w:rPr>
        <w:t>s pessoas afetadas</w:t>
      </w:r>
      <w:r w:rsidR="00F53B95" w:rsidRPr="00723ECA">
        <w:rPr>
          <w:sz w:val="22"/>
          <w:lang w:val="pt-BR"/>
        </w:rPr>
        <w:t xml:space="preserve">, </w:t>
      </w:r>
      <w:r w:rsidR="00144CBA" w:rsidRPr="00723ECA">
        <w:rPr>
          <w:sz w:val="22"/>
          <w:lang w:val="pt-BR"/>
        </w:rPr>
        <w:t xml:space="preserve">bem como </w:t>
      </w:r>
      <w:r w:rsidR="00F53B95" w:rsidRPr="00723ECA">
        <w:rPr>
          <w:sz w:val="22"/>
          <w:lang w:val="pt-BR"/>
        </w:rPr>
        <w:t xml:space="preserve">divulgação </w:t>
      </w:r>
      <w:r w:rsidR="00483803" w:rsidRPr="00723ECA">
        <w:rPr>
          <w:sz w:val="22"/>
          <w:lang w:val="pt-BR"/>
        </w:rPr>
        <w:t xml:space="preserve">oportuna e </w:t>
      </w:r>
      <w:r w:rsidR="00F53B95" w:rsidRPr="00723ECA">
        <w:rPr>
          <w:sz w:val="22"/>
          <w:lang w:val="pt-BR"/>
        </w:rPr>
        <w:t xml:space="preserve">completa das informações </w:t>
      </w:r>
      <w:r w:rsidR="00483803" w:rsidRPr="00723ECA">
        <w:rPr>
          <w:sz w:val="22"/>
          <w:lang w:val="pt-BR"/>
        </w:rPr>
        <w:t>s</w:t>
      </w:r>
      <w:r w:rsidR="00F53B95" w:rsidRPr="00723ECA">
        <w:rPr>
          <w:sz w:val="22"/>
          <w:lang w:val="pt-BR"/>
        </w:rPr>
        <w:t xml:space="preserve">obre as medidas propostas, </w:t>
      </w:r>
      <w:r w:rsidR="00483803" w:rsidRPr="00723ECA">
        <w:rPr>
          <w:sz w:val="22"/>
          <w:lang w:val="pt-BR"/>
        </w:rPr>
        <w:t xml:space="preserve">prazo razoável das ações propostas, </w:t>
      </w:r>
      <w:r w:rsidR="00144CBA" w:rsidRPr="00723ECA">
        <w:rPr>
          <w:sz w:val="22"/>
          <w:lang w:val="pt-BR"/>
        </w:rPr>
        <w:t xml:space="preserve">possibilidade de </w:t>
      </w:r>
      <w:r w:rsidR="00483803" w:rsidRPr="00723ECA">
        <w:rPr>
          <w:sz w:val="22"/>
          <w:lang w:val="pt-BR"/>
        </w:rPr>
        <w:t>recursos</w:t>
      </w:r>
      <w:r w:rsidR="00F53B95" w:rsidRPr="00723ECA">
        <w:rPr>
          <w:sz w:val="22"/>
          <w:lang w:val="pt-BR"/>
        </w:rPr>
        <w:t xml:space="preserve"> </w:t>
      </w:r>
      <w:r w:rsidR="00483803" w:rsidRPr="00723ECA">
        <w:rPr>
          <w:sz w:val="22"/>
          <w:lang w:val="pt-BR"/>
        </w:rPr>
        <w:t>ju</w:t>
      </w:r>
      <w:r w:rsidR="00EC7E89" w:rsidRPr="00723ECA">
        <w:rPr>
          <w:sz w:val="22"/>
          <w:lang w:val="pt-BR"/>
        </w:rPr>
        <w:t>diciais</w:t>
      </w:r>
      <w:r w:rsidR="00483803" w:rsidRPr="00723ECA">
        <w:rPr>
          <w:sz w:val="22"/>
          <w:lang w:val="pt-BR"/>
        </w:rPr>
        <w:t xml:space="preserve"> </w:t>
      </w:r>
      <w:r w:rsidR="006809A9" w:rsidRPr="00723ECA">
        <w:rPr>
          <w:sz w:val="22"/>
          <w:lang w:val="pt-BR"/>
        </w:rPr>
        <w:t xml:space="preserve">e reparação </w:t>
      </w:r>
      <w:r w:rsidR="00483803" w:rsidRPr="00723ECA">
        <w:rPr>
          <w:sz w:val="22"/>
          <w:lang w:val="pt-BR"/>
        </w:rPr>
        <w:t xml:space="preserve">para as pessoas afetadas e assistência jurídica para obtenção </w:t>
      </w:r>
      <w:r w:rsidR="00144CBA" w:rsidRPr="00723ECA">
        <w:rPr>
          <w:sz w:val="22"/>
          <w:lang w:val="pt-BR"/>
        </w:rPr>
        <w:t>d</w:t>
      </w:r>
      <w:r w:rsidR="006809A9" w:rsidRPr="00723ECA">
        <w:rPr>
          <w:sz w:val="22"/>
          <w:lang w:val="pt-BR"/>
        </w:rPr>
        <w:t>a</w:t>
      </w:r>
      <w:r w:rsidR="00144CBA" w:rsidRPr="00723ECA">
        <w:rPr>
          <w:sz w:val="22"/>
          <w:lang w:val="pt-BR"/>
        </w:rPr>
        <w:t xml:space="preserve">s </w:t>
      </w:r>
      <w:r w:rsidR="006809A9" w:rsidRPr="00723ECA">
        <w:rPr>
          <w:sz w:val="22"/>
          <w:lang w:val="pt-BR"/>
        </w:rPr>
        <w:t>reparações</w:t>
      </w:r>
      <w:r w:rsidR="00144CBA" w:rsidRPr="00723ECA">
        <w:rPr>
          <w:sz w:val="22"/>
          <w:lang w:val="pt-BR"/>
        </w:rPr>
        <w:t xml:space="preserve"> legais</w:t>
      </w:r>
      <w:r w:rsidR="00F46A22" w:rsidRPr="00723ECA">
        <w:rPr>
          <w:sz w:val="22"/>
          <w:lang w:val="pt-BR"/>
        </w:rPr>
        <w:t>.</w:t>
      </w:r>
      <w:proofErr w:type="gramStart"/>
      <w:r w:rsidR="002137F1" w:rsidRPr="00723ECA">
        <w:rPr>
          <w:rStyle w:val="FootnoteReference"/>
          <w:sz w:val="20"/>
          <w:lang w:val="pt-BR"/>
        </w:rPr>
        <w:footnoteReference w:id="49"/>
      </w:r>
      <w:proofErr w:type="gramEnd"/>
    </w:p>
    <w:p w:rsidR="008952EA" w:rsidRPr="00723ECA" w:rsidRDefault="008952EA" w:rsidP="008952EA">
      <w:pPr>
        <w:ind w:left="1134" w:right="1134"/>
        <w:jc w:val="both"/>
        <w:rPr>
          <w:sz w:val="22"/>
          <w:lang w:val="pt-BR"/>
        </w:rPr>
      </w:pPr>
    </w:p>
    <w:p w:rsidR="00F1178A" w:rsidRPr="00723ECA" w:rsidRDefault="00AA2714" w:rsidP="008952EA">
      <w:pPr>
        <w:ind w:left="1134" w:right="1134"/>
        <w:jc w:val="both"/>
        <w:rPr>
          <w:sz w:val="22"/>
          <w:lang w:val="pt-BR"/>
        </w:rPr>
      </w:pPr>
      <w:r w:rsidRPr="00723ECA">
        <w:rPr>
          <w:sz w:val="22"/>
          <w:lang w:val="pt-BR"/>
        </w:rPr>
        <w:t xml:space="preserve">83. O órgão regulador deve também </w:t>
      </w:r>
      <w:r w:rsidR="00D11DA0" w:rsidRPr="00723ECA">
        <w:rPr>
          <w:sz w:val="22"/>
          <w:lang w:val="pt-BR"/>
        </w:rPr>
        <w:t xml:space="preserve">ter a competência </w:t>
      </w:r>
      <w:r w:rsidRPr="00723ECA">
        <w:rPr>
          <w:sz w:val="22"/>
          <w:lang w:val="pt-BR"/>
        </w:rPr>
        <w:t xml:space="preserve">de </w:t>
      </w:r>
      <w:r w:rsidR="00D11DA0" w:rsidRPr="00723ECA">
        <w:rPr>
          <w:sz w:val="22"/>
          <w:lang w:val="pt-BR"/>
        </w:rPr>
        <w:t xml:space="preserve">fazer </w:t>
      </w:r>
      <w:r w:rsidRPr="00723ECA">
        <w:rPr>
          <w:sz w:val="22"/>
          <w:lang w:val="pt-BR"/>
        </w:rPr>
        <w:t xml:space="preserve">cumprir os regulamentos e acordos contratuais existentes. </w:t>
      </w:r>
      <w:r w:rsidR="00553A00" w:rsidRPr="00723ECA">
        <w:rPr>
          <w:sz w:val="22"/>
          <w:lang w:val="pt-BR"/>
        </w:rPr>
        <w:t>Os m</w:t>
      </w:r>
      <w:r w:rsidRPr="00723ECA">
        <w:rPr>
          <w:sz w:val="22"/>
          <w:lang w:val="pt-BR"/>
        </w:rPr>
        <w:t xml:space="preserve">ecanismos de execução dos </w:t>
      </w:r>
      <w:r w:rsidR="00152DE8" w:rsidRPr="00723ECA">
        <w:rPr>
          <w:sz w:val="22"/>
          <w:lang w:val="pt-BR"/>
        </w:rPr>
        <w:t>contratos</w:t>
      </w:r>
      <w:r w:rsidRPr="00723ECA">
        <w:rPr>
          <w:sz w:val="22"/>
          <w:lang w:val="pt-BR"/>
        </w:rPr>
        <w:t xml:space="preserve"> deve</w:t>
      </w:r>
      <w:r w:rsidR="00F1178A" w:rsidRPr="00723ECA">
        <w:rPr>
          <w:sz w:val="22"/>
          <w:lang w:val="pt-BR"/>
        </w:rPr>
        <w:t>m</w:t>
      </w:r>
      <w:r w:rsidRPr="00723ECA">
        <w:rPr>
          <w:sz w:val="22"/>
          <w:lang w:val="pt-BR"/>
        </w:rPr>
        <w:t xml:space="preserve"> incluir incentivos adequados, </w:t>
      </w:r>
      <w:r w:rsidR="00F1178A" w:rsidRPr="00723ECA">
        <w:rPr>
          <w:sz w:val="22"/>
          <w:lang w:val="pt-BR"/>
        </w:rPr>
        <w:t>sanções</w:t>
      </w:r>
      <w:r w:rsidRPr="00723ECA">
        <w:rPr>
          <w:sz w:val="22"/>
          <w:lang w:val="pt-BR"/>
        </w:rPr>
        <w:t xml:space="preserve"> por não cumprimento, </w:t>
      </w:r>
      <w:r w:rsidR="00D11DA0" w:rsidRPr="00723ECA">
        <w:rPr>
          <w:sz w:val="22"/>
          <w:lang w:val="pt-BR"/>
        </w:rPr>
        <w:t xml:space="preserve">inclusive </w:t>
      </w:r>
      <w:r w:rsidR="00F1178A" w:rsidRPr="00723ECA">
        <w:rPr>
          <w:sz w:val="22"/>
          <w:lang w:val="pt-BR"/>
        </w:rPr>
        <w:t>multas</w:t>
      </w:r>
      <w:r w:rsidRPr="00723ECA">
        <w:rPr>
          <w:sz w:val="22"/>
          <w:lang w:val="pt-BR"/>
        </w:rPr>
        <w:t xml:space="preserve">, e a possibilidade de </w:t>
      </w:r>
      <w:r w:rsidR="00F1178A" w:rsidRPr="00723ECA">
        <w:rPr>
          <w:sz w:val="22"/>
          <w:lang w:val="pt-BR"/>
        </w:rPr>
        <w:t xml:space="preserve">rescisão </w:t>
      </w:r>
      <w:r w:rsidR="00553A00" w:rsidRPr="00723ECA">
        <w:rPr>
          <w:sz w:val="22"/>
          <w:lang w:val="pt-BR"/>
        </w:rPr>
        <w:t>contratual</w:t>
      </w:r>
      <w:r w:rsidRPr="00723ECA">
        <w:rPr>
          <w:sz w:val="22"/>
          <w:lang w:val="pt-BR"/>
        </w:rPr>
        <w:t xml:space="preserve"> </w:t>
      </w:r>
      <w:r w:rsidR="00E10C95" w:rsidRPr="00723ECA">
        <w:rPr>
          <w:sz w:val="22"/>
          <w:lang w:val="pt-BR"/>
        </w:rPr>
        <w:t>(ver A/HRC/15/ 31, parágrafo</w:t>
      </w:r>
      <w:r w:rsidR="00152DE8" w:rsidRPr="00723ECA">
        <w:rPr>
          <w:sz w:val="22"/>
          <w:lang w:val="pt-BR"/>
        </w:rPr>
        <w:t xml:space="preserve"> 52).</w:t>
      </w:r>
    </w:p>
    <w:p w:rsidR="008952EA" w:rsidRPr="00723ECA" w:rsidRDefault="008952EA" w:rsidP="008952EA">
      <w:pPr>
        <w:ind w:left="1134" w:right="1134"/>
        <w:jc w:val="both"/>
        <w:rPr>
          <w:sz w:val="22"/>
          <w:lang w:val="pt-BR"/>
        </w:rPr>
      </w:pPr>
    </w:p>
    <w:p w:rsidR="00F1178A" w:rsidRPr="00723ECA" w:rsidRDefault="00F1178A" w:rsidP="008952EA">
      <w:pPr>
        <w:ind w:left="1134" w:right="1134"/>
        <w:jc w:val="both"/>
        <w:rPr>
          <w:sz w:val="22"/>
          <w:lang w:val="pt-BR"/>
        </w:rPr>
      </w:pPr>
      <w:r w:rsidRPr="00723ECA">
        <w:rPr>
          <w:sz w:val="22"/>
          <w:lang w:val="pt-BR"/>
        </w:rPr>
        <w:t xml:space="preserve">84. </w:t>
      </w:r>
      <w:r w:rsidR="00D11DA0" w:rsidRPr="00723ECA">
        <w:rPr>
          <w:sz w:val="22"/>
          <w:lang w:val="pt-BR"/>
        </w:rPr>
        <w:t>Nos países onde inexiste mecanismo</w:t>
      </w:r>
      <w:r w:rsidR="00DA0D3E" w:rsidRPr="00723ECA">
        <w:rPr>
          <w:sz w:val="22"/>
          <w:lang w:val="pt-BR"/>
        </w:rPr>
        <w:t xml:space="preserve"> de regulação </w:t>
      </w:r>
      <w:r w:rsidR="00D11DA0" w:rsidRPr="00723ECA">
        <w:rPr>
          <w:sz w:val="22"/>
          <w:lang w:val="pt-BR"/>
        </w:rPr>
        <w:t>separado</w:t>
      </w:r>
      <w:r w:rsidR="00DA0D3E" w:rsidRPr="00723ECA">
        <w:rPr>
          <w:sz w:val="22"/>
          <w:lang w:val="pt-BR"/>
        </w:rPr>
        <w:t xml:space="preserve">, mas onde </w:t>
      </w:r>
      <w:r w:rsidR="00EB73D6" w:rsidRPr="00723ECA">
        <w:rPr>
          <w:sz w:val="22"/>
          <w:lang w:val="pt-BR"/>
        </w:rPr>
        <w:t>i</w:t>
      </w:r>
      <w:r w:rsidR="00DA0D3E" w:rsidRPr="00723ECA">
        <w:rPr>
          <w:sz w:val="22"/>
          <w:lang w:val="pt-BR"/>
        </w:rPr>
        <w:t xml:space="preserve">nstituições </w:t>
      </w:r>
      <w:r w:rsidR="00EB73D6" w:rsidRPr="00723ECA">
        <w:rPr>
          <w:sz w:val="22"/>
          <w:lang w:val="pt-BR"/>
        </w:rPr>
        <w:t>n</w:t>
      </w:r>
      <w:r w:rsidR="00DA0D3E" w:rsidRPr="00723ECA">
        <w:rPr>
          <w:sz w:val="22"/>
          <w:lang w:val="pt-BR"/>
        </w:rPr>
        <w:t xml:space="preserve">acionais de </w:t>
      </w:r>
      <w:r w:rsidR="00EB73D6" w:rsidRPr="00723ECA">
        <w:rPr>
          <w:sz w:val="22"/>
          <w:lang w:val="pt-BR"/>
        </w:rPr>
        <w:t>d</w:t>
      </w:r>
      <w:r w:rsidR="00DA0D3E" w:rsidRPr="00723ECA">
        <w:rPr>
          <w:sz w:val="22"/>
          <w:lang w:val="pt-BR"/>
        </w:rPr>
        <w:t xml:space="preserve">ireitos </w:t>
      </w:r>
      <w:r w:rsidR="00EB73D6" w:rsidRPr="00723ECA">
        <w:rPr>
          <w:sz w:val="22"/>
          <w:lang w:val="pt-BR"/>
        </w:rPr>
        <w:t>h</w:t>
      </w:r>
      <w:r w:rsidR="00DA0D3E" w:rsidRPr="00723ECA">
        <w:rPr>
          <w:sz w:val="22"/>
          <w:lang w:val="pt-BR"/>
        </w:rPr>
        <w:t xml:space="preserve">umanos ou </w:t>
      </w:r>
      <w:r w:rsidR="00EB73D6" w:rsidRPr="00723ECA">
        <w:rPr>
          <w:sz w:val="22"/>
          <w:lang w:val="pt-BR"/>
        </w:rPr>
        <w:t xml:space="preserve">ouvidorias </w:t>
      </w:r>
      <w:r w:rsidR="00DA0D3E" w:rsidRPr="00723ECA">
        <w:rPr>
          <w:sz w:val="22"/>
          <w:lang w:val="pt-BR"/>
        </w:rPr>
        <w:t>estão presentes, as pessoas podem</w:t>
      </w:r>
      <w:r w:rsidR="00D83052" w:rsidRPr="00723ECA">
        <w:rPr>
          <w:sz w:val="22"/>
          <w:lang w:val="pt-BR"/>
        </w:rPr>
        <w:t xml:space="preserve"> recorrer a esses órgãos independentes </w:t>
      </w:r>
      <w:r w:rsidR="00EB73D6" w:rsidRPr="00723ECA">
        <w:rPr>
          <w:sz w:val="22"/>
          <w:lang w:val="pt-BR"/>
        </w:rPr>
        <w:t xml:space="preserve">quando </w:t>
      </w:r>
      <w:r w:rsidR="00D83052" w:rsidRPr="00723ECA">
        <w:rPr>
          <w:sz w:val="22"/>
          <w:lang w:val="pt-BR"/>
        </w:rPr>
        <w:t xml:space="preserve">seus direitos humanos à água e ao esgotamento sanitário </w:t>
      </w:r>
      <w:r w:rsidR="007A59C9" w:rsidRPr="00723ECA">
        <w:rPr>
          <w:sz w:val="22"/>
          <w:lang w:val="pt-BR"/>
        </w:rPr>
        <w:t>f</w:t>
      </w:r>
      <w:r w:rsidR="002519E7" w:rsidRPr="00723ECA">
        <w:rPr>
          <w:sz w:val="22"/>
          <w:lang w:val="pt-BR"/>
        </w:rPr>
        <w:t>or</w:t>
      </w:r>
      <w:r w:rsidR="00EB73D6" w:rsidRPr="00723ECA">
        <w:rPr>
          <w:sz w:val="22"/>
          <w:lang w:val="pt-BR"/>
        </w:rPr>
        <w:t>e</w:t>
      </w:r>
      <w:r w:rsidR="002519E7" w:rsidRPr="00723ECA">
        <w:rPr>
          <w:sz w:val="22"/>
          <w:lang w:val="pt-BR"/>
        </w:rPr>
        <w:t>m</w:t>
      </w:r>
      <w:r w:rsidR="00D83052" w:rsidRPr="00723ECA">
        <w:rPr>
          <w:sz w:val="22"/>
          <w:lang w:val="pt-BR"/>
        </w:rPr>
        <w:t xml:space="preserve"> comprometidos</w:t>
      </w:r>
      <w:r w:rsidR="00EB73D6" w:rsidRPr="00723ECA">
        <w:rPr>
          <w:sz w:val="22"/>
          <w:lang w:val="pt-BR"/>
        </w:rPr>
        <w:t xml:space="preserve"> </w:t>
      </w:r>
      <w:r w:rsidR="00D83052" w:rsidRPr="00723ECA">
        <w:rPr>
          <w:sz w:val="22"/>
          <w:lang w:val="pt-BR"/>
        </w:rPr>
        <w:t xml:space="preserve">por um </w:t>
      </w:r>
      <w:r w:rsidR="002519E7" w:rsidRPr="00723ECA">
        <w:rPr>
          <w:sz w:val="22"/>
          <w:lang w:val="pt-BR"/>
        </w:rPr>
        <w:t>p</w:t>
      </w:r>
      <w:r w:rsidR="00D83052" w:rsidRPr="00723ECA">
        <w:rPr>
          <w:sz w:val="22"/>
          <w:lang w:val="pt-BR"/>
        </w:rPr>
        <w:t>r</w:t>
      </w:r>
      <w:r w:rsidR="00D83052" w:rsidRPr="00E67326">
        <w:rPr>
          <w:sz w:val="22"/>
          <w:lang w:val="pt-BR"/>
        </w:rPr>
        <w:t xml:space="preserve">estador de </w:t>
      </w:r>
      <w:r w:rsidR="002519E7" w:rsidRPr="00E67326">
        <w:rPr>
          <w:sz w:val="22"/>
          <w:lang w:val="pt-BR"/>
        </w:rPr>
        <w:t>s</w:t>
      </w:r>
      <w:r w:rsidR="00D83052" w:rsidRPr="00E67326">
        <w:rPr>
          <w:sz w:val="22"/>
          <w:lang w:val="pt-BR"/>
        </w:rPr>
        <w:t xml:space="preserve">erviços. </w:t>
      </w:r>
      <w:r w:rsidR="00D83052" w:rsidRPr="00F90890">
        <w:rPr>
          <w:sz w:val="22"/>
          <w:lang w:val="pt-BR"/>
        </w:rPr>
        <w:t xml:space="preserve">A </w:t>
      </w:r>
      <w:r w:rsidR="00BB6C9C" w:rsidRPr="00F90890">
        <w:rPr>
          <w:sz w:val="22"/>
          <w:lang w:val="pt-BR"/>
        </w:rPr>
        <w:t>respo</w:t>
      </w:r>
      <w:r w:rsidR="00F90890" w:rsidRPr="00F90890">
        <w:rPr>
          <w:sz w:val="22"/>
          <w:lang w:val="pt-BR"/>
        </w:rPr>
        <w:t>n</w:t>
      </w:r>
      <w:r w:rsidR="00BB6C9C" w:rsidRPr="00F90890">
        <w:rPr>
          <w:sz w:val="22"/>
          <w:lang w:val="pt-BR"/>
        </w:rPr>
        <w:t xml:space="preserve">sabilização </w:t>
      </w:r>
      <w:r w:rsidR="00D83052" w:rsidRPr="00F90890">
        <w:rPr>
          <w:sz w:val="22"/>
          <w:lang w:val="pt-BR"/>
        </w:rPr>
        <w:t xml:space="preserve">pode ser </w:t>
      </w:r>
      <w:r w:rsidR="0027205A" w:rsidRPr="00F90890">
        <w:rPr>
          <w:sz w:val="22"/>
          <w:lang w:val="pt-BR"/>
        </w:rPr>
        <w:t>exigida</w:t>
      </w:r>
      <w:r w:rsidR="00BB6C9C" w:rsidRPr="00F90890">
        <w:rPr>
          <w:sz w:val="22"/>
          <w:lang w:val="pt-BR"/>
        </w:rPr>
        <w:t xml:space="preserve"> perante </w:t>
      </w:r>
      <w:r w:rsidR="00D83052" w:rsidRPr="00F90890">
        <w:rPr>
          <w:sz w:val="22"/>
          <w:lang w:val="pt-BR"/>
        </w:rPr>
        <w:t xml:space="preserve">órgãos </w:t>
      </w:r>
      <w:proofErr w:type="gramStart"/>
      <w:r w:rsidR="00BB6C9C" w:rsidRPr="00F90890">
        <w:rPr>
          <w:sz w:val="22"/>
          <w:lang w:val="pt-BR"/>
        </w:rPr>
        <w:t>quase-judiciais</w:t>
      </w:r>
      <w:proofErr w:type="gramEnd"/>
      <w:r w:rsidR="00D83052" w:rsidRPr="00F90890">
        <w:rPr>
          <w:sz w:val="22"/>
          <w:lang w:val="pt-BR"/>
        </w:rPr>
        <w:t>,</w:t>
      </w:r>
      <w:r w:rsidR="00D83052" w:rsidRPr="00E67326">
        <w:rPr>
          <w:sz w:val="22"/>
          <w:lang w:val="pt-BR"/>
        </w:rPr>
        <w:t xml:space="preserve"> </w:t>
      </w:r>
      <w:r w:rsidR="00D83052" w:rsidRPr="00723ECA">
        <w:rPr>
          <w:sz w:val="22"/>
          <w:lang w:val="pt-BR"/>
        </w:rPr>
        <w:t>cujo mandato frequentemente inclui o tratamento das reclamações d</w:t>
      </w:r>
      <w:r w:rsidR="00F55E45" w:rsidRPr="00723ECA">
        <w:rPr>
          <w:sz w:val="22"/>
          <w:lang w:val="pt-BR"/>
        </w:rPr>
        <w:t>e</w:t>
      </w:r>
      <w:r w:rsidR="00D83052" w:rsidRPr="00723ECA">
        <w:rPr>
          <w:sz w:val="22"/>
          <w:lang w:val="pt-BR"/>
        </w:rPr>
        <w:t xml:space="preserve"> direitos humanos</w:t>
      </w:r>
      <w:r w:rsidR="00F55E45" w:rsidRPr="00723ECA">
        <w:rPr>
          <w:sz w:val="22"/>
          <w:lang w:val="pt-BR"/>
        </w:rPr>
        <w:t>.</w:t>
      </w:r>
    </w:p>
    <w:p w:rsidR="008952EA" w:rsidRPr="00723ECA" w:rsidRDefault="008952EA" w:rsidP="008952EA">
      <w:pPr>
        <w:ind w:left="1134" w:right="1134"/>
        <w:jc w:val="both"/>
        <w:rPr>
          <w:sz w:val="22"/>
          <w:lang w:val="pt-BR"/>
        </w:rPr>
      </w:pPr>
    </w:p>
    <w:p w:rsidR="00B00529" w:rsidRPr="00723ECA" w:rsidRDefault="00F55E45" w:rsidP="008952EA">
      <w:pPr>
        <w:ind w:left="1134" w:right="1134"/>
        <w:jc w:val="both"/>
        <w:rPr>
          <w:sz w:val="22"/>
          <w:lang w:val="pt-BR"/>
        </w:rPr>
      </w:pPr>
      <w:r w:rsidRPr="00723ECA">
        <w:rPr>
          <w:sz w:val="22"/>
          <w:lang w:val="pt-BR"/>
        </w:rPr>
        <w:t xml:space="preserve">85. Quando mecanismos administrativos ou </w:t>
      </w:r>
      <w:proofErr w:type="gramStart"/>
      <w:r w:rsidR="0027205A">
        <w:rPr>
          <w:sz w:val="22"/>
          <w:lang w:val="pt-BR"/>
        </w:rPr>
        <w:t>quase-judiciais</w:t>
      </w:r>
      <w:proofErr w:type="gramEnd"/>
      <w:r w:rsidR="0027205A">
        <w:rPr>
          <w:sz w:val="22"/>
          <w:lang w:val="pt-BR"/>
        </w:rPr>
        <w:t xml:space="preserve"> </w:t>
      </w:r>
      <w:r w:rsidRPr="00723ECA">
        <w:rPr>
          <w:sz w:val="22"/>
          <w:lang w:val="pt-BR"/>
        </w:rPr>
        <w:t xml:space="preserve">nacionais </w:t>
      </w:r>
      <w:r w:rsidR="00EB73D6" w:rsidRPr="00723ECA">
        <w:rPr>
          <w:sz w:val="22"/>
          <w:lang w:val="pt-BR"/>
        </w:rPr>
        <w:t>in</w:t>
      </w:r>
      <w:r w:rsidRPr="00723ECA">
        <w:rPr>
          <w:sz w:val="22"/>
          <w:lang w:val="pt-BR"/>
        </w:rPr>
        <w:t xml:space="preserve">existem ou não são capazes de </w:t>
      </w:r>
      <w:r w:rsidR="00EB73D6" w:rsidRPr="00723ECA">
        <w:rPr>
          <w:sz w:val="22"/>
          <w:lang w:val="pt-BR"/>
        </w:rPr>
        <w:t>solucionar</w:t>
      </w:r>
      <w:r w:rsidRPr="00723ECA">
        <w:rPr>
          <w:sz w:val="22"/>
          <w:lang w:val="pt-BR"/>
        </w:rPr>
        <w:t xml:space="preserve"> com </w:t>
      </w:r>
      <w:r w:rsidR="00EB73D6" w:rsidRPr="00723ECA">
        <w:rPr>
          <w:sz w:val="22"/>
          <w:lang w:val="pt-BR"/>
        </w:rPr>
        <w:t>êxito uma disputa</w:t>
      </w:r>
      <w:r w:rsidRPr="00723ECA">
        <w:rPr>
          <w:sz w:val="22"/>
          <w:lang w:val="pt-BR"/>
        </w:rPr>
        <w:t>, o direito</w:t>
      </w:r>
      <w:r w:rsidR="00533888" w:rsidRPr="00723ECA">
        <w:rPr>
          <w:sz w:val="22"/>
          <w:lang w:val="pt-BR"/>
        </w:rPr>
        <w:t xml:space="preserve"> a</w:t>
      </w:r>
      <w:r w:rsidR="00A745D4" w:rsidRPr="00723ECA">
        <w:rPr>
          <w:sz w:val="22"/>
          <w:lang w:val="pt-BR"/>
        </w:rPr>
        <w:t xml:space="preserve"> um recurso</w:t>
      </w:r>
      <w:r w:rsidR="00533888" w:rsidRPr="00723ECA">
        <w:rPr>
          <w:sz w:val="22"/>
          <w:lang w:val="pt-BR"/>
        </w:rPr>
        <w:t xml:space="preserve"> efetivo</w:t>
      </w:r>
      <w:r w:rsidR="00A745D4" w:rsidRPr="00723ECA">
        <w:rPr>
          <w:sz w:val="22"/>
          <w:lang w:val="pt-BR"/>
        </w:rPr>
        <w:t xml:space="preserve"> </w:t>
      </w:r>
      <w:r w:rsidR="00B40911" w:rsidRPr="00723ECA">
        <w:rPr>
          <w:sz w:val="22"/>
          <w:lang w:val="pt-BR"/>
        </w:rPr>
        <w:t>exige</w:t>
      </w:r>
      <w:r w:rsidR="00A745D4" w:rsidRPr="00723ECA">
        <w:rPr>
          <w:sz w:val="22"/>
          <w:lang w:val="pt-BR"/>
        </w:rPr>
        <w:t xml:space="preserve"> que </w:t>
      </w:r>
      <w:r w:rsidR="00533888" w:rsidRPr="00723ECA">
        <w:rPr>
          <w:sz w:val="22"/>
          <w:lang w:val="pt-BR"/>
        </w:rPr>
        <w:t>as pessoas</w:t>
      </w:r>
      <w:r w:rsidR="00EB73D6" w:rsidRPr="00723ECA">
        <w:rPr>
          <w:sz w:val="22"/>
          <w:lang w:val="pt-BR"/>
        </w:rPr>
        <w:t>,</w:t>
      </w:r>
      <w:r w:rsidR="00533888" w:rsidRPr="00723ECA">
        <w:rPr>
          <w:sz w:val="22"/>
          <w:lang w:val="pt-BR"/>
        </w:rPr>
        <w:t xml:space="preserve"> cujo</w:t>
      </w:r>
      <w:r w:rsidR="00B40911" w:rsidRPr="00723ECA">
        <w:rPr>
          <w:sz w:val="22"/>
          <w:lang w:val="pt-BR"/>
        </w:rPr>
        <w:t>s</w:t>
      </w:r>
      <w:r w:rsidR="00533888" w:rsidRPr="00723ECA">
        <w:rPr>
          <w:sz w:val="22"/>
          <w:lang w:val="pt-BR"/>
        </w:rPr>
        <w:t xml:space="preserve"> direito</w:t>
      </w:r>
      <w:r w:rsidR="00B40911" w:rsidRPr="00723ECA">
        <w:rPr>
          <w:sz w:val="22"/>
          <w:lang w:val="pt-BR"/>
        </w:rPr>
        <w:t>s</w:t>
      </w:r>
      <w:r w:rsidR="00533888" w:rsidRPr="00723ECA">
        <w:rPr>
          <w:sz w:val="22"/>
          <w:lang w:val="pt-BR"/>
        </w:rPr>
        <w:t xml:space="preserve"> à água e ao esgotamento sanitário </w:t>
      </w:r>
      <w:r w:rsidR="00B40911" w:rsidRPr="00723ECA">
        <w:rPr>
          <w:sz w:val="22"/>
          <w:lang w:val="pt-BR"/>
        </w:rPr>
        <w:t>tenham sido</w:t>
      </w:r>
      <w:r w:rsidR="00533888" w:rsidRPr="00723ECA">
        <w:rPr>
          <w:sz w:val="22"/>
          <w:lang w:val="pt-BR"/>
        </w:rPr>
        <w:t xml:space="preserve"> afetados</w:t>
      </w:r>
      <w:r w:rsidR="00EB73D6" w:rsidRPr="00723ECA">
        <w:rPr>
          <w:sz w:val="22"/>
          <w:lang w:val="pt-BR"/>
        </w:rPr>
        <w:t>, possam recorrer a um</w:t>
      </w:r>
      <w:r w:rsidR="00533888" w:rsidRPr="00723ECA">
        <w:rPr>
          <w:sz w:val="22"/>
          <w:lang w:val="pt-BR"/>
        </w:rPr>
        <w:t xml:space="preserve"> tribunal. </w:t>
      </w:r>
      <w:r w:rsidR="00B40911" w:rsidRPr="00723ECA">
        <w:rPr>
          <w:sz w:val="22"/>
          <w:lang w:val="pt-BR"/>
        </w:rPr>
        <w:t xml:space="preserve">Um direito de revisão judicial como último recurso é </w:t>
      </w:r>
      <w:r w:rsidR="00EB73D6" w:rsidRPr="00723ECA">
        <w:rPr>
          <w:sz w:val="22"/>
          <w:lang w:val="pt-BR"/>
        </w:rPr>
        <w:t xml:space="preserve">às vezes </w:t>
      </w:r>
      <w:r w:rsidR="00B40911" w:rsidRPr="00723ECA">
        <w:rPr>
          <w:sz w:val="22"/>
          <w:lang w:val="pt-BR"/>
        </w:rPr>
        <w:t>indispensável. Nesse contexto, é fundamental que</w:t>
      </w:r>
      <w:r w:rsidR="00EB73D6" w:rsidRPr="00723ECA">
        <w:rPr>
          <w:sz w:val="22"/>
          <w:lang w:val="pt-BR"/>
        </w:rPr>
        <w:t xml:space="preserve"> os sistemas judiciais observem </w:t>
      </w:r>
      <w:r w:rsidR="00B40911" w:rsidRPr="00723ECA">
        <w:rPr>
          <w:sz w:val="22"/>
          <w:lang w:val="pt-BR"/>
        </w:rPr>
        <w:t>a aplicação jurídica dos direitos humanos à água e ao esgotamento sanitário de acordo com a</w:t>
      </w:r>
      <w:r w:rsidR="00EB73D6" w:rsidRPr="00723ECA">
        <w:rPr>
          <w:sz w:val="22"/>
          <w:lang w:val="pt-BR"/>
        </w:rPr>
        <w:t>s normais internacionais</w:t>
      </w:r>
      <w:r w:rsidR="00B40911" w:rsidRPr="00723ECA">
        <w:rPr>
          <w:sz w:val="22"/>
          <w:lang w:val="pt-BR"/>
        </w:rPr>
        <w:t xml:space="preserve"> dos direitos humanos.</w:t>
      </w:r>
    </w:p>
    <w:p w:rsidR="008952EA" w:rsidRPr="00723ECA" w:rsidRDefault="008952EA" w:rsidP="008952EA">
      <w:pPr>
        <w:ind w:left="1134" w:right="1134"/>
        <w:jc w:val="both"/>
        <w:rPr>
          <w:sz w:val="22"/>
          <w:lang w:val="pt-BR"/>
        </w:rPr>
      </w:pPr>
    </w:p>
    <w:p w:rsidR="000B53EE" w:rsidRPr="00723ECA" w:rsidRDefault="00161814" w:rsidP="008952EA">
      <w:pPr>
        <w:ind w:left="1134" w:right="1134"/>
        <w:jc w:val="both"/>
        <w:rPr>
          <w:sz w:val="22"/>
          <w:lang w:val="pt-BR"/>
        </w:rPr>
      </w:pPr>
      <w:r w:rsidRPr="00723ECA">
        <w:rPr>
          <w:sz w:val="22"/>
          <w:lang w:val="pt-BR"/>
        </w:rPr>
        <w:t xml:space="preserve">86. A </w:t>
      </w:r>
      <w:r w:rsidR="00BB6C9C" w:rsidRPr="00723ECA">
        <w:rPr>
          <w:sz w:val="22"/>
          <w:lang w:val="pt-BR"/>
        </w:rPr>
        <w:t xml:space="preserve">responsabilização </w:t>
      </w:r>
      <w:r w:rsidRPr="00723ECA">
        <w:rPr>
          <w:sz w:val="22"/>
          <w:lang w:val="pt-BR"/>
        </w:rPr>
        <w:t xml:space="preserve">deve </w:t>
      </w:r>
      <w:r w:rsidR="00EB73D6" w:rsidRPr="00723ECA">
        <w:rPr>
          <w:sz w:val="22"/>
          <w:lang w:val="pt-BR"/>
        </w:rPr>
        <w:t>ser garantida</w:t>
      </w:r>
      <w:r w:rsidRPr="00723ECA">
        <w:rPr>
          <w:sz w:val="22"/>
          <w:lang w:val="pt-BR"/>
        </w:rPr>
        <w:t xml:space="preserve"> não só </w:t>
      </w:r>
      <w:r w:rsidR="00EB73D6" w:rsidRPr="00723ECA">
        <w:rPr>
          <w:sz w:val="22"/>
          <w:lang w:val="pt-BR"/>
        </w:rPr>
        <w:t>em</w:t>
      </w:r>
      <w:r w:rsidRPr="00723ECA">
        <w:rPr>
          <w:sz w:val="22"/>
          <w:lang w:val="pt-BR"/>
        </w:rPr>
        <w:t xml:space="preserve"> relação </w:t>
      </w:r>
      <w:r w:rsidR="00EB73D6" w:rsidRPr="00723ECA">
        <w:rPr>
          <w:sz w:val="22"/>
          <w:lang w:val="pt-BR"/>
        </w:rPr>
        <w:t>a</w:t>
      </w:r>
      <w:r w:rsidRPr="00723ECA">
        <w:rPr>
          <w:sz w:val="22"/>
          <w:lang w:val="pt-BR"/>
        </w:rPr>
        <w:t xml:space="preserve">os </w:t>
      </w:r>
      <w:r w:rsidR="009407AC" w:rsidRPr="00723ECA">
        <w:rPr>
          <w:sz w:val="22"/>
          <w:lang w:val="pt-BR"/>
        </w:rPr>
        <w:t>p</w:t>
      </w:r>
      <w:r w:rsidRPr="00723ECA">
        <w:rPr>
          <w:sz w:val="22"/>
          <w:lang w:val="pt-BR"/>
        </w:rPr>
        <w:t xml:space="preserve">restadores de </w:t>
      </w:r>
      <w:r w:rsidR="000F4FA5" w:rsidRPr="00723ECA">
        <w:rPr>
          <w:sz w:val="22"/>
          <w:lang w:val="pt-BR"/>
        </w:rPr>
        <w:t>serviços,</w:t>
      </w:r>
      <w:r w:rsidRPr="00723ECA">
        <w:rPr>
          <w:sz w:val="22"/>
          <w:lang w:val="pt-BR"/>
        </w:rPr>
        <w:t xml:space="preserve"> mas também </w:t>
      </w:r>
      <w:r w:rsidR="00EB73D6" w:rsidRPr="00723ECA">
        <w:rPr>
          <w:sz w:val="22"/>
          <w:lang w:val="pt-BR"/>
        </w:rPr>
        <w:t xml:space="preserve">em </w:t>
      </w:r>
      <w:r w:rsidRPr="00723ECA">
        <w:rPr>
          <w:sz w:val="22"/>
          <w:lang w:val="pt-BR"/>
        </w:rPr>
        <w:t xml:space="preserve">relação </w:t>
      </w:r>
      <w:r w:rsidR="00EB73D6" w:rsidRPr="00723ECA">
        <w:rPr>
          <w:sz w:val="22"/>
          <w:lang w:val="pt-BR"/>
        </w:rPr>
        <w:t xml:space="preserve">às </w:t>
      </w:r>
      <w:r w:rsidRPr="00723ECA">
        <w:rPr>
          <w:sz w:val="22"/>
          <w:lang w:val="pt-BR"/>
        </w:rPr>
        <w:t xml:space="preserve">decisões e atividades dos </w:t>
      </w:r>
      <w:r w:rsidR="009407AC" w:rsidRPr="00723ECA">
        <w:rPr>
          <w:sz w:val="22"/>
          <w:lang w:val="pt-BR"/>
        </w:rPr>
        <w:t>ó</w:t>
      </w:r>
      <w:r w:rsidRPr="00723ECA">
        <w:rPr>
          <w:sz w:val="22"/>
          <w:lang w:val="pt-BR"/>
        </w:rPr>
        <w:t xml:space="preserve">rgãos </w:t>
      </w:r>
      <w:r w:rsidR="009407AC" w:rsidRPr="00723ECA">
        <w:rPr>
          <w:sz w:val="22"/>
          <w:lang w:val="pt-BR"/>
        </w:rPr>
        <w:t>r</w:t>
      </w:r>
      <w:r w:rsidRPr="00723ECA">
        <w:rPr>
          <w:sz w:val="22"/>
          <w:lang w:val="pt-BR"/>
        </w:rPr>
        <w:t xml:space="preserve">eguladores. A Carta de Lisboa </w:t>
      </w:r>
      <w:r w:rsidRPr="00723ECA">
        <w:rPr>
          <w:sz w:val="22"/>
          <w:lang w:val="pt-BR"/>
        </w:rPr>
        <w:lastRenderedPageBreak/>
        <w:t>da Associação Internacional da Água</w:t>
      </w:r>
      <w:r w:rsidR="009407AC" w:rsidRPr="00723ECA">
        <w:rPr>
          <w:sz w:val="22"/>
          <w:lang w:val="pt-BR"/>
        </w:rPr>
        <w:t xml:space="preserve"> salienta que o</w:t>
      </w:r>
      <w:r w:rsidR="001574D2" w:rsidRPr="00723ECA">
        <w:rPr>
          <w:sz w:val="22"/>
          <w:lang w:val="pt-BR"/>
        </w:rPr>
        <w:t>s</w:t>
      </w:r>
      <w:r w:rsidR="009407AC" w:rsidRPr="00723ECA">
        <w:rPr>
          <w:sz w:val="22"/>
          <w:lang w:val="pt-BR"/>
        </w:rPr>
        <w:t xml:space="preserve"> marco</w:t>
      </w:r>
      <w:r w:rsidR="001574D2" w:rsidRPr="00723ECA">
        <w:rPr>
          <w:sz w:val="22"/>
          <w:lang w:val="pt-BR"/>
        </w:rPr>
        <w:t>s</w:t>
      </w:r>
      <w:r w:rsidR="009407AC" w:rsidRPr="00723ECA">
        <w:rPr>
          <w:sz w:val="22"/>
          <w:lang w:val="pt-BR"/>
        </w:rPr>
        <w:t xml:space="preserve"> regulatório</w:t>
      </w:r>
      <w:r w:rsidR="001574D2" w:rsidRPr="00723ECA">
        <w:rPr>
          <w:sz w:val="22"/>
          <w:lang w:val="pt-BR"/>
        </w:rPr>
        <w:t>s</w:t>
      </w:r>
      <w:r w:rsidR="009407AC" w:rsidRPr="00723ECA">
        <w:rPr>
          <w:sz w:val="22"/>
          <w:lang w:val="pt-BR"/>
        </w:rPr>
        <w:t xml:space="preserve"> </w:t>
      </w:r>
      <w:proofErr w:type="gramStart"/>
      <w:r w:rsidR="009407AC" w:rsidRPr="00723ECA">
        <w:rPr>
          <w:sz w:val="22"/>
          <w:lang w:val="pt-BR"/>
        </w:rPr>
        <w:t>deve</w:t>
      </w:r>
      <w:r w:rsidR="001574D2" w:rsidRPr="00723ECA">
        <w:rPr>
          <w:sz w:val="22"/>
          <w:lang w:val="pt-BR"/>
        </w:rPr>
        <w:t>m</w:t>
      </w:r>
      <w:proofErr w:type="gramEnd"/>
      <w:r w:rsidR="009407AC" w:rsidRPr="00723ECA">
        <w:rPr>
          <w:sz w:val="22"/>
          <w:lang w:val="pt-BR"/>
        </w:rPr>
        <w:t xml:space="preserve"> estabelecer mecanismos necessários para garantir a </w:t>
      </w:r>
      <w:r w:rsidR="00BB6C9C" w:rsidRPr="00723ECA">
        <w:rPr>
          <w:sz w:val="22"/>
          <w:lang w:val="pt-BR"/>
        </w:rPr>
        <w:t xml:space="preserve">responsabilização </w:t>
      </w:r>
      <w:r w:rsidR="009407AC" w:rsidRPr="00723ECA">
        <w:rPr>
          <w:sz w:val="22"/>
          <w:lang w:val="pt-BR"/>
        </w:rPr>
        <w:t xml:space="preserve">e </w:t>
      </w:r>
      <w:r w:rsidR="001574D2" w:rsidRPr="00723ECA">
        <w:rPr>
          <w:sz w:val="22"/>
          <w:lang w:val="pt-BR"/>
        </w:rPr>
        <w:t xml:space="preserve">o </w:t>
      </w:r>
      <w:r w:rsidR="002F7146" w:rsidRPr="00723ECA">
        <w:rPr>
          <w:sz w:val="22"/>
          <w:lang w:val="pt-BR"/>
        </w:rPr>
        <w:t>escrutínio</w:t>
      </w:r>
      <w:r w:rsidR="001574D2" w:rsidRPr="00723ECA">
        <w:rPr>
          <w:sz w:val="22"/>
          <w:lang w:val="pt-BR"/>
        </w:rPr>
        <w:t xml:space="preserve"> público</w:t>
      </w:r>
      <w:r w:rsidR="009407AC" w:rsidRPr="00723ECA">
        <w:rPr>
          <w:sz w:val="22"/>
          <w:lang w:val="pt-BR"/>
        </w:rPr>
        <w:t xml:space="preserve"> dos órgãos reguladores.</w:t>
      </w:r>
      <w:r w:rsidR="002137F1" w:rsidRPr="00723ECA">
        <w:rPr>
          <w:rStyle w:val="FootnoteReference"/>
          <w:sz w:val="20"/>
          <w:lang w:val="pt-BR"/>
        </w:rPr>
        <w:footnoteReference w:id="50"/>
      </w:r>
      <w:r w:rsidR="002137F1" w:rsidRPr="00723ECA">
        <w:rPr>
          <w:sz w:val="22"/>
          <w:lang w:val="pt-BR"/>
        </w:rPr>
        <w:t xml:space="preserve"> </w:t>
      </w:r>
      <w:r w:rsidR="009407AC" w:rsidRPr="00723ECA">
        <w:rPr>
          <w:sz w:val="22"/>
          <w:lang w:val="pt-BR"/>
        </w:rPr>
        <w:t xml:space="preserve">As pessoas devem ter o direito de </w:t>
      </w:r>
      <w:r w:rsidR="00200560" w:rsidRPr="00723ECA">
        <w:rPr>
          <w:sz w:val="22"/>
          <w:lang w:val="pt-BR"/>
        </w:rPr>
        <w:t>contestar judicialmente a decisão ou regulamento de um ó</w:t>
      </w:r>
      <w:r w:rsidR="001574D2" w:rsidRPr="00723ECA">
        <w:rPr>
          <w:sz w:val="22"/>
          <w:lang w:val="pt-BR"/>
        </w:rPr>
        <w:t>rgão regulador que interfira na fruição de seu</w:t>
      </w:r>
      <w:r w:rsidR="009C4D0B" w:rsidRPr="00723ECA">
        <w:rPr>
          <w:sz w:val="22"/>
          <w:lang w:val="pt-BR"/>
        </w:rPr>
        <w:t>s direitos à</w:t>
      </w:r>
      <w:r w:rsidR="00200560" w:rsidRPr="00723ECA">
        <w:rPr>
          <w:sz w:val="22"/>
          <w:lang w:val="pt-BR"/>
        </w:rPr>
        <w:t xml:space="preserve"> água e ao esgotamento sanitário. A Comissão Reguladora de Água e Esgotamento Sanitário da Colômbia emitiu diversas normas que obrigam o</w:t>
      </w:r>
      <w:r w:rsidR="00F40BEA" w:rsidRPr="00723ECA">
        <w:rPr>
          <w:sz w:val="22"/>
          <w:lang w:val="pt-BR"/>
        </w:rPr>
        <w:t>s prestadores de serviços a interromper os serviços de água quando não há pagamento por um período de três meses</w:t>
      </w:r>
      <w:r w:rsidR="000B53EE" w:rsidRPr="00723ECA">
        <w:rPr>
          <w:sz w:val="22"/>
          <w:lang w:val="pt-BR"/>
        </w:rPr>
        <w:t xml:space="preserve">. No entanto, </w:t>
      </w:r>
      <w:r w:rsidR="001574D2" w:rsidRPr="00723ECA">
        <w:rPr>
          <w:sz w:val="22"/>
          <w:lang w:val="pt-BR"/>
        </w:rPr>
        <w:t xml:space="preserve">casos levados </w:t>
      </w:r>
      <w:r w:rsidR="000B53EE" w:rsidRPr="00723ECA">
        <w:rPr>
          <w:sz w:val="22"/>
          <w:lang w:val="pt-BR"/>
        </w:rPr>
        <w:t xml:space="preserve">por famílias de baixa renda ao Tribunal Constitucional </w:t>
      </w:r>
      <w:r w:rsidR="001574D2" w:rsidRPr="00723ECA">
        <w:rPr>
          <w:sz w:val="22"/>
          <w:lang w:val="pt-BR"/>
        </w:rPr>
        <w:t>foram decididos em favor dessa</w:t>
      </w:r>
      <w:r w:rsidR="000B53EE" w:rsidRPr="00723ECA">
        <w:rPr>
          <w:sz w:val="22"/>
          <w:lang w:val="pt-BR"/>
        </w:rPr>
        <w:t>s famílias</w:t>
      </w:r>
      <w:r w:rsidR="001574D2" w:rsidRPr="00723ECA">
        <w:rPr>
          <w:sz w:val="22"/>
          <w:lang w:val="pt-BR"/>
        </w:rPr>
        <w:t>,</w:t>
      </w:r>
      <w:r w:rsidR="000B53EE" w:rsidRPr="00723ECA">
        <w:rPr>
          <w:sz w:val="22"/>
          <w:lang w:val="pt-BR"/>
        </w:rPr>
        <w:t xml:space="preserve"> que </w:t>
      </w:r>
      <w:r w:rsidR="001574D2" w:rsidRPr="00723ECA">
        <w:rPr>
          <w:sz w:val="22"/>
          <w:lang w:val="pt-BR"/>
        </w:rPr>
        <w:t xml:space="preserve">estariam </w:t>
      </w:r>
      <w:r w:rsidR="00EB73D6" w:rsidRPr="00723ECA">
        <w:rPr>
          <w:sz w:val="22"/>
          <w:lang w:val="pt-BR"/>
        </w:rPr>
        <w:t>sendo privadas de um “</w:t>
      </w:r>
      <w:r w:rsidR="000B53EE" w:rsidRPr="00723ECA">
        <w:rPr>
          <w:sz w:val="22"/>
          <w:lang w:val="pt-BR"/>
        </w:rPr>
        <w:t xml:space="preserve">nível mínimo </w:t>
      </w:r>
      <w:r w:rsidR="001574D2" w:rsidRPr="00723ECA">
        <w:rPr>
          <w:sz w:val="22"/>
          <w:lang w:val="pt-BR"/>
        </w:rPr>
        <w:t xml:space="preserve">essencial </w:t>
      </w:r>
      <w:r w:rsidR="000B53EE" w:rsidRPr="00723ECA">
        <w:rPr>
          <w:sz w:val="22"/>
          <w:lang w:val="pt-BR"/>
        </w:rPr>
        <w:t>de água</w:t>
      </w:r>
      <w:r w:rsidR="00EB73D6" w:rsidRPr="00723ECA">
        <w:rPr>
          <w:sz w:val="22"/>
          <w:lang w:val="pt-BR"/>
        </w:rPr>
        <w:t>”</w:t>
      </w:r>
      <w:r w:rsidR="000B53EE" w:rsidRPr="00723ECA">
        <w:rPr>
          <w:sz w:val="22"/>
          <w:lang w:val="pt-BR"/>
        </w:rPr>
        <w:t xml:space="preserve"> devido a sua incapacidade de pagamento.</w:t>
      </w:r>
      <w:proofErr w:type="gramStart"/>
      <w:r w:rsidR="000B53EE" w:rsidRPr="00723ECA">
        <w:rPr>
          <w:rStyle w:val="FootnoteReference"/>
          <w:sz w:val="20"/>
          <w:lang w:val="pt-BR"/>
        </w:rPr>
        <w:footnoteReference w:id="51"/>
      </w:r>
      <w:proofErr w:type="gramEnd"/>
    </w:p>
    <w:p w:rsidR="002523E5" w:rsidRPr="00723ECA" w:rsidRDefault="002523E5" w:rsidP="008952EA">
      <w:pPr>
        <w:pStyle w:val="HChG"/>
        <w:numPr>
          <w:ilvl w:val="0"/>
          <w:numId w:val="8"/>
        </w:numPr>
        <w:ind w:left="1134" w:hanging="425"/>
        <w:rPr>
          <w:sz w:val="32"/>
          <w:lang w:val="pt-BR"/>
        </w:rPr>
      </w:pPr>
      <w:r w:rsidRPr="00723ECA">
        <w:rPr>
          <w:sz w:val="32"/>
          <w:lang w:val="pt-BR"/>
        </w:rPr>
        <w:tab/>
        <w:t>Conclusões e recomendações</w:t>
      </w:r>
    </w:p>
    <w:p w:rsidR="009A77DC" w:rsidRPr="00723ECA" w:rsidRDefault="00E35537" w:rsidP="008952EA">
      <w:pPr>
        <w:pStyle w:val="Normali"/>
        <w:numPr>
          <w:ilvl w:val="0"/>
          <w:numId w:val="0"/>
        </w:numPr>
        <w:ind w:left="1134"/>
        <w:rPr>
          <w:b/>
          <w:sz w:val="22"/>
          <w:lang w:val="pt-BR"/>
        </w:rPr>
      </w:pPr>
      <w:r w:rsidRPr="00723ECA">
        <w:rPr>
          <w:sz w:val="22"/>
          <w:lang w:val="pt-BR"/>
        </w:rPr>
        <w:t xml:space="preserve">87. </w:t>
      </w:r>
      <w:r w:rsidR="009849F3" w:rsidRPr="00723ECA">
        <w:rPr>
          <w:b/>
          <w:sz w:val="22"/>
          <w:lang w:val="pt-BR"/>
        </w:rPr>
        <w:t xml:space="preserve">Os </w:t>
      </w:r>
      <w:r w:rsidR="00503956" w:rsidRPr="00723ECA">
        <w:rPr>
          <w:b/>
          <w:sz w:val="22"/>
          <w:lang w:val="pt-BR"/>
        </w:rPr>
        <w:t>marcos regulatórios</w:t>
      </w:r>
      <w:r w:rsidR="009849F3" w:rsidRPr="00723ECA">
        <w:rPr>
          <w:b/>
          <w:sz w:val="22"/>
          <w:lang w:val="pt-BR"/>
        </w:rPr>
        <w:t xml:space="preserve"> são essenciais para a </w:t>
      </w:r>
      <w:proofErr w:type="gramStart"/>
      <w:r w:rsidR="009849F3" w:rsidRPr="00723ECA">
        <w:rPr>
          <w:b/>
          <w:sz w:val="22"/>
          <w:lang w:val="pt-BR"/>
        </w:rPr>
        <w:t>implementação</w:t>
      </w:r>
      <w:proofErr w:type="gramEnd"/>
      <w:r w:rsidR="009849F3" w:rsidRPr="00723ECA">
        <w:rPr>
          <w:b/>
          <w:sz w:val="22"/>
          <w:lang w:val="pt-BR"/>
        </w:rPr>
        <w:t xml:space="preserve"> dos direitos humanos à água e ao esgotamento sanitário e devem apoiar as obrigações dos Estados em relação a esses direitos</w:t>
      </w:r>
      <w:r w:rsidR="00F77611" w:rsidRPr="00723ECA">
        <w:rPr>
          <w:b/>
          <w:sz w:val="22"/>
          <w:lang w:val="pt-BR"/>
        </w:rPr>
        <w:t xml:space="preserve">. </w:t>
      </w:r>
      <w:r w:rsidR="000B53EE" w:rsidRPr="00723ECA">
        <w:rPr>
          <w:b/>
          <w:sz w:val="22"/>
          <w:lang w:val="pt-BR"/>
        </w:rPr>
        <w:t>A</w:t>
      </w:r>
      <w:r w:rsidR="00503956" w:rsidRPr="00723ECA">
        <w:rPr>
          <w:b/>
          <w:sz w:val="22"/>
          <w:lang w:val="pt-BR"/>
        </w:rPr>
        <w:t>s normas internacionais</w:t>
      </w:r>
      <w:r w:rsidR="00F77611" w:rsidRPr="00723ECA">
        <w:rPr>
          <w:b/>
          <w:sz w:val="22"/>
          <w:lang w:val="pt-BR"/>
        </w:rPr>
        <w:t xml:space="preserve"> dos direitos humanos não </w:t>
      </w:r>
      <w:r w:rsidR="00503956" w:rsidRPr="00723ECA">
        <w:rPr>
          <w:b/>
          <w:sz w:val="22"/>
          <w:lang w:val="pt-BR"/>
        </w:rPr>
        <w:t>prescrevem um modelo particular de</w:t>
      </w:r>
      <w:r w:rsidR="00EE6742" w:rsidRPr="00723ECA">
        <w:rPr>
          <w:b/>
          <w:sz w:val="22"/>
          <w:lang w:val="pt-BR"/>
        </w:rPr>
        <w:t xml:space="preserve"> marco regulatório. O que é essencial na perspectiva dos direitos humanos </w:t>
      </w:r>
      <w:r w:rsidR="00792825" w:rsidRPr="00723ECA">
        <w:rPr>
          <w:b/>
          <w:sz w:val="22"/>
          <w:lang w:val="pt-BR"/>
        </w:rPr>
        <w:t>é que aqueles que</w:t>
      </w:r>
      <w:r w:rsidR="00EE6742" w:rsidRPr="00723ECA">
        <w:rPr>
          <w:b/>
          <w:sz w:val="22"/>
          <w:lang w:val="pt-BR"/>
        </w:rPr>
        <w:t xml:space="preserve"> desempenh</w:t>
      </w:r>
      <w:r w:rsidR="00792825" w:rsidRPr="00723ECA">
        <w:rPr>
          <w:b/>
          <w:sz w:val="22"/>
          <w:lang w:val="pt-BR"/>
        </w:rPr>
        <w:t xml:space="preserve">am </w:t>
      </w:r>
      <w:r w:rsidR="00EE6742" w:rsidRPr="00723ECA">
        <w:rPr>
          <w:b/>
          <w:sz w:val="22"/>
          <w:lang w:val="pt-BR"/>
        </w:rPr>
        <w:t>funções regulatórias s</w:t>
      </w:r>
      <w:r w:rsidR="00503956" w:rsidRPr="00723ECA">
        <w:rPr>
          <w:b/>
          <w:sz w:val="22"/>
          <w:lang w:val="pt-BR"/>
        </w:rPr>
        <w:t>ejam</w:t>
      </w:r>
      <w:r w:rsidR="00792825" w:rsidRPr="00723ECA">
        <w:rPr>
          <w:b/>
          <w:sz w:val="22"/>
          <w:lang w:val="pt-BR"/>
        </w:rPr>
        <w:t xml:space="preserve"> imunes às pressões</w:t>
      </w:r>
      <w:r w:rsidR="00EE6742" w:rsidRPr="00723ECA">
        <w:rPr>
          <w:b/>
          <w:sz w:val="22"/>
          <w:lang w:val="pt-BR"/>
        </w:rPr>
        <w:t xml:space="preserve"> de qua</w:t>
      </w:r>
      <w:r w:rsidR="00792825" w:rsidRPr="00723ECA">
        <w:rPr>
          <w:b/>
          <w:sz w:val="22"/>
          <w:lang w:val="pt-BR"/>
        </w:rPr>
        <w:t>is</w:t>
      </w:r>
      <w:r w:rsidR="00EE6742" w:rsidRPr="00723ECA">
        <w:rPr>
          <w:b/>
          <w:sz w:val="22"/>
          <w:lang w:val="pt-BR"/>
        </w:rPr>
        <w:t xml:space="preserve">quer </w:t>
      </w:r>
      <w:r w:rsidR="00792825" w:rsidRPr="00723ECA">
        <w:rPr>
          <w:b/>
          <w:sz w:val="22"/>
          <w:lang w:val="pt-BR"/>
        </w:rPr>
        <w:t>interesses ilegítimos e que os princip</w:t>
      </w:r>
      <w:r w:rsidR="00503956" w:rsidRPr="00723ECA">
        <w:rPr>
          <w:b/>
          <w:sz w:val="22"/>
          <w:lang w:val="pt-BR"/>
        </w:rPr>
        <w:t>ais objetivos da regulação estejam</w:t>
      </w:r>
      <w:r w:rsidR="00792825" w:rsidRPr="00723ECA">
        <w:rPr>
          <w:b/>
          <w:sz w:val="22"/>
          <w:lang w:val="pt-BR"/>
        </w:rPr>
        <w:t xml:space="preserve"> alinhados com os </w:t>
      </w:r>
      <w:r w:rsidR="00503956" w:rsidRPr="00723ECA">
        <w:rPr>
          <w:b/>
          <w:sz w:val="22"/>
          <w:lang w:val="pt-BR"/>
        </w:rPr>
        <w:t>parâmetros</w:t>
      </w:r>
      <w:r w:rsidR="00792825" w:rsidRPr="00723ECA">
        <w:rPr>
          <w:b/>
          <w:sz w:val="22"/>
          <w:lang w:val="pt-BR"/>
        </w:rPr>
        <w:t xml:space="preserve"> e princípios dos direitos humanos à água e ao esgotamento sanitário. A regulação desempenha </w:t>
      </w:r>
      <w:r w:rsidR="00503956" w:rsidRPr="00723ECA">
        <w:rPr>
          <w:b/>
          <w:sz w:val="22"/>
          <w:lang w:val="pt-BR"/>
        </w:rPr>
        <w:t>papel essencial no monitoramento do cumprimento pelos</w:t>
      </w:r>
      <w:r w:rsidR="0060213B" w:rsidRPr="00723ECA">
        <w:rPr>
          <w:b/>
          <w:sz w:val="22"/>
          <w:lang w:val="pt-BR"/>
        </w:rPr>
        <w:t xml:space="preserve"> prestadores </w:t>
      </w:r>
      <w:r w:rsidR="00503956" w:rsidRPr="00723ECA">
        <w:rPr>
          <w:b/>
          <w:sz w:val="22"/>
          <w:lang w:val="pt-BR"/>
        </w:rPr>
        <w:t>d</w:t>
      </w:r>
      <w:r w:rsidR="0060213B" w:rsidRPr="00723ECA">
        <w:rPr>
          <w:b/>
          <w:sz w:val="22"/>
          <w:lang w:val="pt-BR"/>
        </w:rPr>
        <w:t>o conteúdo normativo dos direitos humanos à á</w:t>
      </w:r>
      <w:r w:rsidR="00503956" w:rsidRPr="00723ECA">
        <w:rPr>
          <w:b/>
          <w:sz w:val="22"/>
          <w:lang w:val="pt-BR"/>
        </w:rPr>
        <w:t>gua e ao esgotamento sanitário, bem como</w:t>
      </w:r>
      <w:r w:rsidR="0060213B" w:rsidRPr="00723ECA">
        <w:rPr>
          <w:b/>
          <w:sz w:val="22"/>
          <w:lang w:val="pt-BR"/>
        </w:rPr>
        <w:t xml:space="preserve"> na garantia da </w:t>
      </w:r>
      <w:r w:rsidR="00BB6C9C" w:rsidRPr="00723ECA">
        <w:rPr>
          <w:b/>
          <w:sz w:val="22"/>
          <w:lang w:val="pt-BR"/>
        </w:rPr>
        <w:t>responsabilização</w:t>
      </w:r>
      <w:r w:rsidR="0060213B" w:rsidRPr="00723ECA">
        <w:rPr>
          <w:b/>
          <w:sz w:val="22"/>
          <w:lang w:val="pt-BR"/>
        </w:rPr>
        <w:t>. Identificar e evitar violações desses direitos e</w:t>
      </w:r>
      <w:r w:rsidR="00503956" w:rsidRPr="00723ECA">
        <w:rPr>
          <w:b/>
          <w:sz w:val="22"/>
          <w:lang w:val="pt-BR"/>
        </w:rPr>
        <w:t xml:space="preserve"> </w:t>
      </w:r>
      <w:r w:rsidR="0060213B" w:rsidRPr="00723ECA">
        <w:rPr>
          <w:b/>
          <w:sz w:val="22"/>
          <w:lang w:val="pt-BR"/>
        </w:rPr>
        <w:t>retrocesso</w:t>
      </w:r>
      <w:r w:rsidR="00503956" w:rsidRPr="00723ECA">
        <w:rPr>
          <w:b/>
          <w:sz w:val="22"/>
          <w:lang w:val="pt-BR"/>
        </w:rPr>
        <w:t>s</w:t>
      </w:r>
      <w:r w:rsidR="0060213B" w:rsidRPr="00723ECA">
        <w:rPr>
          <w:b/>
          <w:sz w:val="22"/>
          <w:lang w:val="pt-BR"/>
        </w:rPr>
        <w:t xml:space="preserve"> </w:t>
      </w:r>
      <w:r w:rsidR="00503956" w:rsidRPr="00723ECA">
        <w:rPr>
          <w:b/>
          <w:sz w:val="22"/>
          <w:lang w:val="pt-BR"/>
        </w:rPr>
        <w:t>n</w:t>
      </w:r>
      <w:r w:rsidR="0060213B" w:rsidRPr="00723ECA">
        <w:rPr>
          <w:b/>
          <w:sz w:val="22"/>
          <w:lang w:val="pt-BR"/>
        </w:rPr>
        <w:t xml:space="preserve">a realização progressiva </w:t>
      </w:r>
      <w:r w:rsidR="007E1949" w:rsidRPr="00723ECA">
        <w:rPr>
          <w:b/>
          <w:sz w:val="22"/>
          <w:lang w:val="pt-BR"/>
        </w:rPr>
        <w:t xml:space="preserve">dos referidos direitos </w:t>
      </w:r>
      <w:r w:rsidR="0060213B" w:rsidRPr="00723ECA">
        <w:rPr>
          <w:b/>
          <w:sz w:val="22"/>
          <w:lang w:val="pt-BR"/>
        </w:rPr>
        <w:t xml:space="preserve">é também fundamental para a regulação dos serviços de água e de esgotamento sanitário. Como órgãos públicos, </w:t>
      </w:r>
      <w:r w:rsidR="002533F0">
        <w:rPr>
          <w:b/>
          <w:sz w:val="22"/>
          <w:lang w:val="pt-BR"/>
        </w:rPr>
        <w:t>agentes regulatórios</w:t>
      </w:r>
      <w:r w:rsidR="0060213B" w:rsidRPr="00723ECA">
        <w:rPr>
          <w:b/>
          <w:sz w:val="22"/>
          <w:lang w:val="pt-BR"/>
        </w:rPr>
        <w:t xml:space="preserve"> estão vinculados </w:t>
      </w:r>
      <w:r w:rsidR="000F4FA5" w:rsidRPr="00723ECA">
        <w:rPr>
          <w:b/>
          <w:sz w:val="22"/>
          <w:lang w:val="pt-BR"/>
        </w:rPr>
        <w:t>às obrigações</w:t>
      </w:r>
      <w:r w:rsidR="004D0285" w:rsidRPr="00723ECA">
        <w:rPr>
          <w:b/>
          <w:sz w:val="22"/>
          <w:lang w:val="pt-BR"/>
        </w:rPr>
        <w:t xml:space="preserve"> </w:t>
      </w:r>
      <w:r w:rsidR="000F4FA5" w:rsidRPr="00723ECA">
        <w:rPr>
          <w:b/>
          <w:sz w:val="22"/>
          <w:lang w:val="pt-BR"/>
        </w:rPr>
        <w:t>internaciona</w:t>
      </w:r>
      <w:r w:rsidR="002943C0" w:rsidRPr="00723ECA">
        <w:rPr>
          <w:b/>
          <w:sz w:val="22"/>
          <w:lang w:val="pt-BR"/>
        </w:rPr>
        <w:t>is</w:t>
      </w:r>
      <w:r w:rsidR="000F4FA5" w:rsidRPr="00723ECA">
        <w:rPr>
          <w:b/>
          <w:sz w:val="22"/>
          <w:lang w:val="pt-BR"/>
        </w:rPr>
        <w:t xml:space="preserve"> dos </w:t>
      </w:r>
      <w:r w:rsidR="004D0285" w:rsidRPr="00723ECA">
        <w:rPr>
          <w:b/>
          <w:sz w:val="22"/>
          <w:lang w:val="pt-BR"/>
        </w:rPr>
        <w:t>Estados</w:t>
      </w:r>
      <w:r w:rsidR="000F4FA5" w:rsidRPr="00723ECA">
        <w:rPr>
          <w:b/>
          <w:sz w:val="22"/>
          <w:lang w:val="pt-BR"/>
        </w:rPr>
        <w:t xml:space="preserve"> e suas funções devem ir al</w:t>
      </w:r>
      <w:r w:rsidR="004300C4" w:rsidRPr="00723ECA">
        <w:rPr>
          <w:b/>
          <w:sz w:val="22"/>
          <w:lang w:val="pt-BR"/>
        </w:rPr>
        <w:t>ém da mera fiscalização e incluem</w:t>
      </w:r>
      <w:r w:rsidR="000F4FA5" w:rsidRPr="00723ECA">
        <w:rPr>
          <w:b/>
          <w:sz w:val="22"/>
          <w:lang w:val="pt-BR"/>
        </w:rPr>
        <w:t xml:space="preserve"> apoiar e influenciar mudanças </w:t>
      </w:r>
      <w:r w:rsidR="00503956" w:rsidRPr="00723ECA">
        <w:rPr>
          <w:b/>
          <w:sz w:val="22"/>
          <w:lang w:val="pt-BR"/>
        </w:rPr>
        <w:t xml:space="preserve">nas </w:t>
      </w:r>
      <w:r w:rsidR="000F4FA5" w:rsidRPr="00723ECA">
        <w:rPr>
          <w:b/>
          <w:sz w:val="22"/>
          <w:lang w:val="pt-BR"/>
        </w:rPr>
        <w:t xml:space="preserve">políticas </w:t>
      </w:r>
      <w:r w:rsidR="00503956" w:rsidRPr="00723ECA">
        <w:rPr>
          <w:b/>
          <w:sz w:val="22"/>
          <w:lang w:val="pt-BR"/>
        </w:rPr>
        <w:t xml:space="preserve">públicas </w:t>
      </w:r>
      <w:r w:rsidR="000F4FA5" w:rsidRPr="00723ECA">
        <w:rPr>
          <w:b/>
          <w:sz w:val="22"/>
          <w:lang w:val="pt-BR"/>
        </w:rPr>
        <w:t>de acordo com o marco dos direitos humanos.</w:t>
      </w:r>
    </w:p>
    <w:p w:rsidR="00796B55" w:rsidRPr="00723ECA" w:rsidRDefault="00796B55" w:rsidP="008952EA">
      <w:pPr>
        <w:pStyle w:val="Normali"/>
        <w:numPr>
          <w:ilvl w:val="0"/>
          <w:numId w:val="0"/>
        </w:numPr>
        <w:ind w:left="1134"/>
        <w:rPr>
          <w:sz w:val="22"/>
          <w:lang w:val="pt-BR"/>
        </w:rPr>
      </w:pPr>
      <w:r w:rsidRPr="00723ECA">
        <w:rPr>
          <w:sz w:val="22"/>
          <w:lang w:val="pt-BR"/>
        </w:rPr>
        <w:t xml:space="preserve">88. </w:t>
      </w:r>
      <w:r w:rsidRPr="00723ECA">
        <w:rPr>
          <w:b/>
          <w:sz w:val="22"/>
          <w:lang w:val="pt-BR"/>
        </w:rPr>
        <w:t xml:space="preserve">O Relator Especial considera que é necessária uma abordagem mais diferenciada quanto ao conceito de independência dos órgãos reguladores. Em particular, o envolvimento dos setores governamentais </w:t>
      </w:r>
      <w:r w:rsidR="00BA5F17" w:rsidRPr="00723ECA">
        <w:rPr>
          <w:b/>
          <w:sz w:val="22"/>
          <w:lang w:val="pt-BR"/>
        </w:rPr>
        <w:t xml:space="preserve">deve ser preservado </w:t>
      </w:r>
      <w:r w:rsidRPr="00723ECA">
        <w:rPr>
          <w:b/>
          <w:sz w:val="22"/>
          <w:lang w:val="pt-BR"/>
        </w:rPr>
        <w:t xml:space="preserve">em situações específicas de tomada de decisão regulatória quando </w:t>
      </w:r>
      <w:r w:rsidR="00B8046D" w:rsidRPr="00723ECA">
        <w:rPr>
          <w:b/>
          <w:sz w:val="22"/>
          <w:lang w:val="pt-BR"/>
        </w:rPr>
        <w:t xml:space="preserve">for relevante para assegurar </w:t>
      </w:r>
      <w:r w:rsidR="00503E04" w:rsidRPr="00723ECA">
        <w:rPr>
          <w:b/>
          <w:sz w:val="22"/>
          <w:lang w:val="pt-BR"/>
        </w:rPr>
        <w:t xml:space="preserve">o atendimento </w:t>
      </w:r>
      <w:r w:rsidR="00BA5F17" w:rsidRPr="00723ECA">
        <w:rPr>
          <w:b/>
          <w:sz w:val="22"/>
          <w:lang w:val="pt-BR"/>
        </w:rPr>
        <w:t>a</w:t>
      </w:r>
      <w:r w:rsidR="00B8046D" w:rsidRPr="00723ECA">
        <w:rPr>
          <w:b/>
          <w:sz w:val="22"/>
          <w:lang w:val="pt-BR"/>
        </w:rPr>
        <w:t xml:space="preserve"> </w:t>
      </w:r>
      <w:r w:rsidR="002F7146" w:rsidRPr="00723ECA">
        <w:rPr>
          <w:b/>
          <w:sz w:val="22"/>
          <w:lang w:val="pt-BR"/>
        </w:rPr>
        <w:t xml:space="preserve">normas </w:t>
      </w:r>
      <w:r w:rsidR="00B8046D" w:rsidRPr="00723ECA">
        <w:rPr>
          <w:b/>
          <w:sz w:val="22"/>
          <w:lang w:val="pt-BR"/>
        </w:rPr>
        <w:t>de</w:t>
      </w:r>
      <w:r w:rsidR="00503E04" w:rsidRPr="00723ECA">
        <w:rPr>
          <w:b/>
          <w:sz w:val="22"/>
          <w:lang w:val="pt-BR"/>
        </w:rPr>
        <w:t xml:space="preserve"> direitos humanos.</w:t>
      </w:r>
    </w:p>
    <w:p w:rsidR="00503E04" w:rsidRPr="00723ECA" w:rsidRDefault="00503E04" w:rsidP="008952EA">
      <w:pPr>
        <w:pStyle w:val="Normali"/>
        <w:numPr>
          <w:ilvl w:val="0"/>
          <w:numId w:val="0"/>
        </w:numPr>
        <w:ind w:left="1134"/>
        <w:rPr>
          <w:b/>
          <w:sz w:val="22"/>
          <w:lang w:val="pt-BR"/>
        </w:rPr>
      </w:pPr>
      <w:r w:rsidRPr="00723ECA">
        <w:rPr>
          <w:sz w:val="22"/>
          <w:lang w:val="pt-BR"/>
        </w:rPr>
        <w:t xml:space="preserve">89. </w:t>
      </w:r>
      <w:r w:rsidRPr="00723ECA">
        <w:rPr>
          <w:b/>
          <w:sz w:val="22"/>
          <w:lang w:val="pt-BR"/>
        </w:rPr>
        <w:t xml:space="preserve">De acordo com o que foi acima referido, o Relator Especial recomenda </w:t>
      </w:r>
      <w:r w:rsidR="007868C5" w:rsidRPr="00723ECA">
        <w:rPr>
          <w:b/>
          <w:sz w:val="22"/>
          <w:lang w:val="pt-BR"/>
        </w:rPr>
        <w:t>a</w:t>
      </w:r>
      <w:r w:rsidRPr="00723ECA">
        <w:rPr>
          <w:b/>
          <w:sz w:val="22"/>
          <w:lang w:val="pt-BR"/>
        </w:rPr>
        <w:t>os Estados:</w:t>
      </w:r>
    </w:p>
    <w:p w:rsidR="00503E04" w:rsidRPr="00723ECA" w:rsidRDefault="00503E04" w:rsidP="008952EA">
      <w:pPr>
        <w:pStyle w:val="Normali"/>
        <w:numPr>
          <w:ilvl w:val="0"/>
          <w:numId w:val="0"/>
        </w:numPr>
        <w:ind w:left="1134" w:firstLine="567"/>
        <w:rPr>
          <w:b/>
          <w:sz w:val="22"/>
          <w:lang w:val="pt-BR"/>
        </w:rPr>
      </w:pPr>
      <w:r w:rsidRPr="00723ECA">
        <w:rPr>
          <w:b/>
          <w:sz w:val="22"/>
          <w:lang w:val="pt-BR"/>
        </w:rPr>
        <w:lastRenderedPageBreak/>
        <w:t>(a) Adotar políticas e estratégias que incorporem os direitos humanos</w:t>
      </w:r>
      <w:r w:rsidR="007868C5" w:rsidRPr="00723ECA">
        <w:rPr>
          <w:b/>
          <w:sz w:val="22"/>
          <w:lang w:val="pt-BR"/>
        </w:rPr>
        <w:t xml:space="preserve"> à água e ao esgotamento sanitário, e </w:t>
      </w:r>
      <w:r w:rsidR="00B8046D" w:rsidRPr="00723ECA">
        <w:rPr>
          <w:b/>
          <w:sz w:val="22"/>
          <w:lang w:val="pt-BR"/>
        </w:rPr>
        <w:t>dar passos</w:t>
      </w:r>
      <w:r w:rsidR="007868C5" w:rsidRPr="00723ECA">
        <w:rPr>
          <w:b/>
          <w:sz w:val="22"/>
          <w:lang w:val="pt-BR"/>
        </w:rPr>
        <w:t xml:space="preserve"> </w:t>
      </w:r>
      <w:r w:rsidR="00B8046D" w:rsidRPr="00723ECA">
        <w:rPr>
          <w:b/>
          <w:sz w:val="22"/>
          <w:lang w:val="pt-BR"/>
        </w:rPr>
        <w:t>deliberados, concretos e específico</w:t>
      </w:r>
      <w:r w:rsidR="007868C5" w:rsidRPr="00723ECA">
        <w:rPr>
          <w:b/>
          <w:sz w:val="22"/>
          <w:lang w:val="pt-BR"/>
        </w:rPr>
        <w:t xml:space="preserve">s para estabelecer um marco regulatório </w:t>
      </w:r>
      <w:r w:rsidR="00B8046D" w:rsidRPr="00723ECA">
        <w:rPr>
          <w:b/>
          <w:sz w:val="22"/>
          <w:lang w:val="pt-BR"/>
        </w:rPr>
        <w:t>pautado nesses direitos e instituir</w:t>
      </w:r>
      <w:r w:rsidR="007868C5" w:rsidRPr="00723ECA">
        <w:rPr>
          <w:b/>
          <w:sz w:val="22"/>
          <w:lang w:val="pt-BR"/>
        </w:rPr>
        <w:t xml:space="preserve"> órgãos reguladores que oper</w:t>
      </w:r>
      <w:r w:rsidR="00B8046D" w:rsidRPr="00723ECA">
        <w:rPr>
          <w:b/>
          <w:sz w:val="22"/>
          <w:lang w:val="pt-BR"/>
        </w:rPr>
        <w:t>e</w:t>
      </w:r>
      <w:r w:rsidR="007868C5" w:rsidRPr="00723ECA">
        <w:rPr>
          <w:b/>
          <w:sz w:val="22"/>
          <w:lang w:val="pt-BR"/>
        </w:rPr>
        <w:t>m de forma i</w:t>
      </w:r>
      <w:r w:rsidR="007B7619" w:rsidRPr="00723ECA">
        <w:rPr>
          <w:b/>
          <w:sz w:val="22"/>
          <w:lang w:val="pt-BR"/>
        </w:rPr>
        <w:t xml:space="preserve">mparcial, transparente e </w:t>
      </w:r>
      <w:r w:rsidR="00AC770A">
        <w:rPr>
          <w:b/>
          <w:sz w:val="22"/>
          <w:lang w:val="pt-BR"/>
        </w:rPr>
        <w:t xml:space="preserve">com base </w:t>
      </w:r>
      <w:r w:rsidR="007B7619" w:rsidRPr="00723ECA">
        <w:rPr>
          <w:b/>
          <w:sz w:val="22"/>
          <w:lang w:val="pt-BR"/>
        </w:rPr>
        <w:t>nos</w:t>
      </w:r>
      <w:r w:rsidR="007868C5" w:rsidRPr="00723ECA">
        <w:rPr>
          <w:b/>
          <w:sz w:val="22"/>
          <w:lang w:val="pt-BR"/>
        </w:rPr>
        <w:t xml:space="preserve"> </w:t>
      </w:r>
      <w:r w:rsidR="007E1949" w:rsidRPr="00723ECA">
        <w:rPr>
          <w:b/>
          <w:sz w:val="22"/>
          <w:lang w:val="pt-BR"/>
        </w:rPr>
        <w:t xml:space="preserve">referidos </w:t>
      </w:r>
      <w:r w:rsidR="007868C5" w:rsidRPr="00723ECA">
        <w:rPr>
          <w:b/>
          <w:sz w:val="22"/>
          <w:lang w:val="pt-BR"/>
        </w:rPr>
        <w:t>direitos;</w:t>
      </w:r>
    </w:p>
    <w:p w:rsidR="00CF2FF7" w:rsidRPr="00723ECA" w:rsidRDefault="007F16B8" w:rsidP="008952EA">
      <w:pPr>
        <w:pStyle w:val="Normali"/>
        <w:numPr>
          <w:ilvl w:val="0"/>
          <w:numId w:val="0"/>
        </w:numPr>
        <w:ind w:left="1134" w:firstLine="567"/>
        <w:rPr>
          <w:b/>
          <w:sz w:val="22"/>
          <w:lang w:val="pt-BR"/>
        </w:rPr>
      </w:pPr>
      <w:r w:rsidRPr="00723ECA">
        <w:rPr>
          <w:b/>
          <w:sz w:val="22"/>
          <w:lang w:val="pt-BR"/>
        </w:rPr>
        <w:t xml:space="preserve">(b) </w:t>
      </w:r>
      <w:r w:rsidR="00CF2FF7" w:rsidRPr="00723ECA">
        <w:rPr>
          <w:b/>
          <w:sz w:val="22"/>
          <w:lang w:val="pt-BR"/>
        </w:rPr>
        <w:t>Definir claramente os pr</w:t>
      </w:r>
      <w:r w:rsidR="00B8046D" w:rsidRPr="00723ECA">
        <w:rPr>
          <w:b/>
          <w:sz w:val="22"/>
          <w:lang w:val="pt-BR"/>
        </w:rPr>
        <w:t>ocedimentos e medidas necessário</w:t>
      </w:r>
      <w:r w:rsidR="00CF2FF7" w:rsidRPr="00723ECA">
        <w:rPr>
          <w:b/>
          <w:sz w:val="22"/>
          <w:lang w:val="pt-BR"/>
        </w:rPr>
        <w:t xml:space="preserve">s no </w:t>
      </w:r>
      <w:r w:rsidR="008A4420" w:rsidRPr="00723ECA">
        <w:rPr>
          <w:b/>
          <w:sz w:val="22"/>
          <w:lang w:val="pt-BR"/>
        </w:rPr>
        <w:t>marco</w:t>
      </w:r>
      <w:r w:rsidR="00CF2FF7" w:rsidRPr="00723ECA">
        <w:rPr>
          <w:b/>
          <w:sz w:val="22"/>
          <w:lang w:val="pt-BR"/>
        </w:rPr>
        <w:t xml:space="preserve"> </w:t>
      </w:r>
      <w:r w:rsidRPr="00723ECA">
        <w:rPr>
          <w:b/>
          <w:sz w:val="22"/>
          <w:lang w:val="pt-BR"/>
        </w:rPr>
        <w:t xml:space="preserve">regulatório </w:t>
      </w:r>
      <w:r w:rsidR="00CF2FF7" w:rsidRPr="00723ECA">
        <w:rPr>
          <w:b/>
          <w:sz w:val="22"/>
          <w:lang w:val="pt-BR"/>
        </w:rPr>
        <w:t xml:space="preserve">para cumprir as obrigações do Estado de respeitar, proteger e cumprir os direitos humanos à água e ao </w:t>
      </w:r>
      <w:r w:rsidRPr="00723ECA">
        <w:rPr>
          <w:b/>
          <w:sz w:val="22"/>
          <w:lang w:val="pt-BR"/>
        </w:rPr>
        <w:t>esgotamento sanitário</w:t>
      </w:r>
      <w:r w:rsidR="00CF2FF7" w:rsidRPr="00723ECA">
        <w:rPr>
          <w:b/>
          <w:sz w:val="22"/>
          <w:lang w:val="pt-BR"/>
        </w:rPr>
        <w:t>;</w:t>
      </w:r>
    </w:p>
    <w:p w:rsidR="00CF2FF7" w:rsidRPr="00723ECA" w:rsidRDefault="00CF2FF7" w:rsidP="008952EA">
      <w:pPr>
        <w:pStyle w:val="Normali"/>
        <w:numPr>
          <w:ilvl w:val="0"/>
          <w:numId w:val="0"/>
        </w:numPr>
        <w:ind w:left="1134" w:firstLine="567"/>
        <w:rPr>
          <w:b/>
          <w:sz w:val="22"/>
          <w:lang w:val="pt-BR"/>
        </w:rPr>
      </w:pPr>
      <w:r w:rsidRPr="00723ECA">
        <w:rPr>
          <w:b/>
          <w:sz w:val="22"/>
          <w:lang w:val="pt-BR"/>
        </w:rPr>
        <w:t>(</w:t>
      </w:r>
      <w:r w:rsidR="009A0BC0" w:rsidRPr="00723ECA">
        <w:rPr>
          <w:b/>
          <w:sz w:val="22"/>
          <w:lang w:val="pt-BR"/>
        </w:rPr>
        <w:t>c</w:t>
      </w:r>
      <w:r w:rsidRPr="00723ECA">
        <w:rPr>
          <w:b/>
          <w:sz w:val="22"/>
          <w:lang w:val="pt-BR"/>
        </w:rPr>
        <w:t xml:space="preserve">) Assegurar que a missão, o mandato e os objetivos dos </w:t>
      </w:r>
      <w:r w:rsidR="002533F0">
        <w:rPr>
          <w:b/>
          <w:sz w:val="22"/>
          <w:lang w:val="pt-BR"/>
        </w:rPr>
        <w:t>agentes regulatórios</w:t>
      </w:r>
      <w:r w:rsidRPr="00723ECA">
        <w:rPr>
          <w:b/>
          <w:sz w:val="22"/>
          <w:lang w:val="pt-BR"/>
        </w:rPr>
        <w:t xml:space="preserve"> incorporem o princípio da realização progressiva dos direitos humanos à água e ao </w:t>
      </w:r>
      <w:r w:rsidR="007F16B8" w:rsidRPr="00723ECA">
        <w:rPr>
          <w:b/>
          <w:sz w:val="22"/>
          <w:lang w:val="pt-BR"/>
        </w:rPr>
        <w:t xml:space="preserve">esgotamento sanitário </w:t>
      </w:r>
      <w:r w:rsidRPr="00723ECA">
        <w:rPr>
          <w:b/>
          <w:sz w:val="22"/>
          <w:lang w:val="pt-BR"/>
        </w:rPr>
        <w:t>sem qualquer tipo de discriminação;</w:t>
      </w:r>
    </w:p>
    <w:p w:rsidR="00CF2FF7" w:rsidRPr="00723ECA" w:rsidRDefault="007F16B8" w:rsidP="008952EA">
      <w:pPr>
        <w:pStyle w:val="Normali"/>
        <w:numPr>
          <w:ilvl w:val="0"/>
          <w:numId w:val="0"/>
        </w:numPr>
        <w:ind w:left="1134" w:firstLine="567"/>
        <w:rPr>
          <w:b/>
          <w:sz w:val="22"/>
          <w:lang w:val="pt-BR"/>
        </w:rPr>
      </w:pPr>
      <w:r w:rsidRPr="00723ECA">
        <w:rPr>
          <w:b/>
          <w:sz w:val="22"/>
          <w:lang w:val="pt-BR"/>
        </w:rPr>
        <w:t>(</w:t>
      </w:r>
      <w:r w:rsidR="009A0BC0" w:rsidRPr="00723ECA">
        <w:rPr>
          <w:b/>
          <w:sz w:val="22"/>
          <w:lang w:val="pt-BR"/>
        </w:rPr>
        <w:t>e</w:t>
      </w:r>
      <w:r w:rsidRPr="00723ECA">
        <w:rPr>
          <w:b/>
          <w:sz w:val="22"/>
          <w:lang w:val="pt-BR"/>
        </w:rPr>
        <w:t xml:space="preserve">) </w:t>
      </w:r>
      <w:r w:rsidR="00C752DF" w:rsidRPr="00723ECA">
        <w:rPr>
          <w:b/>
          <w:sz w:val="22"/>
          <w:lang w:val="pt-BR"/>
        </w:rPr>
        <w:t>Garantir</w:t>
      </w:r>
      <w:r w:rsidRPr="00723ECA">
        <w:rPr>
          <w:b/>
          <w:sz w:val="22"/>
          <w:lang w:val="pt-BR"/>
        </w:rPr>
        <w:t xml:space="preserve"> que </w:t>
      </w:r>
      <w:proofErr w:type="gramStart"/>
      <w:r w:rsidRPr="00723ECA">
        <w:rPr>
          <w:b/>
          <w:sz w:val="22"/>
          <w:lang w:val="pt-BR"/>
        </w:rPr>
        <w:t xml:space="preserve">os </w:t>
      </w:r>
      <w:r w:rsidR="00F175C3" w:rsidRPr="00723ECA">
        <w:rPr>
          <w:b/>
          <w:sz w:val="22"/>
          <w:lang w:val="pt-BR"/>
        </w:rPr>
        <w:t>marcos</w:t>
      </w:r>
      <w:proofErr w:type="gramEnd"/>
      <w:r w:rsidR="00CF2FF7" w:rsidRPr="00723ECA">
        <w:rPr>
          <w:b/>
          <w:sz w:val="22"/>
          <w:lang w:val="pt-BR"/>
        </w:rPr>
        <w:t xml:space="preserve"> regulatórios </w:t>
      </w:r>
      <w:r w:rsidR="00C752DF" w:rsidRPr="00723ECA">
        <w:rPr>
          <w:b/>
          <w:sz w:val="22"/>
          <w:lang w:val="pt-BR"/>
        </w:rPr>
        <w:t>ofereçam</w:t>
      </w:r>
      <w:r w:rsidR="00CF2FF7" w:rsidRPr="00723ECA">
        <w:rPr>
          <w:b/>
          <w:sz w:val="22"/>
          <w:lang w:val="pt-BR"/>
        </w:rPr>
        <w:t xml:space="preserve"> uma interpretação multifacetada e diferenciada da acessibilidade</w:t>
      </w:r>
      <w:r w:rsidR="00C752DF" w:rsidRPr="00723ECA">
        <w:rPr>
          <w:b/>
          <w:sz w:val="22"/>
          <w:lang w:val="pt-BR"/>
        </w:rPr>
        <w:t xml:space="preserve"> econômica</w:t>
      </w:r>
      <w:r w:rsidR="00CF2FF7" w:rsidRPr="00723ECA">
        <w:rPr>
          <w:b/>
          <w:sz w:val="22"/>
          <w:lang w:val="pt-BR"/>
        </w:rPr>
        <w:t>, capturando as necessidades específicas das pessoas que vivem em situações vulneráveis;</w:t>
      </w:r>
    </w:p>
    <w:p w:rsidR="00CF2FF7" w:rsidRPr="00723ECA" w:rsidRDefault="00CF2FF7" w:rsidP="008952EA">
      <w:pPr>
        <w:pStyle w:val="Normali"/>
        <w:numPr>
          <w:ilvl w:val="0"/>
          <w:numId w:val="0"/>
        </w:numPr>
        <w:ind w:left="1134" w:firstLine="567"/>
        <w:rPr>
          <w:b/>
          <w:sz w:val="22"/>
          <w:lang w:val="pt-BR"/>
        </w:rPr>
      </w:pPr>
      <w:r w:rsidRPr="00723ECA">
        <w:rPr>
          <w:b/>
          <w:sz w:val="22"/>
          <w:lang w:val="pt-BR"/>
        </w:rPr>
        <w:t>(</w:t>
      </w:r>
      <w:r w:rsidR="009A0BC0" w:rsidRPr="00723ECA">
        <w:rPr>
          <w:b/>
          <w:sz w:val="22"/>
          <w:lang w:val="pt-BR"/>
        </w:rPr>
        <w:t>f</w:t>
      </w:r>
      <w:r w:rsidRPr="00723ECA">
        <w:rPr>
          <w:b/>
          <w:sz w:val="22"/>
          <w:lang w:val="pt-BR"/>
        </w:rPr>
        <w:t xml:space="preserve">) </w:t>
      </w:r>
      <w:r w:rsidR="00C752DF" w:rsidRPr="00723ECA">
        <w:rPr>
          <w:b/>
          <w:sz w:val="22"/>
          <w:lang w:val="pt-BR"/>
        </w:rPr>
        <w:t>Assegurar</w:t>
      </w:r>
      <w:r w:rsidRPr="00723ECA">
        <w:rPr>
          <w:b/>
          <w:sz w:val="22"/>
          <w:lang w:val="pt-BR"/>
        </w:rPr>
        <w:t xml:space="preserve"> que o</w:t>
      </w:r>
      <w:r w:rsidR="00C752DF" w:rsidRPr="00723ECA">
        <w:rPr>
          <w:b/>
          <w:sz w:val="22"/>
          <w:lang w:val="pt-BR"/>
        </w:rPr>
        <w:t xml:space="preserve"> acesso aos serviços de</w:t>
      </w:r>
      <w:r w:rsidR="00A32E4F" w:rsidRPr="00723ECA">
        <w:rPr>
          <w:b/>
          <w:sz w:val="22"/>
          <w:lang w:val="pt-BR"/>
        </w:rPr>
        <w:t xml:space="preserve"> abastecimento de</w:t>
      </w:r>
      <w:r w:rsidR="00C752DF" w:rsidRPr="00723ECA">
        <w:rPr>
          <w:b/>
          <w:sz w:val="22"/>
          <w:lang w:val="pt-BR"/>
        </w:rPr>
        <w:t xml:space="preserve"> água e </w:t>
      </w:r>
      <w:r w:rsidR="00A32E4F" w:rsidRPr="00723ECA">
        <w:rPr>
          <w:b/>
          <w:sz w:val="22"/>
          <w:lang w:val="pt-BR"/>
        </w:rPr>
        <w:t xml:space="preserve">de </w:t>
      </w:r>
      <w:r w:rsidR="00C752DF" w:rsidRPr="00723ECA">
        <w:rPr>
          <w:b/>
          <w:sz w:val="22"/>
          <w:lang w:val="pt-BR"/>
        </w:rPr>
        <w:t>esgotamento sanitário</w:t>
      </w:r>
      <w:r w:rsidR="00804A0F" w:rsidRPr="00723ECA">
        <w:rPr>
          <w:b/>
          <w:sz w:val="22"/>
          <w:lang w:val="pt-BR"/>
        </w:rPr>
        <w:t xml:space="preserve"> não esteja</w:t>
      </w:r>
      <w:r w:rsidRPr="00723ECA">
        <w:rPr>
          <w:b/>
          <w:sz w:val="22"/>
          <w:lang w:val="pt-BR"/>
        </w:rPr>
        <w:t xml:space="preserve"> condicionado</w:t>
      </w:r>
      <w:r w:rsidR="00CD081F" w:rsidRPr="00723ECA">
        <w:rPr>
          <w:b/>
          <w:sz w:val="22"/>
          <w:lang w:val="pt-BR"/>
        </w:rPr>
        <w:t xml:space="preserve"> </w:t>
      </w:r>
      <w:r w:rsidR="00804A0F" w:rsidRPr="00723ECA">
        <w:rPr>
          <w:b/>
          <w:sz w:val="22"/>
          <w:lang w:val="pt-BR"/>
        </w:rPr>
        <w:t>à</w:t>
      </w:r>
      <w:r w:rsidR="00D50F4C" w:rsidRPr="00723ECA">
        <w:rPr>
          <w:b/>
          <w:sz w:val="22"/>
          <w:lang w:val="pt-BR"/>
        </w:rPr>
        <w:t xml:space="preserve"> </w:t>
      </w:r>
      <w:r w:rsidR="00804A0F" w:rsidRPr="00723ECA">
        <w:rPr>
          <w:b/>
          <w:sz w:val="22"/>
          <w:lang w:val="pt-BR"/>
        </w:rPr>
        <w:t>titularidade da</w:t>
      </w:r>
      <w:r w:rsidRPr="00723ECA">
        <w:rPr>
          <w:b/>
          <w:sz w:val="22"/>
          <w:lang w:val="pt-BR"/>
        </w:rPr>
        <w:t xml:space="preserve"> terra</w:t>
      </w:r>
      <w:r w:rsidR="00804A0F" w:rsidRPr="00723ECA">
        <w:rPr>
          <w:b/>
          <w:sz w:val="22"/>
          <w:lang w:val="pt-BR"/>
        </w:rPr>
        <w:t>, nem na legislação nem nas normas regulatórias</w:t>
      </w:r>
      <w:r w:rsidRPr="00723ECA">
        <w:rPr>
          <w:b/>
          <w:sz w:val="22"/>
          <w:lang w:val="pt-BR"/>
        </w:rPr>
        <w:t>;</w:t>
      </w:r>
    </w:p>
    <w:p w:rsidR="00CF2FF7" w:rsidRPr="00723ECA" w:rsidRDefault="00CF2FF7" w:rsidP="008952EA">
      <w:pPr>
        <w:pStyle w:val="Normali"/>
        <w:numPr>
          <w:ilvl w:val="0"/>
          <w:numId w:val="0"/>
        </w:numPr>
        <w:ind w:left="1134" w:firstLine="567"/>
        <w:rPr>
          <w:b/>
          <w:sz w:val="22"/>
          <w:lang w:val="pt-BR"/>
        </w:rPr>
      </w:pPr>
      <w:r w:rsidRPr="00723ECA">
        <w:rPr>
          <w:b/>
          <w:sz w:val="22"/>
          <w:lang w:val="pt-BR"/>
        </w:rPr>
        <w:t>(</w:t>
      </w:r>
      <w:r w:rsidR="009A0BC0" w:rsidRPr="00723ECA">
        <w:rPr>
          <w:b/>
          <w:sz w:val="22"/>
          <w:lang w:val="pt-BR"/>
        </w:rPr>
        <w:t>g</w:t>
      </w:r>
      <w:r w:rsidRPr="00723ECA">
        <w:rPr>
          <w:b/>
          <w:sz w:val="22"/>
          <w:lang w:val="pt-BR"/>
        </w:rPr>
        <w:t xml:space="preserve">) Garantir </w:t>
      </w:r>
      <w:r w:rsidR="00CD081F" w:rsidRPr="00723ECA">
        <w:rPr>
          <w:b/>
          <w:sz w:val="22"/>
          <w:lang w:val="pt-BR"/>
        </w:rPr>
        <w:t>por meio</w:t>
      </w:r>
      <w:r w:rsidRPr="00723ECA">
        <w:rPr>
          <w:b/>
          <w:sz w:val="22"/>
          <w:lang w:val="pt-BR"/>
        </w:rPr>
        <w:t xml:space="preserve"> de uma regulamentação adequada que, ao </w:t>
      </w:r>
      <w:r w:rsidR="00CD081F" w:rsidRPr="00723ECA">
        <w:rPr>
          <w:b/>
          <w:sz w:val="22"/>
          <w:lang w:val="pt-BR"/>
        </w:rPr>
        <w:t>ampliar</w:t>
      </w:r>
      <w:r w:rsidRPr="00723ECA">
        <w:rPr>
          <w:b/>
          <w:sz w:val="22"/>
          <w:lang w:val="pt-BR"/>
        </w:rPr>
        <w:t xml:space="preserve"> </w:t>
      </w:r>
      <w:r w:rsidR="00804A0F" w:rsidRPr="00723ECA">
        <w:rPr>
          <w:b/>
          <w:sz w:val="22"/>
          <w:lang w:val="pt-BR"/>
        </w:rPr>
        <w:t>a prestação de</w:t>
      </w:r>
      <w:r w:rsidRPr="00723ECA">
        <w:rPr>
          <w:b/>
          <w:sz w:val="22"/>
          <w:lang w:val="pt-BR"/>
        </w:rPr>
        <w:t xml:space="preserve"> serviços aos assentamentos informais, esses serviços </w:t>
      </w:r>
      <w:r w:rsidR="00CD081F" w:rsidRPr="00723ECA">
        <w:rPr>
          <w:b/>
          <w:sz w:val="22"/>
          <w:lang w:val="pt-BR"/>
        </w:rPr>
        <w:t>estejam acessíveis e não interfiram</w:t>
      </w:r>
      <w:r w:rsidRPr="00723ECA">
        <w:rPr>
          <w:b/>
          <w:sz w:val="22"/>
          <w:lang w:val="pt-BR"/>
        </w:rPr>
        <w:t xml:space="preserve"> no acesso das pessoas;</w:t>
      </w:r>
    </w:p>
    <w:p w:rsidR="00C752DF" w:rsidRPr="00723ECA" w:rsidRDefault="00CF2FF7" w:rsidP="008952EA">
      <w:pPr>
        <w:pStyle w:val="Normali"/>
        <w:numPr>
          <w:ilvl w:val="0"/>
          <w:numId w:val="0"/>
        </w:numPr>
        <w:ind w:left="1134" w:firstLine="567"/>
        <w:rPr>
          <w:b/>
          <w:sz w:val="22"/>
          <w:lang w:val="pt-BR"/>
        </w:rPr>
      </w:pPr>
      <w:r w:rsidRPr="00723ECA">
        <w:rPr>
          <w:b/>
          <w:sz w:val="22"/>
          <w:lang w:val="pt-BR"/>
        </w:rPr>
        <w:t>(</w:t>
      </w:r>
      <w:r w:rsidR="009A0BC0" w:rsidRPr="00723ECA">
        <w:rPr>
          <w:b/>
          <w:sz w:val="22"/>
          <w:lang w:val="pt-BR"/>
        </w:rPr>
        <w:t>h</w:t>
      </w:r>
      <w:r w:rsidRPr="00723ECA">
        <w:rPr>
          <w:b/>
          <w:sz w:val="22"/>
          <w:lang w:val="pt-BR"/>
        </w:rPr>
        <w:t>) Proibir desconexões</w:t>
      </w:r>
      <w:r w:rsidR="00AC770A" w:rsidRPr="00723ECA">
        <w:rPr>
          <w:b/>
          <w:sz w:val="22"/>
          <w:lang w:val="pt-BR"/>
        </w:rPr>
        <w:t>, na legislação e nas normas regulatórias</w:t>
      </w:r>
      <w:r w:rsidR="00AC770A">
        <w:rPr>
          <w:b/>
          <w:sz w:val="22"/>
          <w:lang w:val="pt-BR"/>
        </w:rPr>
        <w:t>,</w:t>
      </w:r>
      <w:r w:rsidRPr="00723ECA">
        <w:rPr>
          <w:b/>
          <w:sz w:val="22"/>
          <w:lang w:val="pt-BR"/>
        </w:rPr>
        <w:t xml:space="preserve"> devido à incapacidade de pagamento;</w:t>
      </w:r>
    </w:p>
    <w:p w:rsidR="00E7448D" w:rsidRPr="00723ECA" w:rsidRDefault="00E7448D" w:rsidP="008952EA">
      <w:pPr>
        <w:pStyle w:val="Normali"/>
        <w:numPr>
          <w:ilvl w:val="0"/>
          <w:numId w:val="0"/>
        </w:numPr>
        <w:ind w:left="1134" w:firstLine="567"/>
        <w:rPr>
          <w:b/>
          <w:sz w:val="22"/>
          <w:lang w:val="pt-BR"/>
        </w:rPr>
      </w:pPr>
      <w:r w:rsidRPr="00723ECA">
        <w:rPr>
          <w:b/>
          <w:sz w:val="22"/>
          <w:lang w:val="pt-BR"/>
        </w:rPr>
        <w:t>(</w:t>
      </w:r>
      <w:r w:rsidR="009A0BC0" w:rsidRPr="00723ECA">
        <w:rPr>
          <w:b/>
          <w:sz w:val="22"/>
          <w:lang w:val="pt-BR"/>
        </w:rPr>
        <w:t>i</w:t>
      </w:r>
      <w:r w:rsidRPr="00723ECA">
        <w:rPr>
          <w:b/>
          <w:sz w:val="22"/>
          <w:lang w:val="pt-BR"/>
        </w:rPr>
        <w:t>) Assegurar que os instrumentos que delegam a prestação de serviços, incluindo os contratos, refl</w:t>
      </w:r>
      <w:r w:rsidR="00804A0F" w:rsidRPr="00723ECA">
        <w:rPr>
          <w:b/>
          <w:sz w:val="22"/>
          <w:lang w:val="pt-BR"/>
        </w:rPr>
        <w:t>ita</w:t>
      </w:r>
      <w:r w:rsidRPr="00723ECA">
        <w:rPr>
          <w:b/>
          <w:sz w:val="22"/>
          <w:lang w:val="pt-BR"/>
        </w:rPr>
        <w:t xml:space="preserve">m o </w:t>
      </w:r>
      <w:r w:rsidR="00804A0F" w:rsidRPr="00723ECA">
        <w:rPr>
          <w:b/>
          <w:sz w:val="22"/>
          <w:lang w:val="pt-BR"/>
        </w:rPr>
        <w:t xml:space="preserve">marco </w:t>
      </w:r>
      <w:r w:rsidRPr="00723ECA">
        <w:rPr>
          <w:b/>
          <w:sz w:val="22"/>
          <w:lang w:val="pt-BR"/>
        </w:rPr>
        <w:t xml:space="preserve">regulatório nacional e </w:t>
      </w:r>
      <w:r w:rsidR="00804A0F" w:rsidRPr="00723ECA">
        <w:rPr>
          <w:b/>
          <w:sz w:val="22"/>
          <w:lang w:val="pt-BR"/>
        </w:rPr>
        <w:t xml:space="preserve">as </w:t>
      </w:r>
      <w:r w:rsidR="002F7146" w:rsidRPr="00723ECA">
        <w:rPr>
          <w:b/>
          <w:sz w:val="22"/>
          <w:lang w:val="pt-BR"/>
        </w:rPr>
        <w:t>normas</w:t>
      </w:r>
      <w:r w:rsidRPr="00723ECA">
        <w:rPr>
          <w:b/>
          <w:sz w:val="22"/>
          <w:lang w:val="pt-BR"/>
        </w:rPr>
        <w:t xml:space="preserve"> de direitos humanos.</w:t>
      </w:r>
    </w:p>
    <w:p w:rsidR="00E7448D" w:rsidRPr="00723ECA" w:rsidRDefault="00E7448D" w:rsidP="008952EA">
      <w:pPr>
        <w:pStyle w:val="Normali"/>
        <w:numPr>
          <w:ilvl w:val="0"/>
          <w:numId w:val="0"/>
        </w:numPr>
        <w:ind w:left="1134" w:firstLine="567"/>
        <w:rPr>
          <w:b/>
          <w:sz w:val="22"/>
          <w:lang w:val="pt-BR"/>
        </w:rPr>
      </w:pPr>
      <w:r w:rsidRPr="00723ECA">
        <w:rPr>
          <w:b/>
          <w:sz w:val="22"/>
          <w:lang w:val="pt-BR"/>
        </w:rPr>
        <w:t>(</w:t>
      </w:r>
      <w:r w:rsidR="009A0BC0" w:rsidRPr="00723ECA">
        <w:rPr>
          <w:b/>
          <w:sz w:val="22"/>
          <w:lang w:val="pt-BR"/>
        </w:rPr>
        <w:t>j</w:t>
      </w:r>
      <w:r w:rsidRPr="00723ECA">
        <w:rPr>
          <w:b/>
          <w:sz w:val="22"/>
          <w:lang w:val="pt-BR"/>
        </w:rPr>
        <w:t>) Incluir, no</w:t>
      </w:r>
      <w:r w:rsidR="00F175C3" w:rsidRPr="00723ECA">
        <w:rPr>
          <w:b/>
          <w:sz w:val="22"/>
          <w:lang w:val="pt-BR"/>
        </w:rPr>
        <w:t>s</w:t>
      </w:r>
      <w:r w:rsidRPr="00723ECA">
        <w:rPr>
          <w:b/>
          <w:sz w:val="22"/>
          <w:lang w:val="pt-BR"/>
        </w:rPr>
        <w:t xml:space="preserve"> </w:t>
      </w:r>
      <w:proofErr w:type="gramStart"/>
      <w:r w:rsidR="00F175C3" w:rsidRPr="00723ECA">
        <w:rPr>
          <w:b/>
          <w:sz w:val="22"/>
          <w:lang w:val="pt-BR"/>
        </w:rPr>
        <w:t>marcos</w:t>
      </w:r>
      <w:r w:rsidRPr="00723ECA">
        <w:rPr>
          <w:b/>
          <w:sz w:val="22"/>
          <w:lang w:val="pt-BR"/>
        </w:rPr>
        <w:t xml:space="preserve"> regulatório</w:t>
      </w:r>
      <w:r w:rsidR="00A32E4F" w:rsidRPr="00723ECA">
        <w:rPr>
          <w:b/>
          <w:sz w:val="22"/>
          <w:lang w:val="pt-BR"/>
        </w:rPr>
        <w:t>s</w:t>
      </w:r>
      <w:proofErr w:type="gramEnd"/>
      <w:r w:rsidRPr="00723ECA">
        <w:rPr>
          <w:b/>
          <w:sz w:val="22"/>
          <w:lang w:val="pt-BR"/>
        </w:rPr>
        <w:t xml:space="preserve">, requisitos específicos que assegurem uma </w:t>
      </w:r>
      <w:r w:rsidR="00607A86" w:rsidRPr="00723ECA">
        <w:rPr>
          <w:b/>
          <w:sz w:val="22"/>
          <w:lang w:val="pt-BR"/>
        </w:rPr>
        <w:t xml:space="preserve">adequada </w:t>
      </w:r>
      <w:r w:rsidRPr="00723ECA">
        <w:rPr>
          <w:b/>
          <w:sz w:val="22"/>
          <w:lang w:val="pt-BR"/>
        </w:rPr>
        <w:t xml:space="preserve">prestação dos serviços, entre outros, </w:t>
      </w:r>
      <w:r w:rsidR="004300C4" w:rsidRPr="00723ECA">
        <w:rPr>
          <w:b/>
          <w:sz w:val="22"/>
          <w:lang w:val="pt-BR"/>
        </w:rPr>
        <w:t xml:space="preserve">a </w:t>
      </w:r>
      <w:r w:rsidRPr="00723ECA">
        <w:rPr>
          <w:b/>
          <w:sz w:val="22"/>
          <w:lang w:val="pt-BR"/>
        </w:rPr>
        <w:t xml:space="preserve">pessoas </w:t>
      </w:r>
      <w:r w:rsidR="00607A86" w:rsidRPr="00723ECA">
        <w:rPr>
          <w:b/>
          <w:sz w:val="22"/>
          <w:lang w:val="pt-BR"/>
        </w:rPr>
        <w:t>desabrigadas</w:t>
      </w:r>
      <w:r w:rsidRPr="00723ECA">
        <w:rPr>
          <w:b/>
          <w:sz w:val="22"/>
          <w:lang w:val="pt-BR"/>
        </w:rPr>
        <w:t xml:space="preserve">, </w:t>
      </w:r>
      <w:r w:rsidR="00607A86" w:rsidRPr="00723ECA">
        <w:rPr>
          <w:b/>
          <w:sz w:val="22"/>
          <w:lang w:val="pt-BR"/>
        </w:rPr>
        <w:t>comunidade</w:t>
      </w:r>
      <w:r w:rsidR="00804A0F" w:rsidRPr="00723ECA">
        <w:rPr>
          <w:b/>
          <w:sz w:val="22"/>
          <w:lang w:val="pt-BR"/>
        </w:rPr>
        <w:t>s</w:t>
      </w:r>
      <w:r w:rsidR="00607A86" w:rsidRPr="00723ECA">
        <w:rPr>
          <w:b/>
          <w:sz w:val="22"/>
          <w:lang w:val="pt-BR"/>
        </w:rPr>
        <w:t xml:space="preserve"> pobres nômadas e vítimas de situações de conflito armado, emergências, catástrofes naturais ou efeitos de mudanças climáticas;</w:t>
      </w:r>
    </w:p>
    <w:p w:rsidR="00607A86" w:rsidRPr="00723ECA" w:rsidRDefault="00607A86" w:rsidP="008952EA">
      <w:pPr>
        <w:pStyle w:val="Normali"/>
        <w:numPr>
          <w:ilvl w:val="0"/>
          <w:numId w:val="0"/>
        </w:numPr>
        <w:ind w:left="1134" w:firstLine="567"/>
        <w:rPr>
          <w:b/>
          <w:sz w:val="22"/>
          <w:lang w:val="pt-BR"/>
        </w:rPr>
      </w:pPr>
      <w:r w:rsidRPr="00723ECA">
        <w:rPr>
          <w:b/>
          <w:sz w:val="22"/>
          <w:lang w:val="pt-BR"/>
        </w:rPr>
        <w:t>(</w:t>
      </w:r>
      <w:r w:rsidR="009A0BC0" w:rsidRPr="00723ECA">
        <w:rPr>
          <w:b/>
          <w:sz w:val="22"/>
          <w:lang w:val="pt-BR"/>
        </w:rPr>
        <w:t>k</w:t>
      </w:r>
      <w:r w:rsidRPr="00723ECA">
        <w:rPr>
          <w:b/>
          <w:sz w:val="22"/>
          <w:lang w:val="pt-BR"/>
        </w:rPr>
        <w:t>) Incluir, no</w:t>
      </w:r>
      <w:r w:rsidR="00F175C3" w:rsidRPr="00723ECA">
        <w:rPr>
          <w:b/>
          <w:sz w:val="22"/>
          <w:lang w:val="pt-BR"/>
        </w:rPr>
        <w:t>s</w:t>
      </w:r>
      <w:r w:rsidRPr="00723ECA">
        <w:rPr>
          <w:b/>
          <w:sz w:val="22"/>
          <w:lang w:val="pt-BR"/>
        </w:rPr>
        <w:t xml:space="preserve"> </w:t>
      </w:r>
      <w:proofErr w:type="gramStart"/>
      <w:r w:rsidR="00F175C3" w:rsidRPr="00723ECA">
        <w:rPr>
          <w:b/>
          <w:sz w:val="22"/>
          <w:lang w:val="pt-BR"/>
        </w:rPr>
        <w:t>marco</w:t>
      </w:r>
      <w:r w:rsidR="00A32E4F" w:rsidRPr="00723ECA">
        <w:rPr>
          <w:b/>
          <w:sz w:val="22"/>
          <w:lang w:val="pt-BR"/>
        </w:rPr>
        <w:t>s</w:t>
      </w:r>
      <w:r w:rsidRPr="00723ECA">
        <w:rPr>
          <w:b/>
          <w:sz w:val="22"/>
          <w:lang w:val="pt-BR"/>
        </w:rPr>
        <w:t xml:space="preserve"> regulatório</w:t>
      </w:r>
      <w:r w:rsidR="00A32E4F" w:rsidRPr="00723ECA">
        <w:rPr>
          <w:b/>
          <w:sz w:val="22"/>
          <w:lang w:val="pt-BR"/>
        </w:rPr>
        <w:t>s</w:t>
      </w:r>
      <w:proofErr w:type="gramEnd"/>
      <w:r w:rsidRPr="00723ECA">
        <w:rPr>
          <w:b/>
          <w:sz w:val="22"/>
          <w:lang w:val="pt-BR"/>
        </w:rPr>
        <w:t xml:space="preserve">, requisitos específicos que assegurem uma adequada prestação dos serviços, entre outros, </w:t>
      </w:r>
      <w:r w:rsidR="00804A0F" w:rsidRPr="00723ECA">
        <w:rPr>
          <w:b/>
          <w:sz w:val="22"/>
          <w:lang w:val="pt-BR"/>
        </w:rPr>
        <w:t xml:space="preserve">a </w:t>
      </w:r>
      <w:r w:rsidRPr="00723ECA">
        <w:rPr>
          <w:b/>
          <w:sz w:val="22"/>
          <w:lang w:val="pt-BR"/>
        </w:rPr>
        <w:t>escolas, serviços de saúde, prisões, centr</w:t>
      </w:r>
      <w:r w:rsidR="009A0BC0" w:rsidRPr="00723ECA">
        <w:rPr>
          <w:b/>
          <w:sz w:val="22"/>
          <w:lang w:val="pt-BR"/>
        </w:rPr>
        <w:t>ais</w:t>
      </w:r>
      <w:r w:rsidRPr="00723ECA">
        <w:rPr>
          <w:b/>
          <w:sz w:val="22"/>
          <w:lang w:val="pt-BR"/>
        </w:rPr>
        <w:t xml:space="preserve"> de transporte e espaços públicos em geral;</w:t>
      </w:r>
    </w:p>
    <w:p w:rsidR="009A0BC0" w:rsidRPr="00723ECA" w:rsidRDefault="009A0BC0" w:rsidP="008952EA">
      <w:pPr>
        <w:pStyle w:val="Normali"/>
        <w:numPr>
          <w:ilvl w:val="0"/>
          <w:numId w:val="0"/>
        </w:numPr>
        <w:ind w:left="1134" w:firstLine="567"/>
        <w:rPr>
          <w:b/>
          <w:sz w:val="22"/>
          <w:lang w:val="pt-BR"/>
        </w:rPr>
      </w:pPr>
      <w:r w:rsidRPr="00723ECA">
        <w:rPr>
          <w:b/>
          <w:sz w:val="22"/>
          <w:lang w:val="pt-BR"/>
        </w:rPr>
        <w:t xml:space="preserve">(l) Estabelecer </w:t>
      </w:r>
      <w:r w:rsidR="00804A0F" w:rsidRPr="00723ECA">
        <w:rPr>
          <w:b/>
          <w:sz w:val="22"/>
          <w:lang w:val="pt-BR"/>
        </w:rPr>
        <w:t xml:space="preserve">os </w:t>
      </w:r>
      <w:r w:rsidRPr="00723ECA">
        <w:rPr>
          <w:b/>
          <w:sz w:val="22"/>
          <w:lang w:val="pt-BR"/>
        </w:rPr>
        <w:t xml:space="preserve">mecanismos necessários para assegurar a </w:t>
      </w:r>
      <w:r w:rsidR="00BB6C9C" w:rsidRPr="00723ECA">
        <w:rPr>
          <w:b/>
          <w:sz w:val="22"/>
          <w:lang w:val="pt-BR"/>
        </w:rPr>
        <w:t xml:space="preserve">responsabilização </w:t>
      </w:r>
      <w:r w:rsidRPr="00723ECA">
        <w:rPr>
          <w:b/>
          <w:sz w:val="22"/>
          <w:lang w:val="pt-BR"/>
        </w:rPr>
        <w:t xml:space="preserve">dos </w:t>
      </w:r>
      <w:r w:rsidR="002533F0">
        <w:rPr>
          <w:b/>
          <w:sz w:val="22"/>
          <w:lang w:val="pt-BR"/>
        </w:rPr>
        <w:t>agentes regulatórios</w:t>
      </w:r>
      <w:r w:rsidRPr="00723ECA">
        <w:rPr>
          <w:b/>
          <w:sz w:val="22"/>
          <w:lang w:val="pt-BR"/>
        </w:rPr>
        <w:t>;</w:t>
      </w:r>
    </w:p>
    <w:p w:rsidR="00E7448D" w:rsidRPr="00723ECA" w:rsidRDefault="009A0BC0" w:rsidP="008952EA">
      <w:pPr>
        <w:pStyle w:val="Normali"/>
        <w:numPr>
          <w:ilvl w:val="0"/>
          <w:numId w:val="0"/>
        </w:numPr>
        <w:ind w:left="1134" w:firstLine="567"/>
        <w:rPr>
          <w:b/>
          <w:sz w:val="22"/>
          <w:lang w:val="pt-BR"/>
        </w:rPr>
      </w:pPr>
      <w:r w:rsidRPr="00723ECA">
        <w:rPr>
          <w:b/>
          <w:sz w:val="22"/>
          <w:lang w:val="pt-BR"/>
        </w:rPr>
        <w:t xml:space="preserve">(m) Informar e treinar os </w:t>
      </w:r>
      <w:r w:rsidR="002533F0">
        <w:rPr>
          <w:b/>
          <w:sz w:val="22"/>
          <w:lang w:val="pt-BR"/>
        </w:rPr>
        <w:t>agentes regulatórios</w:t>
      </w:r>
      <w:r w:rsidRPr="00723ECA">
        <w:rPr>
          <w:b/>
          <w:sz w:val="22"/>
          <w:lang w:val="pt-BR"/>
        </w:rPr>
        <w:t xml:space="preserve"> </w:t>
      </w:r>
      <w:r w:rsidR="002A5420" w:rsidRPr="00723ECA">
        <w:rPr>
          <w:b/>
          <w:sz w:val="22"/>
          <w:lang w:val="pt-BR"/>
        </w:rPr>
        <w:t>a respeito das</w:t>
      </w:r>
      <w:r w:rsidRPr="00723ECA">
        <w:rPr>
          <w:b/>
          <w:sz w:val="22"/>
          <w:lang w:val="pt-BR"/>
        </w:rPr>
        <w:t xml:space="preserve"> implicações </w:t>
      </w:r>
      <w:r w:rsidR="002A5420" w:rsidRPr="00723ECA">
        <w:rPr>
          <w:b/>
          <w:sz w:val="22"/>
          <w:lang w:val="pt-BR"/>
        </w:rPr>
        <w:t xml:space="preserve">práticas </w:t>
      </w:r>
      <w:r w:rsidRPr="00723ECA">
        <w:rPr>
          <w:b/>
          <w:sz w:val="22"/>
          <w:lang w:val="pt-BR"/>
        </w:rPr>
        <w:t xml:space="preserve">da realização dos direitos humanos à água e ao esgotamento sanitário </w:t>
      </w:r>
      <w:r w:rsidR="002A5420" w:rsidRPr="00723ECA">
        <w:rPr>
          <w:b/>
          <w:sz w:val="22"/>
          <w:lang w:val="pt-BR"/>
        </w:rPr>
        <w:t xml:space="preserve">em sua </w:t>
      </w:r>
      <w:r w:rsidR="00A32E4F" w:rsidRPr="00723ECA">
        <w:rPr>
          <w:b/>
          <w:sz w:val="22"/>
          <w:lang w:val="pt-BR"/>
        </w:rPr>
        <w:t>área de trabalho.</w:t>
      </w:r>
    </w:p>
    <w:p w:rsidR="002A5420" w:rsidRPr="00723ECA" w:rsidRDefault="002A5420" w:rsidP="008952EA">
      <w:pPr>
        <w:pStyle w:val="Normali"/>
        <w:numPr>
          <w:ilvl w:val="0"/>
          <w:numId w:val="0"/>
        </w:numPr>
        <w:ind w:left="1134"/>
        <w:rPr>
          <w:b/>
          <w:sz w:val="22"/>
          <w:lang w:val="pt-BR"/>
        </w:rPr>
      </w:pPr>
      <w:r w:rsidRPr="00723ECA">
        <w:rPr>
          <w:sz w:val="22"/>
          <w:lang w:val="pt-BR"/>
        </w:rPr>
        <w:t xml:space="preserve">90. </w:t>
      </w:r>
      <w:r w:rsidRPr="00723ECA">
        <w:rPr>
          <w:b/>
          <w:sz w:val="22"/>
          <w:lang w:val="pt-BR"/>
        </w:rPr>
        <w:t xml:space="preserve">Além disso, o Relator Especial recomenda aos </w:t>
      </w:r>
      <w:r w:rsidR="002533F0">
        <w:rPr>
          <w:b/>
          <w:sz w:val="22"/>
          <w:lang w:val="pt-BR"/>
        </w:rPr>
        <w:t>agentes regulatórios</w:t>
      </w:r>
      <w:r w:rsidRPr="00723ECA">
        <w:rPr>
          <w:b/>
          <w:sz w:val="22"/>
          <w:lang w:val="pt-BR"/>
        </w:rPr>
        <w:t>:</w:t>
      </w:r>
    </w:p>
    <w:p w:rsidR="002A5420" w:rsidRPr="00723ECA" w:rsidRDefault="002A5420" w:rsidP="008952EA">
      <w:pPr>
        <w:pStyle w:val="Normali"/>
        <w:numPr>
          <w:ilvl w:val="0"/>
          <w:numId w:val="0"/>
        </w:numPr>
        <w:ind w:left="1134" w:firstLine="567"/>
        <w:rPr>
          <w:b/>
          <w:sz w:val="22"/>
          <w:lang w:val="pt-BR"/>
        </w:rPr>
      </w:pPr>
      <w:r w:rsidRPr="00723ECA">
        <w:rPr>
          <w:b/>
          <w:sz w:val="22"/>
          <w:lang w:val="pt-BR"/>
        </w:rPr>
        <w:t xml:space="preserve">(a) Cumprir com as obrigações </w:t>
      </w:r>
      <w:r w:rsidR="003A503C" w:rsidRPr="00723ECA">
        <w:rPr>
          <w:b/>
          <w:sz w:val="22"/>
          <w:lang w:val="pt-BR"/>
        </w:rPr>
        <w:t>i</w:t>
      </w:r>
      <w:r w:rsidRPr="00723ECA">
        <w:rPr>
          <w:b/>
          <w:sz w:val="22"/>
          <w:lang w:val="pt-BR"/>
        </w:rPr>
        <w:t>nternaciona</w:t>
      </w:r>
      <w:r w:rsidR="003A503C" w:rsidRPr="00723ECA">
        <w:rPr>
          <w:b/>
          <w:sz w:val="22"/>
          <w:lang w:val="pt-BR"/>
        </w:rPr>
        <w:t>is</w:t>
      </w:r>
      <w:r w:rsidRPr="00723ECA">
        <w:rPr>
          <w:b/>
          <w:sz w:val="22"/>
          <w:lang w:val="pt-BR"/>
        </w:rPr>
        <w:t xml:space="preserve"> do Estado </w:t>
      </w:r>
      <w:r w:rsidR="00C47B0C" w:rsidRPr="00723ECA">
        <w:rPr>
          <w:b/>
          <w:sz w:val="22"/>
          <w:lang w:val="pt-BR"/>
        </w:rPr>
        <w:t xml:space="preserve">no âmbito dos direitos </w:t>
      </w:r>
      <w:r w:rsidR="003A503C" w:rsidRPr="00723ECA">
        <w:rPr>
          <w:b/>
          <w:sz w:val="22"/>
          <w:lang w:val="pt-BR"/>
        </w:rPr>
        <w:t xml:space="preserve">humanos </w:t>
      </w:r>
      <w:r w:rsidR="00C47B0C" w:rsidRPr="00723ECA">
        <w:rPr>
          <w:b/>
          <w:sz w:val="22"/>
          <w:lang w:val="pt-BR"/>
        </w:rPr>
        <w:t>à água e ao esgotamento sanitário e tomar medidas específicas para a plena realização desses direitos;</w:t>
      </w:r>
    </w:p>
    <w:p w:rsidR="00C47B0C" w:rsidRPr="00723ECA" w:rsidRDefault="00804A0F" w:rsidP="008952EA">
      <w:pPr>
        <w:pStyle w:val="Normali"/>
        <w:numPr>
          <w:ilvl w:val="0"/>
          <w:numId w:val="0"/>
        </w:numPr>
        <w:ind w:left="1134" w:firstLine="567"/>
        <w:rPr>
          <w:b/>
          <w:sz w:val="22"/>
          <w:lang w:val="pt-BR"/>
        </w:rPr>
      </w:pPr>
      <w:r w:rsidRPr="00723ECA">
        <w:rPr>
          <w:b/>
          <w:sz w:val="22"/>
          <w:lang w:val="pt-BR"/>
        </w:rPr>
        <w:t xml:space="preserve">(b) Realizar </w:t>
      </w:r>
      <w:r w:rsidR="00C47B0C" w:rsidRPr="00723ECA">
        <w:rPr>
          <w:b/>
          <w:sz w:val="22"/>
          <w:lang w:val="pt-BR"/>
        </w:rPr>
        <w:t>monitoramento independente d</w:t>
      </w:r>
      <w:r w:rsidRPr="00723ECA">
        <w:rPr>
          <w:b/>
          <w:sz w:val="22"/>
          <w:lang w:val="pt-BR"/>
        </w:rPr>
        <w:t>o cumprimento pel</w:t>
      </w:r>
      <w:r w:rsidR="00C47B0C" w:rsidRPr="00723ECA">
        <w:rPr>
          <w:b/>
          <w:sz w:val="22"/>
          <w:lang w:val="pt-BR"/>
        </w:rPr>
        <w:t xml:space="preserve">os prestadores de serviços </w:t>
      </w:r>
      <w:r w:rsidRPr="00723ECA">
        <w:rPr>
          <w:b/>
          <w:sz w:val="22"/>
          <w:lang w:val="pt-BR"/>
        </w:rPr>
        <w:t>d</w:t>
      </w:r>
      <w:r w:rsidR="00C47B0C" w:rsidRPr="00723ECA">
        <w:rPr>
          <w:b/>
          <w:sz w:val="22"/>
          <w:lang w:val="pt-BR"/>
        </w:rPr>
        <w:t xml:space="preserve">o conteúdo normativo dos direitos humanos à água e ao esgotamento </w:t>
      </w:r>
      <w:r w:rsidR="00C47B0C" w:rsidRPr="00723ECA">
        <w:rPr>
          <w:b/>
          <w:sz w:val="22"/>
          <w:lang w:val="pt-BR"/>
        </w:rPr>
        <w:lastRenderedPageBreak/>
        <w:t>sanitário e assegurar</w:t>
      </w:r>
      <w:r w:rsidRPr="00723ECA">
        <w:rPr>
          <w:b/>
          <w:sz w:val="22"/>
          <w:lang w:val="pt-BR"/>
        </w:rPr>
        <w:t>,</w:t>
      </w:r>
      <w:r w:rsidR="00C47B0C" w:rsidRPr="00723ECA">
        <w:rPr>
          <w:b/>
          <w:sz w:val="22"/>
          <w:lang w:val="pt-BR"/>
        </w:rPr>
        <w:t xml:space="preserve"> em casos de </w:t>
      </w:r>
      <w:r w:rsidR="009E3FFE" w:rsidRPr="00723ECA">
        <w:rPr>
          <w:b/>
          <w:sz w:val="22"/>
          <w:lang w:val="pt-BR"/>
        </w:rPr>
        <w:t>retrocesso</w:t>
      </w:r>
      <w:r w:rsidR="00A4633E" w:rsidRPr="00723ECA">
        <w:rPr>
          <w:b/>
          <w:sz w:val="22"/>
          <w:lang w:val="pt-BR"/>
        </w:rPr>
        <w:t>s</w:t>
      </w:r>
      <w:r w:rsidRPr="00723ECA">
        <w:rPr>
          <w:b/>
          <w:sz w:val="22"/>
          <w:lang w:val="pt-BR"/>
        </w:rPr>
        <w:t>,</w:t>
      </w:r>
      <w:r w:rsidR="00C47B0C" w:rsidRPr="00723ECA">
        <w:rPr>
          <w:b/>
          <w:sz w:val="22"/>
          <w:lang w:val="pt-BR"/>
        </w:rPr>
        <w:t xml:space="preserve"> </w:t>
      </w:r>
      <w:r w:rsidRPr="00723ECA">
        <w:rPr>
          <w:b/>
          <w:sz w:val="22"/>
          <w:lang w:val="pt-BR"/>
        </w:rPr>
        <w:t xml:space="preserve">que </w:t>
      </w:r>
      <w:r w:rsidR="008041C3" w:rsidRPr="00723ECA">
        <w:rPr>
          <w:b/>
          <w:sz w:val="22"/>
          <w:lang w:val="pt-BR"/>
        </w:rPr>
        <w:t>os prestadores</w:t>
      </w:r>
      <w:r w:rsidR="00C47B0C" w:rsidRPr="00723ECA">
        <w:rPr>
          <w:b/>
          <w:sz w:val="22"/>
          <w:lang w:val="pt-BR"/>
        </w:rPr>
        <w:t xml:space="preserve"> abordem as </w:t>
      </w:r>
      <w:r w:rsidR="008041C3" w:rsidRPr="00723ECA">
        <w:rPr>
          <w:b/>
          <w:sz w:val="22"/>
          <w:lang w:val="pt-BR"/>
        </w:rPr>
        <w:t xml:space="preserve">verdadeiras </w:t>
      </w:r>
      <w:r w:rsidR="00C47B0C" w:rsidRPr="00723ECA">
        <w:rPr>
          <w:b/>
          <w:sz w:val="22"/>
          <w:lang w:val="pt-BR"/>
        </w:rPr>
        <w:t>causas dessas violações;</w:t>
      </w:r>
    </w:p>
    <w:p w:rsidR="008041C3" w:rsidRPr="00723ECA" w:rsidRDefault="008041C3" w:rsidP="008952EA">
      <w:pPr>
        <w:pStyle w:val="Normali"/>
        <w:numPr>
          <w:ilvl w:val="0"/>
          <w:numId w:val="0"/>
        </w:numPr>
        <w:ind w:left="1134" w:firstLine="567"/>
        <w:rPr>
          <w:b/>
          <w:sz w:val="22"/>
          <w:lang w:val="pt-BR"/>
        </w:rPr>
      </w:pPr>
      <w:r w:rsidRPr="00723ECA">
        <w:rPr>
          <w:b/>
          <w:sz w:val="22"/>
          <w:lang w:val="pt-BR"/>
        </w:rPr>
        <w:t>(c)</w:t>
      </w:r>
      <w:proofErr w:type="gramStart"/>
      <w:r w:rsidRPr="00723ECA">
        <w:rPr>
          <w:b/>
          <w:sz w:val="22"/>
          <w:lang w:val="pt-BR"/>
        </w:rPr>
        <w:t xml:space="preserve">  </w:t>
      </w:r>
      <w:proofErr w:type="gramEnd"/>
      <w:r w:rsidRPr="00723ECA">
        <w:rPr>
          <w:b/>
          <w:sz w:val="22"/>
          <w:lang w:val="pt-BR"/>
        </w:rPr>
        <w:t xml:space="preserve">Definir e monitorar </w:t>
      </w:r>
      <w:r w:rsidR="00804A0F" w:rsidRPr="00723ECA">
        <w:rPr>
          <w:b/>
          <w:sz w:val="22"/>
          <w:lang w:val="pt-BR"/>
        </w:rPr>
        <w:t>indicadores que abranja</w:t>
      </w:r>
      <w:r w:rsidRPr="00723ECA">
        <w:rPr>
          <w:b/>
          <w:sz w:val="22"/>
          <w:lang w:val="pt-BR"/>
        </w:rPr>
        <w:t>m todos os elementos d</w:t>
      </w:r>
      <w:r w:rsidR="00804A0F" w:rsidRPr="00723ECA">
        <w:rPr>
          <w:b/>
          <w:sz w:val="22"/>
          <w:lang w:val="pt-BR"/>
        </w:rPr>
        <w:t>esses</w:t>
      </w:r>
      <w:r w:rsidRPr="00723ECA">
        <w:rPr>
          <w:b/>
          <w:sz w:val="22"/>
          <w:lang w:val="pt-BR"/>
        </w:rPr>
        <w:t xml:space="preserve"> direitos e desagregá-los por </w:t>
      </w:r>
      <w:r w:rsidR="00813ED3" w:rsidRPr="00723ECA">
        <w:rPr>
          <w:b/>
          <w:sz w:val="22"/>
          <w:lang w:val="pt-BR"/>
        </w:rPr>
        <w:t>razões</w:t>
      </w:r>
      <w:r w:rsidRPr="00723ECA">
        <w:rPr>
          <w:b/>
          <w:sz w:val="22"/>
          <w:lang w:val="pt-BR"/>
        </w:rPr>
        <w:t xml:space="preserve"> de discriminação;</w:t>
      </w:r>
      <w:r w:rsidR="00804A0F" w:rsidRPr="00723ECA">
        <w:rPr>
          <w:b/>
          <w:sz w:val="22"/>
          <w:lang w:val="pt-BR"/>
        </w:rPr>
        <w:t xml:space="preserve"> </w:t>
      </w:r>
    </w:p>
    <w:p w:rsidR="00813ED3" w:rsidRPr="00723ECA" w:rsidRDefault="00813ED3" w:rsidP="008952EA">
      <w:pPr>
        <w:pStyle w:val="Normali"/>
        <w:numPr>
          <w:ilvl w:val="0"/>
          <w:numId w:val="0"/>
        </w:numPr>
        <w:ind w:left="1134" w:firstLine="567"/>
        <w:rPr>
          <w:b/>
          <w:sz w:val="22"/>
          <w:lang w:val="pt-BR"/>
        </w:rPr>
      </w:pPr>
      <w:r w:rsidRPr="00723ECA">
        <w:rPr>
          <w:b/>
          <w:sz w:val="22"/>
          <w:lang w:val="pt-BR"/>
        </w:rPr>
        <w:t xml:space="preserve">(d) Assegurar </w:t>
      </w:r>
      <w:r w:rsidR="00804A0F" w:rsidRPr="00723ECA">
        <w:rPr>
          <w:b/>
          <w:sz w:val="22"/>
          <w:lang w:val="pt-BR"/>
        </w:rPr>
        <w:t>cobertura de</w:t>
      </w:r>
      <w:r w:rsidRPr="00723ECA">
        <w:rPr>
          <w:b/>
          <w:sz w:val="22"/>
          <w:lang w:val="pt-BR"/>
        </w:rPr>
        <w:t xml:space="preserve"> serviços </w:t>
      </w:r>
      <w:proofErr w:type="gramStart"/>
      <w:r w:rsidR="00804A0F" w:rsidRPr="00723ECA">
        <w:rPr>
          <w:b/>
          <w:sz w:val="22"/>
          <w:lang w:val="pt-BR"/>
        </w:rPr>
        <w:t>não-discriminatória</w:t>
      </w:r>
      <w:proofErr w:type="gramEnd"/>
      <w:r w:rsidR="00804A0F" w:rsidRPr="00723ECA">
        <w:rPr>
          <w:b/>
          <w:sz w:val="22"/>
          <w:lang w:val="pt-BR"/>
        </w:rPr>
        <w:t xml:space="preserve"> </w:t>
      </w:r>
      <w:r w:rsidRPr="00723ECA">
        <w:rPr>
          <w:b/>
          <w:sz w:val="22"/>
          <w:lang w:val="pt-BR"/>
        </w:rPr>
        <w:t>pelos prestadores de serviços, inclu</w:t>
      </w:r>
      <w:r w:rsidR="0010435B" w:rsidRPr="00723ECA">
        <w:rPr>
          <w:b/>
          <w:sz w:val="22"/>
          <w:lang w:val="pt-BR"/>
        </w:rPr>
        <w:t>indo</w:t>
      </w:r>
      <w:r w:rsidRPr="00723ECA">
        <w:rPr>
          <w:b/>
          <w:sz w:val="22"/>
          <w:lang w:val="pt-BR"/>
        </w:rPr>
        <w:t xml:space="preserve"> bairros mais pobres, assentamentos informais e áreas rurais;</w:t>
      </w:r>
    </w:p>
    <w:p w:rsidR="00813ED3" w:rsidRPr="00723ECA" w:rsidRDefault="00813ED3" w:rsidP="008952EA">
      <w:pPr>
        <w:pStyle w:val="Normali"/>
        <w:numPr>
          <w:ilvl w:val="0"/>
          <w:numId w:val="0"/>
        </w:numPr>
        <w:ind w:left="1134" w:firstLine="567"/>
        <w:rPr>
          <w:b/>
          <w:sz w:val="22"/>
          <w:lang w:val="pt-BR"/>
        </w:rPr>
      </w:pPr>
      <w:r w:rsidRPr="00723ECA">
        <w:rPr>
          <w:b/>
          <w:sz w:val="22"/>
          <w:lang w:val="pt-BR"/>
        </w:rPr>
        <w:t xml:space="preserve">(e) </w:t>
      </w:r>
      <w:r w:rsidR="00B34452" w:rsidRPr="00723ECA">
        <w:rPr>
          <w:b/>
          <w:sz w:val="22"/>
          <w:lang w:val="pt-BR"/>
        </w:rPr>
        <w:t>Fornecer</w:t>
      </w:r>
      <w:r w:rsidR="0010435B" w:rsidRPr="00723ECA">
        <w:rPr>
          <w:b/>
          <w:sz w:val="22"/>
          <w:lang w:val="pt-BR"/>
        </w:rPr>
        <w:t xml:space="preserve"> acesso </w:t>
      </w:r>
      <w:r w:rsidR="00804A0F" w:rsidRPr="00723ECA">
        <w:rPr>
          <w:b/>
          <w:sz w:val="22"/>
          <w:lang w:val="pt-BR"/>
        </w:rPr>
        <w:t>a</w:t>
      </w:r>
      <w:r w:rsidR="0010435B" w:rsidRPr="00723ECA">
        <w:rPr>
          <w:b/>
          <w:sz w:val="22"/>
          <w:lang w:val="pt-BR"/>
        </w:rPr>
        <w:t xml:space="preserve"> informações objetiv</w:t>
      </w:r>
      <w:r w:rsidR="00D7415D" w:rsidRPr="00723ECA">
        <w:rPr>
          <w:b/>
          <w:sz w:val="22"/>
          <w:lang w:val="pt-BR"/>
        </w:rPr>
        <w:t>as</w:t>
      </w:r>
      <w:r w:rsidR="0010435B" w:rsidRPr="00723ECA">
        <w:rPr>
          <w:b/>
          <w:sz w:val="22"/>
          <w:lang w:val="pt-BR"/>
        </w:rPr>
        <w:t xml:space="preserve">, </w:t>
      </w:r>
      <w:r w:rsidR="00D7415D" w:rsidRPr="00723ECA">
        <w:rPr>
          <w:b/>
          <w:sz w:val="22"/>
          <w:lang w:val="pt-BR"/>
        </w:rPr>
        <w:t>compreensíveis, claras e consistentes e facilitar a participação livre, ativa e</w:t>
      </w:r>
      <w:r w:rsidR="00F44ECA" w:rsidRPr="00723ECA">
        <w:rPr>
          <w:b/>
          <w:sz w:val="22"/>
          <w:lang w:val="pt-BR"/>
        </w:rPr>
        <w:t xml:space="preserve"> significativa nos processos regulatórios</w:t>
      </w:r>
      <w:r w:rsidR="00F35EC3" w:rsidRPr="00723ECA">
        <w:rPr>
          <w:b/>
          <w:sz w:val="22"/>
          <w:lang w:val="pt-BR"/>
        </w:rPr>
        <w:t xml:space="preserve"> de tomada de decisão</w:t>
      </w:r>
      <w:r w:rsidR="00AC770A">
        <w:rPr>
          <w:b/>
          <w:sz w:val="22"/>
          <w:lang w:val="pt-BR"/>
        </w:rPr>
        <w:t>;</w:t>
      </w:r>
    </w:p>
    <w:p w:rsidR="00F44ECA" w:rsidRPr="00723ECA" w:rsidRDefault="00F44ECA" w:rsidP="008952EA">
      <w:pPr>
        <w:pStyle w:val="Normali"/>
        <w:numPr>
          <w:ilvl w:val="0"/>
          <w:numId w:val="0"/>
        </w:numPr>
        <w:ind w:left="1134" w:firstLine="567"/>
        <w:rPr>
          <w:b/>
          <w:sz w:val="22"/>
          <w:lang w:val="pt-BR"/>
        </w:rPr>
      </w:pPr>
      <w:r w:rsidRPr="00723ECA">
        <w:rPr>
          <w:b/>
          <w:sz w:val="22"/>
          <w:lang w:val="pt-BR"/>
        </w:rPr>
        <w:t xml:space="preserve">(f) Garantir que a fixação das tarifas concilie sustentabilidade financeira com </w:t>
      </w:r>
      <w:r w:rsidR="00EC7E89" w:rsidRPr="00723ECA">
        <w:rPr>
          <w:b/>
          <w:sz w:val="22"/>
          <w:lang w:val="pt-BR"/>
        </w:rPr>
        <w:t>acessibilidade econômica</w:t>
      </w:r>
      <w:r w:rsidR="00F35EC3" w:rsidRPr="00723ECA">
        <w:rPr>
          <w:b/>
          <w:sz w:val="22"/>
          <w:lang w:val="pt-BR"/>
        </w:rPr>
        <w:t xml:space="preserve"> </w:t>
      </w:r>
      <w:r w:rsidR="00EC7E89" w:rsidRPr="00723ECA">
        <w:rPr>
          <w:b/>
          <w:sz w:val="22"/>
          <w:lang w:val="pt-BR"/>
        </w:rPr>
        <w:t xml:space="preserve">e </w:t>
      </w:r>
      <w:r w:rsidRPr="00723ECA">
        <w:rPr>
          <w:b/>
          <w:sz w:val="22"/>
          <w:lang w:val="pt-BR"/>
        </w:rPr>
        <w:t>prioriza</w:t>
      </w:r>
      <w:r w:rsidR="00F35EC3" w:rsidRPr="00723ECA">
        <w:rPr>
          <w:b/>
          <w:sz w:val="22"/>
          <w:lang w:val="pt-BR"/>
        </w:rPr>
        <w:t>r</w:t>
      </w:r>
      <w:r w:rsidRPr="00723ECA">
        <w:rPr>
          <w:b/>
          <w:sz w:val="22"/>
          <w:lang w:val="pt-BR"/>
        </w:rPr>
        <w:t xml:space="preserve"> e protege</w:t>
      </w:r>
      <w:r w:rsidR="00F35EC3" w:rsidRPr="00723ECA">
        <w:rPr>
          <w:b/>
          <w:sz w:val="22"/>
          <w:lang w:val="pt-BR"/>
        </w:rPr>
        <w:t>r</w:t>
      </w:r>
      <w:r w:rsidRPr="00723ECA">
        <w:rPr>
          <w:b/>
          <w:sz w:val="22"/>
          <w:lang w:val="pt-BR"/>
        </w:rPr>
        <w:t xml:space="preserve"> as necessidades daqueles que vivem na pobreza;</w:t>
      </w:r>
    </w:p>
    <w:p w:rsidR="00F44ECA" w:rsidRPr="00723ECA" w:rsidRDefault="00F44ECA" w:rsidP="008952EA">
      <w:pPr>
        <w:pStyle w:val="Normali"/>
        <w:numPr>
          <w:ilvl w:val="0"/>
          <w:numId w:val="0"/>
        </w:numPr>
        <w:ind w:left="1134" w:firstLine="567"/>
        <w:rPr>
          <w:b/>
          <w:sz w:val="22"/>
          <w:lang w:val="pt-BR"/>
        </w:rPr>
      </w:pPr>
      <w:r w:rsidRPr="00723ECA">
        <w:rPr>
          <w:b/>
          <w:sz w:val="22"/>
          <w:lang w:val="pt-BR"/>
        </w:rPr>
        <w:t xml:space="preserve">(g) Apoiar e influenciar </w:t>
      </w:r>
      <w:r w:rsidR="00F35EC3" w:rsidRPr="00723ECA">
        <w:rPr>
          <w:b/>
          <w:sz w:val="22"/>
          <w:lang w:val="pt-BR"/>
        </w:rPr>
        <w:t xml:space="preserve">na elaboração de </w:t>
      </w:r>
      <w:r w:rsidRPr="00723ECA">
        <w:rPr>
          <w:b/>
          <w:sz w:val="22"/>
          <w:lang w:val="pt-BR"/>
        </w:rPr>
        <w:t xml:space="preserve">políticas </w:t>
      </w:r>
      <w:r w:rsidR="00F35EC3" w:rsidRPr="00723ECA">
        <w:rPr>
          <w:b/>
          <w:sz w:val="22"/>
          <w:lang w:val="pt-BR"/>
        </w:rPr>
        <w:t xml:space="preserve">públicas </w:t>
      </w:r>
      <w:r w:rsidRPr="00723ECA">
        <w:rPr>
          <w:b/>
          <w:sz w:val="22"/>
          <w:lang w:val="pt-BR"/>
        </w:rPr>
        <w:t xml:space="preserve">e </w:t>
      </w:r>
      <w:r w:rsidR="00F35EC3" w:rsidRPr="00723ECA">
        <w:rPr>
          <w:b/>
          <w:sz w:val="22"/>
          <w:lang w:val="pt-BR"/>
        </w:rPr>
        <w:t xml:space="preserve">em mudanças </w:t>
      </w:r>
      <w:r w:rsidRPr="00723ECA">
        <w:rPr>
          <w:b/>
          <w:sz w:val="22"/>
          <w:lang w:val="pt-BR"/>
        </w:rPr>
        <w:t xml:space="preserve">legislativas em </w:t>
      </w:r>
      <w:r w:rsidR="00F35EC3" w:rsidRPr="00723ECA">
        <w:rPr>
          <w:b/>
          <w:sz w:val="22"/>
          <w:lang w:val="pt-BR"/>
        </w:rPr>
        <w:t xml:space="preserve">linha </w:t>
      </w:r>
      <w:r w:rsidRPr="00723ECA">
        <w:rPr>
          <w:b/>
          <w:sz w:val="22"/>
          <w:lang w:val="pt-BR"/>
        </w:rPr>
        <w:t>com os direitos humanos à água e ao esgotamento sanitário;</w:t>
      </w:r>
    </w:p>
    <w:p w:rsidR="00F44ECA" w:rsidRPr="00723ECA" w:rsidRDefault="00F44ECA" w:rsidP="008952EA">
      <w:pPr>
        <w:pStyle w:val="Normali"/>
        <w:numPr>
          <w:ilvl w:val="0"/>
          <w:numId w:val="0"/>
        </w:numPr>
        <w:ind w:left="1134" w:firstLine="567"/>
        <w:rPr>
          <w:b/>
          <w:sz w:val="22"/>
          <w:lang w:val="pt-BR"/>
        </w:rPr>
      </w:pPr>
      <w:r w:rsidRPr="00723ECA">
        <w:rPr>
          <w:b/>
          <w:sz w:val="22"/>
          <w:lang w:val="pt-BR"/>
        </w:rPr>
        <w:t>(h) Fornecer</w:t>
      </w:r>
      <w:r w:rsidR="005E3990" w:rsidRPr="00723ECA">
        <w:rPr>
          <w:b/>
          <w:sz w:val="22"/>
          <w:lang w:val="pt-BR"/>
        </w:rPr>
        <w:t xml:space="preserve"> informações claras e relevantes sobre suas políticas, procedimentos e atividades e indicar como eles contribuem para a realização progressiva dos direitos humanos à água e ao esgotamento sanitário.</w:t>
      </w:r>
    </w:p>
    <w:p w:rsidR="00796B55" w:rsidRDefault="005E3990" w:rsidP="008952EA">
      <w:pPr>
        <w:pStyle w:val="Normali"/>
        <w:numPr>
          <w:ilvl w:val="0"/>
          <w:numId w:val="0"/>
        </w:numPr>
        <w:ind w:left="1134" w:firstLine="567"/>
        <w:rPr>
          <w:b/>
          <w:sz w:val="22"/>
          <w:lang w:val="pt-BR"/>
        </w:rPr>
      </w:pPr>
      <w:r w:rsidRPr="00723ECA">
        <w:rPr>
          <w:b/>
          <w:sz w:val="22"/>
          <w:lang w:val="pt-BR"/>
        </w:rPr>
        <w:t xml:space="preserve">(i) </w:t>
      </w:r>
      <w:r w:rsidR="005C1DB7" w:rsidRPr="00723ECA">
        <w:rPr>
          <w:b/>
          <w:sz w:val="22"/>
          <w:lang w:val="pt-BR"/>
        </w:rPr>
        <w:t>Proteger</w:t>
      </w:r>
      <w:r w:rsidRPr="00723ECA">
        <w:rPr>
          <w:b/>
          <w:sz w:val="22"/>
          <w:lang w:val="pt-BR"/>
        </w:rPr>
        <w:t xml:space="preserve"> o direito das pessoas de apresentar suas reclamações quando </w:t>
      </w:r>
      <w:r w:rsidR="00F35EC3" w:rsidRPr="00723ECA">
        <w:rPr>
          <w:b/>
          <w:sz w:val="22"/>
          <w:lang w:val="pt-BR"/>
        </w:rPr>
        <w:t xml:space="preserve">o gozo </w:t>
      </w:r>
      <w:r w:rsidR="00052F69" w:rsidRPr="00723ECA">
        <w:rPr>
          <w:b/>
          <w:sz w:val="22"/>
          <w:lang w:val="pt-BR"/>
        </w:rPr>
        <w:t xml:space="preserve">de seus direitos à agua e ao esgotamento sanitário </w:t>
      </w:r>
      <w:proofErr w:type="gramStart"/>
      <w:r w:rsidR="00F35EC3" w:rsidRPr="00723ECA">
        <w:rPr>
          <w:b/>
          <w:sz w:val="22"/>
          <w:lang w:val="pt-BR"/>
        </w:rPr>
        <w:t xml:space="preserve">tiverem sido </w:t>
      </w:r>
      <w:r w:rsidR="00052F69" w:rsidRPr="00723ECA">
        <w:rPr>
          <w:b/>
          <w:sz w:val="22"/>
          <w:lang w:val="pt-BR"/>
        </w:rPr>
        <w:t>comprometid</w:t>
      </w:r>
      <w:r w:rsidR="004300C4" w:rsidRPr="00723ECA">
        <w:rPr>
          <w:b/>
          <w:sz w:val="22"/>
          <w:lang w:val="pt-BR"/>
        </w:rPr>
        <w:t>a</w:t>
      </w:r>
      <w:r w:rsidR="00052F69" w:rsidRPr="00723ECA">
        <w:rPr>
          <w:b/>
          <w:sz w:val="22"/>
          <w:lang w:val="pt-BR"/>
        </w:rPr>
        <w:t>s</w:t>
      </w:r>
      <w:proofErr w:type="gramEnd"/>
      <w:r w:rsidR="00052F69" w:rsidRPr="00723ECA">
        <w:rPr>
          <w:b/>
          <w:sz w:val="22"/>
          <w:lang w:val="pt-BR"/>
        </w:rPr>
        <w:t xml:space="preserve"> pelo prestador de serviços.</w:t>
      </w:r>
    </w:p>
    <w:p w:rsidR="00C472C2" w:rsidRDefault="00C472C2" w:rsidP="008952EA">
      <w:pPr>
        <w:pStyle w:val="Normali"/>
        <w:numPr>
          <w:ilvl w:val="0"/>
          <w:numId w:val="0"/>
        </w:numPr>
        <w:ind w:left="1134" w:firstLine="567"/>
        <w:rPr>
          <w:b/>
          <w:sz w:val="22"/>
          <w:lang w:val="pt-BR"/>
        </w:rPr>
      </w:pPr>
    </w:p>
    <w:p w:rsidR="00C472C2" w:rsidRDefault="00C472C2" w:rsidP="008952EA">
      <w:pPr>
        <w:pStyle w:val="Normali"/>
        <w:numPr>
          <w:ilvl w:val="0"/>
          <w:numId w:val="0"/>
        </w:numPr>
        <w:ind w:left="1134" w:firstLine="567"/>
        <w:rPr>
          <w:b/>
          <w:sz w:val="22"/>
          <w:lang w:val="pt-BR"/>
        </w:rPr>
      </w:pPr>
    </w:p>
    <w:p w:rsidR="00C472C2" w:rsidRPr="00E512AD" w:rsidRDefault="00C472C2" w:rsidP="008952EA">
      <w:pPr>
        <w:pStyle w:val="Normali"/>
        <w:numPr>
          <w:ilvl w:val="0"/>
          <w:numId w:val="0"/>
        </w:numPr>
        <w:ind w:left="1134" w:firstLine="567"/>
        <w:rPr>
          <w:b/>
          <w:sz w:val="22"/>
          <w:lang w:val="pt-BR"/>
        </w:rPr>
      </w:pPr>
    </w:p>
    <w:sectPr w:rsidR="00C472C2" w:rsidRPr="00E512AD" w:rsidSect="00E512AD">
      <w:headerReference w:type="even" r:id="rId13"/>
      <w:headerReference w:type="default" r:id="rId14"/>
      <w:footerReference w:type="even" r:id="rId15"/>
      <w:footerReference w:type="default" r:id="rId16"/>
      <w:endnotePr>
        <w:numFmt w:val="decimal"/>
      </w:endnotePr>
      <w:pgSz w:w="11907" w:h="16840" w:code="9"/>
      <w:pgMar w:top="720" w:right="720" w:bottom="720" w:left="720"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1BA" w:rsidRDefault="004801BA"/>
    <w:p w:rsidR="004801BA" w:rsidRDefault="004801BA"/>
    <w:p w:rsidR="004801BA" w:rsidRDefault="004801BA"/>
    <w:p w:rsidR="004801BA" w:rsidRDefault="004801BA" w:rsidP="00B30915"/>
  </w:endnote>
  <w:endnote w:type="continuationSeparator" w:id="0">
    <w:p w:rsidR="004801BA" w:rsidRDefault="004801BA"/>
    <w:p w:rsidR="004801BA" w:rsidRDefault="004801BA"/>
    <w:p w:rsidR="004801BA" w:rsidRDefault="004801BA"/>
    <w:p w:rsidR="004801BA" w:rsidRDefault="004801BA" w:rsidP="00B30915"/>
  </w:endnote>
  <w:endnote w:type="continuationNotice" w:id="1">
    <w:p w:rsidR="004801BA" w:rsidRDefault="004801BA"/>
    <w:p w:rsidR="004801BA" w:rsidRDefault="004801BA"/>
    <w:p w:rsidR="004801BA" w:rsidRDefault="004801BA"/>
    <w:p w:rsidR="004801BA" w:rsidRDefault="004801BA" w:rsidP="00B309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Myriad Pro Light Cond">
    <w:altName w:val="Myriad Pro Light Cond"/>
    <w:panose1 w:val="00000000000000000000"/>
    <w:charset w:val="00"/>
    <w:family w:val="swiss"/>
    <w:notTrueType/>
    <w:pitch w:val="default"/>
    <w:sig w:usb0="00000003" w:usb1="00000000" w:usb2="00000000" w:usb3="00000000" w:csb0="00000001" w:csb1="00000000"/>
  </w:font>
  <w:font w:name="Myriad Pro Cond">
    <w:altName w:val="Myriad Pro Con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B2E" w:rsidRPr="007B27B5" w:rsidRDefault="009244EA" w:rsidP="007B27B5">
    <w:pPr>
      <w:pStyle w:val="Footer"/>
      <w:tabs>
        <w:tab w:val="right" w:pos="9638"/>
      </w:tabs>
    </w:pPr>
    <w:r w:rsidRPr="007B27B5">
      <w:rPr>
        <w:b/>
        <w:sz w:val="18"/>
      </w:rPr>
      <w:fldChar w:fldCharType="begin"/>
    </w:r>
    <w:r w:rsidR="000F5B2E" w:rsidRPr="007B27B5">
      <w:rPr>
        <w:b/>
        <w:sz w:val="18"/>
      </w:rPr>
      <w:instrText xml:space="preserve"> PAGE  \* MERGEFORMAT </w:instrText>
    </w:r>
    <w:r w:rsidRPr="007B27B5">
      <w:rPr>
        <w:b/>
        <w:sz w:val="18"/>
      </w:rPr>
      <w:fldChar w:fldCharType="separate"/>
    </w:r>
    <w:r w:rsidR="0002379D">
      <w:rPr>
        <w:b/>
        <w:noProof/>
        <w:sz w:val="18"/>
      </w:rPr>
      <w:t>30</w:t>
    </w:r>
    <w:r w:rsidRPr="007B27B5">
      <w:rPr>
        <w:b/>
        <w:sz w:val="18"/>
      </w:rPr>
      <w:fldChar w:fldCharType="end"/>
    </w:r>
    <w:r w:rsidR="000F5B2E">
      <w:rPr>
        <w:sz w:val="18"/>
      </w:rPr>
      <w:tab/>
    </w:r>
  </w:p>
  <w:p w:rsidR="000F5B2E" w:rsidRDefault="000F5B2E"/>
  <w:p w:rsidR="000F5B2E" w:rsidRDefault="000F5B2E" w:rsidP="00B3091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B2E" w:rsidRDefault="000F5B2E" w:rsidP="008745C6">
    <w:pPr>
      <w:pStyle w:val="Footer"/>
      <w:tabs>
        <w:tab w:val="right" w:pos="9638"/>
      </w:tabs>
    </w:pPr>
    <w:r>
      <w:tab/>
    </w:r>
    <w:r w:rsidR="009244EA" w:rsidRPr="007B27B5">
      <w:rPr>
        <w:b/>
        <w:sz w:val="18"/>
      </w:rPr>
      <w:fldChar w:fldCharType="begin"/>
    </w:r>
    <w:r w:rsidRPr="007B27B5">
      <w:rPr>
        <w:b/>
        <w:sz w:val="18"/>
      </w:rPr>
      <w:instrText xml:space="preserve"> PAGE  \* MERGEFORMAT </w:instrText>
    </w:r>
    <w:r w:rsidR="009244EA" w:rsidRPr="007B27B5">
      <w:rPr>
        <w:b/>
        <w:sz w:val="18"/>
      </w:rPr>
      <w:fldChar w:fldCharType="separate"/>
    </w:r>
    <w:r w:rsidR="0002379D">
      <w:rPr>
        <w:b/>
        <w:noProof/>
        <w:sz w:val="18"/>
      </w:rPr>
      <w:t>29</w:t>
    </w:r>
    <w:r w:rsidR="009244EA" w:rsidRPr="007B27B5">
      <w:rPr>
        <w:b/>
        <w:sz w:val="18"/>
      </w:rPr>
      <w:fldChar w:fldCharType="end"/>
    </w:r>
  </w:p>
  <w:p w:rsidR="000F5B2E" w:rsidRDefault="000F5B2E"/>
  <w:p w:rsidR="000F5B2E" w:rsidRDefault="000F5B2E" w:rsidP="00B309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1BA" w:rsidRPr="000B175B" w:rsidRDefault="004801BA" w:rsidP="000B175B">
      <w:pPr>
        <w:tabs>
          <w:tab w:val="right" w:pos="2155"/>
        </w:tabs>
        <w:spacing w:after="80"/>
        <w:ind w:left="680"/>
        <w:rPr>
          <w:u w:val="single"/>
        </w:rPr>
      </w:pPr>
      <w:r>
        <w:rPr>
          <w:u w:val="single"/>
        </w:rPr>
        <w:tab/>
      </w:r>
    </w:p>
    <w:p w:rsidR="004801BA" w:rsidRDefault="004801BA"/>
    <w:p w:rsidR="004801BA" w:rsidRDefault="004801BA"/>
    <w:p w:rsidR="004801BA" w:rsidRDefault="004801BA" w:rsidP="00B30915"/>
  </w:footnote>
  <w:footnote w:type="continuationSeparator" w:id="0">
    <w:p w:rsidR="004801BA" w:rsidRPr="00FC68B7" w:rsidRDefault="004801BA" w:rsidP="00FC68B7">
      <w:pPr>
        <w:tabs>
          <w:tab w:val="left" w:pos="2155"/>
        </w:tabs>
        <w:spacing w:after="80"/>
        <w:ind w:left="680"/>
        <w:rPr>
          <w:u w:val="single"/>
        </w:rPr>
      </w:pPr>
      <w:r>
        <w:rPr>
          <w:u w:val="single"/>
        </w:rPr>
        <w:tab/>
      </w:r>
    </w:p>
    <w:p w:rsidR="004801BA" w:rsidRDefault="004801BA"/>
    <w:p w:rsidR="004801BA" w:rsidRDefault="004801BA"/>
    <w:p w:rsidR="004801BA" w:rsidRDefault="004801BA" w:rsidP="00B30915"/>
  </w:footnote>
  <w:footnote w:type="continuationNotice" w:id="1">
    <w:p w:rsidR="004801BA" w:rsidRDefault="004801BA"/>
    <w:p w:rsidR="004801BA" w:rsidRDefault="004801BA"/>
    <w:p w:rsidR="004801BA" w:rsidRDefault="004801BA"/>
    <w:p w:rsidR="004801BA" w:rsidRDefault="004801BA" w:rsidP="00B30915"/>
  </w:footnote>
  <w:footnote w:id="2">
    <w:p w:rsidR="00F90890" w:rsidRPr="00F90890" w:rsidRDefault="00F90890" w:rsidP="00F90890">
      <w:pPr>
        <w:pStyle w:val="FootnoteText"/>
        <w:jc w:val="both"/>
      </w:pPr>
      <w:r w:rsidRPr="00F90890">
        <w:rPr>
          <w:rStyle w:val="FootnoteReference"/>
        </w:rPr>
        <w:sym w:font="Symbol" w:char="F0A7"/>
      </w:r>
      <w:r>
        <w:t xml:space="preserve"> </w:t>
      </w:r>
      <w:r w:rsidRPr="00C472C2">
        <w:t xml:space="preserve">A tradução do inglês ao português contou com o apoio de Antônio Cesar Da Matta de Jesus, </w:t>
      </w:r>
      <w:proofErr w:type="spellStart"/>
      <w:r w:rsidRPr="00C472C2">
        <w:t>Izabela</w:t>
      </w:r>
      <w:proofErr w:type="spellEnd"/>
      <w:r w:rsidRPr="00C472C2">
        <w:t xml:space="preserve"> Márcia Coelho de Abreu, Patrícia Maria Ribeiro Machado Leal e Vanessa Miranda Barbosa, todos servidores da Agência Reguladora dos Serviços de Água e de Esgoto de Minas Gerais, </w:t>
      </w:r>
      <w:proofErr w:type="spellStart"/>
      <w:proofErr w:type="gramStart"/>
      <w:r w:rsidRPr="00C472C2">
        <w:t>Arsae</w:t>
      </w:r>
      <w:proofErr w:type="spellEnd"/>
      <w:r w:rsidRPr="00C472C2">
        <w:t>-MG</w:t>
      </w:r>
      <w:proofErr w:type="gramEnd"/>
      <w:r w:rsidRPr="00C472C2">
        <w:t>.</w:t>
      </w:r>
    </w:p>
  </w:footnote>
  <w:footnote w:id="3">
    <w:p w:rsidR="000F5B2E" w:rsidRPr="00FC3B7A" w:rsidRDefault="000F5B2E" w:rsidP="002533F0">
      <w:pPr>
        <w:pStyle w:val="FootnoteText"/>
        <w:ind w:right="1134"/>
        <w:jc w:val="both"/>
        <w:rPr>
          <w:color w:val="0070C0"/>
          <w:lang w:val="en-US"/>
        </w:rPr>
      </w:pPr>
      <w:r w:rsidRPr="00997B67">
        <w:rPr>
          <w:rStyle w:val="FootnoteReference"/>
        </w:rPr>
        <w:footnoteRef/>
      </w:r>
      <w:r w:rsidRPr="00FC3B7A">
        <w:rPr>
          <w:lang w:val="en-US"/>
        </w:rPr>
        <w:t xml:space="preserve"> </w:t>
      </w:r>
      <w:proofErr w:type="spellStart"/>
      <w:r w:rsidRPr="00FC3B7A">
        <w:rPr>
          <w:lang w:val="en-US"/>
        </w:rPr>
        <w:t>Ver</w:t>
      </w:r>
      <w:proofErr w:type="spellEnd"/>
      <w:r w:rsidRPr="00FC3B7A">
        <w:rPr>
          <w:lang w:val="en-US"/>
        </w:rPr>
        <w:t xml:space="preserve"> www.ohchr.org/EN/Issues/WaterAndSanitation/SRWater/Pages/ServiceRegulation.aspx</w:t>
      </w:r>
    </w:p>
  </w:footnote>
  <w:footnote w:id="4">
    <w:p w:rsidR="000F5B2E" w:rsidRPr="00E4021F" w:rsidRDefault="000F5B2E" w:rsidP="002533F0">
      <w:pPr>
        <w:pStyle w:val="FootnoteText"/>
        <w:jc w:val="both"/>
        <w:rPr>
          <w:lang w:val="en-US"/>
        </w:rPr>
      </w:pPr>
      <w:r>
        <w:rPr>
          <w:rStyle w:val="FootnoteReference"/>
        </w:rPr>
        <w:footnoteRef/>
      </w:r>
      <w:r w:rsidRPr="00E4021F">
        <w:rPr>
          <w:lang w:val="en-US"/>
        </w:rPr>
        <w:t xml:space="preserve"> </w:t>
      </w:r>
      <w:r>
        <w:rPr>
          <w:lang w:val="en-US"/>
        </w:rPr>
        <w:t xml:space="preserve">N. T. </w:t>
      </w:r>
      <w:r>
        <w:rPr>
          <w:i/>
          <w:lang w:val="en-US"/>
        </w:rPr>
        <w:t>Stakeholders</w:t>
      </w:r>
      <w:r>
        <w:rPr>
          <w:lang w:val="en-US"/>
        </w:rPr>
        <w:t xml:space="preserve">. </w:t>
      </w:r>
    </w:p>
  </w:footnote>
  <w:footnote w:id="5">
    <w:p w:rsidR="000F5B2E" w:rsidRPr="00086E9D" w:rsidRDefault="000F5B2E" w:rsidP="002533F0">
      <w:pPr>
        <w:pStyle w:val="FootnoteText"/>
        <w:ind w:right="1134"/>
        <w:jc w:val="both"/>
        <w:rPr>
          <w:lang w:val="en-US"/>
        </w:rPr>
      </w:pPr>
      <w:r w:rsidRPr="00290BC8">
        <w:rPr>
          <w:rStyle w:val="FootnoteReference"/>
        </w:rPr>
        <w:footnoteRef/>
      </w:r>
      <w:r w:rsidRPr="00086E9D">
        <w:rPr>
          <w:lang w:val="en-US"/>
        </w:rPr>
        <w:t xml:space="preserve"> </w:t>
      </w:r>
      <w:proofErr w:type="gramStart"/>
      <w:r w:rsidRPr="00086E9D">
        <w:rPr>
          <w:lang w:val="en-US"/>
        </w:rPr>
        <w:t>International Covenant on Economic, Social and Cultural Rights.</w:t>
      </w:r>
      <w:proofErr w:type="gramEnd"/>
    </w:p>
  </w:footnote>
  <w:footnote w:id="6">
    <w:p w:rsidR="000F5B2E" w:rsidRPr="00B24B17" w:rsidRDefault="000F5B2E" w:rsidP="002533F0">
      <w:pPr>
        <w:pStyle w:val="FootnoteText"/>
        <w:ind w:right="1134"/>
        <w:jc w:val="both"/>
      </w:pPr>
      <w:r w:rsidRPr="00037395">
        <w:rPr>
          <w:rStyle w:val="FootnoteReference"/>
        </w:rPr>
        <w:footnoteRef/>
      </w:r>
      <w:r w:rsidRPr="00EC7E89">
        <w:t xml:space="preserve"> Ver </w:t>
      </w:r>
      <w:proofErr w:type="spellStart"/>
      <w:r w:rsidRPr="00EC7E89">
        <w:rPr>
          <w:i/>
        </w:rPr>
        <w:t>Committee</w:t>
      </w:r>
      <w:proofErr w:type="spellEnd"/>
      <w:r w:rsidRPr="00EC7E89">
        <w:rPr>
          <w:i/>
        </w:rPr>
        <w:t xml:space="preserve"> </w:t>
      </w:r>
      <w:proofErr w:type="spellStart"/>
      <w:r w:rsidRPr="00EC7E89">
        <w:rPr>
          <w:i/>
        </w:rPr>
        <w:t>on</w:t>
      </w:r>
      <w:proofErr w:type="spellEnd"/>
      <w:r w:rsidRPr="00EC7E89">
        <w:rPr>
          <w:i/>
        </w:rPr>
        <w:t xml:space="preserve"> </w:t>
      </w:r>
      <w:proofErr w:type="spellStart"/>
      <w:r w:rsidRPr="00EC7E89">
        <w:rPr>
          <w:i/>
        </w:rPr>
        <w:t>Economic</w:t>
      </w:r>
      <w:proofErr w:type="spellEnd"/>
      <w:r w:rsidRPr="00EC7E89">
        <w:rPr>
          <w:i/>
        </w:rPr>
        <w:t xml:space="preserve">, Social </w:t>
      </w:r>
      <w:proofErr w:type="spellStart"/>
      <w:r w:rsidRPr="00EC7E89">
        <w:rPr>
          <w:i/>
        </w:rPr>
        <w:t>and</w:t>
      </w:r>
      <w:proofErr w:type="spellEnd"/>
      <w:r w:rsidRPr="00EC7E89">
        <w:rPr>
          <w:i/>
        </w:rPr>
        <w:t xml:space="preserve"> Cultural </w:t>
      </w:r>
      <w:proofErr w:type="spellStart"/>
      <w:r w:rsidRPr="00EC7E89">
        <w:rPr>
          <w:i/>
        </w:rPr>
        <w:t>Rights</w:t>
      </w:r>
      <w:proofErr w:type="spellEnd"/>
      <w:r w:rsidRPr="00EC7E89">
        <w:t xml:space="preserve"> comen</w:t>
      </w:r>
      <w:r w:rsidRPr="00037395">
        <w:t xml:space="preserve">tário geral nº 20 (2009) sobre </w:t>
      </w:r>
      <w:r>
        <w:t xml:space="preserve">a </w:t>
      </w:r>
      <w:r w:rsidRPr="00037395">
        <w:t>não discriminação em direitos econômicos, sociais e culturais, parágrafo 34.</w:t>
      </w:r>
    </w:p>
  </w:footnote>
  <w:footnote w:id="7">
    <w:p w:rsidR="000F5B2E" w:rsidRPr="007907CE" w:rsidRDefault="000F5B2E" w:rsidP="002533F0">
      <w:pPr>
        <w:pStyle w:val="FootnoteText"/>
        <w:ind w:right="1134"/>
        <w:jc w:val="both"/>
      </w:pPr>
      <w:r w:rsidRPr="00647E71">
        <w:rPr>
          <w:rStyle w:val="FootnoteReference"/>
        </w:rPr>
        <w:footnoteRef/>
      </w:r>
      <w:r w:rsidRPr="00647E71">
        <w:t xml:space="preserve"> Ver </w:t>
      </w:r>
      <w:proofErr w:type="spellStart"/>
      <w:r w:rsidRPr="00647E71">
        <w:rPr>
          <w:i/>
        </w:rPr>
        <w:t>Committee</w:t>
      </w:r>
      <w:proofErr w:type="spellEnd"/>
      <w:r w:rsidRPr="00647E71">
        <w:rPr>
          <w:i/>
        </w:rPr>
        <w:t xml:space="preserve"> </w:t>
      </w:r>
      <w:proofErr w:type="spellStart"/>
      <w:r w:rsidRPr="00647E71">
        <w:rPr>
          <w:i/>
        </w:rPr>
        <w:t>on</w:t>
      </w:r>
      <w:proofErr w:type="spellEnd"/>
      <w:r w:rsidRPr="00647E71">
        <w:rPr>
          <w:i/>
        </w:rPr>
        <w:t xml:space="preserve"> </w:t>
      </w:r>
      <w:proofErr w:type="spellStart"/>
      <w:r w:rsidRPr="00647E71">
        <w:rPr>
          <w:i/>
        </w:rPr>
        <w:t>Economic</w:t>
      </w:r>
      <w:proofErr w:type="spellEnd"/>
      <w:r w:rsidRPr="00647E71">
        <w:rPr>
          <w:i/>
        </w:rPr>
        <w:t xml:space="preserve">, Social </w:t>
      </w:r>
      <w:proofErr w:type="spellStart"/>
      <w:r w:rsidRPr="00647E71">
        <w:rPr>
          <w:i/>
        </w:rPr>
        <w:t>and</w:t>
      </w:r>
      <w:proofErr w:type="spellEnd"/>
      <w:r w:rsidRPr="00647E71">
        <w:rPr>
          <w:i/>
        </w:rPr>
        <w:t xml:space="preserve"> Cultural </w:t>
      </w:r>
      <w:proofErr w:type="spellStart"/>
      <w:r w:rsidRPr="00647E71">
        <w:rPr>
          <w:i/>
        </w:rPr>
        <w:t>Rights</w:t>
      </w:r>
      <w:proofErr w:type="spellEnd"/>
      <w:r w:rsidRPr="00647E71">
        <w:t xml:space="preserve"> comentário geral nº 15 (2003) sobre o direito à água, parágrafo 44 (a).</w:t>
      </w:r>
    </w:p>
  </w:footnote>
  <w:footnote w:id="8">
    <w:p w:rsidR="000F5B2E" w:rsidRPr="00C47C2D" w:rsidRDefault="000F5B2E" w:rsidP="002533F0">
      <w:pPr>
        <w:pStyle w:val="FootnoteText"/>
        <w:ind w:right="1134"/>
        <w:jc w:val="both"/>
      </w:pPr>
      <w:r w:rsidRPr="002859E7">
        <w:rPr>
          <w:rStyle w:val="FootnoteReference"/>
        </w:rPr>
        <w:footnoteRef/>
      </w:r>
      <w:r w:rsidRPr="00C47C2D">
        <w:t xml:space="preserve"> Ibid.</w:t>
      </w:r>
      <w:r w:rsidRPr="002859E7">
        <w:t>, parágrafo 24.</w:t>
      </w:r>
    </w:p>
  </w:footnote>
  <w:footnote w:id="9">
    <w:p w:rsidR="000F5B2E" w:rsidRPr="0067026D" w:rsidRDefault="000F5B2E" w:rsidP="002533F0">
      <w:pPr>
        <w:pStyle w:val="FootnoteText"/>
        <w:ind w:right="1134"/>
        <w:jc w:val="both"/>
      </w:pPr>
      <w:r w:rsidRPr="00CF62D1">
        <w:rPr>
          <w:rStyle w:val="FootnoteReference"/>
          <w:color w:val="000000" w:themeColor="text1"/>
        </w:rPr>
        <w:footnoteRef/>
      </w:r>
      <w:r w:rsidRPr="00CF62D1">
        <w:t xml:space="preserve"> </w:t>
      </w:r>
      <w:r w:rsidR="00CF62D1" w:rsidRPr="00CF62D1">
        <w:t xml:space="preserve">Para uma lista destinada às </w:t>
      </w:r>
      <w:r w:rsidRPr="00CF62D1">
        <w:t xml:space="preserve">autoridades governamentais </w:t>
      </w:r>
      <w:r w:rsidR="00CF62D1" w:rsidRPr="00CF62D1">
        <w:t>sobre</w:t>
      </w:r>
      <w:r w:rsidRPr="00CF62D1">
        <w:t xml:space="preserve"> questões </w:t>
      </w:r>
      <w:r w:rsidR="00CF62D1" w:rsidRPr="00CF62D1">
        <w:t xml:space="preserve">de </w:t>
      </w:r>
      <w:r w:rsidRPr="00CF62D1">
        <w:t xml:space="preserve">direitos humanos à água e ao esgotamento sanitário </w:t>
      </w:r>
      <w:r w:rsidR="00CF62D1" w:rsidRPr="00CF62D1">
        <w:t xml:space="preserve">a </w:t>
      </w:r>
      <w:r w:rsidRPr="00CF62D1">
        <w:t>ser</w:t>
      </w:r>
      <w:r w:rsidR="00CF62D1" w:rsidRPr="00CF62D1">
        <w:t>em</w:t>
      </w:r>
      <w:r w:rsidRPr="00CF62D1">
        <w:t xml:space="preserve"> abordadas </w:t>
      </w:r>
      <w:r w:rsidR="00CF62D1" w:rsidRPr="00CF62D1">
        <w:t xml:space="preserve">em </w:t>
      </w:r>
      <w:r w:rsidRPr="00CF62D1">
        <w:t>negociações sobre contrato</w:t>
      </w:r>
      <w:r w:rsidR="00CF62D1" w:rsidRPr="00CF62D1">
        <w:t xml:space="preserve">s, concessões </w:t>
      </w:r>
      <w:r w:rsidRPr="00CF62D1">
        <w:t xml:space="preserve">ou </w:t>
      </w:r>
      <w:r w:rsidR="00CF62D1" w:rsidRPr="00CF62D1">
        <w:t xml:space="preserve">processos de </w:t>
      </w:r>
      <w:r w:rsidRPr="00CF62D1">
        <w:t xml:space="preserve">licenciamento, </w:t>
      </w:r>
      <w:r w:rsidR="00CF62D1" w:rsidRPr="00CF62D1">
        <w:t xml:space="preserve">na perspectiva </w:t>
      </w:r>
      <w:r w:rsidRPr="00CF62D1">
        <w:t xml:space="preserve">do governo, </w:t>
      </w:r>
      <w:r w:rsidR="00CF62D1" w:rsidRPr="00CF62D1">
        <w:t>ver</w:t>
      </w:r>
      <w:r w:rsidRPr="00CF62D1">
        <w:t xml:space="preserve"> </w:t>
      </w:r>
      <w:proofErr w:type="spellStart"/>
      <w:r w:rsidRPr="00CF62D1">
        <w:rPr>
          <w:i/>
          <w:szCs w:val="18"/>
        </w:rPr>
        <w:t>Realising</w:t>
      </w:r>
      <w:proofErr w:type="spellEnd"/>
      <w:r w:rsidRPr="00CF62D1">
        <w:rPr>
          <w:i/>
          <w:szCs w:val="18"/>
        </w:rPr>
        <w:t xml:space="preserve"> </w:t>
      </w:r>
      <w:proofErr w:type="spellStart"/>
      <w:r w:rsidRPr="00CF62D1">
        <w:rPr>
          <w:i/>
          <w:szCs w:val="18"/>
        </w:rPr>
        <w:t>the</w:t>
      </w:r>
      <w:proofErr w:type="spellEnd"/>
      <w:r w:rsidRPr="00CF62D1">
        <w:rPr>
          <w:i/>
          <w:szCs w:val="18"/>
        </w:rPr>
        <w:t xml:space="preserve"> </w:t>
      </w:r>
      <w:proofErr w:type="spellStart"/>
      <w:r w:rsidRPr="00CF62D1">
        <w:rPr>
          <w:i/>
          <w:szCs w:val="18"/>
        </w:rPr>
        <w:t>Human</w:t>
      </w:r>
      <w:proofErr w:type="spellEnd"/>
      <w:r w:rsidRPr="00CF62D1">
        <w:rPr>
          <w:i/>
          <w:szCs w:val="18"/>
        </w:rPr>
        <w:t xml:space="preserve"> </w:t>
      </w:r>
      <w:proofErr w:type="spellStart"/>
      <w:r w:rsidRPr="00CF62D1">
        <w:rPr>
          <w:i/>
          <w:szCs w:val="18"/>
        </w:rPr>
        <w:t>Rights</w:t>
      </w:r>
      <w:proofErr w:type="spellEnd"/>
      <w:r w:rsidRPr="00C47C2D">
        <w:rPr>
          <w:i/>
          <w:szCs w:val="18"/>
        </w:rPr>
        <w:t xml:space="preserve"> </w:t>
      </w:r>
      <w:proofErr w:type="spellStart"/>
      <w:r w:rsidRPr="00C47C2D">
        <w:rPr>
          <w:i/>
          <w:szCs w:val="18"/>
        </w:rPr>
        <w:t>to</w:t>
      </w:r>
      <w:proofErr w:type="spellEnd"/>
      <w:r w:rsidRPr="00C47C2D">
        <w:rPr>
          <w:i/>
          <w:szCs w:val="18"/>
        </w:rPr>
        <w:t xml:space="preserve"> </w:t>
      </w:r>
      <w:proofErr w:type="spellStart"/>
      <w:r w:rsidRPr="00C47C2D">
        <w:rPr>
          <w:i/>
          <w:szCs w:val="18"/>
        </w:rPr>
        <w:t>Water</w:t>
      </w:r>
      <w:proofErr w:type="spellEnd"/>
      <w:r w:rsidRPr="00C47C2D">
        <w:rPr>
          <w:i/>
          <w:szCs w:val="18"/>
        </w:rPr>
        <w:t xml:space="preserve"> </w:t>
      </w:r>
      <w:proofErr w:type="spellStart"/>
      <w:r w:rsidRPr="00C47C2D">
        <w:rPr>
          <w:i/>
          <w:szCs w:val="18"/>
        </w:rPr>
        <w:t>and</w:t>
      </w:r>
      <w:proofErr w:type="spellEnd"/>
      <w:r w:rsidRPr="00C47C2D">
        <w:rPr>
          <w:i/>
          <w:szCs w:val="18"/>
        </w:rPr>
        <w:t xml:space="preserve"> </w:t>
      </w:r>
      <w:proofErr w:type="spellStart"/>
      <w:r w:rsidRPr="00C47C2D">
        <w:rPr>
          <w:i/>
          <w:szCs w:val="18"/>
        </w:rPr>
        <w:t>Sanitation</w:t>
      </w:r>
      <w:proofErr w:type="spellEnd"/>
      <w:r w:rsidRPr="00C47C2D">
        <w:rPr>
          <w:i/>
          <w:szCs w:val="18"/>
        </w:rPr>
        <w:t xml:space="preserve">: A </w:t>
      </w:r>
      <w:proofErr w:type="spellStart"/>
      <w:r w:rsidRPr="00C47C2D">
        <w:rPr>
          <w:i/>
          <w:szCs w:val="18"/>
        </w:rPr>
        <w:t>Handbook</w:t>
      </w:r>
      <w:proofErr w:type="spellEnd"/>
      <w:r w:rsidRPr="00C47C2D">
        <w:rPr>
          <w:i/>
          <w:szCs w:val="18"/>
        </w:rPr>
        <w:t xml:space="preserve"> </w:t>
      </w:r>
      <w:proofErr w:type="spellStart"/>
      <w:r w:rsidRPr="00C47C2D">
        <w:rPr>
          <w:i/>
          <w:szCs w:val="18"/>
        </w:rPr>
        <w:t>by</w:t>
      </w:r>
      <w:proofErr w:type="spellEnd"/>
      <w:r w:rsidRPr="00C47C2D">
        <w:rPr>
          <w:i/>
          <w:szCs w:val="18"/>
        </w:rPr>
        <w:t xml:space="preserve"> </w:t>
      </w:r>
      <w:proofErr w:type="spellStart"/>
      <w:r w:rsidRPr="00C47C2D">
        <w:rPr>
          <w:i/>
          <w:szCs w:val="18"/>
        </w:rPr>
        <w:t>the</w:t>
      </w:r>
      <w:proofErr w:type="spellEnd"/>
      <w:r w:rsidRPr="00C47C2D">
        <w:rPr>
          <w:i/>
          <w:szCs w:val="18"/>
        </w:rPr>
        <w:t xml:space="preserve"> UN </w:t>
      </w:r>
      <w:proofErr w:type="spellStart"/>
      <w:r w:rsidRPr="00C47C2D">
        <w:rPr>
          <w:i/>
          <w:szCs w:val="18"/>
        </w:rPr>
        <w:t>Special</w:t>
      </w:r>
      <w:proofErr w:type="spellEnd"/>
      <w:r w:rsidRPr="00C47C2D">
        <w:rPr>
          <w:i/>
          <w:szCs w:val="18"/>
        </w:rPr>
        <w:t xml:space="preserve"> </w:t>
      </w:r>
      <w:proofErr w:type="spellStart"/>
      <w:r w:rsidRPr="00C47C2D">
        <w:rPr>
          <w:i/>
          <w:szCs w:val="18"/>
        </w:rPr>
        <w:t>Rapporteur</w:t>
      </w:r>
      <w:proofErr w:type="spellEnd"/>
      <w:r w:rsidRPr="00C47C2D">
        <w:rPr>
          <w:i/>
          <w:szCs w:val="18"/>
        </w:rPr>
        <w:t xml:space="preserve"> </w:t>
      </w:r>
      <w:r w:rsidRPr="00C47C2D">
        <w:rPr>
          <w:szCs w:val="18"/>
        </w:rPr>
        <w:t>(</w:t>
      </w:r>
      <w:proofErr w:type="spellStart"/>
      <w:r w:rsidRPr="00C47C2D">
        <w:rPr>
          <w:szCs w:val="18"/>
        </w:rPr>
        <w:t>booklet</w:t>
      </w:r>
      <w:proofErr w:type="spellEnd"/>
      <w:r w:rsidRPr="00C47C2D">
        <w:rPr>
          <w:szCs w:val="18"/>
        </w:rPr>
        <w:t xml:space="preserve"> </w:t>
      </w:r>
      <w:proofErr w:type="gramStart"/>
      <w:r w:rsidRPr="00C47C2D">
        <w:rPr>
          <w:szCs w:val="18"/>
        </w:rPr>
        <w:t>8</w:t>
      </w:r>
      <w:proofErr w:type="gramEnd"/>
      <w:r w:rsidRPr="00C47C2D">
        <w:rPr>
          <w:szCs w:val="18"/>
        </w:rPr>
        <w:t xml:space="preserve">: </w:t>
      </w:r>
      <w:proofErr w:type="spellStart"/>
      <w:r w:rsidRPr="00C47C2D">
        <w:rPr>
          <w:szCs w:val="18"/>
        </w:rPr>
        <w:t>checklists</w:t>
      </w:r>
      <w:proofErr w:type="spellEnd"/>
      <w:r w:rsidRPr="00C47C2D">
        <w:rPr>
          <w:szCs w:val="18"/>
        </w:rPr>
        <w:t>), disponível em http://www.ohchr.org/EN/Issues/WaterAndSanitation/SRWater/Pages/Handbook.aspx</w:t>
      </w:r>
      <w:r w:rsidRPr="0067026D">
        <w:rPr>
          <w:color w:val="0070C0"/>
          <w:szCs w:val="18"/>
        </w:rPr>
        <w:t>.</w:t>
      </w:r>
    </w:p>
  </w:footnote>
  <w:footnote w:id="10">
    <w:p w:rsidR="000F5B2E" w:rsidRPr="005A2302" w:rsidRDefault="000F5B2E" w:rsidP="002533F0">
      <w:pPr>
        <w:pStyle w:val="FootnoteText"/>
        <w:ind w:right="1134"/>
        <w:jc w:val="both"/>
        <w:rPr>
          <w:lang w:val="en-US"/>
        </w:rPr>
      </w:pPr>
      <w:r>
        <w:rPr>
          <w:rStyle w:val="FootnoteReference"/>
        </w:rPr>
        <w:footnoteRef/>
      </w:r>
      <w:r w:rsidRPr="005A2302">
        <w:rPr>
          <w:lang w:val="en-US"/>
        </w:rPr>
        <w:t xml:space="preserve"> </w:t>
      </w:r>
      <w:proofErr w:type="gramStart"/>
      <w:r w:rsidRPr="005A2302">
        <w:rPr>
          <w:lang w:val="en-US"/>
        </w:rPr>
        <w:t xml:space="preserve">N.T. </w:t>
      </w:r>
      <w:r w:rsidRPr="005A2302">
        <w:rPr>
          <w:i/>
          <w:lang w:val="en-US"/>
        </w:rPr>
        <w:t>Accou</w:t>
      </w:r>
      <w:r w:rsidR="00886302">
        <w:rPr>
          <w:i/>
          <w:lang w:val="en-US"/>
        </w:rPr>
        <w:t>n</w:t>
      </w:r>
      <w:r w:rsidRPr="005A2302">
        <w:rPr>
          <w:i/>
          <w:lang w:val="en-US"/>
        </w:rPr>
        <w:t>tability</w:t>
      </w:r>
      <w:r w:rsidRPr="005A2302">
        <w:rPr>
          <w:lang w:val="en-US"/>
        </w:rPr>
        <w:t>.</w:t>
      </w:r>
      <w:proofErr w:type="gramEnd"/>
    </w:p>
  </w:footnote>
  <w:footnote w:id="11">
    <w:p w:rsidR="000F5B2E" w:rsidRPr="00EC7E89" w:rsidRDefault="000F5B2E" w:rsidP="002533F0">
      <w:pPr>
        <w:pStyle w:val="FootnoteText"/>
        <w:ind w:right="1134"/>
        <w:jc w:val="both"/>
        <w:rPr>
          <w:szCs w:val="18"/>
          <w:lang w:val="en-US"/>
        </w:rPr>
      </w:pPr>
      <w:r>
        <w:rPr>
          <w:rStyle w:val="FootnoteReference"/>
        </w:rPr>
        <w:footnoteRef/>
      </w:r>
      <w:proofErr w:type="spellStart"/>
      <w:proofErr w:type="gramStart"/>
      <w:r w:rsidRPr="00EC7E89">
        <w:rPr>
          <w:szCs w:val="18"/>
          <w:lang w:val="en-US"/>
        </w:rPr>
        <w:t>Ver</w:t>
      </w:r>
      <w:proofErr w:type="spellEnd"/>
      <w:r w:rsidRPr="00EC7E89">
        <w:rPr>
          <w:szCs w:val="18"/>
          <w:lang w:val="en-US"/>
        </w:rPr>
        <w:t xml:space="preserve"> </w:t>
      </w:r>
      <w:r w:rsidRPr="00EC7E89">
        <w:rPr>
          <w:lang w:val="en-US"/>
        </w:rPr>
        <w:t>Committee on Economic, Social and Cultural Rights</w:t>
      </w:r>
      <w:r w:rsidRPr="00EC7E89">
        <w:rPr>
          <w:szCs w:val="18"/>
          <w:lang w:val="en-US"/>
        </w:rPr>
        <w:t xml:space="preserve"> </w:t>
      </w:r>
      <w:proofErr w:type="spellStart"/>
      <w:r w:rsidRPr="00EC7E89">
        <w:rPr>
          <w:szCs w:val="18"/>
          <w:lang w:val="en-US"/>
        </w:rPr>
        <w:t>comentário</w:t>
      </w:r>
      <w:proofErr w:type="spellEnd"/>
      <w:r w:rsidRPr="00EC7E89">
        <w:rPr>
          <w:szCs w:val="18"/>
          <w:lang w:val="en-US"/>
        </w:rPr>
        <w:t xml:space="preserve"> </w:t>
      </w:r>
      <w:proofErr w:type="spellStart"/>
      <w:r w:rsidRPr="00EC7E89">
        <w:rPr>
          <w:szCs w:val="18"/>
          <w:lang w:val="en-US"/>
        </w:rPr>
        <w:t>geral</w:t>
      </w:r>
      <w:proofErr w:type="spellEnd"/>
      <w:r w:rsidRPr="00EC7E89">
        <w:rPr>
          <w:szCs w:val="18"/>
          <w:lang w:val="en-US"/>
        </w:rPr>
        <w:t xml:space="preserve"> nº 20, </w:t>
      </w:r>
      <w:proofErr w:type="spellStart"/>
      <w:r w:rsidRPr="00EC7E89">
        <w:rPr>
          <w:szCs w:val="18"/>
          <w:lang w:val="en-US"/>
        </w:rPr>
        <w:t>parágrafo</w:t>
      </w:r>
      <w:proofErr w:type="spellEnd"/>
      <w:r w:rsidRPr="00EC7E89">
        <w:rPr>
          <w:szCs w:val="18"/>
          <w:lang w:val="en-US"/>
        </w:rPr>
        <w:t xml:space="preserve"> 14.</w:t>
      </w:r>
      <w:proofErr w:type="gramEnd"/>
    </w:p>
  </w:footnote>
  <w:footnote w:id="12">
    <w:p w:rsidR="000F5B2E" w:rsidRPr="00C472C2" w:rsidRDefault="000F5B2E">
      <w:pPr>
        <w:pStyle w:val="FootnoteText"/>
      </w:pPr>
      <w:r>
        <w:rPr>
          <w:rStyle w:val="FootnoteReference"/>
        </w:rPr>
        <w:footnoteRef/>
      </w:r>
      <w:r>
        <w:t xml:space="preserve"> </w:t>
      </w:r>
      <w:r w:rsidRPr="00C472C2">
        <w:t xml:space="preserve">N.T. </w:t>
      </w:r>
      <w:proofErr w:type="spellStart"/>
      <w:r w:rsidRPr="00C472C2">
        <w:rPr>
          <w:i/>
        </w:rPr>
        <w:t>Due</w:t>
      </w:r>
      <w:proofErr w:type="spellEnd"/>
      <w:r w:rsidRPr="00C472C2">
        <w:rPr>
          <w:i/>
        </w:rPr>
        <w:t xml:space="preserve"> </w:t>
      </w:r>
      <w:proofErr w:type="spellStart"/>
      <w:r w:rsidRPr="00C472C2">
        <w:rPr>
          <w:i/>
        </w:rPr>
        <w:t>diligence</w:t>
      </w:r>
      <w:proofErr w:type="spellEnd"/>
      <w:r w:rsidRPr="00C472C2">
        <w:t>.</w:t>
      </w:r>
    </w:p>
  </w:footnote>
  <w:footnote w:id="13">
    <w:p w:rsidR="000F5B2E" w:rsidRPr="00FC3B7A" w:rsidRDefault="000F5B2E" w:rsidP="002533F0">
      <w:pPr>
        <w:pStyle w:val="FootnoteText"/>
        <w:ind w:right="1134"/>
        <w:jc w:val="both"/>
      </w:pPr>
      <w:r>
        <w:rPr>
          <w:rStyle w:val="FootnoteReference"/>
        </w:rPr>
        <w:footnoteRef/>
      </w:r>
      <w:r w:rsidRPr="00FC3B7A">
        <w:t xml:space="preserve"> Carta de Lisboa, art. 5.</w:t>
      </w:r>
    </w:p>
  </w:footnote>
  <w:footnote w:id="14">
    <w:p w:rsidR="000F5B2E" w:rsidRPr="00086E9D" w:rsidRDefault="000F5B2E" w:rsidP="002533F0">
      <w:pPr>
        <w:pStyle w:val="FootnoteText"/>
        <w:ind w:right="1134"/>
        <w:jc w:val="both"/>
        <w:rPr>
          <w:lang w:val="en-US"/>
        </w:rPr>
      </w:pPr>
      <w:r>
        <w:rPr>
          <w:rStyle w:val="FootnoteReference"/>
        </w:rPr>
        <w:footnoteRef/>
      </w:r>
      <w:r w:rsidRPr="00086E9D">
        <w:rPr>
          <w:lang w:val="en-US"/>
        </w:rPr>
        <w:t xml:space="preserve"> </w:t>
      </w:r>
      <w:proofErr w:type="gramStart"/>
      <w:r w:rsidRPr="00086E9D">
        <w:rPr>
          <w:lang w:val="en-US"/>
        </w:rPr>
        <w:t xml:space="preserve">Robert </w:t>
      </w:r>
      <w:proofErr w:type="spellStart"/>
      <w:r w:rsidRPr="00086E9D">
        <w:rPr>
          <w:lang w:val="en-US"/>
        </w:rPr>
        <w:t>Bos</w:t>
      </w:r>
      <w:proofErr w:type="spellEnd"/>
      <w:r w:rsidRPr="00086E9D">
        <w:rPr>
          <w:lang w:val="en-US"/>
        </w:rPr>
        <w:t xml:space="preserve"> and others, Manual of the Human Rights to Safe Drinking Water and Sanitation for Practitioners (London, International Water Association, 2016), p. 58.</w:t>
      </w:r>
      <w:proofErr w:type="gramEnd"/>
      <w:r w:rsidRPr="00086E9D">
        <w:rPr>
          <w:lang w:val="en-US"/>
        </w:rPr>
        <w:t xml:space="preserve"> </w:t>
      </w:r>
    </w:p>
  </w:footnote>
  <w:footnote w:id="15">
    <w:p w:rsidR="000F5B2E" w:rsidRPr="00086E9D" w:rsidRDefault="000F5B2E" w:rsidP="002533F0">
      <w:pPr>
        <w:pStyle w:val="FootnoteText"/>
        <w:ind w:right="1134"/>
        <w:jc w:val="both"/>
        <w:rPr>
          <w:lang w:val="en-US"/>
        </w:rPr>
      </w:pPr>
      <w:r>
        <w:rPr>
          <w:rStyle w:val="FootnoteReference"/>
        </w:rPr>
        <w:footnoteRef/>
      </w:r>
      <w:r w:rsidRPr="00086E9D">
        <w:rPr>
          <w:lang w:val="en-US"/>
        </w:rPr>
        <w:t xml:space="preserve"> N.T. </w:t>
      </w:r>
      <w:r w:rsidRPr="004658A8">
        <w:rPr>
          <w:i/>
          <w:lang w:val="en-US"/>
        </w:rPr>
        <w:t xml:space="preserve">Sunk </w:t>
      </w:r>
      <w:r>
        <w:rPr>
          <w:i/>
          <w:lang w:val="en-US"/>
        </w:rPr>
        <w:t>c</w:t>
      </w:r>
      <w:r w:rsidRPr="004658A8">
        <w:rPr>
          <w:i/>
          <w:lang w:val="en-US"/>
        </w:rPr>
        <w:t>ost</w:t>
      </w:r>
      <w:r w:rsidRPr="00086E9D">
        <w:rPr>
          <w:lang w:val="en-US"/>
        </w:rPr>
        <w:t>.</w:t>
      </w:r>
    </w:p>
  </w:footnote>
  <w:footnote w:id="16">
    <w:p w:rsidR="000F5B2E" w:rsidRPr="00841885" w:rsidRDefault="000F5B2E" w:rsidP="002533F0">
      <w:pPr>
        <w:pStyle w:val="FootnoteText"/>
        <w:ind w:right="1134"/>
        <w:jc w:val="both"/>
        <w:rPr>
          <w:lang w:val="en-US"/>
        </w:rPr>
      </w:pPr>
      <w:r>
        <w:rPr>
          <w:rStyle w:val="FootnoteReference"/>
        </w:rPr>
        <w:footnoteRef/>
      </w:r>
      <w:r w:rsidRPr="00086E9D">
        <w:rPr>
          <w:lang w:val="en-US"/>
        </w:rPr>
        <w:t xml:space="preserve"> </w:t>
      </w:r>
      <w:proofErr w:type="gramStart"/>
      <w:r w:rsidRPr="00086E9D">
        <w:rPr>
          <w:lang w:val="en-US"/>
        </w:rPr>
        <w:t xml:space="preserve">Richard </w:t>
      </w:r>
      <w:proofErr w:type="spellStart"/>
      <w:r w:rsidRPr="00086E9D">
        <w:rPr>
          <w:lang w:val="en-US"/>
        </w:rPr>
        <w:t>Franceys</w:t>
      </w:r>
      <w:proofErr w:type="spellEnd"/>
      <w:r w:rsidRPr="00086E9D">
        <w:rPr>
          <w:lang w:val="en-US"/>
        </w:rPr>
        <w:t xml:space="preserve"> and Esther </w:t>
      </w:r>
      <w:proofErr w:type="spellStart"/>
      <w:r w:rsidRPr="00086E9D">
        <w:rPr>
          <w:lang w:val="en-US"/>
        </w:rPr>
        <w:t>Gerlach</w:t>
      </w:r>
      <w:proofErr w:type="spellEnd"/>
      <w:r w:rsidRPr="00086E9D">
        <w:rPr>
          <w:lang w:val="en-US"/>
        </w:rPr>
        <w:t xml:space="preserve"> and others, </w:t>
      </w:r>
      <w:r w:rsidRPr="00086E9D">
        <w:rPr>
          <w:i/>
          <w:lang w:val="en-US"/>
        </w:rPr>
        <w:t>Regulating Public and Private Partnerships for the Poor</w:t>
      </w:r>
      <w:r w:rsidRPr="00086E9D">
        <w:rPr>
          <w:lang w:val="en-US"/>
        </w:rPr>
        <w:t xml:space="preserve"> (</w:t>
      </w:r>
      <w:proofErr w:type="spellStart"/>
      <w:r w:rsidRPr="00086E9D">
        <w:rPr>
          <w:lang w:val="en-US"/>
        </w:rPr>
        <w:t>Cranfield</w:t>
      </w:r>
      <w:proofErr w:type="spellEnd"/>
      <w:r w:rsidRPr="00086E9D">
        <w:rPr>
          <w:lang w:val="en-US"/>
        </w:rPr>
        <w:t xml:space="preserve"> University), chap. 3, p. </w:t>
      </w:r>
      <w:r w:rsidRPr="00FC3B7A">
        <w:rPr>
          <w:lang w:val="en-US"/>
        </w:rPr>
        <w:t>2.</w:t>
      </w:r>
      <w:proofErr w:type="gramEnd"/>
    </w:p>
  </w:footnote>
  <w:footnote w:id="17">
    <w:p w:rsidR="000F5B2E" w:rsidRPr="00FC3B7A" w:rsidRDefault="000F5B2E" w:rsidP="002533F0">
      <w:pPr>
        <w:pStyle w:val="FootnoteText"/>
        <w:ind w:right="1134"/>
        <w:jc w:val="both"/>
        <w:rPr>
          <w:lang w:val="es-ES_tradnl"/>
        </w:rPr>
      </w:pPr>
      <w:r>
        <w:rPr>
          <w:rStyle w:val="FootnoteReference"/>
        </w:rPr>
        <w:footnoteRef/>
      </w:r>
      <w:r w:rsidRPr="00FC3B7A">
        <w:rPr>
          <w:lang w:val="es-ES_tradnl"/>
        </w:rPr>
        <w:t xml:space="preserve">Emilio J. </w:t>
      </w:r>
      <w:proofErr w:type="spellStart"/>
      <w:r w:rsidRPr="00FC3B7A">
        <w:rPr>
          <w:lang w:val="es-ES_tradnl"/>
        </w:rPr>
        <w:t>Lentini</w:t>
      </w:r>
      <w:proofErr w:type="spellEnd"/>
      <w:r w:rsidRPr="00FC3B7A">
        <w:rPr>
          <w:lang w:val="es-ES_tradnl"/>
        </w:rPr>
        <w:t xml:space="preserve"> and Gustavo Ferro, “Políticas tarifarias y regulatorias en el marco de los Objetivos de Desarrollo del Milenio y el derecho humano al agua y al saneamiento”, </w:t>
      </w:r>
      <w:r w:rsidRPr="00FC3B7A">
        <w:rPr>
          <w:i/>
          <w:lang w:val="es-ES_tradnl"/>
        </w:rPr>
        <w:t>Recursos Naturales e infraestructura</w:t>
      </w:r>
      <w:r w:rsidRPr="00FC3B7A">
        <w:rPr>
          <w:lang w:val="es-ES_tradnl"/>
        </w:rPr>
        <w:t>, No. 164 (</w:t>
      </w:r>
      <w:proofErr w:type="spellStart"/>
      <w:r w:rsidRPr="00FC3B7A">
        <w:rPr>
          <w:lang w:val="es-ES_tradnl"/>
        </w:rPr>
        <w:t>Economic</w:t>
      </w:r>
      <w:proofErr w:type="spellEnd"/>
      <w:r w:rsidRPr="00FC3B7A">
        <w:rPr>
          <w:lang w:val="es-ES_tradnl"/>
        </w:rPr>
        <w:t xml:space="preserve"> </w:t>
      </w:r>
      <w:proofErr w:type="spellStart"/>
      <w:r w:rsidRPr="00FC3B7A">
        <w:rPr>
          <w:lang w:val="es-ES_tradnl"/>
        </w:rPr>
        <w:t>Commission</w:t>
      </w:r>
      <w:proofErr w:type="spellEnd"/>
      <w:r w:rsidRPr="00FC3B7A">
        <w:rPr>
          <w:lang w:val="es-ES_tradnl"/>
        </w:rPr>
        <w:t xml:space="preserve"> </w:t>
      </w:r>
      <w:proofErr w:type="spellStart"/>
      <w:r w:rsidRPr="00FC3B7A">
        <w:rPr>
          <w:lang w:val="es-ES_tradnl"/>
        </w:rPr>
        <w:t>for</w:t>
      </w:r>
      <w:proofErr w:type="spellEnd"/>
      <w:r w:rsidRPr="00FC3B7A">
        <w:rPr>
          <w:lang w:val="es-ES_tradnl"/>
        </w:rPr>
        <w:t xml:space="preserve"> </w:t>
      </w:r>
      <w:proofErr w:type="spellStart"/>
      <w:r w:rsidRPr="00FC3B7A">
        <w:rPr>
          <w:lang w:val="es-ES_tradnl"/>
        </w:rPr>
        <w:t>Latin</w:t>
      </w:r>
      <w:proofErr w:type="spellEnd"/>
      <w:r w:rsidRPr="00FC3B7A">
        <w:rPr>
          <w:lang w:val="es-ES_tradnl"/>
        </w:rPr>
        <w:t xml:space="preserve"> </w:t>
      </w:r>
      <w:proofErr w:type="spellStart"/>
      <w:r w:rsidRPr="00FC3B7A">
        <w:rPr>
          <w:lang w:val="es-ES_tradnl"/>
        </w:rPr>
        <w:t>America</w:t>
      </w:r>
      <w:proofErr w:type="spellEnd"/>
      <w:r w:rsidRPr="00FC3B7A">
        <w:rPr>
          <w:lang w:val="es-ES_tradnl"/>
        </w:rPr>
        <w:t xml:space="preserve"> and </w:t>
      </w:r>
      <w:proofErr w:type="spellStart"/>
      <w:r w:rsidRPr="00FC3B7A">
        <w:rPr>
          <w:lang w:val="es-ES_tradnl"/>
        </w:rPr>
        <w:t>the</w:t>
      </w:r>
      <w:proofErr w:type="spellEnd"/>
      <w:r w:rsidRPr="00FC3B7A">
        <w:rPr>
          <w:lang w:val="es-ES_tradnl"/>
        </w:rPr>
        <w:t xml:space="preserve"> </w:t>
      </w:r>
      <w:proofErr w:type="spellStart"/>
      <w:r w:rsidRPr="00FC3B7A">
        <w:rPr>
          <w:lang w:val="es-ES_tradnl"/>
        </w:rPr>
        <w:t>Caribbean</w:t>
      </w:r>
      <w:proofErr w:type="spellEnd"/>
      <w:r w:rsidRPr="00FC3B7A">
        <w:rPr>
          <w:lang w:val="es-ES_tradnl"/>
        </w:rPr>
        <w:t>, 2014).</w:t>
      </w:r>
    </w:p>
  </w:footnote>
  <w:footnote w:id="18">
    <w:p w:rsidR="000F5B2E" w:rsidRPr="00086E9D" w:rsidRDefault="000F5B2E" w:rsidP="002533F0">
      <w:pPr>
        <w:pStyle w:val="FootnoteText"/>
        <w:ind w:right="1134"/>
        <w:jc w:val="both"/>
        <w:rPr>
          <w:lang w:val="en-US"/>
        </w:rPr>
      </w:pPr>
      <w:r>
        <w:rPr>
          <w:rStyle w:val="FootnoteReference"/>
        </w:rPr>
        <w:footnoteRef/>
      </w:r>
      <w:r w:rsidRPr="00086E9D">
        <w:rPr>
          <w:lang w:val="en-US"/>
        </w:rPr>
        <w:t xml:space="preserve"> Jaime </w:t>
      </w:r>
      <w:proofErr w:type="spellStart"/>
      <w:r w:rsidRPr="00086E9D">
        <w:rPr>
          <w:lang w:val="en-US"/>
        </w:rPr>
        <w:t>Melo</w:t>
      </w:r>
      <w:proofErr w:type="spellEnd"/>
      <w:r w:rsidRPr="00086E9D">
        <w:rPr>
          <w:lang w:val="en-US"/>
        </w:rPr>
        <w:t xml:space="preserve"> </w:t>
      </w:r>
      <w:proofErr w:type="spellStart"/>
      <w:r w:rsidRPr="00086E9D">
        <w:rPr>
          <w:lang w:val="en-US"/>
        </w:rPr>
        <w:t>Baptista</w:t>
      </w:r>
      <w:proofErr w:type="spellEnd"/>
      <w:r w:rsidRPr="00086E9D">
        <w:rPr>
          <w:lang w:val="en-US"/>
        </w:rPr>
        <w:t xml:space="preserve">, </w:t>
      </w:r>
      <w:r w:rsidRPr="00086E9D">
        <w:rPr>
          <w:i/>
          <w:lang w:val="en-US"/>
        </w:rPr>
        <w:t>The Regulation of Water and Waste Services: An Integrated Approach (RITA-ERSAR)</w:t>
      </w:r>
      <w:r w:rsidRPr="00086E9D">
        <w:rPr>
          <w:lang w:val="en-US"/>
        </w:rPr>
        <w:t xml:space="preserve"> (International Water Association Publishing, 2014), p. 43.</w:t>
      </w:r>
    </w:p>
  </w:footnote>
  <w:footnote w:id="19">
    <w:p w:rsidR="000F5B2E" w:rsidRPr="00086E9D" w:rsidRDefault="000F5B2E" w:rsidP="002533F0">
      <w:pPr>
        <w:pStyle w:val="FootnoteText"/>
        <w:ind w:right="1134"/>
        <w:jc w:val="both"/>
        <w:rPr>
          <w:lang w:val="en-US"/>
        </w:rPr>
      </w:pPr>
      <w:r>
        <w:rPr>
          <w:rStyle w:val="FootnoteReference"/>
        </w:rPr>
        <w:footnoteRef/>
      </w:r>
      <w:r w:rsidRPr="00086E9D">
        <w:rPr>
          <w:lang w:val="en-US"/>
        </w:rPr>
        <w:t xml:space="preserve"> Julián Daniel </w:t>
      </w:r>
      <w:proofErr w:type="spellStart"/>
      <w:r w:rsidRPr="00086E9D">
        <w:rPr>
          <w:lang w:val="en-US"/>
        </w:rPr>
        <w:t>López</w:t>
      </w:r>
      <w:proofErr w:type="spellEnd"/>
      <w:r w:rsidRPr="00086E9D">
        <w:rPr>
          <w:lang w:val="en-US"/>
        </w:rPr>
        <w:t xml:space="preserve"> Murcia, “Regulatory agencies and courts in the South: the overlaps in Colombian water regulation”, </w:t>
      </w:r>
      <w:r w:rsidRPr="00086E9D">
        <w:rPr>
          <w:i/>
          <w:lang w:val="en-US"/>
        </w:rPr>
        <w:t>Journal of Politics in Latin America</w:t>
      </w:r>
      <w:r w:rsidRPr="00086E9D">
        <w:rPr>
          <w:lang w:val="en-US"/>
        </w:rPr>
        <w:t xml:space="preserve">, 5, 2 (2013), pp. 105-132. A </w:t>
      </w:r>
      <w:proofErr w:type="spellStart"/>
      <w:r w:rsidRPr="00086E9D">
        <w:rPr>
          <w:lang w:val="en-US"/>
        </w:rPr>
        <w:t>tradução</w:t>
      </w:r>
      <w:proofErr w:type="spellEnd"/>
      <w:r w:rsidRPr="00086E9D">
        <w:rPr>
          <w:lang w:val="en-US"/>
        </w:rPr>
        <w:t xml:space="preserve"> </w:t>
      </w:r>
      <w:proofErr w:type="spellStart"/>
      <w:r w:rsidRPr="00086E9D">
        <w:rPr>
          <w:lang w:val="en-US"/>
        </w:rPr>
        <w:t>foi</w:t>
      </w:r>
      <w:proofErr w:type="spellEnd"/>
      <w:r w:rsidRPr="00086E9D">
        <w:rPr>
          <w:lang w:val="en-US"/>
        </w:rPr>
        <w:t xml:space="preserve"> </w:t>
      </w:r>
      <w:proofErr w:type="spellStart"/>
      <w:r w:rsidRPr="00086E9D">
        <w:rPr>
          <w:lang w:val="en-US"/>
        </w:rPr>
        <w:t>realizada</w:t>
      </w:r>
      <w:proofErr w:type="spellEnd"/>
      <w:r w:rsidRPr="00086E9D">
        <w:rPr>
          <w:lang w:val="en-US"/>
        </w:rPr>
        <w:t xml:space="preserve"> do </w:t>
      </w:r>
      <w:proofErr w:type="spellStart"/>
      <w:r w:rsidRPr="00086E9D">
        <w:rPr>
          <w:lang w:val="en-US"/>
        </w:rPr>
        <w:t>texto</w:t>
      </w:r>
      <w:proofErr w:type="spellEnd"/>
      <w:r w:rsidRPr="00086E9D">
        <w:rPr>
          <w:lang w:val="en-US"/>
        </w:rPr>
        <w:t xml:space="preserve"> original: “(…) </w:t>
      </w:r>
      <w:r w:rsidRPr="00D522BE">
        <w:rPr>
          <w:lang w:val="en-US"/>
        </w:rPr>
        <w:t>through developing standards reflecting these rights and monitoring their application through inspection</w:t>
      </w:r>
      <w:r w:rsidRPr="00086E9D">
        <w:rPr>
          <w:lang w:val="en-US"/>
        </w:rPr>
        <w:t>”.</w:t>
      </w:r>
    </w:p>
    <w:p w:rsidR="000F5B2E" w:rsidRPr="00086E9D" w:rsidRDefault="000F5B2E" w:rsidP="002533F0">
      <w:pPr>
        <w:pStyle w:val="FootnoteText"/>
        <w:ind w:right="1134"/>
        <w:jc w:val="both"/>
        <w:rPr>
          <w:lang w:val="en-US"/>
        </w:rPr>
      </w:pPr>
    </w:p>
  </w:footnote>
  <w:footnote w:id="20">
    <w:p w:rsidR="000F5B2E" w:rsidRPr="00E1350E" w:rsidRDefault="000F5B2E" w:rsidP="002533F0">
      <w:pPr>
        <w:pStyle w:val="FootnoteText"/>
        <w:ind w:right="1134"/>
        <w:jc w:val="both"/>
        <w:rPr>
          <w:lang w:val="en-US"/>
        </w:rPr>
      </w:pPr>
      <w:r w:rsidRPr="00DB7AED">
        <w:rPr>
          <w:rStyle w:val="FootnoteReference"/>
        </w:rPr>
        <w:footnoteRef/>
      </w:r>
      <w:r w:rsidRPr="00086E9D">
        <w:rPr>
          <w:lang w:val="en-US"/>
        </w:rPr>
        <w:t xml:space="preserve"> The Regulation of Water and Waste Services: An Integrated Approach (RITA-ERSAR),</w:t>
      </w:r>
      <w:r w:rsidRPr="00DB7AED">
        <w:rPr>
          <w:lang w:val="en-US"/>
        </w:rPr>
        <w:t xml:space="preserve"> p. 42.</w:t>
      </w:r>
    </w:p>
  </w:footnote>
  <w:footnote w:id="21">
    <w:p w:rsidR="000F5B2E" w:rsidRPr="008F1168" w:rsidRDefault="000F5B2E" w:rsidP="002533F0">
      <w:pPr>
        <w:pStyle w:val="FootnoteText"/>
        <w:ind w:right="1134"/>
        <w:jc w:val="both"/>
        <w:rPr>
          <w:lang w:val="en-US"/>
        </w:rPr>
      </w:pPr>
      <w:r>
        <w:rPr>
          <w:rStyle w:val="FootnoteReference"/>
        </w:rPr>
        <w:footnoteRef/>
      </w:r>
      <w:r w:rsidRPr="00086E9D">
        <w:rPr>
          <w:lang w:val="en-US"/>
        </w:rPr>
        <w:t xml:space="preserve"> Carta de </w:t>
      </w:r>
      <w:proofErr w:type="spellStart"/>
      <w:r w:rsidRPr="00086E9D">
        <w:rPr>
          <w:lang w:val="en-US"/>
        </w:rPr>
        <w:t>Lisboa</w:t>
      </w:r>
      <w:proofErr w:type="spellEnd"/>
      <w:r w:rsidRPr="00086E9D">
        <w:rPr>
          <w:lang w:val="en-US"/>
        </w:rPr>
        <w:t>, a</w:t>
      </w:r>
      <w:r>
        <w:rPr>
          <w:lang w:val="en-US"/>
        </w:rPr>
        <w:t>rt.</w:t>
      </w:r>
      <w:r w:rsidRPr="00086E9D">
        <w:rPr>
          <w:lang w:val="en-US"/>
        </w:rPr>
        <w:t xml:space="preserve"> 7.4.</w:t>
      </w:r>
    </w:p>
  </w:footnote>
  <w:footnote w:id="22">
    <w:p w:rsidR="000F5B2E" w:rsidRPr="009F59A1" w:rsidRDefault="000F5B2E" w:rsidP="002533F0">
      <w:pPr>
        <w:pStyle w:val="FootnoteText"/>
        <w:ind w:right="1134"/>
        <w:jc w:val="both"/>
        <w:rPr>
          <w:lang w:val="en-US"/>
        </w:rPr>
      </w:pPr>
      <w:r>
        <w:rPr>
          <w:rStyle w:val="FootnoteReference"/>
        </w:rPr>
        <w:footnoteRef/>
      </w:r>
      <w:r w:rsidRPr="00086E9D">
        <w:rPr>
          <w:lang w:val="en-US"/>
        </w:rPr>
        <w:t xml:space="preserve"> The Regulation of Water and Waste Services: An Integrated Approach (RITA-ERSAR), p.</w:t>
      </w:r>
      <w:r w:rsidRPr="00F917CD">
        <w:rPr>
          <w:lang w:val="en-US"/>
        </w:rPr>
        <w:t xml:space="preserve"> 2. </w:t>
      </w:r>
    </w:p>
  </w:footnote>
  <w:footnote w:id="23">
    <w:p w:rsidR="000F5B2E" w:rsidRPr="00086E9D" w:rsidRDefault="000F5B2E" w:rsidP="002533F0">
      <w:pPr>
        <w:pStyle w:val="FootnoteText"/>
        <w:ind w:right="1134"/>
        <w:jc w:val="both"/>
        <w:rPr>
          <w:lang w:val="en-US"/>
        </w:rPr>
      </w:pPr>
      <w:r>
        <w:rPr>
          <w:rStyle w:val="FootnoteReference"/>
        </w:rPr>
        <w:footnoteRef/>
      </w:r>
      <w:r w:rsidRPr="00086E9D">
        <w:rPr>
          <w:lang w:val="en-US"/>
        </w:rPr>
        <w:t xml:space="preserve"> Tony Prosser, “Regulation and social solidarity”, Journal of Law and Society, vol. 33, No. 3 (2006), pp. 364-387.</w:t>
      </w:r>
    </w:p>
  </w:footnote>
  <w:footnote w:id="24">
    <w:p w:rsidR="000F5B2E" w:rsidRPr="00086E9D" w:rsidRDefault="000F5B2E" w:rsidP="002533F0">
      <w:pPr>
        <w:pStyle w:val="FootnoteText"/>
        <w:ind w:right="1134"/>
        <w:jc w:val="both"/>
        <w:rPr>
          <w:lang w:val="en-US"/>
        </w:rPr>
      </w:pPr>
      <w:r w:rsidRPr="00086E9D">
        <w:rPr>
          <w:lang w:val="en-US"/>
        </w:rPr>
        <w:tab/>
      </w:r>
      <w:r>
        <w:rPr>
          <w:rStyle w:val="FootnoteReference"/>
        </w:rPr>
        <w:footnoteRef/>
      </w:r>
      <w:r w:rsidRPr="00086E9D">
        <w:rPr>
          <w:lang w:val="en-US"/>
        </w:rPr>
        <w:t xml:space="preserve"> Palestinian Water Sector Regulatory Council.</w:t>
      </w:r>
    </w:p>
  </w:footnote>
  <w:footnote w:id="25">
    <w:p w:rsidR="000F5B2E" w:rsidRPr="003D22E2" w:rsidRDefault="000F5B2E" w:rsidP="002533F0">
      <w:pPr>
        <w:pStyle w:val="FootnoteText"/>
        <w:ind w:right="1134"/>
        <w:jc w:val="both"/>
      </w:pPr>
      <w:r>
        <w:rPr>
          <w:rStyle w:val="FootnoteReference"/>
        </w:rPr>
        <w:footnoteRef/>
      </w:r>
      <w:r w:rsidRPr="003D22E2">
        <w:t xml:space="preserve"> </w:t>
      </w:r>
      <w:r>
        <w:t xml:space="preserve">Ver o </w:t>
      </w:r>
      <w:r w:rsidRPr="003D22E2">
        <w:rPr>
          <w:szCs w:val="18"/>
        </w:rPr>
        <w:t>Comentário geral nº 15, parágrafo 51</w:t>
      </w:r>
      <w:r>
        <w:rPr>
          <w:szCs w:val="18"/>
        </w:rPr>
        <w:t xml:space="preserve">, do </w:t>
      </w:r>
      <w:r w:rsidRPr="003D22E2">
        <w:t>Comitê de Direitos Econ</w:t>
      </w:r>
      <w:r>
        <w:t>ômicos, Sociais e Culturais</w:t>
      </w:r>
      <w:r w:rsidRPr="003D22E2">
        <w:rPr>
          <w:szCs w:val="18"/>
        </w:rPr>
        <w:t>.</w:t>
      </w:r>
    </w:p>
  </w:footnote>
  <w:footnote w:id="26">
    <w:p w:rsidR="000F5B2E" w:rsidRPr="003B7BB2" w:rsidRDefault="000F5B2E" w:rsidP="002533F0">
      <w:pPr>
        <w:pStyle w:val="FootnoteText"/>
        <w:ind w:right="1134"/>
        <w:jc w:val="both"/>
        <w:rPr>
          <w:lang w:val="en-US"/>
        </w:rPr>
      </w:pPr>
      <w:r>
        <w:rPr>
          <w:rStyle w:val="FootnoteReference"/>
        </w:rPr>
        <w:footnoteRef/>
      </w:r>
      <w:r>
        <w:rPr>
          <w:lang w:val="en-US"/>
        </w:rPr>
        <w:t xml:space="preserve"> </w:t>
      </w:r>
      <w:proofErr w:type="gramStart"/>
      <w:r w:rsidRPr="003B7BB2">
        <w:rPr>
          <w:lang w:val="en-US"/>
        </w:rPr>
        <w:t xml:space="preserve">World Health Organization (WHO), “Domestic water </w:t>
      </w:r>
      <w:r>
        <w:rPr>
          <w:lang w:val="en-US"/>
        </w:rPr>
        <w:t>q</w:t>
      </w:r>
      <w:r w:rsidRPr="003B7BB2">
        <w:rPr>
          <w:lang w:val="en-US"/>
        </w:rPr>
        <w:t xml:space="preserve">uantity, </w:t>
      </w:r>
      <w:r>
        <w:rPr>
          <w:lang w:val="en-US"/>
        </w:rPr>
        <w:t>servic</w:t>
      </w:r>
      <w:r w:rsidRPr="003B7BB2">
        <w:rPr>
          <w:lang w:val="en-US"/>
        </w:rPr>
        <w:t xml:space="preserve">e level and health”, </w:t>
      </w:r>
      <w:proofErr w:type="spellStart"/>
      <w:r w:rsidRPr="003B7BB2">
        <w:rPr>
          <w:lang w:val="en-US"/>
        </w:rPr>
        <w:t>dispon</w:t>
      </w:r>
      <w:r>
        <w:rPr>
          <w:lang w:val="en-US"/>
        </w:rPr>
        <w:t>ível</w:t>
      </w:r>
      <w:proofErr w:type="spellEnd"/>
      <w:r>
        <w:rPr>
          <w:lang w:val="en-US"/>
        </w:rPr>
        <w:t xml:space="preserve"> </w:t>
      </w:r>
      <w:proofErr w:type="spellStart"/>
      <w:r>
        <w:rPr>
          <w:lang w:val="en-US"/>
        </w:rPr>
        <w:t>em</w:t>
      </w:r>
      <w:proofErr w:type="spellEnd"/>
      <w:r>
        <w:rPr>
          <w:lang w:val="en-US"/>
        </w:rPr>
        <w:t xml:space="preserve"> w</w:t>
      </w:r>
      <w:r w:rsidRPr="003B7BB2">
        <w:rPr>
          <w:lang w:val="en-US"/>
        </w:rPr>
        <w:t>ww.who.int/water_sanitation_health/publications/whs0302/en/.</w:t>
      </w:r>
      <w:proofErr w:type="gramEnd"/>
    </w:p>
  </w:footnote>
  <w:footnote w:id="27">
    <w:p w:rsidR="000F5B2E" w:rsidRPr="00A06C12" w:rsidRDefault="000F5B2E" w:rsidP="002533F0">
      <w:pPr>
        <w:pStyle w:val="FootnoteText"/>
        <w:ind w:right="1134"/>
        <w:jc w:val="both"/>
      </w:pPr>
      <w:r>
        <w:rPr>
          <w:rStyle w:val="FootnoteReference"/>
        </w:rPr>
        <w:footnoteRef/>
      </w:r>
      <w:r>
        <w:rPr>
          <w:lang w:val="en-US"/>
        </w:rPr>
        <w:t xml:space="preserve"> WHO</w:t>
      </w:r>
      <w:r w:rsidRPr="00F40306">
        <w:rPr>
          <w:lang w:val="en-US"/>
        </w:rPr>
        <w:t xml:space="preserve">, </w:t>
      </w:r>
      <w:r>
        <w:rPr>
          <w:lang w:val="en-US"/>
        </w:rPr>
        <w:t>“</w:t>
      </w:r>
      <w:r w:rsidRPr="00F40306">
        <w:rPr>
          <w:lang w:val="en-US"/>
        </w:rPr>
        <w:t>How much water is needed in emergencies”</w:t>
      </w:r>
      <w:r>
        <w:rPr>
          <w:lang w:val="en-US"/>
        </w:rPr>
        <w:t xml:space="preserve">. </w:t>
      </w:r>
      <w:r w:rsidRPr="00A06C12">
        <w:t xml:space="preserve">July 2013. </w:t>
      </w:r>
    </w:p>
  </w:footnote>
  <w:footnote w:id="28">
    <w:p w:rsidR="000F5B2E" w:rsidRPr="00AC370D" w:rsidRDefault="000F5B2E" w:rsidP="002533F0">
      <w:pPr>
        <w:pStyle w:val="FootnoteText"/>
        <w:spacing w:line="240" w:lineRule="auto"/>
        <w:ind w:right="1134"/>
        <w:jc w:val="both"/>
        <w:rPr>
          <w:szCs w:val="20"/>
        </w:rPr>
      </w:pPr>
      <w:r w:rsidRPr="00723ECA">
        <w:rPr>
          <w:rStyle w:val="FootnoteReference"/>
        </w:rPr>
        <w:footnoteRef/>
      </w:r>
      <w:r>
        <w:rPr>
          <w:szCs w:val="20"/>
        </w:rPr>
        <w:t xml:space="preserve"> </w:t>
      </w:r>
      <w:r w:rsidRPr="00AC370D">
        <w:rPr>
          <w:szCs w:val="20"/>
        </w:rPr>
        <w:t xml:space="preserve">Ver Comentário geral nº 15, parágrafos 12 (c) (i) e 37 (c), do </w:t>
      </w:r>
      <w:r w:rsidRPr="003D22E2">
        <w:t>Comitê de Direitos Econ</w:t>
      </w:r>
      <w:r>
        <w:t>ômicos, Sociais e Culturais</w:t>
      </w:r>
      <w:r w:rsidRPr="00AC370D">
        <w:rPr>
          <w:szCs w:val="20"/>
        </w:rPr>
        <w:t>.</w:t>
      </w:r>
    </w:p>
  </w:footnote>
  <w:footnote w:id="29">
    <w:p w:rsidR="000F5B2E" w:rsidRPr="00A06C12" w:rsidRDefault="000F5B2E" w:rsidP="002533F0">
      <w:pPr>
        <w:pStyle w:val="FootnoteText"/>
        <w:spacing w:line="240" w:lineRule="auto"/>
        <w:ind w:right="1134"/>
        <w:jc w:val="both"/>
        <w:rPr>
          <w:szCs w:val="20"/>
        </w:rPr>
      </w:pPr>
      <w:r w:rsidRPr="00086E9D">
        <w:rPr>
          <w:rStyle w:val="FootnoteReference"/>
          <w:sz w:val="20"/>
          <w:szCs w:val="20"/>
        </w:rPr>
        <w:footnoteRef/>
      </w:r>
      <w:r w:rsidRPr="00A06C12">
        <w:rPr>
          <w:szCs w:val="20"/>
        </w:rPr>
        <w:t xml:space="preserve"> Ibid., parágrafo 12 (b)</w:t>
      </w:r>
    </w:p>
  </w:footnote>
  <w:footnote w:id="30">
    <w:p w:rsidR="000F5B2E" w:rsidRDefault="000F5B2E" w:rsidP="002533F0">
      <w:pPr>
        <w:pStyle w:val="FootnoteText"/>
        <w:spacing w:line="240" w:lineRule="auto"/>
        <w:ind w:right="1134"/>
        <w:jc w:val="both"/>
      </w:pPr>
      <w:r w:rsidRPr="00086E9D">
        <w:rPr>
          <w:rStyle w:val="FootnoteReference"/>
          <w:sz w:val="20"/>
          <w:szCs w:val="20"/>
        </w:rPr>
        <w:footnoteRef/>
      </w:r>
      <w:r w:rsidRPr="00D375C4">
        <w:rPr>
          <w:szCs w:val="20"/>
        </w:rPr>
        <w:t xml:space="preserve"> Ver </w:t>
      </w:r>
      <w:proofErr w:type="spellStart"/>
      <w:r w:rsidRPr="00D375C4">
        <w:rPr>
          <w:i/>
          <w:szCs w:val="20"/>
        </w:rPr>
        <w:t>Guidelines</w:t>
      </w:r>
      <w:proofErr w:type="spellEnd"/>
      <w:r w:rsidRPr="00D375C4">
        <w:rPr>
          <w:i/>
          <w:szCs w:val="20"/>
        </w:rPr>
        <w:t xml:space="preserve"> for </w:t>
      </w:r>
      <w:proofErr w:type="spellStart"/>
      <w:r w:rsidRPr="00D375C4">
        <w:rPr>
          <w:i/>
          <w:szCs w:val="20"/>
        </w:rPr>
        <w:t>Drinking</w:t>
      </w:r>
      <w:proofErr w:type="spellEnd"/>
      <w:r w:rsidRPr="00D375C4">
        <w:rPr>
          <w:i/>
          <w:szCs w:val="20"/>
        </w:rPr>
        <w:t xml:space="preserve"> </w:t>
      </w:r>
      <w:proofErr w:type="spellStart"/>
      <w:r w:rsidRPr="00D375C4">
        <w:rPr>
          <w:i/>
          <w:szCs w:val="20"/>
        </w:rPr>
        <w:t>Water</w:t>
      </w:r>
      <w:proofErr w:type="spellEnd"/>
      <w:r w:rsidRPr="00D375C4">
        <w:rPr>
          <w:i/>
          <w:szCs w:val="20"/>
        </w:rPr>
        <w:t xml:space="preserve"> </w:t>
      </w:r>
      <w:proofErr w:type="spellStart"/>
      <w:r w:rsidRPr="00D375C4">
        <w:rPr>
          <w:i/>
          <w:szCs w:val="20"/>
        </w:rPr>
        <w:t>Quality</w:t>
      </w:r>
      <w:proofErr w:type="spellEnd"/>
      <w:r w:rsidRPr="00D375C4">
        <w:rPr>
          <w:i/>
          <w:szCs w:val="20"/>
        </w:rPr>
        <w:t xml:space="preserve"> </w:t>
      </w:r>
      <w:r w:rsidRPr="00D375C4">
        <w:rPr>
          <w:szCs w:val="20"/>
        </w:rPr>
        <w:t>da Organização Mundial da Sa</w:t>
      </w:r>
      <w:r>
        <w:rPr>
          <w:szCs w:val="20"/>
        </w:rPr>
        <w:t xml:space="preserve">úde (OMS) </w:t>
      </w:r>
      <w:r w:rsidRPr="00D375C4">
        <w:rPr>
          <w:szCs w:val="20"/>
        </w:rPr>
        <w:t>no sítio</w:t>
      </w:r>
      <w:r w:rsidRPr="00D375C4">
        <w:rPr>
          <w:i/>
          <w:szCs w:val="20"/>
        </w:rPr>
        <w:t xml:space="preserve">  </w:t>
      </w:r>
      <w:hyperlink r:id="rId1" w:history="1">
        <w:r w:rsidRPr="00503C14">
          <w:rPr>
            <w:rStyle w:val="Hyperlink"/>
            <w:szCs w:val="20"/>
          </w:rPr>
          <w:t xml:space="preserve">http://apps.who.int/iris/bitstream/10665/44584/1/9789241548151_eng.pdf. </w:t>
        </w:r>
      </w:hyperlink>
    </w:p>
  </w:footnote>
  <w:footnote w:id="31">
    <w:p w:rsidR="000F5B2E" w:rsidRPr="0003502E" w:rsidRDefault="000F5B2E" w:rsidP="002533F0">
      <w:pPr>
        <w:pStyle w:val="FootnoteText"/>
        <w:ind w:right="1134"/>
        <w:jc w:val="both"/>
        <w:rPr>
          <w:lang w:val="en-US"/>
        </w:rPr>
      </w:pPr>
      <w:r>
        <w:rPr>
          <w:rStyle w:val="FootnoteReference"/>
        </w:rPr>
        <w:footnoteRef/>
      </w:r>
      <w:proofErr w:type="gramStart"/>
      <w:r>
        <w:rPr>
          <w:lang w:val="en-US"/>
        </w:rPr>
        <w:t>Inga Winkler, “</w:t>
      </w:r>
      <w:r w:rsidRPr="0003502E">
        <w:rPr>
          <w:i/>
          <w:lang w:val="en-US"/>
        </w:rPr>
        <w:t>The human right to sanitation</w:t>
      </w:r>
      <w:r>
        <w:rPr>
          <w:lang w:val="en-US"/>
        </w:rPr>
        <w:t xml:space="preserve">”, </w:t>
      </w:r>
      <w:r w:rsidRPr="0003502E">
        <w:rPr>
          <w:i/>
          <w:lang w:val="en-US"/>
        </w:rPr>
        <w:t>University of Pennsylvania Journal of International Law</w:t>
      </w:r>
      <w:r>
        <w:rPr>
          <w:lang w:val="en-US"/>
        </w:rPr>
        <w:t>, vol. 37, nº4(2016), p. 1383.</w:t>
      </w:r>
      <w:proofErr w:type="gramEnd"/>
      <w:r>
        <w:rPr>
          <w:lang w:val="en-US"/>
        </w:rPr>
        <w:t xml:space="preserve"> </w:t>
      </w:r>
    </w:p>
  </w:footnote>
  <w:footnote w:id="32">
    <w:p w:rsidR="000F5B2E" w:rsidRPr="008254D7" w:rsidRDefault="000F5B2E" w:rsidP="002533F0">
      <w:pPr>
        <w:pStyle w:val="FootnoteText"/>
        <w:ind w:right="1134"/>
        <w:jc w:val="both"/>
        <w:rPr>
          <w:lang w:val="en-US"/>
        </w:rPr>
      </w:pPr>
      <w:r>
        <w:rPr>
          <w:rStyle w:val="FootnoteReference"/>
        </w:rPr>
        <w:footnoteRef/>
      </w:r>
      <w:r w:rsidRPr="008254D7">
        <w:rPr>
          <w:lang w:val="en-US"/>
        </w:rPr>
        <w:t xml:space="preserve"> </w:t>
      </w:r>
      <w:proofErr w:type="gramStart"/>
      <w:r>
        <w:rPr>
          <w:lang w:val="en-US"/>
        </w:rPr>
        <w:t xml:space="preserve">N.T. </w:t>
      </w:r>
      <w:r>
        <w:rPr>
          <w:i/>
          <w:lang w:val="en-US"/>
        </w:rPr>
        <w:t>Affordability</w:t>
      </w:r>
      <w:r>
        <w:rPr>
          <w:lang w:val="en-US"/>
        </w:rPr>
        <w:t>.</w:t>
      </w:r>
      <w:proofErr w:type="gramEnd"/>
      <w:r>
        <w:rPr>
          <w:lang w:val="en-US"/>
        </w:rPr>
        <w:t xml:space="preserve">  </w:t>
      </w:r>
    </w:p>
  </w:footnote>
  <w:footnote w:id="33">
    <w:p w:rsidR="000F5B2E" w:rsidRPr="00F40306" w:rsidRDefault="000F5B2E" w:rsidP="002533F0">
      <w:pPr>
        <w:pStyle w:val="FootnoteText"/>
        <w:ind w:right="1134"/>
        <w:jc w:val="both"/>
        <w:rPr>
          <w:lang w:val="en-US"/>
        </w:rPr>
      </w:pPr>
      <w:r>
        <w:rPr>
          <w:rStyle w:val="FootnoteReference"/>
        </w:rPr>
        <w:footnoteRef/>
      </w:r>
      <w:r w:rsidRPr="00F40306">
        <w:rPr>
          <w:lang w:val="en-US"/>
        </w:rPr>
        <w:t xml:space="preserve"> </w:t>
      </w:r>
      <w:proofErr w:type="gramStart"/>
      <w:r>
        <w:rPr>
          <w:lang w:val="en-US"/>
        </w:rPr>
        <w:t xml:space="preserve">N.T. </w:t>
      </w:r>
      <w:r w:rsidRPr="008254D7">
        <w:rPr>
          <w:i/>
          <w:lang w:val="en-US"/>
        </w:rPr>
        <w:t>Global Analysis and Assessment of Sanitation and Drinking Water 2016-2017</w:t>
      </w:r>
      <w:r w:rsidRPr="00F40306">
        <w:rPr>
          <w:lang w:val="en-US"/>
        </w:rPr>
        <w:t>.</w:t>
      </w:r>
      <w:proofErr w:type="gramEnd"/>
    </w:p>
  </w:footnote>
  <w:footnote w:id="34">
    <w:p w:rsidR="000F5B2E" w:rsidRPr="00086E9D" w:rsidRDefault="000F5B2E" w:rsidP="002533F0">
      <w:pPr>
        <w:pStyle w:val="FootnoteText"/>
        <w:ind w:right="1134"/>
        <w:jc w:val="both"/>
        <w:rPr>
          <w:szCs w:val="18"/>
          <w:lang w:val="en-US"/>
        </w:rPr>
      </w:pPr>
      <w:r w:rsidRPr="00B41AB8">
        <w:rPr>
          <w:rStyle w:val="FootnoteReference"/>
        </w:rPr>
        <w:footnoteRef/>
      </w:r>
      <w:proofErr w:type="spellStart"/>
      <w:proofErr w:type="gramStart"/>
      <w:r w:rsidRPr="00086E9D">
        <w:rPr>
          <w:szCs w:val="18"/>
          <w:lang w:val="en-US"/>
        </w:rPr>
        <w:t>Ver</w:t>
      </w:r>
      <w:proofErr w:type="spellEnd"/>
      <w:r w:rsidRPr="00086E9D">
        <w:rPr>
          <w:szCs w:val="18"/>
          <w:lang w:val="en-US"/>
        </w:rPr>
        <w:t xml:space="preserve"> </w:t>
      </w:r>
      <w:r w:rsidRPr="00FC3B7A">
        <w:rPr>
          <w:i/>
          <w:lang w:val="en-US"/>
        </w:rPr>
        <w:t>Committee on Economic, Social and Cultural Rights</w:t>
      </w:r>
      <w:r>
        <w:rPr>
          <w:szCs w:val="18"/>
          <w:lang w:val="en-US"/>
        </w:rPr>
        <w:t xml:space="preserve"> </w:t>
      </w:r>
      <w:proofErr w:type="spellStart"/>
      <w:r>
        <w:rPr>
          <w:szCs w:val="18"/>
          <w:lang w:val="en-US"/>
        </w:rPr>
        <w:t>C</w:t>
      </w:r>
      <w:r w:rsidRPr="00086E9D">
        <w:rPr>
          <w:szCs w:val="18"/>
          <w:lang w:val="en-US"/>
        </w:rPr>
        <w:t>omentário</w:t>
      </w:r>
      <w:proofErr w:type="spellEnd"/>
      <w:r w:rsidRPr="00086E9D">
        <w:rPr>
          <w:szCs w:val="18"/>
          <w:lang w:val="en-US"/>
        </w:rPr>
        <w:t xml:space="preserve"> </w:t>
      </w:r>
      <w:proofErr w:type="spellStart"/>
      <w:r w:rsidRPr="00086E9D">
        <w:rPr>
          <w:szCs w:val="18"/>
          <w:lang w:val="en-US"/>
        </w:rPr>
        <w:t>geral</w:t>
      </w:r>
      <w:proofErr w:type="spellEnd"/>
      <w:r w:rsidRPr="00086E9D">
        <w:rPr>
          <w:szCs w:val="18"/>
          <w:lang w:val="en-US"/>
        </w:rPr>
        <w:t xml:space="preserve"> nº 15, </w:t>
      </w:r>
      <w:proofErr w:type="spellStart"/>
      <w:r w:rsidRPr="00086E9D">
        <w:rPr>
          <w:szCs w:val="18"/>
          <w:lang w:val="en-US"/>
        </w:rPr>
        <w:t>parágrafo</w:t>
      </w:r>
      <w:proofErr w:type="spellEnd"/>
      <w:r w:rsidRPr="00086E9D">
        <w:rPr>
          <w:szCs w:val="18"/>
          <w:lang w:val="en-US"/>
        </w:rPr>
        <w:t xml:space="preserve"> 12.</w:t>
      </w:r>
      <w:proofErr w:type="gramEnd"/>
    </w:p>
  </w:footnote>
  <w:footnote w:id="35">
    <w:p w:rsidR="000F5B2E" w:rsidRPr="00B41AB8" w:rsidRDefault="000F5B2E" w:rsidP="002533F0">
      <w:pPr>
        <w:pStyle w:val="FootnoteText"/>
        <w:ind w:right="1134"/>
        <w:jc w:val="both"/>
        <w:rPr>
          <w:lang w:val="en-US"/>
        </w:rPr>
      </w:pPr>
      <w:r w:rsidRPr="00B41AB8">
        <w:rPr>
          <w:rStyle w:val="FootnoteReference"/>
        </w:rPr>
        <w:footnoteRef/>
      </w:r>
      <w:r w:rsidRPr="00086E9D">
        <w:rPr>
          <w:lang w:val="en-US"/>
        </w:rPr>
        <w:t xml:space="preserve"> Manual of the Human Rights to Safe Drinking Water and Sanitation for Practitioners, p.</w:t>
      </w:r>
      <w:r w:rsidRPr="00B41AB8">
        <w:rPr>
          <w:lang w:val="en-US"/>
        </w:rPr>
        <w:t xml:space="preserve"> 20.</w:t>
      </w:r>
    </w:p>
  </w:footnote>
  <w:footnote w:id="36">
    <w:p w:rsidR="000F5B2E" w:rsidRPr="00061D27" w:rsidRDefault="000F5B2E" w:rsidP="002533F0">
      <w:pPr>
        <w:pStyle w:val="FootnoteText"/>
        <w:ind w:right="1134"/>
        <w:jc w:val="both"/>
        <w:rPr>
          <w:szCs w:val="18"/>
        </w:rPr>
      </w:pPr>
      <w:r w:rsidRPr="00B41AB8">
        <w:rPr>
          <w:rStyle w:val="FootnoteReference"/>
        </w:rPr>
        <w:footnoteRef/>
      </w:r>
      <w:r w:rsidRPr="00B41AB8">
        <w:rPr>
          <w:szCs w:val="18"/>
        </w:rPr>
        <w:t xml:space="preserve">Ver </w:t>
      </w:r>
      <w:proofErr w:type="spellStart"/>
      <w:r w:rsidRPr="000F5B2E">
        <w:rPr>
          <w:i/>
        </w:rPr>
        <w:t>Committee</w:t>
      </w:r>
      <w:proofErr w:type="spellEnd"/>
      <w:r w:rsidRPr="000F5B2E">
        <w:rPr>
          <w:i/>
        </w:rPr>
        <w:t xml:space="preserve"> </w:t>
      </w:r>
      <w:proofErr w:type="spellStart"/>
      <w:r w:rsidRPr="000F5B2E">
        <w:rPr>
          <w:i/>
        </w:rPr>
        <w:t>on</w:t>
      </w:r>
      <w:proofErr w:type="spellEnd"/>
      <w:r w:rsidRPr="000F5B2E">
        <w:rPr>
          <w:i/>
        </w:rPr>
        <w:t xml:space="preserve"> </w:t>
      </w:r>
      <w:proofErr w:type="spellStart"/>
      <w:r w:rsidRPr="000F5B2E">
        <w:rPr>
          <w:i/>
        </w:rPr>
        <w:t>Economic</w:t>
      </w:r>
      <w:proofErr w:type="spellEnd"/>
      <w:r w:rsidRPr="000F5B2E">
        <w:rPr>
          <w:i/>
        </w:rPr>
        <w:t xml:space="preserve">, Social </w:t>
      </w:r>
      <w:proofErr w:type="spellStart"/>
      <w:r w:rsidRPr="000F5B2E">
        <w:rPr>
          <w:i/>
        </w:rPr>
        <w:t>and</w:t>
      </w:r>
      <w:proofErr w:type="spellEnd"/>
      <w:r w:rsidRPr="000F5B2E">
        <w:rPr>
          <w:i/>
        </w:rPr>
        <w:t xml:space="preserve"> Cultural </w:t>
      </w:r>
      <w:proofErr w:type="spellStart"/>
      <w:r w:rsidRPr="000F5B2E">
        <w:rPr>
          <w:i/>
        </w:rPr>
        <w:t>Rights</w:t>
      </w:r>
      <w:proofErr w:type="spellEnd"/>
      <w:r>
        <w:rPr>
          <w:szCs w:val="18"/>
        </w:rPr>
        <w:t xml:space="preserve"> C</w:t>
      </w:r>
      <w:r w:rsidRPr="00B41AB8">
        <w:rPr>
          <w:szCs w:val="18"/>
        </w:rPr>
        <w:t xml:space="preserve">omentário geral nº 15, parágrafo </w:t>
      </w:r>
      <w:r w:rsidRPr="00061D27">
        <w:rPr>
          <w:szCs w:val="18"/>
        </w:rPr>
        <w:t>11.</w:t>
      </w:r>
    </w:p>
  </w:footnote>
  <w:footnote w:id="37">
    <w:p w:rsidR="000F5B2E" w:rsidRPr="00886302" w:rsidRDefault="000F5B2E" w:rsidP="002533F0">
      <w:pPr>
        <w:pStyle w:val="FootnoteText"/>
        <w:ind w:right="1134"/>
        <w:jc w:val="both"/>
        <w:rPr>
          <w:lang w:val="de-DE"/>
        </w:rPr>
      </w:pPr>
      <w:r w:rsidRPr="00B41AB8">
        <w:rPr>
          <w:rStyle w:val="FootnoteReference"/>
        </w:rPr>
        <w:footnoteRef/>
      </w:r>
      <w:r w:rsidRPr="00886302">
        <w:rPr>
          <w:lang w:val="de-DE"/>
        </w:rPr>
        <w:t>Carta de Lisboa, art. 7.3.</w:t>
      </w:r>
    </w:p>
  </w:footnote>
  <w:footnote w:id="38">
    <w:p w:rsidR="000F5B2E" w:rsidRPr="00D9511B" w:rsidRDefault="000F5B2E" w:rsidP="002533F0">
      <w:pPr>
        <w:pStyle w:val="FootnoteText"/>
        <w:ind w:right="1134"/>
        <w:jc w:val="both"/>
        <w:rPr>
          <w:lang w:val="en-US"/>
        </w:rPr>
      </w:pPr>
      <w:r w:rsidRPr="00B41AB8">
        <w:rPr>
          <w:rStyle w:val="FootnoteReference"/>
        </w:rPr>
        <w:footnoteRef/>
      </w:r>
      <w:r w:rsidRPr="00D9511B">
        <w:rPr>
          <w:lang w:val="en-US"/>
        </w:rPr>
        <w:t xml:space="preserve"> </w:t>
      </w:r>
      <w:proofErr w:type="gramStart"/>
      <w:r w:rsidRPr="00D9511B">
        <w:rPr>
          <w:lang w:val="en-US"/>
        </w:rPr>
        <w:t>Ibid.,</w:t>
      </w:r>
      <w:proofErr w:type="gramEnd"/>
      <w:r w:rsidRPr="00D9511B">
        <w:rPr>
          <w:lang w:val="en-US"/>
        </w:rPr>
        <w:t xml:space="preserve"> art. 4.4.</w:t>
      </w:r>
    </w:p>
  </w:footnote>
  <w:footnote w:id="39">
    <w:p w:rsidR="000F5B2E" w:rsidRPr="00D9511B" w:rsidRDefault="000F5B2E" w:rsidP="002533F0">
      <w:pPr>
        <w:pStyle w:val="FootnoteText"/>
        <w:ind w:right="1134"/>
        <w:jc w:val="both"/>
        <w:rPr>
          <w:lang w:val="en-US"/>
        </w:rPr>
      </w:pPr>
      <w:r w:rsidRPr="00B41AB8">
        <w:rPr>
          <w:rStyle w:val="FootnoteReference"/>
        </w:rPr>
        <w:footnoteRef/>
      </w:r>
      <w:r w:rsidRPr="00D9511B">
        <w:rPr>
          <w:lang w:val="en-US"/>
        </w:rPr>
        <w:t xml:space="preserve"> </w:t>
      </w:r>
      <w:proofErr w:type="gramStart"/>
      <w:r w:rsidRPr="00D9511B">
        <w:rPr>
          <w:lang w:val="en-US"/>
        </w:rPr>
        <w:t>Ibid.,</w:t>
      </w:r>
      <w:proofErr w:type="gramEnd"/>
      <w:r w:rsidRPr="00D9511B">
        <w:rPr>
          <w:lang w:val="en-US"/>
        </w:rPr>
        <w:t xml:space="preserve"> art. 4.9.</w:t>
      </w:r>
    </w:p>
  </w:footnote>
  <w:footnote w:id="40">
    <w:p w:rsidR="000F5B2E" w:rsidRPr="0055082B" w:rsidRDefault="000F5B2E" w:rsidP="002533F0">
      <w:pPr>
        <w:pStyle w:val="FootnoteText"/>
        <w:ind w:right="1134"/>
        <w:jc w:val="both"/>
        <w:rPr>
          <w:lang w:val="en-US"/>
        </w:rPr>
      </w:pPr>
      <w:r>
        <w:rPr>
          <w:rStyle w:val="FootnoteReference"/>
        </w:rPr>
        <w:footnoteRef/>
      </w:r>
      <w:r w:rsidRPr="0055082B">
        <w:rPr>
          <w:lang w:val="en-US"/>
        </w:rPr>
        <w:t xml:space="preserve"> </w:t>
      </w:r>
      <w:r>
        <w:rPr>
          <w:lang w:val="en-US"/>
        </w:rPr>
        <w:t>N.T.</w:t>
      </w:r>
      <w:r w:rsidRPr="0055082B">
        <w:rPr>
          <w:lang w:val="en-US"/>
        </w:rPr>
        <w:t xml:space="preserve"> </w:t>
      </w:r>
      <w:r w:rsidRPr="0055082B">
        <w:rPr>
          <w:i/>
          <w:lang w:val="en-US"/>
        </w:rPr>
        <w:t>Investing in Water and Sanitation: Increasing Access, Reducing Inequalities</w:t>
      </w:r>
      <w:r>
        <w:rPr>
          <w:lang w:val="en-US"/>
        </w:rPr>
        <w:t>.</w:t>
      </w:r>
      <w:r w:rsidRPr="0055082B">
        <w:rPr>
          <w:lang w:val="en-US"/>
        </w:rPr>
        <w:t xml:space="preserve"> </w:t>
      </w:r>
    </w:p>
  </w:footnote>
  <w:footnote w:id="41">
    <w:p w:rsidR="000F5B2E" w:rsidRPr="00631A6D" w:rsidRDefault="000F5B2E" w:rsidP="002533F0">
      <w:pPr>
        <w:pStyle w:val="FootnoteText"/>
        <w:ind w:right="1134"/>
        <w:jc w:val="both"/>
        <w:rPr>
          <w:lang w:val="en-US"/>
        </w:rPr>
      </w:pPr>
      <w:r>
        <w:rPr>
          <w:rStyle w:val="FootnoteReference"/>
        </w:rPr>
        <w:footnoteRef/>
      </w:r>
      <w:r w:rsidRPr="00631A6D">
        <w:rPr>
          <w:lang w:val="en-US"/>
        </w:rPr>
        <w:t xml:space="preserve"> </w:t>
      </w:r>
      <w:r>
        <w:rPr>
          <w:lang w:val="en-US"/>
        </w:rPr>
        <w:t xml:space="preserve">N.T. </w:t>
      </w:r>
      <w:r w:rsidRPr="00BA39A7">
        <w:rPr>
          <w:i/>
          <w:lang w:val="en-US"/>
        </w:rPr>
        <w:t>UN</w:t>
      </w:r>
      <w:r w:rsidRPr="00631A6D">
        <w:rPr>
          <w:lang w:val="en-US"/>
        </w:rPr>
        <w:t>-</w:t>
      </w:r>
      <w:r w:rsidRPr="00631A6D">
        <w:rPr>
          <w:i/>
          <w:lang w:val="en-US"/>
        </w:rPr>
        <w:t>Water Global Analysis and Assessment of Sanitation and Drinking Water</w:t>
      </w:r>
      <w:r w:rsidRPr="00631A6D">
        <w:rPr>
          <w:lang w:val="en-US"/>
        </w:rPr>
        <w:t>, 2014 report</w:t>
      </w:r>
    </w:p>
  </w:footnote>
  <w:footnote w:id="42">
    <w:p w:rsidR="000F5B2E" w:rsidRPr="00FC3B7A" w:rsidRDefault="000F5B2E" w:rsidP="002533F0">
      <w:pPr>
        <w:pStyle w:val="FootnoteText"/>
        <w:ind w:right="1134"/>
        <w:jc w:val="both"/>
        <w:rPr>
          <w:lang w:val="en-US"/>
        </w:rPr>
      </w:pPr>
      <w:r>
        <w:rPr>
          <w:rStyle w:val="FootnoteReference"/>
        </w:rPr>
        <w:footnoteRef/>
      </w:r>
      <w:r w:rsidRPr="00FC3B7A">
        <w:rPr>
          <w:lang w:val="en-US"/>
        </w:rPr>
        <w:t xml:space="preserve"> </w:t>
      </w:r>
      <w:proofErr w:type="spellStart"/>
      <w:proofErr w:type="gramStart"/>
      <w:r w:rsidRPr="00FC3B7A">
        <w:rPr>
          <w:lang w:val="en-US"/>
        </w:rPr>
        <w:t>Ibib</w:t>
      </w:r>
      <w:proofErr w:type="spellEnd"/>
      <w:r w:rsidRPr="00FC3B7A">
        <w:rPr>
          <w:lang w:val="en-US"/>
        </w:rPr>
        <w:t>.,</w:t>
      </w:r>
      <w:proofErr w:type="gramEnd"/>
      <w:r w:rsidRPr="00FC3B7A">
        <w:rPr>
          <w:lang w:val="en-US"/>
        </w:rPr>
        <w:t xml:space="preserve"> </w:t>
      </w:r>
      <w:proofErr w:type="spellStart"/>
      <w:r w:rsidRPr="00FC3B7A">
        <w:rPr>
          <w:lang w:val="en-US"/>
        </w:rPr>
        <w:t>parágrafo</w:t>
      </w:r>
      <w:proofErr w:type="spellEnd"/>
      <w:r w:rsidRPr="00FC3B7A">
        <w:rPr>
          <w:lang w:val="en-US"/>
        </w:rPr>
        <w:t xml:space="preserve"> 46.</w:t>
      </w:r>
    </w:p>
  </w:footnote>
  <w:footnote w:id="43">
    <w:p w:rsidR="000F5B2E" w:rsidRPr="00FC3B7A" w:rsidRDefault="000F5B2E" w:rsidP="002533F0">
      <w:pPr>
        <w:pStyle w:val="FootnoteText"/>
        <w:ind w:right="1134"/>
        <w:jc w:val="both"/>
        <w:rPr>
          <w:lang w:val="en-US"/>
        </w:rPr>
      </w:pPr>
      <w:r>
        <w:rPr>
          <w:rStyle w:val="FootnoteReference"/>
        </w:rPr>
        <w:footnoteRef/>
      </w:r>
      <w:r w:rsidRPr="00FC3B7A">
        <w:rPr>
          <w:lang w:val="en-US"/>
        </w:rPr>
        <w:t xml:space="preserve"> </w:t>
      </w:r>
      <w:proofErr w:type="gramStart"/>
      <w:r w:rsidRPr="00FC3B7A">
        <w:rPr>
          <w:lang w:val="en-US"/>
        </w:rPr>
        <w:t>Ibid.,</w:t>
      </w:r>
      <w:proofErr w:type="gramEnd"/>
      <w:r w:rsidRPr="00FC3B7A">
        <w:rPr>
          <w:lang w:val="en-US"/>
        </w:rPr>
        <w:t xml:space="preserve"> </w:t>
      </w:r>
      <w:proofErr w:type="spellStart"/>
      <w:r w:rsidRPr="00FC3B7A">
        <w:rPr>
          <w:lang w:val="en-US"/>
        </w:rPr>
        <w:t>parágrafo</w:t>
      </w:r>
      <w:proofErr w:type="spellEnd"/>
      <w:r w:rsidRPr="00FC3B7A">
        <w:rPr>
          <w:lang w:val="en-US"/>
        </w:rPr>
        <w:t xml:space="preserve"> 19.</w:t>
      </w:r>
    </w:p>
  </w:footnote>
  <w:footnote w:id="44">
    <w:p w:rsidR="000F5B2E" w:rsidRPr="00FC3B7A" w:rsidRDefault="000F5B2E" w:rsidP="002533F0">
      <w:pPr>
        <w:pStyle w:val="FootnoteText"/>
        <w:ind w:right="1134"/>
        <w:jc w:val="both"/>
        <w:rPr>
          <w:lang w:val="en-US"/>
        </w:rPr>
      </w:pPr>
      <w:r>
        <w:rPr>
          <w:rStyle w:val="FootnoteReference"/>
        </w:rPr>
        <w:footnoteRef/>
      </w:r>
      <w:r w:rsidRPr="00FC3B7A">
        <w:rPr>
          <w:lang w:val="en-US"/>
        </w:rPr>
        <w:t xml:space="preserve"> </w:t>
      </w:r>
      <w:proofErr w:type="spellStart"/>
      <w:r w:rsidRPr="00FC3B7A">
        <w:rPr>
          <w:lang w:val="en-US"/>
        </w:rPr>
        <w:t>Ver</w:t>
      </w:r>
      <w:proofErr w:type="spellEnd"/>
      <w:r w:rsidRPr="00FC3B7A">
        <w:rPr>
          <w:lang w:val="en-US"/>
        </w:rPr>
        <w:t xml:space="preserve"> www.openstreetmap.org</w:t>
      </w:r>
    </w:p>
  </w:footnote>
  <w:footnote w:id="45">
    <w:p w:rsidR="000F5B2E" w:rsidRPr="009C4D0B" w:rsidRDefault="000F5B2E" w:rsidP="002533F0">
      <w:pPr>
        <w:pStyle w:val="FootnoteText"/>
        <w:ind w:right="1134"/>
        <w:jc w:val="both"/>
        <w:rPr>
          <w:lang w:val="en-US"/>
        </w:rPr>
      </w:pPr>
      <w:r>
        <w:rPr>
          <w:rStyle w:val="FootnoteReference"/>
        </w:rPr>
        <w:footnoteRef/>
      </w:r>
      <w:r w:rsidRPr="00064DE0">
        <w:rPr>
          <w:lang w:val="en-US"/>
        </w:rPr>
        <w:t xml:space="preserve"> United Nations Development </w:t>
      </w:r>
      <w:proofErr w:type="spellStart"/>
      <w:r w:rsidRPr="00064DE0">
        <w:rPr>
          <w:lang w:val="en-US"/>
        </w:rPr>
        <w:t>Programme</w:t>
      </w:r>
      <w:proofErr w:type="spellEnd"/>
      <w:r w:rsidRPr="00064DE0">
        <w:rPr>
          <w:lang w:val="en-US"/>
        </w:rPr>
        <w:t xml:space="preserve">, </w:t>
      </w:r>
      <w:r w:rsidRPr="00064DE0">
        <w:rPr>
          <w:i/>
          <w:lang w:val="en-US"/>
        </w:rPr>
        <w:t xml:space="preserve">Small-scale Water Providers in Kenya: Pioneers or Predators? </w:t>
      </w:r>
      <w:r>
        <w:rPr>
          <w:lang w:val="en-US"/>
        </w:rPr>
        <w:t>(2011, page 29).</w:t>
      </w:r>
    </w:p>
  </w:footnote>
  <w:footnote w:id="46">
    <w:p w:rsidR="000F5B2E" w:rsidRPr="0018007F" w:rsidRDefault="000F5B2E" w:rsidP="002533F0">
      <w:pPr>
        <w:pStyle w:val="FootnoteText"/>
        <w:ind w:right="1134"/>
        <w:jc w:val="both"/>
        <w:rPr>
          <w:i/>
          <w:lang w:val="en-US"/>
        </w:rPr>
      </w:pPr>
      <w:r>
        <w:rPr>
          <w:rStyle w:val="FootnoteReference"/>
        </w:rPr>
        <w:footnoteRef/>
      </w:r>
      <w:r w:rsidRPr="001B7665">
        <w:rPr>
          <w:lang w:val="en-US"/>
        </w:rPr>
        <w:t xml:space="preserve"> WHO, </w:t>
      </w:r>
      <w:r w:rsidRPr="001B7665">
        <w:rPr>
          <w:i/>
          <w:lang w:val="en-US"/>
        </w:rPr>
        <w:t xml:space="preserve">Water Safety Planning for Small Community </w:t>
      </w:r>
      <w:r>
        <w:rPr>
          <w:i/>
          <w:lang w:val="en-US"/>
        </w:rPr>
        <w:t xml:space="preserve">Water </w:t>
      </w:r>
      <w:proofErr w:type="spellStart"/>
      <w:r>
        <w:rPr>
          <w:i/>
          <w:lang w:val="en-US"/>
        </w:rPr>
        <w:t>Supllies</w:t>
      </w:r>
      <w:proofErr w:type="spellEnd"/>
      <w:r>
        <w:rPr>
          <w:i/>
          <w:lang w:val="en-US"/>
        </w:rPr>
        <w:t xml:space="preserve">: Step-by-step Risk Management Guidance for Drinking-water Supplies in Small Communities </w:t>
      </w:r>
      <w:r w:rsidRPr="001B7665">
        <w:rPr>
          <w:lang w:val="en-US"/>
        </w:rPr>
        <w:t>(2012)</w:t>
      </w:r>
      <w:r>
        <w:rPr>
          <w:lang w:val="en-US"/>
        </w:rPr>
        <w:t>.</w:t>
      </w:r>
    </w:p>
  </w:footnote>
  <w:footnote w:id="47">
    <w:p w:rsidR="000F5B2E" w:rsidRPr="00F12FBC" w:rsidRDefault="000F5B2E" w:rsidP="002533F0">
      <w:pPr>
        <w:pStyle w:val="FootnoteText"/>
        <w:ind w:right="1134"/>
        <w:jc w:val="both"/>
        <w:rPr>
          <w:lang w:val="en-US"/>
        </w:rPr>
      </w:pPr>
      <w:r>
        <w:rPr>
          <w:rStyle w:val="FootnoteReference"/>
        </w:rPr>
        <w:footnoteRef/>
      </w:r>
      <w:r w:rsidRPr="00F12FBC">
        <w:rPr>
          <w:lang w:val="en-US"/>
        </w:rPr>
        <w:t xml:space="preserve"> </w:t>
      </w:r>
      <w:proofErr w:type="gramStart"/>
      <w:r>
        <w:rPr>
          <w:lang w:val="en-US"/>
        </w:rPr>
        <w:t xml:space="preserve">N.T. </w:t>
      </w:r>
      <w:r w:rsidRPr="00F12FBC">
        <w:rPr>
          <w:i/>
          <w:lang w:val="en-US"/>
        </w:rPr>
        <w:t xml:space="preserve">WHO/UNICEF Joint Monitoring </w:t>
      </w:r>
      <w:proofErr w:type="spellStart"/>
      <w:r w:rsidRPr="00F12FBC">
        <w:rPr>
          <w:i/>
          <w:lang w:val="en-US"/>
        </w:rPr>
        <w:t>Programme</w:t>
      </w:r>
      <w:proofErr w:type="spellEnd"/>
      <w:r w:rsidRPr="00F12FBC">
        <w:rPr>
          <w:i/>
          <w:lang w:val="en-US"/>
        </w:rPr>
        <w:t xml:space="preserve"> for Water Supply and Sanitation</w:t>
      </w:r>
      <w:r>
        <w:rPr>
          <w:lang w:val="en-US"/>
        </w:rPr>
        <w:t>.</w:t>
      </w:r>
      <w:proofErr w:type="gramEnd"/>
    </w:p>
  </w:footnote>
  <w:footnote w:id="48">
    <w:p w:rsidR="000F5B2E" w:rsidRPr="002E0182" w:rsidRDefault="000F5B2E" w:rsidP="0043467A">
      <w:pPr>
        <w:pStyle w:val="FootnoteText"/>
        <w:tabs>
          <w:tab w:val="left" w:pos="6291"/>
        </w:tabs>
        <w:ind w:right="1134"/>
        <w:jc w:val="both"/>
        <w:rPr>
          <w:i/>
        </w:rPr>
      </w:pPr>
      <w:r>
        <w:rPr>
          <w:rStyle w:val="FootnoteReference"/>
        </w:rPr>
        <w:footnoteRef/>
      </w:r>
      <w:r>
        <w:t xml:space="preserve"> N.T. </w:t>
      </w:r>
      <w:proofErr w:type="spellStart"/>
      <w:r w:rsidRPr="002E0182">
        <w:rPr>
          <w:i/>
        </w:rPr>
        <w:t>Q</w:t>
      </w:r>
      <w:r>
        <w:rPr>
          <w:i/>
        </w:rPr>
        <w:t>uasi</w:t>
      </w:r>
      <w:proofErr w:type="spellEnd"/>
      <w:r>
        <w:rPr>
          <w:i/>
        </w:rPr>
        <w:t>-judicial.</w:t>
      </w:r>
      <w:r w:rsidR="0043467A">
        <w:rPr>
          <w:i/>
        </w:rPr>
        <w:tab/>
      </w:r>
    </w:p>
  </w:footnote>
  <w:footnote w:id="49">
    <w:p w:rsidR="000F5B2E" w:rsidRDefault="000F5B2E" w:rsidP="002533F0">
      <w:pPr>
        <w:pStyle w:val="FootnoteText"/>
        <w:ind w:right="1134"/>
        <w:jc w:val="both"/>
      </w:pPr>
      <w:r>
        <w:rPr>
          <w:rStyle w:val="FootnoteReference"/>
        </w:rPr>
        <w:footnoteRef/>
      </w:r>
      <w:r>
        <w:t xml:space="preserve"> Ver </w:t>
      </w:r>
      <w:proofErr w:type="spellStart"/>
      <w:r w:rsidRPr="00B41AB8">
        <w:t>Committee</w:t>
      </w:r>
      <w:proofErr w:type="spellEnd"/>
      <w:r w:rsidRPr="00B41AB8">
        <w:t xml:space="preserve"> </w:t>
      </w:r>
      <w:proofErr w:type="spellStart"/>
      <w:r w:rsidRPr="00B41AB8">
        <w:t>on</w:t>
      </w:r>
      <w:proofErr w:type="spellEnd"/>
      <w:r w:rsidRPr="00B41AB8">
        <w:t xml:space="preserve"> </w:t>
      </w:r>
      <w:proofErr w:type="spellStart"/>
      <w:r w:rsidRPr="00B41AB8">
        <w:t>Economic</w:t>
      </w:r>
      <w:proofErr w:type="spellEnd"/>
      <w:r w:rsidRPr="00B41AB8">
        <w:t xml:space="preserve">, Social </w:t>
      </w:r>
      <w:proofErr w:type="spellStart"/>
      <w:r w:rsidRPr="00B41AB8">
        <w:t>and</w:t>
      </w:r>
      <w:proofErr w:type="spellEnd"/>
      <w:r w:rsidRPr="00B41AB8">
        <w:t xml:space="preserve"> Cultural </w:t>
      </w:r>
      <w:proofErr w:type="spellStart"/>
      <w:r w:rsidRPr="00B41AB8">
        <w:t>Rights</w:t>
      </w:r>
      <w:proofErr w:type="spellEnd"/>
      <w:r>
        <w:t xml:space="preserve"> comentário geral nº15, parágrafo 56.</w:t>
      </w:r>
    </w:p>
  </w:footnote>
  <w:footnote w:id="50">
    <w:p w:rsidR="000F5B2E" w:rsidRDefault="000F5B2E" w:rsidP="002533F0">
      <w:pPr>
        <w:pStyle w:val="FootnoteText"/>
        <w:ind w:right="1134"/>
        <w:jc w:val="both"/>
      </w:pPr>
      <w:r>
        <w:rPr>
          <w:rStyle w:val="FootnoteReference"/>
        </w:rPr>
        <w:footnoteRef/>
      </w:r>
      <w:r>
        <w:t xml:space="preserve"> Carta de Lisboa, art. 7.6.</w:t>
      </w:r>
    </w:p>
  </w:footnote>
  <w:footnote w:id="51">
    <w:p w:rsidR="0027205A" w:rsidRPr="00FC3B7A" w:rsidRDefault="000F5B2E" w:rsidP="002533F0">
      <w:pPr>
        <w:pStyle w:val="FootnoteText"/>
        <w:ind w:right="1134"/>
        <w:jc w:val="both"/>
        <w:rPr>
          <w:sz w:val="18"/>
          <w:szCs w:val="18"/>
        </w:rPr>
      </w:pPr>
      <w:r>
        <w:rPr>
          <w:rStyle w:val="FootnoteReference"/>
        </w:rPr>
        <w:footnoteRef/>
      </w:r>
      <w:r>
        <w:t xml:space="preserve"> Ver </w:t>
      </w:r>
      <w:hyperlink r:id="rId2" w:history="1">
        <w:r w:rsidR="00AC770A" w:rsidRPr="00FC3B7A">
          <w:rPr>
            <w:rStyle w:val="Hyperlink"/>
            <w:sz w:val="18"/>
            <w:szCs w:val="18"/>
          </w:rPr>
          <w:t>www.corteconstitucional.gov.co/relatoria/2009/T-546-09.htm</w:t>
        </w:r>
      </w:hyperlink>
      <w:r w:rsidRPr="00FC3B7A">
        <w:rPr>
          <w:sz w:val="18"/>
          <w:szCs w:val="18"/>
        </w:rPr>
        <w:t xml:space="preserve"> </w:t>
      </w:r>
      <w:r w:rsidR="0027205A" w:rsidRPr="00FC3B7A">
        <w:rPr>
          <w:sz w:val="18"/>
          <w:szCs w:val="18"/>
        </w:rPr>
        <w:t xml:space="preserve">e </w:t>
      </w:r>
    </w:p>
    <w:p w:rsidR="000F5B2E" w:rsidRPr="00FC3B7A" w:rsidRDefault="000F5B2E" w:rsidP="002533F0">
      <w:pPr>
        <w:pStyle w:val="FootnoteText"/>
        <w:ind w:right="1134"/>
        <w:jc w:val="both"/>
      </w:pPr>
      <w:r w:rsidRPr="00FC3B7A">
        <w:rPr>
          <w:sz w:val="18"/>
          <w:szCs w:val="18"/>
        </w:rPr>
        <w:t>www.corteconstitucional.gov.co/relatoria/2012/T-273-12.htm.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B2E" w:rsidRPr="009A1C65" w:rsidRDefault="000F5B2E" w:rsidP="009A1C65">
    <w:pPr>
      <w:pStyle w:val="Header"/>
    </w:pPr>
    <w:r w:rsidRPr="009A1C65">
      <w:t>A/HRC/3</w:t>
    </w:r>
    <w:r>
      <w:t>6</w:t>
    </w:r>
    <w:r w:rsidRPr="009A1C65">
      <w:t>/</w:t>
    </w:r>
    <w:r>
      <w:t>45</w:t>
    </w:r>
  </w:p>
  <w:p w:rsidR="000F5B2E" w:rsidRDefault="000F5B2E"/>
  <w:p w:rsidR="000F5B2E" w:rsidRDefault="000F5B2E"/>
  <w:p w:rsidR="000F5B2E" w:rsidRDefault="000F5B2E" w:rsidP="00B3091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B2E" w:rsidRPr="009A1C65" w:rsidRDefault="000F5B2E" w:rsidP="009A1C65">
    <w:pPr>
      <w:pStyle w:val="Header"/>
      <w:jc w:val="right"/>
    </w:pPr>
    <w:r w:rsidRPr="009A1C65">
      <w:t>A/HRC/3</w:t>
    </w:r>
    <w:r>
      <w:t>6</w:t>
    </w:r>
    <w:r w:rsidRPr="009A1C65">
      <w:t>/</w:t>
    </w:r>
    <w:r>
      <w:t>45</w:t>
    </w:r>
  </w:p>
  <w:p w:rsidR="000F5B2E" w:rsidRDefault="000F5B2E"/>
  <w:p w:rsidR="000F5B2E" w:rsidRDefault="000F5B2E"/>
  <w:p w:rsidR="000F5B2E" w:rsidRDefault="000F5B2E" w:rsidP="00B3091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4BB3"/>
    <w:multiLevelType w:val="hybridMultilevel"/>
    <w:tmpl w:val="E9C6FFB0"/>
    <w:lvl w:ilvl="0" w:tplc="F1DAEA08">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2077255"/>
    <w:multiLevelType w:val="hybridMultilevel"/>
    <w:tmpl w:val="FA52B2E0"/>
    <w:lvl w:ilvl="0" w:tplc="0416000F">
      <w:start w:val="1"/>
      <w:numFmt w:val="decimal"/>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2">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6F562E7"/>
    <w:multiLevelType w:val="hybridMultilevel"/>
    <w:tmpl w:val="F0D26BE4"/>
    <w:lvl w:ilvl="0" w:tplc="04160015">
      <w:start w:val="1"/>
      <w:numFmt w:val="upperLetter"/>
      <w:lvlText w:val="%1."/>
      <w:lvlJc w:val="left"/>
      <w:pPr>
        <w:ind w:left="1002" w:hanging="360"/>
      </w:pPr>
      <w:rPr>
        <w:rFonts w:hint="default"/>
      </w:rPr>
    </w:lvl>
    <w:lvl w:ilvl="1" w:tplc="04160019">
      <w:start w:val="1"/>
      <w:numFmt w:val="lowerLetter"/>
      <w:lvlText w:val="%2."/>
      <w:lvlJc w:val="left"/>
      <w:pPr>
        <w:ind w:left="1722" w:hanging="360"/>
      </w:pPr>
    </w:lvl>
    <w:lvl w:ilvl="2" w:tplc="0416001B" w:tentative="1">
      <w:start w:val="1"/>
      <w:numFmt w:val="lowerRoman"/>
      <w:lvlText w:val="%3."/>
      <w:lvlJc w:val="right"/>
      <w:pPr>
        <w:ind w:left="2442" w:hanging="180"/>
      </w:pPr>
    </w:lvl>
    <w:lvl w:ilvl="3" w:tplc="0416000F" w:tentative="1">
      <w:start w:val="1"/>
      <w:numFmt w:val="decimal"/>
      <w:lvlText w:val="%4."/>
      <w:lvlJc w:val="left"/>
      <w:pPr>
        <w:ind w:left="3162" w:hanging="360"/>
      </w:pPr>
    </w:lvl>
    <w:lvl w:ilvl="4" w:tplc="04160019" w:tentative="1">
      <w:start w:val="1"/>
      <w:numFmt w:val="lowerLetter"/>
      <w:lvlText w:val="%5."/>
      <w:lvlJc w:val="left"/>
      <w:pPr>
        <w:ind w:left="3882" w:hanging="360"/>
      </w:pPr>
    </w:lvl>
    <w:lvl w:ilvl="5" w:tplc="0416001B" w:tentative="1">
      <w:start w:val="1"/>
      <w:numFmt w:val="lowerRoman"/>
      <w:lvlText w:val="%6."/>
      <w:lvlJc w:val="right"/>
      <w:pPr>
        <w:ind w:left="4602" w:hanging="180"/>
      </w:pPr>
    </w:lvl>
    <w:lvl w:ilvl="6" w:tplc="0416000F" w:tentative="1">
      <w:start w:val="1"/>
      <w:numFmt w:val="decimal"/>
      <w:lvlText w:val="%7."/>
      <w:lvlJc w:val="left"/>
      <w:pPr>
        <w:ind w:left="5322" w:hanging="360"/>
      </w:pPr>
    </w:lvl>
    <w:lvl w:ilvl="7" w:tplc="04160019" w:tentative="1">
      <w:start w:val="1"/>
      <w:numFmt w:val="lowerLetter"/>
      <w:lvlText w:val="%8."/>
      <w:lvlJc w:val="left"/>
      <w:pPr>
        <w:ind w:left="6042" w:hanging="360"/>
      </w:pPr>
    </w:lvl>
    <w:lvl w:ilvl="8" w:tplc="0416001B" w:tentative="1">
      <w:start w:val="1"/>
      <w:numFmt w:val="lowerRoman"/>
      <w:lvlText w:val="%9."/>
      <w:lvlJc w:val="right"/>
      <w:pPr>
        <w:ind w:left="6762" w:hanging="180"/>
      </w:pPr>
    </w:lvl>
  </w:abstractNum>
  <w:abstractNum w:abstractNumId="4">
    <w:nsid w:val="174B5D32"/>
    <w:multiLevelType w:val="hybridMultilevel"/>
    <w:tmpl w:val="F0D26BE4"/>
    <w:lvl w:ilvl="0" w:tplc="04160015">
      <w:start w:val="1"/>
      <w:numFmt w:val="upperLetter"/>
      <w:lvlText w:val="%1."/>
      <w:lvlJc w:val="left"/>
      <w:pPr>
        <w:ind w:left="1002" w:hanging="360"/>
      </w:pPr>
      <w:rPr>
        <w:rFonts w:hint="default"/>
      </w:rPr>
    </w:lvl>
    <w:lvl w:ilvl="1" w:tplc="04160019">
      <w:start w:val="1"/>
      <w:numFmt w:val="lowerLetter"/>
      <w:lvlText w:val="%2."/>
      <w:lvlJc w:val="left"/>
      <w:pPr>
        <w:ind w:left="1722" w:hanging="360"/>
      </w:pPr>
    </w:lvl>
    <w:lvl w:ilvl="2" w:tplc="0416001B" w:tentative="1">
      <w:start w:val="1"/>
      <w:numFmt w:val="lowerRoman"/>
      <w:lvlText w:val="%3."/>
      <w:lvlJc w:val="right"/>
      <w:pPr>
        <w:ind w:left="2442" w:hanging="180"/>
      </w:pPr>
    </w:lvl>
    <w:lvl w:ilvl="3" w:tplc="0416000F" w:tentative="1">
      <w:start w:val="1"/>
      <w:numFmt w:val="decimal"/>
      <w:lvlText w:val="%4."/>
      <w:lvlJc w:val="left"/>
      <w:pPr>
        <w:ind w:left="3162" w:hanging="360"/>
      </w:pPr>
    </w:lvl>
    <w:lvl w:ilvl="4" w:tplc="04160019" w:tentative="1">
      <w:start w:val="1"/>
      <w:numFmt w:val="lowerLetter"/>
      <w:lvlText w:val="%5."/>
      <w:lvlJc w:val="left"/>
      <w:pPr>
        <w:ind w:left="3882" w:hanging="360"/>
      </w:pPr>
    </w:lvl>
    <w:lvl w:ilvl="5" w:tplc="0416001B" w:tentative="1">
      <w:start w:val="1"/>
      <w:numFmt w:val="lowerRoman"/>
      <w:lvlText w:val="%6."/>
      <w:lvlJc w:val="right"/>
      <w:pPr>
        <w:ind w:left="4602" w:hanging="180"/>
      </w:pPr>
    </w:lvl>
    <w:lvl w:ilvl="6" w:tplc="0416000F" w:tentative="1">
      <w:start w:val="1"/>
      <w:numFmt w:val="decimal"/>
      <w:lvlText w:val="%7."/>
      <w:lvlJc w:val="left"/>
      <w:pPr>
        <w:ind w:left="5322" w:hanging="360"/>
      </w:pPr>
    </w:lvl>
    <w:lvl w:ilvl="7" w:tplc="04160019" w:tentative="1">
      <w:start w:val="1"/>
      <w:numFmt w:val="lowerLetter"/>
      <w:lvlText w:val="%8."/>
      <w:lvlJc w:val="left"/>
      <w:pPr>
        <w:ind w:left="6042" w:hanging="360"/>
      </w:pPr>
    </w:lvl>
    <w:lvl w:ilvl="8" w:tplc="0416001B" w:tentative="1">
      <w:start w:val="1"/>
      <w:numFmt w:val="lowerRoman"/>
      <w:lvlText w:val="%9."/>
      <w:lvlJc w:val="right"/>
      <w:pPr>
        <w:ind w:left="6762" w:hanging="180"/>
      </w:pPr>
    </w:lvl>
  </w:abstractNum>
  <w:abstractNum w:abstractNumId="5">
    <w:nsid w:val="1B3C7F6E"/>
    <w:multiLevelType w:val="hybridMultilevel"/>
    <w:tmpl w:val="1E7243D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DEE5A6C"/>
    <w:multiLevelType w:val="hybridMultilevel"/>
    <w:tmpl w:val="D5FE25B0"/>
    <w:lvl w:ilvl="0" w:tplc="2F60C404">
      <w:start w:val="1"/>
      <w:numFmt w:val="lowerLetter"/>
      <w:pStyle w:val="Heading5"/>
      <w:lvlText w:val="%1)"/>
      <w:lvlJc w:val="left"/>
      <w:pPr>
        <w:ind w:left="1494"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nsid w:val="26426333"/>
    <w:multiLevelType w:val="hybridMultilevel"/>
    <w:tmpl w:val="36EEC354"/>
    <w:lvl w:ilvl="0" w:tplc="D1ECFD2C">
      <w:start w:val="1"/>
      <w:numFmt w:val="upperLetter"/>
      <w:lvlText w:val="%1."/>
      <w:lvlJc w:val="left"/>
      <w:pPr>
        <w:ind w:left="975" w:hanging="360"/>
      </w:pPr>
      <w:rPr>
        <w:rFonts w:hint="default"/>
      </w:rPr>
    </w:lvl>
    <w:lvl w:ilvl="1" w:tplc="04160019" w:tentative="1">
      <w:start w:val="1"/>
      <w:numFmt w:val="lowerLetter"/>
      <w:lvlText w:val="%2."/>
      <w:lvlJc w:val="left"/>
      <w:pPr>
        <w:ind w:left="1695" w:hanging="360"/>
      </w:pPr>
    </w:lvl>
    <w:lvl w:ilvl="2" w:tplc="0416001B" w:tentative="1">
      <w:start w:val="1"/>
      <w:numFmt w:val="lowerRoman"/>
      <w:lvlText w:val="%3."/>
      <w:lvlJc w:val="right"/>
      <w:pPr>
        <w:ind w:left="2415" w:hanging="180"/>
      </w:pPr>
    </w:lvl>
    <w:lvl w:ilvl="3" w:tplc="0416000F" w:tentative="1">
      <w:start w:val="1"/>
      <w:numFmt w:val="decimal"/>
      <w:lvlText w:val="%4."/>
      <w:lvlJc w:val="left"/>
      <w:pPr>
        <w:ind w:left="3135" w:hanging="360"/>
      </w:pPr>
    </w:lvl>
    <w:lvl w:ilvl="4" w:tplc="04160019" w:tentative="1">
      <w:start w:val="1"/>
      <w:numFmt w:val="lowerLetter"/>
      <w:lvlText w:val="%5."/>
      <w:lvlJc w:val="left"/>
      <w:pPr>
        <w:ind w:left="3855" w:hanging="360"/>
      </w:pPr>
    </w:lvl>
    <w:lvl w:ilvl="5" w:tplc="0416001B" w:tentative="1">
      <w:start w:val="1"/>
      <w:numFmt w:val="lowerRoman"/>
      <w:lvlText w:val="%6."/>
      <w:lvlJc w:val="right"/>
      <w:pPr>
        <w:ind w:left="4575" w:hanging="180"/>
      </w:pPr>
    </w:lvl>
    <w:lvl w:ilvl="6" w:tplc="0416000F" w:tentative="1">
      <w:start w:val="1"/>
      <w:numFmt w:val="decimal"/>
      <w:lvlText w:val="%7."/>
      <w:lvlJc w:val="left"/>
      <w:pPr>
        <w:ind w:left="5295" w:hanging="360"/>
      </w:pPr>
    </w:lvl>
    <w:lvl w:ilvl="7" w:tplc="04160019" w:tentative="1">
      <w:start w:val="1"/>
      <w:numFmt w:val="lowerLetter"/>
      <w:lvlText w:val="%8."/>
      <w:lvlJc w:val="left"/>
      <w:pPr>
        <w:ind w:left="6015" w:hanging="360"/>
      </w:pPr>
    </w:lvl>
    <w:lvl w:ilvl="8" w:tplc="0416001B" w:tentative="1">
      <w:start w:val="1"/>
      <w:numFmt w:val="lowerRoman"/>
      <w:lvlText w:val="%9."/>
      <w:lvlJc w:val="right"/>
      <w:pPr>
        <w:ind w:left="6735" w:hanging="180"/>
      </w:pPr>
    </w:lvl>
  </w:abstractNum>
  <w:abstractNum w:abstractNumId="8">
    <w:nsid w:val="56426DF1"/>
    <w:multiLevelType w:val="hybridMultilevel"/>
    <w:tmpl w:val="E806E2F4"/>
    <w:lvl w:ilvl="0" w:tplc="0416000F">
      <w:start w:val="1"/>
      <w:numFmt w:val="decimal"/>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9">
    <w:nsid w:val="59AF4950"/>
    <w:multiLevelType w:val="hybridMultilevel"/>
    <w:tmpl w:val="88B28EB6"/>
    <w:lvl w:ilvl="0" w:tplc="B1E07DC6">
      <w:start w:val="1"/>
      <w:numFmt w:val="decimal"/>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0">
    <w:nsid w:val="5A2460C3"/>
    <w:multiLevelType w:val="hybridMultilevel"/>
    <w:tmpl w:val="F0D26BE4"/>
    <w:lvl w:ilvl="0" w:tplc="04160015">
      <w:start w:val="1"/>
      <w:numFmt w:val="upperLetter"/>
      <w:lvlText w:val="%1."/>
      <w:lvlJc w:val="left"/>
      <w:pPr>
        <w:ind w:left="1002" w:hanging="360"/>
      </w:pPr>
      <w:rPr>
        <w:rFonts w:hint="default"/>
      </w:rPr>
    </w:lvl>
    <w:lvl w:ilvl="1" w:tplc="04160019">
      <w:start w:val="1"/>
      <w:numFmt w:val="lowerLetter"/>
      <w:lvlText w:val="%2."/>
      <w:lvlJc w:val="left"/>
      <w:pPr>
        <w:ind w:left="1722" w:hanging="360"/>
      </w:pPr>
    </w:lvl>
    <w:lvl w:ilvl="2" w:tplc="0416001B" w:tentative="1">
      <w:start w:val="1"/>
      <w:numFmt w:val="lowerRoman"/>
      <w:lvlText w:val="%3."/>
      <w:lvlJc w:val="right"/>
      <w:pPr>
        <w:ind w:left="2442" w:hanging="180"/>
      </w:pPr>
    </w:lvl>
    <w:lvl w:ilvl="3" w:tplc="0416000F" w:tentative="1">
      <w:start w:val="1"/>
      <w:numFmt w:val="decimal"/>
      <w:lvlText w:val="%4."/>
      <w:lvlJc w:val="left"/>
      <w:pPr>
        <w:ind w:left="3162" w:hanging="360"/>
      </w:pPr>
    </w:lvl>
    <w:lvl w:ilvl="4" w:tplc="04160019" w:tentative="1">
      <w:start w:val="1"/>
      <w:numFmt w:val="lowerLetter"/>
      <w:lvlText w:val="%5."/>
      <w:lvlJc w:val="left"/>
      <w:pPr>
        <w:ind w:left="3882" w:hanging="360"/>
      </w:pPr>
    </w:lvl>
    <w:lvl w:ilvl="5" w:tplc="0416001B" w:tentative="1">
      <w:start w:val="1"/>
      <w:numFmt w:val="lowerRoman"/>
      <w:lvlText w:val="%6."/>
      <w:lvlJc w:val="right"/>
      <w:pPr>
        <w:ind w:left="4602" w:hanging="180"/>
      </w:pPr>
    </w:lvl>
    <w:lvl w:ilvl="6" w:tplc="0416000F" w:tentative="1">
      <w:start w:val="1"/>
      <w:numFmt w:val="decimal"/>
      <w:lvlText w:val="%7."/>
      <w:lvlJc w:val="left"/>
      <w:pPr>
        <w:ind w:left="5322" w:hanging="360"/>
      </w:pPr>
    </w:lvl>
    <w:lvl w:ilvl="7" w:tplc="04160019" w:tentative="1">
      <w:start w:val="1"/>
      <w:numFmt w:val="lowerLetter"/>
      <w:lvlText w:val="%8."/>
      <w:lvlJc w:val="left"/>
      <w:pPr>
        <w:ind w:left="6042" w:hanging="360"/>
      </w:pPr>
    </w:lvl>
    <w:lvl w:ilvl="8" w:tplc="0416001B" w:tentative="1">
      <w:start w:val="1"/>
      <w:numFmt w:val="lowerRoman"/>
      <w:lvlText w:val="%9."/>
      <w:lvlJc w:val="right"/>
      <w:pPr>
        <w:ind w:left="6762" w:hanging="180"/>
      </w:pPr>
    </w:lvl>
  </w:abstractNum>
  <w:abstractNum w:abstractNumId="11">
    <w:nsid w:val="6798053F"/>
    <w:multiLevelType w:val="hybridMultilevel"/>
    <w:tmpl w:val="91B41394"/>
    <w:lvl w:ilvl="0" w:tplc="6D249210">
      <w:start w:val="1"/>
      <w:numFmt w:val="decimal"/>
      <w:pStyle w:val="Normali"/>
      <w:lvlText w:val="%1."/>
      <w:lvlJc w:val="left"/>
      <w:pPr>
        <w:ind w:left="5432" w:hanging="576"/>
      </w:pPr>
      <w:rPr>
        <w:rFonts w:hint="default"/>
        <w:vertAlign w:val="baseline"/>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12">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70664925"/>
    <w:multiLevelType w:val="hybridMultilevel"/>
    <w:tmpl w:val="3EA6C26E"/>
    <w:lvl w:ilvl="0" w:tplc="41F4783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2EF799E"/>
    <w:multiLevelType w:val="hybridMultilevel"/>
    <w:tmpl w:val="88B28EB6"/>
    <w:lvl w:ilvl="0" w:tplc="B1E07DC6">
      <w:start w:val="1"/>
      <w:numFmt w:val="decimal"/>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5">
    <w:nsid w:val="7BAD5F7A"/>
    <w:multiLevelType w:val="hybridMultilevel"/>
    <w:tmpl w:val="E2F44098"/>
    <w:lvl w:ilvl="0" w:tplc="08D04DD8">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6">
    <w:nsid w:val="7BD55BBA"/>
    <w:multiLevelType w:val="hybridMultilevel"/>
    <w:tmpl w:val="88B28EB6"/>
    <w:lvl w:ilvl="0" w:tplc="B1E07DC6">
      <w:start w:val="1"/>
      <w:numFmt w:val="decimal"/>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num w:numId="1">
    <w:abstractNumId w:val="2"/>
  </w:num>
  <w:num w:numId="2">
    <w:abstractNumId w:val="12"/>
  </w:num>
  <w:num w:numId="3">
    <w:abstractNumId w:val="11"/>
  </w:num>
  <w:num w:numId="4">
    <w:abstractNumId w:val="6"/>
  </w:num>
  <w:num w:numId="5">
    <w:abstractNumId w:val="4"/>
  </w:num>
  <w:num w:numId="6">
    <w:abstractNumId w:val="15"/>
  </w:num>
  <w:num w:numId="7">
    <w:abstractNumId w:val="0"/>
  </w:num>
  <w:num w:numId="8">
    <w:abstractNumId w:val="13"/>
  </w:num>
  <w:num w:numId="9">
    <w:abstractNumId w:val="7"/>
  </w:num>
  <w:num w:numId="10">
    <w:abstractNumId w:val="3"/>
  </w:num>
  <w:num w:numId="11">
    <w:abstractNumId w:val="10"/>
  </w:num>
  <w:num w:numId="12">
    <w:abstractNumId w:val="14"/>
  </w:num>
  <w:num w:numId="13">
    <w:abstractNumId w:val="1"/>
  </w:num>
  <w:num w:numId="14">
    <w:abstractNumId w:val="9"/>
  </w:num>
  <w:num w:numId="15">
    <w:abstractNumId w:val="16"/>
  </w:num>
  <w:num w:numId="16">
    <w:abstractNumId w:val="5"/>
  </w:num>
  <w:num w:numId="17">
    <w:abstractNumId w:val="8"/>
  </w:num>
  <w:num w:numId="18">
    <w:abstractNumId w:val="11"/>
  </w:num>
  <w:num w:numId="19">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fr-CH"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pt-BR" w:vendorID="64" w:dllVersion="6" w:nlCheck="1" w:checkStyle="0"/>
  <w:activeWritingStyle w:appName="MSWord" w:lang="en-IE" w:vendorID="64" w:dllVersion="6" w:nlCheck="1" w:checkStyle="1"/>
  <w:activeWritingStyle w:appName="MSWord" w:lang="en-US" w:vendorID="64" w:dllVersion="4096"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s-ES_tradnl" w:vendorID="64" w:dllVersion="131078" w:nlCheck="1" w:checkStyle="1"/>
  <w:activeWritingStyle w:appName="MSWord" w:lang="en-GB"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7B5"/>
    <w:rsid w:val="0000174C"/>
    <w:rsid w:val="0000203F"/>
    <w:rsid w:val="000036C0"/>
    <w:rsid w:val="0000496F"/>
    <w:rsid w:val="00005442"/>
    <w:rsid w:val="000054AC"/>
    <w:rsid w:val="0000588E"/>
    <w:rsid w:val="00006C24"/>
    <w:rsid w:val="00006E42"/>
    <w:rsid w:val="00007AD9"/>
    <w:rsid w:val="00007F7F"/>
    <w:rsid w:val="000113A3"/>
    <w:rsid w:val="000113DF"/>
    <w:rsid w:val="000123FE"/>
    <w:rsid w:val="00014908"/>
    <w:rsid w:val="0001508F"/>
    <w:rsid w:val="00015A50"/>
    <w:rsid w:val="00017E24"/>
    <w:rsid w:val="00022394"/>
    <w:rsid w:val="00022D5B"/>
    <w:rsid w:val="00022DB5"/>
    <w:rsid w:val="0002341B"/>
    <w:rsid w:val="0002379D"/>
    <w:rsid w:val="000248B0"/>
    <w:rsid w:val="00025979"/>
    <w:rsid w:val="000267D1"/>
    <w:rsid w:val="00027FAF"/>
    <w:rsid w:val="000305B7"/>
    <w:rsid w:val="00031759"/>
    <w:rsid w:val="00031C86"/>
    <w:rsid w:val="00034306"/>
    <w:rsid w:val="00034B4F"/>
    <w:rsid w:val="0003502E"/>
    <w:rsid w:val="000365BB"/>
    <w:rsid w:val="00036651"/>
    <w:rsid w:val="000379F6"/>
    <w:rsid w:val="000403D1"/>
    <w:rsid w:val="000426C4"/>
    <w:rsid w:val="00043819"/>
    <w:rsid w:val="000449AA"/>
    <w:rsid w:val="00044C4B"/>
    <w:rsid w:val="00045778"/>
    <w:rsid w:val="000504F4"/>
    <w:rsid w:val="00050F6B"/>
    <w:rsid w:val="00051891"/>
    <w:rsid w:val="00052F69"/>
    <w:rsid w:val="00053CE2"/>
    <w:rsid w:val="00053DDA"/>
    <w:rsid w:val="00054323"/>
    <w:rsid w:val="00054D39"/>
    <w:rsid w:val="000559EF"/>
    <w:rsid w:val="000616AB"/>
    <w:rsid w:val="00061D27"/>
    <w:rsid w:val="0006267F"/>
    <w:rsid w:val="00064257"/>
    <w:rsid w:val="00064515"/>
    <w:rsid w:val="0006484E"/>
    <w:rsid w:val="00066F05"/>
    <w:rsid w:val="00072C8C"/>
    <w:rsid w:val="00073E70"/>
    <w:rsid w:val="00075E63"/>
    <w:rsid w:val="00076AC6"/>
    <w:rsid w:val="000803CA"/>
    <w:rsid w:val="0008111D"/>
    <w:rsid w:val="00083C57"/>
    <w:rsid w:val="000861EC"/>
    <w:rsid w:val="00086E9D"/>
    <w:rsid w:val="000876EB"/>
    <w:rsid w:val="00090BE7"/>
    <w:rsid w:val="00091419"/>
    <w:rsid w:val="00091C0C"/>
    <w:rsid w:val="000931C0"/>
    <w:rsid w:val="00094384"/>
    <w:rsid w:val="000945CC"/>
    <w:rsid w:val="00095CDA"/>
    <w:rsid w:val="0009734F"/>
    <w:rsid w:val="00097BA6"/>
    <w:rsid w:val="000A0668"/>
    <w:rsid w:val="000A0AE6"/>
    <w:rsid w:val="000A185C"/>
    <w:rsid w:val="000A1F07"/>
    <w:rsid w:val="000A3665"/>
    <w:rsid w:val="000B0F27"/>
    <w:rsid w:val="000B16C0"/>
    <w:rsid w:val="000B175B"/>
    <w:rsid w:val="000B24B7"/>
    <w:rsid w:val="000B2FC7"/>
    <w:rsid w:val="000B3238"/>
    <w:rsid w:val="000B3499"/>
    <w:rsid w:val="000B3A0F"/>
    <w:rsid w:val="000B43D1"/>
    <w:rsid w:val="000B4A3B"/>
    <w:rsid w:val="000B53EE"/>
    <w:rsid w:val="000B6311"/>
    <w:rsid w:val="000B6F07"/>
    <w:rsid w:val="000C09C1"/>
    <w:rsid w:val="000C290E"/>
    <w:rsid w:val="000C674E"/>
    <w:rsid w:val="000D04FD"/>
    <w:rsid w:val="000D051B"/>
    <w:rsid w:val="000D1851"/>
    <w:rsid w:val="000D253C"/>
    <w:rsid w:val="000D3210"/>
    <w:rsid w:val="000D5899"/>
    <w:rsid w:val="000D5B5C"/>
    <w:rsid w:val="000E02A5"/>
    <w:rsid w:val="000E0415"/>
    <w:rsid w:val="000E09EA"/>
    <w:rsid w:val="000E12D9"/>
    <w:rsid w:val="000E19FD"/>
    <w:rsid w:val="000E1B47"/>
    <w:rsid w:val="000E2184"/>
    <w:rsid w:val="000E4B51"/>
    <w:rsid w:val="000E5183"/>
    <w:rsid w:val="000E5258"/>
    <w:rsid w:val="000F00EE"/>
    <w:rsid w:val="000F0918"/>
    <w:rsid w:val="000F1EDA"/>
    <w:rsid w:val="000F461A"/>
    <w:rsid w:val="000F4FA5"/>
    <w:rsid w:val="000F5051"/>
    <w:rsid w:val="000F5B2E"/>
    <w:rsid w:val="000F6206"/>
    <w:rsid w:val="000F7FEA"/>
    <w:rsid w:val="00100B7B"/>
    <w:rsid w:val="0010157E"/>
    <w:rsid w:val="00104017"/>
    <w:rsid w:val="0010435B"/>
    <w:rsid w:val="00110B08"/>
    <w:rsid w:val="0011182D"/>
    <w:rsid w:val="001119C4"/>
    <w:rsid w:val="00112900"/>
    <w:rsid w:val="0011326A"/>
    <w:rsid w:val="001134F9"/>
    <w:rsid w:val="00114F2D"/>
    <w:rsid w:val="0011583F"/>
    <w:rsid w:val="001164EE"/>
    <w:rsid w:val="00116FAE"/>
    <w:rsid w:val="0011782C"/>
    <w:rsid w:val="00123CF7"/>
    <w:rsid w:val="00126815"/>
    <w:rsid w:val="0013012F"/>
    <w:rsid w:val="001338F4"/>
    <w:rsid w:val="00136A15"/>
    <w:rsid w:val="00137EB1"/>
    <w:rsid w:val="00141404"/>
    <w:rsid w:val="0014160D"/>
    <w:rsid w:val="00141BFB"/>
    <w:rsid w:val="001425F7"/>
    <w:rsid w:val="00142A80"/>
    <w:rsid w:val="00142C9D"/>
    <w:rsid w:val="00143C41"/>
    <w:rsid w:val="00144397"/>
    <w:rsid w:val="00144CBA"/>
    <w:rsid w:val="00146CB9"/>
    <w:rsid w:val="00146D32"/>
    <w:rsid w:val="00147AD2"/>
    <w:rsid w:val="0015062D"/>
    <w:rsid w:val="001509BA"/>
    <w:rsid w:val="00152DE8"/>
    <w:rsid w:val="00154058"/>
    <w:rsid w:val="00155938"/>
    <w:rsid w:val="00157412"/>
    <w:rsid w:val="001574D2"/>
    <w:rsid w:val="00161814"/>
    <w:rsid w:val="00162FA7"/>
    <w:rsid w:val="0016368C"/>
    <w:rsid w:val="00163ED1"/>
    <w:rsid w:val="001657D4"/>
    <w:rsid w:val="00166812"/>
    <w:rsid w:val="00172CBD"/>
    <w:rsid w:val="00173AE9"/>
    <w:rsid w:val="001748E0"/>
    <w:rsid w:val="001762C0"/>
    <w:rsid w:val="001765FF"/>
    <w:rsid w:val="00177379"/>
    <w:rsid w:val="00181F6C"/>
    <w:rsid w:val="001828D9"/>
    <w:rsid w:val="00182D5E"/>
    <w:rsid w:val="00187254"/>
    <w:rsid w:val="001914C2"/>
    <w:rsid w:val="00192A0C"/>
    <w:rsid w:val="00194566"/>
    <w:rsid w:val="00197FD4"/>
    <w:rsid w:val="001A0CEC"/>
    <w:rsid w:val="001A7086"/>
    <w:rsid w:val="001B0FFF"/>
    <w:rsid w:val="001B2184"/>
    <w:rsid w:val="001B32C3"/>
    <w:rsid w:val="001B3A75"/>
    <w:rsid w:val="001B4494"/>
    <w:rsid w:val="001B4B04"/>
    <w:rsid w:val="001B4C2E"/>
    <w:rsid w:val="001B5A12"/>
    <w:rsid w:val="001B6A50"/>
    <w:rsid w:val="001B6C16"/>
    <w:rsid w:val="001C026B"/>
    <w:rsid w:val="001C02D8"/>
    <w:rsid w:val="001C058B"/>
    <w:rsid w:val="001C22F4"/>
    <w:rsid w:val="001C2B0B"/>
    <w:rsid w:val="001C3F0E"/>
    <w:rsid w:val="001C3FD2"/>
    <w:rsid w:val="001C43C7"/>
    <w:rsid w:val="001C59F4"/>
    <w:rsid w:val="001C5E9B"/>
    <w:rsid w:val="001C60E6"/>
    <w:rsid w:val="001C6488"/>
    <w:rsid w:val="001C6663"/>
    <w:rsid w:val="001C7895"/>
    <w:rsid w:val="001D07FE"/>
    <w:rsid w:val="001D26DF"/>
    <w:rsid w:val="001D5AAE"/>
    <w:rsid w:val="001D5D06"/>
    <w:rsid w:val="001D7199"/>
    <w:rsid w:val="001D7583"/>
    <w:rsid w:val="001E10C9"/>
    <w:rsid w:val="001E1CB1"/>
    <w:rsid w:val="001E2790"/>
    <w:rsid w:val="001E3ABF"/>
    <w:rsid w:val="001E4601"/>
    <w:rsid w:val="001E5DE8"/>
    <w:rsid w:val="001E615F"/>
    <w:rsid w:val="001E623F"/>
    <w:rsid w:val="001E7B12"/>
    <w:rsid w:val="001E7CFA"/>
    <w:rsid w:val="001F07B9"/>
    <w:rsid w:val="001F12C2"/>
    <w:rsid w:val="001F1399"/>
    <w:rsid w:val="001F20AC"/>
    <w:rsid w:val="001F217F"/>
    <w:rsid w:val="001F51B6"/>
    <w:rsid w:val="001F7CE8"/>
    <w:rsid w:val="00200560"/>
    <w:rsid w:val="00201492"/>
    <w:rsid w:val="0020538D"/>
    <w:rsid w:val="002107E8"/>
    <w:rsid w:val="00211330"/>
    <w:rsid w:val="00211E0B"/>
    <w:rsid w:val="00211E72"/>
    <w:rsid w:val="002137F1"/>
    <w:rsid w:val="0021391C"/>
    <w:rsid w:val="00213A55"/>
    <w:rsid w:val="00214047"/>
    <w:rsid w:val="002147C2"/>
    <w:rsid w:val="0021520D"/>
    <w:rsid w:val="00215655"/>
    <w:rsid w:val="00216D02"/>
    <w:rsid w:val="00217696"/>
    <w:rsid w:val="002200CA"/>
    <w:rsid w:val="00220490"/>
    <w:rsid w:val="0022130F"/>
    <w:rsid w:val="00222787"/>
    <w:rsid w:val="00223B2F"/>
    <w:rsid w:val="00224D3A"/>
    <w:rsid w:val="0022606F"/>
    <w:rsid w:val="00226A40"/>
    <w:rsid w:val="00227BC4"/>
    <w:rsid w:val="002307D2"/>
    <w:rsid w:val="00231873"/>
    <w:rsid w:val="0023409D"/>
    <w:rsid w:val="0023490A"/>
    <w:rsid w:val="00235BA5"/>
    <w:rsid w:val="00235BD0"/>
    <w:rsid w:val="00235EDF"/>
    <w:rsid w:val="00235FBE"/>
    <w:rsid w:val="002362E6"/>
    <w:rsid w:val="00237785"/>
    <w:rsid w:val="002410DD"/>
    <w:rsid w:val="00241466"/>
    <w:rsid w:val="00243EA1"/>
    <w:rsid w:val="002440FF"/>
    <w:rsid w:val="002452B8"/>
    <w:rsid w:val="00245553"/>
    <w:rsid w:val="00247915"/>
    <w:rsid w:val="002519E7"/>
    <w:rsid w:val="002523E5"/>
    <w:rsid w:val="002533F0"/>
    <w:rsid w:val="00253D58"/>
    <w:rsid w:val="0025618D"/>
    <w:rsid w:val="00260773"/>
    <w:rsid w:val="002607DD"/>
    <w:rsid w:val="0026340B"/>
    <w:rsid w:val="00263682"/>
    <w:rsid w:val="002649B7"/>
    <w:rsid w:val="00265093"/>
    <w:rsid w:val="00266405"/>
    <w:rsid w:val="002707C1"/>
    <w:rsid w:val="0027205A"/>
    <w:rsid w:val="00273AEE"/>
    <w:rsid w:val="00275FAC"/>
    <w:rsid w:val="0027725F"/>
    <w:rsid w:val="00277872"/>
    <w:rsid w:val="002821AB"/>
    <w:rsid w:val="00283E23"/>
    <w:rsid w:val="00284443"/>
    <w:rsid w:val="00285C58"/>
    <w:rsid w:val="00287F57"/>
    <w:rsid w:val="002917BA"/>
    <w:rsid w:val="002929FB"/>
    <w:rsid w:val="0029393A"/>
    <w:rsid w:val="002943C0"/>
    <w:rsid w:val="00294F2E"/>
    <w:rsid w:val="002962E9"/>
    <w:rsid w:val="00296865"/>
    <w:rsid w:val="00296F0A"/>
    <w:rsid w:val="002A3220"/>
    <w:rsid w:val="002A41F9"/>
    <w:rsid w:val="002A5420"/>
    <w:rsid w:val="002A5F8E"/>
    <w:rsid w:val="002B00D9"/>
    <w:rsid w:val="002B032E"/>
    <w:rsid w:val="002B0CBF"/>
    <w:rsid w:val="002B1D79"/>
    <w:rsid w:val="002B5169"/>
    <w:rsid w:val="002B581B"/>
    <w:rsid w:val="002C003F"/>
    <w:rsid w:val="002C0BF1"/>
    <w:rsid w:val="002C21F0"/>
    <w:rsid w:val="002C2604"/>
    <w:rsid w:val="002C4D51"/>
    <w:rsid w:val="002C512B"/>
    <w:rsid w:val="002C6425"/>
    <w:rsid w:val="002C66A8"/>
    <w:rsid w:val="002C791F"/>
    <w:rsid w:val="002D037E"/>
    <w:rsid w:val="002D194E"/>
    <w:rsid w:val="002D20E3"/>
    <w:rsid w:val="002E0182"/>
    <w:rsid w:val="002E11BB"/>
    <w:rsid w:val="002E1B36"/>
    <w:rsid w:val="002E2EF9"/>
    <w:rsid w:val="002E33EE"/>
    <w:rsid w:val="002E3DC2"/>
    <w:rsid w:val="002E4786"/>
    <w:rsid w:val="002E57A8"/>
    <w:rsid w:val="002E598F"/>
    <w:rsid w:val="002F472A"/>
    <w:rsid w:val="002F6B86"/>
    <w:rsid w:val="002F6CC5"/>
    <w:rsid w:val="002F7146"/>
    <w:rsid w:val="002F7EDE"/>
    <w:rsid w:val="00300DE8"/>
    <w:rsid w:val="00300F7D"/>
    <w:rsid w:val="00302D2E"/>
    <w:rsid w:val="00302F83"/>
    <w:rsid w:val="0030320C"/>
    <w:rsid w:val="0030354E"/>
    <w:rsid w:val="00303A7A"/>
    <w:rsid w:val="00303B46"/>
    <w:rsid w:val="00304D23"/>
    <w:rsid w:val="003079D4"/>
    <w:rsid w:val="003102AC"/>
    <w:rsid w:val="003102B4"/>
    <w:rsid w:val="003107FA"/>
    <w:rsid w:val="00310903"/>
    <w:rsid w:val="00312BF5"/>
    <w:rsid w:val="00312CC4"/>
    <w:rsid w:val="00316090"/>
    <w:rsid w:val="00316354"/>
    <w:rsid w:val="003165DC"/>
    <w:rsid w:val="003170AF"/>
    <w:rsid w:val="00317977"/>
    <w:rsid w:val="00321300"/>
    <w:rsid w:val="003229D8"/>
    <w:rsid w:val="00322E93"/>
    <w:rsid w:val="00325101"/>
    <w:rsid w:val="00325B6E"/>
    <w:rsid w:val="00325BB9"/>
    <w:rsid w:val="0032790C"/>
    <w:rsid w:val="0033012D"/>
    <w:rsid w:val="00330395"/>
    <w:rsid w:val="003314D1"/>
    <w:rsid w:val="00332CEE"/>
    <w:rsid w:val="00335A2F"/>
    <w:rsid w:val="0033744C"/>
    <w:rsid w:val="00341937"/>
    <w:rsid w:val="003438FF"/>
    <w:rsid w:val="00345C64"/>
    <w:rsid w:val="003465C3"/>
    <w:rsid w:val="00347EE6"/>
    <w:rsid w:val="003500FF"/>
    <w:rsid w:val="00350911"/>
    <w:rsid w:val="003520E6"/>
    <w:rsid w:val="00352876"/>
    <w:rsid w:val="00353439"/>
    <w:rsid w:val="00354E1B"/>
    <w:rsid w:val="00354EE8"/>
    <w:rsid w:val="00355581"/>
    <w:rsid w:val="00355CFE"/>
    <w:rsid w:val="003576BF"/>
    <w:rsid w:val="00362921"/>
    <w:rsid w:val="00362B0A"/>
    <w:rsid w:val="00362F8F"/>
    <w:rsid w:val="00363931"/>
    <w:rsid w:val="0036400E"/>
    <w:rsid w:val="00366211"/>
    <w:rsid w:val="003714FB"/>
    <w:rsid w:val="00371A98"/>
    <w:rsid w:val="00372C0B"/>
    <w:rsid w:val="0037664F"/>
    <w:rsid w:val="00377444"/>
    <w:rsid w:val="00381024"/>
    <w:rsid w:val="003812A1"/>
    <w:rsid w:val="003815EE"/>
    <w:rsid w:val="00383E70"/>
    <w:rsid w:val="003844E5"/>
    <w:rsid w:val="003851DC"/>
    <w:rsid w:val="00385723"/>
    <w:rsid w:val="003864B7"/>
    <w:rsid w:val="003869D7"/>
    <w:rsid w:val="00386C84"/>
    <w:rsid w:val="0039220C"/>
    <w:rsid w:val="0039277A"/>
    <w:rsid w:val="00392954"/>
    <w:rsid w:val="00394AE8"/>
    <w:rsid w:val="00395997"/>
    <w:rsid w:val="00395ED8"/>
    <w:rsid w:val="003972E0"/>
    <w:rsid w:val="003975ED"/>
    <w:rsid w:val="003A10DF"/>
    <w:rsid w:val="003A13FA"/>
    <w:rsid w:val="003A1D17"/>
    <w:rsid w:val="003A3FC9"/>
    <w:rsid w:val="003A503C"/>
    <w:rsid w:val="003B08E7"/>
    <w:rsid w:val="003B1918"/>
    <w:rsid w:val="003B28F4"/>
    <w:rsid w:val="003B3E36"/>
    <w:rsid w:val="003B44AA"/>
    <w:rsid w:val="003B6B21"/>
    <w:rsid w:val="003B6F04"/>
    <w:rsid w:val="003B7BB2"/>
    <w:rsid w:val="003C0088"/>
    <w:rsid w:val="003C0220"/>
    <w:rsid w:val="003C2033"/>
    <w:rsid w:val="003C2CC4"/>
    <w:rsid w:val="003C381B"/>
    <w:rsid w:val="003C51B4"/>
    <w:rsid w:val="003C6788"/>
    <w:rsid w:val="003D22E2"/>
    <w:rsid w:val="003D33C8"/>
    <w:rsid w:val="003D3F10"/>
    <w:rsid w:val="003D4B23"/>
    <w:rsid w:val="003D4DFF"/>
    <w:rsid w:val="003D587F"/>
    <w:rsid w:val="003D6B06"/>
    <w:rsid w:val="003E2643"/>
    <w:rsid w:val="003E28B2"/>
    <w:rsid w:val="003E4303"/>
    <w:rsid w:val="003E4D37"/>
    <w:rsid w:val="003E55E4"/>
    <w:rsid w:val="003E5B97"/>
    <w:rsid w:val="003E644D"/>
    <w:rsid w:val="003F0D15"/>
    <w:rsid w:val="003F1093"/>
    <w:rsid w:val="003F283D"/>
    <w:rsid w:val="003F5A9F"/>
    <w:rsid w:val="003F6085"/>
    <w:rsid w:val="003F62F1"/>
    <w:rsid w:val="003F75DE"/>
    <w:rsid w:val="003F7ACF"/>
    <w:rsid w:val="0040355B"/>
    <w:rsid w:val="00403897"/>
    <w:rsid w:val="004038EE"/>
    <w:rsid w:val="0041048A"/>
    <w:rsid w:val="00413199"/>
    <w:rsid w:val="00415247"/>
    <w:rsid w:val="004160B5"/>
    <w:rsid w:val="004160EC"/>
    <w:rsid w:val="0041672D"/>
    <w:rsid w:val="00416953"/>
    <w:rsid w:val="00417167"/>
    <w:rsid w:val="0042172D"/>
    <w:rsid w:val="004235ED"/>
    <w:rsid w:val="0042451E"/>
    <w:rsid w:val="00424C80"/>
    <w:rsid w:val="00425C76"/>
    <w:rsid w:val="00426CFC"/>
    <w:rsid w:val="00427BEB"/>
    <w:rsid w:val="004300C4"/>
    <w:rsid w:val="00430266"/>
    <w:rsid w:val="004323C8"/>
    <w:rsid w:val="004325CB"/>
    <w:rsid w:val="0043467A"/>
    <w:rsid w:val="00435CF1"/>
    <w:rsid w:val="004372D2"/>
    <w:rsid w:val="004374C7"/>
    <w:rsid w:val="004409D2"/>
    <w:rsid w:val="004424A7"/>
    <w:rsid w:val="00442F64"/>
    <w:rsid w:val="004431FB"/>
    <w:rsid w:val="0044345E"/>
    <w:rsid w:val="004436BB"/>
    <w:rsid w:val="0044478E"/>
    <w:rsid w:val="00444E11"/>
    <w:rsid w:val="0044503A"/>
    <w:rsid w:val="00446D5E"/>
    <w:rsid w:val="00446DE4"/>
    <w:rsid w:val="004471F9"/>
    <w:rsid w:val="004476D1"/>
    <w:rsid w:val="00447761"/>
    <w:rsid w:val="004506CF"/>
    <w:rsid w:val="00450AD6"/>
    <w:rsid w:val="004510D9"/>
    <w:rsid w:val="0045145D"/>
    <w:rsid w:val="0045164A"/>
    <w:rsid w:val="00451EC3"/>
    <w:rsid w:val="00453497"/>
    <w:rsid w:val="004552F1"/>
    <w:rsid w:val="00456135"/>
    <w:rsid w:val="0046041A"/>
    <w:rsid w:val="00462556"/>
    <w:rsid w:val="004654CE"/>
    <w:rsid w:val="004658A8"/>
    <w:rsid w:val="00466B78"/>
    <w:rsid w:val="004716AB"/>
    <w:rsid w:val="004719B7"/>
    <w:rsid w:val="004721B1"/>
    <w:rsid w:val="00472214"/>
    <w:rsid w:val="00475246"/>
    <w:rsid w:val="00475783"/>
    <w:rsid w:val="00475F7A"/>
    <w:rsid w:val="00476B81"/>
    <w:rsid w:val="004801BA"/>
    <w:rsid w:val="00480F65"/>
    <w:rsid w:val="00482FC2"/>
    <w:rsid w:val="00483797"/>
    <w:rsid w:val="00483803"/>
    <w:rsid w:val="004848D8"/>
    <w:rsid w:val="00485423"/>
    <w:rsid w:val="004859EC"/>
    <w:rsid w:val="00485C9B"/>
    <w:rsid w:val="00485E8E"/>
    <w:rsid w:val="0049047F"/>
    <w:rsid w:val="004923E7"/>
    <w:rsid w:val="00493215"/>
    <w:rsid w:val="00493E51"/>
    <w:rsid w:val="00494635"/>
    <w:rsid w:val="00494EEC"/>
    <w:rsid w:val="00496A15"/>
    <w:rsid w:val="004978D0"/>
    <w:rsid w:val="00497B6A"/>
    <w:rsid w:val="00497E0F"/>
    <w:rsid w:val="004A25C5"/>
    <w:rsid w:val="004A2C26"/>
    <w:rsid w:val="004A741C"/>
    <w:rsid w:val="004B0967"/>
    <w:rsid w:val="004B1EEA"/>
    <w:rsid w:val="004B346A"/>
    <w:rsid w:val="004B5506"/>
    <w:rsid w:val="004B5CD9"/>
    <w:rsid w:val="004B6A62"/>
    <w:rsid w:val="004B73A7"/>
    <w:rsid w:val="004B75D2"/>
    <w:rsid w:val="004C0265"/>
    <w:rsid w:val="004C11B3"/>
    <w:rsid w:val="004C1C9A"/>
    <w:rsid w:val="004C2AC8"/>
    <w:rsid w:val="004C6C40"/>
    <w:rsid w:val="004D0285"/>
    <w:rsid w:val="004D0FD4"/>
    <w:rsid w:val="004D1140"/>
    <w:rsid w:val="004D11A3"/>
    <w:rsid w:val="004D22DB"/>
    <w:rsid w:val="004D2ABE"/>
    <w:rsid w:val="004D2E7D"/>
    <w:rsid w:val="004D3464"/>
    <w:rsid w:val="004D386A"/>
    <w:rsid w:val="004D40FE"/>
    <w:rsid w:val="004D6F9F"/>
    <w:rsid w:val="004D7F38"/>
    <w:rsid w:val="004E03D3"/>
    <w:rsid w:val="004E4294"/>
    <w:rsid w:val="004E5048"/>
    <w:rsid w:val="004F2159"/>
    <w:rsid w:val="004F55ED"/>
    <w:rsid w:val="004F6818"/>
    <w:rsid w:val="004F6B77"/>
    <w:rsid w:val="004F6BA9"/>
    <w:rsid w:val="004F6BFB"/>
    <w:rsid w:val="004F6D23"/>
    <w:rsid w:val="004F7A34"/>
    <w:rsid w:val="00503956"/>
    <w:rsid w:val="00503E04"/>
    <w:rsid w:val="00505AFC"/>
    <w:rsid w:val="00506782"/>
    <w:rsid w:val="00507053"/>
    <w:rsid w:val="00507CDA"/>
    <w:rsid w:val="00507E38"/>
    <w:rsid w:val="00510DA6"/>
    <w:rsid w:val="00512DCE"/>
    <w:rsid w:val="00514EB8"/>
    <w:rsid w:val="00515B0A"/>
    <w:rsid w:val="005167F7"/>
    <w:rsid w:val="00520270"/>
    <w:rsid w:val="0052176C"/>
    <w:rsid w:val="00521C6C"/>
    <w:rsid w:val="00521D2E"/>
    <w:rsid w:val="005220AA"/>
    <w:rsid w:val="00522A28"/>
    <w:rsid w:val="00523410"/>
    <w:rsid w:val="00525304"/>
    <w:rsid w:val="005261E5"/>
    <w:rsid w:val="00533888"/>
    <w:rsid w:val="0053422B"/>
    <w:rsid w:val="005355FA"/>
    <w:rsid w:val="005365BC"/>
    <w:rsid w:val="00540589"/>
    <w:rsid w:val="00540E28"/>
    <w:rsid w:val="005415AC"/>
    <w:rsid w:val="00541622"/>
    <w:rsid w:val="00541794"/>
    <w:rsid w:val="005420F2"/>
    <w:rsid w:val="0054225C"/>
    <w:rsid w:val="00542574"/>
    <w:rsid w:val="0054259D"/>
    <w:rsid w:val="005429BD"/>
    <w:rsid w:val="005436AB"/>
    <w:rsid w:val="00543BF3"/>
    <w:rsid w:val="00544E6F"/>
    <w:rsid w:val="00545C16"/>
    <w:rsid w:val="00546DBF"/>
    <w:rsid w:val="00547673"/>
    <w:rsid w:val="00547A20"/>
    <w:rsid w:val="00547C0A"/>
    <w:rsid w:val="00547E05"/>
    <w:rsid w:val="00550458"/>
    <w:rsid w:val="00550E42"/>
    <w:rsid w:val="00551AA2"/>
    <w:rsid w:val="00552F20"/>
    <w:rsid w:val="00553A00"/>
    <w:rsid w:val="00553D76"/>
    <w:rsid w:val="00554D61"/>
    <w:rsid w:val="005552B5"/>
    <w:rsid w:val="00560F00"/>
    <w:rsid w:val="0056117B"/>
    <w:rsid w:val="00563148"/>
    <w:rsid w:val="00563698"/>
    <w:rsid w:val="00566198"/>
    <w:rsid w:val="0056695A"/>
    <w:rsid w:val="005709F8"/>
    <w:rsid w:val="00571365"/>
    <w:rsid w:val="00571990"/>
    <w:rsid w:val="00571F53"/>
    <w:rsid w:val="00573CFC"/>
    <w:rsid w:val="0057529B"/>
    <w:rsid w:val="005763C4"/>
    <w:rsid w:val="0057652F"/>
    <w:rsid w:val="005774B8"/>
    <w:rsid w:val="00577B01"/>
    <w:rsid w:val="0058100B"/>
    <w:rsid w:val="00581B6E"/>
    <w:rsid w:val="00583889"/>
    <w:rsid w:val="005847CB"/>
    <w:rsid w:val="00585187"/>
    <w:rsid w:val="0058732B"/>
    <w:rsid w:val="00587B9E"/>
    <w:rsid w:val="00596E6F"/>
    <w:rsid w:val="0059703E"/>
    <w:rsid w:val="005A07A0"/>
    <w:rsid w:val="005A1981"/>
    <w:rsid w:val="005A2302"/>
    <w:rsid w:val="005A231C"/>
    <w:rsid w:val="005A3A36"/>
    <w:rsid w:val="005A3B77"/>
    <w:rsid w:val="005A4A9C"/>
    <w:rsid w:val="005A575D"/>
    <w:rsid w:val="005B0257"/>
    <w:rsid w:val="005B0641"/>
    <w:rsid w:val="005B227F"/>
    <w:rsid w:val="005B359F"/>
    <w:rsid w:val="005B3DB3"/>
    <w:rsid w:val="005B5D3B"/>
    <w:rsid w:val="005B6E48"/>
    <w:rsid w:val="005B7E68"/>
    <w:rsid w:val="005C04CC"/>
    <w:rsid w:val="005C0FC1"/>
    <w:rsid w:val="005C1DB7"/>
    <w:rsid w:val="005C1FD7"/>
    <w:rsid w:val="005C3DBC"/>
    <w:rsid w:val="005C54CA"/>
    <w:rsid w:val="005C64D9"/>
    <w:rsid w:val="005C703C"/>
    <w:rsid w:val="005C70F6"/>
    <w:rsid w:val="005D0C9C"/>
    <w:rsid w:val="005D1DF6"/>
    <w:rsid w:val="005D26CF"/>
    <w:rsid w:val="005D313C"/>
    <w:rsid w:val="005D4ADE"/>
    <w:rsid w:val="005D4BE7"/>
    <w:rsid w:val="005D706F"/>
    <w:rsid w:val="005D72DC"/>
    <w:rsid w:val="005E1712"/>
    <w:rsid w:val="005E320B"/>
    <w:rsid w:val="005E3990"/>
    <w:rsid w:val="005E4B86"/>
    <w:rsid w:val="005E51AA"/>
    <w:rsid w:val="005E59BA"/>
    <w:rsid w:val="005E68B0"/>
    <w:rsid w:val="005E68FD"/>
    <w:rsid w:val="005E6D2C"/>
    <w:rsid w:val="005F6039"/>
    <w:rsid w:val="005F748C"/>
    <w:rsid w:val="0060213B"/>
    <w:rsid w:val="006070D1"/>
    <w:rsid w:val="00607A86"/>
    <w:rsid w:val="00611FC4"/>
    <w:rsid w:val="006155E8"/>
    <w:rsid w:val="0061633E"/>
    <w:rsid w:val="00616534"/>
    <w:rsid w:val="006176FB"/>
    <w:rsid w:val="00620F7A"/>
    <w:rsid w:val="00623B89"/>
    <w:rsid w:val="0062421C"/>
    <w:rsid w:val="006249B0"/>
    <w:rsid w:val="00625333"/>
    <w:rsid w:val="006257F9"/>
    <w:rsid w:val="00627E86"/>
    <w:rsid w:val="0063141B"/>
    <w:rsid w:val="00631E7A"/>
    <w:rsid w:val="00632A35"/>
    <w:rsid w:val="00632A5D"/>
    <w:rsid w:val="00633529"/>
    <w:rsid w:val="00634B54"/>
    <w:rsid w:val="00635D5E"/>
    <w:rsid w:val="00635F2E"/>
    <w:rsid w:val="00640B26"/>
    <w:rsid w:val="0064317D"/>
    <w:rsid w:val="00645526"/>
    <w:rsid w:val="0064583D"/>
    <w:rsid w:val="006458E8"/>
    <w:rsid w:val="0064725E"/>
    <w:rsid w:val="006504FB"/>
    <w:rsid w:val="00651075"/>
    <w:rsid w:val="00651ECD"/>
    <w:rsid w:val="00654E21"/>
    <w:rsid w:val="00657453"/>
    <w:rsid w:val="006578B0"/>
    <w:rsid w:val="00657BC9"/>
    <w:rsid w:val="00660FE2"/>
    <w:rsid w:val="00661AD9"/>
    <w:rsid w:val="00662001"/>
    <w:rsid w:val="00663D93"/>
    <w:rsid w:val="0066661A"/>
    <w:rsid w:val="00670741"/>
    <w:rsid w:val="00674A2C"/>
    <w:rsid w:val="006769C8"/>
    <w:rsid w:val="006809A9"/>
    <w:rsid w:val="006809F1"/>
    <w:rsid w:val="0068311E"/>
    <w:rsid w:val="00684501"/>
    <w:rsid w:val="00685AC3"/>
    <w:rsid w:val="0068708C"/>
    <w:rsid w:val="00690C68"/>
    <w:rsid w:val="00694DD8"/>
    <w:rsid w:val="00695B3A"/>
    <w:rsid w:val="00696BD6"/>
    <w:rsid w:val="00697BFD"/>
    <w:rsid w:val="006A0286"/>
    <w:rsid w:val="006A2216"/>
    <w:rsid w:val="006A2B0D"/>
    <w:rsid w:val="006A2D36"/>
    <w:rsid w:val="006A3C47"/>
    <w:rsid w:val="006A4AE8"/>
    <w:rsid w:val="006A55F7"/>
    <w:rsid w:val="006A6545"/>
    <w:rsid w:val="006A6B9D"/>
    <w:rsid w:val="006A7287"/>
    <w:rsid w:val="006A7392"/>
    <w:rsid w:val="006B1A02"/>
    <w:rsid w:val="006B3189"/>
    <w:rsid w:val="006B4FAB"/>
    <w:rsid w:val="006B653D"/>
    <w:rsid w:val="006B7D65"/>
    <w:rsid w:val="006B7F1A"/>
    <w:rsid w:val="006C1A3F"/>
    <w:rsid w:val="006C4141"/>
    <w:rsid w:val="006C511A"/>
    <w:rsid w:val="006C53D5"/>
    <w:rsid w:val="006C5D95"/>
    <w:rsid w:val="006C7977"/>
    <w:rsid w:val="006D047D"/>
    <w:rsid w:val="006D05D2"/>
    <w:rsid w:val="006D1307"/>
    <w:rsid w:val="006D1BA6"/>
    <w:rsid w:val="006D36A7"/>
    <w:rsid w:val="006D48E8"/>
    <w:rsid w:val="006D6DA6"/>
    <w:rsid w:val="006D7A46"/>
    <w:rsid w:val="006E0ADE"/>
    <w:rsid w:val="006E1F57"/>
    <w:rsid w:val="006E3C38"/>
    <w:rsid w:val="006E3DBC"/>
    <w:rsid w:val="006E3DD1"/>
    <w:rsid w:val="006E4440"/>
    <w:rsid w:val="006E564B"/>
    <w:rsid w:val="006E5CFE"/>
    <w:rsid w:val="006E612C"/>
    <w:rsid w:val="006E642B"/>
    <w:rsid w:val="006E7351"/>
    <w:rsid w:val="006E7538"/>
    <w:rsid w:val="006E7EB0"/>
    <w:rsid w:val="006F0750"/>
    <w:rsid w:val="006F13F0"/>
    <w:rsid w:val="006F393C"/>
    <w:rsid w:val="006F4391"/>
    <w:rsid w:val="006F5035"/>
    <w:rsid w:val="00701A94"/>
    <w:rsid w:val="0070496D"/>
    <w:rsid w:val="007050FB"/>
    <w:rsid w:val="007065EB"/>
    <w:rsid w:val="007067BC"/>
    <w:rsid w:val="007079AC"/>
    <w:rsid w:val="00711967"/>
    <w:rsid w:val="007147F4"/>
    <w:rsid w:val="0071562D"/>
    <w:rsid w:val="007178D7"/>
    <w:rsid w:val="00717939"/>
    <w:rsid w:val="00720183"/>
    <w:rsid w:val="00720630"/>
    <w:rsid w:val="00723CC9"/>
    <w:rsid w:val="00723ECA"/>
    <w:rsid w:val="007249A9"/>
    <w:rsid w:val="007257C4"/>
    <w:rsid w:val="00725C88"/>
    <w:rsid w:val="0072619D"/>
    <w:rsid w:val="0072632A"/>
    <w:rsid w:val="00726C93"/>
    <w:rsid w:val="00726FA9"/>
    <w:rsid w:val="00727CD7"/>
    <w:rsid w:val="00730CEB"/>
    <w:rsid w:val="007338CD"/>
    <w:rsid w:val="00733BBB"/>
    <w:rsid w:val="00734DA5"/>
    <w:rsid w:val="00737326"/>
    <w:rsid w:val="00741559"/>
    <w:rsid w:val="007419C6"/>
    <w:rsid w:val="0074200B"/>
    <w:rsid w:val="007473B5"/>
    <w:rsid w:val="0075404C"/>
    <w:rsid w:val="00756662"/>
    <w:rsid w:val="007642D2"/>
    <w:rsid w:val="007651AF"/>
    <w:rsid w:val="007654B0"/>
    <w:rsid w:val="00767EB4"/>
    <w:rsid w:val="00770510"/>
    <w:rsid w:val="007715BE"/>
    <w:rsid w:val="00772115"/>
    <w:rsid w:val="007731F5"/>
    <w:rsid w:val="0077378D"/>
    <w:rsid w:val="0077378E"/>
    <w:rsid w:val="00774AF2"/>
    <w:rsid w:val="00780EBC"/>
    <w:rsid w:val="00783D1C"/>
    <w:rsid w:val="007868C5"/>
    <w:rsid w:val="00792825"/>
    <w:rsid w:val="00792B49"/>
    <w:rsid w:val="007956B2"/>
    <w:rsid w:val="00796B55"/>
    <w:rsid w:val="00797D49"/>
    <w:rsid w:val="00797FA2"/>
    <w:rsid w:val="007A0569"/>
    <w:rsid w:val="007A115F"/>
    <w:rsid w:val="007A2BF7"/>
    <w:rsid w:val="007A59C9"/>
    <w:rsid w:val="007A6296"/>
    <w:rsid w:val="007B0542"/>
    <w:rsid w:val="007B1120"/>
    <w:rsid w:val="007B1944"/>
    <w:rsid w:val="007B1A19"/>
    <w:rsid w:val="007B27B5"/>
    <w:rsid w:val="007B462D"/>
    <w:rsid w:val="007B4E87"/>
    <w:rsid w:val="007B6BA5"/>
    <w:rsid w:val="007B7619"/>
    <w:rsid w:val="007C080A"/>
    <w:rsid w:val="007C1B62"/>
    <w:rsid w:val="007C3390"/>
    <w:rsid w:val="007C4F4B"/>
    <w:rsid w:val="007C566F"/>
    <w:rsid w:val="007C5EEA"/>
    <w:rsid w:val="007C79DB"/>
    <w:rsid w:val="007D2ADD"/>
    <w:rsid w:val="007D2CDC"/>
    <w:rsid w:val="007D4CF9"/>
    <w:rsid w:val="007D5327"/>
    <w:rsid w:val="007D66A8"/>
    <w:rsid w:val="007D714A"/>
    <w:rsid w:val="007D731C"/>
    <w:rsid w:val="007E0F7F"/>
    <w:rsid w:val="007E1949"/>
    <w:rsid w:val="007E1F71"/>
    <w:rsid w:val="007E2C9B"/>
    <w:rsid w:val="007E4A77"/>
    <w:rsid w:val="007E646F"/>
    <w:rsid w:val="007E7DCC"/>
    <w:rsid w:val="007F0EB3"/>
    <w:rsid w:val="007F16B8"/>
    <w:rsid w:val="007F4A9D"/>
    <w:rsid w:val="007F5316"/>
    <w:rsid w:val="007F53EF"/>
    <w:rsid w:val="007F6611"/>
    <w:rsid w:val="00801338"/>
    <w:rsid w:val="00801A0F"/>
    <w:rsid w:val="00803AA4"/>
    <w:rsid w:val="008041C3"/>
    <w:rsid w:val="008046ED"/>
    <w:rsid w:val="00804754"/>
    <w:rsid w:val="00804A0F"/>
    <w:rsid w:val="0080508D"/>
    <w:rsid w:val="0080594E"/>
    <w:rsid w:val="00807631"/>
    <w:rsid w:val="00810079"/>
    <w:rsid w:val="00811277"/>
    <w:rsid w:val="00811CBA"/>
    <w:rsid w:val="00812159"/>
    <w:rsid w:val="00812280"/>
    <w:rsid w:val="00813ED3"/>
    <w:rsid w:val="008155C3"/>
    <w:rsid w:val="00816F47"/>
    <w:rsid w:val="008175E9"/>
    <w:rsid w:val="008179E7"/>
    <w:rsid w:val="00821072"/>
    <w:rsid w:val="0082227D"/>
    <w:rsid w:val="0082243E"/>
    <w:rsid w:val="008236F3"/>
    <w:rsid w:val="008242D7"/>
    <w:rsid w:val="00824687"/>
    <w:rsid w:val="008254D7"/>
    <w:rsid w:val="00825627"/>
    <w:rsid w:val="00830274"/>
    <w:rsid w:val="00831A79"/>
    <w:rsid w:val="00832BA2"/>
    <w:rsid w:val="0083302D"/>
    <w:rsid w:val="008362C4"/>
    <w:rsid w:val="008417A8"/>
    <w:rsid w:val="008427CA"/>
    <w:rsid w:val="008432DA"/>
    <w:rsid w:val="008438AA"/>
    <w:rsid w:val="00843D05"/>
    <w:rsid w:val="00846A64"/>
    <w:rsid w:val="00851E06"/>
    <w:rsid w:val="0085526E"/>
    <w:rsid w:val="00856215"/>
    <w:rsid w:val="00856CD2"/>
    <w:rsid w:val="0085776C"/>
    <w:rsid w:val="00861BC6"/>
    <w:rsid w:val="0086244C"/>
    <w:rsid w:val="0086288F"/>
    <w:rsid w:val="008635B3"/>
    <w:rsid w:val="00863F42"/>
    <w:rsid w:val="00864114"/>
    <w:rsid w:val="008641BE"/>
    <w:rsid w:val="00867E3A"/>
    <w:rsid w:val="00870620"/>
    <w:rsid w:val="00870969"/>
    <w:rsid w:val="00871E8B"/>
    <w:rsid w:val="00871FD5"/>
    <w:rsid w:val="008745C6"/>
    <w:rsid w:val="00876049"/>
    <w:rsid w:val="008770D8"/>
    <w:rsid w:val="00877C6A"/>
    <w:rsid w:val="0088466E"/>
    <w:rsid w:val="00884BC3"/>
    <w:rsid w:val="00885720"/>
    <w:rsid w:val="0088594B"/>
    <w:rsid w:val="00886302"/>
    <w:rsid w:val="00890426"/>
    <w:rsid w:val="00890F24"/>
    <w:rsid w:val="00891386"/>
    <w:rsid w:val="00892732"/>
    <w:rsid w:val="00892BCC"/>
    <w:rsid w:val="00893B8B"/>
    <w:rsid w:val="00894059"/>
    <w:rsid w:val="008952EA"/>
    <w:rsid w:val="0089583A"/>
    <w:rsid w:val="00896A02"/>
    <w:rsid w:val="008979B1"/>
    <w:rsid w:val="00897DF2"/>
    <w:rsid w:val="008A090A"/>
    <w:rsid w:val="008A0FEA"/>
    <w:rsid w:val="008A158F"/>
    <w:rsid w:val="008A22DB"/>
    <w:rsid w:val="008A2C18"/>
    <w:rsid w:val="008A4420"/>
    <w:rsid w:val="008A4D37"/>
    <w:rsid w:val="008A6B25"/>
    <w:rsid w:val="008A6C4F"/>
    <w:rsid w:val="008A6D3E"/>
    <w:rsid w:val="008B1F2D"/>
    <w:rsid w:val="008B224B"/>
    <w:rsid w:val="008B67C5"/>
    <w:rsid w:val="008C034E"/>
    <w:rsid w:val="008C044C"/>
    <w:rsid w:val="008C1E4D"/>
    <w:rsid w:val="008C29E1"/>
    <w:rsid w:val="008C5BE6"/>
    <w:rsid w:val="008D09F4"/>
    <w:rsid w:val="008D159D"/>
    <w:rsid w:val="008D1EF3"/>
    <w:rsid w:val="008D1FA3"/>
    <w:rsid w:val="008D27F7"/>
    <w:rsid w:val="008D2E50"/>
    <w:rsid w:val="008D4550"/>
    <w:rsid w:val="008D5D3D"/>
    <w:rsid w:val="008E0E46"/>
    <w:rsid w:val="008E240F"/>
    <w:rsid w:val="008E31E0"/>
    <w:rsid w:val="008E42AF"/>
    <w:rsid w:val="008E4C84"/>
    <w:rsid w:val="008E7627"/>
    <w:rsid w:val="008F116D"/>
    <w:rsid w:val="008F1674"/>
    <w:rsid w:val="008F1F27"/>
    <w:rsid w:val="008F32CA"/>
    <w:rsid w:val="008F4F7A"/>
    <w:rsid w:val="008F51EE"/>
    <w:rsid w:val="0090046A"/>
    <w:rsid w:val="0090126B"/>
    <w:rsid w:val="009013AE"/>
    <w:rsid w:val="00902559"/>
    <w:rsid w:val="009028B7"/>
    <w:rsid w:val="0090452C"/>
    <w:rsid w:val="00906A6B"/>
    <w:rsid w:val="00906DEE"/>
    <w:rsid w:val="00907C3F"/>
    <w:rsid w:val="00910C8F"/>
    <w:rsid w:val="00910F9F"/>
    <w:rsid w:val="00911E4D"/>
    <w:rsid w:val="00913BD9"/>
    <w:rsid w:val="0091586E"/>
    <w:rsid w:val="00915DAD"/>
    <w:rsid w:val="00921230"/>
    <w:rsid w:val="0092237C"/>
    <w:rsid w:val="009224F5"/>
    <w:rsid w:val="009244EA"/>
    <w:rsid w:val="00926A51"/>
    <w:rsid w:val="0092723A"/>
    <w:rsid w:val="00931BFD"/>
    <w:rsid w:val="00933914"/>
    <w:rsid w:val="00934063"/>
    <w:rsid w:val="00934E60"/>
    <w:rsid w:val="00935085"/>
    <w:rsid w:val="009368CB"/>
    <w:rsid w:val="0093703B"/>
    <w:rsid w:val="0093707B"/>
    <w:rsid w:val="009400EB"/>
    <w:rsid w:val="009407AC"/>
    <w:rsid w:val="00940DB2"/>
    <w:rsid w:val="009427E3"/>
    <w:rsid w:val="00951C2E"/>
    <w:rsid w:val="00952A1F"/>
    <w:rsid w:val="009550E0"/>
    <w:rsid w:val="009550EC"/>
    <w:rsid w:val="0095518A"/>
    <w:rsid w:val="0095624C"/>
    <w:rsid w:val="00956D9B"/>
    <w:rsid w:val="00963CBA"/>
    <w:rsid w:val="00964BBD"/>
    <w:rsid w:val="00965164"/>
    <w:rsid w:val="009654B7"/>
    <w:rsid w:val="00966CE7"/>
    <w:rsid w:val="00967070"/>
    <w:rsid w:val="0096713E"/>
    <w:rsid w:val="00967273"/>
    <w:rsid w:val="009704FD"/>
    <w:rsid w:val="00971DE1"/>
    <w:rsid w:val="00972316"/>
    <w:rsid w:val="009724C9"/>
    <w:rsid w:val="009726C1"/>
    <w:rsid w:val="0097320E"/>
    <w:rsid w:val="0097327C"/>
    <w:rsid w:val="00975E43"/>
    <w:rsid w:val="00976C67"/>
    <w:rsid w:val="009779C0"/>
    <w:rsid w:val="009849F3"/>
    <w:rsid w:val="00991261"/>
    <w:rsid w:val="00994E84"/>
    <w:rsid w:val="0099540B"/>
    <w:rsid w:val="009A0B83"/>
    <w:rsid w:val="009A0BC0"/>
    <w:rsid w:val="009A14FE"/>
    <w:rsid w:val="009A19D9"/>
    <w:rsid w:val="009A1C65"/>
    <w:rsid w:val="009A2042"/>
    <w:rsid w:val="009A249D"/>
    <w:rsid w:val="009A384B"/>
    <w:rsid w:val="009A74A9"/>
    <w:rsid w:val="009A77DC"/>
    <w:rsid w:val="009B3800"/>
    <w:rsid w:val="009B3A0D"/>
    <w:rsid w:val="009B42C2"/>
    <w:rsid w:val="009B4C5C"/>
    <w:rsid w:val="009B5AE6"/>
    <w:rsid w:val="009B702A"/>
    <w:rsid w:val="009B7126"/>
    <w:rsid w:val="009C2DF6"/>
    <w:rsid w:val="009C3197"/>
    <w:rsid w:val="009C4986"/>
    <w:rsid w:val="009C4D0B"/>
    <w:rsid w:val="009C5CA4"/>
    <w:rsid w:val="009C6564"/>
    <w:rsid w:val="009C7A04"/>
    <w:rsid w:val="009C7C98"/>
    <w:rsid w:val="009D0E30"/>
    <w:rsid w:val="009D10A2"/>
    <w:rsid w:val="009D183E"/>
    <w:rsid w:val="009D22AC"/>
    <w:rsid w:val="009D2D76"/>
    <w:rsid w:val="009D4BCC"/>
    <w:rsid w:val="009D50DB"/>
    <w:rsid w:val="009D51BC"/>
    <w:rsid w:val="009D6ACE"/>
    <w:rsid w:val="009D7822"/>
    <w:rsid w:val="009E0A16"/>
    <w:rsid w:val="009E1C4E"/>
    <w:rsid w:val="009E36D9"/>
    <w:rsid w:val="009E3FFE"/>
    <w:rsid w:val="009E48D8"/>
    <w:rsid w:val="009E49D1"/>
    <w:rsid w:val="009E6EE0"/>
    <w:rsid w:val="009E7093"/>
    <w:rsid w:val="009F243C"/>
    <w:rsid w:val="009F27A3"/>
    <w:rsid w:val="009F29A0"/>
    <w:rsid w:val="009F2F70"/>
    <w:rsid w:val="009F3D24"/>
    <w:rsid w:val="009F436E"/>
    <w:rsid w:val="009F46A8"/>
    <w:rsid w:val="009F6618"/>
    <w:rsid w:val="00A0263D"/>
    <w:rsid w:val="00A03A07"/>
    <w:rsid w:val="00A0463B"/>
    <w:rsid w:val="00A04E4C"/>
    <w:rsid w:val="00A04FD7"/>
    <w:rsid w:val="00A05190"/>
    <w:rsid w:val="00A05E0B"/>
    <w:rsid w:val="00A06C12"/>
    <w:rsid w:val="00A11D0A"/>
    <w:rsid w:val="00A1427D"/>
    <w:rsid w:val="00A15462"/>
    <w:rsid w:val="00A15892"/>
    <w:rsid w:val="00A173D5"/>
    <w:rsid w:val="00A226D1"/>
    <w:rsid w:val="00A248FA"/>
    <w:rsid w:val="00A24DAC"/>
    <w:rsid w:val="00A27EE4"/>
    <w:rsid w:val="00A31598"/>
    <w:rsid w:val="00A32094"/>
    <w:rsid w:val="00A327F6"/>
    <w:rsid w:val="00A32E4F"/>
    <w:rsid w:val="00A340F1"/>
    <w:rsid w:val="00A37535"/>
    <w:rsid w:val="00A378F5"/>
    <w:rsid w:val="00A424F9"/>
    <w:rsid w:val="00A4324E"/>
    <w:rsid w:val="00A44FEF"/>
    <w:rsid w:val="00A4633E"/>
    <w:rsid w:val="00A4634F"/>
    <w:rsid w:val="00A477F0"/>
    <w:rsid w:val="00A511C7"/>
    <w:rsid w:val="00A51A31"/>
    <w:rsid w:val="00A51CF3"/>
    <w:rsid w:val="00A5431E"/>
    <w:rsid w:val="00A546BB"/>
    <w:rsid w:val="00A57A2C"/>
    <w:rsid w:val="00A615EB"/>
    <w:rsid w:val="00A62D78"/>
    <w:rsid w:val="00A64BA0"/>
    <w:rsid w:val="00A66130"/>
    <w:rsid w:val="00A707FE"/>
    <w:rsid w:val="00A70A08"/>
    <w:rsid w:val="00A70E06"/>
    <w:rsid w:val="00A72F22"/>
    <w:rsid w:val="00A745D4"/>
    <w:rsid w:val="00A748A6"/>
    <w:rsid w:val="00A7712E"/>
    <w:rsid w:val="00A77B04"/>
    <w:rsid w:val="00A82975"/>
    <w:rsid w:val="00A82A0C"/>
    <w:rsid w:val="00A83B78"/>
    <w:rsid w:val="00A83E0F"/>
    <w:rsid w:val="00A83E46"/>
    <w:rsid w:val="00A85529"/>
    <w:rsid w:val="00A86DA2"/>
    <w:rsid w:val="00A879A4"/>
    <w:rsid w:val="00A87E95"/>
    <w:rsid w:val="00A902EC"/>
    <w:rsid w:val="00A91419"/>
    <w:rsid w:val="00A92E29"/>
    <w:rsid w:val="00A956CA"/>
    <w:rsid w:val="00A967A1"/>
    <w:rsid w:val="00A96909"/>
    <w:rsid w:val="00A96E36"/>
    <w:rsid w:val="00A97E69"/>
    <w:rsid w:val="00AA10FD"/>
    <w:rsid w:val="00AA1D3D"/>
    <w:rsid w:val="00AA23E1"/>
    <w:rsid w:val="00AA2714"/>
    <w:rsid w:val="00AA3FE0"/>
    <w:rsid w:val="00AA49FE"/>
    <w:rsid w:val="00AA5346"/>
    <w:rsid w:val="00AA59DE"/>
    <w:rsid w:val="00AA6701"/>
    <w:rsid w:val="00AB476A"/>
    <w:rsid w:val="00AB4C20"/>
    <w:rsid w:val="00AB4F61"/>
    <w:rsid w:val="00AB51EA"/>
    <w:rsid w:val="00AB5D35"/>
    <w:rsid w:val="00AB69AA"/>
    <w:rsid w:val="00AC0AE5"/>
    <w:rsid w:val="00AC11D4"/>
    <w:rsid w:val="00AC1703"/>
    <w:rsid w:val="00AC370D"/>
    <w:rsid w:val="00AC4690"/>
    <w:rsid w:val="00AC4A2F"/>
    <w:rsid w:val="00AC5C72"/>
    <w:rsid w:val="00AC770A"/>
    <w:rsid w:val="00AD09E9"/>
    <w:rsid w:val="00AD13C7"/>
    <w:rsid w:val="00AD3ACA"/>
    <w:rsid w:val="00AD40C2"/>
    <w:rsid w:val="00AD41DE"/>
    <w:rsid w:val="00AD53D2"/>
    <w:rsid w:val="00AE0C00"/>
    <w:rsid w:val="00AE0DB1"/>
    <w:rsid w:val="00AE135F"/>
    <w:rsid w:val="00AE1868"/>
    <w:rsid w:val="00AE330E"/>
    <w:rsid w:val="00AE3D5A"/>
    <w:rsid w:val="00AE5537"/>
    <w:rsid w:val="00AE7CD7"/>
    <w:rsid w:val="00AF0576"/>
    <w:rsid w:val="00AF0A80"/>
    <w:rsid w:val="00AF131B"/>
    <w:rsid w:val="00AF14CB"/>
    <w:rsid w:val="00AF3829"/>
    <w:rsid w:val="00AF5F3E"/>
    <w:rsid w:val="00AF73E7"/>
    <w:rsid w:val="00AF777F"/>
    <w:rsid w:val="00B00529"/>
    <w:rsid w:val="00B00C66"/>
    <w:rsid w:val="00B01FF9"/>
    <w:rsid w:val="00B02C50"/>
    <w:rsid w:val="00B037F0"/>
    <w:rsid w:val="00B07B75"/>
    <w:rsid w:val="00B07DF9"/>
    <w:rsid w:val="00B11136"/>
    <w:rsid w:val="00B11401"/>
    <w:rsid w:val="00B11CFD"/>
    <w:rsid w:val="00B12410"/>
    <w:rsid w:val="00B12A07"/>
    <w:rsid w:val="00B13466"/>
    <w:rsid w:val="00B138D4"/>
    <w:rsid w:val="00B13EAC"/>
    <w:rsid w:val="00B14A74"/>
    <w:rsid w:val="00B154B9"/>
    <w:rsid w:val="00B17E6C"/>
    <w:rsid w:val="00B215C9"/>
    <w:rsid w:val="00B219B8"/>
    <w:rsid w:val="00B2327D"/>
    <w:rsid w:val="00B24914"/>
    <w:rsid w:val="00B24AD9"/>
    <w:rsid w:val="00B253D8"/>
    <w:rsid w:val="00B268B0"/>
    <w:rsid w:val="00B26903"/>
    <w:rsid w:val="00B2718F"/>
    <w:rsid w:val="00B27B0F"/>
    <w:rsid w:val="00B27C6C"/>
    <w:rsid w:val="00B30179"/>
    <w:rsid w:val="00B30915"/>
    <w:rsid w:val="00B3091F"/>
    <w:rsid w:val="00B31551"/>
    <w:rsid w:val="00B3317B"/>
    <w:rsid w:val="00B334DC"/>
    <w:rsid w:val="00B34452"/>
    <w:rsid w:val="00B3631A"/>
    <w:rsid w:val="00B36DC1"/>
    <w:rsid w:val="00B40911"/>
    <w:rsid w:val="00B41D8C"/>
    <w:rsid w:val="00B41F25"/>
    <w:rsid w:val="00B421CC"/>
    <w:rsid w:val="00B42DC3"/>
    <w:rsid w:val="00B44168"/>
    <w:rsid w:val="00B442E3"/>
    <w:rsid w:val="00B4453B"/>
    <w:rsid w:val="00B476AB"/>
    <w:rsid w:val="00B50A29"/>
    <w:rsid w:val="00B51AD5"/>
    <w:rsid w:val="00B53013"/>
    <w:rsid w:val="00B53DFE"/>
    <w:rsid w:val="00B5449A"/>
    <w:rsid w:val="00B54CED"/>
    <w:rsid w:val="00B56508"/>
    <w:rsid w:val="00B57087"/>
    <w:rsid w:val="00B60ED3"/>
    <w:rsid w:val="00B63C8C"/>
    <w:rsid w:val="00B6634A"/>
    <w:rsid w:val="00B66DCA"/>
    <w:rsid w:val="00B67F5E"/>
    <w:rsid w:val="00B70AC0"/>
    <w:rsid w:val="00B7274A"/>
    <w:rsid w:val="00B73E65"/>
    <w:rsid w:val="00B756E4"/>
    <w:rsid w:val="00B77702"/>
    <w:rsid w:val="00B8046D"/>
    <w:rsid w:val="00B81E12"/>
    <w:rsid w:val="00B8266A"/>
    <w:rsid w:val="00B87110"/>
    <w:rsid w:val="00B8745F"/>
    <w:rsid w:val="00B907B1"/>
    <w:rsid w:val="00B911DB"/>
    <w:rsid w:val="00B9174F"/>
    <w:rsid w:val="00B9188C"/>
    <w:rsid w:val="00B92884"/>
    <w:rsid w:val="00B94BB4"/>
    <w:rsid w:val="00B94CEF"/>
    <w:rsid w:val="00B97E88"/>
    <w:rsid w:val="00B97FA8"/>
    <w:rsid w:val="00BA0459"/>
    <w:rsid w:val="00BA39A7"/>
    <w:rsid w:val="00BA5A0B"/>
    <w:rsid w:val="00BA5F17"/>
    <w:rsid w:val="00BA68B8"/>
    <w:rsid w:val="00BA732F"/>
    <w:rsid w:val="00BA750D"/>
    <w:rsid w:val="00BB0413"/>
    <w:rsid w:val="00BB0B54"/>
    <w:rsid w:val="00BB11DE"/>
    <w:rsid w:val="00BB1A40"/>
    <w:rsid w:val="00BB1FD6"/>
    <w:rsid w:val="00BB43E6"/>
    <w:rsid w:val="00BB652B"/>
    <w:rsid w:val="00BB6C9C"/>
    <w:rsid w:val="00BB70F2"/>
    <w:rsid w:val="00BC05F4"/>
    <w:rsid w:val="00BC1385"/>
    <w:rsid w:val="00BC1C78"/>
    <w:rsid w:val="00BC3BFD"/>
    <w:rsid w:val="00BC425F"/>
    <w:rsid w:val="00BC4EAD"/>
    <w:rsid w:val="00BC5E4B"/>
    <w:rsid w:val="00BC641E"/>
    <w:rsid w:val="00BC74E9"/>
    <w:rsid w:val="00BD1C30"/>
    <w:rsid w:val="00BD2CCB"/>
    <w:rsid w:val="00BD32C1"/>
    <w:rsid w:val="00BD5347"/>
    <w:rsid w:val="00BD710C"/>
    <w:rsid w:val="00BE06CE"/>
    <w:rsid w:val="00BE108F"/>
    <w:rsid w:val="00BE152A"/>
    <w:rsid w:val="00BE1820"/>
    <w:rsid w:val="00BE398C"/>
    <w:rsid w:val="00BE618E"/>
    <w:rsid w:val="00BE6AFA"/>
    <w:rsid w:val="00BE6C1D"/>
    <w:rsid w:val="00BF02B7"/>
    <w:rsid w:val="00BF1614"/>
    <w:rsid w:val="00BF4237"/>
    <w:rsid w:val="00BF4534"/>
    <w:rsid w:val="00BF46E6"/>
    <w:rsid w:val="00BF4A40"/>
    <w:rsid w:val="00C03E77"/>
    <w:rsid w:val="00C04D81"/>
    <w:rsid w:val="00C112C0"/>
    <w:rsid w:val="00C12DE4"/>
    <w:rsid w:val="00C144D5"/>
    <w:rsid w:val="00C16014"/>
    <w:rsid w:val="00C17626"/>
    <w:rsid w:val="00C21367"/>
    <w:rsid w:val="00C21477"/>
    <w:rsid w:val="00C219AD"/>
    <w:rsid w:val="00C21F41"/>
    <w:rsid w:val="00C22FA4"/>
    <w:rsid w:val="00C23A17"/>
    <w:rsid w:val="00C24693"/>
    <w:rsid w:val="00C252C3"/>
    <w:rsid w:val="00C255D7"/>
    <w:rsid w:val="00C258F6"/>
    <w:rsid w:val="00C269C4"/>
    <w:rsid w:val="00C27A2F"/>
    <w:rsid w:val="00C30B85"/>
    <w:rsid w:val="00C32AD7"/>
    <w:rsid w:val="00C33942"/>
    <w:rsid w:val="00C33D54"/>
    <w:rsid w:val="00C33F71"/>
    <w:rsid w:val="00C35F0B"/>
    <w:rsid w:val="00C37A26"/>
    <w:rsid w:val="00C42AA7"/>
    <w:rsid w:val="00C43E04"/>
    <w:rsid w:val="00C459EC"/>
    <w:rsid w:val="00C463DD"/>
    <w:rsid w:val="00C468FE"/>
    <w:rsid w:val="00C472C2"/>
    <w:rsid w:val="00C47B0C"/>
    <w:rsid w:val="00C505F0"/>
    <w:rsid w:val="00C56921"/>
    <w:rsid w:val="00C60A31"/>
    <w:rsid w:val="00C63E00"/>
    <w:rsid w:val="00C64458"/>
    <w:rsid w:val="00C65BE5"/>
    <w:rsid w:val="00C71BEA"/>
    <w:rsid w:val="00C73588"/>
    <w:rsid w:val="00C73694"/>
    <w:rsid w:val="00C745C3"/>
    <w:rsid w:val="00C74DFD"/>
    <w:rsid w:val="00C752DF"/>
    <w:rsid w:val="00C75425"/>
    <w:rsid w:val="00C76502"/>
    <w:rsid w:val="00C814D4"/>
    <w:rsid w:val="00C84AC0"/>
    <w:rsid w:val="00C85002"/>
    <w:rsid w:val="00C87131"/>
    <w:rsid w:val="00C9312F"/>
    <w:rsid w:val="00C955E9"/>
    <w:rsid w:val="00CA1B7C"/>
    <w:rsid w:val="00CA2A1E"/>
    <w:rsid w:val="00CA2A58"/>
    <w:rsid w:val="00CA397A"/>
    <w:rsid w:val="00CA3FA6"/>
    <w:rsid w:val="00CA64C9"/>
    <w:rsid w:val="00CB3793"/>
    <w:rsid w:val="00CB55D2"/>
    <w:rsid w:val="00CB58F6"/>
    <w:rsid w:val="00CC06D0"/>
    <w:rsid w:val="00CC0B55"/>
    <w:rsid w:val="00CC2A94"/>
    <w:rsid w:val="00CC5C92"/>
    <w:rsid w:val="00CC6851"/>
    <w:rsid w:val="00CD081F"/>
    <w:rsid w:val="00CD0E97"/>
    <w:rsid w:val="00CD4845"/>
    <w:rsid w:val="00CD5015"/>
    <w:rsid w:val="00CD5058"/>
    <w:rsid w:val="00CD6995"/>
    <w:rsid w:val="00CD69E8"/>
    <w:rsid w:val="00CD7EC5"/>
    <w:rsid w:val="00CE2B2B"/>
    <w:rsid w:val="00CE3DFD"/>
    <w:rsid w:val="00CE4547"/>
    <w:rsid w:val="00CE4A8F"/>
    <w:rsid w:val="00CE4E1E"/>
    <w:rsid w:val="00CE4F35"/>
    <w:rsid w:val="00CF0214"/>
    <w:rsid w:val="00CF09C9"/>
    <w:rsid w:val="00CF0B22"/>
    <w:rsid w:val="00CF2FF7"/>
    <w:rsid w:val="00CF586F"/>
    <w:rsid w:val="00CF62D1"/>
    <w:rsid w:val="00CF78A2"/>
    <w:rsid w:val="00CF7D43"/>
    <w:rsid w:val="00D00804"/>
    <w:rsid w:val="00D1054F"/>
    <w:rsid w:val="00D11129"/>
    <w:rsid w:val="00D11A68"/>
    <w:rsid w:val="00D11DA0"/>
    <w:rsid w:val="00D122E7"/>
    <w:rsid w:val="00D13B0E"/>
    <w:rsid w:val="00D14411"/>
    <w:rsid w:val="00D14782"/>
    <w:rsid w:val="00D1695B"/>
    <w:rsid w:val="00D17177"/>
    <w:rsid w:val="00D17582"/>
    <w:rsid w:val="00D17CBC"/>
    <w:rsid w:val="00D2031B"/>
    <w:rsid w:val="00D2079E"/>
    <w:rsid w:val="00D21A37"/>
    <w:rsid w:val="00D220A0"/>
    <w:rsid w:val="00D22332"/>
    <w:rsid w:val="00D226FD"/>
    <w:rsid w:val="00D2293B"/>
    <w:rsid w:val="00D25414"/>
    <w:rsid w:val="00D25A9B"/>
    <w:rsid w:val="00D25FE2"/>
    <w:rsid w:val="00D27285"/>
    <w:rsid w:val="00D31208"/>
    <w:rsid w:val="00D35C89"/>
    <w:rsid w:val="00D375C4"/>
    <w:rsid w:val="00D40A77"/>
    <w:rsid w:val="00D40EF9"/>
    <w:rsid w:val="00D419C6"/>
    <w:rsid w:val="00D43252"/>
    <w:rsid w:val="00D442DB"/>
    <w:rsid w:val="00D50F4C"/>
    <w:rsid w:val="00D51A0A"/>
    <w:rsid w:val="00D51FCC"/>
    <w:rsid w:val="00D522BE"/>
    <w:rsid w:val="00D53BC7"/>
    <w:rsid w:val="00D54BD9"/>
    <w:rsid w:val="00D550F9"/>
    <w:rsid w:val="00D560D5"/>
    <w:rsid w:val="00D5615D"/>
    <w:rsid w:val="00D5620C"/>
    <w:rsid w:val="00D57274"/>
    <w:rsid w:val="00D572B0"/>
    <w:rsid w:val="00D600DC"/>
    <w:rsid w:val="00D60BD6"/>
    <w:rsid w:val="00D60C22"/>
    <w:rsid w:val="00D6211D"/>
    <w:rsid w:val="00D62E90"/>
    <w:rsid w:val="00D644AD"/>
    <w:rsid w:val="00D64598"/>
    <w:rsid w:val="00D6682A"/>
    <w:rsid w:val="00D67974"/>
    <w:rsid w:val="00D67B0B"/>
    <w:rsid w:val="00D71444"/>
    <w:rsid w:val="00D7147D"/>
    <w:rsid w:val="00D7415D"/>
    <w:rsid w:val="00D76BE5"/>
    <w:rsid w:val="00D8096F"/>
    <w:rsid w:val="00D81410"/>
    <w:rsid w:val="00D83052"/>
    <w:rsid w:val="00D83BF2"/>
    <w:rsid w:val="00D85157"/>
    <w:rsid w:val="00D8616D"/>
    <w:rsid w:val="00D86CB9"/>
    <w:rsid w:val="00D907A1"/>
    <w:rsid w:val="00D90AC7"/>
    <w:rsid w:val="00D93A74"/>
    <w:rsid w:val="00D9511B"/>
    <w:rsid w:val="00D978C6"/>
    <w:rsid w:val="00DA0D3E"/>
    <w:rsid w:val="00DA55CF"/>
    <w:rsid w:val="00DA608D"/>
    <w:rsid w:val="00DA67AD"/>
    <w:rsid w:val="00DB18CE"/>
    <w:rsid w:val="00DB357E"/>
    <w:rsid w:val="00DB42B0"/>
    <w:rsid w:val="00DB4DDF"/>
    <w:rsid w:val="00DB6A7F"/>
    <w:rsid w:val="00DC04A7"/>
    <w:rsid w:val="00DC13AF"/>
    <w:rsid w:val="00DC251D"/>
    <w:rsid w:val="00DC3A6E"/>
    <w:rsid w:val="00DC45D4"/>
    <w:rsid w:val="00DC4D79"/>
    <w:rsid w:val="00DC5341"/>
    <w:rsid w:val="00DC59AA"/>
    <w:rsid w:val="00DC71C1"/>
    <w:rsid w:val="00DD04FA"/>
    <w:rsid w:val="00DD247C"/>
    <w:rsid w:val="00DD314C"/>
    <w:rsid w:val="00DD50C1"/>
    <w:rsid w:val="00DD6D7E"/>
    <w:rsid w:val="00DD705E"/>
    <w:rsid w:val="00DD7BE2"/>
    <w:rsid w:val="00DE146F"/>
    <w:rsid w:val="00DE1EA8"/>
    <w:rsid w:val="00DE3EC0"/>
    <w:rsid w:val="00DE6D0D"/>
    <w:rsid w:val="00DE7E4D"/>
    <w:rsid w:val="00DF0377"/>
    <w:rsid w:val="00DF041A"/>
    <w:rsid w:val="00DF2785"/>
    <w:rsid w:val="00DF41D6"/>
    <w:rsid w:val="00DF6770"/>
    <w:rsid w:val="00E001B6"/>
    <w:rsid w:val="00E01E1F"/>
    <w:rsid w:val="00E0274B"/>
    <w:rsid w:val="00E03D80"/>
    <w:rsid w:val="00E03DD4"/>
    <w:rsid w:val="00E0544E"/>
    <w:rsid w:val="00E06F80"/>
    <w:rsid w:val="00E07995"/>
    <w:rsid w:val="00E10C95"/>
    <w:rsid w:val="00E11593"/>
    <w:rsid w:val="00E12B6B"/>
    <w:rsid w:val="00E130AB"/>
    <w:rsid w:val="00E13FB7"/>
    <w:rsid w:val="00E1487A"/>
    <w:rsid w:val="00E14AF8"/>
    <w:rsid w:val="00E15036"/>
    <w:rsid w:val="00E23FD1"/>
    <w:rsid w:val="00E300C0"/>
    <w:rsid w:val="00E3080C"/>
    <w:rsid w:val="00E33D74"/>
    <w:rsid w:val="00E343B8"/>
    <w:rsid w:val="00E35505"/>
    <w:rsid w:val="00E35537"/>
    <w:rsid w:val="00E35997"/>
    <w:rsid w:val="00E4021F"/>
    <w:rsid w:val="00E412D5"/>
    <w:rsid w:val="00E4202D"/>
    <w:rsid w:val="00E43523"/>
    <w:rsid w:val="00E43589"/>
    <w:rsid w:val="00E437EA"/>
    <w:rsid w:val="00E438D9"/>
    <w:rsid w:val="00E4409A"/>
    <w:rsid w:val="00E44298"/>
    <w:rsid w:val="00E45726"/>
    <w:rsid w:val="00E470ED"/>
    <w:rsid w:val="00E477F1"/>
    <w:rsid w:val="00E50F2E"/>
    <w:rsid w:val="00E512AD"/>
    <w:rsid w:val="00E5644E"/>
    <w:rsid w:val="00E56EF0"/>
    <w:rsid w:val="00E57137"/>
    <w:rsid w:val="00E61609"/>
    <w:rsid w:val="00E637C9"/>
    <w:rsid w:val="00E63D6B"/>
    <w:rsid w:val="00E66E69"/>
    <w:rsid w:val="00E67326"/>
    <w:rsid w:val="00E707F9"/>
    <w:rsid w:val="00E70934"/>
    <w:rsid w:val="00E71EC8"/>
    <w:rsid w:val="00E720F9"/>
    <w:rsid w:val="00E7260F"/>
    <w:rsid w:val="00E72C71"/>
    <w:rsid w:val="00E72D2F"/>
    <w:rsid w:val="00E73836"/>
    <w:rsid w:val="00E7448D"/>
    <w:rsid w:val="00E76D46"/>
    <w:rsid w:val="00E76F54"/>
    <w:rsid w:val="00E77FD0"/>
    <w:rsid w:val="00E803B8"/>
    <w:rsid w:val="00E806EE"/>
    <w:rsid w:val="00E82E62"/>
    <w:rsid w:val="00E838F2"/>
    <w:rsid w:val="00E84967"/>
    <w:rsid w:val="00E8519C"/>
    <w:rsid w:val="00E870DE"/>
    <w:rsid w:val="00E87D9D"/>
    <w:rsid w:val="00E908B2"/>
    <w:rsid w:val="00E94D1E"/>
    <w:rsid w:val="00E962C2"/>
    <w:rsid w:val="00E96630"/>
    <w:rsid w:val="00E973EC"/>
    <w:rsid w:val="00E97DA3"/>
    <w:rsid w:val="00EA0B6A"/>
    <w:rsid w:val="00EA19E2"/>
    <w:rsid w:val="00EA1F66"/>
    <w:rsid w:val="00EA2A51"/>
    <w:rsid w:val="00EA31A2"/>
    <w:rsid w:val="00EA33FE"/>
    <w:rsid w:val="00EA350A"/>
    <w:rsid w:val="00EA3906"/>
    <w:rsid w:val="00EA47FC"/>
    <w:rsid w:val="00EA49B5"/>
    <w:rsid w:val="00EB04B4"/>
    <w:rsid w:val="00EB09F1"/>
    <w:rsid w:val="00EB0FB9"/>
    <w:rsid w:val="00EB1D35"/>
    <w:rsid w:val="00EB2321"/>
    <w:rsid w:val="00EB294A"/>
    <w:rsid w:val="00EB30B9"/>
    <w:rsid w:val="00EB35AF"/>
    <w:rsid w:val="00EB3B42"/>
    <w:rsid w:val="00EB4010"/>
    <w:rsid w:val="00EB6DAD"/>
    <w:rsid w:val="00EB6E5F"/>
    <w:rsid w:val="00EB725B"/>
    <w:rsid w:val="00EB73D6"/>
    <w:rsid w:val="00EB7864"/>
    <w:rsid w:val="00EB7AAD"/>
    <w:rsid w:val="00EC2C05"/>
    <w:rsid w:val="00EC2C26"/>
    <w:rsid w:val="00EC45B5"/>
    <w:rsid w:val="00EC4B0E"/>
    <w:rsid w:val="00EC5D55"/>
    <w:rsid w:val="00EC67D2"/>
    <w:rsid w:val="00EC7707"/>
    <w:rsid w:val="00EC7E89"/>
    <w:rsid w:val="00ED059F"/>
    <w:rsid w:val="00ED0614"/>
    <w:rsid w:val="00ED0CA9"/>
    <w:rsid w:val="00ED13F6"/>
    <w:rsid w:val="00ED260E"/>
    <w:rsid w:val="00ED5E04"/>
    <w:rsid w:val="00ED7A2A"/>
    <w:rsid w:val="00ED7AA1"/>
    <w:rsid w:val="00EE022A"/>
    <w:rsid w:val="00EE0FF1"/>
    <w:rsid w:val="00EE143A"/>
    <w:rsid w:val="00EE1861"/>
    <w:rsid w:val="00EE1D5A"/>
    <w:rsid w:val="00EE5236"/>
    <w:rsid w:val="00EE5DED"/>
    <w:rsid w:val="00EE6742"/>
    <w:rsid w:val="00EE7141"/>
    <w:rsid w:val="00EF1D7F"/>
    <w:rsid w:val="00EF5BDB"/>
    <w:rsid w:val="00EF77A5"/>
    <w:rsid w:val="00F04703"/>
    <w:rsid w:val="00F050A7"/>
    <w:rsid w:val="00F0589F"/>
    <w:rsid w:val="00F07FD9"/>
    <w:rsid w:val="00F10699"/>
    <w:rsid w:val="00F1103F"/>
    <w:rsid w:val="00F1178A"/>
    <w:rsid w:val="00F12C37"/>
    <w:rsid w:val="00F12FBC"/>
    <w:rsid w:val="00F13A0D"/>
    <w:rsid w:val="00F15462"/>
    <w:rsid w:val="00F16042"/>
    <w:rsid w:val="00F175C3"/>
    <w:rsid w:val="00F17EDA"/>
    <w:rsid w:val="00F201A7"/>
    <w:rsid w:val="00F207E1"/>
    <w:rsid w:val="00F233B8"/>
    <w:rsid w:val="00F23933"/>
    <w:rsid w:val="00F239C8"/>
    <w:rsid w:val="00F24119"/>
    <w:rsid w:val="00F2441A"/>
    <w:rsid w:val="00F25731"/>
    <w:rsid w:val="00F26035"/>
    <w:rsid w:val="00F27296"/>
    <w:rsid w:val="00F27BC3"/>
    <w:rsid w:val="00F303D8"/>
    <w:rsid w:val="00F30B0B"/>
    <w:rsid w:val="00F32332"/>
    <w:rsid w:val="00F3261E"/>
    <w:rsid w:val="00F33335"/>
    <w:rsid w:val="00F342D1"/>
    <w:rsid w:val="00F35EC3"/>
    <w:rsid w:val="00F36AD2"/>
    <w:rsid w:val="00F36C30"/>
    <w:rsid w:val="00F36F64"/>
    <w:rsid w:val="00F40306"/>
    <w:rsid w:val="00F40BEA"/>
    <w:rsid w:val="00F40E75"/>
    <w:rsid w:val="00F421E5"/>
    <w:rsid w:val="00F42579"/>
    <w:rsid w:val="00F42CD9"/>
    <w:rsid w:val="00F443EF"/>
    <w:rsid w:val="00F44ECA"/>
    <w:rsid w:val="00F46A22"/>
    <w:rsid w:val="00F47250"/>
    <w:rsid w:val="00F52936"/>
    <w:rsid w:val="00F52CBF"/>
    <w:rsid w:val="00F53B95"/>
    <w:rsid w:val="00F552B9"/>
    <w:rsid w:val="00F55439"/>
    <w:rsid w:val="00F55E45"/>
    <w:rsid w:val="00F564B8"/>
    <w:rsid w:val="00F5787D"/>
    <w:rsid w:val="00F57D2F"/>
    <w:rsid w:val="00F60425"/>
    <w:rsid w:val="00F61553"/>
    <w:rsid w:val="00F62990"/>
    <w:rsid w:val="00F62A93"/>
    <w:rsid w:val="00F662E7"/>
    <w:rsid w:val="00F675F1"/>
    <w:rsid w:val="00F677CB"/>
    <w:rsid w:val="00F70B0F"/>
    <w:rsid w:val="00F70D5F"/>
    <w:rsid w:val="00F753EE"/>
    <w:rsid w:val="00F77611"/>
    <w:rsid w:val="00F8010F"/>
    <w:rsid w:val="00F80610"/>
    <w:rsid w:val="00F812F8"/>
    <w:rsid w:val="00F848B1"/>
    <w:rsid w:val="00F84BF5"/>
    <w:rsid w:val="00F854C1"/>
    <w:rsid w:val="00F85EC7"/>
    <w:rsid w:val="00F90890"/>
    <w:rsid w:val="00F90B9D"/>
    <w:rsid w:val="00F917CD"/>
    <w:rsid w:val="00F91822"/>
    <w:rsid w:val="00F96CFD"/>
    <w:rsid w:val="00FA17FF"/>
    <w:rsid w:val="00FA347B"/>
    <w:rsid w:val="00FA5D0D"/>
    <w:rsid w:val="00FA7DF3"/>
    <w:rsid w:val="00FB1795"/>
    <w:rsid w:val="00FB460E"/>
    <w:rsid w:val="00FB5423"/>
    <w:rsid w:val="00FB614F"/>
    <w:rsid w:val="00FC0079"/>
    <w:rsid w:val="00FC0B54"/>
    <w:rsid w:val="00FC1D8C"/>
    <w:rsid w:val="00FC3998"/>
    <w:rsid w:val="00FC3B7A"/>
    <w:rsid w:val="00FC68B7"/>
    <w:rsid w:val="00FC6B1E"/>
    <w:rsid w:val="00FD142D"/>
    <w:rsid w:val="00FD41EA"/>
    <w:rsid w:val="00FD497B"/>
    <w:rsid w:val="00FD5CA8"/>
    <w:rsid w:val="00FD64ED"/>
    <w:rsid w:val="00FD7C12"/>
    <w:rsid w:val="00FE3835"/>
    <w:rsid w:val="00FE46A7"/>
    <w:rsid w:val="00FE516B"/>
    <w:rsid w:val="00FF243B"/>
    <w:rsid w:val="00FF5502"/>
  </w:rsids>
  <m:mathPr>
    <m:mathFont m:val="Cambria Math"/>
    <m:brkBin m:val="before"/>
    <m:brkBinSub m:val="--"/>
    <m:smallFrac/>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annotation text" w:uiPriority="99"/>
    <w:lsdException w:name="header" w:uiPriority="99"/>
    <w:lsdException w:name="footer" w:uiPriority="99"/>
    <w:lsdException w:name="caption" w:qFormat="1"/>
    <w:lsdException w:name="footnote reference"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Normal Table" w:semiHidden="0" w:unhideWhenUsed="0"/>
    <w:lsdException w:name="annotation subject" w:uiPriority="99"/>
    <w:lsdException w:name="No List" w:uiPriority="99"/>
    <w:lsdException w:name="Table Subtle 2" w:semiHidden="0" w:unhideWhenUsed="0"/>
    <w:lsdException w:name="Table Web 3" w:semiHidden="0" w:unhideWhenUsed="0"/>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uiPriority w:val="9"/>
    <w:qFormat/>
    <w:rsid w:val="00CF0214"/>
    <w:pPr>
      <w:spacing w:line="240" w:lineRule="auto"/>
      <w:outlineLvl w:val="2"/>
    </w:pPr>
  </w:style>
  <w:style w:type="paragraph" w:styleId="Heading4">
    <w:name w:val="heading 4"/>
    <w:basedOn w:val="Normal"/>
    <w:next w:val="Normal"/>
    <w:link w:val="Heading4Char"/>
    <w:uiPriority w:val="9"/>
    <w:qFormat/>
    <w:rsid w:val="00CF0214"/>
    <w:pPr>
      <w:spacing w:line="240" w:lineRule="auto"/>
      <w:outlineLvl w:val="3"/>
    </w:pPr>
  </w:style>
  <w:style w:type="paragraph" w:styleId="Heading5">
    <w:name w:val="heading 5"/>
    <w:basedOn w:val="SingleTxtG"/>
    <w:next w:val="Normal"/>
    <w:qFormat/>
    <w:rsid w:val="00D220A0"/>
    <w:pPr>
      <w:numPr>
        <w:numId w:val="4"/>
      </w:numPr>
      <w:ind w:left="1134" w:firstLine="0"/>
      <w:outlineLvl w:val="4"/>
    </w:pPr>
    <w:rPr>
      <w:b/>
    </w:r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BVI fnr,Footnotes refss,ftref,16 Point,Superscript 6 Point,Footnote Reference Number,nota pié di pagina,Times 10 Point,Exposant 3 Point,Footnote symbol,Footnote reference number,EN Footnote Reference,note TESI,callout"/>
    <w:link w:val="BVIfnrChar"/>
    <w:qFormat/>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uiPriority w:val="39"/>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Footnote Text Char Char,single space Char,ft Char,single space,Footnote Text Char Char Char Char Char Char Char Char,Footnote Text Char Char Char Char1 Char,fn,Fußnote,Note de bas de page Car"/>
    <w:basedOn w:val="Normal"/>
    <w:link w:val="FootnoteTextChar"/>
    <w:qFormat/>
    <w:rsid w:val="00B30915"/>
    <w:pPr>
      <w:ind w:left="1134"/>
    </w:pPr>
    <w:rPr>
      <w:rFonts w:eastAsia="Arial Unicode MS"/>
      <w:color w:val="000000"/>
      <w:szCs w:val="24"/>
      <w:u w:color="000000"/>
      <w:lang w:val="pt-BR" w:eastAsia="en-GB"/>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rsid w:val="004716A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716AB"/>
    <w:rPr>
      <w:rFonts w:ascii="Tahoma" w:hAnsi="Tahoma" w:cs="Tahoma"/>
      <w:sz w:val="16"/>
      <w:szCs w:val="16"/>
      <w:lang w:eastAsia="en-US"/>
    </w:rPr>
  </w:style>
  <w:style w:type="paragraph" w:customStyle="1" w:styleId="Body1">
    <w:name w:val="Body 1"/>
    <w:rsid w:val="004716AB"/>
    <w:pPr>
      <w:suppressAutoHyphens/>
      <w:spacing w:line="240" w:lineRule="atLeast"/>
      <w:outlineLvl w:val="0"/>
    </w:pPr>
    <w:rPr>
      <w:rFonts w:eastAsia="Arial Unicode MS"/>
      <w:color w:val="000000"/>
      <w:u w:color="000000"/>
    </w:rPr>
  </w:style>
  <w:style w:type="paragraph" w:styleId="ListParagraph">
    <w:name w:val="List Paragraph"/>
    <w:basedOn w:val="Normal"/>
    <w:uiPriority w:val="34"/>
    <w:qFormat/>
    <w:rsid w:val="009D4BCC"/>
    <w:pPr>
      <w:ind w:left="720"/>
      <w:contextualSpacing/>
    </w:pPr>
  </w:style>
  <w:style w:type="paragraph" w:styleId="TOCHeading">
    <w:name w:val="TOC Heading"/>
    <w:basedOn w:val="Heading1"/>
    <w:next w:val="Normal"/>
    <w:uiPriority w:val="39"/>
    <w:unhideWhenUsed/>
    <w:qFormat/>
    <w:rsid w:val="009D4BCC"/>
    <w:pPr>
      <w:keepNext/>
      <w:keepLines/>
      <w:suppressAutoHyphens w:val="0"/>
      <w:spacing w:before="480" w:line="276" w:lineRule="auto"/>
      <w:ind w:left="0"/>
      <w:outlineLvl w:val="9"/>
    </w:pPr>
    <w:rPr>
      <w:rFonts w:asciiTheme="majorHAnsi" w:eastAsiaTheme="majorEastAsia" w:hAnsiTheme="majorHAnsi" w:cstheme="majorBidi"/>
      <w:b/>
      <w:bCs/>
      <w:color w:val="365F91" w:themeColor="accent1" w:themeShade="BF"/>
      <w:sz w:val="28"/>
      <w:szCs w:val="28"/>
      <w:lang w:val="en-US" w:eastAsia="ja-JP"/>
    </w:rPr>
  </w:style>
  <w:style w:type="paragraph" w:styleId="TOC2">
    <w:name w:val="toc 2"/>
    <w:basedOn w:val="Normal"/>
    <w:next w:val="Normal"/>
    <w:autoRedefine/>
    <w:uiPriority w:val="39"/>
    <w:rsid w:val="009D4BCC"/>
    <w:pPr>
      <w:spacing w:after="100"/>
      <w:ind w:left="200"/>
    </w:pPr>
  </w:style>
  <w:style w:type="paragraph" w:styleId="TOC3">
    <w:name w:val="toc 3"/>
    <w:basedOn w:val="Normal"/>
    <w:next w:val="Normal"/>
    <w:autoRedefine/>
    <w:uiPriority w:val="39"/>
    <w:rsid w:val="009D4BCC"/>
    <w:pPr>
      <w:spacing w:after="100"/>
      <w:ind w:left="400"/>
    </w:pPr>
  </w:style>
  <w:style w:type="character" w:styleId="CommentReference">
    <w:name w:val="annotation reference"/>
    <w:basedOn w:val="DefaultParagraphFont"/>
    <w:uiPriority w:val="99"/>
    <w:rsid w:val="009D4BCC"/>
    <w:rPr>
      <w:sz w:val="16"/>
      <w:szCs w:val="16"/>
    </w:rPr>
  </w:style>
  <w:style w:type="paragraph" w:styleId="CommentText">
    <w:name w:val="annotation text"/>
    <w:basedOn w:val="Normal"/>
    <w:link w:val="CommentTextChar"/>
    <w:uiPriority w:val="99"/>
    <w:rsid w:val="009D4BCC"/>
    <w:pPr>
      <w:spacing w:line="240" w:lineRule="auto"/>
    </w:pPr>
  </w:style>
  <w:style w:type="character" w:customStyle="1" w:styleId="CommentTextChar">
    <w:name w:val="Comment Text Char"/>
    <w:basedOn w:val="DefaultParagraphFont"/>
    <w:link w:val="CommentText"/>
    <w:uiPriority w:val="99"/>
    <w:rsid w:val="009D4BCC"/>
    <w:rPr>
      <w:lang w:eastAsia="en-US"/>
    </w:rPr>
  </w:style>
  <w:style w:type="paragraph" w:styleId="CommentSubject">
    <w:name w:val="annotation subject"/>
    <w:basedOn w:val="CommentText"/>
    <w:next w:val="CommentText"/>
    <w:link w:val="CommentSubjectChar"/>
    <w:uiPriority w:val="99"/>
    <w:rsid w:val="009D4BCC"/>
    <w:rPr>
      <w:b/>
      <w:bCs/>
    </w:rPr>
  </w:style>
  <w:style w:type="character" w:customStyle="1" w:styleId="CommentSubjectChar">
    <w:name w:val="Comment Subject Char"/>
    <w:basedOn w:val="CommentTextChar"/>
    <w:link w:val="CommentSubject"/>
    <w:uiPriority w:val="99"/>
    <w:rsid w:val="009D4BCC"/>
    <w:rPr>
      <w:b/>
      <w:bCs/>
      <w:lang w:eastAsia="en-US"/>
    </w:rPr>
  </w:style>
  <w:style w:type="character" w:customStyle="1" w:styleId="FootnoteTextChar">
    <w:name w:val="Footnote Text Char"/>
    <w:aliases w:val="5_G Char,Footnote Text Char Char Char Char,Footnote Text Char Char Char1,single space Char Char,ft Char Char,single space Char1,Footnote Text Char Char Char Char Char Char Char Char Char,Footnote Text Char Char Char Char1 Char Char"/>
    <w:link w:val="FootnoteText"/>
    <w:rsid w:val="00B30915"/>
    <w:rPr>
      <w:rFonts w:eastAsia="Arial Unicode MS"/>
      <w:color w:val="000000"/>
      <w:szCs w:val="24"/>
      <w:u w:color="000000"/>
      <w:lang w:val="pt-BR"/>
    </w:rPr>
  </w:style>
  <w:style w:type="character" w:customStyle="1" w:styleId="SingleTxtGChar">
    <w:name w:val="_ Single Txt_G Char"/>
    <w:link w:val="SingleTxtG"/>
    <w:rsid w:val="009D4BCC"/>
    <w:rPr>
      <w:lang w:eastAsia="en-US"/>
    </w:rPr>
  </w:style>
  <w:style w:type="paragraph" w:customStyle="1" w:styleId="BVIfnrChar">
    <w:name w:val="BVI fnr Char"/>
    <w:aliases w:val="ftref Char,16 Point Char,Superscript 6 Point Char,Footnotes refss Char,Footnote Reference Number Char,nota pié di pagina Char,Times 10 Point Char, Exposant 3 Point Char,Footnote symbol Char,Footnote reference number Char"/>
    <w:basedOn w:val="Normal"/>
    <w:link w:val="FootnoteReference"/>
    <w:rsid w:val="009D4BCC"/>
    <w:pPr>
      <w:suppressAutoHyphens w:val="0"/>
      <w:spacing w:after="160" w:line="240" w:lineRule="exact"/>
    </w:pPr>
    <w:rPr>
      <w:sz w:val="18"/>
      <w:vertAlign w:val="superscript"/>
      <w:lang w:eastAsia="en-GB"/>
    </w:rPr>
  </w:style>
  <w:style w:type="character" w:customStyle="1" w:styleId="WW-FootnoteReference">
    <w:name w:val="WW-Footnote Reference"/>
    <w:rsid w:val="009D4BCC"/>
    <w:rPr>
      <w:vertAlign w:val="superscript"/>
    </w:rPr>
  </w:style>
  <w:style w:type="paragraph" w:customStyle="1" w:styleId="WW-Standard">
    <w:name w:val="WW-Standard"/>
    <w:rsid w:val="009D4BCC"/>
    <w:pPr>
      <w:suppressAutoHyphens/>
      <w:spacing w:line="276" w:lineRule="auto"/>
      <w:jc w:val="both"/>
    </w:pPr>
    <w:rPr>
      <w:rFonts w:eastAsia="Calibri"/>
      <w:sz w:val="24"/>
      <w:szCs w:val="22"/>
      <w:lang w:eastAsia="ar-SA"/>
    </w:rPr>
  </w:style>
  <w:style w:type="character" w:customStyle="1" w:styleId="Caractresdenotedebasdepage">
    <w:name w:val="Caractères de note de bas de page"/>
    <w:rsid w:val="009D4BCC"/>
    <w:rPr>
      <w:vertAlign w:val="superscript"/>
    </w:rPr>
  </w:style>
  <w:style w:type="paragraph" w:styleId="Revision">
    <w:name w:val="Revision"/>
    <w:hidden/>
    <w:uiPriority w:val="99"/>
    <w:semiHidden/>
    <w:rsid w:val="009D4BCC"/>
    <w:rPr>
      <w:lang w:eastAsia="en-US"/>
    </w:rPr>
  </w:style>
  <w:style w:type="character" w:customStyle="1" w:styleId="apple-converted-space">
    <w:name w:val="apple-converted-space"/>
    <w:basedOn w:val="DefaultParagraphFont"/>
    <w:rsid w:val="009D4BCC"/>
  </w:style>
  <w:style w:type="character" w:customStyle="1" w:styleId="HeaderChar">
    <w:name w:val="Header Char"/>
    <w:aliases w:val="6_G Char"/>
    <w:basedOn w:val="DefaultParagraphFont"/>
    <w:link w:val="Header"/>
    <w:uiPriority w:val="99"/>
    <w:rsid w:val="009D4BCC"/>
    <w:rPr>
      <w:b/>
      <w:sz w:val="18"/>
      <w:lang w:eastAsia="en-US"/>
    </w:rPr>
  </w:style>
  <w:style w:type="character" w:customStyle="1" w:styleId="FooterChar">
    <w:name w:val="Footer Char"/>
    <w:aliases w:val="3_G Char"/>
    <w:basedOn w:val="DefaultParagraphFont"/>
    <w:link w:val="Footer"/>
    <w:uiPriority w:val="99"/>
    <w:rsid w:val="009D4BCC"/>
    <w:rPr>
      <w:sz w:val="16"/>
      <w:lang w:eastAsia="en-US"/>
    </w:rPr>
  </w:style>
  <w:style w:type="character" w:customStyle="1" w:styleId="Heading1Char">
    <w:name w:val="Heading 1 Char"/>
    <w:aliases w:val="Table_G Char"/>
    <w:basedOn w:val="DefaultParagraphFont"/>
    <w:link w:val="Heading1"/>
    <w:uiPriority w:val="9"/>
    <w:rsid w:val="00182D5E"/>
    <w:rPr>
      <w:lang w:eastAsia="en-US"/>
    </w:rPr>
  </w:style>
  <w:style w:type="character" w:customStyle="1" w:styleId="Heading2Char">
    <w:name w:val="Heading 2 Char"/>
    <w:basedOn w:val="DefaultParagraphFont"/>
    <w:link w:val="Heading2"/>
    <w:rsid w:val="00182D5E"/>
    <w:rPr>
      <w:lang w:eastAsia="en-US"/>
    </w:rPr>
  </w:style>
  <w:style w:type="paragraph" w:customStyle="1" w:styleId="Standard">
    <w:name w:val="Standard"/>
    <w:rsid w:val="00182D5E"/>
    <w:pPr>
      <w:widowControl w:val="0"/>
      <w:suppressAutoHyphens/>
      <w:autoSpaceDN w:val="0"/>
      <w:textAlignment w:val="baseline"/>
    </w:pPr>
    <w:rPr>
      <w:rFonts w:eastAsia="SimSun" w:cs="Arial"/>
      <w:kern w:val="3"/>
      <w:sz w:val="24"/>
      <w:szCs w:val="24"/>
      <w:lang w:val="pt-PT" w:eastAsia="zh-CN" w:bidi="hi-IN"/>
    </w:rPr>
  </w:style>
  <w:style w:type="paragraph" w:styleId="TOC1">
    <w:name w:val="toc 1"/>
    <w:basedOn w:val="Normal"/>
    <w:next w:val="Normal"/>
    <w:autoRedefine/>
    <w:uiPriority w:val="39"/>
    <w:unhideWhenUsed/>
    <w:rsid w:val="00182D5E"/>
    <w:pPr>
      <w:tabs>
        <w:tab w:val="left" w:pos="440"/>
        <w:tab w:val="right" w:leader="dot" w:pos="9016"/>
      </w:tabs>
      <w:suppressAutoHyphens w:val="0"/>
      <w:spacing w:after="100" w:line="276" w:lineRule="auto"/>
    </w:pPr>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
    <w:rsid w:val="00182D5E"/>
    <w:rPr>
      <w:lang w:eastAsia="en-US"/>
    </w:rPr>
  </w:style>
  <w:style w:type="character" w:customStyle="1" w:styleId="button-text">
    <w:name w:val="button-text"/>
    <w:basedOn w:val="DefaultParagraphFont"/>
    <w:rsid w:val="00182D5E"/>
  </w:style>
  <w:style w:type="paragraph" w:customStyle="1" w:styleId="Normali">
    <w:name w:val="Normal_i"/>
    <w:basedOn w:val="SingleTxtG"/>
    <w:qFormat/>
    <w:rsid w:val="00466B78"/>
    <w:pPr>
      <w:numPr>
        <w:numId w:val="3"/>
      </w:numPr>
    </w:pPr>
  </w:style>
  <w:style w:type="paragraph" w:styleId="HTMLPreformatted">
    <w:name w:val="HTML Preformatted"/>
    <w:basedOn w:val="Normal"/>
    <w:link w:val="HTMLPreformattedChar"/>
    <w:uiPriority w:val="99"/>
    <w:unhideWhenUsed/>
    <w:rsid w:val="00182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lang w:eastAsia="en-GB"/>
    </w:rPr>
  </w:style>
  <w:style w:type="character" w:customStyle="1" w:styleId="HTMLPreformattedChar">
    <w:name w:val="HTML Preformatted Char"/>
    <w:basedOn w:val="DefaultParagraphFont"/>
    <w:link w:val="HTMLPreformatted"/>
    <w:uiPriority w:val="99"/>
    <w:rsid w:val="00182D5E"/>
    <w:rPr>
      <w:rFonts w:ascii="Courier New" w:hAnsi="Courier New" w:cs="Courier New"/>
    </w:rPr>
  </w:style>
  <w:style w:type="paragraph" w:customStyle="1" w:styleId="Default">
    <w:name w:val="Default"/>
    <w:rsid w:val="00182D5E"/>
    <w:pPr>
      <w:autoSpaceDE w:val="0"/>
      <w:autoSpaceDN w:val="0"/>
      <w:adjustRightInd w:val="0"/>
    </w:pPr>
    <w:rPr>
      <w:rFonts w:eastAsiaTheme="minorHAnsi"/>
      <w:color w:val="000000"/>
      <w:sz w:val="24"/>
      <w:szCs w:val="24"/>
      <w:lang w:eastAsia="en-US"/>
    </w:rPr>
  </w:style>
  <w:style w:type="paragraph" w:styleId="NormalWeb">
    <w:name w:val="Normal (Web)"/>
    <w:basedOn w:val="Normal"/>
    <w:uiPriority w:val="99"/>
    <w:unhideWhenUsed/>
    <w:rsid w:val="00182D5E"/>
    <w:pPr>
      <w:suppressAutoHyphens w:val="0"/>
      <w:spacing w:before="100" w:beforeAutospacing="1" w:after="100" w:afterAutospacing="1" w:line="240" w:lineRule="auto"/>
    </w:pPr>
    <w:rPr>
      <w:sz w:val="24"/>
      <w:szCs w:val="24"/>
      <w:lang w:eastAsia="en-GB"/>
    </w:rPr>
  </w:style>
  <w:style w:type="character" w:customStyle="1" w:styleId="Heading4Char">
    <w:name w:val="Heading 4 Char"/>
    <w:basedOn w:val="DefaultParagraphFont"/>
    <w:link w:val="Heading4"/>
    <w:uiPriority w:val="9"/>
    <w:rsid w:val="00182D5E"/>
    <w:rPr>
      <w:lang w:eastAsia="en-US"/>
    </w:rPr>
  </w:style>
  <w:style w:type="character" w:customStyle="1" w:styleId="shorttext">
    <w:name w:val="short_text"/>
    <w:basedOn w:val="DefaultParagraphFont"/>
    <w:rsid w:val="00182D5E"/>
  </w:style>
  <w:style w:type="character" w:customStyle="1" w:styleId="HChGChar">
    <w:name w:val="_ H _Ch_G Char"/>
    <w:link w:val="HChG"/>
    <w:rsid w:val="0011182D"/>
    <w:rPr>
      <w:b/>
      <w:sz w:val="28"/>
      <w:lang w:eastAsia="en-US"/>
    </w:rPr>
  </w:style>
  <w:style w:type="paragraph" w:customStyle="1" w:styleId="FootnoteReference1">
    <w:name w:val="Footnote Reference1"/>
    <w:aliases w:val=" BVI fnr Car Car1 Car Car Char Car Char Car Char Char,BVI fnr Car Car1 Car Car Char Car Char Car Char Char"/>
    <w:basedOn w:val="Normal"/>
    <w:rsid w:val="0011182D"/>
    <w:pPr>
      <w:suppressAutoHyphens w:val="0"/>
      <w:spacing w:after="160" w:line="240" w:lineRule="exact"/>
    </w:pPr>
    <w:rPr>
      <w:rFonts w:eastAsia="MS Mincho"/>
      <w:sz w:val="18"/>
      <w:vertAlign w:val="superscript"/>
      <w:lang w:eastAsia="en-GB"/>
    </w:rPr>
  </w:style>
  <w:style w:type="character" w:customStyle="1" w:styleId="lblnewsfulltext">
    <w:name w:val="lblnewsfulltext"/>
    <w:basedOn w:val="DefaultParagraphFont"/>
    <w:rsid w:val="0011182D"/>
  </w:style>
  <w:style w:type="character" w:styleId="Strong">
    <w:name w:val="Strong"/>
    <w:basedOn w:val="DefaultParagraphFont"/>
    <w:uiPriority w:val="22"/>
    <w:qFormat/>
    <w:rsid w:val="00D6682A"/>
    <w:rPr>
      <w:b/>
      <w:bCs/>
    </w:rPr>
  </w:style>
  <w:style w:type="paragraph" w:styleId="NoSpacing">
    <w:name w:val="No Spacing"/>
    <w:uiPriority w:val="1"/>
    <w:qFormat/>
    <w:rsid w:val="00D6682A"/>
    <w:rPr>
      <w:rFonts w:ascii="Calibri" w:eastAsiaTheme="minorEastAsia" w:hAnsi="Calibri" w:cstheme="minorBidi"/>
      <w:sz w:val="18"/>
      <w:szCs w:val="18"/>
      <w:lang w:eastAsia="ko-KR"/>
    </w:rPr>
  </w:style>
  <w:style w:type="paragraph" w:styleId="Subtitle">
    <w:name w:val="Subtitle"/>
    <w:basedOn w:val="Normal"/>
    <w:next w:val="Normal"/>
    <w:link w:val="SubtitleChar"/>
    <w:qFormat/>
    <w:rsid w:val="0039599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395997"/>
    <w:rPr>
      <w:rFonts w:asciiTheme="majorHAnsi" w:eastAsiaTheme="majorEastAsia" w:hAnsiTheme="majorHAnsi" w:cstheme="majorBidi"/>
      <w:i/>
      <w:iCs/>
      <w:color w:val="4F81BD" w:themeColor="accent1"/>
      <w:spacing w:val="15"/>
      <w:sz w:val="24"/>
      <w:szCs w:val="24"/>
      <w:lang w:eastAsia="en-US"/>
    </w:rPr>
  </w:style>
  <w:style w:type="paragraph" w:styleId="DocumentMap">
    <w:name w:val="Document Map"/>
    <w:basedOn w:val="Normal"/>
    <w:link w:val="DocumentMapChar"/>
    <w:semiHidden/>
    <w:unhideWhenUsed/>
    <w:rsid w:val="00994E84"/>
    <w:pPr>
      <w:spacing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semiHidden/>
    <w:rsid w:val="00994E84"/>
    <w:rPr>
      <w:rFonts w:ascii="Lucida Grande" w:hAnsi="Lucida Grande" w:cs="Lucida Grande"/>
      <w:sz w:val="24"/>
      <w:szCs w:val="24"/>
      <w:lang w:eastAsia="en-US"/>
    </w:rPr>
  </w:style>
  <w:style w:type="character" w:styleId="Emphasis">
    <w:name w:val="Emphasis"/>
    <w:basedOn w:val="DefaultParagraphFont"/>
    <w:uiPriority w:val="20"/>
    <w:qFormat/>
    <w:rsid w:val="00B51AD5"/>
    <w:rPr>
      <w:i/>
      <w:iCs/>
    </w:rPr>
  </w:style>
  <w:style w:type="character" w:customStyle="1" w:styleId="italic">
    <w:name w:val="italic"/>
    <w:basedOn w:val="DefaultParagraphFont"/>
    <w:rsid w:val="00A956CA"/>
  </w:style>
  <w:style w:type="character" w:customStyle="1" w:styleId="smallcaps">
    <w:name w:val="smallcaps"/>
    <w:basedOn w:val="DefaultParagraphFont"/>
    <w:rsid w:val="00A956CA"/>
  </w:style>
  <w:style w:type="character" w:customStyle="1" w:styleId="A16">
    <w:name w:val="A16"/>
    <w:uiPriority w:val="99"/>
    <w:rsid w:val="00A956CA"/>
    <w:rPr>
      <w:rFonts w:cs="Myriad Pro Light"/>
      <w:color w:val="000000"/>
      <w:sz w:val="11"/>
      <w:szCs w:val="11"/>
    </w:rPr>
  </w:style>
  <w:style w:type="paragraph" w:customStyle="1" w:styleId="Pa3">
    <w:name w:val="Pa3"/>
    <w:basedOn w:val="Normal"/>
    <w:next w:val="Normal"/>
    <w:uiPriority w:val="99"/>
    <w:rsid w:val="00A956CA"/>
    <w:pPr>
      <w:suppressAutoHyphens w:val="0"/>
      <w:autoSpaceDE w:val="0"/>
      <w:autoSpaceDN w:val="0"/>
      <w:adjustRightInd w:val="0"/>
      <w:spacing w:line="221" w:lineRule="atLeast"/>
    </w:pPr>
    <w:rPr>
      <w:rFonts w:ascii="Myriad Pro Light Cond" w:eastAsiaTheme="minorHAnsi" w:hAnsi="Myriad Pro Light Cond" w:cstheme="minorBidi"/>
      <w:sz w:val="24"/>
      <w:szCs w:val="24"/>
      <w:lang w:val="en-IE"/>
    </w:rPr>
  </w:style>
  <w:style w:type="paragraph" w:customStyle="1" w:styleId="Pa34">
    <w:name w:val="Pa34"/>
    <w:basedOn w:val="Normal"/>
    <w:next w:val="Normal"/>
    <w:uiPriority w:val="99"/>
    <w:rsid w:val="00A956CA"/>
    <w:pPr>
      <w:suppressAutoHyphens w:val="0"/>
      <w:autoSpaceDE w:val="0"/>
      <w:autoSpaceDN w:val="0"/>
      <w:adjustRightInd w:val="0"/>
      <w:spacing w:line="221" w:lineRule="atLeast"/>
    </w:pPr>
    <w:rPr>
      <w:rFonts w:ascii="Myriad Pro Light Cond" w:eastAsiaTheme="minorHAnsi" w:hAnsi="Myriad Pro Light Cond" w:cstheme="minorBidi"/>
      <w:sz w:val="24"/>
      <w:szCs w:val="24"/>
      <w:lang w:val="en-IE"/>
    </w:rPr>
  </w:style>
  <w:style w:type="character" w:customStyle="1" w:styleId="A2">
    <w:name w:val="A2"/>
    <w:uiPriority w:val="99"/>
    <w:rsid w:val="00A956CA"/>
    <w:rPr>
      <w:rFonts w:cs="Myriad Pro Cond"/>
      <w:color w:val="000000"/>
      <w:sz w:val="18"/>
      <w:szCs w:val="18"/>
    </w:rPr>
  </w:style>
  <w:style w:type="paragraph" w:customStyle="1" w:styleId="Pa4">
    <w:name w:val="Pa4"/>
    <w:basedOn w:val="Default"/>
    <w:next w:val="Default"/>
    <w:uiPriority w:val="99"/>
    <w:rsid w:val="00A956CA"/>
    <w:pPr>
      <w:spacing w:line="201" w:lineRule="atLeast"/>
    </w:pPr>
    <w:rPr>
      <w:rFonts w:ascii="Myriad Pro Light" w:hAnsi="Myriad Pro Light" w:cstheme="minorBidi"/>
      <w:color w:val="auto"/>
      <w:lang w:val="en-IE"/>
    </w:rPr>
  </w:style>
  <w:style w:type="paragraph" w:customStyle="1" w:styleId="Pa27">
    <w:name w:val="Pa27"/>
    <w:basedOn w:val="Default"/>
    <w:next w:val="Default"/>
    <w:uiPriority w:val="99"/>
    <w:rsid w:val="00A956CA"/>
    <w:pPr>
      <w:spacing w:line="201" w:lineRule="atLeast"/>
    </w:pPr>
    <w:rPr>
      <w:rFonts w:ascii="Myriad Pro Light" w:hAnsi="Myriad Pro Light" w:cstheme="minorBidi"/>
      <w:color w:val="auto"/>
      <w:lang w:val="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annotation text" w:uiPriority="99"/>
    <w:lsdException w:name="header" w:uiPriority="99"/>
    <w:lsdException w:name="footer" w:uiPriority="99"/>
    <w:lsdException w:name="caption" w:qFormat="1"/>
    <w:lsdException w:name="footnote reference"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Normal Table" w:semiHidden="0" w:unhideWhenUsed="0"/>
    <w:lsdException w:name="annotation subject" w:uiPriority="99"/>
    <w:lsdException w:name="No List" w:uiPriority="99"/>
    <w:lsdException w:name="Table Subtle 2" w:semiHidden="0" w:unhideWhenUsed="0"/>
    <w:lsdException w:name="Table Web 3" w:semiHidden="0" w:unhideWhenUsed="0"/>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uiPriority w:val="9"/>
    <w:qFormat/>
    <w:rsid w:val="00CF0214"/>
    <w:pPr>
      <w:spacing w:line="240" w:lineRule="auto"/>
      <w:outlineLvl w:val="2"/>
    </w:pPr>
  </w:style>
  <w:style w:type="paragraph" w:styleId="Heading4">
    <w:name w:val="heading 4"/>
    <w:basedOn w:val="Normal"/>
    <w:next w:val="Normal"/>
    <w:link w:val="Heading4Char"/>
    <w:uiPriority w:val="9"/>
    <w:qFormat/>
    <w:rsid w:val="00CF0214"/>
    <w:pPr>
      <w:spacing w:line="240" w:lineRule="auto"/>
      <w:outlineLvl w:val="3"/>
    </w:pPr>
  </w:style>
  <w:style w:type="paragraph" w:styleId="Heading5">
    <w:name w:val="heading 5"/>
    <w:basedOn w:val="SingleTxtG"/>
    <w:next w:val="Normal"/>
    <w:qFormat/>
    <w:rsid w:val="00D220A0"/>
    <w:pPr>
      <w:numPr>
        <w:numId w:val="4"/>
      </w:numPr>
      <w:ind w:left="1134" w:firstLine="0"/>
      <w:outlineLvl w:val="4"/>
    </w:pPr>
    <w:rPr>
      <w:b/>
    </w:r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BVI fnr,Footnotes refss,ftref,16 Point,Superscript 6 Point,Footnote Reference Number,nota pié di pagina,Times 10 Point,Exposant 3 Point,Footnote symbol,Footnote reference number,EN Footnote Reference,note TESI,callout"/>
    <w:link w:val="BVIfnrChar"/>
    <w:qFormat/>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uiPriority w:val="39"/>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Footnote Text Char Char,single space Char,ft Char,single space,Footnote Text Char Char Char Char Char Char Char Char,Footnote Text Char Char Char Char1 Char,fn,Fußnote,Note de bas de page Car"/>
    <w:basedOn w:val="Normal"/>
    <w:link w:val="FootnoteTextChar"/>
    <w:qFormat/>
    <w:rsid w:val="00B30915"/>
    <w:pPr>
      <w:ind w:left="1134"/>
    </w:pPr>
    <w:rPr>
      <w:rFonts w:eastAsia="Arial Unicode MS"/>
      <w:color w:val="000000"/>
      <w:szCs w:val="24"/>
      <w:u w:color="000000"/>
      <w:lang w:val="pt-BR" w:eastAsia="en-GB"/>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rsid w:val="004716A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716AB"/>
    <w:rPr>
      <w:rFonts w:ascii="Tahoma" w:hAnsi="Tahoma" w:cs="Tahoma"/>
      <w:sz w:val="16"/>
      <w:szCs w:val="16"/>
      <w:lang w:eastAsia="en-US"/>
    </w:rPr>
  </w:style>
  <w:style w:type="paragraph" w:customStyle="1" w:styleId="Body1">
    <w:name w:val="Body 1"/>
    <w:rsid w:val="004716AB"/>
    <w:pPr>
      <w:suppressAutoHyphens/>
      <w:spacing w:line="240" w:lineRule="atLeast"/>
      <w:outlineLvl w:val="0"/>
    </w:pPr>
    <w:rPr>
      <w:rFonts w:eastAsia="Arial Unicode MS"/>
      <w:color w:val="000000"/>
      <w:u w:color="000000"/>
    </w:rPr>
  </w:style>
  <w:style w:type="paragraph" w:styleId="ListParagraph">
    <w:name w:val="List Paragraph"/>
    <w:basedOn w:val="Normal"/>
    <w:uiPriority w:val="34"/>
    <w:qFormat/>
    <w:rsid w:val="009D4BCC"/>
    <w:pPr>
      <w:ind w:left="720"/>
      <w:contextualSpacing/>
    </w:pPr>
  </w:style>
  <w:style w:type="paragraph" w:styleId="TOCHeading">
    <w:name w:val="TOC Heading"/>
    <w:basedOn w:val="Heading1"/>
    <w:next w:val="Normal"/>
    <w:uiPriority w:val="39"/>
    <w:unhideWhenUsed/>
    <w:qFormat/>
    <w:rsid w:val="009D4BCC"/>
    <w:pPr>
      <w:keepNext/>
      <w:keepLines/>
      <w:suppressAutoHyphens w:val="0"/>
      <w:spacing w:before="480" w:line="276" w:lineRule="auto"/>
      <w:ind w:left="0"/>
      <w:outlineLvl w:val="9"/>
    </w:pPr>
    <w:rPr>
      <w:rFonts w:asciiTheme="majorHAnsi" w:eastAsiaTheme="majorEastAsia" w:hAnsiTheme="majorHAnsi" w:cstheme="majorBidi"/>
      <w:b/>
      <w:bCs/>
      <w:color w:val="365F91" w:themeColor="accent1" w:themeShade="BF"/>
      <w:sz w:val="28"/>
      <w:szCs w:val="28"/>
      <w:lang w:val="en-US" w:eastAsia="ja-JP"/>
    </w:rPr>
  </w:style>
  <w:style w:type="paragraph" w:styleId="TOC2">
    <w:name w:val="toc 2"/>
    <w:basedOn w:val="Normal"/>
    <w:next w:val="Normal"/>
    <w:autoRedefine/>
    <w:uiPriority w:val="39"/>
    <w:rsid w:val="009D4BCC"/>
    <w:pPr>
      <w:spacing w:after="100"/>
      <w:ind w:left="200"/>
    </w:pPr>
  </w:style>
  <w:style w:type="paragraph" w:styleId="TOC3">
    <w:name w:val="toc 3"/>
    <w:basedOn w:val="Normal"/>
    <w:next w:val="Normal"/>
    <w:autoRedefine/>
    <w:uiPriority w:val="39"/>
    <w:rsid w:val="009D4BCC"/>
    <w:pPr>
      <w:spacing w:after="100"/>
      <w:ind w:left="400"/>
    </w:pPr>
  </w:style>
  <w:style w:type="character" w:styleId="CommentReference">
    <w:name w:val="annotation reference"/>
    <w:basedOn w:val="DefaultParagraphFont"/>
    <w:uiPriority w:val="99"/>
    <w:rsid w:val="009D4BCC"/>
    <w:rPr>
      <w:sz w:val="16"/>
      <w:szCs w:val="16"/>
    </w:rPr>
  </w:style>
  <w:style w:type="paragraph" w:styleId="CommentText">
    <w:name w:val="annotation text"/>
    <w:basedOn w:val="Normal"/>
    <w:link w:val="CommentTextChar"/>
    <w:uiPriority w:val="99"/>
    <w:rsid w:val="009D4BCC"/>
    <w:pPr>
      <w:spacing w:line="240" w:lineRule="auto"/>
    </w:pPr>
  </w:style>
  <w:style w:type="character" w:customStyle="1" w:styleId="CommentTextChar">
    <w:name w:val="Comment Text Char"/>
    <w:basedOn w:val="DefaultParagraphFont"/>
    <w:link w:val="CommentText"/>
    <w:uiPriority w:val="99"/>
    <w:rsid w:val="009D4BCC"/>
    <w:rPr>
      <w:lang w:eastAsia="en-US"/>
    </w:rPr>
  </w:style>
  <w:style w:type="paragraph" w:styleId="CommentSubject">
    <w:name w:val="annotation subject"/>
    <w:basedOn w:val="CommentText"/>
    <w:next w:val="CommentText"/>
    <w:link w:val="CommentSubjectChar"/>
    <w:uiPriority w:val="99"/>
    <w:rsid w:val="009D4BCC"/>
    <w:rPr>
      <w:b/>
      <w:bCs/>
    </w:rPr>
  </w:style>
  <w:style w:type="character" w:customStyle="1" w:styleId="CommentSubjectChar">
    <w:name w:val="Comment Subject Char"/>
    <w:basedOn w:val="CommentTextChar"/>
    <w:link w:val="CommentSubject"/>
    <w:uiPriority w:val="99"/>
    <w:rsid w:val="009D4BCC"/>
    <w:rPr>
      <w:b/>
      <w:bCs/>
      <w:lang w:eastAsia="en-US"/>
    </w:rPr>
  </w:style>
  <w:style w:type="character" w:customStyle="1" w:styleId="FootnoteTextChar">
    <w:name w:val="Footnote Text Char"/>
    <w:aliases w:val="5_G Char,Footnote Text Char Char Char Char,Footnote Text Char Char Char1,single space Char Char,ft Char Char,single space Char1,Footnote Text Char Char Char Char Char Char Char Char Char,Footnote Text Char Char Char Char1 Char Char"/>
    <w:link w:val="FootnoteText"/>
    <w:rsid w:val="00B30915"/>
    <w:rPr>
      <w:rFonts w:eastAsia="Arial Unicode MS"/>
      <w:color w:val="000000"/>
      <w:szCs w:val="24"/>
      <w:u w:color="000000"/>
      <w:lang w:val="pt-BR"/>
    </w:rPr>
  </w:style>
  <w:style w:type="character" w:customStyle="1" w:styleId="SingleTxtGChar">
    <w:name w:val="_ Single Txt_G Char"/>
    <w:link w:val="SingleTxtG"/>
    <w:rsid w:val="009D4BCC"/>
    <w:rPr>
      <w:lang w:eastAsia="en-US"/>
    </w:rPr>
  </w:style>
  <w:style w:type="paragraph" w:customStyle="1" w:styleId="BVIfnrChar">
    <w:name w:val="BVI fnr Char"/>
    <w:aliases w:val="ftref Char,16 Point Char,Superscript 6 Point Char,Footnotes refss Char,Footnote Reference Number Char,nota pié di pagina Char,Times 10 Point Char, Exposant 3 Point Char,Footnote symbol Char,Footnote reference number Char"/>
    <w:basedOn w:val="Normal"/>
    <w:link w:val="FootnoteReference"/>
    <w:rsid w:val="009D4BCC"/>
    <w:pPr>
      <w:suppressAutoHyphens w:val="0"/>
      <w:spacing w:after="160" w:line="240" w:lineRule="exact"/>
    </w:pPr>
    <w:rPr>
      <w:sz w:val="18"/>
      <w:vertAlign w:val="superscript"/>
      <w:lang w:eastAsia="en-GB"/>
    </w:rPr>
  </w:style>
  <w:style w:type="character" w:customStyle="1" w:styleId="WW-FootnoteReference">
    <w:name w:val="WW-Footnote Reference"/>
    <w:rsid w:val="009D4BCC"/>
    <w:rPr>
      <w:vertAlign w:val="superscript"/>
    </w:rPr>
  </w:style>
  <w:style w:type="paragraph" w:customStyle="1" w:styleId="WW-Standard">
    <w:name w:val="WW-Standard"/>
    <w:rsid w:val="009D4BCC"/>
    <w:pPr>
      <w:suppressAutoHyphens/>
      <w:spacing w:line="276" w:lineRule="auto"/>
      <w:jc w:val="both"/>
    </w:pPr>
    <w:rPr>
      <w:rFonts w:eastAsia="Calibri"/>
      <w:sz w:val="24"/>
      <w:szCs w:val="22"/>
      <w:lang w:eastAsia="ar-SA"/>
    </w:rPr>
  </w:style>
  <w:style w:type="character" w:customStyle="1" w:styleId="Caractresdenotedebasdepage">
    <w:name w:val="Caractères de note de bas de page"/>
    <w:rsid w:val="009D4BCC"/>
    <w:rPr>
      <w:vertAlign w:val="superscript"/>
    </w:rPr>
  </w:style>
  <w:style w:type="paragraph" w:styleId="Revision">
    <w:name w:val="Revision"/>
    <w:hidden/>
    <w:uiPriority w:val="99"/>
    <w:semiHidden/>
    <w:rsid w:val="009D4BCC"/>
    <w:rPr>
      <w:lang w:eastAsia="en-US"/>
    </w:rPr>
  </w:style>
  <w:style w:type="character" w:customStyle="1" w:styleId="apple-converted-space">
    <w:name w:val="apple-converted-space"/>
    <w:basedOn w:val="DefaultParagraphFont"/>
    <w:rsid w:val="009D4BCC"/>
  </w:style>
  <w:style w:type="character" w:customStyle="1" w:styleId="HeaderChar">
    <w:name w:val="Header Char"/>
    <w:aliases w:val="6_G Char"/>
    <w:basedOn w:val="DefaultParagraphFont"/>
    <w:link w:val="Header"/>
    <w:uiPriority w:val="99"/>
    <w:rsid w:val="009D4BCC"/>
    <w:rPr>
      <w:b/>
      <w:sz w:val="18"/>
      <w:lang w:eastAsia="en-US"/>
    </w:rPr>
  </w:style>
  <w:style w:type="character" w:customStyle="1" w:styleId="FooterChar">
    <w:name w:val="Footer Char"/>
    <w:aliases w:val="3_G Char"/>
    <w:basedOn w:val="DefaultParagraphFont"/>
    <w:link w:val="Footer"/>
    <w:uiPriority w:val="99"/>
    <w:rsid w:val="009D4BCC"/>
    <w:rPr>
      <w:sz w:val="16"/>
      <w:lang w:eastAsia="en-US"/>
    </w:rPr>
  </w:style>
  <w:style w:type="character" w:customStyle="1" w:styleId="Heading1Char">
    <w:name w:val="Heading 1 Char"/>
    <w:aliases w:val="Table_G Char"/>
    <w:basedOn w:val="DefaultParagraphFont"/>
    <w:link w:val="Heading1"/>
    <w:uiPriority w:val="9"/>
    <w:rsid w:val="00182D5E"/>
    <w:rPr>
      <w:lang w:eastAsia="en-US"/>
    </w:rPr>
  </w:style>
  <w:style w:type="character" w:customStyle="1" w:styleId="Heading2Char">
    <w:name w:val="Heading 2 Char"/>
    <w:basedOn w:val="DefaultParagraphFont"/>
    <w:link w:val="Heading2"/>
    <w:rsid w:val="00182D5E"/>
    <w:rPr>
      <w:lang w:eastAsia="en-US"/>
    </w:rPr>
  </w:style>
  <w:style w:type="paragraph" w:customStyle="1" w:styleId="Standard">
    <w:name w:val="Standard"/>
    <w:rsid w:val="00182D5E"/>
    <w:pPr>
      <w:widowControl w:val="0"/>
      <w:suppressAutoHyphens/>
      <w:autoSpaceDN w:val="0"/>
      <w:textAlignment w:val="baseline"/>
    </w:pPr>
    <w:rPr>
      <w:rFonts w:eastAsia="SimSun" w:cs="Arial"/>
      <w:kern w:val="3"/>
      <w:sz w:val="24"/>
      <w:szCs w:val="24"/>
      <w:lang w:val="pt-PT" w:eastAsia="zh-CN" w:bidi="hi-IN"/>
    </w:rPr>
  </w:style>
  <w:style w:type="paragraph" w:styleId="TOC1">
    <w:name w:val="toc 1"/>
    <w:basedOn w:val="Normal"/>
    <w:next w:val="Normal"/>
    <w:autoRedefine/>
    <w:uiPriority w:val="39"/>
    <w:unhideWhenUsed/>
    <w:rsid w:val="00182D5E"/>
    <w:pPr>
      <w:tabs>
        <w:tab w:val="left" w:pos="440"/>
        <w:tab w:val="right" w:leader="dot" w:pos="9016"/>
      </w:tabs>
      <w:suppressAutoHyphens w:val="0"/>
      <w:spacing w:after="100" w:line="276" w:lineRule="auto"/>
    </w:pPr>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
    <w:rsid w:val="00182D5E"/>
    <w:rPr>
      <w:lang w:eastAsia="en-US"/>
    </w:rPr>
  </w:style>
  <w:style w:type="character" w:customStyle="1" w:styleId="button-text">
    <w:name w:val="button-text"/>
    <w:basedOn w:val="DefaultParagraphFont"/>
    <w:rsid w:val="00182D5E"/>
  </w:style>
  <w:style w:type="paragraph" w:customStyle="1" w:styleId="Normali">
    <w:name w:val="Normal_i"/>
    <w:basedOn w:val="SingleTxtG"/>
    <w:qFormat/>
    <w:rsid w:val="00466B78"/>
    <w:pPr>
      <w:numPr>
        <w:numId w:val="3"/>
      </w:numPr>
    </w:pPr>
  </w:style>
  <w:style w:type="paragraph" w:styleId="HTMLPreformatted">
    <w:name w:val="HTML Preformatted"/>
    <w:basedOn w:val="Normal"/>
    <w:link w:val="HTMLPreformattedChar"/>
    <w:uiPriority w:val="99"/>
    <w:unhideWhenUsed/>
    <w:rsid w:val="00182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lang w:eastAsia="en-GB"/>
    </w:rPr>
  </w:style>
  <w:style w:type="character" w:customStyle="1" w:styleId="HTMLPreformattedChar">
    <w:name w:val="HTML Preformatted Char"/>
    <w:basedOn w:val="DefaultParagraphFont"/>
    <w:link w:val="HTMLPreformatted"/>
    <w:uiPriority w:val="99"/>
    <w:rsid w:val="00182D5E"/>
    <w:rPr>
      <w:rFonts w:ascii="Courier New" w:hAnsi="Courier New" w:cs="Courier New"/>
    </w:rPr>
  </w:style>
  <w:style w:type="paragraph" w:customStyle="1" w:styleId="Default">
    <w:name w:val="Default"/>
    <w:rsid w:val="00182D5E"/>
    <w:pPr>
      <w:autoSpaceDE w:val="0"/>
      <w:autoSpaceDN w:val="0"/>
      <w:adjustRightInd w:val="0"/>
    </w:pPr>
    <w:rPr>
      <w:rFonts w:eastAsiaTheme="minorHAnsi"/>
      <w:color w:val="000000"/>
      <w:sz w:val="24"/>
      <w:szCs w:val="24"/>
      <w:lang w:eastAsia="en-US"/>
    </w:rPr>
  </w:style>
  <w:style w:type="paragraph" w:styleId="NormalWeb">
    <w:name w:val="Normal (Web)"/>
    <w:basedOn w:val="Normal"/>
    <w:uiPriority w:val="99"/>
    <w:unhideWhenUsed/>
    <w:rsid w:val="00182D5E"/>
    <w:pPr>
      <w:suppressAutoHyphens w:val="0"/>
      <w:spacing w:before="100" w:beforeAutospacing="1" w:after="100" w:afterAutospacing="1" w:line="240" w:lineRule="auto"/>
    </w:pPr>
    <w:rPr>
      <w:sz w:val="24"/>
      <w:szCs w:val="24"/>
      <w:lang w:eastAsia="en-GB"/>
    </w:rPr>
  </w:style>
  <w:style w:type="character" w:customStyle="1" w:styleId="Heading4Char">
    <w:name w:val="Heading 4 Char"/>
    <w:basedOn w:val="DefaultParagraphFont"/>
    <w:link w:val="Heading4"/>
    <w:uiPriority w:val="9"/>
    <w:rsid w:val="00182D5E"/>
    <w:rPr>
      <w:lang w:eastAsia="en-US"/>
    </w:rPr>
  </w:style>
  <w:style w:type="character" w:customStyle="1" w:styleId="shorttext">
    <w:name w:val="short_text"/>
    <w:basedOn w:val="DefaultParagraphFont"/>
    <w:rsid w:val="00182D5E"/>
  </w:style>
  <w:style w:type="character" w:customStyle="1" w:styleId="HChGChar">
    <w:name w:val="_ H _Ch_G Char"/>
    <w:link w:val="HChG"/>
    <w:rsid w:val="0011182D"/>
    <w:rPr>
      <w:b/>
      <w:sz w:val="28"/>
      <w:lang w:eastAsia="en-US"/>
    </w:rPr>
  </w:style>
  <w:style w:type="paragraph" w:customStyle="1" w:styleId="FootnoteReference1">
    <w:name w:val="Footnote Reference1"/>
    <w:aliases w:val=" BVI fnr Car Car1 Car Car Char Car Char Car Char Char,BVI fnr Car Car1 Car Car Char Car Char Car Char Char"/>
    <w:basedOn w:val="Normal"/>
    <w:rsid w:val="0011182D"/>
    <w:pPr>
      <w:suppressAutoHyphens w:val="0"/>
      <w:spacing w:after="160" w:line="240" w:lineRule="exact"/>
    </w:pPr>
    <w:rPr>
      <w:rFonts w:eastAsia="MS Mincho"/>
      <w:sz w:val="18"/>
      <w:vertAlign w:val="superscript"/>
      <w:lang w:eastAsia="en-GB"/>
    </w:rPr>
  </w:style>
  <w:style w:type="character" w:customStyle="1" w:styleId="lblnewsfulltext">
    <w:name w:val="lblnewsfulltext"/>
    <w:basedOn w:val="DefaultParagraphFont"/>
    <w:rsid w:val="0011182D"/>
  </w:style>
  <w:style w:type="character" w:styleId="Strong">
    <w:name w:val="Strong"/>
    <w:basedOn w:val="DefaultParagraphFont"/>
    <w:uiPriority w:val="22"/>
    <w:qFormat/>
    <w:rsid w:val="00D6682A"/>
    <w:rPr>
      <w:b/>
      <w:bCs/>
    </w:rPr>
  </w:style>
  <w:style w:type="paragraph" w:styleId="NoSpacing">
    <w:name w:val="No Spacing"/>
    <w:uiPriority w:val="1"/>
    <w:qFormat/>
    <w:rsid w:val="00D6682A"/>
    <w:rPr>
      <w:rFonts w:ascii="Calibri" w:eastAsiaTheme="minorEastAsia" w:hAnsi="Calibri" w:cstheme="minorBidi"/>
      <w:sz w:val="18"/>
      <w:szCs w:val="18"/>
      <w:lang w:eastAsia="ko-KR"/>
    </w:rPr>
  </w:style>
  <w:style w:type="paragraph" w:styleId="Subtitle">
    <w:name w:val="Subtitle"/>
    <w:basedOn w:val="Normal"/>
    <w:next w:val="Normal"/>
    <w:link w:val="SubtitleChar"/>
    <w:qFormat/>
    <w:rsid w:val="0039599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395997"/>
    <w:rPr>
      <w:rFonts w:asciiTheme="majorHAnsi" w:eastAsiaTheme="majorEastAsia" w:hAnsiTheme="majorHAnsi" w:cstheme="majorBidi"/>
      <w:i/>
      <w:iCs/>
      <w:color w:val="4F81BD" w:themeColor="accent1"/>
      <w:spacing w:val="15"/>
      <w:sz w:val="24"/>
      <w:szCs w:val="24"/>
      <w:lang w:eastAsia="en-US"/>
    </w:rPr>
  </w:style>
  <w:style w:type="paragraph" w:styleId="DocumentMap">
    <w:name w:val="Document Map"/>
    <w:basedOn w:val="Normal"/>
    <w:link w:val="DocumentMapChar"/>
    <w:semiHidden/>
    <w:unhideWhenUsed/>
    <w:rsid w:val="00994E84"/>
    <w:pPr>
      <w:spacing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semiHidden/>
    <w:rsid w:val="00994E84"/>
    <w:rPr>
      <w:rFonts w:ascii="Lucida Grande" w:hAnsi="Lucida Grande" w:cs="Lucida Grande"/>
      <w:sz w:val="24"/>
      <w:szCs w:val="24"/>
      <w:lang w:eastAsia="en-US"/>
    </w:rPr>
  </w:style>
  <w:style w:type="character" w:styleId="Emphasis">
    <w:name w:val="Emphasis"/>
    <w:basedOn w:val="DefaultParagraphFont"/>
    <w:uiPriority w:val="20"/>
    <w:qFormat/>
    <w:rsid w:val="00B51AD5"/>
    <w:rPr>
      <w:i/>
      <w:iCs/>
    </w:rPr>
  </w:style>
  <w:style w:type="character" w:customStyle="1" w:styleId="italic">
    <w:name w:val="italic"/>
    <w:basedOn w:val="DefaultParagraphFont"/>
    <w:rsid w:val="00A956CA"/>
  </w:style>
  <w:style w:type="character" w:customStyle="1" w:styleId="smallcaps">
    <w:name w:val="smallcaps"/>
    <w:basedOn w:val="DefaultParagraphFont"/>
    <w:rsid w:val="00A956CA"/>
  </w:style>
  <w:style w:type="character" w:customStyle="1" w:styleId="A16">
    <w:name w:val="A16"/>
    <w:uiPriority w:val="99"/>
    <w:rsid w:val="00A956CA"/>
    <w:rPr>
      <w:rFonts w:cs="Myriad Pro Light"/>
      <w:color w:val="000000"/>
      <w:sz w:val="11"/>
      <w:szCs w:val="11"/>
    </w:rPr>
  </w:style>
  <w:style w:type="paragraph" w:customStyle="1" w:styleId="Pa3">
    <w:name w:val="Pa3"/>
    <w:basedOn w:val="Normal"/>
    <w:next w:val="Normal"/>
    <w:uiPriority w:val="99"/>
    <w:rsid w:val="00A956CA"/>
    <w:pPr>
      <w:suppressAutoHyphens w:val="0"/>
      <w:autoSpaceDE w:val="0"/>
      <w:autoSpaceDN w:val="0"/>
      <w:adjustRightInd w:val="0"/>
      <w:spacing w:line="221" w:lineRule="atLeast"/>
    </w:pPr>
    <w:rPr>
      <w:rFonts w:ascii="Myriad Pro Light Cond" w:eastAsiaTheme="minorHAnsi" w:hAnsi="Myriad Pro Light Cond" w:cstheme="minorBidi"/>
      <w:sz w:val="24"/>
      <w:szCs w:val="24"/>
      <w:lang w:val="en-IE"/>
    </w:rPr>
  </w:style>
  <w:style w:type="paragraph" w:customStyle="1" w:styleId="Pa34">
    <w:name w:val="Pa34"/>
    <w:basedOn w:val="Normal"/>
    <w:next w:val="Normal"/>
    <w:uiPriority w:val="99"/>
    <w:rsid w:val="00A956CA"/>
    <w:pPr>
      <w:suppressAutoHyphens w:val="0"/>
      <w:autoSpaceDE w:val="0"/>
      <w:autoSpaceDN w:val="0"/>
      <w:adjustRightInd w:val="0"/>
      <w:spacing w:line="221" w:lineRule="atLeast"/>
    </w:pPr>
    <w:rPr>
      <w:rFonts w:ascii="Myriad Pro Light Cond" w:eastAsiaTheme="minorHAnsi" w:hAnsi="Myriad Pro Light Cond" w:cstheme="minorBidi"/>
      <w:sz w:val="24"/>
      <w:szCs w:val="24"/>
      <w:lang w:val="en-IE"/>
    </w:rPr>
  </w:style>
  <w:style w:type="character" w:customStyle="1" w:styleId="A2">
    <w:name w:val="A2"/>
    <w:uiPriority w:val="99"/>
    <w:rsid w:val="00A956CA"/>
    <w:rPr>
      <w:rFonts w:cs="Myriad Pro Cond"/>
      <w:color w:val="000000"/>
      <w:sz w:val="18"/>
      <w:szCs w:val="18"/>
    </w:rPr>
  </w:style>
  <w:style w:type="paragraph" w:customStyle="1" w:styleId="Pa4">
    <w:name w:val="Pa4"/>
    <w:basedOn w:val="Default"/>
    <w:next w:val="Default"/>
    <w:uiPriority w:val="99"/>
    <w:rsid w:val="00A956CA"/>
    <w:pPr>
      <w:spacing w:line="201" w:lineRule="atLeast"/>
    </w:pPr>
    <w:rPr>
      <w:rFonts w:ascii="Myriad Pro Light" w:hAnsi="Myriad Pro Light" w:cstheme="minorBidi"/>
      <w:color w:val="auto"/>
      <w:lang w:val="en-IE"/>
    </w:rPr>
  </w:style>
  <w:style w:type="paragraph" w:customStyle="1" w:styleId="Pa27">
    <w:name w:val="Pa27"/>
    <w:basedOn w:val="Default"/>
    <w:next w:val="Default"/>
    <w:uiPriority w:val="99"/>
    <w:rsid w:val="00A956CA"/>
    <w:pPr>
      <w:spacing w:line="201" w:lineRule="atLeast"/>
    </w:pPr>
    <w:rPr>
      <w:rFonts w:ascii="Myriad Pro Light" w:hAnsi="Myriad Pro Light" w:cstheme="minorBidi"/>
      <w:color w:val="auto"/>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951330">
      <w:bodyDiv w:val="1"/>
      <w:marLeft w:val="0"/>
      <w:marRight w:val="0"/>
      <w:marTop w:val="0"/>
      <w:marBottom w:val="0"/>
      <w:divBdr>
        <w:top w:val="none" w:sz="0" w:space="0" w:color="auto"/>
        <w:left w:val="none" w:sz="0" w:space="0" w:color="auto"/>
        <w:bottom w:val="none" w:sz="0" w:space="0" w:color="auto"/>
        <w:right w:val="none" w:sz="0" w:space="0" w:color="auto"/>
      </w:divBdr>
    </w:div>
    <w:div w:id="1203782029">
      <w:bodyDiv w:val="1"/>
      <w:marLeft w:val="0"/>
      <w:marRight w:val="0"/>
      <w:marTop w:val="0"/>
      <w:marBottom w:val="0"/>
      <w:divBdr>
        <w:top w:val="none" w:sz="0" w:space="0" w:color="auto"/>
        <w:left w:val="none" w:sz="0" w:space="0" w:color="auto"/>
        <w:bottom w:val="none" w:sz="0" w:space="0" w:color="auto"/>
        <w:right w:val="none" w:sz="0" w:space="0" w:color="auto"/>
      </w:divBdr>
    </w:div>
    <w:div w:id="1417358207">
      <w:bodyDiv w:val="1"/>
      <w:marLeft w:val="0"/>
      <w:marRight w:val="0"/>
      <w:marTop w:val="0"/>
      <w:marBottom w:val="0"/>
      <w:divBdr>
        <w:top w:val="none" w:sz="0" w:space="0" w:color="auto"/>
        <w:left w:val="none" w:sz="0" w:space="0" w:color="auto"/>
        <w:bottom w:val="none" w:sz="0" w:space="0" w:color="auto"/>
        <w:right w:val="none" w:sz="0" w:space="0" w:color="auto"/>
      </w:divBdr>
    </w:div>
    <w:div w:id="1562711820">
      <w:bodyDiv w:val="1"/>
      <w:marLeft w:val="0"/>
      <w:marRight w:val="0"/>
      <w:marTop w:val="0"/>
      <w:marBottom w:val="0"/>
      <w:divBdr>
        <w:top w:val="none" w:sz="0" w:space="0" w:color="auto"/>
        <w:left w:val="none" w:sz="0" w:space="0" w:color="auto"/>
        <w:bottom w:val="none" w:sz="0" w:space="0" w:color="auto"/>
        <w:right w:val="none" w:sz="0" w:space="0" w:color="auto"/>
      </w:divBdr>
    </w:div>
    <w:div w:id="1758214620">
      <w:bodyDiv w:val="1"/>
      <w:marLeft w:val="0"/>
      <w:marRight w:val="0"/>
      <w:marTop w:val="0"/>
      <w:marBottom w:val="0"/>
      <w:divBdr>
        <w:top w:val="none" w:sz="0" w:space="0" w:color="auto"/>
        <w:left w:val="none" w:sz="0" w:space="0" w:color="auto"/>
        <w:bottom w:val="none" w:sz="0" w:space="0" w:color="auto"/>
        <w:right w:val="none" w:sz="0" w:space="0" w:color="auto"/>
      </w:divBdr>
      <w:divsChild>
        <w:div w:id="1091658862">
          <w:marLeft w:val="0"/>
          <w:marRight w:val="0"/>
          <w:marTop w:val="0"/>
          <w:marBottom w:val="0"/>
          <w:divBdr>
            <w:top w:val="none" w:sz="0" w:space="0" w:color="auto"/>
            <w:left w:val="none" w:sz="0" w:space="0" w:color="auto"/>
            <w:bottom w:val="none" w:sz="0" w:space="0" w:color="auto"/>
            <w:right w:val="none" w:sz="0" w:space="0" w:color="auto"/>
          </w:divBdr>
        </w:div>
        <w:div w:id="1709644143">
          <w:marLeft w:val="0"/>
          <w:marRight w:val="0"/>
          <w:marTop w:val="0"/>
          <w:marBottom w:val="0"/>
          <w:divBdr>
            <w:top w:val="none" w:sz="0" w:space="0" w:color="auto"/>
            <w:left w:val="none" w:sz="0" w:space="0" w:color="auto"/>
            <w:bottom w:val="none" w:sz="0" w:space="0" w:color="auto"/>
            <w:right w:val="none" w:sz="0" w:space="0" w:color="auto"/>
          </w:divBdr>
        </w:div>
        <w:div w:id="869951189">
          <w:marLeft w:val="0"/>
          <w:marRight w:val="0"/>
          <w:marTop w:val="0"/>
          <w:marBottom w:val="0"/>
          <w:divBdr>
            <w:top w:val="none" w:sz="0" w:space="0" w:color="auto"/>
            <w:left w:val="none" w:sz="0" w:space="0" w:color="auto"/>
            <w:bottom w:val="none" w:sz="0" w:space="0" w:color="auto"/>
            <w:right w:val="none" w:sz="0" w:space="0" w:color="auto"/>
          </w:divBdr>
        </w:div>
        <w:div w:id="512692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corteconstitucional.gov.co/relatoria/2009/T-546-09.htm" TargetMode="External"/><Relationship Id="rId1" Type="http://schemas.openxmlformats.org/officeDocument/2006/relationships/hyperlink" Target="http://apps.who.int/iris/bitstream/10665/44584/1/9789241548151_eng.pdf.%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923A0-CB6F-434F-9CC4-9BD8662A0DB0}"/>
</file>

<file path=customXml/itemProps2.xml><?xml version="1.0" encoding="utf-8"?>
<ds:datastoreItem xmlns:ds="http://schemas.openxmlformats.org/officeDocument/2006/customXml" ds:itemID="{73333E97-F175-4270-992A-B7704DD077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0ECDB9-9C38-4ACB-8934-57F8698DCA49}">
  <ds:schemaRefs>
    <ds:schemaRef ds:uri="http://schemas.microsoft.com/sharepoint/v3/contenttype/forms"/>
  </ds:schemaRefs>
</ds:datastoreItem>
</file>

<file path=customXml/itemProps4.xml><?xml version="1.0" encoding="utf-8"?>
<ds:datastoreItem xmlns:ds="http://schemas.openxmlformats.org/officeDocument/2006/customXml" ds:itemID="{1B2F133B-0C05-42E0-A5F8-DFF15C9DF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A_E.dotm</Template>
  <TotalTime>0</TotalTime>
  <Pages>30</Pages>
  <Words>11692</Words>
  <Characters>66650</Characters>
  <Application>Microsoft Office Word</Application>
  <DocSecurity>0</DocSecurity>
  <Lines>555</Lines>
  <Paragraphs>156</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CSD</Company>
  <LinksUpToDate>false</LinksUpToDate>
  <CharactersWithSpaces>78186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Francesca Foppiano</dc:creator>
  <cp:lastModifiedBy>Ahreum Lee</cp:lastModifiedBy>
  <cp:revision>2</cp:revision>
  <cp:lastPrinted>2017-07-03T16:21:00Z</cp:lastPrinted>
  <dcterms:created xsi:type="dcterms:W3CDTF">2017-11-15T15:22:00Z</dcterms:created>
  <dcterms:modified xsi:type="dcterms:W3CDTF">2017-11-15T15:22:00Z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