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E400A" w14:textId="2E32FDEF" w:rsidR="00D467B7" w:rsidRPr="00231239" w:rsidRDefault="00231239" w:rsidP="00231239">
      <w:pPr>
        <w:jc w:val="center"/>
        <w:rPr>
          <w:rFonts w:ascii="Times New Roman" w:hAnsi="Times New Roman" w:cs="Times New Roman"/>
          <w:b/>
          <w:sz w:val="24"/>
          <w:szCs w:val="24"/>
        </w:rPr>
      </w:pPr>
      <w:proofErr w:type="spellStart"/>
      <w:r w:rsidRPr="00231239">
        <w:rPr>
          <w:rFonts w:ascii="Times New Roman" w:hAnsi="Times New Roman" w:cs="Times New Roman"/>
          <w:b/>
          <w:sz w:val="24"/>
          <w:szCs w:val="24"/>
        </w:rPr>
        <w:t>Contribution</w:t>
      </w:r>
      <w:proofErr w:type="spellEnd"/>
      <w:r w:rsidRPr="00231239">
        <w:rPr>
          <w:rFonts w:ascii="Times New Roman" w:hAnsi="Times New Roman" w:cs="Times New Roman"/>
          <w:b/>
          <w:sz w:val="24"/>
          <w:szCs w:val="24"/>
        </w:rPr>
        <w:t xml:space="preserve"> of Hungary </w:t>
      </w:r>
      <w:proofErr w:type="spellStart"/>
      <w:r>
        <w:rPr>
          <w:rFonts w:ascii="Times New Roman" w:hAnsi="Times New Roman" w:cs="Times New Roman"/>
          <w:b/>
          <w:sz w:val="24"/>
          <w:szCs w:val="24"/>
        </w:rPr>
        <w:t>to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next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report</w:t>
      </w:r>
      <w:proofErr w:type="spellEnd"/>
      <w:r>
        <w:rPr>
          <w:rFonts w:ascii="Times New Roman" w:hAnsi="Times New Roman" w:cs="Times New Roman"/>
          <w:b/>
          <w:sz w:val="24"/>
          <w:szCs w:val="24"/>
        </w:rPr>
        <w:t xml:space="preserve"> of </w:t>
      </w:r>
      <w:r w:rsidRPr="00231239">
        <w:rPr>
          <w:rFonts w:ascii="Times New Roman" w:hAnsi="Times New Roman" w:cs="Times New Roman"/>
          <w:b/>
          <w:sz w:val="24"/>
          <w:szCs w:val="24"/>
          <w:lang w:val="en-US"/>
        </w:rPr>
        <w:t xml:space="preserve">Ms. </w:t>
      </w:r>
      <w:proofErr w:type="spellStart"/>
      <w:r w:rsidRPr="00231239">
        <w:rPr>
          <w:rFonts w:ascii="Times New Roman" w:hAnsi="Times New Roman" w:cs="Times New Roman"/>
          <w:b/>
          <w:sz w:val="24"/>
          <w:szCs w:val="24"/>
          <w:lang w:val="en-US"/>
        </w:rPr>
        <w:t>Dubravka</w:t>
      </w:r>
      <w:proofErr w:type="spellEnd"/>
      <w:r w:rsidRPr="00231239">
        <w:rPr>
          <w:rFonts w:ascii="Times New Roman" w:hAnsi="Times New Roman" w:cs="Times New Roman"/>
          <w:b/>
          <w:sz w:val="24"/>
          <w:szCs w:val="24"/>
          <w:lang w:val="en-US"/>
        </w:rPr>
        <w:t xml:space="preserve"> </w:t>
      </w:r>
      <w:proofErr w:type="spellStart"/>
      <w:r w:rsidRPr="00231239">
        <w:rPr>
          <w:rFonts w:ascii="Times New Roman" w:hAnsi="Times New Roman" w:cs="Times New Roman"/>
          <w:b/>
          <w:sz w:val="24"/>
          <w:szCs w:val="24"/>
          <w:lang w:val="en-US"/>
        </w:rPr>
        <w:t>Simonovic</w:t>
      </w:r>
      <w:proofErr w:type="spellEnd"/>
      <w:r w:rsidRPr="00231239">
        <w:rPr>
          <w:rFonts w:ascii="Times New Roman" w:hAnsi="Times New Roman" w:cs="Times New Roman"/>
          <w:b/>
          <w:sz w:val="24"/>
          <w:szCs w:val="24"/>
          <w:lang w:val="en-US"/>
        </w:rPr>
        <w:t>, UN Special Rapporteur on violence against women, its causes and consequences</w:t>
      </w:r>
      <w:r>
        <w:rPr>
          <w:rFonts w:ascii="Times New Roman" w:hAnsi="Times New Roman" w:cs="Times New Roman"/>
          <w:b/>
          <w:sz w:val="24"/>
          <w:szCs w:val="24"/>
          <w:lang w:val="en-US"/>
        </w:rPr>
        <w:t xml:space="preserve"> on progress</w:t>
      </w:r>
      <w:r>
        <w:rPr>
          <w:rFonts w:ascii="Times New Roman" w:hAnsi="Times New Roman" w:cs="Times New Roman"/>
          <w:b/>
          <w:sz w:val="24"/>
          <w:szCs w:val="24"/>
        </w:rPr>
        <w:t xml:space="preserve"> </w:t>
      </w:r>
      <w:r w:rsidR="00A8229E" w:rsidRPr="00A8229E">
        <w:rPr>
          <w:rFonts w:ascii="Times New Roman" w:hAnsi="Times New Roman" w:cs="Times New Roman"/>
          <w:b/>
          <w:sz w:val="24"/>
          <w:szCs w:val="24"/>
        </w:rPr>
        <w:t xml:space="preserve">made </w:t>
      </w:r>
      <w:proofErr w:type="spellStart"/>
      <w:r w:rsidR="00A8229E" w:rsidRPr="00A8229E">
        <w:rPr>
          <w:rFonts w:ascii="Times New Roman" w:hAnsi="Times New Roman" w:cs="Times New Roman"/>
          <w:b/>
          <w:sz w:val="24"/>
          <w:szCs w:val="24"/>
        </w:rPr>
        <w:t>to</w:t>
      </w:r>
      <w:proofErr w:type="spellEnd"/>
      <w:r w:rsidR="00A8229E" w:rsidRPr="00A8229E">
        <w:rPr>
          <w:rFonts w:ascii="Times New Roman" w:hAnsi="Times New Roman" w:cs="Times New Roman"/>
          <w:b/>
          <w:sz w:val="24"/>
          <w:szCs w:val="24"/>
        </w:rPr>
        <w:t xml:space="preserve"> </w:t>
      </w:r>
      <w:proofErr w:type="spellStart"/>
      <w:r w:rsidR="00A8229E" w:rsidRPr="00A8229E">
        <w:rPr>
          <w:rFonts w:ascii="Times New Roman" w:hAnsi="Times New Roman" w:cs="Times New Roman"/>
          <w:b/>
          <w:sz w:val="24"/>
          <w:szCs w:val="24"/>
        </w:rPr>
        <w:t>prevent</w:t>
      </w:r>
      <w:proofErr w:type="spellEnd"/>
      <w:r w:rsidR="00A8229E" w:rsidRPr="00A8229E">
        <w:rPr>
          <w:rFonts w:ascii="Times New Roman" w:hAnsi="Times New Roman" w:cs="Times New Roman"/>
          <w:b/>
          <w:sz w:val="24"/>
          <w:szCs w:val="24"/>
        </w:rPr>
        <w:t xml:space="preserve"> and </w:t>
      </w:r>
      <w:proofErr w:type="spellStart"/>
      <w:r w:rsidR="00A8229E" w:rsidRPr="00A8229E">
        <w:rPr>
          <w:rFonts w:ascii="Times New Roman" w:hAnsi="Times New Roman" w:cs="Times New Roman"/>
          <w:b/>
          <w:sz w:val="24"/>
          <w:szCs w:val="24"/>
        </w:rPr>
        <w:t>combat</w:t>
      </w:r>
      <w:proofErr w:type="spellEnd"/>
      <w:r w:rsidR="00A8229E" w:rsidRPr="00A8229E">
        <w:rPr>
          <w:rFonts w:ascii="Times New Roman" w:hAnsi="Times New Roman" w:cs="Times New Roman"/>
          <w:b/>
          <w:sz w:val="24"/>
          <w:szCs w:val="24"/>
        </w:rPr>
        <w:t xml:space="preserve"> </w:t>
      </w:r>
      <w:proofErr w:type="spellStart"/>
      <w:r w:rsidR="00A8229E" w:rsidRPr="00A8229E">
        <w:rPr>
          <w:rFonts w:ascii="Times New Roman" w:hAnsi="Times New Roman" w:cs="Times New Roman"/>
          <w:b/>
          <w:sz w:val="24"/>
          <w:szCs w:val="24"/>
        </w:rPr>
        <w:t>femicide</w:t>
      </w:r>
      <w:proofErr w:type="spellEnd"/>
      <w:r w:rsidR="00A8229E" w:rsidRPr="00A8229E">
        <w:rPr>
          <w:rFonts w:ascii="Times New Roman" w:hAnsi="Times New Roman" w:cs="Times New Roman"/>
          <w:b/>
          <w:sz w:val="24"/>
          <w:szCs w:val="24"/>
        </w:rPr>
        <w:t xml:space="preserve">, </w:t>
      </w:r>
      <w:proofErr w:type="spellStart"/>
      <w:r w:rsidR="00A8229E" w:rsidRPr="00A8229E">
        <w:rPr>
          <w:rFonts w:ascii="Times New Roman" w:hAnsi="Times New Roman" w:cs="Times New Roman"/>
          <w:b/>
          <w:sz w:val="24"/>
          <w:szCs w:val="24"/>
        </w:rPr>
        <w:t>particularly</w:t>
      </w:r>
      <w:proofErr w:type="spellEnd"/>
      <w:r w:rsidR="00A8229E" w:rsidRPr="00A8229E">
        <w:rPr>
          <w:rFonts w:ascii="Times New Roman" w:hAnsi="Times New Roman" w:cs="Times New Roman"/>
          <w:b/>
          <w:sz w:val="24"/>
          <w:szCs w:val="24"/>
        </w:rPr>
        <w:t xml:space="preserve"> in </w:t>
      </w:r>
      <w:proofErr w:type="spellStart"/>
      <w:r w:rsidR="00A8229E" w:rsidRPr="00A8229E">
        <w:rPr>
          <w:rFonts w:ascii="Times New Roman" w:hAnsi="Times New Roman" w:cs="Times New Roman"/>
          <w:b/>
          <w:sz w:val="24"/>
          <w:szCs w:val="24"/>
        </w:rPr>
        <w:t>the</w:t>
      </w:r>
      <w:proofErr w:type="spellEnd"/>
      <w:r w:rsidR="00A8229E" w:rsidRPr="00A8229E">
        <w:rPr>
          <w:rFonts w:ascii="Times New Roman" w:hAnsi="Times New Roman" w:cs="Times New Roman"/>
          <w:b/>
          <w:sz w:val="24"/>
          <w:szCs w:val="24"/>
        </w:rPr>
        <w:t xml:space="preserve"> context of </w:t>
      </w:r>
      <w:proofErr w:type="spellStart"/>
      <w:r w:rsidR="00A8229E" w:rsidRPr="00A8229E">
        <w:rPr>
          <w:rFonts w:ascii="Times New Roman" w:hAnsi="Times New Roman" w:cs="Times New Roman"/>
          <w:b/>
          <w:sz w:val="24"/>
          <w:szCs w:val="24"/>
        </w:rPr>
        <w:t>the</w:t>
      </w:r>
      <w:proofErr w:type="spellEnd"/>
      <w:r w:rsidR="00A8229E">
        <w:rPr>
          <w:rFonts w:ascii="Times New Roman" w:hAnsi="Times New Roman" w:cs="Times New Roman"/>
          <w:b/>
          <w:sz w:val="24"/>
          <w:szCs w:val="24"/>
        </w:rPr>
        <w:t xml:space="preserve"> </w:t>
      </w:r>
      <w:proofErr w:type="spellStart"/>
      <w:r w:rsidR="00A8229E" w:rsidRPr="00A8229E">
        <w:rPr>
          <w:rFonts w:ascii="Times New Roman" w:hAnsi="Times New Roman" w:cs="Times New Roman"/>
          <w:b/>
          <w:sz w:val="24"/>
          <w:szCs w:val="24"/>
        </w:rPr>
        <w:t>Femicide</w:t>
      </w:r>
      <w:proofErr w:type="spellEnd"/>
      <w:r w:rsidR="00A8229E" w:rsidRPr="00A8229E">
        <w:rPr>
          <w:rFonts w:ascii="Times New Roman" w:hAnsi="Times New Roman" w:cs="Times New Roman"/>
          <w:b/>
          <w:sz w:val="24"/>
          <w:szCs w:val="24"/>
        </w:rPr>
        <w:t xml:space="preserve"> </w:t>
      </w:r>
      <w:proofErr w:type="spellStart"/>
      <w:r w:rsidR="00A8229E" w:rsidRPr="00A8229E">
        <w:rPr>
          <w:rFonts w:ascii="Times New Roman" w:hAnsi="Times New Roman" w:cs="Times New Roman"/>
          <w:b/>
          <w:sz w:val="24"/>
          <w:szCs w:val="24"/>
        </w:rPr>
        <w:t>Watch</w:t>
      </w:r>
      <w:proofErr w:type="spellEnd"/>
      <w:r w:rsidR="00A8229E" w:rsidRPr="00A8229E">
        <w:rPr>
          <w:rFonts w:ascii="Times New Roman" w:hAnsi="Times New Roman" w:cs="Times New Roman"/>
          <w:b/>
          <w:sz w:val="24"/>
          <w:szCs w:val="24"/>
        </w:rPr>
        <w:t xml:space="preserve"> </w:t>
      </w:r>
      <w:proofErr w:type="spellStart"/>
      <w:r>
        <w:rPr>
          <w:rFonts w:ascii="Times New Roman" w:hAnsi="Times New Roman" w:cs="Times New Roman"/>
          <w:b/>
          <w:sz w:val="24"/>
          <w:szCs w:val="24"/>
        </w:rPr>
        <w:t>initiative</w:t>
      </w:r>
      <w:bookmarkStart w:id="0" w:name="_GoBack"/>
      <w:bookmarkEnd w:id="0"/>
      <w:proofErr w:type="spellEnd"/>
    </w:p>
    <w:p w14:paraId="285B9A00" w14:textId="77777777" w:rsidR="00FF5101" w:rsidRPr="00A8229E" w:rsidRDefault="00FF5101">
      <w:pPr>
        <w:rPr>
          <w:rFonts w:ascii="Times New Roman" w:hAnsi="Times New Roman" w:cs="Times New Roman"/>
          <w:sz w:val="24"/>
          <w:szCs w:val="24"/>
        </w:rPr>
      </w:pPr>
    </w:p>
    <w:p w14:paraId="5D2FA7B9" w14:textId="387BBA4B" w:rsidR="00E038AB" w:rsidRPr="00D16C18" w:rsidRDefault="00D16C18" w:rsidP="00D16C18">
      <w:pPr>
        <w:ind w:left="708" w:hanging="348"/>
        <w:jc w:val="both"/>
        <w:rPr>
          <w:rFonts w:ascii="Times New Roman" w:hAnsi="Times New Roman" w:cs="Times New Roman"/>
          <w:sz w:val="24"/>
          <w:szCs w:val="24"/>
          <w:lang w:val="en-AU"/>
        </w:rPr>
      </w:pPr>
      <w:r>
        <w:rPr>
          <w:rFonts w:ascii="Times New Roman" w:hAnsi="Times New Roman" w:cs="Times New Roman"/>
          <w:sz w:val="24"/>
          <w:szCs w:val="24"/>
          <w:lang w:val="en-AU"/>
        </w:rPr>
        <w:t>1.</w:t>
      </w:r>
      <w:r>
        <w:rPr>
          <w:rFonts w:ascii="Times New Roman" w:hAnsi="Times New Roman" w:cs="Times New Roman"/>
          <w:sz w:val="24"/>
          <w:szCs w:val="24"/>
          <w:lang w:val="en-AU"/>
        </w:rPr>
        <w:tab/>
      </w:r>
      <w:r w:rsidR="00902C16" w:rsidRPr="00D16C18">
        <w:rPr>
          <w:rFonts w:ascii="Times New Roman" w:hAnsi="Times New Roman" w:cs="Times New Roman"/>
          <w:sz w:val="24"/>
          <w:szCs w:val="24"/>
          <w:lang w:val="en-AU"/>
        </w:rPr>
        <w:t>The existence of, or progress in, the creation of a national femicide watch and/or observatory on violence against women</w:t>
      </w:r>
      <w:r w:rsidRPr="00D16C18">
        <w:rPr>
          <w:rFonts w:ascii="Times New Roman" w:hAnsi="Times New Roman" w:cs="Times New Roman"/>
          <w:sz w:val="24"/>
          <w:szCs w:val="24"/>
          <w:lang w:val="en-AU"/>
        </w:rPr>
        <w:t xml:space="preserve"> with a femicide watch role; observatories at Ombudspersons’ office or Equality Bodies; academic institutions and/or NGOs</w:t>
      </w:r>
      <w:r w:rsidR="00902C16" w:rsidRPr="00D16C18">
        <w:rPr>
          <w:rFonts w:ascii="Times New Roman" w:hAnsi="Times New Roman" w:cs="Times New Roman"/>
          <w:sz w:val="24"/>
          <w:szCs w:val="24"/>
          <w:lang w:val="en-AU"/>
        </w:rPr>
        <w:t xml:space="preserve">, or any plans to </w:t>
      </w:r>
      <w:r w:rsidRPr="00D16C18">
        <w:rPr>
          <w:rFonts w:ascii="Times New Roman" w:hAnsi="Times New Roman" w:cs="Times New Roman"/>
          <w:sz w:val="24"/>
          <w:szCs w:val="24"/>
          <w:lang w:val="en-AU"/>
        </w:rPr>
        <w:t>create one</w:t>
      </w:r>
      <w:r w:rsidR="00902C16" w:rsidRPr="00D16C18">
        <w:rPr>
          <w:rFonts w:ascii="Times New Roman" w:hAnsi="Times New Roman" w:cs="Times New Roman"/>
          <w:sz w:val="24"/>
          <w:szCs w:val="24"/>
          <w:lang w:val="en-AU"/>
        </w:rPr>
        <w:t>.</w:t>
      </w:r>
    </w:p>
    <w:p w14:paraId="0842471E" w14:textId="30FD8058" w:rsidR="00902C16" w:rsidRDefault="00D16C18" w:rsidP="00D16C18">
      <w:pPr>
        <w:ind w:left="708" w:hanging="348"/>
        <w:jc w:val="both"/>
        <w:rPr>
          <w:rFonts w:ascii="Times New Roman" w:hAnsi="Times New Roman" w:cs="Times New Roman"/>
          <w:sz w:val="24"/>
          <w:szCs w:val="24"/>
          <w:lang w:val="en-AU"/>
        </w:rPr>
      </w:pPr>
      <w:r>
        <w:rPr>
          <w:rFonts w:ascii="Times New Roman" w:hAnsi="Times New Roman" w:cs="Times New Roman"/>
          <w:sz w:val="24"/>
          <w:szCs w:val="24"/>
          <w:lang w:val="en-AU"/>
        </w:rPr>
        <w:t>2.</w:t>
      </w:r>
      <w:r>
        <w:rPr>
          <w:rFonts w:ascii="Times New Roman" w:hAnsi="Times New Roman" w:cs="Times New Roman"/>
          <w:sz w:val="24"/>
          <w:szCs w:val="24"/>
          <w:lang w:val="en-AU"/>
        </w:rPr>
        <w:tab/>
      </w:r>
      <w:r w:rsidR="00902C16" w:rsidRPr="00D16C18">
        <w:rPr>
          <w:rFonts w:ascii="Times New Roman" w:hAnsi="Times New Roman" w:cs="Times New Roman"/>
          <w:sz w:val="24"/>
          <w:szCs w:val="24"/>
          <w:lang w:val="en-AU"/>
        </w:rPr>
        <w:t>Other measures or research and studies undertaken to prevent femicide or gender related killings of women, or homicide of women, by intimate partners or family members</w:t>
      </w:r>
      <w:r w:rsidRPr="00D16C18">
        <w:rPr>
          <w:rFonts w:ascii="Times New Roman" w:hAnsi="Times New Roman" w:cs="Times New Roman"/>
          <w:sz w:val="24"/>
          <w:szCs w:val="24"/>
          <w:lang w:val="en-AU"/>
        </w:rPr>
        <w:t xml:space="preserve"> and other femicides</w:t>
      </w:r>
      <w:r w:rsidR="00902C16" w:rsidRPr="00D16C18">
        <w:rPr>
          <w:rFonts w:ascii="Times New Roman" w:hAnsi="Times New Roman" w:cs="Times New Roman"/>
          <w:sz w:val="24"/>
          <w:szCs w:val="24"/>
          <w:lang w:val="en-AU"/>
        </w:rPr>
        <w:t>.</w:t>
      </w:r>
      <w:r w:rsidR="004E1EBF">
        <w:rPr>
          <w:rFonts w:ascii="Times New Roman" w:hAnsi="Times New Roman" w:cs="Times New Roman"/>
          <w:sz w:val="24"/>
          <w:szCs w:val="24"/>
          <w:lang w:val="en-AU"/>
        </w:rPr>
        <w:t xml:space="preserve"> If available, please share a copy of such studies.</w:t>
      </w:r>
    </w:p>
    <w:p w14:paraId="08317309" w14:textId="6C16C32F" w:rsidR="004E1EBF" w:rsidRDefault="004E1EBF" w:rsidP="00D16C18">
      <w:pPr>
        <w:ind w:left="708" w:hanging="348"/>
        <w:jc w:val="both"/>
        <w:rPr>
          <w:rFonts w:ascii="Times New Roman" w:hAnsi="Times New Roman" w:cs="Times New Roman"/>
          <w:sz w:val="24"/>
          <w:szCs w:val="24"/>
          <w:lang w:val="en-AU"/>
        </w:rPr>
      </w:pPr>
    </w:p>
    <w:p w14:paraId="0733453B" w14:textId="77777777" w:rsidR="004E1EBF" w:rsidRPr="00A917E5" w:rsidRDefault="004E1EBF" w:rsidP="004E1EBF">
      <w:pPr>
        <w:jc w:val="both"/>
        <w:rPr>
          <w:rFonts w:ascii="Times New Roman" w:hAnsi="Times New Roman" w:cs="Times New Roman"/>
          <w:i/>
          <w:sz w:val="24"/>
          <w:szCs w:val="24"/>
          <w:lang w:val="en-AU"/>
        </w:rPr>
      </w:pPr>
      <w:r>
        <w:rPr>
          <w:rFonts w:ascii="Times New Roman" w:hAnsi="Times New Roman" w:cs="Times New Roman"/>
          <w:i/>
          <w:sz w:val="24"/>
          <w:szCs w:val="24"/>
          <w:lang w:val="en-AU"/>
        </w:rPr>
        <w:t>In 2020</w:t>
      </w:r>
      <w:r w:rsidRPr="00A917E5">
        <w:rPr>
          <w:rFonts w:ascii="Times New Roman" w:hAnsi="Times New Roman" w:cs="Times New Roman"/>
          <w:i/>
          <w:sz w:val="24"/>
          <w:szCs w:val="24"/>
          <w:lang w:val="en-AU"/>
        </w:rPr>
        <w:t xml:space="preserve">, under the coordination of the Ministry of Justice, the Family Law Working Group was established, which, in cooperation with 60 NGOs, prepared a 170-page expert opinion. In addition, the Civil Law Working Group on Family Law was set up </w:t>
      </w:r>
      <w:r>
        <w:rPr>
          <w:rFonts w:ascii="Times New Roman" w:hAnsi="Times New Roman" w:cs="Times New Roman"/>
          <w:i/>
          <w:sz w:val="24"/>
          <w:szCs w:val="24"/>
          <w:lang w:val="en-AU"/>
        </w:rPr>
        <w:t xml:space="preserve">in 2020 </w:t>
      </w:r>
      <w:r w:rsidRPr="00A917E5">
        <w:rPr>
          <w:rFonts w:ascii="Times New Roman" w:hAnsi="Times New Roman" w:cs="Times New Roman"/>
          <w:i/>
          <w:sz w:val="24"/>
          <w:szCs w:val="24"/>
          <w:lang w:val="en-AU"/>
        </w:rPr>
        <w:t xml:space="preserve">in order to channel civil proposals more effectively into the legislative process. The Working Party on Family Law has issued an expert opinion </w:t>
      </w:r>
      <w:proofErr w:type="gramStart"/>
      <w:r w:rsidRPr="00A917E5">
        <w:rPr>
          <w:rFonts w:ascii="Times New Roman" w:hAnsi="Times New Roman" w:cs="Times New Roman"/>
          <w:i/>
          <w:sz w:val="24"/>
          <w:szCs w:val="24"/>
          <w:lang w:val="en-AU"/>
        </w:rPr>
        <w:t>on the basis of</w:t>
      </w:r>
      <w:proofErr w:type="gramEnd"/>
      <w:r w:rsidRPr="00A917E5">
        <w:rPr>
          <w:rFonts w:ascii="Times New Roman" w:hAnsi="Times New Roman" w:cs="Times New Roman"/>
          <w:i/>
          <w:sz w:val="24"/>
          <w:szCs w:val="24"/>
          <w:lang w:val="en-AU"/>
        </w:rPr>
        <w:t xml:space="preserve"> which, after the proposal of the Government, the Parliament has amended the relevant legislation. The principal purpose of this amendment is to provide victims of violent crimes against close relatives with more effective protection than is the case under the previous legal framework. In this context, the most important new elements of the amendment are as follow:</w:t>
      </w:r>
    </w:p>
    <w:p w14:paraId="54F3AEDE" w14:textId="77777777" w:rsidR="004E1EBF" w:rsidRPr="00A917E5" w:rsidRDefault="004E1EBF" w:rsidP="004E1EBF">
      <w:pPr>
        <w:jc w:val="both"/>
        <w:rPr>
          <w:rFonts w:ascii="Times New Roman" w:hAnsi="Times New Roman" w:cs="Times New Roman"/>
          <w:i/>
          <w:sz w:val="24"/>
          <w:szCs w:val="24"/>
          <w:lang w:val="en-AU"/>
        </w:rPr>
      </w:pPr>
      <w:r w:rsidRPr="00A917E5">
        <w:rPr>
          <w:rFonts w:ascii="Times New Roman" w:hAnsi="Times New Roman" w:cs="Times New Roman"/>
          <w:i/>
          <w:sz w:val="24"/>
          <w:szCs w:val="24"/>
          <w:lang w:val="en-AU"/>
        </w:rPr>
        <w:lastRenderedPageBreak/>
        <w:t>(1) excluding the possibility of parole for the most serious perpetrators in the case of fixed-term imprisonment,</w:t>
      </w:r>
    </w:p>
    <w:p w14:paraId="23884A99" w14:textId="77777777" w:rsidR="004E1EBF" w:rsidRPr="00A917E5" w:rsidRDefault="004E1EBF" w:rsidP="004E1EBF">
      <w:pPr>
        <w:jc w:val="both"/>
        <w:rPr>
          <w:rFonts w:ascii="Times New Roman" w:hAnsi="Times New Roman" w:cs="Times New Roman"/>
          <w:i/>
          <w:sz w:val="24"/>
          <w:szCs w:val="24"/>
          <w:lang w:val="en-AU"/>
        </w:rPr>
      </w:pPr>
      <w:r w:rsidRPr="00A917E5">
        <w:rPr>
          <w:rFonts w:ascii="Times New Roman" w:hAnsi="Times New Roman" w:cs="Times New Roman"/>
          <w:i/>
          <w:sz w:val="24"/>
          <w:szCs w:val="24"/>
          <w:lang w:val="en-AU"/>
        </w:rPr>
        <w:t>(2) introducing an expedited litigation procedure, which the victim may bring before the court of his or her place of residence, under which the victim will be able to assert his or her claims for damages or (in the case of non-pecuniary damage) damages much more easily,</w:t>
      </w:r>
    </w:p>
    <w:p w14:paraId="3EA2A227" w14:textId="77777777" w:rsidR="004E1EBF" w:rsidRPr="00A917E5" w:rsidRDefault="004E1EBF" w:rsidP="004E1EBF">
      <w:pPr>
        <w:jc w:val="both"/>
        <w:rPr>
          <w:rFonts w:ascii="Times New Roman" w:hAnsi="Times New Roman" w:cs="Times New Roman"/>
          <w:i/>
          <w:sz w:val="24"/>
          <w:szCs w:val="24"/>
          <w:lang w:val="en-AU"/>
        </w:rPr>
      </w:pPr>
      <w:r w:rsidRPr="00A917E5">
        <w:rPr>
          <w:rFonts w:ascii="Times New Roman" w:hAnsi="Times New Roman" w:cs="Times New Roman"/>
          <w:i/>
          <w:sz w:val="24"/>
          <w:szCs w:val="24"/>
          <w:lang w:val="en-AU"/>
        </w:rPr>
        <w:t>(3) conducting the expedited litigation primarily through an electronic communications network, thereby helping to spare the plaintiff victim from physical contact with the defendant, which avoids or significantly reduces the victim's so-called secondary victimization.</w:t>
      </w:r>
    </w:p>
    <w:p w14:paraId="404AD4A4" w14:textId="11CC6715" w:rsidR="004E1EBF" w:rsidRDefault="004E1EBF" w:rsidP="00D16C18">
      <w:pPr>
        <w:ind w:left="708" w:hanging="348"/>
        <w:jc w:val="both"/>
        <w:rPr>
          <w:rFonts w:ascii="Times New Roman" w:hAnsi="Times New Roman" w:cs="Times New Roman"/>
          <w:sz w:val="24"/>
          <w:szCs w:val="24"/>
          <w:lang w:val="en-AU"/>
        </w:rPr>
      </w:pPr>
    </w:p>
    <w:p w14:paraId="699B3963" w14:textId="77777777" w:rsidR="004E1EBF" w:rsidRDefault="004E1EBF" w:rsidP="00D16C18">
      <w:pPr>
        <w:ind w:left="708" w:hanging="348"/>
        <w:jc w:val="both"/>
        <w:rPr>
          <w:rFonts w:ascii="Times New Roman" w:hAnsi="Times New Roman" w:cs="Times New Roman"/>
          <w:sz w:val="24"/>
          <w:szCs w:val="24"/>
          <w:lang w:val="en-AU"/>
        </w:rPr>
      </w:pPr>
    </w:p>
    <w:p w14:paraId="21C42700" w14:textId="6C6CF1D4" w:rsidR="00D16C18" w:rsidRDefault="00D16C18" w:rsidP="00D16C18">
      <w:pPr>
        <w:ind w:left="708" w:hanging="348"/>
        <w:jc w:val="both"/>
        <w:rPr>
          <w:rFonts w:ascii="Times New Roman" w:hAnsi="Times New Roman" w:cs="Times New Roman"/>
          <w:sz w:val="24"/>
          <w:szCs w:val="24"/>
          <w:lang w:val="en-AU"/>
        </w:rPr>
      </w:pPr>
      <w:r>
        <w:rPr>
          <w:rFonts w:ascii="Times New Roman" w:hAnsi="Times New Roman" w:cs="Times New Roman"/>
          <w:sz w:val="24"/>
          <w:szCs w:val="24"/>
          <w:lang w:val="en-AU"/>
        </w:rPr>
        <w:t>3.</w:t>
      </w:r>
      <w:r>
        <w:rPr>
          <w:rFonts w:ascii="Times New Roman" w:hAnsi="Times New Roman" w:cs="Times New Roman"/>
          <w:sz w:val="24"/>
          <w:szCs w:val="24"/>
          <w:lang w:val="en-AU"/>
        </w:rPr>
        <w:tab/>
      </w:r>
      <w:r w:rsidR="004E1EBF">
        <w:rPr>
          <w:rFonts w:ascii="Times New Roman" w:hAnsi="Times New Roman" w:cs="Times New Roman"/>
          <w:sz w:val="24"/>
          <w:szCs w:val="24"/>
          <w:lang w:val="en-AU"/>
        </w:rPr>
        <w:t>R</w:t>
      </w:r>
      <w:r>
        <w:rPr>
          <w:rFonts w:ascii="Times New Roman" w:hAnsi="Times New Roman" w:cs="Times New Roman"/>
          <w:sz w:val="24"/>
          <w:szCs w:val="24"/>
          <w:lang w:val="en-AU"/>
        </w:rPr>
        <w:t>esults of analysis of femicide cases, including the review of previous court cases and recommendations and actions undertaken in this respect.</w:t>
      </w:r>
    </w:p>
    <w:p w14:paraId="3B719DFD" w14:textId="0AF55FEC" w:rsidR="00D16C18" w:rsidRPr="00D16C18" w:rsidRDefault="00D16C18" w:rsidP="00D16C18">
      <w:pPr>
        <w:ind w:left="708" w:hanging="348"/>
        <w:jc w:val="both"/>
        <w:rPr>
          <w:rFonts w:ascii="Times New Roman" w:hAnsi="Times New Roman" w:cs="Times New Roman"/>
          <w:sz w:val="24"/>
          <w:szCs w:val="24"/>
          <w:lang w:val="en-AU"/>
        </w:rPr>
      </w:pPr>
      <w:r>
        <w:rPr>
          <w:rFonts w:ascii="Times New Roman" w:hAnsi="Times New Roman" w:cs="Times New Roman"/>
          <w:sz w:val="24"/>
          <w:szCs w:val="24"/>
          <w:lang w:val="en-AU"/>
        </w:rPr>
        <w:t>4.</w:t>
      </w:r>
      <w:r>
        <w:rPr>
          <w:rFonts w:ascii="Times New Roman" w:hAnsi="Times New Roman" w:cs="Times New Roman"/>
          <w:sz w:val="24"/>
          <w:szCs w:val="24"/>
          <w:lang w:val="en-AU"/>
        </w:rPr>
        <w:tab/>
      </w:r>
      <w:r w:rsidR="004E1EBF">
        <w:rPr>
          <w:rFonts w:ascii="Times New Roman" w:hAnsi="Times New Roman" w:cs="Times New Roman"/>
          <w:sz w:val="24"/>
          <w:szCs w:val="24"/>
          <w:lang w:val="en-AU"/>
        </w:rPr>
        <w:t>C</w:t>
      </w:r>
      <w:r>
        <w:rPr>
          <w:rFonts w:ascii="Times New Roman" w:hAnsi="Times New Roman" w:cs="Times New Roman"/>
          <w:sz w:val="24"/>
          <w:szCs w:val="24"/>
          <w:lang w:val="en-AU"/>
        </w:rPr>
        <w:t>oncrete measures taken to improve support to victims of violence and to prevent femicide, (risk assessment, efficiency of protection orders), in connection with the information gath</w:t>
      </w:r>
      <w:r w:rsidR="00691F3E">
        <w:rPr>
          <w:rFonts w:ascii="Times New Roman" w:hAnsi="Times New Roman" w:cs="Times New Roman"/>
          <w:sz w:val="24"/>
          <w:szCs w:val="24"/>
          <w:lang w:val="en-AU"/>
        </w:rPr>
        <w:t>ered via femicide watches or observatories.</w:t>
      </w:r>
    </w:p>
    <w:p w14:paraId="37DB2548" w14:textId="77777777" w:rsidR="00691F3E" w:rsidRDefault="00691F3E" w:rsidP="00A917E5">
      <w:pPr>
        <w:jc w:val="both"/>
        <w:rPr>
          <w:rFonts w:ascii="Times New Roman" w:hAnsi="Times New Roman" w:cs="Times New Roman"/>
          <w:i/>
          <w:sz w:val="24"/>
          <w:szCs w:val="24"/>
          <w:lang w:val="en-AU"/>
        </w:rPr>
      </w:pPr>
    </w:p>
    <w:p w14:paraId="71AEF461" w14:textId="31A591E7" w:rsidR="00A917E5" w:rsidRPr="00A917E5" w:rsidRDefault="00A917E5" w:rsidP="00A917E5">
      <w:pPr>
        <w:jc w:val="both"/>
        <w:rPr>
          <w:rFonts w:ascii="Times New Roman" w:hAnsi="Times New Roman" w:cs="Times New Roman"/>
          <w:i/>
          <w:sz w:val="24"/>
          <w:szCs w:val="24"/>
          <w:lang w:val="en-AU"/>
        </w:rPr>
      </w:pPr>
      <w:r w:rsidRPr="00A917E5">
        <w:rPr>
          <w:rFonts w:ascii="Times New Roman" w:hAnsi="Times New Roman" w:cs="Times New Roman"/>
          <w:i/>
          <w:sz w:val="24"/>
          <w:szCs w:val="24"/>
          <w:lang w:val="en-AU"/>
        </w:rPr>
        <w:t>Hungary and the United Nations have the very same goal to provide more effective protection for victims of gender-based violence as well as domestic violence.</w:t>
      </w:r>
    </w:p>
    <w:p w14:paraId="5FE22D10" w14:textId="77777777" w:rsidR="00A917E5" w:rsidRPr="00A917E5" w:rsidRDefault="00A917E5" w:rsidP="00A917E5">
      <w:pPr>
        <w:jc w:val="both"/>
        <w:rPr>
          <w:rFonts w:ascii="Times New Roman" w:hAnsi="Times New Roman" w:cs="Times New Roman"/>
          <w:i/>
          <w:sz w:val="24"/>
          <w:szCs w:val="24"/>
          <w:lang w:val="en-AU"/>
        </w:rPr>
      </w:pPr>
      <w:r w:rsidRPr="00A917E5">
        <w:rPr>
          <w:rFonts w:ascii="Times New Roman" w:hAnsi="Times New Roman" w:cs="Times New Roman"/>
          <w:i/>
          <w:sz w:val="24"/>
          <w:szCs w:val="24"/>
          <w:lang w:val="en-AU"/>
        </w:rPr>
        <w:t>The direct consequence of the commonly shared goal is that, in Hungary, one of the strictest Penal Codes in the European Union protects all children, women and all victims of domestic violence since 2012.</w:t>
      </w:r>
    </w:p>
    <w:p w14:paraId="5D62E9A0" w14:textId="17D0870C" w:rsidR="00A917E5" w:rsidRPr="00A917E5" w:rsidRDefault="00A917E5" w:rsidP="00A917E5">
      <w:pPr>
        <w:jc w:val="both"/>
        <w:rPr>
          <w:rFonts w:ascii="Times New Roman" w:hAnsi="Times New Roman" w:cs="Times New Roman"/>
          <w:i/>
          <w:sz w:val="24"/>
          <w:szCs w:val="24"/>
          <w:lang w:val="en-AU"/>
        </w:rPr>
      </w:pPr>
      <w:r w:rsidRPr="00A917E5">
        <w:rPr>
          <w:rFonts w:ascii="Times New Roman" w:hAnsi="Times New Roman" w:cs="Times New Roman"/>
          <w:i/>
          <w:sz w:val="24"/>
          <w:szCs w:val="24"/>
          <w:lang w:val="en-AU"/>
        </w:rPr>
        <w:lastRenderedPageBreak/>
        <w:t xml:space="preserve">Also, 2020 </w:t>
      </w:r>
      <w:r w:rsidR="004E1EBF">
        <w:rPr>
          <w:rFonts w:ascii="Times New Roman" w:hAnsi="Times New Roman" w:cs="Times New Roman"/>
          <w:i/>
          <w:sz w:val="24"/>
          <w:szCs w:val="24"/>
          <w:lang w:val="en-AU"/>
        </w:rPr>
        <w:t>wa</w:t>
      </w:r>
      <w:r w:rsidRPr="00A917E5">
        <w:rPr>
          <w:rFonts w:ascii="Times New Roman" w:hAnsi="Times New Roman" w:cs="Times New Roman"/>
          <w:i/>
          <w:sz w:val="24"/>
          <w:szCs w:val="24"/>
          <w:lang w:val="en-AU"/>
        </w:rPr>
        <w:t>s the “Year of Victim Support”, during which the Ministry of Justice, among other things, draws the attention of citizens to a large-scale communication and media campaign that they are not alone when they become victims. To this end, on 29 June 2020, the new victim support website under</w:t>
      </w:r>
      <w:r>
        <w:rPr>
          <w:rFonts w:ascii="Times New Roman" w:hAnsi="Times New Roman" w:cs="Times New Roman"/>
          <w:i/>
          <w:sz w:val="24"/>
          <w:szCs w:val="24"/>
          <w:lang w:val="en-AU"/>
        </w:rPr>
        <w:t xml:space="preserve"> the www address </w:t>
      </w:r>
      <w:hyperlink r:id="rId6" w:history="1">
        <w:r w:rsidRPr="00432359">
          <w:rPr>
            <w:rStyle w:val="Hiperhivatkozs"/>
            <w:rFonts w:ascii="Times New Roman" w:hAnsi="Times New Roman" w:cs="Times New Roman"/>
            <w:i/>
            <w:sz w:val="24"/>
            <w:szCs w:val="24"/>
            <w:lang w:val="en-AU"/>
          </w:rPr>
          <w:t>https://vansegitseg.hu/</w:t>
        </w:r>
      </w:hyperlink>
      <w:r>
        <w:rPr>
          <w:rFonts w:ascii="Times New Roman" w:hAnsi="Times New Roman" w:cs="Times New Roman"/>
          <w:i/>
          <w:sz w:val="24"/>
          <w:szCs w:val="24"/>
          <w:lang w:val="en-AU"/>
        </w:rPr>
        <w:t xml:space="preserve"> </w:t>
      </w:r>
      <w:r w:rsidRPr="00A917E5">
        <w:rPr>
          <w:rFonts w:ascii="Times New Roman" w:hAnsi="Times New Roman" w:cs="Times New Roman"/>
          <w:i/>
          <w:sz w:val="24"/>
          <w:szCs w:val="24"/>
          <w:lang w:val="en-AU"/>
        </w:rPr>
        <w:t>was launched</w:t>
      </w:r>
      <w:r>
        <w:rPr>
          <w:rFonts w:ascii="Times New Roman" w:hAnsi="Times New Roman" w:cs="Times New Roman"/>
          <w:i/>
          <w:sz w:val="24"/>
          <w:szCs w:val="24"/>
          <w:lang w:val="en-AU"/>
        </w:rPr>
        <w:t xml:space="preserve"> (available only in Hungarian)</w:t>
      </w:r>
      <w:r w:rsidRPr="00A917E5">
        <w:rPr>
          <w:rFonts w:ascii="Times New Roman" w:hAnsi="Times New Roman" w:cs="Times New Roman"/>
          <w:i/>
          <w:sz w:val="24"/>
          <w:szCs w:val="24"/>
          <w:lang w:val="en-AU"/>
        </w:rPr>
        <w:t>.</w:t>
      </w:r>
    </w:p>
    <w:p w14:paraId="1F6CE393" w14:textId="77777777" w:rsidR="00A917E5" w:rsidRPr="00A917E5" w:rsidRDefault="00A917E5" w:rsidP="00A917E5">
      <w:pPr>
        <w:jc w:val="both"/>
        <w:rPr>
          <w:rFonts w:ascii="Times New Roman" w:hAnsi="Times New Roman" w:cs="Times New Roman"/>
          <w:i/>
          <w:sz w:val="24"/>
          <w:szCs w:val="24"/>
          <w:lang w:val="en-AU"/>
        </w:rPr>
      </w:pPr>
      <w:r w:rsidRPr="00A917E5">
        <w:rPr>
          <w:rFonts w:ascii="Times New Roman" w:hAnsi="Times New Roman" w:cs="Times New Roman"/>
          <w:i/>
          <w:sz w:val="24"/>
          <w:szCs w:val="24"/>
          <w:lang w:val="en-AU"/>
        </w:rPr>
        <w:t>In addition, preparations for the development of a new Hungarian victim support strategy have begun. The reform, which also pays great emphasis on victims of domestic and gender-based violence, has the following directions:</w:t>
      </w:r>
    </w:p>
    <w:p w14:paraId="2F635180" w14:textId="27D97538" w:rsidR="00A917E5" w:rsidRPr="00A917E5" w:rsidRDefault="00A917E5" w:rsidP="00A917E5">
      <w:pPr>
        <w:pStyle w:val="Listaszerbekezds"/>
        <w:numPr>
          <w:ilvl w:val="0"/>
          <w:numId w:val="10"/>
        </w:numPr>
        <w:jc w:val="both"/>
        <w:rPr>
          <w:rFonts w:ascii="Times New Roman" w:hAnsi="Times New Roman" w:cs="Times New Roman"/>
          <w:i/>
          <w:sz w:val="24"/>
          <w:szCs w:val="24"/>
          <w:lang w:val="en-AU"/>
        </w:rPr>
      </w:pPr>
      <w:proofErr w:type="gramStart"/>
      <w:r w:rsidRPr="00A917E5">
        <w:rPr>
          <w:rFonts w:ascii="Times New Roman" w:hAnsi="Times New Roman" w:cs="Times New Roman"/>
          <w:i/>
          <w:sz w:val="24"/>
          <w:szCs w:val="24"/>
          <w:lang w:val="en-AU"/>
        </w:rPr>
        <w:t>setting</w:t>
      </w:r>
      <w:proofErr w:type="gramEnd"/>
      <w:r w:rsidRPr="00A917E5">
        <w:rPr>
          <w:rFonts w:ascii="Times New Roman" w:hAnsi="Times New Roman" w:cs="Times New Roman"/>
          <w:i/>
          <w:sz w:val="24"/>
          <w:szCs w:val="24"/>
          <w:lang w:val="en-AU"/>
        </w:rPr>
        <w:t xml:space="preserve"> up a nation-wide network of victim support </w:t>
      </w:r>
      <w:proofErr w:type="spellStart"/>
      <w:r w:rsidRPr="00A917E5">
        <w:rPr>
          <w:rFonts w:ascii="Times New Roman" w:hAnsi="Times New Roman" w:cs="Times New Roman"/>
          <w:i/>
          <w:sz w:val="24"/>
          <w:szCs w:val="24"/>
          <w:lang w:val="en-AU"/>
        </w:rPr>
        <w:t>centers</w:t>
      </w:r>
      <w:proofErr w:type="spellEnd"/>
      <w:r w:rsidRPr="00A917E5">
        <w:rPr>
          <w:rFonts w:ascii="Times New Roman" w:hAnsi="Times New Roman" w:cs="Times New Roman"/>
          <w:i/>
          <w:sz w:val="24"/>
          <w:szCs w:val="24"/>
          <w:lang w:val="en-AU"/>
        </w:rPr>
        <w:t xml:space="preserve">, i.e. establishing victim support </w:t>
      </w:r>
      <w:proofErr w:type="spellStart"/>
      <w:r w:rsidRPr="00A917E5">
        <w:rPr>
          <w:rFonts w:ascii="Times New Roman" w:hAnsi="Times New Roman" w:cs="Times New Roman"/>
          <w:i/>
          <w:sz w:val="24"/>
          <w:szCs w:val="24"/>
          <w:lang w:val="en-AU"/>
        </w:rPr>
        <w:t>centers</w:t>
      </w:r>
      <w:proofErr w:type="spellEnd"/>
      <w:r w:rsidRPr="00A917E5">
        <w:rPr>
          <w:rFonts w:ascii="Times New Roman" w:hAnsi="Times New Roman" w:cs="Times New Roman"/>
          <w:i/>
          <w:sz w:val="24"/>
          <w:szCs w:val="24"/>
          <w:lang w:val="en-AU"/>
        </w:rPr>
        <w:t xml:space="preserve"> in all county capitals within five years, where victims may receive tailored services from a wide range of services. To this end, despite the economic downturn caused by COVID-19, the </w:t>
      </w:r>
      <w:r w:rsidR="004E1EBF">
        <w:rPr>
          <w:rFonts w:ascii="Times New Roman" w:hAnsi="Times New Roman" w:cs="Times New Roman"/>
          <w:i/>
          <w:sz w:val="24"/>
          <w:szCs w:val="24"/>
          <w:lang w:val="en-AU"/>
        </w:rPr>
        <w:t>three other</w:t>
      </w:r>
      <w:r w:rsidRPr="00A917E5">
        <w:rPr>
          <w:rFonts w:ascii="Times New Roman" w:hAnsi="Times New Roman" w:cs="Times New Roman"/>
          <w:i/>
          <w:sz w:val="24"/>
          <w:szCs w:val="24"/>
          <w:lang w:val="en-AU"/>
        </w:rPr>
        <w:t xml:space="preserve"> </w:t>
      </w:r>
      <w:proofErr w:type="spellStart"/>
      <w:r w:rsidRPr="00A917E5">
        <w:rPr>
          <w:rFonts w:ascii="Times New Roman" w:hAnsi="Times New Roman" w:cs="Times New Roman"/>
          <w:i/>
          <w:sz w:val="24"/>
          <w:szCs w:val="24"/>
          <w:lang w:val="en-AU"/>
        </w:rPr>
        <w:t>centers</w:t>
      </w:r>
      <w:proofErr w:type="spellEnd"/>
      <w:r w:rsidRPr="00A917E5">
        <w:rPr>
          <w:rFonts w:ascii="Times New Roman" w:hAnsi="Times New Roman" w:cs="Times New Roman"/>
          <w:i/>
          <w:sz w:val="24"/>
          <w:szCs w:val="24"/>
          <w:lang w:val="en-AU"/>
        </w:rPr>
        <w:t xml:space="preserve"> </w:t>
      </w:r>
      <w:r w:rsidR="004E1EBF">
        <w:rPr>
          <w:rFonts w:ascii="Times New Roman" w:hAnsi="Times New Roman" w:cs="Times New Roman"/>
          <w:i/>
          <w:sz w:val="24"/>
          <w:szCs w:val="24"/>
          <w:lang w:val="en-AU"/>
        </w:rPr>
        <w:t>were</w:t>
      </w:r>
      <w:r w:rsidRPr="00A917E5">
        <w:rPr>
          <w:rFonts w:ascii="Times New Roman" w:hAnsi="Times New Roman" w:cs="Times New Roman"/>
          <w:i/>
          <w:sz w:val="24"/>
          <w:szCs w:val="24"/>
          <w:lang w:val="en-AU"/>
        </w:rPr>
        <w:t xml:space="preserve"> handed over </w:t>
      </w:r>
      <w:r w:rsidR="004E1EBF">
        <w:rPr>
          <w:rFonts w:ascii="Times New Roman" w:hAnsi="Times New Roman" w:cs="Times New Roman"/>
          <w:i/>
          <w:sz w:val="24"/>
          <w:szCs w:val="24"/>
          <w:lang w:val="en-AU"/>
        </w:rPr>
        <w:t>during the pandemic</w:t>
      </w:r>
      <w:r w:rsidRPr="00A917E5">
        <w:rPr>
          <w:rFonts w:ascii="Times New Roman" w:hAnsi="Times New Roman" w:cs="Times New Roman"/>
          <w:i/>
          <w:sz w:val="24"/>
          <w:szCs w:val="24"/>
          <w:lang w:val="en-AU"/>
        </w:rPr>
        <w:t xml:space="preserve"> </w:t>
      </w:r>
      <w:r w:rsidR="004E1EBF">
        <w:rPr>
          <w:rFonts w:ascii="Times New Roman" w:hAnsi="Times New Roman" w:cs="Times New Roman"/>
          <w:i/>
          <w:sz w:val="24"/>
          <w:szCs w:val="24"/>
          <w:lang w:val="en-AU"/>
        </w:rPr>
        <w:t>(</w:t>
      </w:r>
      <w:proofErr w:type="spellStart"/>
      <w:r w:rsidR="004E1EBF">
        <w:rPr>
          <w:rFonts w:ascii="Times New Roman" w:hAnsi="Times New Roman" w:cs="Times New Roman"/>
          <w:i/>
          <w:sz w:val="24"/>
          <w:szCs w:val="24"/>
          <w:lang w:val="en-AU"/>
        </w:rPr>
        <w:t>Kecskemét</w:t>
      </w:r>
      <w:proofErr w:type="spellEnd"/>
      <w:r w:rsidR="004E1EBF">
        <w:rPr>
          <w:rFonts w:ascii="Times New Roman" w:hAnsi="Times New Roman" w:cs="Times New Roman"/>
          <w:i/>
          <w:sz w:val="24"/>
          <w:szCs w:val="24"/>
          <w:lang w:val="en-AU"/>
        </w:rPr>
        <w:t xml:space="preserve">, </w:t>
      </w:r>
      <w:proofErr w:type="spellStart"/>
      <w:r w:rsidR="004E1EBF">
        <w:rPr>
          <w:rFonts w:ascii="Times New Roman" w:hAnsi="Times New Roman" w:cs="Times New Roman"/>
          <w:i/>
          <w:sz w:val="24"/>
          <w:szCs w:val="24"/>
          <w:lang w:val="en-AU"/>
        </w:rPr>
        <w:t>Pécs</w:t>
      </w:r>
      <w:proofErr w:type="spellEnd"/>
      <w:r w:rsidR="004E1EBF">
        <w:rPr>
          <w:rFonts w:ascii="Times New Roman" w:hAnsi="Times New Roman" w:cs="Times New Roman"/>
          <w:i/>
          <w:sz w:val="24"/>
          <w:szCs w:val="24"/>
          <w:lang w:val="en-AU"/>
        </w:rPr>
        <w:t xml:space="preserve"> and </w:t>
      </w:r>
      <w:r w:rsidRPr="00A917E5">
        <w:rPr>
          <w:rFonts w:ascii="Times New Roman" w:hAnsi="Times New Roman" w:cs="Times New Roman"/>
          <w:i/>
          <w:sz w:val="24"/>
          <w:szCs w:val="24"/>
          <w:lang w:val="en-AU"/>
        </w:rPr>
        <w:t>Szeged</w:t>
      </w:r>
      <w:r w:rsidR="004E1EBF">
        <w:rPr>
          <w:rFonts w:ascii="Times New Roman" w:hAnsi="Times New Roman" w:cs="Times New Roman"/>
          <w:i/>
          <w:sz w:val="24"/>
          <w:szCs w:val="24"/>
          <w:lang w:val="en-AU"/>
        </w:rPr>
        <w:t>), so that altogether six centres are operating</w:t>
      </w:r>
      <w:r w:rsidRPr="00A917E5">
        <w:rPr>
          <w:rFonts w:ascii="Times New Roman" w:hAnsi="Times New Roman" w:cs="Times New Roman"/>
          <w:i/>
          <w:sz w:val="24"/>
          <w:szCs w:val="24"/>
          <w:lang w:val="en-AU"/>
        </w:rPr>
        <w:t xml:space="preserve">. </w:t>
      </w:r>
      <w:proofErr w:type="gramStart"/>
      <w:r w:rsidRPr="00A917E5">
        <w:rPr>
          <w:rFonts w:ascii="Times New Roman" w:hAnsi="Times New Roman" w:cs="Times New Roman"/>
          <w:i/>
          <w:sz w:val="24"/>
          <w:szCs w:val="24"/>
          <w:lang w:val="en-AU"/>
        </w:rPr>
        <w:t>The goal of the Victim Support Centres is to support the victims – especially the special groups of victims like victims of gender based violence, domestic violence etc. – whose living conditions have changed as a consequence of having been victimised of a crime or an offence against property, and to provide them with customised psychological support and information required to assert their interests.</w:t>
      </w:r>
      <w:proofErr w:type="gramEnd"/>
      <w:r w:rsidRPr="00A917E5">
        <w:rPr>
          <w:rFonts w:ascii="Times New Roman" w:hAnsi="Times New Roman" w:cs="Times New Roman"/>
          <w:i/>
          <w:sz w:val="24"/>
          <w:szCs w:val="24"/>
          <w:lang w:val="en-AU"/>
        </w:rPr>
        <w:t xml:space="preserve"> The goal of the Victim Support Centre is to offer support to victims, to listen to them and to offer appropriate, customised help to restore their balance.</w:t>
      </w:r>
    </w:p>
    <w:p w14:paraId="103A5FD6" w14:textId="77777777" w:rsidR="00A917E5" w:rsidRPr="00A917E5" w:rsidRDefault="00A917E5" w:rsidP="00A917E5">
      <w:pPr>
        <w:pStyle w:val="Listaszerbekezds"/>
        <w:numPr>
          <w:ilvl w:val="0"/>
          <w:numId w:val="10"/>
        </w:numPr>
        <w:jc w:val="both"/>
        <w:rPr>
          <w:rFonts w:ascii="Times New Roman" w:hAnsi="Times New Roman" w:cs="Times New Roman"/>
          <w:i/>
          <w:sz w:val="24"/>
          <w:szCs w:val="24"/>
          <w:lang w:val="en-AU"/>
        </w:rPr>
      </w:pPr>
      <w:r w:rsidRPr="00A917E5">
        <w:rPr>
          <w:rFonts w:ascii="Times New Roman" w:hAnsi="Times New Roman" w:cs="Times New Roman"/>
          <w:i/>
          <w:sz w:val="24"/>
          <w:szCs w:val="24"/>
          <w:lang w:val="en-AU"/>
        </w:rPr>
        <w:t>developing a unified victim management system for more effective coordination of the various organizations involved in victim support,</w:t>
      </w:r>
    </w:p>
    <w:p w14:paraId="2A7B6165" w14:textId="77777777" w:rsidR="00A917E5" w:rsidRPr="00A917E5" w:rsidRDefault="00A917E5" w:rsidP="00A917E5">
      <w:pPr>
        <w:pStyle w:val="Listaszerbekezds"/>
        <w:numPr>
          <w:ilvl w:val="0"/>
          <w:numId w:val="10"/>
        </w:numPr>
        <w:jc w:val="both"/>
        <w:rPr>
          <w:rFonts w:ascii="Times New Roman" w:hAnsi="Times New Roman" w:cs="Times New Roman"/>
          <w:i/>
          <w:sz w:val="24"/>
          <w:szCs w:val="24"/>
          <w:lang w:val="en-AU"/>
        </w:rPr>
      </w:pPr>
      <w:r w:rsidRPr="00A917E5">
        <w:rPr>
          <w:rFonts w:ascii="Times New Roman" w:hAnsi="Times New Roman" w:cs="Times New Roman"/>
          <w:i/>
          <w:sz w:val="24"/>
          <w:szCs w:val="24"/>
          <w:lang w:val="en-AU"/>
        </w:rPr>
        <w:t>introducing an opt-out system: i.e., the establishment of a public victim support system based on direct access to victims by public victim support services in order to improve the effectiveness of their access to victims,</w:t>
      </w:r>
    </w:p>
    <w:p w14:paraId="5A543290" w14:textId="77777777" w:rsidR="00A917E5" w:rsidRPr="00A917E5" w:rsidRDefault="00A917E5" w:rsidP="00A917E5">
      <w:pPr>
        <w:pStyle w:val="Listaszerbekezds"/>
        <w:numPr>
          <w:ilvl w:val="0"/>
          <w:numId w:val="10"/>
        </w:numPr>
        <w:jc w:val="both"/>
        <w:rPr>
          <w:rFonts w:ascii="Times New Roman" w:hAnsi="Times New Roman" w:cs="Times New Roman"/>
          <w:i/>
          <w:sz w:val="24"/>
          <w:szCs w:val="24"/>
          <w:lang w:val="en-AU"/>
        </w:rPr>
      </w:pPr>
      <w:r w:rsidRPr="00A917E5">
        <w:rPr>
          <w:rFonts w:ascii="Times New Roman" w:hAnsi="Times New Roman" w:cs="Times New Roman"/>
          <w:i/>
          <w:sz w:val="24"/>
          <w:szCs w:val="24"/>
          <w:lang w:val="en-AU"/>
        </w:rPr>
        <w:lastRenderedPageBreak/>
        <w:t>doing more uniform training and methodological support for state and civil victim support staff, with more focus on the prevention of violence between relatives and the reduction of the harm caused by violence between relatives.</w:t>
      </w:r>
    </w:p>
    <w:p w14:paraId="1A6BEFD2" w14:textId="0C1B3714" w:rsidR="004E1EBF" w:rsidRPr="004E1EBF" w:rsidRDefault="004E1EBF" w:rsidP="004E1EBF">
      <w:pPr>
        <w:ind w:left="360" w:hanging="360"/>
        <w:jc w:val="both"/>
        <w:rPr>
          <w:rFonts w:ascii="Times New Roman" w:hAnsi="Times New Roman" w:cs="Times New Roman"/>
          <w:iCs/>
          <w:sz w:val="24"/>
          <w:szCs w:val="24"/>
          <w:lang w:val="en-AU"/>
        </w:rPr>
      </w:pPr>
      <w:r>
        <w:rPr>
          <w:rFonts w:ascii="Times New Roman" w:hAnsi="Times New Roman" w:cs="Times New Roman"/>
          <w:iCs/>
          <w:sz w:val="24"/>
          <w:szCs w:val="24"/>
          <w:lang w:val="en-AU"/>
        </w:rPr>
        <w:t xml:space="preserve">5. </w:t>
      </w:r>
      <w:r>
        <w:rPr>
          <w:rFonts w:ascii="Times New Roman" w:hAnsi="Times New Roman" w:cs="Times New Roman"/>
          <w:iCs/>
          <w:sz w:val="24"/>
          <w:szCs w:val="24"/>
          <w:lang w:val="en-AU"/>
        </w:rPr>
        <w:tab/>
        <w:t>Good practices and challenges in implementing an evidence-based response to the prevention of femicide.</w:t>
      </w:r>
    </w:p>
    <w:p w14:paraId="6B24941A" w14:textId="39DC08A8" w:rsidR="00A917E5" w:rsidRDefault="00A917E5" w:rsidP="00A917E5">
      <w:pPr>
        <w:jc w:val="both"/>
        <w:rPr>
          <w:rFonts w:ascii="Times New Roman" w:hAnsi="Times New Roman" w:cs="Times New Roman"/>
          <w:sz w:val="24"/>
          <w:szCs w:val="24"/>
          <w:lang w:val="en-AU"/>
        </w:rPr>
      </w:pPr>
      <w:r w:rsidRPr="00A917E5">
        <w:rPr>
          <w:rFonts w:ascii="Times New Roman" w:hAnsi="Times New Roman" w:cs="Times New Roman"/>
          <w:i/>
          <w:sz w:val="24"/>
          <w:szCs w:val="24"/>
          <w:lang w:val="en-AU"/>
        </w:rPr>
        <w:t xml:space="preserve">We believe that, in particular, more uniform training and methodological support for those in charge of victim support will bring real </w:t>
      </w:r>
      <w:proofErr w:type="gramStart"/>
      <w:r w:rsidRPr="00A917E5">
        <w:rPr>
          <w:rFonts w:ascii="Times New Roman" w:hAnsi="Times New Roman" w:cs="Times New Roman"/>
          <w:i/>
          <w:sz w:val="24"/>
          <w:szCs w:val="24"/>
          <w:lang w:val="en-AU"/>
        </w:rPr>
        <w:t>added value</w:t>
      </w:r>
      <w:proofErr w:type="gramEnd"/>
      <w:r w:rsidRPr="00A917E5">
        <w:rPr>
          <w:rFonts w:ascii="Times New Roman" w:hAnsi="Times New Roman" w:cs="Times New Roman"/>
          <w:i/>
          <w:sz w:val="24"/>
          <w:szCs w:val="24"/>
          <w:lang w:val="en-AU"/>
        </w:rPr>
        <w:t xml:space="preserve"> in significantly reducing the high latency associated with domestic and gender-based violence. Therefore, we, in this respect, count on the active participation and proactivity of NGO’s.</w:t>
      </w:r>
    </w:p>
    <w:p w14:paraId="7552A8D2" w14:textId="573DE695" w:rsidR="00A917E5" w:rsidRPr="00A917E5" w:rsidRDefault="004E1EBF" w:rsidP="004E1EBF">
      <w:pPr>
        <w:ind w:left="360" w:hanging="360"/>
        <w:rPr>
          <w:rFonts w:ascii="Times New Roman" w:hAnsi="Times New Roman" w:cs="Times New Roman"/>
          <w:sz w:val="24"/>
          <w:szCs w:val="24"/>
          <w:lang w:val="en-AU"/>
        </w:rPr>
      </w:pPr>
      <w:r>
        <w:rPr>
          <w:rFonts w:ascii="Times New Roman" w:hAnsi="Times New Roman" w:cs="Times New Roman"/>
          <w:sz w:val="24"/>
          <w:szCs w:val="24"/>
          <w:lang w:val="en-AU"/>
        </w:rPr>
        <w:t>6.</w:t>
      </w:r>
      <w:r>
        <w:rPr>
          <w:rFonts w:ascii="Times New Roman" w:hAnsi="Times New Roman" w:cs="Times New Roman"/>
          <w:sz w:val="24"/>
          <w:szCs w:val="24"/>
          <w:lang w:val="en-AU"/>
        </w:rPr>
        <w:tab/>
        <w:t xml:space="preserve">Data, if available, on femicides or intimate-partner and family-related homicides of women and men in the past 3 years, including during the Covid-19 pandemic (indicating the </w:t>
      </w:r>
      <w:proofErr w:type="gramStart"/>
      <w:r>
        <w:rPr>
          <w:rFonts w:ascii="Times New Roman" w:hAnsi="Times New Roman" w:cs="Times New Roman"/>
          <w:sz w:val="24"/>
          <w:szCs w:val="24"/>
          <w:lang w:val="en-AU"/>
        </w:rPr>
        <w:t>time period</w:t>
      </w:r>
      <w:proofErr w:type="gramEnd"/>
      <w:r>
        <w:rPr>
          <w:rFonts w:ascii="Times New Roman" w:hAnsi="Times New Roman" w:cs="Times New Roman"/>
          <w:sz w:val="24"/>
          <w:szCs w:val="24"/>
          <w:lang w:val="en-AU"/>
        </w:rPr>
        <w:t xml:space="preserve"> e.g. since March 2020 to the end of December 2020) and its comparison with such data before the COVID-19 pandemic.</w:t>
      </w:r>
    </w:p>
    <w:p w14:paraId="448D3E86" w14:textId="77777777" w:rsidR="00D467B7" w:rsidRPr="00294BCF" w:rsidRDefault="00D467B7" w:rsidP="00D467B7">
      <w:pPr>
        <w:rPr>
          <w:rFonts w:ascii="Times New Roman" w:hAnsi="Times New Roman" w:cs="Times New Roman"/>
          <w:sz w:val="24"/>
          <w:szCs w:val="24"/>
          <w:lang w:val="en-AU"/>
        </w:rPr>
      </w:pPr>
    </w:p>
    <w:tbl>
      <w:tblPr>
        <w:tblStyle w:val="Rcsostblzat"/>
        <w:tblW w:w="0" w:type="auto"/>
        <w:tblLook w:val="04A0" w:firstRow="1" w:lastRow="0" w:firstColumn="1" w:lastColumn="0" w:noHBand="0" w:noVBand="1"/>
      </w:tblPr>
      <w:tblGrid>
        <w:gridCol w:w="1666"/>
        <w:gridCol w:w="1643"/>
        <w:gridCol w:w="2016"/>
        <w:gridCol w:w="2016"/>
        <w:gridCol w:w="1721"/>
      </w:tblGrid>
      <w:tr w:rsidR="00FF5101" w:rsidRPr="00294BCF" w14:paraId="37A73B54" w14:textId="77777777" w:rsidTr="00A917E5">
        <w:tc>
          <w:tcPr>
            <w:tcW w:w="1666" w:type="dxa"/>
            <w:shd w:val="clear" w:color="auto" w:fill="D9D9D9" w:themeFill="background1" w:themeFillShade="D9"/>
          </w:tcPr>
          <w:p w14:paraId="79A47B56" w14:textId="77777777" w:rsidR="00D467B7" w:rsidRDefault="00D467B7" w:rsidP="00D467B7">
            <w:pPr>
              <w:rPr>
                <w:rFonts w:ascii="Times New Roman" w:hAnsi="Times New Roman" w:cs="Times New Roman"/>
                <w:sz w:val="24"/>
                <w:szCs w:val="24"/>
                <w:lang w:val="en-AU"/>
              </w:rPr>
            </w:pPr>
            <w:r w:rsidRPr="00294BCF">
              <w:rPr>
                <w:rFonts w:ascii="Times New Roman" w:hAnsi="Times New Roman" w:cs="Times New Roman"/>
                <w:sz w:val="24"/>
                <w:szCs w:val="24"/>
                <w:lang w:val="en-AU"/>
              </w:rPr>
              <w:t>Year from to</w:t>
            </w:r>
          </w:p>
          <w:p w14:paraId="361C7838" w14:textId="77777777" w:rsidR="00FF5101" w:rsidRDefault="00FF5101" w:rsidP="00D467B7">
            <w:pPr>
              <w:rPr>
                <w:rFonts w:ascii="Times New Roman" w:hAnsi="Times New Roman" w:cs="Times New Roman"/>
                <w:sz w:val="24"/>
                <w:szCs w:val="24"/>
                <w:lang w:val="en-AU"/>
              </w:rPr>
            </w:pPr>
          </w:p>
          <w:p w14:paraId="7D3CDE6C" w14:textId="77777777" w:rsidR="00FF5101" w:rsidRDefault="00FF5101" w:rsidP="00D467B7">
            <w:pPr>
              <w:rPr>
                <w:rFonts w:ascii="Times New Roman" w:hAnsi="Times New Roman" w:cs="Times New Roman"/>
                <w:b/>
                <w:sz w:val="24"/>
                <w:szCs w:val="24"/>
                <w:lang w:val="en-AU"/>
              </w:rPr>
            </w:pPr>
          </w:p>
          <w:p w14:paraId="232DCC86" w14:textId="77777777" w:rsidR="00FF5101" w:rsidRDefault="00FF5101" w:rsidP="00D467B7">
            <w:pPr>
              <w:rPr>
                <w:rFonts w:ascii="Times New Roman" w:hAnsi="Times New Roman" w:cs="Times New Roman"/>
                <w:b/>
                <w:sz w:val="24"/>
                <w:szCs w:val="24"/>
                <w:lang w:val="en-AU"/>
              </w:rPr>
            </w:pPr>
          </w:p>
          <w:p w14:paraId="2F0BEAC0" w14:textId="77777777" w:rsidR="00294BCF" w:rsidRPr="00294BCF" w:rsidRDefault="00294BCF" w:rsidP="00D467B7">
            <w:pPr>
              <w:rPr>
                <w:rFonts w:ascii="Times New Roman" w:hAnsi="Times New Roman" w:cs="Times New Roman"/>
                <w:b/>
                <w:sz w:val="24"/>
                <w:szCs w:val="24"/>
                <w:lang w:val="en-AU"/>
              </w:rPr>
            </w:pPr>
          </w:p>
        </w:tc>
        <w:tc>
          <w:tcPr>
            <w:tcW w:w="1643" w:type="dxa"/>
            <w:shd w:val="clear" w:color="auto" w:fill="D9D9D9" w:themeFill="background1" w:themeFillShade="D9"/>
          </w:tcPr>
          <w:p w14:paraId="773998D2" w14:textId="77777777" w:rsidR="00D467B7" w:rsidRDefault="00D467B7" w:rsidP="00D467B7">
            <w:pPr>
              <w:rPr>
                <w:rFonts w:ascii="Times New Roman" w:hAnsi="Times New Roman" w:cs="Times New Roman"/>
                <w:sz w:val="24"/>
                <w:szCs w:val="24"/>
                <w:lang w:val="en-AU"/>
              </w:rPr>
            </w:pPr>
            <w:r w:rsidRPr="00294BCF">
              <w:rPr>
                <w:rFonts w:ascii="Times New Roman" w:hAnsi="Times New Roman" w:cs="Times New Roman"/>
                <w:sz w:val="24"/>
                <w:szCs w:val="24"/>
                <w:lang w:val="en-AU"/>
              </w:rPr>
              <w:t>Total number of homicides of women / men (% included)</w:t>
            </w:r>
          </w:p>
          <w:p w14:paraId="77A89EA8" w14:textId="77777777" w:rsidR="00294BCF" w:rsidRPr="00FF5101" w:rsidRDefault="00294BCF" w:rsidP="00D467B7">
            <w:pPr>
              <w:rPr>
                <w:rFonts w:ascii="Times New Roman" w:hAnsi="Times New Roman" w:cs="Times New Roman"/>
                <w:b/>
                <w:sz w:val="24"/>
                <w:szCs w:val="24"/>
                <w:lang w:val="en-AU"/>
              </w:rPr>
            </w:pPr>
          </w:p>
        </w:tc>
        <w:tc>
          <w:tcPr>
            <w:tcW w:w="2016" w:type="dxa"/>
            <w:shd w:val="clear" w:color="auto" w:fill="D9D9D9" w:themeFill="background1" w:themeFillShade="D9"/>
          </w:tcPr>
          <w:p w14:paraId="1ADB824D" w14:textId="77777777" w:rsidR="00D467B7" w:rsidRDefault="00D467B7" w:rsidP="00D467B7">
            <w:pPr>
              <w:rPr>
                <w:rFonts w:ascii="Times New Roman" w:hAnsi="Times New Roman" w:cs="Times New Roman"/>
                <w:sz w:val="24"/>
                <w:szCs w:val="24"/>
                <w:lang w:val="en-AU"/>
              </w:rPr>
            </w:pPr>
            <w:r w:rsidRPr="00294BCF">
              <w:rPr>
                <w:rFonts w:ascii="Times New Roman" w:hAnsi="Times New Roman" w:cs="Times New Roman"/>
                <w:sz w:val="24"/>
                <w:szCs w:val="24"/>
                <w:lang w:val="en-AU"/>
              </w:rPr>
              <w:t>Total number of homicide/femicide of women / men killed by intimate partners</w:t>
            </w:r>
          </w:p>
          <w:p w14:paraId="722293C5" w14:textId="77777777" w:rsidR="00FF5101" w:rsidRDefault="00FF5101" w:rsidP="00D467B7">
            <w:pPr>
              <w:rPr>
                <w:rFonts w:ascii="Times New Roman" w:hAnsi="Times New Roman" w:cs="Times New Roman"/>
                <w:sz w:val="24"/>
                <w:szCs w:val="24"/>
                <w:lang w:val="en-AU"/>
              </w:rPr>
            </w:pPr>
          </w:p>
          <w:p w14:paraId="338BD791" w14:textId="77777777" w:rsidR="00FF5101" w:rsidRPr="00FF5101" w:rsidRDefault="00FF5101" w:rsidP="00D467B7">
            <w:pPr>
              <w:rPr>
                <w:rFonts w:ascii="Times New Roman" w:hAnsi="Times New Roman" w:cs="Times New Roman"/>
                <w:b/>
                <w:sz w:val="24"/>
                <w:szCs w:val="24"/>
                <w:lang w:val="en-AU"/>
              </w:rPr>
            </w:pPr>
          </w:p>
        </w:tc>
        <w:tc>
          <w:tcPr>
            <w:tcW w:w="2016" w:type="dxa"/>
            <w:shd w:val="clear" w:color="auto" w:fill="D9D9D9" w:themeFill="background1" w:themeFillShade="D9"/>
          </w:tcPr>
          <w:p w14:paraId="16D997D7" w14:textId="77777777" w:rsidR="00D467B7" w:rsidRDefault="00416683" w:rsidP="00416683">
            <w:pPr>
              <w:rPr>
                <w:rFonts w:ascii="Times New Roman" w:hAnsi="Times New Roman" w:cs="Times New Roman"/>
                <w:sz w:val="24"/>
                <w:szCs w:val="24"/>
                <w:lang w:val="en-AU"/>
              </w:rPr>
            </w:pPr>
            <w:r w:rsidRPr="00294BCF">
              <w:rPr>
                <w:rFonts w:ascii="Times New Roman" w:hAnsi="Times New Roman" w:cs="Times New Roman"/>
                <w:sz w:val="24"/>
                <w:szCs w:val="24"/>
                <w:lang w:val="en-AU"/>
              </w:rPr>
              <w:t>Total number of homicide/femicide of women / men killed by a family member</w:t>
            </w:r>
          </w:p>
          <w:p w14:paraId="34A2D57E" w14:textId="77777777" w:rsidR="00FF5101" w:rsidRDefault="00FF5101" w:rsidP="00416683">
            <w:pPr>
              <w:rPr>
                <w:rFonts w:ascii="Times New Roman" w:hAnsi="Times New Roman" w:cs="Times New Roman"/>
                <w:sz w:val="24"/>
                <w:szCs w:val="24"/>
                <w:lang w:val="en-AU"/>
              </w:rPr>
            </w:pPr>
          </w:p>
          <w:p w14:paraId="65E51A10" w14:textId="77777777" w:rsidR="00FF5101" w:rsidRPr="00294BCF" w:rsidRDefault="00FF5101" w:rsidP="00416683">
            <w:pPr>
              <w:rPr>
                <w:rFonts w:ascii="Times New Roman" w:hAnsi="Times New Roman" w:cs="Times New Roman"/>
                <w:sz w:val="24"/>
                <w:szCs w:val="24"/>
                <w:lang w:val="en-AU"/>
              </w:rPr>
            </w:pPr>
          </w:p>
        </w:tc>
        <w:tc>
          <w:tcPr>
            <w:tcW w:w="1721" w:type="dxa"/>
            <w:shd w:val="clear" w:color="auto" w:fill="D9D9D9" w:themeFill="background1" w:themeFillShade="D9"/>
          </w:tcPr>
          <w:p w14:paraId="2125C91B" w14:textId="77777777" w:rsidR="00D467B7" w:rsidRDefault="00416683" w:rsidP="00D467B7">
            <w:pPr>
              <w:rPr>
                <w:rFonts w:ascii="Times New Roman" w:hAnsi="Times New Roman" w:cs="Times New Roman"/>
                <w:sz w:val="24"/>
                <w:szCs w:val="24"/>
                <w:lang w:val="en-AU"/>
              </w:rPr>
            </w:pPr>
            <w:r w:rsidRPr="00294BCF">
              <w:rPr>
                <w:rFonts w:ascii="Times New Roman" w:hAnsi="Times New Roman" w:cs="Times New Roman"/>
                <w:sz w:val="24"/>
                <w:szCs w:val="24"/>
                <w:lang w:val="en-AU"/>
              </w:rPr>
              <w:t>Other gender related killings of women by unrelated perpetrator</w:t>
            </w:r>
          </w:p>
          <w:p w14:paraId="41A0DCDC" w14:textId="77777777" w:rsidR="00FF5101" w:rsidRDefault="00FF5101" w:rsidP="00D467B7">
            <w:pPr>
              <w:rPr>
                <w:rFonts w:ascii="Times New Roman" w:hAnsi="Times New Roman" w:cs="Times New Roman"/>
                <w:sz w:val="24"/>
                <w:szCs w:val="24"/>
                <w:lang w:val="en-AU"/>
              </w:rPr>
            </w:pPr>
          </w:p>
          <w:p w14:paraId="5345CBC6" w14:textId="77777777" w:rsidR="00FF5101" w:rsidRPr="00FF5101" w:rsidRDefault="00FF5101" w:rsidP="00D467B7">
            <w:pPr>
              <w:rPr>
                <w:rFonts w:ascii="Times New Roman" w:hAnsi="Times New Roman" w:cs="Times New Roman"/>
                <w:b/>
                <w:sz w:val="24"/>
                <w:szCs w:val="24"/>
                <w:lang w:val="en-AU"/>
              </w:rPr>
            </w:pPr>
          </w:p>
        </w:tc>
      </w:tr>
      <w:tr w:rsidR="00A917E5" w:rsidRPr="00294BCF" w14:paraId="252B3C06" w14:textId="77777777" w:rsidTr="005658DC">
        <w:tc>
          <w:tcPr>
            <w:tcW w:w="1666" w:type="dxa"/>
          </w:tcPr>
          <w:p w14:paraId="259BDB89" w14:textId="77777777" w:rsidR="00A917E5" w:rsidRPr="00A917E5" w:rsidRDefault="00A917E5" w:rsidP="00A917E5">
            <w:pPr>
              <w:rPr>
                <w:rFonts w:ascii="Times New Roman" w:hAnsi="Times New Roman" w:cs="Times New Roman"/>
                <w:i/>
                <w:lang w:val="en-AU"/>
              </w:rPr>
            </w:pPr>
            <w:r w:rsidRPr="00A917E5">
              <w:rPr>
                <w:rFonts w:ascii="Times New Roman" w:hAnsi="Times New Roman" w:cs="Times New Roman"/>
                <w:i/>
                <w:lang w:val="en-AU"/>
              </w:rPr>
              <w:t>2018</w:t>
            </w:r>
          </w:p>
        </w:tc>
        <w:tc>
          <w:tcPr>
            <w:tcW w:w="1643" w:type="dxa"/>
          </w:tcPr>
          <w:p w14:paraId="6741DE53" w14:textId="77777777" w:rsidR="00A917E5" w:rsidRPr="00A917E5" w:rsidRDefault="00A917E5" w:rsidP="00A917E5">
            <w:pPr>
              <w:rPr>
                <w:rFonts w:ascii="Times New Roman" w:hAnsi="Times New Roman" w:cs="Times New Roman"/>
                <w:i/>
              </w:rPr>
            </w:pPr>
            <w:r w:rsidRPr="00A917E5">
              <w:rPr>
                <w:rFonts w:ascii="Times New Roman" w:hAnsi="Times New Roman" w:cs="Times New Roman"/>
                <w:i/>
              </w:rPr>
              <w:t>64 (39/61)</w:t>
            </w:r>
          </w:p>
        </w:tc>
        <w:tc>
          <w:tcPr>
            <w:tcW w:w="2016" w:type="dxa"/>
            <w:vAlign w:val="center"/>
          </w:tcPr>
          <w:p w14:paraId="64FB01E6" w14:textId="77777777" w:rsidR="00A917E5" w:rsidRPr="00A917E5" w:rsidRDefault="00A917E5" w:rsidP="00A917E5">
            <w:pPr>
              <w:jc w:val="center"/>
              <w:rPr>
                <w:rFonts w:ascii="Times New Roman" w:hAnsi="Times New Roman" w:cs="Times New Roman"/>
                <w:i/>
                <w:lang w:val="en-AU"/>
              </w:rPr>
            </w:pPr>
            <w:r w:rsidRPr="00A917E5">
              <w:rPr>
                <w:rFonts w:ascii="Times New Roman" w:hAnsi="Times New Roman" w:cs="Times New Roman"/>
                <w:i/>
                <w:lang w:val="en-AU"/>
              </w:rPr>
              <w:t>8</w:t>
            </w:r>
          </w:p>
        </w:tc>
        <w:tc>
          <w:tcPr>
            <w:tcW w:w="2016" w:type="dxa"/>
            <w:vAlign w:val="center"/>
          </w:tcPr>
          <w:p w14:paraId="0C84B60A" w14:textId="77777777" w:rsidR="00A917E5" w:rsidRPr="00A917E5" w:rsidRDefault="00A917E5" w:rsidP="00A917E5">
            <w:pPr>
              <w:jc w:val="center"/>
              <w:rPr>
                <w:rFonts w:ascii="Times New Roman" w:hAnsi="Times New Roman" w:cs="Times New Roman"/>
                <w:i/>
                <w:lang w:val="en-AU"/>
              </w:rPr>
            </w:pPr>
            <w:r w:rsidRPr="00A917E5">
              <w:rPr>
                <w:rFonts w:ascii="Times New Roman" w:hAnsi="Times New Roman" w:cs="Times New Roman"/>
                <w:i/>
                <w:lang w:val="en-AU"/>
              </w:rPr>
              <w:t>17</w:t>
            </w:r>
          </w:p>
        </w:tc>
        <w:tc>
          <w:tcPr>
            <w:tcW w:w="1721" w:type="dxa"/>
            <w:vAlign w:val="center"/>
          </w:tcPr>
          <w:p w14:paraId="5A485D2C" w14:textId="77777777" w:rsidR="00A917E5" w:rsidRPr="00A917E5" w:rsidRDefault="00A917E5" w:rsidP="00A917E5">
            <w:pPr>
              <w:jc w:val="center"/>
              <w:rPr>
                <w:rFonts w:ascii="Times New Roman" w:hAnsi="Times New Roman" w:cs="Times New Roman"/>
                <w:i/>
                <w:lang w:val="en-AU"/>
              </w:rPr>
            </w:pPr>
            <w:r w:rsidRPr="00A917E5">
              <w:rPr>
                <w:rFonts w:ascii="Times New Roman" w:hAnsi="Times New Roman" w:cs="Times New Roman"/>
                <w:i/>
                <w:lang w:val="en-AU"/>
              </w:rPr>
              <w:t>28</w:t>
            </w:r>
          </w:p>
        </w:tc>
      </w:tr>
      <w:tr w:rsidR="00A917E5" w:rsidRPr="00294BCF" w14:paraId="51C23952" w14:textId="77777777" w:rsidTr="005658DC">
        <w:tc>
          <w:tcPr>
            <w:tcW w:w="1666" w:type="dxa"/>
          </w:tcPr>
          <w:p w14:paraId="06AA8042" w14:textId="77777777" w:rsidR="00A917E5" w:rsidRPr="00A917E5" w:rsidRDefault="00A917E5" w:rsidP="00A917E5">
            <w:pPr>
              <w:rPr>
                <w:rFonts w:ascii="Times New Roman" w:hAnsi="Times New Roman" w:cs="Times New Roman"/>
                <w:i/>
                <w:lang w:val="en-AU"/>
              </w:rPr>
            </w:pPr>
            <w:r w:rsidRPr="00A917E5">
              <w:rPr>
                <w:rFonts w:ascii="Times New Roman" w:hAnsi="Times New Roman" w:cs="Times New Roman"/>
                <w:i/>
                <w:lang w:val="en-AU"/>
              </w:rPr>
              <w:t>2019</w:t>
            </w:r>
          </w:p>
        </w:tc>
        <w:tc>
          <w:tcPr>
            <w:tcW w:w="1643" w:type="dxa"/>
          </w:tcPr>
          <w:p w14:paraId="560721CB" w14:textId="77777777" w:rsidR="00A917E5" w:rsidRPr="00A917E5" w:rsidRDefault="00A917E5" w:rsidP="00A917E5">
            <w:pPr>
              <w:rPr>
                <w:rFonts w:ascii="Times New Roman" w:hAnsi="Times New Roman" w:cs="Times New Roman"/>
                <w:i/>
              </w:rPr>
            </w:pPr>
            <w:r w:rsidRPr="00A917E5">
              <w:rPr>
                <w:rFonts w:ascii="Times New Roman" w:hAnsi="Times New Roman" w:cs="Times New Roman"/>
                <w:i/>
              </w:rPr>
              <w:t>78 (46/54)</w:t>
            </w:r>
          </w:p>
        </w:tc>
        <w:tc>
          <w:tcPr>
            <w:tcW w:w="2016" w:type="dxa"/>
            <w:vAlign w:val="center"/>
          </w:tcPr>
          <w:p w14:paraId="6AA83CF7" w14:textId="77777777" w:rsidR="00A917E5" w:rsidRPr="00A917E5" w:rsidRDefault="00A917E5" w:rsidP="00A917E5">
            <w:pPr>
              <w:jc w:val="center"/>
              <w:rPr>
                <w:rFonts w:ascii="Times New Roman" w:hAnsi="Times New Roman" w:cs="Times New Roman"/>
                <w:i/>
                <w:lang w:val="en-AU"/>
              </w:rPr>
            </w:pPr>
            <w:r w:rsidRPr="00A917E5">
              <w:rPr>
                <w:rFonts w:ascii="Times New Roman" w:hAnsi="Times New Roman" w:cs="Times New Roman"/>
                <w:i/>
                <w:lang w:val="en-AU"/>
              </w:rPr>
              <w:t>13</w:t>
            </w:r>
          </w:p>
        </w:tc>
        <w:tc>
          <w:tcPr>
            <w:tcW w:w="2016" w:type="dxa"/>
            <w:vAlign w:val="center"/>
          </w:tcPr>
          <w:p w14:paraId="5337AFDD" w14:textId="77777777" w:rsidR="00A917E5" w:rsidRPr="00A917E5" w:rsidRDefault="00A917E5" w:rsidP="00A917E5">
            <w:pPr>
              <w:jc w:val="center"/>
              <w:rPr>
                <w:rFonts w:ascii="Times New Roman" w:hAnsi="Times New Roman" w:cs="Times New Roman"/>
                <w:i/>
                <w:lang w:val="en-AU"/>
              </w:rPr>
            </w:pPr>
            <w:r w:rsidRPr="00A917E5">
              <w:rPr>
                <w:rFonts w:ascii="Times New Roman" w:hAnsi="Times New Roman" w:cs="Times New Roman"/>
                <w:i/>
                <w:lang w:val="en-AU"/>
              </w:rPr>
              <w:t>25</w:t>
            </w:r>
          </w:p>
        </w:tc>
        <w:tc>
          <w:tcPr>
            <w:tcW w:w="1721" w:type="dxa"/>
            <w:vAlign w:val="center"/>
          </w:tcPr>
          <w:p w14:paraId="1A628CDA" w14:textId="77777777" w:rsidR="00A917E5" w:rsidRPr="00A917E5" w:rsidRDefault="00A917E5" w:rsidP="00A917E5">
            <w:pPr>
              <w:jc w:val="center"/>
              <w:rPr>
                <w:rFonts w:ascii="Times New Roman" w:hAnsi="Times New Roman" w:cs="Times New Roman"/>
                <w:i/>
                <w:lang w:val="en-AU"/>
              </w:rPr>
            </w:pPr>
            <w:r w:rsidRPr="00A917E5">
              <w:rPr>
                <w:rFonts w:ascii="Times New Roman" w:hAnsi="Times New Roman" w:cs="Times New Roman"/>
                <w:i/>
                <w:lang w:val="en-AU"/>
              </w:rPr>
              <w:t>20</w:t>
            </w:r>
          </w:p>
        </w:tc>
      </w:tr>
      <w:tr w:rsidR="00A917E5" w:rsidRPr="00294BCF" w14:paraId="5B5D0043" w14:textId="77777777" w:rsidTr="005658DC">
        <w:tc>
          <w:tcPr>
            <w:tcW w:w="1666" w:type="dxa"/>
          </w:tcPr>
          <w:p w14:paraId="231DEC7C" w14:textId="77777777" w:rsidR="00A917E5" w:rsidRPr="00A917E5" w:rsidRDefault="00A917E5" w:rsidP="00A917E5">
            <w:pPr>
              <w:rPr>
                <w:rFonts w:ascii="Times New Roman" w:hAnsi="Times New Roman" w:cs="Times New Roman"/>
                <w:i/>
                <w:lang w:val="en-AU"/>
              </w:rPr>
            </w:pPr>
            <w:r w:rsidRPr="00A917E5">
              <w:rPr>
                <w:rFonts w:ascii="Times New Roman" w:hAnsi="Times New Roman" w:cs="Times New Roman"/>
                <w:i/>
                <w:lang w:val="en-AU"/>
              </w:rPr>
              <w:t>2020</w:t>
            </w:r>
          </w:p>
        </w:tc>
        <w:tc>
          <w:tcPr>
            <w:tcW w:w="1643" w:type="dxa"/>
          </w:tcPr>
          <w:p w14:paraId="4E0627E3" w14:textId="77777777" w:rsidR="00A917E5" w:rsidRPr="00A917E5" w:rsidRDefault="00A917E5" w:rsidP="00A917E5">
            <w:pPr>
              <w:rPr>
                <w:rFonts w:ascii="Times New Roman" w:hAnsi="Times New Roman" w:cs="Times New Roman"/>
                <w:i/>
              </w:rPr>
            </w:pPr>
            <w:r w:rsidRPr="00A917E5">
              <w:rPr>
                <w:rFonts w:ascii="Times New Roman" w:hAnsi="Times New Roman" w:cs="Times New Roman"/>
                <w:i/>
              </w:rPr>
              <w:t>82 (38/62)</w:t>
            </w:r>
          </w:p>
        </w:tc>
        <w:tc>
          <w:tcPr>
            <w:tcW w:w="2016" w:type="dxa"/>
            <w:vAlign w:val="center"/>
          </w:tcPr>
          <w:p w14:paraId="5D351D4F" w14:textId="77777777" w:rsidR="00A917E5" w:rsidRPr="00A917E5" w:rsidRDefault="00A917E5" w:rsidP="00A917E5">
            <w:pPr>
              <w:jc w:val="center"/>
              <w:rPr>
                <w:rFonts w:ascii="Times New Roman" w:hAnsi="Times New Roman" w:cs="Times New Roman"/>
                <w:i/>
                <w:lang w:val="en-AU"/>
              </w:rPr>
            </w:pPr>
            <w:r w:rsidRPr="00A917E5">
              <w:rPr>
                <w:rFonts w:ascii="Times New Roman" w:hAnsi="Times New Roman" w:cs="Times New Roman"/>
                <w:i/>
                <w:lang w:val="en-AU"/>
              </w:rPr>
              <w:t>8</w:t>
            </w:r>
          </w:p>
        </w:tc>
        <w:tc>
          <w:tcPr>
            <w:tcW w:w="2016" w:type="dxa"/>
            <w:vAlign w:val="center"/>
          </w:tcPr>
          <w:p w14:paraId="59B2447A" w14:textId="77777777" w:rsidR="00A917E5" w:rsidRPr="00A917E5" w:rsidRDefault="00A917E5" w:rsidP="00A917E5">
            <w:pPr>
              <w:jc w:val="center"/>
              <w:rPr>
                <w:rFonts w:ascii="Times New Roman" w:hAnsi="Times New Roman" w:cs="Times New Roman"/>
                <w:i/>
                <w:lang w:val="en-AU"/>
              </w:rPr>
            </w:pPr>
            <w:r w:rsidRPr="00A917E5">
              <w:rPr>
                <w:rFonts w:ascii="Times New Roman" w:hAnsi="Times New Roman" w:cs="Times New Roman"/>
                <w:i/>
                <w:lang w:val="en-AU"/>
              </w:rPr>
              <w:t>21</w:t>
            </w:r>
          </w:p>
        </w:tc>
        <w:tc>
          <w:tcPr>
            <w:tcW w:w="1721" w:type="dxa"/>
            <w:vAlign w:val="center"/>
          </w:tcPr>
          <w:p w14:paraId="26F9E1ED" w14:textId="77777777" w:rsidR="00A917E5" w:rsidRPr="00A917E5" w:rsidRDefault="00A917E5" w:rsidP="00A917E5">
            <w:pPr>
              <w:jc w:val="center"/>
              <w:rPr>
                <w:rFonts w:ascii="Times New Roman" w:hAnsi="Times New Roman" w:cs="Times New Roman"/>
                <w:i/>
                <w:lang w:val="en-AU"/>
              </w:rPr>
            </w:pPr>
            <w:r w:rsidRPr="00A917E5">
              <w:rPr>
                <w:rFonts w:ascii="Times New Roman" w:hAnsi="Times New Roman" w:cs="Times New Roman"/>
                <w:i/>
                <w:lang w:val="en-AU"/>
              </w:rPr>
              <w:t>28</w:t>
            </w:r>
          </w:p>
        </w:tc>
      </w:tr>
      <w:tr w:rsidR="00A917E5" w:rsidRPr="00294BCF" w14:paraId="53A272B2" w14:textId="77777777" w:rsidTr="005658DC">
        <w:tc>
          <w:tcPr>
            <w:tcW w:w="1666" w:type="dxa"/>
          </w:tcPr>
          <w:p w14:paraId="19DFE8E7" w14:textId="77777777" w:rsidR="00A917E5" w:rsidRPr="00A917E5" w:rsidRDefault="00A917E5" w:rsidP="00A917E5">
            <w:pPr>
              <w:rPr>
                <w:rFonts w:ascii="Times New Roman" w:hAnsi="Times New Roman" w:cs="Times New Roman"/>
                <w:i/>
                <w:lang w:val="en-AU"/>
              </w:rPr>
            </w:pPr>
            <w:r w:rsidRPr="00A917E5">
              <w:rPr>
                <w:rFonts w:ascii="Times New Roman" w:hAnsi="Times New Roman" w:cs="Times New Roman"/>
                <w:i/>
                <w:lang w:val="en-AU"/>
              </w:rPr>
              <w:t>2020.03.01.-10.30.</w:t>
            </w:r>
          </w:p>
        </w:tc>
        <w:tc>
          <w:tcPr>
            <w:tcW w:w="1643" w:type="dxa"/>
          </w:tcPr>
          <w:p w14:paraId="3DF6A23C" w14:textId="77777777" w:rsidR="00A917E5" w:rsidRPr="00A917E5" w:rsidRDefault="00A917E5" w:rsidP="00A917E5">
            <w:pPr>
              <w:rPr>
                <w:rFonts w:ascii="Times New Roman" w:hAnsi="Times New Roman" w:cs="Times New Roman"/>
                <w:i/>
              </w:rPr>
            </w:pPr>
            <w:r w:rsidRPr="00A917E5">
              <w:rPr>
                <w:rFonts w:ascii="Times New Roman" w:hAnsi="Times New Roman" w:cs="Times New Roman"/>
                <w:i/>
              </w:rPr>
              <w:t>59 (40/60)</w:t>
            </w:r>
          </w:p>
        </w:tc>
        <w:tc>
          <w:tcPr>
            <w:tcW w:w="2016" w:type="dxa"/>
            <w:vAlign w:val="center"/>
          </w:tcPr>
          <w:p w14:paraId="39BABA1A" w14:textId="77777777" w:rsidR="00A917E5" w:rsidRPr="00A917E5" w:rsidRDefault="00A917E5" w:rsidP="00A917E5">
            <w:pPr>
              <w:jc w:val="center"/>
              <w:rPr>
                <w:rFonts w:ascii="Times New Roman" w:hAnsi="Times New Roman" w:cs="Times New Roman"/>
                <w:i/>
                <w:lang w:val="en-AU"/>
              </w:rPr>
            </w:pPr>
            <w:r w:rsidRPr="00A917E5">
              <w:rPr>
                <w:rFonts w:ascii="Times New Roman" w:hAnsi="Times New Roman" w:cs="Times New Roman"/>
                <w:i/>
                <w:lang w:val="en-AU"/>
              </w:rPr>
              <w:t>6</w:t>
            </w:r>
          </w:p>
        </w:tc>
        <w:tc>
          <w:tcPr>
            <w:tcW w:w="2016" w:type="dxa"/>
            <w:vAlign w:val="center"/>
          </w:tcPr>
          <w:p w14:paraId="4B825D46" w14:textId="77777777" w:rsidR="00A917E5" w:rsidRPr="00A917E5" w:rsidRDefault="00A917E5" w:rsidP="00A917E5">
            <w:pPr>
              <w:jc w:val="center"/>
              <w:rPr>
                <w:rFonts w:ascii="Times New Roman" w:hAnsi="Times New Roman" w:cs="Times New Roman"/>
                <w:i/>
                <w:lang w:val="en-AU"/>
              </w:rPr>
            </w:pPr>
            <w:r w:rsidRPr="00A917E5">
              <w:rPr>
                <w:rFonts w:ascii="Times New Roman" w:hAnsi="Times New Roman" w:cs="Times New Roman"/>
                <w:i/>
                <w:lang w:val="en-AU"/>
              </w:rPr>
              <w:t>16</w:t>
            </w:r>
          </w:p>
        </w:tc>
        <w:tc>
          <w:tcPr>
            <w:tcW w:w="1721" w:type="dxa"/>
            <w:vAlign w:val="center"/>
          </w:tcPr>
          <w:p w14:paraId="63411A7F" w14:textId="77777777" w:rsidR="00A917E5" w:rsidRPr="00A917E5" w:rsidRDefault="00A917E5" w:rsidP="00A917E5">
            <w:pPr>
              <w:jc w:val="center"/>
              <w:rPr>
                <w:rFonts w:ascii="Times New Roman" w:hAnsi="Times New Roman" w:cs="Times New Roman"/>
                <w:i/>
                <w:lang w:val="en-AU"/>
              </w:rPr>
            </w:pPr>
            <w:r w:rsidRPr="00A917E5">
              <w:rPr>
                <w:rFonts w:ascii="Times New Roman" w:hAnsi="Times New Roman" w:cs="Times New Roman"/>
                <w:i/>
                <w:lang w:val="en-AU"/>
              </w:rPr>
              <w:t>20</w:t>
            </w:r>
          </w:p>
        </w:tc>
      </w:tr>
    </w:tbl>
    <w:p w14:paraId="1A16FA79" w14:textId="77777777" w:rsidR="00D467B7" w:rsidRPr="006937D5" w:rsidRDefault="00D467B7" w:rsidP="00D467B7">
      <w:pPr>
        <w:rPr>
          <w:rFonts w:ascii="Times New Roman" w:hAnsi="Times New Roman" w:cs="Times New Roman"/>
          <w:lang w:val="en-AU"/>
        </w:rPr>
      </w:pPr>
    </w:p>
    <w:p w14:paraId="7E93A555" w14:textId="77777777" w:rsidR="00A917E5" w:rsidRPr="006937D5" w:rsidRDefault="00A917E5" w:rsidP="006937D5">
      <w:pPr>
        <w:jc w:val="both"/>
        <w:rPr>
          <w:rFonts w:ascii="Times New Roman" w:hAnsi="Times New Roman" w:cs="Times New Roman"/>
          <w:i/>
          <w:lang w:val="en-AU"/>
        </w:rPr>
      </w:pPr>
      <w:r w:rsidRPr="006937D5">
        <w:rPr>
          <w:rFonts w:ascii="Times New Roman" w:hAnsi="Times New Roman" w:cs="Times New Roman"/>
          <w:i/>
          <w:lang w:val="en-AU"/>
        </w:rPr>
        <w:t xml:space="preserve">The source of the above data is the </w:t>
      </w:r>
      <w:r w:rsidR="006937D5" w:rsidRPr="006937D5">
        <w:rPr>
          <w:rFonts w:ascii="Times New Roman" w:hAnsi="Times New Roman" w:cs="Times New Roman"/>
          <w:i/>
          <w:lang w:val="en-AU"/>
        </w:rPr>
        <w:t>list of cases as maintained by the Criminal Investigation Division of the Criminal Investigation Department</w:t>
      </w:r>
      <w:r w:rsidRPr="006937D5">
        <w:rPr>
          <w:rFonts w:ascii="Times New Roman" w:hAnsi="Times New Roman" w:cs="Times New Roman"/>
          <w:i/>
          <w:lang w:val="en-AU"/>
        </w:rPr>
        <w:t xml:space="preserve"> </w:t>
      </w:r>
      <w:r w:rsidR="006937D5" w:rsidRPr="006937D5">
        <w:rPr>
          <w:rFonts w:ascii="Times New Roman" w:hAnsi="Times New Roman" w:cs="Times New Roman"/>
          <w:i/>
          <w:lang w:val="en-AU"/>
        </w:rPr>
        <w:t xml:space="preserve">of the National Police Headquarters, not </w:t>
      </w:r>
      <w:r w:rsidR="006937D5" w:rsidRPr="006937D5">
        <w:rPr>
          <w:rFonts w:ascii="Times New Roman" w:hAnsi="Times New Roman" w:cs="Times New Roman"/>
          <w:i/>
          <w:lang w:val="en-AU"/>
        </w:rPr>
        <w:lastRenderedPageBreak/>
        <w:t xml:space="preserve">the unified system of criminal statistics of the investigative authorities and of public prosecution. </w:t>
      </w:r>
    </w:p>
    <w:sectPr w:rsidR="00A917E5" w:rsidRPr="00693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49E"/>
    <w:multiLevelType w:val="hybridMultilevel"/>
    <w:tmpl w:val="CBEA57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4810DD"/>
    <w:multiLevelType w:val="hybridMultilevel"/>
    <w:tmpl w:val="5B0C42F8"/>
    <w:lvl w:ilvl="0" w:tplc="AAECCBEE">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4C84534"/>
    <w:multiLevelType w:val="hybridMultilevel"/>
    <w:tmpl w:val="36DAA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0C11B80"/>
    <w:multiLevelType w:val="hybridMultilevel"/>
    <w:tmpl w:val="4AD08C9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3886222B"/>
    <w:multiLevelType w:val="hybridMultilevel"/>
    <w:tmpl w:val="F864D8F8"/>
    <w:lvl w:ilvl="0" w:tplc="040E0011">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39FE1150"/>
    <w:multiLevelType w:val="hybridMultilevel"/>
    <w:tmpl w:val="AABA44F2"/>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15:restartNumberingAfterBreak="0">
    <w:nsid w:val="3D1E73DE"/>
    <w:multiLevelType w:val="hybridMultilevel"/>
    <w:tmpl w:val="D0D868F6"/>
    <w:lvl w:ilvl="0" w:tplc="AAECCBEE">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8FF3CC8"/>
    <w:multiLevelType w:val="hybridMultilevel"/>
    <w:tmpl w:val="F634AC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B2E0D52"/>
    <w:multiLevelType w:val="hybridMultilevel"/>
    <w:tmpl w:val="5E5A0480"/>
    <w:lvl w:ilvl="0" w:tplc="FBC4431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4AF1C05"/>
    <w:multiLevelType w:val="hybridMultilevel"/>
    <w:tmpl w:val="1F4ABE0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6"/>
  </w:num>
  <w:num w:numId="4">
    <w:abstractNumId w:val="0"/>
  </w:num>
  <w:num w:numId="5">
    <w:abstractNumId w:val="5"/>
  </w:num>
  <w:num w:numId="6">
    <w:abstractNumId w:val="2"/>
  </w:num>
  <w:num w:numId="7">
    <w:abstractNumId w:val="7"/>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B7"/>
    <w:rsid w:val="00231239"/>
    <w:rsid w:val="00294BCF"/>
    <w:rsid w:val="00416683"/>
    <w:rsid w:val="0049209E"/>
    <w:rsid w:val="004E1EBF"/>
    <w:rsid w:val="00691F3E"/>
    <w:rsid w:val="006937D5"/>
    <w:rsid w:val="006B63D2"/>
    <w:rsid w:val="0070312D"/>
    <w:rsid w:val="007B57D8"/>
    <w:rsid w:val="00902C16"/>
    <w:rsid w:val="00A64A42"/>
    <w:rsid w:val="00A8229E"/>
    <w:rsid w:val="00A917E5"/>
    <w:rsid w:val="00B0493E"/>
    <w:rsid w:val="00B42091"/>
    <w:rsid w:val="00D16C18"/>
    <w:rsid w:val="00D467B7"/>
    <w:rsid w:val="00D750A2"/>
    <w:rsid w:val="00E038AB"/>
    <w:rsid w:val="00FF51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613D"/>
  <w15:chartTrackingRefBased/>
  <w15:docId w15:val="{0CA0DCBC-07CB-412A-973D-36572CE1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467B7"/>
    <w:pPr>
      <w:ind w:left="720"/>
      <w:contextualSpacing/>
    </w:pPr>
  </w:style>
  <w:style w:type="table" w:styleId="Rcsostblzat">
    <w:name w:val="Table Grid"/>
    <w:basedOn w:val="Normltblzat"/>
    <w:uiPriority w:val="39"/>
    <w:rsid w:val="00D4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A917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ansegitseg.hu/"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F411BB-981B-4692-B93F-EA62BDDD8862}">
  <ds:schemaRefs>
    <ds:schemaRef ds:uri="http://schemas.openxmlformats.org/officeDocument/2006/bibliography"/>
  </ds:schemaRefs>
</ds:datastoreItem>
</file>

<file path=customXml/itemProps2.xml><?xml version="1.0" encoding="utf-8"?>
<ds:datastoreItem xmlns:ds="http://schemas.openxmlformats.org/officeDocument/2006/customXml" ds:itemID="{04D458B9-6311-4A19-9294-71C244D4352D}"/>
</file>

<file path=customXml/itemProps3.xml><?xml version="1.0" encoding="utf-8"?>
<ds:datastoreItem xmlns:ds="http://schemas.openxmlformats.org/officeDocument/2006/customXml" ds:itemID="{94F221BC-1006-4572-AB60-A14D013F382D}"/>
</file>

<file path=customXml/itemProps4.xml><?xml version="1.0" encoding="utf-8"?>
<ds:datastoreItem xmlns:ds="http://schemas.openxmlformats.org/officeDocument/2006/customXml" ds:itemID="{4253C41E-363A-40F8-9387-72D4066A1E4A}"/>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5630</Characters>
  <Application>Microsoft Office Word</Application>
  <DocSecurity>4</DocSecurity>
  <Lines>46</Lines>
  <Paragraphs>13</Paragraphs>
  <ScaleCrop>false</ScaleCrop>
  <HeadingPairs>
    <vt:vector size="2" baseType="variant">
      <vt:variant>
        <vt:lpstr>Cím</vt:lpstr>
      </vt:variant>
      <vt:variant>
        <vt:i4>1</vt:i4>
      </vt:variant>
    </vt:vector>
  </HeadingPairs>
  <TitlesOfParts>
    <vt:vector size="1" baseType="lpstr">
      <vt:lpstr/>
    </vt:vector>
  </TitlesOfParts>
  <Company>KKM</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Vittay Melinda dr.</dc:creator>
  <cp:keywords/>
  <dc:description/>
  <cp:lastModifiedBy>Szűcs Angelika Júlia dr. - GVA</cp:lastModifiedBy>
  <cp:revision>2</cp:revision>
  <dcterms:created xsi:type="dcterms:W3CDTF">2021-04-29T13:04:00Z</dcterms:created>
  <dcterms:modified xsi:type="dcterms:W3CDTF">2021-04-29T13:04:00Z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