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C5" w:rsidRPr="007D7EC5" w:rsidRDefault="007D7EC5" w:rsidP="007D7EC5">
      <w:pPr>
        <w:pStyle w:val="wordsection1"/>
        <w:spacing w:before="0" w:beforeAutospacing="0" w:after="160" w:afterAutospacing="0" w:line="252" w:lineRule="auto"/>
        <w:jc w:val="both"/>
        <w:rPr>
          <w:rFonts w:ascii="Calibri" w:hAnsi="Calibri" w:cs="Calibri"/>
          <w:i/>
          <w:iCs/>
          <w:color w:val="000000"/>
          <w:sz w:val="22"/>
          <w:szCs w:val="22"/>
          <w:u w:val="single"/>
          <w:lang w:val="en-US"/>
        </w:rPr>
      </w:pPr>
      <w:r w:rsidRPr="007D7EC5">
        <w:rPr>
          <w:rFonts w:ascii="Calibri" w:hAnsi="Calibri" w:cs="Calibri"/>
          <w:i/>
          <w:iCs/>
          <w:color w:val="000000"/>
          <w:sz w:val="22"/>
          <w:szCs w:val="22"/>
          <w:u w:val="single"/>
          <w:lang w:val="en-US"/>
        </w:rPr>
        <w:t>With reference to the Letter from the Special Rapporteur on violence against women, its causes and consequences, of the 15</w:t>
      </w:r>
      <w:r w:rsidRPr="007D7EC5">
        <w:rPr>
          <w:rFonts w:ascii="Calibri" w:hAnsi="Calibri" w:cs="Calibri"/>
          <w:i/>
          <w:iCs/>
          <w:color w:val="000000"/>
          <w:sz w:val="22"/>
          <w:szCs w:val="22"/>
          <w:u w:val="single"/>
          <w:vertAlign w:val="superscript"/>
          <w:lang w:val="en-US"/>
        </w:rPr>
        <w:t>th</w:t>
      </w:r>
      <w:r w:rsidRPr="007D7EC5">
        <w:rPr>
          <w:rFonts w:ascii="Calibri" w:hAnsi="Calibri" w:cs="Calibri"/>
          <w:i/>
          <w:iCs/>
          <w:color w:val="000000"/>
          <w:sz w:val="22"/>
          <w:szCs w:val="22"/>
          <w:u w:val="single"/>
          <w:lang w:val="en-US"/>
        </w:rPr>
        <w:t xml:space="preserve"> of March 2021, the Republic of Poland hereby provides information on the questions contained therein.</w:t>
      </w:r>
    </w:p>
    <w:p w:rsidR="007D7EC5" w:rsidRDefault="007D7EC5" w:rsidP="007D7EC5">
      <w:pPr>
        <w:pStyle w:val="wordsection1"/>
        <w:spacing w:before="0" w:beforeAutospacing="0" w:after="0" w:afterAutospacing="0"/>
        <w:rPr>
          <w:rFonts w:ascii="Calibri" w:hAnsi="Calibri" w:cs="Calibri"/>
          <w:b/>
          <w:bCs/>
          <w:color w:val="000000"/>
          <w:sz w:val="22"/>
          <w:szCs w:val="22"/>
          <w:lang w:val="en-US" w:eastAsia="en-US"/>
        </w:rPr>
      </w:pPr>
      <w:r>
        <w:rPr>
          <w:rFonts w:ascii="Calibri" w:hAnsi="Calibri" w:cs="Calibri"/>
          <w:b/>
          <w:bCs/>
          <w:color w:val="000000"/>
          <w:sz w:val="22"/>
          <w:szCs w:val="22"/>
          <w:lang w:val="en-US"/>
        </w:rPr>
        <w:t xml:space="preserve">As to the question no. 1: on information on the existence, or progress in the creation, of a national </w:t>
      </w:r>
      <w:proofErr w:type="spellStart"/>
      <w:r>
        <w:rPr>
          <w:rFonts w:ascii="Calibri" w:hAnsi="Calibri" w:cs="Calibri"/>
          <w:b/>
          <w:bCs/>
          <w:color w:val="000000"/>
          <w:sz w:val="22"/>
          <w:szCs w:val="22"/>
          <w:lang w:val="en-US"/>
        </w:rPr>
        <w:t>femicide</w:t>
      </w:r>
      <w:proofErr w:type="spellEnd"/>
      <w:r>
        <w:rPr>
          <w:rFonts w:ascii="Calibri" w:hAnsi="Calibri" w:cs="Calibri"/>
          <w:b/>
          <w:bCs/>
          <w:color w:val="000000"/>
          <w:sz w:val="22"/>
          <w:szCs w:val="22"/>
          <w:lang w:val="en-US"/>
        </w:rPr>
        <w:t xml:space="preserve"> watch and/or </w:t>
      </w:r>
      <w:proofErr w:type="spellStart"/>
      <w:r>
        <w:rPr>
          <w:rFonts w:ascii="Calibri" w:hAnsi="Calibri" w:cs="Calibri"/>
          <w:b/>
          <w:bCs/>
          <w:color w:val="000000"/>
          <w:sz w:val="22"/>
          <w:szCs w:val="22"/>
          <w:lang w:val="en-US"/>
        </w:rPr>
        <w:t>femicide</w:t>
      </w:r>
      <w:proofErr w:type="spellEnd"/>
      <w:r>
        <w:rPr>
          <w:rFonts w:ascii="Calibri" w:hAnsi="Calibri" w:cs="Calibri"/>
          <w:b/>
          <w:bCs/>
          <w:color w:val="000000"/>
          <w:sz w:val="22"/>
          <w:szCs w:val="22"/>
          <w:lang w:val="en-US"/>
        </w:rPr>
        <w:t xml:space="preserve"> observatory and/or observatory on violence against women with a </w:t>
      </w:r>
      <w:proofErr w:type="spellStart"/>
      <w:r>
        <w:rPr>
          <w:rFonts w:ascii="Calibri" w:hAnsi="Calibri" w:cs="Calibri"/>
          <w:b/>
          <w:bCs/>
          <w:color w:val="000000"/>
          <w:sz w:val="22"/>
          <w:szCs w:val="22"/>
          <w:lang w:val="en-US"/>
        </w:rPr>
        <w:t>femicide</w:t>
      </w:r>
      <w:proofErr w:type="spellEnd"/>
      <w:r>
        <w:rPr>
          <w:rFonts w:ascii="Calibri" w:hAnsi="Calibri" w:cs="Calibri"/>
          <w:b/>
          <w:bCs/>
          <w:color w:val="000000"/>
          <w:sz w:val="22"/>
          <w:szCs w:val="22"/>
          <w:lang w:val="en-US"/>
        </w:rPr>
        <w:t xml:space="preserve"> watch role; observatories at Ombudspersons' office or Equality Bodies; academic institutions and/or NGOs, or any plans to create one:</w:t>
      </w:r>
    </w:p>
    <w:p w:rsidR="007D7EC5" w:rsidRDefault="007D7EC5" w:rsidP="007D7EC5">
      <w:pPr>
        <w:pStyle w:val="wordsection1"/>
        <w:spacing w:before="0" w:beforeAutospacing="0" w:after="160" w:afterAutospacing="0" w:line="252" w:lineRule="auto"/>
        <w:jc w:val="both"/>
        <w:rPr>
          <w:rFonts w:ascii="Calibri" w:hAnsi="Calibri" w:cs="Calibri"/>
          <w:i/>
          <w:iCs/>
          <w:color w:val="000000"/>
          <w:sz w:val="22"/>
          <w:szCs w:val="22"/>
          <w:lang w:val="en-GB"/>
        </w:rPr>
      </w:pPr>
      <w:r>
        <w:rPr>
          <w:rFonts w:ascii="Calibri" w:hAnsi="Calibri" w:cs="Calibri"/>
          <w:i/>
          <w:iCs/>
          <w:color w:val="000000"/>
          <w:sz w:val="22"/>
          <w:szCs w:val="22"/>
          <w:lang w:val="en-GB"/>
        </w:rPr>
        <w:t xml:space="preserve">Polish authorities (The Ministry of the Interior and Administration – </w:t>
      </w:r>
      <w:proofErr w:type="spellStart"/>
      <w:r>
        <w:rPr>
          <w:rFonts w:ascii="Calibri" w:hAnsi="Calibri" w:cs="Calibri"/>
          <w:i/>
          <w:iCs/>
          <w:color w:val="000000"/>
          <w:sz w:val="22"/>
          <w:szCs w:val="22"/>
          <w:lang w:val="en-GB"/>
        </w:rPr>
        <w:t>MSWiA</w:t>
      </w:r>
      <w:proofErr w:type="spellEnd"/>
      <w:r>
        <w:rPr>
          <w:rFonts w:ascii="Calibri" w:hAnsi="Calibri" w:cs="Calibri"/>
          <w:i/>
          <w:iCs/>
          <w:color w:val="000000"/>
          <w:sz w:val="22"/>
          <w:szCs w:val="22"/>
          <w:lang w:val="en-GB"/>
        </w:rPr>
        <w:t xml:space="preserve">; in cooperation with the National Police Headquarters) conduct monitoring of </w:t>
      </w:r>
      <w:proofErr w:type="spellStart"/>
      <w:r>
        <w:rPr>
          <w:rFonts w:ascii="Calibri" w:hAnsi="Calibri" w:cs="Calibri"/>
          <w:i/>
          <w:iCs/>
          <w:color w:val="000000"/>
          <w:sz w:val="22"/>
          <w:szCs w:val="22"/>
          <w:lang w:val="en-GB"/>
        </w:rPr>
        <w:t>i.a</w:t>
      </w:r>
      <w:proofErr w:type="spellEnd"/>
      <w:r>
        <w:rPr>
          <w:rFonts w:ascii="Calibri" w:hAnsi="Calibri" w:cs="Calibri"/>
          <w:i/>
          <w:iCs/>
          <w:color w:val="000000"/>
          <w:sz w:val="22"/>
          <w:szCs w:val="22"/>
          <w:lang w:val="en-GB"/>
        </w:rPr>
        <w:t>. prejudice motivated crimes (a new form of a monitoring system introduced in 2015). The scope of this monitoring includes information on preparatory proceedings for hate crimes cases throughout the country (data provided by the Police). The data is supplemented by the appropriate department within the Ministry of Interior and Administration, namely the Analyses and Migration Policy</w:t>
      </w:r>
      <w:bookmarkStart w:id="0" w:name="_GoBack"/>
      <w:bookmarkEnd w:id="0"/>
      <w:r>
        <w:rPr>
          <w:rFonts w:ascii="Calibri" w:hAnsi="Calibri" w:cs="Calibri"/>
          <w:i/>
          <w:iCs/>
          <w:color w:val="000000"/>
          <w:sz w:val="22"/>
          <w:szCs w:val="22"/>
          <w:lang w:val="en-GB"/>
        </w:rPr>
        <w:t xml:space="preserve"> Department (</w:t>
      </w:r>
      <w:proofErr w:type="spellStart"/>
      <w:r>
        <w:rPr>
          <w:rFonts w:ascii="Calibri" w:hAnsi="Calibri" w:cs="Calibri"/>
          <w:i/>
          <w:iCs/>
          <w:color w:val="000000"/>
          <w:sz w:val="22"/>
          <w:szCs w:val="22"/>
          <w:lang w:val="en-GB"/>
        </w:rPr>
        <w:t>DAiPM</w:t>
      </w:r>
      <w:proofErr w:type="spellEnd"/>
      <w:r>
        <w:rPr>
          <w:rFonts w:ascii="Calibri" w:hAnsi="Calibri" w:cs="Calibri"/>
          <w:i/>
          <w:iCs/>
          <w:color w:val="000000"/>
          <w:sz w:val="22"/>
          <w:szCs w:val="22"/>
          <w:lang w:val="en-GB"/>
        </w:rPr>
        <w:t xml:space="preserve"> </w:t>
      </w:r>
      <w:proofErr w:type="spellStart"/>
      <w:r>
        <w:rPr>
          <w:rFonts w:ascii="Calibri" w:hAnsi="Calibri" w:cs="Calibri"/>
          <w:i/>
          <w:iCs/>
          <w:color w:val="000000"/>
          <w:sz w:val="22"/>
          <w:szCs w:val="22"/>
          <w:lang w:val="en-GB"/>
        </w:rPr>
        <w:t>MSWiA</w:t>
      </w:r>
      <w:proofErr w:type="spellEnd"/>
      <w:r>
        <w:rPr>
          <w:rFonts w:ascii="Calibri" w:hAnsi="Calibri" w:cs="Calibri"/>
          <w:i/>
          <w:iCs/>
          <w:color w:val="000000"/>
          <w:sz w:val="22"/>
          <w:szCs w:val="22"/>
          <w:lang w:val="en-GB"/>
        </w:rPr>
        <w:t>) with the information on judgments passed in individual proceedings. This system, used in its current form since January 2015, enables carrying our thorough and differentiated  analyses of collected information in order to assess the phenomenon of hate crimes in Poland, among others in terms of the types of motivation underlying these acts, types of acts (for example, threats of violence, insults), place of occurrence, suspects. In 2020 there were no hate crimes motivated by sex registered in the database.</w:t>
      </w:r>
    </w:p>
    <w:p w:rsidR="007D7EC5" w:rsidRDefault="007D7EC5" w:rsidP="007D7EC5">
      <w:pPr>
        <w:pStyle w:val="wordsection1"/>
        <w:spacing w:before="0" w:beforeAutospacing="0" w:after="160" w:afterAutospacing="0" w:line="252" w:lineRule="auto"/>
        <w:jc w:val="both"/>
        <w:rPr>
          <w:rFonts w:ascii="Calibri" w:hAnsi="Calibri" w:cs="Calibri"/>
          <w:i/>
          <w:iCs/>
          <w:color w:val="000000"/>
          <w:sz w:val="22"/>
          <w:szCs w:val="22"/>
          <w:lang w:val="en-GB"/>
        </w:rPr>
      </w:pPr>
      <w:r>
        <w:rPr>
          <w:rFonts w:ascii="Calibri" w:hAnsi="Calibri" w:cs="Calibri"/>
          <w:i/>
          <w:iCs/>
          <w:color w:val="000000"/>
          <w:sz w:val="22"/>
          <w:szCs w:val="22"/>
          <w:lang w:val="en-GB"/>
        </w:rPr>
        <w:t xml:space="preserve">The Human Rights Commissioner (the </w:t>
      </w:r>
      <w:proofErr w:type="spellStart"/>
      <w:r>
        <w:rPr>
          <w:rFonts w:ascii="Calibri" w:hAnsi="Calibri" w:cs="Calibri"/>
          <w:i/>
          <w:iCs/>
          <w:color w:val="000000"/>
          <w:sz w:val="22"/>
          <w:szCs w:val="22"/>
          <w:lang w:val="en-GB"/>
        </w:rPr>
        <w:t>Ombsudperson</w:t>
      </w:r>
      <w:proofErr w:type="spellEnd"/>
      <w:r>
        <w:rPr>
          <w:rFonts w:ascii="Calibri" w:hAnsi="Calibri" w:cs="Calibri"/>
          <w:i/>
          <w:iCs/>
          <w:color w:val="000000"/>
          <w:sz w:val="22"/>
          <w:szCs w:val="22"/>
          <w:lang w:val="en-GB"/>
        </w:rPr>
        <w:t>) as well as academic institutions in Poland are independent from the government in their activities, including creation of additional / support mechanisms devoted to a particular topic or field of interest falling within their competences.</w:t>
      </w:r>
    </w:p>
    <w:p w:rsidR="007D7EC5" w:rsidRDefault="007D7EC5" w:rsidP="007D7EC5">
      <w:pPr>
        <w:pStyle w:val="wordsection1"/>
        <w:spacing w:before="0" w:beforeAutospacing="0" w:after="0" w:afterAutospacing="0"/>
        <w:rPr>
          <w:rFonts w:ascii="Calibri" w:hAnsi="Calibri" w:cs="Calibri"/>
          <w:b/>
          <w:bCs/>
          <w:color w:val="000000"/>
          <w:sz w:val="22"/>
          <w:szCs w:val="22"/>
          <w:lang w:val="en-US" w:eastAsia="en-US"/>
        </w:rPr>
      </w:pPr>
      <w:r>
        <w:rPr>
          <w:rFonts w:ascii="Calibri" w:hAnsi="Calibri" w:cs="Calibri"/>
          <w:b/>
          <w:bCs/>
          <w:color w:val="000000"/>
          <w:sz w:val="22"/>
          <w:szCs w:val="22"/>
          <w:lang w:val="en-GB"/>
        </w:rPr>
        <w:t xml:space="preserve">With regard to the questions no. 2 and no. 3: </w:t>
      </w:r>
      <w:r>
        <w:rPr>
          <w:rFonts w:ascii="Calibri" w:hAnsi="Calibri" w:cs="Calibri"/>
          <w:b/>
          <w:bCs/>
          <w:color w:val="000000"/>
          <w:sz w:val="22"/>
          <w:szCs w:val="22"/>
          <w:lang w:val="en-US"/>
        </w:rPr>
        <w:t xml:space="preserve">on other measures including research and studies undertaken to </w:t>
      </w:r>
      <w:proofErr w:type="spellStart"/>
      <w:r>
        <w:rPr>
          <w:rFonts w:ascii="Calibri" w:hAnsi="Calibri" w:cs="Calibri"/>
          <w:b/>
          <w:bCs/>
          <w:color w:val="000000"/>
          <w:sz w:val="22"/>
          <w:szCs w:val="22"/>
          <w:lang w:val="en-US"/>
        </w:rPr>
        <w:t>analyse</w:t>
      </w:r>
      <w:proofErr w:type="spellEnd"/>
      <w:r>
        <w:rPr>
          <w:rFonts w:ascii="Calibri" w:hAnsi="Calibri" w:cs="Calibri"/>
          <w:b/>
          <w:bCs/>
          <w:color w:val="000000"/>
          <w:sz w:val="22"/>
          <w:szCs w:val="22"/>
          <w:lang w:val="en-US"/>
        </w:rPr>
        <w:t xml:space="preserve"> </w:t>
      </w:r>
      <w:proofErr w:type="spellStart"/>
      <w:r>
        <w:rPr>
          <w:rFonts w:ascii="Calibri" w:hAnsi="Calibri" w:cs="Calibri"/>
          <w:b/>
          <w:bCs/>
          <w:color w:val="000000"/>
          <w:sz w:val="22"/>
          <w:szCs w:val="22"/>
          <w:lang w:val="en-US"/>
        </w:rPr>
        <w:t>femicide</w:t>
      </w:r>
      <w:proofErr w:type="spellEnd"/>
      <w:r>
        <w:rPr>
          <w:rFonts w:ascii="Calibri" w:hAnsi="Calibri" w:cs="Calibri"/>
          <w:b/>
          <w:bCs/>
          <w:color w:val="000000"/>
          <w:sz w:val="22"/>
          <w:szCs w:val="22"/>
          <w:lang w:val="en-US"/>
        </w:rPr>
        <w:t xml:space="preserve"> or gender related killings of women and girls, or homicides of women by intimate partners or family members and other </w:t>
      </w:r>
      <w:proofErr w:type="spellStart"/>
      <w:r>
        <w:rPr>
          <w:rFonts w:ascii="Calibri" w:hAnsi="Calibri" w:cs="Calibri"/>
          <w:b/>
          <w:bCs/>
          <w:color w:val="000000"/>
          <w:sz w:val="22"/>
          <w:szCs w:val="22"/>
          <w:lang w:val="en-US"/>
        </w:rPr>
        <w:t>femicides</w:t>
      </w:r>
      <w:proofErr w:type="spellEnd"/>
      <w:r>
        <w:rPr>
          <w:rFonts w:ascii="Calibri" w:hAnsi="Calibri" w:cs="Calibri"/>
          <w:b/>
          <w:bCs/>
          <w:color w:val="000000"/>
          <w:sz w:val="22"/>
          <w:szCs w:val="22"/>
          <w:lang w:val="en-US"/>
        </w:rPr>
        <w:t xml:space="preserve">, and on the results of analysis of </w:t>
      </w:r>
      <w:proofErr w:type="spellStart"/>
      <w:r>
        <w:rPr>
          <w:rFonts w:ascii="Calibri" w:hAnsi="Calibri" w:cs="Calibri"/>
          <w:b/>
          <w:bCs/>
          <w:color w:val="000000"/>
          <w:sz w:val="22"/>
          <w:szCs w:val="22"/>
          <w:lang w:val="en-US"/>
        </w:rPr>
        <w:t>femicide</w:t>
      </w:r>
      <w:proofErr w:type="spellEnd"/>
      <w:r>
        <w:rPr>
          <w:rFonts w:ascii="Calibri" w:hAnsi="Calibri" w:cs="Calibri"/>
          <w:b/>
          <w:bCs/>
          <w:color w:val="000000"/>
          <w:sz w:val="22"/>
          <w:szCs w:val="22"/>
          <w:lang w:val="en-US"/>
        </w:rPr>
        <w:t xml:space="preserve"> cases, including the review of previous court cases and recommendations and actions undertaken in this respect:</w:t>
      </w:r>
    </w:p>
    <w:p w:rsidR="007D7EC5" w:rsidRDefault="007D7EC5" w:rsidP="007D7EC5">
      <w:pPr>
        <w:pStyle w:val="wordsection1"/>
        <w:spacing w:before="0" w:beforeAutospacing="0" w:after="160" w:afterAutospacing="0" w:line="252" w:lineRule="auto"/>
        <w:jc w:val="both"/>
        <w:rPr>
          <w:rFonts w:ascii="Calibri" w:hAnsi="Calibri" w:cs="Calibri"/>
          <w:i/>
          <w:iCs/>
          <w:color w:val="000000"/>
          <w:sz w:val="22"/>
          <w:szCs w:val="22"/>
          <w:lang w:val="en-US"/>
        </w:rPr>
      </w:pPr>
      <w:r>
        <w:rPr>
          <w:rFonts w:ascii="Calibri" w:hAnsi="Calibri" w:cs="Calibri"/>
          <w:i/>
          <w:iCs/>
          <w:color w:val="000000"/>
          <w:sz w:val="22"/>
          <w:szCs w:val="22"/>
          <w:lang w:val="en-US"/>
        </w:rPr>
        <w:t xml:space="preserve">Acting on the basis of a general principle of equality, which is guaranteed by the Constitution of the Republic of Poland, the measures taken by law enforcement to combat the domestic violence issues are the same regardless of the victim’s gender, age, nationality, religion, political beliefs, work or social affiliation.      </w:t>
      </w:r>
    </w:p>
    <w:p w:rsidR="007D7EC5" w:rsidRDefault="007D7EC5" w:rsidP="007D7EC5">
      <w:pPr>
        <w:pStyle w:val="wordsection1"/>
        <w:spacing w:before="0" w:beforeAutospacing="0" w:after="0" w:afterAutospacing="0"/>
        <w:rPr>
          <w:rFonts w:ascii="Calibri" w:hAnsi="Calibri" w:cs="Calibri"/>
          <w:b/>
          <w:bCs/>
          <w:color w:val="000000"/>
          <w:sz w:val="22"/>
          <w:szCs w:val="22"/>
          <w:lang w:val="en-US" w:eastAsia="en-US"/>
        </w:rPr>
      </w:pPr>
      <w:r>
        <w:rPr>
          <w:rFonts w:ascii="Calibri" w:hAnsi="Calibri" w:cs="Calibri"/>
          <w:b/>
          <w:bCs/>
          <w:color w:val="000000"/>
          <w:sz w:val="22"/>
          <w:szCs w:val="22"/>
          <w:lang w:val="en-US"/>
        </w:rPr>
        <w:t xml:space="preserve">Regarding the question no. 4: on concrete measures taken to improve support to victims of violence and to prevent </w:t>
      </w:r>
      <w:proofErr w:type="spellStart"/>
      <w:r>
        <w:rPr>
          <w:rFonts w:ascii="Calibri" w:hAnsi="Calibri" w:cs="Calibri"/>
          <w:b/>
          <w:bCs/>
          <w:color w:val="000000"/>
          <w:sz w:val="22"/>
          <w:szCs w:val="22"/>
          <w:lang w:val="en-US"/>
        </w:rPr>
        <w:t>femicide</w:t>
      </w:r>
      <w:proofErr w:type="spellEnd"/>
      <w:r>
        <w:rPr>
          <w:rFonts w:ascii="Calibri" w:hAnsi="Calibri" w:cs="Calibri"/>
          <w:b/>
          <w:bCs/>
          <w:color w:val="000000"/>
          <w:sz w:val="22"/>
          <w:szCs w:val="22"/>
          <w:lang w:val="en-US"/>
        </w:rPr>
        <w:t xml:space="preserve">, (risk assessment, efficiency of protection orders), in connection with the information gathered via </w:t>
      </w:r>
      <w:proofErr w:type="spellStart"/>
      <w:r>
        <w:rPr>
          <w:rFonts w:ascii="Calibri" w:hAnsi="Calibri" w:cs="Calibri"/>
          <w:b/>
          <w:bCs/>
          <w:color w:val="000000"/>
          <w:sz w:val="22"/>
          <w:szCs w:val="22"/>
          <w:lang w:val="en-US"/>
        </w:rPr>
        <w:t>femicide</w:t>
      </w:r>
      <w:proofErr w:type="spellEnd"/>
      <w:r>
        <w:rPr>
          <w:rFonts w:ascii="Calibri" w:hAnsi="Calibri" w:cs="Calibri"/>
          <w:b/>
          <w:bCs/>
          <w:color w:val="000000"/>
          <w:sz w:val="22"/>
          <w:szCs w:val="22"/>
          <w:lang w:val="en-US"/>
        </w:rPr>
        <w:t xml:space="preserve"> watches or observatories:</w:t>
      </w:r>
    </w:p>
    <w:p w:rsidR="007D7EC5" w:rsidRDefault="007D7EC5" w:rsidP="007D7EC5">
      <w:pPr>
        <w:pStyle w:val="wordsection1"/>
        <w:spacing w:before="0" w:beforeAutospacing="0" w:after="160" w:afterAutospacing="0" w:line="252" w:lineRule="auto"/>
        <w:jc w:val="both"/>
        <w:rPr>
          <w:rFonts w:ascii="Calibri" w:hAnsi="Calibri" w:cs="Calibri"/>
          <w:i/>
          <w:iCs/>
          <w:color w:val="000000"/>
          <w:sz w:val="22"/>
          <w:szCs w:val="22"/>
          <w:lang w:val="en-US"/>
        </w:rPr>
      </w:pPr>
      <w:r>
        <w:rPr>
          <w:rFonts w:ascii="Calibri" w:hAnsi="Calibri" w:cs="Calibri"/>
          <w:i/>
          <w:iCs/>
          <w:color w:val="000000"/>
          <w:sz w:val="22"/>
          <w:szCs w:val="22"/>
          <w:lang w:val="en-US"/>
        </w:rPr>
        <w:t xml:space="preserve">One of the procedures being used is the "Blue Card" instrument, which was implemented nationwide in 1998. The “Blue Card” defines a set of concrete measures to deal with domestic violence, including responses and cooperation with and among different non-police entities. The first measure is special form, filled in by a police officer at the scene, during a domestic violence intervention, in the presence of the offender. The police officer documents the whole situation at the scene of incident and describes all  undertaken activities during the response. It is worth adding, that such  “Blue Card” form could be used as an legal evidence during a trial. When the police intervention during domestic violence is concluded, the “Blue Card” is delivered to Duty Officer from local police unit. Community police officer visits then the family during first 7 days after intervention in order to prepare a background survey (environmental / social inquiry), and to monitor the situation. After such initial visit, responsible police officer is due to follow-up with recurring control visits at a given address at least once a month. </w:t>
      </w:r>
    </w:p>
    <w:p w:rsidR="007D7EC5" w:rsidRDefault="007D7EC5" w:rsidP="007D7EC5">
      <w:pPr>
        <w:pStyle w:val="wordsection1"/>
        <w:spacing w:before="0" w:beforeAutospacing="0" w:after="160" w:afterAutospacing="0" w:line="252" w:lineRule="auto"/>
        <w:jc w:val="both"/>
        <w:rPr>
          <w:rFonts w:ascii="Calibri" w:hAnsi="Calibri" w:cs="Calibri"/>
          <w:i/>
          <w:iCs/>
          <w:color w:val="000000"/>
          <w:sz w:val="22"/>
          <w:szCs w:val="22"/>
          <w:lang w:val="en-US"/>
        </w:rPr>
      </w:pPr>
      <w:r>
        <w:rPr>
          <w:rFonts w:ascii="Calibri" w:hAnsi="Calibri" w:cs="Calibri"/>
          <w:i/>
          <w:iCs/>
          <w:color w:val="000000"/>
          <w:sz w:val="22"/>
          <w:szCs w:val="22"/>
          <w:lang w:val="en-US"/>
        </w:rPr>
        <w:t xml:space="preserve">In order to facilitate an effective and comprehensive support for victims of domestic violence, the following organizations and public institutions (besides the police) are obligatorily involved in “Blue Card” procedure: the social services, medical services/health protection services, educational organizations (school authorities) and the community commission dealing with alcoholic problems. </w:t>
      </w:r>
      <w:r>
        <w:rPr>
          <w:rFonts w:ascii="Calibri" w:hAnsi="Calibri" w:cs="Calibri"/>
          <w:i/>
          <w:iCs/>
          <w:color w:val="000000"/>
          <w:sz w:val="22"/>
          <w:szCs w:val="22"/>
          <w:lang w:val="en-US"/>
        </w:rPr>
        <w:lastRenderedPageBreak/>
        <w:t>Such interdisciplinary team will assess the situation, and act properly. Moreover, its needs to be underlined that not only the police is eligible to launch the “Blue Card” but also institutions mentioned above. It is also possible for the victim of domestic violence to ask for such card to be introduced with regard to one’s household.</w:t>
      </w:r>
    </w:p>
    <w:p w:rsidR="007D7EC5" w:rsidRDefault="007D7EC5" w:rsidP="007D7EC5">
      <w:pPr>
        <w:pStyle w:val="wordsection1"/>
        <w:spacing w:line="252" w:lineRule="auto"/>
        <w:jc w:val="both"/>
        <w:rPr>
          <w:rFonts w:ascii="Calibri" w:hAnsi="Calibri" w:cs="Calibri"/>
          <w:i/>
          <w:iCs/>
          <w:color w:val="000000"/>
          <w:sz w:val="22"/>
          <w:szCs w:val="22"/>
          <w:lang w:val="en-US"/>
        </w:rPr>
      </w:pPr>
      <w:r>
        <w:rPr>
          <w:rFonts w:ascii="Calibri" w:hAnsi="Calibri" w:cs="Calibri"/>
          <w:i/>
          <w:iCs/>
          <w:color w:val="000000"/>
          <w:sz w:val="22"/>
          <w:szCs w:val="22"/>
          <w:lang w:val="en-US"/>
        </w:rPr>
        <w:t xml:space="preserve">Moreover, an Act of 28 November 2014 on protection and assistance to the victim and witness (Journal of Laws of 2015, item 21) introduced measures which are important with regard to providing adequate support and protection to victims who decide to press formal complaint against the alleged perpetrator. They include: (1) protection for the duration of the procedural activity; (2) personal protection; (3)  assistance in relocation and related financial assistance for basic living needs, housing needs or for obtaining health care services. </w:t>
      </w:r>
    </w:p>
    <w:p w:rsidR="007D7EC5" w:rsidRDefault="007D7EC5" w:rsidP="007D7EC5">
      <w:pPr>
        <w:pStyle w:val="wordsection1"/>
        <w:spacing w:line="252" w:lineRule="auto"/>
        <w:jc w:val="both"/>
        <w:rPr>
          <w:rFonts w:ascii="Calibri" w:hAnsi="Calibri" w:cs="Calibri"/>
          <w:i/>
          <w:iCs/>
          <w:color w:val="000000"/>
          <w:sz w:val="22"/>
          <w:szCs w:val="22"/>
          <w:lang w:val="en-US"/>
        </w:rPr>
      </w:pPr>
      <w:r>
        <w:rPr>
          <w:rFonts w:ascii="Calibri" w:hAnsi="Calibri" w:cs="Calibri"/>
          <w:i/>
          <w:iCs/>
          <w:color w:val="000000"/>
          <w:sz w:val="22"/>
          <w:szCs w:val="22"/>
          <w:lang w:val="en-US"/>
        </w:rPr>
        <w:t>In addition, the Code of Criminal Procedure (Journal of Laws of 2021, item 534) offers protection for the duration of the criminal proceedings, which can be granted by a prosecutor or a court, namely (1) police supervision, during which the person supervised should comply with the obligations imposed on him/her, which can include: prohibition to leave a specified place of residence, reporting to the supervising authority at specified intervals, notifying it of the intended departure and the time of return, prohibition to contact the victim or other persons, prohibition to approach specified persons within a specified distance, prohibition to stay in specified places, (2) a defendant charged with a violent crime committed against a cohabiting person may be ordered to temporarily vacate the premises occupied jointly with the victim if there is a reasonable fear that the defendant will again commit a violent crime against that person, especially if he/she has threatened to commit such a crime. This measure can be applied for up to three months by a prosecutor or a court. Further prolongations (for up to 3 months each) can be ordered only by a court.  If the suspect / accused person violates the conditions of the above-mentioned measures, a more severe measure (detention on remand) can be applied by the court.</w:t>
      </w:r>
    </w:p>
    <w:p w:rsidR="007D7EC5" w:rsidRDefault="007D7EC5" w:rsidP="007D7EC5">
      <w:pPr>
        <w:pStyle w:val="wordsection1"/>
        <w:spacing w:line="252" w:lineRule="auto"/>
        <w:jc w:val="both"/>
        <w:rPr>
          <w:rFonts w:ascii="Calibri" w:hAnsi="Calibri" w:cs="Calibri"/>
          <w:i/>
          <w:iCs/>
          <w:color w:val="000000"/>
          <w:sz w:val="22"/>
          <w:szCs w:val="22"/>
          <w:lang w:val="en-US"/>
        </w:rPr>
      </w:pPr>
      <w:r>
        <w:rPr>
          <w:rFonts w:ascii="Calibri" w:hAnsi="Calibri" w:cs="Calibri"/>
          <w:i/>
          <w:iCs/>
          <w:color w:val="000000"/>
          <w:sz w:val="22"/>
          <w:szCs w:val="22"/>
          <w:lang w:val="en-US"/>
        </w:rPr>
        <w:t>Polish Criminal Code (Journal of Laws of 2020, item 1444) contains penal measures aimed at protection of the victims. Therefore in the judgment the court can: (1)  prohibit the sentenced person to stay in specified environments or places, to prohibit approaching specified persons or to prohibit leaving from a specified place of residence without the court's consent, (2) order the sentenced person to temporarily vacate the premises occupied jointly with the victim.</w:t>
      </w:r>
    </w:p>
    <w:p w:rsidR="007D7EC5" w:rsidRDefault="007D7EC5" w:rsidP="007D7EC5">
      <w:pPr>
        <w:pStyle w:val="wordsection1"/>
        <w:spacing w:before="0" w:beforeAutospacing="0" w:after="160" w:afterAutospacing="0" w:line="252" w:lineRule="auto"/>
        <w:jc w:val="both"/>
        <w:rPr>
          <w:rFonts w:ascii="Calibri" w:hAnsi="Calibri" w:cs="Calibri"/>
          <w:i/>
          <w:iCs/>
          <w:color w:val="000000"/>
          <w:sz w:val="22"/>
          <w:szCs w:val="22"/>
          <w:lang w:val="en-US"/>
        </w:rPr>
      </w:pPr>
      <w:r>
        <w:rPr>
          <w:rFonts w:ascii="Calibri" w:hAnsi="Calibri" w:cs="Calibri"/>
          <w:i/>
          <w:iCs/>
          <w:color w:val="000000"/>
          <w:sz w:val="22"/>
          <w:szCs w:val="22"/>
          <w:lang w:val="en-US"/>
        </w:rPr>
        <w:t>Analogically, if the imprisonment sentence is to be conditionally suspended, the court can oblige the sentenced person to (1)  refrain from staying in certain environments or places, (2) refrain from contacting the victim or other persons in a specified manner or approaching the victim or other persons, (3) vacate the premises occupied jointly with the victim.</w:t>
      </w:r>
    </w:p>
    <w:p w:rsidR="007D7EC5" w:rsidRDefault="007D7EC5" w:rsidP="007D7EC5">
      <w:pPr>
        <w:pStyle w:val="wordsection1"/>
        <w:spacing w:before="0" w:beforeAutospacing="0" w:after="160" w:afterAutospacing="0" w:line="252" w:lineRule="auto"/>
        <w:jc w:val="both"/>
        <w:rPr>
          <w:rFonts w:ascii="Calibri" w:hAnsi="Calibri" w:cs="Calibri"/>
          <w:i/>
          <w:iCs/>
          <w:color w:val="000000"/>
          <w:sz w:val="22"/>
          <w:szCs w:val="22"/>
          <w:lang w:val="en-US"/>
        </w:rPr>
      </w:pPr>
      <w:r>
        <w:rPr>
          <w:rFonts w:ascii="Calibri" w:hAnsi="Calibri" w:cs="Calibri"/>
          <w:i/>
          <w:iCs/>
          <w:color w:val="000000"/>
          <w:sz w:val="22"/>
          <w:szCs w:val="22"/>
          <w:lang w:val="en-US"/>
        </w:rPr>
        <w:t xml:space="preserve">The Code of Execution of Criminal Sentences (Journal of Laws of 2021, item 53) provides measures in case of a conditional release of the sentenced person, including ones perpetrators of domestic violence: (1) police supervision, which can include identical measures as mentioned above with regard to police supervision during the criminal proceedings, (2) obligatory revocation of the conditional suspension, if the sentenced person, who was convicted of a crime committed with the use of violence or unlawful threats against a person closest to him or her or another minor residing together with the perpetrator, during the trial period grossly violates the legal order by again using violence or unlawful threats against a person closest to him or her or another minor residing together with the perpetrator. </w:t>
      </w:r>
    </w:p>
    <w:p w:rsidR="007D7EC5" w:rsidRDefault="007D7EC5" w:rsidP="007D7EC5">
      <w:pPr>
        <w:pStyle w:val="wordsection1"/>
        <w:spacing w:before="0" w:beforeAutospacing="0" w:after="160" w:afterAutospacing="0" w:line="252" w:lineRule="auto"/>
        <w:jc w:val="both"/>
        <w:rPr>
          <w:rFonts w:ascii="Calibri" w:hAnsi="Calibri" w:cs="Calibri"/>
          <w:i/>
          <w:iCs/>
          <w:color w:val="000000"/>
          <w:sz w:val="22"/>
          <w:szCs w:val="22"/>
          <w:lang w:val="en-US"/>
        </w:rPr>
      </w:pPr>
      <w:r>
        <w:rPr>
          <w:rFonts w:ascii="Calibri" w:hAnsi="Calibri" w:cs="Calibri"/>
          <w:i/>
          <w:iCs/>
          <w:color w:val="000000"/>
          <w:sz w:val="22"/>
          <w:szCs w:val="22"/>
          <w:lang w:val="en-US"/>
        </w:rPr>
        <w:t>Moreover, it needs to be underlined that the court may revoke the conditional release if the released person, during the probationary period, grossly violates the legal order in other way or if he/she evades supervision, execution of obligations imposed or penal measures ordered.</w:t>
      </w:r>
    </w:p>
    <w:p w:rsidR="007D7EC5" w:rsidRDefault="007D7EC5" w:rsidP="007D7EC5">
      <w:pPr>
        <w:pStyle w:val="wordsection1"/>
        <w:spacing w:before="0" w:beforeAutospacing="0" w:after="160" w:afterAutospacing="0" w:line="252" w:lineRule="auto"/>
        <w:jc w:val="both"/>
        <w:rPr>
          <w:rFonts w:ascii="Calibri" w:hAnsi="Calibri" w:cs="Calibri"/>
          <w:i/>
          <w:iCs/>
          <w:color w:val="000000"/>
          <w:sz w:val="22"/>
          <w:szCs w:val="22"/>
          <w:lang w:val="en-US"/>
        </w:rPr>
      </w:pPr>
      <w:r>
        <w:rPr>
          <w:rFonts w:ascii="Calibri" w:hAnsi="Calibri" w:cs="Calibri"/>
          <w:i/>
          <w:iCs/>
          <w:color w:val="000000"/>
          <w:sz w:val="22"/>
          <w:szCs w:val="22"/>
          <w:lang w:val="en-US"/>
        </w:rPr>
        <w:t>From the 30</w:t>
      </w:r>
      <w:r>
        <w:rPr>
          <w:rFonts w:ascii="Calibri" w:hAnsi="Calibri" w:cs="Calibri"/>
          <w:i/>
          <w:iCs/>
          <w:color w:val="000000"/>
          <w:sz w:val="22"/>
          <w:szCs w:val="22"/>
          <w:vertAlign w:val="superscript"/>
          <w:lang w:val="en-US"/>
        </w:rPr>
        <w:t>th</w:t>
      </w:r>
      <w:r>
        <w:rPr>
          <w:rFonts w:ascii="Calibri" w:hAnsi="Calibri" w:cs="Calibri"/>
          <w:i/>
          <w:iCs/>
          <w:color w:val="000000"/>
          <w:sz w:val="22"/>
          <w:szCs w:val="22"/>
          <w:lang w:val="en-US"/>
        </w:rPr>
        <w:t xml:space="preserve"> of November 2020, due to the significant changes in legislation, Police has been given an competence to order to the offender immediate leaving the shared place of residence (flat, house). Such </w:t>
      </w:r>
      <w:r>
        <w:rPr>
          <w:rFonts w:ascii="Calibri" w:hAnsi="Calibri" w:cs="Calibri"/>
          <w:i/>
          <w:iCs/>
          <w:color w:val="000000"/>
          <w:sz w:val="22"/>
          <w:szCs w:val="22"/>
          <w:lang w:val="en-US"/>
        </w:rPr>
        <w:lastRenderedPageBreak/>
        <w:t xml:space="preserve">order remains in force for 14 days with an opportunity to be extended by the Court of Law. During these 14 days, the victim has a time to make a decision and choose a course of further action, e. g. request for the restraining order. </w:t>
      </w:r>
    </w:p>
    <w:p w:rsidR="007D7EC5" w:rsidRDefault="007D7EC5" w:rsidP="007D7EC5">
      <w:pPr>
        <w:pStyle w:val="wordsection1"/>
        <w:spacing w:before="0" w:beforeAutospacing="0" w:after="160" w:afterAutospacing="0" w:line="252" w:lineRule="auto"/>
        <w:jc w:val="both"/>
        <w:rPr>
          <w:rFonts w:ascii="Calibri" w:hAnsi="Calibri" w:cs="Calibri"/>
          <w:i/>
          <w:iCs/>
          <w:color w:val="000000"/>
          <w:sz w:val="22"/>
          <w:szCs w:val="22"/>
          <w:lang w:val="en-US"/>
        </w:rPr>
      </w:pPr>
      <w:r>
        <w:rPr>
          <w:rFonts w:ascii="Calibri" w:hAnsi="Calibri" w:cs="Calibri"/>
          <w:i/>
          <w:iCs/>
          <w:color w:val="000000"/>
          <w:sz w:val="22"/>
          <w:szCs w:val="22"/>
          <w:lang w:val="en-US"/>
        </w:rPr>
        <w:t xml:space="preserve">In accordance with existing provisions, the police officer has the power to give such order either immediately during the intervention taking place at given address or in close neighborhood to the place where domestic violence has been observed or once acquiring information about an ongoing domestic violence at given household. </w:t>
      </w:r>
    </w:p>
    <w:p w:rsidR="007D7EC5" w:rsidRDefault="007D7EC5" w:rsidP="007D7EC5">
      <w:pPr>
        <w:pStyle w:val="wordsection1"/>
        <w:spacing w:before="0" w:beforeAutospacing="0" w:after="0" w:afterAutospacing="0"/>
        <w:rPr>
          <w:rFonts w:ascii="Calibri" w:hAnsi="Calibri" w:cs="Calibri"/>
          <w:b/>
          <w:bCs/>
          <w:color w:val="000000"/>
          <w:sz w:val="22"/>
          <w:szCs w:val="22"/>
          <w:lang w:val="en-US" w:eastAsia="en-US"/>
        </w:rPr>
      </w:pPr>
      <w:r>
        <w:rPr>
          <w:rFonts w:ascii="Calibri" w:hAnsi="Calibri" w:cs="Calibri"/>
          <w:b/>
          <w:bCs/>
          <w:color w:val="000000"/>
          <w:sz w:val="22"/>
          <w:szCs w:val="22"/>
          <w:lang w:val="en-US"/>
        </w:rPr>
        <w:t xml:space="preserve">On the question no. 5: on good practices and challenges in implementing an evidence-based response to the prevention of </w:t>
      </w:r>
      <w:proofErr w:type="spellStart"/>
      <w:r>
        <w:rPr>
          <w:rFonts w:ascii="Calibri" w:hAnsi="Calibri" w:cs="Calibri"/>
          <w:b/>
          <w:bCs/>
          <w:color w:val="000000"/>
          <w:sz w:val="22"/>
          <w:szCs w:val="22"/>
          <w:lang w:val="en-US"/>
        </w:rPr>
        <w:t>femicide</w:t>
      </w:r>
      <w:proofErr w:type="spellEnd"/>
      <w:r>
        <w:rPr>
          <w:rFonts w:ascii="Calibri" w:hAnsi="Calibri" w:cs="Calibri"/>
          <w:b/>
          <w:bCs/>
          <w:color w:val="000000"/>
          <w:sz w:val="22"/>
          <w:szCs w:val="22"/>
          <w:lang w:val="en-US"/>
        </w:rPr>
        <w:t>:</w:t>
      </w:r>
    </w:p>
    <w:p w:rsidR="007D7EC5" w:rsidRDefault="007D7EC5" w:rsidP="007D7EC5">
      <w:pPr>
        <w:pStyle w:val="wordsection1"/>
        <w:spacing w:before="0" w:beforeAutospacing="0" w:after="160" w:afterAutospacing="0" w:line="252" w:lineRule="auto"/>
        <w:jc w:val="both"/>
        <w:rPr>
          <w:rFonts w:ascii="Calibri" w:hAnsi="Calibri" w:cs="Calibri"/>
          <w:i/>
          <w:iCs/>
          <w:color w:val="000000"/>
          <w:sz w:val="22"/>
          <w:szCs w:val="22"/>
          <w:lang w:val="en-US"/>
        </w:rPr>
      </w:pPr>
      <w:r>
        <w:rPr>
          <w:rFonts w:ascii="Calibri" w:hAnsi="Calibri" w:cs="Calibri"/>
          <w:i/>
          <w:iCs/>
          <w:color w:val="000000"/>
          <w:sz w:val="22"/>
          <w:szCs w:val="22"/>
          <w:lang w:val="en-US"/>
        </w:rPr>
        <w:t>One on Police statutory duties is prevention of increase of social risks, especially those related to person’s residence. In that regard, Police initiate and organize activities aimed at preventing crimes and offences and crime-related events in cooperation with other state authorities and with local governments and social organizations. In order to prevent domestic violence and increase the potential victims’ awareness in that matter, the Police in Poland carries out several prophylactic measures and educational activities. The total number of such preventive activities carried out in 2020 is 226. Some of the programs were especially targeted for the women and children, which are the victims of domestic violence in the most common of cases:</w:t>
      </w:r>
    </w:p>
    <w:p w:rsidR="007D7EC5" w:rsidRDefault="007D7EC5" w:rsidP="007D7EC5">
      <w:pPr>
        <w:pStyle w:val="wordsection1"/>
        <w:spacing w:before="0" w:beforeAutospacing="0" w:after="200" w:afterAutospacing="0" w:line="276" w:lineRule="auto"/>
        <w:ind w:left="1080" w:hanging="360"/>
        <w:jc w:val="both"/>
        <w:rPr>
          <w:rFonts w:ascii="Calibri" w:hAnsi="Calibri" w:cs="Calibri"/>
          <w:i/>
          <w:iCs/>
          <w:color w:val="000000"/>
          <w:sz w:val="22"/>
          <w:szCs w:val="22"/>
          <w:lang w:val="en-US"/>
        </w:rPr>
      </w:pPr>
      <w:r>
        <w:rPr>
          <w:rFonts w:ascii="Calibri" w:hAnsi="Calibri" w:cs="Calibri"/>
          <w:i/>
          <w:iCs/>
          <w:color w:val="000000"/>
          <w:sz w:val="22"/>
          <w:szCs w:val="22"/>
          <w:lang w:val="en-US"/>
        </w:rPr>
        <w:t xml:space="preserve">1.       The Informational and educational </w:t>
      </w:r>
      <w:proofErr w:type="spellStart"/>
      <w:r>
        <w:rPr>
          <w:rFonts w:ascii="Calibri" w:hAnsi="Calibri" w:cs="Calibri"/>
          <w:i/>
          <w:iCs/>
          <w:color w:val="000000"/>
          <w:sz w:val="22"/>
          <w:szCs w:val="22"/>
          <w:lang w:val="en-US"/>
        </w:rPr>
        <w:t>programme</w:t>
      </w:r>
      <w:proofErr w:type="spellEnd"/>
      <w:r>
        <w:rPr>
          <w:rFonts w:ascii="Calibri" w:hAnsi="Calibri" w:cs="Calibri"/>
          <w:i/>
          <w:iCs/>
          <w:color w:val="000000"/>
          <w:sz w:val="22"/>
          <w:szCs w:val="22"/>
          <w:lang w:val="en-US"/>
        </w:rPr>
        <w:t xml:space="preserve"> “Stop the domestic violence” was carried out from October 2017 to December 2020 in cooperation with local authorities. The </w:t>
      </w:r>
      <w:proofErr w:type="spellStart"/>
      <w:r>
        <w:rPr>
          <w:rFonts w:ascii="Calibri" w:hAnsi="Calibri" w:cs="Calibri"/>
          <w:i/>
          <w:iCs/>
          <w:color w:val="000000"/>
          <w:sz w:val="22"/>
          <w:szCs w:val="22"/>
          <w:lang w:val="en-US"/>
        </w:rPr>
        <w:t>programme</w:t>
      </w:r>
      <w:proofErr w:type="spellEnd"/>
      <w:r>
        <w:rPr>
          <w:rFonts w:ascii="Calibri" w:hAnsi="Calibri" w:cs="Calibri"/>
          <w:i/>
          <w:iCs/>
          <w:color w:val="000000"/>
          <w:sz w:val="22"/>
          <w:szCs w:val="22"/>
          <w:lang w:val="en-US"/>
        </w:rPr>
        <w:t xml:space="preserve"> objectives were to reduce the number of cases of domestic violence, provide help to the victims and act effectively against perpetrators;</w:t>
      </w:r>
    </w:p>
    <w:p w:rsidR="007D7EC5" w:rsidRDefault="007D7EC5" w:rsidP="007D7EC5">
      <w:pPr>
        <w:pStyle w:val="wordsection1"/>
        <w:spacing w:before="0" w:beforeAutospacing="0" w:after="200" w:afterAutospacing="0" w:line="276" w:lineRule="auto"/>
        <w:ind w:left="1080" w:hanging="360"/>
        <w:jc w:val="both"/>
        <w:rPr>
          <w:rFonts w:ascii="Calibri" w:hAnsi="Calibri" w:cs="Calibri"/>
          <w:i/>
          <w:iCs/>
          <w:color w:val="000000"/>
          <w:sz w:val="22"/>
          <w:szCs w:val="22"/>
          <w:lang w:val="en-US"/>
        </w:rPr>
      </w:pPr>
      <w:r>
        <w:rPr>
          <w:rFonts w:ascii="Calibri" w:hAnsi="Calibri" w:cs="Calibri"/>
          <w:i/>
          <w:iCs/>
          <w:color w:val="000000"/>
          <w:sz w:val="22"/>
          <w:szCs w:val="22"/>
          <w:lang w:val="en-US"/>
        </w:rPr>
        <w:t xml:space="preserve">2.       “Be safe” seminars dedicated to the women above 15 years of age, carried out by the Police in cooperation with local authorities. The seminars indicated that passivity against domestic violence is improper acting and the help of public authorities should be used. </w:t>
      </w:r>
    </w:p>
    <w:p w:rsidR="007D7EC5" w:rsidRDefault="007D7EC5" w:rsidP="007D7EC5">
      <w:pPr>
        <w:pStyle w:val="wordsection1"/>
        <w:spacing w:before="0" w:beforeAutospacing="0" w:after="160" w:afterAutospacing="0" w:line="252" w:lineRule="auto"/>
        <w:jc w:val="both"/>
        <w:rPr>
          <w:rFonts w:ascii="Calibri" w:hAnsi="Calibri" w:cs="Calibri"/>
          <w:i/>
          <w:iCs/>
          <w:color w:val="000000"/>
          <w:sz w:val="22"/>
          <w:szCs w:val="22"/>
          <w:lang w:val="en-US"/>
        </w:rPr>
      </w:pPr>
      <w:r>
        <w:rPr>
          <w:rFonts w:ascii="Calibri" w:hAnsi="Calibri" w:cs="Calibri"/>
          <w:i/>
          <w:iCs/>
          <w:color w:val="000000"/>
          <w:sz w:val="22"/>
          <w:szCs w:val="22"/>
          <w:lang w:val="en-NZ"/>
        </w:rPr>
        <w:t xml:space="preserve">According to </w:t>
      </w:r>
      <w:r>
        <w:rPr>
          <w:rFonts w:ascii="Calibri" w:hAnsi="Calibri" w:cs="Calibri"/>
          <w:i/>
          <w:iCs/>
          <w:color w:val="000000"/>
          <w:sz w:val="22"/>
          <w:szCs w:val="22"/>
          <w:lang w:val="en-US"/>
        </w:rPr>
        <w:t>Act of the 13</w:t>
      </w:r>
      <w:r>
        <w:rPr>
          <w:rFonts w:ascii="Calibri" w:hAnsi="Calibri" w:cs="Calibri"/>
          <w:i/>
          <w:iCs/>
          <w:color w:val="000000"/>
          <w:sz w:val="22"/>
          <w:szCs w:val="22"/>
          <w:vertAlign w:val="superscript"/>
          <w:lang w:val="en-US"/>
        </w:rPr>
        <w:t>th</w:t>
      </w:r>
      <w:r>
        <w:rPr>
          <w:rFonts w:ascii="Calibri" w:hAnsi="Calibri" w:cs="Calibri"/>
          <w:i/>
          <w:iCs/>
          <w:color w:val="000000"/>
          <w:sz w:val="22"/>
          <w:szCs w:val="22"/>
          <w:lang w:val="en-US"/>
        </w:rPr>
        <w:t xml:space="preserve"> of June 2003 on granting protection to foreigners within the territory of the Republic of Poland, the Head of the Office for Foreigners is </w:t>
      </w:r>
      <w:proofErr w:type="spellStart"/>
      <w:r>
        <w:rPr>
          <w:rFonts w:ascii="Calibri" w:hAnsi="Calibri" w:cs="Calibri"/>
          <w:i/>
          <w:iCs/>
          <w:color w:val="000000"/>
          <w:sz w:val="22"/>
          <w:szCs w:val="22"/>
          <w:lang w:val="en-US"/>
        </w:rPr>
        <w:t>i.a</w:t>
      </w:r>
      <w:proofErr w:type="spellEnd"/>
      <w:r>
        <w:rPr>
          <w:rFonts w:ascii="Calibri" w:hAnsi="Calibri" w:cs="Calibri"/>
          <w:i/>
          <w:iCs/>
          <w:color w:val="000000"/>
          <w:sz w:val="22"/>
          <w:szCs w:val="22"/>
          <w:lang w:val="en-US"/>
        </w:rPr>
        <w:t>. obliged to ensure medical care, social assistance and safety for foreigners seeking for international protection. The strategy adopted by the Office for Foreigners (OFF) in the field of counteracting violence in centers for foreigners is based on prevention, education, disseminating knowledge and undertaking action to minimize the risk of violence. As a result of preventive measures, there have never been any cases of homicide or gender homicides in the OFF centers. The Office for Foreigners reacts and counteracts violence on the basis of existing procedures. These procedures are focused on following elements: (1) dealing with security threats, (2) dealing with foreigners who require special treatment in terms of social assistance; (3) ensuring effective proceedings when obtaining information on possibility of a forced or child  marriage; (4) introducing the policy for protection of children against abuse in centers for foreigners and (5) placing foreigners under an alert.</w:t>
      </w:r>
    </w:p>
    <w:p w:rsidR="007D7EC5" w:rsidRDefault="007D7EC5" w:rsidP="007D7EC5">
      <w:pPr>
        <w:pStyle w:val="wordsection1"/>
        <w:spacing w:before="0" w:beforeAutospacing="0" w:after="160" w:afterAutospacing="0" w:line="252" w:lineRule="auto"/>
        <w:jc w:val="both"/>
        <w:rPr>
          <w:rFonts w:ascii="Calibri" w:hAnsi="Calibri" w:cs="Calibri"/>
          <w:i/>
          <w:iCs/>
          <w:color w:val="000000"/>
          <w:sz w:val="22"/>
          <w:szCs w:val="22"/>
          <w:lang w:val="en-US"/>
        </w:rPr>
      </w:pPr>
      <w:r>
        <w:rPr>
          <w:rFonts w:ascii="Calibri" w:hAnsi="Calibri" w:cs="Calibri"/>
          <w:i/>
          <w:iCs/>
          <w:color w:val="000000"/>
          <w:sz w:val="22"/>
          <w:szCs w:val="22"/>
          <w:lang w:val="en-US"/>
        </w:rPr>
        <w:t>With regard to procedure on dealing with foreigners requiring special treatment, during the medical examinations carried out within the framework of "epidemiological filter" and in the scope of providing social assistance and proper medical care, each foreigner who reported to an OFF reception center is identified as to whether he/she requires special treatment. Such special treatment is provided by default to minors, pregnant women and single parents. The necessary measures are then taken to provide them with appropriate assistance and care. Within their stay in the reception centers, foreigners take the orientation courses, during which they are informed about the provisions of law and social norms in force on the territory of the Republic of Poland. They also receive information materials in languages they understand, concerning among others the prevention of violence and marriages to minors.</w:t>
      </w:r>
    </w:p>
    <w:p w:rsidR="007D7EC5" w:rsidRDefault="007D7EC5" w:rsidP="007D7EC5">
      <w:pPr>
        <w:pStyle w:val="wordsection1"/>
        <w:spacing w:before="0" w:beforeAutospacing="0" w:after="160" w:afterAutospacing="0" w:line="252" w:lineRule="auto"/>
        <w:jc w:val="both"/>
        <w:rPr>
          <w:rFonts w:ascii="Calibri" w:hAnsi="Calibri" w:cs="Calibri"/>
          <w:i/>
          <w:iCs/>
          <w:color w:val="000000"/>
          <w:sz w:val="22"/>
          <w:szCs w:val="22"/>
          <w:lang w:val="en-US"/>
        </w:rPr>
      </w:pPr>
      <w:r>
        <w:rPr>
          <w:rFonts w:ascii="Calibri" w:hAnsi="Calibri" w:cs="Calibri"/>
          <w:i/>
          <w:iCs/>
          <w:color w:val="000000"/>
          <w:sz w:val="22"/>
          <w:szCs w:val="22"/>
          <w:lang w:val="en-US"/>
        </w:rPr>
        <w:lastRenderedPageBreak/>
        <w:t>On the 25</w:t>
      </w:r>
      <w:r>
        <w:rPr>
          <w:rFonts w:ascii="Calibri" w:hAnsi="Calibri" w:cs="Calibri"/>
          <w:i/>
          <w:iCs/>
          <w:color w:val="000000"/>
          <w:sz w:val="22"/>
          <w:szCs w:val="22"/>
          <w:vertAlign w:val="superscript"/>
          <w:lang w:val="en-US"/>
        </w:rPr>
        <w:t>th</w:t>
      </w:r>
      <w:r>
        <w:rPr>
          <w:rFonts w:ascii="Calibri" w:hAnsi="Calibri" w:cs="Calibri"/>
          <w:i/>
          <w:iCs/>
          <w:color w:val="000000"/>
          <w:sz w:val="22"/>
          <w:szCs w:val="22"/>
          <w:lang w:val="en-US"/>
        </w:rPr>
        <w:t xml:space="preserve"> of March 2008 an inter-institutional agreement on establishing standard operating procedures for identifying, preventing and responding to cases of sexual or gender-based violence  against foreigners residing in </w:t>
      </w:r>
      <w:proofErr w:type="spellStart"/>
      <w:r>
        <w:rPr>
          <w:rFonts w:ascii="Calibri" w:hAnsi="Calibri" w:cs="Calibri"/>
          <w:i/>
          <w:iCs/>
          <w:color w:val="000000"/>
          <w:sz w:val="22"/>
          <w:szCs w:val="22"/>
          <w:lang w:val="en-US"/>
        </w:rPr>
        <w:t>centres</w:t>
      </w:r>
      <w:proofErr w:type="spellEnd"/>
      <w:r>
        <w:rPr>
          <w:rFonts w:ascii="Calibri" w:hAnsi="Calibri" w:cs="Calibri"/>
          <w:i/>
          <w:iCs/>
          <w:color w:val="000000"/>
          <w:sz w:val="22"/>
          <w:szCs w:val="22"/>
          <w:lang w:val="en-US"/>
        </w:rPr>
        <w:t xml:space="preserve"> for persons seeking an asylum status has been adopted.  On the basis of this document, Local Cooperation Teams consisting of officials and experts of various affiliations and fields operate at centers for foreigners seeking international protection. Apart from the OFF the parties to this agreement are the Commander-in-Chief of the Police, the Office of the United Nations High Commissioner for Refugees, non-governmental Foundation "La </w:t>
      </w:r>
      <w:proofErr w:type="spellStart"/>
      <w:r>
        <w:rPr>
          <w:rFonts w:ascii="Calibri" w:hAnsi="Calibri" w:cs="Calibri"/>
          <w:i/>
          <w:iCs/>
          <w:color w:val="000000"/>
          <w:sz w:val="22"/>
          <w:szCs w:val="22"/>
          <w:lang w:val="en-US"/>
        </w:rPr>
        <w:t>Strada</w:t>
      </w:r>
      <w:proofErr w:type="spellEnd"/>
      <w:r>
        <w:rPr>
          <w:rFonts w:ascii="Calibri" w:hAnsi="Calibri" w:cs="Calibri"/>
          <w:i/>
          <w:iCs/>
          <w:color w:val="000000"/>
          <w:sz w:val="22"/>
          <w:szCs w:val="22"/>
          <w:lang w:val="en-US"/>
        </w:rPr>
        <w:t xml:space="preserve">"  and the </w:t>
      </w:r>
      <w:proofErr w:type="spellStart"/>
      <w:r>
        <w:rPr>
          <w:rFonts w:ascii="Calibri" w:hAnsi="Calibri" w:cs="Calibri"/>
          <w:i/>
          <w:iCs/>
          <w:color w:val="000000"/>
          <w:sz w:val="22"/>
          <w:szCs w:val="22"/>
          <w:lang w:val="en-US"/>
        </w:rPr>
        <w:t>Halina</w:t>
      </w:r>
      <w:proofErr w:type="spellEnd"/>
      <w:r>
        <w:rPr>
          <w:rFonts w:ascii="Calibri" w:hAnsi="Calibri" w:cs="Calibri"/>
          <w:i/>
          <w:iCs/>
          <w:color w:val="000000"/>
          <w:sz w:val="22"/>
          <w:szCs w:val="22"/>
          <w:lang w:val="en-US"/>
        </w:rPr>
        <w:t xml:space="preserve"> </w:t>
      </w:r>
      <w:proofErr w:type="spellStart"/>
      <w:r>
        <w:rPr>
          <w:rFonts w:ascii="Calibri" w:hAnsi="Calibri" w:cs="Calibri"/>
          <w:i/>
          <w:iCs/>
          <w:color w:val="000000"/>
          <w:sz w:val="22"/>
          <w:szCs w:val="22"/>
          <w:lang w:val="en-US"/>
        </w:rPr>
        <w:t>Nieć</w:t>
      </w:r>
      <w:proofErr w:type="spellEnd"/>
      <w:r>
        <w:rPr>
          <w:rFonts w:ascii="Calibri" w:hAnsi="Calibri" w:cs="Calibri"/>
          <w:i/>
          <w:iCs/>
          <w:color w:val="000000"/>
          <w:sz w:val="22"/>
          <w:szCs w:val="22"/>
          <w:lang w:val="en-US"/>
        </w:rPr>
        <w:t xml:space="preserve"> Centre for Legal Aid.</w:t>
      </w:r>
    </w:p>
    <w:p w:rsidR="007D7EC5" w:rsidRDefault="007D7EC5" w:rsidP="007D7EC5">
      <w:pPr>
        <w:pStyle w:val="wordsection1"/>
        <w:spacing w:before="0" w:beforeAutospacing="0" w:after="160" w:afterAutospacing="0" w:line="252" w:lineRule="auto"/>
        <w:jc w:val="both"/>
        <w:rPr>
          <w:rFonts w:ascii="Calibri" w:hAnsi="Calibri" w:cs="Calibri"/>
          <w:i/>
          <w:iCs/>
          <w:color w:val="000000"/>
          <w:sz w:val="22"/>
          <w:szCs w:val="22"/>
          <w:lang w:val="en-US"/>
        </w:rPr>
      </w:pPr>
      <w:r>
        <w:rPr>
          <w:rFonts w:ascii="Calibri" w:hAnsi="Calibri" w:cs="Calibri"/>
          <w:i/>
          <w:iCs/>
          <w:color w:val="000000"/>
          <w:sz w:val="22"/>
          <w:szCs w:val="22"/>
          <w:lang w:val="en-US"/>
        </w:rPr>
        <w:t>The basic form of cooperation between the Local Cooperation Teams are meetings organized at least every quarter, which include experts of the Office for Foreigners performing their duties in the center for foreigners, territorially competent representatives of the Police and Border Guard, representatives of non-governmental organizations and other institutions and organizations invited to cooperate. For example, within the framework of the Local Cooperation Teams, police officers organize meetings and discussions with residents of the centers about safety and existing laws in Poland, and representatives of NGOs (such as the Polish Migration Forum) organize meetings about protection from violence. The Local Cooperation Teams analyze, monitor and counteract all cases of violence which occur at the centers, with particular emphasis on violence against women and violence against children.</w:t>
      </w:r>
    </w:p>
    <w:p w:rsidR="007D7EC5" w:rsidRDefault="007D7EC5" w:rsidP="007D7EC5">
      <w:pPr>
        <w:pStyle w:val="wordsection1"/>
        <w:spacing w:before="0" w:beforeAutospacing="0" w:after="160" w:afterAutospacing="0" w:line="252" w:lineRule="auto"/>
        <w:jc w:val="both"/>
        <w:rPr>
          <w:rFonts w:ascii="Calibri" w:hAnsi="Calibri" w:cs="Calibri"/>
          <w:i/>
          <w:iCs/>
          <w:color w:val="000000"/>
          <w:sz w:val="22"/>
          <w:szCs w:val="22"/>
          <w:lang w:val="en-US"/>
        </w:rPr>
      </w:pPr>
      <w:r>
        <w:rPr>
          <w:rFonts w:ascii="Calibri" w:hAnsi="Calibri" w:cs="Calibri"/>
          <w:i/>
          <w:iCs/>
          <w:color w:val="000000"/>
          <w:sz w:val="22"/>
          <w:szCs w:val="22"/>
          <w:lang w:val="en-US"/>
        </w:rPr>
        <w:t>At the meetings with women residing in the centers, they are provided with information and presentations which aims at familiarizing them with women's rights, making them aware of the notion of physical and psychological violence and where and how to seek assistance shall such act occur.</w:t>
      </w:r>
    </w:p>
    <w:p w:rsidR="007D7EC5" w:rsidRDefault="007D7EC5" w:rsidP="007D7EC5">
      <w:pPr>
        <w:pStyle w:val="wordsection1"/>
        <w:spacing w:before="0" w:beforeAutospacing="0" w:after="160" w:afterAutospacing="0" w:line="252" w:lineRule="auto"/>
        <w:jc w:val="both"/>
        <w:rPr>
          <w:rFonts w:ascii="Calibri" w:hAnsi="Calibri" w:cs="Calibri"/>
          <w:i/>
          <w:iCs/>
          <w:color w:val="000000"/>
          <w:sz w:val="22"/>
          <w:szCs w:val="22"/>
          <w:lang w:val="en-US"/>
        </w:rPr>
      </w:pPr>
      <w:r>
        <w:rPr>
          <w:rFonts w:ascii="Calibri" w:hAnsi="Calibri" w:cs="Calibri"/>
          <w:i/>
          <w:iCs/>
          <w:color w:val="000000"/>
          <w:sz w:val="22"/>
          <w:szCs w:val="22"/>
          <w:lang w:val="en-US"/>
        </w:rPr>
        <w:t xml:space="preserve">A key element of the activities of social assistance provided by OFF is also cooperation with key partners (Police, Border Guards, social assistance and other). For example, OFF cooperates with the police in the procedure of issuing the "Blue Card" instrument  - which is to  ensure safety of a person subjected to domestic violence, isolate the offender from the victim and ensure comprehensive approach of authorities towards family affected by violence. </w:t>
      </w:r>
    </w:p>
    <w:p w:rsidR="007D7EC5" w:rsidRDefault="007D7EC5" w:rsidP="007D7EC5">
      <w:pPr>
        <w:pStyle w:val="wordsection1"/>
        <w:spacing w:before="0" w:beforeAutospacing="0" w:after="160" w:afterAutospacing="0" w:line="252" w:lineRule="auto"/>
        <w:jc w:val="both"/>
        <w:rPr>
          <w:rFonts w:ascii="Calibri" w:hAnsi="Calibri" w:cs="Calibri"/>
          <w:i/>
          <w:iCs/>
          <w:color w:val="000000"/>
          <w:sz w:val="22"/>
          <w:szCs w:val="22"/>
          <w:lang w:val="en-US"/>
        </w:rPr>
      </w:pPr>
      <w:r>
        <w:rPr>
          <w:rFonts w:ascii="Calibri" w:hAnsi="Calibri" w:cs="Calibri"/>
          <w:i/>
          <w:iCs/>
          <w:color w:val="000000"/>
          <w:sz w:val="22"/>
          <w:szCs w:val="22"/>
          <w:lang w:val="en-US"/>
        </w:rPr>
        <w:t>Collaboration with the Warsaw Centre for Women and Single Mothers is very important for preventive activities undertaken by the Office for Foreigners. This facility is also dedicated for victims of domestic violence, who with thanks to such Centre can be safely separated from the aggressor.</w:t>
      </w:r>
    </w:p>
    <w:p w:rsidR="007D7EC5" w:rsidRDefault="007D7EC5" w:rsidP="007D7EC5">
      <w:pPr>
        <w:pStyle w:val="wordsection1"/>
        <w:spacing w:before="0" w:beforeAutospacing="0" w:after="160" w:afterAutospacing="0" w:line="252" w:lineRule="auto"/>
        <w:jc w:val="both"/>
        <w:rPr>
          <w:rFonts w:ascii="Calibri" w:hAnsi="Calibri" w:cs="Calibri"/>
          <w:i/>
          <w:iCs/>
          <w:color w:val="000000"/>
          <w:sz w:val="22"/>
          <w:szCs w:val="22"/>
          <w:lang w:val="en-US"/>
        </w:rPr>
      </w:pPr>
      <w:r>
        <w:rPr>
          <w:rFonts w:ascii="Calibri" w:hAnsi="Calibri" w:cs="Calibri"/>
          <w:i/>
          <w:iCs/>
          <w:color w:val="000000"/>
          <w:sz w:val="22"/>
          <w:szCs w:val="22"/>
          <w:lang w:val="en-US"/>
        </w:rPr>
        <w:t>Action is also taken to meet the medical, psychological and social needs of the victims of violence and of their relatives, mostly by providing medical assistance and access to psychological consultations. If necessary, also legal assistance is being provided in order to initiate criminal proceedings against the aggressor.</w:t>
      </w:r>
    </w:p>
    <w:p w:rsidR="007D7EC5" w:rsidRDefault="007D7EC5" w:rsidP="007D7EC5">
      <w:pPr>
        <w:pStyle w:val="wordsection1"/>
        <w:spacing w:before="0" w:beforeAutospacing="0" w:after="0" w:afterAutospacing="0"/>
        <w:rPr>
          <w:rFonts w:ascii="Calibri" w:hAnsi="Calibri" w:cs="Calibri"/>
          <w:b/>
          <w:bCs/>
          <w:color w:val="000000"/>
          <w:sz w:val="22"/>
          <w:szCs w:val="22"/>
          <w:lang w:val="en-US" w:eastAsia="en-US"/>
        </w:rPr>
      </w:pPr>
      <w:r>
        <w:rPr>
          <w:rFonts w:ascii="Calibri" w:hAnsi="Calibri" w:cs="Calibri"/>
          <w:b/>
          <w:bCs/>
          <w:color w:val="000000"/>
          <w:sz w:val="22"/>
          <w:szCs w:val="22"/>
          <w:lang w:val="en-US"/>
        </w:rPr>
        <w:t xml:space="preserve">About your question no. 6: on data, if available, on </w:t>
      </w:r>
      <w:proofErr w:type="spellStart"/>
      <w:r>
        <w:rPr>
          <w:rFonts w:ascii="Calibri" w:hAnsi="Calibri" w:cs="Calibri"/>
          <w:b/>
          <w:bCs/>
          <w:color w:val="000000"/>
          <w:sz w:val="22"/>
          <w:szCs w:val="22"/>
          <w:lang w:val="en-US"/>
        </w:rPr>
        <w:t>femicides</w:t>
      </w:r>
      <w:proofErr w:type="spellEnd"/>
      <w:r>
        <w:rPr>
          <w:rFonts w:ascii="Calibri" w:hAnsi="Calibri" w:cs="Calibri"/>
          <w:b/>
          <w:bCs/>
          <w:color w:val="000000"/>
          <w:sz w:val="22"/>
          <w:szCs w:val="22"/>
          <w:lang w:val="en-US"/>
        </w:rPr>
        <w:t xml:space="preserve"> or intimate-partner and family-related homicides of women and men in the past 3 years, including during the Covid-19 pandemic (indicating the time period e.g. since March 2020 to the end of December 2020) and its comparison with such data before the COVID-19 pandemic:</w:t>
      </w:r>
    </w:p>
    <w:p w:rsidR="007D7EC5" w:rsidRDefault="007D7EC5" w:rsidP="007D7EC5">
      <w:pPr>
        <w:pStyle w:val="wordsection1"/>
        <w:spacing w:before="0" w:beforeAutospacing="0" w:after="160" w:afterAutospacing="0" w:line="252" w:lineRule="auto"/>
        <w:jc w:val="both"/>
        <w:rPr>
          <w:rFonts w:ascii="Calibri" w:hAnsi="Calibri" w:cs="Calibri"/>
          <w:i/>
          <w:iCs/>
          <w:color w:val="000000"/>
          <w:sz w:val="22"/>
          <w:szCs w:val="22"/>
          <w:lang w:val="en-US"/>
        </w:rPr>
      </w:pPr>
      <w:r>
        <w:rPr>
          <w:rFonts w:ascii="Calibri" w:hAnsi="Calibri" w:cs="Calibri"/>
          <w:i/>
          <w:iCs/>
          <w:color w:val="000000"/>
          <w:sz w:val="22"/>
          <w:szCs w:val="22"/>
          <w:lang w:val="en-US"/>
        </w:rPr>
        <w:t xml:space="preserve">Police in Poland does not conduct specific statistics concerning the gender-related killings of women. At the same time, the statistical data covering the period from 2018 to 2020 indicate that in 2018, there were 536 homicides in Poland. In 182 cases, the victim was woman and 3 of them were committed with sexual motivation. In 2019, there were 531 homicides in Poland. In 163 cases, the victim was woman and 4 of them were committed with sexual motivation.  In 2020 the number of crimes increased and there were </w:t>
      </w:r>
      <w:r>
        <w:rPr>
          <w:rFonts w:ascii="Calibri" w:hAnsi="Calibri" w:cs="Calibri"/>
          <w:i/>
          <w:iCs/>
          <w:color w:val="000000"/>
          <w:sz w:val="22"/>
          <w:szCs w:val="22"/>
          <w:lang w:val="en-GB"/>
        </w:rPr>
        <w:t xml:space="preserve">645 </w:t>
      </w:r>
      <w:r>
        <w:rPr>
          <w:rFonts w:ascii="Calibri" w:hAnsi="Calibri" w:cs="Calibri"/>
          <w:i/>
          <w:iCs/>
          <w:color w:val="000000"/>
          <w:sz w:val="22"/>
          <w:szCs w:val="22"/>
          <w:lang w:val="en-US"/>
        </w:rPr>
        <w:t xml:space="preserve">homicides committed in Poland. In 212 of them, the victim was woman and 10 were committed with sexual  motivation. </w:t>
      </w:r>
    </w:p>
    <w:p w:rsidR="005945FE" w:rsidRDefault="005945FE"/>
    <w:sectPr w:rsidR="005945FE" w:rsidSect="007D7EC5">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C5"/>
    <w:rsid w:val="005945FE"/>
    <w:rsid w:val="007D7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CF0D6-B5D5-43F3-BD7C-C834933F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ordsection1">
    <w:name w:val="wordsection1"/>
    <w:basedOn w:val="Normalny"/>
    <w:uiPriority w:val="99"/>
    <w:rsid w:val="007D7EC5"/>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A7B18A-9AF4-4029-88D2-753FF8BA9654}"/>
</file>

<file path=customXml/itemProps2.xml><?xml version="1.0" encoding="utf-8"?>
<ds:datastoreItem xmlns:ds="http://schemas.openxmlformats.org/officeDocument/2006/customXml" ds:itemID="{C657427D-E180-4046-A34D-6C5056B2F385}"/>
</file>

<file path=customXml/itemProps3.xml><?xml version="1.0" encoding="utf-8"?>
<ds:datastoreItem xmlns:ds="http://schemas.openxmlformats.org/officeDocument/2006/customXml" ds:itemID="{585FD884-8802-45D5-AE5A-247620CC6093}"/>
</file>

<file path=docProps/app.xml><?xml version="1.0" encoding="utf-8"?>
<Properties xmlns="http://schemas.openxmlformats.org/officeDocument/2006/extended-properties" xmlns:vt="http://schemas.openxmlformats.org/officeDocument/2006/docPropsVTypes">
  <Template>Normal</Template>
  <TotalTime>0</TotalTime>
  <Pages>4</Pages>
  <Words>2410</Words>
  <Characters>14461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Czepulonis Aleksandra</dc:creator>
  <cp:keywords/>
  <dc:description/>
  <cp:lastModifiedBy>Czepulonis Aleksandra</cp:lastModifiedBy>
  <cp:revision>1</cp:revision>
  <dcterms:created xsi:type="dcterms:W3CDTF">2021-05-04T13:22:00Z</dcterms:created>
  <dcterms:modified xsi:type="dcterms:W3CDTF">2021-05-04T13:22:00Z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