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205B" w:rsidRPr="00B63120" w:rsidRDefault="00F2205B" w:rsidP="00F2205B">
      <w:pPr>
        <w:rPr>
          <w:rFonts w:ascii="Calibri" w:eastAsia="Calibri" w:hAnsi="Calibri" w:cs="Times New Roman"/>
          <w:sz w:val="26"/>
          <w:szCs w:val="26"/>
          <w:lang w:bidi="ar-TN"/>
        </w:rPr>
      </w:pPr>
      <w:bookmarkStart w:id="0" w:name="_GoBack"/>
      <w:bookmarkEnd w:id="0"/>
      <w:r w:rsidRPr="00B63120">
        <w:rPr>
          <w:rFonts w:ascii="Calibri" w:eastAsia="Calibri" w:hAnsi="Calibri" w:cs="Times New Roman"/>
          <w:b/>
          <w:bCs/>
          <w:sz w:val="28"/>
          <w:szCs w:val="28"/>
          <w:lang w:bidi="ar-TN"/>
        </w:rPr>
        <w:t>Question 1 :</w:t>
      </w:r>
      <w:r>
        <w:t xml:space="preserve"> </w:t>
      </w:r>
      <w:r w:rsidRPr="00AF38FC">
        <w:rPr>
          <w:rFonts w:ascii="Calibri" w:eastAsia="Calibri" w:hAnsi="Calibri" w:cs="Times New Roman"/>
          <w:b/>
          <w:bCs/>
          <w:sz w:val="26"/>
          <w:szCs w:val="26"/>
          <w:lang w:bidi="ar-TN"/>
        </w:rPr>
        <w:t xml:space="preserve">L’existence, ou l’état d’avancement de la création d’un observatoire de la création, </w:t>
      </w:r>
      <w:r w:rsidR="00422464" w:rsidRPr="00AF38FC">
        <w:rPr>
          <w:rFonts w:ascii="Calibri" w:eastAsia="Calibri" w:hAnsi="Calibri" w:cs="Times New Roman"/>
          <w:b/>
          <w:bCs/>
          <w:sz w:val="26"/>
          <w:szCs w:val="26"/>
          <w:lang w:bidi="ar-TN"/>
        </w:rPr>
        <w:t>d’un observatoire national</w:t>
      </w:r>
      <w:r w:rsidRPr="00AF38FC">
        <w:rPr>
          <w:rFonts w:ascii="Calibri" w:eastAsia="Calibri" w:hAnsi="Calibri" w:cs="Times New Roman"/>
          <w:b/>
          <w:bCs/>
          <w:sz w:val="26"/>
          <w:szCs w:val="26"/>
          <w:lang w:bidi="ar-TN"/>
        </w:rPr>
        <w:t xml:space="preserve"> sur le féminicide et/ou d’un observatoire sur la violence contre les femmes.</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Absence d’un observatoire national sur le féminicide par cont</w:t>
      </w:r>
      <w:r w:rsidR="00973F48">
        <w:rPr>
          <w:rFonts w:ascii="Calibri" w:eastAsia="Calibri" w:hAnsi="Calibri" w:cs="Times New Roman"/>
          <w:sz w:val="26"/>
          <w:szCs w:val="26"/>
          <w:lang w:bidi="ar-TN"/>
        </w:rPr>
        <w:t>r</w:t>
      </w:r>
      <w:r w:rsidRPr="00B63120">
        <w:rPr>
          <w:rFonts w:ascii="Calibri" w:eastAsia="Calibri" w:hAnsi="Calibri" w:cs="Times New Roman"/>
          <w:sz w:val="26"/>
          <w:szCs w:val="26"/>
          <w:lang w:bidi="ar-TN"/>
        </w:rPr>
        <w:t>e un observatoire national de lutte contre les violences faites aux femmes a été crée par le décret gouvernemental n°126 du 25 février 2020, il a pour mission de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Identifier les cas de violence faites aux femmes, et ce, à la lumière des rapports et informations collectés, tout en archivant ces cas ainsi que leurs incidences dans une base de données créée à cet effet ;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Assurer le suivi de l’exécution des législations et des politiques, évaluer leur efficacité et efficience dans l’élimination de la violence à l’égard des femmes, et publier des rapports à cet effet et proposer les réformes nécessaires ;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Effectuer les recherches scientifiques et sur terrain nécessaires concernant la violence</w:t>
      </w:r>
      <w:r w:rsidR="00AF38FC">
        <w:rPr>
          <w:rFonts w:ascii="Calibri" w:eastAsia="Calibri" w:hAnsi="Calibri" w:cs="Times New Roman"/>
          <w:sz w:val="26"/>
          <w:szCs w:val="26"/>
          <w:lang w:bidi="ar-TN"/>
        </w:rPr>
        <w:t xml:space="preserve"> </w:t>
      </w:r>
      <w:r w:rsidRPr="00B63120">
        <w:rPr>
          <w:rFonts w:ascii="Calibri" w:eastAsia="Calibri" w:hAnsi="Calibri" w:cs="Times New Roman"/>
          <w:sz w:val="26"/>
          <w:szCs w:val="26"/>
          <w:lang w:bidi="ar-TN"/>
        </w:rPr>
        <w:t xml:space="preserve">à l’égard des femmes afin d’évaluer les interventions requises et de traiter les formes de violences telles que prévues par la présente loi ;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Contribuer à l’élaboration des stratégies nationales, des mesures pratiques communes et sectorielles, et définir les principes directeurs de l’élimination de la violence à l’égard des femmes conformément à la présente loi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Assurer la coopération et la coordination avec les organisations de la société civile, les instances constitutionnelles et les autres organismes publics concernés par le suivi et le contrôle du respect des droits de l’Homme, en vue de développer et consolider le dispositif des droits et des libertés ; </w:t>
      </w:r>
    </w:p>
    <w:p w:rsidR="00F2205B" w:rsidRPr="00B63120" w:rsidRDefault="00F2205B" w:rsidP="00AF38FC">
      <w:pPr>
        <w:pStyle w:val="Paragraphedeliste"/>
        <w:numPr>
          <w:ilvl w:val="0"/>
          <w:numId w:val="5"/>
        </w:numPr>
        <w:spacing w:after="20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Emettre l’avis sur les programmes de formation et d’apprentissage, habiliter tous les intervenants dans le domaine des violences à l’égard des femmes, proposer les mécanismes opportuns pour les développer et assurer leur suivi ;</w:t>
      </w:r>
    </w:p>
    <w:p w:rsidR="00F2205B" w:rsidRPr="00B63120" w:rsidRDefault="00F2205B" w:rsidP="009874EB">
      <w:pPr>
        <w:spacing w:after="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L’Observatoire établit un rapport annuel sur son activité, comprenant notamment les statistiques sur les violences faites aux femmes, les conditions d’accueil, d’hébergement, de suivi, d’accompagnement et d’intégration des victimes des violences, les suites des ordonnances de protection, des actions et jugements y afférents, et les propositions et recommandations pour développer les mécanismes nationaux pour l’élimination des violences à l’égard des femmes.  </w:t>
      </w:r>
    </w:p>
    <w:p w:rsidR="00F2205B" w:rsidRPr="00B63120" w:rsidRDefault="00C167AF" w:rsidP="009874EB">
      <w:pPr>
        <w:spacing w:after="0" w:line="240" w:lineRule="auto"/>
        <w:jc w:val="both"/>
        <w:rPr>
          <w:rFonts w:ascii="Calibri" w:eastAsia="Calibri" w:hAnsi="Calibri" w:cs="Times New Roman"/>
          <w:sz w:val="26"/>
          <w:szCs w:val="26"/>
          <w:lang w:bidi="ar-TN"/>
        </w:rPr>
      </w:pPr>
      <w:r>
        <w:rPr>
          <w:rFonts w:ascii="Calibri" w:eastAsia="Calibri" w:hAnsi="Calibri" w:cs="Times New Roman"/>
          <w:sz w:val="26"/>
          <w:szCs w:val="26"/>
          <w:lang w:bidi="ar-TN"/>
        </w:rPr>
        <w:t>Le rapport est soumis au Président de la R</w:t>
      </w:r>
      <w:r w:rsidR="00F2205B" w:rsidRPr="00B63120">
        <w:rPr>
          <w:rFonts w:ascii="Calibri" w:eastAsia="Calibri" w:hAnsi="Calibri" w:cs="Times New Roman"/>
          <w:sz w:val="26"/>
          <w:szCs w:val="26"/>
          <w:lang w:bidi="ar-TN"/>
        </w:rPr>
        <w:t>épubli</w:t>
      </w:r>
      <w:r>
        <w:rPr>
          <w:rFonts w:ascii="Calibri" w:eastAsia="Calibri" w:hAnsi="Calibri" w:cs="Times New Roman"/>
          <w:sz w:val="26"/>
          <w:szCs w:val="26"/>
          <w:lang w:bidi="ar-TN"/>
        </w:rPr>
        <w:t>que, au Président de l’Assemblée des R</w:t>
      </w:r>
      <w:r w:rsidR="00F2205B" w:rsidRPr="00B63120">
        <w:rPr>
          <w:rFonts w:ascii="Calibri" w:eastAsia="Calibri" w:hAnsi="Calibri" w:cs="Times New Roman"/>
          <w:sz w:val="26"/>
          <w:szCs w:val="26"/>
          <w:lang w:bidi="ar-TN"/>
        </w:rPr>
        <w:t xml:space="preserve">eprésentants du peuple et au Chef du Gouvernement, au cours du premier trimestre de chaque année. Le dit rapport est rendu public.  </w:t>
      </w:r>
    </w:p>
    <w:p w:rsidR="00F2205B" w:rsidRPr="00B63120" w:rsidRDefault="00F2205B" w:rsidP="009874EB">
      <w:pPr>
        <w:spacing w:after="0" w:line="240" w:lineRule="auto"/>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L’Observatoire peut également émettre des communiqués sur ses activités et ses programmes. </w:t>
      </w:r>
    </w:p>
    <w:p w:rsidR="00F2205B" w:rsidRPr="00B63120" w:rsidRDefault="00F2205B" w:rsidP="00B63120">
      <w:pPr>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L’observatoire national ne dispose pas de données chiffrées ou études sur la question du féminicide.</w:t>
      </w:r>
    </w:p>
    <w:p w:rsidR="00F2205B" w:rsidRPr="003267BD" w:rsidRDefault="00F2205B" w:rsidP="00F2205B">
      <w:pPr>
        <w:spacing w:after="200" w:line="276" w:lineRule="auto"/>
        <w:jc w:val="both"/>
        <w:rPr>
          <w:sz w:val="2"/>
          <w:szCs w:val="2"/>
        </w:rPr>
      </w:pPr>
    </w:p>
    <w:p w:rsidR="00713E29" w:rsidRDefault="00713E29" w:rsidP="009874EB">
      <w:pPr>
        <w:autoSpaceDE w:val="0"/>
        <w:autoSpaceDN w:val="0"/>
        <w:adjustRightInd w:val="0"/>
        <w:spacing w:after="0" w:line="240" w:lineRule="auto"/>
        <w:jc w:val="both"/>
        <w:rPr>
          <w:rFonts w:ascii="Calibri" w:eastAsia="Calibri" w:hAnsi="Calibri" w:cs="Times New Roman"/>
          <w:b/>
          <w:bCs/>
          <w:sz w:val="28"/>
          <w:szCs w:val="28"/>
          <w:lang w:bidi="ar-TN"/>
        </w:rPr>
      </w:pPr>
    </w:p>
    <w:p w:rsidR="009874EB" w:rsidRDefault="00F2205B" w:rsidP="009874EB">
      <w:pPr>
        <w:autoSpaceDE w:val="0"/>
        <w:autoSpaceDN w:val="0"/>
        <w:adjustRightInd w:val="0"/>
        <w:spacing w:after="0" w:line="240" w:lineRule="auto"/>
        <w:jc w:val="both"/>
        <w:rPr>
          <w:rFonts w:ascii="Calibri" w:eastAsia="Calibri" w:hAnsi="Calibri" w:cs="Times New Roman"/>
          <w:b/>
          <w:bCs/>
          <w:sz w:val="28"/>
          <w:szCs w:val="28"/>
          <w:lang w:bidi="ar-TN"/>
        </w:rPr>
      </w:pPr>
      <w:r w:rsidRPr="00047185">
        <w:rPr>
          <w:rFonts w:ascii="Calibri" w:eastAsia="Calibri" w:hAnsi="Calibri" w:cs="Times New Roman"/>
          <w:b/>
          <w:bCs/>
          <w:sz w:val="28"/>
          <w:szCs w:val="28"/>
          <w:lang w:bidi="ar-TN"/>
        </w:rPr>
        <w:t>Question 2</w:t>
      </w:r>
      <w:r w:rsidR="009874EB">
        <w:rPr>
          <w:rFonts w:ascii="Calibri" w:eastAsia="Calibri" w:hAnsi="Calibri" w:cs="Times New Roman"/>
          <w:b/>
          <w:bCs/>
          <w:sz w:val="28"/>
          <w:szCs w:val="28"/>
          <w:lang w:bidi="ar-TN"/>
        </w:rPr>
        <w:t xml:space="preserve"> : </w:t>
      </w:r>
      <w:r w:rsidR="009874EB" w:rsidRPr="009874EB">
        <w:rPr>
          <w:rFonts w:ascii="Calibri" w:eastAsia="Calibri" w:hAnsi="Calibri" w:cs="Times New Roman"/>
          <w:b/>
          <w:bCs/>
          <w:sz w:val="28"/>
          <w:szCs w:val="28"/>
          <w:lang w:bidi="ar-TN"/>
        </w:rPr>
        <w:t xml:space="preserve">Sur d’autres mesures y compris des recherches et études entreprises pour analyser </w:t>
      </w:r>
      <w:r w:rsidR="009874EB">
        <w:rPr>
          <w:rFonts w:ascii="Calibri" w:eastAsia="Calibri" w:hAnsi="Calibri" w:cs="Times New Roman"/>
          <w:b/>
          <w:bCs/>
          <w:sz w:val="28"/>
          <w:szCs w:val="28"/>
          <w:lang w:bidi="ar-TN"/>
        </w:rPr>
        <w:t xml:space="preserve">les </w:t>
      </w:r>
      <w:r w:rsidR="009874EB" w:rsidRPr="009874EB">
        <w:rPr>
          <w:rFonts w:ascii="Calibri" w:eastAsia="Calibri" w:hAnsi="Calibri" w:cs="Times New Roman"/>
          <w:b/>
          <w:bCs/>
          <w:sz w:val="28"/>
          <w:szCs w:val="28"/>
          <w:lang w:bidi="ar-TN"/>
        </w:rPr>
        <w:t>féminicide ou les meurtres sexistes de</w:t>
      </w:r>
      <w:r w:rsidR="009874EB">
        <w:rPr>
          <w:rFonts w:ascii="Calibri" w:eastAsia="Calibri" w:hAnsi="Calibri" w:cs="Times New Roman"/>
          <w:b/>
          <w:bCs/>
          <w:sz w:val="28"/>
          <w:szCs w:val="28"/>
          <w:lang w:bidi="ar-TN"/>
        </w:rPr>
        <w:t xml:space="preserve"> femmes et les filles, ou les homicides de femmes par des partenaires intimes ou des </w:t>
      </w:r>
      <w:r w:rsidR="009874EB">
        <w:rPr>
          <w:rFonts w:ascii="Calibri" w:eastAsia="Calibri" w:hAnsi="Calibri" w:cs="Times New Roman"/>
          <w:b/>
          <w:bCs/>
          <w:sz w:val="28"/>
          <w:szCs w:val="28"/>
          <w:lang w:bidi="ar-TN"/>
        </w:rPr>
        <w:lastRenderedPageBreak/>
        <w:t xml:space="preserve">membres de la famille et autres </w:t>
      </w:r>
      <w:r w:rsidR="009874EB" w:rsidRPr="009874EB">
        <w:rPr>
          <w:rFonts w:ascii="Calibri" w:eastAsia="Calibri" w:hAnsi="Calibri" w:cs="Times New Roman"/>
          <w:b/>
          <w:bCs/>
          <w:sz w:val="28"/>
          <w:szCs w:val="28"/>
          <w:lang w:bidi="ar-TN"/>
        </w:rPr>
        <w:t>féminicide</w:t>
      </w:r>
      <w:r w:rsidR="009874EB">
        <w:rPr>
          <w:rFonts w:ascii="Calibri" w:eastAsia="Calibri" w:hAnsi="Calibri" w:cs="Times New Roman"/>
          <w:b/>
          <w:bCs/>
          <w:sz w:val="28"/>
          <w:szCs w:val="28"/>
          <w:lang w:bidi="ar-TN"/>
        </w:rPr>
        <w:t>. Si disponible, veuillez partager une copie de ces études.</w:t>
      </w:r>
    </w:p>
    <w:p w:rsidR="00713E29" w:rsidRPr="00713E29" w:rsidRDefault="00713E29" w:rsidP="009874EB">
      <w:pPr>
        <w:autoSpaceDE w:val="0"/>
        <w:autoSpaceDN w:val="0"/>
        <w:adjustRightInd w:val="0"/>
        <w:spacing w:after="0" w:line="240" w:lineRule="auto"/>
        <w:jc w:val="both"/>
        <w:rPr>
          <w:rFonts w:ascii="Calibri" w:eastAsia="Calibri" w:hAnsi="Calibri" w:cs="Times New Roman"/>
          <w:b/>
          <w:bCs/>
          <w:sz w:val="14"/>
          <w:szCs w:val="14"/>
          <w:lang w:bidi="ar-TN"/>
        </w:rPr>
      </w:pPr>
    </w:p>
    <w:p w:rsidR="00713E29" w:rsidRPr="009874EB" w:rsidRDefault="00713E29" w:rsidP="00713E29">
      <w:pPr>
        <w:rPr>
          <w:rFonts w:ascii="Calibri" w:eastAsia="Calibri" w:hAnsi="Calibri" w:cs="Times New Roman"/>
          <w:sz w:val="26"/>
          <w:szCs w:val="26"/>
          <w:lang w:bidi="ar-TN"/>
        </w:rPr>
      </w:pPr>
      <w:r w:rsidRPr="009874EB">
        <w:rPr>
          <w:rFonts w:ascii="Calibri" w:eastAsia="Calibri" w:hAnsi="Calibri" w:cs="Times New Roman"/>
          <w:sz w:val="26"/>
          <w:szCs w:val="26"/>
          <w:lang w:bidi="ar-TN"/>
        </w:rPr>
        <w:t>Il n’y</w:t>
      </w:r>
      <w:r w:rsidR="00C167AF">
        <w:rPr>
          <w:rFonts w:ascii="Calibri" w:eastAsia="Calibri" w:hAnsi="Calibri" w:cs="Times New Roman"/>
          <w:sz w:val="26"/>
          <w:szCs w:val="26"/>
          <w:lang w:bidi="ar-TN"/>
        </w:rPr>
        <w:t xml:space="preserve"> a</w:t>
      </w:r>
      <w:r w:rsidRPr="009874EB">
        <w:rPr>
          <w:rFonts w:ascii="Calibri" w:eastAsia="Calibri" w:hAnsi="Calibri" w:cs="Times New Roman"/>
          <w:sz w:val="26"/>
          <w:szCs w:val="26"/>
          <w:lang w:bidi="ar-TN"/>
        </w:rPr>
        <w:t xml:space="preserve"> pas </w:t>
      </w:r>
      <w:r>
        <w:rPr>
          <w:rFonts w:ascii="Calibri" w:eastAsia="Calibri" w:hAnsi="Calibri" w:cs="Times New Roman"/>
          <w:sz w:val="26"/>
          <w:szCs w:val="26"/>
          <w:lang w:bidi="ar-TN"/>
        </w:rPr>
        <w:t>pour l’instant</w:t>
      </w:r>
      <w:r w:rsidR="00C167AF">
        <w:rPr>
          <w:rFonts w:ascii="Calibri" w:eastAsia="Calibri" w:hAnsi="Calibri" w:cs="Times New Roman"/>
          <w:sz w:val="26"/>
          <w:szCs w:val="26"/>
          <w:lang w:bidi="ar-TN"/>
        </w:rPr>
        <w:t xml:space="preserve"> d’</w:t>
      </w:r>
      <w:r w:rsidRPr="009874EB">
        <w:rPr>
          <w:rFonts w:ascii="Calibri" w:eastAsia="Calibri" w:hAnsi="Calibri" w:cs="Times New Roman"/>
          <w:sz w:val="26"/>
          <w:szCs w:val="26"/>
          <w:lang w:bidi="ar-TN"/>
        </w:rPr>
        <w:t>étud</w:t>
      </w:r>
      <w:r w:rsidR="00C167AF">
        <w:rPr>
          <w:rFonts w:ascii="Calibri" w:eastAsia="Calibri" w:hAnsi="Calibri" w:cs="Times New Roman"/>
          <w:sz w:val="26"/>
          <w:szCs w:val="26"/>
          <w:lang w:bidi="ar-TN"/>
        </w:rPr>
        <w:t>es entreprises pour analyser le</w:t>
      </w:r>
      <w:r w:rsidRPr="009874EB">
        <w:rPr>
          <w:rFonts w:ascii="Calibri" w:eastAsia="Calibri" w:hAnsi="Calibri" w:cs="Times New Roman"/>
          <w:sz w:val="26"/>
          <w:szCs w:val="26"/>
          <w:lang w:bidi="ar-TN"/>
        </w:rPr>
        <w:t xml:space="preserve"> féminicide mais des mesures peuvent être </w:t>
      </w:r>
      <w:r>
        <w:rPr>
          <w:rFonts w:ascii="Calibri" w:eastAsia="Calibri" w:hAnsi="Calibri" w:cs="Times New Roman"/>
          <w:sz w:val="26"/>
          <w:szCs w:val="26"/>
          <w:lang w:bidi="ar-TN"/>
        </w:rPr>
        <w:t>proposées</w:t>
      </w:r>
      <w:r w:rsidRPr="009874EB">
        <w:rPr>
          <w:rFonts w:ascii="Calibri" w:eastAsia="Calibri" w:hAnsi="Calibri" w:cs="Times New Roman"/>
          <w:sz w:val="26"/>
          <w:szCs w:val="26"/>
          <w:lang w:bidi="ar-TN"/>
        </w:rPr>
        <w:t xml:space="preserve"> concernant </w:t>
      </w:r>
      <w:r>
        <w:rPr>
          <w:rFonts w:ascii="Calibri" w:eastAsia="Calibri" w:hAnsi="Calibri" w:cs="Times New Roman"/>
          <w:sz w:val="26"/>
          <w:szCs w:val="26"/>
          <w:lang w:bidi="ar-TN"/>
        </w:rPr>
        <w:t>surtout :</w:t>
      </w:r>
    </w:p>
    <w:p w:rsidR="00F2205B" w:rsidRPr="00047185" w:rsidRDefault="00F2205B" w:rsidP="00F2205B">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Juridicisation  du terme féminicide et en faire une qualification pénale.</w:t>
      </w:r>
    </w:p>
    <w:p w:rsidR="00F2205B" w:rsidRPr="00047185" w:rsidRDefault="00F2205B" w:rsidP="00954A5C">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Abolir les termes crime</w:t>
      </w:r>
      <w:r w:rsidR="00954A5C">
        <w:rPr>
          <w:rFonts w:ascii="Calibri" w:eastAsia="Calibri" w:hAnsi="Calibri" w:cs="Times New Roman"/>
          <w:sz w:val="26"/>
          <w:szCs w:val="26"/>
          <w:lang w:bidi="ar-TN"/>
        </w:rPr>
        <w:t xml:space="preserve"> </w:t>
      </w:r>
      <w:r w:rsidRPr="00047185">
        <w:rPr>
          <w:rFonts w:ascii="Calibri" w:eastAsia="Calibri" w:hAnsi="Calibri" w:cs="Times New Roman"/>
          <w:sz w:val="26"/>
          <w:szCs w:val="26"/>
          <w:lang w:bidi="ar-TN"/>
        </w:rPr>
        <w:t>d’honneur</w:t>
      </w:r>
      <w:r w:rsidR="00954A5C">
        <w:rPr>
          <w:rFonts w:ascii="Calibri" w:eastAsia="Calibri" w:hAnsi="Calibri" w:cs="Times New Roman"/>
          <w:sz w:val="26"/>
          <w:szCs w:val="26"/>
          <w:lang w:bidi="ar-TN"/>
        </w:rPr>
        <w:t xml:space="preserve">, </w:t>
      </w:r>
      <w:r w:rsidRPr="00047185">
        <w:rPr>
          <w:rFonts w:ascii="Calibri" w:eastAsia="Calibri" w:hAnsi="Calibri" w:cs="Times New Roman"/>
          <w:sz w:val="26"/>
          <w:szCs w:val="26"/>
          <w:lang w:bidi="ar-TN"/>
        </w:rPr>
        <w:t>crime passionnel du langage médiatique.</w:t>
      </w:r>
    </w:p>
    <w:p w:rsidR="00F2205B" w:rsidRPr="00047185" w:rsidRDefault="00C167AF" w:rsidP="00F2205B">
      <w:pPr>
        <w:pStyle w:val="Paragraphedeliste"/>
        <w:numPr>
          <w:ilvl w:val="0"/>
          <w:numId w:val="5"/>
        </w:numPr>
        <w:spacing w:after="200" w:line="240" w:lineRule="auto"/>
        <w:jc w:val="both"/>
        <w:rPr>
          <w:rFonts w:ascii="Calibri" w:eastAsia="Calibri" w:hAnsi="Calibri" w:cs="Times New Roman"/>
          <w:sz w:val="26"/>
          <w:szCs w:val="26"/>
          <w:lang w:bidi="ar-TN"/>
        </w:rPr>
      </w:pPr>
      <w:r>
        <w:rPr>
          <w:rFonts w:ascii="Calibri" w:eastAsia="Calibri" w:hAnsi="Calibri" w:cs="Times New Roman"/>
          <w:sz w:val="26"/>
          <w:szCs w:val="26"/>
          <w:lang w:bidi="ar-TN"/>
        </w:rPr>
        <w:t>Faire des ca</w:t>
      </w:r>
      <w:r w:rsidR="00F2205B" w:rsidRPr="00047185">
        <w:rPr>
          <w:rFonts w:ascii="Calibri" w:eastAsia="Calibri" w:hAnsi="Calibri" w:cs="Times New Roman"/>
          <w:sz w:val="26"/>
          <w:szCs w:val="26"/>
          <w:lang w:bidi="ar-TN"/>
        </w:rPr>
        <w:t>mpagnes de sensibilisation autour des meurtres sexistes des femmes (films, vidéo, témoignage…).</w:t>
      </w:r>
    </w:p>
    <w:p w:rsidR="00F2205B" w:rsidRPr="00047185" w:rsidRDefault="00F2205B" w:rsidP="00F2205B">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Contrôle accru en cas de détention d’arme</w:t>
      </w:r>
      <w:r w:rsidR="00954A5C">
        <w:rPr>
          <w:rFonts w:ascii="Calibri" w:eastAsia="Calibri" w:hAnsi="Calibri" w:cs="Times New Roman"/>
          <w:sz w:val="26"/>
          <w:szCs w:val="26"/>
          <w:lang w:bidi="ar-TN"/>
        </w:rPr>
        <w:t>s</w:t>
      </w:r>
      <w:r w:rsidRPr="00047185">
        <w:rPr>
          <w:rFonts w:ascii="Calibri" w:eastAsia="Calibri" w:hAnsi="Calibri" w:cs="Times New Roman"/>
          <w:sz w:val="26"/>
          <w:szCs w:val="26"/>
          <w:lang w:bidi="ar-TN"/>
        </w:rPr>
        <w:t xml:space="preserve"> en  particulier lorsque des violences contre les femmes ont été signalées.</w:t>
      </w:r>
    </w:p>
    <w:p w:rsidR="00F2205B" w:rsidRPr="00047185" w:rsidRDefault="00C167AF" w:rsidP="00954A5C">
      <w:pPr>
        <w:pStyle w:val="Paragraphedeliste"/>
        <w:numPr>
          <w:ilvl w:val="0"/>
          <w:numId w:val="5"/>
        </w:numPr>
        <w:spacing w:after="200" w:line="240" w:lineRule="auto"/>
        <w:jc w:val="both"/>
        <w:rPr>
          <w:rFonts w:ascii="Calibri" w:eastAsia="Calibri" w:hAnsi="Calibri" w:cs="Times New Roman"/>
          <w:sz w:val="26"/>
          <w:szCs w:val="26"/>
          <w:lang w:bidi="ar-TN"/>
        </w:rPr>
      </w:pPr>
      <w:r>
        <w:rPr>
          <w:rFonts w:ascii="Calibri" w:eastAsia="Calibri" w:hAnsi="Calibri" w:cs="Times New Roman"/>
          <w:sz w:val="26"/>
          <w:szCs w:val="26"/>
          <w:lang w:bidi="ar-TN"/>
        </w:rPr>
        <w:t>Mener des  ca</w:t>
      </w:r>
      <w:r w:rsidR="00F2205B" w:rsidRPr="00047185">
        <w:rPr>
          <w:rFonts w:ascii="Calibri" w:eastAsia="Calibri" w:hAnsi="Calibri" w:cs="Times New Roman"/>
          <w:sz w:val="26"/>
          <w:szCs w:val="26"/>
          <w:lang w:bidi="ar-TN"/>
        </w:rPr>
        <w:t>mpagnes d</w:t>
      </w:r>
      <w:r w:rsidR="00954A5C">
        <w:rPr>
          <w:rFonts w:ascii="Calibri" w:eastAsia="Calibri" w:hAnsi="Calibri" w:cs="Times New Roman"/>
          <w:sz w:val="26"/>
          <w:szCs w:val="26"/>
          <w:lang w:bidi="ar-TN"/>
        </w:rPr>
        <w:t xml:space="preserve">e sensibilisation aux risques qu’implique </w:t>
      </w:r>
      <w:r w:rsidR="00F2205B" w:rsidRPr="00047185">
        <w:rPr>
          <w:rFonts w:ascii="Calibri" w:eastAsia="Calibri" w:hAnsi="Calibri" w:cs="Times New Roman"/>
          <w:sz w:val="26"/>
          <w:szCs w:val="26"/>
          <w:lang w:bidi="ar-TN"/>
        </w:rPr>
        <w:t xml:space="preserve">la </w:t>
      </w:r>
      <w:r w:rsidR="00954A5C">
        <w:rPr>
          <w:rFonts w:ascii="Calibri" w:eastAsia="Calibri" w:hAnsi="Calibri" w:cs="Times New Roman"/>
          <w:sz w:val="26"/>
          <w:szCs w:val="26"/>
          <w:lang w:bidi="ar-TN"/>
        </w:rPr>
        <w:t>proximité d’arme</w:t>
      </w:r>
      <w:r w:rsidR="00F2205B">
        <w:rPr>
          <w:rFonts w:ascii="Calibri" w:eastAsia="Calibri" w:hAnsi="Calibri" w:cs="Times New Roman"/>
          <w:sz w:val="26"/>
          <w:szCs w:val="26"/>
          <w:lang w:bidi="ar-TN"/>
        </w:rPr>
        <w:t xml:space="preserve"> à feu </w:t>
      </w:r>
      <w:r w:rsidR="00973F48">
        <w:rPr>
          <w:rFonts w:ascii="Calibri" w:eastAsia="Calibri" w:hAnsi="Calibri" w:cs="Times New Roman"/>
          <w:sz w:val="26"/>
          <w:szCs w:val="26"/>
          <w:lang w:bidi="ar-TN"/>
        </w:rPr>
        <w:t>o</w:t>
      </w:r>
      <w:r w:rsidR="00954A5C">
        <w:rPr>
          <w:rFonts w:ascii="Calibri" w:eastAsia="Calibri" w:hAnsi="Calibri" w:cs="Times New Roman"/>
          <w:sz w:val="26"/>
          <w:szCs w:val="26"/>
          <w:lang w:bidi="ar-TN"/>
        </w:rPr>
        <w:t>u tout</w:t>
      </w:r>
      <w:r w:rsidR="00973F48">
        <w:rPr>
          <w:rFonts w:ascii="Calibri" w:eastAsia="Calibri" w:hAnsi="Calibri" w:cs="Times New Roman"/>
          <w:sz w:val="26"/>
          <w:szCs w:val="26"/>
          <w:lang w:bidi="ar-TN"/>
        </w:rPr>
        <w:t>e</w:t>
      </w:r>
      <w:r w:rsidR="00F2205B">
        <w:rPr>
          <w:rFonts w:ascii="Calibri" w:eastAsia="Calibri" w:hAnsi="Calibri" w:cs="Times New Roman"/>
          <w:sz w:val="26"/>
          <w:szCs w:val="26"/>
          <w:lang w:bidi="ar-TN"/>
        </w:rPr>
        <w:t xml:space="preserve"> </w:t>
      </w:r>
      <w:r w:rsidR="00954A5C">
        <w:rPr>
          <w:rFonts w:ascii="Calibri" w:eastAsia="Calibri" w:hAnsi="Calibri" w:cs="Times New Roman"/>
          <w:sz w:val="26"/>
          <w:szCs w:val="26"/>
          <w:lang w:bidi="ar-TN"/>
        </w:rPr>
        <w:t>autre arme dans le cadre de dispute</w:t>
      </w:r>
      <w:r w:rsidR="00F2205B" w:rsidRPr="00047185">
        <w:rPr>
          <w:rFonts w:ascii="Calibri" w:eastAsia="Calibri" w:hAnsi="Calibri" w:cs="Times New Roman"/>
          <w:sz w:val="26"/>
          <w:szCs w:val="26"/>
          <w:lang w:bidi="ar-TN"/>
        </w:rPr>
        <w:t>s conjugales.</w:t>
      </w:r>
    </w:p>
    <w:p w:rsidR="00F2205B" w:rsidRPr="00047185" w:rsidRDefault="00F2205B" w:rsidP="00954A5C">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 xml:space="preserve">Encourager le signalement des cas de violence </w:t>
      </w:r>
      <w:r w:rsidR="00954A5C" w:rsidRPr="00047185">
        <w:rPr>
          <w:rFonts w:ascii="Calibri" w:eastAsia="Calibri" w:hAnsi="Calibri" w:cs="Times New Roman"/>
          <w:sz w:val="26"/>
          <w:szCs w:val="26"/>
          <w:lang w:bidi="ar-TN"/>
        </w:rPr>
        <w:t>susceptible</w:t>
      </w:r>
      <w:r w:rsidRPr="00047185">
        <w:rPr>
          <w:rFonts w:ascii="Calibri" w:eastAsia="Calibri" w:hAnsi="Calibri" w:cs="Times New Roman"/>
          <w:sz w:val="26"/>
          <w:szCs w:val="26"/>
          <w:lang w:bidi="ar-TN"/>
        </w:rPr>
        <w:t xml:space="preserve">  de conduire au </w:t>
      </w:r>
      <w:r w:rsidR="00954A5C">
        <w:rPr>
          <w:rFonts w:ascii="Calibri" w:eastAsia="Calibri" w:hAnsi="Calibri" w:cs="Times New Roman"/>
          <w:sz w:val="26"/>
          <w:szCs w:val="26"/>
          <w:lang w:bidi="ar-TN"/>
        </w:rPr>
        <w:t>meurtre</w:t>
      </w:r>
      <w:r w:rsidRPr="00047185">
        <w:rPr>
          <w:rFonts w:ascii="Calibri" w:eastAsia="Calibri" w:hAnsi="Calibri" w:cs="Times New Roman"/>
          <w:sz w:val="26"/>
          <w:szCs w:val="26"/>
          <w:lang w:bidi="ar-TN"/>
        </w:rPr>
        <w:t xml:space="preserve"> sexiste de</w:t>
      </w:r>
      <w:r w:rsidR="00954A5C">
        <w:rPr>
          <w:rFonts w:ascii="Calibri" w:eastAsia="Calibri" w:hAnsi="Calibri" w:cs="Times New Roman"/>
          <w:sz w:val="26"/>
          <w:szCs w:val="26"/>
          <w:lang w:bidi="ar-TN"/>
        </w:rPr>
        <w:t>s</w:t>
      </w:r>
      <w:r w:rsidRPr="00047185">
        <w:rPr>
          <w:rFonts w:ascii="Calibri" w:eastAsia="Calibri" w:hAnsi="Calibri" w:cs="Times New Roman"/>
          <w:sz w:val="26"/>
          <w:szCs w:val="26"/>
          <w:lang w:bidi="ar-TN"/>
        </w:rPr>
        <w:t xml:space="preserve"> femmes.</w:t>
      </w:r>
    </w:p>
    <w:p w:rsidR="00F2205B" w:rsidRPr="00047185" w:rsidRDefault="00F2205B" w:rsidP="00954A5C">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 xml:space="preserve">Améliorer l’éclairage des rues et des passages souterrains  et augmenter  la fréquence des patrouilles de police dans les zones  </w:t>
      </w:r>
      <w:r w:rsidR="00954A5C">
        <w:rPr>
          <w:rFonts w:ascii="Calibri" w:eastAsia="Calibri" w:hAnsi="Calibri" w:cs="Times New Roman"/>
          <w:sz w:val="26"/>
          <w:szCs w:val="26"/>
          <w:lang w:bidi="ar-TN"/>
        </w:rPr>
        <w:t>à</w:t>
      </w:r>
      <w:r w:rsidRPr="00047185">
        <w:rPr>
          <w:rFonts w:ascii="Calibri" w:eastAsia="Calibri" w:hAnsi="Calibri" w:cs="Times New Roman"/>
          <w:sz w:val="26"/>
          <w:szCs w:val="26"/>
          <w:lang w:bidi="ar-TN"/>
        </w:rPr>
        <w:t xml:space="preserve"> risque.</w:t>
      </w:r>
    </w:p>
    <w:p w:rsidR="00F2205B" w:rsidRDefault="00F2205B" w:rsidP="00954A5C">
      <w:pPr>
        <w:pStyle w:val="Paragraphedeliste"/>
        <w:numPr>
          <w:ilvl w:val="0"/>
          <w:numId w:val="5"/>
        </w:numPr>
        <w:spacing w:after="200" w:line="240" w:lineRule="auto"/>
        <w:jc w:val="both"/>
        <w:rPr>
          <w:rFonts w:ascii="Calibri" w:eastAsia="Calibri" w:hAnsi="Calibri" w:cs="Times New Roman"/>
          <w:sz w:val="26"/>
          <w:szCs w:val="26"/>
          <w:lang w:bidi="ar-TN"/>
        </w:rPr>
      </w:pPr>
      <w:r w:rsidRPr="00047185">
        <w:rPr>
          <w:rFonts w:ascii="Calibri" w:eastAsia="Calibri" w:hAnsi="Calibri" w:cs="Times New Roman"/>
          <w:sz w:val="26"/>
          <w:szCs w:val="26"/>
          <w:lang w:bidi="ar-TN"/>
        </w:rPr>
        <w:t xml:space="preserve">L’exécution </w:t>
      </w:r>
      <w:r w:rsidR="00954A5C">
        <w:rPr>
          <w:rFonts w:ascii="Calibri" w:eastAsia="Calibri" w:hAnsi="Calibri" w:cs="Times New Roman"/>
          <w:sz w:val="26"/>
          <w:szCs w:val="26"/>
          <w:lang w:bidi="ar-TN"/>
        </w:rPr>
        <w:t>sans</w:t>
      </w:r>
      <w:r w:rsidRPr="00047185">
        <w:rPr>
          <w:rFonts w:ascii="Calibri" w:eastAsia="Calibri" w:hAnsi="Calibri" w:cs="Times New Roman"/>
          <w:sz w:val="26"/>
          <w:szCs w:val="26"/>
          <w:lang w:bidi="ar-TN"/>
        </w:rPr>
        <w:t xml:space="preserve"> re</w:t>
      </w:r>
      <w:r w:rsidR="00311D61">
        <w:rPr>
          <w:rFonts w:ascii="Calibri" w:eastAsia="Calibri" w:hAnsi="Calibri" w:cs="Times New Roman"/>
          <w:sz w:val="26"/>
          <w:szCs w:val="26"/>
          <w:lang w:bidi="ar-TN"/>
        </w:rPr>
        <w:t>tard injustifié</w:t>
      </w:r>
      <w:r w:rsidR="00C167AF">
        <w:rPr>
          <w:rFonts w:ascii="Calibri" w:eastAsia="Calibri" w:hAnsi="Calibri" w:cs="Times New Roman"/>
          <w:sz w:val="26"/>
          <w:szCs w:val="26"/>
          <w:lang w:bidi="ar-TN"/>
        </w:rPr>
        <w:t>e</w:t>
      </w:r>
      <w:r w:rsidR="00311D61">
        <w:rPr>
          <w:rFonts w:ascii="Calibri" w:eastAsia="Calibri" w:hAnsi="Calibri" w:cs="Times New Roman"/>
          <w:sz w:val="26"/>
          <w:szCs w:val="26"/>
          <w:lang w:bidi="ar-TN"/>
        </w:rPr>
        <w:t xml:space="preserve"> des ordonnances</w:t>
      </w:r>
      <w:r w:rsidRPr="00047185">
        <w:rPr>
          <w:rFonts w:ascii="Calibri" w:eastAsia="Calibri" w:hAnsi="Calibri" w:cs="Times New Roman"/>
          <w:sz w:val="26"/>
          <w:szCs w:val="26"/>
          <w:lang w:bidi="ar-TN"/>
        </w:rPr>
        <w:t xml:space="preserve"> </w:t>
      </w:r>
      <w:r w:rsidR="00954A5C">
        <w:rPr>
          <w:rFonts w:ascii="Calibri" w:eastAsia="Calibri" w:hAnsi="Calibri" w:cs="Times New Roman"/>
          <w:sz w:val="26"/>
          <w:szCs w:val="26"/>
          <w:lang w:bidi="ar-TN"/>
        </w:rPr>
        <w:t>d’</w:t>
      </w:r>
      <w:r w:rsidR="00C167AF">
        <w:rPr>
          <w:rFonts w:ascii="Calibri" w:eastAsia="Calibri" w:hAnsi="Calibri" w:cs="Times New Roman"/>
          <w:sz w:val="26"/>
          <w:szCs w:val="26"/>
          <w:lang w:bidi="ar-TN"/>
        </w:rPr>
        <w:t>éloignement</w:t>
      </w:r>
      <w:r w:rsidRPr="00047185">
        <w:rPr>
          <w:rFonts w:ascii="Calibri" w:eastAsia="Calibri" w:hAnsi="Calibri" w:cs="Times New Roman"/>
          <w:sz w:val="26"/>
          <w:szCs w:val="26"/>
          <w:lang w:bidi="ar-TN"/>
        </w:rPr>
        <w:t xml:space="preserve"> de l’agresseur.</w:t>
      </w:r>
    </w:p>
    <w:p w:rsidR="003267BD" w:rsidRPr="00EB6D21" w:rsidRDefault="003267BD" w:rsidP="003267BD">
      <w:pPr>
        <w:pStyle w:val="Paragraphedeliste"/>
        <w:spacing w:after="200" w:line="240" w:lineRule="auto"/>
        <w:ind w:left="1080"/>
        <w:jc w:val="both"/>
        <w:rPr>
          <w:rFonts w:ascii="Calibri" w:eastAsia="Calibri" w:hAnsi="Calibri" w:cs="Times New Roman"/>
          <w:sz w:val="2"/>
          <w:szCs w:val="2"/>
          <w:lang w:bidi="ar-TN"/>
        </w:rPr>
      </w:pPr>
    </w:p>
    <w:p w:rsidR="00F2205B" w:rsidRPr="00B00AA6" w:rsidRDefault="00F2205B" w:rsidP="00F2205B">
      <w:pPr>
        <w:jc w:val="both"/>
        <w:rPr>
          <w:rFonts w:ascii="Calibri" w:eastAsia="Calibri" w:hAnsi="Calibri" w:cs="Times New Roman"/>
          <w:b/>
          <w:bCs/>
          <w:sz w:val="26"/>
          <w:szCs w:val="26"/>
          <w:lang w:bidi="ar-TN"/>
        </w:rPr>
      </w:pPr>
      <w:r w:rsidRPr="00B63120">
        <w:rPr>
          <w:rFonts w:ascii="Calibri" w:eastAsia="Calibri" w:hAnsi="Calibri" w:cs="Times New Roman"/>
          <w:b/>
          <w:bCs/>
          <w:sz w:val="28"/>
          <w:szCs w:val="28"/>
          <w:lang w:bidi="ar-TN"/>
        </w:rPr>
        <w:t>Question 5 :</w:t>
      </w:r>
      <w:r>
        <w:rPr>
          <w:b/>
          <w:bCs/>
        </w:rPr>
        <w:t xml:space="preserve"> </w:t>
      </w:r>
      <w:r w:rsidRPr="00B00AA6">
        <w:rPr>
          <w:rFonts w:ascii="Calibri" w:eastAsia="Calibri" w:hAnsi="Calibri" w:cs="Times New Roman"/>
          <w:b/>
          <w:bCs/>
          <w:sz w:val="26"/>
          <w:szCs w:val="26"/>
          <w:lang w:bidi="ar-TN"/>
        </w:rPr>
        <w:t>les bonnes pratiques et les défis liés à la mise en œuvre d’une réponse fondée sur les données probantes en matière de prévention du féminicide.</w:t>
      </w:r>
    </w:p>
    <w:p w:rsidR="00F2205B" w:rsidRPr="00B63120" w:rsidRDefault="00F2205B" w:rsidP="00C167AF">
      <w:pPr>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Une coordination entre les différents secteurs d’intervention en matière de prévention des violences faites aux femmes est établie. Ce qui permet de prendre en charge plusieurs catégories et tranche d’âge. Des campagnes de sensibilisation </w:t>
      </w:r>
      <w:r w:rsidR="00C167AF">
        <w:rPr>
          <w:rFonts w:ascii="Calibri" w:eastAsia="Calibri" w:hAnsi="Calibri" w:cs="Times New Roman"/>
          <w:sz w:val="26"/>
          <w:szCs w:val="26"/>
          <w:lang w:bidi="ar-TN"/>
        </w:rPr>
        <w:t xml:space="preserve">du grand public </w:t>
      </w:r>
      <w:r w:rsidRPr="00B63120">
        <w:rPr>
          <w:rFonts w:ascii="Calibri" w:eastAsia="Calibri" w:hAnsi="Calibri" w:cs="Times New Roman"/>
          <w:sz w:val="26"/>
          <w:szCs w:val="26"/>
          <w:lang w:bidi="ar-TN"/>
        </w:rPr>
        <w:t xml:space="preserve">sur les luttes contre </w:t>
      </w:r>
      <w:r w:rsidR="00C167AF">
        <w:rPr>
          <w:rFonts w:ascii="Calibri" w:eastAsia="Calibri" w:hAnsi="Calibri" w:cs="Times New Roman"/>
          <w:sz w:val="26"/>
          <w:szCs w:val="26"/>
          <w:lang w:bidi="ar-TN"/>
        </w:rPr>
        <w:t xml:space="preserve">les violences faites aux femmes, </w:t>
      </w:r>
      <w:r w:rsidRPr="00B63120">
        <w:rPr>
          <w:rFonts w:ascii="Calibri" w:eastAsia="Calibri" w:hAnsi="Calibri" w:cs="Times New Roman"/>
          <w:sz w:val="26"/>
          <w:szCs w:val="26"/>
          <w:lang w:bidi="ar-TN"/>
        </w:rPr>
        <w:t xml:space="preserve">ont </w:t>
      </w:r>
      <w:r w:rsidR="00C167AF">
        <w:rPr>
          <w:rFonts w:ascii="Calibri" w:eastAsia="Calibri" w:hAnsi="Calibri" w:cs="Times New Roman"/>
          <w:sz w:val="26"/>
          <w:szCs w:val="26"/>
          <w:lang w:bidi="ar-TN"/>
        </w:rPr>
        <w:t xml:space="preserve">été menées </w:t>
      </w:r>
      <w:r w:rsidRPr="00B63120">
        <w:rPr>
          <w:rFonts w:ascii="Calibri" w:eastAsia="Calibri" w:hAnsi="Calibri" w:cs="Times New Roman"/>
          <w:sz w:val="26"/>
          <w:szCs w:val="26"/>
          <w:lang w:bidi="ar-TN"/>
        </w:rPr>
        <w:t>durant les 16 jours d’activisme.</w:t>
      </w:r>
    </w:p>
    <w:p w:rsidR="00F2205B" w:rsidRPr="00B63120" w:rsidRDefault="00C167AF" w:rsidP="00C167AF">
      <w:pPr>
        <w:jc w:val="both"/>
        <w:rPr>
          <w:rFonts w:ascii="Calibri" w:eastAsia="Calibri" w:hAnsi="Calibri" w:cs="Times New Roman"/>
          <w:sz w:val="26"/>
          <w:szCs w:val="26"/>
          <w:lang w:bidi="ar-TN"/>
        </w:rPr>
      </w:pPr>
      <w:r>
        <w:rPr>
          <w:rFonts w:ascii="Calibri" w:eastAsia="Calibri" w:hAnsi="Calibri" w:cs="Times New Roman"/>
          <w:sz w:val="26"/>
          <w:szCs w:val="26"/>
          <w:lang w:bidi="ar-TN"/>
        </w:rPr>
        <w:t xml:space="preserve">Il y </w:t>
      </w:r>
      <w:r w:rsidR="00F2205B" w:rsidRPr="00B63120">
        <w:rPr>
          <w:rFonts w:ascii="Calibri" w:eastAsia="Calibri" w:hAnsi="Calibri" w:cs="Times New Roman"/>
          <w:sz w:val="26"/>
          <w:szCs w:val="26"/>
          <w:lang w:bidi="ar-TN"/>
        </w:rPr>
        <w:t xml:space="preserve">a </w:t>
      </w:r>
      <w:r>
        <w:rPr>
          <w:rFonts w:ascii="Calibri" w:eastAsia="Calibri" w:hAnsi="Calibri" w:cs="Times New Roman"/>
          <w:sz w:val="26"/>
          <w:szCs w:val="26"/>
          <w:lang w:bidi="ar-TN"/>
        </w:rPr>
        <w:t>lieu de</w:t>
      </w:r>
      <w:r w:rsidR="00F2205B" w:rsidRPr="00B63120">
        <w:rPr>
          <w:rFonts w:ascii="Calibri" w:eastAsia="Calibri" w:hAnsi="Calibri" w:cs="Times New Roman"/>
          <w:sz w:val="26"/>
          <w:szCs w:val="26"/>
          <w:lang w:bidi="ar-TN"/>
        </w:rPr>
        <w:t xml:space="preserve"> signaler l’implication des jeunes dans le processus de lutte contre les violences faites aux femmes, notamment en matière de création artistique et d’innovation technologique. Des compétitions ont été lancées auprès des jeunes afin de les appeler à utiliser l’art de l’image pour dénoncer les violences faites aux femmes, et à utiliser les technologies numériques pour créer des solutions et des outils de protection des victimes.</w:t>
      </w:r>
    </w:p>
    <w:p w:rsidR="00F2205B" w:rsidRPr="00B63120" w:rsidRDefault="00F2205B" w:rsidP="00F2205B">
      <w:pPr>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 xml:space="preserve">Ce processus d’implication des équipes composées de jeunes talents parmi les filles et les garçons, est à double objectif, d’une part la création de nouveaux outils pour les signalements des violences et d’autre part la sensibilisation des jeunes à la question afin qu’ils soient des relais futurs dans cette quête vers les droits humains et la protection des victimes. </w:t>
      </w:r>
    </w:p>
    <w:p w:rsidR="00F2205B" w:rsidRPr="00AF38FC" w:rsidRDefault="00F2205B" w:rsidP="00F2205B">
      <w:pPr>
        <w:jc w:val="both"/>
        <w:rPr>
          <w:rFonts w:ascii="Calibri" w:eastAsia="Calibri" w:hAnsi="Calibri" w:cs="Times New Roman"/>
          <w:b/>
          <w:bCs/>
          <w:sz w:val="26"/>
          <w:szCs w:val="26"/>
          <w:lang w:bidi="ar-TN"/>
        </w:rPr>
      </w:pPr>
      <w:r w:rsidRPr="00B63120">
        <w:rPr>
          <w:rFonts w:ascii="Calibri" w:eastAsia="Calibri" w:hAnsi="Calibri" w:cs="Times New Roman"/>
          <w:b/>
          <w:bCs/>
          <w:sz w:val="28"/>
          <w:szCs w:val="28"/>
          <w:lang w:bidi="ar-TN"/>
        </w:rPr>
        <w:t>Question 6 :</w:t>
      </w:r>
      <w:r>
        <w:t xml:space="preserve"> </w:t>
      </w:r>
      <w:r w:rsidRPr="00AF38FC">
        <w:rPr>
          <w:rFonts w:ascii="Calibri" w:eastAsia="Calibri" w:hAnsi="Calibri" w:cs="Times New Roman"/>
          <w:b/>
          <w:bCs/>
          <w:sz w:val="26"/>
          <w:szCs w:val="26"/>
          <w:lang w:bidi="ar-TN"/>
        </w:rPr>
        <w:t xml:space="preserve">sur les données, si elles sont disponibles, concernant les féminicides ou les homicides de femmes et d’hommes commis par un partenaire intime ou par un membre de la famille au cours des trois dernières années, y compris pendant la pandémie de COVID 19 (en indiquant par exemple la période allant de Mars 2020 à </w:t>
      </w:r>
      <w:r w:rsidRPr="00AF38FC">
        <w:rPr>
          <w:rFonts w:ascii="Calibri" w:eastAsia="Calibri" w:hAnsi="Calibri" w:cs="Times New Roman"/>
          <w:b/>
          <w:bCs/>
          <w:sz w:val="26"/>
          <w:szCs w:val="26"/>
          <w:lang w:bidi="ar-TN"/>
        </w:rPr>
        <w:lastRenderedPageBreak/>
        <w:t>fin décembre 2020) et leur comparaison avec les données antérieurs à la pandémie de COVID 19.</w:t>
      </w:r>
    </w:p>
    <w:p w:rsidR="00F2205B" w:rsidRPr="00B63120" w:rsidRDefault="00F2205B" w:rsidP="00C167AF">
      <w:pPr>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La ligne verte pour l’écoute et l’orientation des femmes victimes de violences a reçu autour de 14000 appels durant l’année 2020, dont presque 12000 durant la période du confinement général (du 23 mars au 30 juin 2020), ce chiffre a augmenté 7 fois en comparaison avec la même période de l’année 2019.</w:t>
      </w:r>
    </w:p>
    <w:p w:rsidR="00F2205B" w:rsidRPr="00B63120" w:rsidRDefault="00F2205B" w:rsidP="00F2205B">
      <w:pPr>
        <w:jc w:val="both"/>
        <w:rPr>
          <w:rFonts w:ascii="Calibri" w:eastAsia="Calibri" w:hAnsi="Calibri" w:cs="Times New Roman"/>
          <w:sz w:val="26"/>
          <w:szCs w:val="26"/>
          <w:lang w:bidi="ar-TN"/>
        </w:rPr>
      </w:pPr>
      <w:r w:rsidRPr="00B63120">
        <w:rPr>
          <w:rFonts w:ascii="Calibri" w:eastAsia="Calibri" w:hAnsi="Calibri" w:cs="Times New Roman"/>
          <w:sz w:val="26"/>
          <w:szCs w:val="26"/>
          <w:lang w:bidi="ar-TN"/>
        </w:rPr>
        <w:t>27% des appels reçus ont constitué des signalements de violences faites aux femmes, et qui se répartissent entre 76% violence physique, 90% violence verbale, 84% violence psychologique, 17% sexuelle. Et dont l’agresseur était le mari dans 75% cas des signalements.</w:t>
      </w:r>
    </w:p>
    <w:p w:rsidR="005B1A5D" w:rsidRPr="005B1A5D" w:rsidRDefault="005B1A5D" w:rsidP="005B1A5D">
      <w:pPr>
        <w:spacing w:line="256" w:lineRule="auto"/>
        <w:jc w:val="both"/>
        <w:rPr>
          <w:rFonts w:ascii="Calibri" w:eastAsia="Calibri" w:hAnsi="Calibri" w:cs="Times New Roman"/>
          <w:sz w:val="26"/>
          <w:szCs w:val="26"/>
          <w:lang w:bidi="ar-TN"/>
        </w:rPr>
      </w:pPr>
      <w:r w:rsidRPr="005B1A5D">
        <w:rPr>
          <w:rFonts w:ascii="Calibri" w:eastAsia="Calibri" w:hAnsi="Calibri" w:cs="Times New Roman"/>
          <w:sz w:val="26"/>
          <w:szCs w:val="26"/>
          <w:lang w:bidi="ar-TN"/>
        </w:rPr>
        <w:t>Nous ne disposons pas actuellement de statistiques et données exactes sur le</w:t>
      </w:r>
      <w:r>
        <w:rPr>
          <w:rFonts w:ascii="Calibri" w:eastAsia="Calibri" w:hAnsi="Calibri" w:cs="Times New Roman"/>
          <w:sz w:val="26"/>
          <w:szCs w:val="26"/>
          <w:lang w:bidi="ar-TN"/>
        </w:rPr>
        <w:t>s féminicides contre les femmes</w:t>
      </w:r>
      <w:r w:rsidRPr="005B1A5D">
        <w:rPr>
          <w:rFonts w:ascii="Calibri" w:eastAsia="Calibri" w:hAnsi="Calibri" w:cs="Times New Roman"/>
          <w:sz w:val="26"/>
          <w:szCs w:val="26"/>
          <w:lang w:bidi="ar-TN"/>
        </w:rPr>
        <w:t>.</w:t>
      </w:r>
    </w:p>
    <w:p w:rsidR="005B1A5D" w:rsidRPr="005B1A5D" w:rsidRDefault="005B1A5D" w:rsidP="005B1A5D">
      <w:pPr>
        <w:spacing w:line="256" w:lineRule="auto"/>
        <w:jc w:val="both"/>
        <w:rPr>
          <w:rFonts w:ascii="Calibri" w:eastAsia="Calibri" w:hAnsi="Calibri" w:cs="Times New Roman"/>
          <w:sz w:val="26"/>
          <w:szCs w:val="26"/>
          <w:lang w:bidi="ar-TN"/>
        </w:rPr>
      </w:pPr>
      <w:r w:rsidRPr="005B1A5D">
        <w:rPr>
          <w:rFonts w:ascii="Calibri" w:eastAsia="Calibri" w:hAnsi="Calibri" w:cs="Times New Roman"/>
          <w:sz w:val="26"/>
          <w:szCs w:val="26"/>
          <w:lang w:bidi="ar-TN"/>
        </w:rPr>
        <w:t>Le ministère de l’Intérieur en charge de cette question dispose de statistiques non ventilées par sexes.</w:t>
      </w:r>
    </w:p>
    <w:p w:rsidR="005B1A5D" w:rsidRPr="005B1A5D" w:rsidRDefault="005B1A5D" w:rsidP="005B1A5D">
      <w:pPr>
        <w:spacing w:line="256" w:lineRule="auto"/>
        <w:jc w:val="both"/>
        <w:rPr>
          <w:rFonts w:ascii="Calibri" w:eastAsia="Calibri" w:hAnsi="Calibri" w:cs="Times New Roman"/>
          <w:sz w:val="26"/>
          <w:szCs w:val="26"/>
          <w:lang w:bidi="ar-TN"/>
        </w:rPr>
      </w:pPr>
      <w:r w:rsidRPr="005B1A5D">
        <w:rPr>
          <w:rFonts w:ascii="Calibri" w:eastAsia="Calibri" w:hAnsi="Calibri" w:cs="Times New Roman"/>
          <w:sz w:val="26"/>
          <w:szCs w:val="26"/>
          <w:lang w:bidi="ar-TN"/>
        </w:rPr>
        <w:t>Le Ministère de la Femme, Famille et Personnes Agées œuvre pour pal</w:t>
      </w:r>
      <w:r w:rsidR="00C167AF">
        <w:rPr>
          <w:rFonts w:ascii="Calibri" w:eastAsia="Calibri" w:hAnsi="Calibri" w:cs="Times New Roman"/>
          <w:sz w:val="26"/>
          <w:szCs w:val="26"/>
          <w:lang w:bidi="ar-TN"/>
        </w:rPr>
        <w:t>l</w:t>
      </w:r>
      <w:r w:rsidRPr="005B1A5D">
        <w:rPr>
          <w:rFonts w:ascii="Calibri" w:eastAsia="Calibri" w:hAnsi="Calibri" w:cs="Times New Roman"/>
          <w:sz w:val="26"/>
          <w:szCs w:val="26"/>
          <w:lang w:bidi="ar-TN"/>
        </w:rPr>
        <w:t xml:space="preserve">ier à cette </w:t>
      </w:r>
      <w:r w:rsidR="00EB6D21" w:rsidRPr="005B1A5D">
        <w:rPr>
          <w:rFonts w:ascii="Calibri" w:eastAsia="Calibri" w:hAnsi="Calibri" w:cs="Times New Roman"/>
          <w:sz w:val="26"/>
          <w:szCs w:val="26"/>
          <w:lang w:bidi="ar-TN"/>
        </w:rPr>
        <w:t>insuffisance</w:t>
      </w:r>
      <w:r w:rsidRPr="005B1A5D">
        <w:rPr>
          <w:rFonts w:ascii="Calibri" w:eastAsia="Calibri" w:hAnsi="Calibri" w:cs="Times New Roman"/>
          <w:sz w:val="26"/>
          <w:szCs w:val="26"/>
          <w:lang w:bidi="ar-TN"/>
        </w:rPr>
        <w:t xml:space="preserve"> et fournit les efforts nécessaires pour recueillir les statistiques demandées à l’avenir.</w:t>
      </w:r>
    </w:p>
    <w:p w:rsidR="005B1A5D" w:rsidRPr="005B1A5D" w:rsidRDefault="005B1A5D" w:rsidP="005B1A5D">
      <w:pPr>
        <w:spacing w:after="0" w:line="240" w:lineRule="auto"/>
        <w:rPr>
          <w:rFonts w:ascii="Times New Roman" w:eastAsia="Times New Roman" w:hAnsi="Times New Roman" w:cs="Times New Roman"/>
          <w:sz w:val="24"/>
          <w:szCs w:val="24"/>
          <w:lang w:eastAsia="fr-FR"/>
        </w:rPr>
      </w:pPr>
    </w:p>
    <w:p w:rsidR="00F2205B" w:rsidRDefault="00F2205B" w:rsidP="00F2205B">
      <w:pPr>
        <w:jc w:val="both"/>
      </w:pPr>
    </w:p>
    <w:p w:rsidR="00F2205B" w:rsidRDefault="00F2205B" w:rsidP="00F2205B">
      <w:pPr>
        <w:jc w:val="both"/>
      </w:pPr>
    </w:p>
    <w:p w:rsidR="00F2205B" w:rsidRDefault="00F2205B" w:rsidP="00F2205B">
      <w:pPr>
        <w:jc w:val="both"/>
      </w:pPr>
    </w:p>
    <w:p w:rsidR="00F2205B" w:rsidRPr="00474E06" w:rsidRDefault="00F2205B" w:rsidP="00C547DF">
      <w:pPr>
        <w:spacing w:after="200" w:line="240" w:lineRule="auto"/>
        <w:ind w:left="360"/>
        <w:jc w:val="both"/>
        <w:rPr>
          <w:rFonts w:ascii="Calibri" w:eastAsia="Calibri" w:hAnsi="Calibri" w:cs="Times New Roman"/>
          <w:sz w:val="26"/>
          <w:szCs w:val="26"/>
          <w:lang w:bidi="ar-TN"/>
        </w:rPr>
      </w:pPr>
    </w:p>
    <w:sectPr w:rsidR="00F2205B" w:rsidRPr="00474E06" w:rsidSect="00467748">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94079"/>
    <w:multiLevelType w:val="hybridMultilevel"/>
    <w:tmpl w:val="D196F48A"/>
    <w:lvl w:ilvl="0" w:tplc="5596C9FE">
      <w:start w:val="1"/>
      <w:numFmt w:val="decimal"/>
      <w:lvlText w:val="%1."/>
      <w:lvlJc w:val="left"/>
      <w:pPr>
        <w:ind w:left="360" w:hanging="360"/>
      </w:pPr>
      <w:rPr>
        <w:rFonts w:hint="default"/>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2BC6A3A"/>
    <w:multiLevelType w:val="hybridMultilevel"/>
    <w:tmpl w:val="83AE09F2"/>
    <w:lvl w:ilvl="0" w:tplc="D238266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F624BB"/>
    <w:multiLevelType w:val="hybridMultilevel"/>
    <w:tmpl w:val="836E8704"/>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FD44600"/>
    <w:multiLevelType w:val="hybridMultilevel"/>
    <w:tmpl w:val="8350FEF8"/>
    <w:lvl w:ilvl="0" w:tplc="5EE4D0EC">
      <w:numFmt w:val="bullet"/>
      <w:lvlText w:val="-"/>
      <w:lvlJc w:val="left"/>
      <w:pPr>
        <w:ind w:left="720" w:hanging="360"/>
      </w:pPr>
      <w:rPr>
        <w:rFonts w:ascii="Calibri" w:eastAsiaTheme="minorHAnsi" w:hAnsi="Calibri" w:cs="Calibr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15:restartNumberingAfterBreak="0">
    <w:nsid w:val="60FF5CE4"/>
    <w:multiLevelType w:val="hybridMultilevel"/>
    <w:tmpl w:val="B96ACE5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715B0720"/>
    <w:multiLevelType w:val="hybridMultilevel"/>
    <w:tmpl w:val="064858FE"/>
    <w:lvl w:ilvl="0" w:tplc="040C000F">
      <w:start w:val="1"/>
      <w:numFmt w:val="decimal"/>
      <w:lvlText w:val="%1."/>
      <w:lvlJc w:val="left"/>
      <w:pPr>
        <w:ind w:left="436" w:hanging="360"/>
      </w:pPr>
    </w:lvl>
    <w:lvl w:ilvl="1" w:tplc="040C0019" w:tentative="1">
      <w:start w:val="1"/>
      <w:numFmt w:val="lowerLetter"/>
      <w:lvlText w:val="%2."/>
      <w:lvlJc w:val="left"/>
      <w:pPr>
        <w:ind w:left="1156" w:hanging="360"/>
      </w:pPr>
    </w:lvl>
    <w:lvl w:ilvl="2" w:tplc="040C001B" w:tentative="1">
      <w:start w:val="1"/>
      <w:numFmt w:val="lowerRoman"/>
      <w:lvlText w:val="%3."/>
      <w:lvlJc w:val="right"/>
      <w:pPr>
        <w:ind w:left="1876" w:hanging="180"/>
      </w:pPr>
    </w:lvl>
    <w:lvl w:ilvl="3" w:tplc="040C000F" w:tentative="1">
      <w:start w:val="1"/>
      <w:numFmt w:val="decimal"/>
      <w:lvlText w:val="%4."/>
      <w:lvlJc w:val="left"/>
      <w:pPr>
        <w:ind w:left="2596" w:hanging="360"/>
      </w:pPr>
    </w:lvl>
    <w:lvl w:ilvl="4" w:tplc="040C0019" w:tentative="1">
      <w:start w:val="1"/>
      <w:numFmt w:val="lowerLetter"/>
      <w:lvlText w:val="%5."/>
      <w:lvlJc w:val="left"/>
      <w:pPr>
        <w:ind w:left="3316" w:hanging="360"/>
      </w:pPr>
    </w:lvl>
    <w:lvl w:ilvl="5" w:tplc="040C001B" w:tentative="1">
      <w:start w:val="1"/>
      <w:numFmt w:val="lowerRoman"/>
      <w:lvlText w:val="%6."/>
      <w:lvlJc w:val="right"/>
      <w:pPr>
        <w:ind w:left="4036" w:hanging="180"/>
      </w:pPr>
    </w:lvl>
    <w:lvl w:ilvl="6" w:tplc="040C000F" w:tentative="1">
      <w:start w:val="1"/>
      <w:numFmt w:val="decimal"/>
      <w:lvlText w:val="%7."/>
      <w:lvlJc w:val="left"/>
      <w:pPr>
        <w:ind w:left="4756" w:hanging="360"/>
      </w:pPr>
    </w:lvl>
    <w:lvl w:ilvl="7" w:tplc="040C0019" w:tentative="1">
      <w:start w:val="1"/>
      <w:numFmt w:val="lowerLetter"/>
      <w:lvlText w:val="%8."/>
      <w:lvlJc w:val="left"/>
      <w:pPr>
        <w:ind w:left="5476" w:hanging="360"/>
      </w:pPr>
    </w:lvl>
    <w:lvl w:ilvl="8" w:tplc="040C001B" w:tentative="1">
      <w:start w:val="1"/>
      <w:numFmt w:val="lowerRoman"/>
      <w:lvlText w:val="%9."/>
      <w:lvlJc w:val="right"/>
      <w:pPr>
        <w:ind w:left="6196" w:hanging="180"/>
      </w:pPr>
    </w:lvl>
  </w:abstractNum>
  <w:num w:numId="1">
    <w:abstractNumId w:val="5"/>
  </w:num>
  <w:num w:numId="2">
    <w:abstractNumId w:val="0"/>
  </w:num>
  <w:num w:numId="3">
    <w:abstractNumId w:val="4"/>
  </w:num>
  <w:num w:numId="4">
    <w:abstractNumId w:val="1"/>
  </w:num>
  <w:num w:numId="5">
    <w:abstractNumId w:val="2"/>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1F0"/>
    <w:rsid w:val="00035F25"/>
    <w:rsid w:val="00047185"/>
    <w:rsid w:val="00070C14"/>
    <w:rsid w:val="000D2B8C"/>
    <w:rsid w:val="000E2DCB"/>
    <w:rsid w:val="001F5828"/>
    <w:rsid w:val="00232777"/>
    <w:rsid w:val="00311D61"/>
    <w:rsid w:val="003267BD"/>
    <w:rsid w:val="003A61C2"/>
    <w:rsid w:val="00422464"/>
    <w:rsid w:val="00467748"/>
    <w:rsid w:val="00474E06"/>
    <w:rsid w:val="00477CFD"/>
    <w:rsid w:val="00481D48"/>
    <w:rsid w:val="005A0167"/>
    <w:rsid w:val="005B1A5D"/>
    <w:rsid w:val="005F05C2"/>
    <w:rsid w:val="0060345E"/>
    <w:rsid w:val="00607A30"/>
    <w:rsid w:val="00651844"/>
    <w:rsid w:val="00685AA3"/>
    <w:rsid w:val="006B3074"/>
    <w:rsid w:val="00713E29"/>
    <w:rsid w:val="0072100C"/>
    <w:rsid w:val="007771F4"/>
    <w:rsid w:val="00907D10"/>
    <w:rsid w:val="00946208"/>
    <w:rsid w:val="00950889"/>
    <w:rsid w:val="00954A5C"/>
    <w:rsid w:val="00973F48"/>
    <w:rsid w:val="00975C0A"/>
    <w:rsid w:val="009874EB"/>
    <w:rsid w:val="00A278CA"/>
    <w:rsid w:val="00AC72D7"/>
    <w:rsid w:val="00AF38FC"/>
    <w:rsid w:val="00B00AA6"/>
    <w:rsid w:val="00B2609F"/>
    <w:rsid w:val="00B63120"/>
    <w:rsid w:val="00B71097"/>
    <w:rsid w:val="00B71CFC"/>
    <w:rsid w:val="00C00425"/>
    <w:rsid w:val="00C05B98"/>
    <w:rsid w:val="00C121F0"/>
    <w:rsid w:val="00C167AF"/>
    <w:rsid w:val="00C547DF"/>
    <w:rsid w:val="00C85843"/>
    <w:rsid w:val="00CE34C1"/>
    <w:rsid w:val="00DA7764"/>
    <w:rsid w:val="00E60AE4"/>
    <w:rsid w:val="00E86A45"/>
    <w:rsid w:val="00EB6D21"/>
    <w:rsid w:val="00F076CD"/>
    <w:rsid w:val="00F2205B"/>
    <w:rsid w:val="00F521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B49F8-4BF3-4AE0-98A8-7F3145FBA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1F0"/>
  </w:style>
  <w:style w:type="paragraph" w:styleId="Titre3">
    <w:name w:val="heading 3"/>
    <w:basedOn w:val="Normal"/>
    <w:next w:val="Normal"/>
    <w:link w:val="Titre3Car"/>
    <w:uiPriority w:val="9"/>
    <w:unhideWhenUsed/>
    <w:qFormat/>
    <w:rsid w:val="00467748"/>
    <w:pPr>
      <w:keepNext/>
      <w:keepLines/>
      <w:spacing w:before="200" w:after="0" w:line="240" w:lineRule="auto"/>
      <w:outlineLvl w:val="2"/>
    </w:pPr>
    <w:rPr>
      <w:rFonts w:ascii="Cambria" w:eastAsia="Times New Roman" w:hAnsi="Cambria" w:cs="Times New Roman"/>
      <w:b/>
      <w:bCs/>
      <w:color w:val="4F81BD"/>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Grilledutableau1">
    <w:name w:val="Grille du tableau1"/>
    <w:basedOn w:val="TableauNormal"/>
    <w:next w:val="Grilledutableau"/>
    <w:uiPriority w:val="59"/>
    <w:rsid w:val="00C121F0"/>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agraphedeliste">
    <w:name w:val="List Paragraph"/>
    <w:basedOn w:val="Normal"/>
    <w:link w:val="ParagraphedelisteCar"/>
    <w:uiPriority w:val="34"/>
    <w:qFormat/>
    <w:rsid w:val="00C121F0"/>
    <w:pPr>
      <w:ind w:left="720"/>
      <w:contextualSpacing/>
    </w:pPr>
  </w:style>
  <w:style w:type="table" w:styleId="Grilledutableau">
    <w:name w:val="Table Grid"/>
    <w:basedOn w:val="TableauNormal"/>
    <w:uiPriority w:val="39"/>
    <w:rsid w:val="00C1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HTML">
    <w:name w:val="HTML Preformatted"/>
    <w:basedOn w:val="Normal"/>
    <w:link w:val="PrformatHTMLCar"/>
    <w:uiPriority w:val="99"/>
    <w:semiHidden/>
    <w:unhideWhenUsed/>
    <w:rsid w:val="00035F25"/>
    <w:pPr>
      <w:spacing w:after="0" w:line="240" w:lineRule="auto"/>
    </w:pPr>
    <w:rPr>
      <w:rFonts w:ascii="Consolas" w:hAnsi="Consolas"/>
      <w:sz w:val="20"/>
      <w:szCs w:val="20"/>
    </w:rPr>
  </w:style>
  <w:style w:type="character" w:customStyle="1" w:styleId="PrformatHTMLCar">
    <w:name w:val="Préformaté HTML Car"/>
    <w:basedOn w:val="Policepardfaut"/>
    <w:link w:val="PrformatHTML"/>
    <w:uiPriority w:val="99"/>
    <w:semiHidden/>
    <w:rsid w:val="00035F25"/>
    <w:rPr>
      <w:rFonts w:ascii="Consolas" w:hAnsi="Consolas"/>
      <w:sz w:val="20"/>
      <w:szCs w:val="20"/>
    </w:rPr>
  </w:style>
  <w:style w:type="character" w:customStyle="1" w:styleId="ParagraphedelisteCar">
    <w:name w:val="Paragraphe de liste Car"/>
    <w:basedOn w:val="Policepardfaut"/>
    <w:link w:val="Paragraphedeliste"/>
    <w:uiPriority w:val="34"/>
    <w:locked/>
    <w:rsid w:val="007771F4"/>
  </w:style>
  <w:style w:type="paragraph" w:styleId="Textedebulles">
    <w:name w:val="Balloon Text"/>
    <w:basedOn w:val="Normal"/>
    <w:link w:val="TextedebullesCar"/>
    <w:uiPriority w:val="99"/>
    <w:semiHidden/>
    <w:unhideWhenUsed/>
    <w:rsid w:val="0046774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67748"/>
    <w:rPr>
      <w:rFonts w:ascii="Tahoma" w:hAnsi="Tahoma" w:cs="Tahoma"/>
      <w:sz w:val="16"/>
      <w:szCs w:val="16"/>
    </w:rPr>
  </w:style>
  <w:style w:type="character" w:customStyle="1" w:styleId="Titre3Car">
    <w:name w:val="Titre 3 Car"/>
    <w:basedOn w:val="Policepardfaut"/>
    <w:link w:val="Titre3"/>
    <w:uiPriority w:val="9"/>
    <w:rsid w:val="00467748"/>
    <w:rPr>
      <w:rFonts w:ascii="Cambria" w:eastAsia="Times New Roman" w:hAnsi="Cambria" w:cs="Times New Roman"/>
      <w:b/>
      <w:bCs/>
      <w:color w:val="4F81BD"/>
      <w:sz w:val="24"/>
      <w:szCs w:val="24"/>
      <w:lang w:eastAsia="fr-FR"/>
    </w:rPr>
  </w:style>
  <w:style w:type="paragraph" w:customStyle="1" w:styleId="yiv4203544049msonormal">
    <w:name w:val="yiv4203544049msonormal"/>
    <w:basedOn w:val="Normal"/>
    <w:rsid w:val="005B1A5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35669">
      <w:bodyDiv w:val="1"/>
      <w:marLeft w:val="0"/>
      <w:marRight w:val="0"/>
      <w:marTop w:val="0"/>
      <w:marBottom w:val="0"/>
      <w:divBdr>
        <w:top w:val="none" w:sz="0" w:space="0" w:color="auto"/>
        <w:left w:val="none" w:sz="0" w:space="0" w:color="auto"/>
        <w:bottom w:val="none" w:sz="0" w:space="0" w:color="auto"/>
        <w:right w:val="none" w:sz="0" w:space="0" w:color="auto"/>
      </w:divBdr>
      <w:divsChild>
        <w:div w:id="38670434">
          <w:marLeft w:val="0"/>
          <w:marRight w:val="0"/>
          <w:marTop w:val="0"/>
          <w:marBottom w:val="0"/>
          <w:divBdr>
            <w:top w:val="none" w:sz="0" w:space="0" w:color="auto"/>
            <w:left w:val="none" w:sz="0" w:space="0" w:color="auto"/>
            <w:bottom w:val="none" w:sz="0" w:space="0" w:color="auto"/>
            <w:right w:val="none" w:sz="0" w:space="0" w:color="auto"/>
          </w:divBdr>
        </w:div>
      </w:divsChild>
    </w:div>
    <w:div w:id="1010182161">
      <w:bodyDiv w:val="1"/>
      <w:marLeft w:val="0"/>
      <w:marRight w:val="0"/>
      <w:marTop w:val="0"/>
      <w:marBottom w:val="0"/>
      <w:divBdr>
        <w:top w:val="none" w:sz="0" w:space="0" w:color="auto"/>
        <w:left w:val="none" w:sz="0" w:space="0" w:color="auto"/>
        <w:bottom w:val="none" w:sz="0" w:space="0" w:color="auto"/>
        <w:right w:val="none" w:sz="0" w:space="0" w:color="auto"/>
      </w:divBdr>
    </w:div>
    <w:div w:id="1735816428">
      <w:bodyDiv w:val="1"/>
      <w:marLeft w:val="0"/>
      <w:marRight w:val="0"/>
      <w:marTop w:val="0"/>
      <w:marBottom w:val="0"/>
      <w:divBdr>
        <w:top w:val="none" w:sz="0" w:space="0" w:color="auto"/>
        <w:left w:val="none" w:sz="0" w:space="0" w:color="auto"/>
        <w:bottom w:val="none" w:sz="0" w:space="0" w:color="auto"/>
        <w:right w:val="none" w:sz="0" w:space="0" w:color="auto"/>
      </w:divBdr>
    </w:div>
    <w:div w:id="1879317264">
      <w:bodyDiv w:val="1"/>
      <w:marLeft w:val="0"/>
      <w:marRight w:val="0"/>
      <w:marTop w:val="0"/>
      <w:marBottom w:val="0"/>
      <w:divBdr>
        <w:top w:val="none" w:sz="0" w:space="0" w:color="auto"/>
        <w:left w:val="none" w:sz="0" w:space="0" w:color="auto"/>
        <w:bottom w:val="none" w:sz="0" w:space="0" w:color="auto"/>
        <w:right w:val="none" w:sz="0" w:space="0" w:color="auto"/>
      </w:divBdr>
    </w:div>
    <w:div w:id="206302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18D127-D614-424D-949A-F67BCF6C859B}"/>
</file>

<file path=customXml/itemProps2.xml><?xml version="1.0" encoding="utf-8"?>
<ds:datastoreItem xmlns:ds="http://schemas.openxmlformats.org/officeDocument/2006/customXml" ds:itemID="{BC3EA23E-5549-4C85-BA7E-333D13B4E6A1}"/>
</file>

<file path=customXml/itemProps3.xml><?xml version="1.0" encoding="utf-8"?>
<ds:datastoreItem xmlns:ds="http://schemas.openxmlformats.org/officeDocument/2006/customXml" ds:itemID="{51A5792A-AC67-4692-93BD-0461346D794F}"/>
</file>

<file path=docProps/app.xml><?xml version="1.0" encoding="utf-8"?>
<Properties xmlns="http://schemas.openxmlformats.org/officeDocument/2006/extended-properties" xmlns:vt="http://schemas.openxmlformats.org/officeDocument/2006/docPropsVTypes">
  <Template>Normal.dotm</Template>
  <TotalTime>1</TotalTime>
  <Pages>3</Pages>
  <Words>1010</Words>
  <Characters>5762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UserAD</dc:creator>
  <cp:lastModifiedBy>MissionTunisieGE</cp:lastModifiedBy>
  <cp:revision>2</cp:revision>
  <cp:lastPrinted>2021-05-05T08:27:00Z</cp:lastPrinted>
  <dcterms:created xsi:type="dcterms:W3CDTF">2021-05-06T06:49:00Z</dcterms:created>
  <dcterms:modified xsi:type="dcterms:W3CDTF">2021-05-06T06:49:00Z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