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65" w:rsidRPr="00425043" w:rsidRDefault="00EF4365" w:rsidP="00EF4365">
      <w:pPr>
        <w:pStyle w:val="BodyA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 w:rsidRPr="00425043">
        <w:rPr>
          <w:rFonts w:ascii="Times New Roman" w:hAnsi="Times New Roman"/>
          <w:b/>
          <w:bCs/>
          <w:lang w:val="en-GB"/>
        </w:rPr>
        <w:t>CHECK AGAINST DELIVERY</w:t>
      </w: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425043">
        <w:rPr>
          <w:rFonts w:ascii="Times New Roman" w:hAnsi="Times New Roman"/>
          <w:b/>
          <w:bCs/>
          <w:sz w:val="28"/>
          <w:szCs w:val="28"/>
          <w:lang w:val="en-GB"/>
        </w:rPr>
        <w:t>STATEMENT</w:t>
      </w: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425043">
        <w:rPr>
          <w:rFonts w:ascii="Times New Roman" w:hAnsi="Times New Roman"/>
          <w:b/>
          <w:bCs/>
          <w:sz w:val="28"/>
          <w:szCs w:val="28"/>
          <w:lang w:val="en-GB"/>
        </w:rPr>
        <w:t>UNITED NATIONS SPECIAL RAPPORTEUR ON VIOLENCE</w:t>
      </w: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425043">
        <w:rPr>
          <w:rFonts w:ascii="Times New Roman" w:hAnsi="Times New Roman"/>
          <w:b/>
          <w:bCs/>
          <w:sz w:val="28"/>
          <w:szCs w:val="28"/>
          <w:lang w:val="en-GB"/>
        </w:rPr>
        <w:t>AGAINST WOMEN, ITS CAUSES AND CONSEQUENCES</w:t>
      </w: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425043">
        <w:rPr>
          <w:rFonts w:ascii="Times New Roman" w:hAnsi="Times New Roman"/>
          <w:b/>
          <w:bCs/>
          <w:sz w:val="28"/>
          <w:szCs w:val="28"/>
          <w:lang w:val="en-GB"/>
        </w:rPr>
        <w:t>DUBRAVKA SIMONOVIC</w:t>
      </w:r>
    </w:p>
    <w:p w:rsidR="00EF4365" w:rsidRPr="00425043" w:rsidRDefault="00EF4365" w:rsidP="00EF4365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val="en-GB"/>
        </w:rPr>
      </w:pPr>
      <w:proofErr w:type="gramStart"/>
      <w:r>
        <w:rPr>
          <w:rFonts w:ascii="Times New Roman" w:hAnsi="Times New Roman"/>
          <w:i/>
          <w:iCs/>
          <w:sz w:val="36"/>
          <w:szCs w:val="36"/>
          <w:lang w:val="en-GB"/>
        </w:rPr>
        <w:t>30</w:t>
      </w:r>
      <w:r w:rsidRPr="00425043">
        <w:rPr>
          <w:rFonts w:ascii="Times New Roman" w:hAnsi="Times New Roman"/>
          <w:i/>
          <w:iCs/>
          <w:sz w:val="36"/>
          <w:szCs w:val="36"/>
          <w:vertAlign w:val="superscript"/>
          <w:lang w:val="en-GB"/>
        </w:rPr>
        <w:t>th</w:t>
      </w:r>
      <w:proofErr w:type="gramEnd"/>
      <w:r w:rsidRPr="00425043">
        <w:rPr>
          <w:rFonts w:ascii="Times New Roman" w:hAnsi="Times New Roman"/>
          <w:i/>
          <w:iCs/>
          <w:sz w:val="36"/>
          <w:szCs w:val="36"/>
          <w:lang w:val="en-GB"/>
        </w:rPr>
        <w:t xml:space="preserve"> session of the Commission on</w:t>
      </w:r>
      <w:r>
        <w:rPr>
          <w:rFonts w:ascii="Times New Roman" w:hAnsi="Times New Roman"/>
          <w:i/>
          <w:iCs/>
          <w:sz w:val="36"/>
          <w:szCs w:val="36"/>
          <w:lang w:val="en-GB"/>
        </w:rPr>
        <w:t xml:space="preserve"> Crime Prevention and Criminal Justice</w:t>
      </w: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GB"/>
        </w:rPr>
      </w:pPr>
    </w:p>
    <w:p w:rsidR="00EF4365" w:rsidRDefault="00EF4365" w:rsidP="00EF4365">
      <w:pPr>
        <w:pStyle w:val="BodyA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17-21</w:t>
      </w:r>
      <w:r w:rsidRPr="00425043">
        <w:rPr>
          <w:rFonts w:ascii="Times New Roman" w:hAnsi="Times New Roman"/>
          <w:sz w:val="28"/>
          <w:szCs w:val="28"/>
          <w:lang w:val="en-GB"/>
        </w:rPr>
        <w:t xml:space="preserve"> Ma</w:t>
      </w:r>
      <w:r>
        <w:rPr>
          <w:rFonts w:ascii="Times New Roman" w:hAnsi="Times New Roman"/>
          <w:sz w:val="28"/>
          <w:szCs w:val="28"/>
          <w:lang w:val="en-GB"/>
        </w:rPr>
        <w:t>y</w:t>
      </w:r>
      <w:r w:rsidRPr="00425043">
        <w:rPr>
          <w:rFonts w:ascii="Times New Roman" w:hAnsi="Times New Roman"/>
          <w:sz w:val="28"/>
          <w:szCs w:val="28"/>
          <w:lang w:val="en-GB"/>
        </w:rPr>
        <w:t xml:space="preserve"> 2021</w:t>
      </w:r>
    </w:p>
    <w:p w:rsidR="00EF4365" w:rsidRDefault="00EF4365" w:rsidP="00EF4365">
      <w:pPr>
        <w:pStyle w:val="BodyA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Vienna, Austria</w:t>
      </w:r>
    </w:p>
    <w:p w:rsidR="00EF4365" w:rsidRPr="00425043" w:rsidRDefault="00EF4365" w:rsidP="00EF4365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F4365" w:rsidRPr="00425043" w:rsidRDefault="00EF4365" w:rsidP="00EF436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718BA" w:rsidRDefault="003718BA">
      <w:pPr>
        <w:pStyle w:val="Body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8BA" w:rsidRDefault="003718BA">
      <w:pPr>
        <w:pStyle w:val="Body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8BA" w:rsidRDefault="003718BA">
      <w:pPr>
        <w:pStyle w:val="Body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8BA" w:rsidRDefault="003718BA">
      <w:pPr>
        <w:pStyle w:val="Body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8BA" w:rsidRDefault="003718BA">
      <w:pPr>
        <w:pStyle w:val="Body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8BA" w:rsidRDefault="003718BA">
      <w:pPr>
        <w:pStyle w:val="Body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8BA" w:rsidRDefault="003718BA">
      <w:pPr>
        <w:pStyle w:val="Body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18BA" w:rsidRDefault="003718BA">
      <w:pPr>
        <w:pStyle w:val="Body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8BA" w:rsidRDefault="003718BA">
      <w:pPr>
        <w:pStyle w:val="Body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8BA" w:rsidRDefault="00AE7EDB">
      <w:pPr>
        <w:pStyle w:val="Body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drawing>
          <wp:inline distT="0" distB="0" distL="0" distR="0">
            <wp:extent cx="2152650" cy="95545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55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718BA" w:rsidRDefault="003718BA">
      <w:pPr>
        <w:pStyle w:val="Body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8BA" w:rsidRDefault="00AE7EDB">
      <w:pPr>
        <w:pStyle w:val="BodyA"/>
        <w:spacing w:before="100" w:after="10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Excellences,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 xml:space="preserve">Distinguished delegates, </w:t>
      </w:r>
    </w:p>
    <w:p w:rsidR="003718BA" w:rsidRDefault="00AE7EDB">
      <w:pPr>
        <w:pStyle w:val="BodyA"/>
        <w:spacing w:before="100" w:after="10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Chairperson, </w:t>
      </w:r>
    </w:p>
    <w:p w:rsidR="003718BA" w:rsidRDefault="003718BA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an </w:t>
      </w:r>
      <w:proofErr w:type="spellStart"/>
      <w:r>
        <w:rPr>
          <w:rFonts w:ascii="Times New Roman" w:hAnsi="Times New Roman"/>
          <w:sz w:val="24"/>
          <w:szCs w:val="24"/>
        </w:rPr>
        <w:t>honour</w:t>
      </w:r>
      <w:proofErr w:type="spellEnd"/>
      <w:r>
        <w:rPr>
          <w:rFonts w:ascii="Times New Roman" w:hAnsi="Times New Roman"/>
          <w:sz w:val="24"/>
          <w:szCs w:val="24"/>
        </w:rPr>
        <w:t xml:space="preserve"> for me to address you as UN Special Rapporteur on violence against women, and to present my work on two issues of particular relevance to this Commission: </w:t>
      </w:r>
      <w:proofErr w:type="spellStart"/>
      <w:r>
        <w:rPr>
          <w:rFonts w:ascii="Times New Roman" w:hAnsi="Times New Roman"/>
          <w:sz w:val="24"/>
          <w:szCs w:val="24"/>
        </w:rPr>
        <w:t>femicide</w:t>
      </w:r>
      <w:proofErr w:type="spellEnd"/>
      <w:r>
        <w:rPr>
          <w:rFonts w:ascii="Times New Roman" w:hAnsi="Times New Roman"/>
          <w:sz w:val="24"/>
          <w:szCs w:val="24"/>
        </w:rPr>
        <w:t xml:space="preserve"> and rape. </w:t>
      </w:r>
    </w:p>
    <w:p w:rsidR="003718BA" w:rsidRDefault="003718BA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Distinguished delegates,</w:t>
      </w: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issue of </w:t>
      </w:r>
      <w:proofErr w:type="spellStart"/>
      <w:r>
        <w:rPr>
          <w:rFonts w:ascii="Times New Roman" w:hAnsi="Times New Roman"/>
          <w:sz w:val="24"/>
          <w:szCs w:val="24"/>
        </w:rPr>
        <w:t>femicide</w:t>
      </w:r>
      <w:proofErr w:type="spellEnd"/>
      <w:r>
        <w:rPr>
          <w:rFonts w:ascii="Times New Roman" w:hAnsi="Times New Roman"/>
          <w:sz w:val="24"/>
          <w:szCs w:val="24"/>
        </w:rPr>
        <w:t>, or gender-relate</w:t>
      </w:r>
      <w:r>
        <w:rPr>
          <w:rFonts w:ascii="Times New Roman" w:hAnsi="Times New Roman"/>
          <w:sz w:val="24"/>
          <w:szCs w:val="24"/>
        </w:rPr>
        <w:t>d killings of women, has been a thematic priority throughout my tenure.</w:t>
      </w: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2015, I issued a call to States to establish a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femicide</w:t>
      </w:r>
      <w:proofErr w:type="spellEnd"/>
      <w:r>
        <w:rPr>
          <w:rFonts w:ascii="Times New Roman" w:hAnsi="Times New Roman"/>
          <w:sz w:val="24"/>
          <w:szCs w:val="24"/>
        </w:rPr>
        <w:t xml:space="preserve"> watch</w:t>
      </w:r>
      <w:r>
        <w:rPr>
          <w:rFonts w:ascii="Times New Roman" w:hAnsi="Times New Roman"/>
          <w:sz w:val="24"/>
          <w:szCs w:val="24"/>
        </w:rPr>
        <w:t>”</w:t>
      </w:r>
      <w:r w:rsidR="00EF43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F436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2016</w:t>
      </w:r>
      <w:r w:rsidR="00EF43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 elaborated a report to the General Assembly on the modalities for establishing such preventive mechanism</w:t>
      </w:r>
      <w:r w:rsidR="00EF4365">
        <w:rPr>
          <w:rFonts w:ascii="Times New Roman" w:hAnsi="Times New Roman"/>
          <w:sz w:val="24"/>
          <w:szCs w:val="24"/>
        </w:rPr>
        <w:t xml:space="preserve">s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 </w:t>
      </w:r>
      <w:proofErr w:type="gramEnd"/>
      <w:r>
        <w:rPr>
          <w:rFonts w:ascii="Times New Roman" w:hAnsi="Times New Roman"/>
          <w:sz w:val="24"/>
          <w:szCs w:val="24"/>
        </w:rPr>
        <w:t>their mandates to conduct analys</w:t>
      </w:r>
      <w:r w:rsidR="00EF436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of </w:t>
      </w:r>
      <w:proofErr w:type="spellStart"/>
      <w:r>
        <w:rPr>
          <w:rFonts w:ascii="Times New Roman" w:hAnsi="Times New Roman"/>
          <w:sz w:val="24"/>
          <w:szCs w:val="24"/>
        </w:rPr>
        <w:t>femicide</w:t>
      </w:r>
      <w:proofErr w:type="spellEnd"/>
      <w:r>
        <w:rPr>
          <w:rFonts w:ascii="Times New Roman" w:hAnsi="Times New Roman"/>
          <w:sz w:val="24"/>
          <w:szCs w:val="24"/>
        </w:rPr>
        <w:t xml:space="preserve"> cases from a human rights perspective in order to identify gaps at the national level and </w:t>
      </w:r>
      <w:r w:rsidR="00EF4365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recommend </w:t>
      </w:r>
      <w:r>
        <w:rPr>
          <w:rFonts w:ascii="Times New Roman" w:hAnsi="Times New Roman"/>
          <w:sz w:val="24"/>
          <w:szCs w:val="24"/>
        </w:rPr>
        <w:t>measures</w:t>
      </w:r>
      <w:r w:rsidR="00EF4365">
        <w:rPr>
          <w:rFonts w:ascii="Times New Roman" w:hAnsi="Times New Roman"/>
          <w:sz w:val="24"/>
          <w:szCs w:val="24"/>
        </w:rPr>
        <w:t xml:space="preserve"> for the</w:t>
      </w:r>
      <w:r>
        <w:rPr>
          <w:rFonts w:ascii="Times New Roman" w:hAnsi="Times New Roman"/>
          <w:sz w:val="24"/>
          <w:szCs w:val="24"/>
        </w:rPr>
        <w:t xml:space="preserve"> prevention of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femicide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 then, I have made yearly call</w:t>
      </w:r>
      <w:r w:rsidR="00EF436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 xml:space="preserve">information on </w:t>
      </w:r>
      <w:proofErr w:type="spellStart"/>
      <w:r>
        <w:rPr>
          <w:rFonts w:ascii="Times New Roman" w:hAnsi="Times New Roman"/>
          <w:sz w:val="24"/>
          <w:szCs w:val="24"/>
        </w:rPr>
        <w:t>femicide</w:t>
      </w:r>
      <w:proofErr w:type="spellEnd"/>
      <w:r>
        <w:rPr>
          <w:rFonts w:ascii="Times New Roman" w:hAnsi="Times New Roman"/>
          <w:sz w:val="24"/>
          <w:szCs w:val="24"/>
        </w:rPr>
        <w:t xml:space="preserve"> watches</w:t>
      </w:r>
      <w:r w:rsidR="00EF4365">
        <w:rPr>
          <w:rFonts w:ascii="Times New Roman" w:hAnsi="Times New Roman"/>
          <w:sz w:val="24"/>
          <w:szCs w:val="24"/>
        </w:rPr>
        <w:t>, which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are </w:t>
      </w:r>
      <w:r>
        <w:rPr>
          <w:rFonts w:ascii="Times New Roman" w:hAnsi="Times New Roman"/>
          <w:b/>
          <w:bCs/>
          <w:sz w:val="24"/>
          <w:szCs w:val="24"/>
        </w:rPr>
        <w:t>tool</w:t>
      </w:r>
      <w:r w:rsidR="00EF4365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for the implementation of the General Assembly resolutions</w:t>
      </w:r>
      <w:r>
        <w:rPr>
          <w:rFonts w:ascii="Times New Roman" w:hAnsi="Times New Roman"/>
          <w:sz w:val="24"/>
          <w:szCs w:val="24"/>
        </w:rPr>
        <w:t xml:space="preserve"> on gender</w:t>
      </w:r>
      <w:r w:rsidR="00EF43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related killings of women</w:t>
      </w:r>
      <w:r w:rsidR="00EF43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elaborated </w:t>
      </w:r>
      <w:r>
        <w:rPr>
          <w:rFonts w:ascii="Times New Roman" w:hAnsi="Times New Roman"/>
          <w:sz w:val="24"/>
          <w:szCs w:val="24"/>
        </w:rPr>
        <w:t>by this Commission in 2013 and 2015.</w:t>
      </w: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UNODC Report of 2019 and data collected by my mandate reveal </w:t>
      </w:r>
      <w:r>
        <w:rPr>
          <w:rFonts w:ascii="Times New Roman" w:hAnsi="Times New Roman"/>
          <w:sz w:val="24"/>
          <w:szCs w:val="24"/>
        </w:rPr>
        <w:t>that the vast majority of victims killed by an intimate partner</w:t>
      </w:r>
      <w:r w:rsidR="00EF4365">
        <w:rPr>
          <w:rFonts w:ascii="Times New Roman" w:hAnsi="Times New Roman"/>
          <w:sz w:val="24"/>
          <w:szCs w:val="24"/>
        </w:rPr>
        <w:t xml:space="preserve"> are women</w:t>
      </w:r>
      <w:r>
        <w:rPr>
          <w:rFonts w:ascii="Times New Roman" w:hAnsi="Times New Roman"/>
          <w:sz w:val="24"/>
          <w:szCs w:val="24"/>
        </w:rPr>
        <w:t>, at 82 percent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 welcome the initiative by UNODC and UN Women to develop a Common Statistical Framework on Gender-Related Killings of Women and Girls, now under consultations, and </w:t>
      </w:r>
      <w:r>
        <w:rPr>
          <w:rFonts w:ascii="Times New Roman" w:hAnsi="Times New Roman"/>
          <w:b/>
          <w:bCs/>
          <w:sz w:val="24"/>
          <w:szCs w:val="24"/>
        </w:rPr>
        <w:t>have provided my inputs to it</w:t>
      </w:r>
      <w:r>
        <w:rPr>
          <w:rFonts w:ascii="Times New Roman" w:hAnsi="Times New Roman"/>
          <w:sz w:val="24"/>
          <w:szCs w:val="24"/>
        </w:rPr>
        <w:t xml:space="preserve">. It is important to connect this with my </w:t>
      </w:r>
      <w:proofErr w:type="spellStart"/>
      <w:r>
        <w:rPr>
          <w:rFonts w:ascii="Times New Roman" w:hAnsi="Times New Roman"/>
          <w:sz w:val="24"/>
          <w:szCs w:val="24"/>
        </w:rPr>
        <w:t>Femicide</w:t>
      </w:r>
      <w:proofErr w:type="spellEnd"/>
      <w:r>
        <w:rPr>
          <w:rFonts w:ascii="Times New Roman" w:hAnsi="Times New Roman"/>
          <w:sz w:val="24"/>
          <w:szCs w:val="24"/>
        </w:rPr>
        <w:t xml:space="preserve"> watch initiative. </w:t>
      </w: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take this opportunity to call on all States that have not yet created their </w:t>
      </w:r>
      <w:proofErr w:type="spellStart"/>
      <w:r>
        <w:rPr>
          <w:rFonts w:ascii="Times New Roman" w:hAnsi="Times New Roman"/>
          <w:sz w:val="24"/>
          <w:szCs w:val="24"/>
        </w:rPr>
        <w:t>femicide</w:t>
      </w:r>
      <w:proofErr w:type="spellEnd"/>
      <w:r>
        <w:rPr>
          <w:rFonts w:ascii="Times New Roman" w:hAnsi="Times New Roman"/>
          <w:sz w:val="24"/>
          <w:szCs w:val="24"/>
        </w:rPr>
        <w:t xml:space="preserve"> watches to do so. </w:t>
      </w: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Institutes of Criminology that follow </w:t>
      </w:r>
      <w:r w:rsidR="00EF436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work</w:t>
      </w:r>
      <w:r>
        <w:rPr>
          <w:rFonts w:ascii="Times New Roman" w:hAnsi="Times New Roman"/>
          <w:sz w:val="24"/>
          <w:szCs w:val="24"/>
        </w:rPr>
        <w:t xml:space="preserve"> of this Commission can also play an important </w:t>
      </w:r>
      <w:r>
        <w:rPr>
          <w:rFonts w:ascii="Times New Roman" w:hAnsi="Times New Roman"/>
          <w:sz w:val="24"/>
          <w:szCs w:val="24"/>
        </w:rPr>
        <w:t>role in establishing and strengthening such observatories.</w:t>
      </w: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intend to present a follow up </w:t>
      </w:r>
      <w:proofErr w:type="spellStart"/>
      <w:r>
        <w:rPr>
          <w:rFonts w:ascii="Times New Roman" w:hAnsi="Times New Roman"/>
          <w:sz w:val="24"/>
          <w:szCs w:val="24"/>
        </w:rPr>
        <w:t>femicide</w:t>
      </w:r>
      <w:proofErr w:type="spellEnd"/>
      <w:r>
        <w:rPr>
          <w:rFonts w:ascii="Times New Roman" w:hAnsi="Times New Roman"/>
          <w:sz w:val="24"/>
          <w:szCs w:val="24"/>
        </w:rPr>
        <w:t xml:space="preserve"> watch report to the 76th session of the UN General Assembly. </w:t>
      </w:r>
    </w:p>
    <w:p w:rsidR="00EF4365" w:rsidRDefault="00EF4365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</w:rPr>
      </w:pP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Ladies and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gentlemen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me now briefly </w:t>
      </w:r>
      <w:r>
        <w:rPr>
          <w:rFonts w:ascii="Times New Roman" w:hAnsi="Times New Roman"/>
          <w:sz w:val="24"/>
          <w:szCs w:val="24"/>
        </w:rPr>
        <w:t xml:space="preserve">refer to my </w:t>
      </w:r>
      <w:r w:rsidR="00EF4365">
        <w:rPr>
          <w:rFonts w:ascii="Times New Roman" w:hAnsi="Times New Roman"/>
          <w:sz w:val="24"/>
          <w:szCs w:val="24"/>
        </w:rPr>
        <w:t xml:space="preserve">upcoming </w:t>
      </w:r>
      <w:r>
        <w:rPr>
          <w:rFonts w:ascii="Times New Roman" w:hAnsi="Times New Roman"/>
          <w:sz w:val="24"/>
          <w:szCs w:val="24"/>
        </w:rPr>
        <w:t xml:space="preserve">report on </w:t>
      </w:r>
      <w:r>
        <w:rPr>
          <w:rFonts w:ascii="Times New Roman" w:hAnsi="Times New Roman"/>
          <w:sz w:val="24"/>
          <w:szCs w:val="24"/>
        </w:rPr>
        <w:t>rape as a human rights violation, a crime and a manifestation of gender-based violence against women and girls, both in peacetime and during conflict, with a focus on States</w:t>
      </w:r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</w:rPr>
        <w:t>responsibility to prevent it, to change the preva</w:t>
      </w:r>
      <w:r>
        <w:rPr>
          <w:rFonts w:ascii="Times New Roman" w:hAnsi="Times New Roman"/>
          <w:sz w:val="24"/>
          <w:szCs w:val="24"/>
        </w:rPr>
        <w:t xml:space="preserve">lent rape culture, culture </w:t>
      </w:r>
      <w:r>
        <w:rPr>
          <w:rFonts w:ascii="Times New Roman" w:hAnsi="Times New Roman"/>
          <w:sz w:val="24"/>
          <w:szCs w:val="24"/>
        </w:rPr>
        <w:t xml:space="preserve">of impunity for perpetrators and stigmatization of victims. </w:t>
      </w: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call on States to harmonize</w:t>
      </w:r>
      <w:r w:rsidR="00EF4365">
        <w:rPr>
          <w:rFonts w:ascii="Times New Roman" w:hAnsi="Times New Roman"/>
          <w:sz w:val="24"/>
          <w:szCs w:val="24"/>
        </w:rPr>
        <w:t xml:space="preserve"> provisions on the</w:t>
      </w:r>
      <w:r>
        <w:rPr>
          <w:rFonts w:ascii="Times New Roman" w:hAnsi="Times New Roman"/>
          <w:sz w:val="24"/>
          <w:szCs w:val="24"/>
        </w:rPr>
        <w:t xml:space="preserve"> criminalization and prosecution of rape with international human rights and criminal law standards, and </w:t>
      </w:r>
      <w:proofErr w:type="gramStart"/>
      <w:r>
        <w:rPr>
          <w:rFonts w:ascii="Times New Roman" w:hAnsi="Times New Roman"/>
          <w:sz w:val="24"/>
          <w:szCs w:val="24"/>
        </w:rPr>
        <w:t>to explicitly include</w:t>
      </w:r>
      <w:proofErr w:type="gramEnd"/>
      <w:r>
        <w:rPr>
          <w:rFonts w:ascii="Times New Roman" w:hAnsi="Times New Roman"/>
          <w:sz w:val="24"/>
          <w:szCs w:val="24"/>
        </w:rPr>
        <w:t xml:space="preserve"> lack of con</w:t>
      </w:r>
      <w:r>
        <w:rPr>
          <w:rFonts w:ascii="Times New Roman" w:hAnsi="Times New Roman"/>
          <w:sz w:val="24"/>
          <w:szCs w:val="24"/>
        </w:rPr>
        <w:t xml:space="preserve">sent in their definitions of rape. I also call </w:t>
      </w:r>
      <w:r w:rsidR="00EF4365">
        <w:rPr>
          <w:rFonts w:ascii="Times New Roman" w:hAnsi="Times New Roman"/>
          <w:sz w:val="24"/>
          <w:szCs w:val="24"/>
        </w:rPr>
        <w:t xml:space="preserve">on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States</w:t>
      </w:r>
      <w:r>
        <w:rPr>
          <w:rFonts w:ascii="Times New Roman" w:hAnsi="Times New Roman"/>
          <w:sz w:val="24"/>
          <w:szCs w:val="24"/>
        </w:rPr>
        <w:t xml:space="preserve"> to abolish statutes of limitation for the prosecution of rape in peace and in conflict</w:t>
      </w:r>
      <w:r>
        <w:rPr>
          <w:rFonts w:ascii="Times New Roman" w:hAnsi="Times New Roman"/>
          <w:sz w:val="24"/>
          <w:szCs w:val="24"/>
        </w:rPr>
        <w:t>. As a harmonization tool</w:t>
      </w:r>
      <w:r w:rsidR="00EF43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 am preparing</w:t>
      </w:r>
      <w:r>
        <w:rPr>
          <w:rFonts w:ascii="Times New Roman" w:hAnsi="Times New Roman"/>
          <w:sz w:val="24"/>
          <w:szCs w:val="24"/>
        </w:rPr>
        <w:t xml:space="preserve"> the Framework for Model Legislation on Rape, which </w:t>
      </w:r>
      <w:proofErr w:type="gramStart"/>
      <w:r>
        <w:rPr>
          <w:rFonts w:ascii="Times New Roman" w:hAnsi="Times New Roman"/>
          <w:sz w:val="24"/>
          <w:szCs w:val="24"/>
        </w:rPr>
        <w:t>will be annexed</w:t>
      </w:r>
      <w:proofErr w:type="gramEnd"/>
      <w:r>
        <w:rPr>
          <w:rFonts w:ascii="Times New Roman" w:hAnsi="Times New Roman"/>
          <w:sz w:val="24"/>
          <w:szCs w:val="24"/>
        </w:rPr>
        <w:t xml:space="preserve"> to my</w:t>
      </w:r>
      <w:r>
        <w:rPr>
          <w:rFonts w:ascii="Times New Roman" w:hAnsi="Times New Roman"/>
          <w:sz w:val="24"/>
          <w:szCs w:val="24"/>
        </w:rPr>
        <w:t xml:space="preserve"> report</w:t>
      </w:r>
      <w:r>
        <w:t xml:space="preserve"> </w:t>
      </w:r>
      <w:r>
        <w:rPr>
          <w:rFonts w:ascii="Times New Roman" w:hAnsi="Times New Roman"/>
          <w:sz w:val="24"/>
          <w:szCs w:val="24"/>
        </w:rPr>
        <w:t>to the Human Rights Council.</w:t>
      </w:r>
    </w:p>
    <w:p w:rsidR="003718BA" w:rsidRDefault="003718BA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Distinguished delegates,</w:t>
      </w:r>
    </w:p>
    <w:p w:rsidR="003718BA" w:rsidRDefault="00AE7EDB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conclusion</w:t>
      </w:r>
      <w:r w:rsidR="00EF43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call on this Commission</w:t>
      </w:r>
      <w:r>
        <w:rPr>
          <w:rFonts w:ascii="Times New Roman" w:hAnsi="Times New Roman"/>
          <w:sz w:val="24"/>
          <w:szCs w:val="24"/>
        </w:rPr>
        <w:t xml:space="preserve"> to include violence against women as a permanent and specific agenda item, which </w:t>
      </w:r>
      <w:proofErr w:type="gramStart"/>
      <w:r>
        <w:rPr>
          <w:rFonts w:ascii="Times New Roman" w:hAnsi="Times New Roman"/>
          <w:sz w:val="24"/>
          <w:szCs w:val="24"/>
        </w:rPr>
        <w:t>should be addressed</w:t>
      </w:r>
      <w:proofErr w:type="gramEnd"/>
      <w:r>
        <w:rPr>
          <w:rFonts w:ascii="Times New Roman" w:hAnsi="Times New Roman"/>
          <w:sz w:val="24"/>
          <w:szCs w:val="24"/>
        </w:rPr>
        <w:t xml:space="preserve"> yearly by its Members. </w:t>
      </w:r>
    </w:p>
    <w:p w:rsidR="003718BA" w:rsidRDefault="003718BA">
      <w:pPr>
        <w:pStyle w:val="BodyA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8BA" w:rsidRDefault="00AE7EDB">
      <w:pPr>
        <w:pStyle w:val="BodyA"/>
        <w:spacing w:line="276" w:lineRule="auto"/>
        <w:jc w:val="both"/>
      </w:pPr>
      <w:r>
        <w:rPr>
          <w:rFonts w:ascii="Times New Roman" w:hAnsi="Times New Roman"/>
          <w:i/>
          <w:iCs/>
          <w:sz w:val="24"/>
          <w:szCs w:val="24"/>
        </w:rPr>
        <w:t>Thank you</w:t>
      </w:r>
    </w:p>
    <w:sectPr w:rsidR="003718BA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7EDB">
      <w:r>
        <w:separator/>
      </w:r>
    </w:p>
  </w:endnote>
  <w:endnote w:type="continuationSeparator" w:id="0">
    <w:p w:rsidR="00000000" w:rsidRDefault="00AE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BA" w:rsidRDefault="003718B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7EDB">
      <w:r>
        <w:separator/>
      </w:r>
    </w:p>
  </w:footnote>
  <w:footnote w:type="continuationSeparator" w:id="0">
    <w:p w:rsidR="00000000" w:rsidRDefault="00AE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BA" w:rsidRDefault="003718B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BA"/>
    <w:rsid w:val="003718BA"/>
    <w:rsid w:val="005B598E"/>
    <w:rsid w:val="00AE7EDB"/>
    <w:rsid w:val="00EF4365"/>
    <w:rsid w:val="00F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6E4E"/>
  <w15:docId w15:val="{41081667-D455-422E-9213-10DDEC38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7C3F4F-2387-4D32-8E1D-C02B7DD8D8E5}"/>
</file>

<file path=customXml/itemProps2.xml><?xml version="1.0" encoding="utf-8"?>
<ds:datastoreItem xmlns:ds="http://schemas.openxmlformats.org/officeDocument/2006/customXml" ds:itemID="{28E70501-865C-4A8E-9313-0D5F6334E541}"/>
</file>

<file path=customXml/itemProps3.xml><?xml version="1.0" encoding="utf-8"?>
<ds:datastoreItem xmlns:ds="http://schemas.openxmlformats.org/officeDocument/2006/customXml" ds:itemID="{ADF0B347-6312-4153-A5B9-E42B24705D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PRETURLAN Renata</dc:creator>
  <cp:lastModifiedBy>PRETURLAN Renata</cp:lastModifiedBy>
  <cp:revision>3</cp:revision>
  <dcterms:created xsi:type="dcterms:W3CDTF">2021-05-06T07:11:00Z</dcterms:created>
  <dcterms:modified xsi:type="dcterms:W3CDTF">2021-05-06T07:11:00Z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