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67DE7" w14:textId="77777777" w:rsidR="00717FB9" w:rsidRDefault="00717FB9" w:rsidP="00717FB9">
      <w:pPr>
        <w:rPr>
          <w:color w:val="1F497D"/>
        </w:rPr>
      </w:pPr>
      <w:bookmarkStart w:id="0" w:name="_GoBack"/>
      <w:bookmarkEnd w:id="0"/>
    </w:p>
    <w:p w14:paraId="0F067DE8" w14:textId="77777777" w:rsidR="00717FB9" w:rsidRDefault="00717FB9" w:rsidP="00717FB9">
      <w:pPr>
        <w:tabs>
          <w:tab w:val="left" w:pos="284"/>
        </w:tabs>
        <w:spacing w:after="120" w:line="36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Portuguese Response to the </w:t>
      </w:r>
      <w:r w:rsidRPr="00717FB9">
        <w:rPr>
          <w:rFonts w:ascii="Times New Roman" w:hAnsi="Times New Roman" w:cs="Times New Roman"/>
          <w:b/>
          <w:sz w:val="24"/>
          <w:szCs w:val="24"/>
          <w:lang w:val="en-US"/>
        </w:rPr>
        <w:t xml:space="preserve">Questionnaire on </w:t>
      </w:r>
      <w:r w:rsidR="003C3DF1">
        <w:rPr>
          <w:rFonts w:ascii="Times New Roman" w:hAnsi="Times New Roman" w:cs="Times New Roman"/>
          <w:b/>
          <w:sz w:val="24"/>
          <w:szCs w:val="24"/>
          <w:lang w:val="en-US"/>
        </w:rPr>
        <w:t>D</w:t>
      </w:r>
      <w:r w:rsidRPr="00717FB9">
        <w:rPr>
          <w:rFonts w:ascii="Times New Roman" w:hAnsi="Times New Roman" w:cs="Times New Roman"/>
          <w:b/>
          <w:sz w:val="24"/>
          <w:szCs w:val="24"/>
          <w:lang w:val="en-US"/>
        </w:rPr>
        <w:t xml:space="preserve">eprivation of </w:t>
      </w:r>
      <w:r w:rsidR="003C3DF1">
        <w:rPr>
          <w:rFonts w:ascii="Times New Roman" w:hAnsi="Times New Roman" w:cs="Times New Roman"/>
          <w:b/>
          <w:sz w:val="24"/>
          <w:szCs w:val="24"/>
          <w:lang w:val="en-US"/>
        </w:rPr>
        <w:t>L</w:t>
      </w:r>
      <w:r w:rsidRPr="00717FB9">
        <w:rPr>
          <w:rFonts w:ascii="Times New Roman" w:hAnsi="Times New Roman" w:cs="Times New Roman"/>
          <w:b/>
          <w:sz w:val="24"/>
          <w:szCs w:val="24"/>
          <w:lang w:val="en-US"/>
        </w:rPr>
        <w:t xml:space="preserve">iberty of </w:t>
      </w:r>
      <w:r w:rsidR="003C3DF1">
        <w:rPr>
          <w:rFonts w:ascii="Times New Roman" w:hAnsi="Times New Roman" w:cs="Times New Roman"/>
          <w:b/>
          <w:sz w:val="24"/>
          <w:szCs w:val="24"/>
          <w:lang w:val="en-US"/>
        </w:rPr>
        <w:t>W</w:t>
      </w:r>
      <w:r w:rsidRPr="00717FB9">
        <w:rPr>
          <w:rFonts w:ascii="Times New Roman" w:hAnsi="Times New Roman" w:cs="Times New Roman"/>
          <w:b/>
          <w:sz w:val="24"/>
          <w:szCs w:val="24"/>
          <w:lang w:val="en-US"/>
        </w:rPr>
        <w:t xml:space="preserve">omen and </w:t>
      </w:r>
      <w:r w:rsidR="003C3DF1">
        <w:rPr>
          <w:rFonts w:ascii="Times New Roman" w:hAnsi="Times New Roman" w:cs="Times New Roman"/>
          <w:b/>
          <w:sz w:val="24"/>
          <w:szCs w:val="24"/>
          <w:lang w:val="en-US"/>
        </w:rPr>
        <w:t>G</w:t>
      </w:r>
      <w:r w:rsidRPr="00717FB9">
        <w:rPr>
          <w:rFonts w:ascii="Times New Roman" w:hAnsi="Times New Roman" w:cs="Times New Roman"/>
          <w:b/>
          <w:sz w:val="24"/>
          <w:szCs w:val="24"/>
          <w:lang w:val="en-US"/>
        </w:rPr>
        <w:t>irls</w:t>
      </w:r>
    </w:p>
    <w:p w14:paraId="0F067DE9" w14:textId="77777777" w:rsidR="00717FB9" w:rsidRPr="00717FB9" w:rsidRDefault="00717FB9" w:rsidP="00717FB9">
      <w:pPr>
        <w:tabs>
          <w:tab w:val="left" w:pos="284"/>
        </w:tabs>
        <w:spacing w:after="120" w:line="360" w:lineRule="exact"/>
        <w:jc w:val="center"/>
        <w:rPr>
          <w:rFonts w:ascii="Times New Roman" w:hAnsi="Times New Roman" w:cs="Times New Roman"/>
          <w:b/>
          <w:sz w:val="24"/>
          <w:szCs w:val="24"/>
          <w:lang w:val="en-US"/>
        </w:rPr>
      </w:pPr>
    </w:p>
    <w:p w14:paraId="0F067DEA" w14:textId="77777777" w:rsidR="00653878" w:rsidRPr="00D4053B" w:rsidRDefault="00653878" w:rsidP="00653878">
      <w:pPr>
        <w:tabs>
          <w:tab w:val="left" w:pos="284"/>
        </w:tabs>
        <w:spacing w:after="120" w:line="360" w:lineRule="exact"/>
        <w:jc w:val="both"/>
        <w:rPr>
          <w:rFonts w:ascii="Times New Roman" w:hAnsi="Times New Roman" w:cs="Times New Roman"/>
          <w:b/>
          <w:sz w:val="24"/>
          <w:szCs w:val="24"/>
          <w:lang w:val="en-US"/>
        </w:rPr>
      </w:pPr>
      <w:r w:rsidRPr="00D4053B">
        <w:rPr>
          <w:rFonts w:ascii="Times New Roman" w:hAnsi="Times New Roman" w:cs="Times New Roman"/>
          <w:b/>
          <w:sz w:val="24"/>
          <w:szCs w:val="24"/>
          <w:lang w:val="en-US"/>
        </w:rPr>
        <w:t>I. Justice system</w:t>
      </w:r>
    </w:p>
    <w:p w14:paraId="0F067DEB"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sidRPr="00D4053B">
        <w:rPr>
          <w:rFonts w:ascii="Times New Roman" w:hAnsi="Times New Roman" w:cs="Times New Roman"/>
          <w:sz w:val="24"/>
          <w:szCs w:val="24"/>
          <w:lang w:val="en-US"/>
        </w:rPr>
        <w:t>According to data from the Directorate-General of Justice Policy (DGPJ), the main category of crimes for which women are detained in Portugal is ‘crimes associated with trafficking in narcotics’, followed by ‘patrimonial crimes’ (theft or scam) and ‘crimes against persons’ (homicide or physical offense).</w:t>
      </w:r>
    </w:p>
    <w:p w14:paraId="0F067DEC"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sidRPr="00D4053B">
        <w:rPr>
          <w:rFonts w:ascii="Times New Roman" w:hAnsi="Times New Roman" w:cs="Times New Roman"/>
          <w:sz w:val="24"/>
          <w:szCs w:val="24"/>
          <w:lang w:val="en-US"/>
        </w:rPr>
        <w:t>There are neither women nor men detained for crimes associated with right to opinion</w:t>
      </w:r>
      <w:r>
        <w:rPr>
          <w:rFonts w:ascii="Times New Roman" w:hAnsi="Times New Roman" w:cs="Times New Roman"/>
          <w:sz w:val="24"/>
          <w:szCs w:val="24"/>
          <w:lang w:val="en-US"/>
        </w:rPr>
        <w:t xml:space="preserve"> and/or defense of civil rights in Portugal.</w:t>
      </w:r>
    </w:p>
    <w:p w14:paraId="0F067DED"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sidRPr="00D4053B">
        <w:rPr>
          <w:rFonts w:ascii="Times New Roman" w:hAnsi="Times New Roman" w:cs="Times New Roman"/>
          <w:sz w:val="24"/>
          <w:szCs w:val="24"/>
          <w:lang w:val="en-US"/>
        </w:rPr>
        <w:t>A disproportionate number of women detained in Portugal are foreigners: they make up 16,6% of the total of women detained, while the share of foreign women in the resident population in Portugal stands at 3,9%.</w:t>
      </w:r>
    </w:p>
    <w:p w14:paraId="0F067DEE" w14:textId="77777777" w:rsidR="00653878" w:rsidRPr="00F06B48" w:rsidRDefault="00653878" w:rsidP="00653878">
      <w:pPr>
        <w:tabs>
          <w:tab w:val="left" w:pos="284"/>
        </w:tabs>
        <w:spacing w:after="120" w:line="360" w:lineRule="exact"/>
        <w:jc w:val="both"/>
        <w:rPr>
          <w:rFonts w:ascii="Times New Roman" w:hAnsi="Times New Roman" w:cs="Times New Roman"/>
          <w:sz w:val="24"/>
          <w:szCs w:val="24"/>
        </w:rPr>
      </w:pPr>
      <w:r w:rsidRPr="00F06B48">
        <w:rPr>
          <w:rFonts w:ascii="Times New Roman" w:hAnsi="Times New Roman" w:cs="Times New Roman"/>
          <w:sz w:val="24"/>
          <w:szCs w:val="24"/>
        </w:rPr>
        <w:t>Good practices include:</w:t>
      </w:r>
    </w:p>
    <w:p w14:paraId="0F067DEF" w14:textId="77777777" w:rsidR="00653878" w:rsidRPr="00D4053B" w:rsidRDefault="00653878" w:rsidP="00653878">
      <w:pPr>
        <w:pStyle w:val="ListParagraph"/>
        <w:numPr>
          <w:ilvl w:val="0"/>
          <w:numId w:val="3"/>
        </w:numPr>
        <w:tabs>
          <w:tab w:val="left" w:pos="284"/>
        </w:tabs>
        <w:spacing w:after="120" w:line="360" w:lineRule="exact"/>
        <w:ind w:left="284" w:hanging="284"/>
        <w:contextualSpacing w:val="0"/>
        <w:jc w:val="both"/>
        <w:rPr>
          <w:rFonts w:ascii="Times New Roman" w:hAnsi="Times New Roman" w:cs="Times New Roman"/>
          <w:sz w:val="24"/>
          <w:szCs w:val="24"/>
          <w:lang w:val="en-US"/>
        </w:rPr>
      </w:pPr>
      <w:r w:rsidRPr="00D4053B">
        <w:rPr>
          <w:rFonts w:ascii="Times New Roman" w:hAnsi="Times New Roman" w:cs="Times New Roman"/>
          <w:sz w:val="24"/>
          <w:szCs w:val="24"/>
          <w:lang w:val="en-US"/>
        </w:rPr>
        <w:t>Custodial sentences are carried out in accordance with the recommendations of the Recommendation Rec(2006)2 of the Committee of Ministers to member states on the European Prison Rules (Council of Europe) and the United Nations Standard Minimum Rules for the Treatment of Prisoners (the Nelson Mandela Rules).</w:t>
      </w:r>
    </w:p>
    <w:p w14:paraId="0F067DF0" w14:textId="77777777" w:rsidR="00653878" w:rsidRPr="00D4053B" w:rsidRDefault="00653878" w:rsidP="00653878">
      <w:pPr>
        <w:pStyle w:val="ListParagraph"/>
        <w:numPr>
          <w:ilvl w:val="0"/>
          <w:numId w:val="1"/>
        </w:numPr>
        <w:tabs>
          <w:tab w:val="left" w:pos="284"/>
        </w:tabs>
        <w:spacing w:after="120" w:line="360" w:lineRule="exact"/>
        <w:ind w:left="284" w:hanging="284"/>
        <w:contextualSpacing w:val="0"/>
        <w:jc w:val="both"/>
        <w:rPr>
          <w:rFonts w:ascii="Times New Roman" w:hAnsi="Times New Roman" w:cs="Times New Roman"/>
          <w:sz w:val="24"/>
          <w:szCs w:val="24"/>
          <w:lang w:val="en-US"/>
        </w:rPr>
      </w:pPr>
      <w:r w:rsidRPr="00D4053B">
        <w:rPr>
          <w:rFonts w:ascii="Times New Roman" w:hAnsi="Times New Roman" w:cs="Times New Roman"/>
          <w:sz w:val="24"/>
          <w:szCs w:val="24"/>
          <w:lang w:val="en-US"/>
        </w:rPr>
        <w:t>In line with the overall principle of equality in the national Constitution, justice services ensure no gender differentiation is made with regard to legis</w:t>
      </w:r>
      <w:r>
        <w:rPr>
          <w:rFonts w:ascii="Times New Roman" w:hAnsi="Times New Roman" w:cs="Times New Roman"/>
          <w:sz w:val="24"/>
          <w:szCs w:val="24"/>
          <w:lang w:val="en-US"/>
        </w:rPr>
        <w:t>lation, application of program</w:t>
      </w:r>
      <w:r w:rsidRPr="00D4053B">
        <w:rPr>
          <w:rFonts w:ascii="Times New Roman" w:hAnsi="Times New Roman" w:cs="Times New Roman"/>
          <w:sz w:val="24"/>
          <w:szCs w:val="24"/>
          <w:lang w:val="en-US"/>
        </w:rPr>
        <w:t>s or access to education and work. The only differentiation pertain</w:t>
      </w:r>
      <w:r>
        <w:rPr>
          <w:rFonts w:ascii="Times New Roman" w:hAnsi="Times New Roman" w:cs="Times New Roman"/>
          <w:sz w:val="24"/>
          <w:szCs w:val="24"/>
          <w:lang w:val="en-US"/>
        </w:rPr>
        <w:t>s to the placement of detainees.</w:t>
      </w:r>
      <w:r w:rsidRPr="00D4053B">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D4053B">
        <w:rPr>
          <w:rFonts w:ascii="Times New Roman" w:hAnsi="Times New Roman" w:cs="Times New Roman"/>
          <w:sz w:val="24"/>
          <w:szCs w:val="24"/>
          <w:lang w:val="en-US"/>
        </w:rPr>
        <w:t>here are currently three prison establishments for women in Portugal, plus women’s sections in four male prison establishments.</w:t>
      </w:r>
    </w:p>
    <w:p w14:paraId="0F067DF1"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sidRPr="00D4053B">
        <w:rPr>
          <w:rFonts w:ascii="Times New Roman" w:hAnsi="Times New Roman" w:cs="Times New Roman"/>
          <w:sz w:val="24"/>
          <w:szCs w:val="24"/>
          <w:lang w:val="en-US"/>
        </w:rPr>
        <w:t>The number of women detainees has remained stable in the last years. They are currently 853, the same exact number as in 2013. In the meantime, this figure has varied only between 841 (the lowest value, in 2014) and 869 (the highest, in 2016).</w:t>
      </w:r>
    </w:p>
    <w:p w14:paraId="0F067DF2"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p>
    <w:p w14:paraId="0F067DF3" w14:textId="77777777" w:rsidR="00653878" w:rsidRPr="00D4053B" w:rsidRDefault="00653878" w:rsidP="00653878">
      <w:pPr>
        <w:tabs>
          <w:tab w:val="left" w:pos="284"/>
        </w:tabs>
        <w:spacing w:after="120" w:line="360" w:lineRule="exact"/>
        <w:jc w:val="both"/>
        <w:rPr>
          <w:rFonts w:ascii="Times New Roman" w:hAnsi="Times New Roman" w:cs="Times New Roman"/>
          <w:b/>
          <w:sz w:val="24"/>
          <w:szCs w:val="24"/>
          <w:lang w:val="en-US"/>
        </w:rPr>
      </w:pPr>
      <w:r w:rsidRPr="00D4053B">
        <w:rPr>
          <w:rFonts w:ascii="Times New Roman" w:hAnsi="Times New Roman" w:cs="Times New Roman"/>
          <w:b/>
          <w:sz w:val="24"/>
          <w:szCs w:val="24"/>
          <w:lang w:val="en-US"/>
        </w:rPr>
        <w:t>II. Other institutions</w:t>
      </w:r>
    </w:p>
    <w:p w14:paraId="0F067DF4"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D4053B">
        <w:rPr>
          <w:rFonts w:ascii="Times New Roman" w:hAnsi="Times New Roman" w:cs="Times New Roman"/>
          <w:sz w:val="24"/>
          <w:szCs w:val="24"/>
          <w:lang w:val="en-US"/>
        </w:rPr>
        <w:t>wo other c</w:t>
      </w:r>
      <w:r>
        <w:rPr>
          <w:rFonts w:ascii="Times New Roman" w:hAnsi="Times New Roman" w:cs="Times New Roman"/>
          <w:sz w:val="24"/>
          <w:szCs w:val="24"/>
          <w:lang w:val="en-US"/>
        </w:rPr>
        <w:t>ase</w:t>
      </w:r>
      <w:r w:rsidRPr="00D4053B">
        <w:rPr>
          <w:rFonts w:ascii="Times New Roman" w:hAnsi="Times New Roman" w:cs="Times New Roman"/>
          <w:sz w:val="24"/>
          <w:szCs w:val="24"/>
          <w:lang w:val="en-US"/>
        </w:rPr>
        <w:t>s of i</w:t>
      </w:r>
      <w:r>
        <w:rPr>
          <w:rFonts w:ascii="Times New Roman" w:hAnsi="Times New Roman" w:cs="Times New Roman"/>
          <w:sz w:val="24"/>
          <w:szCs w:val="24"/>
          <w:lang w:val="en-US"/>
        </w:rPr>
        <w:t>nstitutionaliz</w:t>
      </w:r>
      <w:r w:rsidRPr="00D4053B">
        <w:rPr>
          <w:rFonts w:ascii="Times New Roman" w:hAnsi="Times New Roman" w:cs="Times New Roman"/>
          <w:sz w:val="24"/>
          <w:szCs w:val="24"/>
          <w:lang w:val="en-US"/>
        </w:rPr>
        <w:t>ation</w:t>
      </w:r>
      <w:r>
        <w:rPr>
          <w:rFonts w:ascii="Times New Roman" w:hAnsi="Times New Roman" w:cs="Times New Roman"/>
          <w:sz w:val="24"/>
          <w:szCs w:val="24"/>
          <w:lang w:val="en-US"/>
        </w:rPr>
        <w:t xml:space="preserve"> should be considered</w:t>
      </w:r>
      <w:r w:rsidRPr="00D4053B">
        <w:rPr>
          <w:rFonts w:ascii="Times New Roman" w:hAnsi="Times New Roman" w:cs="Times New Roman"/>
          <w:sz w:val="24"/>
          <w:szCs w:val="24"/>
          <w:lang w:val="en-US"/>
        </w:rPr>
        <w:t xml:space="preserve">: </w:t>
      </w:r>
      <w:r w:rsidRPr="00622622">
        <w:rPr>
          <w:rFonts w:ascii="Times New Roman" w:hAnsi="Times New Roman" w:cs="Times New Roman"/>
          <w:i/>
          <w:sz w:val="24"/>
          <w:szCs w:val="24"/>
          <w:lang w:val="en-US"/>
        </w:rPr>
        <w:t>a)</w:t>
      </w:r>
      <w:r>
        <w:rPr>
          <w:rFonts w:ascii="Times New Roman" w:hAnsi="Times New Roman" w:cs="Times New Roman"/>
          <w:sz w:val="24"/>
          <w:szCs w:val="24"/>
          <w:lang w:val="en-US"/>
        </w:rPr>
        <w:t xml:space="preserve"> Minors aged between 12 and 16 years who committed</w:t>
      </w:r>
      <w:r w:rsidRPr="00D4053B">
        <w:rPr>
          <w:rFonts w:ascii="Times New Roman" w:hAnsi="Times New Roman" w:cs="Times New Roman"/>
          <w:sz w:val="24"/>
          <w:szCs w:val="24"/>
          <w:lang w:val="en-US"/>
        </w:rPr>
        <w:t xml:space="preserve"> </w:t>
      </w:r>
      <w:r>
        <w:rPr>
          <w:rFonts w:ascii="Times New Roman" w:hAnsi="Times New Roman" w:cs="Times New Roman"/>
          <w:sz w:val="24"/>
          <w:szCs w:val="24"/>
          <w:lang w:val="en-US"/>
        </w:rPr>
        <w:t>an act</w:t>
      </w:r>
      <w:r w:rsidRPr="00D4053B">
        <w:rPr>
          <w:rFonts w:ascii="Times New Roman" w:hAnsi="Times New Roman" w:cs="Times New Roman"/>
          <w:sz w:val="24"/>
          <w:szCs w:val="24"/>
          <w:lang w:val="en-US"/>
        </w:rPr>
        <w:t xml:space="preserve"> qualified as crime</w:t>
      </w:r>
      <w:r>
        <w:rPr>
          <w:rFonts w:ascii="Times New Roman" w:hAnsi="Times New Roman" w:cs="Times New Roman"/>
          <w:sz w:val="24"/>
          <w:szCs w:val="24"/>
          <w:lang w:val="en-US"/>
        </w:rPr>
        <w:t>,</w:t>
      </w:r>
      <w:r w:rsidRPr="00D4053B">
        <w:rPr>
          <w:rFonts w:ascii="Times New Roman" w:hAnsi="Times New Roman" w:cs="Times New Roman"/>
          <w:sz w:val="24"/>
          <w:szCs w:val="24"/>
          <w:lang w:val="en-US"/>
        </w:rPr>
        <w:t xml:space="preserve"> and </w:t>
      </w:r>
      <w:r w:rsidRPr="00622622">
        <w:rPr>
          <w:rFonts w:ascii="Times New Roman" w:hAnsi="Times New Roman" w:cs="Times New Roman"/>
          <w:i/>
          <w:sz w:val="24"/>
          <w:szCs w:val="24"/>
          <w:lang w:val="en-US"/>
        </w:rPr>
        <w:t>b)</w:t>
      </w:r>
      <w:r>
        <w:rPr>
          <w:rFonts w:ascii="Times New Roman" w:hAnsi="Times New Roman" w:cs="Times New Roman"/>
          <w:sz w:val="24"/>
          <w:szCs w:val="24"/>
          <w:lang w:val="en-US"/>
        </w:rPr>
        <w:t xml:space="preserve"> V</w:t>
      </w:r>
      <w:r w:rsidRPr="00D4053B">
        <w:rPr>
          <w:rFonts w:ascii="Times New Roman" w:hAnsi="Times New Roman" w:cs="Times New Roman"/>
          <w:sz w:val="24"/>
          <w:szCs w:val="24"/>
          <w:lang w:val="en-US"/>
        </w:rPr>
        <w:t>ictims of trafficking in human beings.</w:t>
      </w:r>
    </w:p>
    <w:p w14:paraId="0F067DF5" w14:textId="77777777" w:rsidR="00653878" w:rsidRDefault="00653878" w:rsidP="00653878">
      <w:pPr>
        <w:tabs>
          <w:tab w:val="left" w:pos="284"/>
        </w:tabs>
        <w:spacing w:after="120" w:line="360" w:lineRule="exact"/>
        <w:jc w:val="both"/>
        <w:rPr>
          <w:rFonts w:ascii="Times New Roman" w:hAnsi="Times New Roman" w:cs="Times New Roman"/>
          <w:sz w:val="24"/>
          <w:szCs w:val="24"/>
          <w:lang w:val="en-US"/>
        </w:rPr>
      </w:pPr>
    </w:p>
    <w:p w14:paraId="0F067DF6"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a) Minors aged between 12 and 16 years who committed an act qualified as crime may</w:t>
      </w:r>
      <w:r w:rsidRPr="00D4053B">
        <w:rPr>
          <w:rFonts w:ascii="Times New Roman" w:hAnsi="Times New Roman" w:cs="Times New Roman"/>
          <w:sz w:val="24"/>
          <w:szCs w:val="24"/>
          <w:lang w:val="en-US"/>
        </w:rPr>
        <w:t xml:space="preserve"> be placed </w:t>
      </w:r>
      <w:r>
        <w:rPr>
          <w:rFonts w:ascii="Times New Roman" w:hAnsi="Times New Roman" w:cs="Times New Roman"/>
          <w:sz w:val="24"/>
          <w:szCs w:val="24"/>
          <w:lang w:val="en-US"/>
        </w:rPr>
        <w:t>in an</w:t>
      </w:r>
      <w:r w:rsidRPr="00D4053B">
        <w:rPr>
          <w:rFonts w:ascii="Times New Roman" w:hAnsi="Times New Roman" w:cs="Times New Roman"/>
          <w:sz w:val="24"/>
          <w:szCs w:val="24"/>
          <w:lang w:val="en-US"/>
        </w:rPr>
        <w:t xml:space="preserve"> Educational Centre (</w:t>
      </w:r>
      <w:r w:rsidRPr="00D4053B">
        <w:rPr>
          <w:rFonts w:ascii="Times New Roman" w:hAnsi="Times New Roman" w:cs="Times New Roman"/>
          <w:i/>
          <w:sz w:val="24"/>
          <w:szCs w:val="24"/>
          <w:lang w:val="en-US"/>
        </w:rPr>
        <w:t>Centro Educativo</w:t>
      </w:r>
      <w:r w:rsidRPr="00D4053B">
        <w:rPr>
          <w:rFonts w:ascii="Times New Roman" w:hAnsi="Times New Roman" w:cs="Times New Roman"/>
          <w:sz w:val="24"/>
          <w:szCs w:val="24"/>
          <w:lang w:val="en-US"/>
        </w:rPr>
        <w:t>) under State’s custody</w:t>
      </w:r>
      <w:r>
        <w:rPr>
          <w:rFonts w:ascii="Times New Roman" w:hAnsi="Times New Roman" w:cs="Times New Roman"/>
          <w:sz w:val="24"/>
          <w:szCs w:val="24"/>
          <w:lang w:val="en-US"/>
        </w:rPr>
        <w:t xml:space="preserve">. This is the most extreme measure within a variety of measures that can be applied by the court for the purposes </w:t>
      </w:r>
      <w:r w:rsidRPr="00622622">
        <w:rPr>
          <w:rFonts w:ascii="Times New Roman" w:hAnsi="Times New Roman" w:cs="Times New Roman"/>
          <w:sz w:val="24"/>
          <w:szCs w:val="24"/>
          <w:lang w:val="en-US"/>
        </w:rPr>
        <w:t>of education and social integration</w:t>
      </w:r>
      <w:r>
        <w:rPr>
          <w:rFonts w:ascii="Times New Roman" w:hAnsi="Times New Roman" w:cs="Times New Roman"/>
          <w:sz w:val="24"/>
          <w:szCs w:val="24"/>
          <w:lang w:val="en-US"/>
        </w:rPr>
        <w:t xml:space="preserve">. </w:t>
      </w:r>
      <w:r w:rsidRPr="00D4053B">
        <w:rPr>
          <w:rFonts w:ascii="Times New Roman" w:hAnsi="Times New Roman" w:cs="Times New Roman"/>
          <w:sz w:val="24"/>
          <w:szCs w:val="24"/>
          <w:lang w:val="en-US"/>
        </w:rPr>
        <w:t xml:space="preserve">Criminal procedures apply </w:t>
      </w:r>
      <w:r>
        <w:rPr>
          <w:rFonts w:ascii="Times New Roman" w:hAnsi="Times New Roman" w:cs="Times New Roman"/>
          <w:sz w:val="24"/>
          <w:szCs w:val="24"/>
          <w:lang w:val="en-US"/>
        </w:rPr>
        <w:t xml:space="preserve">only </w:t>
      </w:r>
      <w:r w:rsidRPr="00D4053B">
        <w:rPr>
          <w:rFonts w:ascii="Times New Roman" w:hAnsi="Times New Roman" w:cs="Times New Roman"/>
          <w:sz w:val="24"/>
          <w:szCs w:val="24"/>
          <w:lang w:val="en-US"/>
        </w:rPr>
        <w:t xml:space="preserve">to persons aged 16 </w:t>
      </w:r>
      <w:r>
        <w:rPr>
          <w:rFonts w:ascii="Times New Roman" w:hAnsi="Times New Roman" w:cs="Times New Roman"/>
          <w:sz w:val="24"/>
          <w:szCs w:val="24"/>
          <w:lang w:val="en-US"/>
        </w:rPr>
        <w:t>or</w:t>
      </w:r>
      <w:r w:rsidRPr="00D4053B">
        <w:rPr>
          <w:rFonts w:ascii="Times New Roman" w:hAnsi="Times New Roman" w:cs="Times New Roman"/>
          <w:sz w:val="24"/>
          <w:szCs w:val="24"/>
          <w:lang w:val="en-US"/>
        </w:rPr>
        <w:t xml:space="preserve"> older</w:t>
      </w:r>
      <w:r>
        <w:rPr>
          <w:rFonts w:ascii="Times New Roman" w:hAnsi="Times New Roman" w:cs="Times New Roman"/>
          <w:sz w:val="24"/>
          <w:szCs w:val="24"/>
          <w:lang w:val="en-US"/>
        </w:rPr>
        <w:t>.</w:t>
      </w:r>
    </w:p>
    <w:p w14:paraId="0F067DF7"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sidRPr="00D4053B">
        <w:rPr>
          <w:rFonts w:ascii="Times New Roman" w:hAnsi="Times New Roman" w:cs="Times New Roman"/>
          <w:sz w:val="24"/>
          <w:szCs w:val="24"/>
          <w:lang w:val="en-US"/>
        </w:rPr>
        <w:lastRenderedPageBreak/>
        <w:t>According t</w:t>
      </w:r>
      <w:r>
        <w:rPr>
          <w:rFonts w:ascii="Times New Roman" w:hAnsi="Times New Roman" w:cs="Times New Roman"/>
          <w:sz w:val="24"/>
          <w:szCs w:val="24"/>
          <w:lang w:val="en-US"/>
        </w:rPr>
        <w:t>o the latest report by the commission</w:t>
      </w:r>
      <w:r w:rsidRPr="00D4053B">
        <w:rPr>
          <w:rFonts w:ascii="Times New Roman" w:hAnsi="Times New Roman" w:cs="Times New Roman"/>
          <w:sz w:val="24"/>
          <w:szCs w:val="24"/>
          <w:lang w:val="en-US"/>
        </w:rPr>
        <w:t xml:space="preserve"> supervis</w:t>
      </w:r>
      <w:r>
        <w:rPr>
          <w:rFonts w:ascii="Times New Roman" w:hAnsi="Times New Roman" w:cs="Times New Roman"/>
          <w:sz w:val="24"/>
          <w:szCs w:val="24"/>
          <w:lang w:val="en-US"/>
        </w:rPr>
        <w:t>ing</w:t>
      </w:r>
      <w:r w:rsidRPr="00D4053B">
        <w:rPr>
          <w:rFonts w:ascii="Times New Roman" w:hAnsi="Times New Roman" w:cs="Times New Roman"/>
          <w:sz w:val="24"/>
          <w:szCs w:val="24"/>
          <w:lang w:val="en-US"/>
        </w:rPr>
        <w:t xml:space="preserve"> the operation of Educational Centers (</w:t>
      </w:r>
      <w:r w:rsidRPr="00CF74BD">
        <w:rPr>
          <w:rFonts w:ascii="Times New Roman" w:hAnsi="Times New Roman" w:cs="Times New Roman"/>
          <w:i/>
          <w:sz w:val="24"/>
          <w:szCs w:val="24"/>
          <w:lang w:val="en-US"/>
        </w:rPr>
        <w:t>Comissão de Fiscalização e Acompanhamento de Centros Educativos</w:t>
      </w:r>
      <w:r w:rsidRPr="00D4053B">
        <w:rPr>
          <w:rFonts w:ascii="Times New Roman" w:hAnsi="Times New Roman" w:cs="Times New Roman"/>
          <w:sz w:val="24"/>
          <w:szCs w:val="24"/>
          <w:lang w:val="en-US"/>
        </w:rPr>
        <w:t>), there w</w:t>
      </w:r>
      <w:r>
        <w:rPr>
          <w:rFonts w:ascii="Times New Roman" w:hAnsi="Times New Roman" w:cs="Times New Roman"/>
          <w:sz w:val="24"/>
          <w:szCs w:val="24"/>
          <w:lang w:val="en-US"/>
        </w:rPr>
        <w:t>as a total of</w:t>
      </w:r>
      <w:r w:rsidRPr="00D4053B">
        <w:rPr>
          <w:rFonts w:ascii="Times New Roman" w:hAnsi="Times New Roman" w:cs="Times New Roman"/>
          <w:sz w:val="24"/>
          <w:szCs w:val="24"/>
          <w:lang w:val="en-US"/>
        </w:rPr>
        <w:t xml:space="preserve"> 16 girls in Educational Centres by April 2017. In the same report, this commission</w:t>
      </w:r>
      <w:r>
        <w:rPr>
          <w:rFonts w:ascii="Times New Roman" w:hAnsi="Times New Roman" w:cs="Times New Roman"/>
          <w:sz w:val="24"/>
          <w:szCs w:val="24"/>
          <w:lang w:val="en-US"/>
        </w:rPr>
        <w:t xml:space="preserve"> concluded that the model of intervention applied to girls should be revised and reformulated with contributions from various fields of expertise (juvenile justice, psychology, sociology, pedagogics) to better address specific needs of girls and correct gender inequalities in current practices, apparent for example in the evidence that girls have smaller spaces of outdoors activities as well as less equipment and less alternatives as to activities; less careful and adequate clothing; and less options as to opportunities of professional and technological training. The reasons identified for this differentiation pertains to girls in Educational Centres being in much lesser number than boys and current practices therefore following a model of intervention designed with boys as the main reference.</w:t>
      </w:r>
    </w:p>
    <w:p w14:paraId="0F067DF8" w14:textId="77777777" w:rsidR="00653878" w:rsidRPr="00D251A2" w:rsidRDefault="00653878" w:rsidP="00653878">
      <w:pPr>
        <w:tabs>
          <w:tab w:val="left" w:pos="284"/>
        </w:tabs>
        <w:spacing w:after="120" w:line="360" w:lineRule="exact"/>
        <w:jc w:val="both"/>
        <w:rPr>
          <w:rFonts w:ascii="Times New Roman" w:hAnsi="Times New Roman" w:cs="Times New Roman"/>
          <w:sz w:val="24"/>
          <w:szCs w:val="24"/>
          <w:lang w:val="en-US"/>
        </w:rPr>
      </w:pPr>
      <w:r w:rsidRPr="00D251A2">
        <w:rPr>
          <w:rFonts w:ascii="Times New Roman" w:hAnsi="Times New Roman" w:cs="Times New Roman"/>
          <w:sz w:val="24"/>
          <w:szCs w:val="24"/>
          <w:lang w:val="en-US"/>
        </w:rPr>
        <w:t>Two measu</w:t>
      </w:r>
      <w:r>
        <w:rPr>
          <w:rFonts w:ascii="Times New Roman" w:hAnsi="Times New Roman" w:cs="Times New Roman"/>
          <w:sz w:val="24"/>
          <w:szCs w:val="24"/>
          <w:lang w:val="en-US"/>
        </w:rPr>
        <w:t>res are currently being implemented to tackle this problem, both integrated in the National Strategy for Equality and Non-Discrimination approved by the Government in March 2018:</w:t>
      </w:r>
    </w:p>
    <w:p w14:paraId="0F067DF9" w14:textId="77777777" w:rsidR="00653878" w:rsidRPr="00044F3B" w:rsidRDefault="00653878" w:rsidP="00653878">
      <w:pPr>
        <w:pStyle w:val="ListParagraph"/>
        <w:numPr>
          <w:ilvl w:val="0"/>
          <w:numId w:val="4"/>
        </w:numPr>
        <w:tabs>
          <w:tab w:val="left" w:pos="284"/>
        </w:tabs>
        <w:spacing w:after="120" w:line="360" w:lineRule="exact"/>
        <w:ind w:left="284" w:hanging="284"/>
        <w:contextualSpacing w:val="0"/>
        <w:jc w:val="both"/>
        <w:rPr>
          <w:rFonts w:ascii="Times New Roman" w:hAnsi="Times New Roman" w:cs="Times New Roman"/>
          <w:sz w:val="24"/>
          <w:szCs w:val="24"/>
          <w:lang w:val="en-US"/>
        </w:rPr>
      </w:pPr>
      <w:r w:rsidRPr="00044F3B">
        <w:rPr>
          <w:rFonts w:ascii="Times New Roman" w:hAnsi="Times New Roman" w:cs="Times New Roman"/>
          <w:sz w:val="24"/>
          <w:szCs w:val="24"/>
          <w:lang w:val="en-US"/>
        </w:rPr>
        <w:t>Elaboration of a model of intervention targeting girls in Educational Centres</w:t>
      </w:r>
      <w:r>
        <w:rPr>
          <w:rFonts w:ascii="Times New Roman" w:hAnsi="Times New Roman" w:cs="Times New Roman"/>
          <w:sz w:val="24"/>
          <w:szCs w:val="24"/>
          <w:lang w:val="en-US"/>
        </w:rPr>
        <w:t>, to be designed</w:t>
      </w:r>
      <w:r w:rsidRPr="00044F3B">
        <w:rPr>
          <w:rFonts w:ascii="Times New Roman" w:hAnsi="Times New Roman" w:cs="Times New Roman"/>
          <w:sz w:val="24"/>
          <w:szCs w:val="24"/>
          <w:lang w:val="en-US"/>
        </w:rPr>
        <w:t xml:space="preserve"> </w:t>
      </w:r>
      <w:r>
        <w:rPr>
          <w:rFonts w:ascii="Times New Roman" w:hAnsi="Times New Roman" w:cs="Times New Roman"/>
          <w:sz w:val="24"/>
          <w:szCs w:val="24"/>
          <w:lang w:val="en-US"/>
        </w:rPr>
        <w:t>before</w:t>
      </w:r>
      <w:r w:rsidRPr="00044F3B">
        <w:rPr>
          <w:rFonts w:ascii="Times New Roman" w:hAnsi="Times New Roman" w:cs="Times New Roman"/>
          <w:sz w:val="24"/>
          <w:szCs w:val="24"/>
          <w:lang w:val="en-US"/>
        </w:rPr>
        <w:t xml:space="preserve"> 31 January 2019 and launched </w:t>
      </w:r>
      <w:r>
        <w:rPr>
          <w:rFonts w:ascii="Times New Roman" w:hAnsi="Times New Roman" w:cs="Times New Roman"/>
          <w:sz w:val="24"/>
          <w:szCs w:val="24"/>
          <w:lang w:val="en-US"/>
        </w:rPr>
        <w:t>as</w:t>
      </w:r>
      <w:r w:rsidRPr="00044F3B">
        <w:rPr>
          <w:rFonts w:ascii="Times New Roman" w:hAnsi="Times New Roman" w:cs="Times New Roman"/>
          <w:sz w:val="24"/>
          <w:szCs w:val="24"/>
          <w:lang w:val="en-US"/>
        </w:rPr>
        <w:t xml:space="preserve"> a pilot</w:t>
      </w:r>
      <w:r>
        <w:rPr>
          <w:rFonts w:ascii="Times New Roman" w:hAnsi="Times New Roman" w:cs="Times New Roman"/>
          <w:sz w:val="24"/>
          <w:szCs w:val="24"/>
          <w:lang w:val="en-US"/>
        </w:rPr>
        <w:t xml:space="preserve"> test</w:t>
      </w:r>
      <w:r w:rsidRPr="00044F3B">
        <w:rPr>
          <w:rFonts w:ascii="Times New Roman" w:hAnsi="Times New Roman" w:cs="Times New Roman"/>
          <w:sz w:val="24"/>
          <w:szCs w:val="24"/>
          <w:lang w:val="en-US"/>
        </w:rPr>
        <w:t xml:space="preserve"> in two Educational Centres </w:t>
      </w:r>
      <w:r>
        <w:rPr>
          <w:rFonts w:ascii="Times New Roman" w:hAnsi="Times New Roman" w:cs="Times New Roman"/>
          <w:sz w:val="24"/>
          <w:szCs w:val="24"/>
          <w:lang w:val="en-US"/>
        </w:rPr>
        <w:t>before</w:t>
      </w:r>
      <w:r w:rsidRPr="00044F3B">
        <w:rPr>
          <w:rFonts w:ascii="Times New Roman" w:hAnsi="Times New Roman" w:cs="Times New Roman"/>
          <w:sz w:val="24"/>
          <w:szCs w:val="24"/>
          <w:lang w:val="en-US"/>
        </w:rPr>
        <w:t xml:space="preserve"> 31 December 2019. This measure is jointly undertaken by the Directorate-General of Justice Policy</w:t>
      </w:r>
      <w:r>
        <w:rPr>
          <w:rFonts w:ascii="Times New Roman" w:hAnsi="Times New Roman" w:cs="Times New Roman"/>
          <w:sz w:val="24"/>
          <w:szCs w:val="24"/>
          <w:lang w:val="en-US"/>
        </w:rPr>
        <w:t xml:space="preserve"> (under the Ministry of Justice)</w:t>
      </w:r>
      <w:r w:rsidRPr="00044F3B">
        <w:rPr>
          <w:rFonts w:ascii="Times New Roman" w:hAnsi="Times New Roman" w:cs="Times New Roman"/>
          <w:sz w:val="24"/>
          <w:szCs w:val="24"/>
          <w:lang w:val="en-US"/>
        </w:rPr>
        <w:t xml:space="preserve"> and the Commission for Citizenship and Gender Equality</w:t>
      </w:r>
      <w:r>
        <w:rPr>
          <w:rFonts w:ascii="Times New Roman" w:hAnsi="Times New Roman" w:cs="Times New Roman"/>
          <w:sz w:val="24"/>
          <w:szCs w:val="24"/>
          <w:lang w:val="en-US"/>
        </w:rPr>
        <w:t xml:space="preserve"> (under the Secretary of State for Citizenship and Equality)</w:t>
      </w:r>
      <w:r w:rsidRPr="00044F3B">
        <w:rPr>
          <w:rFonts w:ascii="Times New Roman" w:hAnsi="Times New Roman" w:cs="Times New Roman"/>
          <w:sz w:val="24"/>
          <w:szCs w:val="24"/>
          <w:lang w:val="en-US"/>
        </w:rPr>
        <w:t>, in partnership with the commission supervising the operation of Educational Centres.</w:t>
      </w:r>
    </w:p>
    <w:p w14:paraId="0F067DFA" w14:textId="77777777" w:rsidR="00653878" w:rsidRPr="00044F3B" w:rsidRDefault="00653878" w:rsidP="00653878">
      <w:pPr>
        <w:pStyle w:val="ListParagraph"/>
        <w:numPr>
          <w:ilvl w:val="0"/>
          <w:numId w:val="4"/>
        </w:numPr>
        <w:tabs>
          <w:tab w:val="left" w:pos="284"/>
        </w:tabs>
        <w:spacing w:after="120" w:line="360" w:lineRule="exact"/>
        <w:ind w:left="284" w:hanging="284"/>
        <w:contextualSpacing w:val="0"/>
        <w:jc w:val="both"/>
        <w:rPr>
          <w:rFonts w:ascii="Times New Roman" w:hAnsi="Times New Roman" w:cs="Times New Roman"/>
          <w:sz w:val="24"/>
          <w:szCs w:val="24"/>
          <w:lang w:val="en-US"/>
        </w:rPr>
      </w:pPr>
      <w:r w:rsidRPr="00044F3B">
        <w:rPr>
          <w:rFonts w:ascii="Times New Roman" w:hAnsi="Times New Roman" w:cs="Times New Roman"/>
          <w:sz w:val="24"/>
          <w:szCs w:val="24"/>
          <w:lang w:val="en-US"/>
        </w:rPr>
        <w:t xml:space="preserve">A project for the promotion of non-violent masculinities </w:t>
      </w:r>
      <w:r>
        <w:rPr>
          <w:rFonts w:ascii="Times New Roman" w:hAnsi="Times New Roman" w:cs="Times New Roman"/>
          <w:sz w:val="24"/>
          <w:szCs w:val="24"/>
          <w:lang w:val="en-US"/>
        </w:rPr>
        <w:t>in</w:t>
      </w:r>
      <w:r w:rsidRPr="00044F3B">
        <w:rPr>
          <w:rFonts w:ascii="Times New Roman" w:hAnsi="Times New Roman" w:cs="Times New Roman"/>
          <w:sz w:val="24"/>
          <w:szCs w:val="24"/>
          <w:lang w:val="en-US"/>
        </w:rPr>
        <w:t xml:space="preserve"> Educational Centres and schools will be launched until 31 December 2018. The goal of this project is to promote programs</w:t>
      </w:r>
      <w:r>
        <w:rPr>
          <w:rFonts w:ascii="Times New Roman" w:hAnsi="Times New Roman" w:cs="Times New Roman"/>
          <w:sz w:val="24"/>
          <w:szCs w:val="24"/>
          <w:lang w:val="en-US"/>
        </w:rPr>
        <w:t xml:space="preserve"> and mechanisms to better</w:t>
      </w:r>
      <w:r w:rsidRPr="00044F3B">
        <w:rPr>
          <w:rFonts w:ascii="Times New Roman" w:hAnsi="Times New Roman" w:cs="Times New Roman"/>
          <w:sz w:val="24"/>
          <w:szCs w:val="24"/>
          <w:lang w:val="en-US"/>
        </w:rPr>
        <w:t xml:space="preserve"> prevent</w:t>
      </w:r>
      <w:r>
        <w:rPr>
          <w:rFonts w:ascii="Times New Roman" w:hAnsi="Times New Roman" w:cs="Times New Roman"/>
          <w:sz w:val="24"/>
          <w:szCs w:val="24"/>
          <w:lang w:val="en-US"/>
        </w:rPr>
        <w:t xml:space="preserve"> violence</w:t>
      </w:r>
      <w:r w:rsidRPr="00044F3B">
        <w:rPr>
          <w:rFonts w:ascii="Times New Roman" w:hAnsi="Times New Roman" w:cs="Times New Roman"/>
          <w:sz w:val="24"/>
          <w:szCs w:val="24"/>
          <w:lang w:val="en-US"/>
        </w:rPr>
        <w:t xml:space="preserve"> and </w:t>
      </w:r>
      <w:r>
        <w:rPr>
          <w:rFonts w:ascii="Times New Roman" w:hAnsi="Times New Roman" w:cs="Times New Roman"/>
          <w:sz w:val="24"/>
          <w:szCs w:val="24"/>
          <w:lang w:val="en-US"/>
        </w:rPr>
        <w:t>better</w:t>
      </w:r>
      <w:r w:rsidRPr="00044F3B">
        <w:rPr>
          <w:rFonts w:ascii="Times New Roman" w:hAnsi="Times New Roman" w:cs="Times New Roman"/>
          <w:sz w:val="24"/>
          <w:szCs w:val="24"/>
          <w:lang w:val="en-US"/>
        </w:rPr>
        <w:t xml:space="preserve"> support children and young</w:t>
      </w:r>
      <w:r>
        <w:rPr>
          <w:rFonts w:ascii="Times New Roman" w:hAnsi="Times New Roman" w:cs="Times New Roman"/>
          <w:sz w:val="24"/>
          <w:szCs w:val="24"/>
          <w:lang w:val="en-US"/>
        </w:rPr>
        <w:t xml:space="preserve"> persons in violent contexts</w:t>
      </w:r>
      <w:r w:rsidRPr="00044F3B">
        <w:rPr>
          <w:rFonts w:ascii="Times New Roman" w:hAnsi="Times New Roman" w:cs="Times New Roman"/>
          <w:sz w:val="24"/>
          <w:szCs w:val="24"/>
          <w:lang w:val="en-US"/>
        </w:rPr>
        <w:t>.</w:t>
      </w:r>
      <w:r>
        <w:rPr>
          <w:rFonts w:ascii="Times New Roman" w:hAnsi="Times New Roman" w:cs="Times New Roman"/>
          <w:sz w:val="24"/>
          <w:szCs w:val="24"/>
          <w:lang w:val="en-US"/>
        </w:rPr>
        <w:t xml:space="preserve"> It is</w:t>
      </w:r>
      <w:r w:rsidRPr="00044F3B">
        <w:rPr>
          <w:rFonts w:ascii="Times New Roman" w:hAnsi="Times New Roman" w:cs="Times New Roman"/>
          <w:sz w:val="24"/>
          <w:szCs w:val="24"/>
          <w:lang w:val="en-US"/>
        </w:rPr>
        <w:t xml:space="preserve"> undertaken by the Commission for Citizenship and Gender Equality and it shall involve at least 30 young persons</w:t>
      </w:r>
      <w:r>
        <w:rPr>
          <w:rFonts w:ascii="Times New Roman" w:hAnsi="Times New Roman" w:cs="Times New Roman"/>
          <w:sz w:val="24"/>
          <w:szCs w:val="24"/>
          <w:lang w:val="en-US"/>
        </w:rPr>
        <w:t xml:space="preserve"> (boys or girls)</w:t>
      </w:r>
      <w:r w:rsidRPr="00044F3B">
        <w:rPr>
          <w:rFonts w:ascii="Times New Roman" w:hAnsi="Times New Roman" w:cs="Times New Roman"/>
          <w:sz w:val="24"/>
          <w:szCs w:val="24"/>
          <w:lang w:val="en-US"/>
        </w:rPr>
        <w:t xml:space="preserve"> in Educational Centres and 100 young persons</w:t>
      </w:r>
      <w:r>
        <w:rPr>
          <w:rFonts w:ascii="Times New Roman" w:hAnsi="Times New Roman" w:cs="Times New Roman"/>
          <w:sz w:val="24"/>
          <w:szCs w:val="24"/>
          <w:lang w:val="en-US"/>
        </w:rPr>
        <w:t xml:space="preserve"> (boys or girls)</w:t>
      </w:r>
      <w:r w:rsidRPr="00044F3B">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044F3B">
        <w:rPr>
          <w:rFonts w:ascii="Times New Roman" w:hAnsi="Times New Roman" w:cs="Times New Roman"/>
          <w:sz w:val="24"/>
          <w:szCs w:val="24"/>
          <w:lang w:val="en-US"/>
        </w:rPr>
        <w:t xml:space="preserve"> schools </w:t>
      </w:r>
      <w:r>
        <w:rPr>
          <w:rFonts w:ascii="Times New Roman" w:hAnsi="Times New Roman" w:cs="Times New Roman"/>
          <w:sz w:val="24"/>
          <w:szCs w:val="24"/>
          <w:lang w:val="en-US"/>
        </w:rPr>
        <w:t>before</w:t>
      </w:r>
      <w:r w:rsidRPr="00044F3B">
        <w:rPr>
          <w:rFonts w:ascii="Times New Roman" w:hAnsi="Times New Roman" w:cs="Times New Roman"/>
          <w:sz w:val="24"/>
          <w:szCs w:val="24"/>
          <w:lang w:val="en-US"/>
        </w:rPr>
        <w:t xml:space="preserve"> 31 December 2019.</w:t>
      </w:r>
    </w:p>
    <w:p w14:paraId="0F067DFB" w14:textId="77777777" w:rsidR="00653878" w:rsidRPr="00166946" w:rsidRDefault="00653878" w:rsidP="00653878">
      <w:pPr>
        <w:tabs>
          <w:tab w:val="left" w:pos="284"/>
        </w:tabs>
        <w:spacing w:after="120" w:line="360" w:lineRule="exact"/>
        <w:jc w:val="both"/>
        <w:rPr>
          <w:rFonts w:ascii="Times New Roman" w:hAnsi="Times New Roman" w:cs="Times New Roman"/>
          <w:sz w:val="24"/>
          <w:szCs w:val="24"/>
          <w:lang w:val="en-US"/>
        </w:rPr>
      </w:pPr>
    </w:p>
    <w:p w14:paraId="0F067DFC"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 xml:space="preserve">b) </w:t>
      </w:r>
      <w:r w:rsidRPr="00F06B48">
        <w:rPr>
          <w:rFonts w:ascii="Times New Roman" w:eastAsia="Times New Roman" w:hAnsi="Times New Roman" w:cs="Times New Roman"/>
          <w:sz w:val="24"/>
          <w:szCs w:val="24"/>
          <w:lang w:val="en-US" w:eastAsia="pt-PT"/>
        </w:rPr>
        <w:t>In what concerns the crime</w:t>
      </w:r>
      <w:r>
        <w:rPr>
          <w:rFonts w:ascii="Times New Roman" w:eastAsia="Times New Roman" w:hAnsi="Times New Roman" w:cs="Times New Roman"/>
          <w:sz w:val="24"/>
          <w:szCs w:val="24"/>
          <w:lang w:val="en-US" w:eastAsia="pt-PT"/>
        </w:rPr>
        <w:t xml:space="preserve"> of Trafficking in Persons </w:t>
      </w:r>
      <w:r w:rsidRPr="00F06B48">
        <w:rPr>
          <w:rFonts w:ascii="Times New Roman" w:eastAsia="Times New Roman" w:hAnsi="Times New Roman" w:cs="Times New Roman"/>
          <w:sz w:val="24"/>
          <w:szCs w:val="24"/>
          <w:lang w:val="en-US" w:eastAsia="pt-PT"/>
        </w:rPr>
        <w:t xml:space="preserve">and </w:t>
      </w:r>
      <w:r>
        <w:rPr>
          <w:rFonts w:ascii="Times New Roman" w:eastAsia="Times New Roman" w:hAnsi="Times New Roman" w:cs="Times New Roman"/>
          <w:sz w:val="24"/>
          <w:szCs w:val="24"/>
          <w:lang w:val="en-US" w:eastAsia="pt-PT"/>
        </w:rPr>
        <w:t xml:space="preserve">also </w:t>
      </w:r>
      <w:r w:rsidRPr="00F06B48">
        <w:rPr>
          <w:rFonts w:ascii="Times New Roman" w:eastAsia="Times New Roman" w:hAnsi="Times New Roman" w:cs="Times New Roman"/>
          <w:sz w:val="24"/>
          <w:szCs w:val="24"/>
          <w:lang w:val="en-US" w:eastAsia="pt-PT"/>
        </w:rPr>
        <w:t>related to care and protection, Portugal has a system of Shelters and Protecting Centres,</w:t>
      </w:r>
      <w:r>
        <w:rPr>
          <w:rFonts w:ascii="Times New Roman" w:eastAsia="Times New Roman" w:hAnsi="Times New Roman" w:cs="Times New Roman"/>
          <w:sz w:val="24"/>
          <w:szCs w:val="24"/>
          <w:lang w:val="en-US" w:eastAsia="pt-PT"/>
        </w:rPr>
        <w:t xml:space="preserve"> framed within the National Ref</w:t>
      </w:r>
      <w:r w:rsidRPr="00F06B48">
        <w:rPr>
          <w:rFonts w:ascii="Times New Roman" w:eastAsia="Times New Roman" w:hAnsi="Times New Roman" w:cs="Times New Roman"/>
          <w:sz w:val="24"/>
          <w:szCs w:val="24"/>
          <w:lang w:val="en-US" w:eastAsia="pt-PT"/>
        </w:rPr>
        <w:t>er</w:t>
      </w:r>
      <w:r>
        <w:rPr>
          <w:rFonts w:ascii="Times New Roman" w:eastAsia="Times New Roman" w:hAnsi="Times New Roman" w:cs="Times New Roman"/>
          <w:sz w:val="24"/>
          <w:szCs w:val="24"/>
          <w:lang w:val="en-US" w:eastAsia="pt-PT"/>
        </w:rPr>
        <w:t>ral Mechanism. They shelter victims</w:t>
      </w:r>
      <w:r w:rsidRPr="00F06B48">
        <w:rPr>
          <w:rFonts w:ascii="Times New Roman" w:eastAsia="Times New Roman" w:hAnsi="Times New Roman" w:cs="Times New Roman"/>
          <w:sz w:val="24"/>
          <w:szCs w:val="24"/>
          <w:lang w:val="en-US" w:eastAsia="pt-PT"/>
        </w:rPr>
        <w:t xml:space="preserve"> regardless of their nationality, age, religion, ethnicity, sexual orientation, disability, marital status, political orientation or socio-economic status.</w:t>
      </w:r>
    </w:p>
    <w:p w14:paraId="0F067DFD"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Presently there are </w:t>
      </w:r>
      <w:r>
        <w:rPr>
          <w:rFonts w:ascii="Times New Roman" w:eastAsia="Times New Roman" w:hAnsi="Times New Roman" w:cs="Times New Roman"/>
          <w:sz w:val="24"/>
          <w:szCs w:val="24"/>
          <w:lang w:val="en-US" w:eastAsia="pt-PT"/>
        </w:rPr>
        <w:t>four</w:t>
      </w:r>
      <w:r w:rsidRPr="00F06B48">
        <w:rPr>
          <w:rFonts w:ascii="Times New Roman" w:eastAsia="Times New Roman" w:hAnsi="Times New Roman" w:cs="Times New Roman"/>
          <w:sz w:val="24"/>
          <w:szCs w:val="24"/>
          <w:lang w:val="en-US" w:eastAsia="pt-PT"/>
        </w:rPr>
        <w:t xml:space="preserve"> shelters for victims of trafficking (VoT):</w:t>
      </w:r>
    </w:p>
    <w:p w14:paraId="0F067DFE"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1)</w:t>
      </w:r>
      <w:r w:rsidRPr="00F06B48">
        <w:rPr>
          <w:rFonts w:ascii="Times New Roman" w:eastAsia="Times New Roman" w:hAnsi="Times New Roman" w:cs="Times New Roman"/>
          <w:sz w:val="24"/>
          <w:szCs w:val="24"/>
          <w:lang w:val="en-US" w:eastAsia="pt-PT"/>
        </w:rPr>
        <w:tab/>
        <w:t xml:space="preserve">One for men VoT run by the </w:t>
      </w:r>
      <w:r>
        <w:rPr>
          <w:rFonts w:ascii="Times New Roman" w:eastAsia="Times New Roman" w:hAnsi="Times New Roman" w:cs="Times New Roman"/>
          <w:sz w:val="24"/>
          <w:szCs w:val="24"/>
          <w:lang w:val="en-US" w:eastAsia="pt-PT"/>
        </w:rPr>
        <w:t>non-governmental organisation</w:t>
      </w:r>
      <w:r w:rsidRPr="00F06B48">
        <w:rPr>
          <w:rFonts w:ascii="Times New Roman" w:eastAsia="Times New Roman" w:hAnsi="Times New Roman" w:cs="Times New Roman"/>
          <w:sz w:val="24"/>
          <w:szCs w:val="24"/>
          <w:lang w:val="en-US" w:eastAsia="pt-PT"/>
        </w:rPr>
        <w:t xml:space="preserve"> “Saúde em Português”</w:t>
      </w:r>
      <w:r>
        <w:rPr>
          <w:rFonts w:ascii="Times New Roman" w:eastAsia="Times New Roman" w:hAnsi="Times New Roman" w:cs="Times New Roman"/>
          <w:sz w:val="24"/>
          <w:szCs w:val="24"/>
          <w:lang w:val="en-US" w:eastAsia="pt-PT"/>
        </w:rPr>
        <w:t xml:space="preserve"> (opened in 2013)</w:t>
      </w:r>
      <w:r w:rsidRPr="00F06B48">
        <w:rPr>
          <w:rFonts w:ascii="Times New Roman" w:eastAsia="Times New Roman" w:hAnsi="Times New Roman" w:cs="Times New Roman"/>
          <w:sz w:val="24"/>
          <w:szCs w:val="24"/>
          <w:lang w:val="en-US" w:eastAsia="pt-PT"/>
        </w:rPr>
        <w:t>;</w:t>
      </w:r>
    </w:p>
    <w:p w14:paraId="0F067DFF"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2)</w:t>
      </w:r>
      <w:r w:rsidRPr="00F06B48">
        <w:rPr>
          <w:rFonts w:ascii="Times New Roman" w:eastAsia="Times New Roman" w:hAnsi="Times New Roman" w:cs="Times New Roman"/>
          <w:sz w:val="24"/>
          <w:szCs w:val="24"/>
          <w:lang w:val="en-US" w:eastAsia="pt-PT"/>
        </w:rPr>
        <w:tab/>
        <w:t>Two f</w:t>
      </w:r>
      <w:r>
        <w:rPr>
          <w:rFonts w:ascii="Times New Roman" w:eastAsia="Times New Roman" w:hAnsi="Times New Roman" w:cs="Times New Roman"/>
          <w:sz w:val="24"/>
          <w:szCs w:val="24"/>
          <w:lang w:val="en-US" w:eastAsia="pt-PT"/>
        </w:rPr>
        <w:t>or women VoT and their children – o</w:t>
      </w:r>
      <w:r w:rsidRPr="00F06B48">
        <w:rPr>
          <w:rFonts w:ascii="Times New Roman" w:eastAsia="Times New Roman" w:hAnsi="Times New Roman" w:cs="Times New Roman"/>
          <w:sz w:val="24"/>
          <w:szCs w:val="24"/>
          <w:lang w:val="en-US" w:eastAsia="pt-PT"/>
        </w:rPr>
        <w:t xml:space="preserve">ne run by the </w:t>
      </w:r>
      <w:r>
        <w:rPr>
          <w:rFonts w:ascii="Times New Roman" w:eastAsia="Times New Roman" w:hAnsi="Times New Roman" w:cs="Times New Roman"/>
          <w:sz w:val="24"/>
          <w:szCs w:val="24"/>
          <w:lang w:val="en-US" w:eastAsia="pt-PT"/>
        </w:rPr>
        <w:t>non-governmental organisation</w:t>
      </w:r>
      <w:r w:rsidRPr="00F06B48">
        <w:rPr>
          <w:rFonts w:ascii="Times New Roman" w:eastAsia="Times New Roman" w:hAnsi="Times New Roman" w:cs="Times New Roman"/>
          <w:sz w:val="24"/>
          <w:szCs w:val="24"/>
          <w:lang w:val="en-US" w:eastAsia="pt-PT"/>
        </w:rPr>
        <w:t xml:space="preserve"> </w:t>
      </w:r>
      <w:r>
        <w:rPr>
          <w:rFonts w:ascii="Times New Roman" w:eastAsia="Times New Roman" w:hAnsi="Times New Roman" w:cs="Times New Roman"/>
          <w:sz w:val="24"/>
          <w:szCs w:val="24"/>
          <w:lang w:val="en-US" w:eastAsia="pt-PT"/>
        </w:rPr>
        <w:t xml:space="preserve">APF </w:t>
      </w:r>
      <w:r w:rsidRPr="00F06B48">
        <w:rPr>
          <w:rFonts w:ascii="Times New Roman" w:eastAsia="Times New Roman" w:hAnsi="Times New Roman" w:cs="Times New Roman"/>
          <w:sz w:val="24"/>
          <w:szCs w:val="24"/>
          <w:lang w:val="en-US" w:eastAsia="pt-PT"/>
        </w:rPr>
        <w:t xml:space="preserve">(in fact the first Shelter and Protection Centre created in 2008 as an outcome of the first national project on </w:t>
      </w:r>
      <w:r>
        <w:rPr>
          <w:rFonts w:ascii="Times New Roman" w:eastAsia="Times New Roman" w:hAnsi="Times New Roman" w:cs="Times New Roman"/>
          <w:sz w:val="24"/>
          <w:szCs w:val="24"/>
          <w:lang w:val="en-US" w:eastAsia="pt-PT"/>
        </w:rPr>
        <w:t>trafficking in persons</w:t>
      </w:r>
      <w:r w:rsidRPr="00F06B48">
        <w:rPr>
          <w:rFonts w:ascii="Times New Roman" w:eastAsia="Times New Roman" w:hAnsi="Times New Roman" w:cs="Times New Roman"/>
          <w:sz w:val="24"/>
          <w:szCs w:val="24"/>
          <w:lang w:val="en-US" w:eastAsia="pt-PT"/>
        </w:rPr>
        <w:t xml:space="preserve"> focused on women victims of trafficking for sexual </w:t>
      </w:r>
      <w:r>
        <w:rPr>
          <w:rFonts w:ascii="Times New Roman" w:eastAsia="Times New Roman" w:hAnsi="Times New Roman" w:cs="Times New Roman"/>
          <w:sz w:val="24"/>
          <w:szCs w:val="24"/>
          <w:lang w:val="en-US" w:eastAsia="pt-PT"/>
        </w:rPr>
        <w:t>exploitation,</w:t>
      </w:r>
      <w:r w:rsidRPr="00F06B48">
        <w:rPr>
          <w:rFonts w:ascii="Times New Roman" w:eastAsia="Times New Roman" w:hAnsi="Times New Roman" w:cs="Times New Roman"/>
          <w:sz w:val="24"/>
          <w:szCs w:val="24"/>
          <w:lang w:val="en-US" w:eastAsia="pt-PT"/>
        </w:rPr>
        <w:t xml:space="preserve"> </w:t>
      </w:r>
      <w:r w:rsidRPr="00F06B48">
        <w:rPr>
          <w:rFonts w:ascii="Times New Roman" w:eastAsia="Times New Roman" w:hAnsi="Times New Roman" w:cs="Times New Roman"/>
          <w:sz w:val="24"/>
          <w:szCs w:val="24"/>
          <w:lang w:val="en-US" w:eastAsia="pt-PT"/>
        </w:rPr>
        <w:lastRenderedPageBreak/>
        <w:t>but afterwards open to victi</w:t>
      </w:r>
      <w:r>
        <w:rPr>
          <w:rFonts w:ascii="Times New Roman" w:eastAsia="Times New Roman" w:hAnsi="Times New Roman" w:cs="Times New Roman"/>
          <w:sz w:val="24"/>
          <w:szCs w:val="24"/>
          <w:lang w:val="en-US" w:eastAsia="pt-PT"/>
        </w:rPr>
        <w:t xml:space="preserve">ms of all types of exploitation); and the other one run by the </w:t>
      </w:r>
      <w:r w:rsidRPr="00F06B48">
        <w:rPr>
          <w:rFonts w:ascii="Times New Roman" w:eastAsia="Times New Roman" w:hAnsi="Times New Roman" w:cs="Times New Roman"/>
          <w:sz w:val="24"/>
          <w:szCs w:val="24"/>
          <w:lang w:val="en-US" w:eastAsia="pt-PT"/>
        </w:rPr>
        <w:t>Portuguese Association for Victims Support (open</w:t>
      </w:r>
      <w:r>
        <w:rPr>
          <w:rFonts w:ascii="Times New Roman" w:eastAsia="Times New Roman" w:hAnsi="Times New Roman" w:cs="Times New Roman"/>
          <w:sz w:val="24"/>
          <w:szCs w:val="24"/>
          <w:lang w:val="en-US" w:eastAsia="pt-PT"/>
        </w:rPr>
        <w:t xml:space="preserve">ed in 2014). </w:t>
      </w:r>
      <w:r w:rsidRPr="00F06B48">
        <w:rPr>
          <w:rFonts w:ascii="Times New Roman" w:eastAsia="Times New Roman" w:hAnsi="Times New Roman" w:cs="Times New Roman"/>
          <w:sz w:val="24"/>
          <w:szCs w:val="24"/>
          <w:lang w:val="en-US" w:eastAsia="pt-PT"/>
        </w:rPr>
        <w:t>Although the</w:t>
      </w:r>
      <w:r>
        <w:rPr>
          <w:rFonts w:ascii="Times New Roman" w:eastAsia="Times New Roman" w:hAnsi="Times New Roman" w:cs="Times New Roman"/>
          <w:sz w:val="24"/>
          <w:szCs w:val="24"/>
          <w:lang w:val="en-US" w:eastAsia="pt-PT"/>
        </w:rPr>
        <w:t>se two shelters are not a long-</w:t>
      </w:r>
      <w:r w:rsidRPr="00F06B48">
        <w:rPr>
          <w:rFonts w:ascii="Times New Roman" w:eastAsia="Times New Roman" w:hAnsi="Times New Roman" w:cs="Times New Roman"/>
          <w:sz w:val="24"/>
          <w:szCs w:val="24"/>
          <w:lang w:val="en-US" w:eastAsia="pt-PT"/>
        </w:rPr>
        <w:t>term response to the sheltering of children, in some specific situations (vulnerability or security issu</w:t>
      </w:r>
      <w:r>
        <w:rPr>
          <w:rFonts w:ascii="Times New Roman" w:eastAsia="Times New Roman" w:hAnsi="Times New Roman" w:cs="Times New Roman"/>
          <w:sz w:val="24"/>
          <w:szCs w:val="24"/>
          <w:lang w:val="en-US" w:eastAsia="pt-PT"/>
        </w:rPr>
        <w:t>es) and through a court measure</w:t>
      </w:r>
      <w:r w:rsidRPr="00F06B48">
        <w:rPr>
          <w:rFonts w:ascii="Times New Roman" w:eastAsia="Times New Roman" w:hAnsi="Times New Roman" w:cs="Times New Roman"/>
          <w:sz w:val="24"/>
          <w:szCs w:val="24"/>
          <w:lang w:val="en-US" w:eastAsia="pt-PT"/>
        </w:rPr>
        <w:t xml:space="preserve"> </w:t>
      </w:r>
      <w:r>
        <w:rPr>
          <w:rFonts w:ascii="Times New Roman" w:eastAsia="Times New Roman" w:hAnsi="Times New Roman" w:cs="Times New Roman"/>
          <w:sz w:val="24"/>
          <w:szCs w:val="24"/>
          <w:lang w:val="en-US" w:eastAsia="pt-PT"/>
        </w:rPr>
        <w:t>they ensure</w:t>
      </w:r>
      <w:r w:rsidRPr="00F06B48">
        <w:rPr>
          <w:rFonts w:ascii="Times New Roman" w:eastAsia="Times New Roman" w:hAnsi="Times New Roman" w:cs="Times New Roman"/>
          <w:sz w:val="24"/>
          <w:szCs w:val="24"/>
          <w:lang w:val="en-US" w:eastAsia="pt-PT"/>
        </w:rPr>
        <w:t xml:space="preserve"> temporary sheltering. Furthermore, </w:t>
      </w:r>
      <w:r>
        <w:rPr>
          <w:rFonts w:ascii="Times New Roman" w:eastAsia="Times New Roman" w:hAnsi="Times New Roman" w:cs="Times New Roman"/>
          <w:sz w:val="24"/>
          <w:szCs w:val="24"/>
          <w:lang w:val="en-US" w:eastAsia="pt-PT"/>
        </w:rPr>
        <w:t>they receive</w:t>
      </w:r>
      <w:r w:rsidRPr="00F06B48">
        <w:rPr>
          <w:rFonts w:ascii="Times New Roman" w:eastAsia="Times New Roman" w:hAnsi="Times New Roman" w:cs="Times New Roman"/>
          <w:sz w:val="24"/>
          <w:szCs w:val="24"/>
          <w:lang w:val="en-US" w:eastAsia="pt-PT"/>
        </w:rPr>
        <w:t xml:space="preserve"> the children of the women victims. As long as a minor is living in the Shelter, he or she has the same rights established for the women (health, psychological, judicial, public school).</w:t>
      </w:r>
    </w:p>
    <w:p w14:paraId="0F067E00"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3)</w:t>
      </w:r>
      <w:r w:rsidRPr="00F06B48">
        <w:rPr>
          <w:rFonts w:ascii="Times New Roman" w:eastAsia="Times New Roman" w:hAnsi="Times New Roman" w:cs="Times New Roman"/>
          <w:sz w:val="24"/>
          <w:szCs w:val="24"/>
          <w:lang w:val="en-US" w:eastAsia="pt-PT"/>
        </w:rPr>
        <w:tab/>
        <w:t xml:space="preserve">Recently open (2018), one for children VoT (either girls or boys) run by the </w:t>
      </w:r>
      <w:r>
        <w:rPr>
          <w:rFonts w:ascii="Times New Roman" w:eastAsia="Times New Roman" w:hAnsi="Times New Roman" w:cs="Times New Roman"/>
          <w:sz w:val="24"/>
          <w:szCs w:val="24"/>
          <w:lang w:val="en-US" w:eastAsia="pt-PT"/>
        </w:rPr>
        <w:t>non-governmental organisation</w:t>
      </w:r>
      <w:r w:rsidRPr="00F06B48">
        <w:rPr>
          <w:rFonts w:ascii="Times New Roman" w:eastAsia="Times New Roman" w:hAnsi="Times New Roman" w:cs="Times New Roman"/>
          <w:sz w:val="24"/>
          <w:szCs w:val="24"/>
          <w:lang w:val="en-US" w:eastAsia="pt-PT"/>
        </w:rPr>
        <w:t xml:space="preserve"> AKTO – Human Rights and Democracy.</w:t>
      </w:r>
    </w:p>
    <w:p w14:paraId="0F067E01"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All shelters are funded by the Portuguese Government.</w:t>
      </w:r>
    </w:p>
    <w:p w14:paraId="0F067E02"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All shelters have a multidisciplinary team that provides support in different areas and needs of the victims. All structures provide sheltering, food, protection and stabilization of the victims, supporting them through psychological, medical, judicial, translation (on the telephone or in presence) and social aid. In collaboration with different </w:t>
      </w:r>
      <w:r>
        <w:rPr>
          <w:rFonts w:ascii="Times New Roman" w:eastAsia="Times New Roman" w:hAnsi="Times New Roman" w:cs="Times New Roman"/>
          <w:sz w:val="24"/>
          <w:szCs w:val="24"/>
          <w:lang w:val="en-US" w:eastAsia="pt-PT"/>
        </w:rPr>
        <w:t>bodies</w:t>
      </w:r>
      <w:r w:rsidRPr="00F06B48">
        <w:rPr>
          <w:rFonts w:ascii="Times New Roman" w:eastAsia="Times New Roman" w:hAnsi="Times New Roman" w:cs="Times New Roman"/>
          <w:sz w:val="24"/>
          <w:szCs w:val="24"/>
          <w:lang w:val="en-US" w:eastAsia="pt-PT"/>
        </w:rPr>
        <w:t>, both governmental and nongovernmental, the victims are forwarded to different structures that provide educational, health, economical, psychological and judicial support in order to support the</w:t>
      </w:r>
      <w:r>
        <w:rPr>
          <w:rFonts w:ascii="Times New Roman" w:eastAsia="Times New Roman" w:hAnsi="Times New Roman" w:cs="Times New Roman"/>
          <w:sz w:val="24"/>
          <w:szCs w:val="24"/>
          <w:lang w:val="en-US" w:eastAsia="pt-PT"/>
        </w:rPr>
        <w:t>ir</w:t>
      </w:r>
      <w:r w:rsidRPr="00F06B48">
        <w:rPr>
          <w:rFonts w:ascii="Times New Roman" w:eastAsia="Times New Roman" w:hAnsi="Times New Roman" w:cs="Times New Roman"/>
          <w:sz w:val="24"/>
          <w:szCs w:val="24"/>
          <w:lang w:val="en-US" w:eastAsia="pt-PT"/>
        </w:rPr>
        <w:t xml:space="preserve"> life project built within the victim personal characteristics, needs and manifest will.</w:t>
      </w:r>
    </w:p>
    <w:p w14:paraId="0F067E03"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Therefore, it has been streamlined a network of partnerships, both formal and informal, with different institutions, who provide hea</w:t>
      </w:r>
      <w:r>
        <w:rPr>
          <w:rFonts w:ascii="Times New Roman" w:eastAsia="Times New Roman" w:hAnsi="Times New Roman" w:cs="Times New Roman"/>
          <w:sz w:val="24"/>
          <w:szCs w:val="24"/>
          <w:lang w:val="en-US" w:eastAsia="pt-PT"/>
        </w:rPr>
        <w:t>lth</w:t>
      </w:r>
      <w:r w:rsidRPr="00F06B48">
        <w:rPr>
          <w:rFonts w:ascii="Times New Roman" w:eastAsia="Times New Roman" w:hAnsi="Times New Roman" w:cs="Times New Roman"/>
          <w:sz w:val="24"/>
          <w:szCs w:val="24"/>
          <w:lang w:val="en-US" w:eastAsia="pt-PT"/>
        </w:rPr>
        <w:t>care, literacy teaching</w:t>
      </w:r>
      <w:r>
        <w:rPr>
          <w:rFonts w:ascii="Times New Roman" w:eastAsia="Times New Roman" w:hAnsi="Times New Roman" w:cs="Times New Roman"/>
          <w:sz w:val="24"/>
          <w:szCs w:val="24"/>
          <w:lang w:val="en-US" w:eastAsia="pt-PT"/>
        </w:rPr>
        <w:t>,</w:t>
      </w:r>
      <w:r w:rsidRPr="00F06B48">
        <w:rPr>
          <w:rFonts w:ascii="Times New Roman" w:eastAsia="Times New Roman" w:hAnsi="Times New Roman" w:cs="Times New Roman"/>
          <w:sz w:val="24"/>
          <w:szCs w:val="24"/>
          <w:lang w:val="en-US" w:eastAsia="pt-PT"/>
        </w:rPr>
        <w:t xml:space="preserve"> vocational training, cultural experiences, community inclusion and work experiences.</w:t>
      </w:r>
    </w:p>
    <w:p w14:paraId="0F067E04"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If the VoT are adults</w:t>
      </w:r>
      <w:r>
        <w:rPr>
          <w:rFonts w:ascii="Times New Roman" w:eastAsia="Times New Roman" w:hAnsi="Times New Roman" w:cs="Times New Roman"/>
          <w:sz w:val="24"/>
          <w:szCs w:val="24"/>
          <w:lang w:val="en-US" w:eastAsia="pt-PT"/>
        </w:rPr>
        <w:t>,</w:t>
      </w:r>
      <w:r w:rsidRPr="00F06B48">
        <w:rPr>
          <w:rFonts w:ascii="Times New Roman" w:eastAsia="Times New Roman" w:hAnsi="Times New Roman" w:cs="Times New Roman"/>
          <w:sz w:val="24"/>
          <w:szCs w:val="24"/>
          <w:lang w:val="en-US" w:eastAsia="pt-PT"/>
        </w:rPr>
        <w:t xml:space="preserve"> before being </w:t>
      </w:r>
      <w:r>
        <w:rPr>
          <w:rFonts w:ascii="Times New Roman" w:eastAsia="Times New Roman" w:hAnsi="Times New Roman" w:cs="Times New Roman"/>
          <w:sz w:val="24"/>
          <w:szCs w:val="24"/>
          <w:lang w:val="en-US" w:eastAsia="pt-PT"/>
        </w:rPr>
        <w:t>‘</w:t>
      </w:r>
      <w:r w:rsidRPr="00F06B48">
        <w:rPr>
          <w:rFonts w:ascii="Times New Roman" w:eastAsia="Times New Roman" w:hAnsi="Times New Roman" w:cs="Times New Roman"/>
          <w:sz w:val="24"/>
          <w:szCs w:val="24"/>
          <w:lang w:val="en-US" w:eastAsia="pt-PT"/>
        </w:rPr>
        <w:t>institutionalized</w:t>
      </w:r>
      <w:r>
        <w:rPr>
          <w:rFonts w:ascii="Times New Roman" w:eastAsia="Times New Roman" w:hAnsi="Times New Roman" w:cs="Times New Roman"/>
          <w:sz w:val="24"/>
          <w:szCs w:val="24"/>
          <w:lang w:val="en-US" w:eastAsia="pt-PT"/>
        </w:rPr>
        <w:t>’</w:t>
      </w:r>
      <w:r w:rsidRPr="00F06B48">
        <w:rPr>
          <w:rFonts w:ascii="Times New Roman" w:eastAsia="Times New Roman" w:hAnsi="Times New Roman" w:cs="Times New Roman"/>
          <w:sz w:val="24"/>
          <w:szCs w:val="24"/>
          <w:lang w:val="en-US" w:eastAsia="pt-PT"/>
        </w:rPr>
        <w:t xml:space="preserve"> they are informed on the operating rules of the Shelters as these are confidential structures and hence connected to security and safety procedures in order to protect victims as well as </w:t>
      </w:r>
      <w:r>
        <w:rPr>
          <w:rFonts w:ascii="Times New Roman" w:eastAsia="Times New Roman" w:hAnsi="Times New Roman" w:cs="Times New Roman"/>
          <w:sz w:val="24"/>
          <w:szCs w:val="24"/>
          <w:lang w:val="en-US" w:eastAsia="pt-PT"/>
        </w:rPr>
        <w:t xml:space="preserve">the </w:t>
      </w:r>
      <w:r w:rsidRPr="00F06B48">
        <w:rPr>
          <w:rFonts w:ascii="Times New Roman" w:eastAsia="Times New Roman" w:hAnsi="Times New Roman" w:cs="Times New Roman"/>
          <w:sz w:val="24"/>
          <w:szCs w:val="24"/>
          <w:lang w:val="en-US" w:eastAsia="pt-PT"/>
        </w:rPr>
        <w:t>professionals.</w:t>
      </w:r>
    </w:p>
    <w:p w14:paraId="0F067E05"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Consequently, all shelters after explaining and responding to all doubts obtain a written consent from the VoT. This stage is the same to all victims. The difference, but also with the express consent of the victim, is on differentiated risk assessments done to each victim’s. The risk assessment is communicated by the Law Enforcement Agency in charge with the criminal investigation and/or conducted by the Shelters professionals. As such, and additionally to the shelter generic rules, the victim has also to consent to the implications resulted from the assessment that can be restrict access to going out, restrict access to the mobile phone, amongst others. </w:t>
      </w:r>
    </w:p>
    <w:p w14:paraId="0F067E06"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All victims are free to terminate the sheltering. In situations that after leaving they want to return, for security and safety reasons they are forwarded to other structures. This rule is also presented in the first stage of sheltering. </w:t>
      </w:r>
    </w:p>
    <w:p w14:paraId="0F067E07"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If the VoT is a minor, t</w:t>
      </w:r>
      <w:r w:rsidRPr="00F06B48">
        <w:rPr>
          <w:rFonts w:ascii="Times New Roman" w:eastAsia="Times New Roman" w:hAnsi="Times New Roman" w:cs="Times New Roman"/>
          <w:sz w:val="24"/>
          <w:szCs w:val="24"/>
          <w:lang w:val="en-US" w:eastAsia="pt-PT"/>
        </w:rPr>
        <w:t>he Portuguese laws provide for a protection regime for children and young people at risk (Law No. 147/99 of 1 September 1999 – Law on the Promotion and Protection of Children and Young People at Risk –</w:t>
      </w:r>
      <w:r>
        <w:rPr>
          <w:rFonts w:ascii="Times New Roman" w:eastAsia="Times New Roman" w:hAnsi="Times New Roman" w:cs="Times New Roman"/>
          <w:sz w:val="24"/>
          <w:szCs w:val="24"/>
          <w:lang w:val="en-US" w:eastAsia="pt-PT"/>
        </w:rPr>
        <w:t xml:space="preserve"> </w:t>
      </w:r>
      <w:r w:rsidRPr="00F06B48">
        <w:rPr>
          <w:rFonts w:ascii="Times New Roman" w:eastAsia="Times New Roman" w:hAnsi="Times New Roman" w:cs="Times New Roman"/>
          <w:sz w:val="24"/>
          <w:szCs w:val="24"/>
          <w:lang w:val="en-US" w:eastAsia="pt-PT"/>
        </w:rPr>
        <w:t xml:space="preserve">with last </w:t>
      </w:r>
      <w:r>
        <w:rPr>
          <w:rFonts w:ascii="Times New Roman" w:eastAsia="Times New Roman" w:hAnsi="Times New Roman" w:cs="Times New Roman"/>
          <w:sz w:val="24"/>
          <w:szCs w:val="24"/>
          <w:lang w:val="en-US" w:eastAsia="pt-PT"/>
        </w:rPr>
        <w:t xml:space="preserve">amendment by Law No. 26/2018 of </w:t>
      </w:r>
      <w:r w:rsidRPr="00F06B48">
        <w:rPr>
          <w:rFonts w:ascii="Times New Roman" w:eastAsia="Times New Roman" w:hAnsi="Times New Roman" w:cs="Times New Roman"/>
          <w:sz w:val="24"/>
          <w:szCs w:val="24"/>
          <w:lang w:val="en-US" w:eastAsia="pt-PT"/>
        </w:rPr>
        <w:t>5 July</w:t>
      </w:r>
      <w:r>
        <w:rPr>
          <w:rFonts w:ascii="Times New Roman" w:eastAsia="Times New Roman" w:hAnsi="Times New Roman" w:cs="Times New Roman"/>
          <w:sz w:val="24"/>
          <w:szCs w:val="24"/>
          <w:lang w:val="en-US" w:eastAsia="pt-PT"/>
        </w:rPr>
        <w:t>)</w:t>
      </w:r>
      <w:r w:rsidRPr="00F06B48">
        <w:rPr>
          <w:rFonts w:ascii="Times New Roman" w:eastAsia="Times New Roman" w:hAnsi="Times New Roman" w:cs="Times New Roman"/>
          <w:sz w:val="24"/>
          <w:szCs w:val="24"/>
          <w:lang w:val="en-US" w:eastAsia="pt-PT"/>
        </w:rPr>
        <w:t>. This Law lays down provisions about situations where a child is deemed to be at risk, from which illustrative cases are listed below:</w:t>
      </w:r>
    </w:p>
    <w:p w14:paraId="0F067E08" w14:textId="77777777" w:rsidR="00653878" w:rsidRPr="00122ABB" w:rsidRDefault="00653878" w:rsidP="00653878">
      <w:pPr>
        <w:pStyle w:val="ListParagraph"/>
        <w:numPr>
          <w:ilvl w:val="0"/>
          <w:numId w:val="5"/>
        </w:numPr>
        <w:tabs>
          <w:tab w:val="left" w:pos="284"/>
        </w:tabs>
        <w:spacing w:after="120" w:line="360" w:lineRule="exact"/>
        <w:ind w:left="284" w:hanging="284"/>
        <w:contextualSpacing w:val="0"/>
        <w:jc w:val="both"/>
        <w:rPr>
          <w:rFonts w:ascii="Times New Roman" w:eastAsia="Times New Roman" w:hAnsi="Times New Roman" w:cs="Times New Roman"/>
          <w:sz w:val="24"/>
          <w:szCs w:val="24"/>
          <w:lang w:val="en-US" w:eastAsia="pt-PT"/>
        </w:rPr>
      </w:pPr>
      <w:r w:rsidRPr="00122ABB">
        <w:rPr>
          <w:rFonts w:ascii="Times New Roman" w:eastAsia="Times New Roman" w:hAnsi="Times New Roman" w:cs="Times New Roman"/>
          <w:sz w:val="24"/>
          <w:szCs w:val="24"/>
          <w:lang w:val="en-US" w:eastAsia="pt-PT"/>
        </w:rPr>
        <w:lastRenderedPageBreak/>
        <w:t>if she/he has been abandoned or lives unaccompanied;</w:t>
      </w:r>
    </w:p>
    <w:p w14:paraId="0F067E09" w14:textId="77777777" w:rsidR="00653878" w:rsidRPr="00122ABB" w:rsidRDefault="00653878" w:rsidP="00653878">
      <w:pPr>
        <w:pStyle w:val="ListParagraph"/>
        <w:numPr>
          <w:ilvl w:val="0"/>
          <w:numId w:val="5"/>
        </w:numPr>
        <w:tabs>
          <w:tab w:val="left" w:pos="284"/>
        </w:tabs>
        <w:spacing w:after="120" w:line="360" w:lineRule="exact"/>
        <w:ind w:left="284" w:hanging="284"/>
        <w:contextualSpacing w:val="0"/>
        <w:jc w:val="both"/>
        <w:rPr>
          <w:rFonts w:ascii="Times New Roman" w:eastAsia="Times New Roman" w:hAnsi="Times New Roman" w:cs="Times New Roman"/>
          <w:sz w:val="24"/>
          <w:szCs w:val="24"/>
          <w:lang w:val="en-US" w:eastAsia="pt-PT"/>
        </w:rPr>
      </w:pPr>
      <w:r w:rsidRPr="00122ABB">
        <w:rPr>
          <w:rFonts w:ascii="Times New Roman" w:eastAsia="Times New Roman" w:hAnsi="Times New Roman" w:cs="Times New Roman"/>
          <w:sz w:val="24"/>
          <w:szCs w:val="24"/>
          <w:lang w:val="en-US" w:eastAsia="pt-PT"/>
        </w:rPr>
        <w:t>if she/he is subject to physical or mental ill-treatment or is a victim of sexual abuse;</w:t>
      </w:r>
    </w:p>
    <w:p w14:paraId="0F067E0A" w14:textId="77777777" w:rsidR="00653878" w:rsidRPr="00122ABB" w:rsidRDefault="00653878" w:rsidP="00653878">
      <w:pPr>
        <w:pStyle w:val="ListParagraph"/>
        <w:numPr>
          <w:ilvl w:val="0"/>
          <w:numId w:val="5"/>
        </w:numPr>
        <w:tabs>
          <w:tab w:val="left" w:pos="284"/>
        </w:tabs>
        <w:spacing w:after="120" w:line="360" w:lineRule="exact"/>
        <w:ind w:left="284" w:hanging="284"/>
        <w:contextualSpacing w:val="0"/>
        <w:jc w:val="both"/>
        <w:rPr>
          <w:rFonts w:ascii="Times New Roman" w:eastAsia="Times New Roman" w:hAnsi="Times New Roman" w:cs="Times New Roman"/>
          <w:sz w:val="24"/>
          <w:szCs w:val="24"/>
          <w:lang w:val="en-US" w:eastAsia="pt-PT"/>
        </w:rPr>
      </w:pPr>
      <w:r w:rsidRPr="00122ABB">
        <w:rPr>
          <w:rFonts w:ascii="Times New Roman" w:eastAsia="Times New Roman" w:hAnsi="Times New Roman" w:cs="Times New Roman"/>
          <w:sz w:val="24"/>
          <w:szCs w:val="24"/>
          <w:lang w:val="en-US" w:eastAsia="pt-PT"/>
        </w:rPr>
        <w:t>if she/he is forced to captivity or to labour that is either excessive or inadequate in terms of age, dignity and personal circumstances or detrimental to his/her upbringing or personality;</w:t>
      </w:r>
    </w:p>
    <w:p w14:paraId="0F067E0B" w14:textId="77777777" w:rsidR="00653878" w:rsidRPr="00122ABB" w:rsidRDefault="00653878" w:rsidP="00653878">
      <w:pPr>
        <w:pStyle w:val="ListParagraph"/>
        <w:numPr>
          <w:ilvl w:val="0"/>
          <w:numId w:val="5"/>
        </w:numPr>
        <w:tabs>
          <w:tab w:val="left" w:pos="284"/>
        </w:tabs>
        <w:spacing w:after="120" w:line="360" w:lineRule="exact"/>
        <w:ind w:left="284" w:hanging="284"/>
        <w:contextualSpacing w:val="0"/>
        <w:jc w:val="both"/>
        <w:rPr>
          <w:rFonts w:ascii="Times New Roman" w:eastAsia="Times New Roman" w:hAnsi="Times New Roman" w:cs="Times New Roman"/>
          <w:sz w:val="24"/>
          <w:szCs w:val="24"/>
          <w:lang w:val="en-US" w:eastAsia="pt-PT"/>
        </w:rPr>
      </w:pPr>
      <w:r w:rsidRPr="00122ABB">
        <w:rPr>
          <w:rFonts w:ascii="Times New Roman" w:eastAsia="Times New Roman" w:hAnsi="Times New Roman" w:cs="Times New Roman"/>
          <w:sz w:val="24"/>
          <w:szCs w:val="24"/>
          <w:lang w:val="en-US" w:eastAsia="pt-PT"/>
        </w:rPr>
        <w:t>if she/he is subject to conducts seriously affecting his/her safety and emotional balance.</w:t>
      </w:r>
    </w:p>
    <w:p w14:paraId="0F067E0C"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Since a child who has been trafficked or illegally transferred from the country where </w:t>
      </w:r>
      <w:r>
        <w:rPr>
          <w:rFonts w:ascii="Times New Roman" w:eastAsia="Times New Roman" w:hAnsi="Times New Roman" w:cs="Times New Roman"/>
          <w:sz w:val="24"/>
          <w:szCs w:val="24"/>
          <w:lang w:val="en-US" w:eastAsia="pt-PT"/>
        </w:rPr>
        <w:t>s</w:t>
      </w:r>
      <w:r w:rsidRPr="00F06B48">
        <w:rPr>
          <w:rFonts w:ascii="Times New Roman" w:eastAsia="Times New Roman" w:hAnsi="Times New Roman" w:cs="Times New Roman"/>
          <w:sz w:val="24"/>
          <w:szCs w:val="24"/>
          <w:lang w:val="en-US" w:eastAsia="pt-PT"/>
        </w:rPr>
        <w:t>he</w:t>
      </w:r>
      <w:r>
        <w:rPr>
          <w:rFonts w:ascii="Times New Roman" w:eastAsia="Times New Roman" w:hAnsi="Times New Roman" w:cs="Times New Roman"/>
          <w:sz w:val="24"/>
          <w:szCs w:val="24"/>
          <w:lang w:val="en-US" w:eastAsia="pt-PT"/>
        </w:rPr>
        <w:t>/he</w:t>
      </w:r>
      <w:r w:rsidRPr="00F06B48">
        <w:rPr>
          <w:rFonts w:ascii="Times New Roman" w:eastAsia="Times New Roman" w:hAnsi="Times New Roman" w:cs="Times New Roman"/>
          <w:sz w:val="24"/>
          <w:szCs w:val="24"/>
          <w:lang w:val="en-US" w:eastAsia="pt-PT"/>
        </w:rPr>
        <w:t xml:space="preserve"> usually resided falls within the at-risk category, </w:t>
      </w:r>
      <w:r>
        <w:rPr>
          <w:rFonts w:ascii="Times New Roman" w:eastAsia="Times New Roman" w:hAnsi="Times New Roman" w:cs="Times New Roman"/>
          <w:sz w:val="24"/>
          <w:szCs w:val="24"/>
          <w:lang w:val="en-US" w:eastAsia="pt-PT"/>
        </w:rPr>
        <w:t>s</w:t>
      </w:r>
      <w:r w:rsidRPr="00F06B48">
        <w:rPr>
          <w:rFonts w:ascii="Times New Roman" w:eastAsia="Times New Roman" w:hAnsi="Times New Roman" w:cs="Times New Roman"/>
          <w:sz w:val="24"/>
          <w:szCs w:val="24"/>
          <w:lang w:val="en-US" w:eastAsia="pt-PT"/>
        </w:rPr>
        <w:t>he</w:t>
      </w:r>
      <w:r>
        <w:rPr>
          <w:rFonts w:ascii="Times New Roman" w:eastAsia="Times New Roman" w:hAnsi="Times New Roman" w:cs="Times New Roman"/>
          <w:sz w:val="24"/>
          <w:szCs w:val="24"/>
          <w:lang w:val="en-US" w:eastAsia="pt-PT"/>
        </w:rPr>
        <w:t>/he</w:t>
      </w:r>
      <w:r w:rsidRPr="00F06B48">
        <w:rPr>
          <w:rFonts w:ascii="Times New Roman" w:eastAsia="Times New Roman" w:hAnsi="Times New Roman" w:cs="Times New Roman"/>
          <w:sz w:val="24"/>
          <w:szCs w:val="24"/>
          <w:lang w:val="en-US" w:eastAsia="pt-PT"/>
        </w:rPr>
        <w:t xml:space="preserve"> benefits from protection measures provided for by the law. The court further determines which measure is more adequate to avert the danger in which the concerned children and young people find themselves, thus providing the conditions for the protection and promotion of their safety, health, education, well-being and full development and ensuring the physical and mental recovery of children and young people victims of any form of exploitation or abuse.</w:t>
      </w:r>
    </w:p>
    <w:p w14:paraId="0F067E0D"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The awareness of a child trafficking situation without immediate or foreseeable family reaction thereto causes the launching of a care and protection process focused on that child.</w:t>
      </w:r>
    </w:p>
    <w:p w14:paraId="0F067E0E"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When considering the particular nature of a specific at-risk situation, the proceedings are launched </w:t>
      </w:r>
      <w:r>
        <w:rPr>
          <w:rFonts w:ascii="Times New Roman" w:eastAsia="Times New Roman" w:hAnsi="Times New Roman" w:cs="Times New Roman"/>
          <w:sz w:val="24"/>
          <w:szCs w:val="24"/>
          <w:lang w:val="en-US" w:eastAsia="pt-PT"/>
        </w:rPr>
        <w:t xml:space="preserve">by </w:t>
      </w:r>
      <w:r w:rsidRPr="00F06B48">
        <w:rPr>
          <w:rFonts w:ascii="Times New Roman" w:eastAsia="Times New Roman" w:hAnsi="Times New Roman" w:cs="Times New Roman"/>
          <w:sz w:val="24"/>
          <w:szCs w:val="24"/>
          <w:lang w:val="en-US" w:eastAsia="pt-PT"/>
        </w:rPr>
        <w:t xml:space="preserve">the submission of a request by the Public Prosecution Service – the entity entrusted with the protection of the interests of the child or of the young person </w:t>
      </w:r>
      <w:r>
        <w:rPr>
          <w:rFonts w:ascii="Times New Roman" w:eastAsia="Times New Roman" w:hAnsi="Times New Roman" w:cs="Times New Roman"/>
          <w:sz w:val="24"/>
          <w:szCs w:val="24"/>
          <w:lang w:val="en-US" w:eastAsia="pt-PT"/>
        </w:rPr>
        <w:t>–</w:t>
      </w:r>
      <w:r w:rsidRPr="00F06B48">
        <w:rPr>
          <w:rFonts w:ascii="Times New Roman" w:eastAsia="Times New Roman" w:hAnsi="Times New Roman" w:cs="Times New Roman"/>
          <w:sz w:val="24"/>
          <w:szCs w:val="24"/>
          <w:lang w:val="en-US" w:eastAsia="pt-PT"/>
        </w:rPr>
        <w:t xml:space="preserve"> to the Family and Minors Court.</w:t>
      </w:r>
    </w:p>
    <w:p w14:paraId="0F067E0F"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When an initial communication is received by a Commission for the Protection of Children and Young People at Danger</w:t>
      </w:r>
      <w:r>
        <w:rPr>
          <w:rFonts w:ascii="Times New Roman" w:eastAsia="Times New Roman" w:hAnsi="Times New Roman" w:cs="Times New Roman"/>
          <w:sz w:val="24"/>
          <w:szCs w:val="24"/>
          <w:lang w:val="en-US" w:eastAsia="pt-PT"/>
        </w:rPr>
        <w:t xml:space="preserve"> </w:t>
      </w:r>
      <w:r w:rsidRPr="00F06B48">
        <w:rPr>
          <w:rFonts w:ascii="Times New Roman" w:eastAsia="Times New Roman" w:hAnsi="Times New Roman" w:cs="Times New Roman"/>
          <w:sz w:val="24"/>
          <w:szCs w:val="24"/>
          <w:lang w:val="en-US" w:eastAsia="pt-PT"/>
        </w:rPr>
        <w:t>– should it be obvious that parents will not consent on an extrajudicial protective measure – the said Commission is bound to report the case to the Public Prosecutor at the Family and Minors Court, who shall ask the Judge to open the competent proceedings and order the enforcement of the appropriate protective measures.</w:t>
      </w:r>
    </w:p>
    <w:p w14:paraId="0F067E10"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These are two-folded urgent proceedings: (i) firstly, there is the evidence stage, during which different forms of evidence are sought (including the compulsory hearing – where feasible – of the parents and/or representatives, as well as the hearing of the child or young person should </w:t>
      </w:r>
      <w:r>
        <w:rPr>
          <w:rFonts w:ascii="Times New Roman" w:eastAsia="Times New Roman" w:hAnsi="Times New Roman" w:cs="Times New Roman"/>
          <w:sz w:val="24"/>
          <w:szCs w:val="24"/>
          <w:lang w:val="en-US" w:eastAsia="pt-PT"/>
        </w:rPr>
        <w:t>s</w:t>
      </w:r>
      <w:r w:rsidRPr="00F06B48">
        <w:rPr>
          <w:rFonts w:ascii="Times New Roman" w:eastAsia="Times New Roman" w:hAnsi="Times New Roman" w:cs="Times New Roman"/>
          <w:sz w:val="24"/>
          <w:szCs w:val="24"/>
          <w:lang w:val="en-US" w:eastAsia="pt-PT"/>
        </w:rPr>
        <w:t>he</w:t>
      </w:r>
      <w:r>
        <w:rPr>
          <w:rFonts w:ascii="Times New Roman" w:eastAsia="Times New Roman" w:hAnsi="Times New Roman" w:cs="Times New Roman"/>
          <w:sz w:val="24"/>
          <w:szCs w:val="24"/>
          <w:lang w:val="en-US" w:eastAsia="pt-PT"/>
        </w:rPr>
        <w:t>/he</w:t>
      </w:r>
      <w:r w:rsidRPr="00F06B48">
        <w:rPr>
          <w:rFonts w:ascii="Times New Roman" w:eastAsia="Times New Roman" w:hAnsi="Times New Roman" w:cs="Times New Roman"/>
          <w:sz w:val="24"/>
          <w:szCs w:val="24"/>
          <w:lang w:val="en-US" w:eastAsia="pt-PT"/>
        </w:rPr>
        <w:t xml:space="preserve"> be able and mature enough to be heard and express his/her opinion on the matter, as well as other evidence such as documents and/or expertise), followed by the drawing up of a social report (in the case of a removed child the report shall contain data on the social and family environment at the country of origin); (ii) the decision-making stage followed by the imposition of a protective measure.</w:t>
      </w:r>
    </w:p>
    <w:p w14:paraId="0F067E11"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However, a provisional measure shall be enforced in case of emergency or while the child’s situation diagnosis and the definition of his/her subsequent referral are being established.</w:t>
      </w:r>
    </w:p>
    <w:p w14:paraId="0F067E12"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A child victim of trafficking will be institutionalized most probably if no reliable relative able to shelter her</w:t>
      </w:r>
      <w:r>
        <w:rPr>
          <w:rFonts w:ascii="Times New Roman" w:eastAsia="Times New Roman" w:hAnsi="Times New Roman" w:cs="Times New Roman"/>
          <w:sz w:val="24"/>
          <w:szCs w:val="24"/>
          <w:lang w:val="en-US" w:eastAsia="pt-PT"/>
        </w:rPr>
        <w:t>/his</w:t>
      </w:r>
      <w:r w:rsidRPr="00F06B48">
        <w:rPr>
          <w:rFonts w:ascii="Times New Roman" w:eastAsia="Times New Roman" w:hAnsi="Times New Roman" w:cs="Times New Roman"/>
          <w:sz w:val="24"/>
          <w:szCs w:val="24"/>
          <w:lang w:val="en-US" w:eastAsia="pt-PT"/>
        </w:rPr>
        <w:t xml:space="preserve"> can be traced.</w:t>
      </w:r>
    </w:p>
    <w:p w14:paraId="0F067E13"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The protective reaction, i.e. the institutional foster is ensured by reception centers or child and youth houses (articles 49 to 51 of Law No. 147/99 of 1 September 1999). The child or young person is </w:t>
      </w:r>
      <w:r w:rsidRPr="00F06B48">
        <w:rPr>
          <w:rFonts w:ascii="Times New Roman" w:eastAsia="Times New Roman" w:hAnsi="Times New Roman" w:cs="Times New Roman"/>
          <w:sz w:val="24"/>
          <w:szCs w:val="24"/>
          <w:lang w:val="en-US" w:eastAsia="pt-PT"/>
        </w:rPr>
        <w:lastRenderedPageBreak/>
        <w:t>placed under the care of an entity that provides permanent reception equipment and premises as well as a technical team capable of fulfilling the needs of the child or young person and of providing adequate education, well-being and full development regardless of its public, social or private nature. Inspection and supervision of these institutions are entrusted to the Social Security Institute, which further indicates the institution where shelter is to be given upon the judge’s request.</w:t>
      </w:r>
    </w:p>
    <w:p w14:paraId="0F067E14"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Any measure applied within the promotion and protection process is subject to a periodical judicial revision (every six months at least) conducted by the Family and Minors Court, which then decides upon its maintenance or modification.</w:t>
      </w:r>
    </w:p>
    <w:p w14:paraId="0F067E15"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The duty to articulate the protective intervention with the competent authorities of the child’s country of origin, with a view to corresponding to the interests of the child (which may lead to the protective intervention being made in the country where the child habitually resides), derives from both the need to take the best interests of the child into consideration and the provisions of the 1996 Hague Convention on Parental Responsibility and Measures for the Protection of Children.</w:t>
      </w:r>
    </w:p>
    <w:p w14:paraId="0F067E16"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 xml:space="preserve">The protective intervention is a transitional process by nature in the sense that it is expected to last only while danger persists. However, it is followed by increasingly lasting civil protective orders, among which guardianship (article 1921 ff. of the Civil Code), surrender to a third person or institution (article 1918 of the Civil Code), </w:t>
      </w:r>
      <w:r>
        <w:rPr>
          <w:rFonts w:ascii="Times New Roman" w:eastAsia="Times New Roman" w:hAnsi="Times New Roman" w:cs="Times New Roman"/>
          <w:sz w:val="24"/>
          <w:szCs w:val="24"/>
          <w:lang w:val="en-US" w:eastAsia="pt-PT"/>
        </w:rPr>
        <w:t xml:space="preserve">or </w:t>
      </w:r>
      <w:r w:rsidRPr="00F06B48">
        <w:rPr>
          <w:rFonts w:ascii="Times New Roman" w:eastAsia="Times New Roman" w:hAnsi="Times New Roman" w:cs="Times New Roman"/>
          <w:sz w:val="24"/>
          <w:szCs w:val="24"/>
          <w:lang w:val="en-US" w:eastAsia="pt-PT"/>
        </w:rPr>
        <w:t>adoption (article 1974 ff. of the Civil Code).</w:t>
      </w:r>
    </w:p>
    <w:p w14:paraId="0F067E17"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During institutional fostering it is incumbent on the Director for the institution to represent the child, in particular in matters of education, health, specific needs imposed by the situation itself.</w:t>
      </w:r>
      <w:r>
        <w:rPr>
          <w:rFonts w:ascii="Times New Roman" w:eastAsia="Times New Roman" w:hAnsi="Times New Roman" w:cs="Times New Roman"/>
          <w:sz w:val="24"/>
          <w:szCs w:val="24"/>
          <w:lang w:val="en-US" w:eastAsia="pt-PT"/>
        </w:rPr>
        <w:t xml:space="preserve"> </w:t>
      </w:r>
      <w:r w:rsidRPr="00F06B48">
        <w:rPr>
          <w:rFonts w:ascii="Times New Roman" w:eastAsia="Times New Roman" w:hAnsi="Times New Roman" w:cs="Times New Roman"/>
          <w:sz w:val="24"/>
          <w:szCs w:val="24"/>
          <w:lang w:val="en-US" w:eastAsia="pt-PT"/>
        </w:rPr>
        <w:t>A special trustee may also be appointed by the Family and Minors Court with the purpose of representing the child in any proceedings.</w:t>
      </w:r>
      <w:r>
        <w:rPr>
          <w:rFonts w:ascii="Times New Roman" w:eastAsia="Times New Roman" w:hAnsi="Times New Roman" w:cs="Times New Roman"/>
          <w:sz w:val="24"/>
          <w:szCs w:val="24"/>
          <w:lang w:val="en-US" w:eastAsia="pt-PT"/>
        </w:rPr>
        <w:t xml:space="preserve"> </w:t>
      </w:r>
      <w:r w:rsidRPr="00F06B48">
        <w:rPr>
          <w:rFonts w:ascii="Times New Roman" w:eastAsia="Times New Roman" w:hAnsi="Times New Roman" w:cs="Times New Roman"/>
          <w:sz w:val="24"/>
          <w:szCs w:val="24"/>
          <w:lang w:val="en-US" w:eastAsia="pt-PT"/>
        </w:rPr>
        <w:t>As a rule, this appointment is requested by the Public Prosecution Service, though it may be requested by the person entrusted with the child’s guardianship.</w:t>
      </w:r>
      <w:r>
        <w:rPr>
          <w:rFonts w:ascii="Times New Roman" w:eastAsia="Times New Roman" w:hAnsi="Times New Roman" w:cs="Times New Roman"/>
          <w:sz w:val="24"/>
          <w:szCs w:val="24"/>
          <w:lang w:val="en-US" w:eastAsia="pt-PT"/>
        </w:rPr>
        <w:t xml:space="preserve"> </w:t>
      </w:r>
      <w:r w:rsidRPr="00F06B48">
        <w:rPr>
          <w:rFonts w:ascii="Times New Roman" w:eastAsia="Times New Roman" w:hAnsi="Times New Roman" w:cs="Times New Roman"/>
          <w:sz w:val="24"/>
          <w:szCs w:val="24"/>
          <w:lang w:val="en-US" w:eastAsia="pt-PT"/>
        </w:rPr>
        <w:t>Finally, consideration must be paid to the possible appointment of a trustee entrusted with the child’s overall/extended representation, in particular at acts where the child is deemed to intervene – including at criminal procedure level.</w:t>
      </w:r>
    </w:p>
    <w:p w14:paraId="0F067E18"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With a view to attaining an articulated promotion of the children’s interests defense, the Prosecutor General’s Office has issued Directives for Public Prosecutors establishing that, whenever criminal proceedings are instituted, the prosecutors on duty in the criminal and children and young people protection fields should work together (Circular Letter No. 3/2006). The Prosecutor General’s Office and the National Commission for the Protection of Children and Young People at Risk issued a Joint Directive with a view to facilitating the combined interventions and improving communication between the respective services.</w:t>
      </w:r>
    </w:p>
    <w:p w14:paraId="0F067E19"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The Criminal Procedure Code sets forth some rules aimed at protecting the identity of the child victims of</w:t>
      </w:r>
      <w:r>
        <w:rPr>
          <w:rFonts w:ascii="Times New Roman" w:eastAsia="Times New Roman" w:hAnsi="Times New Roman" w:cs="Times New Roman"/>
          <w:sz w:val="24"/>
          <w:szCs w:val="24"/>
          <w:lang w:val="en-US" w:eastAsia="pt-PT"/>
        </w:rPr>
        <w:t xml:space="preserve"> trafficking</w:t>
      </w:r>
      <w:r w:rsidRPr="00F06B48">
        <w:rPr>
          <w:rFonts w:ascii="Times New Roman" w:eastAsia="Times New Roman" w:hAnsi="Times New Roman" w:cs="Times New Roman"/>
          <w:sz w:val="24"/>
          <w:szCs w:val="24"/>
          <w:lang w:val="en-US" w:eastAsia="pt-PT"/>
        </w:rPr>
        <w:t>, as follows:</w:t>
      </w:r>
      <w:r>
        <w:rPr>
          <w:rFonts w:ascii="Times New Roman" w:eastAsia="Times New Roman" w:hAnsi="Times New Roman" w:cs="Times New Roman"/>
          <w:sz w:val="24"/>
          <w:szCs w:val="24"/>
          <w:lang w:val="en-US" w:eastAsia="pt-PT"/>
        </w:rPr>
        <w:t xml:space="preserve"> t</w:t>
      </w:r>
      <w:r w:rsidRPr="00F06B48">
        <w:rPr>
          <w:rFonts w:ascii="Times New Roman" w:eastAsia="Times New Roman" w:hAnsi="Times New Roman" w:cs="Times New Roman"/>
          <w:sz w:val="24"/>
          <w:szCs w:val="24"/>
          <w:lang w:val="en-US" w:eastAsia="pt-PT"/>
        </w:rPr>
        <w:t xml:space="preserve">he procedural acts shall exclude the publicity rule; disclosure of the identity of victims by mass media is interdicted, and failure to comply therewith shall correspond to a criminal offence of disobedience; the children’s hearing shall be made only by the judge under the form of statement for future use; if certain circumstances apply, children’s hearing </w:t>
      </w:r>
      <w:r w:rsidRPr="00F06B48">
        <w:rPr>
          <w:rFonts w:ascii="Times New Roman" w:eastAsia="Times New Roman" w:hAnsi="Times New Roman" w:cs="Times New Roman"/>
          <w:sz w:val="24"/>
          <w:szCs w:val="24"/>
          <w:lang w:val="en-US" w:eastAsia="pt-PT"/>
        </w:rPr>
        <w:lastRenderedPageBreak/>
        <w:t>may be made in the presence of staff duly trained to accompany them – see article 87(3), 88(c), 271 of the Criminal Procedure Code.</w:t>
      </w:r>
    </w:p>
    <w:p w14:paraId="0F067E1A"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Granting of a residence permit is entrusted to the Director of the Immigration and Borders Service (</w:t>
      </w:r>
      <w:r w:rsidRPr="006D7F61">
        <w:rPr>
          <w:rFonts w:ascii="Times New Roman" w:eastAsia="Times New Roman" w:hAnsi="Times New Roman" w:cs="Times New Roman"/>
          <w:i/>
          <w:sz w:val="24"/>
          <w:szCs w:val="24"/>
          <w:lang w:val="en-US" w:eastAsia="pt-PT"/>
        </w:rPr>
        <w:t>Serviço de Estrangeiros e Fronteiras</w:t>
      </w:r>
      <w:r>
        <w:rPr>
          <w:rFonts w:ascii="Times New Roman" w:eastAsia="Times New Roman" w:hAnsi="Times New Roman" w:cs="Times New Roman"/>
          <w:sz w:val="24"/>
          <w:szCs w:val="24"/>
          <w:lang w:val="en-US" w:eastAsia="pt-PT"/>
        </w:rPr>
        <w:t>)</w:t>
      </w:r>
      <w:r w:rsidRPr="00F06B48">
        <w:rPr>
          <w:rFonts w:ascii="Times New Roman" w:eastAsia="Times New Roman" w:hAnsi="Times New Roman" w:cs="Times New Roman"/>
          <w:sz w:val="24"/>
          <w:szCs w:val="24"/>
          <w:lang w:val="en-US" w:eastAsia="pt-PT"/>
        </w:rPr>
        <w:t xml:space="preserve"> and the child’s representation must be secured by a natural person or the director of a moral person to whom the child has been entrusted. Nonetheless, no administrative procedure will necessarily take place for purposes of ensuring residence to a child within t</w:t>
      </w:r>
      <w:r>
        <w:rPr>
          <w:rFonts w:ascii="Times New Roman" w:eastAsia="Times New Roman" w:hAnsi="Times New Roman" w:cs="Times New Roman"/>
          <w:sz w:val="24"/>
          <w:szCs w:val="24"/>
          <w:lang w:val="en-US" w:eastAsia="pt-PT"/>
        </w:rPr>
        <w:t xml:space="preserve">he Portuguese territory while a </w:t>
      </w:r>
      <w:r w:rsidRPr="00F06B48">
        <w:rPr>
          <w:rFonts w:ascii="Times New Roman" w:eastAsia="Times New Roman" w:hAnsi="Times New Roman" w:cs="Times New Roman"/>
          <w:sz w:val="24"/>
          <w:szCs w:val="24"/>
          <w:lang w:val="en-US" w:eastAsia="pt-PT"/>
        </w:rPr>
        <w:t>promotion and protection proceedings is being conducted.</w:t>
      </w:r>
    </w:p>
    <w:p w14:paraId="0F067E1B" w14:textId="77777777" w:rsidR="00653878" w:rsidRPr="00F06B48" w:rsidRDefault="00653878" w:rsidP="00653878">
      <w:pPr>
        <w:tabs>
          <w:tab w:val="left" w:pos="284"/>
        </w:tabs>
        <w:spacing w:after="120" w:line="360" w:lineRule="exact"/>
        <w:jc w:val="both"/>
        <w:rPr>
          <w:rFonts w:ascii="Times New Roman" w:eastAsia="Times New Roman" w:hAnsi="Times New Roman" w:cs="Times New Roman"/>
          <w:sz w:val="24"/>
          <w:szCs w:val="24"/>
          <w:lang w:val="en-US" w:eastAsia="pt-PT"/>
        </w:rPr>
      </w:pPr>
      <w:r w:rsidRPr="00F06B48">
        <w:rPr>
          <w:rFonts w:ascii="Times New Roman" w:eastAsia="Times New Roman" w:hAnsi="Times New Roman" w:cs="Times New Roman"/>
          <w:sz w:val="24"/>
          <w:szCs w:val="24"/>
          <w:lang w:val="en-US" w:eastAsia="pt-PT"/>
        </w:rPr>
        <w:t>All the above situations were taken into account and developed in the training provided to the forces and security services – Project “Law Enforcement Agencies – Common look on children”, aiming</w:t>
      </w:r>
      <w:r>
        <w:rPr>
          <w:rFonts w:ascii="Times New Roman" w:eastAsia="Times New Roman" w:hAnsi="Times New Roman" w:cs="Times New Roman"/>
          <w:sz w:val="24"/>
          <w:szCs w:val="24"/>
          <w:lang w:val="en-US" w:eastAsia="pt-PT"/>
        </w:rPr>
        <w:t xml:space="preserve"> at</w:t>
      </w:r>
      <w:r w:rsidRPr="00F06B48">
        <w:rPr>
          <w:rFonts w:ascii="Times New Roman" w:eastAsia="Times New Roman" w:hAnsi="Times New Roman" w:cs="Times New Roman"/>
          <w:sz w:val="24"/>
          <w:szCs w:val="24"/>
          <w:lang w:val="en-US" w:eastAsia="pt-PT"/>
        </w:rPr>
        <w:t>:</w:t>
      </w:r>
    </w:p>
    <w:p w14:paraId="0F067E1C" w14:textId="77777777" w:rsidR="00653878" w:rsidRPr="006D7F61" w:rsidRDefault="00653878" w:rsidP="00653878">
      <w:pPr>
        <w:pStyle w:val="ListParagraph"/>
        <w:numPr>
          <w:ilvl w:val="0"/>
          <w:numId w:val="6"/>
        </w:numPr>
        <w:tabs>
          <w:tab w:val="left" w:pos="284"/>
        </w:tabs>
        <w:spacing w:after="120" w:line="360" w:lineRule="exact"/>
        <w:ind w:left="284" w:hanging="284"/>
        <w:contextualSpacing w:val="0"/>
        <w:jc w:val="both"/>
        <w:rPr>
          <w:rFonts w:ascii="Times New Roman" w:eastAsia="Times New Roman" w:hAnsi="Times New Roman" w:cs="Times New Roman"/>
          <w:sz w:val="24"/>
          <w:szCs w:val="24"/>
          <w:lang w:val="en-US" w:eastAsia="pt-PT"/>
        </w:rPr>
      </w:pPr>
      <w:r w:rsidRPr="006D7F61">
        <w:rPr>
          <w:rFonts w:ascii="Times New Roman" w:eastAsia="Times New Roman" w:hAnsi="Times New Roman" w:cs="Times New Roman"/>
          <w:sz w:val="24"/>
          <w:szCs w:val="24"/>
          <w:lang w:val="en-US" w:eastAsia="pt-PT"/>
        </w:rPr>
        <w:t>The development of ethical, relational, technical, social, organizational and methodological skills to an optimized intervention in the matters of detection and diagnose of endangered children, or children facing regulation/modification/non fulfilment of parental responsibilities, and/or young people facing trouble with the law;</w:t>
      </w:r>
    </w:p>
    <w:p w14:paraId="0F067E1D" w14:textId="77777777" w:rsidR="00653878" w:rsidRPr="006D7F61" w:rsidRDefault="00653878" w:rsidP="00653878">
      <w:pPr>
        <w:pStyle w:val="ListParagraph"/>
        <w:numPr>
          <w:ilvl w:val="0"/>
          <w:numId w:val="6"/>
        </w:numPr>
        <w:tabs>
          <w:tab w:val="left" w:pos="284"/>
        </w:tabs>
        <w:spacing w:after="120" w:line="360" w:lineRule="exact"/>
        <w:ind w:left="284" w:hanging="284"/>
        <w:contextualSpacing w:val="0"/>
        <w:jc w:val="both"/>
        <w:rPr>
          <w:rFonts w:ascii="Times New Roman" w:eastAsia="Times New Roman" w:hAnsi="Times New Roman" w:cs="Times New Roman"/>
          <w:sz w:val="24"/>
          <w:szCs w:val="24"/>
          <w:lang w:val="en-US" w:eastAsia="pt-PT"/>
        </w:rPr>
      </w:pPr>
      <w:r w:rsidRPr="006D7F61">
        <w:rPr>
          <w:rFonts w:ascii="Times New Roman" w:eastAsia="Times New Roman" w:hAnsi="Times New Roman" w:cs="Times New Roman"/>
          <w:sz w:val="24"/>
          <w:szCs w:val="24"/>
          <w:lang w:val="en-US" w:eastAsia="pt-PT"/>
        </w:rPr>
        <w:t>Providing the trainee</w:t>
      </w:r>
      <w:r>
        <w:rPr>
          <w:rFonts w:ascii="Times New Roman" w:eastAsia="Times New Roman" w:hAnsi="Times New Roman" w:cs="Times New Roman"/>
          <w:sz w:val="24"/>
          <w:szCs w:val="24"/>
          <w:lang w:val="en-US" w:eastAsia="pt-PT"/>
        </w:rPr>
        <w:t>s</w:t>
      </w:r>
      <w:r w:rsidRPr="006D7F61">
        <w:rPr>
          <w:rFonts w:ascii="Times New Roman" w:eastAsia="Times New Roman" w:hAnsi="Times New Roman" w:cs="Times New Roman"/>
          <w:sz w:val="24"/>
          <w:szCs w:val="24"/>
          <w:lang w:val="en-US" w:eastAsia="pt-PT"/>
        </w:rPr>
        <w:t xml:space="preserve"> </w:t>
      </w:r>
      <w:r>
        <w:rPr>
          <w:rFonts w:ascii="Times New Roman" w:eastAsia="Times New Roman" w:hAnsi="Times New Roman" w:cs="Times New Roman"/>
          <w:sz w:val="24"/>
          <w:szCs w:val="24"/>
          <w:lang w:val="en-US" w:eastAsia="pt-PT"/>
        </w:rPr>
        <w:t xml:space="preserve">with </w:t>
      </w:r>
      <w:r w:rsidRPr="006D7F61">
        <w:rPr>
          <w:rFonts w:ascii="Times New Roman" w:eastAsia="Times New Roman" w:hAnsi="Times New Roman" w:cs="Times New Roman"/>
          <w:sz w:val="24"/>
          <w:szCs w:val="24"/>
          <w:lang w:val="en-US" w:eastAsia="pt-PT"/>
        </w:rPr>
        <w:t>the necessary performance skills (common guidelines) and communica</w:t>
      </w:r>
      <w:r>
        <w:rPr>
          <w:rFonts w:ascii="Times New Roman" w:eastAsia="Times New Roman" w:hAnsi="Times New Roman" w:cs="Times New Roman"/>
          <w:sz w:val="24"/>
          <w:szCs w:val="24"/>
          <w:lang w:val="en-US" w:eastAsia="pt-PT"/>
        </w:rPr>
        <w:t>tional skills (common language)</w:t>
      </w:r>
      <w:r w:rsidRPr="006D7F61">
        <w:rPr>
          <w:rFonts w:ascii="Times New Roman" w:eastAsia="Times New Roman" w:hAnsi="Times New Roman" w:cs="Times New Roman"/>
          <w:sz w:val="24"/>
          <w:szCs w:val="24"/>
          <w:lang w:val="en-US" w:eastAsia="pt-PT"/>
        </w:rPr>
        <w:t xml:space="preserve"> to achieve their mission effectively and efficiency;</w:t>
      </w:r>
    </w:p>
    <w:p w14:paraId="0F067E1E" w14:textId="77777777" w:rsidR="00653878" w:rsidRPr="006D7F61" w:rsidRDefault="00653878" w:rsidP="00653878">
      <w:pPr>
        <w:pStyle w:val="ListParagraph"/>
        <w:numPr>
          <w:ilvl w:val="0"/>
          <w:numId w:val="6"/>
        </w:numPr>
        <w:tabs>
          <w:tab w:val="left" w:pos="284"/>
        </w:tabs>
        <w:spacing w:after="120" w:line="360" w:lineRule="exact"/>
        <w:ind w:left="284" w:hanging="284"/>
        <w:contextualSpacing w:val="0"/>
        <w:jc w:val="both"/>
        <w:rPr>
          <w:rFonts w:ascii="Times New Roman" w:eastAsia="Times New Roman" w:hAnsi="Times New Roman" w:cs="Times New Roman"/>
          <w:sz w:val="24"/>
          <w:szCs w:val="24"/>
          <w:lang w:val="en-US" w:eastAsia="pt-PT"/>
        </w:rPr>
      </w:pPr>
      <w:r w:rsidRPr="006D7F61">
        <w:rPr>
          <w:rFonts w:ascii="Times New Roman" w:eastAsia="Times New Roman" w:hAnsi="Times New Roman" w:cs="Times New Roman"/>
          <w:sz w:val="24"/>
          <w:szCs w:val="24"/>
          <w:lang w:val="en-US" w:eastAsia="pt-PT"/>
        </w:rPr>
        <w:t>Pointing out the importance of trans-inter-multidisciplinary (knowledge/information) and inter institutional approach (partnership and information share) as a safeguard to the quality of this much needed public service.</w:t>
      </w:r>
    </w:p>
    <w:p w14:paraId="0F067E1F"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p>
    <w:p w14:paraId="0F067E20" w14:textId="77777777" w:rsidR="00653878" w:rsidRPr="00D4053B" w:rsidRDefault="00653878" w:rsidP="00653878">
      <w:pPr>
        <w:tabs>
          <w:tab w:val="left" w:pos="284"/>
        </w:tabs>
        <w:spacing w:after="120" w:line="360" w:lineRule="exact"/>
        <w:jc w:val="both"/>
        <w:rPr>
          <w:rFonts w:ascii="Times New Roman" w:hAnsi="Times New Roman" w:cs="Times New Roman"/>
          <w:b/>
          <w:sz w:val="24"/>
          <w:szCs w:val="24"/>
          <w:lang w:val="en-US"/>
        </w:rPr>
      </w:pPr>
      <w:r w:rsidRPr="00D4053B">
        <w:rPr>
          <w:rFonts w:ascii="Times New Roman" w:hAnsi="Times New Roman" w:cs="Times New Roman"/>
          <w:b/>
          <w:sz w:val="24"/>
          <w:szCs w:val="24"/>
          <w:lang w:val="en-US"/>
        </w:rPr>
        <w:t>III. Forced confinement in private contexts</w:t>
      </w:r>
    </w:p>
    <w:p w14:paraId="0F067E21"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No available data on this type of</w:t>
      </w:r>
      <w:r w:rsidRPr="00D4053B">
        <w:rPr>
          <w:rFonts w:ascii="Times New Roman" w:hAnsi="Times New Roman" w:cs="Times New Roman"/>
          <w:sz w:val="24"/>
          <w:szCs w:val="24"/>
          <w:lang w:val="en-US"/>
        </w:rPr>
        <w:t xml:space="preserve"> situations</w:t>
      </w:r>
      <w:r>
        <w:rPr>
          <w:rFonts w:ascii="Times New Roman" w:hAnsi="Times New Roman" w:cs="Times New Roman"/>
          <w:sz w:val="24"/>
          <w:szCs w:val="24"/>
          <w:lang w:val="en-US"/>
        </w:rPr>
        <w:t>.</w:t>
      </w:r>
    </w:p>
    <w:p w14:paraId="0F067E22"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p>
    <w:p w14:paraId="0F067E23" w14:textId="77777777" w:rsidR="00653878" w:rsidRPr="00D4053B" w:rsidRDefault="00653878" w:rsidP="00653878">
      <w:pPr>
        <w:tabs>
          <w:tab w:val="left" w:pos="284"/>
        </w:tabs>
        <w:spacing w:after="120" w:line="360" w:lineRule="exact"/>
        <w:jc w:val="both"/>
        <w:rPr>
          <w:rFonts w:ascii="Times New Roman" w:hAnsi="Times New Roman" w:cs="Times New Roman"/>
          <w:b/>
          <w:sz w:val="24"/>
          <w:szCs w:val="24"/>
          <w:lang w:val="en-US"/>
        </w:rPr>
      </w:pPr>
      <w:r w:rsidRPr="00D4053B">
        <w:rPr>
          <w:rFonts w:ascii="Times New Roman" w:hAnsi="Times New Roman" w:cs="Times New Roman"/>
          <w:b/>
          <w:sz w:val="24"/>
          <w:szCs w:val="24"/>
          <w:lang w:val="en-US"/>
        </w:rPr>
        <w:t>IV. Migration and crisis situations</w:t>
      </w:r>
    </w:p>
    <w:p w14:paraId="0F067E24" w14:textId="77777777" w:rsidR="00653878" w:rsidRDefault="00653878" w:rsidP="00653878">
      <w:pPr>
        <w:tabs>
          <w:tab w:val="left" w:pos="284"/>
        </w:tabs>
        <w:spacing w:after="120" w:line="36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As to r</w:t>
      </w:r>
      <w:r w:rsidRPr="00D4053B">
        <w:rPr>
          <w:rFonts w:ascii="Times New Roman" w:hAnsi="Times New Roman" w:cs="Times New Roman"/>
          <w:sz w:val="24"/>
          <w:szCs w:val="24"/>
          <w:lang w:val="en-US"/>
        </w:rPr>
        <w:t>isks of detention and confinement to women on the mo</w:t>
      </w:r>
      <w:r>
        <w:rPr>
          <w:rFonts w:ascii="Times New Roman" w:hAnsi="Times New Roman" w:cs="Times New Roman"/>
          <w:sz w:val="24"/>
          <w:szCs w:val="24"/>
          <w:lang w:val="en-US"/>
        </w:rPr>
        <w:t xml:space="preserve">ve (asylum seekers or migrants), the law establishes that </w:t>
      </w:r>
      <w:r w:rsidRPr="00A90FD7">
        <w:rPr>
          <w:rFonts w:ascii="Times New Roman" w:hAnsi="Times New Roman" w:cs="Times New Roman"/>
          <w:sz w:val="24"/>
          <w:szCs w:val="24"/>
          <w:lang w:val="en-US"/>
        </w:rPr>
        <w:t>foreign</w:t>
      </w:r>
      <w:r>
        <w:rPr>
          <w:rFonts w:ascii="Times New Roman" w:hAnsi="Times New Roman" w:cs="Times New Roman"/>
          <w:sz w:val="24"/>
          <w:szCs w:val="24"/>
          <w:lang w:val="en-US"/>
        </w:rPr>
        <w:t xml:space="preserve"> women or men</w:t>
      </w:r>
      <w:r w:rsidRPr="00A90FD7">
        <w:rPr>
          <w:rFonts w:ascii="Times New Roman" w:hAnsi="Times New Roman" w:cs="Times New Roman"/>
          <w:sz w:val="24"/>
          <w:szCs w:val="24"/>
          <w:lang w:val="en-US"/>
        </w:rPr>
        <w:t xml:space="preserve"> to wh</w:t>
      </w:r>
      <w:r>
        <w:rPr>
          <w:rFonts w:ascii="Times New Roman" w:hAnsi="Times New Roman" w:cs="Times New Roman"/>
          <w:sz w:val="24"/>
          <w:szCs w:val="24"/>
          <w:lang w:val="en-US"/>
        </w:rPr>
        <w:t>om</w:t>
      </w:r>
      <w:r w:rsidRPr="00A90FD7">
        <w:rPr>
          <w:rFonts w:ascii="Times New Roman" w:hAnsi="Times New Roman" w:cs="Times New Roman"/>
          <w:sz w:val="24"/>
          <w:szCs w:val="24"/>
          <w:lang w:val="en-US"/>
        </w:rPr>
        <w:t xml:space="preserve"> entry in </w:t>
      </w:r>
      <w:r>
        <w:rPr>
          <w:rFonts w:ascii="Times New Roman" w:hAnsi="Times New Roman" w:cs="Times New Roman"/>
          <w:sz w:val="24"/>
          <w:szCs w:val="24"/>
          <w:lang w:val="en-US"/>
        </w:rPr>
        <w:t>Portugal</w:t>
      </w:r>
      <w:r w:rsidRPr="00A90FD7">
        <w:rPr>
          <w:rFonts w:ascii="Times New Roman" w:hAnsi="Times New Roman" w:cs="Times New Roman"/>
          <w:sz w:val="24"/>
          <w:szCs w:val="24"/>
          <w:lang w:val="en-US"/>
        </w:rPr>
        <w:t xml:space="preserve"> has been refused</w:t>
      </w:r>
      <w:r>
        <w:rPr>
          <w:rFonts w:ascii="Times New Roman" w:hAnsi="Times New Roman" w:cs="Times New Roman"/>
          <w:sz w:val="24"/>
          <w:szCs w:val="24"/>
          <w:lang w:val="en-US"/>
        </w:rPr>
        <w:t xml:space="preserve"> and who cannot be transported back to their place of origin within 48 hours may be placed in a Temporary Installation Centre (</w:t>
      </w:r>
      <w:r>
        <w:rPr>
          <w:rFonts w:ascii="Times New Roman" w:hAnsi="Times New Roman" w:cs="Times New Roman"/>
          <w:i/>
          <w:sz w:val="24"/>
          <w:szCs w:val="24"/>
          <w:lang w:val="en-US"/>
        </w:rPr>
        <w:t>Centro</w:t>
      </w:r>
      <w:r w:rsidRPr="002D4B4A">
        <w:rPr>
          <w:rFonts w:ascii="Times New Roman" w:hAnsi="Times New Roman" w:cs="Times New Roman"/>
          <w:i/>
          <w:sz w:val="24"/>
          <w:szCs w:val="24"/>
          <w:lang w:val="en-US"/>
        </w:rPr>
        <w:t xml:space="preserve"> de Instalação Temporária</w:t>
      </w:r>
      <w:r>
        <w:rPr>
          <w:rFonts w:ascii="Times New Roman" w:hAnsi="Times New Roman" w:cs="Times New Roman"/>
          <w:sz w:val="24"/>
          <w:szCs w:val="24"/>
          <w:lang w:val="en-US"/>
        </w:rPr>
        <w:t>) by a court decision. They can stay in these establishments for a maximum period of 60 days and have the r</w:t>
      </w:r>
      <w:r w:rsidRPr="00A90FD7">
        <w:rPr>
          <w:rFonts w:ascii="Times New Roman" w:hAnsi="Times New Roman" w:cs="Times New Roman"/>
          <w:sz w:val="24"/>
          <w:szCs w:val="24"/>
          <w:lang w:val="en-US"/>
        </w:rPr>
        <w:t xml:space="preserve">ight to </w:t>
      </w:r>
      <w:r>
        <w:rPr>
          <w:rFonts w:ascii="Times New Roman" w:hAnsi="Times New Roman" w:cs="Times New Roman"/>
          <w:sz w:val="24"/>
          <w:szCs w:val="24"/>
          <w:lang w:val="en-US"/>
        </w:rPr>
        <w:t xml:space="preserve">legal </w:t>
      </w:r>
      <w:r w:rsidRPr="00A90FD7">
        <w:rPr>
          <w:rFonts w:ascii="Times New Roman" w:hAnsi="Times New Roman" w:cs="Times New Roman"/>
          <w:sz w:val="24"/>
          <w:szCs w:val="24"/>
          <w:lang w:val="en-US"/>
        </w:rPr>
        <w:t>representation, translation</w:t>
      </w:r>
      <w:r>
        <w:rPr>
          <w:rFonts w:ascii="Times New Roman" w:hAnsi="Times New Roman" w:cs="Times New Roman"/>
          <w:sz w:val="24"/>
          <w:szCs w:val="24"/>
          <w:lang w:val="en-US"/>
        </w:rPr>
        <w:t xml:space="preserve"> services</w:t>
      </w:r>
      <w:r w:rsidRPr="00A90FD7">
        <w:rPr>
          <w:rFonts w:ascii="Times New Roman" w:hAnsi="Times New Roman" w:cs="Times New Roman"/>
          <w:sz w:val="24"/>
          <w:szCs w:val="24"/>
          <w:lang w:val="en-US"/>
        </w:rPr>
        <w:t xml:space="preserve">, healthcare and all material support </w:t>
      </w:r>
      <w:r>
        <w:rPr>
          <w:rFonts w:ascii="Times New Roman" w:hAnsi="Times New Roman" w:cs="Times New Roman"/>
          <w:sz w:val="24"/>
          <w:szCs w:val="24"/>
          <w:lang w:val="en-US"/>
        </w:rPr>
        <w:t>to</w:t>
      </w:r>
      <w:r w:rsidRPr="00A90FD7">
        <w:rPr>
          <w:rFonts w:ascii="Times New Roman" w:hAnsi="Times New Roman" w:cs="Times New Roman"/>
          <w:sz w:val="24"/>
          <w:szCs w:val="24"/>
          <w:lang w:val="en-US"/>
        </w:rPr>
        <w:t xml:space="preserve"> their basic needs</w:t>
      </w:r>
      <w:r>
        <w:rPr>
          <w:rFonts w:ascii="Times New Roman" w:hAnsi="Times New Roman" w:cs="Times New Roman"/>
          <w:sz w:val="24"/>
          <w:szCs w:val="24"/>
          <w:lang w:val="en-US"/>
        </w:rPr>
        <w:t>.</w:t>
      </w:r>
    </w:p>
    <w:p w14:paraId="0F067E25" w14:textId="77777777" w:rsidR="00653878" w:rsidRDefault="00653878" w:rsidP="00653878">
      <w:pPr>
        <w:tabs>
          <w:tab w:val="left" w:pos="284"/>
        </w:tabs>
        <w:spacing w:after="120" w:line="360" w:lineRule="exact"/>
        <w:jc w:val="both"/>
        <w:rPr>
          <w:rFonts w:ascii="Times New Roman" w:hAnsi="Times New Roman" w:cs="Times New Roman"/>
          <w:sz w:val="24"/>
          <w:szCs w:val="24"/>
          <w:lang w:val="en-US"/>
        </w:rPr>
      </w:pPr>
      <w:r w:rsidRPr="00A90FD7">
        <w:rPr>
          <w:rFonts w:ascii="Times New Roman" w:hAnsi="Times New Roman" w:cs="Times New Roman"/>
          <w:sz w:val="24"/>
          <w:szCs w:val="24"/>
          <w:lang w:val="en-US"/>
        </w:rPr>
        <w:t xml:space="preserve">According to the latest report by the </w:t>
      </w:r>
      <w:r>
        <w:rPr>
          <w:rFonts w:ascii="Times New Roman" w:hAnsi="Times New Roman" w:cs="Times New Roman"/>
          <w:sz w:val="24"/>
          <w:szCs w:val="24"/>
          <w:lang w:val="en-US"/>
        </w:rPr>
        <w:t xml:space="preserve">National Mechanism of Prevention from the Justice Ombudsperson, in 2017, women made up approximately one third of the total persons in Temporary Installation Centres. In one of these establishments, women were accommodated in an area of the building separate from men except in the case of families, which could stay together in an area destined exclusively to the family. In two other establishments, women were accommodated in </w:t>
      </w:r>
      <w:r>
        <w:rPr>
          <w:rFonts w:ascii="Times New Roman" w:hAnsi="Times New Roman" w:cs="Times New Roman"/>
          <w:sz w:val="24"/>
          <w:szCs w:val="24"/>
          <w:lang w:val="en-US"/>
        </w:rPr>
        <w:lastRenderedPageBreak/>
        <w:t>rooms shared only by women but located along the same corridor as men, and men and women from the same family had to separate during nighttime.</w:t>
      </w:r>
    </w:p>
    <w:p w14:paraId="0F067E26" w14:textId="77777777" w:rsidR="00653878" w:rsidRPr="00D4053B" w:rsidRDefault="00653878" w:rsidP="00653878">
      <w:pPr>
        <w:tabs>
          <w:tab w:val="left" w:pos="284"/>
        </w:tabs>
        <w:spacing w:after="120" w:line="36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D4053B">
        <w:rPr>
          <w:rFonts w:ascii="Times New Roman" w:hAnsi="Times New Roman" w:cs="Times New Roman"/>
          <w:sz w:val="24"/>
          <w:szCs w:val="24"/>
          <w:lang w:val="en-US"/>
        </w:rPr>
        <w:t>he High Commission for Migration</w:t>
      </w:r>
      <w:r>
        <w:rPr>
          <w:rFonts w:ascii="Times New Roman" w:hAnsi="Times New Roman" w:cs="Times New Roman"/>
          <w:sz w:val="24"/>
          <w:szCs w:val="24"/>
          <w:lang w:val="en-US"/>
        </w:rPr>
        <w:t xml:space="preserve"> (public body under the Secretary of State for Citizenship of Equality) </w:t>
      </w:r>
      <w:r w:rsidRPr="00D4053B">
        <w:rPr>
          <w:rFonts w:ascii="Times New Roman" w:hAnsi="Times New Roman" w:cs="Times New Roman"/>
          <w:sz w:val="24"/>
          <w:szCs w:val="24"/>
          <w:lang w:val="en-US"/>
        </w:rPr>
        <w:t>has privileged working together with the va</w:t>
      </w:r>
      <w:r>
        <w:rPr>
          <w:rFonts w:ascii="Times New Roman" w:hAnsi="Times New Roman" w:cs="Times New Roman"/>
          <w:sz w:val="24"/>
          <w:szCs w:val="24"/>
          <w:lang w:val="en-US"/>
        </w:rPr>
        <w:t>rious sectors of society and</w:t>
      </w:r>
      <w:r w:rsidRPr="00D4053B">
        <w:rPr>
          <w:rFonts w:ascii="Times New Roman" w:hAnsi="Times New Roman" w:cs="Times New Roman"/>
          <w:sz w:val="24"/>
          <w:szCs w:val="24"/>
          <w:lang w:val="en-US"/>
        </w:rPr>
        <w:t xml:space="preserve"> promoted initiatives to combat discrimination and raise awareness </w:t>
      </w:r>
      <w:r>
        <w:rPr>
          <w:rFonts w:ascii="Times New Roman" w:hAnsi="Times New Roman" w:cs="Times New Roman"/>
          <w:sz w:val="24"/>
          <w:szCs w:val="24"/>
          <w:lang w:val="en-US"/>
        </w:rPr>
        <w:t>to</w:t>
      </w:r>
      <w:r w:rsidRPr="00D4053B">
        <w:rPr>
          <w:rFonts w:ascii="Times New Roman" w:hAnsi="Times New Roman" w:cs="Times New Roman"/>
          <w:sz w:val="24"/>
          <w:szCs w:val="24"/>
          <w:lang w:val="en-US"/>
        </w:rPr>
        <w:t xml:space="preserve"> the importance of a parti</w:t>
      </w:r>
      <w:r>
        <w:rPr>
          <w:rFonts w:ascii="Times New Roman" w:hAnsi="Times New Roman" w:cs="Times New Roman"/>
          <w:sz w:val="24"/>
          <w:szCs w:val="24"/>
          <w:lang w:val="en-US"/>
        </w:rPr>
        <w:t xml:space="preserve">cipatory intercultural dialogue, as well as the elimination </w:t>
      </w:r>
      <w:r w:rsidRPr="00D4053B">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multiple and intersectional discrimination, namely on the grounds of sex and racial or ethnic origin. </w:t>
      </w:r>
      <w:r w:rsidRPr="00D4053B">
        <w:rPr>
          <w:rFonts w:ascii="Times New Roman" w:hAnsi="Times New Roman" w:cs="Times New Roman"/>
          <w:sz w:val="24"/>
          <w:szCs w:val="24"/>
          <w:lang w:val="en-US"/>
        </w:rPr>
        <w:t xml:space="preserve">Among these initiatives and different relevant stakeholders, it is important to highlight the different protocols with police forces which </w:t>
      </w:r>
      <w:r>
        <w:rPr>
          <w:rFonts w:ascii="Times New Roman" w:hAnsi="Times New Roman" w:cs="Times New Roman"/>
          <w:sz w:val="24"/>
          <w:szCs w:val="24"/>
          <w:lang w:val="en-US"/>
        </w:rPr>
        <w:t xml:space="preserve">have </w:t>
      </w:r>
      <w:r w:rsidRPr="00D4053B">
        <w:rPr>
          <w:rFonts w:ascii="Times New Roman" w:hAnsi="Times New Roman" w:cs="Times New Roman"/>
          <w:sz w:val="24"/>
          <w:szCs w:val="24"/>
          <w:lang w:val="en-US"/>
        </w:rPr>
        <w:t>been celebrated to ensure cooperation in this domain:</w:t>
      </w:r>
    </w:p>
    <w:p w14:paraId="0F067E27" w14:textId="77777777" w:rsidR="00653878" w:rsidRPr="00653878" w:rsidRDefault="00653878" w:rsidP="00653878">
      <w:pPr>
        <w:pStyle w:val="ListParagraph"/>
        <w:numPr>
          <w:ilvl w:val="0"/>
          <w:numId w:val="2"/>
        </w:numPr>
        <w:tabs>
          <w:tab w:val="left" w:pos="284"/>
        </w:tabs>
        <w:spacing w:after="120" w:line="360" w:lineRule="exact"/>
        <w:ind w:left="284" w:hanging="284"/>
        <w:contextualSpacing w:val="0"/>
        <w:jc w:val="both"/>
        <w:rPr>
          <w:rFonts w:ascii="Times New Roman" w:hAnsi="Times New Roman" w:cs="Times New Roman"/>
          <w:sz w:val="24"/>
          <w:szCs w:val="24"/>
        </w:rPr>
      </w:pPr>
      <w:r w:rsidRPr="00D4053B">
        <w:rPr>
          <w:rFonts w:ascii="Times New Roman" w:hAnsi="Times New Roman" w:cs="Times New Roman"/>
          <w:sz w:val="24"/>
          <w:szCs w:val="24"/>
          <w:lang w:val="en-US"/>
        </w:rPr>
        <w:t>In July 2016, the Public Security Police (PSP) signed a Protocol with the High Commission for Migration to implement</w:t>
      </w:r>
      <w:r>
        <w:rPr>
          <w:rFonts w:ascii="Times New Roman" w:hAnsi="Times New Roman" w:cs="Times New Roman"/>
          <w:sz w:val="24"/>
          <w:szCs w:val="24"/>
          <w:lang w:val="en-US"/>
        </w:rPr>
        <w:t xml:space="preserve"> the "TOGETHER FOR ALL Program</w:t>
      </w:r>
      <w:r w:rsidRPr="00D4053B">
        <w:rPr>
          <w:rFonts w:ascii="Times New Roman" w:hAnsi="Times New Roman" w:cs="Times New Roman"/>
          <w:sz w:val="24"/>
          <w:szCs w:val="24"/>
          <w:lang w:val="en-US"/>
        </w:rPr>
        <w:t xml:space="preserve">". This program aims "to contribute to the prevention of conflict in multicultural communities </w:t>
      </w:r>
      <w:r>
        <w:rPr>
          <w:rFonts w:ascii="Times New Roman" w:hAnsi="Times New Roman" w:cs="Times New Roman"/>
          <w:sz w:val="24"/>
          <w:szCs w:val="24"/>
          <w:lang w:val="en-US"/>
        </w:rPr>
        <w:t>that</w:t>
      </w:r>
      <w:r w:rsidRPr="00D4053B">
        <w:rPr>
          <w:rFonts w:ascii="Times New Roman" w:hAnsi="Times New Roman" w:cs="Times New Roman"/>
          <w:sz w:val="24"/>
          <w:szCs w:val="24"/>
          <w:lang w:val="en-US"/>
        </w:rPr>
        <w:t xml:space="preserve"> may have some vulnerability, and also for the safety of all citizens regardless of their nationality or cultural belonging." Under the protocol, the PSP committed to "provid</w:t>
      </w:r>
      <w:r>
        <w:rPr>
          <w:rFonts w:ascii="Times New Roman" w:hAnsi="Times New Roman" w:cs="Times New Roman"/>
          <w:sz w:val="24"/>
          <w:szCs w:val="24"/>
          <w:lang w:val="en-US"/>
        </w:rPr>
        <w:t>e training to ACM professionals</w:t>
      </w:r>
      <w:r w:rsidRPr="00D4053B">
        <w:rPr>
          <w:rFonts w:ascii="Times New Roman" w:hAnsi="Times New Roman" w:cs="Times New Roman"/>
          <w:sz w:val="24"/>
          <w:szCs w:val="24"/>
          <w:lang w:val="en-US"/>
        </w:rPr>
        <w:t xml:space="preserve"> on the legal framework that manages the police action, taking into account the main strategic and tactical guidance of Special Programs and relevant projects, under this Protocol, and how to articulate commun</w:t>
      </w:r>
      <w:r>
        <w:rPr>
          <w:rFonts w:ascii="Times New Roman" w:hAnsi="Times New Roman" w:cs="Times New Roman"/>
          <w:sz w:val="24"/>
          <w:szCs w:val="24"/>
          <w:lang w:val="en-US"/>
        </w:rPr>
        <w:t>ication strategies with the PSP</w:t>
      </w:r>
      <w:r w:rsidRPr="00D4053B">
        <w:rPr>
          <w:rFonts w:ascii="Times New Roman" w:hAnsi="Times New Roman" w:cs="Times New Roman"/>
          <w:sz w:val="24"/>
          <w:szCs w:val="24"/>
          <w:lang w:val="en-US"/>
        </w:rPr>
        <w:t>"</w:t>
      </w:r>
      <w:r>
        <w:rPr>
          <w:rFonts w:ascii="Times New Roman" w:hAnsi="Times New Roman" w:cs="Times New Roman"/>
          <w:sz w:val="24"/>
          <w:szCs w:val="24"/>
          <w:lang w:val="en-US"/>
        </w:rPr>
        <w:t xml:space="preserve">, while </w:t>
      </w:r>
      <w:r w:rsidRPr="00D4053B">
        <w:rPr>
          <w:rFonts w:ascii="Times New Roman" w:hAnsi="Times New Roman" w:cs="Times New Roman"/>
          <w:sz w:val="24"/>
          <w:szCs w:val="24"/>
          <w:lang w:val="en-US"/>
        </w:rPr>
        <w:t xml:space="preserve">the High Commission committed to "provide training to elements of the PSP of the first two levels of intervention on the immigration phenomenon in Portugal, the national and cultural groups living in the country, the issue of diversity and intercultural dialogue (stereotypes, discrimination and </w:t>
      </w:r>
      <w:r>
        <w:rPr>
          <w:rFonts w:ascii="Times New Roman" w:hAnsi="Times New Roman" w:cs="Times New Roman"/>
          <w:sz w:val="24"/>
          <w:szCs w:val="24"/>
          <w:lang w:val="en-US"/>
        </w:rPr>
        <w:t xml:space="preserve">ways to deal with difference)". </w:t>
      </w:r>
      <w:r w:rsidRPr="00580717">
        <w:rPr>
          <w:rFonts w:ascii="Times New Roman" w:hAnsi="Times New Roman" w:cs="Times New Roman"/>
          <w:sz w:val="24"/>
          <w:szCs w:val="24"/>
          <w:lang w:val="en-US"/>
        </w:rPr>
        <w:t>The training activities foresee the participation of 1000 officers. Until August 2018, 55 sessions in the area of integration and cultural diversity have taken place, with the participation of 1027 police officials and agents from all over the country.</w:t>
      </w:r>
      <w:r>
        <w:rPr>
          <w:rFonts w:ascii="Times New Roman" w:hAnsi="Times New Roman" w:cs="Times New Roman"/>
          <w:sz w:val="24"/>
          <w:szCs w:val="24"/>
          <w:lang w:val="en-US"/>
        </w:rPr>
        <w:t xml:space="preserve"> </w:t>
      </w:r>
      <w:hyperlink r:id="rId11" w:history="1">
        <w:r w:rsidRPr="00653878">
          <w:rPr>
            <w:rStyle w:val="Hyperlink"/>
            <w:rFonts w:ascii="Times New Roman" w:hAnsi="Times New Roman" w:cs="Times New Roman"/>
            <w:sz w:val="24"/>
            <w:szCs w:val="24"/>
          </w:rPr>
          <w:t>https://www.acm.gov.pt/-/acm-e-psp-juntos-por-todos-</w:t>
        </w:r>
      </w:hyperlink>
    </w:p>
    <w:p w14:paraId="0F067E28" w14:textId="77777777" w:rsidR="00653878" w:rsidRPr="00D4053B" w:rsidRDefault="00653878" w:rsidP="00653878">
      <w:pPr>
        <w:pStyle w:val="ListParagraph"/>
        <w:numPr>
          <w:ilvl w:val="0"/>
          <w:numId w:val="2"/>
        </w:numPr>
        <w:tabs>
          <w:tab w:val="left" w:pos="284"/>
        </w:tabs>
        <w:spacing w:after="120" w:line="360" w:lineRule="exact"/>
        <w:ind w:left="284" w:hanging="284"/>
        <w:contextualSpacing w:val="0"/>
        <w:jc w:val="both"/>
        <w:rPr>
          <w:rFonts w:ascii="Times New Roman" w:hAnsi="Times New Roman" w:cs="Times New Roman"/>
          <w:sz w:val="24"/>
          <w:szCs w:val="24"/>
          <w:lang w:val="en-US"/>
        </w:rPr>
      </w:pPr>
      <w:r w:rsidRPr="00D4053B">
        <w:rPr>
          <w:rFonts w:ascii="Times New Roman" w:hAnsi="Times New Roman" w:cs="Times New Roman"/>
          <w:sz w:val="24"/>
          <w:szCs w:val="24"/>
          <w:lang w:val="en-US"/>
        </w:rPr>
        <w:t>The Republic National Guard (GNR) and the High Commission for Migration signed a Protocol in November of 2017 aiming at actively cooperating in the implementation and development of the Migrant Support Program; sharing information and good practices</w:t>
      </w:r>
      <w:r>
        <w:rPr>
          <w:rFonts w:ascii="Times New Roman" w:hAnsi="Times New Roman" w:cs="Times New Roman"/>
          <w:sz w:val="24"/>
          <w:szCs w:val="24"/>
          <w:lang w:val="en-US"/>
        </w:rPr>
        <w:t>;</w:t>
      </w:r>
      <w:r w:rsidRPr="00D4053B">
        <w:rPr>
          <w:rFonts w:ascii="Times New Roman" w:hAnsi="Times New Roman" w:cs="Times New Roman"/>
          <w:sz w:val="24"/>
          <w:szCs w:val="24"/>
          <w:lang w:val="en-US"/>
        </w:rPr>
        <w:t xml:space="preserve"> providing relevant and adequate initiatives to the target groups’ challenges; and promoting awareness raising and training opportunities to local partners and the general public on deconstructing stereotypes and prejudices. Until August 2018, and under this Protocol, 98 soldiers received a special training.</w:t>
      </w:r>
    </w:p>
    <w:p w14:paraId="0F067E29" w14:textId="77777777" w:rsidR="00653878" w:rsidRPr="00653878" w:rsidRDefault="00653878" w:rsidP="00653878">
      <w:pPr>
        <w:pStyle w:val="ListParagraph"/>
        <w:numPr>
          <w:ilvl w:val="0"/>
          <w:numId w:val="2"/>
        </w:numPr>
        <w:tabs>
          <w:tab w:val="left" w:pos="284"/>
        </w:tabs>
        <w:spacing w:after="120" w:line="360" w:lineRule="exact"/>
        <w:ind w:left="284" w:hanging="284"/>
        <w:contextualSpacing w:val="0"/>
        <w:jc w:val="both"/>
        <w:rPr>
          <w:rFonts w:ascii="Times New Roman" w:hAnsi="Times New Roman" w:cs="Times New Roman"/>
          <w:sz w:val="24"/>
          <w:szCs w:val="24"/>
        </w:rPr>
      </w:pPr>
      <w:r w:rsidRPr="00D4053B">
        <w:rPr>
          <w:rFonts w:ascii="Times New Roman" w:hAnsi="Times New Roman" w:cs="Times New Roman"/>
          <w:sz w:val="24"/>
          <w:szCs w:val="24"/>
          <w:lang w:val="en-US"/>
        </w:rPr>
        <w:t xml:space="preserve">Lastly, the High Commission for Migration and the Directorate General of Prison Services and Reintegration (DGRSP) signed, on 19 July of 2018, an interinstitutional Collaboration Protocol with the goal of empowering human resources of DGRSP linked to areas of Re-education and Social rehabilitation, as well as the Prison Guards, giving them specific knowledge and tools to communicate with migrants and ethnic groups. It estimates the promotion of 14 training sessions, spread all over the country, targeting 300 professionals that will receive training on deconstructing stereotypes, racial discrimination and intercultural education. </w:t>
      </w:r>
      <w:hyperlink r:id="rId12" w:history="1">
        <w:r w:rsidRPr="00653878">
          <w:rPr>
            <w:rStyle w:val="Hyperlink"/>
            <w:rFonts w:ascii="Times New Roman" w:hAnsi="Times New Roman" w:cs="Times New Roman"/>
            <w:sz w:val="24"/>
            <w:szCs w:val="24"/>
          </w:rPr>
          <w:t>https://www.acm.gov.pt/-/acm-e-dgrsp-assinam-protocolo-de-colaboracao-capacitar-profissionais-da-reeducacao-e-reinsercao-social-para-a-interculturalidade</w:t>
        </w:r>
      </w:hyperlink>
    </w:p>
    <w:p w14:paraId="0F067E2A" w14:textId="77777777" w:rsidR="00081EB1" w:rsidRDefault="00081EB1"/>
    <w:sectPr w:rsidR="00081EB1" w:rsidSect="004367E5">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67E2D" w14:textId="77777777" w:rsidR="00556429" w:rsidRDefault="00556429" w:rsidP="00653878">
      <w:pPr>
        <w:spacing w:after="0" w:line="240" w:lineRule="auto"/>
      </w:pPr>
      <w:r>
        <w:separator/>
      </w:r>
    </w:p>
  </w:endnote>
  <w:endnote w:type="continuationSeparator" w:id="0">
    <w:p w14:paraId="0F067E2E" w14:textId="77777777" w:rsidR="00556429" w:rsidRDefault="00556429" w:rsidP="0065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70867240"/>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0F067E2F" w14:textId="77777777" w:rsidR="0074412E" w:rsidRPr="004367E5" w:rsidRDefault="00DC0B84" w:rsidP="009E0D0B">
            <w:pPr>
              <w:pStyle w:val="Footer"/>
              <w:jc w:val="right"/>
              <w:rPr>
                <w:rFonts w:ascii="Times New Roman" w:hAnsi="Times New Roman" w:cs="Times New Roman"/>
                <w:sz w:val="20"/>
                <w:szCs w:val="20"/>
              </w:rPr>
            </w:pPr>
            <w:r w:rsidRPr="004367E5">
              <w:rPr>
                <w:rFonts w:ascii="Times New Roman" w:hAnsi="Times New Roman" w:cs="Times New Roman"/>
                <w:bCs/>
                <w:sz w:val="20"/>
                <w:szCs w:val="20"/>
              </w:rPr>
              <w:fldChar w:fldCharType="begin"/>
            </w:r>
            <w:r w:rsidRPr="004367E5">
              <w:rPr>
                <w:rFonts w:ascii="Times New Roman" w:hAnsi="Times New Roman" w:cs="Times New Roman"/>
                <w:bCs/>
                <w:sz w:val="20"/>
                <w:szCs w:val="20"/>
              </w:rPr>
              <w:instrText>PAGE</w:instrText>
            </w:r>
            <w:r w:rsidRPr="004367E5">
              <w:rPr>
                <w:rFonts w:ascii="Times New Roman" w:hAnsi="Times New Roman" w:cs="Times New Roman"/>
                <w:bCs/>
                <w:sz w:val="20"/>
                <w:szCs w:val="20"/>
              </w:rPr>
              <w:fldChar w:fldCharType="separate"/>
            </w:r>
            <w:r w:rsidR="00AF558A">
              <w:rPr>
                <w:rFonts w:ascii="Times New Roman" w:hAnsi="Times New Roman" w:cs="Times New Roman"/>
                <w:bCs/>
                <w:noProof/>
                <w:sz w:val="20"/>
                <w:szCs w:val="20"/>
              </w:rPr>
              <w:t>1</w:t>
            </w:r>
            <w:r w:rsidRPr="004367E5">
              <w:rPr>
                <w:rFonts w:ascii="Times New Roman" w:hAnsi="Times New Roman" w:cs="Times New Roman"/>
                <w:bCs/>
                <w:sz w:val="20"/>
                <w:szCs w:val="20"/>
              </w:rPr>
              <w:fldChar w:fldCharType="end"/>
            </w:r>
            <w:r w:rsidRPr="004367E5">
              <w:rPr>
                <w:rFonts w:ascii="Times New Roman" w:hAnsi="Times New Roman" w:cs="Times New Roman"/>
                <w:sz w:val="20"/>
                <w:szCs w:val="20"/>
              </w:rPr>
              <w:t>/</w:t>
            </w:r>
            <w:r w:rsidRPr="004367E5">
              <w:rPr>
                <w:rFonts w:ascii="Times New Roman" w:hAnsi="Times New Roman" w:cs="Times New Roman"/>
                <w:bCs/>
                <w:sz w:val="20"/>
                <w:szCs w:val="20"/>
              </w:rPr>
              <w:fldChar w:fldCharType="begin"/>
            </w:r>
            <w:r w:rsidRPr="004367E5">
              <w:rPr>
                <w:rFonts w:ascii="Times New Roman" w:hAnsi="Times New Roman" w:cs="Times New Roman"/>
                <w:bCs/>
                <w:sz w:val="20"/>
                <w:szCs w:val="20"/>
              </w:rPr>
              <w:instrText>NUMPAGES</w:instrText>
            </w:r>
            <w:r w:rsidRPr="004367E5">
              <w:rPr>
                <w:rFonts w:ascii="Times New Roman" w:hAnsi="Times New Roman" w:cs="Times New Roman"/>
                <w:bCs/>
                <w:sz w:val="20"/>
                <w:szCs w:val="20"/>
              </w:rPr>
              <w:fldChar w:fldCharType="separate"/>
            </w:r>
            <w:r w:rsidR="00AF558A">
              <w:rPr>
                <w:rFonts w:ascii="Times New Roman" w:hAnsi="Times New Roman" w:cs="Times New Roman"/>
                <w:bCs/>
                <w:noProof/>
                <w:sz w:val="20"/>
                <w:szCs w:val="20"/>
              </w:rPr>
              <w:t>8</w:t>
            </w:r>
            <w:r w:rsidRPr="004367E5">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67E2B" w14:textId="77777777" w:rsidR="00556429" w:rsidRDefault="00556429" w:rsidP="00653878">
      <w:pPr>
        <w:spacing w:after="0" w:line="240" w:lineRule="auto"/>
      </w:pPr>
      <w:r>
        <w:separator/>
      </w:r>
    </w:p>
  </w:footnote>
  <w:footnote w:type="continuationSeparator" w:id="0">
    <w:p w14:paraId="0F067E2C" w14:textId="77777777" w:rsidR="00556429" w:rsidRDefault="00556429" w:rsidP="00653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7862"/>
    <w:multiLevelType w:val="hybridMultilevel"/>
    <w:tmpl w:val="562AE9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31221202"/>
    <w:multiLevelType w:val="hybridMultilevel"/>
    <w:tmpl w:val="314A745E"/>
    <w:lvl w:ilvl="0" w:tplc="52AE2EBA">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48E77BFB"/>
    <w:multiLevelType w:val="hybridMultilevel"/>
    <w:tmpl w:val="58A057F8"/>
    <w:lvl w:ilvl="0" w:tplc="C7989E6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D7D735A"/>
    <w:multiLevelType w:val="hybridMultilevel"/>
    <w:tmpl w:val="0C488DC6"/>
    <w:lvl w:ilvl="0" w:tplc="E8CA1CE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6E7D7857"/>
    <w:multiLevelType w:val="hybridMultilevel"/>
    <w:tmpl w:val="D79E8598"/>
    <w:lvl w:ilvl="0" w:tplc="1938CC6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6FAF65CB"/>
    <w:multiLevelType w:val="hybridMultilevel"/>
    <w:tmpl w:val="D43EC866"/>
    <w:lvl w:ilvl="0" w:tplc="C7989E6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78"/>
    <w:rsid w:val="00081EB1"/>
    <w:rsid w:val="003C3DF1"/>
    <w:rsid w:val="00556429"/>
    <w:rsid w:val="00653878"/>
    <w:rsid w:val="00717FB9"/>
    <w:rsid w:val="00AF558A"/>
    <w:rsid w:val="00DC0B84"/>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87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53878"/>
  </w:style>
  <w:style w:type="paragraph" w:styleId="Footer">
    <w:name w:val="footer"/>
    <w:basedOn w:val="Normal"/>
    <w:link w:val="FooterChar"/>
    <w:uiPriority w:val="99"/>
    <w:unhideWhenUsed/>
    <w:rsid w:val="0065387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53878"/>
  </w:style>
  <w:style w:type="paragraph" w:styleId="ListParagraph">
    <w:name w:val="List Paragraph"/>
    <w:aliases w:val="Heading3,body,Odsek zoznamu2"/>
    <w:basedOn w:val="Normal"/>
    <w:link w:val="ListParagraphChar"/>
    <w:uiPriority w:val="34"/>
    <w:qFormat/>
    <w:rsid w:val="00653878"/>
    <w:pPr>
      <w:ind w:left="720"/>
      <w:contextualSpacing/>
    </w:pPr>
  </w:style>
  <w:style w:type="character" w:customStyle="1" w:styleId="ListParagraphChar">
    <w:name w:val="List Paragraph Char"/>
    <w:aliases w:val="Heading3 Char,body Char,Odsek zoznamu2 Char"/>
    <w:basedOn w:val="DefaultParagraphFont"/>
    <w:link w:val="ListParagraph"/>
    <w:uiPriority w:val="34"/>
    <w:locked/>
    <w:rsid w:val="00653878"/>
  </w:style>
  <w:style w:type="character" w:styleId="Hyperlink">
    <w:name w:val="Hyperlink"/>
    <w:basedOn w:val="DefaultParagraphFont"/>
    <w:uiPriority w:val="99"/>
    <w:unhideWhenUsed/>
    <w:rsid w:val="00653878"/>
    <w:rPr>
      <w:color w:val="0000FF"/>
      <w:u w:val="single"/>
    </w:rPr>
  </w:style>
  <w:style w:type="paragraph" w:styleId="BalloonText">
    <w:name w:val="Balloon Text"/>
    <w:basedOn w:val="Normal"/>
    <w:link w:val="BalloonTextChar"/>
    <w:uiPriority w:val="99"/>
    <w:semiHidden/>
    <w:unhideWhenUsed/>
    <w:rsid w:val="00653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87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53878"/>
  </w:style>
  <w:style w:type="paragraph" w:styleId="Footer">
    <w:name w:val="footer"/>
    <w:basedOn w:val="Normal"/>
    <w:link w:val="FooterChar"/>
    <w:uiPriority w:val="99"/>
    <w:unhideWhenUsed/>
    <w:rsid w:val="0065387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53878"/>
  </w:style>
  <w:style w:type="paragraph" w:styleId="ListParagraph">
    <w:name w:val="List Paragraph"/>
    <w:aliases w:val="Heading3,body,Odsek zoznamu2"/>
    <w:basedOn w:val="Normal"/>
    <w:link w:val="ListParagraphChar"/>
    <w:uiPriority w:val="34"/>
    <w:qFormat/>
    <w:rsid w:val="00653878"/>
    <w:pPr>
      <w:ind w:left="720"/>
      <w:contextualSpacing/>
    </w:pPr>
  </w:style>
  <w:style w:type="character" w:customStyle="1" w:styleId="ListParagraphChar">
    <w:name w:val="List Paragraph Char"/>
    <w:aliases w:val="Heading3 Char,body Char,Odsek zoznamu2 Char"/>
    <w:basedOn w:val="DefaultParagraphFont"/>
    <w:link w:val="ListParagraph"/>
    <w:uiPriority w:val="34"/>
    <w:locked/>
    <w:rsid w:val="00653878"/>
  </w:style>
  <w:style w:type="character" w:styleId="Hyperlink">
    <w:name w:val="Hyperlink"/>
    <w:basedOn w:val="DefaultParagraphFont"/>
    <w:uiPriority w:val="99"/>
    <w:unhideWhenUsed/>
    <w:rsid w:val="00653878"/>
    <w:rPr>
      <w:color w:val="0000FF"/>
      <w:u w:val="single"/>
    </w:rPr>
  </w:style>
  <w:style w:type="paragraph" w:styleId="BalloonText">
    <w:name w:val="Balloon Text"/>
    <w:basedOn w:val="Normal"/>
    <w:link w:val="BalloonTextChar"/>
    <w:uiPriority w:val="99"/>
    <w:semiHidden/>
    <w:unhideWhenUsed/>
    <w:rsid w:val="00653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59664">
      <w:bodyDiv w:val="1"/>
      <w:marLeft w:val="0"/>
      <w:marRight w:val="0"/>
      <w:marTop w:val="0"/>
      <w:marBottom w:val="0"/>
      <w:divBdr>
        <w:top w:val="none" w:sz="0" w:space="0" w:color="auto"/>
        <w:left w:val="none" w:sz="0" w:space="0" w:color="auto"/>
        <w:bottom w:val="none" w:sz="0" w:space="0" w:color="auto"/>
        <w:right w:val="none" w:sz="0" w:space="0" w:color="auto"/>
      </w:divBdr>
    </w:div>
    <w:div w:id="12407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m.gov.pt/-/acm-e-dgrsp-assinam-protocolo-de-colaboracao-capacitar-profissionais-da-reeducacao-e-reinsercao-social-para-a-interculturalid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cm.gov.pt/-/acm-e-psp-juntos-por-todo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E619A-05D2-4978-8BF3-3F1E91576A4B}"/>
</file>

<file path=customXml/itemProps2.xml><?xml version="1.0" encoding="utf-8"?>
<ds:datastoreItem xmlns:ds="http://schemas.openxmlformats.org/officeDocument/2006/customXml" ds:itemID="{45C6DE1D-678B-4BEE-AA43-C08CC6800A1E}">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65721b6-94e1-453f-b282-d0853890bbb4"/>
    <ds:schemaRef ds:uri="http://www.w3.org/XML/1998/namespace"/>
  </ds:schemaRefs>
</ds:datastoreItem>
</file>

<file path=customXml/itemProps3.xml><?xml version="1.0" encoding="utf-8"?>
<ds:datastoreItem xmlns:ds="http://schemas.openxmlformats.org/officeDocument/2006/customXml" ds:itemID="{26AB23D4-7BF6-4B5F-92FD-80C2CF956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Pereira</dc:creator>
  <cp:lastModifiedBy>Monica Iyer</cp:lastModifiedBy>
  <cp:revision>2</cp:revision>
  <dcterms:created xsi:type="dcterms:W3CDTF">2018-11-26T13:18:00Z</dcterms:created>
  <dcterms:modified xsi:type="dcterms:W3CDTF">2018-11-26T13:18:00Z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