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CF8FB" w14:textId="71E292AA" w:rsidR="00976C82" w:rsidRPr="003A1A5E" w:rsidRDefault="00976C82" w:rsidP="00976C82">
      <w:pPr>
        <w:jc w:val="center"/>
        <w:rPr>
          <w:rFonts w:asciiTheme="majorHAnsi" w:hAnsiTheme="majorHAnsi" w:cstheme="majorHAnsi"/>
          <w:b/>
          <w:bCs/>
          <w:i/>
          <w:iCs/>
          <w:lang w:val="es-ES"/>
        </w:rPr>
      </w:pPr>
      <w:r w:rsidRPr="003A1A5E">
        <w:rPr>
          <w:rFonts w:asciiTheme="majorHAnsi" w:hAnsiTheme="majorHAnsi" w:cstheme="majorHAnsi"/>
          <w:b/>
          <w:bCs/>
          <w:lang w:val="es-ES"/>
        </w:rPr>
        <w:t>Llamado a contribuciones</w:t>
      </w:r>
    </w:p>
    <w:p w14:paraId="12DAC4C8" w14:textId="1C2167F1" w:rsidR="00B72D6F" w:rsidRPr="003A1A5E" w:rsidRDefault="00C663BF" w:rsidP="00CF7187">
      <w:pPr>
        <w:jc w:val="center"/>
        <w:rPr>
          <w:rFonts w:asciiTheme="majorHAnsi" w:hAnsiTheme="majorHAnsi" w:cstheme="majorHAnsi"/>
          <w:b/>
          <w:bCs/>
          <w:i/>
          <w:iCs/>
          <w:lang w:val="es-ES"/>
        </w:rPr>
      </w:pPr>
      <w:r w:rsidRPr="003A1A5E">
        <w:rPr>
          <w:rFonts w:asciiTheme="majorHAnsi" w:hAnsiTheme="majorHAnsi" w:cstheme="majorHAnsi"/>
          <w:b/>
          <w:bCs/>
          <w:i/>
          <w:iCs/>
          <w:lang w:val="es-ES"/>
        </w:rPr>
        <w:t>Grupo de Trabajo sobre la discriminación contra las mujeres y las niñas</w:t>
      </w:r>
    </w:p>
    <w:p w14:paraId="489D367B" w14:textId="523FF3C9" w:rsidR="00976C82" w:rsidRPr="003A1A5E" w:rsidRDefault="00976C82">
      <w:pPr>
        <w:rPr>
          <w:rFonts w:asciiTheme="majorHAnsi" w:hAnsiTheme="majorHAnsi" w:cstheme="majorHAnsi"/>
          <w:b/>
          <w:bCs/>
          <w:i/>
          <w:iCs/>
          <w:lang w:val="es-ES"/>
        </w:rPr>
      </w:pPr>
    </w:p>
    <w:p w14:paraId="7A783D75" w14:textId="7D3200BF" w:rsidR="00976C82" w:rsidRPr="003A1A5E" w:rsidRDefault="00976C82" w:rsidP="00367436">
      <w:pPr>
        <w:jc w:val="both"/>
        <w:rPr>
          <w:rFonts w:asciiTheme="majorHAnsi" w:hAnsiTheme="majorHAnsi" w:cstheme="majorHAnsi"/>
          <w:lang w:val="es-ES"/>
        </w:rPr>
      </w:pPr>
      <w:r w:rsidRPr="003A1A5E">
        <w:rPr>
          <w:rFonts w:asciiTheme="majorHAnsi" w:hAnsiTheme="majorHAnsi" w:cstheme="majorHAnsi"/>
          <w:lang w:val="es-ES"/>
        </w:rPr>
        <w:t xml:space="preserve">El Grupo de Trabajo sobre la discriminación contra las mujeres y las niñas presentará un informe temático sobre </w:t>
      </w:r>
      <w:r w:rsidR="00F06EA7" w:rsidRPr="003A1A5E">
        <w:rPr>
          <w:rFonts w:asciiTheme="majorHAnsi" w:hAnsiTheme="majorHAnsi" w:cstheme="majorHAnsi"/>
          <w:lang w:val="es-ES"/>
        </w:rPr>
        <w:t xml:space="preserve">la salud </w:t>
      </w:r>
      <w:r w:rsidR="00810409" w:rsidRPr="003A1A5E">
        <w:rPr>
          <w:rFonts w:asciiTheme="majorHAnsi" w:hAnsiTheme="majorHAnsi" w:cstheme="majorHAnsi"/>
          <w:lang w:val="es-ES"/>
        </w:rPr>
        <w:t xml:space="preserve">y los derechos sexuales y reproductivos </w:t>
      </w:r>
      <w:bookmarkStart w:id="0" w:name="_Ref49503822"/>
      <w:r w:rsidR="00F06EA7" w:rsidRPr="003A1A5E">
        <w:rPr>
          <w:rStyle w:val="Refdenotaalpie"/>
          <w:rFonts w:asciiTheme="majorHAnsi" w:hAnsiTheme="majorHAnsi" w:cstheme="majorHAnsi"/>
          <w:lang w:val="es-ES"/>
        </w:rPr>
        <w:footnoteReference w:id="1"/>
      </w:r>
      <w:bookmarkEnd w:id="0"/>
      <w:r w:rsidR="00F06EA7" w:rsidRPr="003A1A5E">
        <w:rPr>
          <w:rFonts w:asciiTheme="majorHAnsi" w:hAnsiTheme="majorHAnsi" w:cstheme="majorHAnsi"/>
          <w:lang w:val="es-ES"/>
        </w:rPr>
        <w:t xml:space="preserve"> de las mujeres y de las niñas </w:t>
      </w:r>
      <w:r w:rsidRPr="003A1A5E">
        <w:rPr>
          <w:rFonts w:asciiTheme="majorHAnsi" w:hAnsiTheme="majorHAnsi" w:cstheme="majorHAnsi"/>
          <w:lang w:val="es-ES"/>
        </w:rPr>
        <w:t xml:space="preserve">en situaciones de crisis </w:t>
      </w:r>
      <w:r w:rsidR="001947D0" w:rsidRPr="003A1A5E">
        <w:rPr>
          <w:rFonts w:asciiTheme="majorHAnsi" w:hAnsiTheme="majorHAnsi" w:cstheme="majorHAnsi"/>
          <w:lang w:val="es-ES"/>
        </w:rPr>
        <w:t xml:space="preserve">durante el 47º período de sesiones </w:t>
      </w:r>
      <w:r w:rsidRPr="003A1A5E">
        <w:rPr>
          <w:rFonts w:asciiTheme="majorHAnsi" w:hAnsiTheme="majorHAnsi" w:cstheme="majorHAnsi"/>
          <w:lang w:val="es-ES"/>
        </w:rPr>
        <w:t xml:space="preserve">del Consejo de Derechos Humanos en junio </w:t>
      </w:r>
      <w:r w:rsidR="00354F98" w:rsidRPr="003A1A5E">
        <w:rPr>
          <w:rFonts w:asciiTheme="majorHAnsi" w:hAnsiTheme="majorHAnsi" w:cstheme="majorHAnsi"/>
          <w:lang w:val="es-ES"/>
        </w:rPr>
        <w:t xml:space="preserve">de </w:t>
      </w:r>
      <w:r w:rsidRPr="003A1A5E">
        <w:rPr>
          <w:rFonts w:asciiTheme="majorHAnsi" w:hAnsiTheme="majorHAnsi" w:cstheme="majorHAnsi"/>
          <w:lang w:val="es-ES"/>
        </w:rPr>
        <w:t xml:space="preserve">2021. </w:t>
      </w:r>
      <w:r w:rsidR="00894273" w:rsidRPr="003A1A5E">
        <w:rPr>
          <w:rFonts w:asciiTheme="majorHAnsi" w:hAnsiTheme="majorHAnsi" w:cstheme="majorHAnsi"/>
          <w:lang w:val="es-ES"/>
        </w:rPr>
        <w:t>El</w:t>
      </w:r>
      <w:r w:rsidRPr="003A1A5E">
        <w:rPr>
          <w:rFonts w:asciiTheme="majorHAnsi" w:hAnsiTheme="majorHAnsi" w:cstheme="majorHAnsi"/>
          <w:lang w:val="es-ES"/>
        </w:rPr>
        <w:t xml:space="preserve"> informe examinará </w:t>
      </w:r>
      <w:r w:rsidR="00F06EA7" w:rsidRPr="003A1A5E">
        <w:rPr>
          <w:rFonts w:asciiTheme="majorHAnsi" w:hAnsiTheme="majorHAnsi" w:cstheme="majorHAnsi"/>
          <w:lang w:val="es-ES"/>
        </w:rPr>
        <w:t>l</w:t>
      </w:r>
      <w:r w:rsidR="002031DA" w:rsidRPr="003A1A5E">
        <w:rPr>
          <w:rFonts w:asciiTheme="majorHAnsi" w:hAnsiTheme="majorHAnsi" w:cstheme="majorHAnsi"/>
          <w:lang w:val="es-ES"/>
        </w:rPr>
        <w:t>a salud y los derechos sexuales y reproductivos</w:t>
      </w:r>
      <w:r w:rsidR="00F06EA7" w:rsidRPr="003A1A5E">
        <w:rPr>
          <w:rFonts w:asciiTheme="majorHAnsi" w:hAnsiTheme="majorHAnsi" w:cstheme="majorHAnsi"/>
          <w:lang w:val="es-ES"/>
        </w:rPr>
        <w:t xml:space="preserve"> dentro de</w:t>
      </w:r>
      <w:r w:rsidR="00894273" w:rsidRPr="003A1A5E">
        <w:rPr>
          <w:rFonts w:asciiTheme="majorHAnsi" w:hAnsiTheme="majorHAnsi" w:cstheme="majorHAnsi"/>
          <w:lang w:val="es-ES"/>
        </w:rPr>
        <w:t xml:space="preserve"> un</w:t>
      </w:r>
      <w:r w:rsidR="00F06EA7" w:rsidRPr="003A1A5E">
        <w:rPr>
          <w:rFonts w:asciiTheme="majorHAnsi" w:hAnsiTheme="majorHAnsi" w:cstheme="majorHAnsi"/>
          <w:lang w:val="es-ES"/>
        </w:rPr>
        <w:t xml:space="preserve"> </w:t>
      </w:r>
      <w:r w:rsidR="00727733" w:rsidRPr="003A1A5E">
        <w:rPr>
          <w:rFonts w:asciiTheme="majorHAnsi" w:hAnsiTheme="majorHAnsi" w:cstheme="majorHAnsi"/>
          <w:lang w:val="es-ES"/>
        </w:rPr>
        <w:t>marco</w:t>
      </w:r>
      <w:r w:rsidR="00F06EA7" w:rsidRPr="003A1A5E">
        <w:rPr>
          <w:rFonts w:asciiTheme="majorHAnsi" w:hAnsiTheme="majorHAnsi" w:cstheme="majorHAnsi"/>
          <w:lang w:val="es-ES"/>
        </w:rPr>
        <w:t xml:space="preserve"> </w:t>
      </w:r>
      <w:r w:rsidR="00894273" w:rsidRPr="003A1A5E">
        <w:rPr>
          <w:rFonts w:asciiTheme="majorHAnsi" w:hAnsiTheme="majorHAnsi" w:cstheme="majorHAnsi"/>
          <w:lang w:val="es-ES"/>
        </w:rPr>
        <w:t>general</w:t>
      </w:r>
      <w:r w:rsidR="00F06EA7" w:rsidRPr="003A1A5E">
        <w:rPr>
          <w:rFonts w:asciiTheme="majorHAnsi" w:hAnsiTheme="majorHAnsi" w:cstheme="majorHAnsi"/>
          <w:lang w:val="es-ES"/>
        </w:rPr>
        <w:t xml:space="preserve"> </w:t>
      </w:r>
      <w:r w:rsidR="00727733" w:rsidRPr="003A1A5E">
        <w:rPr>
          <w:rFonts w:asciiTheme="majorHAnsi" w:hAnsiTheme="majorHAnsi" w:cstheme="majorHAnsi"/>
          <w:lang w:val="es-ES"/>
        </w:rPr>
        <w:t>de</w:t>
      </w:r>
      <w:r w:rsidR="00F06EA7" w:rsidRPr="003A1A5E">
        <w:rPr>
          <w:rFonts w:asciiTheme="majorHAnsi" w:hAnsiTheme="majorHAnsi" w:cstheme="majorHAnsi"/>
          <w:lang w:val="es-ES"/>
        </w:rPr>
        <w:t xml:space="preserve"> reafirmación de la igualdad de género y la prevención de los retrocesos. </w:t>
      </w:r>
    </w:p>
    <w:p w14:paraId="361AA9C1" w14:textId="440D516D" w:rsidR="0006387F" w:rsidRPr="003A1A5E" w:rsidRDefault="0006387F" w:rsidP="00367436">
      <w:pPr>
        <w:jc w:val="both"/>
        <w:rPr>
          <w:rFonts w:asciiTheme="majorHAnsi" w:hAnsiTheme="majorHAnsi" w:cstheme="majorHAnsi"/>
          <w:lang w:val="es-ES"/>
        </w:rPr>
      </w:pPr>
      <w:r w:rsidRPr="003A1A5E">
        <w:rPr>
          <w:rFonts w:asciiTheme="majorHAnsi" w:hAnsiTheme="majorHAnsi" w:cstheme="majorHAnsi"/>
          <w:lang w:val="es-ES"/>
        </w:rPr>
        <w:t>E</w:t>
      </w:r>
      <w:r w:rsidR="002031DA" w:rsidRPr="003A1A5E">
        <w:rPr>
          <w:rFonts w:asciiTheme="majorHAnsi" w:hAnsiTheme="majorHAnsi" w:cstheme="majorHAnsi"/>
          <w:lang w:val="es-ES"/>
        </w:rPr>
        <w:t>l</w:t>
      </w:r>
      <w:r w:rsidRPr="003A1A5E">
        <w:rPr>
          <w:rFonts w:asciiTheme="majorHAnsi" w:hAnsiTheme="majorHAnsi" w:cstheme="majorHAnsi"/>
          <w:lang w:val="es-ES"/>
        </w:rPr>
        <w:t xml:space="preserve"> Grupo de Trabajo </w:t>
      </w:r>
      <w:r w:rsidR="00727733" w:rsidRPr="003A1A5E">
        <w:rPr>
          <w:rFonts w:asciiTheme="majorHAnsi" w:hAnsiTheme="majorHAnsi" w:cstheme="majorHAnsi"/>
          <w:lang w:val="es-ES"/>
        </w:rPr>
        <w:t>abordará el concepto de crisis de manera amplia</w:t>
      </w:r>
      <w:r w:rsidRPr="003A1A5E">
        <w:rPr>
          <w:rFonts w:asciiTheme="majorHAnsi" w:hAnsiTheme="majorHAnsi" w:cstheme="majorHAnsi"/>
          <w:lang w:val="es-ES"/>
        </w:rPr>
        <w:t xml:space="preserve">. En este sentido, </w:t>
      </w:r>
      <w:r w:rsidR="00166DD3" w:rsidRPr="003A1A5E">
        <w:rPr>
          <w:rFonts w:asciiTheme="majorHAnsi" w:hAnsiTheme="majorHAnsi" w:cstheme="majorHAnsi"/>
          <w:lang w:val="es-ES"/>
        </w:rPr>
        <w:t xml:space="preserve">el Grupo de Trabajo </w:t>
      </w:r>
      <w:r w:rsidRPr="003A1A5E">
        <w:rPr>
          <w:rFonts w:asciiTheme="majorHAnsi" w:hAnsiTheme="majorHAnsi" w:cstheme="majorHAnsi"/>
          <w:lang w:val="es-ES"/>
        </w:rPr>
        <w:t>tiene la intención</w:t>
      </w:r>
      <w:r w:rsidR="00727733" w:rsidRPr="003A1A5E">
        <w:rPr>
          <w:rFonts w:asciiTheme="majorHAnsi" w:hAnsiTheme="majorHAnsi" w:cstheme="majorHAnsi"/>
          <w:lang w:val="es-ES"/>
        </w:rPr>
        <w:t xml:space="preserve"> de,</w:t>
      </w:r>
      <w:r w:rsidRPr="003A1A5E">
        <w:rPr>
          <w:rFonts w:asciiTheme="majorHAnsi" w:hAnsiTheme="majorHAnsi" w:cstheme="majorHAnsi"/>
          <w:lang w:val="es-ES"/>
        </w:rPr>
        <w:t xml:space="preserve"> no solo examinar las crisis humanitarias, que </w:t>
      </w:r>
      <w:r w:rsidR="00727733" w:rsidRPr="003A1A5E">
        <w:rPr>
          <w:rFonts w:asciiTheme="majorHAnsi" w:hAnsiTheme="majorHAnsi" w:cstheme="majorHAnsi"/>
          <w:lang w:val="es-ES"/>
        </w:rPr>
        <w:t>suelen abarcar</w:t>
      </w:r>
      <w:r w:rsidRPr="003A1A5E">
        <w:rPr>
          <w:rFonts w:asciiTheme="majorHAnsi" w:hAnsiTheme="majorHAnsi" w:cstheme="majorHAnsi"/>
          <w:lang w:val="es-ES"/>
        </w:rPr>
        <w:t xml:space="preserve"> </w:t>
      </w:r>
      <w:r w:rsidR="00727733" w:rsidRPr="003A1A5E">
        <w:rPr>
          <w:rFonts w:asciiTheme="majorHAnsi" w:hAnsiTheme="majorHAnsi" w:cstheme="majorHAnsi"/>
          <w:lang w:val="es-ES"/>
        </w:rPr>
        <w:t xml:space="preserve">los </w:t>
      </w:r>
      <w:r w:rsidRPr="003A1A5E">
        <w:rPr>
          <w:rFonts w:asciiTheme="majorHAnsi" w:hAnsiTheme="majorHAnsi" w:cstheme="majorHAnsi"/>
          <w:lang w:val="es-ES"/>
        </w:rPr>
        <w:t xml:space="preserve">conflictos internacionales y no internacionales </w:t>
      </w:r>
      <w:r w:rsidR="00727733" w:rsidRPr="003A1A5E">
        <w:rPr>
          <w:rFonts w:asciiTheme="majorHAnsi" w:hAnsiTheme="majorHAnsi" w:cstheme="majorHAnsi"/>
          <w:lang w:val="es-ES"/>
        </w:rPr>
        <w:t>así como</w:t>
      </w:r>
      <w:r w:rsidRPr="003A1A5E">
        <w:rPr>
          <w:rFonts w:asciiTheme="majorHAnsi" w:hAnsiTheme="majorHAnsi" w:cstheme="majorHAnsi"/>
          <w:lang w:val="es-ES"/>
        </w:rPr>
        <w:t xml:space="preserve"> los territorios ocupados, los desastres naturales</w:t>
      </w:r>
      <w:r w:rsidR="002031DA" w:rsidRPr="003A1A5E">
        <w:rPr>
          <w:rFonts w:asciiTheme="majorHAnsi" w:hAnsiTheme="majorHAnsi" w:cstheme="majorHAnsi"/>
          <w:lang w:val="es-ES"/>
        </w:rPr>
        <w:t xml:space="preserve"> y </w:t>
      </w:r>
      <w:r w:rsidR="00727733" w:rsidRPr="003A1A5E">
        <w:rPr>
          <w:rFonts w:asciiTheme="majorHAnsi" w:hAnsiTheme="majorHAnsi" w:cstheme="majorHAnsi"/>
          <w:lang w:val="es-ES"/>
        </w:rPr>
        <w:t>desastre</w:t>
      </w:r>
      <w:r w:rsidR="004C7C3E" w:rsidRPr="003A1A5E">
        <w:rPr>
          <w:rFonts w:asciiTheme="majorHAnsi" w:hAnsiTheme="majorHAnsi" w:cstheme="majorHAnsi"/>
          <w:lang w:val="es-ES"/>
        </w:rPr>
        <w:t>s</w:t>
      </w:r>
      <w:r w:rsidR="00727733" w:rsidRPr="003A1A5E">
        <w:rPr>
          <w:rFonts w:asciiTheme="majorHAnsi" w:hAnsiTheme="majorHAnsi" w:cstheme="majorHAnsi"/>
          <w:lang w:val="es-ES"/>
        </w:rPr>
        <w:t xml:space="preserve"> </w:t>
      </w:r>
      <w:r w:rsidR="002031DA" w:rsidRPr="003A1A5E">
        <w:rPr>
          <w:rFonts w:asciiTheme="majorHAnsi" w:hAnsiTheme="majorHAnsi" w:cstheme="majorHAnsi"/>
          <w:lang w:val="es-ES"/>
        </w:rPr>
        <w:t xml:space="preserve">provocados </w:t>
      </w:r>
      <w:r w:rsidRPr="003A1A5E">
        <w:rPr>
          <w:rFonts w:asciiTheme="majorHAnsi" w:hAnsiTheme="majorHAnsi" w:cstheme="majorHAnsi"/>
          <w:lang w:val="es-ES"/>
        </w:rPr>
        <w:t xml:space="preserve">por los </w:t>
      </w:r>
      <w:r w:rsidR="00727733" w:rsidRPr="003A1A5E">
        <w:rPr>
          <w:rFonts w:asciiTheme="majorHAnsi" w:hAnsiTheme="majorHAnsi" w:cstheme="majorHAnsi"/>
          <w:lang w:val="es-ES"/>
        </w:rPr>
        <w:t>seres humanos</w:t>
      </w:r>
      <w:r w:rsidRPr="003A1A5E">
        <w:rPr>
          <w:rFonts w:asciiTheme="majorHAnsi" w:hAnsiTheme="majorHAnsi" w:cstheme="majorHAnsi"/>
          <w:lang w:val="es-ES"/>
        </w:rPr>
        <w:t>,</w:t>
      </w:r>
      <w:r w:rsidR="00894273" w:rsidRPr="003A1A5E">
        <w:rPr>
          <w:rFonts w:asciiTheme="majorHAnsi" w:hAnsiTheme="majorHAnsi" w:cstheme="majorHAnsi"/>
          <w:lang w:val="es-ES"/>
        </w:rPr>
        <w:t xml:space="preserve"> las</w:t>
      </w:r>
      <w:r w:rsidRPr="003A1A5E">
        <w:rPr>
          <w:rFonts w:asciiTheme="majorHAnsi" w:hAnsiTheme="majorHAnsi" w:cstheme="majorHAnsi"/>
          <w:lang w:val="es-ES"/>
        </w:rPr>
        <w:t xml:space="preserve"> </w:t>
      </w:r>
      <w:r w:rsidR="00633888" w:rsidRPr="003A1A5E">
        <w:rPr>
          <w:rFonts w:asciiTheme="majorHAnsi" w:hAnsiTheme="majorHAnsi" w:cstheme="majorHAnsi"/>
          <w:lang w:val="es-ES"/>
        </w:rPr>
        <w:t>hambrunas</w:t>
      </w:r>
      <w:r w:rsidRPr="003A1A5E">
        <w:rPr>
          <w:rFonts w:asciiTheme="majorHAnsi" w:hAnsiTheme="majorHAnsi" w:cstheme="majorHAnsi"/>
          <w:lang w:val="es-ES"/>
        </w:rPr>
        <w:t xml:space="preserve"> y </w:t>
      </w:r>
      <w:r w:rsidR="00894273" w:rsidRPr="003A1A5E">
        <w:rPr>
          <w:rFonts w:asciiTheme="majorHAnsi" w:hAnsiTheme="majorHAnsi" w:cstheme="majorHAnsi"/>
          <w:lang w:val="es-ES"/>
        </w:rPr>
        <w:t xml:space="preserve">las </w:t>
      </w:r>
      <w:r w:rsidRPr="003A1A5E">
        <w:rPr>
          <w:rFonts w:asciiTheme="majorHAnsi" w:hAnsiTheme="majorHAnsi" w:cstheme="majorHAnsi"/>
          <w:lang w:val="es-ES"/>
        </w:rPr>
        <w:t xml:space="preserve">pandemias, sino </w:t>
      </w:r>
      <w:r w:rsidR="004C7C3E" w:rsidRPr="003A1A5E">
        <w:rPr>
          <w:rFonts w:asciiTheme="majorHAnsi" w:hAnsiTheme="majorHAnsi" w:cstheme="majorHAnsi"/>
          <w:lang w:val="es-ES"/>
        </w:rPr>
        <w:t xml:space="preserve">también </w:t>
      </w:r>
      <w:r w:rsidR="00894273" w:rsidRPr="003A1A5E">
        <w:rPr>
          <w:rFonts w:asciiTheme="majorHAnsi" w:hAnsiTheme="majorHAnsi" w:cstheme="majorHAnsi"/>
          <w:lang w:val="es-ES"/>
        </w:rPr>
        <w:t xml:space="preserve">se propone  examinar las crisis de larga data que </w:t>
      </w:r>
      <w:r w:rsidR="00CF29DB" w:rsidRPr="003A1A5E">
        <w:rPr>
          <w:rFonts w:asciiTheme="majorHAnsi" w:hAnsiTheme="majorHAnsi" w:cstheme="majorHAnsi"/>
          <w:lang w:val="es-ES"/>
        </w:rPr>
        <w:t>tienen su origen</w:t>
      </w:r>
      <w:r w:rsidR="00894273" w:rsidRPr="003A1A5E">
        <w:rPr>
          <w:rFonts w:asciiTheme="majorHAnsi" w:hAnsiTheme="majorHAnsi" w:cstheme="majorHAnsi"/>
          <w:lang w:val="es-ES"/>
        </w:rPr>
        <w:t xml:space="preserve"> en </w:t>
      </w:r>
      <w:r w:rsidR="004C7C3E" w:rsidRPr="003A1A5E">
        <w:rPr>
          <w:rFonts w:asciiTheme="majorHAnsi" w:hAnsiTheme="majorHAnsi" w:cstheme="majorHAnsi"/>
          <w:lang w:val="es-ES"/>
        </w:rPr>
        <w:t xml:space="preserve">el </w:t>
      </w:r>
      <w:r w:rsidR="00894273" w:rsidRPr="003A1A5E">
        <w:rPr>
          <w:rFonts w:asciiTheme="majorHAnsi" w:hAnsiTheme="majorHAnsi" w:cstheme="majorHAnsi"/>
          <w:lang w:val="es-ES"/>
        </w:rPr>
        <w:t xml:space="preserve">patriarcado, </w:t>
      </w:r>
      <w:r w:rsidR="004C7C3E" w:rsidRPr="003A1A5E">
        <w:rPr>
          <w:rFonts w:asciiTheme="majorHAnsi" w:hAnsiTheme="majorHAnsi" w:cstheme="majorHAnsi"/>
          <w:lang w:val="es-ES"/>
        </w:rPr>
        <w:t xml:space="preserve">la </w:t>
      </w:r>
      <w:r w:rsidR="00894273" w:rsidRPr="003A1A5E">
        <w:rPr>
          <w:rFonts w:asciiTheme="majorHAnsi" w:hAnsiTheme="majorHAnsi" w:cstheme="majorHAnsi"/>
          <w:lang w:val="es-ES"/>
        </w:rPr>
        <w:t>colonización, conquista y marginalización (como es el caso, p</w:t>
      </w:r>
      <w:r w:rsidR="004C7C3E" w:rsidRPr="003A1A5E">
        <w:rPr>
          <w:rFonts w:asciiTheme="majorHAnsi" w:hAnsiTheme="majorHAnsi" w:cstheme="majorHAnsi"/>
          <w:lang w:val="es-ES"/>
        </w:rPr>
        <w:t>o</w:t>
      </w:r>
      <w:r w:rsidR="00894273" w:rsidRPr="003A1A5E">
        <w:rPr>
          <w:rFonts w:asciiTheme="majorHAnsi" w:hAnsiTheme="majorHAnsi" w:cstheme="majorHAnsi"/>
          <w:lang w:val="es-ES"/>
        </w:rPr>
        <w:t xml:space="preserve">r ejemplo, de las mujeres indígenas, </w:t>
      </w:r>
      <w:r w:rsidR="00D87EE2" w:rsidRPr="003A1A5E">
        <w:rPr>
          <w:rFonts w:asciiTheme="majorHAnsi" w:hAnsiTheme="majorHAnsi" w:cstheme="majorHAnsi"/>
          <w:lang w:val="es-ES"/>
        </w:rPr>
        <w:t>r</w:t>
      </w:r>
      <w:r w:rsidR="00894273" w:rsidRPr="003A1A5E">
        <w:rPr>
          <w:rFonts w:asciiTheme="majorHAnsi" w:hAnsiTheme="majorHAnsi" w:cstheme="majorHAnsi"/>
          <w:lang w:val="es-ES"/>
        </w:rPr>
        <w:t>omaní</w:t>
      </w:r>
      <w:r w:rsidR="00D87EE2" w:rsidRPr="003A1A5E">
        <w:rPr>
          <w:rFonts w:asciiTheme="majorHAnsi" w:hAnsiTheme="majorHAnsi" w:cstheme="majorHAnsi"/>
          <w:lang w:val="es-ES"/>
        </w:rPr>
        <w:t>es</w:t>
      </w:r>
      <w:r w:rsidR="00894273" w:rsidRPr="003A1A5E">
        <w:rPr>
          <w:rFonts w:asciiTheme="majorHAnsi" w:hAnsiTheme="majorHAnsi" w:cstheme="majorHAnsi"/>
          <w:lang w:val="es-ES"/>
        </w:rPr>
        <w:t xml:space="preserve"> o de las </w:t>
      </w:r>
      <w:r w:rsidR="002031DA" w:rsidRPr="003A1A5E">
        <w:rPr>
          <w:rFonts w:asciiTheme="majorHAnsi" w:hAnsiTheme="majorHAnsi" w:cstheme="majorHAnsi"/>
          <w:lang w:val="es-ES"/>
        </w:rPr>
        <w:t xml:space="preserve"> mujeres </w:t>
      </w:r>
      <w:r w:rsidR="00894273" w:rsidRPr="003A1A5E">
        <w:rPr>
          <w:rFonts w:asciiTheme="majorHAnsi" w:hAnsiTheme="majorHAnsi" w:cstheme="majorHAnsi"/>
          <w:lang w:val="es-ES"/>
        </w:rPr>
        <w:t xml:space="preserve">de descendencia africana).  </w:t>
      </w:r>
      <w:r w:rsidR="00CF29DB" w:rsidRPr="003A1A5E">
        <w:rPr>
          <w:rFonts w:asciiTheme="majorHAnsi" w:hAnsiTheme="majorHAnsi" w:cstheme="majorHAnsi"/>
          <w:lang w:val="es-ES"/>
        </w:rPr>
        <w:t>También examinará otros tipos de crisis sobre la base de las experiencias de las mujeres, tales como las crisis producidas por factores ambientales, inclu</w:t>
      </w:r>
      <w:r w:rsidR="002031DA" w:rsidRPr="003A1A5E">
        <w:rPr>
          <w:rFonts w:asciiTheme="majorHAnsi" w:hAnsiTheme="majorHAnsi" w:cstheme="majorHAnsi"/>
          <w:lang w:val="es-ES"/>
        </w:rPr>
        <w:t xml:space="preserve">ida </w:t>
      </w:r>
      <w:r w:rsidR="00CF29DB" w:rsidRPr="003A1A5E">
        <w:rPr>
          <w:rFonts w:asciiTheme="majorHAnsi" w:hAnsiTheme="majorHAnsi" w:cstheme="majorHAnsi"/>
          <w:lang w:val="es-ES"/>
        </w:rPr>
        <w:t xml:space="preserve">la </w:t>
      </w:r>
      <w:r w:rsidR="00D87EE2" w:rsidRPr="003A1A5E">
        <w:rPr>
          <w:rFonts w:asciiTheme="majorHAnsi" w:hAnsiTheme="majorHAnsi" w:cstheme="majorHAnsi"/>
          <w:lang w:val="es-ES"/>
        </w:rPr>
        <w:t>contaminación</w:t>
      </w:r>
      <w:r w:rsidR="00CF29DB" w:rsidRPr="003A1A5E">
        <w:rPr>
          <w:rFonts w:asciiTheme="majorHAnsi" w:hAnsiTheme="majorHAnsi" w:cstheme="majorHAnsi"/>
          <w:lang w:val="es-ES"/>
        </w:rPr>
        <w:t xml:space="preserve"> del planeta, </w:t>
      </w:r>
      <w:r w:rsidR="00D87EE2" w:rsidRPr="003A1A5E">
        <w:rPr>
          <w:rFonts w:asciiTheme="majorHAnsi" w:hAnsiTheme="majorHAnsi" w:cstheme="majorHAnsi"/>
          <w:lang w:val="es-ES"/>
        </w:rPr>
        <w:t>la expoliación</w:t>
      </w:r>
      <w:r w:rsidR="00CF29DB" w:rsidRPr="003A1A5E">
        <w:rPr>
          <w:rFonts w:asciiTheme="majorHAnsi" w:hAnsiTheme="majorHAnsi" w:cstheme="majorHAnsi"/>
          <w:lang w:val="es-ES"/>
        </w:rPr>
        <w:t xml:space="preserve"> de tierras</w:t>
      </w:r>
      <w:r w:rsidR="00CD2FFA" w:rsidRPr="003A1A5E">
        <w:rPr>
          <w:rFonts w:asciiTheme="majorHAnsi" w:hAnsiTheme="majorHAnsi" w:cstheme="majorHAnsi"/>
          <w:lang w:val="es-ES"/>
        </w:rPr>
        <w:t>, las crisis políticas, sociales y económicas, inclu</w:t>
      </w:r>
      <w:r w:rsidR="00D87EE2" w:rsidRPr="003A1A5E">
        <w:rPr>
          <w:rFonts w:asciiTheme="majorHAnsi" w:hAnsiTheme="majorHAnsi" w:cstheme="majorHAnsi"/>
          <w:lang w:val="es-ES"/>
        </w:rPr>
        <w:t>so</w:t>
      </w:r>
      <w:r w:rsidR="002031DA" w:rsidRPr="003A1A5E">
        <w:rPr>
          <w:rFonts w:asciiTheme="majorHAnsi" w:hAnsiTheme="majorHAnsi" w:cstheme="majorHAnsi"/>
          <w:lang w:val="es-ES"/>
        </w:rPr>
        <w:t xml:space="preserve"> </w:t>
      </w:r>
      <w:r w:rsidR="00CD2FFA" w:rsidRPr="003A1A5E">
        <w:rPr>
          <w:rFonts w:asciiTheme="majorHAnsi" w:hAnsiTheme="majorHAnsi" w:cstheme="majorHAnsi"/>
          <w:lang w:val="es-ES"/>
        </w:rPr>
        <w:t xml:space="preserve">el impacto de las medidas de austeridad, las crisis de los migrantes y de los refugiados, la crisis de los </w:t>
      </w:r>
      <w:r w:rsidR="009F4CD5" w:rsidRPr="003A1A5E">
        <w:rPr>
          <w:rFonts w:asciiTheme="majorHAnsi" w:hAnsiTheme="majorHAnsi" w:cstheme="majorHAnsi"/>
          <w:lang w:val="es-ES"/>
        </w:rPr>
        <w:t>desplazamientos,</w:t>
      </w:r>
      <w:r w:rsidR="00CD2FFA" w:rsidRPr="003A1A5E">
        <w:rPr>
          <w:rFonts w:asciiTheme="majorHAnsi" w:hAnsiTheme="majorHAnsi" w:cstheme="majorHAnsi"/>
          <w:lang w:val="es-ES"/>
        </w:rPr>
        <w:t xml:space="preserve"> </w:t>
      </w:r>
      <w:r w:rsidR="002031DA" w:rsidRPr="003A1A5E">
        <w:rPr>
          <w:rFonts w:asciiTheme="majorHAnsi" w:hAnsiTheme="majorHAnsi" w:cstheme="majorHAnsi"/>
          <w:lang w:val="es-ES"/>
        </w:rPr>
        <w:t>y</w:t>
      </w:r>
      <w:r w:rsidR="00CD2FFA" w:rsidRPr="003A1A5E">
        <w:rPr>
          <w:rFonts w:asciiTheme="majorHAnsi" w:hAnsiTheme="majorHAnsi" w:cstheme="majorHAnsi"/>
          <w:lang w:val="es-ES"/>
        </w:rPr>
        <w:t xml:space="preserve"> la violencia de </w:t>
      </w:r>
      <w:r w:rsidR="00D87EE2" w:rsidRPr="003A1A5E">
        <w:rPr>
          <w:rFonts w:asciiTheme="majorHAnsi" w:hAnsiTheme="majorHAnsi" w:cstheme="majorHAnsi"/>
          <w:lang w:val="es-ES"/>
        </w:rPr>
        <w:t>pandillas</w:t>
      </w:r>
      <w:r w:rsidR="00CD2FFA" w:rsidRPr="003A1A5E">
        <w:rPr>
          <w:rFonts w:asciiTheme="majorHAnsi" w:hAnsiTheme="majorHAnsi" w:cstheme="majorHAnsi"/>
          <w:lang w:val="es-ES"/>
        </w:rPr>
        <w:t>, entre otr</w:t>
      </w:r>
      <w:r w:rsidR="002031DA" w:rsidRPr="003A1A5E">
        <w:rPr>
          <w:rFonts w:asciiTheme="majorHAnsi" w:hAnsiTheme="majorHAnsi" w:cstheme="majorHAnsi"/>
          <w:lang w:val="es-ES"/>
        </w:rPr>
        <w:t>a</w:t>
      </w:r>
      <w:r w:rsidR="00CD2FFA" w:rsidRPr="003A1A5E">
        <w:rPr>
          <w:rFonts w:asciiTheme="majorHAnsi" w:hAnsiTheme="majorHAnsi" w:cstheme="majorHAnsi"/>
          <w:lang w:val="es-ES"/>
        </w:rPr>
        <w:t>s</w:t>
      </w:r>
      <w:r w:rsidR="002031DA" w:rsidRPr="003A1A5E">
        <w:rPr>
          <w:rFonts w:asciiTheme="majorHAnsi" w:hAnsiTheme="majorHAnsi" w:cstheme="majorHAnsi"/>
          <w:lang w:val="es-ES"/>
        </w:rPr>
        <w:t xml:space="preserve"> crisis</w:t>
      </w:r>
      <w:r w:rsidR="00CD2FFA" w:rsidRPr="003A1A5E">
        <w:rPr>
          <w:rFonts w:asciiTheme="majorHAnsi" w:hAnsiTheme="majorHAnsi" w:cstheme="majorHAnsi"/>
          <w:lang w:val="es-ES"/>
        </w:rPr>
        <w:t xml:space="preserve">. </w:t>
      </w:r>
      <w:r w:rsidR="009F4CD5" w:rsidRPr="003A1A5E">
        <w:rPr>
          <w:rFonts w:asciiTheme="majorHAnsi" w:hAnsiTheme="majorHAnsi" w:cstheme="majorHAnsi"/>
          <w:lang w:val="es-ES"/>
        </w:rPr>
        <w:t xml:space="preserve">El Grupo de Trabajo examinará como las leyes, políticas y prácticas existentes </w:t>
      </w:r>
      <w:r w:rsidR="00D87EE2" w:rsidRPr="003A1A5E">
        <w:rPr>
          <w:rFonts w:asciiTheme="majorHAnsi" w:hAnsiTheme="majorHAnsi" w:cstheme="majorHAnsi"/>
          <w:lang w:val="es-ES"/>
        </w:rPr>
        <w:t>impactan</w:t>
      </w:r>
      <w:r w:rsidR="009F4CD5" w:rsidRPr="003A1A5E">
        <w:rPr>
          <w:rFonts w:asciiTheme="majorHAnsi" w:hAnsiTheme="majorHAnsi" w:cstheme="majorHAnsi"/>
          <w:lang w:val="es-ES"/>
        </w:rPr>
        <w:t xml:space="preserve"> la salud de las mujeres y de las niñas en situaciones de crisis y </w:t>
      </w:r>
      <w:r w:rsidR="00A6165B" w:rsidRPr="003A1A5E">
        <w:rPr>
          <w:rFonts w:asciiTheme="majorHAnsi" w:hAnsiTheme="majorHAnsi" w:cstheme="majorHAnsi"/>
          <w:lang w:val="es-ES"/>
        </w:rPr>
        <w:t xml:space="preserve">pueden </w:t>
      </w:r>
      <w:r w:rsidR="009F4CD5" w:rsidRPr="003A1A5E">
        <w:rPr>
          <w:rFonts w:asciiTheme="majorHAnsi" w:hAnsiTheme="majorHAnsi" w:cstheme="majorHAnsi"/>
          <w:lang w:val="es-ES"/>
        </w:rPr>
        <w:t>restring</w:t>
      </w:r>
      <w:r w:rsidR="00A6165B" w:rsidRPr="003A1A5E">
        <w:rPr>
          <w:rFonts w:asciiTheme="majorHAnsi" w:hAnsiTheme="majorHAnsi" w:cstheme="majorHAnsi"/>
          <w:lang w:val="es-ES"/>
        </w:rPr>
        <w:t>ir</w:t>
      </w:r>
      <w:r w:rsidR="009F4CD5" w:rsidRPr="003A1A5E">
        <w:rPr>
          <w:rFonts w:asciiTheme="majorHAnsi" w:hAnsiTheme="majorHAnsi" w:cstheme="majorHAnsi"/>
          <w:lang w:val="es-ES"/>
        </w:rPr>
        <w:t xml:space="preserve"> su autonomía a lo largo de su vida, utilizando un enfoque intersec</w:t>
      </w:r>
      <w:r w:rsidR="002031DA" w:rsidRPr="003A1A5E">
        <w:rPr>
          <w:rFonts w:asciiTheme="majorHAnsi" w:hAnsiTheme="majorHAnsi" w:cstheme="majorHAnsi"/>
          <w:lang w:val="es-ES"/>
        </w:rPr>
        <w:t>torial.</w:t>
      </w:r>
      <w:r w:rsidR="009F4CD5" w:rsidRPr="003A1A5E">
        <w:rPr>
          <w:rFonts w:asciiTheme="majorHAnsi" w:hAnsiTheme="majorHAnsi" w:cstheme="majorHAnsi"/>
          <w:lang w:val="es-ES"/>
        </w:rPr>
        <w:t xml:space="preserve"> </w:t>
      </w:r>
    </w:p>
    <w:p w14:paraId="746D3817" w14:textId="322FAF21" w:rsidR="0095572F" w:rsidRPr="003A1A5E" w:rsidRDefault="006E7B32" w:rsidP="00367436">
      <w:pPr>
        <w:jc w:val="both"/>
        <w:rPr>
          <w:rStyle w:val="Hipervnculo"/>
          <w:rFonts w:asciiTheme="majorHAnsi" w:hAnsiTheme="majorHAnsi" w:cstheme="majorHAnsi"/>
          <w:color w:val="auto"/>
          <w:u w:val="none"/>
          <w:lang w:val="es-ES"/>
        </w:rPr>
      </w:pPr>
      <w:r w:rsidRPr="003A1A5E">
        <w:rPr>
          <w:rFonts w:asciiTheme="majorHAnsi" w:hAnsiTheme="majorHAnsi" w:cstheme="majorHAnsi"/>
          <w:lang w:val="es-ES"/>
        </w:rPr>
        <w:t>Con el fin</w:t>
      </w:r>
      <w:r w:rsidR="0095572F" w:rsidRPr="003A1A5E">
        <w:rPr>
          <w:rFonts w:asciiTheme="majorHAnsi" w:hAnsiTheme="majorHAnsi" w:cstheme="majorHAnsi"/>
          <w:lang w:val="es-ES"/>
        </w:rPr>
        <w:t xml:space="preserve"> de reco</w:t>
      </w:r>
      <w:r w:rsidRPr="003A1A5E">
        <w:rPr>
          <w:rFonts w:asciiTheme="majorHAnsi" w:hAnsiTheme="majorHAnsi" w:cstheme="majorHAnsi"/>
          <w:lang w:val="es-ES"/>
        </w:rPr>
        <w:t>pilar</w:t>
      </w:r>
      <w:r w:rsidR="0095572F" w:rsidRPr="003A1A5E">
        <w:rPr>
          <w:rFonts w:asciiTheme="majorHAnsi" w:hAnsiTheme="majorHAnsi" w:cstheme="majorHAnsi"/>
          <w:lang w:val="es-ES"/>
        </w:rPr>
        <w:t xml:space="preserve"> información para la preparación de este informe</w:t>
      </w:r>
      <w:r w:rsidR="002031DA" w:rsidRPr="003A1A5E">
        <w:rPr>
          <w:rFonts w:asciiTheme="majorHAnsi" w:hAnsiTheme="majorHAnsi" w:cstheme="majorHAnsi"/>
          <w:lang w:val="es-ES"/>
        </w:rPr>
        <w:t>,</w:t>
      </w:r>
      <w:r w:rsidR="0095572F" w:rsidRPr="003A1A5E">
        <w:rPr>
          <w:rFonts w:asciiTheme="majorHAnsi" w:hAnsiTheme="majorHAnsi" w:cstheme="majorHAnsi"/>
          <w:lang w:val="es-ES"/>
        </w:rPr>
        <w:t xml:space="preserve"> y de acuerdo con su mandato de </w:t>
      </w:r>
      <w:r w:rsidRPr="003A1A5E">
        <w:rPr>
          <w:rFonts w:asciiTheme="majorHAnsi" w:hAnsiTheme="majorHAnsi" w:cstheme="majorHAnsi"/>
          <w:lang w:val="es-ES"/>
        </w:rPr>
        <w:t>man</w:t>
      </w:r>
      <w:r w:rsidR="0095572F" w:rsidRPr="003A1A5E">
        <w:rPr>
          <w:rFonts w:asciiTheme="majorHAnsi" w:hAnsiTheme="majorHAnsi" w:cstheme="majorHAnsi"/>
          <w:lang w:val="es-ES"/>
        </w:rPr>
        <w:t xml:space="preserve">tener un </w:t>
      </w:r>
      <w:r w:rsidR="00FB504A" w:rsidRPr="003A1A5E">
        <w:rPr>
          <w:rFonts w:asciiTheme="majorHAnsi" w:hAnsiTheme="majorHAnsi" w:cstheme="majorHAnsi"/>
          <w:lang w:val="es-ES"/>
        </w:rPr>
        <w:t>diálogo</w:t>
      </w:r>
      <w:r w:rsidR="0095572F" w:rsidRPr="003A1A5E">
        <w:rPr>
          <w:rFonts w:asciiTheme="majorHAnsi" w:hAnsiTheme="majorHAnsi" w:cstheme="majorHAnsi"/>
          <w:lang w:val="es-ES"/>
        </w:rPr>
        <w:t xml:space="preserve"> constructivo con los Estados y otros actores</w:t>
      </w:r>
      <w:r w:rsidRPr="003A1A5E">
        <w:rPr>
          <w:rFonts w:asciiTheme="majorHAnsi" w:hAnsiTheme="majorHAnsi" w:cstheme="majorHAnsi"/>
          <w:lang w:val="es-ES"/>
        </w:rPr>
        <w:t xml:space="preserve"> concernidos</w:t>
      </w:r>
      <w:r w:rsidR="0095572F" w:rsidRPr="003A1A5E">
        <w:rPr>
          <w:rFonts w:asciiTheme="majorHAnsi" w:hAnsiTheme="majorHAnsi" w:cstheme="majorHAnsi"/>
          <w:lang w:val="es-ES"/>
        </w:rPr>
        <w:t xml:space="preserve"> para abordar la discriminación contra las mujeres y las niñas, el Grupo de Trabajo agradecería recibir insumos de todos los actores interesados. Las contribuciones deberán enviarse antes del </w:t>
      </w:r>
      <w:r w:rsidR="0095572F" w:rsidRPr="003A1A5E">
        <w:rPr>
          <w:rFonts w:asciiTheme="majorHAnsi" w:hAnsiTheme="majorHAnsi" w:cstheme="majorHAnsi"/>
          <w:b/>
          <w:bCs/>
          <w:lang w:val="es-ES"/>
        </w:rPr>
        <w:t>31 de agosto de 2020</w:t>
      </w:r>
      <w:r w:rsidR="0095572F" w:rsidRPr="003A1A5E">
        <w:rPr>
          <w:rFonts w:asciiTheme="majorHAnsi" w:hAnsiTheme="majorHAnsi" w:cstheme="majorHAnsi"/>
          <w:lang w:val="es-ES"/>
        </w:rPr>
        <w:t xml:space="preserve"> al siguiente correo electrónico</w:t>
      </w:r>
      <w:r w:rsidR="00995656" w:rsidRPr="003A1A5E">
        <w:rPr>
          <w:rFonts w:asciiTheme="majorHAnsi" w:hAnsiTheme="majorHAnsi" w:cstheme="majorHAnsi"/>
          <w:lang w:val="es-ES"/>
        </w:rPr>
        <w:t>:</w:t>
      </w:r>
      <w:r w:rsidR="0095572F" w:rsidRPr="003A1A5E">
        <w:rPr>
          <w:rFonts w:asciiTheme="majorHAnsi" w:hAnsiTheme="majorHAnsi" w:cstheme="majorHAnsi"/>
          <w:lang w:val="es-ES"/>
        </w:rPr>
        <w:t xml:space="preserve"> </w:t>
      </w:r>
      <w:hyperlink r:id="rId8" w:history="1">
        <w:r w:rsidR="0095572F" w:rsidRPr="003A1A5E">
          <w:rPr>
            <w:rStyle w:val="Hipervnculo"/>
            <w:rFonts w:asciiTheme="majorHAnsi" w:hAnsiTheme="majorHAnsi" w:cstheme="majorHAnsi"/>
            <w:lang w:val="es-ES"/>
          </w:rPr>
          <w:t>wgdiscriminationwomen@ohchr.org</w:t>
        </w:r>
      </w:hyperlink>
      <w:r w:rsidR="0095572F" w:rsidRPr="003A1A5E">
        <w:rPr>
          <w:rStyle w:val="Hipervnculo"/>
          <w:rFonts w:asciiTheme="majorHAnsi" w:hAnsiTheme="majorHAnsi" w:cstheme="majorHAnsi"/>
          <w:lang w:val="es-ES"/>
        </w:rPr>
        <w:t xml:space="preserve">. </w:t>
      </w:r>
      <w:r w:rsidR="0095572F" w:rsidRPr="003A1A5E">
        <w:rPr>
          <w:rStyle w:val="Hipervnculo"/>
          <w:rFonts w:asciiTheme="majorHAnsi" w:hAnsiTheme="majorHAnsi" w:cstheme="majorHAnsi"/>
          <w:color w:val="auto"/>
          <w:u w:val="none"/>
          <w:lang w:val="es-ES"/>
        </w:rPr>
        <w:t>Las contribuciones s</w:t>
      </w:r>
      <w:r w:rsidRPr="003A1A5E">
        <w:rPr>
          <w:rStyle w:val="Hipervnculo"/>
          <w:rFonts w:asciiTheme="majorHAnsi" w:hAnsiTheme="majorHAnsi" w:cstheme="majorHAnsi"/>
          <w:color w:val="auto"/>
          <w:u w:val="none"/>
          <w:lang w:val="es-ES"/>
        </w:rPr>
        <w:t>e</w:t>
      </w:r>
      <w:r w:rsidR="0095572F" w:rsidRPr="003A1A5E">
        <w:rPr>
          <w:rStyle w:val="Hipervnculo"/>
          <w:rFonts w:asciiTheme="majorHAnsi" w:hAnsiTheme="majorHAnsi" w:cstheme="majorHAnsi"/>
          <w:color w:val="auto"/>
          <w:u w:val="none"/>
          <w:lang w:val="es-ES"/>
        </w:rPr>
        <w:t>rán publicadas</w:t>
      </w:r>
      <w:r w:rsidRPr="003A1A5E">
        <w:rPr>
          <w:rStyle w:val="Hipervnculo"/>
          <w:rFonts w:asciiTheme="majorHAnsi" w:hAnsiTheme="majorHAnsi" w:cstheme="majorHAnsi"/>
          <w:color w:val="auto"/>
          <w:u w:val="none"/>
          <w:lang w:val="es-ES"/>
        </w:rPr>
        <w:t xml:space="preserve"> en el sitio web del Grupo de Trabajo</w:t>
      </w:r>
      <w:r w:rsidR="00995656" w:rsidRPr="003A1A5E">
        <w:rPr>
          <w:rStyle w:val="Hipervnculo"/>
          <w:rFonts w:asciiTheme="majorHAnsi" w:hAnsiTheme="majorHAnsi" w:cstheme="majorHAnsi"/>
          <w:color w:val="auto"/>
          <w:u w:val="none"/>
          <w:lang w:val="es-ES"/>
        </w:rPr>
        <w:t>,</w:t>
      </w:r>
      <w:r w:rsidR="0095572F" w:rsidRPr="003A1A5E">
        <w:rPr>
          <w:rStyle w:val="Hipervnculo"/>
          <w:rFonts w:asciiTheme="majorHAnsi" w:hAnsiTheme="majorHAnsi" w:cstheme="majorHAnsi"/>
          <w:color w:val="auto"/>
          <w:u w:val="none"/>
          <w:lang w:val="es-ES"/>
        </w:rPr>
        <w:t xml:space="preserve"> </w:t>
      </w:r>
      <w:r w:rsidR="007E272C" w:rsidRPr="003A1A5E">
        <w:rPr>
          <w:rStyle w:val="Hipervnculo"/>
          <w:rFonts w:asciiTheme="majorHAnsi" w:hAnsiTheme="majorHAnsi" w:cstheme="majorHAnsi"/>
          <w:color w:val="auto"/>
          <w:u w:val="none"/>
          <w:lang w:val="es-ES"/>
        </w:rPr>
        <w:t>a</w:t>
      </w:r>
      <w:r w:rsidRPr="003A1A5E">
        <w:rPr>
          <w:rStyle w:val="Hipervnculo"/>
          <w:rFonts w:asciiTheme="majorHAnsi" w:hAnsiTheme="majorHAnsi" w:cstheme="majorHAnsi"/>
          <w:color w:val="auto"/>
          <w:u w:val="none"/>
          <w:lang w:val="es-ES"/>
        </w:rPr>
        <w:t xml:space="preserve"> menos</w:t>
      </w:r>
      <w:r w:rsidR="0095572F" w:rsidRPr="003A1A5E">
        <w:rPr>
          <w:rStyle w:val="Hipervnculo"/>
          <w:rFonts w:asciiTheme="majorHAnsi" w:hAnsiTheme="majorHAnsi" w:cstheme="majorHAnsi"/>
          <w:color w:val="auto"/>
          <w:u w:val="none"/>
          <w:lang w:val="es-ES"/>
        </w:rPr>
        <w:t xml:space="preserve"> que se solicite explícitamente la confidencialidad de la </w:t>
      </w:r>
      <w:r w:rsidRPr="003A1A5E">
        <w:rPr>
          <w:rStyle w:val="Hipervnculo"/>
          <w:rFonts w:asciiTheme="majorHAnsi" w:hAnsiTheme="majorHAnsi" w:cstheme="majorHAnsi"/>
          <w:color w:val="auto"/>
          <w:u w:val="none"/>
          <w:lang w:val="es-ES"/>
        </w:rPr>
        <w:t>contribución</w:t>
      </w:r>
      <w:r w:rsidR="0095572F" w:rsidRPr="003A1A5E">
        <w:rPr>
          <w:rStyle w:val="Hipervnculo"/>
          <w:rFonts w:asciiTheme="majorHAnsi" w:hAnsiTheme="majorHAnsi" w:cstheme="majorHAnsi"/>
          <w:color w:val="auto"/>
          <w:u w:val="none"/>
          <w:lang w:val="es-ES"/>
        </w:rPr>
        <w:t>.</w:t>
      </w:r>
      <w:r w:rsidR="00995656" w:rsidRPr="003A1A5E">
        <w:rPr>
          <w:rStyle w:val="Hipervnculo"/>
          <w:rFonts w:asciiTheme="majorHAnsi" w:hAnsiTheme="majorHAnsi" w:cstheme="majorHAnsi"/>
          <w:color w:val="auto"/>
          <w:u w:val="none"/>
          <w:lang w:val="es-ES"/>
        </w:rPr>
        <w:t xml:space="preserve"> </w:t>
      </w:r>
      <w:r w:rsidRPr="003A1A5E">
        <w:rPr>
          <w:rStyle w:val="Hipervnculo"/>
          <w:rFonts w:asciiTheme="majorHAnsi" w:hAnsiTheme="majorHAnsi" w:cstheme="majorHAnsi"/>
          <w:color w:val="auto"/>
          <w:u w:val="none"/>
          <w:lang w:val="es-ES"/>
        </w:rPr>
        <w:t>Las expertas</w:t>
      </w:r>
      <w:r w:rsidR="00995656" w:rsidRPr="003A1A5E">
        <w:rPr>
          <w:rStyle w:val="Hipervnculo"/>
          <w:rFonts w:asciiTheme="majorHAnsi" w:hAnsiTheme="majorHAnsi" w:cstheme="majorHAnsi"/>
          <w:color w:val="auto"/>
          <w:u w:val="none"/>
          <w:lang w:val="es-ES"/>
        </w:rPr>
        <w:t xml:space="preserve"> está</w:t>
      </w:r>
      <w:r w:rsidRPr="003A1A5E">
        <w:rPr>
          <w:rStyle w:val="Hipervnculo"/>
          <w:rFonts w:asciiTheme="majorHAnsi" w:hAnsiTheme="majorHAnsi" w:cstheme="majorHAnsi"/>
          <w:color w:val="auto"/>
          <w:u w:val="none"/>
          <w:lang w:val="es-ES"/>
        </w:rPr>
        <w:t>n</w:t>
      </w:r>
      <w:r w:rsidR="00995656" w:rsidRPr="003A1A5E">
        <w:rPr>
          <w:rStyle w:val="Hipervnculo"/>
          <w:rFonts w:asciiTheme="majorHAnsi" w:hAnsiTheme="majorHAnsi" w:cstheme="majorHAnsi"/>
          <w:color w:val="auto"/>
          <w:u w:val="none"/>
          <w:lang w:val="es-ES"/>
        </w:rPr>
        <w:t xml:space="preserve"> particularmente interesad</w:t>
      </w:r>
      <w:r w:rsidRPr="003A1A5E">
        <w:rPr>
          <w:rStyle w:val="Hipervnculo"/>
          <w:rFonts w:asciiTheme="majorHAnsi" w:hAnsiTheme="majorHAnsi" w:cstheme="majorHAnsi"/>
          <w:color w:val="auto"/>
          <w:u w:val="none"/>
          <w:lang w:val="es-ES"/>
        </w:rPr>
        <w:t>as</w:t>
      </w:r>
      <w:r w:rsidR="00995656" w:rsidRPr="003A1A5E">
        <w:rPr>
          <w:rStyle w:val="Hipervnculo"/>
          <w:rFonts w:asciiTheme="majorHAnsi" w:hAnsiTheme="majorHAnsi" w:cstheme="majorHAnsi"/>
          <w:color w:val="auto"/>
          <w:u w:val="none"/>
          <w:lang w:val="es-ES"/>
        </w:rPr>
        <w:t xml:space="preserve"> en recibir información sobre los desafíos enfrentados para asegurar que los derechos sexuales y reproductivos de las mujeres y de las niñas sean respetados, protegidos y cumplidos en </w:t>
      </w:r>
      <w:r w:rsidRPr="003A1A5E">
        <w:rPr>
          <w:rStyle w:val="Hipervnculo"/>
          <w:rFonts w:asciiTheme="majorHAnsi" w:hAnsiTheme="majorHAnsi" w:cstheme="majorHAnsi"/>
          <w:color w:val="auto"/>
          <w:u w:val="none"/>
          <w:lang w:val="es-ES"/>
        </w:rPr>
        <w:t>situaciones</w:t>
      </w:r>
      <w:r w:rsidR="00995656" w:rsidRPr="003A1A5E">
        <w:rPr>
          <w:rStyle w:val="Hipervnculo"/>
          <w:rFonts w:asciiTheme="majorHAnsi" w:hAnsiTheme="majorHAnsi" w:cstheme="majorHAnsi"/>
          <w:color w:val="auto"/>
          <w:u w:val="none"/>
          <w:lang w:val="es-ES"/>
        </w:rPr>
        <w:t xml:space="preserve"> de crisis y se les reconozca adecuada prioridad, así como información sobre ejemplos de buenas prácticas.  </w:t>
      </w:r>
      <w:r w:rsidR="0095572F" w:rsidRPr="003A1A5E">
        <w:rPr>
          <w:rStyle w:val="Hipervnculo"/>
          <w:rFonts w:asciiTheme="majorHAnsi" w:hAnsiTheme="majorHAnsi" w:cstheme="majorHAnsi"/>
          <w:color w:val="auto"/>
          <w:u w:val="none"/>
          <w:lang w:val="es-ES"/>
        </w:rPr>
        <w:t xml:space="preserve"> </w:t>
      </w:r>
    </w:p>
    <w:p w14:paraId="70AC6AB8" w14:textId="77777777" w:rsidR="00F430BB" w:rsidRPr="003A1A5E" w:rsidRDefault="00F430BB" w:rsidP="00995656">
      <w:pPr>
        <w:jc w:val="center"/>
        <w:rPr>
          <w:rStyle w:val="Hipervnculo"/>
          <w:rFonts w:asciiTheme="majorHAnsi" w:hAnsiTheme="majorHAnsi" w:cstheme="majorHAnsi"/>
          <w:b/>
          <w:bCs/>
          <w:color w:val="auto"/>
          <w:lang w:val="es-ES"/>
        </w:rPr>
      </w:pPr>
    </w:p>
    <w:p w14:paraId="45CE20F1" w14:textId="70510EA9" w:rsidR="00995656" w:rsidRPr="003A1A5E" w:rsidRDefault="00995656" w:rsidP="00995656">
      <w:pPr>
        <w:jc w:val="center"/>
        <w:rPr>
          <w:rFonts w:asciiTheme="majorHAnsi" w:hAnsiTheme="majorHAnsi" w:cstheme="majorHAnsi"/>
          <w:b/>
          <w:bCs/>
          <w:u w:val="single"/>
          <w:lang w:val="es-ES"/>
        </w:rPr>
      </w:pPr>
      <w:r w:rsidRPr="003A1A5E">
        <w:rPr>
          <w:rStyle w:val="Hipervnculo"/>
          <w:rFonts w:asciiTheme="majorHAnsi" w:hAnsiTheme="majorHAnsi" w:cstheme="majorHAnsi"/>
          <w:b/>
          <w:bCs/>
          <w:color w:val="auto"/>
          <w:lang w:val="es-ES"/>
        </w:rPr>
        <w:lastRenderedPageBreak/>
        <w:t>Cuestionario</w:t>
      </w:r>
    </w:p>
    <w:p w14:paraId="369BAB92" w14:textId="57954F30" w:rsidR="009F4CD5" w:rsidRPr="003A1A5E" w:rsidRDefault="00995656" w:rsidP="004E221C">
      <w:pPr>
        <w:ind w:firstLine="720"/>
        <w:jc w:val="both"/>
        <w:rPr>
          <w:rFonts w:asciiTheme="majorHAnsi" w:hAnsiTheme="majorHAnsi" w:cstheme="majorHAnsi"/>
          <w:b/>
          <w:u w:val="single"/>
          <w:lang w:val="es-ES"/>
        </w:rPr>
      </w:pPr>
      <w:r w:rsidRPr="003A1A5E">
        <w:rPr>
          <w:rFonts w:asciiTheme="majorHAnsi" w:hAnsiTheme="majorHAnsi" w:cstheme="majorHAnsi"/>
          <w:b/>
          <w:u w:val="single"/>
          <w:lang w:val="es-ES"/>
        </w:rPr>
        <w:t>Concepto/definición de crisis</w:t>
      </w:r>
    </w:p>
    <w:p w14:paraId="3F763F7F" w14:textId="5294D7CD" w:rsidR="00DF3F15" w:rsidRPr="0025381D" w:rsidRDefault="00345893" w:rsidP="004E221C">
      <w:pPr>
        <w:spacing w:after="0" w:line="240" w:lineRule="auto"/>
        <w:ind w:left="720"/>
        <w:jc w:val="both"/>
        <w:rPr>
          <w:rFonts w:asciiTheme="majorHAnsi" w:hAnsiTheme="majorHAnsi" w:cstheme="majorHAnsi"/>
          <w:lang w:val="es-ES"/>
        </w:rPr>
      </w:pPr>
      <w:r w:rsidRPr="0025381D">
        <w:rPr>
          <w:rFonts w:asciiTheme="majorHAnsi" w:hAnsiTheme="majorHAnsi" w:cstheme="majorHAnsi"/>
          <w:lang w:val="es-ES"/>
        </w:rPr>
        <w:t>En Nicaragua el marc</w:t>
      </w:r>
      <w:r w:rsidR="00FE5239" w:rsidRPr="0025381D">
        <w:rPr>
          <w:rFonts w:asciiTheme="majorHAnsi" w:hAnsiTheme="majorHAnsi" w:cstheme="majorHAnsi"/>
          <w:lang w:val="es-ES"/>
        </w:rPr>
        <w:t xml:space="preserve">o legal  orientado a gestionar </w:t>
      </w:r>
      <w:r w:rsidRPr="0025381D">
        <w:rPr>
          <w:rFonts w:asciiTheme="majorHAnsi" w:hAnsiTheme="majorHAnsi" w:cstheme="majorHAnsi"/>
          <w:lang w:val="es-ES"/>
        </w:rPr>
        <w:t>situaciones de cr</w:t>
      </w:r>
      <w:r w:rsidR="00FE5239" w:rsidRPr="0025381D">
        <w:rPr>
          <w:rFonts w:asciiTheme="majorHAnsi" w:hAnsiTheme="majorHAnsi" w:cstheme="majorHAnsi"/>
          <w:lang w:val="es-ES"/>
        </w:rPr>
        <w:t xml:space="preserve">isis </w:t>
      </w:r>
      <w:r w:rsidRPr="0025381D">
        <w:rPr>
          <w:rFonts w:asciiTheme="majorHAnsi" w:hAnsiTheme="majorHAnsi" w:cstheme="majorHAnsi"/>
          <w:lang w:val="es-ES"/>
        </w:rPr>
        <w:t>es bastan</w:t>
      </w:r>
      <w:r w:rsidR="00FE5239" w:rsidRPr="0025381D">
        <w:rPr>
          <w:rFonts w:asciiTheme="majorHAnsi" w:hAnsiTheme="majorHAnsi" w:cstheme="majorHAnsi"/>
          <w:lang w:val="es-ES"/>
        </w:rPr>
        <w:t>te reducida a</w:t>
      </w:r>
      <w:r w:rsidRPr="0025381D">
        <w:rPr>
          <w:rFonts w:asciiTheme="majorHAnsi" w:hAnsiTheme="majorHAnsi" w:cstheme="majorHAnsi"/>
          <w:lang w:val="es-ES"/>
        </w:rPr>
        <w:t xml:space="preserve"> pesar de que es un país marcado por situaciones de crisis: ambientales, políticas, armada, desplazamiento forzado  de Pueblos Indígenas, enfrentamiento por colonos y pandemias).</w:t>
      </w:r>
      <w:r w:rsidR="00FE5239" w:rsidRPr="0025381D">
        <w:rPr>
          <w:rFonts w:asciiTheme="majorHAnsi" w:hAnsiTheme="majorHAnsi" w:cstheme="majorHAnsi"/>
          <w:lang w:val="es-ES"/>
        </w:rPr>
        <w:t xml:space="preserve">  El país cuenta  con una única normativa marco  que se orienta a gestionar </w:t>
      </w:r>
      <w:r w:rsidR="00F17FB6" w:rsidRPr="0025381D">
        <w:rPr>
          <w:rFonts w:asciiTheme="majorHAnsi" w:hAnsiTheme="majorHAnsi" w:cstheme="majorHAnsi"/>
          <w:lang w:val="es-ES"/>
        </w:rPr>
        <w:t>la crisis, denominada</w:t>
      </w:r>
      <w:r w:rsidR="00FE5239" w:rsidRPr="0025381D">
        <w:rPr>
          <w:rFonts w:asciiTheme="majorHAnsi" w:hAnsiTheme="majorHAnsi" w:cstheme="majorHAnsi"/>
          <w:lang w:val="es-ES"/>
        </w:rPr>
        <w:t xml:space="preserve"> Ley </w:t>
      </w:r>
      <w:r w:rsidR="00F17FB6" w:rsidRPr="0025381D">
        <w:rPr>
          <w:rFonts w:asciiTheme="majorHAnsi" w:hAnsiTheme="majorHAnsi" w:cstheme="majorHAnsi"/>
          <w:lang w:val="es-ES"/>
        </w:rPr>
        <w:t>337</w:t>
      </w:r>
      <w:r w:rsidR="00DE2A98" w:rsidRPr="0025381D">
        <w:rPr>
          <w:rStyle w:val="Refdenotaalpie"/>
          <w:rFonts w:asciiTheme="majorHAnsi" w:hAnsiTheme="majorHAnsi" w:cstheme="majorHAnsi"/>
          <w:lang w:val="es-ES"/>
        </w:rPr>
        <w:footnoteReference w:id="2"/>
      </w:r>
      <w:r w:rsidR="00F17FB6" w:rsidRPr="0025381D">
        <w:rPr>
          <w:rFonts w:asciiTheme="majorHAnsi" w:hAnsiTheme="majorHAnsi" w:cstheme="majorHAnsi"/>
          <w:lang w:val="es-ES"/>
        </w:rPr>
        <w:t xml:space="preserve">. </w:t>
      </w:r>
      <w:r w:rsidR="00110975" w:rsidRPr="0025381D">
        <w:rPr>
          <w:rFonts w:asciiTheme="majorHAnsi" w:hAnsiTheme="majorHAnsi" w:cstheme="majorHAnsi"/>
          <w:lang w:val="es-ES"/>
        </w:rPr>
        <w:t xml:space="preserve">La </w:t>
      </w:r>
      <w:r w:rsidR="00110975" w:rsidRPr="0025381D">
        <w:rPr>
          <w:rFonts w:asciiTheme="majorHAnsi" w:hAnsiTheme="majorHAnsi" w:cstheme="majorHAnsi"/>
          <w:lang w:val="es-NI"/>
        </w:rPr>
        <w:t xml:space="preserve">Normativa establece los principios, normas, disposiciones e instrumentos generales necesarios para crear y permitir el funcionamiento de un sistema interinstitucional orientado a la reducción del riesgo por medio de las actividades de prevención, mitigación y atención de desastres, sean estos </w:t>
      </w:r>
      <w:r w:rsidR="00110975" w:rsidRPr="0025381D">
        <w:rPr>
          <w:rFonts w:asciiTheme="majorHAnsi" w:hAnsiTheme="majorHAnsi" w:cstheme="majorHAnsi"/>
          <w:lang w:val="es-ES"/>
        </w:rPr>
        <w:t>naturales o provocados.</w:t>
      </w:r>
      <w:r w:rsidR="00FE5239" w:rsidRPr="0025381D">
        <w:rPr>
          <w:rFonts w:asciiTheme="majorHAnsi" w:hAnsiTheme="majorHAnsi" w:cstheme="majorHAnsi"/>
          <w:lang w:val="es-ES"/>
        </w:rPr>
        <w:t xml:space="preserve"> La</w:t>
      </w:r>
      <w:r w:rsidR="00677125" w:rsidRPr="0025381D">
        <w:rPr>
          <w:rFonts w:asciiTheme="majorHAnsi" w:hAnsiTheme="majorHAnsi" w:cstheme="majorHAnsi"/>
          <w:lang w:val="es-ES"/>
        </w:rPr>
        <w:t xml:space="preserve"> Ley fue Publicada en la Gaceta No. 70 del 7 de Abril del 2000.</w:t>
      </w:r>
    </w:p>
    <w:p w14:paraId="546D46A3" w14:textId="77777777" w:rsidR="00DF3F15" w:rsidRPr="0025381D" w:rsidRDefault="00DF3F15" w:rsidP="00DF3F15">
      <w:pPr>
        <w:spacing w:after="0" w:line="240" w:lineRule="auto"/>
        <w:jc w:val="both"/>
        <w:rPr>
          <w:rFonts w:asciiTheme="majorHAnsi" w:hAnsiTheme="majorHAnsi" w:cstheme="majorHAnsi"/>
          <w:lang w:val="es-ES"/>
        </w:rPr>
      </w:pPr>
    </w:p>
    <w:p w14:paraId="3178B930" w14:textId="1FC5B568" w:rsidR="00DF3F15" w:rsidRPr="0025381D" w:rsidRDefault="00F02F28" w:rsidP="004E221C">
      <w:pPr>
        <w:spacing w:after="0" w:line="240" w:lineRule="auto"/>
        <w:ind w:left="720"/>
        <w:jc w:val="both"/>
        <w:rPr>
          <w:rFonts w:asciiTheme="majorHAnsi" w:hAnsiTheme="majorHAnsi" w:cstheme="majorHAnsi"/>
          <w:lang w:val="es-NI"/>
        </w:rPr>
      </w:pPr>
      <w:r w:rsidRPr="0025381D">
        <w:rPr>
          <w:rFonts w:asciiTheme="majorHAnsi" w:hAnsiTheme="majorHAnsi" w:cstheme="majorHAnsi"/>
          <w:lang w:val="es-NI"/>
        </w:rPr>
        <w:t xml:space="preserve">Sobre las Regiones Autónomas de la Costa Caribe de Nicaragua la Ley Aborda en su </w:t>
      </w:r>
      <w:r w:rsidR="00DF3F15" w:rsidRPr="0025381D">
        <w:rPr>
          <w:rFonts w:asciiTheme="majorHAnsi" w:hAnsiTheme="majorHAnsi" w:cstheme="majorHAnsi"/>
          <w:lang w:val="es-NI"/>
        </w:rPr>
        <w:t>artículo</w:t>
      </w:r>
      <w:r w:rsidRPr="0025381D">
        <w:rPr>
          <w:rFonts w:asciiTheme="majorHAnsi" w:hAnsiTheme="majorHAnsi" w:cstheme="majorHAnsi"/>
          <w:lang w:val="es-NI"/>
        </w:rPr>
        <w:t xml:space="preserve"> 19</w:t>
      </w:r>
      <w:r w:rsidR="00DF3F15" w:rsidRPr="0025381D">
        <w:rPr>
          <w:rFonts w:asciiTheme="majorHAnsi" w:hAnsiTheme="majorHAnsi" w:cstheme="majorHAnsi"/>
          <w:lang w:val="es-NI"/>
        </w:rPr>
        <w:fldChar w:fldCharType="begin"/>
      </w:r>
      <w:r w:rsidR="00DF3F15" w:rsidRPr="0025381D">
        <w:rPr>
          <w:rFonts w:asciiTheme="majorHAnsi" w:hAnsiTheme="majorHAnsi" w:cstheme="majorHAnsi"/>
          <w:lang w:val="es-NI"/>
        </w:rPr>
        <w:instrText xml:space="preserve"> REF _Ref49502361 \r \h </w:instrText>
      </w:r>
      <w:r w:rsidR="00D9511B" w:rsidRPr="0025381D">
        <w:rPr>
          <w:rFonts w:asciiTheme="majorHAnsi" w:hAnsiTheme="majorHAnsi" w:cstheme="majorHAnsi"/>
          <w:lang w:val="es-NI"/>
        </w:rPr>
        <w:instrText xml:space="preserve"> \* MERGEFORMAT </w:instrText>
      </w:r>
      <w:r w:rsidR="00DF3F15" w:rsidRPr="0025381D">
        <w:rPr>
          <w:rFonts w:asciiTheme="majorHAnsi" w:hAnsiTheme="majorHAnsi" w:cstheme="majorHAnsi"/>
          <w:lang w:val="es-NI"/>
        </w:rPr>
      </w:r>
      <w:r w:rsidR="00DF3F15" w:rsidRPr="0025381D">
        <w:rPr>
          <w:rFonts w:asciiTheme="majorHAnsi" w:hAnsiTheme="majorHAnsi" w:cstheme="majorHAnsi"/>
          <w:lang w:val="es-NI"/>
        </w:rPr>
        <w:fldChar w:fldCharType="separate"/>
      </w:r>
      <w:r w:rsidR="00DF3F15" w:rsidRPr="0025381D">
        <w:rPr>
          <w:rFonts w:asciiTheme="majorHAnsi" w:hAnsiTheme="majorHAnsi" w:cstheme="majorHAnsi"/>
          <w:lang w:val="es-NI"/>
        </w:rPr>
        <w:t>1</w:t>
      </w:r>
      <w:r w:rsidR="00DF3F15" w:rsidRPr="0025381D">
        <w:rPr>
          <w:rFonts w:asciiTheme="majorHAnsi" w:hAnsiTheme="majorHAnsi" w:cstheme="majorHAnsi"/>
          <w:lang w:val="es-NI"/>
        </w:rPr>
        <w:fldChar w:fldCharType="end"/>
      </w:r>
      <w:r w:rsidRPr="0025381D">
        <w:rPr>
          <w:rFonts w:asciiTheme="majorHAnsi" w:hAnsiTheme="majorHAnsi" w:cstheme="majorHAnsi"/>
          <w:lang w:val="es-NI"/>
        </w:rPr>
        <w:t xml:space="preserve"> las acciones de los gobiernos en las Regiones </w:t>
      </w:r>
      <w:r w:rsidR="00DF3F15" w:rsidRPr="0025381D">
        <w:rPr>
          <w:rFonts w:asciiTheme="majorHAnsi" w:hAnsiTheme="majorHAnsi" w:cstheme="majorHAnsi"/>
          <w:lang w:val="es-NI"/>
        </w:rPr>
        <w:t xml:space="preserve">Autónomas, planteando que </w:t>
      </w:r>
      <w:r w:rsidR="00DF3F15" w:rsidRPr="0025381D">
        <w:rPr>
          <w:rFonts w:asciiTheme="majorHAnsi" w:eastAsia="Times New Roman" w:hAnsiTheme="majorHAnsi" w:cstheme="majorHAnsi"/>
          <w:lang w:val="es-NI" w:eastAsia="es-NI"/>
        </w:rPr>
        <w:t>en las Regiones Autónomas Norte y Sur de la Costa Atlántica, RAAN y RAAS, en lo que respecta a las actuaciones y la aplicación de la presente Ley y su Reglamento, el cumplimiento de los fines, principios y objetivos establecidos en ésta, los respectivos despachos de los Gobiernos Regionales, actuarán de conformidad a lo dispuesto para los Comités Departamentales.</w:t>
      </w:r>
    </w:p>
    <w:p w14:paraId="61427D9B" w14:textId="59F66469" w:rsidR="00F02F28" w:rsidRPr="0025381D" w:rsidRDefault="00F02F28" w:rsidP="00345893">
      <w:pPr>
        <w:spacing w:after="0" w:line="240" w:lineRule="auto"/>
        <w:jc w:val="both"/>
        <w:rPr>
          <w:rFonts w:asciiTheme="majorHAnsi" w:hAnsiTheme="majorHAnsi" w:cstheme="majorHAnsi"/>
          <w:lang w:val="es-NI"/>
        </w:rPr>
      </w:pPr>
    </w:p>
    <w:p w14:paraId="4ED98CCF" w14:textId="24AA8473" w:rsidR="00F02F28" w:rsidRPr="0025381D" w:rsidRDefault="004E221C" w:rsidP="004E221C">
      <w:pPr>
        <w:spacing w:after="0" w:line="240" w:lineRule="auto"/>
        <w:ind w:left="720"/>
        <w:jc w:val="both"/>
        <w:rPr>
          <w:rFonts w:asciiTheme="majorHAnsi" w:hAnsiTheme="majorHAnsi" w:cstheme="majorHAnsi"/>
          <w:lang w:val="es-NI"/>
        </w:rPr>
      </w:pPr>
      <w:r w:rsidRPr="0025381D">
        <w:rPr>
          <w:rFonts w:asciiTheme="majorHAnsi" w:hAnsiTheme="majorHAnsi" w:cstheme="majorHAnsi"/>
          <w:lang w:val="es-NI"/>
        </w:rPr>
        <w:t>E</w:t>
      </w:r>
      <w:r w:rsidR="00DF3F15" w:rsidRPr="0025381D">
        <w:rPr>
          <w:rFonts w:asciiTheme="majorHAnsi" w:hAnsiTheme="majorHAnsi" w:cstheme="majorHAnsi"/>
          <w:lang w:val="es-NI"/>
        </w:rPr>
        <w:t xml:space="preserve">l concepto central que se maneja </w:t>
      </w:r>
      <w:r w:rsidR="00BC1E39" w:rsidRPr="0025381D">
        <w:rPr>
          <w:rFonts w:asciiTheme="majorHAnsi" w:hAnsiTheme="majorHAnsi" w:cstheme="majorHAnsi"/>
          <w:lang w:val="es-NI"/>
        </w:rPr>
        <w:t xml:space="preserve"> en la Ley </w:t>
      </w:r>
      <w:r w:rsidR="00DF3F15" w:rsidRPr="0025381D">
        <w:rPr>
          <w:rFonts w:asciiTheme="majorHAnsi" w:hAnsiTheme="majorHAnsi" w:cstheme="majorHAnsi"/>
          <w:lang w:val="es-NI"/>
        </w:rPr>
        <w:t xml:space="preserve">es desastres y enfoca todos los procesos organizativos para abordar situaciones </w:t>
      </w:r>
      <w:r w:rsidR="00BC1E39" w:rsidRPr="0025381D">
        <w:rPr>
          <w:rFonts w:asciiTheme="majorHAnsi" w:hAnsiTheme="majorHAnsi" w:cstheme="majorHAnsi"/>
          <w:lang w:val="es-NI"/>
        </w:rPr>
        <w:t xml:space="preserve"> de crisis </w:t>
      </w:r>
      <w:r w:rsidR="003E088D" w:rsidRPr="0025381D">
        <w:rPr>
          <w:rFonts w:asciiTheme="majorHAnsi" w:hAnsiTheme="majorHAnsi" w:cstheme="majorHAnsi"/>
          <w:lang w:val="es-NI"/>
        </w:rPr>
        <w:t xml:space="preserve">desde un enfoque más amplios, sin rescatar la atención que se le debería dar a grupos vulnerables como mujeres, niños, </w:t>
      </w:r>
      <w:r w:rsidR="00D9511B" w:rsidRPr="0025381D">
        <w:rPr>
          <w:rFonts w:asciiTheme="majorHAnsi" w:hAnsiTheme="majorHAnsi" w:cstheme="majorHAnsi"/>
          <w:lang w:val="es-NI"/>
        </w:rPr>
        <w:t>adolescentes</w:t>
      </w:r>
      <w:r w:rsidR="003E088D" w:rsidRPr="0025381D">
        <w:rPr>
          <w:rFonts w:asciiTheme="majorHAnsi" w:hAnsiTheme="majorHAnsi" w:cstheme="majorHAnsi"/>
          <w:lang w:val="es-NI"/>
        </w:rPr>
        <w:t xml:space="preserve"> y /o Pueblos Indígenas</w:t>
      </w:r>
      <w:r w:rsidR="00DF3F15" w:rsidRPr="0025381D">
        <w:rPr>
          <w:rFonts w:asciiTheme="majorHAnsi" w:hAnsiTheme="majorHAnsi" w:cstheme="majorHAnsi"/>
          <w:lang w:val="es-NI"/>
        </w:rPr>
        <w:t>. En este sentido la norma reduce sus capacidad para abordar las cris</w:t>
      </w:r>
      <w:r w:rsidR="00FE5239" w:rsidRPr="0025381D">
        <w:rPr>
          <w:rFonts w:asciiTheme="majorHAnsi" w:hAnsiTheme="majorHAnsi" w:cstheme="majorHAnsi"/>
          <w:lang w:val="es-NI"/>
        </w:rPr>
        <w:t>is  desde diferentes enfoques y</w:t>
      </w:r>
      <w:r w:rsidR="00DF3F15" w:rsidRPr="0025381D">
        <w:rPr>
          <w:rFonts w:asciiTheme="majorHAnsi" w:hAnsiTheme="majorHAnsi" w:cstheme="majorHAnsi"/>
          <w:lang w:val="es-NI"/>
        </w:rPr>
        <w:t xml:space="preserve"> contextos (hambrunas</w:t>
      </w:r>
      <w:r w:rsidR="00FE5239" w:rsidRPr="0025381D">
        <w:rPr>
          <w:rFonts w:asciiTheme="majorHAnsi" w:hAnsiTheme="majorHAnsi" w:cstheme="majorHAnsi"/>
          <w:lang w:val="es-NI"/>
        </w:rPr>
        <w:t xml:space="preserve">, pandemias, </w:t>
      </w:r>
      <w:r w:rsidR="00DF3F15" w:rsidRPr="0025381D">
        <w:rPr>
          <w:rFonts w:asciiTheme="majorHAnsi" w:hAnsiTheme="majorHAnsi" w:cstheme="majorHAnsi"/>
          <w:lang w:val="es-NI"/>
        </w:rPr>
        <w:t>crisis políticas, sociales y culturales; la crisis de desplazamiento; crisis que tienen  orígenes en el patriarcado.</w:t>
      </w:r>
      <w:r w:rsidR="00FE5239" w:rsidRPr="0025381D">
        <w:rPr>
          <w:rFonts w:asciiTheme="majorHAnsi" w:hAnsiTheme="majorHAnsi" w:cstheme="majorHAnsi"/>
          <w:lang w:val="es-NI"/>
        </w:rPr>
        <w:t xml:space="preserve"> Dentro de la normativa, no</w:t>
      </w:r>
      <w:r w:rsidR="00DF3F15" w:rsidRPr="0025381D">
        <w:rPr>
          <w:rFonts w:asciiTheme="majorHAnsi" w:hAnsiTheme="majorHAnsi" w:cstheme="majorHAnsi"/>
          <w:lang w:val="es-NI"/>
        </w:rPr>
        <w:t xml:space="preserve"> incluye la definición de crisis, incluso no queda claro como abordan el concepto de desastres. Solo especifica que se refieren a desastres naturales o provocados por los hombres.</w:t>
      </w:r>
    </w:p>
    <w:p w14:paraId="1E30EDC1" w14:textId="7E5F2F4A" w:rsidR="00DF3F15" w:rsidRPr="0025381D" w:rsidRDefault="005A40E6" w:rsidP="00345893">
      <w:pPr>
        <w:spacing w:after="0" w:line="240" w:lineRule="auto"/>
        <w:jc w:val="both"/>
        <w:rPr>
          <w:rFonts w:asciiTheme="majorHAnsi" w:hAnsiTheme="majorHAnsi" w:cstheme="majorHAnsi"/>
          <w:lang w:val="es-ES_tradnl"/>
        </w:rPr>
      </w:pPr>
      <w:r w:rsidRPr="0025381D">
        <w:rPr>
          <w:rFonts w:asciiTheme="majorHAnsi" w:hAnsiTheme="majorHAnsi" w:cstheme="majorHAnsi"/>
          <w:lang w:val="es-ES_tradnl"/>
        </w:rPr>
        <w:t xml:space="preserve"> </w:t>
      </w:r>
    </w:p>
    <w:p w14:paraId="013266E3" w14:textId="6B1F18D9" w:rsidR="00DF3F15" w:rsidRPr="0025381D" w:rsidRDefault="005A40E6" w:rsidP="004E221C">
      <w:pPr>
        <w:spacing w:after="0" w:line="240" w:lineRule="auto"/>
        <w:ind w:left="720"/>
        <w:jc w:val="both"/>
        <w:rPr>
          <w:rFonts w:asciiTheme="majorHAnsi" w:hAnsiTheme="majorHAnsi" w:cstheme="majorHAnsi"/>
          <w:lang w:val="es-ES_tradnl"/>
        </w:rPr>
      </w:pPr>
      <w:r w:rsidRPr="0025381D">
        <w:rPr>
          <w:rFonts w:asciiTheme="majorHAnsi" w:hAnsiTheme="majorHAnsi" w:cstheme="majorHAnsi"/>
          <w:lang w:val="es-ES_tradnl"/>
        </w:rPr>
        <w:t xml:space="preserve">El Estado de Nicaragua a través de la presidencia tiene la facultad de dictar decretos  frente a situaciones de crisis. </w:t>
      </w:r>
      <w:r w:rsidR="00677125" w:rsidRPr="0025381D">
        <w:rPr>
          <w:rFonts w:asciiTheme="majorHAnsi" w:hAnsiTheme="majorHAnsi" w:cstheme="majorHAnsi"/>
          <w:lang w:val="es-ES_tradnl"/>
        </w:rPr>
        <w:t>Tras el estallido s</w:t>
      </w:r>
      <w:r w:rsidR="00FE5239" w:rsidRPr="0025381D">
        <w:rPr>
          <w:rFonts w:asciiTheme="majorHAnsi" w:hAnsiTheme="majorHAnsi" w:cstheme="majorHAnsi"/>
          <w:lang w:val="es-ES_tradnl"/>
        </w:rPr>
        <w:t xml:space="preserve">ocial </w:t>
      </w:r>
      <w:r w:rsidR="00677125" w:rsidRPr="0025381D">
        <w:rPr>
          <w:rFonts w:asciiTheme="majorHAnsi" w:hAnsiTheme="majorHAnsi" w:cstheme="majorHAnsi"/>
          <w:lang w:val="es-ES_tradnl"/>
        </w:rPr>
        <w:t>suscitado el 19 de abril del 2020</w:t>
      </w:r>
      <w:r w:rsidR="003E088D" w:rsidRPr="0025381D">
        <w:rPr>
          <w:rStyle w:val="Refdenotaalpie"/>
          <w:rFonts w:asciiTheme="majorHAnsi" w:hAnsiTheme="majorHAnsi" w:cstheme="majorHAnsi"/>
          <w:lang w:val="es-ES_tradnl"/>
        </w:rPr>
        <w:footnoteReference w:id="3"/>
      </w:r>
      <w:r w:rsidR="00677125" w:rsidRPr="0025381D">
        <w:rPr>
          <w:rFonts w:asciiTheme="majorHAnsi" w:hAnsiTheme="majorHAnsi" w:cstheme="majorHAnsi"/>
          <w:lang w:val="es-ES_tradnl"/>
        </w:rPr>
        <w:t xml:space="preserve">, el gobierno de Nicaragua a través de la Asamblea Nacional formulo la Ley del Perdón, orientada a  </w:t>
      </w:r>
      <w:r w:rsidR="00677125" w:rsidRPr="0025381D">
        <w:rPr>
          <w:rFonts w:asciiTheme="majorHAnsi" w:hAnsiTheme="majorHAnsi" w:cstheme="majorHAnsi"/>
          <w:shd w:val="clear" w:color="auto" w:fill="FFFFFF"/>
          <w:lang w:val="es-ES_tradnl"/>
        </w:rPr>
        <w:t> beneficiar a las víctimas -y sus familiares- que se vieron afectadas en el marco de las violentas manifestaciones desatadas en el país en abril del 2018.Sin embargo un gran sector del país</w:t>
      </w:r>
      <w:r w:rsidR="00FE5239" w:rsidRPr="0025381D">
        <w:rPr>
          <w:rFonts w:asciiTheme="majorHAnsi" w:hAnsiTheme="majorHAnsi" w:cstheme="majorHAnsi"/>
          <w:shd w:val="clear" w:color="auto" w:fill="FFFFFF"/>
          <w:lang w:val="es-ES_tradnl"/>
        </w:rPr>
        <w:t xml:space="preserve"> valora que la Ley </w:t>
      </w:r>
      <w:r w:rsidR="00677125" w:rsidRPr="0025381D">
        <w:rPr>
          <w:rFonts w:asciiTheme="majorHAnsi" w:hAnsiTheme="majorHAnsi" w:cstheme="majorHAnsi"/>
          <w:shd w:val="clear" w:color="auto" w:fill="FFFFFF"/>
          <w:lang w:val="es-ES_tradnl"/>
        </w:rPr>
        <w:t>no fue explícita al otorgar una presunta amnistía a los responsables de los asesinatos y actos violentos cometidos durante las diferentes protestas ocurridas en el país centroamericano.</w:t>
      </w:r>
    </w:p>
    <w:p w14:paraId="05A1B742" w14:textId="77777777" w:rsidR="00DF3F15" w:rsidRPr="0025381D" w:rsidRDefault="00DF3F15" w:rsidP="00345893">
      <w:pPr>
        <w:spacing w:after="0" w:line="240" w:lineRule="auto"/>
        <w:jc w:val="both"/>
        <w:rPr>
          <w:rFonts w:asciiTheme="majorHAnsi" w:hAnsiTheme="majorHAnsi" w:cstheme="majorHAnsi"/>
          <w:lang w:val="es-ES_tradnl"/>
        </w:rPr>
      </w:pPr>
    </w:p>
    <w:p w14:paraId="616BDB0E" w14:textId="4FB7F48F" w:rsidR="00F02F28" w:rsidRPr="0025381D" w:rsidRDefault="00F17FB6" w:rsidP="004E221C">
      <w:pPr>
        <w:spacing w:after="0" w:line="240" w:lineRule="auto"/>
        <w:ind w:left="720"/>
        <w:jc w:val="both"/>
        <w:rPr>
          <w:rFonts w:asciiTheme="majorHAnsi" w:hAnsiTheme="majorHAnsi" w:cstheme="majorHAnsi"/>
          <w:lang w:val="es-NI"/>
        </w:rPr>
      </w:pPr>
      <w:r w:rsidRPr="0025381D">
        <w:rPr>
          <w:rFonts w:asciiTheme="majorHAnsi" w:hAnsiTheme="majorHAnsi" w:cstheme="majorHAnsi"/>
          <w:lang w:val="es-NI"/>
        </w:rPr>
        <w:t xml:space="preserve">A raíz de crisis de salud producida por   la Pandemia de la covid </w:t>
      </w:r>
      <w:r w:rsidR="0025381D" w:rsidRPr="0025381D">
        <w:rPr>
          <w:rFonts w:asciiTheme="majorHAnsi" w:hAnsiTheme="majorHAnsi" w:cstheme="majorHAnsi"/>
          <w:lang w:val="es-NI"/>
        </w:rPr>
        <w:t>19 varios sectores sociales de Nicaragua solicitaron al</w:t>
      </w:r>
      <w:r w:rsidRPr="0025381D">
        <w:rPr>
          <w:rFonts w:asciiTheme="majorHAnsi" w:hAnsiTheme="majorHAnsi" w:cstheme="majorHAnsi"/>
          <w:lang w:val="es-NI"/>
        </w:rPr>
        <w:t xml:space="preserve"> gobierno, establecer un decreto ante la emergencia, sin </w:t>
      </w:r>
      <w:r w:rsidR="0025381D" w:rsidRPr="0025381D">
        <w:rPr>
          <w:rFonts w:asciiTheme="majorHAnsi" w:hAnsiTheme="majorHAnsi" w:cstheme="majorHAnsi"/>
          <w:lang w:val="es-NI"/>
        </w:rPr>
        <w:t>embargo,</w:t>
      </w:r>
      <w:r w:rsidRPr="0025381D">
        <w:rPr>
          <w:rFonts w:asciiTheme="majorHAnsi" w:hAnsiTheme="majorHAnsi" w:cstheme="majorHAnsi"/>
          <w:lang w:val="es-NI"/>
        </w:rPr>
        <w:t xml:space="preserve"> el gobierno hizo caso omiso a este pedido. </w:t>
      </w:r>
    </w:p>
    <w:p w14:paraId="01BF8680" w14:textId="77777777" w:rsidR="00F02F28" w:rsidRPr="0025381D" w:rsidRDefault="00F02F28" w:rsidP="00345893">
      <w:pPr>
        <w:spacing w:after="0" w:line="240" w:lineRule="auto"/>
        <w:jc w:val="both"/>
        <w:rPr>
          <w:rFonts w:asciiTheme="majorHAnsi" w:hAnsiTheme="majorHAnsi" w:cstheme="majorHAnsi"/>
          <w:lang w:val="es-NI"/>
        </w:rPr>
      </w:pPr>
    </w:p>
    <w:p w14:paraId="4CA035BB" w14:textId="77777777" w:rsidR="00D9511B" w:rsidRPr="0025381D" w:rsidRDefault="00D9511B" w:rsidP="003D4C73">
      <w:pPr>
        <w:jc w:val="both"/>
        <w:rPr>
          <w:rFonts w:asciiTheme="majorHAnsi" w:hAnsiTheme="majorHAnsi" w:cstheme="majorHAnsi"/>
          <w:b/>
          <w:lang w:val="es-ES"/>
        </w:rPr>
      </w:pPr>
      <w:bookmarkStart w:id="1" w:name="_GoBack"/>
      <w:bookmarkEnd w:id="1"/>
    </w:p>
    <w:p w14:paraId="33D8F54F" w14:textId="3F57D47C" w:rsidR="00E82C1F" w:rsidRPr="0025381D" w:rsidRDefault="00E82C1F" w:rsidP="008575DB">
      <w:pPr>
        <w:ind w:firstLine="360"/>
        <w:jc w:val="both"/>
        <w:rPr>
          <w:rFonts w:asciiTheme="majorHAnsi" w:hAnsiTheme="majorHAnsi" w:cstheme="majorHAnsi"/>
          <w:b/>
          <w:u w:val="single"/>
          <w:lang w:val="es-ES"/>
        </w:rPr>
      </w:pPr>
      <w:r w:rsidRPr="0025381D">
        <w:rPr>
          <w:rFonts w:asciiTheme="majorHAnsi" w:hAnsiTheme="majorHAnsi" w:cstheme="majorHAnsi"/>
          <w:b/>
          <w:u w:val="single"/>
          <w:lang w:val="es-ES"/>
        </w:rPr>
        <w:t xml:space="preserve">Desafíos y buenas </w:t>
      </w:r>
      <w:r w:rsidR="00FB504A" w:rsidRPr="0025381D">
        <w:rPr>
          <w:rFonts w:asciiTheme="majorHAnsi" w:hAnsiTheme="majorHAnsi" w:cstheme="majorHAnsi"/>
          <w:b/>
          <w:u w:val="single"/>
          <w:lang w:val="es-ES"/>
        </w:rPr>
        <w:t>prácticas</w:t>
      </w:r>
    </w:p>
    <w:p w14:paraId="6D404F8F" w14:textId="77777777" w:rsidR="00D60D2F" w:rsidRPr="0025381D" w:rsidRDefault="00D60D2F" w:rsidP="00450A8C">
      <w:pPr>
        <w:spacing w:after="0" w:line="240" w:lineRule="auto"/>
        <w:ind w:left="360"/>
        <w:jc w:val="both"/>
        <w:rPr>
          <w:rFonts w:asciiTheme="majorHAnsi" w:hAnsiTheme="majorHAnsi" w:cstheme="majorHAnsi"/>
          <w:lang w:val="es-ES_tradnl"/>
        </w:rPr>
      </w:pPr>
    </w:p>
    <w:p w14:paraId="0FEB6853" w14:textId="77777777" w:rsidR="00450A8C" w:rsidRPr="0025381D" w:rsidRDefault="00D22EFC" w:rsidP="00450A8C">
      <w:pPr>
        <w:spacing w:after="0" w:line="240" w:lineRule="auto"/>
        <w:ind w:left="360"/>
        <w:jc w:val="both"/>
        <w:rPr>
          <w:rFonts w:asciiTheme="majorHAnsi" w:hAnsiTheme="majorHAnsi" w:cstheme="majorHAnsi"/>
          <w:lang w:val="es-ES_tradnl"/>
        </w:rPr>
      </w:pPr>
      <w:r w:rsidRPr="0025381D">
        <w:rPr>
          <w:rFonts w:asciiTheme="majorHAnsi" w:hAnsiTheme="majorHAnsi" w:cstheme="majorHAnsi"/>
          <w:lang w:val="es-ES_tradnl"/>
        </w:rPr>
        <w:t>El Estado de Nicaragua</w:t>
      </w:r>
      <w:r w:rsidR="00CD797A" w:rsidRPr="0025381D">
        <w:rPr>
          <w:rFonts w:asciiTheme="majorHAnsi" w:hAnsiTheme="majorHAnsi" w:cstheme="majorHAnsi"/>
          <w:lang w:val="es-ES_tradnl"/>
        </w:rPr>
        <w:t xml:space="preserve"> </w:t>
      </w:r>
      <w:r w:rsidRPr="0025381D">
        <w:rPr>
          <w:rFonts w:asciiTheme="majorHAnsi" w:hAnsiTheme="majorHAnsi" w:cstheme="majorHAnsi"/>
          <w:lang w:val="es-ES_tradnl"/>
        </w:rPr>
        <w:t xml:space="preserve"> implementa estrategias   y modelos  que pretenden prestar servicios de salud sexual y reproductiva. Al respecto</w:t>
      </w:r>
      <w:r w:rsidR="00FD521F" w:rsidRPr="0025381D">
        <w:rPr>
          <w:rFonts w:asciiTheme="majorHAnsi" w:hAnsiTheme="majorHAnsi" w:cstheme="majorHAnsi"/>
          <w:lang w:val="es-ES_tradnl"/>
        </w:rPr>
        <w:t>, afirma que</w:t>
      </w:r>
      <w:r w:rsidRPr="0025381D">
        <w:rPr>
          <w:rFonts w:asciiTheme="majorHAnsi" w:hAnsiTheme="majorHAnsi" w:cstheme="majorHAnsi"/>
          <w:lang w:val="es-ES_tradnl"/>
        </w:rPr>
        <w:t xml:space="preserve"> e</w:t>
      </w:r>
      <w:r w:rsidR="004E221C" w:rsidRPr="0025381D">
        <w:rPr>
          <w:rFonts w:asciiTheme="majorHAnsi" w:hAnsiTheme="majorHAnsi" w:cstheme="majorHAnsi"/>
          <w:lang w:val="es-ES_tradnl"/>
        </w:rPr>
        <w:t>l Modelo de Salud Fam</w:t>
      </w:r>
      <w:r w:rsidRPr="0025381D">
        <w:rPr>
          <w:rFonts w:asciiTheme="majorHAnsi" w:hAnsiTheme="majorHAnsi" w:cstheme="majorHAnsi"/>
          <w:lang w:val="es-ES_tradnl"/>
        </w:rPr>
        <w:t xml:space="preserve">iliar y Comunitario (MOSAFC) ha </w:t>
      </w:r>
      <w:r w:rsidR="004E221C" w:rsidRPr="0025381D">
        <w:rPr>
          <w:rFonts w:asciiTheme="majorHAnsi" w:hAnsiTheme="majorHAnsi" w:cstheme="majorHAnsi"/>
          <w:lang w:val="es-ES_tradnl"/>
        </w:rPr>
        <w:t xml:space="preserve">desempeñado un papel fundamental en la mejora de los indicadores nacionales de salud sexual y reproductiva. </w:t>
      </w:r>
    </w:p>
    <w:p w14:paraId="105AA514" w14:textId="77777777" w:rsidR="00450A8C" w:rsidRPr="0025381D" w:rsidRDefault="00450A8C" w:rsidP="00450A8C">
      <w:pPr>
        <w:spacing w:after="0" w:line="240" w:lineRule="auto"/>
        <w:ind w:left="360"/>
        <w:jc w:val="both"/>
        <w:rPr>
          <w:rFonts w:asciiTheme="majorHAnsi" w:hAnsiTheme="majorHAnsi" w:cstheme="majorHAnsi"/>
          <w:lang w:val="es-ES_tradnl"/>
        </w:rPr>
      </w:pPr>
    </w:p>
    <w:p w14:paraId="5B47712D" w14:textId="550DE017" w:rsidR="008575DB" w:rsidRPr="0025381D" w:rsidRDefault="0082759C" w:rsidP="00450A8C">
      <w:pPr>
        <w:spacing w:after="0" w:line="240" w:lineRule="auto"/>
        <w:ind w:left="360"/>
        <w:jc w:val="both"/>
        <w:rPr>
          <w:rFonts w:asciiTheme="majorHAnsi" w:hAnsiTheme="majorHAnsi" w:cstheme="majorHAnsi"/>
          <w:lang w:val="es-ES_tradnl"/>
        </w:rPr>
      </w:pPr>
      <w:r w:rsidRPr="0025381D">
        <w:rPr>
          <w:rFonts w:asciiTheme="majorHAnsi" w:hAnsiTheme="majorHAnsi" w:cstheme="majorHAnsi"/>
          <w:lang w:val="es-ES_tradnl"/>
        </w:rPr>
        <w:t>Según</w:t>
      </w:r>
      <w:r w:rsidR="00FD521F" w:rsidRPr="0025381D">
        <w:rPr>
          <w:rFonts w:asciiTheme="majorHAnsi" w:hAnsiTheme="majorHAnsi" w:cstheme="majorHAnsi"/>
          <w:lang w:val="es-ES_tradnl"/>
        </w:rPr>
        <w:t xml:space="preserve"> el gobierno al  establecer como estrategia dentro del programa Modelo de Salud Familiar y Comunitario (MOSAFC) </w:t>
      </w:r>
      <w:r w:rsidR="00CD797A" w:rsidRPr="0025381D">
        <w:rPr>
          <w:rFonts w:asciiTheme="majorHAnsi" w:hAnsiTheme="majorHAnsi" w:cstheme="majorHAnsi"/>
          <w:lang w:val="es-ES_tradnl"/>
        </w:rPr>
        <w:t xml:space="preserve"> de </w:t>
      </w:r>
      <w:r w:rsidR="00D22EFC" w:rsidRPr="0025381D">
        <w:rPr>
          <w:rFonts w:asciiTheme="majorHAnsi" w:hAnsiTheme="majorHAnsi" w:cstheme="majorHAnsi"/>
          <w:lang w:val="es-ES_tradnl"/>
        </w:rPr>
        <w:t>aumentar el número de casas maternas, han ayudado a ampliar la cobertura de partos atendidos por personal sanitario calificado y de la atención prenatal y reducir la necesidad insatisfecha de planificación familiar, además de reforzar la implementación de políticas y directrices y el</w:t>
      </w:r>
      <w:r w:rsidR="00FD521F" w:rsidRPr="0025381D">
        <w:rPr>
          <w:rFonts w:asciiTheme="majorHAnsi" w:hAnsiTheme="majorHAnsi" w:cstheme="majorHAnsi"/>
          <w:lang w:val="es-ES_tradnl"/>
        </w:rPr>
        <w:t xml:space="preserve"> </w:t>
      </w:r>
      <w:r w:rsidR="00D22EFC" w:rsidRPr="0025381D">
        <w:rPr>
          <w:rFonts w:asciiTheme="majorHAnsi" w:hAnsiTheme="majorHAnsi" w:cstheme="majorHAnsi"/>
          <w:lang w:val="es-ES_tradnl"/>
        </w:rPr>
        <w:t>desarrollo de capacidades de los recursos humanos de salud.</w:t>
      </w:r>
      <w:r w:rsidRPr="0025381D">
        <w:rPr>
          <w:rFonts w:asciiTheme="majorHAnsi" w:hAnsiTheme="majorHAnsi" w:cstheme="majorHAnsi"/>
          <w:lang w:val="es-ES_tradnl"/>
        </w:rPr>
        <w:t xml:space="preserve"> La experiencia  sobre el funcionamiento  de Casas Maternas en territorios habitados por  Pueblos Indígenas   y afro descendientes </w:t>
      </w:r>
      <w:r w:rsidR="00CD797A" w:rsidRPr="0025381D">
        <w:rPr>
          <w:rFonts w:asciiTheme="majorHAnsi" w:hAnsiTheme="majorHAnsi" w:cstheme="majorHAnsi"/>
          <w:lang w:val="es-ES_tradnl"/>
        </w:rPr>
        <w:t>no es tan exitosa;</w:t>
      </w:r>
      <w:r w:rsidRPr="0025381D">
        <w:rPr>
          <w:rFonts w:asciiTheme="majorHAnsi" w:hAnsiTheme="majorHAnsi" w:cstheme="majorHAnsi"/>
          <w:lang w:val="es-ES_tradnl"/>
        </w:rPr>
        <w:t xml:space="preserve">  esta realidad, está ligada al presupuesto</w:t>
      </w:r>
      <w:r w:rsidR="00CD797A" w:rsidRPr="0025381D">
        <w:rPr>
          <w:rFonts w:asciiTheme="majorHAnsi" w:hAnsiTheme="majorHAnsi" w:cstheme="majorHAnsi"/>
          <w:lang w:val="es-ES_tradnl"/>
        </w:rPr>
        <w:t xml:space="preserve"> reducido </w:t>
      </w:r>
      <w:r w:rsidRPr="0025381D">
        <w:rPr>
          <w:rFonts w:asciiTheme="majorHAnsi" w:hAnsiTheme="majorHAnsi" w:cstheme="majorHAnsi"/>
          <w:lang w:val="es-ES_tradnl"/>
        </w:rPr>
        <w:t xml:space="preserve"> que destina el gobierno para garantizar la funcionalidad de estas casas maternas que muchas de ellas tiene que dar mayor cobertura de atención limitando </w:t>
      </w:r>
      <w:r w:rsidR="00CD797A" w:rsidRPr="0025381D">
        <w:rPr>
          <w:rFonts w:asciiTheme="majorHAnsi" w:hAnsiTheme="majorHAnsi" w:cstheme="majorHAnsi"/>
          <w:lang w:val="es-ES_tradnl"/>
        </w:rPr>
        <w:t>así</w:t>
      </w:r>
      <w:r w:rsidRPr="0025381D">
        <w:rPr>
          <w:rFonts w:asciiTheme="majorHAnsi" w:hAnsiTheme="majorHAnsi" w:cstheme="majorHAnsi"/>
          <w:lang w:val="es-ES_tradnl"/>
        </w:rPr>
        <w:t xml:space="preserve"> la calidad  de atención del servicios prestados a mujeres embarazadas.</w:t>
      </w:r>
      <w:r w:rsidRPr="0025381D">
        <w:rPr>
          <w:rFonts w:asciiTheme="majorHAnsi" w:hAnsiTheme="majorHAnsi" w:cstheme="majorHAnsi"/>
          <w:shd w:val="clear" w:color="auto" w:fill="FFFFFF"/>
        </w:rPr>
        <w:t xml:space="preserve"> </w:t>
      </w:r>
    </w:p>
    <w:p w14:paraId="16E17F17" w14:textId="77777777" w:rsidR="008575DB" w:rsidRPr="0025381D" w:rsidRDefault="008575DB" w:rsidP="00FD521F">
      <w:pPr>
        <w:spacing w:after="0" w:line="240" w:lineRule="auto"/>
        <w:ind w:left="360" w:firstLine="45"/>
        <w:jc w:val="both"/>
        <w:rPr>
          <w:rFonts w:asciiTheme="majorHAnsi" w:hAnsiTheme="majorHAnsi" w:cstheme="majorHAnsi"/>
          <w:shd w:val="clear" w:color="auto" w:fill="FFFFFF"/>
        </w:rPr>
      </w:pPr>
    </w:p>
    <w:p w14:paraId="6FA55985" w14:textId="6626D730" w:rsidR="0082759C" w:rsidRPr="003A1A5E" w:rsidRDefault="00CD797A" w:rsidP="005165B8">
      <w:pPr>
        <w:spacing w:after="0" w:line="240" w:lineRule="auto"/>
        <w:ind w:left="360" w:firstLine="45"/>
        <w:jc w:val="both"/>
        <w:rPr>
          <w:rFonts w:asciiTheme="majorHAnsi" w:hAnsiTheme="majorHAnsi" w:cstheme="majorHAnsi"/>
          <w:lang w:val="es-ES_tradnl"/>
        </w:rPr>
      </w:pPr>
      <w:r w:rsidRPr="0025381D">
        <w:rPr>
          <w:rFonts w:asciiTheme="majorHAnsi" w:hAnsiTheme="majorHAnsi" w:cstheme="majorHAnsi"/>
          <w:shd w:val="clear" w:color="auto" w:fill="FFFFFF"/>
          <w:lang w:val="es-ES_tradnl"/>
        </w:rPr>
        <w:t xml:space="preserve"> Según el ministerio de salud, el país cuenta con 178casas maternas  que dan cobertura a 153 municipios, En la RACCN</w:t>
      </w:r>
      <w:r w:rsidR="005165B8" w:rsidRPr="0025381D">
        <w:rPr>
          <w:rFonts w:asciiTheme="majorHAnsi" w:hAnsiTheme="majorHAnsi" w:cstheme="majorHAnsi"/>
          <w:shd w:val="clear" w:color="auto" w:fill="FFFFFF"/>
          <w:lang w:val="es-ES_tradnl"/>
        </w:rPr>
        <w:t>,</w:t>
      </w:r>
      <w:r w:rsidRPr="0025381D">
        <w:rPr>
          <w:rFonts w:asciiTheme="majorHAnsi" w:hAnsiTheme="majorHAnsi" w:cstheme="majorHAnsi"/>
          <w:shd w:val="clear" w:color="auto" w:fill="FFFFFF"/>
          <w:lang w:val="es-ES_tradnl"/>
        </w:rPr>
        <w:t xml:space="preserve"> las zonas habitadas por Pueblos Indígenas que constituyen los municipios de Puerto Cabezas, Waspam y Prinzapolka solo hay dos casas maternas</w:t>
      </w:r>
      <w:r w:rsidR="005165B8" w:rsidRPr="0025381D">
        <w:rPr>
          <w:rFonts w:asciiTheme="majorHAnsi" w:hAnsiTheme="majorHAnsi" w:cstheme="majorHAnsi"/>
          <w:shd w:val="clear" w:color="auto" w:fill="FFFFFF"/>
          <w:lang w:val="es-ES_tradnl"/>
        </w:rPr>
        <w:t xml:space="preserve"> de referencia</w:t>
      </w:r>
      <w:r w:rsidRPr="0025381D">
        <w:rPr>
          <w:rFonts w:asciiTheme="majorHAnsi" w:hAnsiTheme="majorHAnsi" w:cstheme="majorHAnsi"/>
          <w:shd w:val="clear" w:color="auto" w:fill="FFFFFF"/>
          <w:lang w:val="es-ES_tradnl"/>
        </w:rPr>
        <w:t xml:space="preserve">. Esta </w:t>
      </w:r>
      <w:r w:rsidRPr="0025381D">
        <w:rPr>
          <w:rFonts w:asciiTheme="majorHAnsi" w:hAnsiTheme="majorHAnsi" w:cstheme="majorHAnsi"/>
          <w:lang w:val="es-ES_tradnl"/>
        </w:rPr>
        <w:t xml:space="preserve">realidad nos da un panorama del  acceso del servicio   a mujeres embarazadas indígenas. </w:t>
      </w:r>
      <w:r w:rsidR="005165B8" w:rsidRPr="0025381D">
        <w:rPr>
          <w:rFonts w:asciiTheme="majorHAnsi" w:hAnsiTheme="majorHAnsi" w:cstheme="majorHAnsi"/>
          <w:lang w:val="es-ES_tradnl"/>
        </w:rPr>
        <w:t xml:space="preserve"> El estudio presupuestos destinados a salud maternal, realizado en el año 2016 afirma que e</w:t>
      </w:r>
      <w:r w:rsidRPr="0025381D">
        <w:rPr>
          <w:rFonts w:asciiTheme="majorHAnsi" w:hAnsiTheme="majorHAnsi" w:cstheme="majorHAnsi"/>
          <w:lang w:val="es-ES_tradnl"/>
        </w:rPr>
        <w:t xml:space="preserve">n los últimos tres años, la inversión en proyectos de infraestructura para atención primaria en la RACCN representa el 7.88% del total del presupuesto público </w:t>
      </w:r>
      <w:r w:rsidRPr="003A1A5E">
        <w:rPr>
          <w:rFonts w:asciiTheme="majorHAnsi" w:hAnsiTheme="majorHAnsi" w:cstheme="majorHAnsi"/>
          <w:lang w:val="es-ES_tradnl"/>
        </w:rPr>
        <w:t>en este rubro, el cual se ha destinado principalmente a la construcción de casas maternas, y un 0.81% a infraestructura hospitalaria</w:t>
      </w:r>
      <w:r w:rsidR="008575DB" w:rsidRPr="003A1A5E">
        <w:rPr>
          <w:rFonts w:asciiTheme="majorHAnsi" w:hAnsiTheme="majorHAnsi" w:cstheme="majorHAnsi"/>
          <w:lang w:val="es-ES_tradnl"/>
        </w:rPr>
        <w:t>.</w:t>
      </w:r>
    </w:p>
    <w:p w14:paraId="525DFF5E" w14:textId="77777777" w:rsidR="008575DB" w:rsidRPr="003A1A5E" w:rsidRDefault="008575DB" w:rsidP="00FD521F">
      <w:pPr>
        <w:spacing w:after="0" w:line="240" w:lineRule="auto"/>
        <w:ind w:left="360" w:firstLine="45"/>
        <w:jc w:val="both"/>
        <w:rPr>
          <w:rFonts w:asciiTheme="majorHAnsi" w:hAnsiTheme="majorHAnsi" w:cstheme="majorHAnsi"/>
          <w:lang w:val="es-ES_tradnl"/>
        </w:rPr>
      </w:pPr>
    </w:p>
    <w:p w14:paraId="3D00BDB6" w14:textId="21E24D37" w:rsidR="008575DB" w:rsidRPr="003A1A5E" w:rsidRDefault="008575DB" w:rsidP="008575DB">
      <w:pPr>
        <w:spacing w:after="0" w:line="240" w:lineRule="auto"/>
        <w:ind w:left="360"/>
        <w:jc w:val="both"/>
        <w:rPr>
          <w:rFonts w:asciiTheme="majorHAnsi" w:hAnsiTheme="majorHAnsi" w:cstheme="majorHAnsi"/>
          <w:lang w:val="es-ES_tradnl"/>
        </w:rPr>
      </w:pPr>
      <w:r w:rsidRPr="003A1A5E">
        <w:rPr>
          <w:rFonts w:asciiTheme="majorHAnsi" w:hAnsiTheme="majorHAnsi" w:cstheme="majorHAnsi"/>
          <w:lang w:val="es-ES_tradnl"/>
        </w:rPr>
        <w:t>Cabe hacer referencia que Ocho de los 19 Sistemas Locales de Atención Integral en Salud (SILAIS), que representan el 42 % de la población, tienen índices de mortalidad materna más altos que el promedio nacional, y tres de ellos (RACCN, RACCS y Jinotega) duplican el promedio nacional. Los adolescentes representan una quinta parte de las muertes maternas. La necesidad no satisfecha de planificación familiar entre los adolescentes de entre 15 y 19 años alcanza el 10,8 % (Encuesta de Demografía y Salud, 2011/12). Se necesita una estrategia focalizada en aumentar el acceso y la utilización de servicios de calidad por adolescentes y jóvenes, mujeres de bajos ingresos que viven en áreas rurales, indígenas y afro descendientes para abordar los determinantes sociales asociados con los resultados adversos de salud reproductiva y la brecha de equidad.</w:t>
      </w:r>
    </w:p>
    <w:p w14:paraId="7B1A9D06" w14:textId="70D52BDD" w:rsidR="008575DB" w:rsidRPr="003A1A5E" w:rsidRDefault="008575DB" w:rsidP="00FD521F">
      <w:pPr>
        <w:spacing w:after="0" w:line="240" w:lineRule="auto"/>
        <w:ind w:left="360" w:firstLine="45"/>
        <w:jc w:val="both"/>
        <w:rPr>
          <w:rFonts w:asciiTheme="majorHAnsi" w:hAnsiTheme="majorHAnsi" w:cstheme="majorHAnsi"/>
          <w:lang w:val="es-ES_tradnl"/>
        </w:rPr>
      </w:pPr>
    </w:p>
    <w:p w14:paraId="12F6895B" w14:textId="77777777" w:rsidR="00CD797A" w:rsidRPr="003A1A5E" w:rsidRDefault="00CD797A" w:rsidP="00FD521F">
      <w:pPr>
        <w:spacing w:after="0" w:line="240" w:lineRule="auto"/>
        <w:ind w:left="360" w:firstLine="45"/>
        <w:jc w:val="both"/>
        <w:rPr>
          <w:rFonts w:asciiTheme="majorHAnsi" w:hAnsiTheme="majorHAnsi" w:cstheme="majorHAnsi"/>
          <w:lang w:val="es-ES_tradnl"/>
        </w:rPr>
      </w:pPr>
    </w:p>
    <w:p w14:paraId="170011A6" w14:textId="77777777" w:rsidR="00CD797A" w:rsidRPr="003A1A5E" w:rsidRDefault="00CD797A" w:rsidP="00FD521F">
      <w:pPr>
        <w:spacing w:after="0" w:line="240" w:lineRule="auto"/>
        <w:ind w:left="360" w:firstLine="45"/>
        <w:jc w:val="both"/>
        <w:rPr>
          <w:rFonts w:asciiTheme="majorHAnsi" w:hAnsiTheme="majorHAnsi" w:cstheme="majorHAnsi"/>
          <w:lang w:val="es-ES_tradnl"/>
        </w:rPr>
      </w:pPr>
    </w:p>
    <w:p w14:paraId="78B1B982" w14:textId="77777777" w:rsidR="00CD797A" w:rsidRPr="003A1A5E" w:rsidRDefault="00CD797A" w:rsidP="00FD521F">
      <w:pPr>
        <w:spacing w:after="0" w:line="240" w:lineRule="auto"/>
        <w:ind w:left="360" w:firstLine="45"/>
        <w:jc w:val="both"/>
        <w:rPr>
          <w:rFonts w:asciiTheme="majorHAnsi" w:hAnsiTheme="majorHAnsi" w:cstheme="majorHAnsi"/>
          <w:lang w:val="es-ES_tradnl"/>
        </w:rPr>
      </w:pPr>
    </w:p>
    <w:p w14:paraId="5526B6DF" w14:textId="77777777" w:rsidR="00CD797A" w:rsidRPr="003A1A5E" w:rsidRDefault="00CD797A" w:rsidP="00FD521F">
      <w:pPr>
        <w:spacing w:after="0" w:line="240" w:lineRule="auto"/>
        <w:ind w:left="360" w:firstLine="45"/>
        <w:jc w:val="both"/>
        <w:rPr>
          <w:rFonts w:asciiTheme="majorHAnsi" w:hAnsiTheme="majorHAnsi" w:cstheme="majorHAnsi"/>
          <w:lang w:val="es-ES_tradnl"/>
        </w:rPr>
      </w:pPr>
    </w:p>
    <w:p w14:paraId="49C3ECCE" w14:textId="77777777" w:rsidR="004E221C" w:rsidRPr="003A1A5E" w:rsidRDefault="004E221C" w:rsidP="005165B8">
      <w:pPr>
        <w:jc w:val="both"/>
        <w:rPr>
          <w:rFonts w:asciiTheme="majorHAnsi" w:hAnsiTheme="majorHAnsi" w:cstheme="majorHAnsi"/>
          <w:lang w:val="es-ES_tradnl"/>
        </w:rPr>
      </w:pPr>
    </w:p>
    <w:p w14:paraId="7C607D97" w14:textId="77777777" w:rsidR="004E221C" w:rsidRPr="003A1A5E" w:rsidRDefault="004E221C" w:rsidP="003D4C73">
      <w:pPr>
        <w:pStyle w:val="Prrafodelista"/>
        <w:jc w:val="both"/>
        <w:rPr>
          <w:rFonts w:asciiTheme="majorHAnsi" w:hAnsiTheme="majorHAnsi" w:cstheme="majorHAnsi"/>
          <w:lang w:val="es-ES_tradnl"/>
        </w:rPr>
      </w:pPr>
    </w:p>
    <w:p w14:paraId="1CBEF322" w14:textId="77777777" w:rsidR="004E221C" w:rsidRPr="003A1A5E" w:rsidRDefault="004E221C" w:rsidP="003D4C73">
      <w:pPr>
        <w:pStyle w:val="Prrafodelista"/>
        <w:jc w:val="both"/>
        <w:rPr>
          <w:rFonts w:asciiTheme="majorHAnsi" w:hAnsiTheme="majorHAnsi" w:cstheme="majorHAnsi"/>
          <w:lang w:val="es-ES_tradnl"/>
        </w:rPr>
      </w:pPr>
    </w:p>
    <w:p w14:paraId="64821AC5" w14:textId="77777777" w:rsidR="004E221C" w:rsidRPr="003A1A5E" w:rsidRDefault="004E221C" w:rsidP="003D4C73">
      <w:pPr>
        <w:pStyle w:val="Prrafodelista"/>
        <w:jc w:val="both"/>
        <w:rPr>
          <w:rFonts w:asciiTheme="majorHAnsi" w:hAnsiTheme="majorHAnsi" w:cstheme="majorHAnsi"/>
          <w:lang w:val="es-ES_tradnl"/>
        </w:rPr>
      </w:pPr>
    </w:p>
    <w:p w14:paraId="2E901A7C" w14:textId="77777777" w:rsidR="004F01AE" w:rsidRPr="003A1A5E" w:rsidRDefault="004F01AE" w:rsidP="003D4C73">
      <w:pPr>
        <w:pStyle w:val="Prrafodelista"/>
        <w:jc w:val="both"/>
        <w:rPr>
          <w:rFonts w:asciiTheme="majorHAnsi" w:hAnsiTheme="majorHAnsi" w:cstheme="majorHAnsi"/>
          <w:lang w:val="es-ES"/>
        </w:rPr>
      </w:pPr>
    </w:p>
    <w:p w14:paraId="6954C9A8" w14:textId="77777777" w:rsidR="004F01AE" w:rsidRPr="003A1A5E" w:rsidRDefault="004F01AE" w:rsidP="003D4C73">
      <w:pPr>
        <w:pStyle w:val="Prrafodelista"/>
        <w:jc w:val="both"/>
        <w:rPr>
          <w:rFonts w:asciiTheme="majorHAnsi" w:hAnsiTheme="majorHAnsi" w:cstheme="majorHAnsi"/>
          <w:lang w:val="es-ES"/>
        </w:rPr>
      </w:pPr>
    </w:p>
    <w:p w14:paraId="4A2EFF2B" w14:textId="11E1D9EA" w:rsidR="00CE4539" w:rsidRDefault="00C57295" w:rsidP="00CE4539">
      <w:pPr>
        <w:pStyle w:val="Prrafodelista"/>
        <w:numPr>
          <w:ilvl w:val="0"/>
          <w:numId w:val="3"/>
        </w:numPr>
        <w:jc w:val="both"/>
        <w:rPr>
          <w:rFonts w:asciiTheme="majorHAnsi" w:hAnsiTheme="majorHAnsi" w:cstheme="majorHAnsi"/>
          <w:b/>
          <w:i/>
          <w:lang w:val="es-ES"/>
        </w:rPr>
      </w:pPr>
      <w:r w:rsidRPr="003A1A5E">
        <w:rPr>
          <w:rFonts w:asciiTheme="majorHAnsi" w:hAnsiTheme="majorHAnsi" w:cstheme="majorHAnsi"/>
          <w:b/>
          <w:i/>
          <w:lang w:val="es-ES"/>
        </w:rPr>
        <w:lastRenderedPageBreak/>
        <w:t>Acceso a información objetiva y científicamente precisa sobre asuntos y servicios</w:t>
      </w:r>
      <w:r w:rsidR="00AD1424" w:rsidRPr="003A1A5E">
        <w:rPr>
          <w:rFonts w:asciiTheme="majorHAnsi" w:hAnsiTheme="majorHAnsi" w:cstheme="majorHAnsi"/>
          <w:b/>
          <w:i/>
          <w:lang w:val="es-ES"/>
        </w:rPr>
        <w:t xml:space="preserve"> de salud sexual y reproductiva</w:t>
      </w:r>
      <w:r w:rsidR="000466F4">
        <w:rPr>
          <w:rFonts w:asciiTheme="majorHAnsi" w:hAnsiTheme="majorHAnsi" w:cstheme="majorHAnsi"/>
          <w:b/>
          <w:i/>
          <w:lang w:val="es-ES"/>
        </w:rPr>
        <w:t>.</w:t>
      </w:r>
    </w:p>
    <w:p w14:paraId="26D87AE4" w14:textId="77777777" w:rsidR="000466F4" w:rsidRPr="003A1A5E" w:rsidRDefault="000466F4" w:rsidP="000E537A">
      <w:pPr>
        <w:spacing w:after="0" w:line="240" w:lineRule="auto"/>
        <w:jc w:val="both"/>
        <w:rPr>
          <w:rFonts w:asciiTheme="majorHAnsi" w:hAnsiTheme="majorHAnsi" w:cstheme="majorHAnsi"/>
          <w:lang w:val="es-ES"/>
        </w:rPr>
      </w:pPr>
    </w:p>
    <w:p w14:paraId="05000A22" w14:textId="2443333D" w:rsidR="003D7665" w:rsidRPr="0025381D" w:rsidRDefault="003D7665" w:rsidP="009D07FD">
      <w:pPr>
        <w:spacing w:after="0" w:line="240" w:lineRule="auto"/>
        <w:ind w:left="1080"/>
        <w:jc w:val="both"/>
        <w:rPr>
          <w:rFonts w:asciiTheme="majorHAnsi" w:hAnsiTheme="majorHAnsi" w:cstheme="majorHAnsi"/>
          <w:lang w:val="es-ES_tradnl"/>
        </w:rPr>
      </w:pPr>
      <w:r w:rsidRPr="0025381D">
        <w:rPr>
          <w:rFonts w:asciiTheme="majorHAnsi" w:hAnsiTheme="majorHAnsi" w:cstheme="majorHAnsi"/>
          <w:lang w:val="es-ES_tradnl"/>
        </w:rPr>
        <w:t xml:space="preserve">Uno de los principales deberes del Estado de Nicaragua dentro del marco de los derechos sexuales y reproductivos es Garantizar que la información, los bienes y los servicios que necesitan sólo las mujeres y otros grupos vulnerables estén disponibles y sean accesibles, aceptables y de buena calidad. A pesar de que nos encontramos  en  una era tecnológica,  las mujeres, adolecentes, niñas y otros sectores vulnerables carecen de   información  sobre la salud sexual reproductiva. El acceso a la tecnología representa una utopía  en los territorios indígenas; ya que casi el 90 % de la población no tiene </w:t>
      </w:r>
      <w:r w:rsidR="009D07FD" w:rsidRPr="0025381D">
        <w:rPr>
          <w:rFonts w:asciiTheme="majorHAnsi" w:hAnsiTheme="majorHAnsi" w:cstheme="majorHAnsi"/>
          <w:lang w:val="es-ES_tradnl"/>
        </w:rPr>
        <w:t>capacidad monetaria</w:t>
      </w:r>
      <w:r w:rsidRPr="0025381D">
        <w:rPr>
          <w:rFonts w:asciiTheme="majorHAnsi" w:hAnsiTheme="majorHAnsi" w:cstheme="majorHAnsi"/>
          <w:lang w:val="es-ES_tradnl"/>
        </w:rPr>
        <w:t xml:space="preserve"> para acceder a los servicios de internet.</w:t>
      </w:r>
      <w:r w:rsidR="003A1A5E" w:rsidRPr="0025381D">
        <w:rPr>
          <w:rFonts w:asciiTheme="majorHAnsi" w:hAnsiTheme="majorHAnsi" w:cstheme="majorHAnsi"/>
          <w:lang w:val="es-ES_tradnl"/>
        </w:rPr>
        <w:t xml:space="preserve"> El E</w:t>
      </w:r>
      <w:r w:rsidRPr="0025381D">
        <w:rPr>
          <w:rFonts w:asciiTheme="majorHAnsi" w:hAnsiTheme="majorHAnsi" w:cstheme="majorHAnsi"/>
          <w:lang w:val="es-ES_tradnl"/>
        </w:rPr>
        <w:t xml:space="preserve">stado no ha garantizado las condiciones para que las mujeres y otros actores vulnerables tengan acceso a información a través de la tecnología. En el caso que lo haga, va </w:t>
      </w:r>
      <w:r w:rsidR="003A1A5E" w:rsidRPr="0025381D">
        <w:rPr>
          <w:rFonts w:asciiTheme="majorHAnsi" w:hAnsiTheme="majorHAnsi" w:cstheme="majorHAnsi"/>
          <w:lang w:val="es-ES_tradnl"/>
        </w:rPr>
        <w:t>dirigido</w:t>
      </w:r>
      <w:r w:rsidRPr="0025381D">
        <w:rPr>
          <w:rFonts w:asciiTheme="majorHAnsi" w:hAnsiTheme="majorHAnsi" w:cstheme="majorHAnsi"/>
          <w:lang w:val="es-ES_tradnl"/>
        </w:rPr>
        <w:t xml:space="preserve"> a sectores reducidos de la </w:t>
      </w:r>
      <w:r w:rsidR="003A1A5E" w:rsidRPr="0025381D">
        <w:rPr>
          <w:rFonts w:asciiTheme="majorHAnsi" w:hAnsiTheme="majorHAnsi" w:cstheme="majorHAnsi"/>
          <w:lang w:val="es-ES_tradnl"/>
        </w:rPr>
        <w:t>Población</w:t>
      </w:r>
      <w:r w:rsidRPr="0025381D">
        <w:rPr>
          <w:rFonts w:asciiTheme="majorHAnsi" w:hAnsiTheme="majorHAnsi" w:cstheme="majorHAnsi"/>
          <w:lang w:val="es-ES_tradnl"/>
        </w:rPr>
        <w:t xml:space="preserve">, que no represente un </w:t>
      </w:r>
      <w:r w:rsidR="003A1A5E" w:rsidRPr="0025381D">
        <w:rPr>
          <w:rFonts w:asciiTheme="majorHAnsi" w:hAnsiTheme="majorHAnsi" w:cstheme="majorHAnsi"/>
          <w:lang w:val="es-ES_tradnl"/>
        </w:rPr>
        <w:t>% importante vs la población existente en los territorios de la Costa Caribe de Nicaragua.</w:t>
      </w:r>
    </w:p>
    <w:p w14:paraId="1CE07E7B" w14:textId="77777777" w:rsidR="003A1A5E" w:rsidRPr="0025381D" w:rsidRDefault="003A1A5E" w:rsidP="003A1A5E">
      <w:pPr>
        <w:spacing w:after="0" w:line="240" w:lineRule="auto"/>
        <w:ind w:left="1080"/>
        <w:jc w:val="both"/>
        <w:rPr>
          <w:rFonts w:asciiTheme="majorHAnsi" w:hAnsiTheme="majorHAnsi" w:cstheme="majorHAnsi"/>
          <w:lang w:val="es-ES_tradnl"/>
        </w:rPr>
      </w:pPr>
      <w:r w:rsidRPr="0025381D">
        <w:rPr>
          <w:rFonts w:asciiTheme="majorHAnsi" w:hAnsiTheme="majorHAnsi" w:cstheme="majorHAnsi"/>
          <w:lang w:val="es-ES_tradnl"/>
        </w:rPr>
        <w:t xml:space="preserve"> </w:t>
      </w:r>
    </w:p>
    <w:p w14:paraId="1C1D81E3" w14:textId="77777777" w:rsidR="009D07FD" w:rsidRPr="0025381D" w:rsidRDefault="009D07FD" w:rsidP="009D07FD">
      <w:pPr>
        <w:spacing w:after="0" w:line="240" w:lineRule="auto"/>
        <w:ind w:left="1077" w:firstLine="3"/>
        <w:jc w:val="both"/>
        <w:rPr>
          <w:rFonts w:asciiTheme="majorHAnsi" w:hAnsiTheme="majorHAnsi" w:cstheme="majorHAnsi"/>
          <w:lang w:val="es-ES_tradnl"/>
        </w:rPr>
      </w:pPr>
      <w:r w:rsidRPr="0025381D">
        <w:rPr>
          <w:rFonts w:asciiTheme="majorHAnsi" w:hAnsiTheme="majorHAnsi" w:cstheme="majorHAnsi"/>
          <w:lang w:val="es-ES_tradnl"/>
        </w:rPr>
        <w:t xml:space="preserve">El internet es un recurso de información y comunicación que tiene un crecimiento notorio tanto en la cobertura de la conexión, como en el número de usuarios en el país-. Sin embargo, garantizar que  mujeres y  otros sectores vulnerables accedan a información precisa y confiable es un gran desafío. </w:t>
      </w:r>
    </w:p>
    <w:p w14:paraId="06EE19E1" w14:textId="77777777" w:rsidR="009D07FD" w:rsidRPr="0025381D" w:rsidRDefault="009D07FD" w:rsidP="009D07FD">
      <w:pPr>
        <w:spacing w:after="0" w:line="240" w:lineRule="auto"/>
        <w:ind w:left="1077" w:firstLine="3"/>
        <w:jc w:val="both"/>
        <w:rPr>
          <w:rFonts w:asciiTheme="majorHAnsi" w:hAnsiTheme="majorHAnsi" w:cstheme="majorHAnsi"/>
          <w:lang w:val="es-ES_tradnl"/>
        </w:rPr>
      </w:pPr>
    </w:p>
    <w:p w14:paraId="17D82302" w14:textId="77777777" w:rsidR="003502B9" w:rsidRPr="0025381D" w:rsidRDefault="009D07FD" w:rsidP="003502B9">
      <w:pPr>
        <w:spacing w:after="0" w:line="240" w:lineRule="auto"/>
        <w:ind w:left="1077"/>
        <w:jc w:val="both"/>
        <w:rPr>
          <w:rFonts w:asciiTheme="majorHAnsi" w:hAnsiTheme="majorHAnsi" w:cstheme="majorHAnsi"/>
          <w:lang w:val="es-ES_tradnl"/>
        </w:rPr>
      </w:pPr>
      <w:r w:rsidRPr="0025381D">
        <w:rPr>
          <w:rFonts w:asciiTheme="majorHAnsi" w:hAnsiTheme="majorHAnsi" w:cstheme="majorHAnsi"/>
          <w:lang w:val="es-ES_tradnl"/>
        </w:rPr>
        <w:t>El internet puede verse como una oportunidad para avanzar el proceso de restitución del derecho de las personas a la información en salud sexual y reproductiva pero requiere, en primera instancia, una muy, probablemente, inversión estatal para aumentar de manera significativa la conectividad gratuita en los espacios públicos donde se reúnan las y los. El internet tiene relevancia de desarrollar estrategias de comunicación que garanticen acceso a información útil y confiable proveniente del MINSA sobre temas clave relacionados con los derechos y la salud sexual y reproductiva, incluidos los métodos anticonceptivos, las consecuencias del embarazo en la adolescencia, el abuso sexual, entre otros.</w:t>
      </w:r>
    </w:p>
    <w:p w14:paraId="47B670C4" w14:textId="77777777" w:rsidR="003502B9" w:rsidRPr="0025381D" w:rsidRDefault="003502B9" w:rsidP="003502B9">
      <w:pPr>
        <w:spacing w:after="0" w:line="240" w:lineRule="auto"/>
        <w:ind w:left="1077"/>
        <w:jc w:val="both"/>
        <w:rPr>
          <w:rFonts w:asciiTheme="majorHAnsi" w:hAnsiTheme="majorHAnsi" w:cstheme="majorHAnsi"/>
          <w:lang w:val="es-ES_tradnl"/>
        </w:rPr>
      </w:pPr>
    </w:p>
    <w:p w14:paraId="777E405C" w14:textId="76036C22" w:rsidR="009D07FD" w:rsidRDefault="00C47CC3" w:rsidP="00C47CC3">
      <w:pPr>
        <w:spacing w:after="0" w:line="240" w:lineRule="auto"/>
        <w:ind w:left="1077"/>
        <w:jc w:val="both"/>
        <w:rPr>
          <w:rFonts w:asciiTheme="majorHAnsi" w:hAnsiTheme="majorHAnsi" w:cstheme="majorHAnsi"/>
          <w:lang w:val="es-ES_tradnl"/>
        </w:rPr>
      </w:pPr>
      <w:r w:rsidRPr="0025381D">
        <w:rPr>
          <w:rFonts w:asciiTheme="majorHAnsi" w:hAnsiTheme="majorHAnsi" w:cstheme="majorHAnsi"/>
          <w:lang w:val="es-ES_tradnl"/>
        </w:rPr>
        <w:t xml:space="preserve"> Por otro lado </w:t>
      </w:r>
      <w:r w:rsidR="00AD1424" w:rsidRPr="0025381D">
        <w:rPr>
          <w:rFonts w:asciiTheme="majorHAnsi" w:hAnsiTheme="majorHAnsi" w:cstheme="majorHAnsi"/>
          <w:lang w:val="es-ES"/>
        </w:rPr>
        <w:t xml:space="preserve">Los referentes </w:t>
      </w:r>
      <w:r w:rsidR="00450A8C" w:rsidRPr="0025381D">
        <w:rPr>
          <w:rFonts w:asciiTheme="majorHAnsi" w:hAnsiTheme="majorHAnsi" w:cstheme="majorHAnsi"/>
          <w:lang w:val="es-ES"/>
        </w:rPr>
        <w:t xml:space="preserve"> de información, </w:t>
      </w:r>
      <w:r w:rsidR="00AD1424" w:rsidRPr="0025381D">
        <w:rPr>
          <w:rFonts w:asciiTheme="majorHAnsi" w:hAnsiTheme="majorHAnsi" w:cstheme="majorHAnsi"/>
          <w:lang w:val="es-ES"/>
        </w:rPr>
        <w:t>para que los y las pobladores, incluyendo los jóvenes, las niñas (os), mujeres se  informen sobre sus der</w:t>
      </w:r>
      <w:r w:rsidR="00CE4539" w:rsidRPr="0025381D">
        <w:rPr>
          <w:rFonts w:asciiTheme="majorHAnsi" w:hAnsiTheme="majorHAnsi" w:cstheme="majorHAnsi"/>
          <w:lang w:val="es-ES"/>
        </w:rPr>
        <w:t>echos sexuales reproductivos son los centros de salud,  hospitales, escuelas y organizaciones que trabajan la temática.</w:t>
      </w:r>
      <w:r w:rsidR="0086424E" w:rsidRPr="0025381D">
        <w:rPr>
          <w:rFonts w:asciiTheme="majorHAnsi" w:hAnsiTheme="majorHAnsi" w:cstheme="majorHAnsi"/>
          <w:lang w:val="es-ES"/>
        </w:rPr>
        <w:t xml:space="preserve">  El estudio </w:t>
      </w:r>
      <w:r w:rsidR="0086424E" w:rsidRPr="0025381D">
        <w:rPr>
          <w:rFonts w:asciiTheme="majorHAnsi" w:hAnsiTheme="majorHAnsi" w:cstheme="majorHAnsi"/>
          <w:lang w:val="es-ES_tradnl"/>
        </w:rPr>
        <w:t>Prácticas, signos y significados sobre Derechos, Género y Sexualidad de adolescentes y jóvenes de Pueblos Indígenas y Afro descendientes, elaborado el diciembre del 2014 refiere que el  inicio temprano de las relaciones sexuales, la violencia sexual y los factores de vulnerabilidad en Pueblos Indígenas  y a afro descendientes están ligado a la falta de  información y educación integral en SSR. El informe</w:t>
      </w:r>
      <w:r w:rsidR="00130BA5" w:rsidRPr="0025381D">
        <w:rPr>
          <w:rFonts w:asciiTheme="majorHAnsi" w:hAnsiTheme="majorHAnsi" w:cstheme="majorHAnsi"/>
          <w:lang w:val="es-ES_tradnl"/>
        </w:rPr>
        <w:t xml:space="preserve"> </w:t>
      </w:r>
      <w:r w:rsidR="00961C2E" w:rsidRPr="0025381D">
        <w:rPr>
          <w:rFonts w:asciiTheme="majorHAnsi" w:hAnsiTheme="majorHAnsi" w:cstheme="majorHAnsi"/>
          <w:lang w:val="es-ES_tradnl"/>
        </w:rPr>
        <w:t>también</w:t>
      </w:r>
      <w:r w:rsidR="00130BA5" w:rsidRPr="0025381D">
        <w:rPr>
          <w:rFonts w:asciiTheme="majorHAnsi" w:hAnsiTheme="majorHAnsi" w:cstheme="majorHAnsi"/>
          <w:lang w:val="es-ES_tradnl"/>
        </w:rPr>
        <w:t xml:space="preserve"> afirma que la falta de </w:t>
      </w:r>
      <w:r w:rsidR="0025381D" w:rsidRPr="0025381D">
        <w:rPr>
          <w:rFonts w:asciiTheme="majorHAnsi" w:hAnsiTheme="majorHAnsi" w:cstheme="majorHAnsi"/>
          <w:lang w:val="es-ES_tradnl"/>
        </w:rPr>
        <w:t>información, influye</w:t>
      </w:r>
      <w:r w:rsidR="0086424E" w:rsidRPr="0025381D">
        <w:rPr>
          <w:rFonts w:asciiTheme="majorHAnsi" w:hAnsiTheme="majorHAnsi" w:cstheme="majorHAnsi"/>
          <w:lang w:val="es-ES_tradnl"/>
        </w:rPr>
        <w:t xml:space="preserve"> en altas tasas de embarazo en adolescentes, y exposición a ITS, VIH/SIDA, además de las consecuencias de salud mental y emocional para los adolescentes. </w:t>
      </w:r>
    </w:p>
    <w:p w14:paraId="69A2258F" w14:textId="0C87DB55" w:rsidR="0025381D" w:rsidRDefault="0025381D" w:rsidP="00C47CC3">
      <w:pPr>
        <w:spacing w:after="0" w:line="240" w:lineRule="auto"/>
        <w:ind w:left="1077"/>
        <w:jc w:val="both"/>
        <w:rPr>
          <w:rFonts w:asciiTheme="majorHAnsi" w:hAnsiTheme="majorHAnsi" w:cstheme="majorHAnsi"/>
          <w:lang w:val="es-ES_tradnl"/>
        </w:rPr>
      </w:pPr>
    </w:p>
    <w:p w14:paraId="52F6136F" w14:textId="45547512" w:rsidR="0025381D" w:rsidRDefault="0025381D" w:rsidP="00C47CC3">
      <w:pPr>
        <w:spacing w:after="0" w:line="240" w:lineRule="auto"/>
        <w:ind w:left="1077"/>
        <w:jc w:val="both"/>
        <w:rPr>
          <w:rFonts w:asciiTheme="majorHAnsi" w:hAnsiTheme="majorHAnsi" w:cstheme="majorHAnsi"/>
          <w:lang w:val="es-ES_tradnl"/>
        </w:rPr>
      </w:pPr>
    </w:p>
    <w:p w14:paraId="541C1505" w14:textId="545F46B8" w:rsidR="0025381D" w:rsidRDefault="0025381D" w:rsidP="00C47CC3">
      <w:pPr>
        <w:spacing w:after="0" w:line="240" w:lineRule="auto"/>
        <w:ind w:left="1077"/>
        <w:jc w:val="both"/>
        <w:rPr>
          <w:rFonts w:asciiTheme="majorHAnsi" w:hAnsiTheme="majorHAnsi" w:cstheme="majorHAnsi"/>
          <w:lang w:val="es-ES_tradnl"/>
        </w:rPr>
      </w:pPr>
    </w:p>
    <w:p w14:paraId="6628DBE1" w14:textId="48883B2D" w:rsidR="0025381D" w:rsidRDefault="0025381D" w:rsidP="00C47CC3">
      <w:pPr>
        <w:spacing w:after="0" w:line="240" w:lineRule="auto"/>
        <w:ind w:left="1077"/>
        <w:jc w:val="both"/>
        <w:rPr>
          <w:rFonts w:asciiTheme="majorHAnsi" w:hAnsiTheme="majorHAnsi" w:cstheme="majorHAnsi"/>
          <w:lang w:val="es-ES_tradnl"/>
        </w:rPr>
      </w:pPr>
    </w:p>
    <w:p w14:paraId="2D531187" w14:textId="66D43C43" w:rsidR="0025381D" w:rsidRDefault="0025381D" w:rsidP="00C47CC3">
      <w:pPr>
        <w:spacing w:after="0" w:line="240" w:lineRule="auto"/>
        <w:ind w:left="1077"/>
        <w:jc w:val="both"/>
        <w:rPr>
          <w:rFonts w:asciiTheme="majorHAnsi" w:hAnsiTheme="majorHAnsi" w:cstheme="majorHAnsi"/>
          <w:lang w:val="es-ES_tradnl"/>
        </w:rPr>
      </w:pPr>
    </w:p>
    <w:p w14:paraId="19B595F6" w14:textId="77777777" w:rsidR="0025381D" w:rsidRPr="0025381D" w:rsidRDefault="0025381D" w:rsidP="00C47CC3">
      <w:pPr>
        <w:spacing w:after="0" w:line="240" w:lineRule="auto"/>
        <w:ind w:left="1077"/>
        <w:jc w:val="both"/>
        <w:rPr>
          <w:rFonts w:asciiTheme="majorHAnsi" w:hAnsiTheme="majorHAnsi" w:cstheme="majorHAnsi"/>
          <w:lang w:val="es-ES_tradnl"/>
        </w:rPr>
      </w:pPr>
    </w:p>
    <w:p w14:paraId="57FB5802" w14:textId="77777777" w:rsidR="00C47CC3" w:rsidRPr="0025381D" w:rsidRDefault="00C47CC3" w:rsidP="0069737C">
      <w:pPr>
        <w:spacing w:after="0" w:line="240" w:lineRule="auto"/>
        <w:jc w:val="both"/>
        <w:rPr>
          <w:rFonts w:asciiTheme="majorHAnsi" w:hAnsiTheme="majorHAnsi" w:cstheme="majorHAnsi"/>
          <w:lang w:val="es-ES_tradnl"/>
        </w:rPr>
      </w:pPr>
    </w:p>
    <w:p w14:paraId="042BFC44" w14:textId="7C1EC2BD" w:rsidR="00C57295" w:rsidRDefault="00C57295" w:rsidP="003D4C73">
      <w:pPr>
        <w:pStyle w:val="Prrafodelista"/>
        <w:numPr>
          <w:ilvl w:val="0"/>
          <w:numId w:val="3"/>
        </w:numPr>
        <w:jc w:val="both"/>
        <w:rPr>
          <w:rFonts w:ascii="Bahnschrift Light SemiCondensed" w:hAnsi="Bahnschrift Light SemiCondensed"/>
          <w:lang w:val="es-ES"/>
        </w:rPr>
      </w:pPr>
      <w:r w:rsidRPr="0025381D">
        <w:rPr>
          <w:rFonts w:asciiTheme="majorHAnsi" w:hAnsiTheme="majorHAnsi" w:cstheme="majorHAnsi"/>
          <w:b/>
          <w:lang w:val="es-ES"/>
        </w:rPr>
        <w:t xml:space="preserve">Acceso a profesionales médicos y proveedores de servicios de salud, incluidas las parteras tradicionales, que cuenten con </w:t>
      </w:r>
      <w:r w:rsidRPr="003A1A5E">
        <w:rPr>
          <w:rFonts w:asciiTheme="majorHAnsi" w:hAnsiTheme="majorHAnsi" w:cstheme="majorHAnsi"/>
          <w:b/>
          <w:lang w:val="es-ES"/>
        </w:rPr>
        <w:t>provisión adecuada para su capacitación y seguridad, incluido equipos de protección personal</w:t>
      </w:r>
      <w:r w:rsidR="00C47CC3">
        <w:rPr>
          <w:rFonts w:ascii="Bahnschrift Light SemiCondensed" w:hAnsi="Bahnschrift Light SemiCondensed"/>
          <w:lang w:val="es-ES"/>
        </w:rPr>
        <w:t>.</w:t>
      </w:r>
    </w:p>
    <w:p w14:paraId="0BE8C6C9" w14:textId="54D3DADF" w:rsidR="00C47CC3" w:rsidRDefault="000E537A" w:rsidP="00C47CC3">
      <w:pPr>
        <w:jc w:val="both"/>
        <w:rPr>
          <w:rFonts w:ascii="Bahnschrift Light SemiCondensed" w:hAnsi="Bahnschrift Light SemiCondensed"/>
          <w:lang w:val="es-ES"/>
        </w:rPr>
      </w:pPr>
      <w:r>
        <w:rPr>
          <w:rFonts w:ascii="Bahnschrift Light SemiCondensed" w:hAnsi="Bahnschrift Light SemiCondensed"/>
          <w:lang w:val="es-ES"/>
        </w:rPr>
        <w:t xml:space="preserve"> </w:t>
      </w:r>
    </w:p>
    <w:p w14:paraId="211230F9" w14:textId="1F40E339" w:rsidR="00323482" w:rsidRPr="0025381D" w:rsidRDefault="00C57295" w:rsidP="00323482">
      <w:pPr>
        <w:pStyle w:val="Prrafodelista"/>
        <w:numPr>
          <w:ilvl w:val="0"/>
          <w:numId w:val="3"/>
        </w:numPr>
        <w:jc w:val="both"/>
        <w:rPr>
          <w:rFonts w:ascii="Bahnschrift Light SemiCondensed" w:hAnsi="Bahnschrift Light SemiCondensed"/>
          <w:lang w:val="es-ES"/>
        </w:rPr>
      </w:pPr>
      <w:r w:rsidRPr="0025381D">
        <w:rPr>
          <w:rFonts w:ascii="Bahnschrift Light SemiCondensed" w:hAnsi="Bahnschrift Light SemiCondensed"/>
          <w:lang w:val="es-ES"/>
        </w:rPr>
        <w:lastRenderedPageBreak/>
        <w:t xml:space="preserve">Acceso a medicamentos esenciales según lo prescrito por la OMS, </w:t>
      </w:r>
      <w:r w:rsidR="002C21B8" w:rsidRPr="0025381D">
        <w:rPr>
          <w:rFonts w:ascii="Bahnschrift Light SemiCondensed" w:hAnsi="Bahnschrift Light SemiCondensed"/>
          <w:lang w:val="es-ES"/>
        </w:rPr>
        <w:t xml:space="preserve">y </w:t>
      </w:r>
      <w:r w:rsidRPr="0025381D">
        <w:rPr>
          <w:rFonts w:ascii="Bahnschrift Light SemiCondensed" w:hAnsi="Bahnschrift Light SemiCondensed"/>
          <w:lang w:val="es-ES"/>
        </w:rPr>
        <w:t>equipos y tecnologías esenciales para la prestación de calidad de servicios de salud sexual y reproductiva;</w:t>
      </w:r>
    </w:p>
    <w:p w14:paraId="51ED7FFF" w14:textId="05DEECB3" w:rsidR="00323482" w:rsidRPr="0025381D" w:rsidRDefault="00C57295" w:rsidP="00323482">
      <w:pPr>
        <w:pStyle w:val="Prrafodelista"/>
        <w:numPr>
          <w:ilvl w:val="0"/>
          <w:numId w:val="3"/>
        </w:numPr>
        <w:jc w:val="both"/>
        <w:rPr>
          <w:rFonts w:ascii="Bahnschrift Light SemiCondensed" w:hAnsi="Bahnschrift Light SemiCondensed"/>
          <w:lang w:val="es-ES"/>
        </w:rPr>
      </w:pPr>
      <w:r w:rsidRPr="0025381D">
        <w:rPr>
          <w:rFonts w:ascii="Bahnschrift Light SemiCondensed" w:hAnsi="Bahnschrift Light SemiCondensed"/>
          <w:lang w:val="es-ES"/>
        </w:rPr>
        <w:t>Prevención de la transmisión del VIH, profilaxis posterior a la exposición</w:t>
      </w:r>
      <w:r w:rsidR="002C21B8" w:rsidRPr="0025381D">
        <w:rPr>
          <w:rFonts w:ascii="Bahnschrift Light SemiCondensed" w:hAnsi="Bahnschrift Light SemiCondensed"/>
          <w:lang w:val="es-ES"/>
        </w:rPr>
        <w:t>,</w:t>
      </w:r>
      <w:r w:rsidRPr="0025381D">
        <w:rPr>
          <w:rFonts w:ascii="Bahnschrift Light SemiCondensed" w:hAnsi="Bahnschrift Light SemiCondensed"/>
          <w:lang w:val="es-ES"/>
        </w:rPr>
        <w:t xml:space="preserve"> y tratamiento del VIH / SIDA, así como prevención y tratamiento de infecciones de transmisión sexual;</w:t>
      </w:r>
    </w:p>
    <w:p w14:paraId="6656B28D" w14:textId="53560A4C" w:rsidR="00323482" w:rsidRPr="0025381D" w:rsidRDefault="00C57295" w:rsidP="00323482">
      <w:pPr>
        <w:pStyle w:val="Prrafodelista"/>
        <w:numPr>
          <w:ilvl w:val="0"/>
          <w:numId w:val="3"/>
        </w:numPr>
        <w:jc w:val="both"/>
        <w:rPr>
          <w:rFonts w:ascii="Bahnschrift Light SemiCondensed" w:hAnsi="Bahnschrift Light SemiCondensed"/>
          <w:lang w:val="es-ES"/>
        </w:rPr>
      </w:pPr>
      <w:r w:rsidRPr="0025381D">
        <w:rPr>
          <w:rFonts w:ascii="Bahnschrift Light SemiCondensed" w:hAnsi="Bahnschrift Light SemiCondensed"/>
          <w:lang w:val="es-ES"/>
        </w:rPr>
        <w:t xml:space="preserve">Servicios de </w:t>
      </w:r>
      <w:r w:rsidR="009A256F" w:rsidRPr="0025381D">
        <w:rPr>
          <w:rFonts w:ascii="Bahnschrift Light SemiCondensed" w:hAnsi="Bahnschrift Light SemiCondensed"/>
          <w:lang w:val="es-ES"/>
        </w:rPr>
        <w:t>asistencia sanitaria materna</w:t>
      </w:r>
      <w:r w:rsidRPr="0025381D">
        <w:rPr>
          <w:rFonts w:ascii="Bahnschrift Light SemiCondensed" w:hAnsi="Bahnschrift Light SemiCondensed"/>
          <w:lang w:val="es-ES"/>
        </w:rPr>
        <w:t xml:space="preserve">, </w:t>
      </w:r>
      <w:r w:rsidR="009A256F" w:rsidRPr="0025381D">
        <w:rPr>
          <w:rFonts w:ascii="Bahnschrift Light SemiCondensed" w:hAnsi="Bahnschrift Light SemiCondensed"/>
          <w:lang w:val="es-ES"/>
        </w:rPr>
        <w:t>incluidas la</w:t>
      </w:r>
      <w:r w:rsidRPr="0025381D">
        <w:rPr>
          <w:rFonts w:ascii="Bahnschrift Light SemiCondensed" w:hAnsi="Bahnschrift Light SemiCondensed"/>
          <w:lang w:val="es-ES"/>
        </w:rPr>
        <w:t xml:space="preserve"> atención pre y postnatal, </w:t>
      </w:r>
      <w:r w:rsidR="009A256F" w:rsidRPr="0025381D">
        <w:rPr>
          <w:rFonts w:ascii="Bahnschrift Light SemiCondensed" w:hAnsi="Bahnschrift Light SemiCondensed"/>
          <w:lang w:val="es-ES"/>
        </w:rPr>
        <w:t xml:space="preserve">la </w:t>
      </w:r>
      <w:r w:rsidRPr="0025381D">
        <w:rPr>
          <w:rFonts w:ascii="Bahnschrift Light SemiCondensed" w:hAnsi="Bahnschrift Light SemiCondensed"/>
          <w:lang w:val="es-ES"/>
        </w:rPr>
        <w:t>asistencia durante el parto y</w:t>
      </w:r>
      <w:r w:rsidR="009A256F" w:rsidRPr="0025381D">
        <w:rPr>
          <w:rFonts w:ascii="Bahnschrift Light SemiCondensed" w:hAnsi="Bahnschrift Light SemiCondensed"/>
          <w:lang w:val="es-ES"/>
        </w:rPr>
        <w:t xml:space="preserve"> la </w:t>
      </w:r>
      <w:r w:rsidRPr="0025381D">
        <w:rPr>
          <w:rFonts w:ascii="Bahnschrift Light SemiCondensed" w:hAnsi="Bahnschrift Light SemiCondensed"/>
          <w:lang w:val="es-ES"/>
        </w:rPr>
        <w:t>atención obstétrica de emergencia;</w:t>
      </w:r>
    </w:p>
    <w:p w14:paraId="01D4FDE0" w14:textId="46D654F7" w:rsidR="0025381D" w:rsidRPr="0025381D" w:rsidRDefault="00C57295" w:rsidP="0025381D">
      <w:pPr>
        <w:pStyle w:val="Prrafodelista"/>
        <w:numPr>
          <w:ilvl w:val="0"/>
          <w:numId w:val="3"/>
        </w:numPr>
        <w:jc w:val="both"/>
        <w:rPr>
          <w:rFonts w:ascii="Bahnschrift Light SemiCondensed" w:hAnsi="Bahnschrift Light SemiCondensed"/>
          <w:lang w:val="es-ES"/>
        </w:rPr>
      </w:pPr>
      <w:r w:rsidRPr="0025381D">
        <w:rPr>
          <w:rFonts w:ascii="Bahnschrift Light SemiCondensed" w:hAnsi="Bahnschrift Light SemiCondensed"/>
          <w:lang w:val="es-ES"/>
        </w:rPr>
        <w:t>La gama completa de información y servicios anticonceptivos modernos, incluida la anticoncepción de emergencia, así como información y servicios de planificación familiar relacionados con la cantidad, el momento y el espaciamiento de los embarazos y los tratamientos de infertilidad;</w:t>
      </w:r>
    </w:p>
    <w:p w14:paraId="0260826D" w14:textId="7E0F75DE" w:rsidR="00C57295" w:rsidRPr="0025381D" w:rsidRDefault="00C57295" w:rsidP="003D4C73">
      <w:pPr>
        <w:pStyle w:val="Prrafodelista"/>
        <w:numPr>
          <w:ilvl w:val="0"/>
          <w:numId w:val="3"/>
        </w:numPr>
        <w:jc w:val="both"/>
        <w:rPr>
          <w:rFonts w:ascii="Bahnschrift Light SemiCondensed" w:hAnsi="Bahnschrift Light SemiCondensed"/>
          <w:lang w:val="es-ES"/>
        </w:rPr>
      </w:pPr>
      <w:r w:rsidRPr="0025381D">
        <w:rPr>
          <w:rFonts w:ascii="Bahnschrift Light SemiCondensed" w:hAnsi="Bahnschrift Light SemiCondensed"/>
          <w:lang w:val="es-ES"/>
        </w:rPr>
        <w:t>Servicios de aborto seguro, incluidos los métodos quirúrgicos y no quirúrgicos de interrupción del embarazo y atención human</w:t>
      </w:r>
      <w:r w:rsidR="009A256F" w:rsidRPr="0025381D">
        <w:rPr>
          <w:rFonts w:ascii="Bahnschrift Light SemiCondensed" w:hAnsi="Bahnschrift Light SemiCondensed"/>
          <w:lang w:val="es-ES"/>
        </w:rPr>
        <w:t>a</w:t>
      </w:r>
      <w:r w:rsidRPr="0025381D">
        <w:rPr>
          <w:rFonts w:ascii="Bahnschrift Light SemiCondensed" w:hAnsi="Bahnschrift Light SemiCondensed"/>
          <w:lang w:val="es-ES"/>
        </w:rPr>
        <w:t xml:space="preserve"> posterior al aborto, independientemente de</w:t>
      </w:r>
      <w:r w:rsidR="009A256F" w:rsidRPr="0025381D">
        <w:rPr>
          <w:rFonts w:ascii="Bahnschrift Light SemiCondensed" w:hAnsi="Bahnschrift Light SemiCondensed"/>
          <w:lang w:val="es-ES"/>
        </w:rPr>
        <w:t>l estatus</w:t>
      </w:r>
      <w:r w:rsidRPr="0025381D">
        <w:rPr>
          <w:rFonts w:ascii="Bahnschrift Light SemiCondensed" w:hAnsi="Bahnschrift Light SemiCondensed"/>
          <w:lang w:val="es-ES"/>
        </w:rPr>
        <w:t xml:space="preserve"> legal del aborto;</w:t>
      </w:r>
    </w:p>
    <w:p w14:paraId="039FFCED" w14:textId="77777777" w:rsidR="00E342E5" w:rsidRPr="0025381D" w:rsidRDefault="00E342E5" w:rsidP="00E342E5">
      <w:pPr>
        <w:pStyle w:val="Prrafodelista"/>
        <w:ind w:left="1440"/>
        <w:jc w:val="both"/>
        <w:rPr>
          <w:rFonts w:ascii="Bahnschrift Light SemiCondensed" w:hAnsi="Bahnschrift Light SemiCondensed"/>
          <w:lang w:val="es-ES"/>
        </w:rPr>
      </w:pPr>
    </w:p>
    <w:p w14:paraId="2BB6B26B" w14:textId="0B1F53CA" w:rsidR="00E342E5" w:rsidRPr="0025381D" w:rsidRDefault="00C57295" w:rsidP="0025381D">
      <w:pPr>
        <w:pStyle w:val="Prrafodelista"/>
        <w:numPr>
          <w:ilvl w:val="0"/>
          <w:numId w:val="3"/>
        </w:numPr>
        <w:jc w:val="both"/>
        <w:rPr>
          <w:rFonts w:ascii="Bahnschrift Light SemiCondensed" w:hAnsi="Bahnschrift Light SemiCondensed"/>
          <w:lang w:val="es-ES"/>
        </w:rPr>
      </w:pPr>
      <w:r w:rsidRPr="0025381D">
        <w:rPr>
          <w:rFonts w:ascii="Bahnschrift Light SemiCondensed" w:hAnsi="Bahnschrift Light SemiCondensed"/>
          <w:lang w:val="es-ES"/>
        </w:rPr>
        <w:t xml:space="preserve">Tratamiento </w:t>
      </w:r>
      <w:r w:rsidR="009A256F" w:rsidRPr="0025381D">
        <w:rPr>
          <w:rFonts w:ascii="Bahnschrift Light SemiCondensed" w:hAnsi="Bahnschrift Light SemiCondensed"/>
          <w:lang w:val="es-ES"/>
        </w:rPr>
        <w:t xml:space="preserve">de las </w:t>
      </w:r>
      <w:r w:rsidRPr="0025381D">
        <w:rPr>
          <w:rFonts w:ascii="Bahnschrift Light SemiCondensed" w:hAnsi="Bahnschrift Light SemiCondensed"/>
          <w:lang w:val="es-ES"/>
        </w:rPr>
        <w:t>morbilidades relacionadas con el embarazo, como fístula obstétrica y prolapso uterino, entre otros;</w:t>
      </w:r>
    </w:p>
    <w:p w14:paraId="610DD1ED" w14:textId="4EB05AD4" w:rsidR="00C57295" w:rsidRPr="0025381D" w:rsidRDefault="00C57295" w:rsidP="003D4C73">
      <w:pPr>
        <w:pStyle w:val="Prrafodelista"/>
        <w:numPr>
          <w:ilvl w:val="0"/>
          <w:numId w:val="3"/>
        </w:numPr>
        <w:jc w:val="both"/>
        <w:rPr>
          <w:rFonts w:ascii="Bahnschrift Light SemiCondensed" w:hAnsi="Bahnschrift Light SemiCondensed"/>
          <w:lang w:val="es-ES"/>
        </w:rPr>
      </w:pPr>
      <w:r w:rsidRPr="0025381D">
        <w:rPr>
          <w:rFonts w:ascii="Bahnschrift Light SemiCondensed" w:hAnsi="Bahnschrift Light SemiCondensed"/>
          <w:lang w:val="es-ES"/>
        </w:rPr>
        <w:t xml:space="preserve">Exámenes y tratamiento para cánceres </w:t>
      </w:r>
      <w:r w:rsidR="006E7B32" w:rsidRPr="0025381D">
        <w:rPr>
          <w:rFonts w:ascii="Bahnschrift Light SemiCondensed" w:hAnsi="Bahnschrift Light SemiCondensed"/>
          <w:lang w:val="es-ES"/>
        </w:rPr>
        <w:t>relacionados con órganos reproductivos</w:t>
      </w:r>
      <w:r w:rsidRPr="0025381D">
        <w:rPr>
          <w:rFonts w:ascii="Bahnschrift Light SemiCondensed" w:hAnsi="Bahnschrift Light SemiCondensed"/>
          <w:lang w:val="es-ES"/>
        </w:rPr>
        <w:t>;</w:t>
      </w:r>
    </w:p>
    <w:p w14:paraId="6A3B6190" w14:textId="3CDDF152" w:rsidR="00C57295" w:rsidRPr="0025381D" w:rsidRDefault="00C57295" w:rsidP="003D4C73">
      <w:pPr>
        <w:pStyle w:val="Prrafodelista"/>
        <w:numPr>
          <w:ilvl w:val="0"/>
          <w:numId w:val="3"/>
        </w:numPr>
        <w:jc w:val="both"/>
        <w:rPr>
          <w:rFonts w:ascii="Bahnschrift Light SemiCondensed" w:hAnsi="Bahnschrift Light SemiCondensed"/>
          <w:lang w:val="es-ES"/>
        </w:rPr>
      </w:pPr>
      <w:r w:rsidRPr="0025381D">
        <w:rPr>
          <w:rFonts w:ascii="Bahnschrift Light SemiCondensed" w:hAnsi="Bahnschrift Light SemiCondensed"/>
          <w:lang w:val="es-ES"/>
        </w:rPr>
        <w:t xml:space="preserve">Productos </w:t>
      </w:r>
      <w:r w:rsidR="009A256F" w:rsidRPr="0025381D">
        <w:rPr>
          <w:rFonts w:ascii="Bahnschrift Light SemiCondensed" w:hAnsi="Bahnschrift Light SemiCondensed"/>
          <w:lang w:val="es-ES"/>
        </w:rPr>
        <w:t>para la higiene menstrual</w:t>
      </w:r>
      <w:r w:rsidRPr="0025381D">
        <w:rPr>
          <w:rFonts w:ascii="Bahnschrift Light SemiCondensed" w:hAnsi="Bahnschrift Light SemiCondensed"/>
          <w:lang w:val="es-ES"/>
        </w:rPr>
        <w:t xml:space="preserve">, </w:t>
      </w:r>
      <w:r w:rsidR="009A256F" w:rsidRPr="0025381D">
        <w:rPr>
          <w:rFonts w:ascii="Bahnschrift Light SemiCondensed" w:hAnsi="Bahnschrift Light SemiCondensed"/>
          <w:lang w:val="es-ES"/>
        </w:rPr>
        <w:t xml:space="preserve">el </w:t>
      </w:r>
      <w:r w:rsidRPr="0025381D">
        <w:rPr>
          <w:rFonts w:ascii="Bahnschrift Light SemiCondensed" w:hAnsi="Bahnschrift Light SemiCondensed"/>
          <w:lang w:val="es-ES"/>
        </w:rPr>
        <w:t xml:space="preserve">manejo del dolor menstrual y </w:t>
      </w:r>
      <w:r w:rsidR="009A256F" w:rsidRPr="0025381D">
        <w:rPr>
          <w:rFonts w:ascii="Bahnschrift Light SemiCondensed" w:hAnsi="Bahnschrift Light SemiCondensed"/>
          <w:lang w:val="es-ES"/>
        </w:rPr>
        <w:t xml:space="preserve">la </w:t>
      </w:r>
      <w:r w:rsidRPr="0025381D">
        <w:rPr>
          <w:rFonts w:ascii="Bahnschrift Light SemiCondensed" w:hAnsi="Bahnschrift Light SemiCondensed"/>
          <w:lang w:val="es-ES"/>
        </w:rPr>
        <w:t>regulación menstrual;</w:t>
      </w:r>
    </w:p>
    <w:p w14:paraId="031AC3CF" w14:textId="5E9955A6" w:rsidR="00C57295" w:rsidRPr="0025381D" w:rsidRDefault="00C57295" w:rsidP="003D4C73">
      <w:pPr>
        <w:pStyle w:val="Prrafodelista"/>
        <w:numPr>
          <w:ilvl w:val="0"/>
          <w:numId w:val="3"/>
        </w:numPr>
        <w:jc w:val="both"/>
        <w:rPr>
          <w:rFonts w:ascii="Bahnschrift Light SemiCondensed" w:hAnsi="Bahnschrift Light SemiCondensed"/>
          <w:lang w:val="es-ES"/>
        </w:rPr>
      </w:pPr>
      <w:r w:rsidRPr="0025381D">
        <w:rPr>
          <w:rFonts w:ascii="Bahnschrift Light SemiCondensed" w:hAnsi="Bahnschrift Light SemiCondensed"/>
          <w:lang w:val="es-ES"/>
        </w:rPr>
        <w:t xml:space="preserve">Prevención, investigación y castigo de todas las formas de violencia de género, acceso a intervenciones médicas oportunas e integrales, atención de salud mental y apoyo psicosocial para </w:t>
      </w:r>
      <w:r w:rsidR="009A256F" w:rsidRPr="0025381D">
        <w:rPr>
          <w:rFonts w:ascii="Bahnschrift Light SemiCondensed" w:hAnsi="Bahnschrift Light SemiCondensed"/>
          <w:lang w:val="es-ES"/>
        </w:rPr>
        <w:t xml:space="preserve">las </w:t>
      </w:r>
      <w:r w:rsidRPr="0025381D">
        <w:rPr>
          <w:rFonts w:ascii="Bahnschrift Light SemiCondensed" w:hAnsi="Bahnschrift Light SemiCondensed"/>
          <w:lang w:val="es-ES"/>
        </w:rPr>
        <w:t>víctimas y</w:t>
      </w:r>
      <w:r w:rsidR="009A256F" w:rsidRPr="0025381D">
        <w:rPr>
          <w:rFonts w:ascii="Bahnschrift Light SemiCondensed" w:hAnsi="Bahnschrift Light SemiCondensed"/>
          <w:lang w:val="es-ES"/>
        </w:rPr>
        <w:t xml:space="preserve"> l</w:t>
      </w:r>
      <w:r w:rsidR="007637F8" w:rsidRPr="0025381D">
        <w:rPr>
          <w:rFonts w:ascii="Bahnschrift Light SemiCondensed" w:hAnsi="Bahnschrift Light SemiCondensed"/>
          <w:lang w:val="es-ES"/>
        </w:rPr>
        <w:t>a</w:t>
      </w:r>
      <w:r w:rsidR="009A256F" w:rsidRPr="0025381D">
        <w:rPr>
          <w:rFonts w:ascii="Bahnschrift Light SemiCondensed" w:hAnsi="Bahnschrift Light SemiCondensed"/>
          <w:lang w:val="es-ES"/>
        </w:rPr>
        <w:t xml:space="preserve">s </w:t>
      </w:r>
      <w:r w:rsidRPr="0025381D">
        <w:rPr>
          <w:rFonts w:ascii="Bahnschrift Light SemiCondensed" w:hAnsi="Bahnschrift Light SemiCondensed"/>
          <w:lang w:val="es-ES"/>
        </w:rPr>
        <w:t>sobrevivientes;</w:t>
      </w:r>
    </w:p>
    <w:p w14:paraId="34D67E4B" w14:textId="3B77AAF4" w:rsidR="00C57295" w:rsidRPr="0025381D" w:rsidRDefault="00C57295" w:rsidP="003D4C73">
      <w:pPr>
        <w:pStyle w:val="Prrafodelista"/>
        <w:numPr>
          <w:ilvl w:val="0"/>
          <w:numId w:val="3"/>
        </w:numPr>
        <w:jc w:val="both"/>
        <w:rPr>
          <w:rFonts w:ascii="Bahnschrift Light SemiCondensed" w:hAnsi="Bahnschrift Light SemiCondensed"/>
          <w:lang w:val="es-ES"/>
        </w:rPr>
      </w:pPr>
      <w:r w:rsidRPr="0025381D">
        <w:rPr>
          <w:rFonts w:ascii="Bahnschrift Light SemiCondensed" w:hAnsi="Bahnschrift Light SemiCondensed"/>
          <w:lang w:val="es-ES"/>
        </w:rPr>
        <w:t xml:space="preserve">Medidas para </w:t>
      </w:r>
      <w:r w:rsidR="009A256F" w:rsidRPr="0025381D">
        <w:rPr>
          <w:rFonts w:ascii="Bahnschrift Light SemiCondensed" w:hAnsi="Bahnschrift Light SemiCondensed"/>
          <w:lang w:val="es-ES"/>
        </w:rPr>
        <w:t>prevenir</w:t>
      </w:r>
      <w:r w:rsidRPr="0025381D">
        <w:rPr>
          <w:rFonts w:ascii="Bahnschrift Light SemiCondensed" w:hAnsi="Bahnschrift Light SemiCondensed"/>
          <w:lang w:val="es-ES"/>
        </w:rPr>
        <w:t xml:space="preserve"> y prohib</w:t>
      </w:r>
      <w:r w:rsidR="009A256F" w:rsidRPr="0025381D">
        <w:rPr>
          <w:rFonts w:ascii="Bahnschrift Light SemiCondensed" w:hAnsi="Bahnschrift Light SemiCondensed"/>
          <w:lang w:val="es-ES"/>
        </w:rPr>
        <w:t>ir pr</w:t>
      </w:r>
      <w:r w:rsidR="009A256F" w:rsidRPr="0025381D">
        <w:rPr>
          <w:rFonts w:ascii="Bahnschrift Light SemiCondensed" w:hAnsi="Bahnschrift Light SemiCondensed" w:cstheme="minorHAnsi"/>
          <w:lang w:val="es-ES"/>
        </w:rPr>
        <w:t>á</w:t>
      </w:r>
      <w:r w:rsidR="009A256F" w:rsidRPr="0025381D">
        <w:rPr>
          <w:rFonts w:ascii="Bahnschrift Light SemiCondensed" w:hAnsi="Bahnschrift Light SemiCondensed"/>
          <w:lang w:val="es-ES"/>
        </w:rPr>
        <w:t>cticas tales</w:t>
      </w:r>
      <w:r w:rsidRPr="0025381D">
        <w:rPr>
          <w:rFonts w:ascii="Bahnschrift Light SemiCondensed" w:hAnsi="Bahnschrift Light SemiCondensed"/>
          <w:lang w:val="es-ES"/>
        </w:rPr>
        <w:t xml:space="preserve"> como la mutilación genital femenina</w:t>
      </w:r>
      <w:r w:rsidR="009A256F" w:rsidRPr="0025381D">
        <w:rPr>
          <w:rFonts w:ascii="Bahnschrift Light SemiCondensed" w:hAnsi="Bahnschrift Light SemiCondensed"/>
          <w:lang w:val="es-ES"/>
        </w:rPr>
        <w:t xml:space="preserve"> y</w:t>
      </w:r>
      <w:r w:rsidRPr="0025381D">
        <w:rPr>
          <w:rFonts w:ascii="Bahnschrift Light SemiCondensed" w:hAnsi="Bahnschrift Light SemiCondensed"/>
          <w:lang w:val="es-ES"/>
        </w:rPr>
        <w:t xml:space="preserve"> el matrimonio infanti</w:t>
      </w:r>
      <w:r w:rsidR="00A41DC2" w:rsidRPr="0025381D">
        <w:rPr>
          <w:rFonts w:ascii="Bahnschrift Light SemiCondensed" w:hAnsi="Bahnschrift Light SemiCondensed"/>
          <w:lang w:val="es-ES"/>
        </w:rPr>
        <w:t xml:space="preserve">l, </w:t>
      </w:r>
      <w:r w:rsidR="00166DD3" w:rsidRPr="0025381D">
        <w:rPr>
          <w:rFonts w:ascii="Bahnschrift Light SemiCondensed" w:hAnsi="Bahnschrift Light SemiCondensed"/>
          <w:lang w:val="es-ES"/>
        </w:rPr>
        <w:t>preco</w:t>
      </w:r>
      <w:r w:rsidR="007637F8" w:rsidRPr="0025381D">
        <w:rPr>
          <w:rFonts w:ascii="Bahnschrift Light SemiCondensed" w:hAnsi="Bahnschrift Light SemiCondensed"/>
          <w:lang w:val="es-ES"/>
        </w:rPr>
        <w:t>z</w:t>
      </w:r>
      <w:r w:rsidRPr="0025381D">
        <w:rPr>
          <w:rFonts w:ascii="Bahnschrift Light SemiCondensed" w:hAnsi="Bahnschrift Light SemiCondensed"/>
          <w:lang w:val="es-ES"/>
        </w:rPr>
        <w:t xml:space="preserve"> y forzado;</w:t>
      </w:r>
    </w:p>
    <w:p w14:paraId="23B7CF87" w14:textId="78E630D3" w:rsidR="00C57295" w:rsidRPr="0025381D" w:rsidRDefault="00C57295" w:rsidP="003D4C73">
      <w:pPr>
        <w:pStyle w:val="Prrafodelista"/>
        <w:numPr>
          <w:ilvl w:val="0"/>
          <w:numId w:val="3"/>
        </w:numPr>
        <w:jc w:val="both"/>
        <w:rPr>
          <w:rFonts w:ascii="Bahnschrift Light SemiCondensed" w:hAnsi="Bahnschrift Light SemiCondensed"/>
          <w:lang w:val="es-ES"/>
        </w:rPr>
      </w:pPr>
      <w:r w:rsidRPr="0025381D">
        <w:rPr>
          <w:rFonts w:ascii="Bahnschrift Light SemiCondensed" w:hAnsi="Bahnschrift Light SemiCondensed"/>
          <w:lang w:val="es-ES"/>
        </w:rPr>
        <w:t xml:space="preserve">Garantías legales y </w:t>
      </w:r>
      <w:r w:rsidR="009A256F" w:rsidRPr="0025381D">
        <w:rPr>
          <w:rFonts w:ascii="Bahnschrift Light SemiCondensed" w:hAnsi="Bahnschrift Light SemiCondensed"/>
          <w:lang w:val="es-ES"/>
        </w:rPr>
        <w:t xml:space="preserve">de </w:t>
      </w:r>
      <w:r w:rsidRPr="0025381D">
        <w:rPr>
          <w:rFonts w:ascii="Bahnschrift Light SemiCondensed" w:hAnsi="Bahnschrift Light SemiCondensed"/>
          <w:lang w:val="es-ES"/>
        </w:rPr>
        <w:t xml:space="preserve">políticas contra abusos y demoras en la prestación de servicios de </w:t>
      </w:r>
      <w:r w:rsidR="007637F8" w:rsidRPr="0025381D">
        <w:rPr>
          <w:rFonts w:ascii="Bahnschrift Light SemiCondensed" w:hAnsi="Bahnschrift Light SemiCondensed"/>
          <w:lang w:val="es-ES"/>
        </w:rPr>
        <w:t>salud sexual y reproductiva</w:t>
      </w:r>
      <w:r w:rsidRPr="0025381D">
        <w:rPr>
          <w:rFonts w:ascii="Bahnschrift Light SemiCondensed" w:hAnsi="Bahnschrift Light SemiCondensed"/>
          <w:lang w:val="es-ES"/>
        </w:rPr>
        <w:t xml:space="preserve">, por ejemplo, en relación con la confidencialidad, referencias, consentimiento informado, objeción de conciencia y requisitos </w:t>
      </w:r>
      <w:r w:rsidR="009A256F" w:rsidRPr="0025381D">
        <w:rPr>
          <w:rFonts w:ascii="Bahnschrift Light SemiCondensed" w:hAnsi="Bahnschrift Light SemiCondensed"/>
          <w:lang w:val="es-ES"/>
        </w:rPr>
        <w:t>relativos al</w:t>
      </w:r>
      <w:r w:rsidRPr="0025381D">
        <w:rPr>
          <w:rFonts w:ascii="Bahnschrift Light SemiCondensed" w:hAnsi="Bahnschrift Light SemiCondensed"/>
          <w:lang w:val="es-ES"/>
        </w:rPr>
        <w:t xml:space="preserve"> consentimiento de terceros;</w:t>
      </w:r>
    </w:p>
    <w:p w14:paraId="5DA13513" w14:textId="31EBF4DB" w:rsidR="00C57295" w:rsidRPr="0025381D" w:rsidRDefault="00C57295" w:rsidP="003D4C73">
      <w:pPr>
        <w:pStyle w:val="Prrafodelista"/>
        <w:numPr>
          <w:ilvl w:val="0"/>
          <w:numId w:val="3"/>
        </w:numPr>
        <w:jc w:val="both"/>
        <w:rPr>
          <w:rFonts w:ascii="Bahnschrift Light SemiCondensed" w:hAnsi="Bahnschrift Light SemiCondensed"/>
          <w:lang w:val="es-ES"/>
        </w:rPr>
      </w:pPr>
      <w:r w:rsidRPr="0025381D">
        <w:rPr>
          <w:rFonts w:ascii="Bahnschrift Light SemiCondensed" w:hAnsi="Bahnschrift Light SemiCondensed"/>
          <w:lang w:val="es-ES"/>
        </w:rPr>
        <w:t xml:space="preserve">La asequibilidad de los servicios de </w:t>
      </w:r>
      <w:r w:rsidR="0022395B" w:rsidRPr="0025381D">
        <w:rPr>
          <w:rFonts w:ascii="Bahnschrift Light SemiCondensed" w:hAnsi="Bahnschrift Light SemiCondensed"/>
          <w:lang w:val="es-ES"/>
        </w:rPr>
        <w:t>salud sexual y reproductiva</w:t>
      </w:r>
      <w:r w:rsidRPr="0025381D">
        <w:rPr>
          <w:rFonts w:ascii="Bahnschrift Light SemiCondensed" w:hAnsi="Bahnschrift Light SemiCondensed"/>
          <w:lang w:val="es-ES"/>
        </w:rPr>
        <w:t xml:space="preserve"> especialmente en relación con </w:t>
      </w:r>
      <w:r w:rsidR="009A256F" w:rsidRPr="0025381D">
        <w:rPr>
          <w:rFonts w:ascii="Bahnschrift Light SemiCondensed" w:hAnsi="Bahnschrift Light SemiCondensed"/>
          <w:lang w:val="es-ES"/>
        </w:rPr>
        <w:t xml:space="preserve">mujeres y niñas </w:t>
      </w:r>
      <w:r w:rsidRPr="0025381D">
        <w:rPr>
          <w:rFonts w:ascii="Bahnschrift Light SemiCondensed" w:hAnsi="Bahnschrift Light SemiCondensed"/>
          <w:lang w:val="es-ES"/>
        </w:rPr>
        <w:t>en situaciones de vulnerabilidad; y</w:t>
      </w:r>
    </w:p>
    <w:p w14:paraId="3E77F1EB" w14:textId="1A91E16F" w:rsidR="00096F63" w:rsidRPr="0025381D" w:rsidRDefault="0022395B" w:rsidP="003D4C73">
      <w:pPr>
        <w:pStyle w:val="Prrafodelista"/>
        <w:numPr>
          <w:ilvl w:val="0"/>
          <w:numId w:val="3"/>
        </w:numPr>
        <w:jc w:val="both"/>
        <w:rPr>
          <w:rFonts w:ascii="Bahnschrift Light SemiCondensed" w:hAnsi="Bahnschrift Light SemiCondensed"/>
          <w:lang w:val="es-ES"/>
        </w:rPr>
      </w:pPr>
      <w:r w:rsidRPr="0025381D">
        <w:rPr>
          <w:rFonts w:ascii="Bahnschrift Light SemiCondensed" w:hAnsi="Bahnschrift Light SemiCondensed"/>
          <w:lang w:val="es-ES"/>
        </w:rPr>
        <w:t>Cualquier</w:t>
      </w:r>
      <w:r w:rsidR="00C57295" w:rsidRPr="0025381D">
        <w:rPr>
          <w:rFonts w:ascii="Bahnschrift Light SemiCondensed" w:hAnsi="Bahnschrift Light SemiCondensed"/>
          <w:lang w:val="es-ES"/>
        </w:rPr>
        <w:t xml:space="preserve"> información pertinente que pueda afectar la disponibilidad, accesibilidad, asequibilidad, aceptabilidad y calidad de la información y los servicios de </w:t>
      </w:r>
      <w:r w:rsidRPr="0025381D">
        <w:rPr>
          <w:rFonts w:ascii="Bahnschrift Light SemiCondensed" w:hAnsi="Bahnschrift Light SemiCondensed"/>
          <w:lang w:val="es-ES"/>
        </w:rPr>
        <w:t>salud sexual y reproductiva</w:t>
      </w:r>
      <w:r w:rsidR="00C57295" w:rsidRPr="0025381D">
        <w:rPr>
          <w:rFonts w:ascii="Bahnschrift Light SemiCondensed" w:hAnsi="Bahnschrift Light SemiCondensed"/>
          <w:lang w:val="es-ES"/>
        </w:rPr>
        <w:t>.</w:t>
      </w:r>
    </w:p>
    <w:p w14:paraId="04670399" w14:textId="0172A458" w:rsidR="00096F63" w:rsidRPr="0025381D" w:rsidRDefault="00096F63" w:rsidP="003D4C73">
      <w:pPr>
        <w:jc w:val="both"/>
        <w:rPr>
          <w:rFonts w:ascii="Bahnschrift Light SemiCondensed" w:hAnsi="Bahnschrift Light SemiCondensed"/>
          <w:b/>
          <w:u w:val="single"/>
          <w:lang w:val="es-ES"/>
        </w:rPr>
      </w:pPr>
      <w:r w:rsidRPr="0025381D">
        <w:rPr>
          <w:rFonts w:ascii="Bahnschrift Light SemiCondensed" w:hAnsi="Bahnschrift Light SemiCondensed"/>
          <w:b/>
          <w:u w:val="single"/>
          <w:lang w:val="es-ES"/>
        </w:rPr>
        <w:t>Experiencias de crisis</w:t>
      </w:r>
    </w:p>
    <w:p w14:paraId="09B0135B" w14:textId="313A9DD6" w:rsidR="009F3727" w:rsidRPr="0025381D" w:rsidRDefault="00965318" w:rsidP="009F3727">
      <w:pPr>
        <w:pStyle w:val="Prrafodelista"/>
        <w:numPr>
          <w:ilvl w:val="0"/>
          <w:numId w:val="1"/>
        </w:numPr>
        <w:tabs>
          <w:tab w:val="left" w:pos="1035"/>
        </w:tabs>
        <w:jc w:val="both"/>
        <w:rPr>
          <w:rFonts w:ascii="Bahnschrift Light SemiCondensed" w:hAnsi="Bahnschrift Light SemiCondensed"/>
          <w:lang w:val="es-ES"/>
        </w:rPr>
      </w:pPr>
      <w:r w:rsidRPr="00345893">
        <w:rPr>
          <w:rFonts w:ascii="Bahnschrift Light SemiCondensed" w:hAnsi="Bahnschrift Light SemiCondensed"/>
          <w:lang w:val="es-ES"/>
        </w:rPr>
        <w:t>S</w:t>
      </w:r>
      <w:r w:rsidR="0022395B" w:rsidRPr="00345893">
        <w:rPr>
          <w:rFonts w:ascii="Bahnschrift Light SemiCondensed" w:hAnsi="Bahnschrift Light SemiCondensed"/>
          <w:lang w:val="es-ES"/>
        </w:rPr>
        <w:t>írvase</w:t>
      </w:r>
      <w:r w:rsidRPr="00345893">
        <w:rPr>
          <w:rFonts w:ascii="Bahnschrift Light SemiCondensed" w:hAnsi="Bahnschrift Light SemiCondensed"/>
          <w:lang w:val="es-ES"/>
        </w:rPr>
        <w:t xml:space="preserve"> </w:t>
      </w:r>
      <w:r w:rsidR="00543B89" w:rsidRPr="00345893">
        <w:rPr>
          <w:rFonts w:ascii="Bahnschrift Light SemiCondensed" w:hAnsi="Bahnschrift Light SemiCondensed"/>
          <w:lang w:val="es-ES"/>
        </w:rPr>
        <w:t>e</w:t>
      </w:r>
      <w:r w:rsidRPr="00345893">
        <w:rPr>
          <w:rFonts w:ascii="Bahnschrift Light SemiCondensed" w:hAnsi="Bahnschrift Light SemiCondensed"/>
          <w:lang w:val="es-ES"/>
        </w:rPr>
        <w:t xml:space="preserve">numerar las situaciones de crisis experimentadas por su Estado en los últimos cinco </w:t>
      </w:r>
      <w:r w:rsidRPr="0025381D">
        <w:rPr>
          <w:rFonts w:ascii="Bahnschrift Light SemiCondensed" w:hAnsi="Bahnschrift Light SemiCondensed"/>
          <w:lang w:val="es-ES"/>
        </w:rPr>
        <w:t>años.</w:t>
      </w:r>
    </w:p>
    <w:p w14:paraId="5E7DB92E" w14:textId="3811ABB2" w:rsidR="00E33174" w:rsidRPr="0025381D" w:rsidRDefault="00B9266D" w:rsidP="00E33174">
      <w:pPr>
        <w:pStyle w:val="Prrafodelista"/>
        <w:tabs>
          <w:tab w:val="left" w:pos="1035"/>
        </w:tabs>
        <w:jc w:val="both"/>
        <w:rPr>
          <w:rFonts w:ascii="Bahnschrift Light SemiCondensed" w:hAnsi="Bahnschrift Light SemiCondensed"/>
          <w:lang w:val="es-ES"/>
        </w:rPr>
      </w:pPr>
      <w:r w:rsidRPr="0025381D">
        <w:rPr>
          <w:rFonts w:ascii="Bahnschrift Light SemiCondensed" w:hAnsi="Bahnschrift Light SemiCondensed"/>
          <w:lang w:val="es-ES"/>
        </w:rPr>
        <w:t>Nicaragua es un país marcado por diferentes crisis. En  este sentido,  el país se ha enfrentado  crisis ambientales (huracanes, terremotos e  inundaciones), conflictos armados,  crisis sanitarias, crisis políticas y pandémicas. La dos últimas crisis  que enfrento el Estado de Nicaragua de carácter nacional fue la crisis política que surgió a raíz del descontento político de la ciudanía por medidas políticas administrativas</w:t>
      </w:r>
      <w:r w:rsidR="00E33174" w:rsidRPr="0025381D">
        <w:rPr>
          <w:rFonts w:ascii="Bahnschrift Light SemiCondensed" w:hAnsi="Bahnschrift Light SemiCondensed"/>
          <w:lang w:val="es-ES"/>
        </w:rPr>
        <w:t xml:space="preserve"> que estaba implementado</w:t>
      </w:r>
      <w:r w:rsidRPr="0025381D">
        <w:rPr>
          <w:rFonts w:ascii="Bahnschrift Light SemiCondensed" w:hAnsi="Bahnschrift Light SemiCondensed"/>
          <w:lang w:val="es-ES"/>
        </w:rPr>
        <w:t xml:space="preserve"> el Estado de Nicaragua. La otra se refiere a la crisis producida por la pandemia resultado a la covid 19.  En ambos casos las organizaciones </w:t>
      </w:r>
      <w:r w:rsidR="00E33174" w:rsidRPr="0025381D">
        <w:rPr>
          <w:rFonts w:ascii="Bahnschrift Light SemiCondensed" w:hAnsi="Bahnschrift Light SemiCondensed"/>
          <w:lang w:val="es-ES"/>
        </w:rPr>
        <w:t xml:space="preserve">no gubernamentales con presencia en el país que hemos vivido estas Crisis valoramos </w:t>
      </w:r>
      <w:r w:rsidRPr="0025381D">
        <w:rPr>
          <w:rFonts w:ascii="Bahnschrift Light SemiCondensed" w:hAnsi="Bahnschrift Light SemiCondensed"/>
          <w:lang w:val="es-ES"/>
        </w:rPr>
        <w:t>que el Estado  no  estableció un plan de emergencia para dar atención a ambas crisis que han repercutido socialmente  y económicamente en la vida de los pobladores Nicaragüense.</w:t>
      </w:r>
      <w:r w:rsidR="00E33174" w:rsidRPr="0025381D">
        <w:rPr>
          <w:rFonts w:ascii="Bahnschrift Light SemiCondensed" w:hAnsi="Bahnschrift Light SemiCondensed"/>
          <w:lang w:val="es-ES"/>
        </w:rPr>
        <w:t xml:space="preserve"> </w:t>
      </w:r>
      <w:r w:rsidRPr="0025381D">
        <w:rPr>
          <w:rFonts w:ascii="Bahnschrift Light SemiCondensed" w:hAnsi="Bahnschrift Light SemiCondensed"/>
          <w:lang w:val="es-ES"/>
        </w:rPr>
        <w:t xml:space="preserve">En el caso particular de los Pueblos Indígenas existe un contexto de crisis de la cual no ha aborda el Estado de Nicaragua, nos referimos a la crisis producida por la falta de seguridad jurídica  de </w:t>
      </w:r>
      <w:r w:rsidRPr="0025381D">
        <w:rPr>
          <w:rFonts w:ascii="Bahnschrift Light SemiCondensed" w:hAnsi="Bahnschrift Light SemiCondensed"/>
          <w:lang w:val="es-ES"/>
        </w:rPr>
        <w:lastRenderedPageBreak/>
        <w:t>los Territorios de los Pueblos Indígenas.  Este contexto ha generado  la invasión de colonos quienes se han posicionado en territorios indígenas y con acciones de violencia han desplazado a más de 1,002 indígenas</w:t>
      </w:r>
      <w:r w:rsidR="008C3C55" w:rsidRPr="0025381D">
        <w:rPr>
          <w:rFonts w:ascii="Bahnschrift Light SemiCondensed" w:hAnsi="Bahnschrift Light SemiCondensed"/>
          <w:lang w:val="es-ES"/>
        </w:rPr>
        <w:t xml:space="preserve">, entre ellos, </w:t>
      </w:r>
      <w:r w:rsidRPr="0025381D">
        <w:rPr>
          <w:rFonts w:ascii="Bahnschrift Light SemiCondensed" w:hAnsi="Bahnschrift Light SemiCondensed"/>
          <w:lang w:val="es-ES"/>
        </w:rPr>
        <w:t xml:space="preserve">niños (as) NAMJ, mujeres, ancianos etc.  </w:t>
      </w:r>
    </w:p>
    <w:p w14:paraId="6B6DDBA1" w14:textId="77777777" w:rsidR="00E33174" w:rsidRPr="0025381D" w:rsidRDefault="00E33174" w:rsidP="00E33174">
      <w:pPr>
        <w:pStyle w:val="Prrafodelista"/>
        <w:tabs>
          <w:tab w:val="left" w:pos="1035"/>
        </w:tabs>
        <w:jc w:val="both"/>
        <w:rPr>
          <w:rFonts w:ascii="Bahnschrift Light SemiCondensed" w:hAnsi="Bahnschrift Light SemiCondensed"/>
          <w:lang w:val="es-ES"/>
        </w:rPr>
      </w:pPr>
    </w:p>
    <w:p w14:paraId="09D50B1F" w14:textId="78FD3FE2" w:rsidR="009F3727" w:rsidRPr="0025381D" w:rsidRDefault="008C3C55" w:rsidP="00B9266D">
      <w:pPr>
        <w:tabs>
          <w:tab w:val="left" w:pos="1035"/>
        </w:tabs>
        <w:ind w:left="360"/>
        <w:jc w:val="both"/>
        <w:rPr>
          <w:rFonts w:ascii="Bahnschrift Light SemiCondensed" w:hAnsi="Bahnschrift Light SemiCondensed"/>
          <w:b/>
          <w:lang w:val="es-ES"/>
        </w:rPr>
      </w:pPr>
      <w:r w:rsidRPr="0025381D">
        <w:rPr>
          <w:rFonts w:ascii="Bahnschrift Light SemiCondensed" w:hAnsi="Bahnschrift Light SemiCondensed"/>
          <w:b/>
          <w:lang w:val="es-ES"/>
        </w:rPr>
        <w:tab/>
      </w:r>
      <w:r w:rsidR="00B9266D" w:rsidRPr="0025381D">
        <w:rPr>
          <w:rFonts w:ascii="Bahnschrift Light SemiCondensed" w:hAnsi="Bahnschrift Light SemiCondensed"/>
          <w:b/>
          <w:lang w:val="es-ES"/>
        </w:rPr>
        <w:t xml:space="preserve">De impacto nacional </w:t>
      </w:r>
    </w:p>
    <w:p w14:paraId="5AB4D149" w14:textId="0B1881E7" w:rsidR="00B9266D" w:rsidRPr="0025381D" w:rsidRDefault="00B9266D" w:rsidP="00B9266D">
      <w:pPr>
        <w:pStyle w:val="Prrafodelista"/>
        <w:numPr>
          <w:ilvl w:val="0"/>
          <w:numId w:val="13"/>
        </w:numPr>
        <w:tabs>
          <w:tab w:val="left" w:pos="1035"/>
        </w:tabs>
        <w:jc w:val="both"/>
        <w:rPr>
          <w:rFonts w:ascii="Bahnschrift Light SemiCondensed" w:hAnsi="Bahnschrift Light SemiCondensed"/>
          <w:lang w:val="es-ES"/>
        </w:rPr>
      </w:pPr>
      <w:r w:rsidRPr="0025381D">
        <w:rPr>
          <w:rFonts w:ascii="Bahnschrift Light SemiCondensed" w:hAnsi="Bahnschrift Light SemiCondensed"/>
          <w:lang w:val="es-ES"/>
        </w:rPr>
        <w:t>Altas índices de violencia de género, incluidos los asesinatos de mujeres.</w:t>
      </w:r>
    </w:p>
    <w:p w14:paraId="4D5298F0" w14:textId="54E05343" w:rsidR="00B9266D" w:rsidRPr="0025381D" w:rsidRDefault="00B9266D" w:rsidP="00B9266D">
      <w:pPr>
        <w:pStyle w:val="Prrafodelista"/>
        <w:numPr>
          <w:ilvl w:val="0"/>
          <w:numId w:val="13"/>
        </w:numPr>
        <w:tabs>
          <w:tab w:val="left" w:pos="1035"/>
        </w:tabs>
        <w:jc w:val="both"/>
        <w:rPr>
          <w:rFonts w:ascii="Bahnschrift Light SemiCondensed" w:hAnsi="Bahnschrift Light SemiCondensed"/>
          <w:lang w:val="es-ES"/>
        </w:rPr>
      </w:pPr>
      <w:r w:rsidRPr="0025381D">
        <w:rPr>
          <w:rFonts w:ascii="Bahnschrift Light SemiCondensed" w:hAnsi="Bahnschrift Light SemiCondensed"/>
          <w:lang w:val="es-ES"/>
        </w:rPr>
        <w:t xml:space="preserve"> Crisis política del 19 de abril.</w:t>
      </w:r>
    </w:p>
    <w:p w14:paraId="4FCE3A5E" w14:textId="606E059C" w:rsidR="00B9266D" w:rsidRPr="0025381D" w:rsidRDefault="008B3A38" w:rsidP="00B9266D">
      <w:pPr>
        <w:pStyle w:val="Prrafodelista"/>
        <w:numPr>
          <w:ilvl w:val="0"/>
          <w:numId w:val="13"/>
        </w:numPr>
        <w:tabs>
          <w:tab w:val="left" w:pos="1035"/>
        </w:tabs>
        <w:jc w:val="both"/>
        <w:rPr>
          <w:rFonts w:ascii="Bahnschrift Light SemiCondensed" w:hAnsi="Bahnschrift Light SemiCondensed"/>
          <w:lang w:val="es-ES"/>
        </w:rPr>
      </w:pPr>
      <w:r w:rsidRPr="0025381D">
        <w:rPr>
          <w:rFonts w:ascii="Bahnschrift Light SemiCondensed" w:hAnsi="Bahnschrift Light SemiCondensed"/>
          <w:lang w:val="es-ES"/>
        </w:rPr>
        <w:t xml:space="preserve"> Pandemia </w:t>
      </w:r>
      <w:r w:rsidR="00B9266D" w:rsidRPr="0025381D">
        <w:rPr>
          <w:rFonts w:ascii="Bahnschrift Light SemiCondensed" w:hAnsi="Bahnschrift Light SemiCondensed"/>
          <w:lang w:val="es-ES"/>
        </w:rPr>
        <w:t xml:space="preserve">covid 19.  </w:t>
      </w:r>
    </w:p>
    <w:p w14:paraId="519A7234" w14:textId="18F48E21" w:rsidR="00B9266D" w:rsidRPr="0025381D" w:rsidRDefault="008C3C55" w:rsidP="00B9266D">
      <w:pPr>
        <w:tabs>
          <w:tab w:val="left" w:pos="1035"/>
        </w:tabs>
        <w:jc w:val="both"/>
        <w:rPr>
          <w:rFonts w:ascii="Bahnschrift Light SemiCondensed" w:hAnsi="Bahnschrift Light SemiCondensed"/>
          <w:b/>
          <w:lang w:val="es-ES"/>
        </w:rPr>
      </w:pPr>
      <w:r w:rsidRPr="0025381D">
        <w:rPr>
          <w:rFonts w:ascii="Bahnschrift Light SemiCondensed" w:hAnsi="Bahnschrift Light SemiCondensed"/>
          <w:b/>
          <w:lang w:val="es-ES"/>
        </w:rPr>
        <w:tab/>
      </w:r>
      <w:r w:rsidR="00B9266D" w:rsidRPr="0025381D">
        <w:rPr>
          <w:rFonts w:ascii="Bahnschrift Light SemiCondensed" w:hAnsi="Bahnschrift Light SemiCondensed"/>
          <w:b/>
          <w:lang w:val="es-ES"/>
        </w:rPr>
        <w:t xml:space="preserve">De impacto en la Costa Caribe de Nicaragua </w:t>
      </w:r>
    </w:p>
    <w:p w14:paraId="52248D93" w14:textId="77777777" w:rsidR="00B9266D" w:rsidRPr="0025381D" w:rsidRDefault="00B9266D" w:rsidP="00B9266D">
      <w:pPr>
        <w:pStyle w:val="Prrafodelista"/>
        <w:numPr>
          <w:ilvl w:val="0"/>
          <w:numId w:val="13"/>
        </w:numPr>
        <w:tabs>
          <w:tab w:val="left" w:pos="1035"/>
        </w:tabs>
        <w:jc w:val="both"/>
        <w:rPr>
          <w:rFonts w:ascii="Bahnschrift Light SemiCondensed" w:hAnsi="Bahnschrift Light SemiCondensed"/>
          <w:lang w:val="es-ES"/>
        </w:rPr>
      </w:pPr>
      <w:r w:rsidRPr="0025381D">
        <w:rPr>
          <w:rFonts w:ascii="Bahnschrift Light SemiCondensed" w:hAnsi="Bahnschrift Light SemiCondensed"/>
          <w:lang w:val="es-ES"/>
        </w:rPr>
        <w:t>Inundaciones del rio Coco/ Región Autónoma de la Costa Caribe.</w:t>
      </w:r>
    </w:p>
    <w:p w14:paraId="492E1AD7" w14:textId="515DE940" w:rsidR="009F3727" w:rsidRPr="0025381D" w:rsidRDefault="00B9266D" w:rsidP="009F3727">
      <w:pPr>
        <w:pStyle w:val="Prrafodelista"/>
        <w:numPr>
          <w:ilvl w:val="0"/>
          <w:numId w:val="13"/>
        </w:numPr>
        <w:tabs>
          <w:tab w:val="left" w:pos="1035"/>
        </w:tabs>
        <w:jc w:val="both"/>
        <w:rPr>
          <w:rFonts w:ascii="Bahnschrift Light SemiCondensed" w:hAnsi="Bahnschrift Light SemiCondensed"/>
          <w:lang w:val="es-ES"/>
        </w:rPr>
      </w:pPr>
      <w:r w:rsidRPr="0025381D">
        <w:rPr>
          <w:rFonts w:ascii="Bahnschrift Light SemiCondensed" w:hAnsi="Bahnschrift Light SemiCondensed"/>
          <w:lang w:val="es-ES"/>
        </w:rPr>
        <w:t>Invasión de colonos por la falta de seguridad jurídica territorial de los Pueblos Indígenas.</w:t>
      </w:r>
    </w:p>
    <w:p w14:paraId="2185130E" w14:textId="77777777" w:rsidR="00965318" w:rsidRPr="0025381D" w:rsidRDefault="00965318" w:rsidP="003D4C73">
      <w:pPr>
        <w:pStyle w:val="Prrafodelista"/>
        <w:tabs>
          <w:tab w:val="left" w:pos="1035"/>
        </w:tabs>
        <w:jc w:val="both"/>
        <w:rPr>
          <w:rFonts w:ascii="Bahnschrift Light SemiCondensed" w:hAnsi="Bahnschrift Light SemiCondensed"/>
          <w:lang w:val="es-ES"/>
        </w:rPr>
      </w:pPr>
    </w:p>
    <w:p w14:paraId="77DA2BCD" w14:textId="77777777" w:rsidR="008B3A38" w:rsidRPr="0025381D" w:rsidRDefault="008B3A38" w:rsidP="003D4C73">
      <w:pPr>
        <w:pStyle w:val="Prrafodelista"/>
        <w:tabs>
          <w:tab w:val="left" w:pos="1035"/>
        </w:tabs>
        <w:jc w:val="both"/>
        <w:rPr>
          <w:rFonts w:ascii="Bahnschrift Light SemiCondensed" w:hAnsi="Bahnschrift Light SemiCondensed"/>
          <w:lang w:val="es-ES"/>
        </w:rPr>
      </w:pPr>
    </w:p>
    <w:p w14:paraId="2D9C31AD" w14:textId="0C1759C6" w:rsidR="00965318" w:rsidRPr="0025381D" w:rsidRDefault="00965318" w:rsidP="003D4C73">
      <w:pPr>
        <w:pStyle w:val="Prrafodelista"/>
        <w:numPr>
          <w:ilvl w:val="0"/>
          <w:numId w:val="1"/>
        </w:numPr>
        <w:tabs>
          <w:tab w:val="left" w:pos="1035"/>
        </w:tabs>
        <w:jc w:val="both"/>
        <w:rPr>
          <w:rFonts w:ascii="Bahnschrift Light SemiCondensed" w:hAnsi="Bahnschrift Light SemiCondensed"/>
          <w:lang w:val="es-ES"/>
        </w:rPr>
      </w:pPr>
      <w:r w:rsidRPr="0025381D">
        <w:rPr>
          <w:rFonts w:ascii="Bahnschrift Light SemiCondensed" w:hAnsi="Bahnschrift Light SemiCondensed"/>
          <w:lang w:val="es-ES"/>
        </w:rPr>
        <w:t xml:space="preserve">¿Cuál fue el impacto de esas crisis en las mujeres y las niñas? </w:t>
      </w:r>
      <w:r w:rsidR="00543B89" w:rsidRPr="0025381D">
        <w:rPr>
          <w:rFonts w:ascii="Bahnschrift Light SemiCondensed" w:hAnsi="Bahnschrift Light SemiCondensed"/>
          <w:lang w:val="es-ES"/>
        </w:rPr>
        <w:t>Sírvase p</w:t>
      </w:r>
      <w:r w:rsidRPr="0025381D">
        <w:rPr>
          <w:rFonts w:ascii="Bahnschrift Light SemiCondensed" w:hAnsi="Bahnschrift Light SemiCondensed"/>
          <w:lang w:val="es-ES"/>
        </w:rPr>
        <w:t>roporcion</w:t>
      </w:r>
      <w:r w:rsidR="00543B89" w:rsidRPr="0025381D">
        <w:rPr>
          <w:rFonts w:ascii="Bahnschrift Light SemiCondensed" w:hAnsi="Bahnschrift Light SemiCondensed"/>
          <w:lang w:val="es-ES"/>
        </w:rPr>
        <w:t xml:space="preserve">ar </w:t>
      </w:r>
      <w:r w:rsidRPr="0025381D">
        <w:rPr>
          <w:rFonts w:ascii="Bahnschrift Light SemiCondensed" w:hAnsi="Bahnschrift Light SemiCondensed"/>
          <w:lang w:val="es-ES"/>
        </w:rPr>
        <w:t>información en particular sobre los siguientes aspectos:</w:t>
      </w:r>
    </w:p>
    <w:p w14:paraId="44220217" w14:textId="77777777" w:rsidR="00B9266D" w:rsidRPr="0025381D" w:rsidRDefault="00B9266D" w:rsidP="00B9266D">
      <w:pPr>
        <w:pStyle w:val="Prrafodelista"/>
        <w:tabs>
          <w:tab w:val="left" w:pos="1035"/>
        </w:tabs>
        <w:jc w:val="both"/>
        <w:rPr>
          <w:rFonts w:ascii="Bahnschrift Light SemiCondensed" w:hAnsi="Bahnschrift Light SemiCondensed"/>
          <w:lang w:val="es-ES"/>
        </w:rPr>
      </w:pPr>
    </w:p>
    <w:p w14:paraId="34698C3A" w14:textId="5FEC72F0" w:rsidR="008C3C55" w:rsidRPr="0025381D" w:rsidRDefault="00E33174" w:rsidP="00BA6A51">
      <w:pPr>
        <w:pStyle w:val="Prrafodelista"/>
        <w:tabs>
          <w:tab w:val="left" w:pos="1035"/>
        </w:tabs>
        <w:jc w:val="both"/>
        <w:rPr>
          <w:rFonts w:ascii="Bahnschrift Light SemiCondensed" w:hAnsi="Bahnschrift Light SemiCondensed"/>
          <w:lang w:val="es-ES"/>
        </w:rPr>
      </w:pPr>
      <w:r w:rsidRPr="0025381D">
        <w:rPr>
          <w:rFonts w:ascii="Bahnschrift Light SemiCondensed" w:hAnsi="Bahnschrift Light SemiCondensed"/>
          <w:lang w:val="es-ES"/>
        </w:rPr>
        <w:t>En el marco de esta pregunta nos referiremos a l</w:t>
      </w:r>
      <w:r w:rsidR="008C3C55" w:rsidRPr="0025381D">
        <w:rPr>
          <w:rFonts w:ascii="Bahnschrift Light SemiCondensed" w:hAnsi="Bahnschrift Light SemiCondensed"/>
          <w:lang w:val="es-ES"/>
        </w:rPr>
        <w:t xml:space="preserve">a crisis producida por la invasión </w:t>
      </w:r>
      <w:r w:rsidRPr="0025381D">
        <w:rPr>
          <w:rFonts w:ascii="Bahnschrift Light SemiCondensed" w:hAnsi="Bahnschrift Light SemiCondensed"/>
          <w:lang w:val="es-ES"/>
        </w:rPr>
        <w:t xml:space="preserve"> de colonos a poblaciones </w:t>
      </w:r>
      <w:r w:rsidR="008C3C55" w:rsidRPr="0025381D">
        <w:rPr>
          <w:rFonts w:ascii="Bahnschrift Light SemiCondensed" w:hAnsi="Bahnschrift Light SemiCondensed"/>
          <w:lang w:val="es-ES"/>
        </w:rPr>
        <w:t xml:space="preserve">indígenas por la falta de seguridad jurídica de sus territorios.  Esta experiencia deja   como resultado </w:t>
      </w:r>
      <w:r w:rsidRPr="0025381D">
        <w:rPr>
          <w:rFonts w:ascii="Bahnschrift Light SemiCondensed" w:hAnsi="Bahnschrift Light SemiCondensed"/>
          <w:lang w:val="es-ES"/>
        </w:rPr>
        <w:t xml:space="preserve"> </w:t>
      </w:r>
      <w:r w:rsidR="008C3C55" w:rsidRPr="0025381D">
        <w:rPr>
          <w:rFonts w:ascii="Bahnschrift Light SemiCondensed" w:hAnsi="Bahnschrift Light SemiCondensed"/>
          <w:lang w:val="es-ES"/>
        </w:rPr>
        <w:t>1002 personas desplazadas, de las cuales  las más afectadas  han sido niñas, niños, ANMJ y mujeres</w:t>
      </w:r>
      <w:r w:rsidR="00B57059" w:rsidRPr="0025381D">
        <w:rPr>
          <w:rFonts w:ascii="Bahnschrift Light SemiCondensed" w:hAnsi="Bahnschrift Light SemiCondensed"/>
          <w:lang w:val="es-ES"/>
        </w:rPr>
        <w:t xml:space="preserve"> de estos territorios</w:t>
      </w:r>
      <w:r w:rsidR="008C3C55" w:rsidRPr="0025381D">
        <w:rPr>
          <w:rFonts w:ascii="Bahnschrift Light SemiCondensed" w:hAnsi="Bahnschrift Light SemiCondensed"/>
          <w:lang w:val="es-ES"/>
        </w:rPr>
        <w:t xml:space="preserve">.  </w:t>
      </w:r>
      <w:r w:rsidR="00B57059" w:rsidRPr="0025381D">
        <w:rPr>
          <w:rFonts w:ascii="Bahnschrift Light SemiCondensed" w:hAnsi="Bahnschrift Light SemiCondensed"/>
          <w:lang w:val="es-ES"/>
        </w:rPr>
        <w:t>El desplazamiento ha generado una crisis se seguridad alimentaria   afectando a las familias que vive</w:t>
      </w:r>
      <w:r w:rsidR="00BA6A51" w:rsidRPr="0025381D">
        <w:rPr>
          <w:rFonts w:ascii="Bahnschrift Light SemiCondensed" w:hAnsi="Bahnschrift Light SemiCondensed"/>
          <w:lang w:val="es-ES"/>
        </w:rPr>
        <w:t>n</w:t>
      </w:r>
      <w:r w:rsidR="00B57059" w:rsidRPr="0025381D">
        <w:rPr>
          <w:rFonts w:ascii="Bahnschrift Light SemiCondensed" w:hAnsi="Bahnschrift Light SemiCondensed"/>
          <w:lang w:val="es-ES"/>
        </w:rPr>
        <w:t xml:space="preserve"> esta crisis. Sobre todo a las mujeres quienes  son las proveedoras de la alimentación en las familias. Otro de los impactos de esta crisis son </w:t>
      </w:r>
      <w:r w:rsidR="008C3C55" w:rsidRPr="0025381D">
        <w:rPr>
          <w:rFonts w:ascii="Bahnschrift Light SemiCondensed" w:hAnsi="Bahnschrift Light SemiCondensed"/>
          <w:lang w:val="es-ES"/>
        </w:rPr>
        <w:t>los daños</w:t>
      </w:r>
      <w:r w:rsidR="00B57059" w:rsidRPr="0025381D">
        <w:rPr>
          <w:rFonts w:ascii="Bahnschrift Light SemiCondensed" w:hAnsi="Bahnschrift Light SemiCondensed"/>
          <w:lang w:val="es-ES"/>
        </w:rPr>
        <w:t xml:space="preserve"> emocionales </w:t>
      </w:r>
      <w:r w:rsidR="008C3C55" w:rsidRPr="0025381D">
        <w:rPr>
          <w:rFonts w:ascii="Bahnschrift Light SemiCondensed" w:hAnsi="Bahnschrift Light SemiCondensed"/>
          <w:lang w:val="es-ES"/>
        </w:rPr>
        <w:t xml:space="preserve"> producidos</w:t>
      </w:r>
      <w:r w:rsidR="00BA6A51" w:rsidRPr="0025381D">
        <w:rPr>
          <w:rFonts w:ascii="Bahnschrift Light SemiCondensed" w:hAnsi="Bahnschrift Light SemiCondensed"/>
          <w:lang w:val="es-ES"/>
        </w:rPr>
        <w:t xml:space="preserve"> por el conflicto</w:t>
      </w:r>
      <w:r w:rsidR="00BA6A51" w:rsidRPr="0025381D">
        <w:rPr>
          <w:rStyle w:val="Refdenotaalpie"/>
          <w:rFonts w:ascii="Bahnschrift Light SemiCondensed" w:hAnsi="Bahnschrift Light SemiCondensed"/>
          <w:lang w:val="es-ES"/>
        </w:rPr>
        <w:footnoteReference w:id="4"/>
      </w:r>
      <w:r w:rsidR="00B57059" w:rsidRPr="0025381D">
        <w:rPr>
          <w:rFonts w:ascii="Bahnschrift Light SemiCondensed" w:hAnsi="Bahnschrift Light SemiCondensed"/>
          <w:lang w:val="es-ES"/>
        </w:rPr>
        <w:t xml:space="preserve">  </w:t>
      </w:r>
      <w:r w:rsidR="00BA6A51" w:rsidRPr="0025381D">
        <w:rPr>
          <w:rFonts w:ascii="Bahnschrift Light SemiCondensed" w:hAnsi="Bahnschrift Light SemiCondensed"/>
          <w:lang w:val="es-ES"/>
        </w:rPr>
        <w:t xml:space="preserve"> Estos hechos dejaron estragos emocionales, sobre todo a niños (as)  y mujeres. En varios procesos de auto cuido facilitados por CEJUDHCAN en el marco de esta crisis, las mujeres testimoniaron que ni ellas ni los niños pueden dormir a raíz del ataque de colonos.</w:t>
      </w:r>
    </w:p>
    <w:p w14:paraId="0D0244B2" w14:textId="6D12555C" w:rsidR="00BA6A51" w:rsidRPr="0025381D" w:rsidRDefault="00BA6A51" w:rsidP="00BA6A51">
      <w:pPr>
        <w:pStyle w:val="Prrafodelista"/>
        <w:tabs>
          <w:tab w:val="left" w:pos="1035"/>
        </w:tabs>
        <w:jc w:val="both"/>
        <w:rPr>
          <w:rFonts w:ascii="Bahnschrift Light SemiCondensed" w:hAnsi="Bahnschrift Light SemiCondensed"/>
          <w:lang w:val="es-ES"/>
        </w:rPr>
      </w:pPr>
      <w:r w:rsidRPr="0025381D">
        <w:rPr>
          <w:rFonts w:ascii="Bahnschrift Light SemiCondensed" w:hAnsi="Bahnschrift Light SemiCondensed"/>
          <w:lang w:val="es-ES"/>
        </w:rPr>
        <w:t xml:space="preserve"> </w:t>
      </w:r>
    </w:p>
    <w:p w14:paraId="347872E3" w14:textId="01C0662D" w:rsidR="00F76787" w:rsidRPr="0025381D" w:rsidRDefault="00BA6A51" w:rsidP="00E342E5">
      <w:pPr>
        <w:pStyle w:val="Prrafodelista"/>
        <w:tabs>
          <w:tab w:val="left" w:pos="1035"/>
        </w:tabs>
        <w:jc w:val="both"/>
        <w:rPr>
          <w:rFonts w:ascii="Bahnschrift Light SemiCondensed" w:hAnsi="Bahnschrift Light SemiCondensed"/>
          <w:lang w:val="es-ES"/>
        </w:rPr>
      </w:pPr>
      <w:r w:rsidRPr="0025381D">
        <w:rPr>
          <w:rFonts w:ascii="Bahnschrift Light SemiCondensed" w:hAnsi="Bahnschrift Light SemiCondensed"/>
          <w:lang w:val="es-ES"/>
        </w:rPr>
        <w:t xml:space="preserve"> El Estado </w:t>
      </w:r>
      <w:r w:rsidR="00863608" w:rsidRPr="0025381D">
        <w:rPr>
          <w:rFonts w:ascii="Bahnschrift Light SemiCondensed" w:hAnsi="Bahnschrift Light SemiCondensed"/>
          <w:lang w:val="es-ES"/>
        </w:rPr>
        <w:t xml:space="preserve"> ha sido </w:t>
      </w:r>
      <w:r w:rsidRPr="0025381D">
        <w:rPr>
          <w:rFonts w:ascii="Bahnschrift Light SemiCondensed" w:hAnsi="Bahnschrift Light SemiCondensed"/>
          <w:lang w:val="es-ES"/>
        </w:rPr>
        <w:t xml:space="preserve"> el responsable directo de esta crisis  porque no ha  creado un mecanismo que permita sanear los territorios indígenas y  ha  establecido una política de cohabitación con terceros (incluyendo co</w:t>
      </w:r>
      <w:r w:rsidR="00863608" w:rsidRPr="0025381D">
        <w:rPr>
          <w:rFonts w:ascii="Bahnschrift Light SemiCondensed" w:hAnsi="Bahnschrift Light SemiCondensed"/>
          <w:lang w:val="es-ES"/>
        </w:rPr>
        <w:t>lonos).  Sin embargo, producto a una lucha jurídica de los pobladores de estos territorios con el acompañamiento de CEJUDHCAN y otras organizaciones  de carácter nacional  e internacional como CEJIL, 12 comunidades   han logrado obtener medidas provisionales y cautelares  frente a esta crisis (la invasión de colonos),  a través de un mecanismo de incidencia  ante la OEA.  Las medidas cautelares mandata al Estado de Nicaragua  garantizar la seguridad jurídica de los territorios afectados  y resarcir los daños producidos por el ataque de colonos.</w:t>
      </w:r>
      <w:r w:rsidR="00E342E5" w:rsidRPr="0025381D">
        <w:rPr>
          <w:rFonts w:ascii="Bahnschrift Light SemiCondensed" w:hAnsi="Bahnschrift Light SemiCondensed"/>
          <w:lang w:val="es-ES"/>
        </w:rPr>
        <w:t xml:space="preserve"> A raíz de las medidas, el estado  ha desarrollado medidas para resarcir los daños ocasionados a los pobladores de las 12 comunidades. </w:t>
      </w:r>
    </w:p>
    <w:p w14:paraId="7CA0C508" w14:textId="77777777" w:rsidR="00E342E5" w:rsidRPr="0025381D" w:rsidRDefault="00E342E5" w:rsidP="00E342E5">
      <w:pPr>
        <w:pStyle w:val="Prrafodelista"/>
        <w:tabs>
          <w:tab w:val="left" w:pos="1035"/>
        </w:tabs>
        <w:jc w:val="both"/>
        <w:rPr>
          <w:rFonts w:ascii="Bahnschrift Light SemiCondensed" w:hAnsi="Bahnschrift Light SemiCondensed"/>
          <w:lang w:val="es-ES"/>
        </w:rPr>
      </w:pPr>
    </w:p>
    <w:p w14:paraId="086E09CC" w14:textId="7016F062" w:rsidR="00F76787" w:rsidRPr="0025381D" w:rsidRDefault="00F76787" w:rsidP="003D4C73">
      <w:pPr>
        <w:pStyle w:val="Prrafodelista"/>
        <w:numPr>
          <w:ilvl w:val="0"/>
          <w:numId w:val="1"/>
        </w:numPr>
        <w:tabs>
          <w:tab w:val="left" w:pos="1035"/>
        </w:tabs>
        <w:jc w:val="both"/>
        <w:rPr>
          <w:rFonts w:ascii="Bahnschrift Light SemiCondensed" w:hAnsi="Bahnschrift Light SemiCondensed"/>
          <w:lang w:val="es-ES"/>
        </w:rPr>
      </w:pPr>
      <w:r w:rsidRPr="0025381D">
        <w:rPr>
          <w:rFonts w:ascii="Bahnschrift Light SemiCondensed" w:hAnsi="Bahnschrift Light SemiCondensed"/>
          <w:lang w:val="es-ES"/>
        </w:rPr>
        <w:t>¿Se pudo identificar alguna lección aprendida? Sírvase indicar si y cómo se han aplicado estas lecciones en las estrategias de preparación o en situaciones posteriores de crisis.</w:t>
      </w:r>
    </w:p>
    <w:p w14:paraId="204BEEB1" w14:textId="0E55215F" w:rsidR="00827D7A" w:rsidRPr="0025381D" w:rsidRDefault="008B3A38" w:rsidP="008B3A38">
      <w:pPr>
        <w:tabs>
          <w:tab w:val="left" w:pos="1035"/>
        </w:tabs>
        <w:ind w:left="360"/>
        <w:jc w:val="both"/>
        <w:rPr>
          <w:rFonts w:ascii="Bahnschrift Light SemiCondensed" w:hAnsi="Bahnschrift Light SemiCondensed"/>
          <w:lang w:val="es-ES"/>
        </w:rPr>
      </w:pPr>
      <w:r w:rsidRPr="0025381D">
        <w:rPr>
          <w:rFonts w:ascii="Bahnschrift Light SemiCondensed" w:hAnsi="Bahnschrift Light SemiCondensed"/>
          <w:lang w:val="es-ES"/>
        </w:rPr>
        <w:t xml:space="preserve"> No es práctica del Estado de Nicaragua, trabajar planes de gestión de crisis  que abordan problemáticas de sectores específicos (mujer, niñez y otros grupos vulnerables) Si hay experiencia se refiere a gestión de riesgo o crisis ejecutadas por organizaciones no gubernamentales.  Por ejemplo </w:t>
      </w:r>
      <w:r w:rsidRPr="0025381D">
        <w:rPr>
          <w:rFonts w:ascii="Bahnschrift Light SemiCondensed" w:hAnsi="Bahnschrift Light SemiCondensed"/>
          <w:lang w:val="es-ES"/>
        </w:rPr>
        <w:lastRenderedPageBreak/>
        <w:t xml:space="preserve">la experiencia de CEJUDHCAN, que acompaño  a 12 comunidades en la crisis producida por la invasión de colonos.  En este experiencia  se desarrollaron una serie de estrategia que incluyo el involucramiento de mujeres y niñas. </w:t>
      </w:r>
      <w:r w:rsidR="00E66AB4" w:rsidRPr="0025381D">
        <w:rPr>
          <w:rFonts w:ascii="Bahnschrift Light SemiCondensed" w:hAnsi="Bahnschrift Light SemiCondensed"/>
          <w:lang w:val="es-ES"/>
        </w:rPr>
        <w:t xml:space="preserve"> Se construyó un plan de seguridad a favor de la comunidad y se facilitaron sesiones de auto cuido con mujeres y jóvenes de las comunidades. Y se creó un plan de agroecología dirigida a mujeres  ante la crisis alimentaria por el desplazamiento de los pobladores de estos territorios.</w:t>
      </w:r>
    </w:p>
    <w:p w14:paraId="5BF344EB" w14:textId="6814B96E" w:rsidR="00E66AB4" w:rsidRPr="0025381D" w:rsidRDefault="00E66AB4" w:rsidP="008B3A38">
      <w:pPr>
        <w:tabs>
          <w:tab w:val="left" w:pos="1035"/>
        </w:tabs>
        <w:ind w:left="360"/>
        <w:jc w:val="both"/>
        <w:rPr>
          <w:rFonts w:ascii="Bahnschrift Light SemiCondensed" w:hAnsi="Bahnschrift Light SemiCondensed"/>
          <w:lang w:val="es-ES_tradnl"/>
        </w:rPr>
      </w:pPr>
      <w:r w:rsidRPr="0025381D">
        <w:rPr>
          <w:rFonts w:ascii="Bahnschrift Light SemiCondensed" w:hAnsi="Bahnschrift Light SemiCondensed"/>
          <w:lang w:val="es-ES_tradnl"/>
        </w:rPr>
        <w:t>Entre las lecciones aprendidas destacamos las siguientes:</w:t>
      </w:r>
    </w:p>
    <w:p w14:paraId="799567F1" w14:textId="39F14543" w:rsidR="00E66AB4" w:rsidRPr="0025381D" w:rsidRDefault="00E66AB4" w:rsidP="00E66AB4">
      <w:pPr>
        <w:pStyle w:val="Prrafodelista"/>
        <w:numPr>
          <w:ilvl w:val="0"/>
          <w:numId w:val="14"/>
        </w:numPr>
        <w:spacing w:after="0" w:line="240" w:lineRule="auto"/>
        <w:jc w:val="both"/>
        <w:rPr>
          <w:rFonts w:ascii="Bahnschrift Light SemiCondensed" w:hAnsi="Bahnschrift Light SemiCondensed"/>
          <w:lang w:val="es-ES_tradnl"/>
        </w:rPr>
      </w:pPr>
      <w:r w:rsidRPr="0025381D">
        <w:rPr>
          <w:rFonts w:ascii="Bahnschrift Light SemiCondensed" w:hAnsi="Bahnschrift Light SemiCondensed"/>
          <w:lang w:val="es-ES_tradnl"/>
        </w:rPr>
        <w:t>La dimensión política es clave para para que se gesten procesos. En el caso particular de esta experiencia, la falta de voluntad del gobierno de Nicaragua y la falta de institucionalidad en los territorios indígenas no he permitido que las comunidades logren sanear sus territorios, que es la demandan principal de las 12 comunidades que han sido víctimas de ataque de colonos.</w:t>
      </w:r>
    </w:p>
    <w:p w14:paraId="008A339D" w14:textId="7576CEBB" w:rsidR="00E66AB4" w:rsidRPr="0025381D" w:rsidRDefault="00E66AB4" w:rsidP="00A46C05">
      <w:pPr>
        <w:pStyle w:val="Prrafodelista"/>
        <w:numPr>
          <w:ilvl w:val="0"/>
          <w:numId w:val="14"/>
        </w:numPr>
        <w:spacing w:after="0" w:line="240" w:lineRule="auto"/>
        <w:jc w:val="both"/>
        <w:rPr>
          <w:rFonts w:ascii="Bahnschrift Light SemiCondensed" w:hAnsi="Bahnschrift Light SemiCondensed"/>
          <w:lang w:val="es-ES_tradnl"/>
        </w:rPr>
      </w:pPr>
      <w:r w:rsidRPr="0025381D">
        <w:rPr>
          <w:rFonts w:ascii="Bahnschrift Light SemiCondensed" w:hAnsi="Bahnschrift Light SemiCondensed"/>
          <w:lang w:val="es-ES_tradnl"/>
        </w:rPr>
        <w:t xml:space="preserve"> Contar con el acompañamiento y asistencia de organizaciones con </w:t>
      </w:r>
      <w:proofErr w:type="spellStart"/>
      <w:r w:rsidRPr="0025381D">
        <w:rPr>
          <w:rFonts w:ascii="Bahnschrift Light SemiCondensed" w:hAnsi="Bahnschrift Light SemiCondensed"/>
          <w:lang w:val="es-ES_tradnl"/>
        </w:rPr>
        <w:t>expertis</w:t>
      </w:r>
      <w:proofErr w:type="spellEnd"/>
      <w:r w:rsidRPr="0025381D">
        <w:rPr>
          <w:rFonts w:ascii="Bahnschrift Light SemiCondensed" w:hAnsi="Bahnschrift Light SemiCondensed"/>
          <w:lang w:val="es-ES_tradnl"/>
        </w:rPr>
        <w:t xml:space="preserve"> en la defensa de los derechos colectivos, particularmente los derechos territoriales permitió el alcance de los resultados de defensoría (obtención de las medidas provisionales y cautelares ante el SIDH. Sin embargo se debe trabajar un plan más integral de atención a los grupos </w:t>
      </w:r>
      <w:r w:rsidR="00A46C05" w:rsidRPr="0025381D">
        <w:rPr>
          <w:rFonts w:ascii="Bahnschrift Light SemiCondensed" w:hAnsi="Bahnschrift Light SemiCondensed"/>
          <w:lang w:val="es-ES_tradnl"/>
        </w:rPr>
        <w:t>más</w:t>
      </w:r>
      <w:r w:rsidRPr="0025381D">
        <w:rPr>
          <w:rFonts w:ascii="Bahnschrift Light SemiCondensed" w:hAnsi="Bahnschrift Light SemiCondensed"/>
          <w:lang w:val="es-ES_tradnl"/>
        </w:rPr>
        <w:t xml:space="preserve"> vulnerables como niñas, mujeres y  jóvenes.</w:t>
      </w:r>
    </w:p>
    <w:p w14:paraId="7E1A9031" w14:textId="50EABBD1" w:rsidR="00E66AB4" w:rsidRPr="0025381D" w:rsidRDefault="00E66AB4" w:rsidP="00A46C05">
      <w:pPr>
        <w:pStyle w:val="Prrafodelista"/>
        <w:numPr>
          <w:ilvl w:val="0"/>
          <w:numId w:val="14"/>
        </w:numPr>
        <w:spacing w:after="0" w:line="240" w:lineRule="auto"/>
        <w:jc w:val="both"/>
        <w:rPr>
          <w:rFonts w:ascii="Bahnschrift Light SemiCondensed" w:hAnsi="Bahnschrift Light SemiCondensed"/>
          <w:lang w:val="es-ES_tradnl"/>
        </w:rPr>
      </w:pPr>
      <w:r w:rsidRPr="0025381D">
        <w:rPr>
          <w:rFonts w:ascii="Bahnschrift Light SemiCondensed" w:hAnsi="Bahnschrift Light SemiCondensed"/>
          <w:lang w:val="es-ES_tradnl"/>
        </w:rPr>
        <w:t>El monitoreo oportuno garantizo la elaboración de informe periódicos que ponían en contexto a los miembros de la Comisión y Corte Interamericana de derechos humanos.</w:t>
      </w:r>
    </w:p>
    <w:p w14:paraId="69E5E427" w14:textId="77777777" w:rsidR="00A46C05" w:rsidRPr="0025381D" w:rsidRDefault="00A46C05" w:rsidP="00A46C05">
      <w:pPr>
        <w:spacing w:after="0" w:line="240" w:lineRule="auto"/>
        <w:jc w:val="both"/>
        <w:rPr>
          <w:rFonts w:ascii="Bahnschrift Light SemiCondensed" w:hAnsi="Bahnschrift Light SemiCondensed"/>
          <w:lang w:val="es-ES_tradnl"/>
        </w:rPr>
      </w:pPr>
    </w:p>
    <w:p w14:paraId="0AC9CE02" w14:textId="578E0CDB" w:rsidR="00A46C05" w:rsidRPr="0025381D" w:rsidRDefault="00A46C05" w:rsidP="00A46C05">
      <w:pPr>
        <w:spacing w:after="0" w:line="240" w:lineRule="auto"/>
        <w:jc w:val="both"/>
        <w:rPr>
          <w:rFonts w:ascii="Bahnschrift Light SemiCondensed" w:hAnsi="Bahnschrift Light SemiCondensed"/>
          <w:lang w:val="es-ES_tradnl"/>
        </w:rPr>
      </w:pPr>
      <w:r w:rsidRPr="0025381D">
        <w:rPr>
          <w:rFonts w:ascii="Bahnschrift Light SemiCondensed" w:hAnsi="Bahnschrift Light SemiCondensed"/>
          <w:lang w:val="es-ES_tradnl"/>
        </w:rPr>
        <w:t xml:space="preserve">Esta experiencia le ha servido a CEJUDHCAN para dar atención a otras comunidades que viven situaciones de crisis respecto a la invasión de colonos y conflictos inter comunales. </w:t>
      </w:r>
    </w:p>
    <w:p w14:paraId="007A7DB4" w14:textId="77777777" w:rsidR="00F76787" w:rsidRPr="0025381D" w:rsidRDefault="00F76787" w:rsidP="00A46C05">
      <w:pPr>
        <w:tabs>
          <w:tab w:val="left" w:pos="1035"/>
        </w:tabs>
        <w:spacing w:after="0" w:line="240" w:lineRule="auto"/>
        <w:jc w:val="both"/>
        <w:rPr>
          <w:rFonts w:ascii="Bahnschrift Light SemiCondensed" w:hAnsi="Bahnschrift Light SemiCondensed"/>
          <w:lang w:val="es-ES_tradnl"/>
        </w:rPr>
      </w:pPr>
    </w:p>
    <w:p w14:paraId="76350468" w14:textId="5B142542" w:rsidR="00F76787" w:rsidRPr="0025381D" w:rsidRDefault="00F76787" w:rsidP="003D4C73">
      <w:pPr>
        <w:pStyle w:val="Prrafodelista"/>
        <w:numPr>
          <w:ilvl w:val="0"/>
          <w:numId w:val="1"/>
        </w:numPr>
        <w:tabs>
          <w:tab w:val="left" w:pos="1035"/>
        </w:tabs>
        <w:jc w:val="both"/>
        <w:rPr>
          <w:rFonts w:ascii="Bahnschrift Light SemiCondensed" w:hAnsi="Bahnschrift Light SemiCondensed"/>
          <w:lang w:val="es-ES"/>
        </w:rPr>
      </w:pPr>
      <w:r w:rsidRPr="0025381D">
        <w:rPr>
          <w:rFonts w:ascii="Bahnschrift Light SemiCondensed" w:hAnsi="Bahnschrift Light SemiCondensed"/>
          <w:lang w:val="es-ES"/>
        </w:rPr>
        <w:t xml:space="preserve">Si su Estado tiene programas de ayuda humanitaria, </w:t>
      </w:r>
      <w:r w:rsidR="00C4024F" w:rsidRPr="0025381D">
        <w:rPr>
          <w:rFonts w:ascii="Bahnschrift Light SemiCondensed" w:hAnsi="Bahnschrift Light SemiCondensed"/>
          <w:lang w:val="es-ES"/>
        </w:rPr>
        <w:t xml:space="preserve">sírvase </w:t>
      </w:r>
      <w:r w:rsidRPr="0025381D">
        <w:rPr>
          <w:rFonts w:ascii="Bahnschrift Light SemiCondensed" w:hAnsi="Bahnschrift Light SemiCondensed"/>
          <w:lang w:val="es-ES"/>
        </w:rPr>
        <w:t>indi</w:t>
      </w:r>
      <w:r w:rsidR="00C4024F" w:rsidRPr="0025381D">
        <w:rPr>
          <w:rFonts w:ascii="Bahnschrift Light SemiCondensed" w:hAnsi="Bahnschrift Light SemiCondensed"/>
          <w:lang w:val="es-ES"/>
        </w:rPr>
        <w:t>car</w:t>
      </w:r>
      <w:r w:rsidRPr="0025381D">
        <w:rPr>
          <w:rFonts w:ascii="Bahnschrift Light SemiCondensed" w:hAnsi="Bahnschrift Light SemiCondensed"/>
          <w:lang w:val="es-ES"/>
        </w:rPr>
        <w:t xml:space="preserve"> si l</w:t>
      </w:r>
      <w:r w:rsidR="00C4024F" w:rsidRPr="0025381D">
        <w:rPr>
          <w:rFonts w:ascii="Bahnschrift Light SemiCondensed" w:hAnsi="Bahnschrift Light SemiCondensed"/>
          <w:lang w:val="es-ES"/>
        </w:rPr>
        <w:t xml:space="preserve">a salud y los derechos sexuales y reproductivos </w:t>
      </w:r>
      <w:r w:rsidRPr="0025381D">
        <w:rPr>
          <w:rFonts w:ascii="Bahnschrift Light SemiCondensed" w:hAnsi="Bahnschrift Light SemiCondensed"/>
          <w:lang w:val="es-ES"/>
        </w:rPr>
        <w:t xml:space="preserve">están explícitamente </w:t>
      </w:r>
      <w:r w:rsidR="00B25461" w:rsidRPr="0025381D">
        <w:rPr>
          <w:rFonts w:ascii="Bahnschrift Light SemiCondensed" w:hAnsi="Bahnschrift Light SemiCondensed"/>
          <w:lang w:val="es-ES"/>
        </w:rPr>
        <w:t>incluidos</w:t>
      </w:r>
      <w:r w:rsidRPr="0025381D">
        <w:rPr>
          <w:rFonts w:ascii="Bahnschrift Light SemiCondensed" w:hAnsi="Bahnschrift Light SemiCondensed"/>
          <w:lang w:val="es-ES"/>
        </w:rPr>
        <w:t xml:space="preserve"> en la estrategia de ayuda humanitaria y cómo se establecen las prioridades en </w:t>
      </w:r>
      <w:r w:rsidR="00C4024F" w:rsidRPr="0025381D">
        <w:rPr>
          <w:rFonts w:ascii="Bahnschrift Light SemiCondensed" w:hAnsi="Bahnschrift Light SemiCondensed"/>
          <w:lang w:val="es-ES"/>
        </w:rPr>
        <w:t xml:space="preserve">relación con </w:t>
      </w:r>
      <w:r w:rsidR="00B25461" w:rsidRPr="0025381D">
        <w:rPr>
          <w:rFonts w:ascii="Bahnschrift Light SemiCondensed" w:hAnsi="Bahnschrift Light SemiCondensed"/>
          <w:lang w:val="es-ES"/>
        </w:rPr>
        <w:t>la salud y los derechos sexuales y reproductivos</w:t>
      </w:r>
      <w:r w:rsidRPr="0025381D">
        <w:rPr>
          <w:rFonts w:ascii="Bahnschrift Light SemiCondensed" w:hAnsi="Bahnschrift Light SemiCondensed"/>
          <w:lang w:val="es-ES"/>
        </w:rPr>
        <w:t>.</w:t>
      </w:r>
    </w:p>
    <w:p w14:paraId="20F9BC35" w14:textId="5479EDFC" w:rsidR="005D0FDB" w:rsidRPr="0025381D" w:rsidRDefault="00C76057" w:rsidP="00C76057">
      <w:pPr>
        <w:tabs>
          <w:tab w:val="left" w:pos="1035"/>
        </w:tabs>
        <w:ind w:left="720"/>
        <w:jc w:val="both"/>
        <w:rPr>
          <w:rFonts w:ascii="Bahnschrift Light SemiCondensed" w:hAnsi="Bahnschrift Light SemiCondensed"/>
          <w:lang w:val="es-ES"/>
        </w:rPr>
      </w:pPr>
      <w:r w:rsidRPr="0025381D">
        <w:rPr>
          <w:rFonts w:ascii="Bahnschrift Light SemiCondensed" w:hAnsi="Bahnschrift Light SemiCondensed"/>
          <w:lang w:val="es-ES"/>
        </w:rPr>
        <w:t xml:space="preserve"> El Estado de </w:t>
      </w:r>
      <w:r w:rsidR="0025381D" w:rsidRPr="0025381D">
        <w:rPr>
          <w:rFonts w:ascii="Bahnschrift Light SemiCondensed" w:hAnsi="Bahnschrift Light SemiCondensed"/>
          <w:lang w:val="es-ES"/>
        </w:rPr>
        <w:t>Nicaragua no</w:t>
      </w:r>
      <w:r w:rsidR="005D0FDB" w:rsidRPr="0025381D">
        <w:rPr>
          <w:rFonts w:ascii="Bahnschrift Light SemiCondensed" w:hAnsi="Bahnschrift Light SemiCondensed"/>
          <w:lang w:val="es-ES"/>
        </w:rPr>
        <w:t xml:space="preserve"> cuenta con un programa de ayuda </w:t>
      </w:r>
      <w:r w:rsidR="0025381D" w:rsidRPr="0025381D">
        <w:rPr>
          <w:rFonts w:ascii="Bahnschrift Light SemiCondensed" w:hAnsi="Bahnschrift Light SemiCondensed"/>
          <w:lang w:val="es-ES"/>
        </w:rPr>
        <w:t>humanitaria que</w:t>
      </w:r>
      <w:r w:rsidRPr="0025381D">
        <w:rPr>
          <w:rFonts w:ascii="Bahnschrift Light SemiCondensed" w:hAnsi="Bahnschrift Light SemiCondensed"/>
          <w:lang w:val="es-ES"/>
        </w:rPr>
        <w:t xml:space="preserve"> dé </w:t>
      </w:r>
      <w:r w:rsidR="0025381D" w:rsidRPr="0025381D">
        <w:rPr>
          <w:rFonts w:ascii="Bahnschrift Light SemiCondensed" w:hAnsi="Bahnschrift Light SemiCondensed"/>
          <w:lang w:val="es-ES"/>
        </w:rPr>
        <w:t>respuesta a</w:t>
      </w:r>
      <w:r w:rsidRPr="0025381D">
        <w:rPr>
          <w:rFonts w:ascii="Bahnschrift Light SemiCondensed" w:hAnsi="Bahnschrift Light SemiCondensed"/>
          <w:lang w:val="es-ES"/>
        </w:rPr>
        <w:t xml:space="preserve"> las </w:t>
      </w:r>
      <w:r w:rsidR="0025381D" w:rsidRPr="0025381D">
        <w:rPr>
          <w:rFonts w:ascii="Bahnschrift Light SemiCondensed" w:hAnsi="Bahnschrift Light SemiCondensed"/>
          <w:lang w:val="es-ES"/>
        </w:rPr>
        <w:t>necesidades en</w:t>
      </w:r>
      <w:r w:rsidR="00827D7A" w:rsidRPr="0025381D">
        <w:rPr>
          <w:rFonts w:ascii="Bahnschrift Light SemiCondensed" w:hAnsi="Bahnschrift Light SemiCondensed"/>
          <w:lang w:val="es-ES"/>
        </w:rPr>
        <w:t xml:space="preserve"> salud sexual reproductivos menos en contextos de crisis. Ni su marco legal ni estrategias  de gestión </w:t>
      </w:r>
      <w:r w:rsidR="009F3727" w:rsidRPr="0025381D">
        <w:rPr>
          <w:rFonts w:ascii="Bahnschrift Light SemiCondensed" w:hAnsi="Bahnschrift Light SemiCondensed"/>
          <w:lang w:val="es-ES"/>
        </w:rPr>
        <w:t>de crisis incluyen este aspecto como estrategia de trabajo</w:t>
      </w:r>
      <w:r w:rsidR="00827D7A" w:rsidRPr="0025381D">
        <w:rPr>
          <w:rFonts w:ascii="Bahnschrift Light SemiCondensed" w:hAnsi="Bahnschrift Light SemiCondensed"/>
          <w:lang w:val="es-ES"/>
        </w:rPr>
        <w:t>.  Hay organizaciones internacionales  que han desarrollado buenas prácticas de gestión de riesgo  incluyendo la integración de planes de respuestas para dar atención a las necesidades de derechos sexuales y reproductivos. Uno de estos organismos al cual nos referimos es Plan Internacional. La organización incluye dar respuesta a las necesidades  de NAJ  y mujeres en sus planes de gestión de riesgo.   A pesar que Nicaragua cuenta con  instancia activa para gestionar y manejar los desastres no ha modernizado sus planes de gestión de riesgo.</w:t>
      </w:r>
    </w:p>
    <w:p w14:paraId="6AF6F574" w14:textId="77777777" w:rsidR="00F76787" w:rsidRPr="0025381D" w:rsidRDefault="00F76787" w:rsidP="003D4C73">
      <w:pPr>
        <w:pStyle w:val="Prrafodelista"/>
        <w:tabs>
          <w:tab w:val="left" w:pos="1035"/>
        </w:tabs>
        <w:jc w:val="both"/>
        <w:rPr>
          <w:rFonts w:ascii="Bahnschrift Light SemiCondensed" w:hAnsi="Bahnschrift Light SemiCondensed"/>
          <w:lang w:val="es-ES"/>
        </w:rPr>
      </w:pPr>
    </w:p>
    <w:p w14:paraId="24E00DA1" w14:textId="5208DDCB" w:rsidR="00F76787" w:rsidRPr="0025381D" w:rsidRDefault="00C4024F" w:rsidP="003D4C73">
      <w:pPr>
        <w:pStyle w:val="Prrafodelista"/>
        <w:numPr>
          <w:ilvl w:val="0"/>
          <w:numId w:val="1"/>
        </w:numPr>
        <w:tabs>
          <w:tab w:val="left" w:pos="1035"/>
        </w:tabs>
        <w:jc w:val="both"/>
        <w:rPr>
          <w:rFonts w:ascii="Bahnschrift Light SemiCondensed" w:hAnsi="Bahnschrift Light SemiCondensed"/>
          <w:lang w:val="es-ES"/>
        </w:rPr>
      </w:pPr>
      <w:r w:rsidRPr="0025381D">
        <w:rPr>
          <w:rFonts w:ascii="Bahnschrift Light SemiCondensed" w:hAnsi="Bahnschrift Light SemiCondensed"/>
          <w:lang w:val="es-ES"/>
        </w:rPr>
        <w:t>Sírvase i</w:t>
      </w:r>
      <w:r w:rsidR="00F76787" w:rsidRPr="0025381D">
        <w:rPr>
          <w:rFonts w:ascii="Bahnschrift Light SemiCondensed" w:hAnsi="Bahnschrift Light SemiCondensed"/>
          <w:lang w:val="es-ES"/>
        </w:rPr>
        <w:t>ndi</w:t>
      </w:r>
      <w:r w:rsidRPr="0025381D">
        <w:rPr>
          <w:rFonts w:ascii="Bahnschrift Light SemiCondensed" w:hAnsi="Bahnschrift Light SemiCondensed"/>
          <w:lang w:val="es-ES"/>
        </w:rPr>
        <w:t>car</w:t>
      </w:r>
      <w:r w:rsidR="00F76787" w:rsidRPr="0025381D">
        <w:rPr>
          <w:rFonts w:ascii="Bahnschrift Light SemiCondensed" w:hAnsi="Bahnschrift Light SemiCondensed"/>
          <w:lang w:val="es-ES"/>
        </w:rPr>
        <w:t xml:space="preserve"> los principales desafíos, si los hay, que enfrentan las mujeres y las niñas para acceder a la justicia y obtener reparaciones por las violaciones de </w:t>
      </w:r>
      <w:r w:rsidRPr="0025381D">
        <w:rPr>
          <w:rFonts w:ascii="Bahnschrift Light SemiCondensed" w:hAnsi="Bahnschrift Light SemiCondensed"/>
          <w:lang w:val="es-ES"/>
        </w:rPr>
        <w:t>su</w:t>
      </w:r>
      <w:r w:rsidR="004137A7" w:rsidRPr="0025381D">
        <w:rPr>
          <w:rFonts w:ascii="Bahnschrift Light SemiCondensed" w:hAnsi="Bahnschrift Light SemiCondensed"/>
          <w:lang w:val="es-ES"/>
        </w:rPr>
        <w:t>s derechos sexuales y reproductivos</w:t>
      </w:r>
      <w:r w:rsidR="00F76787" w:rsidRPr="0025381D">
        <w:rPr>
          <w:rFonts w:ascii="Bahnschrift Light SemiCondensed" w:hAnsi="Bahnschrift Light SemiCondensed"/>
          <w:lang w:val="es-ES"/>
        </w:rPr>
        <w:t xml:space="preserve">, incluidas las barreras procesales, y los tipos de asistencia disponibles para acceder a recursos legales y de otro tipo. </w:t>
      </w:r>
      <w:r w:rsidRPr="0025381D">
        <w:rPr>
          <w:rFonts w:ascii="Bahnschrift Light SemiCondensed" w:hAnsi="Bahnschrift Light SemiCondensed"/>
          <w:lang w:val="es-ES"/>
        </w:rPr>
        <w:t xml:space="preserve">Sírvase </w:t>
      </w:r>
      <w:r w:rsidR="00F76787" w:rsidRPr="0025381D">
        <w:rPr>
          <w:rFonts w:ascii="Bahnschrift Light SemiCondensed" w:hAnsi="Bahnschrift Light SemiCondensed"/>
          <w:lang w:val="es-ES"/>
        </w:rPr>
        <w:t xml:space="preserve">también </w:t>
      </w:r>
      <w:r w:rsidRPr="0025381D">
        <w:rPr>
          <w:rFonts w:ascii="Bahnschrift Light SemiCondensed" w:hAnsi="Bahnschrift Light SemiCondensed"/>
          <w:lang w:val="es-ES"/>
        </w:rPr>
        <w:t xml:space="preserve">indicar </w:t>
      </w:r>
      <w:r w:rsidR="00F76787" w:rsidRPr="0025381D">
        <w:rPr>
          <w:rFonts w:ascii="Bahnschrift Light SemiCondensed" w:hAnsi="Bahnschrift Light SemiCondensed"/>
          <w:lang w:val="es-ES"/>
        </w:rPr>
        <w:t xml:space="preserve">los grupos de mujeres y niñas más afectadas. Cuando corresponda, </w:t>
      </w:r>
      <w:r w:rsidRPr="0025381D">
        <w:rPr>
          <w:rFonts w:ascii="Bahnschrift Light SemiCondensed" w:hAnsi="Bahnschrift Light SemiCondensed"/>
          <w:lang w:val="es-ES"/>
        </w:rPr>
        <w:t xml:space="preserve">sírvase </w:t>
      </w:r>
      <w:r w:rsidR="00F76787" w:rsidRPr="0025381D">
        <w:rPr>
          <w:rFonts w:ascii="Bahnschrift Light SemiCondensed" w:hAnsi="Bahnschrift Light SemiCondensed"/>
          <w:lang w:val="es-ES"/>
        </w:rPr>
        <w:t>indi</w:t>
      </w:r>
      <w:r w:rsidRPr="0025381D">
        <w:rPr>
          <w:rFonts w:ascii="Bahnschrift Light SemiCondensed" w:hAnsi="Bahnschrift Light SemiCondensed"/>
          <w:lang w:val="es-ES"/>
        </w:rPr>
        <w:t>car</w:t>
      </w:r>
      <w:r w:rsidR="00F76787" w:rsidRPr="0025381D">
        <w:rPr>
          <w:rFonts w:ascii="Bahnschrift Light SemiCondensed" w:hAnsi="Bahnschrift Light SemiCondensed"/>
          <w:lang w:val="es-ES"/>
        </w:rPr>
        <w:t xml:space="preserve"> el papel desempeñado por una comisión nacional de verdad y reconciliación (o un organismo similar) para garantizar el reconocimiento de las violaciones de derechos humanos en </w:t>
      </w:r>
      <w:r w:rsidRPr="0025381D">
        <w:rPr>
          <w:rFonts w:ascii="Bahnschrift Light SemiCondensed" w:hAnsi="Bahnschrift Light SemiCondensed"/>
          <w:lang w:val="es-ES"/>
        </w:rPr>
        <w:t xml:space="preserve">materia de </w:t>
      </w:r>
      <w:r w:rsidR="003031FD" w:rsidRPr="0025381D">
        <w:rPr>
          <w:rFonts w:ascii="Bahnschrift Light SemiCondensed" w:hAnsi="Bahnschrift Light SemiCondensed"/>
          <w:lang w:val="es-ES"/>
        </w:rPr>
        <w:t>salud sexual y reproductiva</w:t>
      </w:r>
      <w:r w:rsidRPr="0025381D">
        <w:rPr>
          <w:rFonts w:ascii="Bahnschrift Light SemiCondensed" w:hAnsi="Bahnschrift Light SemiCondensed"/>
          <w:lang w:val="es-ES"/>
        </w:rPr>
        <w:t xml:space="preserve"> de mujeres y niñas</w:t>
      </w:r>
      <w:r w:rsidR="00F76787" w:rsidRPr="0025381D">
        <w:rPr>
          <w:rFonts w:ascii="Bahnschrift Light SemiCondensed" w:hAnsi="Bahnschrift Light SemiCondensed"/>
          <w:lang w:val="es-ES"/>
        </w:rPr>
        <w:t xml:space="preserve"> y las reparaciones</w:t>
      </w:r>
      <w:r w:rsidRPr="0025381D">
        <w:rPr>
          <w:rFonts w:ascii="Bahnschrift Light SemiCondensed" w:hAnsi="Bahnschrift Light SemiCondensed"/>
          <w:lang w:val="es-ES"/>
        </w:rPr>
        <w:t xml:space="preserve">. </w:t>
      </w:r>
    </w:p>
    <w:p w14:paraId="3289906D" w14:textId="1F9E3242" w:rsidR="00E66AB4" w:rsidRPr="0025381D" w:rsidRDefault="009C330D" w:rsidP="0025381D">
      <w:pPr>
        <w:tabs>
          <w:tab w:val="left" w:pos="1035"/>
        </w:tabs>
        <w:ind w:left="360"/>
        <w:jc w:val="both"/>
        <w:rPr>
          <w:rFonts w:ascii="Bahnschrift Light SemiCondensed" w:hAnsi="Bahnschrift Light SemiCondensed"/>
          <w:lang w:val="es-ES"/>
        </w:rPr>
      </w:pPr>
      <w:r w:rsidRPr="0025381D">
        <w:rPr>
          <w:rFonts w:ascii="Bahnschrift Light SemiCondensed" w:hAnsi="Bahnschrift Light SemiCondensed"/>
          <w:lang w:val="es-ES"/>
        </w:rPr>
        <w:t xml:space="preserve"> El Estado de Nicaragua cuenta con una ruta integral para abordar el tema   de violencia  de género</w:t>
      </w:r>
      <w:r w:rsidR="008C2335" w:rsidRPr="0025381D">
        <w:rPr>
          <w:rFonts w:ascii="Bahnschrift Light SemiCondensed" w:hAnsi="Bahnschrift Light SemiCondensed"/>
          <w:lang w:val="es-ES"/>
        </w:rPr>
        <w:t>. Mecanismo</w:t>
      </w:r>
      <w:r w:rsidRPr="0025381D">
        <w:rPr>
          <w:rFonts w:ascii="Bahnschrift Light SemiCondensed" w:hAnsi="Bahnschrift Light SemiCondensed"/>
          <w:lang w:val="es-ES"/>
        </w:rPr>
        <w:t xml:space="preserve"> que está ligado</w:t>
      </w:r>
      <w:r w:rsidR="008C2335" w:rsidRPr="0025381D">
        <w:rPr>
          <w:rFonts w:ascii="Bahnschrift Light SemiCondensed" w:hAnsi="Bahnschrift Light SemiCondensed"/>
          <w:lang w:val="es-ES"/>
        </w:rPr>
        <w:t xml:space="preserve"> también a dar respuestas </w:t>
      </w:r>
      <w:r w:rsidRPr="0025381D">
        <w:rPr>
          <w:rFonts w:ascii="Bahnschrift Light SemiCondensed" w:hAnsi="Bahnschrift Light SemiCondensed"/>
          <w:lang w:val="es-ES"/>
        </w:rPr>
        <w:t xml:space="preserve"> a la</w:t>
      </w:r>
      <w:r w:rsidR="008C2335" w:rsidRPr="0025381D">
        <w:rPr>
          <w:rFonts w:ascii="Bahnschrift Light SemiCondensed" w:hAnsi="Bahnschrift Light SemiCondensed"/>
          <w:lang w:val="es-ES"/>
        </w:rPr>
        <w:t>s</w:t>
      </w:r>
      <w:r w:rsidRPr="0025381D">
        <w:rPr>
          <w:rFonts w:ascii="Bahnschrift Light SemiCondensed" w:hAnsi="Bahnschrift Light SemiCondensed"/>
          <w:lang w:val="es-ES"/>
        </w:rPr>
        <w:t xml:space="preserve"> </w:t>
      </w:r>
      <w:r w:rsidR="008C2335" w:rsidRPr="0025381D">
        <w:rPr>
          <w:rFonts w:ascii="Bahnschrift Light SemiCondensed" w:hAnsi="Bahnschrift Light SemiCondensed"/>
          <w:lang w:val="es-ES"/>
        </w:rPr>
        <w:t>violaciones</w:t>
      </w:r>
      <w:r w:rsidRPr="0025381D">
        <w:rPr>
          <w:rFonts w:ascii="Bahnschrift Light SemiCondensed" w:hAnsi="Bahnschrift Light SemiCondensed"/>
          <w:lang w:val="es-ES"/>
        </w:rPr>
        <w:t xml:space="preserve"> </w:t>
      </w:r>
      <w:r w:rsidR="008C2335" w:rsidRPr="0025381D">
        <w:rPr>
          <w:rFonts w:ascii="Bahnschrift Light SemiCondensed" w:hAnsi="Bahnschrift Light SemiCondensed"/>
          <w:lang w:val="es-ES"/>
        </w:rPr>
        <w:t xml:space="preserve">de </w:t>
      </w:r>
      <w:r w:rsidRPr="0025381D">
        <w:rPr>
          <w:rFonts w:ascii="Bahnschrift Light SemiCondensed" w:hAnsi="Bahnschrift Light SemiCondensed"/>
          <w:lang w:val="es-ES"/>
        </w:rPr>
        <w:t xml:space="preserve"> los derechos sexuales y reproductivos. </w:t>
      </w:r>
      <w:r w:rsidR="008C2335" w:rsidRPr="0025381D">
        <w:rPr>
          <w:rFonts w:ascii="Bahnschrift Light SemiCondensed" w:hAnsi="Bahnschrift Light SemiCondensed"/>
          <w:lang w:val="es-ES"/>
        </w:rPr>
        <w:t xml:space="preserve">  En términos  procesales, esta ruta le permite a mujeres, adolecentes, niñas y jóvenes </w:t>
      </w:r>
      <w:r w:rsidR="008C2335" w:rsidRPr="0025381D">
        <w:rPr>
          <w:rFonts w:ascii="Bahnschrift Light SemiCondensed" w:hAnsi="Bahnschrift Light SemiCondensed"/>
          <w:lang w:val="es-ES"/>
        </w:rPr>
        <w:lastRenderedPageBreak/>
        <w:t>acceder al sistema de justicia de Nicaragua</w:t>
      </w:r>
      <w:r w:rsidR="005D0FDB" w:rsidRPr="0025381D">
        <w:rPr>
          <w:rFonts w:ascii="Bahnschrift Light SemiCondensed" w:hAnsi="Bahnschrift Light SemiCondensed"/>
          <w:lang w:val="es-ES"/>
        </w:rPr>
        <w:t xml:space="preserve"> ante la violencia de genero</w:t>
      </w:r>
      <w:r w:rsidR="008C2335" w:rsidRPr="0025381D">
        <w:rPr>
          <w:rFonts w:ascii="Bahnschrift Light SemiCondensed" w:hAnsi="Bahnschrift Light SemiCondensed"/>
          <w:lang w:val="es-ES"/>
        </w:rPr>
        <w:t xml:space="preserve">.  Sin embargo,  en la implementación de la ruta, las  NAJ presentan dificultades para acceder a este mecanismo. Una de las limitantes dentro del sistema es la retardación de justicia, que no permite reivindicar los derechos de mujeres, NAJ  lo que </w:t>
      </w:r>
      <w:r w:rsidR="00315398" w:rsidRPr="0025381D">
        <w:rPr>
          <w:rFonts w:ascii="Bahnschrift Light SemiCondensed" w:hAnsi="Bahnschrift Light SemiCondensed"/>
          <w:lang w:val="es-ES"/>
        </w:rPr>
        <w:t>representa un desafío  para estos grupos  vulnerables.  El caso de las mujeres, NAJ de las comunidades indígenas  la situación es más compleja porque no tiene acceso a esta ruta por el contexto de lejanía  y pobreza en el que viven.  Lo más</w:t>
      </w:r>
      <w:r w:rsidR="005D0FDB" w:rsidRPr="0025381D">
        <w:rPr>
          <w:rFonts w:ascii="Bahnschrift Light SemiCondensed" w:hAnsi="Bahnschrift Light SemiCondensed"/>
          <w:lang w:val="es-ES"/>
        </w:rPr>
        <w:t xml:space="preserve"> difícil </w:t>
      </w:r>
      <w:r w:rsidR="00315398" w:rsidRPr="0025381D">
        <w:rPr>
          <w:rFonts w:ascii="Bahnschrift Light SemiCondensed" w:hAnsi="Bahnschrift Light SemiCondensed"/>
          <w:lang w:val="es-ES"/>
        </w:rPr>
        <w:t xml:space="preserve"> es que  en estos territorios es donde los índices de</w:t>
      </w:r>
      <w:r w:rsidR="005D0FDB" w:rsidRPr="0025381D">
        <w:rPr>
          <w:rFonts w:ascii="Bahnschrift Light SemiCondensed" w:hAnsi="Bahnschrift Light SemiCondensed"/>
          <w:lang w:val="es-ES"/>
        </w:rPr>
        <w:t xml:space="preserve"> violaciones a los derechos sexuales y reproductivos</w:t>
      </w:r>
      <w:r w:rsidR="00315398" w:rsidRPr="0025381D">
        <w:rPr>
          <w:rFonts w:ascii="Bahnschrift Light SemiCondensed" w:hAnsi="Bahnschrift Light SemiCondensed"/>
          <w:lang w:val="es-ES"/>
        </w:rPr>
        <w:t xml:space="preserve"> son más altos: las mujeres no tienen acceso a sistema de planificación y  en el caso que tengan acceso a estos métodos  no pueden planificar po</w:t>
      </w:r>
      <w:r w:rsidR="005D0FDB" w:rsidRPr="0025381D">
        <w:rPr>
          <w:rFonts w:ascii="Bahnschrift Light SemiCondensed" w:hAnsi="Bahnschrift Light SemiCondensed"/>
          <w:lang w:val="es-ES"/>
        </w:rPr>
        <w:t xml:space="preserve">r un tema cultural y religioso; las embarazadas no tienen acceso a  los servicios de casas maternas, las mujeres no pueden decidir el número de hijos que quieran tener; muchas mujeres  jóvenes y niñas salen embarazadas producto a violaciones sexuales. </w:t>
      </w:r>
    </w:p>
    <w:p w14:paraId="0E5EE52B" w14:textId="6B120226" w:rsidR="00F8554A" w:rsidRPr="0025381D" w:rsidRDefault="00F8554A" w:rsidP="003D4C73">
      <w:pPr>
        <w:tabs>
          <w:tab w:val="left" w:pos="1035"/>
        </w:tabs>
        <w:jc w:val="both"/>
        <w:rPr>
          <w:rFonts w:ascii="Bahnschrift Light SemiCondensed" w:hAnsi="Bahnschrift Light SemiCondensed"/>
          <w:u w:val="single"/>
          <w:lang w:val="es-ES"/>
        </w:rPr>
      </w:pPr>
      <w:r w:rsidRPr="0025381D">
        <w:rPr>
          <w:rFonts w:ascii="Bahnschrift Light SemiCondensed" w:hAnsi="Bahnschrift Light SemiCondensed"/>
          <w:u w:val="single"/>
          <w:lang w:val="es-ES"/>
        </w:rPr>
        <w:t>Preparación, recuperación y resiliencia</w:t>
      </w:r>
    </w:p>
    <w:p w14:paraId="5F7D0D88" w14:textId="033BDC64" w:rsidR="007731D3" w:rsidRPr="0025381D" w:rsidRDefault="007731D3" w:rsidP="003D4C73">
      <w:pPr>
        <w:pStyle w:val="Prrafodelista"/>
        <w:numPr>
          <w:ilvl w:val="0"/>
          <w:numId w:val="1"/>
        </w:numPr>
        <w:tabs>
          <w:tab w:val="left" w:pos="1035"/>
        </w:tabs>
        <w:jc w:val="both"/>
        <w:rPr>
          <w:rFonts w:ascii="Bahnschrift Light SemiCondensed" w:hAnsi="Bahnschrift Light SemiCondensed"/>
          <w:lang w:val="es-ES"/>
        </w:rPr>
      </w:pPr>
      <w:r w:rsidRPr="0025381D">
        <w:rPr>
          <w:rFonts w:ascii="Bahnschrift Light SemiCondensed" w:hAnsi="Bahnschrift Light SemiCondensed"/>
          <w:lang w:val="es-ES"/>
        </w:rPr>
        <w:t>¿Existe alguna estrategia / plan / política de preparación o gestión de riesgos en su Estado? En caso afirmativo, sírvase proporcionar información sobre los siguientes aspectos:</w:t>
      </w:r>
    </w:p>
    <w:p w14:paraId="2A82912A" w14:textId="6E07D1DF" w:rsidR="007731D3" w:rsidRPr="0025381D" w:rsidRDefault="007731D3" w:rsidP="003D4C73">
      <w:pPr>
        <w:pStyle w:val="Prrafodelista"/>
        <w:tabs>
          <w:tab w:val="left" w:pos="1035"/>
        </w:tabs>
        <w:jc w:val="both"/>
        <w:rPr>
          <w:rFonts w:ascii="Bahnschrift Light SemiCondensed" w:hAnsi="Bahnschrift Light SemiCondensed"/>
          <w:lang w:val="es-ES"/>
        </w:rPr>
      </w:pPr>
    </w:p>
    <w:p w14:paraId="4C85915A" w14:textId="74DBD630" w:rsidR="00AC0259" w:rsidRPr="0025381D" w:rsidRDefault="00AC0259" w:rsidP="00AC0259">
      <w:pPr>
        <w:pStyle w:val="Prrafodelista"/>
        <w:tabs>
          <w:tab w:val="left" w:pos="1035"/>
        </w:tabs>
        <w:jc w:val="both"/>
        <w:rPr>
          <w:rFonts w:ascii="Bahnschrift Light SemiCondensed" w:hAnsi="Bahnschrift Light SemiCondensed"/>
          <w:lang w:val="es-ES"/>
        </w:rPr>
      </w:pPr>
      <w:r w:rsidRPr="0025381D">
        <w:rPr>
          <w:rFonts w:ascii="Bahnschrift Light SemiCondensed" w:hAnsi="Bahnschrift Light SemiCondensed"/>
          <w:lang w:val="es-ES"/>
        </w:rPr>
        <w:t xml:space="preserve">  La experiencia de elaboración, implementación y evaluación de planes de gestión de riesgo  </w:t>
      </w:r>
      <w:r w:rsidR="00722AAB" w:rsidRPr="0025381D">
        <w:rPr>
          <w:rFonts w:ascii="Bahnschrift Light SemiCondensed" w:hAnsi="Bahnschrift Light SemiCondensed"/>
          <w:lang w:val="es-ES"/>
        </w:rPr>
        <w:t xml:space="preserve"> </w:t>
      </w:r>
      <w:r w:rsidR="00E66AB4" w:rsidRPr="0025381D">
        <w:rPr>
          <w:rFonts w:ascii="Bahnschrift Light SemiCondensed" w:hAnsi="Bahnschrift Light SemiCondensed"/>
          <w:lang w:val="es-ES"/>
        </w:rPr>
        <w:t xml:space="preserve">por parte del </w:t>
      </w:r>
      <w:r w:rsidRPr="0025381D">
        <w:rPr>
          <w:rFonts w:ascii="Bahnschrift Light SemiCondensed" w:hAnsi="Bahnschrift Light SemiCondensed"/>
          <w:lang w:val="es-ES"/>
        </w:rPr>
        <w:t>Estado de Nicaragua se ajusta más  a contexto  de vulnerabilidad  ambiental (terremotos, maremotos y huracanes etc. Se hace a través del  (Sistema Nacional de Prevención y Mitigación de Desastres) SINAPRED, instancia creada a través de la aprobación de la Ley No 337.</w:t>
      </w:r>
    </w:p>
    <w:p w14:paraId="7265E84E" w14:textId="5DA3F0F0" w:rsidR="00AC0259" w:rsidRPr="0025381D" w:rsidRDefault="00AC0259" w:rsidP="00AC0259">
      <w:pPr>
        <w:pStyle w:val="Prrafodelista"/>
        <w:tabs>
          <w:tab w:val="left" w:pos="1035"/>
        </w:tabs>
        <w:jc w:val="both"/>
        <w:rPr>
          <w:rFonts w:ascii="Bahnschrift Light SemiCondensed" w:hAnsi="Bahnschrift Light SemiCondensed"/>
          <w:lang w:val="es-ES"/>
        </w:rPr>
      </w:pPr>
      <w:r w:rsidRPr="0025381D">
        <w:rPr>
          <w:rFonts w:ascii="Bahnschrift Light SemiCondensed" w:hAnsi="Bahnschrift Light SemiCondensed"/>
          <w:lang w:val="es-ES"/>
        </w:rPr>
        <w:t xml:space="preserve"> El plan define las generalidades organizativas y estratégicas </w:t>
      </w:r>
      <w:r w:rsidR="00722AAB" w:rsidRPr="0025381D">
        <w:rPr>
          <w:rFonts w:ascii="Bahnschrift Light SemiCondensed" w:hAnsi="Bahnschrift Light SemiCondensed"/>
          <w:lang w:val="es-ES"/>
        </w:rPr>
        <w:t xml:space="preserve">que debe implementar </w:t>
      </w:r>
      <w:r w:rsidRPr="0025381D">
        <w:rPr>
          <w:rFonts w:ascii="Bahnschrift Light SemiCondensed" w:hAnsi="Bahnschrift Light SemiCondensed"/>
          <w:lang w:val="es-ES"/>
        </w:rPr>
        <w:t xml:space="preserve"> el Estado de Nicaragua para para dar respuesta los desastres.   Como se hace referencia en el acápite número 1  de esta </w:t>
      </w:r>
      <w:r w:rsidR="00722AAB" w:rsidRPr="0025381D">
        <w:rPr>
          <w:rFonts w:ascii="Bahnschrift Light SemiCondensed" w:hAnsi="Bahnschrift Light SemiCondensed"/>
          <w:lang w:val="es-ES"/>
        </w:rPr>
        <w:t>guía</w:t>
      </w:r>
      <w:r w:rsidRPr="0025381D">
        <w:rPr>
          <w:rFonts w:ascii="Bahnschrift Light SemiCondensed" w:hAnsi="Bahnschrift Light SemiCondensed"/>
          <w:lang w:val="es-ES"/>
        </w:rPr>
        <w:t>,  La Ley  337  no define explícitamente que la gestión de riesgo se refiera a desastres naturales nada mas  pero al valorar el contenido</w:t>
      </w:r>
      <w:r w:rsidR="00722AAB" w:rsidRPr="0025381D">
        <w:rPr>
          <w:rFonts w:ascii="Bahnschrift Light SemiCondensed" w:hAnsi="Bahnschrift Light SemiCondensed"/>
          <w:lang w:val="es-ES"/>
        </w:rPr>
        <w:t>s</w:t>
      </w:r>
      <w:r w:rsidRPr="0025381D">
        <w:rPr>
          <w:rFonts w:ascii="Bahnschrift Light SemiCondensed" w:hAnsi="Bahnschrift Light SemiCondensed"/>
          <w:lang w:val="es-ES"/>
        </w:rPr>
        <w:t xml:space="preserve">  central de la Ley y la organización del sistema de desastres el documento y  resto de instrumentos están </w:t>
      </w:r>
      <w:r w:rsidR="00722AAB" w:rsidRPr="0025381D">
        <w:rPr>
          <w:rFonts w:ascii="Bahnschrift Light SemiCondensed" w:hAnsi="Bahnschrift Light SemiCondensed"/>
          <w:lang w:val="es-ES"/>
        </w:rPr>
        <w:t>más</w:t>
      </w:r>
      <w:r w:rsidRPr="0025381D">
        <w:rPr>
          <w:rFonts w:ascii="Bahnschrift Light SemiCondensed" w:hAnsi="Bahnschrift Light SemiCondensed"/>
          <w:lang w:val="es-ES"/>
        </w:rPr>
        <w:t xml:space="preserve"> </w:t>
      </w:r>
      <w:r w:rsidR="00722AAB" w:rsidRPr="0025381D">
        <w:rPr>
          <w:rFonts w:ascii="Bahnschrift Light SemiCondensed" w:hAnsi="Bahnschrift Light SemiCondensed"/>
          <w:lang w:val="es-ES"/>
        </w:rPr>
        <w:t>adaptados</w:t>
      </w:r>
      <w:r w:rsidRPr="0025381D">
        <w:rPr>
          <w:rFonts w:ascii="Bahnschrift Light SemiCondensed" w:hAnsi="Bahnschrift Light SemiCondensed"/>
          <w:lang w:val="es-ES"/>
        </w:rPr>
        <w:t xml:space="preserve"> atender crisis  </w:t>
      </w:r>
      <w:r w:rsidR="00722AAB" w:rsidRPr="0025381D">
        <w:rPr>
          <w:rFonts w:ascii="Bahnschrift Light SemiCondensed" w:hAnsi="Bahnschrift Light SemiCondensed"/>
          <w:lang w:val="es-ES"/>
        </w:rPr>
        <w:t xml:space="preserve">de carácter ambiental. Entonces están excluidas </w:t>
      </w:r>
      <w:r w:rsidR="009C330D" w:rsidRPr="0025381D">
        <w:rPr>
          <w:rFonts w:ascii="Bahnschrift Light SemiCondensed" w:hAnsi="Bahnschrift Light SemiCondensed"/>
          <w:lang w:val="es-ES"/>
        </w:rPr>
        <w:t>planes de respuesta  que den respuestas las necesidades  sobre temáticas de materia de salud sexual y reproductiva de las mujeres y las niñas</w:t>
      </w:r>
    </w:p>
    <w:p w14:paraId="34483D1B" w14:textId="722FA488" w:rsidR="00722AAB" w:rsidRPr="0025381D" w:rsidRDefault="00722AAB" w:rsidP="009C330D">
      <w:pPr>
        <w:tabs>
          <w:tab w:val="left" w:pos="1035"/>
        </w:tabs>
        <w:ind w:left="720"/>
        <w:jc w:val="both"/>
        <w:rPr>
          <w:rFonts w:ascii="Bahnschrift Light SemiCondensed" w:hAnsi="Bahnschrift Light SemiCondensed"/>
          <w:lang w:val="es-ES"/>
        </w:rPr>
      </w:pPr>
      <w:r w:rsidRPr="0025381D">
        <w:rPr>
          <w:rFonts w:ascii="Bahnschrift Light SemiCondensed" w:hAnsi="Bahnschrift Light SemiCondensed"/>
          <w:lang w:val="es-ES"/>
        </w:rPr>
        <w:tab/>
      </w:r>
      <w:r w:rsidR="00AC0259" w:rsidRPr="0025381D">
        <w:rPr>
          <w:rFonts w:ascii="Bahnschrift Light SemiCondensed" w:hAnsi="Bahnschrift Light SemiCondensed"/>
          <w:lang w:val="es-ES"/>
        </w:rPr>
        <w:t>El plan de gestión de riesgo que implementa Nicaragua, si cuenta con un mecanismo de evaluación y se hace anualmente. Sin embargo, como no cuente contenidos temáticos específicos   menos materia de salud y derechos sexuales y reproductivos de las mujeres y las niñas. Por ejemplo, el plan  evalúa cuestiones de salud y educación,   al evaluar estos aspecto refieren temas de daños de infraestructura,  la asistencia básica  brinda en contexto de crisis etc. Sin embargo hay organismo internacional como Plan Internacional que abordan el tema de la niñez, adolescencia y mujer  en sus planes de gestión de riesgo  y abordan las necesidades  de estos grupos vulnerables en contexto de crisis.</w:t>
      </w:r>
    </w:p>
    <w:p w14:paraId="0E928784" w14:textId="77777777" w:rsidR="009C330D" w:rsidRPr="0025381D" w:rsidRDefault="009C330D" w:rsidP="00E342E5">
      <w:pPr>
        <w:tabs>
          <w:tab w:val="left" w:pos="1035"/>
        </w:tabs>
        <w:jc w:val="both"/>
        <w:rPr>
          <w:rFonts w:ascii="Bahnschrift Light SemiCondensed" w:hAnsi="Bahnschrift Light SemiCondensed"/>
          <w:lang w:val="es-ES"/>
        </w:rPr>
      </w:pPr>
    </w:p>
    <w:p w14:paraId="023EAE59" w14:textId="26F19DE4" w:rsidR="007731D3" w:rsidRPr="0025381D" w:rsidRDefault="007731D3" w:rsidP="003D4C73">
      <w:pPr>
        <w:pStyle w:val="Prrafodelista"/>
        <w:numPr>
          <w:ilvl w:val="0"/>
          <w:numId w:val="1"/>
        </w:numPr>
        <w:tabs>
          <w:tab w:val="left" w:pos="1035"/>
        </w:tabs>
        <w:jc w:val="both"/>
        <w:rPr>
          <w:rFonts w:ascii="Bahnschrift Light SemiCondensed" w:hAnsi="Bahnschrift Light SemiCondensed"/>
          <w:lang w:val="es-ES"/>
        </w:rPr>
      </w:pPr>
      <w:r w:rsidRPr="0025381D">
        <w:rPr>
          <w:rFonts w:ascii="Bahnschrift Light SemiCondensed" w:hAnsi="Bahnschrift Light SemiCondensed"/>
          <w:lang w:val="es-ES"/>
        </w:rPr>
        <w:t xml:space="preserve">Si su Estado no tiene un plan que pueda entrar en vigencia de inmediato en </w:t>
      </w:r>
      <w:r w:rsidR="00FF6F7A" w:rsidRPr="0025381D">
        <w:rPr>
          <w:rFonts w:ascii="Bahnschrift Light SemiCondensed" w:hAnsi="Bahnschrift Light SemiCondensed"/>
          <w:lang w:val="es-ES"/>
        </w:rPr>
        <w:t>caso</w:t>
      </w:r>
      <w:r w:rsidRPr="0025381D">
        <w:rPr>
          <w:rFonts w:ascii="Bahnschrift Light SemiCondensed" w:hAnsi="Bahnschrift Light SemiCondensed"/>
          <w:lang w:val="es-ES"/>
        </w:rPr>
        <w:t xml:space="preserve"> de crisis, explique por</w:t>
      </w:r>
      <w:r w:rsidR="009416E4" w:rsidRPr="0025381D">
        <w:rPr>
          <w:rFonts w:ascii="Bahnschrift Light SemiCondensed" w:hAnsi="Bahnschrift Light SemiCondensed"/>
          <w:lang w:val="es-ES"/>
        </w:rPr>
        <w:t>que</w:t>
      </w:r>
      <w:r w:rsidRPr="0025381D">
        <w:rPr>
          <w:rFonts w:ascii="Bahnschrift Light SemiCondensed" w:hAnsi="Bahnschrift Light SemiCondensed"/>
          <w:lang w:val="es-ES"/>
        </w:rPr>
        <w:t>.</w:t>
      </w:r>
    </w:p>
    <w:p w14:paraId="038C3D70" w14:textId="5B576DFB" w:rsidR="00DE24F7" w:rsidRPr="0025381D" w:rsidRDefault="00DE24F7" w:rsidP="00DE24F7">
      <w:pPr>
        <w:tabs>
          <w:tab w:val="left" w:pos="1035"/>
        </w:tabs>
        <w:ind w:left="360"/>
        <w:jc w:val="both"/>
        <w:rPr>
          <w:rFonts w:ascii="Bahnschrift Light SemiCondensed" w:hAnsi="Bahnschrift Light SemiCondensed"/>
          <w:lang w:val="es-ES"/>
        </w:rPr>
      </w:pPr>
      <w:r w:rsidRPr="0025381D">
        <w:rPr>
          <w:rFonts w:ascii="Bahnschrift Light SemiCondensed" w:hAnsi="Bahnschrift Light SemiCondensed"/>
          <w:lang w:val="es-ES"/>
        </w:rPr>
        <w:t xml:space="preserve">En el caso de Nicaragua si cuentan con planes específicos para el manejo de crisis. En el contexto del país se llaman planes de gestión de riesgo.  El problema de estos planes de referencia en contextos de crisis es que no  cuentan  con medidas  dirigidas  a atención específica  de las necesidades mujeres y otros grupos </w:t>
      </w:r>
      <w:r w:rsidR="0041290A" w:rsidRPr="0025381D">
        <w:rPr>
          <w:rFonts w:ascii="Bahnschrift Light SemiCondensed" w:hAnsi="Bahnschrift Light SemiCondensed"/>
          <w:lang w:val="es-ES"/>
        </w:rPr>
        <w:t>vulnerables</w:t>
      </w:r>
      <w:r w:rsidRPr="0025381D">
        <w:rPr>
          <w:rFonts w:ascii="Bahnschrift Light SemiCondensed" w:hAnsi="Bahnschrift Light SemiCondensed"/>
          <w:lang w:val="es-ES"/>
        </w:rPr>
        <w:t>.</w:t>
      </w:r>
      <w:r w:rsidR="0041290A" w:rsidRPr="0025381D">
        <w:rPr>
          <w:rFonts w:ascii="Bahnschrift Light SemiCondensed" w:hAnsi="Bahnschrift Light SemiCondensed"/>
          <w:lang w:val="es-ES"/>
        </w:rPr>
        <w:t xml:space="preserve"> Los planes no reflejan </w:t>
      </w:r>
      <w:r w:rsidRPr="0025381D">
        <w:rPr>
          <w:rFonts w:ascii="Bahnschrift Light SemiCondensed" w:hAnsi="Bahnschrift Light SemiCondensed"/>
          <w:lang w:val="es-ES"/>
        </w:rPr>
        <w:t xml:space="preserve">temáticas específicas como los derechos sexuales reproductivos.    </w:t>
      </w:r>
    </w:p>
    <w:p w14:paraId="39B33971" w14:textId="77777777" w:rsidR="007731D3" w:rsidRPr="0025381D" w:rsidRDefault="007731D3" w:rsidP="003D4C73">
      <w:pPr>
        <w:pStyle w:val="Prrafodelista"/>
        <w:tabs>
          <w:tab w:val="left" w:pos="1035"/>
        </w:tabs>
        <w:jc w:val="both"/>
        <w:rPr>
          <w:rFonts w:ascii="Bahnschrift Light SemiCondensed" w:hAnsi="Bahnschrift Light SemiCondensed"/>
          <w:lang w:val="es-ES"/>
        </w:rPr>
      </w:pPr>
    </w:p>
    <w:p w14:paraId="2CE95E73" w14:textId="09EF5325" w:rsidR="00F8554A" w:rsidRPr="0025381D" w:rsidRDefault="007731D3" w:rsidP="003D4C73">
      <w:pPr>
        <w:pStyle w:val="Prrafodelista"/>
        <w:numPr>
          <w:ilvl w:val="0"/>
          <w:numId w:val="1"/>
        </w:numPr>
        <w:tabs>
          <w:tab w:val="left" w:pos="1035"/>
        </w:tabs>
        <w:jc w:val="both"/>
        <w:rPr>
          <w:rFonts w:ascii="Bahnschrift Light SemiCondensed" w:hAnsi="Bahnschrift Light SemiCondensed"/>
          <w:lang w:val="es-ES"/>
        </w:rPr>
      </w:pPr>
      <w:r w:rsidRPr="0025381D">
        <w:rPr>
          <w:rFonts w:ascii="Bahnschrift Light SemiCondensed" w:hAnsi="Bahnschrift Light SemiCondensed"/>
          <w:lang w:val="es-ES"/>
        </w:rPr>
        <w:t xml:space="preserve">¿Existen </w:t>
      </w:r>
      <w:r w:rsidR="00FF6F7A" w:rsidRPr="0025381D">
        <w:rPr>
          <w:rFonts w:ascii="Bahnschrift Light SemiCondensed" w:hAnsi="Bahnschrift Light SemiCondensed"/>
          <w:lang w:val="es-ES"/>
        </w:rPr>
        <w:t>maneras</w:t>
      </w:r>
      <w:r w:rsidRPr="0025381D">
        <w:rPr>
          <w:rFonts w:ascii="Bahnschrift Light SemiCondensed" w:hAnsi="Bahnschrift Light SemiCondensed"/>
          <w:lang w:val="es-ES"/>
        </w:rPr>
        <w:t xml:space="preserve"> específicas en que los mecanismos internacionales de derechos humanos pued</w:t>
      </w:r>
      <w:r w:rsidR="009416E4" w:rsidRPr="0025381D">
        <w:rPr>
          <w:rFonts w:ascii="Bahnschrift Light SemiCondensed" w:hAnsi="Bahnschrift Light SemiCondensed"/>
          <w:lang w:val="es-ES"/>
        </w:rPr>
        <w:t>a</w:t>
      </w:r>
      <w:r w:rsidRPr="0025381D">
        <w:rPr>
          <w:rFonts w:ascii="Bahnschrift Light SemiCondensed" w:hAnsi="Bahnschrift Light SemiCondensed"/>
          <w:lang w:val="es-ES"/>
        </w:rPr>
        <w:t xml:space="preserve">n apoyar a los Estados en sus esfuerzos por </w:t>
      </w:r>
      <w:r w:rsidR="003F51C5" w:rsidRPr="0025381D">
        <w:rPr>
          <w:rFonts w:ascii="Bahnschrift Light SemiCondensed" w:hAnsi="Bahnschrift Light SemiCondensed"/>
          <w:lang w:val="es-ES"/>
        </w:rPr>
        <w:t>responder a</w:t>
      </w:r>
      <w:r w:rsidRPr="0025381D">
        <w:rPr>
          <w:rFonts w:ascii="Bahnschrift Light SemiCondensed" w:hAnsi="Bahnschrift Light SemiCondensed"/>
          <w:lang w:val="es-ES"/>
        </w:rPr>
        <w:t xml:space="preserve"> una crisis?</w:t>
      </w:r>
    </w:p>
    <w:p w14:paraId="048CB624" w14:textId="77777777" w:rsidR="000E537A" w:rsidRPr="0025381D" w:rsidRDefault="000E537A" w:rsidP="000E537A">
      <w:pPr>
        <w:pStyle w:val="Prrafodelista"/>
        <w:rPr>
          <w:rFonts w:ascii="Bahnschrift Light SemiCondensed" w:hAnsi="Bahnschrift Light SemiCondensed"/>
          <w:lang w:val="es-ES"/>
        </w:rPr>
      </w:pPr>
    </w:p>
    <w:p w14:paraId="5E808C21" w14:textId="2133ED28" w:rsidR="000E537A" w:rsidRPr="0025381D" w:rsidRDefault="00DE24F7" w:rsidP="000E537A">
      <w:pPr>
        <w:pStyle w:val="Prrafodelista"/>
        <w:tabs>
          <w:tab w:val="left" w:pos="1035"/>
        </w:tabs>
        <w:jc w:val="both"/>
        <w:rPr>
          <w:rFonts w:ascii="Bahnschrift Light SemiCondensed" w:hAnsi="Bahnschrift Light SemiCondensed"/>
          <w:lang w:val="es-ES"/>
        </w:rPr>
      </w:pPr>
      <w:r w:rsidRPr="0025381D">
        <w:rPr>
          <w:rFonts w:ascii="Bahnschrift Light SemiCondensed" w:hAnsi="Bahnschrift Light SemiCondensed"/>
          <w:lang w:val="es-ES"/>
        </w:rPr>
        <w:t>Si,   las hay.   Los describimos a continuación:</w:t>
      </w:r>
    </w:p>
    <w:p w14:paraId="601DE95A" w14:textId="77777777" w:rsidR="00DE24F7" w:rsidRPr="0025381D" w:rsidRDefault="00DE24F7" w:rsidP="000E537A">
      <w:pPr>
        <w:pStyle w:val="Prrafodelista"/>
        <w:tabs>
          <w:tab w:val="left" w:pos="1035"/>
        </w:tabs>
        <w:jc w:val="both"/>
        <w:rPr>
          <w:rFonts w:ascii="Bahnschrift Light SemiCondensed" w:hAnsi="Bahnschrift Light SemiCondensed"/>
          <w:lang w:val="es-ES"/>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6327"/>
      </w:tblGrid>
      <w:tr w:rsidR="0025381D" w:rsidRPr="0025381D" w14:paraId="566F1107" w14:textId="77777777" w:rsidTr="00DE24F7">
        <w:tc>
          <w:tcPr>
            <w:tcW w:w="1969" w:type="dxa"/>
          </w:tcPr>
          <w:p w14:paraId="50186CC8" w14:textId="608328F4" w:rsidR="00DE24F7" w:rsidRPr="0025381D" w:rsidRDefault="00DE24F7" w:rsidP="000E537A">
            <w:pPr>
              <w:pStyle w:val="Prrafodelista"/>
              <w:tabs>
                <w:tab w:val="left" w:pos="1035"/>
              </w:tabs>
              <w:ind w:left="0"/>
              <w:jc w:val="both"/>
              <w:rPr>
                <w:rFonts w:ascii="Bahnschrift Light SemiCondensed" w:hAnsi="Bahnschrift Light SemiCondensed"/>
                <w:b/>
                <w:lang w:val="es-ES"/>
              </w:rPr>
            </w:pPr>
            <w:r w:rsidRPr="0025381D">
              <w:rPr>
                <w:rFonts w:ascii="Bahnschrift Light SemiCondensed" w:hAnsi="Bahnschrift Light SemiCondensed"/>
                <w:b/>
                <w:lang w:val="es-ES"/>
              </w:rPr>
              <w:t xml:space="preserve"> Espacio de incidencia </w:t>
            </w:r>
          </w:p>
        </w:tc>
        <w:tc>
          <w:tcPr>
            <w:tcW w:w="6327" w:type="dxa"/>
          </w:tcPr>
          <w:p w14:paraId="54122054" w14:textId="7907B073" w:rsidR="00DE24F7" w:rsidRPr="0025381D" w:rsidRDefault="00DE24F7" w:rsidP="000E537A">
            <w:pPr>
              <w:pStyle w:val="Prrafodelista"/>
              <w:tabs>
                <w:tab w:val="left" w:pos="1035"/>
              </w:tabs>
              <w:ind w:left="0"/>
              <w:jc w:val="both"/>
              <w:rPr>
                <w:rFonts w:ascii="Bahnschrift Light SemiCondensed" w:hAnsi="Bahnschrift Light SemiCondensed"/>
                <w:b/>
                <w:lang w:val="es-ES"/>
              </w:rPr>
            </w:pPr>
            <w:r w:rsidRPr="0025381D">
              <w:rPr>
                <w:rFonts w:ascii="Bahnschrift Light SemiCondensed" w:hAnsi="Bahnschrift Light SemiCondensed"/>
                <w:b/>
                <w:lang w:val="es-ES"/>
              </w:rPr>
              <w:t xml:space="preserve"> Mecanismos </w:t>
            </w:r>
          </w:p>
        </w:tc>
      </w:tr>
      <w:tr w:rsidR="0025381D" w:rsidRPr="0025381D" w14:paraId="27CF775B" w14:textId="77777777" w:rsidTr="00DE24F7">
        <w:tc>
          <w:tcPr>
            <w:tcW w:w="1969" w:type="dxa"/>
          </w:tcPr>
          <w:p w14:paraId="370929F5" w14:textId="77777777" w:rsidR="00DE24F7" w:rsidRPr="0025381D" w:rsidRDefault="00DE24F7" w:rsidP="000E537A">
            <w:pPr>
              <w:pStyle w:val="Prrafodelista"/>
              <w:tabs>
                <w:tab w:val="left" w:pos="1035"/>
              </w:tabs>
              <w:ind w:left="0"/>
              <w:jc w:val="both"/>
              <w:rPr>
                <w:rFonts w:ascii="Bahnschrift Light SemiCondensed" w:hAnsi="Bahnschrift Light SemiCondensed"/>
                <w:b/>
                <w:lang w:val="es-ES"/>
              </w:rPr>
            </w:pPr>
          </w:p>
          <w:p w14:paraId="7DED2390" w14:textId="0B36779B" w:rsidR="00DE24F7" w:rsidRPr="0025381D" w:rsidRDefault="00DE24F7" w:rsidP="000E537A">
            <w:pPr>
              <w:pStyle w:val="Prrafodelista"/>
              <w:tabs>
                <w:tab w:val="left" w:pos="1035"/>
              </w:tabs>
              <w:ind w:left="0"/>
              <w:jc w:val="both"/>
              <w:rPr>
                <w:rFonts w:ascii="Bahnschrift Light SemiCondensed" w:hAnsi="Bahnschrift Light SemiCondensed"/>
                <w:b/>
                <w:lang w:val="es-ES"/>
              </w:rPr>
            </w:pPr>
            <w:r w:rsidRPr="0025381D">
              <w:rPr>
                <w:rFonts w:ascii="Bahnschrift Light SemiCondensed" w:hAnsi="Bahnschrift Light SemiCondensed"/>
                <w:b/>
                <w:lang w:val="es-ES"/>
              </w:rPr>
              <w:t>ONU</w:t>
            </w:r>
          </w:p>
        </w:tc>
        <w:tc>
          <w:tcPr>
            <w:tcW w:w="6327" w:type="dxa"/>
          </w:tcPr>
          <w:p w14:paraId="2C119B94" w14:textId="77777777" w:rsidR="00DE24F7" w:rsidRPr="0025381D" w:rsidRDefault="00DE24F7" w:rsidP="000E537A">
            <w:pPr>
              <w:pStyle w:val="Prrafodelista"/>
              <w:tabs>
                <w:tab w:val="left" w:pos="1035"/>
              </w:tabs>
              <w:ind w:left="0"/>
              <w:jc w:val="both"/>
              <w:rPr>
                <w:rFonts w:ascii="Bahnschrift Light SemiCondensed" w:hAnsi="Bahnschrift Light SemiCondensed"/>
                <w:lang w:val="es-ES"/>
              </w:rPr>
            </w:pPr>
            <w:r w:rsidRPr="0025381D">
              <w:rPr>
                <w:rFonts w:ascii="Bahnschrift Light SemiCondensed" w:hAnsi="Bahnschrift Light SemiCondensed"/>
                <w:lang w:val="es-ES"/>
              </w:rPr>
              <w:t xml:space="preserve"> Informes  alternativos </w:t>
            </w:r>
          </w:p>
          <w:p w14:paraId="6410192F" w14:textId="77777777" w:rsidR="00DE24F7" w:rsidRPr="0025381D" w:rsidRDefault="00DE24F7" w:rsidP="000E537A">
            <w:pPr>
              <w:pStyle w:val="Prrafodelista"/>
              <w:tabs>
                <w:tab w:val="left" w:pos="1035"/>
              </w:tabs>
              <w:ind w:left="0"/>
              <w:jc w:val="both"/>
              <w:rPr>
                <w:rFonts w:ascii="Bahnschrift Light SemiCondensed" w:hAnsi="Bahnschrift Light SemiCondensed"/>
                <w:lang w:val="es-ES"/>
              </w:rPr>
            </w:pPr>
          </w:p>
          <w:p w14:paraId="6AE7FC8F" w14:textId="77777777" w:rsidR="0025381D" w:rsidRDefault="00DE24F7" w:rsidP="000E537A">
            <w:pPr>
              <w:pStyle w:val="Prrafodelista"/>
              <w:tabs>
                <w:tab w:val="left" w:pos="1035"/>
              </w:tabs>
              <w:ind w:left="0"/>
              <w:jc w:val="both"/>
              <w:rPr>
                <w:rFonts w:ascii="Bahnschrift Light SemiCondensed" w:hAnsi="Bahnschrift Light SemiCondensed"/>
                <w:lang w:val="es-ES"/>
              </w:rPr>
            </w:pPr>
            <w:r w:rsidRPr="0025381D">
              <w:rPr>
                <w:rFonts w:ascii="Bahnschrift Light SemiCondensed" w:hAnsi="Bahnschrift Light SemiCondensed"/>
                <w:lang w:val="es-ES"/>
              </w:rPr>
              <w:t xml:space="preserve"> Informes ante l</w:t>
            </w:r>
            <w:r w:rsidR="0025381D">
              <w:rPr>
                <w:rFonts w:ascii="Bahnschrift Light SemiCondensed" w:hAnsi="Bahnschrift Light SemiCondensed"/>
                <w:lang w:val="es-ES"/>
              </w:rPr>
              <w:t>o comités de la ONU</w:t>
            </w:r>
          </w:p>
          <w:p w14:paraId="46B632C1" w14:textId="77777777" w:rsidR="00DE24F7" w:rsidRDefault="0025381D" w:rsidP="000E537A">
            <w:pPr>
              <w:pStyle w:val="Prrafodelista"/>
              <w:tabs>
                <w:tab w:val="left" w:pos="1035"/>
              </w:tabs>
              <w:ind w:left="0"/>
              <w:jc w:val="both"/>
              <w:rPr>
                <w:rFonts w:ascii="Bahnschrift Light SemiCondensed" w:hAnsi="Bahnschrift Light SemiCondensed"/>
                <w:lang w:val="es-ES"/>
              </w:rPr>
            </w:pPr>
            <w:r>
              <w:rPr>
                <w:rFonts w:ascii="Bahnschrift Light SemiCondensed" w:hAnsi="Bahnschrift Light SemiCondensed"/>
                <w:lang w:val="es-ES"/>
              </w:rPr>
              <w:t>Informe de la alta Comisionada para los Derechos Humanos</w:t>
            </w:r>
            <w:r w:rsidR="00DE24F7" w:rsidRPr="0025381D">
              <w:rPr>
                <w:rFonts w:ascii="Bahnschrift Light SemiCondensed" w:hAnsi="Bahnschrift Light SemiCondensed"/>
                <w:lang w:val="es-ES"/>
              </w:rPr>
              <w:t>.</w:t>
            </w:r>
          </w:p>
          <w:p w14:paraId="0D7A4C58" w14:textId="5953D301" w:rsidR="0025381D" w:rsidRPr="0025381D" w:rsidRDefault="0025381D" w:rsidP="000E537A">
            <w:pPr>
              <w:pStyle w:val="Prrafodelista"/>
              <w:tabs>
                <w:tab w:val="left" w:pos="1035"/>
              </w:tabs>
              <w:ind w:left="0"/>
              <w:jc w:val="both"/>
              <w:rPr>
                <w:rFonts w:ascii="Bahnschrift Light SemiCondensed" w:hAnsi="Bahnschrift Light SemiCondensed"/>
                <w:lang w:val="es-ES"/>
              </w:rPr>
            </w:pPr>
            <w:r>
              <w:rPr>
                <w:rFonts w:ascii="Bahnschrift Light SemiCondensed" w:hAnsi="Bahnschrift Light SemiCondensed"/>
                <w:lang w:val="es-ES"/>
              </w:rPr>
              <w:t>Informes del consejo de Derechos Humanos de la ONU</w:t>
            </w:r>
          </w:p>
        </w:tc>
      </w:tr>
      <w:tr w:rsidR="009C330D" w:rsidRPr="0025381D" w14:paraId="055DAFD0" w14:textId="77777777" w:rsidTr="00DE24F7">
        <w:tc>
          <w:tcPr>
            <w:tcW w:w="1969" w:type="dxa"/>
          </w:tcPr>
          <w:p w14:paraId="762E7E8C" w14:textId="3A8A3B42" w:rsidR="00DE24F7" w:rsidRPr="0025381D" w:rsidRDefault="00DE24F7" w:rsidP="000E537A">
            <w:pPr>
              <w:pStyle w:val="Prrafodelista"/>
              <w:tabs>
                <w:tab w:val="left" w:pos="1035"/>
              </w:tabs>
              <w:ind w:left="0"/>
              <w:jc w:val="both"/>
              <w:rPr>
                <w:rFonts w:ascii="Bahnschrift Light SemiCondensed" w:hAnsi="Bahnschrift Light SemiCondensed"/>
                <w:b/>
                <w:lang w:val="es-ES"/>
              </w:rPr>
            </w:pPr>
          </w:p>
          <w:p w14:paraId="1D71F4E3" w14:textId="37CC7232" w:rsidR="00DE24F7" w:rsidRPr="0025381D" w:rsidRDefault="00DE24F7" w:rsidP="000E537A">
            <w:pPr>
              <w:pStyle w:val="Prrafodelista"/>
              <w:tabs>
                <w:tab w:val="left" w:pos="1035"/>
              </w:tabs>
              <w:ind w:left="0"/>
              <w:jc w:val="both"/>
              <w:rPr>
                <w:rFonts w:ascii="Bahnschrift Light SemiCondensed" w:hAnsi="Bahnschrift Light SemiCondensed"/>
                <w:b/>
                <w:lang w:val="es-ES"/>
              </w:rPr>
            </w:pPr>
            <w:r w:rsidRPr="0025381D">
              <w:rPr>
                <w:rFonts w:ascii="Bahnschrift Light SemiCondensed" w:hAnsi="Bahnschrift Light SemiCondensed"/>
                <w:b/>
                <w:lang w:val="es-ES"/>
              </w:rPr>
              <w:t>OEA</w:t>
            </w:r>
          </w:p>
          <w:p w14:paraId="70B9C5B4" w14:textId="77777777" w:rsidR="00DE24F7" w:rsidRPr="0025381D" w:rsidRDefault="00DE24F7" w:rsidP="000E537A">
            <w:pPr>
              <w:pStyle w:val="Prrafodelista"/>
              <w:tabs>
                <w:tab w:val="left" w:pos="1035"/>
              </w:tabs>
              <w:ind w:left="0"/>
              <w:jc w:val="both"/>
              <w:rPr>
                <w:rFonts w:ascii="Bahnschrift Light SemiCondensed" w:hAnsi="Bahnschrift Light SemiCondensed"/>
                <w:b/>
                <w:lang w:val="es-ES"/>
              </w:rPr>
            </w:pPr>
          </w:p>
          <w:p w14:paraId="6683C5AE" w14:textId="77777777" w:rsidR="00DE24F7" w:rsidRPr="0025381D" w:rsidRDefault="00DE24F7" w:rsidP="000E537A">
            <w:pPr>
              <w:pStyle w:val="Prrafodelista"/>
              <w:tabs>
                <w:tab w:val="left" w:pos="1035"/>
              </w:tabs>
              <w:ind w:left="0"/>
              <w:jc w:val="both"/>
              <w:rPr>
                <w:rFonts w:ascii="Bahnschrift Light SemiCondensed" w:hAnsi="Bahnschrift Light SemiCondensed"/>
                <w:b/>
                <w:lang w:val="es-ES"/>
              </w:rPr>
            </w:pPr>
          </w:p>
        </w:tc>
        <w:tc>
          <w:tcPr>
            <w:tcW w:w="6327" w:type="dxa"/>
          </w:tcPr>
          <w:p w14:paraId="44C3C0A8" w14:textId="77777777" w:rsidR="00DE24F7" w:rsidRPr="0025381D" w:rsidRDefault="00DE24F7" w:rsidP="000E537A">
            <w:pPr>
              <w:pStyle w:val="Prrafodelista"/>
              <w:tabs>
                <w:tab w:val="left" w:pos="1035"/>
              </w:tabs>
              <w:ind w:left="0"/>
              <w:jc w:val="both"/>
              <w:rPr>
                <w:rFonts w:ascii="Bahnschrift Light SemiCondensed" w:hAnsi="Bahnschrift Light SemiCondensed"/>
                <w:lang w:val="es-ES"/>
              </w:rPr>
            </w:pPr>
            <w:r w:rsidRPr="0025381D">
              <w:rPr>
                <w:rFonts w:ascii="Bahnschrift Light SemiCondensed" w:hAnsi="Bahnschrift Light SemiCondensed"/>
                <w:lang w:val="es-ES"/>
              </w:rPr>
              <w:t xml:space="preserve"> </w:t>
            </w:r>
          </w:p>
          <w:p w14:paraId="5139D27B" w14:textId="77777777" w:rsidR="00DE24F7" w:rsidRDefault="00DE24F7" w:rsidP="000E537A">
            <w:pPr>
              <w:pStyle w:val="Prrafodelista"/>
              <w:tabs>
                <w:tab w:val="left" w:pos="1035"/>
              </w:tabs>
              <w:ind w:left="0"/>
              <w:jc w:val="both"/>
              <w:rPr>
                <w:rFonts w:ascii="Bahnschrift Light SemiCondensed" w:hAnsi="Bahnschrift Light SemiCondensed"/>
                <w:lang w:val="es-ES"/>
              </w:rPr>
            </w:pPr>
            <w:r w:rsidRPr="0025381D">
              <w:rPr>
                <w:rFonts w:ascii="Bahnschrift Light SemiCondensed" w:hAnsi="Bahnschrift Light SemiCondensed"/>
                <w:lang w:val="es-ES"/>
              </w:rPr>
              <w:t>Audiencias ante la CIDH</w:t>
            </w:r>
          </w:p>
          <w:p w14:paraId="2375FDD9" w14:textId="77777777" w:rsidR="0025381D" w:rsidRDefault="0025381D" w:rsidP="000E537A">
            <w:pPr>
              <w:pStyle w:val="Prrafodelista"/>
              <w:tabs>
                <w:tab w:val="left" w:pos="1035"/>
              </w:tabs>
              <w:ind w:left="0"/>
              <w:jc w:val="both"/>
              <w:rPr>
                <w:rFonts w:ascii="Bahnschrift Light SemiCondensed" w:hAnsi="Bahnschrift Light SemiCondensed"/>
                <w:lang w:val="es-ES"/>
              </w:rPr>
            </w:pPr>
            <w:r>
              <w:rPr>
                <w:rFonts w:ascii="Bahnschrift Light SemiCondensed" w:hAnsi="Bahnschrift Light SemiCondensed"/>
                <w:lang w:val="es-ES"/>
              </w:rPr>
              <w:t>Nota de prensas.</w:t>
            </w:r>
          </w:p>
          <w:p w14:paraId="0DBEAB35" w14:textId="77777777" w:rsidR="0025381D" w:rsidRDefault="0025381D" w:rsidP="000E537A">
            <w:pPr>
              <w:pStyle w:val="Prrafodelista"/>
              <w:tabs>
                <w:tab w:val="left" w:pos="1035"/>
              </w:tabs>
              <w:ind w:left="0"/>
              <w:jc w:val="both"/>
              <w:rPr>
                <w:rFonts w:ascii="Bahnschrift Light SemiCondensed" w:hAnsi="Bahnschrift Light SemiCondensed"/>
                <w:lang w:val="es-ES"/>
              </w:rPr>
            </w:pPr>
            <w:r>
              <w:rPr>
                <w:rFonts w:ascii="Bahnschrift Light SemiCondensed" w:hAnsi="Bahnschrift Light SemiCondensed"/>
                <w:lang w:val="es-ES"/>
              </w:rPr>
              <w:t>Reuniones de trabajos</w:t>
            </w:r>
          </w:p>
          <w:p w14:paraId="68439FFE" w14:textId="3EE757CB" w:rsidR="0025381D" w:rsidRPr="0025381D" w:rsidRDefault="0025381D" w:rsidP="000E537A">
            <w:pPr>
              <w:pStyle w:val="Prrafodelista"/>
              <w:tabs>
                <w:tab w:val="left" w:pos="1035"/>
              </w:tabs>
              <w:ind w:left="0"/>
              <w:jc w:val="both"/>
              <w:rPr>
                <w:rFonts w:ascii="Bahnschrift Light SemiCondensed" w:hAnsi="Bahnschrift Light SemiCondensed"/>
                <w:lang w:val="es-ES"/>
              </w:rPr>
            </w:pPr>
            <w:r>
              <w:rPr>
                <w:rFonts w:ascii="Bahnschrift Light SemiCondensed" w:hAnsi="Bahnschrift Light SemiCondensed"/>
                <w:lang w:val="es-ES"/>
              </w:rPr>
              <w:t>Desarrollo de informes</w:t>
            </w:r>
          </w:p>
        </w:tc>
      </w:tr>
    </w:tbl>
    <w:p w14:paraId="768E0905" w14:textId="24C2B557" w:rsidR="00DE24F7" w:rsidRPr="0025381D" w:rsidRDefault="00DE24F7" w:rsidP="000E537A">
      <w:pPr>
        <w:pStyle w:val="Prrafodelista"/>
        <w:tabs>
          <w:tab w:val="left" w:pos="1035"/>
        </w:tabs>
        <w:jc w:val="both"/>
        <w:rPr>
          <w:rFonts w:ascii="Bahnschrift Light SemiCondensed" w:hAnsi="Bahnschrift Light SemiCondensed"/>
          <w:lang w:val="es-ES"/>
        </w:rPr>
      </w:pPr>
    </w:p>
    <w:sectPr w:rsidR="00DE24F7" w:rsidRPr="002538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6D3D5" w14:textId="77777777" w:rsidR="00F408C0" w:rsidRDefault="00F408C0" w:rsidP="00F06EA7">
      <w:pPr>
        <w:spacing w:after="0" w:line="240" w:lineRule="auto"/>
      </w:pPr>
      <w:r>
        <w:separator/>
      </w:r>
    </w:p>
  </w:endnote>
  <w:endnote w:type="continuationSeparator" w:id="0">
    <w:p w14:paraId="2A41E1DE" w14:textId="77777777" w:rsidR="00F408C0" w:rsidRDefault="00F408C0" w:rsidP="00F06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38AAB" w14:textId="77777777" w:rsidR="00F408C0" w:rsidRDefault="00F408C0" w:rsidP="00F06EA7">
      <w:pPr>
        <w:spacing w:after="0" w:line="240" w:lineRule="auto"/>
      </w:pPr>
      <w:r>
        <w:separator/>
      </w:r>
    </w:p>
  </w:footnote>
  <w:footnote w:type="continuationSeparator" w:id="0">
    <w:p w14:paraId="3B239780" w14:textId="77777777" w:rsidR="00F408C0" w:rsidRDefault="00F408C0" w:rsidP="00F06EA7">
      <w:pPr>
        <w:spacing w:after="0" w:line="240" w:lineRule="auto"/>
      </w:pPr>
      <w:r>
        <w:continuationSeparator/>
      </w:r>
    </w:p>
  </w:footnote>
  <w:footnote w:id="1">
    <w:p w14:paraId="236693A8" w14:textId="46CF3DCC" w:rsidR="00F06EA7" w:rsidRPr="00845BC3" w:rsidRDefault="00F06EA7" w:rsidP="00D0195D">
      <w:pPr>
        <w:pStyle w:val="Textonotapie"/>
        <w:jc w:val="both"/>
        <w:rPr>
          <w:sz w:val="18"/>
          <w:szCs w:val="18"/>
          <w:lang w:val="es-ES"/>
        </w:rPr>
      </w:pPr>
      <w:r w:rsidRPr="00845BC3">
        <w:rPr>
          <w:rStyle w:val="Refdenotaalpie"/>
          <w:sz w:val="18"/>
          <w:szCs w:val="18"/>
        </w:rPr>
        <w:footnoteRef/>
      </w:r>
      <w:r w:rsidRPr="00845BC3">
        <w:rPr>
          <w:sz w:val="18"/>
          <w:szCs w:val="18"/>
          <w:lang w:val="es-ES"/>
        </w:rPr>
        <w:t xml:space="preserve"> SRHR incluye el derecho</w:t>
      </w:r>
      <w:r w:rsidR="002031DA">
        <w:rPr>
          <w:sz w:val="18"/>
          <w:szCs w:val="18"/>
          <w:lang w:val="es-ES"/>
        </w:rPr>
        <w:t xml:space="preserve"> de las mujeres</w:t>
      </w:r>
      <w:r w:rsidRPr="00845BC3">
        <w:rPr>
          <w:sz w:val="18"/>
          <w:szCs w:val="18"/>
          <w:lang w:val="es-ES"/>
        </w:rPr>
        <w:t xml:space="preserve"> a adoptar decisiones y hacer elecciones libres y responsables, sin violencia, coacción ni discriminación, con respecto a los asuntos relativos al propio cuerpo y la propia salud sexual y reproductiva. También incluye el acceso sin trabas a toda una serie de establecimientos, bienes, servicios e información relativos a la salud sexual y reproductivas, tales como</w:t>
      </w:r>
      <w:r w:rsidR="000A0479" w:rsidRPr="00845BC3">
        <w:rPr>
          <w:sz w:val="18"/>
          <w:szCs w:val="18"/>
          <w:lang w:val="es-ES"/>
        </w:rPr>
        <w:t xml:space="preserve"> salud materna, los anticonceptivos, la planificación familiar, las infecciones de transmisión sexual, la prevención del VIH, el aborto sin riesgo y la asistencia posterior en casos de aborto, la infecundidad y las opciones de fecundidad, y el cáncer del sistema reproductor. Además, el derecho de las mujeres a la salud sexual y reproductiva abarca los “factores determinantes básicos” de la salud sexual y reproductiva, incluido el acceso a agua segura y potable, saneamiento adecuado, alimentación y nutrición adecuadas, vivienda adecuada, entre otros, así como una protección efectiva frente a toda forma de violencia, tortura y discriminación y otras violaciones de los derechos humanos que repercutan negativamente en el derecho a la salud sexual y reproductiva. Finalmente, abarca</w:t>
      </w:r>
      <w:r w:rsidR="00D0195D" w:rsidRPr="00845BC3">
        <w:rPr>
          <w:sz w:val="18"/>
          <w:szCs w:val="18"/>
          <w:lang w:val="es-ES"/>
        </w:rPr>
        <w:t xml:space="preserve"> los “determinantes sociales”, en particular las desigualdades sociales, la pobreza, una distribución desigual del poder basada en el género, el origen étnico, la edad, la discapacidad y otros factores, la discriminación sistémica y la marginación, ya que estos factores determinan las pautas de salud sexual y reproductiva de las personas. </w:t>
      </w:r>
    </w:p>
  </w:footnote>
  <w:footnote w:id="2">
    <w:p w14:paraId="3327B8B4" w14:textId="7EFCAC04" w:rsidR="00DE2A98" w:rsidRPr="00D9511B" w:rsidRDefault="00DE2A98" w:rsidP="00D9511B">
      <w:pPr>
        <w:shd w:val="clear" w:color="auto" w:fill="FFFFFF"/>
        <w:spacing w:after="0" w:line="240" w:lineRule="auto"/>
        <w:jc w:val="both"/>
        <w:rPr>
          <w:rFonts w:asciiTheme="majorHAnsi" w:eastAsia="Times New Roman" w:hAnsiTheme="majorHAnsi" w:cstheme="majorHAnsi"/>
          <w:color w:val="000000"/>
          <w:sz w:val="12"/>
          <w:szCs w:val="12"/>
          <w:lang w:val="es-ES_tradnl" w:eastAsia="es-NI"/>
        </w:rPr>
      </w:pPr>
      <w:r w:rsidRPr="00D9511B">
        <w:rPr>
          <w:rStyle w:val="Refdenotaalpie"/>
          <w:rFonts w:asciiTheme="majorHAnsi" w:hAnsiTheme="majorHAnsi" w:cstheme="majorHAnsi"/>
          <w:sz w:val="16"/>
          <w:szCs w:val="16"/>
          <w:lang w:val="es-ES_tradnl"/>
        </w:rPr>
        <w:footnoteRef/>
      </w:r>
      <w:r w:rsidR="003E088D" w:rsidRPr="00D9511B">
        <w:rPr>
          <w:rFonts w:asciiTheme="majorHAnsi" w:hAnsiTheme="majorHAnsi" w:cstheme="majorHAnsi"/>
          <w:sz w:val="16"/>
          <w:szCs w:val="16"/>
          <w:lang w:val="es-ES_tradnl"/>
        </w:rPr>
        <w:t xml:space="preserve">  La </w:t>
      </w:r>
      <w:r w:rsidR="00D9511B">
        <w:rPr>
          <w:rFonts w:asciiTheme="majorHAnsi" w:hAnsiTheme="majorHAnsi" w:cstheme="majorHAnsi"/>
          <w:sz w:val="16"/>
          <w:szCs w:val="16"/>
          <w:lang w:val="es-ES_tradnl"/>
        </w:rPr>
        <w:t>normativa</w:t>
      </w:r>
      <w:r w:rsidR="003E088D" w:rsidRPr="00D9511B">
        <w:rPr>
          <w:rFonts w:asciiTheme="majorHAnsi" w:hAnsiTheme="majorHAnsi" w:cstheme="majorHAnsi"/>
          <w:sz w:val="16"/>
          <w:szCs w:val="16"/>
          <w:lang w:val="es-ES_tradnl"/>
        </w:rPr>
        <w:t xml:space="preserve"> define los desastres</w:t>
      </w:r>
      <w:r w:rsidR="003E088D" w:rsidRPr="00D9511B">
        <w:rPr>
          <w:rFonts w:asciiTheme="majorHAnsi" w:eastAsia="Times New Roman" w:hAnsiTheme="majorHAnsi" w:cstheme="majorHAnsi"/>
          <w:color w:val="000000"/>
          <w:sz w:val="16"/>
          <w:szCs w:val="16"/>
          <w:lang w:val="es-ES_tradnl" w:eastAsia="es-NI"/>
        </w:rPr>
        <w:t>  como toda situación que causa alteraciones intensas en los componentes sociales, físicos, ecológicos, económicos y culturales de una sociedad, poniendo en inminente peligro la vida humana y los bienes ciudadanos y de la nación, sobrepasando la capacidad de respuesta local para atender eficazmente sus consecuencias, pueden ser de origen natural o provocado por el hombre.</w:t>
      </w:r>
      <w:r w:rsidR="003E088D" w:rsidRPr="00D9511B">
        <w:rPr>
          <w:rFonts w:asciiTheme="majorHAnsi" w:eastAsia="Times New Roman" w:hAnsiTheme="majorHAnsi" w:cstheme="majorHAnsi"/>
          <w:color w:val="000000"/>
          <w:sz w:val="16"/>
          <w:szCs w:val="16"/>
          <w:lang w:val="es-ES_tradnl" w:eastAsia="es-NI"/>
        </w:rPr>
        <w:br/>
      </w:r>
    </w:p>
  </w:footnote>
  <w:footnote w:id="3">
    <w:p w14:paraId="3627A8E3" w14:textId="2F5164C0" w:rsidR="003E088D" w:rsidRPr="003E088D" w:rsidRDefault="003E088D" w:rsidP="00D9511B">
      <w:pPr>
        <w:pStyle w:val="NormalWeb"/>
        <w:shd w:val="clear" w:color="auto" w:fill="FFFFFF"/>
        <w:spacing w:before="0" w:beforeAutospacing="0" w:after="0" w:afterAutospacing="0"/>
        <w:jc w:val="both"/>
        <w:rPr>
          <w:rFonts w:asciiTheme="majorHAnsi" w:hAnsiTheme="majorHAnsi" w:cstheme="majorHAnsi"/>
          <w:color w:val="212529"/>
          <w:sz w:val="16"/>
          <w:szCs w:val="16"/>
        </w:rPr>
      </w:pPr>
      <w:r w:rsidRPr="00D9511B">
        <w:rPr>
          <w:rStyle w:val="Refdenotaalpie"/>
          <w:rFonts w:asciiTheme="majorHAnsi" w:hAnsiTheme="majorHAnsi" w:cstheme="majorHAnsi"/>
          <w:sz w:val="16"/>
          <w:szCs w:val="16"/>
          <w:lang w:val="es-ES_tradnl"/>
        </w:rPr>
        <w:footnoteRef/>
      </w:r>
      <w:r w:rsidRPr="00D9511B">
        <w:rPr>
          <w:rFonts w:asciiTheme="majorHAnsi" w:hAnsiTheme="majorHAnsi" w:cstheme="majorHAnsi"/>
          <w:sz w:val="16"/>
          <w:szCs w:val="16"/>
          <w:lang w:val="es-ES_tradnl"/>
        </w:rPr>
        <w:t xml:space="preserve"> </w:t>
      </w:r>
      <w:r w:rsidRPr="00D9511B">
        <w:rPr>
          <w:rFonts w:asciiTheme="majorHAnsi" w:hAnsiTheme="majorHAnsi" w:cstheme="majorHAnsi"/>
          <w:color w:val="212529"/>
          <w:sz w:val="16"/>
          <w:szCs w:val="16"/>
          <w:lang w:val="es-ES_tradnl"/>
        </w:rPr>
        <w:t>La 'Ley para un Plan Integral de Atención a Víctimas del Terrorismo Golpista' fue aprobada por el Parlamento de Nicaragua, con "trámite de urgencia", un día después de que Daniel Ortega la enviara al poder legislativo. </w:t>
      </w:r>
      <w:r w:rsidRPr="003E088D">
        <w:rPr>
          <w:rFonts w:asciiTheme="majorHAnsi" w:hAnsiTheme="majorHAnsi" w:cstheme="majorHAnsi"/>
          <w:color w:val="212529"/>
          <w:sz w:val="16"/>
          <w:szCs w:val="16"/>
          <w:lang w:val="es-ES_tradnl"/>
        </w:rPr>
        <w:t>En el marco de la crisis social y política que vive el país centroamericano desde abril del 2018, la Comisión Interamericana de Derechos Humanos (CIDH) estima que 325 personas han fallecido durante las protestas.</w:t>
      </w:r>
      <w:r w:rsidR="00D9511B" w:rsidRPr="00D9511B">
        <w:rPr>
          <w:rFonts w:asciiTheme="majorHAnsi" w:hAnsiTheme="majorHAnsi" w:cstheme="majorHAnsi"/>
          <w:color w:val="212529"/>
          <w:sz w:val="16"/>
          <w:szCs w:val="16"/>
          <w:lang w:val="es-ES_tradnl"/>
        </w:rPr>
        <w:t xml:space="preserve"> </w:t>
      </w:r>
      <w:r w:rsidRPr="003E088D">
        <w:rPr>
          <w:rFonts w:asciiTheme="majorHAnsi" w:hAnsiTheme="majorHAnsi" w:cstheme="majorHAnsi"/>
          <w:color w:val="212529"/>
          <w:sz w:val="16"/>
          <w:szCs w:val="16"/>
          <w:lang w:val="es-ES_tradnl"/>
        </w:rPr>
        <w:t>Por su parte, cifras de la Asociación Nicaragüense</w:t>
      </w:r>
      <w:r w:rsidRPr="003E088D">
        <w:rPr>
          <w:rFonts w:asciiTheme="majorHAnsi" w:hAnsiTheme="majorHAnsi" w:cstheme="majorHAnsi"/>
          <w:color w:val="212529"/>
          <w:sz w:val="16"/>
          <w:szCs w:val="16"/>
        </w:rPr>
        <w:t xml:space="preserve"> Pro Derechos Humanos (ANPDH) sitúan en 593 los muertos por cuenta de la violencia originada el año pasado.</w:t>
      </w:r>
      <w:r w:rsidR="00D9511B">
        <w:rPr>
          <w:rFonts w:asciiTheme="majorHAnsi" w:hAnsiTheme="majorHAnsi" w:cstheme="majorHAnsi"/>
          <w:color w:val="212529"/>
          <w:sz w:val="16"/>
          <w:szCs w:val="16"/>
        </w:rPr>
        <w:t xml:space="preserve"> </w:t>
      </w:r>
      <w:r w:rsidRPr="003E088D">
        <w:rPr>
          <w:rFonts w:asciiTheme="majorHAnsi" w:hAnsiTheme="majorHAnsi" w:cstheme="majorHAnsi"/>
          <w:color w:val="212529"/>
          <w:sz w:val="16"/>
          <w:szCs w:val="16"/>
        </w:rPr>
        <w:t>El gobierno nicaragüense solo reconoce 199 decesos.</w:t>
      </w:r>
    </w:p>
    <w:p w14:paraId="7729C1D1" w14:textId="6D5E5C2F" w:rsidR="003E088D" w:rsidRPr="003E088D" w:rsidRDefault="003E088D" w:rsidP="00D9511B">
      <w:pPr>
        <w:pStyle w:val="Textonotapie"/>
        <w:jc w:val="both"/>
        <w:rPr>
          <w:rFonts w:asciiTheme="majorHAnsi" w:hAnsiTheme="majorHAnsi" w:cstheme="majorHAnsi"/>
          <w:sz w:val="16"/>
          <w:szCs w:val="16"/>
          <w:lang w:val="es-ES"/>
        </w:rPr>
      </w:pPr>
    </w:p>
  </w:footnote>
  <w:footnote w:id="4">
    <w:p w14:paraId="3175FAAE" w14:textId="05720EEE" w:rsidR="00BA6A51" w:rsidRPr="0025381D" w:rsidRDefault="00BA6A51">
      <w:pPr>
        <w:pStyle w:val="Textonotapie"/>
        <w:rPr>
          <w:lang w:val="es-ES"/>
        </w:rPr>
      </w:pPr>
      <w:r>
        <w:rPr>
          <w:rStyle w:val="Refdenotaalpie"/>
        </w:rPr>
        <w:footnoteRef/>
      </w:r>
      <w:r>
        <w:t xml:space="preserve"> </w:t>
      </w:r>
      <w:r w:rsidRPr="0025381D">
        <w:rPr>
          <w:rFonts w:ascii="Bahnschrift Light SemiCondensed" w:hAnsi="Bahnschrift Light SemiCondensed"/>
          <w:lang w:val="es-ES"/>
        </w:rPr>
        <w:t xml:space="preserve">La muerte de  37 personas de las cuales 2 eran mujeres. Además, una mujer de 57 años fue abusada sexual, ella pertenencia al territorio Prinzu </w:t>
      </w:r>
      <w:proofErr w:type="spellStart"/>
      <w:r w:rsidRPr="0025381D">
        <w:rPr>
          <w:rFonts w:ascii="Bahnschrift Light SemiCondensed" w:hAnsi="Bahnschrift Light SemiCondensed"/>
          <w:lang w:val="es-ES"/>
        </w:rPr>
        <w:t>Awala</w:t>
      </w:r>
      <w:proofErr w:type="spellEnd"/>
      <w:r w:rsidRPr="0025381D">
        <w:rPr>
          <w:rFonts w:ascii="Bahnschrift Light SemiCondensed" w:hAnsi="Bahnschrift Light SemiCondensed"/>
          <w:lang w:val="es-ES"/>
        </w:rPr>
        <w:t xml:space="preserve"> y  (10) mujeres fueron secuestras ubicadas en tres territorios de la RACCN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368DF"/>
    <w:multiLevelType w:val="hybridMultilevel"/>
    <w:tmpl w:val="DBB2F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265755"/>
    <w:multiLevelType w:val="hybridMultilevel"/>
    <w:tmpl w:val="3978075C"/>
    <w:lvl w:ilvl="0" w:tplc="918044C2">
      <w:start w:val="1"/>
      <w:numFmt w:val="decimal"/>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2" w15:restartNumberingAfterBreak="0">
    <w:nsid w:val="33F56F6F"/>
    <w:multiLevelType w:val="hybridMultilevel"/>
    <w:tmpl w:val="A3BE1A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6191E42"/>
    <w:multiLevelType w:val="hybridMultilevel"/>
    <w:tmpl w:val="FD5E8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7E0691"/>
    <w:multiLevelType w:val="hybridMultilevel"/>
    <w:tmpl w:val="4312585E"/>
    <w:lvl w:ilvl="0" w:tplc="08090019">
      <w:start w:val="1"/>
      <w:numFmt w:val="lowerLetter"/>
      <w:lvlText w:val="%1."/>
      <w:lvlJc w:val="left"/>
      <w:pPr>
        <w:ind w:left="1353"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AA5132D"/>
    <w:multiLevelType w:val="multilevel"/>
    <w:tmpl w:val="CD70C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6145D3"/>
    <w:multiLevelType w:val="hybridMultilevel"/>
    <w:tmpl w:val="2C88B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0966F3"/>
    <w:multiLevelType w:val="hybridMultilevel"/>
    <w:tmpl w:val="A90E0EA6"/>
    <w:lvl w:ilvl="0" w:tplc="21BCAFB0">
      <w:start w:val="1"/>
      <w:numFmt w:val="decimal"/>
      <w:lvlText w:val="%1."/>
      <w:lvlJc w:val="left"/>
      <w:pPr>
        <w:ind w:left="1395" w:hanging="360"/>
      </w:pPr>
      <w:rPr>
        <w:rFonts w:hint="default"/>
      </w:rPr>
    </w:lvl>
    <w:lvl w:ilvl="1" w:tplc="4C0A0019" w:tentative="1">
      <w:start w:val="1"/>
      <w:numFmt w:val="lowerLetter"/>
      <w:lvlText w:val="%2."/>
      <w:lvlJc w:val="left"/>
      <w:pPr>
        <w:ind w:left="2115" w:hanging="360"/>
      </w:pPr>
    </w:lvl>
    <w:lvl w:ilvl="2" w:tplc="4C0A001B" w:tentative="1">
      <w:start w:val="1"/>
      <w:numFmt w:val="lowerRoman"/>
      <w:lvlText w:val="%3."/>
      <w:lvlJc w:val="right"/>
      <w:pPr>
        <w:ind w:left="2835" w:hanging="180"/>
      </w:pPr>
    </w:lvl>
    <w:lvl w:ilvl="3" w:tplc="4C0A000F" w:tentative="1">
      <w:start w:val="1"/>
      <w:numFmt w:val="decimal"/>
      <w:lvlText w:val="%4."/>
      <w:lvlJc w:val="left"/>
      <w:pPr>
        <w:ind w:left="3555" w:hanging="360"/>
      </w:pPr>
    </w:lvl>
    <w:lvl w:ilvl="4" w:tplc="4C0A0019" w:tentative="1">
      <w:start w:val="1"/>
      <w:numFmt w:val="lowerLetter"/>
      <w:lvlText w:val="%5."/>
      <w:lvlJc w:val="left"/>
      <w:pPr>
        <w:ind w:left="4275" w:hanging="360"/>
      </w:pPr>
    </w:lvl>
    <w:lvl w:ilvl="5" w:tplc="4C0A001B" w:tentative="1">
      <w:start w:val="1"/>
      <w:numFmt w:val="lowerRoman"/>
      <w:lvlText w:val="%6."/>
      <w:lvlJc w:val="right"/>
      <w:pPr>
        <w:ind w:left="4995" w:hanging="180"/>
      </w:pPr>
    </w:lvl>
    <w:lvl w:ilvl="6" w:tplc="4C0A000F" w:tentative="1">
      <w:start w:val="1"/>
      <w:numFmt w:val="decimal"/>
      <w:lvlText w:val="%7."/>
      <w:lvlJc w:val="left"/>
      <w:pPr>
        <w:ind w:left="5715" w:hanging="360"/>
      </w:pPr>
    </w:lvl>
    <w:lvl w:ilvl="7" w:tplc="4C0A0019" w:tentative="1">
      <w:start w:val="1"/>
      <w:numFmt w:val="lowerLetter"/>
      <w:lvlText w:val="%8."/>
      <w:lvlJc w:val="left"/>
      <w:pPr>
        <w:ind w:left="6435" w:hanging="360"/>
      </w:pPr>
    </w:lvl>
    <w:lvl w:ilvl="8" w:tplc="4C0A001B" w:tentative="1">
      <w:start w:val="1"/>
      <w:numFmt w:val="lowerRoman"/>
      <w:lvlText w:val="%9."/>
      <w:lvlJc w:val="right"/>
      <w:pPr>
        <w:ind w:left="7155" w:hanging="180"/>
      </w:pPr>
    </w:lvl>
  </w:abstractNum>
  <w:abstractNum w:abstractNumId="8" w15:restartNumberingAfterBreak="0">
    <w:nsid w:val="4F856AF7"/>
    <w:multiLevelType w:val="hybridMultilevel"/>
    <w:tmpl w:val="BD7A6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A80CE1"/>
    <w:multiLevelType w:val="hybridMultilevel"/>
    <w:tmpl w:val="79D8C904"/>
    <w:lvl w:ilvl="0" w:tplc="617E7DAA">
      <w:start w:val="1"/>
      <w:numFmt w:val="decimal"/>
      <w:lvlText w:val="%1."/>
      <w:lvlJc w:val="left"/>
      <w:pPr>
        <w:ind w:left="1130" w:hanging="360"/>
      </w:pPr>
      <w:rPr>
        <w:rFonts w:hint="default"/>
      </w:rPr>
    </w:lvl>
    <w:lvl w:ilvl="1" w:tplc="4C0A0019" w:tentative="1">
      <w:start w:val="1"/>
      <w:numFmt w:val="lowerLetter"/>
      <w:lvlText w:val="%2."/>
      <w:lvlJc w:val="left"/>
      <w:pPr>
        <w:ind w:left="1490" w:hanging="360"/>
      </w:pPr>
    </w:lvl>
    <w:lvl w:ilvl="2" w:tplc="4C0A001B" w:tentative="1">
      <w:start w:val="1"/>
      <w:numFmt w:val="lowerRoman"/>
      <w:lvlText w:val="%3."/>
      <w:lvlJc w:val="right"/>
      <w:pPr>
        <w:ind w:left="2210" w:hanging="180"/>
      </w:pPr>
    </w:lvl>
    <w:lvl w:ilvl="3" w:tplc="4C0A000F" w:tentative="1">
      <w:start w:val="1"/>
      <w:numFmt w:val="decimal"/>
      <w:lvlText w:val="%4."/>
      <w:lvlJc w:val="left"/>
      <w:pPr>
        <w:ind w:left="2930" w:hanging="360"/>
      </w:pPr>
    </w:lvl>
    <w:lvl w:ilvl="4" w:tplc="4C0A0019" w:tentative="1">
      <w:start w:val="1"/>
      <w:numFmt w:val="lowerLetter"/>
      <w:lvlText w:val="%5."/>
      <w:lvlJc w:val="left"/>
      <w:pPr>
        <w:ind w:left="3650" w:hanging="360"/>
      </w:pPr>
    </w:lvl>
    <w:lvl w:ilvl="5" w:tplc="4C0A001B" w:tentative="1">
      <w:start w:val="1"/>
      <w:numFmt w:val="lowerRoman"/>
      <w:lvlText w:val="%6."/>
      <w:lvlJc w:val="right"/>
      <w:pPr>
        <w:ind w:left="4370" w:hanging="180"/>
      </w:pPr>
    </w:lvl>
    <w:lvl w:ilvl="6" w:tplc="4C0A000F" w:tentative="1">
      <w:start w:val="1"/>
      <w:numFmt w:val="decimal"/>
      <w:lvlText w:val="%7."/>
      <w:lvlJc w:val="left"/>
      <w:pPr>
        <w:ind w:left="5090" w:hanging="360"/>
      </w:pPr>
    </w:lvl>
    <w:lvl w:ilvl="7" w:tplc="4C0A0019" w:tentative="1">
      <w:start w:val="1"/>
      <w:numFmt w:val="lowerLetter"/>
      <w:lvlText w:val="%8."/>
      <w:lvlJc w:val="left"/>
      <w:pPr>
        <w:ind w:left="5810" w:hanging="360"/>
      </w:pPr>
    </w:lvl>
    <w:lvl w:ilvl="8" w:tplc="4C0A001B" w:tentative="1">
      <w:start w:val="1"/>
      <w:numFmt w:val="lowerRoman"/>
      <w:lvlText w:val="%9."/>
      <w:lvlJc w:val="right"/>
      <w:pPr>
        <w:ind w:left="6530" w:hanging="180"/>
      </w:pPr>
    </w:lvl>
  </w:abstractNum>
  <w:abstractNum w:abstractNumId="10" w15:restartNumberingAfterBreak="0">
    <w:nsid w:val="662E4399"/>
    <w:multiLevelType w:val="hybridMultilevel"/>
    <w:tmpl w:val="146E4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9830DA"/>
    <w:multiLevelType w:val="hybridMultilevel"/>
    <w:tmpl w:val="8E7CC82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E712995"/>
    <w:multiLevelType w:val="hybridMultilevel"/>
    <w:tmpl w:val="5608E58A"/>
    <w:lvl w:ilvl="0" w:tplc="617E7DAA">
      <w:start w:val="1"/>
      <w:numFmt w:val="decimal"/>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13" w15:restartNumberingAfterBreak="0">
    <w:nsid w:val="737529EA"/>
    <w:multiLevelType w:val="hybridMultilevel"/>
    <w:tmpl w:val="4B02EBF4"/>
    <w:lvl w:ilvl="0" w:tplc="4C0A0003">
      <w:start w:val="1"/>
      <w:numFmt w:val="bullet"/>
      <w:lvlText w:val="o"/>
      <w:lvlJc w:val="left"/>
      <w:pPr>
        <w:ind w:left="720" w:hanging="360"/>
      </w:pPr>
      <w:rPr>
        <w:rFonts w:ascii="Courier New" w:hAnsi="Courier New" w:cs="Courier New"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2"/>
  </w:num>
  <w:num w:numId="5">
    <w:abstractNumId w:val="0"/>
  </w:num>
  <w:num w:numId="6">
    <w:abstractNumId w:val="8"/>
  </w:num>
  <w:num w:numId="7">
    <w:abstractNumId w:val="3"/>
  </w:num>
  <w:num w:numId="8">
    <w:abstractNumId w:val="11"/>
  </w:num>
  <w:num w:numId="9">
    <w:abstractNumId w:val="13"/>
  </w:num>
  <w:num w:numId="10">
    <w:abstractNumId w:val="1"/>
  </w:num>
  <w:num w:numId="11">
    <w:abstractNumId w:val="12"/>
  </w:num>
  <w:num w:numId="12">
    <w:abstractNumId w:val="9"/>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BF"/>
    <w:rsid w:val="00000973"/>
    <w:rsid w:val="0000405F"/>
    <w:rsid w:val="000466F4"/>
    <w:rsid w:val="0006387F"/>
    <w:rsid w:val="00084C34"/>
    <w:rsid w:val="00096F63"/>
    <w:rsid w:val="000A0479"/>
    <w:rsid w:val="000E537A"/>
    <w:rsid w:val="00110975"/>
    <w:rsid w:val="00113156"/>
    <w:rsid w:val="00130BA5"/>
    <w:rsid w:val="00136D4F"/>
    <w:rsid w:val="00166DD3"/>
    <w:rsid w:val="001947D0"/>
    <w:rsid w:val="002031DA"/>
    <w:rsid w:val="0022395B"/>
    <w:rsid w:val="0025381D"/>
    <w:rsid w:val="002A7166"/>
    <w:rsid w:val="002B33FB"/>
    <w:rsid w:val="002C21B8"/>
    <w:rsid w:val="003031FD"/>
    <w:rsid w:val="00314AD6"/>
    <w:rsid w:val="00315398"/>
    <w:rsid w:val="00315675"/>
    <w:rsid w:val="00323482"/>
    <w:rsid w:val="00345893"/>
    <w:rsid w:val="003502B9"/>
    <w:rsid w:val="00354F98"/>
    <w:rsid w:val="00367436"/>
    <w:rsid w:val="003A1A5E"/>
    <w:rsid w:val="003B5CF6"/>
    <w:rsid w:val="003D4C73"/>
    <w:rsid w:val="003D7665"/>
    <w:rsid w:val="003E088D"/>
    <w:rsid w:val="003F51C5"/>
    <w:rsid w:val="0041290A"/>
    <w:rsid w:val="004137A7"/>
    <w:rsid w:val="00450A8C"/>
    <w:rsid w:val="00465F34"/>
    <w:rsid w:val="004A4A00"/>
    <w:rsid w:val="004A556F"/>
    <w:rsid w:val="004A57BD"/>
    <w:rsid w:val="004C7C3E"/>
    <w:rsid w:val="004E221C"/>
    <w:rsid w:val="004F01AE"/>
    <w:rsid w:val="005165B8"/>
    <w:rsid w:val="00543B89"/>
    <w:rsid w:val="005A40E6"/>
    <w:rsid w:val="005D0FDB"/>
    <w:rsid w:val="00633888"/>
    <w:rsid w:val="006432D7"/>
    <w:rsid w:val="00644638"/>
    <w:rsid w:val="00654A0C"/>
    <w:rsid w:val="00677125"/>
    <w:rsid w:val="00683A2B"/>
    <w:rsid w:val="00697232"/>
    <w:rsid w:val="0069737C"/>
    <w:rsid w:val="006E2B01"/>
    <w:rsid w:val="006E7B32"/>
    <w:rsid w:val="00722AAB"/>
    <w:rsid w:val="00727733"/>
    <w:rsid w:val="007637F8"/>
    <w:rsid w:val="007731D3"/>
    <w:rsid w:val="007E272C"/>
    <w:rsid w:val="00810409"/>
    <w:rsid w:val="00821B84"/>
    <w:rsid w:val="0082759C"/>
    <w:rsid w:val="00827D7A"/>
    <w:rsid w:val="00845BC3"/>
    <w:rsid w:val="008575DB"/>
    <w:rsid w:val="00863608"/>
    <w:rsid w:val="0086424E"/>
    <w:rsid w:val="00894273"/>
    <w:rsid w:val="008B38E7"/>
    <w:rsid w:val="008B3A38"/>
    <w:rsid w:val="008B793A"/>
    <w:rsid w:val="008C2335"/>
    <w:rsid w:val="008C3C55"/>
    <w:rsid w:val="00902675"/>
    <w:rsid w:val="009416E4"/>
    <w:rsid w:val="0095572F"/>
    <w:rsid w:val="00961C2E"/>
    <w:rsid w:val="00965318"/>
    <w:rsid w:val="00966230"/>
    <w:rsid w:val="00976C82"/>
    <w:rsid w:val="00995656"/>
    <w:rsid w:val="009A256F"/>
    <w:rsid w:val="009C330D"/>
    <w:rsid w:val="009C4612"/>
    <w:rsid w:val="009D07FD"/>
    <w:rsid w:val="009F3727"/>
    <w:rsid w:val="009F4CD5"/>
    <w:rsid w:val="00A41DC2"/>
    <w:rsid w:val="00A46C05"/>
    <w:rsid w:val="00A6165B"/>
    <w:rsid w:val="00AB0CF4"/>
    <w:rsid w:val="00AC0259"/>
    <w:rsid w:val="00AD1424"/>
    <w:rsid w:val="00B25461"/>
    <w:rsid w:val="00B57059"/>
    <w:rsid w:val="00B72D6F"/>
    <w:rsid w:val="00B9266D"/>
    <w:rsid w:val="00BA6A51"/>
    <w:rsid w:val="00BC1E39"/>
    <w:rsid w:val="00C4024F"/>
    <w:rsid w:val="00C47CC3"/>
    <w:rsid w:val="00C51C1E"/>
    <w:rsid w:val="00C57295"/>
    <w:rsid w:val="00C663BF"/>
    <w:rsid w:val="00C76057"/>
    <w:rsid w:val="00CD2FFA"/>
    <w:rsid w:val="00CD797A"/>
    <w:rsid w:val="00CE1153"/>
    <w:rsid w:val="00CE4539"/>
    <w:rsid w:val="00CF29DB"/>
    <w:rsid w:val="00CF384E"/>
    <w:rsid w:val="00CF7187"/>
    <w:rsid w:val="00D0195D"/>
    <w:rsid w:val="00D04F46"/>
    <w:rsid w:val="00D22EFC"/>
    <w:rsid w:val="00D27123"/>
    <w:rsid w:val="00D50436"/>
    <w:rsid w:val="00D60D2F"/>
    <w:rsid w:val="00D87EE2"/>
    <w:rsid w:val="00D91D0B"/>
    <w:rsid w:val="00D93231"/>
    <w:rsid w:val="00D9511B"/>
    <w:rsid w:val="00DE24F7"/>
    <w:rsid w:val="00DE2A98"/>
    <w:rsid w:val="00DF3F15"/>
    <w:rsid w:val="00E33174"/>
    <w:rsid w:val="00E342E5"/>
    <w:rsid w:val="00E35827"/>
    <w:rsid w:val="00E47406"/>
    <w:rsid w:val="00E66AB4"/>
    <w:rsid w:val="00E82C1F"/>
    <w:rsid w:val="00EE46AE"/>
    <w:rsid w:val="00EE723A"/>
    <w:rsid w:val="00F02F28"/>
    <w:rsid w:val="00F06EA7"/>
    <w:rsid w:val="00F17FB6"/>
    <w:rsid w:val="00F408C0"/>
    <w:rsid w:val="00F430BB"/>
    <w:rsid w:val="00F76787"/>
    <w:rsid w:val="00F8554A"/>
    <w:rsid w:val="00FB504A"/>
    <w:rsid w:val="00FD521F"/>
    <w:rsid w:val="00FE5239"/>
    <w:rsid w:val="00FF6F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5DCB"/>
  <w15:chartTrackingRefBased/>
  <w15:docId w15:val="{6666332D-257F-43EC-BA45-18BD1216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7FB6"/>
    <w:pPr>
      <w:keepNext/>
      <w:keepLines/>
      <w:spacing w:before="240" w:after="0"/>
      <w:outlineLvl w:val="0"/>
    </w:pPr>
    <w:rPr>
      <w:rFonts w:asciiTheme="majorHAnsi" w:eastAsiaTheme="majorEastAsia" w:hAnsiTheme="majorHAnsi" w:cstheme="majorBidi"/>
      <w:color w:val="2F5496" w:themeColor="accent1" w:themeShade="BF"/>
      <w:sz w:val="32"/>
      <w:szCs w:val="32"/>
      <w:lang w:val="es-NI" w:eastAsia="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06E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6EA7"/>
    <w:rPr>
      <w:sz w:val="20"/>
      <w:szCs w:val="20"/>
    </w:rPr>
  </w:style>
  <w:style w:type="character" w:styleId="Refdenotaalpie">
    <w:name w:val="footnote reference"/>
    <w:basedOn w:val="Fuentedeprrafopredeter"/>
    <w:uiPriority w:val="99"/>
    <w:semiHidden/>
    <w:unhideWhenUsed/>
    <w:rsid w:val="00F06EA7"/>
    <w:rPr>
      <w:vertAlign w:val="superscript"/>
    </w:rPr>
  </w:style>
  <w:style w:type="character" w:styleId="Hipervnculo">
    <w:name w:val="Hyperlink"/>
    <w:basedOn w:val="Fuentedeprrafopredeter"/>
    <w:uiPriority w:val="99"/>
    <w:unhideWhenUsed/>
    <w:rsid w:val="0095572F"/>
    <w:rPr>
      <w:color w:val="0563C1" w:themeColor="hyperlink"/>
      <w:u w:val="single"/>
    </w:rPr>
  </w:style>
  <w:style w:type="paragraph" w:styleId="Prrafodelista">
    <w:name w:val="List Paragraph"/>
    <w:basedOn w:val="Normal"/>
    <w:uiPriority w:val="34"/>
    <w:qFormat/>
    <w:rsid w:val="00995656"/>
    <w:pPr>
      <w:ind w:left="720"/>
      <w:contextualSpacing/>
    </w:pPr>
  </w:style>
  <w:style w:type="paragraph" w:styleId="Encabezado">
    <w:name w:val="header"/>
    <w:basedOn w:val="Normal"/>
    <w:link w:val="EncabezadoCar"/>
    <w:uiPriority w:val="99"/>
    <w:unhideWhenUsed/>
    <w:rsid w:val="00CE115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E1153"/>
  </w:style>
  <w:style w:type="paragraph" w:styleId="Piedepgina">
    <w:name w:val="footer"/>
    <w:basedOn w:val="Normal"/>
    <w:link w:val="PiedepginaCar"/>
    <w:uiPriority w:val="99"/>
    <w:unhideWhenUsed/>
    <w:rsid w:val="00CE115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E1153"/>
  </w:style>
  <w:style w:type="paragraph" w:styleId="Textodeglobo">
    <w:name w:val="Balloon Text"/>
    <w:basedOn w:val="Normal"/>
    <w:link w:val="TextodegloboCar"/>
    <w:uiPriority w:val="99"/>
    <w:semiHidden/>
    <w:unhideWhenUsed/>
    <w:rsid w:val="008104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409"/>
    <w:rPr>
      <w:rFonts w:ascii="Segoe UI" w:hAnsi="Segoe UI" w:cs="Segoe UI"/>
      <w:sz w:val="18"/>
      <w:szCs w:val="18"/>
    </w:rPr>
  </w:style>
  <w:style w:type="character" w:styleId="Refdecomentario">
    <w:name w:val="annotation reference"/>
    <w:basedOn w:val="Fuentedeprrafopredeter"/>
    <w:uiPriority w:val="99"/>
    <w:semiHidden/>
    <w:unhideWhenUsed/>
    <w:rsid w:val="00110975"/>
    <w:rPr>
      <w:sz w:val="16"/>
      <w:szCs w:val="16"/>
    </w:rPr>
  </w:style>
  <w:style w:type="paragraph" w:styleId="Textocomentario">
    <w:name w:val="annotation text"/>
    <w:basedOn w:val="Normal"/>
    <w:link w:val="TextocomentarioCar"/>
    <w:uiPriority w:val="99"/>
    <w:semiHidden/>
    <w:unhideWhenUsed/>
    <w:rsid w:val="001109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0975"/>
    <w:rPr>
      <w:sz w:val="20"/>
      <w:szCs w:val="20"/>
    </w:rPr>
  </w:style>
  <w:style w:type="paragraph" w:styleId="Asuntodelcomentario">
    <w:name w:val="annotation subject"/>
    <w:basedOn w:val="Textocomentario"/>
    <w:next w:val="Textocomentario"/>
    <w:link w:val="AsuntodelcomentarioCar"/>
    <w:uiPriority w:val="99"/>
    <w:semiHidden/>
    <w:unhideWhenUsed/>
    <w:rsid w:val="00110975"/>
    <w:rPr>
      <w:b/>
      <w:bCs/>
    </w:rPr>
  </w:style>
  <w:style w:type="character" w:customStyle="1" w:styleId="AsuntodelcomentarioCar">
    <w:name w:val="Asunto del comentario Car"/>
    <w:basedOn w:val="TextocomentarioCar"/>
    <w:link w:val="Asuntodelcomentario"/>
    <w:uiPriority w:val="99"/>
    <w:semiHidden/>
    <w:rsid w:val="00110975"/>
    <w:rPr>
      <w:b/>
      <w:bCs/>
      <w:sz w:val="20"/>
      <w:szCs w:val="20"/>
    </w:rPr>
  </w:style>
  <w:style w:type="paragraph" w:styleId="NormalWeb">
    <w:name w:val="Normal (Web)"/>
    <w:basedOn w:val="Normal"/>
    <w:uiPriority w:val="99"/>
    <w:unhideWhenUsed/>
    <w:rsid w:val="00FE5239"/>
    <w:pPr>
      <w:spacing w:before="100" w:beforeAutospacing="1" w:after="100" w:afterAutospacing="1" w:line="240" w:lineRule="auto"/>
    </w:pPr>
    <w:rPr>
      <w:rFonts w:ascii="Times New Roman" w:eastAsia="Times New Roman" w:hAnsi="Times New Roman" w:cs="Times New Roman"/>
      <w:sz w:val="24"/>
      <w:szCs w:val="24"/>
      <w:lang w:val="es-NI" w:eastAsia="es-NI"/>
    </w:rPr>
  </w:style>
  <w:style w:type="character" w:customStyle="1" w:styleId="Ttulo1Car">
    <w:name w:val="Título 1 Car"/>
    <w:basedOn w:val="Fuentedeprrafopredeter"/>
    <w:link w:val="Ttulo1"/>
    <w:uiPriority w:val="9"/>
    <w:rsid w:val="00F17FB6"/>
    <w:rPr>
      <w:rFonts w:asciiTheme="majorHAnsi" w:eastAsiaTheme="majorEastAsia" w:hAnsiTheme="majorHAnsi" w:cstheme="majorBidi"/>
      <w:color w:val="2F5496" w:themeColor="accent1" w:themeShade="BF"/>
      <w:sz w:val="32"/>
      <w:szCs w:val="32"/>
      <w:lang w:val="es-NI" w:eastAsia="es-NI"/>
    </w:rPr>
  </w:style>
  <w:style w:type="paragraph" w:styleId="Bibliografa">
    <w:name w:val="Bibliography"/>
    <w:basedOn w:val="Normal"/>
    <w:next w:val="Normal"/>
    <w:uiPriority w:val="37"/>
    <w:unhideWhenUsed/>
    <w:rsid w:val="00F17FB6"/>
  </w:style>
  <w:style w:type="table" w:styleId="Tablaconcuadrcula">
    <w:name w:val="Table Grid"/>
    <w:basedOn w:val="Tablanormal"/>
    <w:uiPriority w:val="39"/>
    <w:rsid w:val="00C51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Fuentedeprrafopredeter"/>
    <w:rsid w:val="000466F4"/>
  </w:style>
  <w:style w:type="character" w:customStyle="1" w:styleId="tsmallb">
    <w:name w:val="tsmallb"/>
    <w:basedOn w:val="Fuentedeprrafopredeter"/>
    <w:rsid w:val="00EE4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22346">
      <w:bodyDiv w:val="1"/>
      <w:marLeft w:val="0"/>
      <w:marRight w:val="0"/>
      <w:marTop w:val="0"/>
      <w:marBottom w:val="0"/>
      <w:divBdr>
        <w:top w:val="none" w:sz="0" w:space="0" w:color="auto"/>
        <w:left w:val="none" w:sz="0" w:space="0" w:color="auto"/>
        <w:bottom w:val="none" w:sz="0" w:space="0" w:color="auto"/>
        <w:right w:val="none" w:sz="0" w:space="0" w:color="auto"/>
      </w:divBdr>
    </w:div>
    <w:div w:id="471825218">
      <w:bodyDiv w:val="1"/>
      <w:marLeft w:val="0"/>
      <w:marRight w:val="0"/>
      <w:marTop w:val="0"/>
      <w:marBottom w:val="0"/>
      <w:divBdr>
        <w:top w:val="none" w:sz="0" w:space="0" w:color="auto"/>
        <w:left w:val="none" w:sz="0" w:space="0" w:color="auto"/>
        <w:bottom w:val="none" w:sz="0" w:space="0" w:color="auto"/>
        <w:right w:val="none" w:sz="0" w:space="0" w:color="auto"/>
      </w:divBdr>
    </w:div>
    <w:div w:id="517544439">
      <w:bodyDiv w:val="1"/>
      <w:marLeft w:val="0"/>
      <w:marRight w:val="0"/>
      <w:marTop w:val="0"/>
      <w:marBottom w:val="0"/>
      <w:divBdr>
        <w:top w:val="none" w:sz="0" w:space="0" w:color="auto"/>
        <w:left w:val="none" w:sz="0" w:space="0" w:color="auto"/>
        <w:bottom w:val="none" w:sz="0" w:space="0" w:color="auto"/>
        <w:right w:val="none" w:sz="0" w:space="0" w:color="auto"/>
      </w:divBdr>
    </w:div>
    <w:div w:id="708265127">
      <w:bodyDiv w:val="1"/>
      <w:marLeft w:val="0"/>
      <w:marRight w:val="0"/>
      <w:marTop w:val="0"/>
      <w:marBottom w:val="0"/>
      <w:divBdr>
        <w:top w:val="none" w:sz="0" w:space="0" w:color="auto"/>
        <w:left w:val="none" w:sz="0" w:space="0" w:color="auto"/>
        <w:bottom w:val="none" w:sz="0" w:space="0" w:color="auto"/>
        <w:right w:val="none" w:sz="0" w:space="0" w:color="auto"/>
      </w:divBdr>
    </w:div>
    <w:div w:id="964121318">
      <w:bodyDiv w:val="1"/>
      <w:marLeft w:val="0"/>
      <w:marRight w:val="0"/>
      <w:marTop w:val="0"/>
      <w:marBottom w:val="0"/>
      <w:divBdr>
        <w:top w:val="none" w:sz="0" w:space="0" w:color="auto"/>
        <w:left w:val="none" w:sz="0" w:space="0" w:color="auto"/>
        <w:bottom w:val="none" w:sz="0" w:space="0" w:color="auto"/>
        <w:right w:val="none" w:sz="0" w:space="0" w:color="auto"/>
      </w:divBdr>
    </w:div>
    <w:div w:id="1167935587">
      <w:bodyDiv w:val="1"/>
      <w:marLeft w:val="0"/>
      <w:marRight w:val="0"/>
      <w:marTop w:val="0"/>
      <w:marBottom w:val="0"/>
      <w:divBdr>
        <w:top w:val="none" w:sz="0" w:space="0" w:color="auto"/>
        <w:left w:val="none" w:sz="0" w:space="0" w:color="auto"/>
        <w:bottom w:val="none" w:sz="0" w:space="0" w:color="auto"/>
        <w:right w:val="none" w:sz="0" w:space="0" w:color="auto"/>
      </w:divBdr>
    </w:div>
    <w:div w:id="1331986263">
      <w:bodyDiv w:val="1"/>
      <w:marLeft w:val="0"/>
      <w:marRight w:val="0"/>
      <w:marTop w:val="0"/>
      <w:marBottom w:val="0"/>
      <w:divBdr>
        <w:top w:val="none" w:sz="0" w:space="0" w:color="auto"/>
        <w:left w:val="none" w:sz="0" w:space="0" w:color="auto"/>
        <w:bottom w:val="none" w:sz="0" w:space="0" w:color="auto"/>
        <w:right w:val="none" w:sz="0" w:space="0" w:color="auto"/>
      </w:divBdr>
    </w:div>
    <w:div w:id="1415929880">
      <w:bodyDiv w:val="1"/>
      <w:marLeft w:val="0"/>
      <w:marRight w:val="0"/>
      <w:marTop w:val="0"/>
      <w:marBottom w:val="0"/>
      <w:divBdr>
        <w:top w:val="none" w:sz="0" w:space="0" w:color="auto"/>
        <w:left w:val="none" w:sz="0" w:space="0" w:color="auto"/>
        <w:bottom w:val="none" w:sz="0" w:space="0" w:color="auto"/>
        <w:right w:val="none" w:sz="0" w:space="0" w:color="auto"/>
      </w:divBdr>
    </w:div>
    <w:div w:id="1688361102">
      <w:bodyDiv w:val="1"/>
      <w:marLeft w:val="0"/>
      <w:marRight w:val="0"/>
      <w:marTop w:val="0"/>
      <w:marBottom w:val="0"/>
      <w:divBdr>
        <w:top w:val="none" w:sz="0" w:space="0" w:color="auto"/>
        <w:left w:val="none" w:sz="0" w:space="0" w:color="auto"/>
        <w:bottom w:val="none" w:sz="0" w:space="0" w:color="auto"/>
        <w:right w:val="none" w:sz="0" w:space="0" w:color="auto"/>
      </w:divBdr>
    </w:div>
    <w:div w:id="1711226989">
      <w:bodyDiv w:val="1"/>
      <w:marLeft w:val="0"/>
      <w:marRight w:val="0"/>
      <w:marTop w:val="0"/>
      <w:marBottom w:val="0"/>
      <w:divBdr>
        <w:top w:val="none" w:sz="0" w:space="0" w:color="auto"/>
        <w:left w:val="none" w:sz="0" w:space="0" w:color="auto"/>
        <w:bottom w:val="none" w:sz="0" w:space="0" w:color="auto"/>
        <w:right w:val="none" w:sz="0" w:space="0" w:color="auto"/>
      </w:divBdr>
    </w:div>
    <w:div w:id="1830174987">
      <w:bodyDiv w:val="1"/>
      <w:marLeft w:val="0"/>
      <w:marRight w:val="0"/>
      <w:marTop w:val="0"/>
      <w:marBottom w:val="0"/>
      <w:divBdr>
        <w:top w:val="none" w:sz="0" w:space="0" w:color="auto"/>
        <w:left w:val="none" w:sz="0" w:space="0" w:color="auto"/>
        <w:bottom w:val="none" w:sz="0" w:space="0" w:color="auto"/>
        <w:right w:val="none" w:sz="0" w:space="0" w:color="auto"/>
      </w:divBdr>
    </w:div>
    <w:div w:id="1887374583">
      <w:bodyDiv w:val="1"/>
      <w:marLeft w:val="0"/>
      <w:marRight w:val="0"/>
      <w:marTop w:val="0"/>
      <w:marBottom w:val="0"/>
      <w:divBdr>
        <w:top w:val="none" w:sz="0" w:space="0" w:color="auto"/>
        <w:left w:val="none" w:sz="0" w:space="0" w:color="auto"/>
        <w:bottom w:val="none" w:sz="0" w:space="0" w:color="auto"/>
        <w:right w:val="none" w:sz="0" w:space="0" w:color="auto"/>
      </w:divBdr>
    </w:div>
    <w:div w:id="2036075076">
      <w:bodyDiv w:val="1"/>
      <w:marLeft w:val="0"/>
      <w:marRight w:val="0"/>
      <w:marTop w:val="0"/>
      <w:marBottom w:val="0"/>
      <w:divBdr>
        <w:top w:val="none" w:sz="0" w:space="0" w:color="auto"/>
        <w:left w:val="none" w:sz="0" w:space="0" w:color="auto"/>
        <w:bottom w:val="none" w:sz="0" w:space="0" w:color="auto"/>
        <w:right w:val="none" w:sz="0" w:space="0" w:color="auto"/>
      </w:divBdr>
    </w:div>
    <w:div w:id="208189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gdiscriminationwomen@ohchr.org"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Ley</b:Tag>
    <b:SourceType>Book</b:SourceType>
    <b:Guid>{B1496530-BF0F-440A-9ED6-887D6894CBC4}</b:Guid>
    <b:Title>Ley 337</b:Title>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7F1EF4-F29B-42F7-99E9-04D95C015E8B}">
  <ds:schemaRefs>
    <ds:schemaRef ds:uri="http://schemas.openxmlformats.org/officeDocument/2006/bibliography"/>
  </ds:schemaRefs>
</ds:datastoreItem>
</file>

<file path=customXml/itemProps2.xml><?xml version="1.0" encoding="utf-8"?>
<ds:datastoreItem xmlns:ds="http://schemas.openxmlformats.org/officeDocument/2006/customXml" ds:itemID="{F0799AD1-1A02-4405-B027-6C0FFF246E53}"/>
</file>

<file path=customXml/itemProps3.xml><?xml version="1.0" encoding="utf-8"?>
<ds:datastoreItem xmlns:ds="http://schemas.openxmlformats.org/officeDocument/2006/customXml" ds:itemID="{B1C1FBCB-6553-4F00-B2EB-9F0B54929DD0}"/>
</file>

<file path=customXml/itemProps4.xml><?xml version="1.0" encoding="utf-8"?>
<ds:datastoreItem xmlns:ds="http://schemas.openxmlformats.org/officeDocument/2006/customXml" ds:itemID="{D2257461-9B64-48CB-98B8-7D8B07AD3A62}"/>
</file>

<file path=docProps/app.xml><?xml version="1.0" encoding="utf-8"?>
<Properties xmlns="http://schemas.openxmlformats.org/officeDocument/2006/extended-properties" xmlns:vt="http://schemas.openxmlformats.org/officeDocument/2006/docPropsVTypes">
  <Template>Normal.dotm</Template>
  <TotalTime>770</TotalTime>
  <Pages>9</Pages>
  <Words>4062</Words>
  <Characters>22342</Characters>
  <Application>Microsoft Office Word</Application>
  <DocSecurity>0</DocSecurity>
  <Lines>186</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USUARIO</cp:lastModifiedBy>
  <cp:revision>13</cp:revision>
  <dcterms:created xsi:type="dcterms:W3CDTF">2020-08-28T16:01:00Z</dcterms:created>
  <dcterms:modified xsi:type="dcterms:W3CDTF">2020-09-01T03:11:00Z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