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xml:space="preserve">, including the </w:t>
      </w:r>
      <w:proofErr w:type="spellStart"/>
      <w:r>
        <w:t>toxification</w:t>
      </w:r>
      <w:proofErr w:type="spellEnd"/>
      <w:r>
        <w:t xml:space="preserve">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395E0E7E"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w:t>
      </w:r>
      <w:proofErr w:type="gramStart"/>
      <w:r w:rsidR="0043638F" w:rsidRPr="007353C7">
        <w:t>dialogue</w:t>
      </w:r>
      <w:proofErr w:type="gramEnd"/>
      <w:r w:rsidR="0043638F" w:rsidRPr="007353C7">
        <w:t xml:space="preserv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2A6F52">
        <w:t xml:space="preserve"> The Working Group</w:t>
      </w:r>
      <w:r w:rsidR="00A31315">
        <w:t xml:space="preserve"> is particularly interested in receiving information about challenges faced in ensuring that women’s and girls’  sexual and reproductive rights are respected, protected and fulfilled in times of cris</w:t>
      </w:r>
      <w:r w:rsidR="00C55B61">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5926036" w14:textId="77777777" w:rsidR="00C52085"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p>
    <w:p w14:paraId="6B4ED9EE" w14:textId="048124C2" w:rsidR="00C52085" w:rsidRPr="009C6F5C" w:rsidRDefault="00910A19" w:rsidP="009C6F5C">
      <w:pPr>
        <w:pStyle w:val="ListParagraph"/>
        <w:numPr>
          <w:ilvl w:val="0"/>
          <w:numId w:val="9"/>
        </w:numPr>
        <w:ind w:left="709"/>
        <w:jc w:val="both"/>
      </w:pPr>
      <w:r>
        <w:lastRenderedPageBreak/>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246017A5" w14:textId="03389FA6" w:rsidR="00910A19" w:rsidRDefault="00F61A39" w:rsidP="00CB0784">
      <w:pPr>
        <w:pStyle w:val="ListParagraph"/>
        <w:numPr>
          <w:ilvl w:val="0"/>
          <w:numId w:val="9"/>
        </w:numPr>
        <w:ind w:left="709"/>
        <w:jc w:val="both"/>
      </w:pPr>
      <w:r>
        <w:t>What institutional mechanisms are in place for managing a crisis and how are priorities determined?</w:t>
      </w:r>
    </w:p>
    <w:p w14:paraId="2E515762" w14:textId="77777777" w:rsidR="009C6F5C" w:rsidRDefault="009C6F5C" w:rsidP="009C6F5C">
      <w:pPr>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proofErr w:type="spellStart"/>
      <w:r w:rsidR="004921A9" w:rsidRPr="00824E56">
        <w:t>the</w:t>
      </w:r>
      <w:proofErr w:type="spellEnd"/>
      <w:r w:rsidR="004921A9" w:rsidRPr="00824E56">
        <w:t xml:space="preserv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7777777" w:rsidR="00B20A8E" w:rsidRDefault="00B20A8E" w:rsidP="00B20A8E">
      <w:pPr>
        <w:pStyle w:val="ListParagraph"/>
        <w:numPr>
          <w:ilvl w:val="0"/>
          <w:numId w:val="3"/>
        </w:numPr>
        <w:jc w:val="both"/>
      </w:pPr>
      <w:r w:rsidRPr="00824E56">
        <w:t>Access to non-biased and scientifically accurate information about sexual and reproductive health matters and services;</w:t>
      </w:r>
    </w:p>
    <w:p w14:paraId="2AAF58F8" w14:textId="77777777" w:rsidR="00B20A8E" w:rsidRDefault="00B20A8E" w:rsidP="00B20A8E">
      <w:pPr>
        <w:pStyle w:val="ListParagraph"/>
        <w:numPr>
          <w:ilvl w:val="0"/>
          <w:numId w:val="3"/>
        </w:numPr>
        <w:jc w:val="both"/>
      </w:pPr>
      <w:r w:rsidRPr="00824E56">
        <w:t xml:space="preserve">Access to medical professionals and  health service providers, including traditional birth attendants, with adequate provision for their training and safety including personal protective equipment; </w:t>
      </w:r>
    </w:p>
    <w:p w14:paraId="23F4FB7C" w14:textId="77777777" w:rsidR="00B20A8E" w:rsidRPr="00824E56" w:rsidRDefault="00B20A8E" w:rsidP="00B20A8E">
      <w:pPr>
        <w:pStyle w:val="ListParagraph"/>
        <w:numPr>
          <w:ilvl w:val="0"/>
          <w:numId w:val="3"/>
        </w:numPr>
        <w:jc w:val="both"/>
      </w:pPr>
      <w:r w:rsidRPr="00824E56">
        <w:t>Access to essential medicines  as prescribed by the WHO, equipment and technologies essential for the quality provision of sexual and reproductive health services;</w:t>
      </w:r>
    </w:p>
    <w:p w14:paraId="5FF2FBD6" w14:textId="77777777" w:rsidR="00B20A8E"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HIV/AIDS  as well as the prevention and treatment of sexually transmissible infections;</w:t>
      </w:r>
    </w:p>
    <w:p w14:paraId="0CA4F8CB" w14:textId="27985C5D" w:rsidR="0092510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care</w:t>
      </w:r>
      <w:r w:rsidRPr="00824E56">
        <w:t xml:space="preserve">, </w:t>
      </w:r>
      <w:r w:rsidR="007B699E" w:rsidRPr="00824E56">
        <w:t xml:space="preserve"> assistance during child-birth</w:t>
      </w:r>
      <w:r w:rsidR="00766B8A" w:rsidRPr="00824E56">
        <w:t>,</w:t>
      </w:r>
      <w:r w:rsidRPr="00824E56">
        <w:t xml:space="preserve"> and emergency obstetric care;</w:t>
      </w:r>
    </w:p>
    <w:p w14:paraId="04CB0B2D" w14:textId="12F0B2F5" w:rsidR="009857FB" w:rsidRPr="009C6F5C" w:rsidRDefault="00B20A8E" w:rsidP="009C6F5C">
      <w:pPr>
        <w:pStyle w:val="ListParagraph"/>
        <w:numPr>
          <w:ilvl w:val="0"/>
          <w:numId w:val="3"/>
        </w:numPr>
        <w:jc w:val="both"/>
      </w:pPr>
      <w:r w:rsidRPr="00824E56">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treatments</w:t>
      </w:r>
      <w:r w:rsidR="00C92E09" w:rsidRPr="00824E56">
        <w:t>;</w:t>
      </w:r>
      <w:r w:rsidR="003D440F" w:rsidRPr="009C6F5C">
        <w:rPr>
          <w:color w:val="002060"/>
        </w:rPr>
        <w:tab/>
      </w:r>
    </w:p>
    <w:p w14:paraId="243FB19E" w14:textId="77777777" w:rsidR="00945886" w:rsidRDefault="00995296" w:rsidP="00CB0784">
      <w:pPr>
        <w:pStyle w:val="ListParagraph"/>
        <w:numPr>
          <w:ilvl w:val="0"/>
          <w:numId w:val="3"/>
        </w:numPr>
        <w:jc w:val="both"/>
      </w:pPr>
      <w:r w:rsidRPr="00824E56">
        <w:t xml:space="preserve">Safe abortion services including surgical and non-surgical methods of termination of pregnancy </w:t>
      </w:r>
      <w:r w:rsidR="00945886" w:rsidRPr="00824E56">
        <w:t xml:space="preserve"> and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p>
    <w:p w14:paraId="6BE652EB" w14:textId="77777777" w:rsidR="004E3BDD" w:rsidRPr="00824E56"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others</w:t>
      </w:r>
      <w:r w:rsidR="00FA31A9">
        <w:t>;</w:t>
      </w:r>
    </w:p>
    <w:p w14:paraId="7E07FAFA" w14:textId="77777777" w:rsidR="00B838AA" w:rsidRPr="00824E56" w:rsidRDefault="00B838AA" w:rsidP="00CB0784">
      <w:pPr>
        <w:pStyle w:val="ListParagraph"/>
        <w:numPr>
          <w:ilvl w:val="0"/>
          <w:numId w:val="3"/>
        </w:numPr>
        <w:jc w:val="both"/>
      </w:pPr>
      <w:r w:rsidRPr="00824E56">
        <w:t>Screenings and treatment for reproductive cancers</w:t>
      </w:r>
      <w:r w:rsidR="00FA31A9">
        <w:t>;</w:t>
      </w:r>
    </w:p>
    <w:p w14:paraId="13344188" w14:textId="77777777" w:rsidR="00995296" w:rsidRDefault="00995296" w:rsidP="00CB0784">
      <w:pPr>
        <w:pStyle w:val="ListParagraph"/>
        <w:numPr>
          <w:ilvl w:val="0"/>
          <w:numId w:val="3"/>
        </w:numPr>
        <w:jc w:val="both"/>
      </w:pPr>
      <w:r w:rsidRPr="00824E56">
        <w:t xml:space="preserve">Menstrual hygiene products, </w:t>
      </w:r>
      <w:r w:rsidR="003B3FB5" w:rsidRPr="00824E56">
        <w:t xml:space="preserve">menstrual </w:t>
      </w:r>
      <w:r w:rsidRPr="00824E56">
        <w:t>pain management and menstrual regulatio</w:t>
      </w:r>
      <w:r w:rsidR="00094218" w:rsidRPr="00824E56">
        <w:t>n</w:t>
      </w:r>
      <w:r w:rsidR="00FA31A9">
        <w:t>;</w:t>
      </w:r>
    </w:p>
    <w:p w14:paraId="2BF77427" w14:textId="6A4FC637" w:rsidR="00DC739D" w:rsidRDefault="004E3BDD" w:rsidP="00CD1F77">
      <w:pPr>
        <w:pStyle w:val="ListParagraph"/>
        <w:numPr>
          <w:ilvl w:val="0"/>
          <w:numId w:val="3"/>
        </w:numPr>
        <w:jc w:val="both"/>
        <w:rPr>
          <w:highlight w:val="yellow"/>
        </w:rPr>
      </w:pPr>
      <w:r w:rsidRPr="009C6F5C">
        <w:rPr>
          <w:highlight w:val="yellow"/>
        </w:rPr>
        <w:t>Prevention, investigation and punishment of all forms of gender-based violence,</w:t>
      </w:r>
      <w:r w:rsidR="00F1328E" w:rsidRPr="009C6F5C">
        <w:rPr>
          <w:highlight w:val="yellow"/>
        </w:rPr>
        <w:t xml:space="preserve"> </w:t>
      </w:r>
      <w:r w:rsidRPr="009C6F5C">
        <w:rPr>
          <w:highlight w:val="yellow"/>
        </w:rPr>
        <w:t xml:space="preserve">and access to </w:t>
      </w:r>
      <w:r w:rsidR="00C92E09" w:rsidRPr="009C6F5C">
        <w:rPr>
          <w:highlight w:val="yellow"/>
        </w:rPr>
        <w:t xml:space="preserve">timely and </w:t>
      </w:r>
      <w:r w:rsidRPr="009C6F5C">
        <w:rPr>
          <w:highlight w:val="yellow"/>
        </w:rPr>
        <w:t xml:space="preserve">comprehensive medical </w:t>
      </w:r>
      <w:r w:rsidR="00C92E09" w:rsidRPr="009C6F5C">
        <w:rPr>
          <w:highlight w:val="yellow"/>
        </w:rPr>
        <w:t>interventions</w:t>
      </w:r>
      <w:r w:rsidRPr="009C6F5C">
        <w:rPr>
          <w:highlight w:val="yellow"/>
        </w:rPr>
        <w:t>, mental health care</w:t>
      </w:r>
      <w:r w:rsidR="00EE775C" w:rsidRPr="009C6F5C">
        <w:rPr>
          <w:highlight w:val="yellow"/>
        </w:rPr>
        <w:t>,</w:t>
      </w:r>
      <w:r w:rsidRPr="009C6F5C">
        <w:rPr>
          <w:highlight w:val="yellow"/>
        </w:rPr>
        <w:t xml:space="preserve"> and psychosocial support </w:t>
      </w:r>
      <w:r w:rsidR="00EE775C" w:rsidRPr="009C6F5C">
        <w:rPr>
          <w:highlight w:val="yellow"/>
        </w:rPr>
        <w:t>for</w:t>
      </w:r>
      <w:r w:rsidRPr="009C6F5C">
        <w:rPr>
          <w:highlight w:val="yellow"/>
        </w:rPr>
        <w:t xml:space="preserve"> victims</w:t>
      </w:r>
      <w:r w:rsidR="00EE775C" w:rsidRPr="009C6F5C">
        <w:rPr>
          <w:highlight w:val="yellow"/>
        </w:rPr>
        <w:t xml:space="preserve"> and survivors</w:t>
      </w:r>
      <w:r w:rsidRPr="009C6F5C">
        <w:rPr>
          <w:highlight w:val="yellow"/>
        </w:rPr>
        <w:t>;</w:t>
      </w:r>
    </w:p>
    <w:p w14:paraId="1174170E" w14:textId="77777777" w:rsidR="009C6F5C" w:rsidRPr="009C6F5C" w:rsidRDefault="009C6F5C" w:rsidP="009C6F5C">
      <w:pPr>
        <w:pStyle w:val="ListParagraph"/>
        <w:ind w:left="1440"/>
        <w:jc w:val="both"/>
        <w:rPr>
          <w:highlight w:val="yellow"/>
        </w:rPr>
      </w:pPr>
    </w:p>
    <w:p w14:paraId="38569768" w14:textId="63B8E3D6" w:rsidR="00B92574" w:rsidRPr="000F4108" w:rsidRDefault="00B92574" w:rsidP="00CD1F77">
      <w:pPr>
        <w:jc w:val="both"/>
        <w:rPr>
          <w:b/>
          <w:color w:val="002060"/>
        </w:rPr>
      </w:pPr>
      <w:r w:rsidRPr="000F4108">
        <w:rPr>
          <w:b/>
          <w:color w:val="002060"/>
          <w:u w:val="single"/>
        </w:rPr>
        <w:t>CHALLENGES</w:t>
      </w:r>
      <w:r w:rsidR="00A505C8" w:rsidRPr="000F4108">
        <w:rPr>
          <w:b/>
          <w:color w:val="002060"/>
          <w:u w:val="single"/>
        </w:rPr>
        <w:t xml:space="preserve"> in access to timely and comprehensive medical interventions, mental health care, and psychosocial support for victims and survivors</w:t>
      </w:r>
      <w:r w:rsidRPr="000F4108">
        <w:rPr>
          <w:b/>
          <w:color w:val="002060"/>
        </w:rPr>
        <w:t>:</w:t>
      </w:r>
    </w:p>
    <w:p w14:paraId="6244236F" w14:textId="245EAD19" w:rsidR="008D50D4" w:rsidRPr="000F4108" w:rsidRDefault="008D50D4" w:rsidP="008D50D4">
      <w:pPr>
        <w:jc w:val="both"/>
        <w:rPr>
          <w:b/>
        </w:rPr>
      </w:pPr>
      <w:r w:rsidRPr="000F4108">
        <w:rPr>
          <w:b/>
        </w:rPr>
        <w:t xml:space="preserve">A number of challenges have presented due to COVID-19 </w:t>
      </w:r>
      <w:r w:rsidR="00A505C8" w:rsidRPr="000F4108">
        <w:rPr>
          <w:b/>
        </w:rPr>
        <w:t xml:space="preserve">concerning access to services for </w:t>
      </w:r>
      <w:r w:rsidRPr="000F4108">
        <w:rPr>
          <w:b/>
        </w:rPr>
        <w:t>FGM</w:t>
      </w:r>
      <w:r w:rsidR="00A505C8" w:rsidRPr="000F4108">
        <w:rPr>
          <w:b/>
        </w:rPr>
        <w:t xml:space="preserve"> survivors</w:t>
      </w:r>
      <w:r w:rsidRPr="000F4108">
        <w:rPr>
          <w:b/>
        </w:rPr>
        <w:t>. Namely, the suspension of all non-C</w:t>
      </w:r>
      <w:r w:rsidR="00114BF5" w:rsidRPr="000F4108">
        <w:rPr>
          <w:b/>
        </w:rPr>
        <w:t>OVID related medical service have</w:t>
      </w:r>
      <w:r w:rsidRPr="000F4108">
        <w:rPr>
          <w:b/>
        </w:rPr>
        <w:t xml:space="preserve"> disrupted support services for women and girls already affected by FGM.  Although services were suspended to prevent the spread of </w:t>
      </w:r>
      <w:r w:rsidR="004D6967" w:rsidRPr="000F4108">
        <w:rPr>
          <w:b/>
        </w:rPr>
        <w:t xml:space="preserve">the </w:t>
      </w:r>
      <w:r w:rsidRPr="000F4108">
        <w:rPr>
          <w:b/>
        </w:rPr>
        <w:t>virus, this</w:t>
      </w:r>
      <w:r w:rsidR="00114BF5" w:rsidRPr="000F4108">
        <w:rPr>
          <w:b/>
        </w:rPr>
        <w:t xml:space="preserve"> had a knock-</w:t>
      </w:r>
      <w:r w:rsidRPr="000F4108">
        <w:rPr>
          <w:b/>
        </w:rPr>
        <w:t xml:space="preserve">on effect on women and girls affected by FGM, as </w:t>
      </w:r>
      <w:r w:rsidR="00A505C8" w:rsidRPr="000F4108">
        <w:rPr>
          <w:b/>
        </w:rPr>
        <w:t xml:space="preserve">it </w:t>
      </w:r>
      <w:r w:rsidRPr="000F4108">
        <w:rPr>
          <w:b/>
        </w:rPr>
        <w:t>may have delayed seeking critical/urgent care (whether physical or psychological). Similarly, many women and girls have avoided booking appointments or seeking help, due to</w:t>
      </w:r>
      <w:r w:rsidR="00CD1F77" w:rsidRPr="000F4108">
        <w:rPr>
          <w:b/>
        </w:rPr>
        <w:t>:</w:t>
      </w:r>
      <w:r w:rsidRPr="000F4108">
        <w:rPr>
          <w:b/>
        </w:rPr>
        <w:t xml:space="preserve"> feeling that their needs </w:t>
      </w:r>
      <w:r w:rsidR="00A505C8" w:rsidRPr="000F4108">
        <w:rPr>
          <w:b/>
        </w:rPr>
        <w:t>we</w:t>
      </w:r>
      <w:r w:rsidRPr="000F4108">
        <w:rPr>
          <w:b/>
        </w:rPr>
        <w:t xml:space="preserve">re ‘not as urgent’ </w:t>
      </w:r>
      <w:r w:rsidR="00A505C8" w:rsidRPr="000F4108">
        <w:rPr>
          <w:b/>
        </w:rPr>
        <w:t xml:space="preserve">within </w:t>
      </w:r>
      <w:r w:rsidRPr="000F4108">
        <w:rPr>
          <w:b/>
        </w:rPr>
        <w:t>the overstretched health services,</w:t>
      </w:r>
      <w:r w:rsidR="003D440F" w:rsidRPr="000F4108">
        <w:rPr>
          <w:b/>
        </w:rPr>
        <w:t xml:space="preserve"> to avoid </w:t>
      </w:r>
      <w:r w:rsidRPr="000F4108">
        <w:rPr>
          <w:b/>
        </w:rPr>
        <w:t xml:space="preserve">unnecessary exposure, or wrongly assuming </w:t>
      </w:r>
      <w:r w:rsidR="004D6967" w:rsidRPr="000F4108">
        <w:rPr>
          <w:b/>
        </w:rPr>
        <w:t xml:space="preserve">that </w:t>
      </w:r>
      <w:r w:rsidRPr="000F4108">
        <w:rPr>
          <w:b/>
        </w:rPr>
        <w:t xml:space="preserve">services </w:t>
      </w:r>
      <w:r w:rsidR="00A505C8" w:rsidRPr="000F4108">
        <w:rPr>
          <w:b/>
        </w:rPr>
        <w:t>we</w:t>
      </w:r>
      <w:r w:rsidRPr="000F4108">
        <w:rPr>
          <w:b/>
        </w:rPr>
        <w:t xml:space="preserve">re still closed. </w:t>
      </w:r>
      <w:r w:rsidR="008B172C" w:rsidRPr="000F4108">
        <w:rPr>
          <w:b/>
        </w:rPr>
        <w:t>W</w:t>
      </w:r>
      <w:r w:rsidR="003D440F" w:rsidRPr="000F4108">
        <w:rPr>
          <w:b/>
        </w:rPr>
        <w:t xml:space="preserve">aiting for a prolonged period of time </w:t>
      </w:r>
      <w:r w:rsidRPr="000F4108">
        <w:rPr>
          <w:b/>
        </w:rPr>
        <w:t xml:space="preserve">to </w:t>
      </w:r>
      <w:r w:rsidR="004D6967" w:rsidRPr="000F4108">
        <w:rPr>
          <w:b/>
        </w:rPr>
        <w:t>rece</w:t>
      </w:r>
      <w:r w:rsidR="00A505C8" w:rsidRPr="000F4108">
        <w:rPr>
          <w:b/>
        </w:rPr>
        <w:t>i</w:t>
      </w:r>
      <w:r w:rsidR="004D6967" w:rsidRPr="000F4108">
        <w:rPr>
          <w:b/>
        </w:rPr>
        <w:t>ve</w:t>
      </w:r>
      <w:r w:rsidRPr="000F4108">
        <w:rPr>
          <w:b/>
        </w:rPr>
        <w:t xml:space="preserve"> help for </w:t>
      </w:r>
      <w:r w:rsidR="00A505C8" w:rsidRPr="000F4108">
        <w:rPr>
          <w:b/>
        </w:rPr>
        <w:t xml:space="preserve">some women and girls in </w:t>
      </w:r>
      <w:r w:rsidRPr="000F4108">
        <w:rPr>
          <w:b/>
        </w:rPr>
        <w:t>more critical conditions</w:t>
      </w:r>
      <w:r w:rsidR="008B172C" w:rsidRPr="000F4108">
        <w:rPr>
          <w:b/>
        </w:rPr>
        <w:t xml:space="preserve"> </w:t>
      </w:r>
      <w:r w:rsidR="00A505C8" w:rsidRPr="000F4108">
        <w:rPr>
          <w:b/>
        </w:rPr>
        <w:t>might have equally dire consequences</w:t>
      </w:r>
      <w:r w:rsidRPr="000F4108">
        <w:rPr>
          <w:b/>
        </w:rPr>
        <w:t xml:space="preserve"> could prove </w:t>
      </w:r>
      <w:r w:rsidR="008B172C" w:rsidRPr="000F4108">
        <w:rPr>
          <w:b/>
        </w:rPr>
        <w:t xml:space="preserve">as dangerous as </w:t>
      </w:r>
      <w:r w:rsidRPr="000F4108">
        <w:rPr>
          <w:b/>
        </w:rPr>
        <w:t>the coronavirus infection risk.</w:t>
      </w:r>
    </w:p>
    <w:p w14:paraId="19656799" w14:textId="6545DFEE" w:rsidR="008D50D4" w:rsidRPr="000F4108" w:rsidRDefault="00E268E8" w:rsidP="008D50D4">
      <w:pPr>
        <w:jc w:val="both"/>
        <w:rPr>
          <w:b/>
        </w:rPr>
      </w:pPr>
      <w:r w:rsidRPr="000F4108">
        <w:rPr>
          <w:b/>
        </w:rPr>
        <w:t>Furthermore</w:t>
      </w:r>
      <w:r w:rsidR="008D50D4" w:rsidRPr="000F4108">
        <w:rPr>
          <w:b/>
        </w:rPr>
        <w:t xml:space="preserve">, when services </w:t>
      </w:r>
      <w:r w:rsidR="00A505C8" w:rsidRPr="000F4108">
        <w:rPr>
          <w:b/>
        </w:rPr>
        <w:t>we</w:t>
      </w:r>
      <w:r w:rsidR="008D50D4" w:rsidRPr="000F4108">
        <w:rPr>
          <w:b/>
        </w:rPr>
        <w:t xml:space="preserve">re still available (such </w:t>
      </w:r>
      <w:r w:rsidR="004D6967" w:rsidRPr="000F4108">
        <w:rPr>
          <w:b/>
        </w:rPr>
        <w:t xml:space="preserve">as </w:t>
      </w:r>
      <w:r w:rsidR="00A505C8" w:rsidRPr="000F4108">
        <w:rPr>
          <w:b/>
        </w:rPr>
        <w:t xml:space="preserve">24/7 </w:t>
      </w:r>
      <w:r w:rsidR="004D6967" w:rsidRPr="000F4108">
        <w:rPr>
          <w:b/>
        </w:rPr>
        <w:t>telephone lines for violence</w:t>
      </w:r>
      <w:r w:rsidR="008D50D4" w:rsidRPr="000F4108">
        <w:rPr>
          <w:b/>
        </w:rPr>
        <w:t xml:space="preserve"> or gender-based violence shelters)</w:t>
      </w:r>
      <w:r w:rsidRPr="000F4108">
        <w:rPr>
          <w:b/>
        </w:rPr>
        <w:t>,</w:t>
      </w:r>
      <w:r w:rsidR="008D50D4" w:rsidRPr="000F4108">
        <w:rPr>
          <w:b/>
        </w:rPr>
        <w:t xml:space="preserve"> they </w:t>
      </w:r>
      <w:r w:rsidR="00A505C8" w:rsidRPr="000F4108">
        <w:rPr>
          <w:b/>
        </w:rPr>
        <w:t>we</w:t>
      </w:r>
      <w:r w:rsidR="008D50D4" w:rsidRPr="000F4108">
        <w:rPr>
          <w:b/>
        </w:rPr>
        <w:t xml:space="preserve">re more difficult to access due to the limited mobility of women </w:t>
      </w:r>
      <w:r w:rsidR="008D50D4" w:rsidRPr="000F4108">
        <w:rPr>
          <w:b/>
        </w:rPr>
        <w:lastRenderedPageBreak/>
        <w:t>and girls</w:t>
      </w:r>
      <w:r w:rsidR="003D440F" w:rsidRPr="000F4108">
        <w:rPr>
          <w:b/>
        </w:rPr>
        <w:t>,</w:t>
      </w:r>
      <w:r w:rsidR="008D50D4" w:rsidRPr="000F4108">
        <w:rPr>
          <w:b/>
        </w:rPr>
        <w:t xml:space="preserve"> </w:t>
      </w:r>
      <w:r w:rsidR="003D440F" w:rsidRPr="000F4108">
        <w:rPr>
          <w:b/>
        </w:rPr>
        <w:t xml:space="preserve">alongside the </w:t>
      </w:r>
      <w:r w:rsidR="008D50D4" w:rsidRPr="000F4108">
        <w:rPr>
          <w:b/>
        </w:rPr>
        <w:t>heightened family control</w:t>
      </w:r>
      <w:r w:rsidR="00C04D66" w:rsidRPr="000F4108">
        <w:rPr>
          <w:b/>
        </w:rPr>
        <w:t xml:space="preserve"> they suffered during the lockdown</w:t>
      </w:r>
      <w:r w:rsidR="008D50D4" w:rsidRPr="000F4108">
        <w:rPr>
          <w:b/>
        </w:rPr>
        <w:t>. Seeking support is already a personal challenge for many, and with the additional adjustments due to</w:t>
      </w:r>
      <w:r w:rsidR="004D6967" w:rsidRPr="000F4108">
        <w:rPr>
          <w:b/>
        </w:rPr>
        <w:t xml:space="preserve"> the</w:t>
      </w:r>
      <w:r w:rsidR="008D50D4" w:rsidRPr="000F4108">
        <w:rPr>
          <w:b/>
        </w:rPr>
        <w:t xml:space="preserve"> </w:t>
      </w:r>
      <w:r w:rsidR="00C04D66" w:rsidRPr="000F4108">
        <w:rPr>
          <w:b/>
        </w:rPr>
        <w:t>emergency measures</w:t>
      </w:r>
      <w:r w:rsidR="008D50D4" w:rsidRPr="000F4108">
        <w:rPr>
          <w:b/>
        </w:rPr>
        <w:t xml:space="preserve">, utilising </w:t>
      </w:r>
      <w:r w:rsidR="00E401D6" w:rsidRPr="000F4108">
        <w:rPr>
          <w:b/>
        </w:rPr>
        <w:t>hot</w:t>
      </w:r>
      <w:r w:rsidR="008D50D4" w:rsidRPr="000F4108">
        <w:rPr>
          <w:b/>
        </w:rPr>
        <w:t>lines may be impossible fo</w:t>
      </w:r>
      <w:r w:rsidR="004D6967" w:rsidRPr="000F4108">
        <w:rPr>
          <w:b/>
        </w:rPr>
        <w:t xml:space="preserve">r many. </w:t>
      </w:r>
      <w:r w:rsidR="00C04D66" w:rsidRPr="000F4108">
        <w:rPr>
          <w:b/>
        </w:rPr>
        <w:t>Moreover</w:t>
      </w:r>
      <w:r w:rsidR="008D50D4" w:rsidRPr="000F4108">
        <w:rPr>
          <w:b/>
        </w:rPr>
        <w:t xml:space="preserve">, </w:t>
      </w:r>
      <w:r w:rsidR="00C04D66" w:rsidRPr="000F4108">
        <w:rPr>
          <w:b/>
        </w:rPr>
        <w:t xml:space="preserve">even when </w:t>
      </w:r>
      <w:r w:rsidR="008D50D4" w:rsidRPr="000F4108">
        <w:rPr>
          <w:b/>
        </w:rPr>
        <w:t xml:space="preserve">telephone lines may </w:t>
      </w:r>
      <w:r w:rsidR="004D6967" w:rsidRPr="000F4108">
        <w:rPr>
          <w:b/>
        </w:rPr>
        <w:t>be</w:t>
      </w:r>
      <w:r w:rsidR="008D50D4" w:rsidRPr="000F4108">
        <w:rPr>
          <w:b/>
        </w:rPr>
        <w:t xml:space="preserve"> available, this may not be the </w:t>
      </w:r>
      <w:r w:rsidR="004D6967" w:rsidRPr="000F4108">
        <w:rPr>
          <w:b/>
        </w:rPr>
        <w:t>ideal type of communication</w:t>
      </w:r>
      <w:r w:rsidR="008D50D4" w:rsidRPr="000F4108">
        <w:rPr>
          <w:b/>
        </w:rPr>
        <w:t xml:space="preserve"> </w:t>
      </w:r>
      <w:r w:rsidR="00E401D6" w:rsidRPr="000F4108">
        <w:rPr>
          <w:b/>
        </w:rPr>
        <w:t xml:space="preserve">to </w:t>
      </w:r>
      <w:r w:rsidR="008D50D4" w:rsidRPr="000F4108">
        <w:rPr>
          <w:b/>
        </w:rPr>
        <w:t xml:space="preserve">seek support </w:t>
      </w:r>
      <w:r w:rsidR="00E401D6" w:rsidRPr="000F4108">
        <w:rPr>
          <w:b/>
        </w:rPr>
        <w:t xml:space="preserve">for </w:t>
      </w:r>
      <w:r w:rsidR="00795EF8" w:rsidRPr="000F4108">
        <w:rPr>
          <w:b/>
        </w:rPr>
        <w:t>some</w:t>
      </w:r>
      <w:r w:rsidR="008D50D4" w:rsidRPr="000F4108">
        <w:rPr>
          <w:b/>
        </w:rPr>
        <w:t xml:space="preserve"> women</w:t>
      </w:r>
      <w:r w:rsidR="00795EF8" w:rsidRPr="000F4108">
        <w:rPr>
          <w:b/>
        </w:rPr>
        <w:t xml:space="preserve"> and girls</w:t>
      </w:r>
      <w:r w:rsidR="008D50D4" w:rsidRPr="000F4108">
        <w:rPr>
          <w:b/>
        </w:rPr>
        <w:t xml:space="preserve"> (e.g. language difficulties, requiring a safe space outside of their homes to talk</w:t>
      </w:r>
      <w:r w:rsidR="00E401D6" w:rsidRPr="000F4108">
        <w:rPr>
          <w:b/>
        </w:rPr>
        <w:t>, lack of privacy at home when husbands and family members are in near rooms</w:t>
      </w:r>
      <w:r w:rsidR="008D50D4" w:rsidRPr="000F4108">
        <w:rPr>
          <w:b/>
        </w:rPr>
        <w:t xml:space="preserve">) and </w:t>
      </w:r>
      <w:r w:rsidR="00C04D66" w:rsidRPr="000F4108">
        <w:rPr>
          <w:b/>
        </w:rPr>
        <w:t>has often resulted</w:t>
      </w:r>
      <w:r w:rsidR="003D440F" w:rsidRPr="000F4108">
        <w:rPr>
          <w:b/>
        </w:rPr>
        <w:t xml:space="preserve"> </w:t>
      </w:r>
      <w:r w:rsidR="008D50D4" w:rsidRPr="000F4108">
        <w:rPr>
          <w:b/>
        </w:rPr>
        <w:t xml:space="preserve">in many choosing not </w:t>
      </w:r>
      <w:r w:rsidR="00E401D6" w:rsidRPr="000F4108">
        <w:rPr>
          <w:b/>
        </w:rPr>
        <w:t xml:space="preserve">to </w:t>
      </w:r>
      <w:r w:rsidR="008D50D4" w:rsidRPr="000F4108">
        <w:rPr>
          <w:b/>
        </w:rPr>
        <w:t xml:space="preserve">seek support. </w:t>
      </w:r>
      <w:r w:rsidR="00DC739D" w:rsidRPr="000F4108">
        <w:rPr>
          <w:b/>
        </w:rPr>
        <w:t>In particular, the lack of privacy at home to access support can been a challenge, since women may not feel comfortable sharing their feelings whilst children or partners are around. It may also be difficult for those from affected communities to access support online due to lack of appropriate IT tools, or knowledge of how to use them (e.g. downloading and accessing complicated apps for calls).</w:t>
      </w:r>
    </w:p>
    <w:p w14:paraId="4F2FD7BB" w14:textId="2C350D7A" w:rsidR="00DC739D" w:rsidRPr="000F4108" w:rsidRDefault="00417281" w:rsidP="00CD1F77">
      <w:pPr>
        <w:jc w:val="both"/>
        <w:rPr>
          <w:b/>
        </w:rPr>
      </w:pPr>
      <w:r w:rsidRPr="000F4108">
        <w:rPr>
          <w:b/>
        </w:rPr>
        <w:t xml:space="preserve">Lastly, the global pandemic has also </w:t>
      </w:r>
      <w:r w:rsidR="00E401D6" w:rsidRPr="000F4108">
        <w:rPr>
          <w:b/>
        </w:rPr>
        <w:t xml:space="preserve">further </w:t>
      </w:r>
      <w:r w:rsidRPr="000F4108">
        <w:rPr>
          <w:b/>
        </w:rPr>
        <w:t>exposed</w:t>
      </w:r>
      <w:r w:rsidR="00E401D6" w:rsidRPr="000F4108">
        <w:rPr>
          <w:b/>
        </w:rPr>
        <w:t xml:space="preserve"> and exacerbated</w:t>
      </w:r>
      <w:r w:rsidRPr="000F4108">
        <w:rPr>
          <w:b/>
        </w:rPr>
        <w:t xml:space="preserve"> existing inequalities (e.g. entrenched health inequalities),</w:t>
      </w:r>
      <w:r w:rsidR="004D6967" w:rsidRPr="000F4108">
        <w:rPr>
          <w:b/>
        </w:rPr>
        <w:t xml:space="preserve"> </w:t>
      </w:r>
      <w:r w:rsidR="00795EF8" w:rsidRPr="000F4108">
        <w:rPr>
          <w:b/>
        </w:rPr>
        <w:t>trickling</w:t>
      </w:r>
      <w:r w:rsidRPr="000F4108">
        <w:rPr>
          <w:b/>
        </w:rPr>
        <w:t xml:space="preserve"> down to the COVID-1</w:t>
      </w:r>
      <w:r w:rsidR="004D6967" w:rsidRPr="000F4108">
        <w:rPr>
          <w:b/>
        </w:rPr>
        <w:t>9 response mechanism</w:t>
      </w:r>
      <w:r w:rsidRPr="000F4108">
        <w:rPr>
          <w:b/>
        </w:rPr>
        <w:t xml:space="preserve">. In particular, migrant communities being more exposed to the virus as a result of being on the frontline and or being from deprived areas with less resources. In addition, usual funding mechanisms have devoted huge parts of their funding basket to the COVID-19 response, meaning less funding (which was already </w:t>
      </w:r>
      <w:proofErr w:type="spellStart"/>
      <w:r w:rsidRPr="000F4108">
        <w:rPr>
          <w:b/>
        </w:rPr>
        <w:t>insufficent</w:t>
      </w:r>
      <w:proofErr w:type="spellEnd"/>
      <w:r w:rsidRPr="000F4108">
        <w:rPr>
          <w:b/>
        </w:rPr>
        <w:t>) available.</w:t>
      </w:r>
    </w:p>
    <w:p w14:paraId="60640FB7" w14:textId="420F84A5" w:rsidR="00B92574" w:rsidRPr="000F4108" w:rsidRDefault="00B92574" w:rsidP="00CD1F77">
      <w:pPr>
        <w:jc w:val="both"/>
        <w:rPr>
          <w:b/>
          <w:color w:val="002060"/>
        </w:rPr>
      </w:pPr>
      <w:r w:rsidRPr="000F4108">
        <w:rPr>
          <w:b/>
          <w:color w:val="002060"/>
          <w:u w:val="single"/>
        </w:rPr>
        <w:t>GOOD PRACTICES</w:t>
      </w:r>
      <w:r w:rsidRPr="000F4108">
        <w:rPr>
          <w:b/>
          <w:color w:val="002060"/>
        </w:rPr>
        <w:t>:</w:t>
      </w:r>
    </w:p>
    <w:p w14:paraId="2259E3CD" w14:textId="6551487F" w:rsidR="00E56C9E" w:rsidRPr="000F4108" w:rsidRDefault="00B16785" w:rsidP="009C6F5C">
      <w:pPr>
        <w:jc w:val="both"/>
        <w:rPr>
          <w:b/>
        </w:rPr>
      </w:pPr>
      <w:r w:rsidRPr="000F4108">
        <w:rPr>
          <w:b/>
        </w:rPr>
        <w:t>On the other hand, there have been a number of good practices that have come out of these unprecedented times.</w:t>
      </w:r>
      <w:r w:rsidR="00CC4512" w:rsidRPr="000F4108">
        <w:rPr>
          <w:b/>
        </w:rPr>
        <w:t xml:space="preserve"> </w:t>
      </w:r>
      <w:r w:rsidR="00DC739D" w:rsidRPr="000F4108">
        <w:rPr>
          <w:b/>
        </w:rPr>
        <w:t>For instance</w:t>
      </w:r>
      <w:r w:rsidRPr="000F4108">
        <w:rPr>
          <w:b/>
        </w:rPr>
        <w:t xml:space="preserve">, </w:t>
      </w:r>
      <w:r w:rsidR="00DC739D" w:rsidRPr="000F4108">
        <w:rPr>
          <w:b/>
        </w:rPr>
        <w:t>we have seen among our members</w:t>
      </w:r>
      <w:r w:rsidRPr="000F4108">
        <w:rPr>
          <w:b/>
        </w:rPr>
        <w:t xml:space="preserve"> an increase in the prioritisation of wellbeing and psychological support for staff and community members, in the form of online sessions.</w:t>
      </w:r>
      <w:r w:rsidR="00DC739D" w:rsidRPr="000F4108">
        <w:rPr>
          <w:b/>
        </w:rPr>
        <w:t xml:space="preserve"> Some </w:t>
      </w:r>
      <w:proofErr w:type="spellStart"/>
      <w:r w:rsidR="00DC739D" w:rsidRPr="000F4108">
        <w:rPr>
          <w:b/>
        </w:rPr>
        <w:t>orgnisations</w:t>
      </w:r>
      <w:proofErr w:type="spellEnd"/>
      <w:r w:rsidR="00DC739D" w:rsidRPr="000F4108">
        <w:rPr>
          <w:b/>
        </w:rPr>
        <w:t xml:space="preserve"> have intensified their online presence and reorganised their work around COVID-19 support sessions for hard to reach communities and women and girls in most vulnerable situations.</w:t>
      </w:r>
      <w:r w:rsidRPr="000F4108">
        <w:rPr>
          <w:b/>
        </w:rPr>
        <w:t xml:space="preserve"> This is a progressive takeaway that</w:t>
      </w:r>
      <w:r w:rsidR="001C5B75" w:rsidRPr="000F4108">
        <w:rPr>
          <w:b/>
        </w:rPr>
        <w:t xml:space="preserve"> many organisations</w:t>
      </w:r>
      <w:r w:rsidRPr="000F4108">
        <w:rPr>
          <w:b/>
        </w:rPr>
        <w:t xml:space="preserve"> </w:t>
      </w:r>
      <w:r w:rsidR="001C5B75" w:rsidRPr="000F4108">
        <w:rPr>
          <w:b/>
        </w:rPr>
        <w:t>hope</w:t>
      </w:r>
      <w:r w:rsidRPr="000F4108">
        <w:rPr>
          <w:b/>
        </w:rPr>
        <w:t xml:space="preserve"> to incorporate into the working space as a new normal.</w:t>
      </w:r>
    </w:p>
    <w:p w14:paraId="7973F96C" w14:textId="1AFB6186" w:rsidR="00DC739D" w:rsidRDefault="00DD4D6C" w:rsidP="00CD1F77">
      <w:pPr>
        <w:pStyle w:val="ListParagraph"/>
        <w:numPr>
          <w:ilvl w:val="0"/>
          <w:numId w:val="3"/>
        </w:numPr>
        <w:jc w:val="both"/>
        <w:rPr>
          <w:highlight w:val="yellow"/>
        </w:rPr>
      </w:pPr>
      <w:r w:rsidRPr="009C6F5C">
        <w:rPr>
          <w:highlight w:val="yellow"/>
        </w:rPr>
        <w:t>Measures to p</w:t>
      </w:r>
      <w:r w:rsidR="00882FAB" w:rsidRPr="009C6F5C">
        <w:rPr>
          <w:highlight w:val="yellow"/>
        </w:rPr>
        <w:t xml:space="preserve">revent and prohibit </w:t>
      </w:r>
      <w:r w:rsidRPr="009C6F5C">
        <w:rPr>
          <w:highlight w:val="yellow"/>
        </w:rPr>
        <w:t xml:space="preserve">practices such as </w:t>
      </w:r>
      <w:r w:rsidR="00882FAB" w:rsidRPr="009C6F5C">
        <w:rPr>
          <w:highlight w:val="yellow"/>
        </w:rPr>
        <w:t>female genital mutilation</w:t>
      </w:r>
      <w:r w:rsidR="00031377" w:rsidRPr="009C6F5C">
        <w:rPr>
          <w:highlight w:val="yellow"/>
        </w:rPr>
        <w:t xml:space="preserve"> and</w:t>
      </w:r>
      <w:r w:rsidR="00882FAB" w:rsidRPr="009C6F5C">
        <w:rPr>
          <w:highlight w:val="yellow"/>
        </w:rPr>
        <w:t xml:space="preserve"> child</w:t>
      </w:r>
      <w:r w:rsidR="00031377" w:rsidRPr="009C6F5C">
        <w:rPr>
          <w:highlight w:val="yellow"/>
        </w:rPr>
        <w:t xml:space="preserve">, early </w:t>
      </w:r>
      <w:r w:rsidR="00882FAB" w:rsidRPr="009C6F5C">
        <w:rPr>
          <w:highlight w:val="yellow"/>
        </w:rPr>
        <w:t>and forced marriage</w:t>
      </w:r>
      <w:r w:rsidR="00FA31A9" w:rsidRPr="009C6F5C">
        <w:rPr>
          <w:highlight w:val="yellow"/>
        </w:rPr>
        <w:t>;</w:t>
      </w:r>
    </w:p>
    <w:p w14:paraId="38D907B4" w14:textId="77777777" w:rsidR="009C6F5C" w:rsidRPr="009C6F5C" w:rsidRDefault="009C6F5C" w:rsidP="009C6F5C">
      <w:pPr>
        <w:pStyle w:val="ListParagraph"/>
        <w:ind w:left="1440"/>
        <w:jc w:val="both"/>
        <w:rPr>
          <w:highlight w:val="yellow"/>
        </w:rPr>
      </w:pPr>
    </w:p>
    <w:p w14:paraId="2BB20970" w14:textId="0F302DE5" w:rsidR="00B92574" w:rsidRPr="000F4108" w:rsidRDefault="00B92574" w:rsidP="00CD1F77">
      <w:pPr>
        <w:jc w:val="both"/>
        <w:rPr>
          <w:b/>
          <w:color w:val="002060"/>
        </w:rPr>
      </w:pPr>
      <w:r w:rsidRPr="000F4108">
        <w:rPr>
          <w:b/>
          <w:color w:val="002060"/>
          <w:u w:val="single"/>
        </w:rPr>
        <w:t>CHALLENGES</w:t>
      </w:r>
      <w:r w:rsidR="00DC739D" w:rsidRPr="000F4108">
        <w:rPr>
          <w:b/>
          <w:color w:val="002060"/>
          <w:u w:val="single"/>
        </w:rPr>
        <w:t xml:space="preserve"> on FGM prevention</w:t>
      </w:r>
      <w:r w:rsidRPr="000F4108">
        <w:rPr>
          <w:b/>
          <w:color w:val="002060"/>
        </w:rPr>
        <w:t>:</w:t>
      </w:r>
    </w:p>
    <w:p w14:paraId="0114D0E5" w14:textId="69A44D01" w:rsidR="00BF5F6C" w:rsidRPr="000F4108" w:rsidRDefault="00BF5F6C" w:rsidP="00BF5F6C">
      <w:pPr>
        <w:jc w:val="both"/>
        <w:rPr>
          <w:b/>
        </w:rPr>
      </w:pPr>
      <w:r w:rsidRPr="000F4108">
        <w:rPr>
          <w:b/>
        </w:rPr>
        <w:t xml:space="preserve">Regarding the impact </w:t>
      </w:r>
      <w:r w:rsidR="00DC739D" w:rsidRPr="000F4108">
        <w:rPr>
          <w:b/>
        </w:rPr>
        <w:t xml:space="preserve">of COVID-19 emergency measures </w:t>
      </w:r>
      <w:r w:rsidRPr="000F4108">
        <w:rPr>
          <w:b/>
        </w:rPr>
        <w:t xml:space="preserve">on women and girls at risk of FGM, there are several factors to consider which may have heighten the risk of FGM depending on the national and community context. The confinement at home and the disruption of </w:t>
      </w:r>
      <w:r w:rsidR="00DC739D" w:rsidRPr="000F4108">
        <w:rPr>
          <w:b/>
        </w:rPr>
        <w:t xml:space="preserve">prevention and </w:t>
      </w:r>
      <w:r w:rsidRPr="000F4108">
        <w:rPr>
          <w:b/>
        </w:rPr>
        <w:t>protection measures for girls may put them in jeopardy. Since schools have been closed for a number of months (with many staying closed for the foreseeable future), this could provide enough time for wounds</w:t>
      </w:r>
      <w:r w:rsidR="008B2E9D" w:rsidRPr="000F4108">
        <w:rPr>
          <w:b/>
        </w:rPr>
        <w:t xml:space="preserve"> to heal</w:t>
      </w:r>
      <w:r w:rsidRPr="000F4108">
        <w:rPr>
          <w:b/>
        </w:rPr>
        <w:t xml:space="preserve"> </w:t>
      </w:r>
      <w:r w:rsidR="008B2E9D" w:rsidRPr="000F4108">
        <w:rPr>
          <w:b/>
        </w:rPr>
        <w:t>and for</w:t>
      </w:r>
      <w:r w:rsidRPr="000F4108">
        <w:rPr>
          <w:b/>
        </w:rPr>
        <w:t xml:space="preserve"> the violation</w:t>
      </w:r>
      <w:r w:rsidR="008B2E9D" w:rsidRPr="000F4108">
        <w:rPr>
          <w:b/>
        </w:rPr>
        <w:t>s to</w:t>
      </w:r>
      <w:r w:rsidRPr="000F4108">
        <w:rPr>
          <w:b/>
        </w:rPr>
        <w:t xml:space="preserve"> </w:t>
      </w:r>
      <w:r w:rsidR="008B2E9D" w:rsidRPr="000F4108">
        <w:rPr>
          <w:b/>
        </w:rPr>
        <w:t xml:space="preserve">go </w:t>
      </w:r>
      <w:r w:rsidRPr="000F4108">
        <w:rPr>
          <w:b/>
        </w:rPr>
        <w:t xml:space="preserve">undetected. Sadly, in some countries, there have been cases of </w:t>
      </w:r>
      <w:r w:rsidR="008B2E9D" w:rsidRPr="000F4108">
        <w:rPr>
          <w:b/>
        </w:rPr>
        <w:t xml:space="preserve">missing children </w:t>
      </w:r>
      <w:r w:rsidRPr="000F4108">
        <w:rPr>
          <w:b/>
        </w:rPr>
        <w:t>who are at risk of FGM, and have not responded to</w:t>
      </w:r>
      <w:r w:rsidR="008B2E9D" w:rsidRPr="000F4108">
        <w:rPr>
          <w:b/>
        </w:rPr>
        <w:t xml:space="preserve"> school</w:t>
      </w:r>
      <w:r w:rsidRPr="000F4108">
        <w:rPr>
          <w:b/>
        </w:rPr>
        <w:t xml:space="preserve"> messages since the lockdown. Those children might be exposed to violations, which could easily go past undetected and unreported.</w:t>
      </w:r>
    </w:p>
    <w:p w14:paraId="169E805D" w14:textId="65877448" w:rsidR="00BF5F6C" w:rsidRPr="000F4108" w:rsidRDefault="006E3AD6" w:rsidP="00BF5F6C">
      <w:pPr>
        <w:jc w:val="both"/>
        <w:rPr>
          <w:b/>
        </w:rPr>
      </w:pPr>
      <w:r w:rsidRPr="000F4108">
        <w:rPr>
          <w:b/>
        </w:rPr>
        <w:t>Moreover, and most importantly, the disruption of all prevention activities c</w:t>
      </w:r>
      <w:r w:rsidR="00111400" w:rsidRPr="000F4108">
        <w:rPr>
          <w:b/>
        </w:rPr>
        <w:t>onducted by organisatio</w:t>
      </w:r>
      <w:r w:rsidRPr="000F4108">
        <w:rPr>
          <w:b/>
        </w:rPr>
        <w:t>n</w:t>
      </w:r>
      <w:r w:rsidR="00111400" w:rsidRPr="000F4108">
        <w:rPr>
          <w:b/>
        </w:rPr>
        <w:t>s with affected communities ha</w:t>
      </w:r>
      <w:r w:rsidR="008B2E9D" w:rsidRPr="000F4108">
        <w:rPr>
          <w:b/>
        </w:rPr>
        <w:t>ve</w:t>
      </w:r>
      <w:r w:rsidR="00111400" w:rsidRPr="000F4108">
        <w:rPr>
          <w:b/>
        </w:rPr>
        <w:t xml:space="preserve"> been</w:t>
      </w:r>
      <w:r w:rsidRPr="000F4108">
        <w:rPr>
          <w:b/>
        </w:rPr>
        <w:t xml:space="preserve"> a major factor of concern</w:t>
      </w:r>
      <w:r w:rsidR="00BF5F6C" w:rsidRPr="000F4108">
        <w:rPr>
          <w:b/>
        </w:rPr>
        <w:t xml:space="preserve">. Some activities such as behavioural change </w:t>
      </w:r>
      <w:r w:rsidRPr="000F4108">
        <w:rPr>
          <w:b/>
        </w:rPr>
        <w:t>and community</w:t>
      </w:r>
      <w:r w:rsidR="00BF5F6C" w:rsidRPr="000F4108">
        <w:rPr>
          <w:b/>
        </w:rPr>
        <w:t xml:space="preserve"> group meetings</w:t>
      </w:r>
      <w:r w:rsidR="008B2E9D" w:rsidRPr="000F4108">
        <w:rPr>
          <w:b/>
        </w:rPr>
        <w:t>,</w:t>
      </w:r>
      <w:r w:rsidR="00BF5F6C" w:rsidRPr="000F4108">
        <w:rPr>
          <w:b/>
        </w:rPr>
        <w:t xml:space="preserve"> have been paused due to </w:t>
      </w:r>
      <w:r w:rsidRPr="000F4108">
        <w:rPr>
          <w:b/>
        </w:rPr>
        <w:t xml:space="preserve">their </w:t>
      </w:r>
      <w:r w:rsidR="00BF5F6C" w:rsidRPr="000F4108">
        <w:rPr>
          <w:b/>
        </w:rPr>
        <w:t xml:space="preserve">objectives not being reachable without face-to-face interactions. For such meetings, in person interactions </w:t>
      </w:r>
      <w:r w:rsidR="00111400" w:rsidRPr="000F4108">
        <w:rPr>
          <w:b/>
        </w:rPr>
        <w:t xml:space="preserve">are </w:t>
      </w:r>
      <w:r w:rsidR="00BF5F6C" w:rsidRPr="000F4108">
        <w:rPr>
          <w:b/>
        </w:rPr>
        <w:t xml:space="preserve">imperative to ensure a safe and confidential space, to address traumatising and potentially triggering </w:t>
      </w:r>
      <w:r w:rsidR="00111400" w:rsidRPr="000F4108">
        <w:rPr>
          <w:b/>
        </w:rPr>
        <w:t xml:space="preserve">issues </w:t>
      </w:r>
      <w:r w:rsidR="00BF5F6C" w:rsidRPr="000F4108">
        <w:rPr>
          <w:b/>
        </w:rPr>
        <w:t xml:space="preserve">and allow experts (or other group members) to </w:t>
      </w:r>
      <w:r w:rsidR="00111400" w:rsidRPr="000F4108">
        <w:rPr>
          <w:b/>
        </w:rPr>
        <w:t xml:space="preserve">use </w:t>
      </w:r>
      <w:r w:rsidR="00BF5F6C" w:rsidRPr="000F4108">
        <w:rPr>
          <w:b/>
        </w:rPr>
        <w:t xml:space="preserve">non-verbal communication, listen and support individuals appropriately. This cannot be easily done online. </w:t>
      </w:r>
    </w:p>
    <w:p w14:paraId="11F812B0" w14:textId="6D14ADBF" w:rsidR="00F52489" w:rsidRPr="000F4108" w:rsidRDefault="00F52489" w:rsidP="00BF5F6C">
      <w:pPr>
        <w:jc w:val="both"/>
        <w:rPr>
          <w:b/>
        </w:rPr>
      </w:pPr>
      <w:r w:rsidRPr="000F4108">
        <w:rPr>
          <w:b/>
        </w:rPr>
        <w:lastRenderedPageBreak/>
        <w:t>Furthermore</w:t>
      </w:r>
      <w:r w:rsidR="00BF5F6C" w:rsidRPr="000F4108">
        <w:rPr>
          <w:b/>
        </w:rPr>
        <w:t xml:space="preserve">, </w:t>
      </w:r>
      <w:r w:rsidRPr="000F4108">
        <w:rPr>
          <w:b/>
        </w:rPr>
        <w:t xml:space="preserve">as a </w:t>
      </w:r>
      <w:r w:rsidR="00BF5F6C" w:rsidRPr="000F4108">
        <w:rPr>
          <w:b/>
        </w:rPr>
        <w:t>consequence of the pandemic</w:t>
      </w:r>
      <w:r w:rsidR="008B2E9D" w:rsidRPr="000F4108">
        <w:rPr>
          <w:b/>
        </w:rPr>
        <w:t>,</w:t>
      </w:r>
      <w:r w:rsidR="00BF5F6C" w:rsidRPr="000F4108">
        <w:rPr>
          <w:b/>
        </w:rPr>
        <w:t xml:space="preserve"> communit</w:t>
      </w:r>
      <w:r w:rsidR="00066FFC" w:rsidRPr="000F4108">
        <w:rPr>
          <w:b/>
        </w:rPr>
        <w:t>y</w:t>
      </w:r>
      <w:r w:rsidR="00BF5F6C" w:rsidRPr="000F4108">
        <w:rPr>
          <w:b/>
        </w:rPr>
        <w:t xml:space="preserve"> needs</w:t>
      </w:r>
      <w:r w:rsidRPr="000F4108">
        <w:rPr>
          <w:b/>
        </w:rPr>
        <w:t xml:space="preserve"> have shifted</w:t>
      </w:r>
      <w:r w:rsidR="00BF5F6C" w:rsidRPr="000F4108">
        <w:rPr>
          <w:b/>
        </w:rPr>
        <w:t xml:space="preserve"> </w:t>
      </w:r>
      <w:r w:rsidR="00066FFC" w:rsidRPr="000F4108">
        <w:rPr>
          <w:b/>
        </w:rPr>
        <w:t xml:space="preserve">considering emerging </w:t>
      </w:r>
      <w:r w:rsidRPr="000F4108">
        <w:rPr>
          <w:b/>
        </w:rPr>
        <w:t>personal challenges</w:t>
      </w:r>
      <w:r w:rsidR="00066FFC" w:rsidRPr="000F4108">
        <w:rPr>
          <w:b/>
        </w:rPr>
        <w:t xml:space="preserve"> </w:t>
      </w:r>
      <w:r w:rsidRPr="000F4108">
        <w:rPr>
          <w:b/>
        </w:rPr>
        <w:t>(</w:t>
      </w:r>
      <w:r w:rsidR="00BF5F6C" w:rsidRPr="000F4108">
        <w:rPr>
          <w:b/>
        </w:rPr>
        <w:t xml:space="preserve">such as job losses, health issues, </w:t>
      </w:r>
      <w:r w:rsidR="00FE4221" w:rsidRPr="000F4108">
        <w:rPr>
          <w:b/>
        </w:rPr>
        <w:t>lack of income, home-</w:t>
      </w:r>
      <w:r w:rsidR="00BF5F6C" w:rsidRPr="000F4108">
        <w:rPr>
          <w:b/>
        </w:rPr>
        <w:t>schooling and care for children,</w:t>
      </w:r>
      <w:r w:rsidRPr="000F4108">
        <w:rPr>
          <w:b/>
        </w:rPr>
        <w:t xml:space="preserve"> mental health issues and</w:t>
      </w:r>
      <w:r w:rsidR="00BF5F6C" w:rsidRPr="000F4108">
        <w:rPr>
          <w:b/>
        </w:rPr>
        <w:t xml:space="preserve"> anxiety, </w:t>
      </w:r>
      <w:proofErr w:type="spellStart"/>
      <w:r w:rsidR="00BF5F6C" w:rsidRPr="000F4108">
        <w:rPr>
          <w:b/>
        </w:rPr>
        <w:t>etc</w:t>
      </w:r>
      <w:proofErr w:type="spellEnd"/>
      <w:r w:rsidRPr="000F4108">
        <w:rPr>
          <w:b/>
        </w:rPr>
        <w:t>)</w:t>
      </w:r>
      <w:r w:rsidR="00BF5F6C" w:rsidRPr="000F4108">
        <w:rPr>
          <w:b/>
        </w:rPr>
        <w:t xml:space="preserve">. </w:t>
      </w:r>
      <w:r w:rsidRPr="000F4108">
        <w:rPr>
          <w:b/>
        </w:rPr>
        <w:t>This has also caused a de-</w:t>
      </w:r>
      <w:proofErr w:type="spellStart"/>
      <w:r w:rsidRPr="000F4108">
        <w:rPr>
          <w:b/>
        </w:rPr>
        <w:t>priorisation</w:t>
      </w:r>
      <w:proofErr w:type="spellEnd"/>
      <w:r w:rsidRPr="000F4108">
        <w:rPr>
          <w:b/>
        </w:rPr>
        <w:t xml:space="preserve"> of the issue of tackling FGM at community level. </w:t>
      </w:r>
    </w:p>
    <w:p w14:paraId="7B13C984" w14:textId="2E69294C" w:rsidR="00D2294E" w:rsidRPr="000F4108" w:rsidRDefault="00F52489" w:rsidP="008B2E9D">
      <w:pPr>
        <w:jc w:val="both"/>
        <w:rPr>
          <w:b/>
        </w:rPr>
      </w:pPr>
      <w:r w:rsidRPr="000F4108">
        <w:rPr>
          <w:b/>
        </w:rPr>
        <w:t xml:space="preserve">In addition, </w:t>
      </w:r>
      <w:r w:rsidR="00BF5F6C" w:rsidRPr="000F4108">
        <w:rPr>
          <w:b/>
        </w:rPr>
        <w:t xml:space="preserve">funding also presents huge insecurities for organisations, who are not sure if they will be severely affected by </w:t>
      </w:r>
      <w:r w:rsidRPr="000F4108">
        <w:rPr>
          <w:b/>
        </w:rPr>
        <w:t xml:space="preserve">lack of </w:t>
      </w:r>
      <w:r w:rsidR="00BF5F6C" w:rsidRPr="000F4108">
        <w:rPr>
          <w:b/>
        </w:rPr>
        <w:t>funding in the following years, as a result of the global pandemic</w:t>
      </w:r>
      <w:r w:rsidRPr="000F4108">
        <w:rPr>
          <w:b/>
        </w:rPr>
        <w:t>, with current and future funding at risk</w:t>
      </w:r>
      <w:r w:rsidR="00BF5F6C" w:rsidRPr="000F4108">
        <w:rPr>
          <w:b/>
        </w:rPr>
        <w:t xml:space="preserve">. </w:t>
      </w:r>
      <w:r w:rsidRPr="000F4108">
        <w:rPr>
          <w:b/>
        </w:rPr>
        <w:t xml:space="preserve">For many organisations, especially grassroots, it is still not clear whether usual funding programs will be available to finance activities in 2021. </w:t>
      </w:r>
      <w:r w:rsidR="00BF5F6C" w:rsidRPr="000F4108">
        <w:rPr>
          <w:b/>
        </w:rPr>
        <w:t>Some of the more immediate challenges have included donors asking to reduce staff costs</w:t>
      </w:r>
      <w:r w:rsidR="00066FFC" w:rsidRPr="000F4108">
        <w:rPr>
          <w:b/>
        </w:rPr>
        <w:t>,</w:t>
      </w:r>
      <w:r w:rsidR="00BF5F6C" w:rsidRPr="000F4108">
        <w:rPr>
          <w:b/>
        </w:rPr>
        <w:t xml:space="preserve"> while activities are reduced or postponed</w:t>
      </w:r>
      <w:r w:rsidRPr="000F4108">
        <w:rPr>
          <w:b/>
        </w:rPr>
        <w:t xml:space="preserve"> due to the lockdown</w:t>
      </w:r>
      <w:r w:rsidR="00BF5F6C" w:rsidRPr="000F4108">
        <w:rPr>
          <w:b/>
        </w:rPr>
        <w:t xml:space="preserve">. As a result, this causes the need for organisations to move towards temporary technical unemployment, </w:t>
      </w:r>
      <w:r w:rsidR="00B01997" w:rsidRPr="000F4108">
        <w:rPr>
          <w:b/>
        </w:rPr>
        <w:t xml:space="preserve">where such schemes are </w:t>
      </w:r>
      <w:proofErr w:type="spellStart"/>
      <w:r w:rsidR="00B01997" w:rsidRPr="000F4108">
        <w:rPr>
          <w:b/>
        </w:rPr>
        <w:t>permited</w:t>
      </w:r>
      <w:proofErr w:type="spellEnd"/>
      <w:r w:rsidR="00B01997" w:rsidRPr="000F4108">
        <w:rPr>
          <w:b/>
        </w:rPr>
        <w:t xml:space="preserve"> by the government</w:t>
      </w:r>
      <w:r w:rsidRPr="000F4108">
        <w:rPr>
          <w:b/>
        </w:rPr>
        <w:t xml:space="preserve"> or towards a massive loss of jobs</w:t>
      </w:r>
      <w:r w:rsidR="00BF5F6C" w:rsidRPr="000F4108">
        <w:rPr>
          <w:b/>
        </w:rPr>
        <w:t xml:space="preserve">. Overall, stress for </w:t>
      </w:r>
      <w:r w:rsidRPr="000F4108">
        <w:rPr>
          <w:b/>
        </w:rPr>
        <w:t xml:space="preserve">the </w:t>
      </w:r>
      <w:r w:rsidR="00BF5F6C" w:rsidRPr="000F4108">
        <w:rPr>
          <w:b/>
        </w:rPr>
        <w:t xml:space="preserve">present and future for organisations’ staff, due to job and salary instability, </w:t>
      </w:r>
      <w:r w:rsidR="00066FFC" w:rsidRPr="000F4108">
        <w:rPr>
          <w:b/>
        </w:rPr>
        <w:t>remains</w:t>
      </w:r>
      <w:r w:rsidR="00BF5F6C" w:rsidRPr="000F4108">
        <w:rPr>
          <w:b/>
        </w:rPr>
        <w:t xml:space="preserve"> a </w:t>
      </w:r>
      <w:r w:rsidRPr="000F4108">
        <w:rPr>
          <w:b/>
        </w:rPr>
        <w:t xml:space="preserve">major </w:t>
      </w:r>
      <w:r w:rsidR="00BF5F6C" w:rsidRPr="000F4108">
        <w:rPr>
          <w:b/>
        </w:rPr>
        <w:t>concern.</w:t>
      </w:r>
      <w:r w:rsidR="00D2294E" w:rsidRPr="000F4108">
        <w:rPr>
          <w:b/>
        </w:rPr>
        <w:t xml:space="preserve"> Moreover, for the workers who are lucky enough to be able to continue in their jobs</w:t>
      </w:r>
      <w:r w:rsidR="00BF5F6C" w:rsidRPr="000F4108">
        <w:rPr>
          <w:b/>
        </w:rPr>
        <w:t>, working from home and balancing</w:t>
      </w:r>
      <w:r w:rsidR="00FE4221" w:rsidRPr="000F4108">
        <w:rPr>
          <w:b/>
        </w:rPr>
        <w:t xml:space="preserve"> parenting and home-</w:t>
      </w:r>
      <w:r w:rsidR="00BF5F6C" w:rsidRPr="000F4108">
        <w:rPr>
          <w:b/>
        </w:rPr>
        <w:t>schooling children at the same time</w:t>
      </w:r>
      <w:r w:rsidRPr="000F4108">
        <w:rPr>
          <w:b/>
        </w:rPr>
        <w:t xml:space="preserve"> is a major challenge. </w:t>
      </w:r>
      <w:r w:rsidR="00066FFC" w:rsidRPr="000F4108">
        <w:rPr>
          <w:b/>
        </w:rPr>
        <w:t>Also, t</w:t>
      </w:r>
      <w:r w:rsidRPr="000F4108">
        <w:rPr>
          <w:b/>
        </w:rPr>
        <w:t>his</w:t>
      </w:r>
      <w:r w:rsidR="00BF5F6C" w:rsidRPr="000F4108">
        <w:rPr>
          <w:b/>
        </w:rPr>
        <w:t xml:space="preserve"> </w:t>
      </w:r>
      <w:r w:rsidRPr="000F4108">
        <w:rPr>
          <w:b/>
        </w:rPr>
        <w:t xml:space="preserve">is </w:t>
      </w:r>
      <w:r w:rsidR="00BF5F6C" w:rsidRPr="000F4108">
        <w:rPr>
          <w:b/>
        </w:rPr>
        <w:t>still disproportionately affecting women due to persistent t</w:t>
      </w:r>
      <w:r w:rsidR="008B2E9D" w:rsidRPr="000F4108">
        <w:rPr>
          <w:b/>
        </w:rPr>
        <w:t xml:space="preserve">raditional gender roles. </w:t>
      </w:r>
    </w:p>
    <w:p w14:paraId="3D58249D" w14:textId="77777777" w:rsidR="00300181" w:rsidRPr="000F4108" w:rsidRDefault="00300181" w:rsidP="00914EC0">
      <w:pPr>
        <w:spacing w:after="120"/>
        <w:jc w:val="both"/>
        <w:rPr>
          <w:b/>
          <w:color w:val="002060"/>
          <w:lang w:val="en-US"/>
        </w:rPr>
      </w:pPr>
      <w:r w:rsidRPr="000F4108">
        <w:rPr>
          <w:b/>
          <w:color w:val="002060"/>
          <w:u w:val="single"/>
          <w:lang w:val="en-US"/>
        </w:rPr>
        <w:t>GOOD PRACTICES</w:t>
      </w:r>
      <w:r w:rsidRPr="000F4108">
        <w:rPr>
          <w:b/>
          <w:color w:val="002060"/>
          <w:lang w:val="en-US"/>
        </w:rPr>
        <w:t>:</w:t>
      </w:r>
    </w:p>
    <w:p w14:paraId="29761CC7" w14:textId="77777777" w:rsidR="00CC4512" w:rsidRPr="000F4108" w:rsidRDefault="00114BF5" w:rsidP="00914EC0">
      <w:pPr>
        <w:spacing w:after="120"/>
        <w:jc w:val="both"/>
        <w:rPr>
          <w:b/>
        </w:rPr>
      </w:pPr>
      <w:r w:rsidRPr="000F4108">
        <w:rPr>
          <w:b/>
        </w:rPr>
        <w:t xml:space="preserve">A number of good practices have come out of the global pandemic concerning measures to prevent and prohibit practices such as FGM. </w:t>
      </w:r>
    </w:p>
    <w:p w14:paraId="32A13F56" w14:textId="602D36FC" w:rsidR="00935E64" w:rsidRPr="000F4108" w:rsidRDefault="00CC4512" w:rsidP="00914EC0">
      <w:pPr>
        <w:spacing w:after="120"/>
        <w:jc w:val="both"/>
        <w:rPr>
          <w:b/>
        </w:rPr>
      </w:pPr>
      <w:r w:rsidRPr="000F4108">
        <w:rPr>
          <w:b/>
        </w:rPr>
        <w:t>For example, activities have been shifted online where possible, such as virtual meeting with community members and peer educators already working together, which has been an effective alternative to physical meetings</w:t>
      </w:r>
      <w:r w:rsidR="00FD1DF7" w:rsidRPr="000F4108">
        <w:rPr>
          <w:b/>
        </w:rPr>
        <w:t xml:space="preserve"> in some situations, allowing for cost reduction of activities</w:t>
      </w:r>
      <w:r w:rsidRPr="000F4108">
        <w:rPr>
          <w:b/>
        </w:rPr>
        <w:t xml:space="preserve">. </w:t>
      </w:r>
      <w:r w:rsidR="00935E64" w:rsidRPr="000F4108">
        <w:rPr>
          <w:b/>
        </w:rPr>
        <w:t xml:space="preserve">Moving some activities online, through tools such as social media and web-hosted service, have allowed for organisations, including grassroots to stay in touch with affected communities. Increasing interactions online, may continue to be an additional approach used to work with FGM-affected communities, once lockdown eases to ensure maximum engagement. </w:t>
      </w:r>
      <w:r w:rsidR="00FD1DF7" w:rsidRPr="000F4108">
        <w:rPr>
          <w:b/>
        </w:rPr>
        <w:t>Moreover, o</w:t>
      </w:r>
      <w:r w:rsidRPr="000F4108">
        <w:rPr>
          <w:b/>
        </w:rPr>
        <w:t xml:space="preserve">nline e-learning platforms on FGM to train professionals (such as </w:t>
      </w:r>
      <w:hyperlink r:id="rId12" w:history="1">
        <w:r w:rsidRPr="000F4108">
          <w:rPr>
            <w:rStyle w:val="Hyperlink"/>
            <w:b/>
          </w:rPr>
          <w:t>U</w:t>
        </w:r>
        <w:r w:rsidR="00FD1DF7" w:rsidRPr="000F4108">
          <w:rPr>
            <w:rStyle w:val="Hyperlink"/>
            <w:b/>
          </w:rPr>
          <w:t xml:space="preserve">nited to </w:t>
        </w:r>
        <w:r w:rsidRPr="000F4108">
          <w:rPr>
            <w:rStyle w:val="Hyperlink"/>
            <w:b/>
          </w:rPr>
          <w:t>E</w:t>
        </w:r>
        <w:r w:rsidR="00FD1DF7" w:rsidRPr="000F4108">
          <w:rPr>
            <w:rStyle w:val="Hyperlink"/>
            <w:b/>
          </w:rPr>
          <w:t xml:space="preserve">nd </w:t>
        </w:r>
        <w:r w:rsidRPr="000F4108">
          <w:rPr>
            <w:rStyle w:val="Hyperlink"/>
            <w:b/>
          </w:rPr>
          <w:t>FGM</w:t>
        </w:r>
      </w:hyperlink>
      <w:r w:rsidRPr="000F4108">
        <w:rPr>
          <w:b/>
        </w:rPr>
        <w:t>), have also been useful for training professionals, whilst in isolation. As such, remote learning and working ha</w:t>
      </w:r>
      <w:r w:rsidR="00FE7D91" w:rsidRPr="000F4108">
        <w:rPr>
          <w:b/>
        </w:rPr>
        <w:t>ve</w:t>
      </w:r>
      <w:r w:rsidRPr="000F4108">
        <w:rPr>
          <w:b/>
        </w:rPr>
        <w:t xml:space="preserve"> been vital for minimising the disruption to progress. </w:t>
      </w:r>
    </w:p>
    <w:p w14:paraId="608E012F" w14:textId="3162472E" w:rsidR="00CC4512" w:rsidRPr="000F4108" w:rsidRDefault="00CC4512" w:rsidP="00FE7D91">
      <w:pPr>
        <w:jc w:val="both"/>
        <w:rPr>
          <w:b/>
        </w:rPr>
      </w:pPr>
      <w:r w:rsidRPr="000F4108">
        <w:rPr>
          <w:b/>
        </w:rPr>
        <w:t xml:space="preserve">Social media has also </w:t>
      </w:r>
      <w:r w:rsidR="00FE7D91" w:rsidRPr="000F4108">
        <w:rPr>
          <w:b/>
        </w:rPr>
        <w:t xml:space="preserve">been an incredibly </w:t>
      </w:r>
      <w:r w:rsidR="00935E64" w:rsidRPr="000F4108">
        <w:rPr>
          <w:b/>
        </w:rPr>
        <w:t>p</w:t>
      </w:r>
      <w:r w:rsidR="00FE7D91" w:rsidRPr="000F4108">
        <w:rPr>
          <w:b/>
        </w:rPr>
        <w:t xml:space="preserve">owerful resource that </w:t>
      </w:r>
      <w:r w:rsidRPr="000F4108">
        <w:rPr>
          <w:b/>
        </w:rPr>
        <w:t>enabled civil society and women's organisations, including grassroots, to stay connected with FGM</w:t>
      </w:r>
      <w:r w:rsidR="00066FFC" w:rsidRPr="000F4108">
        <w:rPr>
          <w:b/>
        </w:rPr>
        <w:t>-</w:t>
      </w:r>
      <w:r w:rsidRPr="000F4108">
        <w:rPr>
          <w:b/>
        </w:rPr>
        <w:t>affected communities. Through utilising this tool (and innovative apps such as The Restorers</w:t>
      </w:r>
      <w:r w:rsidR="00FE7D91" w:rsidRPr="000F4108">
        <w:rPr>
          <w:b/>
        </w:rPr>
        <w:t xml:space="preserve">, </w:t>
      </w:r>
      <w:hyperlink r:id="rId13" w:history="1">
        <w:r w:rsidR="00FE7D91" w:rsidRPr="000F4108">
          <w:rPr>
            <w:rStyle w:val="Hyperlink"/>
            <w:b/>
          </w:rPr>
          <w:t>I-Cut App</w:t>
        </w:r>
      </w:hyperlink>
      <w:r w:rsidR="00FE7D91" w:rsidRPr="000F4108">
        <w:rPr>
          <w:b/>
        </w:rPr>
        <w:t xml:space="preserve"> to fight FGM</w:t>
      </w:r>
      <w:r w:rsidRPr="000F4108">
        <w:rPr>
          <w:b/>
        </w:rPr>
        <w:t xml:space="preserve">), they have been able to </w:t>
      </w:r>
      <w:r w:rsidR="00FB6385" w:rsidRPr="000F4108">
        <w:rPr>
          <w:b/>
        </w:rPr>
        <w:t>carry on</w:t>
      </w:r>
      <w:r w:rsidR="00066FFC" w:rsidRPr="000F4108">
        <w:rPr>
          <w:b/>
        </w:rPr>
        <w:t xml:space="preserve"> </w:t>
      </w:r>
      <w:r w:rsidRPr="000F4108">
        <w:rPr>
          <w:b/>
        </w:rPr>
        <w:t>shar</w:t>
      </w:r>
      <w:r w:rsidR="00935E64" w:rsidRPr="000F4108">
        <w:rPr>
          <w:b/>
        </w:rPr>
        <w:t>ing</w:t>
      </w:r>
      <w:r w:rsidRPr="000F4108">
        <w:rPr>
          <w:b/>
        </w:rPr>
        <w:t xml:space="preserve"> FGM prevention messaging at community level. </w:t>
      </w:r>
    </w:p>
    <w:p w14:paraId="07A1F269" w14:textId="10416D7E" w:rsidR="00CC4512" w:rsidRPr="000F4108" w:rsidRDefault="00CC4512" w:rsidP="00914EC0">
      <w:pPr>
        <w:spacing w:after="120"/>
        <w:jc w:val="both"/>
        <w:rPr>
          <w:b/>
        </w:rPr>
      </w:pPr>
      <w:r w:rsidRPr="000F4108">
        <w:rPr>
          <w:b/>
        </w:rPr>
        <w:t>COVID-19 has also driven the re-shaping of community work within the framework on the pandemic, such as organisations adapting to the needs of those they are seeking to support, during such uncertain times. As such, many organisations have re-</w:t>
      </w:r>
      <w:proofErr w:type="spellStart"/>
      <w:r w:rsidRPr="000F4108">
        <w:rPr>
          <w:b/>
        </w:rPr>
        <w:t>strategised</w:t>
      </w:r>
      <w:proofErr w:type="spellEnd"/>
      <w:r w:rsidRPr="000F4108">
        <w:rPr>
          <w:b/>
        </w:rPr>
        <w:t xml:space="preserve"> to mainstream COVID-19 response into their FGM prevention and support activities, in order to spread information among communities on the </w:t>
      </w:r>
      <w:r w:rsidR="00935E64" w:rsidRPr="000F4108">
        <w:rPr>
          <w:b/>
        </w:rPr>
        <w:t>pandemic</w:t>
      </w:r>
      <w:r w:rsidRPr="000F4108">
        <w:rPr>
          <w:b/>
        </w:rPr>
        <w:t xml:space="preserve">. Examples include, translating official governmental information on the pandemic into community languages, producing flashcards on the subject </w:t>
      </w:r>
      <w:r w:rsidR="00935E64" w:rsidRPr="000F4108">
        <w:rPr>
          <w:b/>
        </w:rPr>
        <w:t xml:space="preserve">together with FGM prevention messaging </w:t>
      </w:r>
      <w:r w:rsidRPr="000F4108">
        <w:rPr>
          <w:b/>
        </w:rPr>
        <w:t xml:space="preserve">and distributing them at local level and providing increased telephone service. The lack of research in this area has also pushed organisations to take </w:t>
      </w:r>
      <w:proofErr w:type="spellStart"/>
      <w:r w:rsidRPr="000F4108">
        <w:rPr>
          <w:b/>
        </w:rPr>
        <w:t>initative</w:t>
      </w:r>
      <w:proofErr w:type="spellEnd"/>
      <w:r w:rsidRPr="000F4108">
        <w:rPr>
          <w:b/>
        </w:rPr>
        <w:t xml:space="preserve"> and gather data to better understand the needs of FGM-affected communities and organisations</w:t>
      </w:r>
      <w:r w:rsidR="00935E64" w:rsidRPr="000F4108">
        <w:rPr>
          <w:b/>
        </w:rPr>
        <w:t xml:space="preserve"> in times of crisis.</w:t>
      </w:r>
    </w:p>
    <w:p w14:paraId="05EF76EB" w14:textId="12A38D92" w:rsidR="00B92574" w:rsidRPr="000F4108" w:rsidRDefault="00114BF5" w:rsidP="000F4108">
      <w:pPr>
        <w:spacing w:after="0"/>
        <w:jc w:val="both"/>
        <w:rPr>
          <w:b/>
        </w:rPr>
      </w:pPr>
      <w:r w:rsidRPr="000F4108">
        <w:rPr>
          <w:b/>
        </w:rPr>
        <w:t xml:space="preserve">Although long-term funding is a continuing worry for organisations, a number of governments have provided short-term emergency funds covering home-working expenses (online services + staff </w:t>
      </w:r>
      <w:proofErr w:type="gramStart"/>
      <w:r w:rsidRPr="000F4108">
        <w:rPr>
          <w:b/>
        </w:rPr>
        <w:lastRenderedPageBreak/>
        <w:t>phone</w:t>
      </w:r>
      <w:proofErr w:type="gramEnd"/>
      <w:r w:rsidRPr="000F4108">
        <w:rPr>
          <w:b/>
        </w:rPr>
        <w:t xml:space="preserve"> and internet bills). Concerns regarding funding have also </w:t>
      </w:r>
      <w:r w:rsidR="00171940" w:rsidRPr="000F4108">
        <w:rPr>
          <w:b/>
        </w:rPr>
        <w:t xml:space="preserve">prompted </w:t>
      </w:r>
      <w:r w:rsidRPr="000F4108">
        <w:rPr>
          <w:b/>
        </w:rPr>
        <w:t xml:space="preserve">organisation to carry out innovative fundraising </w:t>
      </w:r>
      <w:r w:rsidR="00171940" w:rsidRPr="000F4108">
        <w:rPr>
          <w:b/>
        </w:rPr>
        <w:t xml:space="preserve">initiatives </w:t>
      </w:r>
      <w:r w:rsidRPr="000F4108">
        <w:rPr>
          <w:b/>
        </w:rPr>
        <w:t>through</w:t>
      </w:r>
      <w:r w:rsidR="00171940" w:rsidRPr="000F4108">
        <w:rPr>
          <w:b/>
        </w:rPr>
        <w:t>, for instance, launching</w:t>
      </w:r>
      <w:r w:rsidRPr="000F4108">
        <w:rPr>
          <w:b/>
        </w:rPr>
        <w:t xml:space="preserve"> crowd </w:t>
      </w:r>
      <w:proofErr w:type="spellStart"/>
      <w:r w:rsidRPr="000F4108">
        <w:rPr>
          <w:b/>
        </w:rPr>
        <w:t>funding</w:t>
      </w:r>
      <w:r w:rsidR="00171940" w:rsidRPr="000F4108">
        <w:rPr>
          <w:b/>
        </w:rPr>
        <w:t>s</w:t>
      </w:r>
      <w:proofErr w:type="spellEnd"/>
      <w:r w:rsidRPr="000F4108">
        <w:rPr>
          <w:b/>
        </w:rPr>
        <w:t>, selling merchandise, etc.</w:t>
      </w:r>
    </w:p>
    <w:p w14:paraId="277ADF80" w14:textId="77777777" w:rsidR="000F4108" w:rsidRPr="000F4108" w:rsidRDefault="000F4108" w:rsidP="000F4108">
      <w:pPr>
        <w:spacing w:after="0"/>
        <w:jc w:val="both"/>
      </w:pPr>
    </w:p>
    <w:p w14:paraId="73AC3D5D" w14:textId="77777777" w:rsidR="007D03B6" w:rsidRPr="00824E56" w:rsidRDefault="007D03B6" w:rsidP="00CB0784">
      <w:pPr>
        <w:pStyle w:val="ListParagraph"/>
        <w:numPr>
          <w:ilvl w:val="0"/>
          <w:numId w:val="3"/>
        </w:numPr>
        <w:jc w:val="both"/>
      </w:pPr>
      <w:r w:rsidRPr="00824E56">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conscientious objection, and third party consent requirements</w:t>
      </w:r>
      <w:r w:rsidR="00FA31A9">
        <w:t>;</w:t>
      </w:r>
    </w:p>
    <w:p w14:paraId="31BB18B0" w14:textId="72027B4A" w:rsidR="0091248A" w:rsidRPr="00824E56"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FA31A9">
        <w:t>; and</w:t>
      </w:r>
    </w:p>
    <w:p w14:paraId="71AEF42C" w14:textId="6440C1E3" w:rsidR="00B838AA" w:rsidRPr="00824E56" w:rsidRDefault="00B838AA" w:rsidP="00CB0784">
      <w:pPr>
        <w:pStyle w:val="ListParagraph"/>
        <w:numPr>
          <w:ilvl w:val="0"/>
          <w:numId w:val="3"/>
        </w:numPr>
        <w:jc w:val="both"/>
      </w:pPr>
      <w:r w:rsidRPr="00824E56">
        <w:t>Other pertinent information</w:t>
      </w:r>
      <w:r w:rsidR="00CA68D2" w:rsidRPr="00824E56">
        <w:t xml:space="preserve"> that may affect the availability accessibility, affordability, acceptability and quality </w:t>
      </w:r>
      <w:proofErr w:type="gramStart"/>
      <w:r w:rsidR="00CA68D2" w:rsidRPr="00824E56">
        <w:t>of  SRH</w:t>
      </w:r>
      <w:proofErr w:type="gramEnd"/>
      <w:r w:rsidR="00CA68D2" w:rsidRPr="00824E56">
        <w:t xml:space="preserve"> services</w:t>
      </w:r>
      <w:r w:rsidR="00031377">
        <w:t xml:space="preserve"> and information</w:t>
      </w:r>
      <w:r w:rsidRPr="00824E56">
        <w:t>.</w:t>
      </w: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0582EBA7" w14:textId="77777777" w:rsidR="00732CD8" w:rsidRPr="0049442F" w:rsidRDefault="00732CD8" w:rsidP="000C70B6">
      <w:pPr>
        <w:pStyle w:val="ListParagraph"/>
        <w:ind w:left="709"/>
        <w:jc w:val="both"/>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77777777"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3205F46B" w14:textId="77777777" w:rsidR="0034184A" w:rsidRDefault="00882FAB" w:rsidP="0087156B">
      <w:pPr>
        <w:pStyle w:val="ListParagraph"/>
        <w:numPr>
          <w:ilvl w:val="0"/>
          <w:numId w:val="6"/>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297E73E8" w14:textId="77777777"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7331463F" w14:textId="31B98CEB"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53136A69" w14:textId="69E55A9D" w:rsidR="00D07300" w:rsidRDefault="00E609D6" w:rsidP="00D07300">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58698DC3" w14:textId="77777777" w:rsidR="00F54EE6" w:rsidRDefault="00D25A4C" w:rsidP="00CB0784">
      <w:pPr>
        <w:pStyle w:val="ListParagraph"/>
        <w:numPr>
          <w:ilvl w:val="0"/>
          <w:numId w:val="6"/>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4A29CCE5" w14:textId="44343650" w:rsidR="00237EE3" w:rsidRPr="00BC0F6B" w:rsidRDefault="00041634" w:rsidP="00237EE3">
      <w:pPr>
        <w:pStyle w:val="ListParagraph"/>
        <w:numPr>
          <w:ilvl w:val="0"/>
          <w:numId w:val="6"/>
        </w:numPr>
        <w:jc w:val="both"/>
        <w:rPr>
          <w:highlight w:val="yellow"/>
        </w:rPr>
      </w:pPr>
      <w:r w:rsidRPr="00BC0F6B">
        <w:rPr>
          <w:highlight w:val="yellow"/>
        </w:rPr>
        <w:t>W</w:t>
      </w:r>
      <w:r w:rsidR="00350D4D" w:rsidRPr="00BC0F6B">
        <w:rPr>
          <w:highlight w:val="yellow"/>
        </w:rPr>
        <w:t>h</w:t>
      </w:r>
      <w:r w:rsidR="0005664F" w:rsidRPr="00BC0F6B">
        <w:rPr>
          <w:highlight w:val="yellow"/>
        </w:rPr>
        <w:t>at</w:t>
      </w:r>
      <w:r w:rsidR="00350D4D" w:rsidRPr="00BC0F6B">
        <w:rPr>
          <w:highlight w:val="yellow"/>
        </w:rPr>
        <w:t xml:space="preserve"> obstacles have civil society organisations encountered in their efforts to deliver sexual and reproductive services</w:t>
      </w:r>
      <w:r w:rsidR="0005664F" w:rsidRPr="00BC0F6B">
        <w:rPr>
          <w:highlight w:val="yellow"/>
        </w:rPr>
        <w:t>?</w:t>
      </w:r>
    </w:p>
    <w:p w14:paraId="22147893" w14:textId="77777777" w:rsidR="00237EE3" w:rsidRDefault="00237EE3" w:rsidP="00237EE3">
      <w:pPr>
        <w:pStyle w:val="ListParagraph"/>
        <w:ind w:left="1540"/>
        <w:jc w:val="both"/>
      </w:pPr>
    </w:p>
    <w:p w14:paraId="771E3458" w14:textId="49642BF2" w:rsidR="00AA5190" w:rsidRPr="00BC0F6B" w:rsidRDefault="00237EE3" w:rsidP="00237EE3">
      <w:pPr>
        <w:jc w:val="both"/>
        <w:rPr>
          <w:b/>
        </w:rPr>
      </w:pPr>
      <w:r w:rsidRPr="00BC0F6B">
        <w:rPr>
          <w:b/>
        </w:rPr>
        <w:lastRenderedPageBreak/>
        <w:t>Civil society organisations have encountered a number of ob</w:t>
      </w:r>
      <w:r w:rsidR="00E401D6" w:rsidRPr="00BC0F6B">
        <w:rPr>
          <w:b/>
        </w:rPr>
        <w:t>sta</w:t>
      </w:r>
      <w:r w:rsidRPr="00BC0F6B">
        <w:rPr>
          <w:b/>
        </w:rPr>
        <w:t xml:space="preserve">cles in </w:t>
      </w:r>
      <w:r w:rsidR="00AA5190" w:rsidRPr="00BC0F6B">
        <w:rPr>
          <w:b/>
        </w:rPr>
        <w:t xml:space="preserve">ensuring continuity in the </w:t>
      </w:r>
      <w:r w:rsidRPr="00BC0F6B">
        <w:rPr>
          <w:b/>
        </w:rPr>
        <w:t>provi</w:t>
      </w:r>
      <w:r w:rsidR="00AA5190" w:rsidRPr="00BC0F6B">
        <w:rPr>
          <w:b/>
        </w:rPr>
        <w:t>sion of</w:t>
      </w:r>
      <w:r w:rsidRPr="00BC0F6B">
        <w:rPr>
          <w:b/>
        </w:rPr>
        <w:t xml:space="preserve"> SRHR and GBV services. </w:t>
      </w:r>
      <w:r w:rsidR="00B01997" w:rsidRPr="00BC0F6B">
        <w:rPr>
          <w:b/>
        </w:rPr>
        <w:t>Firstly, a</w:t>
      </w:r>
      <w:r w:rsidRPr="00BC0F6B">
        <w:rPr>
          <w:b/>
        </w:rPr>
        <w:t xml:space="preserve"> lack of space for organisations to carry out their day to day work</w:t>
      </w:r>
      <w:r w:rsidR="00675E4F" w:rsidRPr="00BC0F6B">
        <w:rPr>
          <w:b/>
        </w:rPr>
        <w:t>.</w:t>
      </w:r>
      <w:r w:rsidRPr="00BC0F6B">
        <w:rPr>
          <w:b/>
        </w:rPr>
        <w:t xml:space="preserve"> </w:t>
      </w:r>
      <w:r w:rsidR="00AA5190" w:rsidRPr="00BC0F6B">
        <w:rPr>
          <w:b/>
        </w:rPr>
        <w:t xml:space="preserve">In addition, lack of the necessary tools for staff to carry out work from remote (e.g. laptops), </w:t>
      </w:r>
      <w:r w:rsidRPr="00BC0F6B">
        <w:rPr>
          <w:b/>
        </w:rPr>
        <w:t>as well as limited space for individuals who are seeking support</w:t>
      </w:r>
      <w:r w:rsidR="00AA5190" w:rsidRPr="00BC0F6B">
        <w:rPr>
          <w:b/>
        </w:rPr>
        <w:t xml:space="preserve"> proved to be a major obstacle</w:t>
      </w:r>
      <w:r w:rsidRPr="00BC0F6B">
        <w:rPr>
          <w:b/>
        </w:rPr>
        <w:t xml:space="preserve">. </w:t>
      </w:r>
    </w:p>
    <w:p w14:paraId="718A75D4" w14:textId="7BF79E16" w:rsidR="00AA5190" w:rsidRPr="00BC0F6B" w:rsidRDefault="00237EE3" w:rsidP="00237EE3">
      <w:pPr>
        <w:jc w:val="both"/>
        <w:rPr>
          <w:b/>
        </w:rPr>
      </w:pPr>
      <w:r w:rsidRPr="00BC0F6B">
        <w:rPr>
          <w:b/>
        </w:rPr>
        <w:t xml:space="preserve">Organisations </w:t>
      </w:r>
      <w:r w:rsidR="00AA5190" w:rsidRPr="00BC0F6B">
        <w:rPr>
          <w:b/>
        </w:rPr>
        <w:t xml:space="preserve">have also </w:t>
      </w:r>
      <w:r w:rsidRPr="00BC0F6B">
        <w:rPr>
          <w:b/>
        </w:rPr>
        <w:t>encountered difficult</w:t>
      </w:r>
      <w:r w:rsidR="00B01997" w:rsidRPr="00BC0F6B">
        <w:rPr>
          <w:b/>
        </w:rPr>
        <w:t>ies in supporting ind</w:t>
      </w:r>
      <w:r w:rsidRPr="00BC0F6B">
        <w:rPr>
          <w:b/>
        </w:rPr>
        <w:t xml:space="preserve">ividuals to access online apps used for communication. As many </w:t>
      </w:r>
      <w:r w:rsidR="00AA5190" w:rsidRPr="00BC0F6B">
        <w:rPr>
          <w:b/>
        </w:rPr>
        <w:t>beneficiaries</w:t>
      </w:r>
      <w:r w:rsidRPr="00BC0F6B">
        <w:rPr>
          <w:b/>
        </w:rPr>
        <w:t xml:space="preserve"> </w:t>
      </w:r>
      <w:r w:rsidR="00B01997" w:rsidRPr="00BC0F6B">
        <w:rPr>
          <w:b/>
        </w:rPr>
        <w:t xml:space="preserve">are </w:t>
      </w:r>
      <w:r w:rsidRPr="00BC0F6B">
        <w:rPr>
          <w:b/>
        </w:rPr>
        <w:t xml:space="preserve">parents, they may not be have available IT resources for calls, due to children using them for online </w:t>
      </w:r>
      <w:r w:rsidR="00B01997" w:rsidRPr="00BC0F6B">
        <w:rPr>
          <w:b/>
        </w:rPr>
        <w:t xml:space="preserve">school </w:t>
      </w:r>
      <w:r w:rsidRPr="00BC0F6B">
        <w:rPr>
          <w:b/>
        </w:rPr>
        <w:t xml:space="preserve">learning. </w:t>
      </w:r>
      <w:r w:rsidR="00AA5190" w:rsidRPr="00BC0F6B">
        <w:rPr>
          <w:b/>
        </w:rPr>
        <w:t xml:space="preserve">Also, women may not feel comfortable sharing their feelings whilst children or partners are around. </w:t>
      </w:r>
    </w:p>
    <w:p w14:paraId="53C18CB4" w14:textId="4E23091B" w:rsidR="00301BD5" w:rsidRPr="00BC0F6B" w:rsidRDefault="00B01997" w:rsidP="00237EE3">
      <w:pPr>
        <w:jc w:val="both"/>
        <w:rPr>
          <w:b/>
        </w:rPr>
      </w:pPr>
      <w:r w:rsidRPr="00BC0F6B">
        <w:rPr>
          <w:b/>
        </w:rPr>
        <w:t xml:space="preserve">Organisations may also experience lack of success with online meetings in </w:t>
      </w:r>
      <w:proofErr w:type="spellStart"/>
      <w:r w:rsidRPr="00BC0F6B">
        <w:rPr>
          <w:b/>
        </w:rPr>
        <w:t>comparision</w:t>
      </w:r>
      <w:proofErr w:type="spellEnd"/>
      <w:r w:rsidRPr="00BC0F6B">
        <w:rPr>
          <w:b/>
        </w:rPr>
        <w:t xml:space="preserve"> to their usual face-to-face support services; as </w:t>
      </w:r>
      <w:r w:rsidR="00237EE3" w:rsidRPr="00BC0F6B">
        <w:rPr>
          <w:b/>
        </w:rPr>
        <w:t xml:space="preserve">in person </w:t>
      </w:r>
      <w:r w:rsidRPr="00BC0F6B">
        <w:rPr>
          <w:b/>
        </w:rPr>
        <w:t>interactions may be more effect</w:t>
      </w:r>
      <w:r w:rsidR="00301BD5" w:rsidRPr="00BC0F6B">
        <w:rPr>
          <w:b/>
        </w:rPr>
        <w:t>ive</w:t>
      </w:r>
      <w:r w:rsidRPr="00BC0F6B">
        <w:rPr>
          <w:b/>
        </w:rPr>
        <w:t xml:space="preserve"> in providing</w:t>
      </w:r>
      <w:r w:rsidR="00237EE3" w:rsidRPr="00BC0F6B">
        <w:rPr>
          <w:b/>
        </w:rPr>
        <w:t xml:space="preserve"> safe and confidential space to address traumatising and potentially triggering and allow experts </w:t>
      </w:r>
      <w:r w:rsidRPr="00BC0F6B">
        <w:rPr>
          <w:b/>
        </w:rPr>
        <w:t xml:space="preserve">to provide appropriate support. </w:t>
      </w:r>
      <w:r w:rsidR="00301BD5" w:rsidRPr="00BC0F6B">
        <w:rPr>
          <w:b/>
        </w:rPr>
        <w:t>Moreover, although digital tools have proved useful, moving activities online still takes time and adaptation to new tools, as well as preparation, learni</w:t>
      </w:r>
      <w:r w:rsidR="00E97A9C" w:rsidRPr="00BC0F6B">
        <w:rPr>
          <w:b/>
        </w:rPr>
        <w:t xml:space="preserve">ng and strategic thinking. This </w:t>
      </w:r>
      <w:r w:rsidR="00301BD5" w:rsidRPr="00BC0F6B">
        <w:rPr>
          <w:b/>
        </w:rPr>
        <w:t>is unfortunately not always taken into consideration by donors.</w:t>
      </w:r>
    </w:p>
    <w:p w14:paraId="42C28D39" w14:textId="391C83DE" w:rsidR="00301BD5" w:rsidRPr="00BC0F6B" w:rsidRDefault="00237EE3" w:rsidP="00237EE3">
      <w:pPr>
        <w:jc w:val="both"/>
        <w:rPr>
          <w:b/>
        </w:rPr>
      </w:pPr>
      <w:r w:rsidRPr="00BC0F6B">
        <w:rPr>
          <w:b/>
        </w:rPr>
        <w:t xml:space="preserve">As mentioned previously, </w:t>
      </w:r>
      <w:r w:rsidR="00301BD5" w:rsidRPr="00BC0F6B">
        <w:rPr>
          <w:b/>
        </w:rPr>
        <w:t xml:space="preserve">funding also presents huge insecurities for organisations, who are not sure if they will be severely affected by lack of funding in the following years, as a result of the global pandemic, with current and future funding at risk. For many organisations, especially grassroots, it is still not clear whether usual funding programs will be available to finance activities in 2021. Some of the more immediate challenges have included donors asking to reduce staff costs while activities are reduced or postponed due to the lockdown. As a result, this causes the need for organisations to move towards temporary technical unemployment, where such schemes are </w:t>
      </w:r>
      <w:proofErr w:type="spellStart"/>
      <w:r w:rsidR="00301BD5" w:rsidRPr="00BC0F6B">
        <w:rPr>
          <w:b/>
        </w:rPr>
        <w:t>permited</w:t>
      </w:r>
      <w:proofErr w:type="spellEnd"/>
      <w:r w:rsidR="00301BD5" w:rsidRPr="00BC0F6B">
        <w:rPr>
          <w:b/>
        </w:rPr>
        <w:t xml:space="preserve"> by the government or towards a massive loss of jobs. Overall, stress for the present and future for organisations’ staff, due to job and salary instability, keeps being a major concern. Moreover, for the workers who are lucky enough to be able to continue in their jobs, working from home and balancing parenting and home-schooling children at the same time is a major challenge. This is still disproportionately affecting women due to persistent traditional gender roles</w:t>
      </w:r>
      <w:r w:rsidRPr="00BC0F6B">
        <w:rPr>
          <w:b/>
        </w:rPr>
        <w:t xml:space="preserve">. </w:t>
      </w:r>
    </w:p>
    <w:p w14:paraId="42C68760" w14:textId="77777777" w:rsidR="00D25A4C" w:rsidRDefault="00D25A4C" w:rsidP="00D25A4C">
      <w:pPr>
        <w:pStyle w:val="ListParagraph"/>
        <w:ind w:left="1540"/>
        <w:jc w:val="both"/>
      </w:pPr>
    </w:p>
    <w:p w14:paraId="55444371" w14:textId="77777777"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36DC3086" w14:textId="77777777" w:rsidR="0005664F" w:rsidRDefault="0005664F" w:rsidP="0005664F">
      <w:pPr>
        <w:pStyle w:val="ListParagraph"/>
        <w:ind w:left="1080"/>
        <w:jc w:val="both"/>
      </w:pPr>
    </w:p>
    <w:p w14:paraId="383E62CA" w14:textId="77777777" w:rsidR="0005664F" w:rsidRPr="0005664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4C60BE9E" w14:textId="77777777" w:rsidR="007C7CD7" w:rsidRDefault="007C7CD7" w:rsidP="00CB0784">
      <w:pPr>
        <w:pStyle w:val="ListParagraph"/>
        <w:jc w:val="both"/>
      </w:pPr>
    </w:p>
    <w:p w14:paraId="367D8811" w14:textId="6D2AB85C" w:rsidR="007C7CD7" w:rsidRPr="00EA3408" w:rsidRDefault="007C7CD7" w:rsidP="000C70B6">
      <w:pPr>
        <w:pStyle w:val="ListParagraph"/>
        <w:numPr>
          <w:ilvl w:val="0"/>
          <w:numId w:val="9"/>
        </w:numPr>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08D9D7C2" w14:textId="77777777" w:rsidR="00F54EE6" w:rsidRDefault="00F54EE6" w:rsidP="00CB0784">
      <w:pPr>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556E1C09" w14:textId="77777777" w:rsidR="0034184A" w:rsidRDefault="00F54EE6" w:rsidP="00CB0784">
      <w:pPr>
        <w:pStyle w:val="ListParagraph"/>
        <w:numPr>
          <w:ilvl w:val="0"/>
          <w:numId w:val="7"/>
        </w:numPr>
        <w:jc w:val="both"/>
      </w:pPr>
      <w:r>
        <w:t xml:space="preserve">To what crisis does it apply? What situations are excluded? </w:t>
      </w:r>
    </w:p>
    <w:p w14:paraId="7C3679EE" w14:textId="77777777" w:rsidR="00F54EE6" w:rsidRDefault="00F54EE6" w:rsidP="00CB0784">
      <w:pPr>
        <w:pStyle w:val="ListParagraph"/>
        <w:numPr>
          <w:ilvl w:val="0"/>
          <w:numId w:val="7"/>
        </w:numPr>
        <w:jc w:val="both"/>
      </w:pPr>
      <w:r>
        <w:lastRenderedPageBreak/>
        <w:t xml:space="preserve">Does it contain a definition of crisis? </w:t>
      </w:r>
      <w:r w:rsidRPr="005C100F">
        <w:t xml:space="preserve">If so, please </w:t>
      </w:r>
      <w:r w:rsidR="000C70B6">
        <w:t>indicate the definition used.</w:t>
      </w:r>
    </w:p>
    <w:p w14:paraId="50F0988B" w14:textId="77777777" w:rsidR="0034184A" w:rsidRDefault="0034184A" w:rsidP="00CB0784">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w:t>
      </w:r>
      <w:proofErr w:type="spellStart"/>
      <w:r w:rsidR="00EC187B">
        <w:t>preparadeness</w:t>
      </w:r>
      <w:proofErr w:type="spellEnd"/>
      <w:r w:rsidR="00EC187B">
        <w:t xml:space="preserve"> and recovery</w:t>
      </w:r>
      <w:r>
        <w:t>.</w:t>
      </w:r>
    </w:p>
    <w:p w14:paraId="3918FAB7" w14:textId="77777777" w:rsidR="0034184A" w:rsidRDefault="0034184A" w:rsidP="00CB0784">
      <w:pPr>
        <w:pStyle w:val="ListParagraph"/>
        <w:numPr>
          <w:ilvl w:val="0"/>
          <w:numId w:val="7"/>
        </w:numPr>
        <w:jc w:val="both"/>
      </w:pPr>
      <w:r>
        <w:t>How were the risks related to women and girls’ sexual and reproductive health and rights, in urban and rural areas, identified and assessed?</w:t>
      </w:r>
    </w:p>
    <w:p w14:paraId="0E571FBE" w14:textId="72D6AE60"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proofErr w:type="spellStart"/>
      <w:r>
        <w:t>i</w:t>
      </w:r>
      <w:proofErr w:type="spellEnd"/>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proofErr w:type="gramStart"/>
      <w:r w:rsidR="00FA31A9">
        <w:t xml:space="preserve">iv) </w:t>
      </w:r>
      <w:r w:rsidR="000B2982">
        <w:t>the</w:t>
      </w:r>
      <w:proofErr w:type="gramEnd"/>
      <w:r w:rsidR="000B2982">
        <w:t xml:space="preserv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3F6966A8" w14:textId="67640F6A" w:rsidR="00F54EE6" w:rsidRDefault="00F54EE6" w:rsidP="00EC187B">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4994226F" w14:textId="77777777" w:rsidR="000B2982" w:rsidRDefault="000B2982" w:rsidP="000B2982">
      <w:pPr>
        <w:pStyle w:val="ListParagraph"/>
        <w:ind w:left="1080"/>
        <w:jc w:val="both"/>
      </w:pPr>
    </w:p>
    <w:p w14:paraId="52F9C946" w14:textId="77777777"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53AB712C" w14:textId="77777777" w:rsidR="007F12F3" w:rsidRPr="00EC187B" w:rsidRDefault="007F12F3" w:rsidP="00EC187B">
      <w:pPr>
        <w:pStyle w:val="ListParagraph"/>
      </w:pPr>
    </w:p>
    <w:p w14:paraId="732190A7" w14:textId="77777777" w:rsidR="007F12F3" w:rsidRPr="00BC0F6B" w:rsidRDefault="007F12F3" w:rsidP="000B2982">
      <w:pPr>
        <w:pStyle w:val="ListParagraph"/>
        <w:numPr>
          <w:ilvl w:val="0"/>
          <w:numId w:val="9"/>
        </w:numPr>
        <w:jc w:val="both"/>
        <w:rPr>
          <w:highlight w:val="yellow"/>
        </w:rPr>
      </w:pPr>
      <w:bookmarkStart w:id="3" w:name="_Hlk46138180"/>
      <w:r w:rsidRPr="00BC0F6B">
        <w:rPr>
          <w:highlight w:val="yellow"/>
        </w:rPr>
        <w:t>Are there specific ways in which</w:t>
      </w:r>
      <w:r w:rsidR="00911D11" w:rsidRPr="00BC0F6B">
        <w:rPr>
          <w:highlight w:val="yellow"/>
        </w:rPr>
        <w:t xml:space="preserve"> international</w:t>
      </w:r>
      <w:r w:rsidRPr="00BC0F6B">
        <w:rPr>
          <w:highlight w:val="yellow"/>
        </w:rPr>
        <w:t xml:space="preserve"> human rights mechanisms </w:t>
      </w:r>
      <w:r w:rsidR="00911D11" w:rsidRPr="00BC0F6B">
        <w:rPr>
          <w:highlight w:val="yellow"/>
        </w:rPr>
        <w:t xml:space="preserve">can </w:t>
      </w:r>
      <w:r w:rsidRPr="00BC0F6B">
        <w:rPr>
          <w:highlight w:val="yellow"/>
        </w:rPr>
        <w:t>support States in their efforts to address a crisis</w:t>
      </w:r>
      <w:r w:rsidR="00824E56" w:rsidRPr="00BC0F6B">
        <w:rPr>
          <w:highlight w:val="yellow"/>
        </w:rPr>
        <w:t>?</w:t>
      </w:r>
    </w:p>
    <w:bookmarkEnd w:id="3"/>
    <w:p w14:paraId="69B7578B" w14:textId="77777777" w:rsidR="000B2982" w:rsidRDefault="000B2982" w:rsidP="000B2982">
      <w:pPr>
        <w:pStyle w:val="ListParagraph"/>
        <w:ind w:left="1080"/>
        <w:jc w:val="both"/>
      </w:pPr>
    </w:p>
    <w:p w14:paraId="660FD8A7" w14:textId="32AACEFD" w:rsidR="00BC0F6B" w:rsidRDefault="005F2417" w:rsidP="00CB0784">
      <w:pPr>
        <w:jc w:val="both"/>
        <w:rPr>
          <w:b/>
        </w:rPr>
      </w:pPr>
      <w:r w:rsidRPr="005F2417">
        <w:rPr>
          <w:rFonts w:ascii="Arial Narrow" w:hAnsi="Arial Narrow"/>
          <w:noProof/>
          <w:lang w:eastAsia="en-GB"/>
        </w:rPr>
        <mc:AlternateContent>
          <mc:Choice Requires="wps">
            <w:drawing>
              <wp:anchor distT="45720" distB="45720" distL="114300" distR="114300" simplePos="0" relativeHeight="251659264" behindDoc="0" locked="0" layoutInCell="1" allowOverlap="1" wp14:anchorId="439F1B7D" wp14:editId="3F4AC66B">
                <wp:simplePos x="0" y="0"/>
                <wp:positionH relativeFrom="margin">
                  <wp:posOffset>0</wp:posOffset>
                </wp:positionH>
                <wp:positionV relativeFrom="paragraph">
                  <wp:posOffset>1438275</wp:posOffset>
                </wp:positionV>
                <wp:extent cx="6057900" cy="1095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95375"/>
                        </a:xfrm>
                        <a:prstGeom prst="rect">
                          <a:avLst/>
                        </a:prstGeom>
                        <a:solidFill>
                          <a:srgbClr val="FFFFFF"/>
                        </a:solidFill>
                        <a:ln w="19050">
                          <a:solidFill>
                            <a:srgbClr val="000000"/>
                          </a:solidFill>
                          <a:miter lim="800000"/>
                          <a:headEnd/>
                          <a:tailEnd/>
                        </a:ln>
                      </wps:spPr>
                      <wps:txbx>
                        <w:txbxContent>
                          <w:p w14:paraId="04DB3412" w14:textId="6869509B" w:rsidR="005F2417" w:rsidRDefault="005F2417" w:rsidP="005F2417">
                            <w:pPr>
                              <w:tabs>
                                <w:tab w:val="left" w:pos="2385"/>
                              </w:tabs>
                              <w:jc w:val="both"/>
                              <w:rPr>
                                <w:rFonts w:ascii="Arial Narrow" w:hAnsi="Arial Narrow"/>
                              </w:rPr>
                            </w:pPr>
                            <w:r w:rsidRPr="005F2417">
                              <w:rPr>
                                <w:rFonts w:ascii="Arial Narrow" w:hAnsi="Arial Narrow"/>
                                <w:b/>
                                <w:i/>
                              </w:rPr>
                              <w:t>Please note</w:t>
                            </w:r>
                            <w:r>
                              <w:rPr>
                                <w:rFonts w:ascii="Arial Narrow" w:hAnsi="Arial Narrow"/>
                              </w:rPr>
                              <w:t>:</w:t>
                            </w:r>
                          </w:p>
                          <w:p w14:paraId="293E0FD4" w14:textId="77777777" w:rsidR="005F2417" w:rsidRDefault="005F2417" w:rsidP="005F2417">
                            <w:pPr>
                              <w:tabs>
                                <w:tab w:val="left" w:pos="2385"/>
                              </w:tabs>
                              <w:jc w:val="both"/>
                              <w:rPr>
                                <w:rFonts w:ascii="Arial Narrow" w:hAnsi="Arial Narrow"/>
                              </w:rPr>
                            </w:pPr>
                            <w:r>
                              <w:rPr>
                                <w:rFonts w:ascii="Arial Narrow" w:hAnsi="Arial Narrow"/>
                              </w:rPr>
                              <w:t xml:space="preserve">This submission refers to the European context, based on </w:t>
                            </w:r>
                            <w:r w:rsidRPr="005F2417">
                              <w:rPr>
                                <w:rFonts w:ascii="Arial Narrow" w:hAnsi="Arial Narrow"/>
                              </w:rPr>
                              <w:t>an internal survey</w:t>
                            </w:r>
                            <w:r>
                              <w:rPr>
                                <w:rFonts w:ascii="Arial Narrow" w:hAnsi="Arial Narrow"/>
                              </w:rPr>
                              <w:t xml:space="preserve"> End FGM EU conducted amongst Members and Ambassadors, around their work in Europe and beyond. Please find the survey results here: </w:t>
                            </w:r>
                            <w:hyperlink r:id="rId14" w:history="1">
                              <w:r w:rsidRPr="00AA439C">
                                <w:rPr>
                                  <w:rStyle w:val="Hyperlink"/>
                                  <w:rFonts w:ascii="Arial Narrow" w:hAnsi="Arial Narrow"/>
                                </w:rPr>
                                <w:t>https://www.endfgm.eu/news-en-events/news/covid-19-and-fgm-an-end-fgm-eu-survey-on-the-pandemic-impact-on-women-girls-and-organisations/</w:t>
                              </w:r>
                            </w:hyperlink>
                            <w:r>
                              <w:rPr>
                                <w:rFonts w:ascii="Arial Narrow" w:hAnsi="Arial Narrow"/>
                              </w:rPr>
                              <w:t xml:space="preserve"> </w:t>
                            </w:r>
                          </w:p>
                          <w:p w14:paraId="3CDB10FD" w14:textId="73629D6B" w:rsidR="005F2417" w:rsidRDefault="005F2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F1B7D" id="_x0000_t202" coordsize="21600,21600" o:spt="202" path="m,l,21600r21600,l21600,xe">
                <v:stroke joinstyle="miter"/>
                <v:path gradientshapeok="t" o:connecttype="rect"/>
              </v:shapetype>
              <v:shape id="Text Box 2" o:spid="_x0000_s1026" type="#_x0000_t202" style="position:absolute;left:0;text-align:left;margin-left:0;margin-top:113.25pt;width:477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" strokeweight="1.5pt">
                <v:textbox>
                  <w:txbxContent>
                    <w:p w14:paraId="04DB3412" w14:textId="6869509B" w:rsidR="005F2417" w:rsidRDefault="005F2417" w:rsidP="005F2417">
                      <w:pPr>
                        <w:tabs>
                          <w:tab w:val="left" w:pos="2385"/>
                        </w:tabs>
                        <w:jc w:val="both"/>
                        <w:rPr>
                          <w:rFonts w:ascii="Arial Narrow" w:hAnsi="Arial Narrow"/>
                        </w:rPr>
                      </w:pPr>
                      <w:r w:rsidRPr="005F2417">
                        <w:rPr>
                          <w:rFonts w:ascii="Arial Narrow" w:hAnsi="Arial Narrow"/>
                          <w:b/>
                          <w:i/>
                        </w:rPr>
                        <w:t>Please note</w:t>
                      </w:r>
                      <w:r>
                        <w:rPr>
                          <w:rFonts w:ascii="Arial Narrow" w:hAnsi="Arial Narrow"/>
                        </w:rPr>
                        <w:t>:</w:t>
                      </w:r>
                    </w:p>
                    <w:p w14:paraId="293E0FD4" w14:textId="77777777" w:rsidR="005F2417" w:rsidRDefault="005F2417" w:rsidP="005F2417">
                      <w:pPr>
                        <w:tabs>
                          <w:tab w:val="left" w:pos="2385"/>
                        </w:tabs>
                        <w:jc w:val="both"/>
                        <w:rPr>
                          <w:rFonts w:ascii="Arial Narrow" w:hAnsi="Arial Narrow"/>
                        </w:rPr>
                      </w:pPr>
                      <w:r>
                        <w:rPr>
                          <w:rFonts w:ascii="Arial Narrow" w:hAnsi="Arial Narrow"/>
                        </w:rPr>
                        <w:t xml:space="preserve">This submission refers to the European context, based on </w:t>
                      </w:r>
                      <w:r w:rsidRPr="005F2417">
                        <w:rPr>
                          <w:rFonts w:ascii="Arial Narrow" w:hAnsi="Arial Narrow"/>
                        </w:rPr>
                        <w:t>an internal survey</w:t>
                      </w:r>
                      <w:r>
                        <w:rPr>
                          <w:rFonts w:ascii="Arial Narrow" w:hAnsi="Arial Narrow"/>
                        </w:rPr>
                        <w:t xml:space="preserve"> End FGM EU conducted amongst Members and Ambassadors, around their work in Europe and beyond. Please find the survey results here: </w:t>
                      </w:r>
                      <w:hyperlink r:id="rId15" w:history="1">
                        <w:r w:rsidRPr="00AA439C">
                          <w:rPr>
                            <w:rStyle w:val="Hyperlink"/>
                            <w:rFonts w:ascii="Arial Narrow" w:hAnsi="Arial Narrow"/>
                          </w:rPr>
                          <w:t>https://www.endfgm.eu/news-en-events/news/covid-19-and-fgm-an-end-fgm-eu-survey-on-the-pandemic-impact-on-women-girls-and-organisations/</w:t>
                        </w:r>
                      </w:hyperlink>
                      <w:r>
                        <w:rPr>
                          <w:rFonts w:ascii="Arial Narrow" w:hAnsi="Arial Narrow"/>
                        </w:rPr>
                        <w:t xml:space="preserve"> </w:t>
                      </w:r>
                    </w:p>
                    <w:p w14:paraId="3CDB10FD" w14:textId="73629D6B" w:rsidR="005F2417" w:rsidRDefault="005F2417"/>
                  </w:txbxContent>
                </v:textbox>
                <w10:wrap type="square" anchorx="margin"/>
              </v:shape>
            </w:pict>
          </mc:Fallback>
        </mc:AlternateContent>
      </w:r>
      <w:r w:rsidRPr="005F2417">
        <w:rPr>
          <w:rFonts w:ascii="Arial Narrow" w:hAnsi="Arial Narrow"/>
          <w:noProof/>
          <w:lang w:eastAsia="en-GB"/>
        </w:rPr>
        <mc:AlternateContent>
          <mc:Choice Requires="wps">
            <w:drawing>
              <wp:anchor distT="45720" distB="45720" distL="114300" distR="114300" simplePos="0" relativeHeight="251661312" behindDoc="0" locked="0" layoutInCell="1" allowOverlap="1" wp14:anchorId="42949247" wp14:editId="1CE02E58">
                <wp:simplePos x="0" y="0"/>
                <wp:positionH relativeFrom="margin">
                  <wp:align>left</wp:align>
                </wp:positionH>
                <wp:positionV relativeFrom="paragraph">
                  <wp:posOffset>2611755</wp:posOffset>
                </wp:positionV>
                <wp:extent cx="6057900" cy="2647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47950"/>
                        </a:xfrm>
                        <a:prstGeom prst="rect">
                          <a:avLst/>
                        </a:prstGeom>
                        <a:solidFill>
                          <a:srgbClr val="FFFFFF"/>
                        </a:solidFill>
                        <a:ln w="19050">
                          <a:solidFill>
                            <a:srgbClr val="000000"/>
                          </a:solidFill>
                          <a:miter lim="800000"/>
                          <a:headEnd/>
                          <a:tailEnd/>
                        </a:ln>
                      </wps:spPr>
                      <wps:txbx>
                        <w:txbxContent>
                          <w:p w14:paraId="4F1048A7" w14:textId="77777777" w:rsidR="005F2417" w:rsidRPr="005F2417" w:rsidRDefault="005F2417" w:rsidP="005F2417">
                            <w:pPr>
                              <w:spacing w:after="120"/>
                              <w:jc w:val="both"/>
                              <w:rPr>
                                <w:rFonts w:ascii="Arial Narrow" w:hAnsi="Arial Narrow"/>
                                <w:b/>
                                <w:i/>
                                <w:color w:val="800080"/>
                                <w:sz w:val="24"/>
                              </w:rPr>
                            </w:pPr>
                            <w:r w:rsidRPr="005F2417">
                              <w:rPr>
                                <w:rFonts w:ascii="Arial Narrow" w:hAnsi="Arial Narrow"/>
                                <w:b/>
                                <w:i/>
                                <w:color w:val="800080"/>
                                <w:sz w:val="24"/>
                              </w:rPr>
                              <w:t>About End FGM EU</w:t>
                            </w:r>
                          </w:p>
                          <w:p w14:paraId="20A28194" w14:textId="77777777" w:rsidR="005F2417" w:rsidRPr="0027046C" w:rsidRDefault="005F2417" w:rsidP="005F2417">
                            <w:pPr>
                              <w:spacing w:after="120"/>
                              <w:rPr>
                                <w:rFonts w:ascii="Arial Narrow" w:hAnsi="Arial Narrow"/>
                                <w:i/>
                              </w:rPr>
                            </w:pPr>
                            <w:r w:rsidRPr="0027046C">
                              <w:rPr>
                                <w:rFonts w:ascii="Arial Narrow" w:hAnsi="Arial Narrow"/>
                                <w:i/>
                              </w:rPr>
                              <w:t>The End FGM European Network (End FGM EU), is an umbrella network of 30 national organisations working in 14 European countries who are expert on female genital mutilation (FGM). End FGM EU operates as a meeting ground for communities, civil society organisations, decision-makers and other relevant actors at European level to interact, cooperate and join forces to end all</w:t>
                            </w:r>
                            <w:bookmarkStart w:id="4" w:name="_GoBack"/>
                            <w:bookmarkEnd w:id="4"/>
                            <w:r w:rsidRPr="0027046C">
                              <w:rPr>
                                <w:rFonts w:ascii="Arial Narrow" w:hAnsi="Arial Narrow"/>
                                <w:i/>
                              </w:rPr>
                              <w:t xml:space="preserve"> forms of FGM in Europe and beyond. We put at the heart of our work grassroots voices to influence European governments and policy-makers to work towards the elimination of FGM. We build our members’ capacity, offer spaces to share expertise and develop partnerships.</w:t>
                            </w:r>
                          </w:p>
                          <w:p w14:paraId="1551D459" w14:textId="77777777" w:rsidR="005F2417" w:rsidRPr="0027046C" w:rsidRDefault="005F2417" w:rsidP="005F2417">
                            <w:pPr>
                              <w:spacing w:after="120"/>
                              <w:rPr>
                                <w:rFonts w:ascii="Arial Narrow" w:hAnsi="Arial Narrow"/>
                                <w:i/>
                              </w:rPr>
                            </w:pPr>
                            <w:r w:rsidRPr="0027046C">
                              <w:rPr>
                                <w:rFonts w:ascii="Arial Narrow" w:hAnsi="Arial Narrow"/>
                                <w:i/>
                              </w:rPr>
                              <w:t>While dedicated to being the driving force of the European movement to end FGM, we are equally committed to build bridges and cooperation with all relevant actors in the field of FGM both in Europe and globally. In this sense, we actively promote and foster cooperation between the European movement and movements in other regions of the world.</w:t>
                            </w:r>
                          </w:p>
                          <w:p w14:paraId="7F4C1C0A" w14:textId="77777777" w:rsidR="005F2417" w:rsidRPr="00AC0D7F" w:rsidRDefault="005F2417" w:rsidP="005F2417">
                            <w:pPr>
                              <w:spacing w:after="120"/>
                              <w:rPr>
                                <w:rFonts w:ascii="Arial Narrow" w:hAnsi="Arial Narrow"/>
                                <w:sz w:val="24"/>
                                <w:szCs w:val="24"/>
                              </w:rPr>
                            </w:pPr>
                            <w:r w:rsidRPr="0027046C">
                              <w:rPr>
                                <w:rFonts w:ascii="Arial Narrow" w:hAnsi="Arial Narrow"/>
                                <w:i/>
                              </w:rPr>
                              <w:t xml:space="preserve">For any further information, please contact Chiara </w:t>
                            </w:r>
                            <w:proofErr w:type="spellStart"/>
                            <w:r w:rsidRPr="0027046C">
                              <w:rPr>
                                <w:rFonts w:ascii="Arial Narrow" w:hAnsi="Arial Narrow"/>
                                <w:i/>
                              </w:rPr>
                              <w:t>Cosentino</w:t>
                            </w:r>
                            <w:proofErr w:type="spellEnd"/>
                            <w:r w:rsidRPr="0027046C">
                              <w:rPr>
                                <w:rFonts w:ascii="Arial Narrow" w:hAnsi="Arial Narrow"/>
                                <w:i/>
                              </w:rPr>
                              <w:t xml:space="preserve">, Head of Policy &amp; Advocacy, at </w:t>
                            </w:r>
                            <w:hyperlink r:id="rId16" w:history="1">
                              <w:r w:rsidRPr="00AC0D7F">
                                <w:rPr>
                                  <w:rStyle w:val="Hyperlink"/>
                                  <w:rFonts w:ascii="Arial Narrow" w:hAnsi="Arial Narrow"/>
                                  <w:i/>
                                </w:rPr>
                                <w:t>ccosentino@endfgm.eu</w:t>
                              </w:r>
                            </w:hyperlink>
                          </w:p>
                          <w:p w14:paraId="2C0686BC" w14:textId="77777777" w:rsidR="005F2417" w:rsidRDefault="005F2417" w:rsidP="005F2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49247" id="_x0000_t202" coordsize="21600,21600" o:spt="202" path="m,l,21600r21600,l21600,xe">
                <v:stroke joinstyle="miter"/>
                <v:path gradientshapeok="t" o:connecttype="rect"/>
              </v:shapetype>
              <v:shape id="_x0000_s1027" type="#_x0000_t202" style="position:absolute;left:0;text-align:left;margin-left:0;margin-top:205.65pt;width:477pt;height:20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" strokeweight="1.5pt">
                <v:textbox>
                  <w:txbxContent>
                    <w:p w14:paraId="4F1048A7" w14:textId="77777777" w:rsidR="005F2417" w:rsidRPr="005F2417" w:rsidRDefault="005F2417" w:rsidP="005F2417">
                      <w:pPr>
                        <w:spacing w:after="120"/>
                        <w:jc w:val="both"/>
                        <w:rPr>
                          <w:rFonts w:ascii="Arial Narrow" w:hAnsi="Arial Narrow"/>
                          <w:b/>
                          <w:i/>
                          <w:color w:val="800080"/>
                          <w:sz w:val="24"/>
                        </w:rPr>
                      </w:pPr>
                      <w:r w:rsidRPr="005F2417">
                        <w:rPr>
                          <w:rFonts w:ascii="Arial Narrow" w:hAnsi="Arial Narrow"/>
                          <w:b/>
                          <w:i/>
                          <w:color w:val="800080"/>
                          <w:sz w:val="24"/>
                        </w:rPr>
                        <w:t>About End FGM EU</w:t>
                      </w:r>
                    </w:p>
                    <w:p w14:paraId="20A28194" w14:textId="77777777" w:rsidR="005F2417" w:rsidRPr="0027046C" w:rsidRDefault="005F2417" w:rsidP="005F2417">
                      <w:pPr>
                        <w:spacing w:after="120"/>
                        <w:rPr>
                          <w:rFonts w:ascii="Arial Narrow" w:hAnsi="Arial Narrow"/>
                          <w:i/>
                        </w:rPr>
                      </w:pPr>
                      <w:r w:rsidRPr="0027046C">
                        <w:rPr>
                          <w:rFonts w:ascii="Arial Narrow" w:hAnsi="Arial Narrow"/>
                          <w:i/>
                        </w:rPr>
                        <w:t>The End FGM European Network (End FGM EU), is an umbrella network of 30 national organisations working in 14 European countries who are expert on female genital mutilation (FGM). End FGM EU operates as a meeting ground for communities, civil society organisations, decision-makers and other relevant actors at European level to interact, cooperate and join forces to end all</w:t>
                      </w:r>
                      <w:bookmarkStart w:id="5" w:name="_GoBack"/>
                      <w:bookmarkEnd w:id="5"/>
                      <w:r w:rsidRPr="0027046C">
                        <w:rPr>
                          <w:rFonts w:ascii="Arial Narrow" w:hAnsi="Arial Narrow"/>
                          <w:i/>
                        </w:rPr>
                        <w:t xml:space="preserve"> forms of FGM in Europe and beyond. We put at the heart of our work grassroots voices to influence European governments and policy-makers to work towards the elimination of FGM. We build our members’ capacity, offer spaces to share expertise and develop partnerships.</w:t>
                      </w:r>
                    </w:p>
                    <w:p w14:paraId="1551D459" w14:textId="77777777" w:rsidR="005F2417" w:rsidRPr="0027046C" w:rsidRDefault="005F2417" w:rsidP="005F2417">
                      <w:pPr>
                        <w:spacing w:after="120"/>
                        <w:rPr>
                          <w:rFonts w:ascii="Arial Narrow" w:hAnsi="Arial Narrow"/>
                          <w:i/>
                        </w:rPr>
                      </w:pPr>
                      <w:r w:rsidRPr="0027046C">
                        <w:rPr>
                          <w:rFonts w:ascii="Arial Narrow" w:hAnsi="Arial Narrow"/>
                          <w:i/>
                        </w:rPr>
                        <w:t>While dedicated to being the driving force of the European movement to end FGM, we are equally committed to build bridges and cooperation with all relevant actors in the field of FGM both in Europe and globally. In this sense, we actively promote and foster cooperation between the European movement and movements in other regions of the world.</w:t>
                      </w:r>
                    </w:p>
                    <w:p w14:paraId="7F4C1C0A" w14:textId="77777777" w:rsidR="005F2417" w:rsidRPr="00AC0D7F" w:rsidRDefault="005F2417" w:rsidP="005F2417">
                      <w:pPr>
                        <w:spacing w:after="120"/>
                        <w:rPr>
                          <w:rFonts w:ascii="Arial Narrow" w:hAnsi="Arial Narrow"/>
                          <w:sz w:val="24"/>
                          <w:szCs w:val="24"/>
                        </w:rPr>
                      </w:pPr>
                      <w:r w:rsidRPr="0027046C">
                        <w:rPr>
                          <w:rFonts w:ascii="Arial Narrow" w:hAnsi="Arial Narrow"/>
                          <w:i/>
                        </w:rPr>
                        <w:t xml:space="preserve">For any further information, please contact Chiara </w:t>
                      </w:r>
                      <w:proofErr w:type="spellStart"/>
                      <w:r w:rsidRPr="0027046C">
                        <w:rPr>
                          <w:rFonts w:ascii="Arial Narrow" w:hAnsi="Arial Narrow"/>
                          <w:i/>
                        </w:rPr>
                        <w:t>Cosentino</w:t>
                      </w:r>
                      <w:proofErr w:type="spellEnd"/>
                      <w:r w:rsidRPr="0027046C">
                        <w:rPr>
                          <w:rFonts w:ascii="Arial Narrow" w:hAnsi="Arial Narrow"/>
                          <w:i/>
                        </w:rPr>
                        <w:t xml:space="preserve">, Head of Policy &amp; Advocacy, at </w:t>
                      </w:r>
                      <w:hyperlink r:id="rId17" w:history="1">
                        <w:r w:rsidRPr="00AC0D7F">
                          <w:rPr>
                            <w:rStyle w:val="Hyperlink"/>
                            <w:rFonts w:ascii="Arial Narrow" w:hAnsi="Arial Narrow"/>
                            <w:i/>
                          </w:rPr>
                          <w:t>ccosentino@endfgm.eu</w:t>
                        </w:r>
                      </w:hyperlink>
                    </w:p>
                    <w:p w14:paraId="2C0686BC" w14:textId="77777777" w:rsidR="005F2417" w:rsidRDefault="005F2417" w:rsidP="005F2417"/>
                  </w:txbxContent>
                </v:textbox>
                <w10:wrap type="square" anchorx="margin"/>
              </v:shape>
            </w:pict>
          </mc:Fallback>
        </mc:AlternateContent>
      </w:r>
      <w:r w:rsidR="00DB16BC" w:rsidRPr="00BC0F6B">
        <w:rPr>
          <w:b/>
        </w:rPr>
        <w:t xml:space="preserve">International Human Rights mechanisms should ensure that protection, respect and fulfilment of human rights are fully integrated in humanitarian efforts to address crisis situations and that the emergency does not </w:t>
      </w:r>
      <w:proofErr w:type="spellStart"/>
      <w:r w:rsidR="00DB16BC" w:rsidRPr="00BC0F6B">
        <w:rPr>
          <w:b/>
        </w:rPr>
        <w:t>loose</w:t>
      </w:r>
      <w:proofErr w:type="spellEnd"/>
      <w:r w:rsidR="00DB16BC" w:rsidRPr="00BC0F6B">
        <w:rPr>
          <w:b/>
        </w:rPr>
        <w:t xml:space="preserve"> sight of the long term impact of policies on the human rights of the population as a whole. In this regard</w:t>
      </w:r>
      <w:r w:rsidR="008B172C" w:rsidRPr="00BC0F6B">
        <w:rPr>
          <w:b/>
        </w:rPr>
        <w:t>,</w:t>
      </w:r>
      <w:r w:rsidR="00DB16BC" w:rsidRPr="00BC0F6B">
        <w:rPr>
          <w:b/>
        </w:rPr>
        <w:t xml:space="preserve"> </w:t>
      </w:r>
      <w:r w:rsidR="007B0D35" w:rsidRPr="00BC0F6B">
        <w:rPr>
          <w:b/>
        </w:rPr>
        <w:t xml:space="preserve">the dissemination of </w:t>
      </w:r>
      <w:r w:rsidR="00DB16BC" w:rsidRPr="00BC0F6B">
        <w:rPr>
          <w:b/>
        </w:rPr>
        <w:t>a guideline on human rights impact assessment (including gender equality-impact assessment) in humanitarian contexts or a series of concrete recommendations on how to deal with these issues in crisis and fragile contexts would be extremely beneficial.</w:t>
      </w:r>
    </w:p>
    <w:sectPr w:rsidR="00BC0F6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04D1" w14:textId="77777777" w:rsidR="006E13CF" w:rsidRDefault="006E13CF">
      <w:pPr>
        <w:spacing w:after="0" w:line="240" w:lineRule="auto"/>
      </w:pPr>
      <w:r>
        <w:separator/>
      </w:r>
    </w:p>
  </w:endnote>
  <w:endnote w:type="continuationSeparator" w:id="0">
    <w:p w14:paraId="09E11B32" w14:textId="77777777" w:rsidR="006E13CF" w:rsidRDefault="006E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83174"/>
      <w:docPartObj>
        <w:docPartGallery w:val="Page Numbers (Bottom of Page)"/>
        <w:docPartUnique/>
      </w:docPartObj>
    </w:sdtPr>
    <w:sdtEndPr>
      <w:rPr>
        <w:noProof/>
      </w:rPr>
    </w:sdtEndPr>
    <w:sdtContent>
      <w:p w14:paraId="251CD578" w14:textId="5CEBFF63" w:rsidR="008B172C" w:rsidRDefault="008B172C">
        <w:pPr>
          <w:pStyle w:val="Footer"/>
          <w:jc w:val="right"/>
        </w:pPr>
        <w:r>
          <w:fldChar w:fldCharType="begin"/>
        </w:r>
        <w:r>
          <w:instrText xml:space="preserve"> PAGE   \* MERGEFORMAT </w:instrText>
        </w:r>
        <w:r>
          <w:fldChar w:fldCharType="separate"/>
        </w:r>
        <w:r w:rsidR="0027046C">
          <w:rPr>
            <w:noProof/>
          </w:rPr>
          <w:t>7</w:t>
        </w:r>
        <w:r>
          <w:rPr>
            <w:noProof/>
          </w:rPr>
          <w:fldChar w:fldCharType="end"/>
        </w:r>
      </w:p>
    </w:sdtContent>
  </w:sdt>
  <w:p w14:paraId="5E3613D0" w14:textId="77777777" w:rsidR="008B172C" w:rsidRDefault="008B1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145F" w14:textId="77777777" w:rsidR="006E13CF" w:rsidRDefault="006E13CF">
      <w:pPr>
        <w:spacing w:after="0" w:line="240" w:lineRule="auto"/>
      </w:pPr>
      <w:r>
        <w:separator/>
      </w:r>
    </w:p>
  </w:footnote>
  <w:footnote w:type="continuationSeparator" w:id="0">
    <w:p w14:paraId="69A28717" w14:textId="77777777" w:rsidR="006E13CF" w:rsidRDefault="006E13CF">
      <w:pPr>
        <w:spacing w:after="0" w:line="240" w:lineRule="auto"/>
      </w:pPr>
      <w:r>
        <w:continuationSeparator/>
      </w:r>
    </w:p>
  </w:footnote>
  <w:footnote w:id="1">
    <w:p w14:paraId="25874618" w14:textId="77777777" w:rsidR="008B172C" w:rsidRPr="00D944F1" w:rsidRDefault="008B172C"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8B172C" w:rsidRPr="00D944F1" w:rsidRDefault="008B172C" w:rsidP="00643635">
      <w:pPr>
        <w:pStyle w:val="FootnoteText"/>
      </w:pPr>
    </w:p>
  </w:footnote>
  <w:footnote w:id="2">
    <w:p w14:paraId="1ED21C2B" w14:textId="212EA2BD" w:rsidR="008B172C" w:rsidRPr="00AF7A8D" w:rsidRDefault="008B172C">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770F20"/>
    <w:multiLevelType w:val="hybridMultilevel"/>
    <w:tmpl w:val="4858BFE6"/>
    <w:lvl w:ilvl="0" w:tplc="A72EFFE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9"/>
  </w:num>
  <w:num w:numId="2">
    <w:abstractNumId w:val="6"/>
  </w:num>
  <w:num w:numId="3">
    <w:abstractNumId w:val="2"/>
  </w:num>
  <w:num w:numId="4">
    <w:abstractNumId w:val="4"/>
  </w:num>
  <w:num w:numId="5">
    <w:abstractNumId w:val="5"/>
  </w:num>
  <w:num w:numId="6">
    <w:abstractNumId w:val="10"/>
  </w:num>
  <w:num w:numId="7">
    <w:abstractNumId w:val="0"/>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1042A"/>
    <w:rsid w:val="0002644E"/>
    <w:rsid w:val="000308E4"/>
    <w:rsid w:val="00031377"/>
    <w:rsid w:val="0003542E"/>
    <w:rsid w:val="00041634"/>
    <w:rsid w:val="0004706D"/>
    <w:rsid w:val="0005664F"/>
    <w:rsid w:val="00066FFC"/>
    <w:rsid w:val="00081561"/>
    <w:rsid w:val="00081A02"/>
    <w:rsid w:val="000826A5"/>
    <w:rsid w:val="00094218"/>
    <w:rsid w:val="000A4396"/>
    <w:rsid w:val="000B2982"/>
    <w:rsid w:val="000C2745"/>
    <w:rsid w:val="000C4974"/>
    <w:rsid w:val="000C70B6"/>
    <w:rsid w:val="000D28E2"/>
    <w:rsid w:val="000E244C"/>
    <w:rsid w:val="000E6547"/>
    <w:rsid w:val="000F4108"/>
    <w:rsid w:val="000F5AC2"/>
    <w:rsid w:val="0010334F"/>
    <w:rsid w:val="00107026"/>
    <w:rsid w:val="00111400"/>
    <w:rsid w:val="00114BF5"/>
    <w:rsid w:val="00122894"/>
    <w:rsid w:val="00137528"/>
    <w:rsid w:val="00145F76"/>
    <w:rsid w:val="00150C5F"/>
    <w:rsid w:val="00153D85"/>
    <w:rsid w:val="001629AD"/>
    <w:rsid w:val="00171940"/>
    <w:rsid w:val="00175814"/>
    <w:rsid w:val="00181931"/>
    <w:rsid w:val="001C5B75"/>
    <w:rsid w:val="001D484F"/>
    <w:rsid w:val="001F4B98"/>
    <w:rsid w:val="00210E37"/>
    <w:rsid w:val="00237EE3"/>
    <w:rsid w:val="00245FC1"/>
    <w:rsid w:val="00251D04"/>
    <w:rsid w:val="002523DA"/>
    <w:rsid w:val="0027046C"/>
    <w:rsid w:val="0028204B"/>
    <w:rsid w:val="002855F5"/>
    <w:rsid w:val="00285854"/>
    <w:rsid w:val="002A49FE"/>
    <w:rsid w:val="002A50A2"/>
    <w:rsid w:val="002A6F52"/>
    <w:rsid w:val="002C101E"/>
    <w:rsid w:val="002F0F88"/>
    <w:rsid w:val="00300181"/>
    <w:rsid w:val="003006F3"/>
    <w:rsid w:val="00301BD5"/>
    <w:rsid w:val="00340213"/>
    <w:rsid w:val="00340222"/>
    <w:rsid w:val="0034184A"/>
    <w:rsid w:val="00350D4D"/>
    <w:rsid w:val="00353D40"/>
    <w:rsid w:val="003B3FB5"/>
    <w:rsid w:val="003C40E8"/>
    <w:rsid w:val="003D440F"/>
    <w:rsid w:val="003E6366"/>
    <w:rsid w:val="003F12E7"/>
    <w:rsid w:val="003F409E"/>
    <w:rsid w:val="003F64E4"/>
    <w:rsid w:val="004013EC"/>
    <w:rsid w:val="00404E5B"/>
    <w:rsid w:val="0041677D"/>
    <w:rsid w:val="00416BDA"/>
    <w:rsid w:val="00417281"/>
    <w:rsid w:val="00420867"/>
    <w:rsid w:val="00421AFF"/>
    <w:rsid w:val="00423920"/>
    <w:rsid w:val="004334BE"/>
    <w:rsid w:val="0043638F"/>
    <w:rsid w:val="0047406D"/>
    <w:rsid w:val="00484E03"/>
    <w:rsid w:val="004921A9"/>
    <w:rsid w:val="004D6967"/>
    <w:rsid w:val="004E3BDD"/>
    <w:rsid w:val="0050264F"/>
    <w:rsid w:val="00503959"/>
    <w:rsid w:val="0053326A"/>
    <w:rsid w:val="0053787F"/>
    <w:rsid w:val="0055566D"/>
    <w:rsid w:val="005577EB"/>
    <w:rsid w:val="00564595"/>
    <w:rsid w:val="00576B1F"/>
    <w:rsid w:val="00582FAD"/>
    <w:rsid w:val="005940E8"/>
    <w:rsid w:val="005C1759"/>
    <w:rsid w:val="005F14EC"/>
    <w:rsid w:val="005F2417"/>
    <w:rsid w:val="00616B37"/>
    <w:rsid w:val="00632712"/>
    <w:rsid w:val="00643635"/>
    <w:rsid w:val="006516C1"/>
    <w:rsid w:val="006517FA"/>
    <w:rsid w:val="00667AA7"/>
    <w:rsid w:val="00667CA8"/>
    <w:rsid w:val="0067286E"/>
    <w:rsid w:val="00675E4F"/>
    <w:rsid w:val="00676581"/>
    <w:rsid w:val="006A083D"/>
    <w:rsid w:val="006A11F6"/>
    <w:rsid w:val="006E13CF"/>
    <w:rsid w:val="006E3AD6"/>
    <w:rsid w:val="00724EB7"/>
    <w:rsid w:val="007329EF"/>
    <w:rsid w:val="00732CD8"/>
    <w:rsid w:val="007353C7"/>
    <w:rsid w:val="00735D47"/>
    <w:rsid w:val="00740190"/>
    <w:rsid w:val="007468CE"/>
    <w:rsid w:val="00760372"/>
    <w:rsid w:val="00766B8A"/>
    <w:rsid w:val="007708C1"/>
    <w:rsid w:val="00795124"/>
    <w:rsid w:val="00795EF8"/>
    <w:rsid w:val="007A4850"/>
    <w:rsid w:val="007B0D35"/>
    <w:rsid w:val="007B299E"/>
    <w:rsid w:val="007B2CC7"/>
    <w:rsid w:val="007B5CE4"/>
    <w:rsid w:val="007B699E"/>
    <w:rsid w:val="007C4AF4"/>
    <w:rsid w:val="007C7CD7"/>
    <w:rsid w:val="007D03B6"/>
    <w:rsid w:val="007F12F3"/>
    <w:rsid w:val="00804CEC"/>
    <w:rsid w:val="00812D62"/>
    <w:rsid w:val="00824E56"/>
    <w:rsid w:val="00836A1D"/>
    <w:rsid w:val="0084776C"/>
    <w:rsid w:val="00863EB6"/>
    <w:rsid w:val="0087156B"/>
    <w:rsid w:val="00882FAB"/>
    <w:rsid w:val="008A2F3F"/>
    <w:rsid w:val="008B172C"/>
    <w:rsid w:val="008B2E9D"/>
    <w:rsid w:val="008D50D4"/>
    <w:rsid w:val="008E0B3B"/>
    <w:rsid w:val="008E6C7C"/>
    <w:rsid w:val="008F06A1"/>
    <w:rsid w:val="008F2AEC"/>
    <w:rsid w:val="008F553C"/>
    <w:rsid w:val="00910A19"/>
    <w:rsid w:val="00911D11"/>
    <w:rsid w:val="0091248A"/>
    <w:rsid w:val="00914EC0"/>
    <w:rsid w:val="00925106"/>
    <w:rsid w:val="00935E64"/>
    <w:rsid w:val="00936CDB"/>
    <w:rsid w:val="00945886"/>
    <w:rsid w:val="00960985"/>
    <w:rsid w:val="00971376"/>
    <w:rsid w:val="009857FB"/>
    <w:rsid w:val="00995296"/>
    <w:rsid w:val="009A1C62"/>
    <w:rsid w:val="009A36A5"/>
    <w:rsid w:val="009B7042"/>
    <w:rsid w:val="009C6F5C"/>
    <w:rsid w:val="009D5791"/>
    <w:rsid w:val="00A16432"/>
    <w:rsid w:val="00A31315"/>
    <w:rsid w:val="00A318CC"/>
    <w:rsid w:val="00A44B5B"/>
    <w:rsid w:val="00A505C8"/>
    <w:rsid w:val="00AA5190"/>
    <w:rsid w:val="00AA71BE"/>
    <w:rsid w:val="00AB746C"/>
    <w:rsid w:val="00AB7675"/>
    <w:rsid w:val="00AC1EE9"/>
    <w:rsid w:val="00AF7A8D"/>
    <w:rsid w:val="00B01997"/>
    <w:rsid w:val="00B15A77"/>
    <w:rsid w:val="00B16785"/>
    <w:rsid w:val="00B205CE"/>
    <w:rsid w:val="00B20A8E"/>
    <w:rsid w:val="00B41868"/>
    <w:rsid w:val="00B46AB8"/>
    <w:rsid w:val="00B46C03"/>
    <w:rsid w:val="00B63554"/>
    <w:rsid w:val="00B72D6F"/>
    <w:rsid w:val="00B743A7"/>
    <w:rsid w:val="00B76516"/>
    <w:rsid w:val="00B838AA"/>
    <w:rsid w:val="00B908EC"/>
    <w:rsid w:val="00B92574"/>
    <w:rsid w:val="00B95225"/>
    <w:rsid w:val="00B95896"/>
    <w:rsid w:val="00BC0F6B"/>
    <w:rsid w:val="00BC5A20"/>
    <w:rsid w:val="00BD2154"/>
    <w:rsid w:val="00BF5F6C"/>
    <w:rsid w:val="00C04D66"/>
    <w:rsid w:val="00C05FFB"/>
    <w:rsid w:val="00C1267A"/>
    <w:rsid w:val="00C2397D"/>
    <w:rsid w:val="00C27B89"/>
    <w:rsid w:val="00C52085"/>
    <w:rsid w:val="00C55B61"/>
    <w:rsid w:val="00C60BCC"/>
    <w:rsid w:val="00C61598"/>
    <w:rsid w:val="00C67874"/>
    <w:rsid w:val="00C709C6"/>
    <w:rsid w:val="00C85677"/>
    <w:rsid w:val="00C92E09"/>
    <w:rsid w:val="00C96C6D"/>
    <w:rsid w:val="00CA1169"/>
    <w:rsid w:val="00CA4FAE"/>
    <w:rsid w:val="00CA68D2"/>
    <w:rsid w:val="00CB0784"/>
    <w:rsid w:val="00CB2253"/>
    <w:rsid w:val="00CC4512"/>
    <w:rsid w:val="00CD0EC9"/>
    <w:rsid w:val="00CD1F77"/>
    <w:rsid w:val="00CE260C"/>
    <w:rsid w:val="00CF5C6D"/>
    <w:rsid w:val="00D03C0E"/>
    <w:rsid w:val="00D07300"/>
    <w:rsid w:val="00D1414D"/>
    <w:rsid w:val="00D2294E"/>
    <w:rsid w:val="00D240DB"/>
    <w:rsid w:val="00D25A4C"/>
    <w:rsid w:val="00D51B3F"/>
    <w:rsid w:val="00D72EA5"/>
    <w:rsid w:val="00D75091"/>
    <w:rsid w:val="00D944F1"/>
    <w:rsid w:val="00DA05FD"/>
    <w:rsid w:val="00DB16BC"/>
    <w:rsid w:val="00DC1186"/>
    <w:rsid w:val="00DC739D"/>
    <w:rsid w:val="00DD4D6C"/>
    <w:rsid w:val="00E163BE"/>
    <w:rsid w:val="00E268E8"/>
    <w:rsid w:val="00E401D6"/>
    <w:rsid w:val="00E53EFD"/>
    <w:rsid w:val="00E548B9"/>
    <w:rsid w:val="00E56C9E"/>
    <w:rsid w:val="00E609D6"/>
    <w:rsid w:val="00E65F54"/>
    <w:rsid w:val="00E824B6"/>
    <w:rsid w:val="00E84C01"/>
    <w:rsid w:val="00E97A9C"/>
    <w:rsid w:val="00EA2ACF"/>
    <w:rsid w:val="00EA3408"/>
    <w:rsid w:val="00EA4007"/>
    <w:rsid w:val="00EC187B"/>
    <w:rsid w:val="00EC3471"/>
    <w:rsid w:val="00EE67BB"/>
    <w:rsid w:val="00EE775C"/>
    <w:rsid w:val="00EF0CAF"/>
    <w:rsid w:val="00EF4A78"/>
    <w:rsid w:val="00F1328E"/>
    <w:rsid w:val="00F3259B"/>
    <w:rsid w:val="00F3585F"/>
    <w:rsid w:val="00F47C29"/>
    <w:rsid w:val="00F52489"/>
    <w:rsid w:val="00F54EE6"/>
    <w:rsid w:val="00F61A39"/>
    <w:rsid w:val="00F762E4"/>
    <w:rsid w:val="00FA1FC9"/>
    <w:rsid w:val="00FA2CBB"/>
    <w:rsid w:val="00FA31A9"/>
    <w:rsid w:val="00FA41F4"/>
    <w:rsid w:val="00FB6385"/>
    <w:rsid w:val="00FD1DF7"/>
    <w:rsid w:val="00FE4221"/>
    <w:rsid w:val="00FE7D91"/>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067">
      <w:bodyDiv w:val="1"/>
      <w:marLeft w:val="0"/>
      <w:marRight w:val="0"/>
      <w:marTop w:val="0"/>
      <w:marBottom w:val="0"/>
      <w:divBdr>
        <w:top w:val="none" w:sz="0" w:space="0" w:color="auto"/>
        <w:left w:val="none" w:sz="0" w:space="0" w:color="auto"/>
        <w:bottom w:val="none" w:sz="0" w:space="0" w:color="auto"/>
        <w:right w:val="none" w:sz="0" w:space="0" w:color="auto"/>
      </w:divBdr>
    </w:div>
    <w:div w:id="291987573">
      <w:bodyDiv w:val="1"/>
      <w:marLeft w:val="0"/>
      <w:marRight w:val="0"/>
      <w:marTop w:val="0"/>
      <w:marBottom w:val="0"/>
      <w:divBdr>
        <w:top w:val="none" w:sz="0" w:space="0" w:color="auto"/>
        <w:left w:val="none" w:sz="0" w:space="0" w:color="auto"/>
        <w:bottom w:val="none" w:sz="0" w:space="0" w:color="auto"/>
        <w:right w:val="none" w:sz="0" w:space="0" w:color="auto"/>
      </w:divBdr>
    </w:div>
    <w:div w:id="747265742">
      <w:bodyDiv w:val="1"/>
      <w:marLeft w:val="0"/>
      <w:marRight w:val="0"/>
      <w:marTop w:val="0"/>
      <w:marBottom w:val="0"/>
      <w:divBdr>
        <w:top w:val="none" w:sz="0" w:space="0" w:color="auto"/>
        <w:left w:val="none" w:sz="0" w:space="0" w:color="auto"/>
        <w:bottom w:val="none" w:sz="0" w:space="0" w:color="auto"/>
        <w:right w:val="none" w:sz="0" w:space="0" w:color="auto"/>
      </w:divBdr>
    </w:div>
    <w:div w:id="799810490">
      <w:bodyDiv w:val="1"/>
      <w:marLeft w:val="0"/>
      <w:marRight w:val="0"/>
      <w:marTop w:val="0"/>
      <w:marBottom w:val="0"/>
      <w:divBdr>
        <w:top w:val="none" w:sz="0" w:space="0" w:color="auto"/>
        <w:left w:val="none" w:sz="0" w:space="0" w:color="auto"/>
        <w:bottom w:val="none" w:sz="0" w:space="0" w:color="auto"/>
        <w:right w:val="none" w:sz="0" w:space="0" w:color="auto"/>
      </w:divBdr>
    </w:div>
    <w:div w:id="1081373023">
      <w:bodyDiv w:val="1"/>
      <w:marLeft w:val="0"/>
      <w:marRight w:val="0"/>
      <w:marTop w:val="0"/>
      <w:marBottom w:val="0"/>
      <w:divBdr>
        <w:top w:val="none" w:sz="0" w:space="0" w:color="auto"/>
        <w:left w:val="none" w:sz="0" w:space="0" w:color="auto"/>
        <w:bottom w:val="none" w:sz="0" w:space="0" w:color="auto"/>
        <w:right w:val="none" w:sz="0" w:space="0" w:color="auto"/>
      </w:divBdr>
    </w:div>
    <w:div w:id="1242376873">
      <w:bodyDiv w:val="1"/>
      <w:marLeft w:val="0"/>
      <w:marRight w:val="0"/>
      <w:marTop w:val="0"/>
      <w:marBottom w:val="0"/>
      <w:divBdr>
        <w:top w:val="none" w:sz="0" w:space="0" w:color="auto"/>
        <w:left w:val="none" w:sz="0" w:space="0" w:color="auto"/>
        <w:bottom w:val="none" w:sz="0" w:space="0" w:color="auto"/>
        <w:right w:val="none" w:sz="0" w:space="0" w:color="auto"/>
      </w:divBdr>
    </w:div>
    <w:div w:id="1587811625">
      <w:bodyDiv w:val="1"/>
      <w:marLeft w:val="0"/>
      <w:marRight w:val="0"/>
      <w:marTop w:val="0"/>
      <w:marBottom w:val="0"/>
      <w:divBdr>
        <w:top w:val="none" w:sz="0" w:space="0" w:color="auto"/>
        <w:left w:val="none" w:sz="0" w:space="0" w:color="auto"/>
        <w:bottom w:val="none" w:sz="0" w:space="0" w:color="auto"/>
        <w:right w:val="none" w:sz="0" w:space="0" w:color="auto"/>
      </w:divBdr>
    </w:div>
    <w:div w:id="19271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JQNmhTwjDf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efgm.org/" TargetMode="External"/><Relationship Id="rId17" Type="http://schemas.openxmlformats.org/officeDocument/2006/relationships/hyperlink" Target="mailto:ccosentino@endfgm.eu" TargetMode="External"/><Relationship Id="rId2" Type="http://schemas.openxmlformats.org/officeDocument/2006/relationships/customXml" Target="../customXml/item2.xml"/><Relationship Id="rId16" Type="http://schemas.openxmlformats.org/officeDocument/2006/relationships/hyperlink" Target="mailto:ccosentino@endfgm.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5" Type="http://schemas.openxmlformats.org/officeDocument/2006/relationships/hyperlink" Target="https://www.endfgm.eu/news-en-events/news/covid-19-and-fgm-an-end-fgm-eu-survey-on-the-pandemic-impact-on-women-girls-and-organis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dfgm.eu/news-en-events/news/covid-19-and-fgm-an-end-fgm-eu-survey-on-the-pandemic-impact-on-women-girls-and-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4"/>
    <ds:schemaRef ds:uri="565721b6-94e1-453f-b282-d0853890bbb4"/>
  </ds:schemaRefs>
</ds:datastoreItem>
</file>

<file path=customXml/itemProps3.xml><?xml version="1.0" encoding="utf-8"?>
<ds:datastoreItem xmlns:ds="http://schemas.openxmlformats.org/officeDocument/2006/customXml" ds:itemID="{3B26F87D-8AB5-4EB5-9958-00B5371F3BEE}"/>
</file>

<file path=customXml/itemProps4.xml><?xml version="1.0" encoding="utf-8"?>
<ds:datastoreItem xmlns:ds="http://schemas.openxmlformats.org/officeDocument/2006/customXml" ds:itemID="{7ED2741F-3023-4A04-A395-33A095D2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3352</Words>
  <Characters>19113</Characters>
  <Application>Microsoft Office Word</Application>
  <DocSecurity>0</DocSecurity>
  <Lines>159</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Fatima Awil</cp:lastModifiedBy>
  <cp:revision>4</cp:revision>
  <dcterms:created xsi:type="dcterms:W3CDTF">2020-08-31T15:37:00Z</dcterms:created>
  <dcterms:modified xsi:type="dcterms:W3CDTF">2020-08-31T15:38:00Z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