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7A06" w14:textId="322B13FF" w:rsidR="00D472AF" w:rsidRPr="00A74F76" w:rsidRDefault="00D472AF" w:rsidP="00E30A73">
      <w:pPr>
        <w:pStyle w:val="part"/>
        <w:spacing w:before="0" w:beforeAutospacing="0" w:after="0" w:afterAutospacing="0"/>
        <w:jc w:val="both"/>
        <w:rPr>
          <w:rFonts w:ascii="Gilroy" w:hAnsi="Gilroy" w:cs="Segoe UI"/>
          <w:color w:val="000000" w:themeColor="text1"/>
          <w:spacing w:val="5"/>
          <w:sz w:val="22"/>
          <w:szCs w:val="22"/>
        </w:rPr>
      </w:pPr>
    </w:p>
    <w:p w14:paraId="1BE9673E" w14:textId="77777777" w:rsidR="00E30A73" w:rsidRPr="00A74F76" w:rsidRDefault="00E30A73" w:rsidP="00E30A73">
      <w:pPr>
        <w:pStyle w:val="part"/>
        <w:spacing w:before="0" w:beforeAutospacing="0" w:after="0" w:afterAutospacing="0"/>
        <w:jc w:val="right"/>
        <w:rPr>
          <w:rFonts w:ascii="Gilroy" w:hAnsi="Gilroy" w:cs="Segoe UI"/>
          <w:color w:val="000000" w:themeColor="text1"/>
          <w:spacing w:val="5"/>
          <w:sz w:val="22"/>
          <w:szCs w:val="22"/>
        </w:rPr>
      </w:pPr>
    </w:p>
    <w:p w14:paraId="08B09D5C" w14:textId="77777777" w:rsidR="00C9141C" w:rsidRPr="00A74F76" w:rsidRDefault="00C9141C" w:rsidP="00C9141C">
      <w:pPr>
        <w:pStyle w:val="part"/>
        <w:spacing w:before="0" w:beforeAutospacing="0" w:after="0" w:afterAutospacing="0"/>
        <w:jc w:val="right"/>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September 2020</w:t>
      </w:r>
    </w:p>
    <w:p w14:paraId="7A918AC4" w14:textId="77777777" w:rsidR="00C9141C" w:rsidRPr="00A74F76" w:rsidRDefault="00C9141C" w:rsidP="00C9141C">
      <w:pPr>
        <w:pStyle w:val="part"/>
        <w:spacing w:before="0" w:beforeAutospacing="0" w:after="0" w:afterAutospacing="0"/>
        <w:jc w:val="both"/>
        <w:rPr>
          <w:rFonts w:ascii="Gilroy" w:hAnsi="Gilroy" w:cs="Segoe UI"/>
          <w:color w:val="000000" w:themeColor="text1"/>
          <w:spacing w:val="5"/>
          <w:sz w:val="22"/>
          <w:szCs w:val="22"/>
        </w:rPr>
      </w:pPr>
    </w:p>
    <w:p w14:paraId="3C8571D2" w14:textId="77777777" w:rsidR="00C9141C" w:rsidRPr="00A74F76" w:rsidRDefault="00C9141C" w:rsidP="00C9141C">
      <w:pPr>
        <w:pStyle w:val="part"/>
        <w:spacing w:before="0" w:beforeAutospacing="0" w:after="0" w:afterAutospacing="0"/>
        <w:jc w:val="both"/>
        <w:rPr>
          <w:rFonts w:ascii="Gilroy" w:hAnsi="Gilroy" w:cs="Segoe UI"/>
          <w:color w:val="000000" w:themeColor="text1"/>
          <w:spacing w:val="5"/>
          <w:sz w:val="22"/>
          <w:szCs w:val="22"/>
        </w:rPr>
      </w:pPr>
    </w:p>
    <w:p w14:paraId="666C5F6D" w14:textId="77777777" w:rsidR="00C9141C" w:rsidRPr="00992061" w:rsidRDefault="00C9141C" w:rsidP="00992061">
      <w:pPr>
        <w:jc w:val="both"/>
        <w:rPr>
          <w:rFonts w:ascii="Gilroy" w:hAnsi="Gilroy"/>
          <w:sz w:val="22"/>
          <w:szCs w:val="22"/>
        </w:rPr>
      </w:pPr>
      <w:r w:rsidRPr="00992061">
        <w:rPr>
          <w:rFonts w:ascii="Gilroy" w:hAnsi="Gilroy"/>
          <w:b/>
          <w:bCs/>
          <w:spacing w:val="5"/>
          <w:sz w:val="22"/>
          <w:szCs w:val="22"/>
        </w:rPr>
        <w:t>Privacy International’s submission on w</w:t>
      </w:r>
      <w:r w:rsidRPr="00992061">
        <w:rPr>
          <w:rFonts w:ascii="Gilroy" w:hAnsi="Gilroy"/>
          <w:b/>
          <w:bCs/>
          <w:sz w:val="22"/>
          <w:szCs w:val="22"/>
        </w:rPr>
        <w:t>omen’s and girls’ sexual and reproductive health and rights in situations of crisis</w:t>
      </w:r>
    </w:p>
    <w:p w14:paraId="6695C624" w14:textId="77777777" w:rsidR="00C9141C" w:rsidRPr="00A74F76" w:rsidRDefault="00C9141C" w:rsidP="00C9141C">
      <w:pPr>
        <w:pStyle w:val="Heading2"/>
        <w:spacing w:before="0" w:beforeAutospacing="0" w:after="0" w:afterAutospacing="0"/>
        <w:jc w:val="both"/>
        <w:rPr>
          <w:rFonts w:ascii="Gilroy" w:hAnsi="Gilroy" w:cstheme="minorHAnsi"/>
          <w:color w:val="000000" w:themeColor="text1"/>
          <w:sz w:val="22"/>
          <w:szCs w:val="22"/>
        </w:rPr>
      </w:pPr>
    </w:p>
    <w:p w14:paraId="1ADF4259" w14:textId="1CC339C9" w:rsidR="00C9141C" w:rsidRPr="00A74F76" w:rsidRDefault="00C9141C" w:rsidP="00C9141C">
      <w:pPr>
        <w:pStyle w:val="part"/>
        <w:spacing w:before="0" w:beforeAutospacing="0" w:after="0" w:afterAutospacing="0"/>
        <w:jc w:val="both"/>
        <w:rPr>
          <w:rFonts w:ascii="Gilroy" w:hAnsi="Gilroy"/>
          <w:bCs/>
          <w:color w:val="000000" w:themeColor="text1"/>
          <w:sz w:val="22"/>
          <w:szCs w:val="22"/>
          <w:lang w:bidi="en-US"/>
        </w:rPr>
      </w:pPr>
      <w:r w:rsidRPr="00A74F76">
        <w:rPr>
          <w:rFonts w:ascii="Gilroy" w:hAnsi="Gilroy"/>
          <w:bCs/>
          <w:color w:val="000000" w:themeColor="text1"/>
          <w:sz w:val="22"/>
          <w:szCs w:val="22"/>
          <w:lang w:bidi="en-US"/>
        </w:rPr>
        <w:t>Privacy International (PI)</w:t>
      </w:r>
      <w:r w:rsidR="0032042E" w:rsidRPr="00A74F76">
        <w:rPr>
          <w:rStyle w:val="FootnoteReference"/>
          <w:rFonts w:ascii="Gilroy" w:hAnsi="Gilroy"/>
          <w:bCs/>
          <w:color w:val="000000" w:themeColor="text1"/>
          <w:sz w:val="22"/>
          <w:szCs w:val="22"/>
          <w:lang w:bidi="en-US"/>
        </w:rPr>
        <w:footnoteReference w:id="1"/>
      </w:r>
      <w:r w:rsidRPr="00A74F76">
        <w:rPr>
          <w:rFonts w:ascii="Gilroy" w:hAnsi="Gilroy"/>
          <w:bCs/>
          <w:color w:val="000000" w:themeColor="text1"/>
          <w:sz w:val="22"/>
          <w:szCs w:val="22"/>
          <w:lang w:bidi="en-US"/>
        </w:rPr>
        <w:t xml:space="preserve"> welcomes the call of</w:t>
      </w:r>
      <w:r w:rsidRPr="00A74F76">
        <w:rPr>
          <w:rFonts w:ascii="Gilroy" w:hAnsi="Gilroy"/>
          <w:color w:val="000000" w:themeColor="text1"/>
          <w:sz w:val="22"/>
          <w:szCs w:val="22"/>
        </w:rPr>
        <w:t xml:space="preserve"> the UN </w:t>
      </w:r>
      <w:r w:rsidRPr="00A74F76">
        <w:rPr>
          <w:rFonts w:ascii="Gilroy" w:hAnsi="Gilroy"/>
          <w:bCs/>
          <w:color w:val="000000" w:themeColor="text1"/>
          <w:sz w:val="22"/>
          <w:szCs w:val="22"/>
          <w:lang w:bidi="en-US"/>
        </w:rPr>
        <w:t>Working Group on discrimination against women and girls regarding the “women’s and girls’ sexual and reproductive health and rights in situations of crisis” to inform the Working Group’s thematic report to the</w:t>
      </w:r>
      <w:r w:rsidR="0096710B" w:rsidRPr="00A74F76">
        <w:rPr>
          <w:rFonts w:ascii="Gilroy" w:hAnsi="Gilroy"/>
          <w:bCs/>
          <w:color w:val="000000" w:themeColor="text1"/>
          <w:sz w:val="22"/>
          <w:szCs w:val="22"/>
          <w:lang w:bidi="en-US"/>
        </w:rPr>
        <w:t xml:space="preserve"> </w:t>
      </w:r>
      <w:r w:rsidRPr="00A74F76">
        <w:rPr>
          <w:rFonts w:ascii="Gilroy" w:hAnsi="Gilroy"/>
          <w:bCs/>
          <w:color w:val="000000" w:themeColor="text1"/>
          <w:sz w:val="22"/>
          <w:szCs w:val="22"/>
          <w:lang w:bidi="en-US"/>
        </w:rPr>
        <w:t>47th session of the UN Human Rights Council in June 2021.</w:t>
      </w:r>
      <w:r w:rsidRPr="00A74F76">
        <w:rPr>
          <w:rStyle w:val="FootnoteReference"/>
          <w:rFonts w:ascii="Gilroy" w:hAnsi="Gilroy"/>
          <w:bCs/>
          <w:color w:val="000000" w:themeColor="text1"/>
          <w:sz w:val="22"/>
          <w:szCs w:val="22"/>
          <w:lang w:bidi="en-US"/>
        </w:rPr>
        <w:footnoteReference w:id="2"/>
      </w:r>
    </w:p>
    <w:p w14:paraId="0201200F" w14:textId="77777777" w:rsidR="00C9141C" w:rsidRPr="00A74F76" w:rsidRDefault="00C9141C" w:rsidP="00C9141C">
      <w:pPr>
        <w:pStyle w:val="part"/>
        <w:spacing w:before="0" w:beforeAutospacing="0" w:after="0" w:afterAutospacing="0"/>
        <w:jc w:val="both"/>
        <w:rPr>
          <w:rFonts w:ascii="Gilroy" w:hAnsi="Gilroy"/>
          <w:bCs/>
          <w:color w:val="000000" w:themeColor="text1"/>
          <w:sz w:val="22"/>
          <w:szCs w:val="22"/>
          <w:lang w:bidi="en-US"/>
        </w:rPr>
      </w:pPr>
    </w:p>
    <w:p w14:paraId="62238265" w14:textId="3237A9EA" w:rsidR="00E30A73" w:rsidRPr="00A74F76" w:rsidRDefault="00C9141C" w:rsidP="00C9141C">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olor w:val="000000" w:themeColor="text1"/>
          <w:sz w:val="22"/>
          <w:szCs w:val="22"/>
        </w:rPr>
        <w:t>The issues highlighted in the call for submissions are ones that PI</w:t>
      </w:r>
      <w:r w:rsidR="00BA3CAF" w:rsidRPr="00A74F76">
        <w:rPr>
          <w:rFonts w:ascii="Gilroy" w:hAnsi="Gilroy"/>
          <w:color w:val="000000" w:themeColor="text1"/>
          <w:sz w:val="22"/>
          <w:szCs w:val="22"/>
        </w:rPr>
        <w:t xml:space="preserve"> with its </w:t>
      </w:r>
      <w:r w:rsidR="00E0622C" w:rsidRPr="00A74F76">
        <w:rPr>
          <w:rFonts w:ascii="Gilroy" w:hAnsi="Gilroy"/>
          <w:color w:val="000000" w:themeColor="text1"/>
          <w:sz w:val="22"/>
          <w:szCs w:val="22"/>
        </w:rPr>
        <w:t xml:space="preserve">global network of </w:t>
      </w:r>
      <w:r w:rsidR="00BA3CAF" w:rsidRPr="00A74F76">
        <w:rPr>
          <w:rFonts w:ascii="Gilroy" w:hAnsi="Gilroy"/>
          <w:color w:val="000000" w:themeColor="text1"/>
          <w:sz w:val="22"/>
          <w:szCs w:val="22"/>
        </w:rPr>
        <w:t>partners</w:t>
      </w:r>
      <w:r w:rsidR="00E0622C" w:rsidRPr="00A74F76">
        <w:rPr>
          <w:rStyle w:val="FootnoteReference"/>
          <w:rFonts w:ascii="Gilroy" w:hAnsi="Gilroy"/>
          <w:color w:val="000000" w:themeColor="text1"/>
          <w:sz w:val="22"/>
          <w:szCs w:val="22"/>
        </w:rPr>
        <w:footnoteReference w:id="3"/>
      </w:r>
      <w:r w:rsidRPr="00A74F76">
        <w:rPr>
          <w:rFonts w:ascii="Gilroy" w:hAnsi="Gilroy"/>
          <w:color w:val="000000" w:themeColor="text1"/>
          <w:sz w:val="22"/>
          <w:szCs w:val="22"/>
        </w:rPr>
        <w:t xml:space="preserve"> has been investigating, reporting and monitoring </w:t>
      </w:r>
      <w:r w:rsidR="00E0622C" w:rsidRPr="00A74F76">
        <w:rPr>
          <w:rFonts w:ascii="Gilroy" w:hAnsi="Gilroy"/>
          <w:color w:val="000000" w:themeColor="text1"/>
          <w:sz w:val="22"/>
          <w:szCs w:val="22"/>
        </w:rPr>
        <w:t>on</w:t>
      </w:r>
      <w:r w:rsidRPr="00A74F76">
        <w:rPr>
          <w:rFonts w:ascii="Gilroy" w:hAnsi="Gilroy"/>
          <w:color w:val="000000" w:themeColor="text1"/>
          <w:sz w:val="22"/>
          <w:szCs w:val="22"/>
        </w:rPr>
        <w:t xml:space="preserve"> </w:t>
      </w:r>
      <w:r w:rsidR="00E0622C" w:rsidRPr="00A74F76">
        <w:rPr>
          <w:rFonts w:ascii="Gilroy" w:hAnsi="Gilroy"/>
          <w:color w:val="000000" w:themeColor="text1"/>
          <w:sz w:val="22"/>
          <w:szCs w:val="22"/>
        </w:rPr>
        <w:t>forms of data exploitation strategies targeted at women</w:t>
      </w:r>
      <w:r w:rsidR="00E0622C" w:rsidRPr="00A74F76">
        <w:rPr>
          <w:rStyle w:val="FootnoteReference"/>
          <w:rFonts w:ascii="Gilroy" w:hAnsi="Gilroy"/>
          <w:color w:val="000000" w:themeColor="text1"/>
          <w:sz w:val="22"/>
          <w:szCs w:val="22"/>
        </w:rPr>
        <w:footnoteReference w:id="4"/>
      </w:r>
      <w:r w:rsidR="00E0622C" w:rsidRPr="00A74F76">
        <w:rPr>
          <w:rFonts w:ascii="Gilroy" w:hAnsi="Gilroy"/>
          <w:color w:val="000000" w:themeColor="text1"/>
          <w:sz w:val="22"/>
          <w:szCs w:val="22"/>
        </w:rPr>
        <w:t xml:space="preserve"> in the reproductive health sphere</w:t>
      </w:r>
      <w:r w:rsidR="00E0622C" w:rsidRPr="00A74F76">
        <w:rPr>
          <w:rStyle w:val="FootnoteReference"/>
          <w:rFonts w:ascii="Gilroy" w:hAnsi="Gilroy"/>
          <w:color w:val="000000" w:themeColor="text1"/>
          <w:sz w:val="22"/>
          <w:szCs w:val="22"/>
        </w:rPr>
        <w:footnoteReference w:id="5"/>
      </w:r>
      <w:r w:rsidR="00E0622C" w:rsidRPr="00A74F76">
        <w:rPr>
          <w:rFonts w:ascii="Gilroy" w:hAnsi="Gilroy"/>
          <w:color w:val="000000" w:themeColor="text1"/>
          <w:sz w:val="22"/>
          <w:szCs w:val="22"/>
        </w:rPr>
        <w:t>, the intersection between gender and privacy, as well as gendered impacts of emerging forms of technology, and the importance of privacy in the healthcare context.  T</w:t>
      </w:r>
      <w:r w:rsidR="00E30A73" w:rsidRPr="00A74F76">
        <w:rPr>
          <w:rFonts w:ascii="Gilroy" w:hAnsi="Gilroy" w:cs="Segoe UI"/>
          <w:color w:val="000000" w:themeColor="text1"/>
          <w:spacing w:val="5"/>
          <w:sz w:val="22"/>
          <w:szCs w:val="22"/>
        </w:rPr>
        <w:t xml:space="preserve">his submission is intended to serve as a global overview of the challenges PI has identified in terms of accessing sexual and reproductive health services. </w:t>
      </w:r>
    </w:p>
    <w:p w14:paraId="2F725E84" w14:textId="51A0B236" w:rsidR="00241058" w:rsidRPr="00A74F76" w:rsidRDefault="00241058" w:rsidP="00C9141C">
      <w:pPr>
        <w:pStyle w:val="part"/>
        <w:spacing w:before="0" w:beforeAutospacing="0" w:after="0" w:afterAutospacing="0"/>
        <w:jc w:val="both"/>
        <w:rPr>
          <w:rFonts w:ascii="Gilroy" w:hAnsi="Gilroy" w:cs="Segoe UI"/>
          <w:color w:val="000000" w:themeColor="text1"/>
          <w:spacing w:val="5"/>
          <w:sz w:val="22"/>
          <w:szCs w:val="22"/>
        </w:rPr>
      </w:pPr>
    </w:p>
    <w:p w14:paraId="18D029C1" w14:textId="77777777" w:rsidR="00241058" w:rsidRPr="00A74F76" w:rsidRDefault="00241058" w:rsidP="00241058">
      <w:pPr>
        <w:jc w:val="both"/>
        <w:rPr>
          <w:rFonts w:ascii="Gilroy" w:hAnsi="Gilroy"/>
          <w:color w:val="000000" w:themeColor="text1"/>
          <w:sz w:val="22"/>
          <w:szCs w:val="22"/>
        </w:rPr>
      </w:pPr>
      <w:r w:rsidRPr="00A74F76">
        <w:rPr>
          <w:rFonts w:ascii="Gilroy" w:hAnsi="Gilroy"/>
          <w:color w:val="000000" w:themeColor="text1"/>
          <w:sz w:val="22"/>
          <w:szCs w:val="22"/>
        </w:rPr>
        <w:t xml:space="preserve">In particular the following submission provides information on: </w:t>
      </w:r>
    </w:p>
    <w:p w14:paraId="04DE802C" w14:textId="77777777" w:rsidR="00241058" w:rsidRPr="00A74F76" w:rsidRDefault="00241058" w:rsidP="00992061">
      <w:pPr>
        <w:pStyle w:val="ListParagraph"/>
        <w:numPr>
          <w:ilvl w:val="0"/>
          <w:numId w:val="23"/>
        </w:numPr>
        <w:jc w:val="both"/>
        <w:rPr>
          <w:rFonts w:ascii="Gilroy" w:hAnsi="Gilroy"/>
          <w:color w:val="000000" w:themeColor="text1"/>
          <w:sz w:val="22"/>
          <w:szCs w:val="22"/>
        </w:rPr>
      </w:pPr>
      <w:r w:rsidRPr="00A74F76">
        <w:rPr>
          <w:rFonts w:ascii="Gilroy" w:hAnsi="Gilroy"/>
          <w:color w:val="000000" w:themeColor="text1"/>
          <w:sz w:val="22"/>
          <w:szCs w:val="22"/>
        </w:rPr>
        <w:t xml:space="preserve">the obstacles faced by women in </w:t>
      </w:r>
      <w:r w:rsidRPr="00A74F76">
        <w:rPr>
          <w:rFonts w:ascii="Gilroy" w:hAnsi="Gilroy" w:cs="Segoe UI"/>
          <w:color w:val="000000" w:themeColor="text1"/>
          <w:spacing w:val="5"/>
          <w:sz w:val="22"/>
          <w:szCs w:val="22"/>
        </w:rPr>
        <w:t xml:space="preserve">accessing non-biased and scientifically accurate information about sexual and reproductive health topics and services; </w:t>
      </w:r>
    </w:p>
    <w:p w14:paraId="66E7CE28" w14:textId="33CA3504" w:rsidR="00241058" w:rsidRPr="00A74F76" w:rsidRDefault="00241058" w:rsidP="00992061">
      <w:pPr>
        <w:pStyle w:val="ListParagraph"/>
        <w:numPr>
          <w:ilvl w:val="0"/>
          <w:numId w:val="23"/>
        </w:numPr>
        <w:jc w:val="both"/>
        <w:rPr>
          <w:rFonts w:ascii="Gilroy" w:hAnsi="Gilroy"/>
          <w:color w:val="000000" w:themeColor="text1"/>
          <w:sz w:val="22"/>
          <w:szCs w:val="22"/>
        </w:rPr>
      </w:pPr>
      <w:r w:rsidRPr="00A74F76">
        <w:rPr>
          <w:rFonts w:ascii="Gilroy" w:hAnsi="Gilroy" w:cs="Segoe UI"/>
          <w:color w:val="000000" w:themeColor="text1"/>
          <w:spacing w:val="5"/>
          <w:sz w:val="22"/>
          <w:szCs w:val="22"/>
        </w:rPr>
        <w:t xml:space="preserve">the specific challenges posed by menstruation apps in light of their popularity and the intimate nature of information involved; </w:t>
      </w:r>
    </w:p>
    <w:p w14:paraId="65DCBAE2" w14:textId="77777777" w:rsidR="00241058" w:rsidRPr="00A74F76" w:rsidRDefault="00241058" w:rsidP="00992061">
      <w:pPr>
        <w:pStyle w:val="ListParagraph"/>
        <w:numPr>
          <w:ilvl w:val="0"/>
          <w:numId w:val="23"/>
        </w:numPr>
        <w:jc w:val="both"/>
        <w:rPr>
          <w:rFonts w:ascii="Gilroy" w:hAnsi="Gilroy"/>
          <w:color w:val="000000" w:themeColor="text1"/>
          <w:sz w:val="22"/>
          <w:szCs w:val="22"/>
        </w:rPr>
      </w:pPr>
      <w:r w:rsidRPr="00A74F76">
        <w:rPr>
          <w:rFonts w:ascii="Gilroy" w:hAnsi="Gilroy"/>
          <w:color w:val="000000" w:themeColor="text1"/>
          <w:sz w:val="22"/>
          <w:szCs w:val="22"/>
        </w:rPr>
        <w:t xml:space="preserve">the different issues concerning safe abortion care; </w:t>
      </w:r>
    </w:p>
    <w:p w14:paraId="5FFA4E96" w14:textId="77777777" w:rsidR="00241058" w:rsidRPr="00A74F76" w:rsidRDefault="00241058" w:rsidP="00992061">
      <w:pPr>
        <w:pStyle w:val="ListParagraph"/>
        <w:numPr>
          <w:ilvl w:val="0"/>
          <w:numId w:val="23"/>
        </w:numPr>
        <w:jc w:val="both"/>
        <w:rPr>
          <w:rFonts w:ascii="Gilroy" w:hAnsi="Gilroy"/>
          <w:color w:val="000000" w:themeColor="text1"/>
          <w:sz w:val="22"/>
          <w:szCs w:val="22"/>
        </w:rPr>
      </w:pPr>
      <w:r w:rsidRPr="00A74F76">
        <w:rPr>
          <w:rFonts w:ascii="Gilroy" w:hAnsi="Gilroy"/>
          <w:color w:val="000000" w:themeColor="text1"/>
          <w:sz w:val="22"/>
          <w:szCs w:val="22"/>
        </w:rPr>
        <w:t xml:space="preserve">the challenges arising from the digitalisation of public health services; and finally, </w:t>
      </w:r>
    </w:p>
    <w:p w14:paraId="20A5AC35" w14:textId="6F60A2FB" w:rsidR="00241058" w:rsidRDefault="00241058" w:rsidP="00992061">
      <w:pPr>
        <w:pStyle w:val="ListParagraph"/>
        <w:numPr>
          <w:ilvl w:val="0"/>
          <w:numId w:val="23"/>
        </w:numPr>
        <w:jc w:val="both"/>
        <w:rPr>
          <w:rFonts w:ascii="Gilroy" w:hAnsi="Gilroy"/>
          <w:color w:val="000000" w:themeColor="text1"/>
          <w:sz w:val="22"/>
          <w:szCs w:val="22"/>
        </w:rPr>
      </w:pPr>
      <w:r w:rsidRPr="00A74F76">
        <w:rPr>
          <w:rFonts w:ascii="Gilroy" w:hAnsi="Gilroy"/>
          <w:color w:val="000000" w:themeColor="text1"/>
          <w:sz w:val="22"/>
          <w:szCs w:val="22"/>
        </w:rPr>
        <w:t>the disproportionate impact of obstacles previously identified in groups of women.</w:t>
      </w:r>
    </w:p>
    <w:p w14:paraId="695970CA" w14:textId="77777777" w:rsidR="00992061" w:rsidRPr="00A74F76" w:rsidRDefault="00992061" w:rsidP="00992061">
      <w:pPr>
        <w:pStyle w:val="ListParagraph"/>
        <w:jc w:val="both"/>
        <w:rPr>
          <w:rFonts w:ascii="Gilroy" w:hAnsi="Gilroy"/>
          <w:color w:val="000000" w:themeColor="text1"/>
          <w:sz w:val="22"/>
          <w:szCs w:val="22"/>
        </w:rPr>
      </w:pPr>
    </w:p>
    <w:p w14:paraId="0ECC2D52" w14:textId="77777777" w:rsidR="00241058" w:rsidRPr="00A74F76" w:rsidRDefault="00241058" w:rsidP="00241058">
      <w:pPr>
        <w:pStyle w:val="ListParagraph"/>
        <w:ind w:left="0"/>
        <w:jc w:val="both"/>
        <w:rPr>
          <w:rFonts w:ascii="Gilroy" w:hAnsi="Gilroy"/>
          <w:color w:val="000000" w:themeColor="text1"/>
          <w:sz w:val="22"/>
          <w:szCs w:val="22"/>
        </w:rPr>
      </w:pPr>
      <w:r w:rsidRPr="00A74F76">
        <w:rPr>
          <w:rFonts w:ascii="Gilroy" w:hAnsi="Gilroy"/>
          <w:color w:val="000000" w:themeColor="text1"/>
          <w:sz w:val="22"/>
          <w:szCs w:val="22"/>
        </w:rPr>
        <w:t>The issues highlighted in the following paragraphs are concerning at the best of times. However, all of them are exacerbated in times of crisis.</w:t>
      </w:r>
    </w:p>
    <w:p w14:paraId="1CE1ADAB" w14:textId="77777777" w:rsidR="00241058" w:rsidRPr="00A74F76" w:rsidRDefault="00241058" w:rsidP="00C9141C">
      <w:pPr>
        <w:pStyle w:val="part"/>
        <w:spacing w:before="0" w:beforeAutospacing="0" w:after="0" w:afterAutospacing="0"/>
        <w:jc w:val="both"/>
        <w:rPr>
          <w:rFonts w:ascii="Gilroy" w:hAnsi="Gilroy" w:cs="Segoe UI"/>
          <w:color w:val="000000" w:themeColor="text1"/>
          <w:spacing w:val="5"/>
          <w:sz w:val="22"/>
          <w:szCs w:val="22"/>
        </w:rPr>
      </w:pPr>
    </w:p>
    <w:p w14:paraId="49EAE2E8" w14:textId="77777777" w:rsidR="00C9141C" w:rsidRPr="00A74F76" w:rsidRDefault="00C9141C" w:rsidP="00C9141C">
      <w:pPr>
        <w:jc w:val="both"/>
        <w:rPr>
          <w:rFonts w:ascii="Gilroy" w:hAnsi="Gilroy"/>
          <w:color w:val="000000" w:themeColor="text1"/>
          <w:sz w:val="22"/>
          <w:szCs w:val="22"/>
        </w:rPr>
      </w:pPr>
    </w:p>
    <w:p w14:paraId="3CB91295" w14:textId="77777777" w:rsidR="00A74F76" w:rsidRPr="00A74F76" w:rsidRDefault="00A74F76" w:rsidP="00EC43E9">
      <w:pPr>
        <w:rPr>
          <w:rFonts w:ascii="Gilroy" w:hAnsi="Gilroy"/>
          <w:b/>
          <w:bCs/>
          <w:sz w:val="22"/>
          <w:szCs w:val="22"/>
        </w:rPr>
      </w:pPr>
    </w:p>
    <w:p w14:paraId="6F9DA3AD" w14:textId="57644507" w:rsidR="00817EE6" w:rsidRPr="00581B4D" w:rsidRDefault="00817EE6" w:rsidP="00581B4D">
      <w:pPr>
        <w:rPr>
          <w:rFonts w:ascii="Gilroy" w:hAnsi="Gilroy"/>
          <w:b/>
          <w:bCs/>
          <w:sz w:val="22"/>
          <w:szCs w:val="22"/>
        </w:rPr>
      </w:pPr>
      <w:r w:rsidRPr="00581B4D">
        <w:rPr>
          <w:rFonts w:ascii="Gilroy" w:hAnsi="Gilroy"/>
          <w:b/>
          <w:bCs/>
          <w:sz w:val="22"/>
          <w:szCs w:val="22"/>
        </w:rPr>
        <w:t>Recommendations</w:t>
      </w:r>
    </w:p>
    <w:p w14:paraId="0D9D23E7" w14:textId="77777777" w:rsidR="00817EE6" w:rsidRPr="00A74F76" w:rsidRDefault="00817EE6" w:rsidP="00817EE6">
      <w:pPr>
        <w:pStyle w:val="part"/>
        <w:spacing w:before="0" w:beforeAutospacing="0" w:after="0" w:afterAutospacing="0"/>
        <w:jc w:val="both"/>
        <w:rPr>
          <w:rFonts w:ascii="Gilroy" w:hAnsi="Gilroy" w:cs="Segoe UI"/>
          <w:color w:val="000000" w:themeColor="text1"/>
          <w:spacing w:val="5"/>
          <w:sz w:val="22"/>
          <w:szCs w:val="22"/>
        </w:rPr>
      </w:pPr>
    </w:p>
    <w:p w14:paraId="607718BA" w14:textId="13FF42DA" w:rsidR="00817EE6" w:rsidRPr="00A74F76" w:rsidRDefault="00817EE6" w:rsidP="00817EE6">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PI suggests the following main recommendations to be included in the recommendations by the UN Working Group: </w:t>
      </w:r>
    </w:p>
    <w:p w14:paraId="42B466D5" w14:textId="1DD9D7B7" w:rsidR="00016438" w:rsidRPr="00A74F76" w:rsidRDefault="00016438" w:rsidP="00817EE6">
      <w:pPr>
        <w:pStyle w:val="part"/>
        <w:spacing w:before="0" w:beforeAutospacing="0" w:after="0" w:afterAutospacing="0"/>
        <w:jc w:val="both"/>
        <w:rPr>
          <w:rFonts w:ascii="Gilroy" w:hAnsi="Gilroy" w:cs="Segoe UI"/>
          <w:color w:val="000000" w:themeColor="text1"/>
          <w:spacing w:val="5"/>
          <w:sz w:val="22"/>
          <w:szCs w:val="22"/>
        </w:rPr>
      </w:pPr>
    </w:p>
    <w:p w14:paraId="4A640FAE" w14:textId="2143CE33" w:rsidR="00016438" w:rsidRPr="00A74F76" w:rsidRDefault="00016438" w:rsidP="00817EE6">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Guaranteeing equal access to sexual and reproductive rights</w:t>
      </w:r>
    </w:p>
    <w:p w14:paraId="45FC3844" w14:textId="18EE1986" w:rsidR="000C42A3" w:rsidRPr="00A74F76" w:rsidRDefault="00CC02A3" w:rsidP="00241058">
      <w:pPr>
        <w:pStyle w:val="part"/>
        <w:numPr>
          <w:ilvl w:val="0"/>
          <w:numId w:val="14"/>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Recognise that </w:t>
      </w:r>
      <w:r w:rsidR="000C42A3" w:rsidRPr="00A74F76">
        <w:rPr>
          <w:rFonts w:ascii="Gilroy" w:hAnsi="Gilroy" w:cs="Segoe UI"/>
          <w:color w:val="000000" w:themeColor="text1"/>
          <w:spacing w:val="5"/>
          <w:sz w:val="22"/>
          <w:szCs w:val="22"/>
        </w:rPr>
        <w:t>sexual and reproductive rights are protected online, as well as offline</w:t>
      </w:r>
      <w:r w:rsidR="00241058" w:rsidRPr="00A74F76">
        <w:rPr>
          <w:rFonts w:ascii="Gilroy" w:hAnsi="Gilroy" w:cs="Segoe UI"/>
          <w:color w:val="000000" w:themeColor="text1"/>
          <w:spacing w:val="5"/>
          <w:sz w:val="22"/>
          <w:szCs w:val="22"/>
        </w:rPr>
        <w:t>, including in times of crisis</w:t>
      </w:r>
      <w:r w:rsidR="006C52AF" w:rsidRPr="00A74F76">
        <w:rPr>
          <w:rFonts w:ascii="Gilroy" w:hAnsi="Gilroy" w:cs="Segoe UI"/>
          <w:color w:val="000000" w:themeColor="text1"/>
          <w:spacing w:val="5"/>
          <w:sz w:val="22"/>
          <w:szCs w:val="22"/>
        </w:rPr>
        <w:t xml:space="preserve">. </w:t>
      </w:r>
    </w:p>
    <w:p w14:paraId="01F41152" w14:textId="41A7EF2C" w:rsidR="000C42A3" w:rsidRPr="00A74F76" w:rsidRDefault="006C52AF" w:rsidP="00581B4D">
      <w:pPr>
        <w:pStyle w:val="ListParagraph"/>
        <w:numPr>
          <w:ilvl w:val="0"/>
          <w:numId w:val="14"/>
        </w:numPr>
        <w:rPr>
          <w:rFonts w:ascii="Gilroy" w:hAnsi="Gilroy"/>
          <w:sz w:val="22"/>
          <w:szCs w:val="22"/>
        </w:rPr>
      </w:pPr>
      <w:r w:rsidRPr="00A74F76">
        <w:rPr>
          <w:rFonts w:ascii="Gilroy" w:hAnsi="Gilroy"/>
          <w:sz w:val="22"/>
          <w:szCs w:val="22"/>
        </w:rPr>
        <w:t xml:space="preserve">Stress that </w:t>
      </w:r>
      <w:r w:rsidR="000C42A3" w:rsidRPr="00A74F76">
        <w:rPr>
          <w:rFonts w:ascii="Gilroy" w:hAnsi="Gilroy"/>
          <w:sz w:val="22"/>
          <w:szCs w:val="22"/>
        </w:rPr>
        <w:t>all women are guaranteed equal access to sexual and reproductive services and information.</w:t>
      </w:r>
      <w:r w:rsidRPr="00A74F76">
        <w:rPr>
          <w:rFonts w:ascii="Gilroy" w:hAnsi="Gilroy"/>
          <w:sz w:val="22"/>
          <w:szCs w:val="22"/>
        </w:rPr>
        <w:t xml:space="preserve"> Any measures taken in response to a crisis</w:t>
      </w:r>
      <w:r w:rsidR="00581B4D">
        <w:rPr>
          <w:rFonts w:ascii="Gilroy" w:hAnsi="Gilroy"/>
          <w:sz w:val="22"/>
          <w:szCs w:val="22"/>
        </w:rPr>
        <w:t xml:space="preserve"> must</w:t>
      </w:r>
      <w:r w:rsidRPr="00A74F76">
        <w:rPr>
          <w:rFonts w:ascii="Gilroy" w:hAnsi="Gilroy"/>
          <w:sz w:val="22"/>
          <w:szCs w:val="22"/>
        </w:rPr>
        <w:t xml:space="preserve"> properly take into account the experiences of all women, in particular those who are disproportionately discriminated, excluded or otherwise victimised on account of their gender identity, race, and socioeconomic background</w:t>
      </w:r>
      <w:r w:rsidR="00241058" w:rsidRPr="00A74F76">
        <w:rPr>
          <w:rFonts w:ascii="Gilroy" w:hAnsi="Gilroy"/>
          <w:sz w:val="22"/>
          <w:szCs w:val="22"/>
        </w:rPr>
        <w:t>.</w:t>
      </w:r>
    </w:p>
    <w:p w14:paraId="3AE518C5" w14:textId="79E749CC" w:rsidR="000C42A3" w:rsidRPr="00A74F76" w:rsidRDefault="006C52AF" w:rsidP="000C42A3">
      <w:pPr>
        <w:pStyle w:val="ListParagraph"/>
        <w:numPr>
          <w:ilvl w:val="0"/>
          <w:numId w:val="14"/>
        </w:numPr>
        <w:rPr>
          <w:rFonts w:ascii="Gilroy" w:hAnsi="Gilroy"/>
          <w:sz w:val="22"/>
          <w:szCs w:val="22"/>
        </w:rPr>
      </w:pPr>
      <w:r w:rsidRPr="00A74F76">
        <w:rPr>
          <w:rFonts w:ascii="Gilroy" w:hAnsi="Gilroy"/>
          <w:sz w:val="22"/>
          <w:szCs w:val="22"/>
        </w:rPr>
        <w:t>Explicitly recognise that s</w:t>
      </w:r>
      <w:r w:rsidR="000C42A3" w:rsidRPr="00A74F76">
        <w:rPr>
          <w:rFonts w:ascii="Gilroy" w:hAnsi="Gilroy"/>
          <w:sz w:val="22"/>
          <w:szCs w:val="22"/>
        </w:rPr>
        <w:t xml:space="preserve">tates </w:t>
      </w:r>
      <w:r w:rsidRPr="00A74F76">
        <w:rPr>
          <w:rFonts w:ascii="Gilroy" w:hAnsi="Gilroy"/>
          <w:sz w:val="22"/>
          <w:szCs w:val="22"/>
        </w:rPr>
        <w:t>should</w:t>
      </w:r>
      <w:r w:rsidR="000C42A3" w:rsidRPr="00A74F76">
        <w:rPr>
          <w:rFonts w:ascii="Gilroy" w:hAnsi="Gilroy"/>
          <w:sz w:val="22"/>
          <w:szCs w:val="22"/>
        </w:rPr>
        <w:t xml:space="preserve"> ensure that all legal and practical obstacles to women accessing healthcare on equal footing are removed. </w:t>
      </w:r>
    </w:p>
    <w:p w14:paraId="6C585FBE" w14:textId="77777777" w:rsidR="000C42A3" w:rsidRPr="00A74F76" w:rsidRDefault="000C42A3" w:rsidP="00581B4D">
      <w:pPr>
        <w:rPr>
          <w:rFonts w:ascii="Gilroy" w:hAnsi="Gilroy"/>
          <w:sz w:val="22"/>
          <w:szCs w:val="22"/>
        </w:rPr>
      </w:pPr>
    </w:p>
    <w:p w14:paraId="40A908B1" w14:textId="58D707E4" w:rsidR="001E1D69" w:rsidRPr="00A74F76" w:rsidRDefault="001E1D69" w:rsidP="000C42A3">
      <w:pPr>
        <w:rPr>
          <w:rFonts w:ascii="Gilroy" w:hAnsi="Gilroy"/>
          <w:sz w:val="22"/>
          <w:szCs w:val="22"/>
        </w:rPr>
      </w:pPr>
      <w:r w:rsidRPr="00A74F76">
        <w:rPr>
          <w:rFonts w:ascii="Gilroy" w:hAnsi="Gilroy"/>
          <w:sz w:val="22"/>
          <w:szCs w:val="22"/>
        </w:rPr>
        <w:t>Availability of adequate healthcare services</w:t>
      </w:r>
    </w:p>
    <w:p w14:paraId="01EFC280" w14:textId="1ED13077" w:rsidR="001E1D69" w:rsidRPr="00A74F76" w:rsidRDefault="006C52AF" w:rsidP="00581B4D">
      <w:pPr>
        <w:pStyle w:val="part"/>
        <w:numPr>
          <w:ilvl w:val="0"/>
          <w:numId w:val="14"/>
        </w:numPr>
        <w:spacing w:before="0" w:beforeAutospacing="0" w:after="0" w:afterAutospacing="0"/>
        <w:jc w:val="both"/>
        <w:rPr>
          <w:rFonts w:ascii="Gilroy" w:hAnsi="Gilroy"/>
          <w:sz w:val="22"/>
          <w:szCs w:val="22"/>
        </w:rPr>
      </w:pPr>
      <w:r w:rsidRPr="00A74F76">
        <w:rPr>
          <w:rFonts w:ascii="Gilroy" w:hAnsi="Gilroy" w:cs="Segoe UI"/>
          <w:color w:val="000000" w:themeColor="text1"/>
          <w:spacing w:val="5"/>
          <w:sz w:val="22"/>
          <w:szCs w:val="22"/>
        </w:rPr>
        <w:t>Highlight that</w:t>
      </w:r>
      <w:r w:rsidR="001E1D69" w:rsidRPr="00A74F76">
        <w:rPr>
          <w:rFonts w:ascii="Gilroy" w:hAnsi="Gilroy" w:cs="Segoe UI"/>
          <w:color w:val="000000" w:themeColor="text1"/>
          <w:spacing w:val="5"/>
          <w:sz w:val="22"/>
          <w:szCs w:val="22"/>
        </w:rPr>
        <w:t xml:space="preserve"> appropriate legal frameworks </w:t>
      </w:r>
      <w:r w:rsidRPr="00A74F76">
        <w:rPr>
          <w:rFonts w:ascii="Gilroy" w:hAnsi="Gilroy" w:cs="Segoe UI"/>
          <w:color w:val="000000" w:themeColor="text1"/>
          <w:spacing w:val="5"/>
          <w:sz w:val="22"/>
          <w:szCs w:val="22"/>
        </w:rPr>
        <w:t>are needed</w:t>
      </w:r>
      <w:r w:rsidR="001E1D69" w:rsidRPr="00A74F76">
        <w:rPr>
          <w:rFonts w:ascii="Gilroy" w:hAnsi="Gilroy" w:cs="Segoe UI"/>
          <w:color w:val="000000" w:themeColor="text1"/>
          <w:spacing w:val="5"/>
          <w:sz w:val="22"/>
          <w:szCs w:val="22"/>
        </w:rPr>
        <w:t xml:space="preserve"> to ensure women can have safe access</w:t>
      </w:r>
      <w:r w:rsidR="00581B4D">
        <w:rPr>
          <w:rFonts w:ascii="Gilroy" w:hAnsi="Gilroy" w:cs="Segoe UI"/>
          <w:color w:val="000000" w:themeColor="text1"/>
          <w:spacing w:val="5"/>
          <w:sz w:val="22"/>
          <w:szCs w:val="22"/>
        </w:rPr>
        <w:t xml:space="preserve"> to</w:t>
      </w:r>
      <w:r w:rsidR="001E1D69" w:rsidRPr="00A74F76">
        <w:rPr>
          <w:rFonts w:ascii="Gilroy" w:hAnsi="Gilroy" w:cs="Segoe UI"/>
          <w:color w:val="000000" w:themeColor="text1"/>
          <w:spacing w:val="5"/>
          <w:sz w:val="22"/>
          <w:szCs w:val="22"/>
        </w:rPr>
        <w:t xml:space="preserve"> </w:t>
      </w:r>
      <w:r w:rsidR="0080388C" w:rsidRPr="00A74F76">
        <w:rPr>
          <w:rFonts w:ascii="Gilroy" w:hAnsi="Gilroy"/>
          <w:sz w:val="22"/>
          <w:szCs w:val="22"/>
        </w:rPr>
        <w:t>healthcare services</w:t>
      </w:r>
      <w:r w:rsidR="0080388C" w:rsidRPr="00A74F76">
        <w:rPr>
          <w:rFonts w:ascii="Gilroy" w:hAnsi="Gilroy" w:cs="Segoe UI"/>
          <w:color w:val="000000" w:themeColor="text1"/>
          <w:spacing w:val="5"/>
          <w:sz w:val="22"/>
          <w:szCs w:val="22"/>
        </w:rPr>
        <w:t xml:space="preserve"> including </w:t>
      </w:r>
      <w:r w:rsidR="001E1D69" w:rsidRPr="00A74F76">
        <w:rPr>
          <w:rFonts w:ascii="Gilroy" w:hAnsi="Gilroy" w:cs="Segoe UI"/>
          <w:color w:val="000000" w:themeColor="text1"/>
          <w:spacing w:val="5"/>
          <w:sz w:val="22"/>
          <w:szCs w:val="22"/>
        </w:rPr>
        <w:t>to abortion</w:t>
      </w:r>
      <w:r w:rsidR="00241058" w:rsidRPr="00A74F76">
        <w:rPr>
          <w:rFonts w:ascii="Gilroy" w:hAnsi="Gilroy" w:cs="Segoe UI"/>
          <w:color w:val="000000" w:themeColor="text1"/>
          <w:spacing w:val="5"/>
          <w:sz w:val="22"/>
          <w:szCs w:val="22"/>
        </w:rPr>
        <w:t xml:space="preserve"> at all times</w:t>
      </w:r>
      <w:r w:rsidR="001E1D69" w:rsidRPr="00A74F76">
        <w:rPr>
          <w:rFonts w:ascii="Gilroy" w:hAnsi="Gilroy" w:cs="Segoe UI"/>
          <w:color w:val="000000" w:themeColor="text1"/>
          <w:spacing w:val="5"/>
          <w:sz w:val="22"/>
          <w:szCs w:val="22"/>
        </w:rPr>
        <w:t>.</w:t>
      </w:r>
    </w:p>
    <w:p w14:paraId="5817208F" w14:textId="04EAADCE" w:rsidR="001E1D69" w:rsidRPr="00A74F76" w:rsidRDefault="006C52AF" w:rsidP="00581B4D">
      <w:pPr>
        <w:pStyle w:val="part"/>
        <w:numPr>
          <w:ilvl w:val="0"/>
          <w:numId w:val="19"/>
        </w:numPr>
        <w:spacing w:before="0" w:beforeAutospacing="0" w:after="0" w:afterAutospacing="0"/>
        <w:ind w:left="709"/>
        <w:jc w:val="both"/>
        <w:rPr>
          <w:rFonts w:ascii="Gilroy" w:hAnsi="Gilroy"/>
          <w:sz w:val="22"/>
          <w:szCs w:val="22"/>
        </w:rPr>
      </w:pPr>
      <w:r w:rsidRPr="00A74F76">
        <w:rPr>
          <w:rFonts w:ascii="Gilroy" w:hAnsi="Gilroy" w:cs="Segoe UI"/>
          <w:color w:val="000000" w:themeColor="text1"/>
          <w:spacing w:val="5"/>
          <w:sz w:val="22"/>
          <w:szCs w:val="22"/>
        </w:rPr>
        <w:t>Note</w:t>
      </w:r>
      <w:r w:rsidR="005D3692" w:rsidRPr="00A74F76">
        <w:rPr>
          <w:rFonts w:ascii="Gilroy" w:hAnsi="Gilroy" w:cs="Segoe UI"/>
          <w:color w:val="000000" w:themeColor="text1"/>
          <w:spacing w:val="5"/>
          <w:sz w:val="22"/>
          <w:szCs w:val="22"/>
        </w:rPr>
        <w:t xml:space="preserve"> that the conceptualisation, implementation and monitoring of RMNCH initiatives </w:t>
      </w:r>
      <w:r w:rsidR="00581B4D">
        <w:rPr>
          <w:rFonts w:ascii="Gilroy" w:hAnsi="Gilroy" w:cs="Segoe UI"/>
          <w:color w:val="000000" w:themeColor="text1"/>
          <w:spacing w:val="5"/>
          <w:sz w:val="22"/>
          <w:szCs w:val="22"/>
        </w:rPr>
        <w:t>must be</w:t>
      </w:r>
      <w:r w:rsidR="005D3692" w:rsidRPr="00A74F76">
        <w:rPr>
          <w:rFonts w:ascii="Gilroy" w:hAnsi="Gilroy" w:cs="Segoe UI"/>
          <w:color w:val="000000" w:themeColor="text1"/>
          <w:spacing w:val="5"/>
          <w:sz w:val="22"/>
          <w:szCs w:val="22"/>
        </w:rPr>
        <w:t xml:space="preserve"> underpinned by health, gender equality and privacy considerations, with clear responsibilities being assigned to each of the actors involved.</w:t>
      </w:r>
    </w:p>
    <w:p w14:paraId="6B159DCE" w14:textId="77777777" w:rsidR="00241058" w:rsidRPr="00A74F76" w:rsidRDefault="00241058" w:rsidP="00241058">
      <w:pPr>
        <w:rPr>
          <w:rFonts w:ascii="Gilroy" w:hAnsi="Gilroy"/>
          <w:sz w:val="22"/>
          <w:szCs w:val="22"/>
        </w:rPr>
      </w:pPr>
    </w:p>
    <w:p w14:paraId="4C345900" w14:textId="6BD3EE05" w:rsidR="000C42A3" w:rsidRPr="00581B4D" w:rsidRDefault="000C42A3" w:rsidP="00581B4D">
      <w:pPr>
        <w:rPr>
          <w:rFonts w:ascii="Gilroy" w:hAnsi="Gilroy"/>
          <w:sz w:val="22"/>
          <w:szCs w:val="22"/>
        </w:rPr>
      </w:pPr>
      <w:r w:rsidRPr="00A74F76">
        <w:rPr>
          <w:rFonts w:ascii="Gilroy" w:hAnsi="Gilroy"/>
          <w:sz w:val="22"/>
          <w:szCs w:val="22"/>
        </w:rPr>
        <w:t>Educational and training-related measures</w:t>
      </w:r>
    </w:p>
    <w:p w14:paraId="2D4A99C7" w14:textId="47211473" w:rsidR="00817EE6" w:rsidRPr="00A74F76" w:rsidRDefault="006C52AF" w:rsidP="001E1D69">
      <w:pPr>
        <w:pStyle w:val="part"/>
        <w:numPr>
          <w:ilvl w:val="0"/>
          <w:numId w:val="14"/>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Recognise that o</w:t>
      </w:r>
      <w:r w:rsidR="000C42A3" w:rsidRPr="00A74F76">
        <w:rPr>
          <w:rFonts w:ascii="Gilroy" w:hAnsi="Gilroy" w:cs="Segoe UI"/>
          <w:color w:val="000000" w:themeColor="text1"/>
          <w:spacing w:val="5"/>
          <w:sz w:val="22"/>
          <w:szCs w:val="22"/>
        </w:rPr>
        <w:t>bstacles in accessing non-biased and scientifically accurate information on sexual and reproductive matters and services constitute an undue interference with sexual and reproductive rights.</w:t>
      </w:r>
    </w:p>
    <w:p w14:paraId="06B69AC8" w14:textId="4770CF73" w:rsidR="001E1D69" w:rsidRPr="00A74F76" w:rsidRDefault="001E1D69" w:rsidP="001E1D69">
      <w:pPr>
        <w:pStyle w:val="part"/>
        <w:spacing w:before="0" w:beforeAutospacing="0" w:after="0" w:afterAutospacing="0"/>
        <w:jc w:val="both"/>
        <w:rPr>
          <w:rFonts w:ascii="Gilroy" w:hAnsi="Gilroy" w:cs="Segoe UI"/>
          <w:color w:val="000000" w:themeColor="text1"/>
          <w:spacing w:val="5"/>
          <w:sz w:val="22"/>
          <w:szCs w:val="22"/>
        </w:rPr>
      </w:pPr>
    </w:p>
    <w:p w14:paraId="265C8BED" w14:textId="3177F09B" w:rsidR="001E1D69" w:rsidRPr="00A74F76" w:rsidRDefault="00A41A09" w:rsidP="00DA4262">
      <w:pPr>
        <w:pStyle w:val="part"/>
        <w:spacing w:before="0" w:beforeAutospacing="0" w:after="0" w:afterAutospacing="0"/>
        <w:jc w:val="both"/>
        <w:rPr>
          <w:rFonts w:ascii="Gilroy" w:hAnsi="Gilroy"/>
          <w:sz w:val="22"/>
          <w:szCs w:val="22"/>
        </w:rPr>
      </w:pPr>
      <w:r w:rsidRPr="00A74F76">
        <w:rPr>
          <w:rFonts w:ascii="Gilroy" w:hAnsi="Gilroy" w:cs="Segoe UI"/>
          <w:color w:val="000000" w:themeColor="text1"/>
          <w:spacing w:val="5"/>
          <w:sz w:val="22"/>
          <w:szCs w:val="22"/>
        </w:rPr>
        <w:t>Data exploitation</w:t>
      </w:r>
    </w:p>
    <w:p w14:paraId="55DB4EFC" w14:textId="1E82346E" w:rsidR="00A41A09" w:rsidRPr="00581B4D" w:rsidRDefault="006C52AF" w:rsidP="00581B4D">
      <w:pPr>
        <w:pStyle w:val="ListParagraph"/>
        <w:numPr>
          <w:ilvl w:val="0"/>
          <w:numId w:val="15"/>
        </w:numPr>
        <w:jc w:val="both"/>
        <w:rPr>
          <w:rFonts w:ascii="Gilroy" w:hAnsi="Gilroy" w:cs="Segoe UI"/>
          <w:color w:val="000000" w:themeColor="text1"/>
          <w:spacing w:val="5"/>
          <w:sz w:val="22"/>
          <w:szCs w:val="22"/>
        </w:rPr>
      </w:pPr>
      <w:r w:rsidRPr="00A74F76">
        <w:rPr>
          <w:rStyle w:val="Strong"/>
          <w:rFonts w:ascii="Gilroy" w:hAnsi="Gilroy" w:cs="Segoe UI"/>
          <w:b w:val="0"/>
          <w:bCs w:val="0"/>
          <w:color w:val="000000" w:themeColor="text1"/>
          <w:spacing w:val="5"/>
          <w:sz w:val="22"/>
          <w:szCs w:val="22"/>
        </w:rPr>
        <w:t xml:space="preserve">Call </w:t>
      </w:r>
      <w:r w:rsidR="00581B4D">
        <w:rPr>
          <w:rStyle w:val="Strong"/>
          <w:rFonts w:ascii="Gilroy" w:hAnsi="Gilroy" w:cs="Segoe UI"/>
          <w:b w:val="0"/>
          <w:bCs w:val="0"/>
          <w:color w:val="000000" w:themeColor="text1"/>
          <w:spacing w:val="5"/>
          <w:sz w:val="22"/>
          <w:szCs w:val="22"/>
        </w:rPr>
        <w:t xml:space="preserve">on </w:t>
      </w:r>
      <w:r w:rsidRPr="00A74F76">
        <w:rPr>
          <w:rStyle w:val="Strong"/>
          <w:rFonts w:ascii="Gilroy" w:hAnsi="Gilroy" w:cs="Segoe UI"/>
          <w:b w:val="0"/>
          <w:bCs w:val="0"/>
          <w:color w:val="000000" w:themeColor="text1"/>
          <w:spacing w:val="5"/>
          <w:sz w:val="22"/>
          <w:szCs w:val="22"/>
        </w:rPr>
        <w:t>states to</w:t>
      </w:r>
      <w:r w:rsidR="00A41A09" w:rsidRPr="00A74F76">
        <w:rPr>
          <w:rStyle w:val="Strong"/>
          <w:rFonts w:ascii="Gilroy" w:hAnsi="Gilroy" w:cs="Segoe UI"/>
          <w:b w:val="0"/>
          <w:bCs w:val="0"/>
          <w:color w:val="000000" w:themeColor="text1"/>
          <w:spacing w:val="5"/>
          <w:sz w:val="22"/>
          <w:szCs w:val="22"/>
        </w:rPr>
        <w:t xml:space="preserve"> draft, implement and enforce legislation penalising establishments and professionals falsely presenting as possessing medical accreditation.</w:t>
      </w:r>
    </w:p>
    <w:p w14:paraId="4F5F7AB6" w14:textId="3BA560B5" w:rsidR="001E1D69" w:rsidRPr="00A74F76" w:rsidRDefault="006C52AF" w:rsidP="00581B4D">
      <w:pPr>
        <w:pStyle w:val="part"/>
        <w:numPr>
          <w:ilvl w:val="0"/>
          <w:numId w:val="15"/>
        </w:numPr>
        <w:spacing w:before="0" w:beforeAutospacing="0" w:after="0" w:afterAutospacing="0"/>
        <w:jc w:val="both"/>
        <w:rPr>
          <w:rFonts w:ascii="Gilroy" w:hAnsi="Gilroy"/>
          <w:sz w:val="22"/>
          <w:szCs w:val="22"/>
        </w:rPr>
      </w:pPr>
      <w:r w:rsidRPr="00A74F76">
        <w:rPr>
          <w:rFonts w:ascii="Gilroy" w:hAnsi="Gilroy" w:cs="Segoe UI"/>
          <w:color w:val="000000" w:themeColor="text1"/>
          <w:spacing w:val="5"/>
          <w:sz w:val="22"/>
          <w:szCs w:val="22"/>
        </w:rPr>
        <w:t>Note that</w:t>
      </w:r>
      <w:r w:rsidR="001E1D69" w:rsidRPr="00A74F76">
        <w:rPr>
          <w:rFonts w:ascii="Gilroy" w:hAnsi="Gilroy" w:cs="Segoe UI"/>
          <w:color w:val="000000" w:themeColor="text1"/>
          <w:spacing w:val="5"/>
          <w:sz w:val="22"/>
          <w:szCs w:val="22"/>
        </w:rPr>
        <w:t xml:space="preserve"> companies </w:t>
      </w:r>
      <w:r w:rsidRPr="00A74F76">
        <w:rPr>
          <w:rFonts w:ascii="Gilroy" w:hAnsi="Gilroy" w:cs="Segoe UI"/>
          <w:color w:val="000000" w:themeColor="text1"/>
          <w:spacing w:val="5"/>
          <w:sz w:val="22"/>
          <w:szCs w:val="22"/>
        </w:rPr>
        <w:t xml:space="preserve">should </w:t>
      </w:r>
      <w:r w:rsidR="001E1D69" w:rsidRPr="00A74F76">
        <w:rPr>
          <w:rFonts w:ascii="Gilroy" w:hAnsi="Gilroy" w:cs="Segoe UI"/>
          <w:color w:val="000000" w:themeColor="text1"/>
          <w:spacing w:val="5"/>
          <w:sz w:val="22"/>
          <w:szCs w:val="22"/>
        </w:rPr>
        <w:t xml:space="preserve">respect human rights online, as well as offline. </w:t>
      </w:r>
    </w:p>
    <w:p w14:paraId="1F333804" w14:textId="77777777" w:rsidR="00581B4D" w:rsidRDefault="006C52AF" w:rsidP="00581B4D">
      <w:pPr>
        <w:pStyle w:val="part"/>
        <w:numPr>
          <w:ilvl w:val="0"/>
          <w:numId w:val="16"/>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Recommend that s</w:t>
      </w:r>
      <w:r w:rsidR="00145D82" w:rsidRPr="00A74F76">
        <w:rPr>
          <w:rFonts w:ascii="Gilroy" w:hAnsi="Gilroy" w:cs="Segoe UI"/>
          <w:color w:val="000000" w:themeColor="text1"/>
          <w:spacing w:val="5"/>
          <w:sz w:val="22"/>
          <w:szCs w:val="22"/>
        </w:rPr>
        <w:t xml:space="preserve">tates </w:t>
      </w:r>
      <w:r w:rsidRPr="00A74F76">
        <w:rPr>
          <w:rFonts w:ascii="Gilroy" w:hAnsi="Gilroy" w:cs="Segoe UI"/>
          <w:color w:val="000000" w:themeColor="text1"/>
          <w:spacing w:val="5"/>
          <w:sz w:val="22"/>
          <w:szCs w:val="22"/>
        </w:rPr>
        <w:t xml:space="preserve">should </w:t>
      </w:r>
      <w:r w:rsidR="00145D82" w:rsidRPr="00A74F76">
        <w:rPr>
          <w:rFonts w:ascii="Gilroy" w:hAnsi="Gilroy" w:cs="Segoe UI"/>
          <w:color w:val="000000" w:themeColor="text1"/>
          <w:spacing w:val="5"/>
          <w:sz w:val="22"/>
          <w:szCs w:val="22"/>
        </w:rPr>
        <w:t>ensure that the</w:t>
      </w:r>
      <w:r w:rsidRPr="00A74F76">
        <w:rPr>
          <w:rFonts w:ascii="Gilroy" w:hAnsi="Gilroy" w:cs="Segoe UI"/>
          <w:color w:val="000000" w:themeColor="text1"/>
          <w:spacing w:val="5"/>
          <w:sz w:val="22"/>
          <w:szCs w:val="22"/>
        </w:rPr>
        <w:t xml:space="preserve"> appropriate</w:t>
      </w:r>
      <w:r w:rsidR="00145D82" w:rsidRPr="00A74F76">
        <w:rPr>
          <w:rFonts w:ascii="Gilroy" w:hAnsi="Gilroy" w:cs="Segoe UI"/>
          <w:color w:val="000000" w:themeColor="text1"/>
          <w:spacing w:val="5"/>
          <w:sz w:val="22"/>
          <w:szCs w:val="22"/>
        </w:rPr>
        <w:t xml:space="preserve"> </w:t>
      </w:r>
      <w:r w:rsidRPr="00A74F76">
        <w:rPr>
          <w:rFonts w:ascii="Gilroy" w:hAnsi="Gilroy" w:cs="Segoe UI"/>
          <w:color w:val="000000" w:themeColor="text1"/>
          <w:spacing w:val="5"/>
          <w:sz w:val="22"/>
          <w:szCs w:val="22"/>
        </w:rPr>
        <w:t>independent</w:t>
      </w:r>
      <w:r w:rsidR="00145D82" w:rsidRPr="00A74F76">
        <w:rPr>
          <w:rFonts w:ascii="Gilroy" w:hAnsi="Gilroy" w:cs="Segoe UI"/>
          <w:color w:val="000000" w:themeColor="text1"/>
          <w:spacing w:val="5"/>
          <w:sz w:val="22"/>
          <w:szCs w:val="22"/>
        </w:rPr>
        <w:t xml:space="preserve"> authority is empowered to make investigations pursuant to complaints or by its own initiative</w:t>
      </w:r>
      <w:r w:rsidR="003061C3" w:rsidRPr="00A74F76">
        <w:rPr>
          <w:rFonts w:ascii="Gilroy" w:hAnsi="Gilroy" w:cs="Segoe UI"/>
          <w:color w:val="000000" w:themeColor="text1"/>
          <w:spacing w:val="5"/>
          <w:sz w:val="22"/>
          <w:szCs w:val="22"/>
        </w:rPr>
        <w:t>, and to impose fines and sanctions if it determines that a violation/breach has occurred</w:t>
      </w:r>
      <w:r w:rsidR="00145D82" w:rsidRPr="00A74F76">
        <w:rPr>
          <w:rFonts w:ascii="Gilroy" w:hAnsi="Gilroy" w:cs="Segoe UI"/>
          <w:color w:val="000000" w:themeColor="text1"/>
          <w:spacing w:val="5"/>
          <w:sz w:val="22"/>
          <w:szCs w:val="22"/>
        </w:rPr>
        <w:t xml:space="preserve">.    </w:t>
      </w:r>
    </w:p>
    <w:p w14:paraId="0FE32B82" w14:textId="0F82924C" w:rsidR="00EC43E9" w:rsidRPr="00581B4D" w:rsidRDefault="006C52AF" w:rsidP="00581B4D">
      <w:pPr>
        <w:pStyle w:val="part"/>
        <w:numPr>
          <w:ilvl w:val="0"/>
          <w:numId w:val="16"/>
        </w:numPr>
        <w:spacing w:before="0" w:beforeAutospacing="0" w:after="0" w:afterAutospacing="0"/>
        <w:jc w:val="both"/>
        <w:rPr>
          <w:rFonts w:ascii="Gilroy" w:hAnsi="Gilroy" w:cs="Segoe UI"/>
          <w:color w:val="000000" w:themeColor="text1"/>
          <w:spacing w:val="5"/>
          <w:sz w:val="22"/>
          <w:szCs w:val="22"/>
        </w:rPr>
      </w:pPr>
      <w:r w:rsidRPr="00581B4D">
        <w:rPr>
          <w:rFonts w:ascii="Gilroy" w:hAnsi="Gilroy" w:cs="Segoe UI"/>
          <w:color w:val="000000" w:themeColor="text1"/>
          <w:spacing w:val="5"/>
          <w:sz w:val="22"/>
          <w:szCs w:val="22"/>
        </w:rPr>
        <w:t xml:space="preserve">Recommend that </w:t>
      </w:r>
      <w:r w:rsidR="00AE2322" w:rsidRPr="00581B4D">
        <w:rPr>
          <w:rFonts w:ascii="Gilroy" w:hAnsi="Gilroy" w:cs="Segoe UI"/>
          <w:color w:val="000000" w:themeColor="text1"/>
          <w:spacing w:val="5"/>
          <w:sz w:val="22"/>
          <w:szCs w:val="22"/>
        </w:rPr>
        <w:t xml:space="preserve">national </w:t>
      </w:r>
      <w:r w:rsidR="00A41A09" w:rsidRPr="00581B4D">
        <w:rPr>
          <w:rFonts w:ascii="Gilroy" w:hAnsi="Gilroy" w:cs="Segoe UI"/>
          <w:color w:val="000000" w:themeColor="text1"/>
          <w:spacing w:val="5"/>
          <w:sz w:val="22"/>
          <w:szCs w:val="22"/>
        </w:rPr>
        <w:t>crim</w:t>
      </w:r>
      <w:r w:rsidR="00AE2322" w:rsidRPr="00581B4D">
        <w:rPr>
          <w:rFonts w:ascii="Gilroy" w:hAnsi="Gilroy" w:cs="Segoe UI"/>
          <w:color w:val="000000" w:themeColor="text1"/>
          <w:spacing w:val="5"/>
          <w:sz w:val="22"/>
          <w:szCs w:val="22"/>
        </w:rPr>
        <w:t>inal</w:t>
      </w:r>
      <w:r w:rsidR="00A41A09" w:rsidRPr="00581B4D">
        <w:rPr>
          <w:rFonts w:ascii="Gilroy" w:hAnsi="Gilroy" w:cs="Segoe UI"/>
          <w:color w:val="000000" w:themeColor="text1"/>
          <w:spacing w:val="5"/>
          <w:sz w:val="22"/>
          <w:szCs w:val="22"/>
        </w:rPr>
        <w:t xml:space="preserve"> legislation is amended to reflect new forms of gender-based violence involving the use of technology. </w:t>
      </w:r>
    </w:p>
    <w:p w14:paraId="6005D74F" w14:textId="77777777" w:rsidR="00A41A09" w:rsidRPr="00A74F76" w:rsidRDefault="00A41A09" w:rsidP="00581B4D">
      <w:pPr>
        <w:pStyle w:val="part"/>
        <w:spacing w:before="0" w:beforeAutospacing="0" w:after="0" w:afterAutospacing="0"/>
        <w:jc w:val="both"/>
        <w:rPr>
          <w:rFonts w:ascii="Gilroy" w:hAnsi="Gilroy" w:cs="Segoe UI"/>
          <w:color w:val="000000" w:themeColor="text1"/>
          <w:spacing w:val="5"/>
          <w:sz w:val="22"/>
          <w:szCs w:val="22"/>
        </w:rPr>
      </w:pPr>
    </w:p>
    <w:p w14:paraId="6A2D2F68" w14:textId="55CC1D22" w:rsidR="00EC43E9" w:rsidRPr="00A74F76" w:rsidRDefault="00EC43E9">
      <w:pPr>
        <w:rPr>
          <w:rFonts w:ascii="Gilroy" w:hAnsi="Gilroy"/>
          <w:sz w:val="22"/>
          <w:szCs w:val="22"/>
        </w:rPr>
      </w:pPr>
      <w:r w:rsidRPr="00A74F76">
        <w:rPr>
          <w:rFonts w:ascii="Gilroy" w:hAnsi="Gilroy"/>
          <w:sz w:val="22"/>
          <w:szCs w:val="22"/>
        </w:rPr>
        <w:br w:type="page"/>
      </w:r>
    </w:p>
    <w:p w14:paraId="12867EF1" w14:textId="77777777" w:rsidR="00EC43E9" w:rsidRPr="00A74F76" w:rsidRDefault="00EC43E9">
      <w:pPr>
        <w:rPr>
          <w:rFonts w:ascii="Gilroy" w:hAnsi="Gilroy"/>
          <w:sz w:val="22"/>
          <w:szCs w:val="22"/>
        </w:rPr>
      </w:pPr>
    </w:p>
    <w:sdt>
      <w:sdtPr>
        <w:rPr>
          <w:rFonts w:ascii="Gilroy" w:eastAsia="Times New Roman" w:hAnsi="Gilroy" w:cs="Times New Roman"/>
          <w:b w:val="0"/>
          <w:bCs w:val="0"/>
          <w:color w:val="auto"/>
          <w:sz w:val="22"/>
          <w:szCs w:val="22"/>
          <w:lang w:val="en-GB" w:eastAsia="en-GB"/>
        </w:rPr>
        <w:id w:val="543797843"/>
        <w:docPartObj>
          <w:docPartGallery w:val="Table of Contents"/>
          <w:docPartUnique/>
        </w:docPartObj>
      </w:sdtPr>
      <w:sdtEndPr>
        <w:rPr>
          <w:noProof/>
        </w:rPr>
      </w:sdtEndPr>
      <w:sdtContent>
        <w:p w14:paraId="607ABCAC" w14:textId="1991FA1D" w:rsidR="00EC43E9" w:rsidRPr="00A74F76" w:rsidRDefault="00EC43E9">
          <w:pPr>
            <w:pStyle w:val="TOCHeading"/>
            <w:rPr>
              <w:rFonts w:ascii="Gilroy" w:hAnsi="Gilroy"/>
              <w:sz w:val="22"/>
              <w:szCs w:val="22"/>
            </w:rPr>
          </w:pPr>
          <w:r w:rsidRPr="00A74F76">
            <w:rPr>
              <w:rFonts w:ascii="Gilroy" w:hAnsi="Gilroy"/>
              <w:sz w:val="22"/>
              <w:szCs w:val="22"/>
            </w:rPr>
            <w:t>Table of Contents</w:t>
          </w:r>
        </w:p>
        <w:p w14:paraId="5804416D" w14:textId="2F651B56" w:rsidR="00A74F76" w:rsidRPr="00A74F76" w:rsidRDefault="00EC43E9">
          <w:pPr>
            <w:pStyle w:val="TOC1"/>
            <w:tabs>
              <w:tab w:val="right" w:leader="dot" w:pos="9010"/>
            </w:tabs>
            <w:rPr>
              <w:rFonts w:ascii="Gilroy" w:eastAsiaTheme="minorEastAsia" w:hAnsi="Gilroy" w:cstheme="minorBidi"/>
              <w:b w:val="0"/>
              <w:bCs w:val="0"/>
              <w:i w:val="0"/>
              <w:iCs w:val="0"/>
              <w:noProof/>
              <w:sz w:val="22"/>
              <w:szCs w:val="22"/>
            </w:rPr>
          </w:pPr>
          <w:r w:rsidRPr="00A74F76">
            <w:rPr>
              <w:rFonts w:ascii="Gilroy" w:hAnsi="Gilroy"/>
              <w:b w:val="0"/>
              <w:bCs w:val="0"/>
              <w:sz w:val="22"/>
              <w:szCs w:val="22"/>
            </w:rPr>
            <w:fldChar w:fldCharType="begin"/>
          </w:r>
          <w:r w:rsidRPr="00A74F76">
            <w:rPr>
              <w:rFonts w:ascii="Gilroy" w:hAnsi="Gilroy"/>
              <w:sz w:val="22"/>
              <w:szCs w:val="22"/>
            </w:rPr>
            <w:instrText xml:space="preserve"> TOC \o "1-3" \h \z \u </w:instrText>
          </w:r>
          <w:r w:rsidRPr="00A74F76">
            <w:rPr>
              <w:rFonts w:ascii="Gilroy" w:hAnsi="Gilroy"/>
              <w:b w:val="0"/>
              <w:bCs w:val="0"/>
              <w:sz w:val="22"/>
              <w:szCs w:val="22"/>
            </w:rPr>
            <w:fldChar w:fldCharType="separate"/>
          </w:r>
          <w:hyperlink w:anchor="_Toc50373275" w:history="1">
            <w:r w:rsidR="00A74F76" w:rsidRPr="00A74F76">
              <w:rPr>
                <w:rStyle w:val="Hyperlink"/>
                <w:rFonts w:ascii="Gilroy" w:hAnsi="Gilroy"/>
                <w:noProof/>
                <w:sz w:val="22"/>
                <w:szCs w:val="22"/>
              </w:rPr>
              <w:t>Introduction</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_Toc50373275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4</w:t>
            </w:r>
            <w:r w:rsidR="00A74F76" w:rsidRPr="00A74F76">
              <w:rPr>
                <w:rFonts w:ascii="Gilroy" w:hAnsi="Gilroy"/>
                <w:noProof/>
                <w:webHidden/>
                <w:sz w:val="22"/>
                <w:szCs w:val="22"/>
              </w:rPr>
              <w:fldChar w:fldCharType="end"/>
            </w:r>
          </w:hyperlink>
        </w:p>
        <w:p w14:paraId="364ED0C9" w14:textId="6890566F" w:rsidR="00A74F76" w:rsidRPr="00A74F76" w:rsidRDefault="009A256D">
          <w:pPr>
            <w:pStyle w:val="TOC1"/>
            <w:tabs>
              <w:tab w:val="left" w:pos="480"/>
              <w:tab w:val="right" w:leader="dot" w:pos="9010"/>
            </w:tabs>
            <w:rPr>
              <w:rFonts w:ascii="Gilroy" w:eastAsiaTheme="minorEastAsia" w:hAnsi="Gilroy" w:cstheme="minorBidi"/>
              <w:b w:val="0"/>
              <w:bCs w:val="0"/>
              <w:i w:val="0"/>
              <w:iCs w:val="0"/>
              <w:noProof/>
              <w:sz w:val="22"/>
              <w:szCs w:val="22"/>
            </w:rPr>
          </w:pPr>
          <w:hyperlink w:anchor="_Toc50373276" w:history="1">
            <w:r w:rsidR="00A74F76" w:rsidRPr="00A74F76">
              <w:rPr>
                <w:rStyle w:val="Hyperlink"/>
                <w:rFonts w:ascii="Gilroy" w:hAnsi="Gilroy"/>
                <w:noProof/>
                <w:spacing w:val="5"/>
                <w:sz w:val="22"/>
                <w:szCs w:val="22"/>
              </w:rPr>
              <w:t>I)</w:t>
            </w:r>
            <w:r w:rsidR="00A74F76" w:rsidRPr="00A74F76">
              <w:rPr>
                <w:rFonts w:ascii="Gilroy" w:eastAsiaTheme="minorEastAsia" w:hAnsi="Gilroy" w:cstheme="minorBidi"/>
                <w:b w:val="0"/>
                <w:bCs w:val="0"/>
                <w:i w:val="0"/>
                <w:iCs w:val="0"/>
                <w:noProof/>
                <w:sz w:val="22"/>
                <w:szCs w:val="22"/>
              </w:rPr>
              <w:tab/>
            </w:r>
            <w:r w:rsidR="00A74F76" w:rsidRPr="00A74F76">
              <w:rPr>
                <w:rStyle w:val="Hyperlink"/>
                <w:rFonts w:ascii="Gilroy" w:hAnsi="Gilroy"/>
                <w:noProof/>
                <w:sz w:val="22"/>
                <w:szCs w:val="22"/>
              </w:rPr>
              <w:t>Obstacles in the access to non-biased and scientifically accurate information about sexual and reproductive health matters and services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_Toc50373276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4</w:t>
            </w:r>
            <w:r w:rsidR="00A74F76" w:rsidRPr="00A74F76">
              <w:rPr>
                <w:rFonts w:ascii="Gilroy" w:hAnsi="Gilroy"/>
                <w:noProof/>
                <w:webHidden/>
                <w:sz w:val="22"/>
                <w:szCs w:val="22"/>
              </w:rPr>
              <w:fldChar w:fldCharType="end"/>
            </w:r>
          </w:hyperlink>
        </w:p>
        <w:p w14:paraId="08AC6EDD" w14:textId="2858EB0D" w:rsidR="00A74F76" w:rsidRPr="00A74F76" w:rsidRDefault="009A256D">
          <w:pPr>
            <w:pStyle w:val="TOC2"/>
            <w:tabs>
              <w:tab w:val="left" w:pos="720"/>
              <w:tab w:val="right" w:leader="dot" w:pos="9010"/>
            </w:tabs>
            <w:rPr>
              <w:rFonts w:ascii="Gilroy" w:eastAsiaTheme="minorEastAsia" w:hAnsi="Gilroy" w:cstheme="minorBidi"/>
              <w:b w:val="0"/>
              <w:bCs w:val="0"/>
              <w:noProof/>
            </w:rPr>
          </w:pPr>
          <w:hyperlink w:anchor="_Toc50373277" w:history="1">
            <w:r w:rsidR="00A74F76" w:rsidRPr="00A74F76">
              <w:rPr>
                <w:rStyle w:val="Hyperlink"/>
                <w:rFonts w:ascii="Gilroy" w:hAnsi="Gilroy" w:cstheme="majorHAnsi"/>
                <w:noProof/>
              </w:rPr>
              <w:t>A)</w:t>
            </w:r>
            <w:r w:rsidR="00A74F76" w:rsidRPr="00A74F76">
              <w:rPr>
                <w:rFonts w:ascii="Gilroy" w:eastAsiaTheme="minorEastAsia" w:hAnsi="Gilroy" w:cstheme="minorBidi"/>
                <w:b w:val="0"/>
                <w:bCs w:val="0"/>
                <w:noProof/>
              </w:rPr>
              <w:tab/>
            </w:r>
            <w:r w:rsidR="00A74F76" w:rsidRPr="00A74F76">
              <w:rPr>
                <w:rStyle w:val="Hyperlink"/>
                <w:rFonts w:ascii="Gilroy" w:hAnsi="Gilroy" w:cstheme="majorHAnsi"/>
                <w:noProof/>
              </w:rPr>
              <w:t>Traditional obstacles</w:t>
            </w:r>
            <w:r w:rsidR="00A74F76" w:rsidRPr="00A74F76">
              <w:rPr>
                <w:rFonts w:ascii="Gilroy" w:hAnsi="Gilroy"/>
                <w:noProof/>
                <w:webHidden/>
              </w:rPr>
              <w:tab/>
            </w:r>
            <w:r w:rsidR="00A74F76" w:rsidRPr="00A74F76">
              <w:rPr>
                <w:rFonts w:ascii="Gilroy" w:hAnsi="Gilroy"/>
                <w:noProof/>
                <w:webHidden/>
              </w:rPr>
              <w:fldChar w:fldCharType="begin"/>
            </w:r>
            <w:r w:rsidR="00A74F76" w:rsidRPr="00A74F76">
              <w:rPr>
                <w:rFonts w:ascii="Gilroy" w:hAnsi="Gilroy"/>
                <w:noProof/>
                <w:webHidden/>
              </w:rPr>
              <w:instrText xml:space="preserve"> PAGEREF _Toc50373277 \h </w:instrText>
            </w:r>
            <w:r w:rsidR="00A74F76" w:rsidRPr="00A74F76">
              <w:rPr>
                <w:rFonts w:ascii="Gilroy" w:hAnsi="Gilroy"/>
                <w:noProof/>
                <w:webHidden/>
              </w:rPr>
            </w:r>
            <w:r w:rsidR="00A74F76" w:rsidRPr="00A74F76">
              <w:rPr>
                <w:rFonts w:ascii="Gilroy" w:hAnsi="Gilroy"/>
                <w:noProof/>
                <w:webHidden/>
              </w:rPr>
              <w:fldChar w:fldCharType="separate"/>
            </w:r>
            <w:r w:rsidR="00577754">
              <w:rPr>
                <w:rFonts w:ascii="Gilroy" w:hAnsi="Gilroy"/>
                <w:noProof/>
                <w:webHidden/>
              </w:rPr>
              <w:t>5</w:t>
            </w:r>
            <w:r w:rsidR="00A74F76" w:rsidRPr="00A74F76">
              <w:rPr>
                <w:rFonts w:ascii="Gilroy" w:hAnsi="Gilroy"/>
                <w:noProof/>
                <w:webHidden/>
              </w:rPr>
              <w:fldChar w:fldCharType="end"/>
            </w:r>
          </w:hyperlink>
        </w:p>
        <w:p w14:paraId="5A25BE78" w14:textId="48C11481"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78" w:history="1">
            <w:r w:rsidR="00A74F76" w:rsidRPr="00A74F76">
              <w:rPr>
                <w:rStyle w:val="Hyperlink"/>
                <w:rFonts w:ascii="Gilroy" w:hAnsi="Gilroy"/>
                <w:noProof/>
                <w:sz w:val="22"/>
                <w:szCs w:val="22"/>
              </w:rPr>
              <w:t>Public health shortcomings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_Toc50373278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5</w:t>
            </w:r>
            <w:r w:rsidR="00A74F76" w:rsidRPr="00A74F76">
              <w:rPr>
                <w:rFonts w:ascii="Gilroy" w:hAnsi="Gilroy"/>
                <w:noProof/>
                <w:webHidden/>
                <w:sz w:val="22"/>
                <w:szCs w:val="22"/>
              </w:rPr>
              <w:fldChar w:fldCharType="end"/>
            </w:r>
          </w:hyperlink>
        </w:p>
        <w:p w14:paraId="7508E58C" w14:textId="535CBCD2"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79" w:history="1">
            <w:r w:rsidR="00A74F76" w:rsidRPr="00A74F76">
              <w:rPr>
                <w:rStyle w:val="Hyperlink"/>
                <w:rFonts w:ascii="Gilroy" w:hAnsi="Gilroy"/>
                <w:noProof/>
                <w:sz w:val="22"/>
                <w:szCs w:val="22"/>
              </w:rPr>
              <w:t>Stigma and prejudice among healthcare professionals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_Toc50373279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6</w:t>
            </w:r>
            <w:r w:rsidR="00A74F76" w:rsidRPr="00A74F76">
              <w:rPr>
                <w:rFonts w:ascii="Gilroy" w:hAnsi="Gilroy"/>
                <w:noProof/>
                <w:webHidden/>
                <w:sz w:val="22"/>
                <w:szCs w:val="22"/>
              </w:rPr>
              <w:fldChar w:fldCharType="end"/>
            </w:r>
          </w:hyperlink>
        </w:p>
        <w:p w14:paraId="715B1189" w14:textId="3F714CF3" w:rsidR="00A74F76" w:rsidRPr="00A74F76" w:rsidRDefault="009A256D">
          <w:pPr>
            <w:pStyle w:val="TOC2"/>
            <w:tabs>
              <w:tab w:val="left" w:pos="720"/>
              <w:tab w:val="right" w:leader="dot" w:pos="9010"/>
            </w:tabs>
            <w:rPr>
              <w:rFonts w:ascii="Gilroy" w:eastAsiaTheme="minorEastAsia" w:hAnsi="Gilroy" w:cstheme="minorBidi"/>
              <w:b w:val="0"/>
              <w:bCs w:val="0"/>
              <w:noProof/>
            </w:rPr>
          </w:pPr>
          <w:hyperlink w:anchor="_Toc50373280" w:history="1">
            <w:r w:rsidR="00A74F76" w:rsidRPr="00A74F76">
              <w:rPr>
                <w:rStyle w:val="Hyperlink"/>
                <w:rFonts w:ascii="Gilroy" w:hAnsi="Gilroy" w:cstheme="majorHAnsi"/>
                <w:noProof/>
                <w:lang w:val="fr-FR"/>
              </w:rPr>
              <w:t>B)</w:t>
            </w:r>
            <w:r w:rsidR="00A74F76" w:rsidRPr="00A74F76">
              <w:rPr>
                <w:rFonts w:ascii="Gilroy" w:eastAsiaTheme="minorEastAsia" w:hAnsi="Gilroy" w:cstheme="minorBidi"/>
                <w:b w:val="0"/>
                <w:bCs w:val="0"/>
                <w:noProof/>
              </w:rPr>
              <w:tab/>
            </w:r>
            <w:r w:rsidR="00A74F76" w:rsidRPr="00A74F76">
              <w:rPr>
                <w:rStyle w:val="Hyperlink"/>
                <w:rFonts w:ascii="Gilroy" w:hAnsi="Gilroy" w:cstheme="majorHAnsi"/>
                <w:noProof/>
              </w:rPr>
              <w:t>Modern obstacles</w:t>
            </w:r>
            <w:r w:rsidR="00A74F76" w:rsidRPr="00A74F76">
              <w:rPr>
                <w:rFonts w:ascii="Gilroy" w:hAnsi="Gilroy"/>
                <w:noProof/>
                <w:webHidden/>
              </w:rPr>
              <w:tab/>
            </w:r>
            <w:r w:rsidR="00A74F76" w:rsidRPr="00A74F76">
              <w:rPr>
                <w:rFonts w:ascii="Gilroy" w:hAnsi="Gilroy"/>
                <w:noProof/>
                <w:webHidden/>
              </w:rPr>
              <w:fldChar w:fldCharType="begin"/>
            </w:r>
            <w:r w:rsidR="00A74F76" w:rsidRPr="00A74F76">
              <w:rPr>
                <w:rFonts w:ascii="Gilroy" w:hAnsi="Gilroy"/>
                <w:noProof/>
                <w:webHidden/>
              </w:rPr>
              <w:instrText xml:space="preserve"> PAGEREF _Toc50373280 \h </w:instrText>
            </w:r>
            <w:r w:rsidR="00A74F76" w:rsidRPr="00A74F76">
              <w:rPr>
                <w:rFonts w:ascii="Gilroy" w:hAnsi="Gilroy"/>
                <w:noProof/>
                <w:webHidden/>
              </w:rPr>
            </w:r>
            <w:r w:rsidR="00A74F76" w:rsidRPr="00A74F76">
              <w:rPr>
                <w:rFonts w:ascii="Gilroy" w:hAnsi="Gilroy"/>
                <w:noProof/>
                <w:webHidden/>
              </w:rPr>
              <w:fldChar w:fldCharType="separate"/>
            </w:r>
            <w:r w:rsidR="00577754">
              <w:rPr>
                <w:rFonts w:ascii="Gilroy" w:hAnsi="Gilroy"/>
                <w:noProof/>
                <w:webHidden/>
              </w:rPr>
              <w:t>6</w:t>
            </w:r>
            <w:r w:rsidR="00A74F76" w:rsidRPr="00A74F76">
              <w:rPr>
                <w:rFonts w:ascii="Gilroy" w:hAnsi="Gilroy"/>
                <w:noProof/>
                <w:webHidden/>
              </w:rPr>
              <w:fldChar w:fldCharType="end"/>
            </w:r>
          </w:hyperlink>
        </w:p>
        <w:p w14:paraId="4DBCA157" w14:textId="75EEA742"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81" w:history="1">
            <w:r w:rsidR="00A74F76" w:rsidRPr="00A74F76">
              <w:rPr>
                <w:rStyle w:val="Hyperlink"/>
                <w:rFonts w:ascii="Gilroy" w:hAnsi="Gilroy"/>
                <w:noProof/>
                <w:sz w:val="22"/>
                <w:szCs w:val="22"/>
              </w:rPr>
              <w:t>Misleading online advertising</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_Toc50373281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6</w:t>
            </w:r>
            <w:r w:rsidR="00A74F76" w:rsidRPr="00A74F76">
              <w:rPr>
                <w:rFonts w:ascii="Gilroy" w:hAnsi="Gilroy"/>
                <w:noProof/>
                <w:webHidden/>
                <w:sz w:val="22"/>
                <w:szCs w:val="22"/>
              </w:rPr>
              <w:fldChar w:fldCharType="end"/>
            </w:r>
          </w:hyperlink>
        </w:p>
        <w:p w14:paraId="58866816" w14:textId="36A45A9A"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82" w:history="1">
            <w:r w:rsidR="00A74F76" w:rsidRPr="00A74F76">
              <w:rPr>
                <w:rStyle w:val="Hyperlink"/>
                <w:rFonts w:ascii="Gilroy" w:hAnsi="Gilroy"/>
                <w:noProof/>
                <w:sz w:val="22"/>
                <w:szCs w:val="22"/>
              </w:rPr>
              <w:t>Proliferation of misleading and inaccurate healthcare websites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_Toc50373282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7</w:t>
            </w:r>
            <w:r w:rsidR="00A74F76" w:rsidRPr="00A74F76">
              <w:rPr>
                <w:rFonts w:ascii="Gilroy" w:hAnsi="Gilroy"/>
                <w:noProof/>
                <w:webHidden/>
                <w:sz w:val="22"/>
                <w:szCs w:val="22"/>
              </w:rPr>
              <w:fldChar w:fldCharType="end"/>
            </w:r>
          </w:hyperlink>
        </w:p>
        <w:p w14:paraId="3753F9E5" w14:textId="2FD45457"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83" w:history="1">
            <w:r w:rsidR="00A74F76" w:rsidRPr="00A74F76">
              <w:rPr>
                <w:rStyle w:val="Hyperlink"/>
                <w:rFonts w:ascii="Gilroy" w:hAnsi="Gilroy"/>
                <w:noProof/>
                <w:sz w:val="22"/>
                <w:szCs w:val="22"/>
              </w:rPr>
              <w:t>Misleading Apps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_Toc50373283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8</w:t>
            </w:r>
            <w:r w:rsidR="00A74F76" w:rsidRPr="00A74F76">
              <w:rPr>
                <w:rFonts w:ascii="Gilroy" w:hAnsi="Gilroy"/>
                <w:noProof/>
                <w:webHidden/>
                <w:sz w:val="22"/>
                <w:szCs w:val="22"/>
              </w:rPr>
              <w:fldChar w:fldCharType="end"/>
            </w:r>
          </w:hyperlink>
        </w:p>
        <w:p w14:paraId="2BA6A13B" w14:textId="4436D183"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84" w:history="1">
            <w:r w:rsidR="00A74F76" w:rsidRPr="00A74F76">
              <w:rPr>
                <w:rStyle w:val="Hyperlink"/>
                <w:rFonts w:ascii="Gilroy" w:hAnsi="Gilroy"/>
                <w:noProof/>
                <w:sz w:val="22"/>
                <w:szCs w:val="22"/>
              </w:rPr>
              <w:t>Social media</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_Toc50373284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9</w:t>
            </w:r>
            <w:r w:rsidR="00A74F76" w:rsidRPr="00A74F76">
              <w:rPr>
                <w:rFonts w:ascii="Gilroy" w:hAnsi="Gilroy"/>
                <w:noProof/>
                <w:webHidden/>
                <w:sz w:val="22"/>
                <w:szCs w:val="22"/>
              </w:rPr>
              <w:fldChar w:fldCharType="end"/>
            </w:r>
          </w:hyperlink>
        </w:p>
        <w:p w14:paraId="32842283" w14:textId="3F0D0F6D"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85" w:history="1">
            <w:r w:rsidR="00A74F76" w:rsidRPr="00A74F76">
              <w:rPr>
                <w:rStyle w:val="Hyperlink"/>
                <w:rFonts w:ascii="Gilroy" w:hAnsi="Gilroy"/>
                <w:noProof/>
                <w:sz w:val="22"/>
                <w:szCs w:val="22"/>
              </w:rPr>
              <w:t>International campaigns and educational programs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_Toc50373285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9</w:t>
            </w:r>
            <w:r w:rsidR="00A74F76" w:rsidRPr="00A74F76">
              <w:rPr>
                <w:rFonts w:ascii="Gilroy" w:hAnsi="Gilroy"/>
                <w:noProof/>
                <w:webHidden/>
                <w:sz w:val="22"/>
                <w:szCs w:val="22"/>
              </w:rPr>
              <w:fldChar w:fldCharType="end"/>
            </w:r>
          </w:hyperlink>
        </w:p>
        <w:p w14:paraId="122CB969" w14:textId="1F0E3F7C" w:rsidR="00A74F76" w:rsidRPr="00A74F76" w:rsidRDefault="009A256D">
          <w:pPr>
            <w:pStyle w:val="TOC1"/>
            <w:tabs>
              <w:tab w:val="left" w:pos="480"/>
              <w:tab w:val="right" w:leader="dot" w:pos="9010"/>
            </w:tabs>
            <w:rPr>
              <w:rFonts w:ascii="Gilroy" w:eastAsiaTheme="minorEastAsia" w:hAnsi="Gilroy" w:cstheme="minorBidi"/>
              <w:b w:val="0"/>
              <w:bCs w:val="0"/>
              <w:i w:val="0"/>
              <w:iCs w:val="0"/>
              <w:noProof/>
              <w:sz w:val="22"/>
              <w:szCs w:val="22"/>
            </w:rPr>
          </w:pPr>
          <w:hyperlink w:anchor="_Toc50373286" w:history="1">
            <w:r w:rsidR="00A74F76" w:rsidRPr="00A74F76">
              <w:rPr>
                <w:rStyle w:val="Hyperlink"/>
                <w:rFonts w:ascii="Gilroy" w:hAnsi="Gilroy"/>
                <w:noProof/>
                <w:spacing w:val="5"/>
                <w:sz w:val="22"/>
                <w:szCs w:val="22"/>
              </w:rPr>
              <w:t>II)</w:t>
            </w:r>
            <w:r w:rsidR="00A74F76" w:rsidRPr="00A74F76">
              <w:rPr>
                <w:rFonts w:ascii="Gilroy" w:eastAsiaTheme="minorEastAsia" w:hAnsi="Gilroy" w:cstheme="minorBidi"/>
                <w:b w:val="0"/>
                <w:bCs w:val="0"/>
                <w:i w:val="0"/>
                <w:iCs w:val="0"/>
                <w:noProof/>
                <w:sz w:val="22"/>
                <w:szCs w:val="22"/>
              </w:rPr>
              <w:tab/>
            </w:r>
            <w:r w:rsidR="00A74F76" w:rsidRPr="00A74F76">
              <w:rPr>
                <w:rStyle w:val="Hyperlink"/>
                <w:rFonts w:ascii="Gilroy" w:hAnsi="Gilroy"/>
                <w:noProof/>
                <w:sz w:val="22"/>
                <w:szCs w:val="22"/>
              </w:rPr>
              <w:t>Menstrual hygiene apps and challenges to privacy</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_Toc50373286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10</w:t>
            </w:r>
            <w:r w:rsidR="00A74F76" w:rsidRPr="00A74F76">
              <w:rPr>
                <w:rFonts w:ascii="Gilroy" w:hAnsi="Gilroy"/>
                <w:noProof/>
                <w:webHidden/>
                <w:sz w:val="22"/>
                <w:szCs w:val="22"/>
              </w:rPr>
              <w:fldChar w:fldCharType="end"/>
            </w:r>
          </w:hyperlink>
        </w:p>
        <w:p w14:paraId="58D19F00" w14:textId="032DF65B" w:rsidR="00A74F76" w:rsidRPr="00A74F76" w:rsidRDefault="009A256D">
          <w:pPr>
            <w:pStyle w:val="TOC1"/>
            <w:tabs>
              <w:tab w:val="left" w:pos="720"/>
              <w:tab w:val="right" w:leader="dot" w:pos="9010"/>
            </w:tabs>
            <w:rPr>
              <w:rFonts w:ascii="Gilroy" w:eastAsiaTheme="minorEastAsia" w:hAnsi="Gilroy" w:cstheme="minorBidi"/>
              <w:b w:val="0"/>
              <w:bCs w:val="0"/>
              <w:i w:val="0"/>
              <w:iCs w:val="0"/>
              <w:noProof/>
              <w:sz w:val="22"/>
              <w:szCs w:val="22"/>
            </w:rPr>
          </w:pPr>
          <w:hyperlink w:anchor="_Toc50373287" w:history="1">
            <w:r w:rsidR="00A74F76" w:rsidRPr="00A74F76">
              <w:rPr>
                <w:rStyle w:val="Hyperlink"/>
                <w:rFonts w:ascii="Gilroy" w:hAnsi="Gilroy"/>
                <w:noProof/>
                <w:spacing w:val="5"/>
                <w:sz w:val="22"/>
                <w:szCs w:val="22"/>
              </w:rPr>
              <w:t>III)</w:t>
            </w:r>
            <w:r w:rsidR="00A74F76" w:rsidRPr="00A74F76">
              <w:rPr>
                <w:rFonts w:ascii="Gilroy" w:eastAsiaTheme="minorEastAsia" w:hAnsi="Gilroy" w:cstheme="minorBidi"/>
                <w:b w:val="0"/>
                <w:bCs w:val="0"/>
                <w:i w:val="0"/>
                <w:iCs w:val="0"/>
                <w:noProof/>
                <w:sz w:val="22"/>
                <w:szCs w:val="22"/>
              </w:rPr>
              <w:tab/>
            </w:r>
            <w:r w:rsidR="00A74F76" w:rsidRPr="00A74F76">
              <w:rPr>
                <w:rStyle w:val="Hyperlink"/>
                <w:rFonts w:ascii="Gilroy" w:hAnsi="Gilroy"/>
                <w:noProof/>
                <w:sz w:val="22"/>
                <w:szCs w:val="22"/>
              </w:rPr>
              <w:t>Obstacles to the access to abortion care</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_Toc50373287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11</w:t>
            </w:r>
            <w:r w:rsidR="00A74F76" w:rsidRPr="00A74F76">
              <w:rPr>
                <w:rFonts w:ascii="Gilroy" w:hAnsi="Gilroy"/>
                <w:noProof/>
                <w:webHidden/>
                <w:sz w:val="22"/>
                <w:szCs w:val="22"/>
              </w:rPr>
              <w:fldChar w:fldCharType="end"/>
            </w:r>
          </w:hyperlink>
        </w:p>
        <w:p w14:paraId="7CCDA321" w14:textId="5173283D"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88" w:history="1">
            <w:r w:rsidR="00A74F76" w:rsidRPr="00A74F76">
              <w:rPr>
                <w:rStyle w:val="Hyperlink"/>
                <w:rFonts w:ascii="Gilroy" w:hAnsi="Gilroy"/>
                <w:noProof/>
                <w:sz w:val="22"/>
                <w:szCs w:val="22"/>
              </w:rPr>
              <w:t>Obstacles in accessing abortion services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_Toc50373288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11</w:t>
            </w:r>
            <w:r w:rsidR="00A74F76" w:rsidRPr="00A74F76">
              <w:rPr>
                <w:rFonts w:ascii="Gilroy" w:hAnsi="Gilroy"/>
                <w:noProof/>
                <w:webHidden/>
                <w:sz w:val="22"/>
                <w:szCs w:val="22"/>
              </w:rPr>
              <w:fldChar w:fldCharType="end"/>
            </w:r>
          </w:hyperlink>
        </w:p>
        <w:p w14:paraId="77F82AE9" w14:textId="0458FF18"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89" w:history="1">
            <w:r w:rsidR="00A74F76" w:rsidRPr="00A74F76">
              <w:rPr>
                <w:rStyle w:val="Hyperlink"/>
                <w:rFonts w:ascii="Gilroy" w:hAnsi="Gilroy"/>
                <w:noProof/>
                <w:sz w:val="22"/>
                <w:szCs w:val="22"/>
              </w:rPr>
              <w:t>Surveillance and data exploitation: a safety issue</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_Toc50373289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12</w:t>
            </w:r>
            <w:r w:rsidR="00A74F76" w:rsidRPr="00A74F76">
              <w:rPr>
                <w:rFonts w:ascii="Gilroy" w:hAnsi="Gilroy"/>
                <w:noProof/>
                <w:webHidden/>
                <w:sz w:val="22"/>
                <w:szCs w:val="22"/>
              </w:rPr>
              <w:fldChar w:fldCharType="end"/>
            </w:r>
          </w:hyperlink>
        </w:p>
        <w:p w14:paraId="06932BA7" w14:textId="38E4346D" w:rsidR="00A74F76" w:rsidRPr="00A74F76" w:rsidRDefault="009A256D">
          <w:pPr>
            <w:pStyle w:val="TOC1"/>
            <w:tabs>
              <w:tab w:val="left" w:pos="720"/>
              <w:tab w:val="right" w:leader="dot" w:pos="9010"/>
            </w:tabs>
            <w:rPr>
              <w:rFonts w:ascii="Gilroy" w:eastAsiaTheme="minorEastAsia" w:hAnsi="Gilroy" w:cstheme="minorBidi"/>
              <w:b w:val="0"/>
              <w:bCs w:val="0"/>
              <w:i w:val="0"/>
              <w:iCs w:val="0"/>
              <w:noProof/>
              <w:sz w:val="22"/>
              <w:szCs w:val="22"/>
            </w:rPr>
          </w:pPr>
          <w:hyperlink w:anchor="_Toc50373291" w:history="1">
            <w:r w:rsidR="00A74F76" w:rsidRPr="00A74F76">
              <w:rPr>
                <w:rStyle w:val="Hyperlink"/>
                <w:rFonts w:ascii="Gilroy" w:hAnsi="Gilroy"/>
                <w:noProof/>
                <w:sz w:val="22"/>
                <w:szCs w:val="22"/>
              </w:rPr>
              <w:t>IV)</w:t>
            </w:r>
            <w:r w:rsidR="00A74F76" w:rsidRPr="00A74F76">
              <w:rPr>
                <w:rFonts w:ascii="Gilroy" w:eastAsiaTheme="minorEastAsia" w:hAnsi="Gilroy" w:cstheme="minorBidi"/>
                <w:b w:val="0"/>
                <w:bCs w:val="0"/>
                <w:i w:val="0"/>
                <w:iCs w:val="0"/>
                <w:noProof/>
                <w:sz w:val="22"/>
                <w:szCs w:val="22"/>
              </w:rPr>
              <w:tab/>
            </w:r>
            <w:r w:rsidR="00A74F76" w:rsidRPr="00A74F76">
              <w:rPr>
                <w:rStyle w:val="Hyperlink"/>
                <w:rFonts w:ascii="Gilroy" w:hAnsi="Gilroy"/>
                <w:noProof/>
                <w:sz w:val="22"/>
                <w:szCs w:val="22"/>
              </w:rPr>
              <w:t>Privacy violations as modern instances of gender-based violence</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_Toc50373291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14</w:t>
            </w:r>
            <w:r w:rsidR="00A74F76" w:rsidRPr="00A74F76">
              <w:rPr>
                <w:rFonts w:ascii="Gilroy" w:hAnsi="Gilroy"/>
                <w:noProof/>
                <w:webHidden/>
                <w:sz w:val="22"/>
                <w:szCs w:val="22"/>
              </w:rPr>
              <w:fldChar w:fldCharType="end"/>
            </w:r>
          </w:hyperlink>
        </w:p>
        <w:p w14:paraId="56FE54A6" w14:textId="38F25C00"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92" w:history="1">
            <w:r w:rsidR="00A74F76" w:rsidRPr="00A74F76">
              <w:rPr>
                <w:rStyle w:val="Hyperlink"/>
                <w:rFonts w:ascii="Gilroy" w:hAnsi="Gilroy"/>
                <w:noProof/>
                <w:sz w:val="22"/>
                <w:szCs w:val="22"/>
              </w:rPr>
              <w:t>Data exploitative practices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_Toc50373292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14</w:t>
            </w:r>
            <w:r w:rsidR="00A74F76" w:rsidRPr="00A74F76">
              <w:rPr>
                <w:rFonts w:ascii="Gilroy" w:hAnsi="Gilroy"/>
                <w:noProof/>
                <w:webHidden/>
                <w:sz w:val="22"/>
                <w:szCs w:val="22"/>
              </w:rPr>
              <w:fldChar w:fldCharType="end"/>
            </w:r>
          </w:hyperlink>
        </w:p>
        <w:p w14:paraId="760239DF" w14:textId="1FF09305"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93" w:history="1">
            <w:r w:rsidR="00A74F76" w:rsidRPr="00A74F76">
              <w:rPr>
                <w:rStyle w:val="Hyperlink"/>
                <w:rFonts w:ascii="Gilroy" w:hAnsi="Gilroy"/>
                <w:noProof/>
                <w:sz w:val="22"/>
                <w:szCs w:val="22"/>
              </w:rPr>
              <w:t>Revenge pornography</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_Toc50373293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15</w:t>
            </w:r>
            <w:r w:rsidR="00A74F76" w:rsidRPr="00A74F76">
              <w:rPr>
                <w:rFonts w:ascii="Gilroy" w:hAnsi="Gilroy"/>
                <w:noProof/>
                <w:webHidden/>
                <w:sz w:val="22"/>
                <w:szCs w:val="22"/>
              </w:rPr>
              <w:fldChar w:fldCharType="end"/>
            </w:r>
          </w:hyperlink>
        </w:p>
        <w:p w14:paraId="4E730A7C" w14:textId="4E965CF7"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94" w:history="1">
            <w:r w:rsidR="00A74F76" w:rsidRPr="00A74F76">
              <w:rPr>
                <w:rStyle w:val="Hyperlink"/>
                <w:rFonts w:ascii="Gilroy" w:hAnsi="Gilroy"/>
                <w:noProof/>
                <w:sz w:val="22"/>
                <w:szCs w:val="22"/>
              </w:rPr>
              <w:t>Stalkerware</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_Toc50373294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16</w:t>
            </w:r>
            <w:r w:rsidR="00A74F76" w:rsidRPr="00A74F76">
              <w:rPr>
                <w:rFonts w:ascii="Gilroy" w:hAnsi="Gilroy"/>
                <w:noProof/>
                <w:webHidden/>
                <w:sz w:val="22"/>
                <w:szCs w:val="22"/>
              </w:rPr>
              <w:fldChar w:fldCharType="end"/>
            </w:r>
          </w:hyperlink>
        </w:p>
        <w:p w14:paraId="2E66153C" w14:textId="3DC02F6F" w:rsidR="00A74F76" w:rsidRPr="00A74F76" w:rsidRDefault="009A256D">
          <w:pPr>
            <w:pStyle w:val="TOC1"/>
            <w:tabs>
              <w:tab w:val="left" w:pos="480"/>
              <w:tab w:val="right" w:leader="dot" w:pos="9010"/>
            </w:tabs>
            <w:rPr>
              <w:rFonts w:ascii="Gilroy" w:eastAsiaTheme="minorEastAsia" w:hAnsi="Gilroy" w:cstheme="minorBidi"/>
              <w:b w:val="0"/>
              <w:bCs w:val="0"/>
              <w:i w:val="0"/>
              <w:iCs w:val="0"/>
              <w:noProof/>
              <w:sz w:val="22"/>
              <w:szCs w:val="22"/>
            </w:rPr>
          </w:pPr>
          <w:hyperlink w:anchor="_Toc50373295" w:history="1">
            <w:r w:rsidR="00A74F76" w:rsidRPr="00A74F76">
              <w:rPr>
                <w:rStyle w:val="Hyperlink"/>
                <w:rFonts w:ascii="Gilroy" w:hAnsi="Gilroy"/>
                <w:noProof/>
                <w:spacing w:val="5"/>
                <w:sz w:val="22"/>
                <w:szCs w:val="22"/>
              </w:rPr>
              <w:t>V)</w:t>
            </w:r>
            <w:r w:rsidR="00A74F76" w:rsidRPr="00A74F76">
              <w:rPr>
                <w:rFonts w:ascii="Gilroy" w:eastAsiaTheme="minorEastAsia" w:hAnsi="Gilroy" w:cstheme="minorBidi"/>
                <w:b w:val="0"/>
                <w:bCs w:val="0"/>
                <w:i w:val="0"/>
                <w:iCs w:val="0"/>
                <w:noProof/>
                <w:sz w:val="22"/>
                <w:szCs w:val="22"/>
              </w:rPr>
              <w:tab/>
            </w:r>
            <w:r w:rsidR="00A74F76" w:rsidRPr="00A74F76">
              <w:rPr>
                <w:rStyle w:val="Hyperlink"/>
                <w:rFonts w:ascii="Gilroy" w:hAnsi="Gilroy"/>
                <w:noProof/>
                <w:sz w:val="22"/>
                <w:szCs w:val="22"/>
              </w:rPr>
              <w:t>Pregnancy-related health services, including pre- and post-natal care, assistance during child-birth, and emergency obstetric care</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_Toc50373295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16</w:t>
            </w:r>
            <w:r w:rsidR="00A74F76" w:rsidRPr="00A74F76">
              <w:rPr>
                <w:rFonts w:ascii="Gilroy" w:hAnsi="Gilroy"/>
                <w:noProof/>
                <w:webHidden/>
                <w:sz w:val="22"/>
                <w:szCs w:val="22"/>
              </w:rPr>
              <w:fldChar w:fldCharType="end"/>
            </w:r>
          </w:hyperlink>
        </w:p>
        <w:p w14:paraId="1D495EA3" w14:textId="4575882C"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96" w:history="1">
            <w:r w:rsidR="00A74F76" w:rsidRPr="00A74F76">
              <w:rPr>
                <w:rStyle w:val="Hyperlink"/>
                <w:rFonts w:ascii="Gilroy" w:hAnsi="Gilroy"/>
                <w:noProof/>
                <w:sz w:val="22"/>
                <w:szCs w:val="22"/>
              </w:rPr>
              <w:t>Absence of human rights and privacy considerations in the implementation of RMNCH services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_Toc50373296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17</w:t>
            </w:r>
            <w:r w:rsidR="00A74F76" w:rsidRPr="00A74F76">
              <w:rPr>
                <w:rFonts w:ascii="Gilroy" w:hAnsi="Gilroy"/>
                <w:noProof/>
                <w:webHidden/>
                <w:sz w:val="22"/>
                <w:szCs w:val="22"/>
              </w:rPr>
              <w:fldChar w:fldCharType="end"/>
            </w:r>
          </w:hyperlink>
        </w:p>
        <w:p w14:paraId="22C063C4" w14:textId="1811A397"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97" w:history="1">
            <w:r w:rsidR="00A74F76" w:rsidRPr="00A74F76">
              <w:rPr>
                <w:rStyle w:val="Hyperlink"/>
                <w:rFonts w:ascii="Gilroy" w:hAnsi="Gilroy"/>
                <w:noProof/>
                <w:sz w:val="22"/>
                <w:szCs w:val="22"/>
              </w:rPr>
              <w:t>Risks stemming from regulatory gaps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_Toc50373297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18</w:t>
            </w:r>
            <w:r w:rsidR="00A74F76" w:rsidRPr="00A74F76">
              <w:rPr>
                <w:rFonts w:ascii="Gilroy" w:hAnsi="Gilroy"/>
                <w:noProof/>
                <w:webHidden/>
                <w:sz w:val="22"/>
                <w:szCs w:val="22"/>
              </w:rPr>
              <w:fldChar w:fldCharType="end"/>
            </w:r>
          </w:hyperlink>
        </w:p>
        <w:p w14:paraId="49C013CB" w14:textId="3E4F0546" w:rsidR="00A74F76" w:rsidRPr="00A74F76" w:rsidRDefault="009A256D">
          <w:pPr>
            <w:pStyle w:val="TOC3"/>
            <w:tabs>
              <w:tab w:val="right" w:leader="dot" w:pos="9010"/>
            </w:tabs>
            <w:rPr>
              <w:rFonts w:ascii="Gilroy" w:eastAsiaTheme="minorEastAsia" w:hAnsi="Gilroy" w:cstheme="minorBidi"/>
              <w:noProof/>
              <w:sz w:val="22"/>
              <w:szCs w:val="22"/>
            </w:rPr>
          </w:pPr>
          <w:hyperlink w:anchor="_Toc50373298" w:history="1">
            <w:r w:rsidR="00A74F76" w:rsidRPr="00A74F76">
              <w:rPr>
                <w:rStyle w:val="Hyperlink"/>
                <w:rFonts w:ascii="Gilroy" w:hAnsi="Gilroy"/>
                <w:noProof/>
                <w:sz w:val="22"/>
                <w:szCs w:val="22"/>
              </w:rPr>
              <w:t>Challenges specific to fragile environments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_Toc50373298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18</w:t>
            </w:r>
            <w:r w:rsidR="00A74F76" w:rsidRPr="00A74F76">
              <w:rPr>
                <w:rFonts w:ascii="Gilroy" w:hAnsi="Gilroy"/>
                <w:noProof/>
                <w:webHidden/>
                <w:sz w:val="22"/>
                <w:szCs w:val="22"/>
              </w:rPr>
              <w:fldChar w:fldCharType="end"/>
            </w:r>
          </w:hyperlink>
        </w:p>
        <w:p w14:paraId="68C4386C" w14:textId="67E428FA" w:rsidR="00A74F76" w:rsidRPr="00A74F76" w:rsidRDefault="009A256D">
          <w:pPr>
            <w:pStyle w:val="TOC1"/>
            <w:tabs>
              <w:tab w:val="left" w:pos="720"/>
              <w:tab w:val="right" w:leader="dot" w:pos="9010"/>
            </w:tabs>
            <w:rPr>
              <w:rFonts w:ascii="Gilroy" w:eastAsiaTheme="minorEastAsia" w:hAnsi="Gilroy" w:cstheme="minorBidi"/>
              <w:b w:val="0"/>
              <w:bCs w:val="0"/>
              <w:i w:val="0"/>
              <w:iCs w:val="0"/>
              <w:noProof/>
              <w:sz w:val="22"/>
              <w:szCs w:val="22"/>
            </w:rPr>
          </w:pPr>
          <w:hyperlink w:anchor="_Toc50373299" w:history="1">
            <w:r w:rsidR="00A74F76" w:rsidRPr="00A74F76">
              <w:rPr>
                <w:rStyle w:val="Hyperlink"/>
                <w:rFonts w:ascii="Gilroy" w:hAnsi="Gilroy"/>
                <w:noProof/>
                <w:sz w:val="22"/>
                <w:szCs w:val="22"/>
              </w:rPr>
              <w:t>VI)</w:t>
            </w:r>
            <w:r w:rsidR="00A74F76" w:rsidRPr="00A74F76">
              <w:rPr>
                <w:rFonts w:ascii="Gilroy" w:eastAsiaTheme="minorEastAsia" w:hAnsi="Gilroy" w:cstheme="minorBidi"/>
                <w:b w:val="0"/>
                <w:bCs w:val="0"/>
                <w:i w:val="0"/>
                <w:iCs w:val="0"/>
                <w:noProof/>
                <w:sz w:val="22"/>
                <w:szCs w:val="22"/>
              </w:rPr>
              <w:tab/>
            </w:r>
            <w:r w:rsidR="00A74F76" w:rsidRPr="00A74F76">
              <w:rPr>
                <w:rStyle w:val="Hyperlink"/>
                <w:rFonts w:ascii="Gilroy" w:hAnsi="Gilroy"/>
                <w:noProof/>
                <w:sz w:val="22"/>
                <w:szCs w:val="22"/>
              </w:rPr>
              <w:t>Legal and policy safeguards against abuses and delays in the provision of SRH services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_Toc50373299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20</w:t>
            </w:r>
            <w:r w:rsidR="00A74F76" w:rsidRPr="00A74F76">
              <w:rPr>
                <w:rFonts w:ascii="Gilroy" w:hAnsi="Gilroy"/>
                <w:noProof/>
                <w:webHidden/>
                <w:sz w:val="22"/>
                <w:szCs w:val="22"/>
              </w:rPr>
              <w:fldChar w:fldCharType="end"/>
            </w:r>
          </w:hyperlink>
        </w:p>
        <w:p w14:paraId="4AB573BB" w14:textId="531D78DB" w:rsidR="00A74F76" w:rsidRPr="00A74F76" w:rsidRDefault="009A256D">
          <w:pPr>
            <w:pStyle w:val="TOC3"/>
            <w:tabs>
              <w:tab w:val="right" w:leader="dot" w:pos="9010"/>
            </w:tabs>
            <w:rPr>
              <w:rFonts w:ascii="Gilroy" w:eastAsiaTheme="minorEastAsia" w:hAnsi="Gilroy" w:cstheme="minorBidi"/>
              <w:noProof/>
              <w:sz w:val="22"/>
              <w:szCs w:val="22"/>
            </w:rPr>
          </w:pPr>
          <w:hyperlink w:anchor="_Toc50373300" w:history="1">
            <w:r w:rsidR="00A74F76" w:rsidRPr="00A74F76">
              <w:rPr>
                <w:rStyle w:val="Hyperlink"/>
                <w:rFonts w:ascii="Gilroy" w:hAnsi="Gilroy"/>
                <w:noProof/>
                <w:sz w:val="22"/>
                <w:szCs w:val="22"/>
              </w:rPr>
              <w:t>Challenges to patient confidentiality</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_Toc50373300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20</w:t>
            </w:r>
            <w:r w:rsidR="00A74F76" w:rsidRPr="00A74F76">
              <w:rPr>
                <w:rFonts w:ascii="Gilroy" w:hAnsi="Gilroy"/>
                <w:noProof/>
                <w:webHidden/>
                <w:sz w:val="22"/>
                <w:szCs w:val="22"/>
              </w:rPr>
              <w:fldChar w:fldCharType="end"/>
            </w:r>
          </w:hyperlink>
        </w:p>
        <w:p w14:paraId="2E25A760" w14:textId="4D4C37AD" w:rsidR="00A74F76" w:rsidRPr="00A74F76" w:rsidRDefault="009A256D">
          <w:pPr>
            <w:pStyle w:val="TOC3"/>
            <w:tabs>
              <w:tab w:val="right" w:leader="dot" w:pos="9010"/>
            </w:tabs>
            <w:rPr>
              <w:rFonts w:ascii="Gilroy" w:eastAsiaTheme="minorEastAsia" w:hAnsi="Gilroy" w:cstheme="minorBidi"/>
              <w:noProof/>
              <w:sz w:val="22"/>
              <w:szCs w:val="22"/>
            </w:rPr>
          </w:pPr>
          <w:hyperlink w:anchor="_Toc50373301" w:history="1">
            <w:r w:rsidR="00A74F76" w:rsidRPr="00A74F76">
              <w:rPr>
                <w:rStyle w:val="Hyperlink"/>
                <w:rFonts w:ascii="Gilroy" w:hAnsi="Gilroy"/>
                <w:noProof/>
                <w:sz w:val="22"/>
                <w:szCs w:val="22"/>
              </w:rPr>
              <w:t>Abuse of the conscientious objection</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_Toc50373301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20</w:t>
            </w:r>
            <w:r w:rsidR="00A74F76" w:rsidRPr="00A74F76">
              <w:rPr>
                <w:rFonts w:ascii="Gilroy" w:hAnsi="Gilroy"/>
                <w:noProof/>
                <w:webHidden/>
                <w:sz w:val="22"/>
                <w:szCs w:val="22"/>
              </w:rPr>
              <w:fldChar w:fldCharType="end"/>
            </w:r>
          </w:hyperlink>
        </w:p>
        <w:p w14:paraId="7592CA90" w14:textId="37ABD344" w:rsidR="00A74F76" w:rsidRPr="00A74F76" w:rsidRDefault="009A256D">
          <w:pPr>
            <w:pStyle w:val="TOC3"/>
            <w:tabs>
              <w:tab w:val="right" w:leader="dot" w:pos="9010"/>
            </w:tabs>
            <w:rPr>
              <w:rFonts w:ascii="Gilroy" w:eastAsiaTheme="minorEastAsia" w:hAnsi="Gilroy" w:cstheme="minorBidi"/>
              <w:noProof/>
              <w:sz w:val="22"/>
              <w:szCs w:val="22"/>
            </w:rPr>
          </w:pPr>
          <w:hyperlink w:anchor="_Toc50373302" w:history="1">
            <w:r w:rsidR="00A74F76" w:rsidRPr="00A74F76">
              <w:rPr>
                <w:rStyle w:val="Hyperlink"/>
                <w:rFonts w:ascii="Gilroy" w:hAnsi="Gilroy"/>
                <w:noProof/>
                <w:sz w:val="22"/>
                <w:szCs w:val="22"/>
              </w:rPr>
              <w:t>Informed consent</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_Toc50373302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21</w:t>
            </w:r>
            <w:r w:rsidR="00A74F76" w:rsidRPr="00A74F76">
              <w:rPr>
                <w:rFonts w:ascii="Gilroy" w:hAnsi="Gilroy"/>
                <w:noProof/>
                <w:webHidden/>
                <w:sz w:val="22"/>
                <w:szCs w:val="22"/>
              </w:rPr>
              <w:fldChar w:fldCharType="end"/>
            </w:r>
          </w:hyperlink>
        </w:p>
        <w:p w14:paraId="1B71FB76" w14:textId="5AD74A86" w:rsidR="00A74F76" w:rsidRPr="00A74F76" w:rsidRDefault="009A256D">
          <w:pPr>
            <w:pStyle w:val="TOC1"/>
            <w:tabs>
              <w:tab w:val="left" w:pos="720"/>
              <w:tab w:val="right" w:leader="dot" w:pos="9010"/>
            </w:tabs>
            <w:rPr>
              <w:rFonts w:ascii="Gilroy" w:eastAsiaTheme="minorEastAsia" w:hAnsi="Gilroy" w:cstheme="minorBidi"/>
              <w:b w:val="0"/>
              <w:bCs w:val="0"/>
              <w:i w:val="0"/>
              <w:iCs w:val="0"/>
              <w:noProof/>
              <w:sz w:val="22"/>
              <w:szCs w:val="22"/>
            </w:rPr>
          </w:pPr>
          <w:hyperlink w:anchor="_Toc50373303" w:history="1">
            <w:r w:rsidR="00A74F76" w:rsidRPr="00A74F76">
              <w:rPr>
                <w:rStyle w:val="Hyperlink"/>
                <w:rFonts w:ascii="Gilroy" w:hAnsi="Gilroy"/>
                <w:noProof/>
                <w:sz w:val="22"/>
                <w:szCs w:val="22"/>
              </w:rPr>
              <w:t>VII)</w:t>
            </w:r>
            <w:r w:rsidR="00A74F76" w:rsidRPr="00A74F76">
              <w:rPr>
                <w:rFonts w:ascii="Gilroy" w:eastAsiaTheme="minorEastAsia" w:hAnsi="Gilroy" w:cstheme="minorBidi"/>
                <w:b w:val="0"/>
                <w:bCs w:val="0"/>
                <w:i w:val="0"/>
                <w:iCs w:val="0"/>
                <w:noProof/>
                <w:sz w:val="22"/>
                <w:szCs w:val="22"/>
              </w:rPr>
              <w:tab/>
            </w:r>
            <w:r w:rsidR="00A74F76" w:rsidRPr="00A74F76">
              <w:rPr>
                <w:rStyle w:val="Hyperlink"/>
                <w:rFonts w:ascii="Gilroy" w:hAnsi="Gilroy"/>
                <w:noProof/>
                <w:sz w:val="22"/>
                <w:szCs w:val="22"/>
              </w:rPr>
              <w:t>Groups of women disproportionately affected by restrictions on the exercise of reproductive rights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_Toc50373303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22</w:t>
            </w:r>
            <w:r w:rsidR="00A74F76" w:rsidRPr="00A74F76">
              <w:rPr>
                <w:rFonts w:ascii="Gilroy" w:hAnsi="Gilroy"/>
                <w:noProof/>
                <w:webHidden/>
                <w:sz w:val="22"/>
                <w:szCs w:val="22"/>
              </w:rPr>
              <w:fldChar w:fldCharType="end"/>
            </w:r>
          </w:hyperlink>
        </w:p>
        <w:p w14:paraId="7EC8AF29" w14:textId="56273831" w:rsidR="00A74F76" w:rsidRPr="00A74F76" w:rsidRDefault="009A256D">
          <w:pPr>
            <w:pStyle w:val="TOC3"/>
            <w:tabs>
              <w:tab w:val="right" w:leader="dot" w:pos="9010"/>
            </w:tabs>
            <w:rPr>
              <w:rFonts w:ascii="Gilroy" w:eastAsiaTheme="minorEastAsia" w:hAnsi="Gilroy" w:cstheme="minorBidi"/>
              <w:noProof/>
              <w:sz w:val="22"/>
              <w:szCs w:val="22"/>
            </w:rPr>
          </w:pPr>
          <w:hyperlink w:anchor="_Toc50373304" w:history="1">
            <w:r w:rsidR="00A74F76" w:rsidRPr="00A74F76">
              <w:rPr>
                <w:rStyle w:val="Hyperlink"/>
                <w:rFonts w:ascii="Gilroy" w:hAnsi="Gilroy"/>
                <w:noProof/>
                <w:sz w:val="22"/>
                <w:szCs w:val="22"/>
              </w:rPr>
              <w:t>Migrant women</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_Toc50373304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22</w:t>
            </w:r>
            <w:r w:rsidR="00A74F76" w:rsidRPr="00A74F76">
              <w:rPr>
                <w:rFonts w:ascii="Gilroy" w:hAnsi="Gilroy"/>
                <w:noProof/>
                <w:webHidden/>
                <w:sz w:val="22"/>
                <w:szCs w:val="22"/>
              </w:rPr>
              <w:fldChar w:fldCharType="end"/>
            </w:r>
          </w:hyperlink>
        </w:p>
        <w:p w14:paraId="73F4BB2B" w14:textId="532BDB82" w:rsidR="00A74F76" w:rsidRPr="00A74F76" w:rsidRDefault="009A256D">
          <w:pPr>
            <w:pStyle w:val="TOC3"/>
            <w:tabs>
              <w:tab w:val="right" w:leader="dot" w:pos="9010"/>
            </w:tabs>
            <w:rPr>
              <w:rFonts w:ascii="Gilroy" w:eastAsiaTheme="minorEastAsia" w:hAnsi="Gilroy" w:cstheme="minorBidi"/>
              <w:noProof/>
              <w:sz w:val="22"/>
              <w:szCs w:val="22"/>
            </w:rPr>
          </w:pPr>
          <w:hyperlink w:anchor="_Toc50373305" w:history="1">
            <w:r w:rsidR="00A74F76" w:rsidRPr="00A74F76">
              <w:rPr>
                <w:rStyle w:val="Hyperlink"/>
                <w:rFonts w:ascii="Gilroy" w:hAnsi="Gilroy"/>
                <w:noProof/>
                <w:sz w:val="22"/>
                <w:szCs w:val="22"/>
              </w:rPr>
              <w:t>Rural women</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_Toc50373305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22</w:t>
            </w:r>
            <w:r w:rsidR="00A74F76" w:rsidRPr="00A74F76">
              <w:rPr>
                <w:rFonts w:ascii="Gilroy" w:hAnsi="Gilroy"/>
                <w:noProof/>
                <w:webHidden/>
                <w:sz w:val="22"/>
                <w:szCs w:val="22"/>
              </w:rPr>
              <w:fldChar w:fldCharType="end"/>
            </w:r>
          </w:hyperlink>
        </w:p>
        <w:p w14:paraId="0EBD4374" w14:textId="540EC2EB" w:rsidR="00A74F76" w:rsidRPr="00A74F76" w:rsidRDefault="009A256D">
          <w:pPr>
            <w:pStyle w:val="TOC3"/>
            <w:tabs>
              <w:tab w:val="right" w:leader="dot" w:pos="9010"/>
            </w:tabs>
            <w:rPr>
              <w:rFonts w:ascii="Gilroy" w:eastAsiaTheme="minorEastAsia" w:hAnsi="Gilroy" w:cstheme="minorBidi"/>
              <w:noProof/>
              <w:sz w:val="22"/>
              <w:szCs w:val="22"/>
            </w:rPr>
          </w:pPr>
          <w:hyperlink w:anchor="_Toc50373306" w:history="1">
            <w:r w:rsidR="00A74F76" w:rsidRPr="00A74F76">
              <w:rPr>
                <w:rStyle w:val="Hyperlink"/>
                <w:rFonts w:ascii="Gilroy" w:hAnsi="Gilroy"/>
                <w:noProof/>
                <w:sz w:val="22"/>
                <w:szCs w:val="22"/>
              </w:rPr>
              <w:t>Trans women</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_Toc50373306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22</w:t>
            </w:r>
            <w:r w:rsidR="00A74F76" w:rsidRPr="00A74F76">
              <w:rPr>
                <w:rFonts w:ascii="Gilroy" w:hAnsi="Gilroy"/>
                <w:noProof/>
                <w:webHidden/>
                <w:sz w:val="22"/>
                <w:szCs w:val="22"/>
              </w:rPr>
              <w:fldChar w:fldCharType="end"/>
            </w:r>
          </w:hyperlink>
        </w:p>
        <w:p w14:paraId="0DD18319" w14:textId="41D89D2B" w:rsidR="00A74F76" w:rsidRPr="00A74F76" w:rsidRDefault="009A256D">
          <w:pPr>
            <w:pStyle w:val="TOC3"/>
            <w:tabs>
              <w:tab w:val="right" w:leader="dot" w:pos="9010"/>
            </w:tabs>
            <w:rPr>
              <w:rFonts w:ascii="Gilroy" w:eastAsiaTheme="minorEastAsia" w:hAnsi="Gilroy" w:cstheme="minorBidi"/>
              <w:noProof/>
              <w:sz w:val="22"/>
              <w:szCs w:val="22"/>
            </w:rPr>
          </w:pPr>
          <w:hyperlink w:anchor="_Toc50373307" w:history="1">
            <w:r w:rsidR="00A74F76" w:rsidRPr="00A74F76">
              <w:rPr>
                <w:rStyle w:val="Hyperlink"/>
                <w:rFonts w:ascii="Gilroy" w:hAnsi="Gilroy"/>
                <w:noProof/>
                <w:sz w:val="22"/>
                <w:szCs w:val="22"/>
              </w:rPr>
              <w:t>Domestic and sexual violence survivors</w:t>
            </w:r>
            <w:r w:rsidR="00A74F76" w:rsidRPr="00A74F76">
              <w:rPr>
                <w:rFonts w:ascii="Gilroy" w:hAnsi="Gilroy"/>
                <w:noProof/>
                <w:webHidden/>
                <w:sz w:val="22"/>
                <w:szCs w:val="22"/>
              </w:rPr>
              <w:tab/>
            </w:r>
            <w:r w:rsidR="00A74F76" w:rsidRPr="00A74F76">
              <w:rPr>
                <w:rFonts w:ascii="Gilroy" w:hAnsi="Gilroy"/>
                <w:noProof/>
                <w:webHidden/>
                <w:sz w:val="22"/>
                <w:szCs w:val="22"/>
              </w:rPr>
              <w:fldChar w:fldCharType="begin"/>
            </w:r>
            <w:r w:rsidR="00A74F76" w:rsidRPr="00A74F76">
              <w:rPr>
                <w:rFonts w:ascii="Gilroy" w:hAnsi="Gilroy"/>
                <w:noProof/>
                <w:webHidden/>
                <w:sz w:val="22"/>
                <w:szCs w:val="22"/>
              </w:rPr>
              <w:instrText xml:space="preserve"> PAGEREF _Toc50373307 \h </w:instrText>
            </w:r>
            <w:r w:rsidR="00A74F76" w:rsidRPr="00A74F76">
              <w:rPr>
                <w:rFonts w:ascii="Gilroy" w:hAnsi="Gilroy"/>
                <w:noProof/>
                <w:webHidden/>
                <w:sz w:val="22"/>
                <w:szCs w:val="22"/>
              </w:rPr>
            </w:r>
            <w:r w:rsidR="00A74F76" w:rsidRPr="00A74F76">
              <w:rPr>
                <w:rFonts w:ascii="Gilroy" w:hAnsi="Gilroy"/>
                <w:noProof/>
                <w:webHidden/>
                <w:sz w:val="22"/>
                <w:szCs w:val="22"/>
              </w:rPr>
              <w:fldChar w:fldCharType="separate"/>
            </w:r>
            <w:r w:rsidR="00577754">
              <w:rPr>
                <w:rFonts w:ascii="Gilroy" w:hAnsi="Gilroy"/>
                <w:noProof/>
                <w:webHidden/>
                <w:sz w:val="22"/>
                <w:szCs w:val="22"/>
              </w:rPr>
              <w:t>23</w:t>
            </w:r>
            <w:r w:rsidR="00A74F76" w:rsidRPr="00A74F76">
              <w:rPr>
                <w:rFonts w:ascii="Gilroy" w:hAnsi="Gilroy"/>
                <w:noProof/>
                <w:webHidden/>
                <w:sz w:val="22"/>
                <w:szCs w:val="22"/>
              </w:rPr>
              <w:fldChar w:fldCharType="end"/>
            </w:r>
          </w:hyperlink>
        </w:p>
        <w:p w14:paraId="5FA50E57" w14:textId="399F1446" w:rsidR="00EC43E9" w:rsidRPr="00A74F76" w:rsidRDefault="00EC43E9">
          <w:pPr>
            <w:rPr>
              <w:rFonts w:ascii="Gilroy" w:hAnsi="Gilroy"/>
              <w:sz w:val="22"/>
              <w:szCs w:val="22"/>
            </w:rPr>
          </w:pPr>
          <w:r w:rsidRPr="00A74F76">
            <w:rPr>
              <w:rFonts w:ascii="Gilroy" w:hAnsi="Gilroy"/>
              <w:b/>
              <w:bCs/>
              <w:noProof/>
              <w:sz w:val="22"/>
              <w:szCs w:val="22"/>
            </w:rPr>
            <w:fldChar w:fldCharType="end"/>
          </w:r>
        </w:p>
      </w:sdtContent>
    </w:sdt>
    <w:p w14:paraId="0193854D" w14:textId="136D7BA5" w:rsidR="00EC43E9" w:rsidRPr="00A74F76" w:rsidRDefault="00EC43E9">
      <w:pPr>
        <w:rPr>
          <w:rFonts w:ascii="Gilroy" w:eastAsiaTheme="majorEastAsia" w:hAnsi="Gilroy" w:cstheme="majorBidi"/>
          <w:color w:val="2F5496" w:themeColor="accent1" w:themeShade="BF"/>
          <w:sz w:val="22"/>
          <w:szCs w:val="22"/>
        </w:rPr>
      </w:pPr>
      <w:r w:rsidRPr="00A74F76">
        <w:rPr>
          <w:rFonts w:ascii="Gilroy" w:hAnsi="Gilroy"/>
          <w:sz w:val="22"/>
          <w:szCs w:val="22"/>
        </w:rPr>
        <w:br w:type="page"/>
      </w:r>
    </w:p>
    <w:p w14:paraId="2E91E4DE" w14:textId="0077736B" w:rsidR="00CC02A3" w:rsidRPr="00A74F76" w:rsidRDefault="00CC02A3" w:rsidP="00CC02A3">
      <w:pPr>
        <w:pStyle w:val="Heading1"/>
        <w:rPr>
          <w:rFonts w:ascii="Gilroy" w:hAnsi="Gilroy"/>
          <w:sz w:val="22"/>
          <w:szCs w:val="22"/>
        </w:rPr>
      </w:pPr>
      <w:bookmarkStart w:id="0" w:name="_Toc50373275"/>
      <w:r w:rsidRPr="00A74F76">
        <w:rPr>
          <w:rFonts w:ascii="Gilroy" w:hAnsi="Gilroy"/>
          <w:sz w:val="22"/>
          <w:szCs w:val="22"/>
        </w:rPr>
        <w:lastRenderedPageBreak/>
        <w:t>Introduction</w:t>
      </w:r>
      <w:bookmarkEnd w:id="0"/>
    </w:p>
    <w:p w14:paraId="2E05D81D" w14:textId="77777777" w:rsidR="00CC02A3" w:rsidRPr="00A74F76" w:rsidRDefault="00CC02A3" w:rsidP="00CC02A3">
      <w:pPr>
        <w:pStyle w:val="part"/>
        <w:spacing w:before="0" w:beforeAutospacing="0" w:after="0" w:afterAutospacing="0"/>
        <w:jc w:val="both"/>
        <w:rPr>
          <w:rFonts w:ascii="Gilroy" w:hAnsi="Gilroy" w:cs="Segoe UI"/>
          <w:color w:val="000000" w:themeColor="text1"/>
          <w:spacing w:val="5"/>
          <w:sz w:val="22"/>
          <w:szCs w:val="22"/>
        </w:rPr>
      </w:pPr>
    </w:p>
    <w:p w14:paraId="3140A49B" w14:textId="77777777" w:rsidR="00CC02A3" w:rsidRPr="00A74F76" w:rsidRDefault="00CC02A3" w:rsidP="00CC02A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Governments around the world have embraced digital innovations to help progressively</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realize social, economic and cultural rights, including for sexual and reproductive healthcare. Yet women continue not to enjoy these health rights equally, including health, and sexual and reproductive rights, where they experience numerous violations, as</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evidenced by unacceptably high maternal mortality and morbidity rates around the world.</w:t>
      </w:r>
      <w:r w:rsidRPr="00A74F76">
        <w:rPr>
          <w:rStyle w:val="FootnoteReference"/>
          <w:rFonts w:ascii="Gilroy" w:hAnsi="Gilroy" w:cs="Segoe UI"/>
          <w:color w:val="000000" w:themeColor="text1"/>
          <w:spacing w:val="5"/>
          <w:sz w:val="22"/>
          <w:szCs w:val="22"/>
        </w:rPr>
        <w:footnoteReference w:id="6"/>
      </w:r>
      <w:r w:rsidRPr="00A74F76">
        <w:rPr>
          <w:rFonts w:ascii="Gilroy" w:hAnsi="Gilroy" w:cs="Segoe UI"/>
          <w:color w:val="000000" w:themeColor="text1"/>
          <w:spacing w:val="5"/>
          <w:sz w:val="22"/>
          <w:szCs w:val="22"/>
        </w:rPr>
        <w:t xml:space="preserve"> There is no question that technology can help governments to ensure effective access and delivery of reproductive, maternal, </w:t>
      </w:r>
      <w:proofErr w:type="spellStart"/>
      <w:r w:rsidRPr="00A74F76">
        <w:rPr>
          <w:rFonts w:ascii="Gilroy" w:hAnsi="Gilroy" w:cs="Segoe UI"/>
          <w:color w:val="000000" w:themeColor="text1"/>
          <w:spacing w:val="5"/>
          <w:sz w:val="22"/>
          <w:szCs w:val="22"/>
        </w:rPr>
        <w:t>newborn</w:t>
      </w:r>
      <w:proofErr w:type="spellEnd"/>
      <w:r w:rsidRPr="00A74F76">
        <w:rPr>
          <w:rFonts w:ascii="Gilroy" w:hAnsi="Gilroy" w:cs="Segoe UI"/>
          <w:color w:val="000000" w:themeColor="text1"/>
          <w:spacing w:val="5"/>
          <w:sz w:val="22"/>
          <w:szCs w:val="22"/>
        </w:rPr>
        <w:t xml:space="preserve"> and child health (RMNCH) services, but adequate safeguards are needed to mitigate risks and to ensure the roles and obligations of different stakeholders are complied with.</w:t>
      </w:r>
    </w:p>
    <w:p w14:paraId="17F7A082" w14:textId="77777777" w:rsidR="00CC02A3" w:rsidRPr="00A74F76" w:rsidRDefault="00CC02A3" w:rsidP="00CC02A3">
      <w:pPr>
        <w:pStyle w:val="part"/>
        <w:spacing w:before="0" w:beforeAutospacing="0" w:after="0" w:afterAutospacing="0"/>
        <w:jc w:val="both"/>
        <w:rPr>
          <w:rFonts w:ascii="Gilroy" w:hAnsi="Gilroy" w:cs="Segoe UI"/>
          <w:color w:val="000000" w:themeColor="text1"/>
          <w:spacing w:val="5"/>
          <w:sz w:val="22"/>
          <w:szCs w:val="22"/>
        </w:rPr>
      </w:pPr>
    </w:p>
    <w:p w14:paraId="4BADA25B" w14:textId="2072106C" w:rsidR="00145D82" w:rsidRPr="00A74F76" w:rsidRDefault="00CC02A3" w:rsidP="00CC02A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Digital initiatives create some key concerns in relation to the protection, respect and promotion of the right to privacy as provided for by international and national declarations, as well as in relation to the effective exercise of reproductive and sexual rights. As the systems being deployed interfere with individuals’ privacy, they need to meet overarching principles of legality, necessity and proportionality, and additional implications on non-discrimination and equality. </w:t>
      </w:r>
    </w:p>
    <w:p w14:paraId="52ECC73D" w14:textId="60A45E5A" w:rsidR="00CC02A3" w:rsidRPr="00A74F76" w:rsidRDefault="00CC02A3" w:rsidP="00CC02A3">
      <w:pPr>
        <w:pStyle w:val="part"/>
        <w:spacing w:before="0" w:beforeAutospacing="0" w:after="0" w:afterAutospacing="0"/>
        <w:jc w:val="both"/>
        <w:rPr>
          <w:rFonts w:ascii="Gilroy" w:hAnsi="Gilroy" w:cs="Segoe UI"/>
          <w:color w:val="000000" w:themeColor="text1"/>
          <w:spacing w:val="5"/>
          <w:sz w:val="22"/>
          <w:szCs w:val="22"/>
        </w:rPr>
      </w:pPr>
    </w:p>
    <w:p w14:paraId="3C1AC0B7" w14:textId="0FB17751" w:rsidR="00CC02A3" w:rsidRPr="00A74F76" w:rsidRDefault="00CC02A3" w:rsidP="00CC02A3">
      <w:pPr>
        <w:jc w:val="both"/>
        <w:rPr>
          <w:rFonts w:ascii="Gilroy" w:hAnsi="Gilroy"/>
          <w:color w:val="000000" w:themeColor="text1"/>
          <w:sz w:val="22"/>
          <w:szCs w:val="22"/>
        </w:rPr>
      </w:pPr>
      <w:r w:rsidRPr="00A74F76">
        <w:rPr>
          <w:rFonts w:ascii="Gilroy" w:hAnsi="Gilroy"/>
          <w:color w:val="000000" w:themeColor="text1"/>
          <w:sz w:val="22"/>
          <w:szCs w:val="22"/>
        </w:rPr>
        <w:t xml:space="preserve">The issues highlighted in the following paragraphs are concerning at the best of times. However, all of them are exacerbated in times of crisis. For example: </w:t>
      </w:r>
    </w:p>
    <w:p w14:paraId="695FF263" w14:textId="45C9552B" w:rsidR="00CC02A3" w:rsidRPr="00A74F76" w:rsidRDefault="00CC02A3" w:rsidP="00CC02A3">
      <w:pPr>
        <w:pStyle w:val="ListParagraph"/>
        <w:numPr>
          <w:ilvl w:val="0"/>
          <w:numId w:val="22"/>
        </w:numPr>
        <w:jc w:val="both"/>
        <w:rPr>
          <w:rFonts w:ascii="Gilroy" w:hAnsi="Gilroy"/>
          <w:color w:val="000000" w:themeColor="text1"/>
          <w:sz w:val="22"/>
          <w:szCs w:val="22"/>
        </w:rPr>
      </w:pPr>
      <w:r w:rsidRPr="00A74F76">
        <w:rPr>
          <w:rFonts w:ascii="Gilroy" w:hAnsi="Gilroy"/>
          <w:color w:val="000000" w:themeColor="text1"/>
          <w:sz w:val="22"/>
          <w:szCs w:val="22"/>
        </w:rPr>
        <w:t>T</w:t>
      </w:r>
      <w:r w:rsidRPr="00581B4D">
        <w:rPr>
          <w:rFonts w:ascii="Gilroy" w:hAnsi="Gilroy"/>
          <w:color w:val="000000" w:themeColor="text1"/>
          <w:sz w:val="22"/>
          <w:szCs w:val="22"/>
        </w:rPr>
        <w:t xml:space="preserve">he pandemic has resulted in increased reliance on online services and resources, as traditional avenues for accessing sexual and reproductive healthcare were significantly cut back due to health-related concerns. </w:t>
      </w:r>
    </w:p>
    <w:p w14:paraId="20E2ABDD" w14:textId="77777777" w:rsidR="00CC02A3" w:rsidRPr="00A74F76" w:rsidRDefault="00CC02A3" w:rsidP="00CC02A3">
      <w:pPr>
        <w:pStyle w:val="ListParagraph"/>
        <w:numPr>
          <w:ilvl w:val="0"/>
          <w:numId w:val="22"/>
        </w:numPr>
        <w:jc w:val="both"/>
        <w:rPr>
          <w:rFonts w:ascii="Gilroy" w:hAnsi="Gilroy"/>
          <w:color w:val="000000" w:themeColor="text1"/>
          <w:sz w:val="22"/>
          <w:szCs w:val="22"/>
        </w:rPr>
      </w:pPr>
      <w:r w:rsidRPr="00581B4D">
        <w:rPr>
          <w:rFonts w:ascii="Gilroy" w:hAnsi="Gilroy"/>
          <w:color w:val="000000" w:themeColor="text1"/>
          <w:sz w:val="22"/>
          <w:szCs w:val="22"/>
        </w:rPr>
        <w:t>The state of lockdown has brought about a staggering increase in forms of gender-based violence,</w:t>
      </w:r>
      <w:r w:rsidRPr="00A74F76">
        <w:rPr>
          <w:rStyle w:val="FootnoteReference"/>
          <w:rFonts w:ascii="Gilroy" w:hAnsi="Gilroy"/>
          <w:color w:val="000000" w:themeColor="text1"/>
          <w:sz w:val="22"/>
          <w:szCs w:val="22"/>
        </w:rPr>
        <w:footnoteReference w:id="7"/>
      </w:r>
      <w:r w:rsidRPr="00581B4D">
        <w:rPr>
          <w:rFonts w:ascii="Gilroy" w:hAnsi="Gilroy"/>
          <w:color w:val="000000" w:themeColor="text1"/>
          <w:sz w:val="22"/>
          <w:szCs w:val="22"/>
        </w:rPr>
        <w:t xml:space="preserve"> and resulted in the victimisation of some of the women venturing outdoors. </w:t>
      </w:r>
    </w:p>
    <w:p w14:paraId="32E80657" w14:textId="77777777" w:rsidR="00CC02A3" w:rsidRPr="00A74F76" w:rsidRDefault="00CC02A3" w:rsidP="00CC02A3">
      <w:pPr>
        <w:pStyle w:val="ListParagraph"/>
        <w:numPr>
          <w:ilvl w:val="0"/>
          <w:numId w:val="22"/>
        </w:numPr>
        <w:jc w:val="both"/>
        <w:rPr>
          <w:rFonts w:ascii="Gilroy" w:hAnsi="Gilroy"/>
          <w:color w:val="000000" w:themeColor="text1"/>
          <w:sz w:val="22"/>
          <w:szCs w:val="22"/>
        </w:rPr>
      </w:pPr>
      <w:r w:rsidRPr="00581B4D">
        <w:rPr>
          <w:rFonts w:ascii="Gilroy" w:hAnsi="Gilroy"/>
          <w:color w:val="000000" w:themeColor="text1"/>
          <w:sz w:val="22"/>
          <w:szCs w:val="22"/>
        </w:rPr>
        <w:t xml:space="preserve">Beyond the pandemic context, crisis periods can be protracted in some countries, which imports particular challenges in the conception, implementation and delivery of digitised sexual and reproductive healthcare initiatives. </w:t>
      </w:r>
    </w:p>
    <w:p w14:paraId="0A481545" w14:textId="77777777" w:rsidR="00CC02A3" w:rsidRPr="00A74F76" w:rsidRDefault="00CC02A3" w:rsidP="00CC02A3">
      <w:pPr>
        <w:pStyle w:val="ListParagraph"/>
        <w:numPr>
          <w:ilvl w:val="0"/>
          <w:numId w:val="22"/>
        </w:numPr>
        <w:jc w:val="both"/>
        <w:rPr>
          <w:rFonts w:ascii="Gilroy" w:hAnsi="Gilroy"/>
          <w:color w:val="000000" w:themeColor="text1"/>
          <w:sz w:val="22"/>
          <w:szCs w:val="22"/>
        </w:rPr>
      </w:pPr>
      <w:r w:rsidRPr="00581B4D">
        <w:rPr>
          <w:rFonts w:ascii="Gilroy" w:hAnsi="Gilroy"/>
          <w:color w:val="000000" w:themeColor="text1"/>
          <w:sz w:val="22"/>
          <w:szCs w:val="22"/>
        </w:rPr>
        <w:t xml:space="preserve">Furthermore in period of crisis, it becomes much more challenging to enforce laws and regulations, and in many instances in these situations governments declare ‘a state of emergency’, which provides the rationale for suspending rights and freedoms guaranteed under a country's constitution or basic law, which is sometimes done through martial law or revoking habeas corpus depending on the country. </w:t>
      </w:r>
    </w:p>
    <w:p w14:paraId="1CC491D1" w14:textId="5D2695CA" w:rsidR="00CC02A3" w:rsidRPr="00A74F76" w:rsidRDefault="00CC02A3" w:rsidP="00CC02A3">
      <w:pPr>
        <w:pStyle w:val="ListParagraph"/>
        <w:numPr>
          <w:ilvl w:val="0"/>
          <w:numId w:val="22"/>
        </w:numPr>
        <w:jc w:val="both"/>
        <w:rPr>
          <w:rFonts w:ascii="Gilroy" w:hAnsi="Gilroy"/>
          <w:color w:val="000000" w:themeColor="text1"/>
          <w:sz w:val="22"/>
          <w:szCs w:val="22"/>
        </w:rPr>
      </w:pPr>
      <w:r w:rsidRPr="00581B4D">
        <w:rPr>
          <w:rFonts w:ascii="Gilroy" w:hAnsi="Gilroy"/>
          <w:color w:val="000000" w:themeColor="text1"/>
          <w:sz w:val="22"/>
          <w:szCs w:val="22"/>
        </w:rPr>
        <w:t xml:space="preserve">As far as rural, trans, status-less women and sexual and domestic violence survivors are concerned, crisis can be a prolonged state of being in light of their continuing experiences of exclusion, discrimination, and trauma. </w:t>
      </w:r>
    </w:p>
    <w:p w14:paraId="11F912D2" w14:textId="39E9EEF7" w:rsidR="00817EE6" w:rsidRPr="00A74F76" w:rsidRDefault="00817EE6" w:rsidP="00817EE6">
      <w:pPr>
        <w:pStyle w:val="part"/>
        <w:spacing w:before="0" w:beforeAutospacing="0" w:after="0" w:afterAutospacing="0"/>
        <w:jc w:val="both"/>
        <w:rPr>
          <w:rFonts w:ascii="Gilroy" w:hAnsi="Gilroy" w:cs="Segoe UI"/>
          <w:color w:val="000000" w:themeColor="text1"/>
          <w:spacing w:val="5"/>
          <w:sz w:val="22"/>
          <w:szCs w:val="22"/>
        </w:rPr>
      </w:pPr>
    </w:p>
    <w:p w14:paraId="343C639C" w14:textId="1FBF2A64" w:rsidR="00526EF8" w:rsidRPr="00A74F76" w:rsidRDefault="006E4AC0" w:rsidP="00E30A73">
      <w:pPr>
        <w:pStyle w:val="Heading1"/>
        <w:numPr>
          <w:ilvl w:val="0"/>
          <w:numId w:val="12"/>
        </w:numPr>
        <w:rPr>
          <w:rStyle w:val="Strong"/>
          <w:rFonts w:ascii="Gilroy" w:hAnsi="Gilroy" w:cs="Segoe UI"/>
          <w:color w:val="000000" w:themeColor="text1"/>
          <w:spacing w:val="5"/>
          <w:sz w:val="24"/>
          <w:szCs w:val="24"/>
        </w:rPr>
      </w:pPr>
      <w:bookmarkStart w:id="1" w:name="_Toc50373276"/>
      <w:r w:rsidRPr="00A74F76">
        <w:rPr>
          <w:rFonts w:ascii="Gilroy" w:hAnsi="Gilroy"/>
          <w:sz w:val="24"/>
          <w:szCs w:val="24"/>
        </w:rPr>
        <w:t xml:space="preserve">Obstacles in the access </w:t>
      </w:r>
      <w:r w:rsidR="00526EF8" w:rsidRPr="00A74F76">
        <w:rPr>
          <w:rFonts w:ascii="Gilroy" w:hAnsi="Gilroy"/>
          <w:sz w:val="24"/>
          <w:szCs w:val="24"/>
        </w:rPr>
        <w:t>to non-biased and scientifically accurate information about sexual and reproductive health matters and services</w:t>
      </w:r>
      <w:bookmarkEnd w:id="1"/>
    </w:p>
    <w:p w14:paraId="14007417"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123ADC7" w14:textId="446FD0F3" w:rsidR="00E30A73" w:rsidRPr="00A74F76" w:rsidRDefault="00C9141C"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PI</w:t>
      </w:r>
      <w:r w:rsidR="00DA1B8F" w:rsidRPr="00A74F76">
        <w:rPr>
          <w:rFonts w:ascii="Gilroy" w:hAnsi="Gilroy" w:cs="Segoe UI"/>
          <w:color w:val="000000" w:themeColor="text1"/>
          <w:spacing w:val="5"/>
          <w:sz w:val="22"/>
          <w:szCs w:val="22"/>
        </w:rPr>
        <w:t xml:space="preserve"> has identified a series of obstacles in the access to non-biased and scientifically accurate information about sexual and reproductive health topics</w:t>
      </w:r>
      <w:r w:rsidR="006A752E" w:rsidRPr="00A74F76">
        <w:rPr>
          <w:rFonts w:ascii="Gilroy" w:hAnsi="Gilroy" w:cs="Segoe UI"/>
          <w:color w:val="000000" w:themeColor="text1"/>
          <w:spacing w:val="5"/>
          <w:sz w:val="22"/>
          <w:szCs w:val="22"/>
        </w:rPr>
        <w:t xml:space="preserve"> and services</w:t>
      </w:r>
      <w:r w:rsidR="00DA1B8F" w:rsidRPr="00A74F76">
        <w:rPr>
          <w:rFonts w:ascii="Gilroy" w:hAnsi="Gilroy" w:cs="Segoe UI"/>
          <w:color w:val="000000" w:themeColor="text1"/>
          <w:spacing w:val="5"/>
          <w:sz w:val="22"/>
          <w:szCs w:val="22"/>
        </w:rPr>
        <w:t xml:space="preserve">. </w:t>
      </w:r>
      <w:r w:rsidR="006A752E" w:rsidRPr="00A74F76">
        <w:rPr>
          <w:rFonts w:ascii="Gilroy" w:hAnsi="Gilroy" w:cs="Segoe UI"/>
          <w:color w:val="000000" w:themeColor="text1"/>
          <w:spacing w:val="5"/>
          <w:sz w:val="22"/>
          <w:szCs w:val="22"/>
        </w:rPr>
        <w:t xml:space="preserve">While some of these obstacles are relatively new, others have long troubled comprehensive access to healthcare services. </w:t>
      </w:r>
      <w:r w:rsidR="00817EE6" w:rsidRPr="00A74F76">
        <w:rPr>
          <w:rFonts w:ascii="Gilroy" w:hAnsi="Gilroy" w:cs="Segoe UI"/>
          <w:color w:val="000000" w:themeColor="text1"/>
          <w:spacing w:val="5"/>
          <w:sz w:val="22"/>
          <w:szCs w:val="22"/>
        </w:rPr>
        <w:t>These obstacles are heightened in situations of crisis</w:t>
      </w:r>
      <w:r w:rsidR="00CC5DC9" w:rsidRPr="00A74F76">
        <w:rPr>
          <w:rFonts w:ascii="Gilroy" w:hAnsi="Gilroy" w:cs="Segoe UI"/>
          <w:color w:val="000000" w:themeColor="text1"/>
          <w:spacing w:val="5"/>
          <w:sz w:val="22"/>
          <w:szCs w:val="22"/>
        </w:rPr>
        <w:t xml:space="preserve"> when it becomes harder to regulate and oversee information being shared</w:t>
      </w:r>
      <w:r w:rsidR="00817EE6" w:rsidRPr="00A74F76">
        <w:rPr>
          <w:rFonts w:ascii="Gilroy" w:hAnsi="Gilroy" w:cs="Segoe UI"/>
          <w:color w:val="000000" w:themeColor="text1"/>
          <w:spacing w:val="5"/>
          <w:sz w:val="22"/>
          <w:szCs w:val="22"/>
        </w:rPr>
        <w:t xml:space="preserve">. </w:t>
      </w:r>
    </w:p>
    <w:p w14:paraId="52C076A4" w14:textId="07A314BC" w:rsidR="00E30A73" w:rsidRPr="00A74F76" w:rsidRDefault="006A752E" w:rsidP="00E30A73">
      <w:pPr>
        <w:pStyle w:val="Heading2"/>
        <w:numPr>
          <w:ilvl w:val="0"/>
          <w:numId w:val="13"/>
        </w:numPr>
        <w:rPr>
          <w:rStyle w:val="Strong"/>
          <w:rFonts w:ascii="Gilroy" w:hAnsi="Gilroy" w:cstheme="majorHAnsi"/>
          <w:i/>
          <w:iCs/>
          <w:sz w:val="24"/>
          <w:szCs w:val="24"/>
        </w:rPr>
      </w:pPr>
      <w:bookmarkStart w:id="2" w:name="_Toc50373277"/>
      <w:r w:rsidRPr="00A74F76">
        <w:rPr>
          <w:rFonts w:ascii="Gilroy" w:hAnsi="Gilroy" w:cstheme="majorHAnsi"/>
          <w:b w:val="0"/>
          <w:bCs w:val="0"/>
          <w:i/>
          <w:iCs/>
          <w:sz w:val="24"/>
          <w:szCs w:val="24"/>
        </w:rPr>
        <w:lastRenderedPageBreak/>
        <w:t>Traditional obstacles</w:t>
      </w:r>
      <w:bookmarkEnd w:id="2"/>
    </w:p>
    <w:p w14:paraId="76B1EBA7" w14:textId="3FC6ACBF" w:rsidR="006A752E" w:rsidRPr="00A74F76" w:rsidRDefault="00987503" w:rsidP="00E30A73">
      <w:pPr>
        <w:pStyle w:val="Heading3"/>
        <w:rPr>
          <w:rStyle w:val="Strong"/>
          <w:rFonts w:ascii="Gilroy" w:hAnsi="Gilroy"/>
          <w:b w:val="0"/>
          <w:bCs w:val="0"/>
          <w:sz w:val="22"/>
          <w:szCs w:val="22"/>
        </w:rPr>
      </w:pPr>
      <w:bookmarkStart w:id="3" w:name="_Toc50373278"/>
      <w:r w:rsidRPr="00A74F76">
        <w:rPr>
          <w:rStyle w:val="Strong"/>
          <w:rFonts w:ascii="Gilroy" w:hAnsi="Gilroy"/>
          <w:b w:val="0"/>
          <w:bCs w:val="0"/>
          <w:sz w:val="22"/>
          <w:szCs w:val="22"/>
        </w:rPr>
        <w:t>Public health shortcomings</w:t>
      </w:r>
      <w:bookmarkEnd w:id="3"/>
      <w:r w:rsidRPr="00A74F76">
        <w:rPr>
          <w:rStyle w:val="Strong"/>
          <w:rFonts w:ascii="Gilroy" w:hAnsi="Gilroy"/>
          <w:b w:val="0"/>
          <w:bCs w:val="0"/>
          <w:sz w:val="22"/>
          <w:szCs w:val="22"/>
        </w:rPr>
        <w:t xml:space="preserve"> </w:t>
      </w:r>
    </w:p>
    <w:p w14:paraId="43DDF23B" w14:textId="77777777" w:rsidR="00E30A73" w:rsidRPr="00A74F76" w:rsidRDefault="00E30A73" w:rsidP="00E30A73">
      <w:pPr>
        <w:rPr>
          <w:rFonts w:ascii="Gilroy" w:hAnsi="Gilroy"/>
          <w:sz w:val="22"/>
          <w:szCs w:val="22"/>
        </w:rPr>
      </w:pPr>
    </w:p>
    <w:p w14:paraId="13FFF980" w14:textId="4FEFAF1C" w:rsidR="00C9141C" w:rsidRPr="00A74F76" w:rsidRDefault="00501294"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Widespread lack of information</w:t>
      </w:r>
      <w:r w:rsidR="00987503" w:rsidRPr="00A74F76">
        <w:rPr>
          <w:rFonts w:ascii="Gilroy" w:hAnsi="Gilroy" w:cs="Segoe UI"/>
          <w:color w:val="000000" w:themeColor="text1"/>
          <w:spacing w:val="5"/>
          <w:sz w:val="22"/>
          <w:szCs w:val="22"/>
        </w:rPr>
        <w:t xml:space="preserve">. </w:t>
      </w:r>
      <w:r w:rsidR="006A752E" w:rsidRPr="00A74F76">
        <w:rPr>
          <w:rFonts w:ascii="Gilroy" w:hAnsi="Gilroy" w:cs="Segoe UI"/>
          <w:color w:val="000000" w:themeColor="text1"/>
          <w:spacing w:val="5"/>
          <w:sz w:val="22"/>
          <w:szCs w:val="22"/>
        </w:rPr>
        <w:t xml:space="preserve">In many countries where legal abortion is available only in limited set of circumstances, people seeking sexual and reproductive health information or services face additional hurdles, including lack of access to information and social stigma. In Brazil, </w:t>
      </w:r>
      <w:r w:rsidR="00C9141C" w:rsidRPr="00A74F76">
        <w:rPr>
          <w:rFonts w:ascii="Gilroy" w:hAnsi="Gilroy" w:cs="Segoe UI"/>
          <w:color w:val="000000" w:themeColor="text1"/>
          <w:spacing w:val="5"/>
          <w:sz w:val="22"/>
          <w:szCs w:val="22"/>
        </w:rPr>
        <w:t xml:space="preserve">for instance, </w:t>
      </w:r>
      <w:r w:rsidR="00987503" w:rsidRPr="00A74F76">
        <w:rPr>
          <w:rFonts w:ascii="Gilroy" w:hAnsi="Gilroy" w:cs="Segoe UI"/>
          <w:color w:val="000000" w:themeColor="text1"/>
          <w:spacing w:val="5"/>
          <w:sz w:val="22"/>
          <w:szCs w:val="22"/>
        </w:rPr>
        <w:t>despite the few avenues to legal abortion</w:t>
      </w:r>
      <w:r w:rsidR="006A752E" w:rsidRPr="00A74F76">
        <w:rPr>
          <w:rFonts w:ascii="Gilroy" w:hAnsi="Gilroy" w:cs="Segoe UI"/>
          <w:color w:val="000000" w:themeColor="text1"/>
          <w:spacing w:val="5"/>
          <w:sz w:val="22"/>
          <w:szCs w:val="22"/>
        </w:rPr>
        <w:t>, access to information and safe procedures is limited. Research</w:t>
      </w:r>
      <w:r w:rsidR="00C9141C" w:rsidRPr="00A74F76">
        <w:rPr>
          <w:rFonts w:ascii="Gilroy" w:hAnsi="Gilroy" w:cs="Segoe UI"/>
          <w:color w:val="000000" w:themeColor="text1"/>
          <w:spacing w:val="5"/>
          <w:sz w:val="22"/>
          <w:szCs w:val="22"/>
        </w:rPr>
        <w:t>,</w:t>
      </w:r>
      <w:r w:rsidR="006A752E" w:rsidRPr="00A74F76">
        <w:rPr>
          <w:rFonts w:ascii="Gilroy" w:hAnsi="Gilroy" w:cs="Segoe UI"/>
          <w:color w:val="000000" w:themeColor="text1"/>
          <w:spacing w:val="5"/>
          <w:sz w:val="22"/>
          <w:szCs w:val="22"/>
        </w:rPr>
        <w:t xml:space="preserve"> conducted by Article 19 </w:t>
      </w:r>
      <w:r w:rsidR="00C9141C" w:rsidRPr="00A74F76">
        <w:rPr>
          <w:rFonts w:ascii="Gilroy" w:hAnsi="Gilroy" w:cs="Segoe UI"/>
          <w:color w:val="000000" w:themeColor="text1"/>
          <w:spacing w:val="5"/>
          <w:sz w:val="22"/>
          <w:szCs w:val="22"/>
        </w:rPr>
        <w:t xml:space="preserve">in </w:t>
      </w:r>
      <w:r w:rsidR="006A752E" w:rsidRPr="00A74F76">
        <w:rPr>
          <w:rFonts w:ascii="Gilroy" w:hAnsi="Gilroy" w:cs="Segoe UI"/>
          <w:color w:val="000000" w:themeColor="text1"/>
          <w:spacing w:val="5"/>
          <w:sz w:val="22"/>
          <w:szCs w:val="22"/>
        </w:rPr>
        <w:t>Brazil</w:t>
      </w:r>
      <w:r w:rsidR="00C9141C" w:rsidRPr="00A74F76">
        <w:rPr>
          <w:rFonts w:ascii="Gilroy" w:hAnsi="Gilroy" w:cs="Segoe UI"/>
          <w:color w:val="000000" w:themeColor="text1"/>
          <w:spacing w:val="5"/>
          <w:sz w:val="22"/>
          <w:szCs w:val="22"/>
        </w:rPr>
        <w:t>,</w:t>
      </w:r>
      <w:r w:rsidR="006A752E" w:rsidRPr="00A74F76">
        <w:rPr>
          <w:rFonts w:ascii="Gilroy" w:hAnsi="Gilroy" w:cs="Segoe UI"/>
          <w:color w:val="000000" w:themeColor="text1"/>
          <w:spacing w:val="5"/>
          <w:sz w:val="22"/>
          <w:szCs w:val="22"/>
        </w:rPr>
        <w:t xml:space="preserve"> found that the “quantity and quality of information offered by public health institutions about sexual and reproductive rights, particularly on legal abortion, is below what is expected”.</w:t>
      </w:r>
      <w:r w:rsidR="006A752E" w:rsidRPr="00A74F76">
        <w:rPr>
          <w:rStyle w:val="FootnoteReference"/>
          <w:rFonts w:ascii="Gilroy" w:hAnsi="Gilroy" w:cs="Segoe UI"/>
          <w:color w:val="000000" w:themeColor="text1"/>
          <w:spacing w:val="5"/>
          <w:sz w:val="22"/>
          <w:szCs w:val="22"/>
        </w:rPr>
        <w:footnoteReference w:id="8"/>
      </w:r>
      <w:r w:rsidR="006A752E" w:rsidRPr="00A74F76">
        <w:rPr>
          <w:rFonts w:ascii="Gilroy" w:hAnsi="Gilroy" w:cs="Segoe UI"/>
          <w:color w:val="000000" w:themeColor="text1"/>
          <w:spacing w:val="5"/>
          <w:sz w:val="22"/>
          <w:szCs w:val="22"/>
        </w:rPr>
        <w:t xml:space="preserve"> </w:t>
      </w:r>
    </w:p>
    <w:p w14:paraId="258C970C" w14:textId="77777777" w:rsidR="00C9141C" w:rsidRPr="00A74F76" w:rsidRDefault="00C9141C" w:rsidP="00E30A73">
      <w:pPr>
        <w:pStyle w:val="part"/>
        <w:spacing w:before="0" w:beforeAutospacing="0" w:after="0" w:afterAutospacing="0"/>
        <w:jc w:val="both"/>
        <w:rPr>
          <w:rFonts w:ascii="Gilroy" w:hAnsi="Gilroy" w:cs="Segoe UI"/>
          <w:color w:val="000000" w:themeColor="text1"/>
          <w:spacing w:val="5"/>
          <w:sz w:val="22"/>
          <w:szCs w:val="22"/>
        </w:rPr>
      </w:pPr>
    </w:p>
    <w:p w14:paraId="2CC75003" w14:textId="359B4A9A" w:rsidR="00501294" w:rsidRPr="00A74F76" w:rsidRDefault="006A752E"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There is not enough information about the hospitals providing safe legal abortions and the websites of health departments </w:t>
      </w:r>
      <w:r w:rsidR="00987503" w:rsidRPr="00A74F76">
        <w:rPr>
          <w:rFonts w:ascii="Gilroy" w:hAnsi="Gilroy" w:cs="Segoe UI"/>
          <w:color w:val="000000" w:themeColor="text1"/>
          <w:spacing w:val="5"/>
          <w:sz w:val="22"/>
          <w:szCs w:val="22"/>
        </w:rPr>
        <w:t>across different Brazilian states</w:t>
      </w:r>
      <w:r w:rsidRPr="00A74F76">
        <w:rPr>
          <w:rFonts w:ascii="Gilroy" w:hAnsi="Gilroy" w:cs="Segoe UI"/>
          <w:color w:val="000000" w:themeColor="text1"/>
          <w:spacing w:val="5"/>
          <w:sz w:val="22"/>
          <w:szCs w:val="22"/>
        </w:rPr>
        <w:t xml:space="preserve"> do not address abortion care or sexual and reproductive health rights. Moreover, the Penal Offenses Act (Lei das </w:t>
      </w:r>
      <w:proofErr w:type="spellStart"/>
      <w:r w:rsidRPr="00A74F76">
        <w:rPr>
          <w:rFonts w:ascii="Gilroy" w:hAnsi="Gilroy" w:cs="Segoe UI"/>
          <w:color w:val="000000" w:themeColor="text1"/>
          <w:spacing w:val="5"/>
          <w:sz w:val="22"/>
          <w:szCs w:val="22"/>
        </w:rPr>
        <w:t>Contravenções</w:t>
      </w:r>
      <w:proofErr w:type="spellEnd"/>
      <w:r w:rsidRPr="00A74F76">
        <w:rPr>
          <w:rFonts w:ascii="Gilroy" w:hAnsi="Gilroy" w:cs="Segoe UI"/>
          <w:color w:val="000000" w:themeColor="text1"/>
          <w:spacing w:val="5"/>
          <w:sz w:val="22"/>
          <w:szCs w:val="22"/>
        </w:rPr>
        <w:t xml:space="preserve"> </w:t>
      </w:r>
      <w:proofErr w:type="spellStart"/>
      <w:r w:rsidRPr="00A74F76">
        <w:rPr>
          <w:rFonts w:ascii="Gilroy" w:hAnsi="Gilroy" w:cs="Segoe UI"/>
          <w:color w:val="000000" w:themeColor="text1"/>
          <w:spacing w:val="5"/>
          <w:sz w:val="22"/>
          <w:szCs w:val="22"/>
        </w:rPr>
        <w:t>Penais</w:t>
      </w:r>
      <w:proofErr w:type="spellEnd"/>
      <w:r w:rsidRPr="00A74F76">
        <w:rPr>
          <w:rFonts w:ascii="Gilroy" w:hAnsi="Gilroy" w:cs="Segoe UI"/>
          <w:color w:val="000000" w:themeColor="text1"/>
          <w:spacing w:val="5"/>
          <w:sz w:val="22"/>
          <w:szCs w:val="22"/>
        </w:rPr>
        <w:t>) imposes a fine to those “advertising the process, substance or object intended to cause abortion.”</w:t>
      </w:r>
      <w:r w:rsidR="00705049" w:rsidRPr="00A74F76">
        <w:rPr>
          <w:rStyle w:val="FootnoteReference"/>
          <w:rFonts w:ascii="Gilroy" w:hAnsi="Gilroy" w:cs="Segoe UI"/>
          <w:color w:val="000000" w:themeColor="text1"/>
          <w:spacing w:val="5"/>
          <w:sz w:val="22"/>
          <w:szCs w:val="22"/>
        </w:rPr>
        <w:footnoteReference w:id="9"/>
      </w:r>
      <w:r w:rsidRPr="00A74F76">
        <w:rPr>
          <w:rFonts w:ascii="Gilroy" w:hAnsi="Gilroy" w:cs="Segoe UI"/>
          <w:color w:val="000000" w:themeColor="text1"/>
          <w:spacing w:val="5"/>
          <w:sz w:val="22"/>
          <w:szCs w:val="22"/>
        </w:rPr>
        <w:t xml:space="preserve"> This provision has been </w:t>
      </w:r>
      <w:r w:rsidR="00987503" w:rsidRPr="00A74F76">
        <w:rPr>
          <w:rFonts w:ascii="Gilroy" w:hAnsi="Gilroy" w:cs="Segoe UI"/>
          <w:color w:val="000000" w:themeColor="text1"/>
          <w:spacing w:val="5"/>
          <w:sz w:val="22"/>
          <w:szCs w:val="22"/>
        </w:rPr>
        <w:t>interpreted</w:t>
      </w:r>
      <w:r w:rsidRPr="00A74F76">
        <w:rPr>
          <w:rFonts w:ascii="Gilroy" w:hAnsi="Gilroy" w:cs="Segoe UI"/>
          <w:color w:val="000000" w:themeColor="text1"/>
          <w:spacing w:val="5"/>
          <w:sz w:val="22"/>
          <w:szCs w:val="22"/>
        </w:rPr>
        <w:t xml:space="preserve"> </w:t>
      </w:r>
      <w:r w:rsidR="00987503" w:rsidRPr="00A74F76">
        <w:rPr>
          <w:rFonts w:ascii="Gilroy" w:hAnsi="Gilroy" w:cs="Segoe UI"/>
          <w:color w:val="000000" w:themeColor="text1"/>
          <w:spacing w:val="5"/>
          <w:sz w:val="22"/>
          <w:szCs w:val="22"/>
        </w:rPr>
        <w:t xml:space="preserve">as imposing a penalty for the dissemination of information relating to abortion generally – even in those instances where abortion is lawful under Brazilian law – with the effect of </w:t>
      </w:r>
      <w:r w:rsidRPr="00A74F76">
        <w:rPr>
          <w:rFonts w:ascii="Gilroy" w:hAnsi="Gilroy" w:cs="Segoe UI"/>
          <w:color w:val="000000" w:themeColor="text1"/>
          <w:spacing w:val="5"/>
          <w:sz w:val="22"/>
          <w:szCs w:val="22"/>
        </w:rPr>
        <w:t>limit</w:t>
      </w:r>
      <w:r w:rsidR="00987503" w:rsidRPr="00A74F76">
        <w:rPr>
          <w:rFonts w:ascii="Gilroy" w:hAnsi="Gilroy" w:cs="Segoe UI"/>
          <w:color w:val="000000" w:themeColor="text1"/>
          <w:spacing w:val="5"/>
          <w:sz w:val="22"/>
          <w:szCs w:val="22"/>
        </w:rPr>
        <w:t>ing</w:t>
      </w:r>
      <w:r w:rsidRPr="00A74F76">
        <w:rPr>
          <w:rFonts w:ascii="Gilroy" w:hAnsi="Gilroy" w:cs="Segoe UI"/>
          <w:color w:val="000000" w:themeColor="text1"/>
          <w:spacing w:val="5"/>
          <w:sz w:val="22"/>
          <w:szCs w:val="22"/>
        </w:rPr>
        <w:t xml:space="preserve"> access to information about </w:t>
      </w:r>
      <w:r w:rsidR="00501294" w:rsidRPr="00A74F76">
        <w:rPr>
          <w:rFonts w:ascii="Gilroy" w:hAnsi="Gilroy" w:cs="Segoe UI"/>
          <w:color w:val="000000" w:themeColor="text1"/>
          <w:spacing w:val="5"/>
          <w:sz w:val="22"/>
          <w:szCs w:val="22"/>
        </w:rPr>
        <w:t>legal avenues to abortion</w:t>
      </w:r>
      <w:r w:rsidRPr="00A74F76">
        <w:rPr>
          <w:rFonts w:ascii="Gilroy" w:hAnsi="Gilroy" w:cs="Segoe UI"/>
          <w:color w:val="000000" w:themeColor="text1"/>
          <w:spacing w:val="5"/>
          <w:sz w:val="22"/>
          <w:szCs w:val="22"/>
        </w:rPr>
        <w:t>.</w:t>
      </w:r>
      <w:r w:rsidR="00501294" w:rsidRPr="00A74F76">
        <w:rPr>
          <w:rFonts w:ascii="Gilroy" w:hAnsi="Gilroy" w:cs="Segoe UI"/>
          <w:color w:val="000000" w:themeColor="text1"/>
          <w:spacing w:val="5"/>
          <w:sz w:val="22"/>
          <w:szCs w:val="22"/>
        </w:rPr>
        <w:t xml:space="preserve"> This approach has been institutionally validated. </w:t>
      </w:r>
      <w:r w:rsidRPr="00A74F76">
        <w:rPr>
          <w:rFonts w:ascii="Gilroy" w:hAnsi="Gilroy" w:cs="Segoe UI"/>
          <w:color w:val="000000" w:themeColor="text1"/>
          <w:spacing w:val="5"/>
          <w:sz w:val="22"/>
          <w:szCs w:val="22"/>
        </w:rPr>
        <w:t xml:space="preserve"> In 2019, the Minister for Women, Family and Human Rights requested the Public Attorney to sue a news outlet after it published an article explaining the three circumstances in which abortion is legal and providing more information on safe abortion care.</w:t>
      </w:r>
      <w:r w:rsidR="00501294" w:rsidRPr="00A74F76">
        <w:rPr>
          <w:rStyle w:val="FootnoteReference"/>
          <w:rFonts w:ascii="Gilroy" w:hAnsi="Gilroy" w:cs="Segoe UI"/>
          <w:color w:val="000000" w:themeColor="text1"/>
          <w:spacing w:val="5"/>
          <w:sz w:val="22"/>
          <w:szCs w:val="22"/>
        </w:rPr>
        <w:footnoteReference w:id="10"/>
      </w:r>
      <w:r w:rsidRPr="00A74F76">
        <w:rPr>
          <w:rFonts w:ascii="Gilroy" w:hAnsi="Gilroy" w:cs="Segoe UI"/>
          <w:color w:val="000000" w:themeColor="text1"/>
          <w:spacing w:val="5"/>
          <w:sz w:val="22"/>
          <w:szCs w:val="22"/>
        </w:rPr>
        <w:t xml:space="preserve"> The Minister also tweeted that the article was an “apology of crime”.</w:t>
      </w:r>
      <w:r w:rsidR="00747C8E" w:rsidRPr="00A74F76">
        <w:rPr>
          <w:rStyle w:val="FootnoteReference"/>
          <w:rFonts w:ascii="Gilroy" w:hAnsi="Gilroy" w:cs="Segoe UI"/>
          <w:color w:val="000000" w:themeColor="text1"/>
          <w:spacing w:val="5"/>
          <w:sz w:val="22"/>
          <w:szCs w:val="22"/>
        </w:rPr>
        <w:footnoteReference w:id="11"/>
      </w:r>
    </w:p>
    <w:p w14:paraId="47D4D840"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1968FAE7" w14:textId="7B24C805" w:rsidR="00501294" w:rsidRPr="00A74F76" w:rsidRDefault="00C83EDA"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Deficient</w:t>
      </w:r>
      <w:r w:rsidR="00501294" w:rsidRPr="00A74F76">
        <w:rPr>
          <w:rFonts w:ascii="Gilroy" w:hAnsi="Gilroy" w:cs="Segoe UI"/>
          <w:i/>
          <w:iCs/>
          <w:color w:val="000000" w:themeColor="text1"/>
          <w:spacing w:val="5"/>
          <w:sz w:val="22"/>
          <w:szCs w:val="22"/>
        </w:rPr>
        <w:t xml:space="preserve"> sexual education</w:t>
      </w:r>
      <w:r w:rsidR="00501294" w:rsidRPr="00A74F76">
        <w:rPr>
          <w:rFonts w:ascii="Gilroy" w:hAnsi="Gilroy" w:cs="Segoe UI"/>
          <w:color w:val="000000" w:themeColor="text1"/>
          <w:spacing w:val="5"/>
          <w:sz w:val="22"/>
          <w:szCs w:val="22"/>
        </w:rPr>
        <w:t>.</w:t>
      </w:r>
      <w:r w:rsidR="00852338" w:rsidRPr="00A74F76">
        <w:rPr>
          <w:rFonts w:ascii="Gilroy" w:hAnsi="Gilroy" w:cs="Segoe UI"/>
          <w:color w:val="000000" w:themeColor="text1"/>
          <w:spacing w:val="5"/>
          <w:sz w:val="22"/>
          <w:szCs w:val="22"/>
        </w:rPr>
        <w:t xml:space="preserve"> In countries researched by </w:t>
      </w:r>
      <w:r w:rsidR="00C9141C" w:rsidRPr="00A74F76">
        <w:rPr>
          <w:rFonts w:ascii="Gilroy" w:hAnsi="Gilroy" w:cs="Segoe UI"/>
          <w:color w:val="000000" w:themeColor="text1"/>
          <w:spacing w:val="5"/>
          <w:sz w:val="22"/>
          <w:szCs w:val="22"/>
        </w:rPr>
        <w:t>PI</w:t>
      </w:r>
      <w:r w:rsidR="00852338" w:rsidRPr="00A74F76">
        <w:rPr>
          <w:rFonts w:ascii="Gilroy" w:hAnsi="Gilroy" w:cs="Segoe UI"/>
          <w:color w:val="000000" w:themeColor="text1"/>
          <w:spacing w:val="5"/>
          <w:sz w:val="22"/>
          <w:szCs w:val="22"/>
        </w:rPr>
        <w:t xml:space="preserve">, several shortcomings persist in the provision of non-biased, accurate and comprehensive sexual education. In Indonesia, though </w:t>
      </w:r>
      <w:r w:rsidR="00501294" w:rsidRPr="00A74F76">
        <w:rPr>
          <w:rFonts w:ascii="Gilroy" w:hAnsi="Gilroy" w:cs="Segoe UI"/>
          <w:color w:val="000000" w:themeColor="text1"/>
          <w:spacing w:val="5"/>
          <w:sz w:val="22"/>
          <w:szCs w:val="22"/>
        </w:rPr>
        <w:t xml:space="preserve">the Ministry of Education and Culture </w:t>
      </w:r>
      <w:r w:rsidR="00852338" w:rsidRPr="00A74F76">
        <w:rPr>
          <w:rFonts w:ascii="Gilroy" w:hAnsi="Gilroy" w:cs="Segoe UI"/>
          <w:color w:val="000000" w:themeColor="text1"/>
          <w:spacing w:val="5"/>
          <w:sz w:val="22"/>
          <w:szCs w:val="22"/>
        </w:rPr>
        <w:t>includes</w:t>
      </w:r>
      <w:r w:rsidR="00501294" w:rsidRPr="00A74F76">
        <w:rPr>
          <w:rFonts w:ascii="Gilroy" w:hAnsi="Gilroy" w:cs="Segoe UI"/>
          <w:color w:val="000000" w:themeColor="text1"/>
          <w:spacing w:val="5"/>
          <w:sz w:val="22"/>
          <w:szCs w:val="22"/>
        </w:rPr>
        <w:t xml:space="preserve"> reproductive health rights education in the curriculum for school counsellors</w:t>
      </w:r>
      <w:r w:rsidR="00852338" w:rsidRPr="00A74F76">
        <w:rPr>
          <w:rFonts w:ascii="Gilroy" w:hAnsi="Gilroy" w:cs="Segoe UI"/>
          <w:color w:val="000000" w:themeColor="text1"/>
          <w:spacing w:val="5"/>
          <w:sz w:val="22"/>
          <w:szCs w:val="22"/>
        </w:rPr>
        <w:t>, the program omits important topics, such as a</w:t>
      </w:r>
      <w:r w:rsidR="00501294" w:rsidRPr="00A74F76">
        <w:rPr>
          <w:rFonts w:ascii="Gilroy" w:hAnsi="Gilroy" w:cs="Segoe UI"/>
          <w:color w:val="000000" w:themeColor="text1"/>
          <w:spacing w:val="5"/>
          <w:sz w:val="22"/>
          <w:szCs w:val="22"/>
        </w:rPr>
        <w:t>bortion care or contraception for unmarried people</w:t>
      </w:r>
      <w:r w:rsidR="00852338" w:rsidRPr="00A74F76">
        <w:rPr>
          <w:rFonts w:ascii="Gilroy" w:hAnsi="Gilroy" w:cs="Segoe UI"/>
          <w:color w:val="000000" w:themeColor="text1"/>
          <w:spacing w:val="5"/>
          <w:sz w:val="22"/>
          <w:szCs w:val="22"/>
        </w:rPr>
        <w:t>.</w:t>
      </w:r>
      <w:r w:rsidR="00501294" w:rsidRPr="00A74F76">
        <w:rPr>
          <w:rStyle w:val="FootnoteReference"/>
          <w:rFonts w:ascii="Gilroy" w:hAnsi="Gilroy" w:cs="Segoe UI"/>
          <w:color w:val="000000" w:themeColor="text1"/>
          <w:spacing w:val="5"/>
          <w:sz w:val="22"/>
          <w:szCs w:val="22"/>
        </w:rPr>
        <w:footnoteReference w:id="12"/>
      </w:r>
      <w:r w:rsidR="00852338" w:rsidRPr="00A74F76">
        <w:rPr>
          <w:rFonts w:ascii="Gilroy" w:hAnsi="Gilroy" w:cs="Segoe UI"/>
          <w:color w:val="000000" w:themeColor="text1"/>
          <w:spacing w:val="5"/>
          <w:sz w:val="22"/>
          <w:szCs w:val="22"/>
        </w:rPr>
        <w:t xml:space="preserve"> In Argentina, a comprehensive sexual education program was introduced by law. However, thirteen years on, the Ministry of National Education </w:t>
      </w:r>
      <w:r w:rsidR="00890E0F" w:rsidRPr="00A74F76">
        <w:rPr>
          <w:rFonts w:ascii="Gilroy" w:hAnsi="Gilroy" w:cs="Segoe UI"/>
          <w:color w:val="000000" w:themeColor="text1"/>
          <w:spacing w:val="5"/>
          <w:sz w:val="22"/>
          <w:szCs w:val="22"/>
        </w:rPr>
        <w:t>has found</w:t>
      </w:r>
      <w:r w:rsidR="00852338" w:rsidRPr="00A74F76">
        <w:rPr>
          <w:rFonts w:ascii="Gilroy" w:hAnsi="Gilroy" w:cs="Segoe UI"/>
          <w:color w:val="000000" w:themeColor="text1"/>
          <w:spacing w:val="5"/>
          <w:sz w:val="22"/>
          <w:szCs w:val="22"/>
        </w:rPr>
        <w:t xml:space="preserve"> that 75% of adolescents in the last 2 years of high school reported not learning enough on the subject.</w:t>
      </w:r>
      <w:r w:rsidR="00852338" w:rsidRPr="00A74F76">
        <w:rPr>
          <w:rStyle w:val="FootnoteReference"/>
          <w:rFonts w:ascii="Gilroy" w:hAnsi="Gilroy" w:cs="Segoe UI"/>
          <w:color w:val="000000" w:themeColor="text1"/>
          <w:spacing w:val="5"/>
          <w:sz w:val="22"/>
          <w:szCs w:val="22"/>
        </w:rPr>
        <w:footnoteReference w:id="13"/>
      </w:r>
      <w:r w:rsidRPr="00A74F76">
        <w:rPr>
          <w:rFonts w:ascii="Gilroy" w:hAnsi="Gilroy" w:cs="Segoe UI"/>
          <w:color w:val="000000" w:themeColor="text1"/>
          <w:spacing w:val="5"/>
          <w:sz w:val="22"/>
          <w:szCs w:val="22"/>
        </w:rPr>
        <w:t xml:space="preserve"> In Peru, only 8% of teachers teach comprehensive sex education and only 21% of school children received information on these topics at school. Contraception and unplanned pregnancy remain among the least covered areas in sex education classes, with 85% </w:t>
      </w:r>
      <w:r w:rsidRPr="00A74F76">
        <w:rPr>
          <w:rFonts w:ascii="Gilroy" w:hAnsi="Gilroy" w:cs="Segoe UI"/>
          <w:color w:val="000000" w:themeColor="text1"/>
          <w:spacing w:val="5"/>
          <w:sz w:val="22"/>
          <w:szCs w:val="22"/>
        </w:rPr>
        <w:lastRenderedPageBreak/>
        <w:t>of school children reporting that they are learning about sexuality online.</w:t>
      </w:r>
      <w:r w:rsidRPr="00A74F76">
        <w:rPr>
          <w:rStyle w:val="FootnoteReference"/>
          <w:rFonts w:ascii="Gilroy" w:hAnsi="Gilroy" w:cs="Segoe UI"/>
          <w:color w:val="000000" w:themeColor="text1"/>
          <w:spacing w:val="5"/>
          <w:sz w:val="22"/>
          <w:szCs w:val="22"/>
        </w:rPr>
        <w:footnoteReference w:id="14"/>
      </w:r>
      <w:r w:rsidR="007D62DD" w:rsidRPr="00A74F76">
        <w:rPr>
          <w:rFonts w:ascii="Gilroy" w:hAnsi="Gilroy" w:cs="Segoe UI"/>
          <w:color w:val="000000" w:themeColor="text1"/>
          <w:spacing w:val="5"/>
          <w:sz w:val="22"/>
          <w:szCs w:val="22"/>
        </w:rPr>
        <w:t xml:space="preserve"> </w:t>
      </w:r>
      <w:r w:rsidR="00C9141C" w:rsidRPr="00A74F76">
        <w:rPr>
          <w:rFonts w:ascii="Gilroy" w:hAnsi="Gilroy" w:cs="Segoe UI"/>
          <w:color w:val="000000" w:themeColor="text1"/>
          <w:spacing w:val="5"/>
          <w:sz w:val="22"/>
          <w:szCs w:val="22"/>
        </w:rPr>
        <w:t xml:space="preserve">Also, </w:t>
      </w:r>
      <w:r w:rsidR="007D62DD" w:rsidRPr="00A74F76">
        <w:rPr>
          <w:rFonts w:ascii="Gilroy" w:hAnsi="Gilroy" w:cs="Segoe UI"/>
          <w:color w:val="000000" w:themeColor="text1"/>
          <w:spacing w:val="5"/>
          <w:sz w:val="22"/>
          <w:szCs w:val="22"/>
        </w:rPr>
        <w:t>Chile does not have a comprehensive sexual education policy, and its indicators are proof of the consequences. Between 2008 and 2015, Chile was the country that made the least progress in the prevention of unwanted pregnancies through sex education compared to the other 16 countries that also underwent the study by the International Family Planning Federation.</w:t>
      </w:r>
      <w:r w:rsidR="007D62DD" w:rsidRPr="00A74F76">
        <w:rPr>
          <w:rStyle w:val="FootnoteReference"/>
          <w:rFonts w:ascii="Gilroy" w:hAnsi="Gilroy" w:cs="Segoe UI"/>
          <w:color w:val="000000" w:themeColor="text1"/>
          <w:spacing w:val="5"/>
          <w:sz w:val="22"/>
          <w:szCs w:val="22"/>
        </w:rPr>
        <w:footnoteReference w:id="15"/>
      </w:r>
      <w:r w:rsidR="007D62DD" w:rsidRPr="00A74F76">
        <w:rPr>
          <w:rFonts w:ascii="Gilroy" w:hAnsi="Gilroy" w:cs="Segoe UI"/>
          <w:color w:val="000000" w:themeColor="text1"/>
          <w:spacing w:val="5"/>
          <w:sz w:val="22"/>
          <w:szCs w:val="22"/>
        </w:rPr>
        <w:t xml:space="preserve"> </w:t>
      </w:r>
    </w:p>
    <w:p w14:paraId="3B178929" w14:textId="77777777" w:rsidR="007D62DD" w:rsidRPr="00A74F76" w:rsidRDefault="007D62DD" w:rsidP="00E30A73">
      <w:pPr>
        <w:pStyle w:val="part"/>
        <w:spacing w:before="0" w:beforeAutospacing="0" w:after="0" w:afterAutospacing="0"/>
        <w:jc w:val="both"/>
        <w:rPr>
          <w:rFonts w:ascii="Gilroy" w:hAnsi="Gilroy" w:cs="Segoe UI"/>
          <w:color w:val="000000" w:themeColor="text1"/>
          <w:spacing w:val="5"/>
          <w:sz w:val="22"/>
          <w:szCs w:val="22"/>
        </w:rPr>
      </w:pPr>
    </w:p>
    <w:p w14:paraId="0C7F565B" w14:textId="4B78F467" w:rsidR="00501294" w:rsidRPr="00A74F76" w:rsidRDefault="00501294" w:rsidP="00753054">
      <w:pPr>
        <w:pStyle w:val="Heading3"/>
        <w:rPr>
          <w:rFonts w:ascii="Gilroy" w:hAnsi="Gilroy"/>
          <w:sz w:val="22"/>
          <w:szCs w:val="22"/>
        </w:rPr>
      </w:pPr>
      <w:bookmarkStart w:id="4" w:name="_Toc50373279"/>
      <w:r w:rsidRPr="00A74F76">
        <w:rPr>
          <w:rFonts w:ascii="Gilroy" w:hAnsi="Gilroy"/>
          <w:sz w:val="22"/>
          <w:szCs w:val="22"/>
        </w:rPr>
        <w:t>Stigma and prejudice among healthcare professionals</w:t>
      </w:r>
      <w:bookmarkEnd w:id="4"/>
    </w:p>
    <w:p w14:paraId="7A44F57F" w14:textId="77777777" w:rsidR="00E30A73" w:rsidRPr="00A74F76" w:rsidRDefault="00E30A73" w:rsidP="00E30A73">
      <w:pPr>
        <w:pStyle w:val="part"/>
        <w:spacing w:before="0" w:beforeAutospacing="0" w:after="0" w:afterAutospacing="0"/>
        <w:jc w:val="both"/>
        <w:rPr>
          <w:rFonts w:ascii="Gilroy" w:hAnsi="Gilroy" w:cs="Segoe UI"/>
          <w:b/>
          <w:bCs/>
          <w:color w:val="000000" w:themeColor="text1"/>
          <w:spacing w:val="5"/>
          <w:sz w:val="22"/>
          <w:szCs w:val="22"/>
        </w:rPr>
      </w:pPr>
    </w:p>
    <w:p w14:paraId="4D9B1728" w14:textId="08D16F30" w:rsidR="006A752E" w:rsidRPr="00A74F76" w:rsidRDefault="006A752E"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In Indonesia, it is</w:t>
      </w:r>
      <w:r w:rsidR="00EC6716" w:rsidRPr="00A74F76">
        <w:rPr>
          <w:rFonts w:ascii="Gilroy" w:hAnsi="Gilroy" w:cs="Segoe UI"/>
          <w:color w:val="000000" w:themeColor="text1"/>
          <w:spacing w:val="5"/>
          <w:sz w:val="22"/>
          <w:szCs w:val="22"/>
        </w:rPr>
        <w:t xml:space="preserve"> apparently</w:t>
      </w:r>
      <w:r w:rsidRPr="00A74F76">
        <w:rPr>
          <w:rFonts w:ascii="Gilroy" w:hAnsi="Gilroy" w:cs="Segoe UI"/>
          <w:color w:val="000000" w:themeColor="text1"/>
          <w:spacing w:val="5"/>
          <w:sz w:val="22"/>
          <w:szCs w:val="22"/>
        </w:rPr>
        <w:t xml:space="preserve"> common for doctors to ask patients about their marital status before providing medical information about contraceptives. There have been instances </w:t>
      </w:r>
      <w:r w:rsidR="00501294" w:rsidRPr="00A74F76">
        <w:rPr>
          <w:rFonts w:ascii="Gilroy" w:hAnsi="Gilroy" w:cs="Segoe UI"/>
          <w:color w:val="000000" w:themeColor="text1"/>
          <w:spacing w:val="5"/>
          <w:sz w:val="22"/>
          <w:szCs w:val="22"/>
        </w:rPr>
        <w:t>where women have been</w:t>
      </w:r>
      <w:r w:rsidRPr="00A74F76">
        <w:rPr>
          <w:rFonts w:ascii="Gilroy" w:hAnsi="Gilroy" w:cs="Segoe UI"/>
          <w:color w:val="000000" w:themeColor="text1"/>
          <w:spacing w:val="5"/>
          <w:sz w:val="22"/>
          <w:szCs w:val="22"/>
        </w:rPr>
        <w:t xml:space="preserve"> told they need</w:t>
      </w:r>
      <w:r w:rsidR="00501294" w:rsidRPr="00A74F76">
        <w:rPr>
          <w:rFonts w:ascii="Gilroy" w:hAnsi="Gilroy" w:cs="Segoe UI"/>
          <w:color w:val="000000" w:themeColor="text1"/>
          <w:spacing w:val="5"/>
          <w:sz w:val="22"/>
          <w:szCs w:val="22"/>
        </w:rPr>
        <w:t>ed</w:t>
      </w:r>
      <w:r w:rsidRPr="00A74F76">
        <w:rPr>
          <w:rFonts w:ascii="Gilroy" w:hAnsi="Gilroy" w:cs="Segoe UI"/>
          <w:color w:val="000000" w:themeColor="text1"/>
          <w:spacing w:val="5"/>
          <w:sz w:val="22"/>
          <w:szCs w:val="22"/>
        </w:rPr>
        <w:t xml:space="preserve"> to be married before accessing contraception. This causes some women to avoid seeking medical help and go online where misinformation abounds.</w:t>
      </w:r>
      <w:r w:rsidR="00501294" w:rsidRPr="00A74F76">
        <w:rPr>
          <w:rStyle w:val="FootnoteReference"/>
          <w:rFonts w:ascii="Gilroy" w:hAnsi="Gilroy" w:cs="Segoe UI"/>
          <w:color w:val="000000" w:themeColor="text1"/>
          <w:spacing w:val="5"/>
          <w:sz w:val="22"/>
          <w:szCs w:val="22"/>
        </w:rPr>
        <w:footnoteReference w:id="16"/>
      </w:r>
      <w:r w:rsidRPr="00A74F76">
        <w:rPr>
          <w:rFonts w:ascii="Gilroy" w:hAnsi="Gilroy" w:cs="Segoe UI"/>
          <w:color w:val="000000" w:themeColor="text1"/>
          <w:spacing w:val="5"/>
          <w:sz w:val="22"/>
          <w:szCs w:val="22"/>
        </w:rPr>
        <w:t xml:space="preserve"> </w:t>
      </w:r>
    </w:p>
    <w:p w14:paraId="699C0FAA"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006C1A2D" w14:textId="3F9355D1" w:rsidR="00E30A73" w:rsidRPr="00A74F76" w:rsidRDefault="006A752E" w:rsidP="00753054">
      <w:pPr>
        <w:pStyle w:val="Heading2"/>
        <w:numPr>
          <w:ilvl w:val="0"/>
          <w:numId w:val="13"/>
        </w:numPr>
        <w:rPr>
          <w:rFonts w:ascii="Gilroy" w:hAnsi="Gilroy"/>
          <w:i/>
          <w:iCs/>
          <w:sz w:val="24"/>
          <w:szCs w:val="24"/>
          <w:lang w:val="fr-FR"/>
        </w:rPr>
      </w:pPr>
      <w:bookmarkStart w:id="5" w:name="_Toc50373280"/>
      <w:r w:rsidRPr="00A74F76">
        <w:rPr>
          <w:rFonts w:ascii="Gilroy" w:hAnsi="Gilroy" w:cstheme="majorHAnsi"/>
          <w:b w:val="0"/>
          <w:bCs w:val="0"/>
          <w:i/>
          <w:iCs/>
          <w:sz w:val="24"/>
          <w:szCs w:val="24"/>
        </w:rPr>
        <w:t>Modern obstacles</w:t>
      </w:r>
      <w:bookmarkEnd w:id="5"/>
      <w:r w:rsidRPr="00A74F76">
        <w:rPr>
          <w:rFonts w:ascii="Gilroy" w:hAnsi="Gilroy"/>
          <w:i/>
          <w:iCs/>
          <w:sz w:val="24"/>
          <w:szCs w:val="24"/>
          <w:lang w:val="fr-FR"/>
        </w:rPr>
        <w:t xml:space="preserve"> </w:t>
      </w:r>
    </w:p>
    <w:p w14:paraId="6F95EB9D"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5A2F535" w14:textId="621B9B1E" w:rsidR="006A752E" w:rsidRPr="00A74F76" w:rsidRDefault="006A752E"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Opposition groups</w:t>
      </w:r>
      <w:r w:rsidR="00CC5DC9" w:rsidRPr="00A74F76">
        <w:rPr>
          <w:rFonts w:ascii="Gilroy" w:hAnsi="Gilroy" w:cs="Segoe UI"/>
          <w:color w:val="000000" w:themeColor="text1"/>
          <w:spacing w:val="5"/>
          <w:sz w:val="22"/>
          <w:szCs w:val="22"/>
        </w:rPr>
        <w:t xml:space="preserve"> to reproductive rights</w:t>
      </w:r>
      <w:r w:rsidR="00EC6716" w:rsidRPr="00A74F76">
        <w:rPr>
          <w:rStyle w:val="FootnoteReference"/>
          <w:rFonts w:ascii="Gilroy" w:hAnsi="Gilroy" w:cs="Segoe UI"/>
          <w:color w:val="000000" w:themeColor="text1"/>
          <w:spacing w:val="5"/>
          <w:sz w:val="22"/>
          <w:szCs w:val="22"/>
        </w:rPr>
        <w:footnoteReference w:id="17"/>
      </w:r>
      <w:r w:rsidRPr="00A74F76">
        <w:rPr>
          <w:rFonts w:ascii="Gilroy" w:hAnsi="Gilroy" w:cs="Segoe UI"/>
          <w:color w:val="000000" w:themeColor="text1"/>
          <w:spacing w:val="5"/>
          <w:sz w:val="22"/>
          <w:szCs w:val="22"/>
        </w:rPr>
        <w:t xml:space="preserve"> and governments have become adept at using data exploitative tactics to restrict access to reproductive healthcare, including the ones described below.</w:t>
      </w:r>
    </w:p>
    <w:p w14:paraId="02ED0BAC"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E280085" w14:textId="77777777" w:rsidR="00E30A73" w:rsidRPr="00A74F76" w:rsidRDefault="00AE02D3" w:rsidP="000B22DA">
      <w:pPr>
        <w:pStyle w:val="Heading3"/>
        <w:rPr>
          <w:rStyle w:val="Strong"/>
          <w:rFonts w:ascii="Gilroy" w:hAnsi="Gilroy"/>
          <w:b w:val="0"/>
          <w:bCs w:val="0"/>
          <w:sz w:val="22"/>
          <w:szCs w:val="22"/>
        </w:rPr>
      </w:pPr>
      <w:bookmarkStart w:id="6" w:name="_Toc50373281"/>
      <w:r w:rsidRPr="00A74F76">
        <w:rPr>
          <w:rStyle w:val="Strong"/>
          <w:rFonts w:ascii="Gilroy" w:hAnsi="Gilroy"/>
          <w:b w:val="0"/>
          <w:bCs w:val="0"/>
          <w:sz w:val="22"/>
          <w:szCs w:val="22"/>
        </w:rPr>
        <w:t>Misleading online advertising</w:t>
      </w:r>
      <w:bookmarkEnd w:id="6"/>
    </w:p>
    <w:p w14:paraId="0B040C1A" w14:textId="3FDE1CED"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br/>
        <w:t xml:space="preserve">Opposition groups </w:t>
      </w:r>
      <w:r w:rsidR="00CC5DC9" w:rsidRPr="00A74F76">
        <w:rPr>
          <w:rFonts w:ascii="Gilroy" w:hAnsi="Gilroy" w:cs="Segoe UI"/>
          <w:color w:val="000000" w:themeColor="text1"/>
          <w:spacing w:val="5"/>
          <w:sz w:val="22"/>
          <w:szCs w:val="22"/>
        </w:rPr>
        <w:t>have made use of</w:t>
      </w:r>
      <w:r w:rsidRPr="00A74F76">
        <w:rPr>
          <w:rFonts w:ascii="Gilroy" w:hAnsi="Gilroy" w:cs="Segoe UI"/>
          <w:color w:val="000000" w:themeColor="text1"/>
          <w:spacing w:val="5"/>
          <w:sz w:val="22"/>
          <w:szCs w:val="22"/>
        </w:rPr>
        <w:t xml:space="preserve"> a series of online tools in order to attract </w:t>
      </w:r>
      <w:r w:rsidR="00425AA4" w:rsidRPr="00A74F76">
        <w:rPr>
          <w:rFonts w:ascii="Gilroy" w:hAnsi="Gilroy" w:cs="Segoe UI"/>
          <w:color w:val="000000" w:themeColor="text1"/>
          <w:spacing w:val="5"/>
          <w:sz w:val="22"/>
          <w:szCs w:val="22"/>
        </w:rPr>
        <w:t>women seeking reproductive health information</w:t>
      </w:r>
      <w:r w:rsidRPr="00A74F76">
        <w:rPr>
          <w:rFonts w:ascii="Gilroy" w:hAnsi="Gilroy" w:cs="Segoe UI"/>
          <w:color w:val="000000" w:themeColor="text1"/>
          <w:spacing w:val="5"/>
          <w:sz w:val="22"/>
          <w:szCs w:val="22"/>
        </w:rPr>
        <w:t>. These tools have the effect of curtailing access to accurate information about sexual and reproductive health matters. As such, they are able to reach and communicate with people seeking reproductive health information without being transparent about the limitations</w:t>
      </w:r>
      <w:r w:rsidR="00CC5DC9" w:rsidRPr="00A74F76">
        <w:rPr>
          <w:rFonts w:ascii="Gilroy" w:hAnsi="Gilroy" w:cs="Segoe UI"/>
          <w:color w:val="000000" w:themeColor="text1"/>
          <w:spacing w:val="5"/>
          <w:sz w:val="22"/>
          <w:szCs w:val="22"/>
        </w:rPr>
        <w:t xml:space="preserve"> and biased nature</w:t>
      </w:r>
      <w:r w:rsidRPr="00A74F76">
        <w:rPr>
          <w:rFonts w:ascii="Gilroy" w:hAnsi="Gilroy" w:cs="Segoe UI"/>
          <w:color w:val="000000" w:themeColor="text1"/>
          <w:spacing w:val="5"/>
          <w:sz w:val="22"/>
          <w:szCs w:val="22"/>
        </w:rPr>
        <w:t xml:space="preserve"> of the services they provide. </w:t>
      </w:r>
    </w:p>
    <w:p w14:paraId="17A388C2"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50C49332" w14:textId="745BACC6" w:rsidR="007D5C17" w:rsidRPr="00A74F76" w:rsidRDefault="007D5C17"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 xml:space="preserve">Targeted advertising. </w:t>
      </w:r>
      <w:r w:rsidRPr="00A74F76">
        <w:rPr>
          <w:rFonts w:ascii="Gilroy" w:hAnsi="Gilroy" w:cs="Segoe UI"/>
          <w:color w:val="000000" w:themeColor="text1"/>
          <w:spacing w:val="5"/>
          <w:sz w:val="22"/>
          <w:szCs w:val="22"/>
        </w:rPr>
        <w:t xml:space="preserve">Inaccurate and biased information on sexual and reproductive health often reaches online users through targeted ads. Ads are “targeted” when they are aimed at an audience with </w:t>
      </w:r>
      <w:r w:rsidR="002A0380" w:rsidRPr="00A74F76">
        <w:rPr>
          <w:rFonts w:ascii="Gilroy" w:hAnsi="Gilroy" w:cs="Segoe UI"/>
          <w:color w:val="000000" w:themeColor="text1"/>
          <w:spacing w:val="5"/>
          <w:sz w:val="22"/>
          <w:szCs w:val="22"/>
        </w:rPr>
        <w:t xml:space="preserve">a </w:t>
      </w:r>
      <w:r w:rsidRPr="00A74F76">
        <w:rPr>
          <w:rFonts w:ascii="Gilroy" w:hAnsi="Gilroy" w:cs="Segoe UI"/>
          <w:color w:val="000000" w:themeColor="text1"/>
          <w:spacing w:val="5"/>
          <w:sz w:val="22"/>
          <w:szCs w:val="22"/>
        </w:rPr>
        <w:t>specific</w:t>
      </w:r>
      <w:r w:rsidR="002A0380" w:rsidRPr="00A74F76">
        <w:rPr>
          <w:rFonts w:ascii="Gilroy" w:hAnsi="Gilroy" w:cs="Segoe UI"/>
          <w:color w:val="000000" w:themeColor="text1"/>
          <w:spacing w:val="5"/>
          <w:sz w:val="22"/>
          <w:szCs w:val="22"/>
        </w:rPr>
        <w:t xml:space="preserve"> profile</w:t>
      </w:r>
      <w:r w:rsidRPr="00A74F76">
        <w:rPr>
          <w:rFonts w:ascii="Gilroy" w:hAnsi="Gilroy" w:cs="Segoe UI"/>
          <w:color w:val="000000" w:themeColor="text1"/>
          <w:spacing w:val="5"/>
          <w:sz w:val="22"/>
          <w:szCs w:val="22"/>
        </w:rPr>
        <w:t xml:space="preserve"> based on the product or service that is being advertised. Ad targeting options are commercially available in most online </w:t>
      </w:r>
      <w:proofErr w:type="gramStart"/>
      <w:r w:rsidRPr="00A74F76">
        <w:rPr>
          <w:rFonts w:ascii="Gilroy" w:hAnsi="Gilroy" w:cs="Segoe UI"/>
          <w:color w:val="000000" w:themeColor="text1"/>
          <w:spacing w:val="5"/>
          <w:sz w:val="22"/>
          <w:szCs w:val="22"/>
        </w:rPr>
        <w:t>platforms, and</w:t>
      </w:r>
      <w:proofErr w:type="gramEnd"/>
      <w:r w:rsidRPr="00A74F76">
        <w:rPr>
          <w:rFonts w:ascii="Gilroy" w:hAnsi="Gilroy" w:cs="Segoe UI"/>
          <w:color w:val="000000" w:themeColor="text1"/>
          <w:spacing w:val="5"/>
          <w:sz w:val="22"/>
          <w:szCs w:val="22"/>
        </w:rPr>
        <w:t xml:space="preserve"> enable the advertiser to target users on the basis of age, interests, behaviour, and more. </w:t>
      </w:r>
      <w:r w:rsidR="005A3034" w:rsidRPr="00A74F76">
        <w:rPr>
          <w:rFonts w:ascii="Gilroy" w:hAnsi="Gilroy" w:cs="Segoe UI"/>
          <w:color w:val="000000" w:themeColor="text1"/>
          <w:spacing w:val="5"/>
          <w:sz w:val="22"/>
          <w:szCs w:val="22"/>
        </w:rPr>
        <w:t>For example, in France, anti-abortion ads on Facebook were found to be targeting young women under 30 years old.</w:t>
      </w:r>
      <w:r w:rsidR="005A3034" w:rsidRPr="00A74F76">
        <w:rPr>
          <w:rStyle w:val="FootnoteReference"/>
          <w:rFonts w:ascii="Gilroy" w:hAnsi="Gilroy" w:cs="Segoe UI"/>
          <w:color w:val="000000" w:themeColor="text1"/>
          <w:spacing w:val="5"/>
          <w:sz w:val="22"/>
          <w:szCs w:val="22"/>
        </w:rPr>
        <w:footnoteReference w:id="18"/>
      </w:r>
    </w:p>
    <w:p w14:paraId="73A84A6D"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97E5084" w14:textId="1A3C2020" w:rsidR="00AE02D3" w:rsidRPr="00A74F76" w:rsidRDefault="00AE02D3"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Geo-fencing</w:t>
      </w:r>
      <w:r w:rsidRPr="00A74F76">
        <w:rPr>
          <w:rFonts w:ascii="Gilroy" w:hAnsi="Gilroy" w:cs="Segoe UI"/>
          <w:color w:val="000000" w:themeColor="text1"/>
          <w:spacing w:val="5"/>
          <w:sz w:val="22"/>
          <w:szCs w:val="22"/>
        </w:rPr>
        <w:t xml:space="preserve">.  Geo-fencing is the creation of a virtual boundary around an area that allows software to trigger a response or alert when a mobile phone enter or leaves an </w:t>
      </w:r>
      <w:r w:rsidRPr="00A74F76">
        <w:rPr>
          <w:rFonts w:ascii="Gilroy" w:hAnsi="Gilroy" w:cs="Segoe UI"/>
          <w:color w:val="000000" w:themeColor="text1"/>
          <w:spacing w:val="5"/>
          <w:sz w:val="22"/>
          <w:szCs w:val="22"/>
        </w:rPr>
        <w:lastRenderedPageBreak/>
        <w:t>area. A 2016 investigation by Rewire News found that anti-abortion groups used geo-fencing technology in the United States to send targeted ads to the phones of women visiting sexual and reproductive health clinics.</w:t>
      </w:r>
      <w:r w:rsidRPr="00A74F76">
        <w:rPr>
          <w:rStyle w:val="FootnoteReference"/>
          <w:rFonts w:ascii="Gilroy" w:hAnsi="Gilroy" w:cs="Segoe UI"/>
          <w:color w:val="000000" w:themeColor="text1"/>
          <w:spacing w:val="5"/>
          <w:sz w:val="22"/>
          <w:szCs w:val="22"/>
        </w:rPr>
        <w:footnoteReference w:id="19"/>
      </w:r>
      <w:r w:rsidRPr="00A74F76">
        <w:rPr>
          <w:rFonts w:ascii="Gilroy" w:hAnsi="Gilroy" w:cs="Segoe UI"/>
          <w:color w:val="000000" w:themeColor="text1"/>
          <w:spacing w:val="5"/>
          <w:sz w:val="22"/>
          <w:szCs w:val="22"/>
        </w:rPr>
        <w:t xml:space="preserve">  The ads are usually for crisis pregnancy centres or other anti-abortion ads and are meant to steer women towards biased websites.</w:t>
      </w:r>
    </w:p>
    <w:p w14:paraId="0FA92E17"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17599EC" w14:textId="16E75705" w:rsidR="007D5C17" w:rsidRPr="00A74F76" w:rsidRDefault="007D5C17"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Poor enforcement of fact-checking policies</w:t>
      </w:r>
      <w:r w:rsidRPr="00A74F76">
        <w:rPr>
          <w:rFonts w:ascii="Gilroy" w:hAnsi="Gilroy" w:cs="Segoe UI"/>
          <w:color w:val="000000" w:themeColor="text1"/>
          <w:spacing w:val="5"/>
          <w:sz w:val="22"/>
          <w:szCs w:val="22"/>
        </w:rPr>
        <w:t xml:space="preserve">. In the absence of fact-checking policies, opposition groups use targeted ads on social media to spread misleading health information. Ads accessed by </w:t>
      </w:r>
      <w:r w:rsidR="00EC6716"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 xml:space="preserve"> on the Facebook Ad Library – which records some of the ads published on Facebook – promoted the abortion pill reversal, despite the procedure’s dubious effectiveness or safety.</w:t>
      </w:r>
      <w:r w:rsidR="005A3034" w:rsidRPr="00A74F76">
        <w:rPr>
          <w:rStyle w:val="FootnoteReference"/>
          <w:rFonts w:ascii="Gilroy" w:hAnsi="Gilroy" w:cs="Segoe UI"/>
          <w:color w:val="000000" w:themeColor="text1"/>
          <w:spacing w:val="5"/>
          <w:sz w:val="22"/>
          <w:szCs w:val="22"/>
        </w:rPr>
        <w:footnoteReference w:id="20"/>
      </w:r>
      <w:r w:rsidRPr="00A74F76">
        <w:rPr>
          <w:rFonts w:ascii="Gilroy" w:hAnsi="Gilroy" w:cs="Segoe UI"/>
          <w:color w:val="000000" w:themeColor="text1"/>
          <w:spacing w:val="5"/>
          <w:sz w:val="22"/>
          <w:szCs w:val="22"/>
        </w:rPr>
        <w:t xml:space="preserve"> Fact-checking procedures can mitigate the harmful impact of inaccurate targeted ads; however, they are not infallible, and biased or misleading ads may fall through the cracks. Depending on the amount spent and targeting options chosen by the advertiser, misleading ads on reproductive health may reach millions before they are taken down.</w:t>
      </w:r>
    </w:p>
    <w:p w14:paraId="5AFCE46B"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E4AF64A" w14:textId="32D3CFAA" w:rsidR="00AE02D3" w:rsidRPr="00A74F76" w:rsidRDefault="00AE02D3" w:rsidP="00753054">
      <w:pPr>
        <w:pStyle w:val="Heading3"/>
        <w:rPr>
          <w:rFonts w:ascii="Gilroy" w:hAnsi="Gilroy"/>
          <w:sz w:val="22"/>
          <w:szCs w:val="22"/>
        </w:rPr>
      </w:pPr>
      <w:bookmarkStart w:id="7" w:name="_Toc50373282"/>
      <w:r w:rsidRPr="00A74F76">
        <w:rPr>
          <w:rFonts w:ascii="Gilroy" w:hAnsi="Gilroy"/>
          <w:sz w:val="22"/>
          <w:szCs w:val="22"/>
        </w:rPr>
        <w:t>Proliferation of misleading and inaccurate healthcare websites</w:t>
      </w:r>
      <w:bookmarkEnd w:id="7"/>
      <w:r w:rsidRPr="00A74F76">
        <w:rPr>
          <w:rFonts w:ascii="Gilroy" w:hAnsi="Gilroy"/>
          <w:sz w:val="22"/>
          <w:szCs w:val="22"/>
        </w:rPr>
        <w:t xml:space="preserve"> </w:t>
      </w:r>
    </w:p>
    <w:p w14:paraId="02D26ABA" w14:textId="77777777" w:rsidR="00E30A73" w:rsidRPr="00A74F76" w:rsidRDefault="00E30A73" w:rsidP="00E30A73">
      <w:pPr>
        <w:pStyle w:val="part"/>
        <w:spacing w:before="0" w:beforeAutospacing="0" w:after="0" w:afterAutospacing="0"/>
        <w:jc w:val="both"/>
        <w:rPr>
          <w:rFonts w:ascii="Gilroy" w:hAnsi="Gilroy" w:cs="Segoe UI"/>
          <w:b/>
          <w:bCs/>
          <w:color w:val="000000" w:themeColor="text1"/>
          <w:spacing w:val="5"/>
          <w:sz w:val="22"/>
          <w:szCs w:val="22"/>
        </w:rPr>
      </w:pPr>
    </w:p>
    <w:p w14:paraId="338CDDA6" w14:textId="5A6EF011" w:rsidR="00526EF8" w:rsidRPr="00A74F76" w:rsidRDefault="00264311"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W</w:t>
      </w:r>
      <w:r w:rsidR="00526EF8" w:rsidRPr="00A74F76">
        <w:rPr>
          <w:rFonts w:ascii="Gilroy" w:hAnsi="Gilroy" w:cs="Segoe UI"/>
          <w:i/>
          <w:iCs/>
          <w:color w:val="000000" w:themeColor="text1"/>
          <w:spacing w:val="5"/>
          <w:sz w:val="22"/>
          <w:szCs w:val="22"/>
        </w:rPr>
        <w:t>eb design solutions</w:t>
      </w:r>
      <w:r w:rsidR="00526EF8" w:rsidRPr="00A74F76">
        <w:rPr>
          <w:rFonts w:ascii="Gilroy" w:hAnsi="Gilroy" w:cs="Segoe UI"/>
          <w:color w:val="000000" w:themeColor="text1"/>
          <w:spacing w:val="5"/>
          <w:sz w:val="22"/>
          <w:szCs w:val="22"/>
        </w:rPr>
        <w:t xml:space="preserve">. Heartbeat International, an opposition organisation, runs Extend Web Services, a web design company that develops websites for crisis pregnancy centres (CPCs). Extend Web Service templates </w:t>
      </w:r>
      <w:r w:rsidRPr="00A74F76">
        <w:rPr>
          <w:rFonts w:ascii="Gilroy" w:hAnsi="Gilroy" w:cs="Segoe UI"/>
          <w:color w:val="000000" w:themeColor="text1"/>
          <w:spacing w:val="5"/>
          <w:sz w:val="22"/>
          <w:szCs w:val="22"/>
        </w:rPr>
        <w:t xml:space="preserve">are globally available, and </w:t>
      </w:r>
      <w:r w:rsidR="00526EF8" w:rsidRPr="00A74F76">
        <w:rPr>
          <w:rFonts w:ascii="Gilroy" w:hAnsi="Gilroy" w:cs="Segoe UI"/>
          <w:color w:val="000000" w:themeColor="text1"/>
          <w:spacing w:val="5"/>
          <w:sz w:val="22"/>
          <w:szCs w:val="22"/>
        </w:rPr>
        <w:t xml:space="preserve">are </w:t>
      </w:r>
      <w:r w:rsidR="00425AA4" w:rsidRPr="00A74F76">
        <w:rPr>
          <w:rFonts w:ascii="Gilroy" w:hAnsi="Gilroy" w:cs="Segoe UI"/>
          <w:color w:val="000000" w:themeColor="text1"/>
          <w:spacing w:val="5"/>
          <w:sz w:val="22"/>
          <w:szCs w:val="22"/>
        </w:rPr>
        <w:t xml:space="preserve">promoted as </w:t>
      </w:r>
      <w:r w:rsidR="00526EF8" w:rsidRPr="00A74F76">
        <w:rPr>
          <w:rFonts w:ascii="Gilroy" w:hAnsi="Gilroy" w:cs="Segoe UI"/>
          <w:color w:val="000000" w:themeColor="text1"/>
          <w:spacing w:val="5"/>
          <w:sz w:val="22"/>
          <w:szCs w:val="22"/>
        </w:rPr>
        <w:t xml:space="preserve">user-friendly </w:t>
      </w:r>
      <w:r w:rsidR="00425AA4" w:rsidRPr="00A74F76">
        <w:rPr>
          <w:rFonts w:ascii="Gilroy" w:hAnsi="Gilroy" w:cs="Segoe UI"/>
          <w:color w:val="000000" w:themeColor="text1"/>
          <w:spacing w:val="5"/>
          <w:sz w:val="22"/>
          <w:szCs w:val="22"/>
        </w:rPr>
        <w:t>solutions, which attract “abortion-minded” users and are designed to make them “feel comfortable”</w:t>
      </w:r>
      <w:r w:rsidR="00526EF8" w:rsidRPr="00A74F76">
        <w:rPr>
          <w:rFonts w:ascii="Gilroy" w:hAnsi="Gilroy" w:cs="Segoe UI"/>
          <w:color w:val="000000" w:themeColor="text1"/>
          <w:spacing w:val="5"/>
          <w:sz w:val="22"/>
          <w:szCs w:val="22"/>
        </w:rPr>
        <w:t>.</w:t>
      </w:r>
      <w:r w:rsidR="00AA43F7" w:rsidRPr="00A74F76">
        <w:rPr>
          <w:rStyle w:val="FootnoteReference"/>
          <w:rFonts w:ascii="Gilroy" w:hAnsi="Gilroy" w:cs="Segoe UI"/>
          <w:color w:val="000000" w:themeColor="text1"/>
          <w:spacing w:val="5"/>
          <w:sz w:val="22"/>
          <w:szCs w:val="22"/>
        </w:rPr>
        <w:footnoteReference w:id="21"/>
      </w:r>
      <w:r w:rsidR="00526EF8" w:rsidRPr="00A74F76">
        <w:rPr>
          <w:rFonts w:ascii="Gilroy" w:hAnsi="Gilroy" w:cs="Segoe UI"/>
          <w:color w:val="000000" w:themeColor="text1"/>
          <w:spacing w:val="5"/>
          <w:sz w:val="22"/>
          <w:szCs w:val="22"/>
        </w:rPr>
        <w:t xml:space="preserve"> </w:t>
      </w:r>
      <w:r w:rsidR="00AA43F7" w:rsidRPr="00A74F76">
        <w:rPr>
          <w:rFonts w:ascii="Gilroy" w:hAnsi="Gilroy" w:cs="Segoe UI"/>
          <w:color w:val="000000" w:themeColor="text1"/>
          <w:spacing w:val="5"/>
          <w:sz w:val="22"/>
          <w:szCs w:val="22"/>
        </w:rPr>
        <w:t xml:space="preserve">Extend Web Services restricts the ability for their clients to change the language used </w:t>
      </w:r>
      <w:r w:rsidR="00526EF8" w:rsidRPr="00A74F76">
        <w:rPr>
          <w:rFonts w:ascii="Gilroy" w:hAnsi="Gilroy" w:cs="Segoe UI"/>
          <w:color w:val="000000" w:themeColor="text1"/>
          <w:spacing w:val="5"/>
          <w:sz w:val="22"/>
          <w:szCs w:val="22"/>
        </w:rPr>
        <w:t xml:space="preserve"> on 5 “medical pages”, thereby restricting the ability of CPCs to edit the language used on the following pages: “abortion information/education”, “abortion recovery”, “sexual health”, “pregnancy”, and “emergency contraception”.</w:t>
      </w:r>
      <w:r w:rsidR="00AA43F7" w:rsidRPr="00A74F76">
        <w:rPr>
          <w:rStyle w:val="FootnoteReference"/>
          <w:rFonts w:ascii="Gilroy" w:hAnsi="Gilroy" w:cs="Segoe UI"/>
          <w:color w:val="000000" w:themeColor="text1"/>
          <w:spacing w:val="5"/>
          <w:sz w:val="22"/>
          <w:szCs w:val="22"/>
        </w:rPr>
        <w:footnoteReference w:id="22"/>
      </w:r>
      <w:r w:rsidR="00526EF8" w:rsidRPr="00A74F76">
        <w:rPr>
          <w:rFonts w:ascii="Gilroy" w:hAnsi="Gilroy" w:cs="Segoe UI"/>
          <w:color w:val="000000" w:themeColor="text1"/>
          <w:spacing w:val="5"/>
          <w:sz w:val="22"/>
          <w:szCs w:val="22"/>
        </w:rPr>
        <w:t xml:space="preserve"> </w:t>
      </w:r>
      <w:r w:rsidR="002D225B" w:rsidRPr="00A74F76">
        <w:rPr>
          <w:rFonts w:ascii="Gilroy" w:hAnsi="Gilroy" w:cs="Segoe UI"/>
          <w:color w:val="000000" w:themeColor="text1"/>
          <w:spacing w:val="5"/>
          <w:sz w:val="22"/>
          <w:szCs w:val="22"/>
        </w:rPr>
        <w:t>An Extend Web Services representative told PI that these 5 medical pages could either be completely removed, or be replaced in their entirety by the client – but not edited.</w:t>
      </w:r>
      <w:r w:rsidR="002D225B" w:rsidRPr="00A74F76">
        <w:rPr>
          <w:rStyle w:val="FootnoteReference"/>
          <w:rFonts w:ascii="Gilroy" w:hAnsi="Gilroy" w:cs="Segoe UI"/>
          <w:color w:val="000000" w:themeColor="text1"/>
          <w:spacing w:val="5"/>
          <w:sz w:val="22"/>
          <w:szCs w:val="22"/>
        </w:rPr>
        <w:footnoteReference w:id="23"/>
      </w:r>
      <w:r w:rsidR="002D225B" w:rsidRPr="00A74F76">
        <w:rPr>
          <w:rFonts w:ascii="Gilroy" w:hAnsi="Gilroy" w:cs="Segoe UI"/>
          <w:color w:val="000000" w:themeColor="text1"/>
          <w:spacing w:val="5"/>
          <w:sz w:val="22"/>
          <w:szCs w:val="22"/>
        </w:rPr>
        <w:t xml:space="preserve"> </w:t>
      </w:r>
      <w:r w:rsidR="00526EF8" w:rsidRPr="00A74F76">
        <w:rPr>
          <w:rFonts w:ascii="Gilroy" w:hAnsi="Gilroy" w:cs="Segoe UI"/>
          <w:color w:val="000000" w:themeColor="text1"/>
          <w:spacing w:val="5"/>
          <w:sz w:val="22"/>
          <w:szCs w:val="22"/>
        </w:rPr>
        <w:t>The content of those pages is misleading and biased. For instance, one “abortion information/education” page reads: “[e]</w:t>
      </w:r>
      <w:proofErr w:type="spellStart"/>
      <w:r w:rsidR="00526EF8" w:rsidRPr="00A74F76">
        <w:rPr>
          <w:rFonts w:ascii="Gilroy" w:hAnsi="Gilroy" w:cs="Segoe UI"/>
          <w:color w:val="000000" w:themeColor="text1"/>
          <w:spacing w:val="5"/>
          <w:sz w:val="22"/>
          <w:szCs w:val="22"/>
        </w:rPr>
        <w:t>ven</w:t>
      </w:r>
      <w:proofErr w:type="spellEnd"/>
      <w:r w:rsidR="00526EF8" w:rsidRPr="00A74F76">
        <w:rPr>
          <w:rFonts w:ascii="Gilroy" w:hAnsi="Gilroy" w:cs="Segoe UI"/>
          <w:color w:val="000000" w:themeColor="text1"/>
          <w:spacing w:val="5"/>
          <w:sz w:val="22"/>
          <w:szCs w:val="22"/>
        </w:rPr>
        <w:t xml:space="preserve"> though pregnancy tests are generally accurate, it can also be a good idea to get an ultrasound. This can tell you if your pregnancy is viable”. The language used not only conflates pregnancy viability with getting an ultrasound, it also may sway women seeking abortions to get an ultrasound. </w:t>
      </w:r>
    </w:p>
    <w:p w14:paraId="255450AE"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35E1530E" w14:textId="35110280" w:rsidR="006F3DB5" w:rsidRPr="00A74F76" w:rsidRDefault="00425AA4"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Honey pot websites</w:t>
      </w:r>
      <w:r w:rsidRPr="00A74F76">
        <w:rPr>
          <w:rFonts w:ascii="Gilroy" w:hAnsi="Gilroy" w:cs="Segoe UI"/>
          <w:color w:val="000000" w:themeColor="text1"/>
          <w:spacing w:val="5"/>
          <w:sz w:val="22"/>
          <w:szCs w:val="22"/>
        </w:rPr>
        <w:t xml:space="preserve">. </w:t>
      </w:r>
      <w:r w:rsidR="00264311" w:rsidRPr="00A74F76">
        <w:rPr>
          <w:rFonts w:ascii="Gilroy" w:hAnsi="Gilroy" w:cs="Segoe UI"/>
          <w:color w:val="000000" w:themeColor="text1"/>
          <w:spacing w:val="5"/>
          <w:sz w:val="22"/>
          <w:szCs w:val="22"/>
        </w:rPr>
        <w:t>Research carried out in</w:t>
      </w:r>
      <w:r w:rsidR="00526EF8" w:rsidRPr="00A74F76">
        <w:rPr>
          <w:rFonts w:ascii="Gilroy" w:hAnsi="Gilroy" w:cs="Segoe UI"/>
          <w:color w:val="000000" w:themeColor="text1"/>
          <w:spacing w:val="5"/>
          <w:sz w:val="22"/>
          <w:szCs w:val="22"/>
        </w:rPr>
        <w:t xml:space="preserve"> Brazil</w:t>
      </w:r>
      <w:r w:rsidR="00264311" w:rsidRPr="00A74F76">
        <w:rPr>
          <w:rFonts w:ascii="Gilroy" w:hAnsi="Gilroy" w:cs="Segoe UI"/>
          <w:color w:val="000000" w:themeColor="text1"/>
          <w:spacing w:val="5"/>
          <w:sz w:val="22"/>
          <w:szCs w:val="22"/>
        </w:rPr>
        <w:t xml:space="preserve"> shows there </w:t>
      </w:r>
      <w:r w:rsidR="00526EF8" w:rsidRPr="00A74F76">
        <w:rPr>
          <w:rFonts w:ascii="Gilroy" w:hAnsi="Gilroy" w:cs="Segoe UI"/>
          <w:color w:val="000000" w:themeColor="text1"/>
          <w:spacing w:val="5"/>
          <w:sz w:val="22"/>
          <w:szCs w:val="22"/>
        </w:rPr>
        <w:t xml:space="preserve">is evidence that the </w:t>
      </w:r>
      <w:r w:rsidR="00264311" w:rsidRPr="00A74F76">
        <w:rPr>
          <w:rFonts w:ascii="Gilroy" w:hAnsi="Gilroy" w:cs="Segoe UI"/>
          <w:color w:val="000000" w:themeColor="text1"/>
          <w:spacing w:val="5"/>
          <w:sz w:val="22"/>
          <w:szCs w:val="22"/>
        </w:rPr>
        <w:t xml:space="preserve">opposition </w:t>
      </w:r>
      <w:r w:rsidR="00526EF8" w:rsidRPr="00A74F76">
        <w:rPr>
          <w:rFonts w:ascii="Gilroy" w:hAnsi="Gilroy" w:cs="Segoe UI"/>
          <w:color w:val="000000" w:themeColor="text1"/>
          <w:spacing w:val="5"/>
          <w:sz w:val="22"/>
          <w:szCs w:val="22"/>
        </w:rPr>
        <w:t xml:space="preserve">organisation </w:t>
      </w:r>
      <w:proofErr w:type="spellStart"/>
      <w:r w:rsidR="00526EF8" w:rsidRPr="00A74F76">
        <w:rPr>
          <w:rFonts w:ascii="Gilroy" w:hAnsi="Gilroy" w:cs="Segoe UI"/>
          <w:color w:val="000000" w:themeColor="text1"/>
          <w:spacing w:val="5"/>
          <w:sz w:val="22"/>
          <w:szCs w:val="22"/>
        </w:rPr>
        <w:t>Associação</w:t>
      </w:r>
      <w:proofErr w:type="spellEnd"/>
      <w:r w:rsidR="00526EF8" w:rsidRPr="00A74F76">
        <w:rPr>
          <w:rFonts w:ascii="Gilroy" w:hAnsi="Gilroy" w:cs="Segoe UI"/>
          <w:color w:val="000000" w:themeColor="text1"/>
          <w:spacing w:val="5"/>
          <w:sz w:val="22"/>
          <w:szCs w:val="22"/>
        </w:rPr>
        <w:t xml:space="preserve"> </w:t>
      </w:r>
      <w:proofErr w:type="spellStart"/>
      <w:r w:rsidR="00526EF8" w:rsidRPr="00A74F76">
        <w:rPr>
          <w:rFonts w:ascii="Gilroy" w:hAnsi="Gilroy" w:cs="Segoe UI"/>
          <w:color w:val="000000" w:themeColor="text1"/>
          <w:spacing w:val="5"/>
          <w:sz w:val="22"/>
          <w:szCs w:val="22"/>
        </w:rPr>
        <w:t>Mulher</w:t>
      </w:r>
      <w:proofErr w:type="spellEnd"/>
      <w:r w:rsidR="00526EF8" w:rsidRPr="00A74F76">
        <w:rPr>
          <w:rFonts w:ascii="Gilroy" w:hAnsi="Gilroy" w:cs="Segoe UI"/>
          <w:color w:val="000000" w:themeColor="text1"/>
          <w:spacing w:val="5"/>
          <w:sz w:val="22"/>
          <w:szCs w:val="22"/>
        </w:rPr>
        <w:t xml:space="preserve">, associated with the website </w:t>
      </w:r>
      <w:proofErr w:type="spellStart"/>
      <w:r w:rsidR="00526EF8" w:rsidRPr="00A74F76">
        <w:rPr>
          <w:rFonts w:ascii="Gilroy" w:hAnsi="Gilroy" w:cs="Segoe UI"/>
          <w:color w:val="000000" w:themeColor="text1"/>
          <w:spacing w:val="5"/>
          <w:sz w:val="22"/>
          <w:szCs w:val="22"/>
        </w:rPr>
        <w:t>Gravidez</w:t>
      </w:r>
      <w:proofErr w:type="spellEnd"/>
      <w:r w:rsidR="00526EF8" w:rsidRPr="00A74F76">
        <w:rPr>
          <w:rFonts w:ascii="Gilroy" w:hAnsi="Gilroy" w:cs="Segoe UI"/>
          <w:color w:val="000000" w:themeColor="text1"/>
          <w:spacing w:val="5"/>
          <w:sz w:val="22"/>
          <w:szCs w:val="22"/>
        </w:rPr>
        <w:t xml:space="preserve"> </w:t>
      </w:r>
      <w:proofErr w:type="spellStart"/>
      <w:r w:rsidR="00526EF8" w:rsidRPr="00A74F76">
        <w:rPr>
          <w:rFonts w:ascii="Gilroy" w:hAnsi="Gilroy" w:cs="Segoe UI"/>
          <w:color w:val="000000" w:themeColor="text1"/>
          <w:spacing w:val="5"/>
          <w:sz w:val="22"/>
          <w:szCs w:val="22"/>
        </w:rPr>
        <w:t>Indesejada</w:t>
      </w:r>
      <w:proofErr w:type="spellEnd"/>
      <w:r w:rsidR="00526EF8" w:rsidRPr="00A74F76">
        <w:rPr>
          <w:rFonts w:ascii="Gilroy" w:hAnsi="Gilroy" w:cs="Segoe UI"/>
          <w:color w:val="000000" w:themeColor="text1"/>
          <w:spacing w:val="5"/>
          <w:sz w:val="22"/>
          <w:szCs w:val="22"/>
        </w:rPr>
        <w:t xml:space="preserve">, uses </w:t>
      </w:r>
      <w:r w:rsidR="00264311" w:rsidRPr="00A74F76">
        <w:rPr>
          <w:rFonts w:ascii="Gilroy" w:hAnsi="Gilroy" w:cs="Segoe UI"/>
          <w:color w:val="000000" w:themeColor="text1"/>
          <w:spacing w:val="5"/>
          <w:sz w:val="22"/>
          <w:szCs w:val="22"/>
        </w:rPr>
        <w:t>Extend</w:t>
      </w:r>
      <w:r w:rsidR="00526EF8" w:rsidRPr="00A74F76">
        <w:rPr>
          <w:rFonts w:ascii="Gilroy" w:hAnsi="Gilroy" w:cs="Segoe UI"/>
          <w:color w:val="000000" w:themeColor="text1"/>
          <w:spacing w:val="5"/>
          <w:sz w:val="22"/>
          <w:szCs w:val="22"/>
        </w:rPr>
        <w:t xml:space="preserve"> </w:t>
      </w:r>
      <w:r w:rsidR="00264311" w:rsidRPr="00A74F76">
        <w:rPr>
          <w:rFonts w:ascii="Gilroy" w:hAnsi="Gilroy" w:cs="Segoe UI"/>
          <w:color w:val="000000" w:themeColor="text1"/>
          <w:spacing w:val="5"/>
          <w:sz w:val="22"/>
          <w:szCs w:val="22"/>
        </w:rPr>
        <w:t>W</w:t>
      </w:r>
      <w:r w:rsidR="00526EF8" w:rsidRPr="00A74F76">
        <w:rPr>
          <w:rFonts w:ascii="Gilroy" w:hAnsi="Gilroy" w:cs="Segoe UI"/>
          <w:color w:val="000000" w:themeColor="text1"/>
          <w:spacing w:val="5"/>
          <w:sz w:val="22"/>
          <w:szCs w:val="22"/>
        </w:rPr>
        <w:t xml:space="preserve">eb </w:t>
      </w:r>
      <w:r w:rsidR="00264311" w:rsidRPr="00A74F76">
        <w:rPr>
          <w:rFonts w:ascii="Gilroy" w:hAnsi="Gilroy" w:cs="Segoe UI"/>
          <w:color w:val="000000" w:themeColor="text1"/>
          <w:spacing w:val="5"/>
          <w:sz w:val="22"/>
          <w:szCs w:val="22"/>
        </w:rPr>
        <w:t>S</w:t>
      </w:r>
      <w:r w:rsidR="00526EF8" w:rsidRPr="00A74F76">
        <w:rPr>
          <w:rFonts w:ascii="Gilroy" w:hAnsi="Gilroy" w:cs="Segoe UI"/>
          <w:color w:val="000000" w:themeColor="text1"/>
          <w:spacing w:val="5"/>
          <w:sz w:val="22"/>
          <w:szCs w:val="22"/>
        </w:rPr>
        <w:t>ervices.</w:t>
      </w:r>
      <w:r w:rsidR="006F3DB5" w:rsidRPr="00A74F76">
        <w:rPr>
          <w:rStyle w:val="FootnoteReference"/>
          <w:rFonts w:ascii="Gilroy" w:hAnsi="Gilroy" w:cs="Segoe UI"/>
          <w:color w:val="000000" w:themeColor="text1"/>
          <w:spacing w:val="5"/>
          <w:sz w:val="22"/>
          <w:szCs w:val="22"/>
        </w:rPr>
        <w:footnoteReference w:id="24"/>
      </w:r>
      <w:r w:rsidR="00526EF8" w:rsidRPr="00A74F76">
        <w:rPr>
          <w:rFonts w:ascii="Gilroy" w:hAnsi="Gilroy" w:cs="Segoe UI"/>
          <w:color w:val="000000" w:themeColor="text1"/>
          <w:spacing w:val="5"/>
          <w:sz w:val="22"/>
          <w:szCs w:val="22"/>
        </w:rPr>
        <w:t xml:space="preserve"> </w:t>
      </w:r>
      <w:r w:rsidR="006F3DB5" w:rsidRPr="00A74F76">
        <w:rPr>
          <w:rFonts w:ascii="Gilroy" w:hAnsi="Gilroy" w:cs="Segoe UI"/>
          <w:color w:val="000000" w:themeColor="text1"/>
          <w:spacing w:val="5"/>
          <w:sz w:val="22"/>
          <w:szCs w:val="22"/>
        </w:rPr>
        <w:t xml:space="preserve">The website itself contains incorrect information about abortion pills and abortion consequences to convince women not to get an abortion. In 2018, when an undercover journalist attended an appointment obtained through </w:t>
      </w:r>
      <w:proofErr w:type="spellStart"/>
      <w:r w:rsidR="006F3DB5" w:rsidRPr="00A74F76">
        <w:rPr>
          <w:rFonts w:ascii="Gilroy" w:hAnsi="Gilroy" w:cs="Segoe UI"/>
          <w:color w:val="000000" w:themeColor="text1"/>
          <w:spacing w:val="5"/>
          <w:sz w:val="22"/>
          <w:szCs w:val="22"/>
        </w:rPr>
        <w:t>Gravidez</w:t>
      </w:r>
      <w:proofErr w:type="spellEnd"/>
      <w:r w:rsidR="006F3DB5" w:rsidRPr="00A74F76">
        <w:rPr>
          <w:rFonts w:ascii="Gilroy" w:hAnsi="Gilroy" w:cs="Segoe UI"/>
          <w:color w:val="000000" w:themeColor="text1"/>
          <w:spacing w:val="5"/>
          <w:sz w:val="22"/>
          <w:szCs w:val="22"/>
        </w:rPr>
        <w:t xml:space="preserve"> </w:t>
      </w:r>
      <w:proofErr w:type="spellStart"/>
      <w:r w:rsidR="006F3DB5" w:rsidRPr="00A74F76">
        <w:rPr>
          <w:rFonts w:ascii="Gilroy" w:hAnsi="Gilroy" w:cs="Segoe UI"/>
          <w:color w:val="000000" w:themeColor="text1"/>
          <w:spacing w:val="5"/>
          <w:sz w:val="22"/>
          <w:szCs w:val="22"/>
        </w:rPr>
        <w:t>Indesejada</w:t>
      </w:r>
      <w:proofErr w:type="spellEnd"/>
      <w:r w:rsidR="006F3DB5" w:rsidRPr="00A74F76">
        <w:rPr>
          <w:rFonts w:ascii="Gilroy" w:hAnsi="Gilroy" w:cs="Segoe UI"/>
          <w:color w:val="000000" w:themeColor="text1"/>
          <w:spacing w:val="5"/>
          <w:sz w:val="22"/>
          <w:szCs w:val="22"/>
        </w:rPr>
        <w:t xml:space="preserve"> as part of an </w:t>
      </w:r>
      <w:proofErr w:type="spellStart"/>
      <w:r w:rsidR="006F3DB5" w:rsidRPr="00A74F76">
        <w:rPr>
          <w:rFonts w:ascii="Gilroy" w:hAnsi="Gilroy" w:cs="Segoe UI"/>
          <w:color w:val="000000" w:themeColor="text1"/>
          <w:spacing w:val="5"/>
          <w:sz w:val="22"/>
          <w:szCs w:val="22"/>
        </w:rPr>
        <w:t>Agência</w:t>
      </w:r>
      <w:proofErr w:type="spellEnd"/>
      <w:r w:rsidR="006F3DB5" w:rsidRPr="00A74F76">
        <w:rPr>
          <w:rFonts w:ascii="Gilroy" w:hAnsi="Gilroy" w:cs="Segoe UI"/>
          <w:color w:val="000000" w:themeColor="text1"/>
          <w:spacing w:val="5"/>
          <w:sz w:val="22"/>
          <w:szCs w:val="22"/>
        </w:rPr>
        <w:t xml:space="preserve"> </w:t>
      </w:r>
      <w:proofErr w:type="spellStart"/>
      <w:r w:rsidR="006F3DB5" w:rsidRPr="00A74F76">
        <w:rPr>
          <w:rFonts w:ascii="Gilroy" w:hAnsi="Gilroy" w:cs="Segoe UI"/>
          <w:color w:val="000000" w:themeColor="text1"/>
          <w:spacing w:val="5"/>
          <w:sz w:val="22"/>
          <w:szCs w:val="22"/>
        </w:rPr>
        <w:t>Pública</w:t>
      </w:r>
      <w:proofErr w:type="spellEnd"/>
      <w:r w:rsidR="006F3DB5" w:rsidRPr="00A74F76">
        <w:rPr>
          <w:rFonts w:ascii="Gilroy" w:hAnsi="Gilroy" w:cs="Segoe UI"/>
          <w:color w:val="000000" w:themeColor="text1"/>
          <w:spacing w:val="5"/>
          <w:sz w:val="22"/>
          <w:szCs w:val="22"/>
        </w:rPr>
        <w:t xml:space="preserve"> investigation, she was not only provided with incorrect information about abortion and its </w:t>
      </w:r>
      <w:r w:rsidR="006F3DB5" w:rsidRPr="00A74F76">
        <w:rPr>
          <w:rFonts w:ascii="Gilroy" w:hAnsi="Gilroy" w:cs="Segoe UI"/>
          <w:color w:val="000000" w:themeColor="text1"/>
          <w:spacing w:val="5"/>
          <w:sz w:val="22"/>
          <w:szCs w:val="22"/>
        </w:rPr>
        <w:lastRenderedPageBreak/>
        <w:t xml:space="preserve">consequences, but she was also forced to see images of unsafe abortions and hold a plastic </w:t>
      </w:r>
      <w:proofErr w:type="spellStart"/>
      <w:r w:rsidR="006F3DB5" w:rsidRPr="00A74F76">
        <w:rPr>
          <w:rFonts w:ascii="Gilroy" w:hAnsi="Gilroy" w:cs="Segoe UI"/>
          <w:color w:val="000000" w:themeColor="text1"/>
          <w:spacing w:val="5"/>
          <w:sz w:val="22"/>
          <w:szCs w:val="22"/>
        </w:rPr>
        <w:t>fetus</w:t>
      </w:r>
      <w:proofErr w:type="spellEnd"/>
      <w:r w:rsidR="006F3DB5" w:rsidRPr="00A74F76">
        <w:rPr>
          <w:rFonts w:ascii="Gilroy" w:hAnsi="Gilroy" w:cs="Segoe UI"/>
          <w:color w:val="000000" w:themeColor="text1"/>
          <w:spacing w:val="5"/>
          <w:sz w:val="22"/>
          <w:szCs w:val="22"/>
        </w:rPr>
        <w:t>.</w:t>
      </w:r>
      <w:r w:rsidR="006F3DB5" w:rsidRPr="00A74F76">
        <w:rPr>
          <w:rStyle w:val="FootnoteReference"/>
          <w:rFonts w:ascii="Gilroy" w:hAnsi="Gilroy" w:cs="Segoe UI"/>
          <w:color w:val="000000" w:themeColor="text1"/>
          <w:spacing w:val="5"/>
          <w:sz w:val="22"/>
          <w:szCs w:val="22"/>
        </w:rPr>
        <w:footnoteReference w:id="25"/>
      </w:r>
      <w:r w:rsidR="00702D8E" w:rsidRPr="00A74F76">
        <w:rPr>
          <w:rFonts w:ascii="Gilroy" w:hAnsi="Gilroy" w:cs="Segoe UI"/>
          <w:color w:val="000000" w:themeColor="text1"/>
          <w:spacing w:val="5"/>
          <w:sz w:val="22"/>
          <w:szCs w:val="22"/>
        </w:rPr>
        <w:t xml:space="preserve"> </w:t>
      </w:r>
      <w:r w:rsidR="004D6399" w:rsidRPr="00A74F76">
        <w:rPr>
          <w:rFonts w:ascii="Gilroy" w:hAnsi="Gilroy" w:cs="Segoe UI"/>
          <w:color w:val="000000" w:themeColor="text1"/>
          <w:spacing w:val="5"/>
          <w:sz w:val="22"/>
          <w:szCs w:val="22"/>
        </w:rPr>
        <w:t xml:space="preserve">This is only one example of what is a widespread trend in Latin America. An investigation by </w:t>
      </w:r>
      <w:proofErr w:type="spellStart"/>
      <w:r w:rsidR="004D6399" w:rsidRPr="00A74F76">
        <w:rPr>
          <w:rFonts w:ascii="Gilroy" w:hAnsi="Gilroy" w:cs="Segoe UI"/>
          <w:color w:val="000000" w:themeColor="text1"/>
          <w:spacing w:val="5"/>
          <w:sz w:val="22"/>
          <w:szCs w:val="22"/>
        </w:rPr>
        <w:t>OpenDemocracy</w:t>
      </w:r>
      <w:proofErr w:type="spellEnd"/>
      <w:r w:rsidR="004D6399" w:rsidRPr="00A74F76">
        <w:rPr>
          <w:rFonts w:ascii="Gilroy" w:hAnsi="Gilroy" w:cs="Segoe UI"/>
          <w:color w:val="000000" w:themeColor="text1"/>
          <w:spacing w:val="5"/>
          <w:sz w:val="22"/>
          <w:szCs w:val="22"/>
        </w:rPr>
        <w:t xml:space="preserve"> spanning four Latin American countries found that a network of CPCs specifically targeted women looking for abortion information and services online, with many presenting themselves as pro-choice groups.</w:t>
      </w:r>
      <w:r w:rsidR="004D6399" w:rsidRPr="00A74F76">
        <w:rPr>
          <w:rStyle w:val="FootnoteReference"/>
          <w:rFonts w:ascii="Gilroy" w:hAnsi="Gilroy" w:cs="Segoe UI"/>
          <w:color w:val="000000" w:themeColor="text1"/>
          <w:spacing w:val="5"/>
          <w:sz w:val="22"/>
          <w:szCs w:val="22"/>
        </w:rPr>
        <w:footnoteReference w:id="26"/>
      </w:r>
      <w:r w:rsidR="009E1A34" w:rsidRPr="00A74F76">
        <w:rPr>
          <w:rFonts w:ascii="Gilroy" w:hAnsi="Gilroy" w:cs="Segoe UI"/>
          <w:color w:val="000000" w:themeColor="text1"/>
          <w:spacing w:val="5"/>
          <w:sz w:val="22"/>
          <w:szCs w:val="22"/>
        </w:rPr>
        <w:t xml:space="preserve"> These </w:t>
      </w:r>
      <w:r w:rsidR="00227B7E" w:rsidRPr="00A74F76">
        <w:rPr>
          <w:rFonts w:ascii="Gilroy" w:hAnsi="Gilroy" w:cs="Segoe UI"/>
          <w:color w:val="000000" w:themeColor="text1"/>
          <w:spacing w:val="5"/>
          <w:sz w:val="22"/>
          <w:szCs w:val="22"/>
        </w:rPr>
        <w:t xml:space="preserve">networks of </w:t>
      </w:r>
      <w:r w:rsidR="009E1A34" w:rsidRPr="00A74F76">
        <w:rPr>
          <w:rFonts w:ascii="Gilroy" w:hAnsi="Gilroy" w:cs="Segoe UI"/>
          <w:color w:val="000000" w:themeColor="text1"/>
          <w:spacing w:val="5"/>
          <w:sz w:val="22"/>
          <w:szCs w:val="22"/>
        </w:rPr>
        <w:t xml:space="preserve">CPCs </w:t>
      </w:r>
      <w:r w:rsidR="00227B7E" w:rsidRPr="00A74F76">
        <w:rPr>
          <w:rFonts w:ascii="Gilroy" w:hAnsi="Gilroy" w:cs="Segoe UI"/>
          <w:color w:val="000000" w:themeColor="text1"/>
          <w:spacing w:val="5"/>
          <w:sz w:val="22"/>
          <w:szCs w:val="22"/>
        </w:rPr>
        <w:t xml:space="preserve">in these countries </w:t>
      </w:r>
      <w:r w:rsidR="009E1A34" w:rsidRPr="00A74F76">
        <w:rPr>
          <w:rFonts w:ascii="Gilroy" w:hAnsi="Gilroy" w:cs="Segoe UI"/>
          <w:color w:val="000000" w:themeColor="text1"/>
          <w:spacing w:val="5"/>
          <w:sz w:val="22"/>
          <w:szCs w:val="22"/>
        </w:rPr>
        <w:t xml:space="preserve">are funded by Heartbeat International, which has formed a presence in the region through </w:t>
      </w:r>
      <w:r w:rsidR="002D225B" w:rsidRPr="00A74F76">
        <w:rPr>
          <w:rFonts w:ascii="Gilroy" w:hAnsi="Gilroy" w:cs="Segoe UI"/>
          <w:color w:val="000000" w:themeColor="text1"/>
          <w:spacing w:val="5"/>
          <w:sz w:val="22"/>
          <w:szCs w:val="22"/>
        </w:rPr>
        <w:t xml:space="preserve">funding </w:t>
      </w:r>
      <w:r w:rsidR="009E1A34" w:rsidRPr="00A74F76">
        <w:rPr>
          <w:rFonts w:ascii="Gilroy" w:hAnsi="Gilroy" w:cs="Segoe UI"/>
          <w:color w:val="000000" w:themeColor="text1"/>
          <w:spacing w:val="5"/>
          <w:sz w:val="22"/>
          <w:szCs w:val="22"/>
        </w:rPr>
        <w:t>a Latin American Network of Women’s Aid Centres</w:t>
      </w:r>
      <w:r w:rsidR="002D225B" w:rsidRPr="00A74F76">
        <w:rPr>
          <w:rFonts w:ascii="Gilroy" w:hAnsi="Gilroy" w:cs="Segoe UI"/>
          <w:color w:val="000000" w:themeColor="text1"/>
          <w:spacing w:val="5"/>
          <w:sz w:val="22"/>
          <w:szCs w:val="22"/>
        </w:rPr>
        <w:t xml:space="preserve"> (</w:t>
      </w:r>
      <w:proofErr w:type="spellStart"/>
      <w:r w:rsidR="002D225B" w:rsidRPr="00A74F76">
        <w:rPr>
          <w:rFonts w:ascii="Gilroy" w:hAnsi="Gilroy" w:cs="Segoe UI"/>
          <w:color w:val="000000" w:themeColor="text1"/>
          <w:spacing w:val="5"/>
          <w:sz w:val="22"/>
          <w:szCs w:val="22"/>
        </w:rPr>
        <w:t>Centros</w:t>
      </w:r>
      <w:proofErr w:type="spellEnd"/>
      <w:r w:rsidR="002D225B" w:rsidRPr="00A74F76">
        <w:rPr>
          <w:rFonts w:ascii="Gilroy" w:hAnsi="Gilroy" w:cs="Segoe UI"/>
          <w:color w:val="000000" w:themeColor="text1"/>
          <w:spacing w:val="5"/>
          <w:sz w:val="22"/>
          <w:szCs w:val="22"/>
        </w:rPr>
        <w:t xml:space="preserve"> de </w:t>
      </w:r>
      <w:proofErr w:type="spellStart"/>
      <w:r w:rsidR="002D225B" w:rsidRPr="00A74F76">
        <w:rPr>
          <w:rFonts w:ascii="Gilroy" w:hAnsi="Gilroy" w:cs="Segoe UI"/>
          <w:color w:val="000000" w:themeColor="text1"/>
          <w:spacing w:val="5"/>
          <w:sz w:val="22"/>
          <w:szCs w:val="22"/>
        </w:rPr>
        <w:t>Ayuda</w:t>
      </w:r>
      <w:proofErr w:type="spellEnd"/>
      <w:r w:rsidR="002D225B" w:rsidRPr="00A74F76">
        <w:rPr>
          <w:rFonts w:ascii="Gilroy" w:hAnsi="Gilroy" w:cs="Segoe UI"/>
          <w:color w:val="000000" w:themeColor="text1"/>
          <w:spacing w:val="5"/>
          <w:sz w:val="22"/>
          <w:szCs w:val="22"/>
        </w:rPr>
        <w:t xml:space="preserve"> para la </w:t>
      </w:r>
      <w:proofErr w:type="spellStart"/>
      <w:r w:rsidR="002D225B" w:rsidRPr="00A74F76">
        <w:rPr>
          <w:rFonts w:ascii="Gilroy" w:hAnsi="Gilroy" w:cs="Segoe UI"/>
          <w:color w:val="000000" w:themeColor="text1"/>
          <w:spacing w:val="5"/>
          <w:sz w:val="22"/>
          <w:szCs w:val="22"/>
        </w:rPr>
        <w:t>Mujer</w:t>
      </w:r>
      <w:proofErr w:type="spellEnd"/>
      <w:r w:rsidR="002D225B" w:rsidRPr="00A74F76">
        <w:rPr>
          <w:rFonts w:ascii="Gilroy" w:hAnsi="Gilroy" w:cs="Segoe UI"/>
          <w:color w:val="000000" w:themeColor="text1"/>
          <w:spacing w:val="5"/>
          <w:sz w:val="22"/>
          <w:szCs w:val="22"/>
        </w:rPr>
        <w:t>)</w:t>
      </w:r>
      <w:r w:rsidR="009E1A34" w:rsidRPr="00A74F76">
        <w:rPr>
          <w:rFonts w:ascii="Gilroy" w:hAnsi="Gilroy" w:cs="Segoe UI"/>
          <w:color w:val="000000" w:themeColor="text1"/>
          <w:spacing w:val="5"/>
          <w:sz w:val="22"/>
          <w:szCs w:val="22"/>
        </w:rPr>
        <w:t>.</w:t>
      </w:r>
      <w:r w:rsidR="002D225B" w:rsidRPr="00A74F76">
        <w:rPr>
          <w:rStyle w:val="FootnoteReference"/>
          <w:rFonts w:ascii="Gilroy" w:hAnsi="Gilroy" w:cs="Segoe UI"/>
          <w:color w:val="000000" w:themeColor="text1"/>
          <w:spacing w:val="5"/>
          <w:sz w:val="22"/>
          <w:szCs w:val="22"/>
        </w:rPr>
        <w:footnoteReference w:id="27"/>
      </w:r>
    </w:p>
    <w:p w14:paraId="7BB543A3"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B5F76AD" w14:textId="73F0AFE2" w:rsidR="00AE02D3" w:rsidRPr="00A74F76" w:rsidRDefault="00AE02D3"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 xml:space="preserve">Copycat websites. </w:t>
      </w:r>
      <w:r w:rsidRPr="00A74F76">
        <w:rPr>
          <w:rFonts w:ascii="Gilroy" w:hAnsi="Gilroy" w:cs="Segoe UI"/>
          <w:color w:val="000000" w:themeColor="text1"/>
          <w:spacing w:val="5"/>
          <w:sz w:val="22"/>
          <w:szCs w:val="22"/>
        </w:rPr>
        <w:t>Some opposition groups go as far as creating copycat websites pretending to offer official, government-sanctioned information about pregnancy options. In Ireland, a man set up a fake Irish Health Services website confusingly similar to the official Health Services crisis pregnancy service. The fake website offered pregnancy scans and discouraged women from getting abortions.</w:t>
      </w:r>
      <w:r w:rsidRPr="00A74F76">
        <w:rPr>
          <w:rStyle w:val="FootnoteReference"/>
          <w:rFonts w:ascii="Gilroy" w:hAnsi="Gilroy" w:cs="Segoe UI"/>
          <w:color w:val="000000" w:themeColor="text1"/>
          <w:spacing w:val="5"/>
          <w:sz w:val="22"/>
          <w:szCs w:val="22"/>
        </w:rPr>
        <w:footnoteReference w:id="28"/>
      </w:r>
    </w:p>
    <w:p w14:paraId="7398720D"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F0EAE4F" w14:textId="14E9ED94" w:rsidR="00702D8E" w:rsidRPr="00A74F76" w:rsidRDefault="00702D8E"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Online censorship policies</w:t>
      </w:r>
      <w:r w:rsidRPr="00A74F76">
        <w:rPr>
          <w:rFonts w:ascii="Gilroy" w:hAnsi="Gilroy" w:cs="Segoe UI"/>
          <w:color w:val="000000" w:themeColor="text1"/>
          <w:spacing w:val="5"/>
          <w:sz w:val="22"/>
          <w:szCs w:val="22"/>
        </w:rPr>
        <w:t xml:space="preserve">. Misinformation on sexual and reproductive health can thrive in the absence of non-biased websites providing scientifically accurate information. </w:t>
      </w:r>
      <w:r w:rsidR="00E91460"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 xml:space="preserve"> research has found that, in at least two countries, online censorship practices have targeted and effectively blocked access to reliable and accurate reproductive health information. In Indonesia, </w:t>
      </w:r>
      <w:r w:rsidR="00E91460" w:rsidRPr="00A74F76">
        <w:rPr>
          <w:rFonts w:ascii="Gilroy" w:hAnsi="Gilroy" w:cs="Segoe UI"/>
          <w:color w:val="000000" w:themeColor="text1"/>
          <w:spacing w:val="5"/>
          <w:sz w:val="22"/>
          <w:szCs w:val="22"/>
        </w:rPr>
        <w:t xml:space="preserve">specifically, </w:t>
      </w:r>
      <w:r w:rsidRPr="00A74F76">
        <w:rPr>
          <w:rFonts w:ascii="Gilroy" w:hAnsi="Gilroy" w:cs="Segoe UI"/>
          <w:color w:val="000000" w:themeColor="text1"/>
          <w:spacing w:val="5"/>
          <w:sz w:val="22"/>
          <w:szCs w:val="22"/>
        </w:rPr>
        <w:t xml:space="preserve">the government’s blocking and filtering policy – known as the “Healthy Internet” programme – enables it to “block” websites on the basis of a keyword-filtering method. The method is over-inclusive and as a result, websites such as breastfeeding education websites and sexual and reproductive health websites are blocked. The </w:t>
      </w:r>
      <w:r w:rsidR="00333058" w:rsidRPr="00A74F76">
        <w:rPr>
          <w:rFonts w:ascii="Gilroy" w:hAnsi="Gilroy" w:cs="Segoe UI"/>
          <w:color w:val="000000" w:themeColor="text1"/>
          <w:spacing w:val="5"/>
          <w:sz w:val="22"/>
          <w:szCs w:val="22"/>
        </w:rPr>
        <w:t xml:space="preserve">website of NGO </w:t>
      </w:r>
      <w:r w:rsidRPr="00A74F76">
        <w:rPr>
          <w:rFonts w:ascii="Gilroy" w:hAnsi="Gilroy" w:cs="Segoe UI"/>
          <w:color w:val="000000" w:themeColor="text1"/>
          <w:spacing w:val="5"/>
          <w:sz w:val="22"/>
          <w:szCs w:val="22"/>
        </w:rPr>
        <w:t>Women on Web</w:t>
      </w:r>
      <w:r w:rsidR="00333058" w:rsidRPr="00A74F76">
        <w:rPr>
          <w:rFonts w:ascii="Gilroy" w:hAnsi="Gilroy" w:cs="Segoe UI"/>
          <w:color w:val="000000" w:themeColor="text1"/>
          <w:spacing w:val="5"/>
          <w:sz w:val="22"/>
          <w:szCs w:val="22"/>
        </w:rPr>
        <w:t>, known to promote sexual and reproductive healthcare services worldwide,</w:t>
      </w:r>
      <w:r w:rsidRPr="00A74F76">
        <w:rPr>
          <w:rFonts w:ascii="Gilroy" w:hAnsi="Gilroy" w:cs="Segoe UI"/>
          <w:color w:val="000000" w:themeColor="text1"/>
          <w:spacing w:val="5"/>
          <w:sz w:val="22"/>
          <w:szCs w:val="22"/>
        </w:rPr>
        <w:t xml:space="preserve"> was blocked </w:t>
      </w:r>
      <w:r w:rsidR="00333058" w:rsidRPr="00A74F76">
        <w:rPr>
          <w:rFonts w:ascii="Gilroy" w:hAnsi="Gilroy" w:cs="Segoe UI"/>
          <w:color w:val="000000" w:themeColor="text1"/>
          <w:spacing w:val="5"/>
          <w:sz w:val="22"/>
          <w:szCs w:val="22"/>
        </w:rPr>
        <w:t xml:space="preserve">by </w:t>
      </w:r>
      <w:r w:rsidR="00EF59D9" w:rsidRPr="00A74F76">
        <w:rPr>
          <w:rFonts w:ascii="Gilroy" w:hAnsi="Gilroy" w:cs="Segoe UI"/>
          <w:color w:val="000000" w:themeColor="text1"/>
          <w:spacing w:val="5"/>
          <w:sz w:val="22"/>
          <w:szCs w:val="22"/>
        </w:rPr>
        <w:t>the filtering policy</w:t>
      </w:r>
      <w:r w:rsidR="00E91460" w:rsidRPr="00A74F76">
        <w:rPr>
          <w:rFonts w:ascii="Gilroy" w:hAnsi="Gilroy" w:cs="Segoe UI"/>
          <w:color w:val="000000" w:themeColor="text1"/>
          <w:spacing w:val="5"/>
          <w:sz w:val="22"/>
          <w:szCs w:val="22"/>
        </w:rPr>
        <w:t xml:space="preserve"> </w:t>
      </w:r>
      <w:r w:rsidRPr="00A74F76">
        <w:rPr>
          <w:rFonts w:ascii="Gilroy" w:hAnsi="Gilroy" w:cs="Segoe UI"/>
          <w:color w:val="000000" w:themeColor="text1"/>
          <w:spacing w:val="5"/>
          <w:sz w:val="22"/>
          <w:szCs w:val="22"/>
        </w:rPr>
        <w:t>after posting an article on abortion.</w:t>
      </w:r>
      <w:r w:rsidRPr="00A74F76">
        <w:rPr>
          <w:rStyle w:val="FootnoteReference"/>
          <w:rFonts w:ascii="Gilroy" w:hAnsi="Gilroy" w:cs="Segoe UI"/>
          <w:color w:val="000000" w:themeColor="text1"/>
          <w:spacing w:val="5"/>
          <w:sz w:val="22"/>
          <w:szCs w:val="22"/>
        </w:rPr>
        <w:footnoteReference w:id="29"/>
      </w:r>
      <w:r w:rsidR="00333058" w:rsidRPr="00A74F76">
        <w:rPr>
          <w:rFonts w:ascii="Gilroy" w:hAnsi="Gilroy" w:cs="Segoe UI"/>
          <w:color w:val="000000" w:themeColor="text1"/>
          <w:spacing w:val="5"/>
          <w:sz w:val="22"/>
          <w:szCs w:val="22"/>
        </w:rPr>
        <w:t xml:space="preserve"> In Brazil, research found that the pro-choice website Women on Waves – a sister initiative to Women on Web –  was blocked on several networks, with no explanation from the telecommunications companies concerned.</w:t>
      </w:r>
      <w:r w:rsidR="00333058" w:rsidRPr="00A74F76">
        <w:rPr>
          <w:rStyle w:val="FootnoteReference"/>
          <w:rFonts w:ascii="Gilroy" w:hAnsi="Gilroy" w:cs="Segoe UI"/>
          <w:color w:val="000000" w:themeColor="text1"/>
          <w:spacing w:val="5"/>
          <w:sz w:val="22"/>
          <w:szCs w:val="22"/>
        </w:rPr>
        <w:footnoteReference w:id="30"/>
      </w:r>
    </w:p>
    <w:p w14:paraId="02211BF9"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9FA552A" w14:textId="77777777" w:rsidR="00E30A73" w:rsidRPr="00A74F76" w:rsidRDefault="00526EF8" w:rsidP="00EF59D9">
      <w:pPr>
        <w:pStyle w:val="Heading3"/>
        <w:rPr>
          <w:rStyle w:val="Strong"/>
          <w:rFonts w:ascii="Gilroy" w:hAnsi="Gilroy"/>
          <w:b w:val="0"/>
          <w:bCs w:val="0"/>
          <w:sz w:val="22"/>
          <w:szCs w:val="22"/>
        </w:rPr>
      </w:pPr>
      <w:bookmarkStart w:id="8" w:name="_Toc50373283"/>
      <w:r w:rsidRPr="00A74F76">
        <w:rPr>
          <w:rStyle w:val="Strong"/>
          <w:rFonts w:ascii="Gilroy" w:hAnsi="Gilroy"/>
          <w:b w:val="0"/>
          <w:bCs w:val="0"/>
          <w:sz w:val="22"/>
          <w:szCs w:val="22"/>
        </w:rPr>
        <w:t>Misleading Apps</w:t>
      </w:r>
      <w:bookmarkEnd w:id="8"/>
    </w:p>
    <w:p w14:paraId="6BFA8190" w14:textId="308024C4"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br/>
      </w:r>
      <w:r w:rsidR="00797C05" w:rsidRPr="00A74F76">
        <w:rPr>
          <w:rFonts w:ascii="Gilroy" w:hAnsi="Gilroy" w:cs="Segoe UI"/>
          <w:color w:val="000000" w:themeColor="text1"/>
          <w:spacing w:val="5"/>
          <w:sz w:val="22"/>
          <w:szCs w:val="22"/>
        </w:rPr>
        <w:t>Opposition</w:t>
      </w:r>
      <w:r w:rsidRPr="00A74F76">
        <w:rPr>
          <w:rFonts w:ascii="Gilroy" w:hAnsi="Gilroy" w:cs="Segoe UI"/>
          <w:color w:val="000000" w:themeColor="text1"/>
          <w:spacing w:val="5"/>
          <w:sz w:val="22"/>
          <w:szCs w:val="22"/>
        </w:rPr>
        <w:t xml:space="preserve"> groups covertly fund smartphone apps requesting a lot of information about people’s reproductive health while disseminating doubt about the safety of birth control. The</w:t>
      </w:r>
      <w:r w:rsidR="00E91460" w:rsidRPr="00A74F76">
        <w:rPr>
          <w:rFonts w:ascii="Gilroy" w:hAnsi="Gilroy" w:cs="Segoe UI"/>
          <w:color w:val="000000" w:themeColor="text1"/>
          <w:spacing w:val="5"/>
          <w:sz w:val="22"/>
          <w:szCs w:val="22"/>
        </w:rPr>
        <w:t xml:space="preserve"> newspaper, The</w:t>
      </w:r>
      <w:r w:rsidRPr="00A74F76">
        <w:rPr>
          <w:rFonts w:ascii="Gilroy" w:hAnsi="Gilroy" w:cs="Segoe UI"/>
          <w:color w:val="000000" w:themeColor="text1"/>
          <w:spacing w:val="5"/>
          <w:sz w:val="22"/>
          <w:szCs w:val="22"/>
        </w:rPr>
        <w:t xml:space="preserve"> Guardian</w:t>
      </w:r>
      <w:r w:rsidR="00E91460" w:rsidRPr="00A74F76">
        <w:rPr>
          <w:rFonts w:ascii="Gilroy" w:hAnsi="Gilroy" w:cs="Segoe UI"/>
          <w:color w:val="000000" w:themeColor="text1"/>
          <w:spacing w:val="5"/>
          <w:sz w:val="22"/>
          <w:szCs w:val="22"/>
        </w:rPr>
        <w:t>,</w:t>
      </w:r>
      <w:r w:rsidRPr="00A74F76">
        <w:rPr>
          <w:rFonts w:ascii="Gilroy" w:hAnsi="Gilroy" w:cs="Segoe UI"/>
          <w:color w:val="000000" w:themeColor="text1"/>
          <w:spacing w:val="5"/>
          <w:sz w:val="22"/>
          <w:szCs w:val="22"/>
        </w:rPr>
        <w:t xml:space="preserve"> reported that the popular FEMM app purporting to “[teach] women to understand their bodies” and “[provide] accurate medical testing and treatment based on new research and medical protocol” is funded by anti-abortion and catholic campaigners.</w:t>
      </w:r>
      <w:r w:rsidR="00702D8E" w:rsidRPr="00A74F76">
        <w:rPr>
          <w:rStyle w:val="FootnoteReference"/>
          <w:rFonts w:ascii="Gilroy" w:hAnsi="Gilroy" w:cs="Segoe UI"/>
          <w:color w:val="000000" w:themeColor="text1"/>
          <w:spacing w:val="5"/>
          <w:sz w:val="22"/>
          <w:szCs w:val="22"/>
        </w:rPr>
        <w:footnoteReference w:id="31"/>
      </w:r>
      <w:r w:rsidRPr="00A74F76">
        <w:rPr>
          <w:rFonts w:ascii="Gilroy" w:hAnsi="Gilroy" w:cs="Segoe UI"/>
          <w:color w:val="000000" w:themeColor="text1"/>
          <w:spacing w:val="5"/>
          <w:sz w:val="22"/>
          <w:szCs w:val="22"/>
        </w:rPr>
        <w:t xml:space="preserve"> FEMM worked with the </w:t>
      </w:r>
      <w:r w:rsidRPr="00A74F76">
        <w:rPr>
          <w:rFonts w:ascii="Gilroy" w:hAnsi="Gilroy" w:cs="Segoe UI"/>
          <w:color w:val="000000" w:themeColor="text1"/>
          <w:spacing w:val="5"/>
          <w:sz w:val="22"/>
          <w:szCs w:val="22"/>
        </w:rPr>
        <w:lastRenderedPageBreak/>
        <w:t>Reproductive Health Research Institute in the development of medical research and training. However, according to the Guardian, medical advisors who work with the Institute are not licensed to practice medicine in the United States.</w:t>
      </w:r>
    </w:p>
    <w:p w14:paraId="78948CFA"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44EB6BDC" w14:textId="77777777" w:rsidR="00E30A73" w:rsidRPr="00A74F76" w:rsidRDefault="00526EF8" w:rsidP="00EF59D9">
      <w:pPr>
        <w:pStyle w:val="Heading3"/>
        <w:rPr>
          <w:rStyle w:val="Strong"/>
          <w:rFonts w:ascii="Gilroy" w:hAnsi="Gilroy"/>
          <w:b w:val="0"/>
          <w:bCs w:val="0"/>
          <w:sz w:val="22"/>
          <w:szCs w:val="22"/>
        </w:rPr>
      </w:pPr>
      <w:bookmarkStart w:id="9" w:name="_Toc50373284"/>
      <w:r w:rsidRPr="00A74F76">
        <w:rPr>
          <w:rStyle w:val="Strong"/>
          <w:rFonts w:ascii="Gilroy" w:hAnsi="Gilroy"/>
          <w:b w:val="0"/>
          <w:bCs w:val="0"/>
          <w:sz w:val="22"/>
          <w:szCs w:val="22"/>
        </w:rPr>
        <w:t xml:space="preserve">Social </w:t>
      </w:r>
      <w:r w:rsidR="009E1A34" w:rsidRPr="00A74F76">
        <w:rPr>
          <w:rStyle w:val="Strong"/>
          <w:rFonts w:ascii="Gilroy" w:hAnsi="Gilroy"/>
          <w:b w:val="0"/>
          <w:bCs w:val="0"/>
          <w:sz w:val="22"/>
          <w:szCs w:val="22"/>
        </w:rPr>
        <w:t>m</w:t>
      </w:r>
      <w:r w:rsidRPr="00A74F76">
        <w:rPr>
          <w:rStyle w:val="Strong"/>
          <w:rFonts w:ascii="Gilroy" w:hAnsi="Gilroy"/>
          <w:b w:val="0"/>
          <w:bCs w:val="0"/>
          <w:sz w:val="22"/>
          <w:szCs w:val="22"/>
        </w:rPr>
        <w:t>edia</w:t>
      </w:r>
      <w:bookmarkEnd w:id="9"/>
    </w:p>
    <w:p w14:paraId="2E709FCF" w14:textId="20F1C13C" w:rsidR="00797C05"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br/>
      </w:r>
      <w:r w:rsidR="00227B7E" w:rsidRPr="00A74F76">
        <w:rPr>
          <w:rFonts w:ascii="Gilroy" w:hAnsi="Gilroy" w:cs="Segoe UI"/>
          <w:color w:val="000000" w:themeColor="text1"/>
          <w:spacing w:val="5"/>
          <w:sz w:val="22"/>
          <w:szCs w:val="22"/>
        </w:rPr>
        <w:t>R</w:t>
      </w:r>
      <w:r w:rsidR="00797C05" w:rsidRPr="00A74F76">
        <w:rPr>
          <w:rFonts w:ascii="Gilroy" w:hAnsi="Gilroy" w:cs="Segoe UI"/>
          <w:color w:val="000000" w:themeColor="text1"/>
          <w:spacing w:val="5"/>
          <w:sz w:val="22"/>
          <w:szCs w:val="22"/>
        </w:rPr>
        <w:t xml:space="preserve">esearch </w:t>
      </w:r>
      <w:r w:rsidR="00227B7E" w:rsidRPr="00A74F76">
        <w:rPr>
          <w:rFonts w:ascii="Gilroy" w:hAnsi="Gilroy" w:cs="Segoe UI"/>
          <w:color w:val="000000" w:themeColor="text1"/>
          <w:spacing w:val="5"/>
          <w:sz w:val="22"/>
          <w:szCs w:val="22"/>
        </w:rPr>
        <w:t xml:space="preserve">by PI and some of its global partners </w:t>
      </w:r>
      <w:r w:rsidR="00797C05" w:rsidRPr="00A74F76">
        <w:rPr>
          <w:rFonts w:ascii="Gilroy" w:hAnsi="Gilroy" w:cs="Segoe UI"/>
          <w:color w:val="000000" w:themeColor="text1"/>
          <w:spacing w:val="5"/>
          <w:sz w:val="22"/>
          <w:szCs w:val="22"/>
        </w:rPr>
        <w:t xml:space="preserve">has found that social media platforms, such as Instagram, play an increasingly important role in spreading misinformation on reproductive health and potentially curtailing access to sexual and reproductive rights. </w:t>
      </w:r>
    </w:p>
    <w:p w14:paraId="072C8035"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461A6FD6" w14:textId="6D14E91A" w:rsidR="005A3034" w:rsidRPr="00A74F76" w:rsidRDefault="00797C05"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Social media profiles of opposition groups</w:t>
      </w:r>
      <w:r w:rsidRPr="00A74F76">
        <w:rPr>
          <w:rFonts w:ascii="Gilroy" w:hAnsi="Gilroy" w:cs="Segoe UI"/>
          <w:color w:val="000000" w:themeColor="text1"/>
          <w:spacing w:val="5"/>
          <w:sz w:val="22"/>
          <w:szCs w:val="22"/>
        </w:rPr>
        <w:t>. In Brazil,</w:t>
      </w:r>
      <w:r w:rsidR="00E91460" w:rsidRPr="00A74F76">
        <w:rPr>
          <w:rFonts w:ascii="Gilroy" w:hAnsi="Gilroy" w:cs="Segoe UI"/>
          <w:color w:val="000000" w:themeColor="text1"/>
          <w:spacing w:val="5"/>
          <w:sz w:val="22"/>
          <w:szCs w:val="22"/>
        </w:rPr>
        <w:t xml:space="preserve"> for instance,</w:t>
      </w:r>
      <w:r w:rsidRPr="00A74F76">
        <w:rPr>
          <w:rFonts w:ascii="Gilroy" w:hAnsi="Gilroy" w:cs="Segoe UI"/>
          <w:color w:val="000000" w:themeColor="text1"/>
          <w:spacing w:val="5"/>
          <w:sz w:val="22"/>
          <w:szCs w:val="22"/>
        </w:rPr>
        <w:t xml:space="preserve"> opposition website </w:t>
      </w:r>
      <w:proofErr w:type="spellStart"/>
      <w:r w:rsidRPr="00A74F76">
        <w:rPr>
          <w:rFonts w:ascii="Gilroy" w:hAnsi="Gilroy" w:cs="Segoe UI"/>
          <w:color w:val="000000" w:themeColor="text1"/>
          <w:spacing w:val="5"/>
          <w:sz w:val="22"/>
          <w:szCs w:val="22"/>
        </w:rPr>
        <w:t>Gravidez</w:t>
      </w:r>
      <w:proofErr w:type="spellEnd"/>
      <w:r w:rsidRPr="00A74F76">
        <w:rPr>
          <w:rFonts w:ascii="Gilroy" w:hAnsi="Gilroy" w:cs="Segoe UI"/>
          <w:color w:val="000000" w:themeColor="text1"/>
          <w:spacing w:val="5"/>
          <w:sz w:val="22"/>
          <w:szCs w:val="22"/>
        </w:rPr>
        <w:t xml:space="preserve"> </w:t>
      </w:r>
      <w:proofErr w:type="spellStart"/>
      <w:r w:rsidRPr="00A74F76">
        <w:rPr>
          <w:rFonts w:ascii="Gilroy" w:hAnsi="Gilroy" w:cs="Segoe UI"/>
          <w:color w:val="000000" w:themeColor="text1"/>
          <w:spacing w:val="5"/>
          <w:sz w:val="22"/>
          <w:szCs w:val="22"/>
        </w:rPr>
        <w:t>Indesejada</w:t>
      </w:r>
      <w:proofErr w:type="spellEnd"/>
      <w:r w:rsidRPr="00A74F76">
        <w:rPr>
          <w:rFonts w:ascii="Gilroy" w:hAnsi="Gilroy" w:cs="Segoe UI"/>
          <w:color w:val="000000" w:themeColor="text1"/>
          <w:spacing w:val="5"/>
          <w:sz w:val="22"/>
          <w:szCs w:val="22"/>
        </w:rPr>
        <w:t xml:space="preserve"> uses an Instagram account to attract women to its website.</w:t>
      </w:r>
      <w:r w:rsidRPr="00A74F76">
        <w:rPr>
          <w:rStyle w:val="FootnoteReference"/>
          <w:rFonts w:ascii="Gilroy" w:hAnsi="Gilroy" w:cs="Segoe UI"/>
          <w:color w:val="000000" w:themeColor="text1"/>
          <w:spacing w:val="5"/>
          <w:sz w:val="22"/>
          <w:szCs w:val="22"/>
        </w:rPr>
        <w:footnoteReference w:id="32"/>
      </w:r>
      <w:r w:rsidRPr="00A74F76">
        <w:rPr>
          <w:rFonts w:ascii="Gilroy" w:hAnsi="Gilroy" w:cs="Segoe UI"/>
          <w:color w:val="000000" w:themeColor="text1"/>
          <w:spacing w:val="5"/>
          <w:sz w:val="22"/>
          <w:szCs w:val="22"/>
        </w:rPr>
        <w:t xml:space="preserve"> </w:t>
      </w:r>
      <w:r w:rsidR="00116BCD" w:rsidRPr="00A74F76">
        <w:rPr>
          <w:rFonts w:ascii="Gilroy" w:hAnsi="Gilroy" w:cs="Segoe UI"/>
          <w:color w:val="000000" w:themeColor="text1"/>
          <w:spacing w:val="5"/>
          <w:sz w:val="22"/>
          <w:szCs w:val="22"/>
        </w:rPr>
        <w:t xml:space="preserve">Despite the fact that </w:t>
      </w:r>
      <w:proofErr w:type="spellStart"/>
      <w:r w:rsidR="00116BCD" w:rsidRPr="00A74F76">
        <w:rPr>
          <w:rFonts w:ascii="Gilroy" w:hAnsi="Gilroy" w:cs="Segoe UI"/>
          <w:color w:val="000000" w:themeColor="text1"/>
          <w:spacing w:val="5"/>
          <w:sz w:val="22"/>
          <w:szCs w:val="22"/>
        </w:rPr>
        <w:t>Gravidez</w:t>
      </w:r>
      <w:proofErr w:type="spellEnd"/>
      <w:r w:rsidR="00116BCD" w:rsidRPr="00A74F76">
        <w:rPr>
          <w:rFonts w:ascii="Gilroy" w:hAnsi="Gilroy" w:cs="Segoe UI"/>
          <w:color w:val="000000" w:themeColor="text1"/>
          <w:spacing w:val="5"/>
          <w:sz w:val="22"/>
          <w:szCs w:val="22"/>
        </w:rPr>
        <w:t xml:space="preserve"> </w:t>
      </w:r>
      <w:proofErr w:type="spellStart"/>
      <w:r w:rsidR="00116BCD" w:rsidRPr="00A74F76">
        <w:rPr>
          <w:rFonts w:ascii="Gilroy" w:hAnsi="Gilroy" w:cs="Segoe UI"/>
          <w:color w:val="000000" w:themeColor="text1"/>
          <w:spacing w:val="5"/>
          <w:sz w:val="22"/>
          <w:szCs w:val="22"/>
        </w:rPr>
        <w:t>Indesejada</w:t>
      </w:r>
      <w:proofErr w:type="spellEnd"/>
      <w:r w:rsidR="00116BCD" w:rsidRPr="00A74F76">
        <w:rPr>
          <w:rFonts w:ascii="Gilroy" w:hAnsi="Gilroy" w:cs="Segoe UI"/>
          <w:color w:val="000000" w:themeColor="text1"/>
          <w:spacing w:val="5"/>
          <w:sz w:val="22"/>
          <w:szCs w:val="22"/>
        </w:rPr>
        <w:t xml:space="preserve"> seeks to dissuade women from seeking abortion</w:t>
      </w:r>
      <w:r w:rsidRPr="00A74F76">
        <w:rPr>
          <w:rFonts w:ascii="Gilroy" w:hAnsi="Gilroy" w:cs="Segoe UI"/>
          <w:color w:val="000000" w:themeColor="text1"/>
          <w:spacing w:val="5"/>
          <w:sz w:val="22"/>
          <w:szCs w:val="22"/>
        </w:rPr>
        <w:t>,</w:t>
      </w:r>
      <w:r w:rsidR="00116BCD" w:rsidRPr="00A74F76">
        <w:rPr>
          <w:rFonts w:ascii="Gilroy" w:hAnsi="Gilroy" w:cs="Segoe UI"/>
          <w:color w:val="000000" w:themeColor="text1"/>
          <w:spacing w:val="5"/>
          <w:sz w:val="22"/>
          <w:szCs w:val="22"/>
        </w:rPr>
        <w:t xml:space="preserve"> the posts available on their Instagram account state that they promote “Girl Power”, and that they </w:t>
      </w:r>
      <w:r w:rsidR="005A3034" w:rsidRPr="00A74F76">
        <w:rPr>
          <w:rFonts w:ascii="Gilroy" w:hAnsi="Gilroy" w:cs="Segoe UI"/>
          <w:color w:val="000000" w:themeColor="text1"/>
          <w:spacing w:val="5"/>
          <w:sz w:val="22"/>
          <w:szCs w:val="22"/>
        </w:rPr>
        <w:t xml:space="preserve">can help women “defend their rights” and assist them to “make their choices”.  </w:t>
      </w:r>
    </w:p>
    <w:p w14:paraId="7CCD3E7C"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59695B11" w14:textId="4BCB06AE" w:rsidR="009E1A34" w:rsidRPr="00A74F76" w:rsidRDefault="00116BCD" w:rsidP="00E30A73">
      <w:pPr>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Standalone influencers</w:t>
      </w:r>
      <w:r w:rsidRPr="00A74F76">
        <w:rPr>
          <w:rFonts w:ascii="Gilroy" w:hAnsi="Gilroy" w:cs="Segoe UI"/>
          <w:color w:val="000000" w:themeColor="text1"/>
          <w:spacing w:val="5"/>
          <w:sz w:val="22"/>
          <w:szCs w:val="22"/>
        </w:rPr>
        <w:t xml:space="preserve">. </w:t>
      </w:r>
      <w:proofErr w:type="gramStart"/>
      <w:r w:rsidRPr="00A74F76">
        <w:rPr>
          <w:rFonts w:ascii="Gilroy" w:hAnsi="Gilroy" w:cs="Segoe UI"/>
          <w:color w:val="000000" w:themeColor="text1"/>
          <w:spacing w:val="5"/>
          <w:sz w:val="22"/>
          <w:szCs w:val="22"/>
        </w:rPr>
        <w:t>Also</w:t>
      </w:r>
      <w:proofErr w:type="gramEnd"/>
      <w:r w:rsidRPr="00A74F76">
        <w:rPr>
          <w:rFonts w:ascii="Gilroy" w:hAnsi="Gilroy" w:cs="Segoe UI"/>
          <w:color w:val="000000" w:themeColor="text1"/>
          <w:spacing w:val="5"/>
          <w:sz w:val="22"/>
          <w:szCs w:val="22"/>
        </w:rPr>
        <w:t xml:space="preserve"> in Brazil, there is growing evidence that influencers are obstructing the exercise of reproductive rights.</w:t>
      </w:r>
      <w:r w:rsidR="00A7012E" w:rsidRPr="00A74F76">
        <w:rPr>
          <w:rStyle w:val="FootnoteReference"/>
          <w:rFonts w:ascii="Gilroy" w:hAnsi="Gilroy" w:cs="Segoe UI"/>
          <w:color w:val="000000" w:themeColor="text1"/>
          <w:spacing w:val="5"/>
          <w:sz w:val="22"/>
          <w:szCs w:val="22"/>
        </w:rPr>
        <w:footnoteReference w:id="33"/>
      </w:r>
      <w:r w:rsidRPr="00A74F76">
        <w:rPr>
          <w:rFonts w:ascii="Gilroy" w:hAnsi="Gilroy" w:cs="Segoe UI"/>
          <w:color w:val="000000" w:themeColor="text1"/>
          <w:spacing w:val="5"/>
          <w:sz w:val="22"/>
          <w:szCs w:val="22"/>
        </w:rPr>
        <w:t xml:space="preserve"> At least one influencer profile has been found to operate anti-abortion initiatives. Screenshots collected by Brazil-based NGO Coding Rights show influencers reportedly having </w:t>
      </w:r>
      <w:proofErr w:type="spellStart"/>
      <w:r w:rsidRPr="00A74F76">
        <w:rPr>
          <w:rFonts w:ascii="Gilroy" w:hAnsi="Gilroy" w:cs="Segoe UI"/>
          <w:color w:val="000000" w:themeColor="text1"/>
          <w:spacing w:val="5"/>
          <w:sz w:val="22"/>
          <w:szCs w:val="22"/>
        </w:rPr>
        <w:t>Whatsapp</w:t>
      </w:r>
      <w:proofErr w:type="spellEnd"/>
      <w:r w:rsidRPr="00A74F76">
        <w:rPr>
          <w:rFonts w:ascii="Gilroy" w:hAnsi="Gilroy" w:cs="Segoe UI"/>
          <w:color w:val="000000" w:themeColor="text1"/>
          <w:spacing w:val="5"/>
          <w:sz w:val="22"/>
          <w:szCs w:val="22"/>
        </w:rPr>
        <w:t xml:space="preserve"> conversations with users having contacted them to seek help in dissuading pregnant women from seeking abortion care.</w:t>
      </w:r>
      <w:r w:rsidRPr="00A74F76">
        <w:rPr>
          <w:rFonts w:ascii="Gilroy" w:hAnsi="Gilroy"/>
          <w:color w:val="000000" w:themeColor="text1"/>
          <w:sz w:val="22"/>
          <w:szCs w:val="22"/>
        </w:rPr>
        <w:t xml:space="preserve"> </w:t>
      </w:r>
      <w:r w:rsidRPr="00A74F76">
        <w:rPr>
          <w:rFonts w:ascii="Gilroy" w:hAnsi="Gilroy" w:cs="Segoe UI"/>
          <w:color w:val="000000" w:themeColor="text1"/>
          <w:spacing w:val="5"/>
          <w:sz w:val="22"/>
          <w:szCs w:val="22"/>
        </w:rPr>
        <w:t xml:space="preserve">These screenshots show that opposition figures with a strong social media following are able to disseminate their views through informal and unmonitored channels, with real consequences for the women “referred” to them. </w:t>
      </w:r>
    </w:p>
    <w:p w14:paraId="2CA6D16E" w14:textId="16BD21C2" w:rsidR="009E1A34" w:rsidRPr="00A74F76" w:rsidRDefault="009E1A34" w:rsidP="00E30A73">
      <w:pPr>
        <w:jc w:val="both"/>
        <w:rPr>
          <w:rFonts w:ascii="Gilroy" w:hAnsi="Gilroy" w:cs="Segoe UI"/>
          <w:color w:val="000000" w:themeColor="text1"/>
          <w:spacing w:val="5"/>
          <w:sz w:val="22"/>
          <w:szCs w:val="22"/>
        </w:rPr>
      </w:pPr>
    </w:p>
    <w:p w14:paraId="69B64DB9" w14:textId="77777777" w:rsidR="00E30A73" w:rsidRPr="00A74F76" w:rsidRDefault="009E1A34" w:rsidP="00A7012E">
      <w:pPr>
        <w:pStyle w:val="Heading3"/>
        <w:rPr>
          <w:rStyle w:val="Strong"/>
          <w:rFonts w:ascii="Gilroy" w:hAnsi="Gilroy"/>
          <w:b w:val="0"/>
          <w:bCs w:val="0"/>
          <w:sz w:val="22"/>
          <w:szCs w:val="22"/>
        </w:rPr>
      </w:pPr>
      <w:bookmarkStart w:id="10" w:name="_Toc50373285"/>
      <w:r w:rsidRPr="00A74F76">
        <w:rPr>
          <w:rStyle w:val="Strong"/>
          <w:rFonts w:ascii="Gilroy" w:hAnsi="Gilroy"/>
          <w:b w:val="0"/>
          <w:bCs w:val="0"/>
          <w:sz w:val="22"/>
          <w:szCs w:val="22"/>
        </w:rPr>
        <w:t>International campaigns and educational programs</w:t>
      </w:r>
      <w:bookmarkEnd w:id="10"/>
    </w:p>
    <w:p w14:paraId="0951E7D0" w14:textId="0FB4E356" w:rsidR="009E1A34" w:rsidRPr="00A74F76" w:rsidRDefault="009E1A34" w:rsidP="00E30A73">
      <w:pPr>
        <w:jc w:val="both"/>
        <w:rPr>
          <w:rFonts w:ascii="Gilroy" w:hAnsi="Gilroy"/>
          <w:color w:val="000000" w:themeColor="text1"/>
          <w:sz w:val="22"/>
          <w:szCs w:val="22"/>
        </w:rPr>
      </w:pPr>
      <w:r w:rsidRPr="00A74F76">
        <w:rPr>
          <w:rFonts w:ascii="Gilroy" w:hAnsi="Gilroy" w:cs="Segoe UI"/>
          <w:color w:val="000000" w:themeColor="text1"/>
          <w:spacing w:val="5"/>
          <w:sz w:val="22"/>
          <w:szCs w:val="22"/>
        </w:rPr>
        <w:br/>
        <w:t xml:space="preserve">There are numerous examples of the use of international campaigns and educational programs by opposition groups to promote an anti-reproductive rights agenda. Heartbeat International, for example, runs an “Academy” offering online talks and courses promoted through the organisation’s large international network of crisis pregnancy centres. The courses contain misleading and inaccurate information such as the scientifically unproven claim that abortion can lead to cancer and mental illnesses. In India, opposition group Life Matters Worldwide partnered with at least one rural hospital to provide them with ultrasound equipment raising concerns about their intention to actively restrict abortion for rural women. </w:t>
      </w:r>
      <w:proofErr w:type="spellStart"/>
      <w:r w:rsidRPr="00A74F76">
        <w:rPr>
          <w:rFonts w:ascii="Gilroy" w:hAnsi="Gilroy" w:cs="Segoe UI"/>
          <w:color w:val="000000" w:themeColor="text1"/>
          <w:spacing w:val="5"/>
          <w:sz w:val="22"/>
          <w:szCs w:val="22"/>
        </w:rPr>
        <w:t>TeenStar</w:t>
      </w:r>
      <w:proofErr w:type="spellEnd"/>
      <w:r w:rsidRPr="00A74F76">
        <w:rPr>
          <w:rFonts w:ascii="Gilroy" w:hAnsi="Gilroy" w:cs="Segoe UI"/>
          <w:color w:val="000000" w:themeColor="text1"/>
          <w:spacing w:val="5"/>
          <w:sz w:val="22"/>
          <w:szCs w:val="22"/>
        </w:rPr>
        <w:t>, an educational programme used in 36 countries, actively discourage</w:t>
      </w:r>
      <w:r w:rsidR="00DB2742" w:rsidRPr="00A74F76">
        <w:rPr>
          <w:rFonts w:ascii="Gilroy" w:hAnsi="Gilroy" w:cs="Segoe UI"/>
          <w:color w:val="000000" w:themeColor="text1"/>
          <w:spacing w:val="5"/>
          <w:sz w:val="22"/>
          <w:szCs w:val="22"/>
        </w:rPr>
        <w:t>s</w:t>
      </w:r>
      <w:r w:rsidRPr="00A74F76">
        <w:rPr>
          <w:rFonts w:ascii="Gilroy" w:hAnsi="Gilroy" w:cs="Segoe UI"/>
          <w:color w:val="000000" w:themeColor="text1"/>
          <w:spacing w:val="5"/>
          <w:sz w:val="22"/>
          <w:szCs w:val="22"/>
        </w:rPr>
        <w:t xml:space="preserve"> the use of contraceptives – and yet the Croatian government sponsored the programme for a decade despite the fact that it is not backed by science. The World Youth Alliance</w:t>
      </w:r>
      <w:r w:rsidR="00EF341F" w:rsidRPr="00A74F76">
        <w:rPr>
          <w:rFonts w:ascii="Gilroy" w:hAnsi="Gilroy" w:cs="Segoe UI"/>
          <w:color w:val="000000" w:themeColor="text1"/>
          <w:spacing w:val="5"/>
          <w:sz w:val="22"/>
          <w:szCs w:val="22"/>
        </w:rPr>
        <w:t xml:space="preserve">, a </w:t>
      </w:r>
      <w:r w:rsidRPr="00A74F76">
        <w:rPr>
          <w:rFonts w:ascii="Gilroy" w:hAnsi="Gilroy" w:cs="Segoe UI"/>
          <w:color w:val="000000" w:themeColor="text1"/>
          <w:spacing w:val="5"/>
          <w:sz w:val="22"/>
          <w:szCs w:val="22"/>
        </w:rPr>
        <w:t>global alliance aiming at curtailing access to sex education, contraception and abortion care</w:t>
      </w:r>
      <w:r w:rsidR="00EF341F" w:rsidRPr="00A74F76">
        <w:rPr>
          <w:rFonts w:ascii="Gilroy" w:hAnsi="Gilroy" w:cs="Segoe UI"/>
          <w:color w:val="000000" w:themeColor="text1"/>
          <w:spacing w:val="5"/>
          <w:sz w:val="22"/>
          <w:szCs w:val="22"/>
        </w:rPr>
        <w:t>, has similarly promoted and run training sessions around the world</w:t>
      </w:r>
      <w:r w:rsidRPr="00A74F76">
        <w:rPr>
          <w:rFonts w:ascii="Gilroy" w:hAnsi="Gilroy" w:cs="Segoe UI"/>
          <w:color w:val="000000" w:themeColor="text1"/>
          <w:spacing w:val="5"/>
          <w:sz w:val="22"/>
          <w:szCs w:val="22"/>
        </w:rPr>
        <w:t>.</w:t>
      </w:r>
      <w:r w:rsidRPr="00A74F76">
        <w:rPr>
          <w:rStyle w:val="FootnoteReference"/>
          <w:rFonts w:ascii="Gilroy" w:hAnsi="Gilroy" w:cs="Segoe UI"/>
          <w:color w:val="000000" w:themeColor="text1"/>
          <w:spacing w:val="5"/>
          <w:sz w:val="22"/>
          <w:szCs w:val="22"/>
        </w:rPr>
        <w:footnoteReference w:id="34"/>
      </w:r>
    </w:p>
    <w:p w14:paraId="70C4DD2D" w14:textId="77777777" w:rsidR="009E1A34" w:rsidRPr="00A74F76" w:rsidRDefault="009E1A34" w:rsidP="00E30A73">
      <w:pPr>
        <w:jc w:val="both"/>
        <w:rPr>
          <w:rFonts w:ascii="Gilroy" w:hAnsi="Gilroy" w:cs="Segoe UI"/>
          <w:color w:val="000000" w:themeColor="text1"/>
          <w:spacing w:val="5"/>
          <w:sz w:val="22"/>
          <w:szCs w:val="22"/>
        </w:rPr>
      </w:pPr>
    </w:p>
    <w:p w14:paraId="611946F5" w14:textId="4D2F7848" w:rsidR="00E91460"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PI is concerned that the</w:t>
      </w:r>
      <w:r w:rsidR="009E1A34" w:rsidRPr="00A74F76">
        <w:rPr>
          <w:rFonts w:ascii="Gilroy" w:hAnsi="Gilroy" w:cs="Segoe UI"/>
          <w:color w:val="000000" w:themeColor="text1"/>
          <w:spacing w:val="5"/>
          <w:sz w:val="22"/>
          <w:szCs w:val="22"/>
        </w:rPr>
        <w:t xml:space="preserve"> abovementioned</w:t>
      </w:r>
      <w:r w:rsidRPr="00A74F76">
        <w:rPr>
          <w:rFonts w:ascii="Gilroy" w:hAnsi="Gilroy" w:cs="Segoe UI"/>
          <w:color w:val="000000" w:themeColor="text1"/>
          <w:spacing w:val="5"/>
          <w:sz w:val="22"/>
          <w:szCs w:val="22"/>
        </w:rPr>
        <w:t xml:space="preserve"> multiple strategies used by </w:t>
      </w:r>
      <w:r w:rsidR="009E1A34" w:rsidRPr="00A74F76">
        <w:rPr>
          <w:rFonts w:ascii="Gilroy" w:hAnsi="Gilroy" w:cs="Segoe UI"/>
          <w:color w:val="000000" w:themeColor="text1"/>
          <w:spacing w:val="5"/>
          <w:sz w:val="22"/>
          <w:szCs w:val="22"/>
        </w:rPr>
        <w:t>opposition</w:t>
      </w:r>
      <w:r w:rsidRPr="00A74F76">
        <w:rPr>
          <w:rFonts w:ascii="Gilroy" w:hAnsi="Gilroy" w:cs="Segoe UI"/>
          <w:color w:val="000000" w:themeColor="text1"/>
          <w:spacing w:val="5"/>
          <w:sz w:val="22"/>
          <w:szCs w:val="22"/>
        </w:rPr>
        <w:t xml:space="preserve"> groups restrict access to non-biased and scientifically accurate information about sexual and reproductive health care in many countries.</w:t>
      </w:r>
    </w:p>
    <w:p w14:paraId="31264D61" w14:textId="2573594F" w:rsidR="002D225B" w:rsidRPr="00A74F76" w:rsidRDefault="002D225B" w:rsidP="00E30A73">
      <w:pPr>
        <w:pStyle w:val="part"/>
        <w:spacing w:before="0" w:beforeAutospacing="0" w:after="0" w:afterAutospacing="0"/>
        <w:jc w:val="both"/>
        <w:rPr>
          <w:rFonts w:ascii="Gilroy" w:hAnsi="Gilroy" w:cs="Segoe UI"/>
          <w:color w:val="000000" w:themeColor="text1"/>
          <w:spacing w:val="5"/>
          <w:sz w:val="22"/>
          <w:szCs w:val="22"/>
        </w:rPr>
      </w:pPr>
    </w:p>
    <w:p w14:paraId="5535E1B9" w14:textId="32F1CE53" w:rsidR="002D225B" w:rsidRPr="00DA4262" w:rsidRDefault="002D225B" w:rsidP="00E30A73">
      <w:pPr>
        <w:pStyle w:val="part"/>
        <w:spacing w:before="0" w:beforeAutospacing="0" w:after="0" w:afterAutospacing="0"/>
        <w:jc w:val="both"/>
        <w:rPr>
          <w:rFonts w:ascii="Gilroy" w:hAnsi="Gilroy" w:cs="Segoe UI"/>
          <w:b/>
          <w:bCs/>
          <w:color w:val="000000" w:themeColor="text1"/>
          <w:spacing w:val="5"/>
          <w:sz w:val="22"/>
          <w:szCs w:val="22"/>
        </w:rPr>
      </w:pPr>
      <w:r w:rsidRPr="00DA4262">
        <w:rPr>
          <w:rFonts w:ascii="Gilroy" w:hAnsi="Gilroy" w:cs="Segoe UI"/>
          <w:b/>
          <w:bCs/>
          <w:color w:val="000000" w:themeColor="text1"/>
          <w:spacing w:val="5"/>
          <w:sz w:val="22"/>
          <w:szCs w:val="22"/>
        </w:rPr>
        <w:lastRenderedPageBreak/>
        <w:t>Recommendations</w:t>
      </w:r>
    </w:p>
    <w:p w14:paraId="0207BCE8" w14:textId="76F7C610" w:rsidR="000C42A3" w:rsidRPr="00A74F76" w:rsidRDefault="00AE2322" w:rsidP="000C42A3">
      <w:pPr>
        <w:pStyle w:val="part"/>
        <w:numPr>
          <w:ilvl w:val="0"/>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The Working Group should highlight the o</w:t>
      </w:r>
      <w:r w:rsidR="000C42A3" w:rsidRPr="00A74F76">
        <w:rPr>
          <w:rFonts w:ascii="Gilroy" w:hAnsi="Gilroy" w:cs="Segoe UI"/>
          <w:color w:val="000000" w:themeColor="text1"/>
          <w:spacing w:val="5"/>
          <w:sz w:val="22"/>
          <w:szCs w:val="22"/>
        </w:rPr>
        <w:t xml:space="preserve">bstacles in accessing non-biased and scientifically accurate information on sexual and reproductive matters and services </w:t>
      </w:r>
      <w:r w:rsidRPr="00A74F76">
        <w:rPr>
          <w:rFonts w:ascii="Gilroy" w:hAnsi="Gilroy" w:cs="Segoe UI"/>
          <w:color w:val="000000" w:themeColor="text1"/>
          <w:spacing w:val="5"/>
          <w:sz w:val="22"/>
          <w:szCs w:val="22"/>
        </w:rPr>
        <w:t xml:space="preserve">and stress that such obstacles </w:t>
      </w:r>
      <w:r w:rsidR="000C42A3" w:rsidRPr="00A74F76">
        <w:rPr>
          <w:rFonts w:ascii="Gilroy" w:hAnsi="Gilroy" w:cs="Segoe UI"/>
          <w:color w:val="000000" w:themeColor="text1"/>
          <w:spacing w:val="5"/>
          <w:sz w:val="22"/>
          <w:szCs w:val="22"/>
        </w:rPr>
        <w:t>constitute an undue interference with women’s sexual and reproductive rights.</w:t>
      </w:r>
    </w:p>
    <w:p w14:paraId="66EA95D4" w14:textId="100B91E1" w:rsidR="002D225B" w:rsidRPr="00A74F76" w:rsidRDefault="00AE2322" w:rsidP="00DA4262">
      <w:pPr>
        <w:pStyle w:val="part"/>
        <w:numPr>
          <w:ilvl w:val="0"/>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It should further recommend to states to </w:t>
      </w:r>
      <w:r w:rsidR="002D225B" w:rsidRPr="00A74F76">
        <w:rPr>
          <w:rFonts w:ascii="Gilroy" w:hAnsi="Gilroy" w:cs="Segoe UI"/>
          <w:color w:val="000000" w:themeColor="text1"/>
          <w:spacing w:val="5"/>
          <w:sz w:val="22"/>
          <w:szCs w:val="22"/>
        </w:rPr>
        <w:t>produce, promote and disseminate, in a comprehensive and accessible manner, non-biased and scientifically accurate sexual and reproductive health materials and information</w:t>
      </w:r>
      <w:r w:rsidRPr="00A74F76">
        <w:rPr>
          <w:rFonts w:ascii="Gilroy" w:hAnsi="Gilroy" w:cs="Segoe UI"/>
          <w:color w:val="000000" w:themeColor="text1"/>
          <w:spacing w:val="5"/>
          <w:sz w:val="22"/>
          <w:szCs w:val="22"/>
        </w:rPr>
        <w:t>.</w:t>
      </w:r>
    </w:p>
    <w:p w14:paraId="5082D6A2" w14:textId="7DF6B4B4" w:rsidR="002D225B" w:rsidRPr="00A74F76" w:rsidRDefault="00AE2322" w:rsidP="00DA4262">
      <w:pPr>
        <w:pStyle w:val="part"/>
        <w:numPr>
          <w:ilvl w:val="0"/>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Also, it should recommend </w:t>
      </w:r>
      <w:r w:rsidR="002D225B" w:rsidRPr="00A74F76">
        <w:rPr>
          <w:rFonts w:ascii="Gilroy" w:hAnsi="Gilroy" w:cs="Segoe UI"/>
          <w:color w:val="000000" w:themeColor="text1"/>
          <w:spacing w:val="5"/>
          <w:sz w:val="22"/>
          <w:szCs w:val="22"/>
        </w:rPr>
        <w:t>that comprehensive, gender-inclusive, objective and accurate sexual education is provided in all schools</w:t>
      </w:r>
      <w:r w:rsidRPr="00A74F76">
        <w:rPr>
          <w:rFonts w:ascii="Gilroy" w:hAnsi="Gilroy" w:cs="Segoe UI"/>
          <w:color w:val="000000" w:themeColor="text1"/>
          <w:spacing w:val="5"/>
          <w:sz w:val="22"/>
          <w:szCs w:val="22"/>
        </w:rPr>
        <w:t>.</w:t>
      </w:r>
    </w:p>
    <w:p w14:paraId="4670EA61" w14:textId="36B9ECCB" w:rsidR="002D225B" w:rsidRPr="00A74F76" w:rsidRDefault="00AE2322" w:rsidP="00DA4262">
      <w:pPr>
        <w:pStyle w:val="part"/>
        <w:numPr>
          <w:ilvl w:val="0"/>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The Working Group could recommend that s</w:t>
      </w:r>
      <w:r w:rsidR="002D225B" w:rsidRPr="00A74F76">
        <w:rPr>
          <w:rFonts w:ascii="Gilroy" w:hAnsi="Gilroy" w:cs="Segoe UI"/>
          <w:color w:val="000000" w:themeColor="text1"/>
          <w:spacing w:val="5"/>
          <w:sz w:val="22"/>
          <w:szCs w:val="22"/>
        </w:rPr>
        <w:t xml:space="preserve">tates </w:t>
      </w:r>
      <w:r w:rsidRPr="00A74F76">
        <w:rPr>
          <w:rFonts w:ascii="Gilroy" w:hAnsi="Gilroy" w:cs="Segoe UI"/>
          <w:color w:val="000000" w:themeColor="text1"/>
          <w:spacing w:val="5"/>
          <w:sz w:val="22"/>
          <w:szCs w:val="22"/>
        </w:rPr>
        <w:t xml:space="preserve">should </w:t>
      </w:r>
      <w:r w:rsidR="002D225B" w:rsidRPr="00A74F76">
        <w:rPr>
          <w:rFonts w:ascii="Gilroy" w:hAnsi="Gilroy" w:cs="Segoe UI"/>
          <w:color w:val="000000" w:themeColor="text1"/>
          <w:spacing w:val="5"/>
          <w:sz w:val="22"/>
          <w:szCs w:val="22"/>
        </w:rPr>
        <w:t>refrain from taking policy or regulatory measures which have the effect of curtailing access to non-biased and scientifically accurate sexual and reproductive health materials and information</w:t>
      </w:r>
      <w:r w:rsidRPr="00A74F76">
        <w:rPr>
          <w:rFonts w:ascii="Gilroy" w:hAnsi="Gilroy" w:cs="Segoe UI"/>
          <w:color w:val="000000" w:themeColor="text1"/>
          <w:spacing w:val="5"/>
          <w:sz w:val="22"/>
          <w:szCs w:val="22"/>
        </w:rPr>
        <w:t>.</w:t>
      </w:r>
    </w:p>
    <w:p w14:paraId="74DC69CB" w14:textId="4023DD23" w:rsidR="002D225B" w:rsidRPr="00A74F76" w:rsidRDefault="00AE2322" w:rsidP="00DA4262">
      <w:pPr>
        <w:pStyle w:val="part"/>
        <w:numPr>
          <w:ilvl w:val="0"/>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Also, the report should recommend that</w:t>
      </w:r>
      <w:r w:rsidR="002D225B" w:rsidRPr="00A74F76">
        <w:rPr>
          <w:rFonts w:ascii="Gilroy" w:hAnsi="Gilroy" w:cs="Segoe UI"/>
          <w:color w:val="000000" w:themeColor="text1"/>
          <w:spacing w:val="5"/>
          <w:sz w:val="22"/>
          <w:szCs w:val="22"/>
        </w:rPr>
        <w:t xml:space="preserve"> </w:t>
      </w:r>
      <w:r w:rsidRPr="00A74F76">
        <w:rPr>
          <w:rFonts w:ascii="Gilroy" w:hAnsi="Gilroy" w:cs="Segoe UI"/>
          <w:color w:val="000000" w:themeColor="text1"/>
          <w:spacing w:val="5"/>
          <w:sz w:val="22"/>
          <w:szCs w:val="22"/>
        </w:rPr>
        <w:t xml:space="preserve">healthcare </w:t>
      </w:r>
      <w:r w:rsidR="002D225B" w:rsidRPr="00A74F76">
        <w:rPr>
          <w:rFonts w:ascii="Gilroy" w:hAnsi="Gilroy" w:cs="Segoe UI"/>
          <w:color w:val="000000" w:themeColor="text1"/>
          <w:spacing w:val="5"/>
          <w:sz w:val="22"/>
          <w:szCs w:val="22"/>
        </w:rPr>
        <w:t xml:space="preserve">professionals </w:t>
      </w:r>
      <w:r w:rsidR="00DA4262">
        <w:rPr>
          <w:rFonts w:ascii="Gilroy" w:hAnsi="Gilroy" w:cs="Segoe UI"/>
          <w:color w:val="000000" w:themeColor="text1"/>
          <w:spacing w:val="5"/>
          <w:sz w:val="22"/>
          <w:szCs w:val="22"/>
        </w:rPr>
        <w:t>be</w:t>
      </w:r>
      <w:r w:rsidR="002D225B" w:rsidRPr="00A74F76">
        <w:rPr>
          <w:rFonts w:ascii="Gilroy" w:hAnsi="Gilroy" w:cs="Segoe UI"/>
          <w:color w:val="000000" w:themeColor="text1"/>
          <w:spacing w:val="5"/>
          <w:sz w:val="22"/>
          <w:szCs w:val="22"/>
        </w:rPr>
        <w:t xml:space="preserve"> trained to provide women with sexual and reproductive health treatments in a non-discriminatory manner</w:t>
      </w:r>
      <w:r w:rsidR="00DA4262">
        <w:rPr>
          <w:rFonts w:ascii="Gilroy" w:hAnsi="Gilroy" w:cs="Segoe UI"/>
          <w:color w:val="000000" w:themeColor="text1"/>
          <w:spacing w:val="5"/>
          <w:sz w:val="22"/>
          <w:szCs w:val="22"/>
        </w:rPr>
        <w:t>.</w:t>
      </w:r>
    </w:p>
    <w:p w14:paraId="11FA1EF3" w14:textId="25126435" w:rsidR="002D225B" w:rsidRPr="00A74F76" w:rsidRDefault="00DA4262" w:rsidP="002D225B">
      <w:pPr>
        <w:pStyle w:val="part"/>
        <w:numPr>
          <w:ilvl w:val="0"/>
          <w:numId w:val="15"/>
        </w:numPr>
        <w:spacing w:before="0" w:beforeAutospacing="0" w:after="0" w:afterAutospacing="0"/>
        <w:jc w:val="both"/>
        <w:rPr>
          <w:rFonts w:ascii="Gilroy" w:hAnsi="Gilroy" w:cs="Segoe UI"/>
          <w:color w:val="000000" w:themeColor="text1"/>
          <w:spacing w:val="5"/>
          <w:sz w:val="22"/>
          <w:szCs w:val="22"/>
        </w:rPr>
      </w:pPr>
      <w:r>
        <w:rPr>
          <w:rFonts w:ascii="Gilroy" w:hAnsi="Gilroy" w:cs="Segoe UI"/>
          <w:color w:val="000000" w:themeColor="text1"/>
          <w:spacing w:val="5"/>
          <w:sz w:val="22"/>
          <w:szCs w:val="22"/>
        </w:rPr>
        <w:t>The Working Group should recommend</w:t>
      </w:r>
      <w:r w:rsidR="00AE2322" w:rsidRPr="00A74F76">
        <w:rPr>
          <w:rFonts w:ascii="Gilroy" w:hAnsi="Gilroy" w:cs="Segoe UI"/>
          <w:color w:val="000000" w:themeColor="text1"/>
          <w:spacing w:val="5"/>
          <w:sz w:val="22"/>
          <w:szCs w:val="22"/>
        </w:rPr>
        <w:t xml:space="preserve"> </w:t>
      </w:r>
      <w:r>
        <w:rPr>
          <w:rFonts w:ascii="Gilroy" w:hAnsi="Gilroy" w:cs="Segoe UI"/>
          <w:color w:val="000000" w:themeColor="text1"/>
          <w:spacing w:val="5"/>
          <w:sz w:val="22"/>
          <w:szCs w:val="22"/>
        </w:rPr>
        <w:t xml:space="preserve">the introduction of </w:t>
      </w:r>
      <w:r w:rsidR="00AE2322" w:rsidRPr="00A74F76">
        <w:rPr>
          <w:rFonts w:ascii="Gilroy" w:hAnsi="Gilroy" w:cs="Segoe UI"/>
          <w:color w:val="000000" w:themeColor="text1"/>
          <w:spacing w:val="5"/>
          <w:sz w:val="22"/>
          <w:szCs w:val="22"/>
        </w:rPr>
        <w:t xml:space="preserve">robust </w:t>
      </w:r>
      <w:r w:rsidR="002D225B" w:rsidRPr="00A74F76">
        <w:rPr>
          <w:rFonts w:ascii="Gilroy" w:hAnsi="Gilroy" w:cs="Segoe UI"/>
          <w:color w:val="000000" w:themeColor="text1"/>
          <w:spacing w:val="5"/>
          <w:sz w:val="22"/>
          <w:szCs w:val="22"/>
        </w:rPr>
        <w:t xml:space="preserve">data protection frameworks protecting women’s privacy, </w:t>
      </w:r>
      <w:r>
        <w:rPr>
          <w:rFonts w:ascii="Gilroy" w:hAnsi="Gilroy" w:cs="Segoe UI"/>
          <w:color w:val="000000" w:themeColor="text1"/>
          <w:spacing w:val="5"/>
          <w:sz w:val="22"/>
          <w:szCs w:val="22"/>
        </w:rPr>
        <w:t>which should</w:t>
      </w:r>
      <w:r w:rsidR="00AE2322" w:rsidRPr="00A74F76">
        <w:rPr>
          <w:rFonts w:ascii="Gilroy" w:hAnsi="Gilroy" w:cs="Segoe UI"/>
          <w:color w:val="000000" w:themeColor="text1"/>
          <w:spacing w:val="5"/>
          <w:sz w:val="22"/>
          <w:szCs w:val="22"/>
        </w:rPr>
        <w:t xml:space="preserve"> </w:t>
      </w:r>
      <w:r>
        <w:rPr>
          <w:rFonts w:ascii="Gilroy" w:hAnsi="Gilroy" w:cs="Segoe UI"/>
          <w:color w:val="000000" w:themeColor="text1"/>
          <w:spacing w:val="5"/>
          <w:sz w:val="22"/>
          <w:szCs w:val="22"/>
        </w:rPr>
        <w:t>at a minimum</w:t>
      </w:r>
      <w:r w:rsidR="00AE2322" w:rsidRPr="00A74F76">
        <w:rPr>
          <w:rFonts w:ascii="Gilroy" w:hAnsi="Gilroy" w:cs="Segoe UI"/>
          <w:color w:val="000000" w:themeColor="text1"/>
          <w:spacing w:val="5"/>
          <w:sz w:val="22"/>
          <w:szCs w:val="22"/>
        </w:rPr>
        <w:t xml:space="preserve"> include </w:t>
      </w:r>
      <w:r w:rsidR="002D225B" w:rsidRPr="00A74F76">
        <w:rPr>
          <w:rFonts w:ascii="Gilroy" w:hAnsi="Gilroy" w:cs="Segoe UI"/>
          <w:color w:val="000000" w:themeColor="text1"/>
          <w:spacing w:val="5"/>
          <w:sz w:val="22"/>
          <w:szCs w:val="22"/>
        </w:rPr>
        <w:t>the following:</w:t>
      </w:r>
    </w:p>
    <w:p w14:paraId="215185FE" w14:textId="64FD716F" w:rsidR="008B3876" w:rsidRPr="00A74F76" w:rsidRDefault="008B3876" w:rsidP="002D225B">
      <w:pPr>
        <w:pStyle w:val="part"/>
        <w:numPr>
          <w:ilvl w:val="1"/>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A requirement for organisations and companies to provide users with a privacy notice that is concise, transparent, intelligible, and easily accessible. </w:t>
      </w:r>
    </w:p>
    <w:p w14:paraId="1D0D6D97" w14:textId="32091403" w:rsidR="002D225B" w:rsidRPr="00A74F76" w:rsidRDefault="002D225B" w:rsidP="002D225B">
      <w:pPr>
        <w:pStyle w:val="part"/>
        <w:numPr>
          <w:ilvl w:val="1"/>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A definition of consent which requires such consent to be freely given, specific, informed, and unambiguous; </w:t>
      </w:r>
    </w:p>
    <w:p w14:paraId="6A28DA26" w14:textId="7BC4E187" w:rsidR="002D225B" w:rsidRPr="00A74F76" w:rsidRDefault="002D225B" w:rsidP="002D225B">
      <w:pPr>
        <w:pStyle w:val="part"/>
        <w:numPr>
          <w:ilvl w:val="1"/>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A set of principles applicable to all data processing activities without exception, including lawfulness, fairness, transparency, purpose limitation, data minimisation, accuracy, storage limitation, integrity and confidentiality, and accountability</w:t>
      </w:r>
      <w:r w:rsidR="00A43211">
        <w:rPr>
          <w:rFonts w:ascii="Gilroy" w:hAnsi="Gilroy" w:cs="Segoe UI"/>
          <w:color w:val="000000" w:themeColor="text1"/>
          <w:spacing w:val="5"/>
          <w:sz w:val="22"/>
          <w:szCs w:val="22"/>
        </w:rPr>
        <w:t>;</w:t>
      </w:r>
    </w:p>
    <w:p w14:paraId="201A5E0D" w14:textId="12330575" w:rsidR="002D225B" w:rsidRDefault="002D225B" w:rsidP="006C52AF">
      <w:pPr>
        <w:pStyle w:val="part"/>
        <w:numPr>
          <w:ilvl w:val="1"/>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The fullest possible array of data subject rights</w:t>
      </w:r>
      <w:r w:rsidR="00E62583" w:rsidRPr="00A74F76">
        <w:rPr>
          <w:rFonts w:ascii="Gilroy" w:hAnsi="Gilroy" w:cs="Segoe UI"/>
          <w:color w:val="000000" w:themeColor="text1"/>
          <w:spacing w:val="5"/>
          <w:sz w:val="22"/>
          <w:szCs w:val="22"/>
        </w:rPr>
        <w:t>, including the right to information, access, rectification, erasure, restriction of processing, data portability, and to object.</w:t>
      </w:r>
    </w:p>
    <w:p w14:paraId="018503AC" w14:textId="77777777" w:rsidR="002D225B" w:rsidRPr="00A74F76" w:rsidRDefault="002D225B" w:rsidP="00A74F76">
      <w:pPr>
        <w:pStyle w:val="part"/>
        <w:spacing w:before="0" w:beforeAutospacing="0" w:after="0" w:afterAutospacing="0"/>
        <w:jc w:val="both"/>
        <w:rPr>
          <w:rFonts w:ascii="Gilroy" w:hAnsi="Gilroy" w:cs="Segoe UI"/>
          <w:color w:val="000000" w:themeColor="text1"/>
          <w:spacing w:val="5"/>
          <w:sz w:val="22"/>
          <w:szCs w:val="22"/>
        </w:rPr>
      </w:pPr>
    </w:p>
    <w:p w14:paraId="09AF3A32" w14:textId="6EA02E9E" w:rsidR="003B65C6" w:rsidRPr="00A74F76" w:rsidRDefault="003B65C6" w:rsidP="00A7012E">
      <w:pPr>
        <w:pStyle w:val="Heading1"/>
        <w:numPr>
          <w:ilvl w:val="0"/>
          <w:numId w:val="12"/>
        </w:numPr>
        <w:rPr>
          <w:rFonts w:ascii="Gilroy" w:hAnsi="Gilroy" w:cs="Segoe UI"/>
          <w:color w:val="000000" w:themeColor="text1"/>
          <w:spacing w:val="5"/>
          <w:sz w:val="24"/>
          <w:szCs w:val="24"/>
        </w:rPr>
      </w:pPr>
      <w:bookmarkStart w:id="11" w:name="_Toc50373286"/>
      <w:r w:rsidRPr="00A74F76">
        <w:rPr>
          <w:rFonts w:ascii="Gilroy" w:hAnsi="Gilroy"/>
          <w:sz w:val="24"/>
          <w:szCs w:val="24"/>
        </w:rPr>
        <w:t>Menstrual hygiene apps and challenges to privacy</w:t>
      </w:r>
      <w:bookmarkEnd w:id="11"/>
    </w:p>
    <w:p w14:paraId="08A41E58"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2584F55" w14:textId="425AD7E7" w:rsidR="003B65C6" w:rsidRPr="00A74F76" w:rsidRDefault="003B65C6"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Period-tracking apps, informally referred to as menstruation apps, have seen an exponential growth in use, with over 100 million women</w:t>
      </w:r>
      <w:r w:rsidR="00227B7E" w:rsidRPr="00A74F76">
        <w:rPr>
          <w:rFonts w:ascii="Gilroy" w:hAnsi="Gilroy" w:cs="Segoe UI"/>
          <w:color w:val="000000" w:themeColor="text1"/>
          <w:spacing w:val="5"/>
          <w:sz w:val="22"/>
          <w:szCs w:val="22"/>
        </w:rPr>
        <w:t xml:space="preserve"> worldwide</w:t>
      </w:r>
      <w:r w:rsidRPr="00A74F76">
        <w:rPr>
          <w:rFonts w:ascii="Gilroy" w:hAnsi="Gilroy" w:cs="Segoe UI"/>
          <w:color w:val="000000" w:themeColor="text1"/>
          <w:spacing w:val="5"/>
          <w:sz w:val="22"/>
          <w:szCs w:val="22"/>
        </w:rPr>
        <w:t xml:space="preserve"> relying on them to monitor their menstruation cycle. </w:t>
      </w:r>
      <w:r w:rsidR="00E91460"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’s research</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revealed</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in 2019 that period-tracking apps MIA Fem and Maya sent</w:t>
      </w:r>
      <w:r w:rsidR="002A0380" w:rsidRPr="00A74F76">
        <w:rPr>
          <w:rFonts w:ascii="Gilroy" w:hAnsi="Gilroy" w:cs="Segoe UI"/>
          <w:color w:val="000000" w:themeColor="text1"/>
          <w:spacing w:val="5"/>
          <w:sz w:val="22"/>
          <w:szCs w:val="22"/>
        </w:rPr>
        <w:t xml:space="preserve"> information on the</w:t>
      </w:r>
      <w:r w:rsidRPr="00A74F76">
        <w:rPr>
          <w:rFonts w:ascii="Gilroy" w:hAnsi="Gilroy" w:cs="Segoe UI"/>
          <w:color w:val="000000" w:themeColor="text1"/>
          <w:spacing w:val="5"/>
          <w:sz w:val="22"/>
          <w:szCs w:val="22"/>
        </w:rPr>
        <w:t xml:space="preserve"> </w:t>
      </w:r>
      <w:r w:rsidR="00227B7E" w:rsidRPr="00A74F76">
        <w:rPr>
          <w:rFonts w:ascii="Gilroy" w:hAnsi="Gilroy" w:cs="Segoe UI"/>
          <w:color w:val="000000" w:themeColor="text1"/>
          <w:spacing w:val="5"/>
          <w:sz w:val="22"/>
          <w:szCs w:val="22"/>
        </w:rPr>
        <w:t xml:space="preserve">user’s </w:t>
      </w:r>
      <w:r w:rsidRPr="00A74F76">
        <w:rPr>
          <w:rFonts w:ascii="Gilroy" w:hAnsi="Gilroy" w:cs="Segoe UI"/>
          <w:color w:val="000000" w:themeColor="text1"/>
          <w:spacing w:val="5"/>
          <w:sz w:val="22"/>
          <w:szCs w:val="22"/>
        </w:rPr>
        <w:t>use of contraception, the timings of their monthly periods, symptoms like swelling and cramps, and more, directly to Facebook through the use of analytics.</w:t>
      </w:r>
      <w:r w:rsidRPr="00A74F76">
        <w:rPr>
          <w:rStyle w:val="FootnoteReference"/>
          <w:rFonts w:ascii="Gilroy" w:hAnsi="Gilroy" w:cs="Segoe UI"/>
          <w:color w:val="000000" w:themeColor="text1"/>
          <w:spacing w:val="5"/>
          <w:sz w:val="22"/>
          <w:szCs w:val="22"/>
        </w:rPr>
        <w:footnoteReference w:id="35"/>
      </w:r>
    </w:p>
    <w:p w14:paraId="22C56EBB"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30E82814" w14:textId="719ED797" w:rsidR="003B65C6" w:rsidRPr="00A74F76" w:rsidRDefault="003B65C6"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Collection of sensitive data</w:t>
      </w:r>
      <w:r w:rsidRPr="00A74F76">
        <w:rPr>
          <w:rFonts w:ascii="Gilroy" w:hAnsi="Gilroy" w:cs="Segoe UI"/>
          <w:color w:val="000000" w:themeColor="text1"/>
          <w:spacing w:val="5"/>
          <w:sz w:val="22"/>
          <w:szCs w:val="22"/>
        </w:rPr>
        <w:t>. As a starting point, any data entered on a period-tracking app for the purposes of describing one’s menstrual cycle constitutes health-related information, and therefore amounts to especially sensitive data.</w:t>
      </w:r>
      <w:r w:rsidR="00753054" w:rsidRPr="00A74F76">
        <w:rPr>
          <w:rStyle w:val="FootnoteReference"/>
          <w:rFonts w:ascii="Gilroy" w:hAnsi="Gilroy" w:cs="Segoe UI"/>
          <w:color w:val="000000" w:themeColor="text1"/>
          <w:spacing w:val="5"/>
          <w:sz w:val="22"/>
          <w:szCs w:val="22"/>
        </w:rPr>
        <w:footnoteReference w:id="36"/>
      </w:r>
      <w:r w:rsidRPr="00A74F76">
        <w:rPr>
          <w:rFonts w:ascii="Gilroy" w:hAnsi="Gilroy" w:cs="Segoe UI"/>
          <w:color w:val="000000" w:themeColor="text1"/>
          <w:spacing w:val="5"/>
          <w:sz w:val="22"/>
          <w:szCs w:val="22"/>
        </w:rPr>
        <w:t xml:space="preserve"> In addition, period-tracking apps allow the user to enter intimate data unrelated to the menstrual cycle, such as sexual activity, type of contraception used, and mood. While users may be under the impression that this data is kept confidential and not shared with third </w:t>
      </w:r>
      <w:r w:rsidRPr="00A74F76">
        <w:rPr>
          <w:rFonts w:ascii="Gilroy" w:hAnsi="Gilroy" w:cs="Segoe UI"/>
          <w:color w:val="000000" w:themeColor="text1"/>
          <w:spacing w:val="5"/>
          <w:sz w:val="22"/>
          <w:szCs w:val="22"/>
        </w:rPr>
        <w:lastRenderedPageBreak/>
        <w:t xml:space="preserve">parties, there were at least two instances documented by </w:t>
      </w:r>
      <w:r w:rsidR="00E91460"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 xml:space="preserve"> where this was the case. The nature of data to be shared with a third-party, and the basis on which it would be shared, was unclear from the Privacy Policy.</w:t>
      </w:r>
    </w:p>
    <w:p w14:paraId="290F58DB"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6A82D3C3" w14:textId="669E4B3D" w:rsidR="008B3876" w:rsidRPr="00A74F76" w:rsidRDefault="003B65C6"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Data-sharing</w:t>
      </w:r>
      <w:r w:rsidRPr="00A74F76">
        <w:rPr>
          <w:rFonts w:ascii="Gilroy" w:hAnsi="Gilroy" w:cs="Segoe UI"/>
          <w:color w:val="000000" w:themeColor="text1"/>
          <w:spacing w:val="5"/>
          <w:sz w:val="22"/>
          <w:szCs w:val="22"/>
        </w:rPr>
        <w:t xml:space="preserve">. The disclosure of health-related information or other personal data to third parties on the basis of uninformed consent is a harm to privacy in and of itself. But the consequences of such disclosure can be even more far-reaching. Information as to a woman’s mood, when shared with advertisers, can be used in order to target that woman with content known to elicit specific responses by women in that specific mood. On this front, research by </w:t>
      </w:r>
      <w:r w:rsidR="00E91460"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 xml:space="preserve"> on French health website </w:t>
      </w:r>
      <w:proofErr w:type="spellStart"/>
      <w:r w:rsidRPr="00A74F76">
        <w:rPr>
          <w:rFonts w:ascii="Gilroy" w:hAnsi="Gilroy" w:cs="Segoe UI"/>
          <w:color w:val="000000" w:themeColor="text1"/>
          <w:spacing w:val="5"/>
          <w:sz w:val="22"/>
          <w:szCs w:val="22"/>
        </w:rPr>
        <w:t>Doctissimo</w:t>
      </w:r>
      <w:proofErr w:type="spellEnd"/>
      <w:r w:rsidRPr="00A74F76">
        <w:rPr>
          <w:rFonts w:ascii="Gilroy" w:hAnsi="Gilroy" w:cs="Segoe UI"/>
          <w:color w:val="000000" w:themeColor="text1"/>
          <w:spacing w:val="5"/>
          <w:sz w:val="22"/>
          <w:szCs w:val="22"/>
        </w:rPr>
        <w:t xml:space="preserve"> disclosed the results of depression tests taken online with advertisers.</w:t>
      </w:r>
      <w:r w:rsidRPr="00A74F76">
        <w:rPr>
          <w:rStyle w:val="FootnoteReference"/>
          <w:rFonts w:ascii="Gilroy" w:hAnsi="Gilroy" w:cs="Segoe UI"/>
          <w:color w:val="000000" w:themeColor="text1"/>
          <w:spacing w:val="5"/>
          <w:sz w:val="22"/>
          <w:szCs w:val="22"/>
        </w:rPr>
        <w:footnoteReference w:id="37"/>
      </w:r>
      <w:r w:rsidRPr="00A74F76">
        <w:rPr>
          <w:rFonts w:ascii="Gilroy" w:hAnsi="Gilroy" w:cs="Segoe UI"/>
          <w:color w:val="000000" w:themeColor="text1"/>
          <w:spacing w:val="5"/>
          <w:sz w:val="22"/>
          <w:szCs w:val="22"/>
        </w:rPr>
        <w:t xml:space="preserve"> Similar data-sharing practices could be occurring on period-tracking apps.</w:t>
      </w:r>
    </w:p>
    <w:p w14:paraId="61B944CA" w14:textId="1B90ED39" w:rsidR="008B3876" w:rsidRPr="00A74F76" w:rsidRDefault="008B3876" w:rsidP="00E30A73">
      <w:pPr>
        <w:pStyle w:val="part"/>
        <w:spacing w:before="0" w:beforeAutospacing="0" w:after="0" w:afterAutospacing="0"/>
        <w:jc w:val="both"/>
        <w:rPr>
          <w:rFonts w:ascii="Gilroy" w:hAnsi="Gilroy" w:cs="Segoe UI"/>
          <w:color w:val="000000" w:themeColor="text1"/>
          <w:spacing w:val="5"/>
          <w:sz w:val="22"/>
          <w:szCs w:val="22"/>
        </w:rPr>
      </w:pPr>
    </w:p>
    <w:p w14:paraId="2B14B116" w14:textId="27D5993B" w:rsidR="008B3876" w:rsidRPr="00A74F76" w:rsidRDefault="008B3876" w:rsidP="00E30A73">
      <w:pPr>
        <w:pStyle w:val="part"/>
        <w:spacing w:before="0" w:beforeAutospacing="0" w:after="0" w:afterAutospacing="0"/>
        <w:jc w:val="both"/>
        <w:rPr>
          <w:rFonts w:ascii="Gilroy" w:hAnsi="Gilroy" w:cs="Segoe UI"/>
          <w:color w:val="000000" w:themeColor="text1"/>
          <w:spacing w:val="5"/>
          <w:sz w:val="22"/>
          <w:szCs w:val="22"/>
        </w:rPr>
      </w:pPr>
      <w:r w:rsidRPr="00181063">
        <w:rPr>
          <w:rFonts w:ascii="Gilroy" w:hAnsi="Gilroy" w:cs="Segoe UI"/>
          <w:b/>
          <w:bCs/>
          <w:color w:val="000000" w:themeColor="text1"/>
          <w:spacing w:val="5"/>
          <w:sz w:val="22"/>
          <w:szCs w:val="22"/>
        </w:rPr>
        <w:t>Recommendations</w:t>
      </w:r>
    </w:p>
    <w:p w14:paraId="11834F60" w14:textId="0D393F1E" w:rsidR="008B3876" w:rsidRPr="00A74F76" w:rsidRDefault="00AE2322" w:rsidP="008B3876">
      <w:pPr>
        <w:pStyle w:val="part"/>
        <w:numPr>
          <w:ilvl w:val="0"/>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The Working Group should highlight that </w:t>
      </w:r>
      <w:r w:rsidR="008B3876" w:rsidRPr="00A74F76">
        <w:rPr>
          <w:rFonts w:ascii="Gilroy" w:hAnsi="Gilroy" w:cs="Segoe UI"/>
          <w:color w:val="000000" w:themeColor="text1"/>
          <w:spacing w:val="5"/>
          <w:sz w:val="22"/>
          <w:szCs w:val="22"/>
        </w:rPr>
        <w:t>companies</w:t>
      </w:r>
      <w:r w:rsidRPr="00A74F76">
        <w:rPr>
          <w:rFonts w:ascii="Gilroy" w:hAnsi="Gilroy" w:cs="Segoe UI"/>
          <w:color w:val="000000" w:themeColor="text1"/>
          <w:spacing w:val="5"/>
          <w:sz w:val="22"/>
          <w:szCs w:val="22"/>
        </w:rPr>
        <w:t xml:space="preserve"> providing sexual and reproductive rights services should </w:t>
      </w:r>
      <w:r w:rsidR="008B3876" w:rsidRPr="00A74F76">
        <w:rPr>
          <w:rFonts w:ascii="Gilroy" w:hAnsi="Gilroy" w:cs="Segoe UI"/>
          <w:color w:val="000000" w:themeColor="text1"/>
          <w:spacing w:val="5"/>
          <w:sz w:val="22"/>
          <w:szCs w:val="22"/>
        </w:rPr>
        <w:t>respect human rights, including the right to privacy</w:t>
      </w:r>
      <w:r w:rsidR="00241058" w:rsidRPr="00A74F76">
        <w:rPr>
          <w:rFonts w:ascii="Gilroy" w:hAnsi="Gilroy" w:cs="Segoe UI"/>
          <w:color w:val="000000" w:themeColor="text1"/>
          <w:spacing w:val="5"/>
          <w:sz w:val="22"/>
          <w:szCs w:val="22"/>
        </w:rPr>
        <w:t>, at all times</w:t>
      </w:r>
      <w:r w:rsidR="008B3876" w:rsidRPr="00A74F76">
        <w:rPr>
          <w:rFonts w:ascii="Gilroy" w:hAnsi="Gilroy" w:cs="Segoe UI"/>
          <w:color w:val="000000" w:themeColor="text1"/>
          <w:spacing w:val="5"/>
          <w:sz w:val="22"/>
          <w:szCs w:val="22"/>
        </w:rPr>
        <w:t xml:space="preserve">. </w:t>
      </w:r>
    </w:p>
    <w:p w14:paraId="62DC91E7" w14:textId="527262F4" w:rsidR="008B3876" w:rsidRPr="00A74F76" w:rsidRDefault="00AE2322" w:rsidP="008B3876">
      <w:pPr>
        <w:pStyle w:val="part"/>
        <w:numPr>
          <w:ilvl w:val="0"/>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In that respect, the Working Group should recommend </w:t>
      </w:r>
      <w:r w:rsidR="00210986">
        <w:rPr>
          <w:rFonts w:ascii="Gilroy" w:hAnsi="Gilroy" w:cs="Segoe UI"/>
          <w:color w:val="000000" w:themeColor="text1"/>
          <w:spacing w:val="5"/>
          <w:sz w:val="22"/>
          <w:szCs w:val="22"/>
        </w:rPr>
        <w:t>the introduction of</w:t>
      </w:r>
      <w:r w:rsidRPr="00A74F76">
        <w:rPr>
          <w:rFonts w:ascii="Gilroy" w:hAnsi="Gilroy" w:cs="Segoe UI"/>
          <w:color w:val="000000" w:themeColor="text1"/>
          <w:spacing w:val="5"/>
          <w:sz w:val="22"/>
          <w:szCs w:val="22"/>
        </w:rPr>
        <w:t xml:space="preserve"> </w:t>
      </w:r>
      <w:r w:rsidR="008B3876" w:rsidRPr="00A74F76">
        <w:rPr>
          <w:rFonts w:ascii="Gilroy" w:hAnsi="Gilroy" w:cs="Segoe UI"/>
          <w:color w:val="000000" w:themeColor="text1"/>
          <w:spacing w:val="5"/>
          <w:sz w:val="22"/>
          <w:szCs w:val="22"/>
        </w:rPr>
        <w:t xml:space="preserve">robust data protection frameworks protecting women’s privacy, </w:t>
      </w:r>
      <w:r w:rsidR="00210986">
        <w:rPr>
          <w:rFonts w:ascii="Gilroy" w:hAnsi="Gilroy" w:cs="Segoe UI"/>
          <w:color w:val="000000" w:themeColor="text1"/>
          <w:spacing w:val="5"/>
          <w:sz w:val="22"/>
          <w:szCs w:val="22"/>
        </w:rPr>
        <w:t>which should at a minimum</w:t>
      </w:r>
      <w:r w:rsidRPr="00A74F76">
        <w:rPr>
          <w:rFonts w:ascii="Gilroy" w:hAnsi="Gilroy" w:cs="Segoe UI"/>
          <w:color w:val="000000" w:themeColor="text1"/>
          <w:spacing w:val="5"/>
          <w:sz w:val="22"/>
          <w:szCs w:val="22"/>
        </w:rPr>
        <w:t xml:space="preserve"> include</w:t>
      </w:r>
      <w:r w:rsidR="008B3876" w:rsidRPr="00A74F76">
        <w:rPr>
          <w:rFonts w:ascii="Gilroy" w:hAnsi="Gilroy" w:cs="Segoe UI"/>
          <w:color w:val="000000" w:themeColor="text1"/>
          <w:spacing w:val="5"/>
          <w:sz w:val="22"/>
          <w:szCs w:val="22"/>
        </w:rPr>
        <w:t xml:space="preserve"> the following:</w:t>
      </w:r>
    </w:p>
    <w:p w14:paraId="42D63A09" w14:textId="77777777" w:rsidR="008B3876" w:rsidRPr="00A74F76" w:rsidRDefault="008B3876" w:rsidP="008B3876">
      <w:pPr>
        <w:pStyle w:val="part"/>
        <w:numPr>
          <w:ilvl w:val="1"/>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A requirement for organisations and companies to provide users with a privacy notice that is concise, transparent, intelligible, and easily accessible. </w:t>
      </w:r>
    </w:p>
    <w:p w14:paraId="2F7D536C" w14:textId="77777777" w:rsidR="008B3876" w:rsidRPr="00A74F76" w:rsidRDefault="008B3876" w:rsidP="008B3876">
      <w:pPr>
        <w:pStyle w:val="part"/>
        <w:numPr>
          <w:ilvl w:val="1"/>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A definition of consent which requires such consent to be freely given, specific, informed, and unambiguous; </w:t>
      </w:r>
    </w:p>
    <w:p w14:paraId="75F61C24" w14:textId="4B0CE0DE" w:rsidR="008B3876" w:rsidRPr="00A74F76" w:rsidRDefault="008B3876" w:rsidP="008B3876">
      <w:pPr>
        <w:pStyle w:val="part"/>
        <w:numPr>
          <w:ilvl w:val="1"/>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A set of principles applicable to all data processing activities without exception, including lawfulness, fairness, transparency, purpose limitation, data minimisation, accuracy, storage limitation, integrity and confidentiality, and accountability</w:t>
      </w:r>
      <w:r w:rsidR="00A43211">
        <w:rPr>
          <w:rFonts w:ascii="Gilroy" w:hAnsi="Gilroy" w:cs="Segoe UI"/>
          <w:color w:val="000000" w:themeColor="text1"/>
          <w:spacing w:val="5"/>
          <w:sz w:val="22"/>
          <w:szCs w:val="22"/>
        </w:rPr>
        <w:t>;</w:t>
      </w:r>
    </w:p>
    <w:p w14:paraId="7D23D62E" w14:textId="42FFA4A4" w:rsidR="008B3876" w:rsidRPr="00A74F76" w:rsidRDefault="008B3876" w:rsidP="00181063">
      <w:pPr>
        <w:pStyle w:val="part"/>
        <w:numPr>
          <w:ilvl w:val="1"/>
          <w:numId w:val="15"/>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The fullest possible array of data subject rights, including the right to information, access, rectification, erasure, restriction of processing, data portability, and to object.</w:t>
      </w:r>
    </w:p>
    <w:p w14:paraId="26FDC908" w14:textId="3B3BEAA9" w:rsidR="006E4AC0" w:rsidRPr="00A74F76" w:rsidRDefault="006E4AC0" w:rsidP="00753054">
      <w:pPr>
        <w:pStyle w:val="Heading1"/>
        <w:numPr>
          <w:ilvl w:val="0"/>
          <w:numId w:val="12"/>
        </w:numPr>
        <w:rPr>
          <w:rFonts w:ascii="Gilroy" w:hAnsi="Gilroy" w:cs="Segoe UI"/>
          <w:color w:val="000000" w:themeColor="text1"/>
          <w:spacing w:val="5"/>
          <w:sz w:val="24"/>
          <w:szCs w:val="24"/>
        </w:rPr>
      </w:pPr>
      <w:bookmarkStart w:id="12" w:name="_Toc50373287"/>
      <w:r w:rsidRPr="00A74F76">
        <w:rPr>
          <w:rFonts w:ascii="Gilroy" w:hAnsi="Gilroy"/>
          <w:sz w:val="24"/>
          <w:szCs w:val="24"/>
        </w:rPr>
        <w:t>Obstacles to the access to abortion care</w:t>
      </w:r>
      <w:bookmarkEnd w:id="12"/>
    </w:p>
    <w:p w14:paraId="1DDBA3B5" w14:textId="77777777" w:rsidR="00227B7E" w:rsidRPr="00A74F76" w:rsidRDefault="00227B7E" w:rsidP="00E30A73">
      <w:pPr>
        <w:pStyle w:val="part"/>
        <w:spacing w:before="0" w:beforeAutospacing="0" w:after="0" w:afterAutospacing="0"/>
        <w:jc w:val="both"/>
        <w:rPr>
          <w:rFonts w:ascii="Gilroy" w:hAnsi="Gilroy" w:cs="Segoe UI"/>
          <w:color w:val="000000" w:themeColor="text1"/>
          <w:spacing w:val="5"/>
          <w:sz w:val="22"/>
          <w:szCs w:val="22"/>
        </w:rPr>
      </w:pPr>
    </w:p>
    <w:p w14:paraId="7115F86B" w14:textId="1ED5CC35" w:rsidR="006E4AC0" w:rsidRPr="00A74F76" w:rsidRDefault="00227B7E"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R</w:t>
      </w:r>
      <w:r w:rsidR="006E4AC0" w:rsidRPr="00A74F76">
        <w:rPr>
          <w:rFonts w:ascii="Gilroy" w:hAnsi="Gilroy" w:cs="Segoe UI"/>
          <w:color w:val="000000" w:themeColor="text1"/>
          <w:spacing w:val="5"/>
          <w:sz w:val="22"/>
          <w:szCs w:val="22"/>
        </w:rPr>
        <w:t>esearch</w:t>
      </w:r>
      <w:r w:rsidRPr="00A74F76">
        <w:rPr>
          <w:rFonts w:ascii="Gilroy" w:hAnsi="Gilroy" w:cs="Segoe UI"/>
          <w:color w:val="000000" w:themeColor="text1"/>
          <w:spacing w:val="5"/>
          <w:sz w:val="22"/>
          <w:szCs w:val="22"/>
        </w:rPr>
        <w:t xml:space="preserve"> by PI and its global partners</w:t>
      </w:r>
      <w:r w:rsidR="006E4AC0" w:rsidRPr="00A74F76">
        <w:rPr>
          <w:rFonts w:ascii="Gilroy" w:hAnsi="Gilroy" w:cs="Segoe UI"/>
          <w:color w:val="000000" w:themeColor="text1"/>
          <w:spacing w:val="5"/>
          <w:sz w:val="22"/>
          <w:szCs w:val="22"/>
        </w:rPr>
        <w:t xml:space="preserve"> documented limited access to safe legal abortion care across all the countries surveyed</w:t>
      </w:r>
      <w:r w:rsidRPr="00A74F76">
        <w:rPr>
          <w:rStyle w:val="FootnoteReference"/>
          <w:rFonts w:ascii="Gilroy" w:hAnsi="Gilroy" w:cs="Segoe UI"/>
          <w:color w:val="000000" w:themeColor="text1"/>
          <w:spacing w:val="5"/>
          <w:sz w:val="22"/>
          <w:szCs w:val="22"/>
        </w:rPr>
        <w:footnoteReference w:id="38"/>
      </w:r>
      <w:r w:rsidR="006E4AC0" w:rsidRPr="00A74F76">
        <w:rPr>
          <w:rFonts w:ascii="Gilroy" w:hAnsi="Gilroy" w:cs="Segoe UI"/>
          <w:color w:val="000000" w:themeColor="text1"/>
          <w:spacing w:val="5"/>
          <w:sz w:val="22"/>
          <w:szCs w:val="22"/>
        </w:rPr>
        <w:t>. In some countries where access to legal abortion is limited, women often resort to unsafe abortion procedures. In 2017, over 200 thousand women were hospitalised in Brazil due to medical complications after undergoing clandestine procedures.</w:t>
      </w:r>
      <w:r w:rsidR="006E4AC0" w:rsidRPr="00A74F76">
        <w:rPr>
          <w:rStyle w:val="FootnoteReference"/>
          <w:rFonts w:ascii="Gilroy" w:hAnsi="Gilroy" w:cs="Segoe UI"/>
          <w:color w:val="000000" w:themeColor="text1"/>
          <w:spacing w:val="5"/>
          <w:sz w:val="22"/>
          <w:szCs w:val="22"/>
        </w:rPr>
        <w:footnoteReference w:id="39"/>
      </w:r>
    </w:p>
    <w:p w14:paraId="75E4B168"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2E809C5" w14:textId="77777777" w:rsidR="006E4AC0" w:rsidRPr="00A74F76" w:rsidRDefault="006E4AC0" w:rsidP="00753054">
      <w:pPr>
        <w:pStyle w:val="Heading3"/>
        <w:rPr>
          <w:rFonts w:ascii="Gilroy" w:hAnsi="Gilroy"/>
          <w:sz w:val="22"/>
          <w:szCs w:val="22"/>
        </w:rPr>
      </w:pPr>
      <w:bookmarkStart w:id="13" w:name="_Toc50373288"/>
      <w:r w:rsidRPr="00A74F76">
        <w:rPr>
          <w:rFonts w:ascii="Gilroy" w:hAnsi="Gilroy"/>
          <w:sz w:val="22"/>
          <w:szCs w:val="22"/>
        </w:rPr>
        <w:t>Obstacles in accessing abortion services</w:t>
      </w:r>
      <w:bookmarkEnd w:id="13"/>
    </w:p>
    <w:p w14:paraId="2598F5C8" w14:textId="77777777" w:rsidR="00E30A73" w:rsidRPr="00A74F76" w:rsidRDefault="00E30A73" w:rsidP="00E30A73">
      <w:pPr>
        <w:pStyle w:val="part"/>
        <w:spacing w:before="0" w:beforeAutospacing="0" w:after="0" w:afterAutospacing="0"/>
        <w:jc w:val="both"/>
        <w:rPr>
          <w:rFonts w:ascii="Gilroy" w:hAnsi="Gilroy" w:cs="Segoe UI"/>
          <w:i/>
          <w:iCs/>
          <w:color w:val="000000" w:themeColor="text1"/>
          <w:spacing w:val="5"/>
          <w:sz w:val="22"/>
          <w:szCs w:val="22"/>
        </w:rPr>
      </w:pPr>
    </w:p>
    <w:p w14:paraId="4ACBAFCB" w14:textId="4702C26D"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Limited availability of abortion medication</w:t>
      </w:r>
      <w:r w:rsidRPr="00A74F76">
        <w:rPr>
          <w:rFonts w:ascii="Gilroy" w:hAnsi="Gilroy" w:cs="Segoe UI"/>
          <w:color w:val="000000" w:themeColor="text1"/>
          <w:spacing w:val="5"/>
          <w:sz w:val="22"/>
          <w:szCs w:val="22"/>
        </w:rPr>
        <w:t xml:space="preserve">. In some countries, legislation may place restrictions on the procurement of medication used to induce abortion in addition to the traditional legal prohibitions on abortion. In Brazil, the Penal Code forbids the sale of medication not registered with the National Health Agency, which is the case for </w:t>
      </w:r>
      <w:r w:rsidRPr="00A74F76">
        <w:rPr>
          <w:rFonts w:ascii="Gilroy" w:hAnsi="Gilroy" w:cs="Segoe UI"/>
          <w:color w:val="000000" w:themeColor="text1"/>
          <w:spacing w:val="5"/>
          <w:sz w:val="22"/>
          <w:szCs w:val="22"/>
        </w:rPr>
        <w:lastRenderedPageBreak/>
        <w:t>abortion pills. Substances are also strictly regulated: Misoprostol, the active substance of abortive medicines, is restricted to a select few hospitals registered with the Ministry of Health.</w:t>
      </w:r>
      <w:r w:rsidRPr="00A74F76">
        <w:rPr>
          <w:rStyle w:val="FootnoteReference"/>
          <w:rFonts w:ascii="Gilroy" w:hAnsi="Gilroy" w:cs="Segoe UI"/>
          <w:color w:val="000000" w:themeColor="text1"/>
          <w:spacing w:val="5"/>
          <w:sz w:val="22"/>
          <w:szCs w:val="22"/>
        </w:rPr>
        <w:t xml:space="preserve"> </w:t>
      </w:r>
      <w:r w:rsidRPr="00A74F76">
        <w:rPr>
          <w:rStyle w:val="FootnoteReference"/>
          <w:rFonts w:ascii="Gilroy" w:hAnsi="Gilroy" w:cs="Segoe UI"/>
          <w:color w:val="000000" w:themeColor="text1"/>
          <w:spacing w:val="5"/>
          <w:sz w:val="22"/>
          <w:szCs w:val="22"/>
        </w:rPr>
        <w:footnoteReference w:id="40"/>
      </w:r>
    </w:p>
    <w:p w14:paraId="4FE9BC2B"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5B35C652" w14:textId="390617B3" w:rsidR="00E30A73"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Extensive and prohibitive requirements to satisfy the legal basis for abortion</w:t>
      </w:r>
      <w:r w:rsidRPr="00A74F76">
        <w:rPr>
          <w:rFonts w:ascii="Gilroy" w:hAnsi="Gilroy" w:cs="Segoe UI"/>
          <w:color w:val="000000" w:themeColor="text1"/>
          <w:spacing w:val="5"/>
          <w:sz w:val="22"/>
          <w:szCs w:val="22"/>
        </w:rPr>
        <w:t xml:space="preserve">. In Indonesia, a woman is only allowed to get an abortion in case of a medical emergency with her husband or family’s approval, or in case of rape with a letter from a doctor and from the investigator, psychologist, and/or another expert on the rape. Concerning the latter case, the abortion must be done within six weeks. This is an issue because many rape survivors do not realise that they are pregnant until it is too </w:t>
      </w:r>
      <w:proofErr w:type="gramStart"/>
      <w:r w:rsidRPr="00A74F76">
        <w:rPr>
          <w:rFonts w:ascii="Gilroy" w:hAnsi="Gilroy" w:cs="Segoe UI"/>
          <w:color w:val="000000" w:themeColor="text1"/>
          <w:spacing w:val="5"/>
          <w:sz w:val="22"/>
          <w:szCs w:val="22"/>
        </w:rPr>
        <w:t>late, and</w:t>
      </w:r>
      <w:proofErr w:type="gramEnd"/>
      <w:r w:rsidRPr="00A74F76">
        <w:rPr>
          <w:rFonts w:ascii="Gilroy" w:hAnsi="Gilroy" w:cs="Segoe UI"/>
          <w:color w:val="000000" w:themeColor="text1"/>
          <w:spacing w:val="5"/>
          <w:sz w:val="22"/>
          <w:szCs w:val="22"/>
        </w:rPr>
        <w:t xml:space="preserve"> procuring the relevant documents to obtain an abortion can be a time-consuming task. </w:t>
      </w:r>
    </w:p>
    <w:p w14:paraId="39C7F4AF"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138329C9" w14:textId="7B1004B7"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Burdensome approval systems</w:t>
      </w:r>
      <w:r w:rsidRPr="00A74F76">
        <w:rPr>
          <w:rFonts w:ascii="Gilroy" w:hAnsi="Gilroy" w:cs="Segoe UI"/>
          <w:color w:val="000000" w:themeColor="text1"/>
          <w:spacing w:val="5"/>
          <w:sz w:val="22"/>
          <w:szCs w:val="22"/>
        </w:rPr>
        <w:t xml:space="preserve">. In India, private clinics require government approval to provide abortion services. Approval is a central government faculty which is delegated to state governments. Depending on the party in power, private clinics face different approval processes based on their state. Approval applications must be sent to District Level Committees (DLCs) consisting of 3-5 members, and the DLC must return a certificate of approval in order for a private clinic to legally practice abortions. The certification system is inherently contradictory: professionals can only undergo training if they are certified, however, to be certified, at least one trained professional must already be employed. As a consequence, if these facilities do choose to perform abortion services without seeking approval, they are automatically </w:t>
      </w:r>
      <w:r w:rsidR="00E211C4" w:rsidRPr="00A74F76">
        <w:rPr>
          <w:rFonts w:ascii="Gilroy" w:hAnsi="Gilroy" w:cs="Segoe UI"/>
          <w:color w:val="000000" w:themeColor="text1"/>
          <w:spacing w:val="5"/>
          <w:sz w:val="22"/>
          <w:szCs w:val="22"/>
        </w:rPr>
        <w:t xml:space="preserve">considered to be doing </w:t>
      </w:r>
      <w:r w:rsidRPr="00A74F76">
        <w:rPr>
          <w:rFonts w:ascii="Gilroy" w:hAnsi="Gilroy" w:cs="Segoe UI"/>
          <w:color w:val="000000" w:themeColor="text1"/>
          <w:spacing w:val="5"/>
          <w:sz w:val="22"/>
          <w:szCs w:val="22"/>
        </w:rPr>
        <w:t>so illegally.</w:t>
      </w:r>
      <w:r w:rsidRPr="00A74F76">
        <w:rPr>
          <w:rStyle w:val="FootnoteReference"/>
          <w:rFonts w:ascii="Gilroy" w:hAnsi="Gilroy" w:cs="Segoe UI"/>
          <w:color w:val="000000" w:themeColor="text1"/>
          <w:spacing w:val="5"/>
          <w:sz w:val="22"/>
          <w:szCs w:val="22"/>
        </w:rPr>
        <w:footnoteReference w:id="41"/>
      </w:r>
      <w:r w:rsidRPr="00A74F76">
        <w:rPr>
          <w:rFonts w:ascii="Gilroy" w:hAnsi="Gilroy" w:cs="Segoe UI"/>
          <w:color w:val="000000" w:themeColor="text1"/>
          <w:spacing w:val="5"/>
          <w:sz w:val="22"/>
          <w:szCs w:val="22"/>
        </w:rPr>
        <w:t xml:space="preserve"> </w:t>
      </w:r>
    </w:p>
    <w:p w14:paraId="61B5AE7A"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9E6BA59" w14:textId="77777777" w:rsidR="006E4AC0" w:rsidRPr="00A74F76" w:rsidRDefault="006E4AC0" w:rsidP="00E30A73">
      <w:pPr>
        <w:jc w:val="both"/>
        <w:rPr>
          <w:rFonts w:ascii="Gilroy" w:hAnsi="Gilroy"/>
          <w:color w:val="000000" w:themeColor="text1"/>
          <w:sz w:val="22"/>
          <w:szCs w:val="22"/>
        </w:rPr>
      </w:pPr>
      <w:r w:rsidRPr="00A74F76">
        <w:rPr>
          <w:rStyle w:val="Strong"/>
          <w:rFonts w:ascii="Gilroy" w:hAnsi="Gilroy" w:cs="Segoe UI"/>
          <w:b w:val="0"/>
          <w:bCs w:val="0"/>
          <w:i/>
          <w:iCs/>
          <w:color w:val="000000" w:themeColor="text1"/>
          <w:spacing w:val="5"/>
          <w:sz w:val="22"/>
          <w:szCs w:val="22"/>
        </w:rPr>
        <w:t>Delaying and blocking tactics</w:t>
      </w:r>
      <w:r w:rsidRPr="00A74F76">
        <w:rPr>
          <w:rFonts w:ascii="Gilroy" w:hAnsi="Gilroy" w:cs="Segoe UI"/>
          <w:b/>
          <w:bCs/>
          <w:color w:val="000000" w:themeColor="text1"/>
          <w:spacing w:val="5"/>
          <w:sz w:val="22"/>
          <w:szCs w:val="22"/>
        </w:rPr>
        <w:t xml:space="preserve">. </w:t>
      </w:r>
      <w:r w:rsidRPr="00A74F76">
        <w:rPr>
          <w:rFonts w:ascii="Gilroy" w:hAnsi="Gilroy" w:cs="Segoe UI"/>
          <w:color w:val="000000" w:themeColor="text1"/>
          <w:spacing w:val="5"/>
          <w:sz w:val="22"/>
          <w:szCs w:val="22"/>
        </w:rPr>
        <w:t>Opposition groups tactics include misleading women seeking abortion with false information in order to delay their abortion and ultimately discourage them from seeking it. For instance, in Kenya, anti-abortion groups campaign in 2018 led to the temporary suspension of some of Marie Stopes International’s reproductive health services thereby limiting women’s access to abortion.</w:t>
      </w:r>
      <w:r w:rsidRPr="00A74F76">
        <w:rPr>
          <w:rStyle w:val="FootnoteReference"/>
          <w:rFonts w:ascii="Gilroy" w:hAnsi="Gilroy" w:cs="Segoe UI"/>
          <w:color w:val="000000" w:themeColor="text1"/>
          <w:spacing w:val="5"/>
          <w:sz w:val="22"/>
          <w:szCs w:val="22"/>
        </w:rPr>
        <w:footnoteReference w:id="42"/>
      </w:r>
      <w:r w:rsidRPr="00A74F76">
        <w:rPr>
          <w:rFonts w:ascii="Gilroy" w:hAnsi="Gilroy" w:cs="Segoe UI"/>
          <w:color w:val="000000" w:themeColor="text1"/>
          <w:spacing w:val="5"/>
          <w:sz w:val="22"/>
          <w:szCs w:val="22"/>
        </w:rPr>
        <w:t xml:space="preserve"> In Brazil, opposition groups have been known to target especially vulnerable populations. Once such group, “40 days for life”, targeted a referral </w:t>
      </w:r>
      <w:proofErr w:type="spellStart"/>
      <w:r w:rsidRPr="00A74F76">
        <w:rPr>
          <w:rFonts w:ascii="Gilroy" w:hAnsi="Gilroy" w:cs="Segoe UI"/>
          <w:color w:val="000000" w:themeColor="text1"/>
          <w:spacing w:val="5"/>
          <w:sz w:val="22"/>
          <w:szCs w:val="22"/>
        </w:rPr>
        <w:t>center</w:t>
      </w:r>
      <w:proofErr w:type="spellEnd"/>
      <w:r w:rsidRPr="00A74F76">
        <w:rPr>
          <w:rFonts w:ascii="Gilroy" w:hAnsi="Gilroy" w:cs="Segoe UI"/>
          <w:color w:val="000000" w:themeColor="text1"/>
          <w:spacing w:val="5"/>
          <w:sz w:val="22"/>
          <w:szCs w:val="22"/>
        </w:rPr>
        <w:t xml:space="preserve"> for female survivors of sexual violence which was responsible for half the legal abortions made in the State of São Paulo from 2015 until 2019.</w:t>
      </w:r>
      <w:r w:rsidRPr="00A74F76">
        <w:rPr>
          <w:rStyle w:val="FootnoteReference"/>
          <w:rFonts w:ascii="Gilroy" w:hAnsi="Gilroy" w:cs="Segoe UI"/>
          <w:color w:val="000000" w:themeColor="text1"/>
          <w:spacing w:val="5"/>
          <w:sz w:val="22"/>
          <w:szCs w:val="22"/>
        </w:rPr>
        <w:footnoteReference w:id="43"/>
      </w:r>
    </w:p>
    <w:p w14:paraId="1387A6E6" w14:textId="77777777"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p>
    <w:p w14:paraId="40560562" w14:textId="77777777" w:rsidR="00E30A73" w:rsidRPr="00A74F76" w:rsidRDefault="006E4AC0" w:rsidP="003D0F34">
      <w:pPr>
        <w:pStyle w:val="Heading3"/>
        <w:rPr>
          <w:rStyle w:val="Strong"/>
          <w:rFonts w:ascii="Gilroy" w:hAnsi="Gilroy"/>
          <w:b w:val="0"/>
          <w:bCs w:val="0"/>
          <w:sz w:val="22"/>
          <w:szCs w:val="22"/>
        </w:rPr>
      </w:pPr>
      <w:bookmarkStart w:id="14" w:name="_Toc50373289"/>
      <w:r w:rsidRPr="00A74F76">
        <w:rPr>
          <w:rStyle w:val="Strong"/>
          <w:rFonts w:ascii="Gilroy" w:hAnsi="Gilroy"/>
          <w:b w:val="0"/>
          <w:bCs w:val="0"/>
          <w:sz w:val="22"/>
          <w:szCs w:val="22"/>
        </w:rPr>
        <w:t>Surveillance and data exploitation: a safety issue</w:t>
      </w:r>
      <w:bookmarkEnd w:id="14"/>
      <w:r w:rsidRPr="00A74F76">
        <w:rPr>
          <w:rStyle w:val="Strong"/>
          <w:rFonts w:ascii="Gilroy" w:hAnsi="Gilroy"/>
          <w:b w:val="0"/>
          <w:bCs w:val="0"/>
          <w:sz w:val="22"/>
          <w:szCs w:val="22"/>
        </w:rPr>
        <w:t xml:space="preserve"> </w:t>
      </w:r>
    </w:p>
    <w:p w14:paraId="561A92BB" w14:textId="70FCFFA5"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br/>
        <w:t xml:space="preserve">A key dimension of safety is being able to access sexual and reproductive rights freely and without negative repercussions. However, in many cases, women are prevented access to safe abortion services on account of being unnecessarily subjected to data exploitation and surveillance by governments or/and opposition groups. Privacy often becomes a hidden cost to the access of legitimate, or illegitimate, abortion care. If women find themselves having to sacrifice their privacy to access abortion care, or </w:t>
      </w:r>
      <w:r w:rsidRPr="00A74F76">
        <w:rPr>
          <w:rFonts w:ascii="Gilroy" w:hAnsi="Gilroy" w:cs="Segoe UI"/>
          <w:color w:val="000000" w:themeColor="text1"/>
          <w:spacing w:val="5"/>
          <w:sz w:val="22"/>
          <w:szCs w:val="22"/>
        </w:rPr>
        <w:lastRenderedPageBreak/>
        <w:t>any other sexual and reproductive health service, the access to these services is not safe.</w:t>
      </w:r>
      <w:r w:rsidR="007263CE" w:rsidRPr="00A74F76">
        <w:rPr>
          <w:rStyle w:val="FootnoteReference"/>
          <w:rFonts w:ascii="Gilroy" w:hAnsi="Gilroy" w:cs="Segoe UI"/>
          <w:color w:val="000000" w:themeColor="text1"/>
          <w:spacing w:val="5"/>
          <w:sz w:val="22"/>
          <w:szCs w:val="22"/>
        </w:rPr>
        <w:footnoteReference w:id="44"/>
      </w:r>
      <w:r w:rsidRPr="00A74F76">
        <w:rPr>
          <w:rFonts w:ascii="Gilroy" w:hAnsi="Gilroy" w:cs="Segoe UI"/>
          <w:color w:val="000000" w:themeColor="text1"/>
          <w:spacing w:val="5"/>
          <w:sz w:val="22"/>
          <w:szCs w:val="22"/>
        </w:rPr>
        <w:t xml:space="preserve"> </w:t>
      </w:r>
    </w:p>
    <w:p w14:paraId="4CC33ACC" w14:textId="77777777" w:rsidR="00E30A73" w:rsidRPr="00A74F76" w:rsidRDefault="00E30A73" w:rsidP="00E30A73">
      <w:pPr>
        <w:pStyle w:val="part"/>
        <w:spacing w:before="0" w:beforeAutospacing="0" w:after="0" w:afterAutospacing="0"/>
        <w:jc w:val="both"/>
        <w:rPr>
          <w:rFonts w:ascii="Gilroy" w:hAnsi="Gilroy" w:cs="Segoe UI"/>
          <w:b/>
          <w:bCs/>
          <w:color w:val="000000" w:themeColor="text1"/>
          <w:spacing w:val="5"/>
          <w:sz w:val="22"/>
          <w:szCs w:val="22"/>
        </w:rPr>
      </w:pPr>
    </w:p>
    <w:p w14:paraId="547BED38" w14:textId="4006FA62"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Identity verification systems</w:t>
      </w:r>
      <w:r w:rsidRPr="00A74F76">
        <w:rPr>
          <w:rFonts w:ascii="Gilroy" w:hAnsi="Gilroy" w:cs="Segoe UI"/>
          <w:color w:val="000000" w:themeColor="text1"/>
          <w:spacing w:val="5"/>
          <w:sz w:val="22"/>
          <w:szCs w:val="22"/>
        </w:rPr>
        <w:t xml:space="preserve">. In India, research by the </w:t>
      </w:r>
      <w:proofErr w:type="spellStart"/>
      <w:r w:rsidRPr="00A74F76">
        <w:rPr>
          <w:rFonts w:ascii="Gilroy" w:hAnsi="Gilroy" w:cs="Segoe UI"/>
          <w:color w:val="000000" w:themeColor="text1"/>
          <w:spacing w:val="5"/>
          <w:sz w:val="22"/>
          <w:szCs w:val="22"/>
        </w:rPr>
        <w:t>Center</w:t>
      </w:r>
      <w:proofErr w:type="spellEnd"/>
      <w:r w:rsidRPr="00A74F76">
        <w:rPr>
          <w:rFonts w:ascii="Gilroy" w:hAnsi="Gilroy" w:cs="Segoe UI"/>
          <w:color w:val="000000" w:themeColor="text1"/>
          <w:spacing w:val="5"/>
          <w:sz w:val="22"/>
          <w:szCs w:val="22"/>
        </w:rPr>
        <w:t xml:space="preserve"> for Internet and Society found that many public hospitals are demanding Aadhaar cards – the national ID – before allowing women to access reproductive health procedures.</w:t>
      </w:r>
      <w:r w:rsidR="00501E1C" w:rsidRPr="00A74F76">
        <w:rPr>
          <w:rStyle w:val="FootnoteReference"/>
          <w:rFonts w:ascii="Gilroy" w:hAnsi="Gilroy" w:cs="Segoe UI"/>
          <w:color w:val="000000" w:themeColor="text1"/>
          <w:spacing w:val="5"/>
          <w:sz w:val="22"/>
          <w:szCs w:val="22"/>
        </w:rPr>
        <w:footnoteReference w:id="45"/>
      </w:r>
      <w:r w:rsidRPr="00A74F76">
        <w:rPr>
          <w:rFonts w:ascii="Gilroy" w:hAnsi="Gilroy" w:cs="Segoe UI"/>
          <w:color w:val="000000" w:themeColor="text1"/>
          <w:spacing w:val="5"/>
          <w:sz w:val="22"/>
          <w:szCs w:val="22"/>
        </w:rPr>
        <w:t xml:space="preserve"> This has resulted in a denial of essential services to people who have not been able to register to the Aadhaar database.</w:t>
      </w:r>
      <w:r w:rsidRPr="00A74F76">
        <w:rPr>
          <w:rStyle w:val="FootnoteReference"/>
          <w:rFonts w:ascii="Gilroy" w:hAnsi="Gilroy" w:cs="Segoe UI"/>
          <w:color w:val="000000" w:themeColor="text1"/>
          <w:spacing w:val="5"/>
          <w:sz w:val="22"/>
          <w:szCs w:val="22"/>
        </w:rPr>
        <w:footnoteReference w:id="46"/>
      </w:r>
      <w:r w:rsidRPr="00A74F76">
        <w:rPr>
          <w:rFonts w:ascii="Gilroy" w:hAnsi="Gilroy" w:cs="Segoe UI"/>
          <w:color w:val="000000" w:themeColor="text1"/>
          <w:spacing w:val="5"/>
          <w:sz w:val="22"/>
          <w:szCs w:val="22"/>
        </w:rPr>
        <w:t xml:space="preserve"> For those people who are able to access reproductive health care services, their data is collected, centralised and accessible to parties who have their individual’s Aadhaar number. Those parties include most government bodies, banks and telecommunications companies. Moreover, the Aadhaar system is susceptible to data leaks; for instance, the data breach of a government agency in April 2019 made health records of 12.5 million pregnant women available online. In 2016, the Minister for Women and Child Development proposed linking information on the Health Management Information System and the above-mentioned Mother and Child Tracking System, which includes data on maternal health in the ante-natal and postnatal periods, to the Aadhaar system. This further endangers the safe access to reproductive health services, especially for vulnerable groups such as young, unmarried or migrant women.</w:t>
      </w:r>
    </w:p>
    <w:p w14:paraId="199D3D52"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31485CA7" w14:textId="40463F4B"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Data-sharing practices</w:t>
      </w:r>
      <w:r w:rsidRPr="00A74F76">
        <w:rPr>
          <w:rFonts w:ascii="Gilroy" w:hAnsi="Gilroy" w:cs="Segoe UI"/>
          <w:color w:val="000000" w:themeColor="text1"/>
          <w:spacing w:val="5"/>
          <w:sz w:val="22"/>
          <w:szCs w:val="22"/>
        </w:rPr>
        <w:t>. In the United States, health information of migrant pregnant girls is potentially shared between crisis pregnancy centres they are referred to by the Office of Refugee Resettlement (ORR). Moreover, it was found that the Director of the Missouri Department of Health and Senior Services created a spreadsheet tracking the menstrual cycles of patients of the state only abortion clinic supposedly to identify women who had failed abortions. The spreadsheet was shared amongst health department employees.</w:t>
      </w:r>
      <w:r w:rsidRPr="00A74F76">
        <w:rPr>
          <w:rStyle w:val="FootnoteReference"/>
          <w:rFonts w:ascii="Gilroy" w:hAnsi="Gilroy" w:cs="Segoe UI"/>
          <w:color w:val="000000" w:themeColor="text1"/>
          <w:spacing w:val="5"/>
          <w:sz w:val="22"/>
          <w:szCs w:val="22"/>
        </w:rPr>
        <w:footnoteReference w:id="47"/>
      </w:r>
      <w:r w:rsidRPr="00A74F76">
        <w:rPr>
          <w:rFonts w:ascii="Gilroy" w:hAnsi="Gilroy" w:cs="Segoe UI"/>
          <w:color w:val="000000" w:themeColor="text1"/>
          <w:spacing w:val="5"/>
          <w:sz w:val="22"/>
          <w:szCs w:val="22"/>
        </w:rPr>
        <w:t xml:space="preserve"> Data sharing between anti-abortion groups has a chilling effect on safe abortion services. In Malta, opposition groups shared data of people seeking abortion care with an opposition group in Ireland. As a result, women seeking abortions were contacted by an Irish person pretending to be an abortion provider in the United Kingdom. Some women received abusive text messages or were visited at their home addresses.</w:t>
      </w:r>
      <w:r w:rsidRPr="00A74F76">
        <w:rPr>
          <w:rStyle w:val="FootnoteReference"/>
          <w:rFonts w:ascii="Gilroy" w:hAnsi="Gilroy" w:cs="Segoe UI"/>
          <w:color w:val="000000" w:themeColor="text1"/>
          <w:spacing w:val="5"/>
          <w:sz w:val="22"/>
          <w:szCs w:val="22"/>
        </w:rPr>
        <w:footnoteReference w:id="48"/>
      </w:r>
    </w:p>
    <w:p w14:paraId="61F6E52E"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40174E4E" w14:textId="7B1DE840"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Data-intensive technologies</w:t>
      </w:r>
      <w:r w:rsidRPr="00A74F76">
        <w:rPr>
          <w:rFonts w:ascii="Gilroy" w:hAnsi="Gilroy" w:cs="Segoe UI"/>
          <w:color w:val="000000" w:themeColor="text1"/>
          <w:spacing w:val="5"/>
          <w:sz w:val="22"/>
          <w:szCs w:val="22"/>
        </w:rPr>
        <w:t>. Opposition organisations also use data to target people seeking reproductive health information online and develop data intensive technologies for the management of CPCs. Heartbeat International offers a management system called Next Level which “harnesses the power of big data” for anti-choice centres.</w:t>
      </w:r>
      <w:r w:rsidR="001E4772" w:rsidRPr="00A74F76">
        <w:rPr>
          <w:rStyle w:val="FootnoteReference"/>
          <w:rFonts w:ascii="Gilroy" w:hAnsi="Gilroy" w:cs="Segoe UI"/>
          <w:color w:val="000000" w:themeColor="text1"/>
          <w:spacing w:val="5"/>
          <w:sz w:val="22"/>
          <w:szCs w:val="22"/>
        </w:rPr>
        <w:footnoteReference w:id="49"/>
      </w:r>
      <w:r w:rsidRPr="00A74F76">
        <w:rPr>
          <w:rFonts w:ascii="Gilroy" w:hAnsi="Gilroy" w:cs="Segoe UI"/>
          <w:color w:val="000000" w:themeColor="text1"/>
          <w:spacing w:val="5"/>
          <w:sz w:val="22"/>
          <w:szCs w:val="22"/>
        </w:rPr>
        <w:t xml:space="preserve"> It appears that Next Level system standardises the type of questions people are asked when they seek a centre’s help and visit a centre. The data collected includes name, address, email address, ethnicity, marital status, living </w:t>
      </w:r>
      <w:r w:rsidRPr="00A74F76">
        <w:rPr>
          <w:rFonts w:ascii="Gilroy" w:hAnsi="Gilroy" w:cs="Segoe UI"/>
          <w:color w:val="000000" w:themeColor="text1"/>
          <w:spacing w:val="5"/>
          <w:sz w:val="22"/>
          <w:szCs w:val="22"/>
        </w:rPr>
        <w:lastRenderedPageBreak/>
        <w:t>arrangement, education, income source, alcohol, cigarette, and drug intake, medications and medical history, sexual transmitted disease history, name of the referring person/organisation, pregnancy symptoms, pregnancy history, medical testing information, and eventually even ultrasound photos.</w:t>
      </w:r>
      <w:r w:rsidRPr="00A74F76">
        <w:rPr>
          <w:rStyle w:val="FootnoteReference"/>
          <w:rFonts w:ascii="Gilroy" w:hAnsi="Gilroy" w:cs="Segoe UI"/>
          <w:color w:val="000000" w:themeColor="text1"/>
          <w:spacing w:val="5"/>
          <w:sz w:val="22"/>
          <w:szCs w:val="22"/>
        </w:rPr>
        <w:footnoteReference w:id="50"/>
      </w:r>
    </w:p>
    <w:p w14:paraId="6D0DBEA6"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5923E5CB" w14:textId="47ADDB34"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Online chat services</w:t>
      </w:r>
      <w:r w:rsidRPr="00A74F76">
        <w:rPr>
          <w:rFonts w:ascii="Gilroy" w:hAnsi="Gilroy" w:cs="Segoe UI"/>
          <w:color w:val="000000" w:themeColor="text1"/>
          <w:spacing w:val="5"/>
          <w:sz w:val="22"/>
          <w:szCs w:val="22"/>
        </w:rPr>
        <w:t xml:space="preserve">. Opposition websites often feature an online chat service. While appearing user-friendly, the way in which information entered by the user into the </w:t>
      </w:r>
      <w:proofErr w:type="spellStart"/>
      <w:r w:rsidRPr="00A74F76">
        <w:rPr>
          <w:rFonts w:ascii="Gilroy" w:hAnsi="Gilroy" w:cs="Segoe UI"/>
          <w:color w:val="000000" w:themeColor="text1"/>
          <w:spacing w:val="5"/>
          <w:sz w:val="22"/>
          <w:szCs w:val="22"/>
        </w:rPr>
        <w:t>chatbox</w:t>
      </w:r>
      <w:proofErr w:type="spellEnd"/>
      <w:r w:rsidRPr="00A74F76">
        <w:rPr>
          <w:rFonts w:ascii="Gilroy" w:hAnsi="Gilroy" w:cs="Segoe UI"/>
          <w:color w:val="000000" w:themeColor="text1"/>
          <w:spacing w:val="5"/>
          <w:sz w:val="22"/>
          <w:szCs w:val="22"/>
        </w:rPr>
        <w:t xml:space="preserve"> is used is often unclear.  For instance, Heartbeat International </w:t>
      </w:r>
      <w:r w:rsidR="00351E8E" w:rsidRPr="00A74F76">
        <w:rPr>
          <w:rFonts w:ascii="Gilroy" w:hAnsi="Gilroy" w:cs="Segoe UI"/>
          <w:color w:val="000000" w:themeColor="text1"/>
          <w:spacing w:val="5"/>
          <w:sz w:val="22"/>
          <w:szCs w:val="22"/>
        </w:rPr>
        <w:t xml:space="preserve">has </w:t>
      </w:r>
      <w:r w:rsidRPr="00A74F76">
        <w:rPr>
          <w:rFonts w:ascii="Gilroy" w:hAnsi="Gilroy" w:cs="Segoe UI"/>
          <w:color w:val="000000" w:themeColor="text1"/>
          <w:spacing w:val="5"/>
          <w:sz w:val="22"/>
          <w:szCs w:val="22"/>
        </w:rPr>
        <w:t>developed Option Line, a website, chat service and call line for opposition websites.</w:t>
      </w:r>
      <w:r w:rsidR="00351E8E" w:rsidRPr="00A74F76">
        <w:rPr>
          <w:rStyle w:val="FootnoteReference"/>
          <w:rFonts w:ascii="Gilroy" w:hAnsi="Gilroy" w:cs="Segoe UI"/>
          <w:color w:val="000000" w:themeColor="text1"/>
          <w:spacing w:val="5"/>
          <w:sz w:val="22"/>
          <w:szCs w:val="22"/>
        </w:rPr>
        <w:footnoteReference w:id="51"/>
      </w:r>
      <w:r w:rsidRPr="00A74F76">
        <w:rPr>
          <w:rFonts w:ascii="Gilroy" w:hAnsi="Gilroy" w:cs="Segoe UI"/>
          <w:color w:val="000000" w:themeColor="text1"/>
          <w:spacing w:val="5"/>
          <w:sz w:val="22"/>
          <w:szCs w:val="22"/>
        </w:rPr>
        <w:t xml:space="preserve"> Before users are able to engage with the chat service, they are required to enter their name, demographic information, location and whether they are considering an abortion. It is unclear what happens with the information submitted before and during the chat and who has access to it. This issue is compounded by the lack of privacy policies on these websites. Research carried out in Peru by </w:t>
      </w:r>
      <w:proofErr w:type="spellStart"/>
      <w:r w:rsidRPr="00A74F76">
        <w:rPr>
          <w:rFonts w:ascii="Gilroy" w:hAnsi="Gilroy" w:cs="Segoe UI"/>
          <w:color w:val="000000" w:themeColor="text1"/>
          <w:spacing w:val="5"/>
          <w:sz w:val="22"/>
          <w:szCs w:val="22"/>
        </w:rPr>
        <w:t>Hiperderecho</w:t>
      </w:r>
      <w:proofErr w:type="spellEnd"/>
      <w:r w:rsidRPr="00A74F76">
        <w:rPr>
          <w:rFonts w:ascii="Gilroy" w:hAnsi="Gilroy" w:cs="Segoe UI"/>
          <w:color w:val="000000" w:themeColor="text1"/>
          <w:spacing w:val="5"/>
          <w:sz w:val="22"/>
          <w:szCs w:val="22"/>
        </w:rPr>
        <w:t xml:space="preserve"> found that none of the opposition websites surveyed had a privacy policy.</w:t>
      </w:r>
      <w:r w:rsidRPr="00A74F76">
        <w:rPr>
          <w:rStyle w:val="FootnoteReference"/>
          <w:rFonts w:ascii="Gilroy" w:hAnsi="Gilroy" w:cs="Segoe UI"/>
          <w:color w:val="000000" w:themeColor="text1"/>
          <w:spacing w:val="5"/>
          <w:sz w:val="22"/>
          <w:szCs w:val="22"/>
        </w:rPr>
        <w:footnoteReference w:id="52"/>
      </w:r>
      <w:r w:rsidRPr="00A74F76">
        <w:rPr>
          <w:rFonts w:ascii="Gilroy" w:hAnsi="Gilroy" w:cs="Segoe UI"/>
          <w:color w:val="000000" w:themeColor="text1"/>
          <w:spacing w:val="5"/>
          <w:sz w:val="22"/>
          <w:szCs w:val="22"/>
        </w:rPr>
        <w:t xml:space="preserve"> This makes it difficult for users to make an informed decision as to how their data will be used, and ultimately obstructs the exercise of their data rights in relation to the information they entered into an online </w:t>
      </w:r>
      <w:proofErr w:type="spellStart"/>
      <w:r w:rsidRPr="00A74F76">
        <w:rPr>
          <w:rFonts w:ascii="Gilroy" w:hAnsi="Gilroy" w:cs="Segoe UI"/>
          <w:color w:val="000000" w:themeColor="text1"/>
          <w:spacing w:val="5"/>
          <w:sz w:val="22"/>
          <w:szCs w:val="22"/>
        </w:rPr>
        <w:t>chatbox</w:t>
      </w:r>
      <w:proofErr w:type="spellEnd"/>
      <w:r w:rsidRPr="00A74F76">
        <w:rPr>
          <w:rFonts w:ascii="Gilroy" w:hAnsi="Gilroy" w:cs="Segoe UI"/>
          <w:color w:val="000000" w:themeColor="text1"/>
          <w:spacing w:val="5"/>
          <w:sz w:val="22"/>
          <w:szCs w:val="22"/>
        </w:rPr>
        <w:t>.</w:t>
      </w:r>
    </w:p>
    <w:p w14:paraId="51338652" w14:textId="23003E80"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p>
    <w:p w14:paraId="5B6A868C" w14:textId="4D4CA059" w:rsidR="008B3876" w:rsidRPr="00181063" w:rsidRDefault="008B3876" w:rsidP="00E30A73">
      <w:pPr>
        <w:pStyle w:val="part"/>
        <w:spacing w:before="0" w:beforeAutospacing="0" w:after="0" w:afterAutospacing="0"/>
        <w:jc w:val="both"/>
        <w:rPr>
          <w:rFonts w:ascii="Gilroy" w:hAnsi="Gilroy" w:cs="Segoe UI"/>
          <w:b/>
          <w:bCs/>
          <w:color w:val="000000" w:themeColor="text1"/>
          <w:spacing w:val="5"/>
          <w:sz w:val="22"/>
          <w:szCs w:val="22"/>
        </w:rPr>
      </w:pPr>
      <w:r w:rsidRPr="00181063">
        <w:rPr>
          <w:rFonts w:ascii="Gilroy" w:hAnsi="Gilroy" w:cs="Segoe UI"/>
          <w:b/>
          <w:bCs/>
          <w:color w:val="000000" w:themeColor="text1"/>
          <w:spacing w:val="5"/>
          <w:sz w:val="22"/>
          <w:szCs w:val="22"/>
        </w:rPr>
        <w:t>Recommendations</w:t>
      </w:r>
    </w:p>
    <w:p w14:paraId="605C6A26" w14:textId="0FB048E8" w:rsidR="003470B8" w:rsidRPr="00A74F76" w:rsidRDefault="00AE2322" w:rsidP="008B3876">
      <w:pPr>
        <w:pStyle w:val="part"/>
        <w:numPr>
          <w:ilvl w:val="0"/>
          <w:numId w:val="16"/>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The Working Group should recommend that states should ensure </w:t>
      </w:r>
      <w:r w:rsidR="008B3876" w:rsidRPr="00A74F76">
        <w:rPr>
          <w:rFonts w:ascii="Gilroy" w:hAnsi="Gilroy" w:cs="Segoe UI"/>
          <w:color w:val="000000" w:themeColor="text1"/>
          <w:spacing w:val="5"/>
          <w:sz w:val="22"/>
          <w:szCs w:val="22"/>
        </w:rPr>
        <w:t xml:space="preserve">that women seeking abortion </w:t>
      </w:r>
      <w:r w:rsidR="003470B8" w:rsidRPr="00A74F76">
        <w:rPr>
          <w:rFonts w:ascii="Gilroy" w:hAnsi="Gilroy" w:cs="Segoe UI"/>
          <w:color w:val="000000" w:themeColor="text1"/>
          <w:spacing w:val="5"/>
          <w:sz w:val="22"/>
          <w:szCs w:val="22"/>
        </w:rPr>
        <w:t>treatment through legal avenues are provided with timely, affordable and adequate treatment</w:t>
      </w:r>
      <w:r w:rsidR="001E29C2" w:rsidRPr="00A74F76">
        <w:rPr>
          <w:rFonts w:ascii="Gilroy" w:hAnsi="Gilroy" w:cs="Segoe UI"/>
          <w:color w:val="000000" w:themeColor="text1"/>
          <w:spacing w:val="5"/>
          <w:sz w:val="22"/>
          <w:szCs w:val="22"/>
        </w:rPr>
        <w:t>, even in times of crisis</w:t>
      </w:r>
      <w:r w:rsidR="003470B8" w:rsidRPr="00A74F76">
        <w:rPr>
          <w:rFonts w:ascii="Gilroy" w:hAnsi="Gilroy" w:cs="Segoe UI"/>
          <w:color w:val="000000" w:themeColor="text1"/>
          <w:spacing w:val="5"/>
          <w:sz w:val="22"/>
          <w:szCs w:val="22"/>
        </w:rPr>
        <w:t>.</w:t>
      </w:r>
    </w:p>
    <w:p w14:paraId="74DE24C5" w14:textId="55A78E5D" w:rsidR="003470B8" w:rsidRPr="00A74F76" w:rsidRDefault="00AE2322" w:rsidP="008B3876">
      <w:pPr>
        <w:pStyle w:val="part"/>
        <w:numPr>
          <w:ilvl w:val="0"/>
          <w:numId w:val="16"/>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It should highlight that a</w:t>
      </w:r>
      <w:r w:rsidR="00047F96" w:rsidRPr="00A74F76">
        <w:rPr>
          <w:rFonts w:ascii="Gilroy" w:hAnsi="Gilroy" w:cs="Segoe UI"/>
          <w:color w:val="000000" w:themeColor="text1"/>
          <w:spacing w:val="5"/>
          <w:sz w:val="22"/>
          <w:szCs w:val="22"/>
        </w:rPr>
        <w:t xml:space="preserve">ny healthcare referrals by government entities are made to properly accredited centres and/or professionals that provide services on an objective and non-discriminatory basis.  </w:t>
      </w:r>
    </w:p>
    <w:p w14:paraId="7F960119" w14:textId="329E8C8E" w:rsidR="001E29C2" w:rsidRPr="00A74F76" w:rsidRDefault="001E29C2" w:rsidP="008B3876">
      <w:pPr>
        <w:pStyle w:val="part"/>
        <w:numPr>
          <w:ilvl w:val="0"/>
          <w:numId w:val="16"/>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The Working Group should highlight that companies should respect their data protection obligations.</w:t>
      </w:r>
    </w:p>
    <w:p w14:paraId="7ED75DA6" w14:textId="2F2C6004" w:rsidR="003470B8" w:rsidRPr="00A74F76" w:rsidRDefault="001E29C2" w:rsidP="008B3876">
      <w:pPr>
        <w:pStyle w:val="part"/>
        <w:numPr>
          <w:ilvl w:val="0"/>
          <w:numId w:val="16"/>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It should recommend that s</w:t>
      </w:r>
      <w:r w:rsidR="00047F96" w:rsidRPr="00A74F76">
        <w:rPr>
          <w:rFonts w:ascii="Gilroy" w:hAnsi="Gilroy" w:cs="Segoe UI"/>
          <w:color w:val="000000" w:themeColor="text1"/>
          <w:spacing w:val="5"/>
          <w:sz w:val="22"/>
          <w:szCs w:val="22"/>
        </w:rPr>
        <w:t xml:space="preserve">tates </w:t>
      </w:r>
      <w:r w:rsidRPr="00A74F76">
        <w:rPr>
          <w:rFonts w:ascii="Gilroy" w:hAnsi="Gilroy" w:cs="Segoe UI"/>
          <w:color w:val="000000" w:themeColor="text1"/>
          <w:spacing w:val="5"/>
          <w:sz w:val="22"/>
          <w:szCs w:val="22"/>
        </w:rPr>
        <w:t>should</w:t>
      </w:r>
      <w:r w:rsidR="00047F96" w:rsidRPr="00A74F76">
        <w:rPr>
          <w:rFonts w:ascii="Gilroy" w:hAnsi="Gilroy" w:cs="Segoe UI"/>
          <w:color w:val="000000" w:themeColor="text1"/>
          <w:spacing w:val="5"/>
          <w:sz w:val="22"/>
          <w:szCs w:val="22"/>
        </w:rPr>
        <w:t xml:space="preserve"> ensure that data protection law and penalties are promptly enforced against companies </w:t>
      </w:r>
      <w:r w:rsidR="00145D82" w:rsidRPr="00A74F76">
        <w:rPr>
          <w:rFonts w:ascii="Gilroy" w:hAnsi="Gilroy" w:cs="Segoe UI"/>
          <w:color w:val="000000" w:themeColor="text1"/>
          <w:spacing w:val="5"/>
          <w:sz w:val="22"/>
          <w:szCs w:val="22"/>
        </w:rPr>
        <w:t>found to be in</w:t>
      </w:r>
      <w:r w:rsidR="00047F96" w:rsidRPr="00A74F76">
        <w:rPr>
          <w:rFonts w:ascii="Gilroy" w:hAnsi="Gilroy" w:cs="Segoe UI"/>
          <w:color w:val="000000" w:themeColor="text1"/>
          <w:spacing w:val="5"/>
          <w:sz w:val="22"/>
          <w:szCs w:val="22"/>
        </w:rPr>
        <w:t xml:space="preserve"> breach.</w:t>
      </w:r>
    </w:p>
    <w:p w14:paraId="41CDFD5A" w14:textId="67761FA7" w:rsidR="006E4AC0" w:rsidRPr="00A74F76" w:rsidRDefault="006E4AC0" w:rsidP="00753054">
      <w:pPr>
        <w:pStyle w:val="Heading1"/>
        <w:numPr>
          <w:ilvl w:val="0"/>
          <w:numId w:val="12"/>
        </w:numPr>
        <w:rPr>
          <w:rFonts w:ascii="Gilroy" w:hAnsi="Gilroy"/>
          <w:sz w:val="24"/>
          <w:szCs w:val="24"/>
        </w:rPr>
      </w:pPr>
      <w:bookmarkStart w:id="15" w:name="_Toc50373092"/>
      <w:bookmarkStart w:id="16" w:name="_Toc50373290"/>
      <w:bookmarkStart w:id="17" w:name="_Toc50373291"/>
      <w:bookmarkEnd w:id="15"/>
      <w:bookmarkEnd w:id="16"/>
      <w:r w:rsidRPr="00A74F76">
        <w:rPr>
          <w:rFonts w:ascii="Gilroy" w:hAnsi="Gilroy"/>
          <w:sz w:val="24"/>
          <w:szCs w:val="24"/>
        </w:rPr>
        <w:t>Privacy</w:t>
      </w:r>
      <w:r w:rsidRPr="00A74F76">
        <w:rPr>
          <w:rStyle w:val="Strong"/>
          <w:rFonts w:ascii="Gilroy" w:hAnsi="Gilroy"/>
          <w:b w:val="0"/>
          <w:bCs w:val="0"/>
          <w:sz w:val="24"/>
          <w:szCs w:val="24"/>
        </w:rPr>
        <w:t xml:space="preserve"> violations as modern instances of gender-based violence</w:t>
      </w:r>
      <w:bookmarkEnd w:id="17"/>
      <w:r w:rsidRPr="00A74F76">
        <w:rPr>
          <w:rStyle w:val="Strong"/>
          <w:rFonts w:ascii="Gilroy" w:hAnsi="Gilroy"/>
          <w:b w:val="0"/>
          <w:bCs w:val="0"/>
          <w:sz w:val="24"/>
          <w:szCs w:val="24"/>
        </w:rPr>
        <w:t xml:space="preserve"> </w:t>
      </w:r>
      <w:r w:rsidRPr="00A74F76">
        <w:rPr>
          <w:rFonts w:ascii="Gilroy" w:hAnsi="Gilroy"/>
          <w:sz w:val="24"/>
          <w:szCs w:val="24"/>
        </w:rPr>
        <w:br/>
      </w:r>
    </w:p>
    <w:p w14:paraId="167D4468" w14:textId="14D94D6F"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Numerous </w:t>
      </w:r>
      <w:proofErr w:type="gramStart"/>
      <w:r w:rsidRPr="00A74F76">
        <w:rPr>
          <w:rFonts w:ascii="Gilroy" w:hAnsi="Gilroy" w:cs="Segoe UI"/>
          <w:color w:val="000000" w:themeColor="text1"/>
          <w:spacing w:val="5"/>
          <w:sz w:val="22"/>
          <w:szCs w:val="22"/>
        </w:rPr>
        <w:t>sexist</w:t>
      </w:r>
      <w:proofErr w:type="gramEnd"/>
      <w:r w:rsidRPr="00A74F76">
        <w:rPr>
          <w:rFonts w:ascii="Gilroy" w:hAnsi="Gilroy" w:cs="Segoe UI"/>
          <w:color w:val="000000" w:themeColor="text1"/>
          <w:spacing w:val="5"/>
          <w:sz w:val="22"/>
          <w:szCs w:val="22"/>
        </w:rPr>
        <w:t>, misogynistic and abusive practices are flourishing online, in ways that are harder for national authorities to stop than when abuse takes place offline. These forms of gender-based violence rely on using women’s private information against them. Among these instances of gender-based violence, PI has identified data exploitative practices</w:t>
      </w:r>
      <w:r w:rsidR="000133DB" w:rsidRPr="00A74F76">
        <w:rPr>
          <w:rFonts w:ascii="Gilroy" w:hAnsi="Gilroy" w:cs="Segoe UI"/>
          <w:color w:val="000000" w:themeColor="text1"/>
          <w:spacing w:val="5"/>
          <w:sz w:val="22"/>
          <w:szCs w:val="22"/>
        </w:rPr>
        <w:t xml:space="preserve">, revenge pornography and </w:t>
      </w:r>
      <w:proofErr w:type="spellStart"/>
      <w:r w:rsidR="000133DB" w:rsidRPr="00A74F76">
        <w:rPr>
          <w:rFonts w:ascii="Gilroy" w:hAnsi="Gilroy" w:cs="Segoe UI"/>
          <w:color w:val="000000" w:themeColor="text1"/>
          <w:spacing w:val="5"/>
          <w:sz w:val="22"/>
          <w:szCs w:val="22"/>
        </w:rPr>
        <w:t>stalkerware</w:t>
      </w:r>
      <w:proofErr w:type="spellEnd"/>
      <w:r w:rsidRPr="00A74F76">
        <w:rPr>
          <w:rFonts w:ascii="Gilroy" w:hAnsi="Gilroy" w:cs="Segoe UI"/>
          <w:color w:val="000000" w:themeColor="text1"/>
          <w:spacing w:val="5"/>
          <w:sz w:val="22"/>
          <w:szCs w:val="22"/>
        </w:rPr>
        <w:t xml:space="preserve"> as increasingly concerning examples of gendered violations of privacy.</w:t>
      </w:r>
      <w:r w:rsidR="00EF196B" w:rsidRPr="00A74F76">
        <w:rPr>
          <w:rFonts w:ascii="Gilroy" w:hAnsi="Gilroy" w:cs="Segoe UI"/>
          <w:color w:val="000000" w:themeColor="text1"/>
          <w:spacing w:val="5"/>
          <w:sz w:val="22"/>
          <w:szCs w:val="22"/>
        </w:rPr>
        <w:t xml:space="preserve"> Situations of crisis, such as the pandemic, have made it possible for the harm resulting from such instances of gender-based violence to be exponentially magnified.</w:t>
      </w:r>
    </w:p>
    <w:p w14:paraId="117FEBB0"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4CB649BA" w14:textId="73817F4D" w:rsidR="000133DB" w:rsidRPr="00A74F76" w:rsidRDefault="000133DB" w:rsidP="00753054">
      <w:pPr>
        <w:pStyle w:val="Heading3"/>
        <w:rPr>
          <w:rFonts w:ascii="Gilroy" w:hAnsi="Gilroy" w:cs="Segoe UI"/>
          <w:b/>
          <w:bCs/>
          <w:color w:val="000000" w:themeColor="text1"/>
          <w:spacing w:val="5"/>
          <w:sz w:val="22"/>
          <w:szCs w:val="22"/>
        </w:rPr>
      </w:pPr>
      <w:bookmarkStart w:id="18" w:name="_Toc50373292"/>
      <w:r w:rsidRPr="00A74F76">
        <w:rPr>
          <w:rFonts w:ascii="Gilroy" w:hAnsi="Gilroy"/>
          <w:sz w:val="22"/>
          <w:szCs w:val="22"/>
        </w:rPr>
        <w:t>Data exploitative practices</w:t>
      </w:r>
      <w:bookmarkEnd w:id="18"/>
    </w:p>
    <w:p w14:paraId="49FD9EF0" w14:textId="77777777" w:rsidR="00E30A73" w:rsidRPr="00A74F76" w:rsidRDefault="00E30A73" w:rsidP="00E30A73">
      <w:pPr>
        <w:pStyle w:val="part"/>
        <w:spacing w:before="0" w:beforeAutospacing="0" w:after="0" w:afterAutospacing="0"/>
        <w:jc w:val="both"/>
        <w:rPr>
          <w:rFonts w:ascii="Gilroy" w:hAnsi="Gilroy" w:cs="Segoe UI"/>
          <w:b/>
          <w:bCs/>
          <w:color w:val="000000" w:themeColor="text1"/>
          <w:spacing w:val="5"/>
          <w:sz w:val="22"/>
          <w:szCs w:val="22"/>
        </w:rPr>
      </w:pPr>
    </w:p>
    <w:p w14:paraId="08374F6C" w14:textId="21939F09" w:rsidR="000133DB" w:rsidRPr="00A74F76" w:rsidRDefault="000133DB"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In previous paragraphs, </w:t>
      </w:r>
      <w:r w:rsidR="007263CE"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 xml:space="preserve"> has showcased a range of data exploitative practices covertly obstructing access to sexual and reproductive health services. The use of these practices constitutes a form of gender-based violence given its </w:t>
      </w:r>
      <w:r w:rsidRPr="00A74F76">
        <w:rPr>
          <w:rFonts w:ascii="Gilroy" w:hAnsi="Gilroy" w:cs="Segoe UI"/>
          <w:color w:val="000000" w:themeColor="text1"/>
          <w:spacing w:val="5"/>
          <w:sz w:val="22"/>
          <w:szCs w:val="22"/>
        </w:rPr>
        <w:lastRenderedPageBreak/>
        <w:t xml:space="preserve">disproportionate targeting of, and impact on, women seeking to exercise their rights. The harms stemming from this gender-based violence can be particularly severe. </w:t>
      </w:r>
    </w:p>
    <w:p w14:paraId="742F06D9"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4CEE9675" w14:textId="77777777" w:rsidR="000133DB" w:rsidRPr="00A74F76" w:rsidRDefault="000133DB"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Only this year, in Brazil, a 10-year old girl who became pregnant as a result of being raped by a family member was significantly victimised and harassed after deciding to undertake an abortion. Despite the fact that rape is a lawful basis for abortion in Brazil, the hospital where she was initially admitted refused to carry out the abortion. After a judge gave permission for the abortion to take place, an anti-abortion activist unlawfully published the name of the minor and the name of the hospital where she would have the procedure on several social media platforms, including Google, Facebook and Twitter.</w:t>
      </w:r>
      <w:r w:rsidRPr="00A74F76">
        <w:rPr>
          <w:rStyle w:val="FootnoteReference"/>
          <w:rFonts w:ascii="Gilroy" w:hAnsi="Gilroy" w:cs="Segoe UI"/>
          <w:color w:val="000000" w:themeColor="text1"/>
          <w:spacing w:val="5"/>
          <w:sz w:val="22"/>
          <w:szCs w:val="22"/>
        </w:rPr>
        <w:footnoteReference w:id="53"/>
      </w:r>
      <w:r w:rsidRPr="00A74F76">
        <w:rPr>
          <w:rFonts w:ascii="Gilroy" w:hAnsi="Gilroy" w:cs="Segoe UI"/>
          <w:color w:val="000000" w:themeColor="text1"/>
          <w:spacing w:val="5"/>
          <w:sz w:val="22"/>
          <w:szCs w:val="22"/>
        </w:rPr>
        <w:t xml:space="preserve"> Although the posts were subsequently removed, the damage had been done. Anti-abortion protesters blocked access to the hospital where the girl would have the abortion and harassed and insulted its personnel. As a result, she had to enter the facility hidden in the trunk of a minivan, a turn of events which unnecessarily compounded her ordeal and rendered the experience even more traumatic. This is only one example of the ways in which social media platforms have been used to criminalise and harass women and girls seeking to exercise their reproductive and sexual rights.</w:t>
      </w:r>
      <w:r w:rsidRPr="00A74F76">
        <w:rPr>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 xml:space="preserve"> </w:t>
      </w:r>
    </w:p>
    <w:p w14:paraId="634E44E7" w14:textId="77777777" w:rsidR="000133DB" w:rsidRPr="00A74F76" w:rsidRDefault="000133DB" w:rsidP="00E30A73">
      <w:pPr>
        <w:pStyle w:val="part"/>
        <w:spacing w:before="0" w:beforeAutospacing="0" w:after="0" w:afterAutospacing="0"/>
        <w:jc w:val="both"/>
        <w:rPr>
          <w:rFonts w:ascii="Gilroy" w:hAnsi="Gilroy" w:cs="Segoe UI"/>
          <w:color w:val="000000" w:themeColor="text1"/>
          <w:spacing w:val="5"/>
          <w:sz w:val="22"/>
          <w:szCs w:val="22"/>
        </w:rPr>
      </w:pPr>
    </w:p>
    <w:p w14:paraId="5EB61409" w14:textId="77777777" w:rsidR="006E4AC0" w:rsidRPr="00A74F76" w:rsidRDefault="006E4AC0" w:rsidP="00753054">
      <w:pPr>
        <w:pStyle w:val="Heading3"/>
        <w:rPr>
          <w:rFonts w:ascii="Gilroy" w:hAnsi="Gilroy"/>
          <w:sz w:val="22"/>
          <w:szCs w:val="22"/>
        </w:rPr>
      </w:pPr>
      <w:bookmarkStart w:id="19" w:name="_Toc50373293"/>
      <w:r w:rsidRPr="00A74F76">
        <w:rPr>
          <w:rFonts w:ascii="Gilroy" w:hAnsi="Gilroy"/>
          <w:sz w:val="22"/>
          <w:szCs w:val="22"/>
        </w:rPr>
        <w:t>Revenge pornography</w:t>
      </w:r>
      <w:bookmarkEnd w:id="19"/>
    </w:p>
    <w:p w14:paraId="2528439B"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0A2B7756" w14:textId="4C1E10C5"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One of these practices is ‘revenge pornography’, which involves online distribution of private sexual images without the consent of the person depicted. Revenge pornography’ and other forms of image-based sexual abuse are a threat to individual autonomy and sexual agency.</w:t>
      </w:r>
      <w:r w:rsidR="00C616FF" w:rsidRPr="00A74F76">
        <w:rPr>
          <w:rStyle w:val="FootnoteReference"/>
          <w:rFonts w:ascii="Gilroy" w:hAnsi="Gilroy" w:cs="Segoe UI"/>
          <w:color w:val="000000" w:themeColor="text1"/>
          <w:spacing w:val="5"/>
          <w:sz w:val="22"/>
          <w:szCs w:val="22"/>
        </w:rPr>
        <w:footnoteReference w:id="54"/>
      </w:r>
      <w:r w:rsidRPr="00A74F76">
        <w:rPr>
          <w:rFonts w:ascii="Gilroy" w:hAnsi="Gilroy" w:cs="Segoe UI"/>
          <w:color w:val="000000" w:themeColor="text1"/>
          <w:spacing w:val="5"/>
          <w:sz w:val="22"/>
          <w:szCs w:val="22"/>
        </w:rPr>
        <w:t xml:space="preserve"> This practice can silence victims and contribute to them withdrawing from the public sphere, becoming depressed and in some cases even committing suicide. Victims of ‘revenge porn’ are often identified online and receive numerous malicious and violent threats. Considering that majority of victims are women, this sends a message to all women that they should not be comfortable online.</w:t>
      </w:r>
      <w:r w:rsidRPr="00A74F76">
        <w:rPr>
          <w:rStyle w:val="FootnoteReference"/>
          <w:rFonts w:ascii="Gilroy" w:hAnsi="Gilroy" w:cs="Segoe UI"/>
          <w:color w:val="000000" w:themeColor="text1"/>
          <w:spacing w:val="5"/>
          <w:sz w:val="22"/>
          <w:szCs w:val="22"/>
        </w:rPr>
        <w:footnoteReference w:id="55"/>
      </w:r>
      <w:r w:rsidRPr="00A74F76">
        <w:rPr>
          <w:rFonts w:ascii="Gilroy" w:hAnsi="Gilroy" w:cs="Segoe UI"/>
          <w:color w:val="000000" w:themeColor="text1"/>
          <w:spacing w:val="5"/>
          <w:sz w:val="22"/>
          <w:szCs w:val="22"/>
        </w:rPr>
        <w:t xml:space="preserve"> </w:t>
      </w:r>
    </w:p>
    <w:p w14:paraId="65159C6E"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408DDE75" w14:textId="14B662AF"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Heightened impact during the pandemic</w:t>
      </w:r>
      <w:r w:rsidRPr="00A74F76">
        <w:rPr>
          <w:rFonts w:ascii="Gilroy" w:hAnsi="Gilroy" w:cs="Segoe UI"/>
          <w:color w:val="000000" w:themeColor="text1"/>
          <w:spacing w:val="5"/>
          <w:sz w:val="22"/>
          <w:szCs w:val="22"/>
        </w:rPr>
        <w:t>. Considering the current COVID-19 crisis, when numerous people have been confined to their homes during the lockdown, the mental health and psychological impacts for victims of ‘revenge porn’ are magnified. Not only are they prevented from seeing their family and being active in the ‘real world’, but also, they do not feel safe in the ‘virtual world’ due to the abuse they may experience online. Further, considering the coronavirus lockdown, it may be harder for victims of ‘revenge porn’ to obtain psychological support. The difficulty in removing the private sexual images from the internet, once they are uploaded online, often means that any harms stemming from this practice are significant and long-lasting.</w:t>
      </w:r>
    </w:p>
    <w:p w14:paraId="33F49117"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1D9BFB88" w14:textId="091F0207"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Absence of appropriate police investigations</w:t>
      </w:r>
      <w:r w:rsidRPr="00A74F76">
        <w:rPr>
          <w:rFonts w:ascii="Gilroy" w:hAnsi="Gilroy" w:cs="Segoe UI"/>
          <w:color w:val="000000" w:themeColor="text1"/>
          <w:spacing w:val="5"/>
          <w:sz w:val="22"/>
          <w:szCs w:val="22"/>
        </w:rPr>
        <w:t>. Due to the unwillingness of the police to be involved in investigations of ‘revenge porn’, victims are often having to spend days, weeks, months policing the internet themselves and searching for their images once they have gone viral. This has a monumental impact on their mental and physical health.</w:t>
      </w:r>
    </w:p>
    <w:p w14:paraId="059D86C3"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040D5FC2" w14:textId="77777777" w:rsidR="006E4AC0" w:rsidRPr="00A74F76" w:rsidRDefault="006E4AC0" w:rsidP="004E50B1">
      <w:pPr>
        <w:pStyle w:val="Heading3"/>
        <w:rPr>
          <w:rFonts w:ascii="Gilroy" w:hAnsi="Gilroy"/>
          <w:sz w:val="22"/>
          <w:szCs w:val="22"/>
        </w:rPr>
      </w:pPr>
      <w:bookmarkStart w:id="20" w:name="_Toc50373294"/>
      <w:proofErr w:type="spellStart"/>
      <w:r w:rsidRPr="00A74F76">
        <w:rPr>
          <w:rFonts w:ascii="Gilroy" w:hAnsi="Gilroy"/>
          <w:sz w:val="22"/>
          <w:szCs w:val="22"/>
        </w:rPr>
        <w:lastRenderedPageBreak/>
        <w:t>Stalkerware</w:t>
      </w:r>
      <w:bookmarkEnd w:id="20"/>
      <w:proofErr w:type="spellEnd"/>
    </w:p>
    <w:p w14:paraId="246948C2" w14:textId="77777777" w:rsidR="00C616FF" w:rsidRPr="00A74F76" w:rsidRDefault="00C616FF" w:rsidP="00E30A73">
      <w:pPr>
        <w:pStyle w:val="part"/>
        <w:spacing w:before="0" w:beforeAutospacing="0" w:after="0" w:afterAutospacing="0"/>
        <w:jc w:val="both"/>
        <w:rPr>
          <w:rFonts w:ascii="Gilroy" w:hAnsi="Gilroy" w:cs="Segoe UI"/>
          <w:color w:val="000000" w:themeColor="text1"/>
          <w:spacing w:val="5"/>
          <w:sz w:val="22"/>
          <w:szCs w:val="22"/>
        </w:rPr>
      </w:pPr>
    </w:p>
    <w:p w14:paraId="101F56AB" w14:textId="485A14C7" w:rsidR="006E4AC0" w:rsidRPr="00A74F76" w:rsidRDefault="00C616FF"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PI</w:t>
      </w:r>
      <w:r w:rsidR="006E4AC0" w:rsidRPr="00A74F76">
        <w:rPr>
          <w:rFonts w:ascii="Gilroy" w:hAnsi="Gilroy" w:cs="Segoe UI"/>
          <w:color w:val="000000" w:themeColor="text1"/>
          <w:spacing w:val="5"/>
          <w:sz w:val="22"/>
          <w:szCs w:val="22"/>
        </w:rPr>
        <w:t xml:space="preserve"> is investigating the new forms of gender-based violence that are being perpetrated with the use of digital technologies. We are concerned about the prevalent use of </w:t>
      </w:r>
      <w:proofErr w:type="spellStart"/>
      <w:r w:rsidR="006E4AC0" w:rsidRPr="00A74F76">
        <w:rPr>
          <w:rFonts w:ascii="Gilroy" w:hAnsi="Gilroy" w:cs="Segoe UI"/>
          <w:color w:val="000000" w:themeColor="text1"/>
          <w:spacing w:val="5"/>
          <w:sz w:val="22"/>
          <w:szCs w:val="22"/>
        </w:rPr>
        <w:t>stalkerware</w:t>
      </w:r>
      <w:proofErr w:type="spellEnd"/>
      <w:r w:rsidR="006E4AC0" w:rsidRPr="00A74F76">
        <w:rPr>
          <w:rFonts w:ascii="Gilroy" w:hAnsi="Gilroy" w:cs="Segoe UI"/>
          <w:color w:val="000000" w:themeColor="text1"/>
          <w:spacing w:val="5"/>
          <w:sz w:val="22"/>
          <w:szCs w:val="22"/>
        </w:rPr>
        <w:t>, a software often used by abusers to spy on their partners.</w:t>
      </w:r>
      <w:r w:rsidRPr="00A74F76">
        <w:rPr>
          <w:rStyle w:val="FootnoteReference"/>
          <w:rFonts w:ascii="Gilroy" w:hAnsi="Gilroy" w:cs="Segoe UI"/>
          <w:color w:val="000000" w:themeColor="text1"/>
          <w:spacing w:val="5"/>
          <w:sz w:val="22"/>
          <w:szCs w:val="22"/>
        </w:rPr>
        <w:footnoteReference w:id="56"/>
      </w:r>
      <w:r w:rsidR="006E4AC0" w:rsidRPr="00A74F76">
        <w:rPr>
          <w:rFonts w:ascii="Gilroy" w:hAnsi="Gilroy" w:cs="Segoe UI"/>
          <w:color w:val="000000" w:themeColor="text1"/>
          <w:spacing w:val="5"/>
          <w:sz w:val="22"/>
          <w:szCs w:val="22"/>
        </w:rPr>
        <w:t xml:space="preserve"> It is a commercially available programme which the abuser purchases and installs on the victim’s phone. This can be done without their knowledge if the perpetrator knows the passwords on the victim’s device or by tricking them into installing it themselves. Once </w:t>
      </w:r>
      <w:proofErr w:type="spellStart"/>
      <w:r w:rsidR="006E4AC0" w:rsidRPr="00A74F76">
        <w:rPr>
          <w:rFonts w:ascii="Gilroy" w:hAnsi="Gilroy" w:cs="Segoe UI"/>
          <w:color w:val="000000" w:themeColor="text1"/>
          <w:spacing w:val="5"/>
          <w:sz w:val="22"/>
          <w:szCs w:val="22"/>
        </w:rPr>
        <w:t>stalkerware</w:t>
      </w:r>
      <w:proofErr w:type="spellEnd"/>
      <w:r w:rsidR="006E4AC0" w:rsidRPr="00A74F76">
        <w:rPr>
          <w:rFonts w:ascii="Gilroy" w:hAnsi="Gilroy" w:cs="Segoe UI"/>
          <w:color w:val="000000" w:themeColor="text1"/>
          <w:spacing w:val="5"/>
          <w:sz w:val="22"/>
          <w:szCs w:val="22"/>
        </w:rPr>
        <w:t xml:space="preserve"> is installed, the abuser can gain access to victim’s communications, emails, contacts, location and photos. Essentially perpetrators have access to their victim’s mind.</w:t>
      </w:r>
    </w:p>
    <w:p w14:paraId="5F0C5D36"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1D4C92A6" w14:textId="61485273"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Extensive surveillance capabilities</w:t>
      </w:r>
      <w:r w:rsidRPr="00A74F76">
        <w:rPr>
          <w:rFonts w:ascii="Gilroy" w:hAnsi="Gilroy" w:cs="Segoe UI"/>
          <w:color w:val="000000" w:themeColor="text1"/>
          <w:spacing w:val="5"/>
          <w:sz w:val="22"/>
          <w:szCs w:val="22"/>
        </w:rPr>
        <w:t xml:space="preserve">. Once the programme is installed, the abuser pays the </w:t>
      </w:r>
      <w:proofErr w:type="spellStart"/>
      <w:r w:rsidRPr="00A74F76">
        <w:rPr>
          <w:rFonts w:ascii="Gilroy" w:hAnsi="Gilroy" w:cs="Segoe UI"/>
          <w:color w:val="000000" w:themeColor="text1"/>
          <w:spacing w:val="5"/>
          <w:sz w:val="22"/>
          <w:szCs w:val="22"/>
        </w:rPr>
        <w:t>stalkerware</w:t>
      </w:r>
      <w:proofErr w:type="spellEnd"/>
      <w:r w:rsidRPr="00A74F76">
        <w:rPr>
          <w:rFonts w:ascii="Gilroy" w:hAnsi="Gilroy" w:cs="Segoe UI"/>
          <w:color w:val="000000" w:themeColor="text1"/>
          <w:spacing w:val="5"/>
          <w:sz w:val="22"/>
          <w:szCs w:val="22"/>
        </w:rPr>
        <w:t xml:space="preserve"> company for access to a portal, which transfers the information from that device on their dashboard. These capabilities can afford dramatic powers and control over an individual’s everyday life. </w:t>
      </w:r>
      <w:proofErr w:type="spellStart"/>
      <w:r w:rsidRPr="00A74F76">
        <w:rPr>
          <w:rFonts w:ascii="Gilroy" w:hAnsi="Gilroy" w:cs="Segoe UI"/>
          <w:color w:val="000000" w:themeColor="text1"/>
          <w:spacing w:val="5"/>
          <w:sz w:val="22"/>
          <w:szCs w:val="22"/>
        </w:rPr>
        <w:t>Stalkerware</w:t>
      </w:r>
      <w:proofErr w:type="spellEnd"/>
      <w:r w:rsidRPr="00A74F76">
        <w:rPr>
          <w:rFonts w:ascii="Gilroy" w:hAnsi="Gilroy" w:cs="Segoe UI"/>
          <w:color w:val="000000" w:themeColor="text1"/>
          <w:spacing w:val="5"/>
          <w:sz w:val="22"/>
          <w:szCs w:val="22"/>
        </w:rPr>
        <w:t xml:space="preserve"> can operate as a predator in a person’s pocket, magnifying the pervasive surveillance of the spyware operator. Especially since intimate partner violence, abuse, and harassment is routinely linked with efforts to monitor and control a targeted person. This software gives abusers and stalkers a robust tool to perpetrate harassment, monitoring, stalking, and abuse. This type of abuse can be terrifying, traumatizing, and raises significant safety risks.</w:t>
      </w:r>
    </w:p>
    <w:p w14:paraId="33EBF483"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1DA2AA72" w14:textId="3091ECBF"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Absence of privacy safeguards</w:t>
      </w:r>
      <w:r w:rsidRPr="00A74F76">
        <w:rPr>
          <w:rFonts w:ascii="Gilroy" w:hAnsi="Gilroy" w:cs="Segoe UI"/>
          <w:color w:val="000000" w:themeColor="text1"/>
          <w:spacing w:val="5"/>
          <w:sz w:val="22"/>
          <w:szCs w:val="22"/>
        </w:rPr>
        <w:t xml:space="preserve">. </w:t>
      </w:r>
      <w:r w:rsidR="00C616FF"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 xml:space="preserve"> is also concerned about the potential lack of measures to prevent data exploitation being implemented by these companies. Since the operation of </w:t>
      </w:r>
      <w:proofErr w:type="spellStart"/>
      <w:r w:rsidRPr="00A74F76">
        <w:rPr>
          <w:rFonts w:ascii="Gilroy" w:hAnsi="Gilroy" w:cs="Segoe UI"/>
          <w:color w:val="000000" w:themeColor="text1"/>
          <w:spacing w:val="5"/>
          <w:sz w:val="22"/>
          <w:szCs w:val="22"/>
        </w:rPr>
        <w:t>stalkerware</w:t>
      </w:r>
      <w:proofErr w:type="spellEnd"/>
      <w:r w:rsidRPr="00A74F76">
        <w:rPr>
          <w:rFonts w:ascii="Gilroy" w:hAnsi="Gilroy" w:cs="Segoe UI"/>
          <w:color w:val="000000" w:themeColor="text1"/>
          <w:spacing w:val="5"/>
          <w:sz w:val="22"/>
          <w:szCs w:val="22"/>
        </w:rPr>
        <w:t xml:space="preserve"> is premised on its covert nature, companies providing this software neither seek nor obtain consent from the victims to process and collect their personal data. Similarly, companies do not facilitate the exercise of data rights by victims. Companies fail to make clear how the victims of </w:t>
      </w:r>
      <w:proofErr w:type="spellStart"/>
      <w:r w:rsidRPr="00A74F76">
        <w:rPr>
          <w:rFonts w:ascii="Gilroy" w:hAnsi="Gilroy" w:cs="Segoe UI"/>
          <w:color w:val="000000" w:themeColor="text1"/>
          <w:spacing w:val="5"/>
          <w:sz w:val="22"/>
          <w:szCs w:val="22"/>
        </w:rPr>
        <w:t>stalkerware</w:t>
      </w:r>
      <w:proofErr w:type="spellEnd"/>
      <w:r w:rsidRPr="00A74F76">
        <w:rPr>
          <w:rFonts w:ascii="Gilroy" w:hAnsi="Gilroy" w:cs="Segoe UI"/>
          <w:color w:val="000000" w:themeColor="text1"/>
          <w:spacing w:val="5"/>
          <w:sz w:val="22"/>
          <w:szCs w:val="22"/>
        </w:rPr>
        <w:t xml:space="preserve"> can have their data deleted, when they haven’t meaningfully consented to the collection</w:t>
      </w:r>
      <w:r w:rsidR="00E211C4" w:rsidRPr="00A74F76">
        <w:rPr>
          <w:rFonts w:ascii="Gilroy" w:hAnsi="Gilroy" w:cs="Segoe UI"/>
          <w:color w:val="000000" w:themeColor="text1"/>
          <w:spacing w:val="5"/>
          <w:sz w:val="22"/>
          <w:szCs w:val="22"/>
        </w:rPr>
        <w:t xml:space="preserve"> in the first place</w:t>
      </w:r>
      <w:r w:rsidRPr="00A74F76">
        <w:rPr>
          <w:rFonts w:ascii="Gilroy" w:hAnsi="Gilroy" w:cs="Segoe UI"/>
          <w:color w:val="000000" w:themeColor="text1"/>
          <w:spacing w:val="5"/>
          <w:sz w:val="22"/>
          <w:szCs w:val="22"/>
        </w:rPr>
        <w:t>.</w:t>
      </w:r>
      <w:r w:rsidRPr="00A74F76">
        <w:rPr>
          <w:rStyle w:val="FootnoteReference"/>
          <w:rFonts w:ascii="Gilroy" w:hAnsi="Gilroy" w:cs="Segoe UI"/>
          <w:color w:val="000000" w:themeColor="text1"/>
          <w:spacing w:val="5"/>
          <w:sz w:val="22"/>
          <w:szCs w:val="22"/>
        </w:rPr>
        <w:footnoteReference w:id="57"/>
      </w:r>
      <w:r w:rsidRPr="00A74F76">
        <w:rPr>
          <w:rFonts w:ascii="Gilroy" w:hAnsi="Gilroy" w:cs="Segoe UI"/>
          <w:color w:val="000000" w:themeColor="text1"/>
          <w:spacing w:val="5"/>
          <w:sz w:val="22"/>
          <w:szCs w:val="22"/>
        </w:rPr>
        <w:t xml:space="preserve"> </w:t>
      </w:r>
      <w:proofErr w:type="spellStart"/>
      <w:r w:rsidRPr="00A74F76">
        <w:rPr>
          <w:rFonts w:ascii="Gilroy" w:hAnsi="Gilroy" w:cs="Segoe UI"/>
          <w:color w:val="000000" w:themeColor="text1"/>
          <w:spacing w:val="5"/>
          <w:sz w:val="22"/>
          <w:szCs w:val="22"/>
        </w:rPr>
        <w:t>Stalkerware</w:t>
      </w:r>
      <w:proofErr w:type="spellEnd"/>
      <w:r w:rsidRPr="00A74F76">
        <w:rPr>
          <w:rFonts w:ascii="Gilroy" w:hAnsi="Gilroy" w:cs="Segoe UI"/>
          <w:color w:val="000000" w:themeColor="text1"/>
          <w:spacing w:val="5"/>
          <w:sz w:val="22"/>
          <w:szCs w:val="22"/>
        </w:rPr>
        <w:t xml:space="preserve"> application companies do not fully account for the personal data that can be captured when operating the software. Also, they do not notify victims targeted by their </w:t>
      </w:r>
      <w:proofErr w:type="spellStart"/>
      <w:r w:rsidRPr="00A74F76">
        <w:rPr>
          <w:rFonts w:ascii="Gilroy" w:hAnsi="Gilroy" w:cs="Segoe UI"/>
          <w:color w:val="000000" w:themeColor="text1"/>
          <w:spacing w:val="5"/>
          <w:sz w:val="22"/>
          <w:szCs w:val="22"/>
        </w:rPr>
        <w:t>stalkerware</w:t>
      </w:r>
      <w:proofErr w:type="spellEnd"/>
      <w:r w:rsidRPr="00A74F76">
        <w:rPr>
          <w:rFonts w:ascii="Gilroy" w:hAnsi="Gilroy" w:cs="Segoe UI"/>
          <w:color w:val="000000" w:themeColor="text1"/>
          <w:spacing w:val="5"/>
          <w:sz w:val="22"/>
          <w:szCs w:val="22"/>
        </w:rPr>
        <w:t xml:space="preserve"> applications in the case of data breaches. </w:t>
      </w:r>
    </w:p>
    <w:p w14:paraId="7174C02F" w14:textId="69B066AD" w:rsidR="006E4AC0" w:rsidRPr="00A74F76" w:rsidRDefault="006E4AC0" w:rsidP="00E30A73">
      <w:pPr>
        <w:pStyle w:val="part"/>
        <w:spacing w:before="0" w:beforeAutospacing="0" w:after="0" w:afterAutospacing="0"/>
        <w:jc w:val="both"/>
        <w:rPr>
          <w:rFonts w:ascii="Gilroy" w:hAnsi="Gilroy" w:cs="Segoe UI"/>
          <w:color w:val="000000" w:themeColor="text1"/>
          <w:spacing w:val="5"/>
          <w:sz w:val="22"/>
          <w:szCs w:val="22"/>
        </w:rPr>
      </w:pPr>
    </w:p>
    <w:p w14:paraId="0ACF80E7" w14:textId="257CFFC7" w:rsidR="001F0D5D" w:rsidRPr="00A74F76" w:rsidRDefault="001F0D5D" w:rsidP="00E30A73">
      <w:pPr>
        <w:pStyle w:val="part"/>
        <w:spacing w:before="0" w:beforeAutospacing="0" w:after="0" w:afterAutospacing="0"/>
        <w:jc w:val="both"/>
        <w:rPr>
          <w:rFonts w:ascii="Gilroy" w:hAnsi="Gilroy" w:cs="Segoe UI"/>
          <w:color w:val="000000" w:themeColor="text1"/>
          <w:spacing w:val="5"/>
          <w:sz w:val="22"/>
          <w:szCs w:val="22"/>
        </w:rPr>
      </w:pPr>
      <w:r w:rsidRPr="000A333E">
        <w:rPr>
          <w:rFonts w:ascii="Gilroy" w:hAnsi="Gilroy" w:cs="Segoe UI"/>
          <w:b/>
          <w:bCs/>
          <w:color w:val="000000" w:themeColor="text1"/>
          <w:spacing w:val="5"/>
          <w:sz w:val="22"/>
          <w:szCs w:val="22"/>
        </w:rPr>
        <w:t xml:space="preserve">Recommendations </w:t>
      </w:r>
    </w:p>
    <w:p w14:paraId="312DD0D0" w14:textId="2083AF18" w:rsidR="001F0D5D" w:rsidRPr="00A74F76" w:rsidRDefault="001E29C2" w:rsidP="001F0D5D">
      <w:pPr>
        <w:pStyle w:val="part"/>
        <w:numPr>
          <w:ilvl w:val="0"/>
          <w:numId w:val="17"/>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The UN Working Group should recommend that </w:t>
      </w:r>
      <w:r w:rsidR="001F0D5D" w:rsidRPr="00A74F76">
        <w:rPr>
          <w:rFonts w:ascii="Gilroy" w:hAnsi="Gilroy" w:cs="Segoe UI"/>
          <w:color w:val="000000" w:themeColor="text1"/>
          <w:spacing w:val="5"/>
          <w:sz w:val="22"/>
          <w:szCs w:val="22"/>
        </w:rPr>
        <w:t>crim</w:t>
      </w:r>
      <w:r w:rsidRPr="00A74F76">
        <w:rPr>
          <w:rFonts w:ascii="Gilroy" w:hAnsi="Gilroy" w:cs="Segoe UI"/>
          <w:color w:val="000000" w:themeColor="text1"/>
          <w:spacing w:val="5"/>
          <w:sz w:val="22"/>
          <w:szCs w:val="22"/>
        </w:rPr>
        <w:t>inal</w:t>
      </w:r>
      <w:r w:rsidR="001F0D5D" w:rsidRPr="00A74F76">
        <w:rPr>
          <w:rFonts w:ascii="Gilroy" w:hAnsi="Gilroy" w:cs="Segoe UI"/>
          <w:color w:val="000000" w:themeColor="text1"/>
          <w:spacing w:val="5"/>
          <w:sz w:val="22"/>
          <w:szCs w:val="22"/>
        </w:rPr>
        <w:t xml:space="preserve"> legislation is amended to reflect new forms of gender-based violence</w:t>
      </w:r>
      <w:r w:rsidR="00A911E2" w:rsidRPr="00A74F76">
        <w:rPr>
          <w:rFonts w:ascii="Gilroy" w:hAnsi="Gilroy" w:cs="Segoe UI"/>
          <w:color w:val="000000" w:themeColor="text1"/>
          <w:spacing w:val="5"/>
          <w:sz w:val="22"/>
          <w:szCs w:val="22"/>
        </w:rPr>
        <w:t xml:space="preserve"> involving the use of technology</w:t>
      </w:r>
      <w:r w:rsidR="001F0D5D" w:rsidRPr="00A74F76">
        <w:rPr>
          <w:rFonts w:ascii="Gilroy" w:hAnsi="Gilroy" w:cs="Segoe UI"/>
          <w:color w:val="000000" w:themeColor="text1"/>
          <w:spacing w:val="5"/>
          <w:sz w:val="22"/>
          <w:szCs w:val="22"/>
        </w:rPr>
        <w:t xml:space="preserve">. </w:t>
      </w:r>
    </w:p>
    <w:p w14:paraId="5DE3A895" w14:textId="69D826DF" w:rsidR="0053619C" w:rsidRPr="00A74F76" w:rsidRDefault="001E29C2" w:rsidP="001F0D5D">
      <w:pPr>
        <w:pStyle w:val="part"/>
        <w:numPr>
          <w:ilvl w:val="0"/>
          <w:numId w:val="17"/>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It should further call s</w:t>
      </w:r>
      <w:r w:rsidR="001F0D5D" w:rsidRPr="00A74F76">
        <w:rPr>
          <w:rFonts w:ascii="Gilroy" w:hAnsi="Gilroy" w:cs="Segoe UI"/>
          <w:color w:val="000000" w:themeColor="text1"/>
          <w:spacing w:val="5"/>
          <w:sz w:val="22"/>
          <w:szCs w:val="22"/>
        </w:rPr>
        <w:t xml:space="preserve">tates </w:t>
      </w:r>
      <w:r w:rsidRPr="00A74F76">
        <w:rPr>
          <w:rFonts w:ascii="Gilroy" w:hAnsi="Gilroy" w:cs="Segoe UI"/>
          <w:color w:val="000000" w:themeColor="text1"/>
          <w:spacing w:val="5"/>
          <w:sz w:val="22"/>
          <w:szCs w:val="22"/>
        </w:rPr>
        <w:t>to</w:t>
      </w:r>
      <w:r w:rsidR="001F0D5D" w:rsidRPr="00A74F76">
        <w:rPr>
          <w:rFonts w:ascii="Gilroy" w:hAnsi="Gilroy" w:cs="Segoe UI"/>
          <w:color w:val="000000" w:themeColor="text1"/>
          <w:spacing w:val="5"/>
          <w:sz w:val="22"/>
          <w:szCs w:val="22"/>
        </w:rPr>
        <w:t xml:space="preserve"> ensure that any legislation making the use of revenge porn</w:t>
      </w:r>
      <w:r w:rsidR="00EF196B" w:rsidRPr="00A74F76">
        <w:rPr>
          <w:rFonts w:ascii="Gilroy" w:hAnsi="Gilroy" w:cs="Segoe UI"/>
          <w:color w:val="000000" w:themeColor="text1"/>
          <w:spacing w:val="5"/>
          <w:sz w:val="22"/>
          <w:szCs w:val="22"/>
        </w:rPr>
        <w:t xml:space="preserve">, </w:t>
      </w:r>
      <w:proofErr w:type="spellStart"/>
      <w:r w:rsidR="001F0D5D" w:rsidRPr="00A74F76">
        <w:rPr>
          <w:rFonts w:ascii="Gilroy" w:hAnsi="Gilroy" w:cs="Segoe UI"/>
          <w:color w:val="000000" w:themeColor="text1"/>
          <w:spacing w:val="5"/>
          <w:sz w:val="22"/>
          <w:szCs w:val="22"/>
        </w:rPr>
        <w:t>stalkerware</w:t>
      </w:r>
      <w:proofErr w:type="spellEnd"/>
      <w:r w:rsidR="001F0D5D" w:rsidRPr="00A74F76">
        <w:rPr>
          <w:rFonts w:ascii="Gilroy" w:hAnsi="Gilroy" w:cs="Segoe UI"/>
          <w:color w:val="000000" w:themeColor="text1"/>
          <w:spacing w:val="5"/>
          <w:sz w:val="22"/>
          <w:szCs w:val="22"/>
        </w:rPr>
        <w:t xml:space="preserve"> </w:t>
      </w:r>
      <w:r w:rsidR="00EF196B" w:rsidRPr="00A74F76">
        <w:rPr>
          <w:rFonts w:ascii="Gilroy" w:hAnsi="Gilroy" w:cs="Segoe UI"/>
          <w:color w:val="000000" w:themeColor="text1"/>
          <w:spacing w:val="5"/>
          <w:sz w:val="22"/>
          <w:szCs w:val="22"/>
        </w:rPr>
        <w:t xml:space="preserve">or the unauthorised use of personal data </w:t>
      </w:r>
      <w:r w:rsidR="001F0D5D" w:rsidRPr="00A74F76">
        <w:rPr>
          <w:rFonts w:ascii="Gilroy" w:hAnsi="Gilroy" w:cs="Segoe UI"/>
          <w:color w:val="000000" w:themeColor="text1"/>
          <w:spacing w:val="5"/>
          <w:sz w:val="22"/>
          <w:szCs w:val="22"/>
        </w:rPr>
        <w:t>an offence</w:t>
      </w:r>
      <w:r w:rsidR="0053619C" w:rsidRPr="00A74F76">
        <w:rPr>
          <w:rFonts w:ascii="Gilroy" w:hAnsi="Gilroy" w:cs="Segoe UI"/>
          <w:color w:val="000000" w:themeColor="text1"/>
          <w:spacing w:val="5"/>
          <w:sz w:val="22"/>
          <w:szCs w:val="22"/>
        </w:rPr>
        <w:t xml:space="preserve"> is properly enforced</w:t>
      </w:r>
      <w:r w:rsidR="00241058" w:rsidRPr="00A74F76">
        <w:rPr>
          <w:rFonts w:ascii="Gilroy" w:hAnsi="Gilroy" w:cs="Segoe UI"/>
          <w:color w:val="000000" w:themeColor="text1"/>
          <w:spacing w:val="5"/>
          <w:sz w:val="22"/>
          <w:szCs w:val="22"/>
        </w:rPr>
        <w:t xml:space="preserve"> at all times</w:t>
      </w:r>
      <w:r w:rsidR="0053619C" w:rsidRPr="00A74F76">
        <w:rPr>
          <w:rFonts w:ascii="Gilroy" w:hAnsi="Gilroy" w:cs="Segoe UI"/>
          <w:color w:val="000000" w:themeColor="text1"/>
          <w:spacing w:val="5"/>
          <w:sz w:val="22"/>
          <w:szCs w:val="22"/>
        </w:rPr>
        <w:t xml:space="preserve">. </w:t>
      </w:r>
    </w:p>
    <w:p w14:paraId="4869DCA1" w14:textId="05E10409" w:rsidR="001F0D5D" w:rsidRPr="00A74F76" w:rsidRDefault="001E29C2" w:rsidP="000A333E">
      <w:pPr>
        <w:pStyle w:val="part"/>
        <w:numPr>
          <w:ilvl w:val="0"/>
          <w:numId w:val="17"/>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Also, it should note that </w:t>
      </w:r>
      <w:r w:rsidR="0053619C" w:rsidRPr="00A74F76">
        <w:rPr>
          <w:rFonts w:ascii="Gilroy" w:hAnsi="Gilroy" w:cs="Segoe UI"/>
          <w:color w:val="000000" w:themeColor="text1"/>
          <w:spacing w:val="5"/>
          <w:sz w:val="22"/>
          <w:szCs w:val="22"/>
        </w:rPr>
        <w:t>police and prosecutors</w:t>
      </w:r>
      <w:r w:rsidRPr="00A74F76">
        <w:rPr>
          <w:rFonts w:ascii="Gilroy" w:hAnsi="Gilroy" w:cs="Segoe UI"/>
          <w:color w:val="000000" w:themeColor="text1"/>
          <w:spacing w:val="5"/>
          <w:sz w:val="22"/>
          <w:szCs w:val="22"/>
        </w:rPr>
        <w:t xml:space="preserve"> should</w:t>
      </w:r>
      <w:r w:rsidR="0053619C" w:rsidRPr="00A74F76">
        <w:rPr>
          <w:rFonts w:ascii="Gilroy" w:hAnsi="Gilroy" w:cs="Segoe UI"/>
          <w:color w:val="000000" w:themeColor="text1"/>
          <w:spacing w:val="5"/>
          <w:sz w:val="22"/>
          <w:szCs w:val="22"/>
        </w:rPr>
        <w:t xml:space="preserve"> receive adequate training in orde</w:t>
      </w:r>
      <w:r w:rsidR="00174D40" w:rsidRPr="00A74F76">
        <w:rPr>
          <w:rFonts w:ascii="Gilroy" w:hAnsi="Gilroy" w:cs="Segoe UI"/>
          <w:color w:val="000000" w:themeColor="text1"/>
          <w:spacing w:val="5"/>
          <w:sz w:val="22"/>
          <w:szCs w:val="22"/>
        </w:rPr>
        <w:t xml:space="preserve">r to properly investigate and prosecute complaints on the use of </w:t>
      </w:r>
      <w:proofErr w:type="spellStart"/>
      <w:r w:rsidR="00174D40" w:rsidRPr="00A74F76">
        <w:rPr>
          <w:rFonts w:ascii="Gilroy" w:hAnsi="Gilroy" w:cs="Segoe UI"/>
          <w:color w:val="000000" w:themeColor="text1"/>
          <w:spacing w:val="5"/>
          <w:sz w:val="22"/>
          <w:szCs w:val="22"/>
        </w:rPr>
        <w:t>stalkerware</w:t>
      </w:r>
      <w:proofErr w:type="spellEnd"/>
      <w:r w:rsidR="00174D40" w:rsidRPr="00A74F76">
        <w:rPr>
          <w:rFonts w:ascii="Gilroy" w:hAnsi="Gilroy" w:cs="Segoe UI"/>
          <w:color w:val="000000" w:themeColor="text1"/>
          <w:spacing w:val="5"/>
          <w:sz w:val="22"/>
          <w:szCs w:val="22"/>
        </w:rPr>
        <w:t xml:space="preserve"> and revenge porn. </w:t>
      </w:r>
    </w:p>
    <w:p w14:paraId="69B57FDC" w14:textId="77777777" w:rsidR="00AE02D3" w:rsidRPr="00A74F76" w:rsidRDefault="00526EF8" w:rsidP="004E50B1">
      <w:pPr>
        <w:pStyle w:val="Heading1"/>
        <w:numPr>
          <w:ilvl w:val="0"/>
          <w:numId w:val="12"/>
        </w:numPr>
        <w:rPr>
          <w:rStyle w:val="Strong"/>
          <w:rFonts w:ascii="Gilroy" w:hAnsi="Gilroy" w:cs="Segoe UI"/>
          <w:b w:val="0"/>
          <w:bCs w:val="0"/>
          <w:color w:val="000000" w:themeColor="text1"/>
          <w:spacing w:val="5"/>
          <w:sz w:val="24"/>
          <w:szCs w:val="24"/>
        </w:rPr>
      </w:pPr>
      <w:bookmarkStart w:id="21" w:name="_Toc50373295"/>
      <w:r w:rsidRPr="00A74F76">
        <w:rPr>
          <w:rFonts w:ascii="Gilroy" w:hAnsi="Gilroy"/>
          <w:sz w:val="24"/>
          <w:szCs w:val="24"/>
        </w:rPr>
        <w:t xml:space="preserve">Pregnancy-related health services, including pre- and post-natal care, assistance during </w:t>
      </w:r>
      <w:proofErr w:type="gramStart"/>
      <w:r w:rsidRPr="00A74F76">
        <w:rPr>
          <w:rFonts w:ascii="Gilroy" w:hAnsi="Gilroy"/>
          <w:sz w:val="24"/>
          <w:szCs w:val="24"/>
        </w:rPr>
        <w:t>child-birth</w:t>
      </w:r>
      <w:proofErr w:type="gramEnd"/>
      <w:r w:rsidRPr="00A74F76">
        <w:rPr>
          <w:rFonts w:ascii="Gilroy" w:hAnsi="Gilroy"/>
          <w:sz w:val="24"/>
          <w:szCs w:val="24"/>
        </w:rPr>
        <w:t>, and emergency obstetric care</w:t>
      </w:r>
      <w:bookmarkEnd w:id="21"/>
    </w:p>
    <w:p w14:paraId="47BB7CDD"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57C8B60E" w14:textId="5E3BA69A"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lastRenderedPageBreak/>
        <w:t>As part of wider developments in the health sector around the use of data and technology, there has been a</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notable increase in digital health initiatives</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 xml:space="preserve">focusing strengthening delivery of reproductive, maternal, </w:t>
      </w:r>
      <w:proofErr w:type="spellStart"/>
      <w:r w:rsidRPr="00A74F76">
        <w:rPr>
          <w:rFonts w:ascii="Gilroy" w:hAnsi="Gilroy" w:cs="Segoe UI"/>
          <w:color w:val="000000" w:themeColor="text1"/>
          <w:spacing w:val="5"/>
          <w:sz w:val="22"/>
          <w:szCs w:val="22"/>
        </w:rPr>
        <w:t>newborn</w:t>
      </w:r>
      <w:proofErr w:type="spellEnd"/>
      <w:r w:rsidRPr="00A74F76">
        <w:rPr>
          <w:rFonts w:ascii="Gilroy" w:hAnsi="Gilroy" w:cs="Segoe UI"/>
          <w:color w:val="000000" w:themeColor="text1"/>
          <w:spacing w:val="5"/>
          <w:sz w:val="22"/>
          <w:szCs w:val="22"/>
        </w:rPr>
        <w:t xml:space="preserve"> and child health (RMNCH) services in many low- and middle-income countries (LMICs), including in fragile settings</w:t>
      </w:r>
      <w:r w:rsidR="009A62B6" w:rsidRPr="00A74F76">
        <w:rPr>
          <w:rFonts w:ascii="Gilroy" w:hAnsi="Gilroy" w:cs="Segoe UI"/>
          <w:color w:val="000000" w:themeColor="text1"/>
          <w:spacing w:val="5"/>
          <w:sz w:val="22"/>
          <w:szCs w:val="22"/>
        </w:rPr>
        <w:t xml:space="preserve"> characterised by ongoing crises</w:t>
      </w:r>
      <w:r w:rsidRPr="00A74F76">
        <w:rPr>
          <w:rFonts w:ascii="Gilroy" w:hAnsi="Gilroy" w:cs="Segoe UI"/>
          <w:color w:val="000000" w:themeColor="text1"/>
          <w:spacing w:val="5"/>
          <w:sz w:val="22"/>
          <w:szCs w:val="22"/>
        </w:rPr>
        <w:t>.</w:t>
      </w:r>
      <w:r w:rsidR="00AE02D3" w:rsidRPr="00A74F76">
        <w:rPr>
          <w:rStyle w:val="FootnoteReference"/>
          <w:rFonts w:ascii="Gilroy" w:hAnsi="Gilroy" w:cs="Segoe UI"/>
          <w:color w:val="000000" w:themeColor="text1"/>
          <w:spacing w:val="5"/>
          <w:sz w:val="22"/>
          <w:szCs w:val="22"/>
        </w:rPr>
        <w:footnoteReference w:id="58"/>
      </w:r>
      <w:r w:rsidRPr="00A74F76">
        <w:rPr>
          <w:rFonts w:ascii="Gilroy" w:hAnsi="Gilroy" w:cs="Segoe UI"/>
          <w:color w:val="000000" w:themeColor="text1"/>
          <w:spacing w:val="5"/>
          <w:sz w:val="22"/>
          <w:szCs w:val="22"/>
        </w:rPr>
        <w:t xml:space="preserve"> An</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assessment published by the World Health Organisation</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in 2018 indicated that 69 percent of the 62 countries surveyed were monitoring reproductive health indicators through health information systems, a majority of which were at least partially digital.</w:t>
      </w:r>
      <w:r w:rsidR="00AE02D3" w:rsidRPr="00A74F76">
        <w:rPr>
          <w:rStyle w:val="FootnoteReference"/>
          <w:rFonts w:ascii="Gilroy" w:hAnsi="Gilroy" w:cs="Segoe UI"/>
          <w:color w:val="000000" w:themeColor="text1"/>
          <w:spacing w:val="5"/>
          <w:sz w:val="22"/>
          <w:szCs w:val="22"/>
        </w:rPr>
        <w:footnoteReference w:id="59"/>
      </w:r>
    </w:p>
    <w:p w14:paraId="2BD890C1" w14:textId="77777777" w:rsidR="00C616FF" w:rsidRPr="00A74F76" w:rsidRDefault="00C616FF" w:rsidP="00E30A73">
      <w:pPr>
        <w:pStyle w:val="part"/>
        <w:spacing w:before="0" w:beforeAutospacing="0" w:after="0" w:afterAutospacing="0"/>
        <w:jc w:val="both"/>
        <w:rPr>
          <w:rFonts w:ascii="Gilroy" w:hAnsi="Gilroy" w:cs="Segoe UI"/>
          <w:color w:val="000000" w:themeColor="text1"/>
          <w:spacing w:val="5"/>
          <w:sz w:val="22"/>
          <w:szCs w:val="22"/>
        </w:rPr>
      </w:pPr>
    </w:p>
    <w:p w14:paraId="49FD2382" w14:textId="2E3611AF"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Driven by the promises of new technologies data revolution to tackle global socio-economic challenges and as a key to meeting the Sustainable Development Goals, digital health initiatives have evolved from mHealth and eHealth to more innovative techniques and tools</w:t>
      </w:r>
      <w:r w:rsidR="00AE02D3" w:rsidRPr="00A74F76">
        <w:rPr>
          <w:rFonts w:ascii="Gilroy" w:hAnsi="Gilroy" w:cs="Segoe UI"/>
          <w:color w:val="000000" w:themeColor="text1"/>
          <w:spacing w:val="5"/>
          <w:sz w:val="22"/>
          <w:szCs w:val="22"/>
        </w:rPr>
        <w:t>, from</w:t>
      </w:r>
      <w:r w:rsidRPr="00A74F76">
        <w:rPr>
          <w:rFonts w:ascii="Gilroy" w:hAnsi="Gilroy" w:cs="Segoe UI"/>
          <w:color w:val="000000" w:themeColor="text1"/>
          <w:spacing w:val="5"/>
          <w:sz w:val="22"/>
          <w:szCs w:val="22"/>
        </w:rPr>
        <w:t xml:space="preserve"> big data</w:t>
      </w:r>
      <w:r w:rsidR="00AE02D3" w:rsidRPr="00A74F76">
        <w:rPr>
          <w:rFonts w:ascii="Gilroy" w:hAnsi="Gilroy" w:cs="Segoe UI"/>
          <w:color w:val="000000" w:themeColor="text1"/>
          <w:spacing w:val="5"/>
          <w:sz w:val="22"/>
          <w:szCs w:val="22"/>
        </w:rPr>
        <w:t xml:space="preserve"> and</w:t>
      </w:r>
      <w:r w:rsidRPr="00A74F76">
        <w:rPr>
          <w:rFonts w:ascii="Gilroy" w:hAnsi="Gilroy" w:cs="Segoe UI"/>
          <w:color w:val="000000" w:themeColor="text1"/>
          <w:spacing w:val="5"/>
          <w:sz w:val="22"/>
          <w:szCs w:val="22"/>
        </w:rPr>
        <w:t xml:space="preserve"> data analytics to now artificial intelligence, machine learning and automation.</w:t>
      </w:r>
    </w:p>
    <w:p w14:paraId="6B512AAF" w14:textId="77777777" w:rsidR="00C616FF" w:rsidRPr="00A74F76" w:rsidRDefault="00C616FF" w:rsidP="00E30A73">
      <w:pPr>
        <w:pStyle w:val="part"/>
        <w:spacing w:before="0" w:beforeAutospacing="0" w:after="0" w:afterAutospacing="0"/>
        <w:jc w:val="both"/>
        <w:rPr>
          <w:rFonts w:ascii="Gilroy" w:hAnsi="Gilroy" w:cs="Segoe UI"/>
          <w:color w:val="000000" w:themeColor="text1"/>
          <w:spacing w:val="5"/>
          <w:sz w:val="22"/>
          <w:szCs w:val="22"/>
        </w:rPr>
      </w:pPr>
    </w:p>
    <w:p w14:paraId="590F64D7" w14:textId="7EB1F9A1"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RMNCH digital initiatives range from facilitating scheduling through SMS,</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remote access to care and counselling,</w:t>
      </w:r>
      <w:r w:rsidR="00E04D3F" w:rsidRPr="00A74F76">
        <w:rPr>
          <w:rStyle w:val="FootnoteReference"/>
          <w:rFonts w:ascii="Gilroy" w:hAnsi="Gilroy" w:cs="Segoe UI"/>
          <w:color w:val="000000" w:themeColor="text1"/>
          <w:spacing w:val="5"/>
          <w:sz w:val="22"/>
          <w:szCs w:val="22"/>
        </w:rPr>
        <w:footnoteReference w:id="60"/>
      </w:r>
      <w:r w:rsidRPr="00A74F76">
        <w:rPr>
          <w:rFonts w:ascii="Gilroy" w:hAnsi="Gilroy" w:cs="Segoe UI"/>
          <w:color w:val="000000" w:themeColor="text1"/>
          <w:spacing w:val="5"/>
          <w:sz w:val="22"/>
          <w:szCs w:val="22"/>
        </w:rPr>
        <w:t xml:space="preserve"> to health workers using a mobile phone to track an individual pregnant mother over the cycle of pregnancy, or a child over his/her cycle of immunization, and</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the use of mobile applications, sensors, wearable devices</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and others.</w:t>
      </w:r>
      <w:r w:rsidR="00E04D3F" w:rsidRPr="00A74F76">
        <w:rPr>
          <w:rStyle w:val="FootnoteReference"/>
          <w:rFonts w:ascii="Gilroy" w:hAnsi="Gilroy" w:cs="Segoe UI"/>
          <w:color w:val="000000" w:themeColor="text1"/>
          <w:spacing w:val="5"/>
          <w:sz w:val="22"/>
          <w:szCs w:val="22"/>
        </w:rPr>
        <w:footnoteReference w:id="61"/>
      </w:r>
      <w:r w:rsidR="00040DBB" w:rsidRPr="00A74F76">
        <w:rPr>
          <w:rFonts w:ascii="Gilroy" w:hAnsi="Gilroy" w:cs="Segoe UI"/>
          <w:color w:val="000000" w:themeColor="text1"/>
          <w:spacing w:val="5"/>
          <w:sz w:val="22"/>
          <w:szCs w:val="22"/>
        </w:rPr>
        <w:t xml:space="preserve"> </w:t>
      </w:r>
      <w:r w:rsidRPr="00A74F76">
        <w:rPr>
          <w:rFonts w:ascii="Gilroy" w:hAnsi="Gilroy" w:cs="Segoe UI"/>
          <w:color w:val="000000" w:themeColor="text1"/>
          <w:spacing w:val="5"/>
          <w:sz w:val="22"/>
          <w:szCs w:val="22"/>
        </w:rPr>
        <w:t>Working with partners around the world, we have observed the following areas of concern which must be addressed</w:t>
      </w:r>
      <w:r w:rsidR="00040DBB" w:rsidRPr="00A74F76">
        <w:rPr>
          <w:rFonts w:ascii="Gilroy" w:hAnsi="Gilroy" w:cs="Segoe UI"/>
          <w:color w:val="000000" w:themeColor="text1"/>
          <w:spacing w:val="5"/>
          <w:sz w:val="22"/>
          <w:szCs w:val="22"/>
        </w:rPr>
        <w:t>.</w:t>
      </w:r>
    </w:p>
    <w:p w14:paraId="0CC2A368"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3FC4E633" w14:textId="6934366C" w:rsidR="00040DBB" w:rsidRPr="00A74F76" w:rsidRDefault="00040DBB" w:rsidP="00753054">
      <w:pPr>
        <w:pStyle w:val="Heading3"/>
        <w:rPr>
          <w:rFonts w:ascii="Gilroy" w:hAnsi="Gilroy"/>
          <w:sz w:val="22"/>
          <w:szCs w:val="22"/>
        </w:rPr>
      </w:pPr>
      <w:bookmarkStart w:id="22" w:name="_Toc50373296"/>
      <w:r w:rsidRPr="00A74F76">
        <w:rPr>
          <w:rFonts w:ascii="Gilroy" w:hAnsi="Gilroy"/>
          <w:sz w:val="22"/>
          <w:szCs w:val="22"/>
        </w:rPr>
        <w:t xml:space="preserve">Absence of </w:t>
      </w:r>
      <w:r w:rsidR="00E211C4" w:rsidRPr="00A74F76">
        <w:rPr>
          <w:rFonts w:ascii="Gilroy" w:hAnsi="Gilroy"/>
          <w:sz w:val="22"/>
          <w:szCs w:val="22"/>
        </w:rPr>
        <w:t>human right</w:t>
      </w:r>
      <w:r w:rsidR="00CF3C0E" w:rsidRPr="00A74F76">
        <w:rPr>
          <w:rFonts w:ascii="Gilroy" w:hAnsi="Gilroy"/>
          <w:sz w:val="22"/>
          <w:szCs w:val="22"/>
        </w:rPr>
        <w:t>s</w:t>
      </w:r>
      <w:r w:rsidR="00E211C4" w:rsidRPr="00A74F76">
        <w:rPr>
          <w:rFonts w:ascii="Gilroy" w:hAnsi="Gilroy"/>
          <w:sz w:val="22"/>
          <w:szCs w:val="22"/>
        </w:rPr>
        <w:t xml:space="preserve"> and </w:t>
      </w:r>
      <w:r w:rsidRPr="00A74F76">
        <w:rPr>
          <w:rFonts w:ascii="Gilroy" w:hAnsi="Gilroy"/>
          <w:sz w:val="22"/>
          <w:szCs w:val="22"/>
        </w:rPr>
        <w:t>privacy considerations in the implementation of RMNCH services</w:t>
      </w:r>
      <w:bookmarkEnd w:id="22"/>
    </w:p>
    <w:p w14:paraId="3F9D5035" w14:textId="77777777" w:rsidR="00E30A73" w:rsidRPr="00A74F76" w:rsidRDefault="00E30A73" w:rsidP="00E30A73">
      <w:pPr>
        <w:pStyle w:val="part"/>
        <w:spacing w:before="0" w:beforeAutospacing="0" w:after="0" w:afterAutospacing="0"/>
        <w:jc w:val="both"/>
        <w:rPr>
          <w:rStyle w:val="Strong"/>
          <w:rFonts w:ascii="Gilroy" w:hAnsi="Gilroy" w:cs="Segoe UI"/>
          <w:b w:val="0"/>
          <w:bCs w:val="0"/>
          <w:i/>
          <w:iCs/>
          <w:color w:val="000000" w:themeColor="text1"/>
          <w:spacing w:val="5"/>
          <w:sz w:val="22"/>
          <w:szCs w:val="22"/>
        </w:rPr>
      </w:pPr>
    </w:p>
    <w:p w14:paraId="3E9C6A84" w14:textId="7FE998F1"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Lack of data governance and human rights approach</w:t>
      </w:r>
      <w:r w:rsidR="00AE02D3" w:rsidRPr="00A74F76">
        <w:rPr>
          <w:rStyle w:val="Strong"/>
          <w:rFonts w:ascii="Gilroy" w:hAnsi="Gilroy" w:cs="Segoe UI"/>
          <w:color w:val="000000" w:themeColor="text1"/>
          <w:spacing w:val="5"/>
          <w:sz w:val="22"/>
          <w:szCs w:val="22"/>
        </w:rPr>
        <w:t>.</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Often the deployment of digital health initiatives is not accompanied at both the policy and operational levels with adequate legal and regulatory protections for data governance that impact human rights and gender equality. As with many misguided and ill-prepared digital solutions, the failure to consider these elements makes beneficiaries of RMNCH services vulnerable to exploitation and exclusion, while rendering the potential benefits from these digital initiatives to improve services delivery sub-optimal in terms of reach, coverage, scale and sustainability.</w:t>
      </w:r>
    </w:p>
    <w:p w14:paraId="7B8A3393"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11AF1EB3" w14:textId="656E7CB8"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Poor impact assessments</w:t>
      </w:r>
      <w:r w:rsidR="00AE02D3" w:rsidRPr="00A74F76">
        <w:rPr>
          <w:rStyle w:val="Strong"/>
          <w:rFonts w:ascii="Gilroy" w:hAnsi="Gilroy" w:cs="Segoe UI"/>
          <w:b w:val="0"/>
          <w:bCs w:val="0"/>
          <w:color w:val="000000" w:themeColor="text1"/>
          <w:spacing w:val="5"/>
          <w:sz w:val="22"/>
          <w:szCs w:val="22"/>
        </w:rPr>
        <w:t>.</w:t>
      </w:r>
      <w:r w:rsidRPr="00A74F76">
        <w:rPr>
          <w:rFonts w:ascii="Cambria" w:hAnsi="Cambria" w:cs="Cambria"/>
          <w:color w:val="000000" w:themeColor="text1"/>
          <w:sz w:val="22"/>
          <w:szCs w:val="22"/>
        </w:rPr>
        <w:t> </w:t>
      </w:r>
      <w:r w:rsidRPr="00A74F76">
        <w:rPr>
          <w:rFonts w:ascii="Gilroy" w:hAnsi="Gilroy" w:cs="Segoe UI"/>
          <w:color w:val="000000" w:themeColor="text1"/>
          <w:spacing w:val="5"/>
          <w:sz w:val="22"/>
          <w:szCs w:val="22"/>
        </w:rPr>
        <w:t>Some of the shortcomings observed in the deployment of digital RMNCH initiatives have included not foreseeing and assessing the new concerns emerging with the digitization of RMNCH services:</w:t>
      </w:r>
      <w:r w:rsidR="00C616FF" w:rsidRPr="00A74F76">
        <w:rPr>
          <w:rFonts w:ascii="Gilroy" w:hAnsi="Gilroy" w:cs="Segoe UI"/>
          <w:color w:val="000000" w:themeColor="text1"/>
          <w:spacing w:val="5"/>
          <w:sz w:val="22"/>
          <w:szCs w:val="22"/>
        </w:rPr>
        <w:t xml:space="preserve"> </w:t>
      </w:r>
      <w:proofErr w:type="spellStart"/>
      <w:r w:rsidRPr="00A74F76">
        <w:rPr>
          <w:rFonts w:ascii="Gilroy" w:hAnsi="Gilroy" w:cs="Segoe UI"/>
          <w:color w:val="000000" w:themeColor="text1"/>
          <w:spacing w:val="5"/>
          <w:sz w:val="22"/>
          <w:szCs w:val="22"/>
        </w:rPr>
        <w:t>i</w:t>
      </w:r>
      <w:proofErr w:type="spellEnd"/>
      <w:r w:rsidRPr="00A74F76">
        <w:rPr>
          <w:rFonts w:ascii="Gilroy" w:hAnsi="Gilroy" w:cs="Segoe UI"/>
          <w:color w:val="000000" w:themeColor="text1"/>
          <w:spacing w:val="5"/>
          <w:sz w:val="22"/>
          <w:szCs w:val="22"/>
        </w:rPr>
        <w:t>) risks associated with visibility and tracking of patients especially when combined with identification systems where access is managed through registration into a large-scale complex identification system, and in its absence are denied access to services as well as others sources of data being brought together and the risks associated with the vast intelligence which can be gathered as a result, and ii) the failure to understand and respond to the complex infrastructural requirements of such initiative including access to secure, reliable internet.</w:t>
      </w:r>
    </w:p>
    <w:p w14:paraId="5053A25F"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03B03FD" w14:textId="28FFC553" w:rsidR="00A16281" w:rsidRPr="00A74F76" w:rsidRDefault="00C371C5" w:rsidP="004E50B1">
      <w:pPr>
        <w:pStyle w:val="Heading3"/>
        <w:rPr>
          <w:rFonts w:ascii="Gilroy" w:hAnsi="Gilroy"/>
          <w:sz w:val="22"/>
          <w:szCs w:val="22"/>
        </w:rPr>
      </w:pPr>
      <w:bookmarkStart w:id="23" w:name="_Toc50373297"/>
      <w:r w:rsidRPr="00A74F76">
        <w:rPr>
          <w:rFonts w:ascii="Gilroy" w:hAnsi="Gilroy"/>
          <w:sz w:val="22"/>
          <w:szCs w:val="22"/>
        </w:rPr>
        <w:lastRenderedPageBreak/>
        <w:t>Risks stemming from regulatory gaps</w:t>
      </w:r>
      <w:bookmarkEnd w:id="23"/>
      <w:r w:rsidRPr="00A74F76">
        <w:rPr>
          <w:rFonts w:ascii="Gilroy" w:hAnsi="Gilroy"/>
          <w:sz w:val="22"/>
          <w:szCs w:val="22"/>
        </w:rPr>
        <w:t xml:space="preserve"> </w:t>
      </w:r>
    </w:p>
    <w:p w14:paraId="26B6072A" w14:textId="77777777" w:rsidR="00E30A73" w:rsidRPr="00A74F76" w:rsidRDefault="00E30A73" w:rsidP="00E30A73">
      <w:pPr>
        <w:pStyle w:val="part"/>
        <w:spacing w:before="0" w:beforeAutospacing="0" w:after="0" w:afterAutospacing="0"/>
        <w:jc w:val="both"/>
        <w:rPr>
          <w:rStyle w:val="Strong"/>
          <w:rFonts w:ascii="Gilroy" w:hAnsi="Gilroy" w:cs="Segoe UI"/>
          <w:b w:val="0"/>
          <w:bCs w:val="0"/>
          <w:i/>
          <w:iCs/>
          <w:color w:val="000000" w:themeColor="text1"/>
          <w:spacing w:val="5"/>
          <w:sz w:val="22"/>
          <w:szCs w:val="22"/>
        </w:rPr>
      </w:pPr>
    </w:p>
    <w:p w14:paraId="06397D37" w14:textId="621A1690"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Mission creep: tools for surveillance</w:t>
      </w:r>
      <w:r w:rsidR="00040DBB" w:rsidRPr="00A74F76">
        <w:rPr>
          <w:rFonts w:ascii="Gilroy" w:hAnsi="Gilroy" w:cs="Segoe UI"/>
          <w:color w:val="000000" w:themeColor="text1"/>
          <w:spacing w:val="5"/>
          <w:sz w:val="22"/>
          <w:szCs w:val="22"/>
        </w:rPr>
        <w:t>.</w:t>
      </w:r>
      <w:r w:rsidRPr="00A74F76">
        <w:rPr>
          <w:rFonts w:ascii="Gilroy" w:hAnsi="Gilroy" w:cs="Segoe UI"/>
          <w:color w:val="000000" w:themeColor="text1"/>
          <w:spacing w:val="5"/>
          <w:sz w:val="22"/>
          <w:szCs w:val="22"/>
        </w:rPr>
        <w:t xml:space="preserve"> Often the driving logic of these systems is around strengthening centralized surveillance and control rather than for improving local care processes. The processing of personal data in a legal and policy void raises concerns of mission creep, i.e. used for other purposes, and data being misused for surveillance purposes and made accessible to different entities for unintended purposes without prior consent of the individual, and they are also concerns about industry led initiatives raising concerns about accountability of such actors, and risks of corporate exploitation of personal data processed for the purpose RMNCH digital initiatives.</w:t>
      </w:r>
    </w:p>
    <w:p w14:paraId="1DE08089" w14:textId="77777777" w:rsidR="00C616FF" w:rsidRPr="00A74F76" w:rsidRDefault="00C616FF" w:rsidP="00E30A73">
      <w:pPr>
        <w:pStyle w:val="part"/>
        <w:spacing w:before="0" w:beforeAutospacing="0" w:after="0" w:afterAutospacing="0"/>
        <w:jc w:val="both"/>
        <w:rPr>
          <w:rFonts w:ascii="Gilroy" w:hAnsi="Gilroy" w:cs="Segoe UI"/>
          <w:color w:val="000000" w:themeColor="text1"/>
          <w:spacing w:val="5"/>
          <w:sz w:val="22"/>
          <w:szCs w:val="22"/>
        </w:rPr>
      </w:pPr>
    </w:p>
    <w:p w14:paraId="668565B2" w14:textId="40B6E9DB"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Poorly regulated complex ecosystem</w:t>
      </w:r>
      <w:r w:rsidR="00040DBB" w:rsidRPr="00A74F76">
        <w:rPr>
          <w:rStyle w:val="Strong"/>
          <w:rFonts w:ascii="Gilroy" w:hAnsi="Gilroy" w:cs="Segoe UI"/>
          <w:b w:val="0"/>
          <w:bCs w:val="0"/>
          <w:i/>
          <w:iCs/>
          <w:color w:val="000000" w:themeColor="text1"/>
          <w:spacing w:val="5"/>
          <w:sz w:val="22"/>
          <w:szCs w:val="22"/>
        </w:rPr>
        <w:t>.</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 xml:space="preserve">In many low- and middle-income countries (LMICs) and in particular fragile settings, there is a complex ecosystem </w:t>
      </w:r>
      <w:r w:rsidR="00A449C0" w:rsidRPr="00A74F76">
        <w:rPr>
          <w:rFonts w:ascii="Gilroy" w:hAnsi="Gilroy" w:cs="Segoe UI"/>
          <w:color w:val="000000" w:themeColor="text1"/>
          <w:spacing w:val="5"/>
          <w:sz w:val="22"/>
          <w:szCs w:val="22"/>
        </w:rPr>
        <w:t xml:space="preserve">where </w:t>
      </w:r>
      <w:r w:rsidRPr="00A74F76">
        <w:rPr>
          <w:rFonts w:ascii="Gilroy" w:hAnsi="Gilroy" w:cs="Segoe UI"/>
          <w:color w:val="000000" w:themeColor="text1"/>
          <w:spacing w:val="5"/>
          <w:sz w:val="22"/>
          <w:szCs w:val="22"/>
        </w:rPr>
        <w:t>public, private and donors all play a role. The roles and responsibilities of each of these actors are often not defined in law and policy, where such frameworks exist, and in settings where no such frameworks are in place these actors operate in a legal and regulatory void. This leads to no accountability and obligations being shifted from one party to another without any taking ownership. These concerns are heightened by the proliferation of private sector corporations in public health systems. The engagement of private sector vendors to build technical solutions further the inequality between the technical and the health needs and can amplify pre-existing shortcomings and injustice including gender inequality and discrimination.</w:t>
      </w:r>
    </w:p>
    <w:p w14:paraId="4588EF92"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6F5BDD77" w14:textId="4E617D16" w:rsidR="00A660F8" w:rsidRPr="00A74F76" w:rsidRDefault="00A660F8" w:rsidP="004E50B1">
      <w:pPr>
        <w:pStyle w:val="Heading3"/>
        <w:rPr>
          <w:rFonts w:ascii="Gilroy" w:hAnsi="Gilroy"/>
          <w:sz w:val="22"/>
          <w:szCs w:val="22"/>
        </w:rPr>
      </w:pPr>
      <w:bookmarkStart w:id="24" w:name="_Toc50373298"/>
      <w:r w:rsidRPr="00A74F76">
        <w:rPr>
          <w:rFonts w:ascii="Gilroy" w:hAnsi="Gilroy"/>
          <w:sz w:val="22"/>
          <w:szCs w:val="22"/>
        </w:rPr>
        <w:t>Challenges specific to fragile environments</w:t>
      </w:r>
      <w:bookmarkEnd w:id="24"/>
    </w:p>
    <w:p w14:paraId="19CBC4C2" w14:textId="77777777" w:rsidR="00C616FF" w:rsidRPr="00A74F76" w:rsidRDefault="00C616FF" w:rsidP="00E30A73">
      <w:pPr>
        <w:pStyle w:val="part"/>
        <w:spacing w:before="0" w:beforeAutospacing="0" w:after="0" w:afterAutospacing="0"/>
        <w:jc w:val="both"/>
        <w:rPr>
          <w:rFonts w:ascii="Gilroy" w:hAnsi="Gilroy" w:cs="Segoe UI"/>
          <w:color w:val="000000" w:themeColor="text1"/>
          <w:spacing w:val="5"/>
          <w:sz w:val="22"/>
          <w:szCs w:val="22"/>
        </w:rPr>
      </w:pPr>
    </w:p>
    <w:p w14:paraId="6EB0E37E" w14:textId="5AB38F76" w:rsidR="00A660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Context</w:t>
      </w:r>
      <w:r w:rsidR="00040DBB" w:rsidRPr="00A74F76">
        <w:rPr>
          <w:rFonts w:ascii="Gilroy" w:hAnsi="Gilroy" w:cs="Segoe UI"/>
          <w:color w:val="000000" w:themeColor="text1"/>
          <w:spacing w:val="5"/>
          <w:sz w:val="22"/>
          <w:szCs w:val="22"/>
        </w:rPr>
        <w:t>s</w:t>
      </w:r>
      <w:r w:rsidRPr="00A74F76">
        <w:rPr>
          <w:rFonts w:ascii="Gilroy" w:hAnsi="Gilroy" w:cs="Segoe UI"/>
          <w:color w:val="000000" w:themeColor="text1"/>
          <w:spacing w:val="5"/>
          <w:sz w:val="22"/>
          <w:szCs w:val="22"/>
        </w:rPr>
        <w:t xml:space="preserve"> of fragility</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are multi-faceted and var</w:t>
      </w:r>
      <w:r w:rsidR="00040DBB" w:rsidRPr="00A74F76">
        <w:rPr>
          <w:rFonts w:ascii="Gilroy" w:hAnsi="Gilroy" w:cs="Segoe UI"/>
          <w:color w:val="000000" w:themeColor="text1"/>
          <w:spacing w:val="5"/>
          <w:sz w:val="22"/>
          <w:szCs w:val="22"/>
        </w:rPr>
        <w:t>y</w:t>
      </w:r>
      <w:r w:rsidRPr="00A74F76">
        <w:rPr>
          <w:rFonts w:ascii="Gilroy" w:hAnsi="Gilroy" w:cs="Segoe UI"/>
          <w:color w:val="000000" w:themeColor="text1"/>
          <w:spacing w:val="5"/>
          <w:sz w:val="22"/>
          <w:szCs w:val="22"/>
        </w:rPr>
        <w:t xml:space="preserve"> with historical legacy, population sizes, economic and political structures, adoption of technology, but they often characterised by weak governance and policy environments making engagement a long-term challenge. Furthermore, fragility is relevant to consider in RMNCH services, as</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a high percentage of population living in these settings are women and children, making them vulnerable to challenges related to unwanted pregnancies, sexual violence, and unmet contraception needs.</w:t>
      </w:r>
      <w:r w:rsidR="00040DBB" w:rsidRPr="00A74F76">
        <w:rPr>
          <w:rStyle w:val="FootnoteReference"/>
          <w:rFonts w:ascii="Gilroy" w:hAnsi="Gilroy" w:cs="Segoe UI"/>
          <w:color w:val="000000" w:themeColor="text1"/>
          <w:spacing w:val="5"/>
          <w:sz w:val="22"/>
          <w:szCs w:val="22"/>
        </w:rPr>
        <w:footnoteReference w:id="62"/>
      </w:r>
      <w:r w:rsidRPr="00A74F76">
        <w:rPr>
          <w:rFonts w:ascii="Gilroy" w:hAnsi="Gilroy" w:cs="Segoe UI"/>
          <w:color w:val="000000" w:themeColor="text1"/>
          <w:spacing w:val="5"/>
          <w:sz w:val="22"/>
          <w:szCs w:val="22"/>
        </w:rPr>
        <w:t xml:space="preserve"> Choices of digital technologies and models of implementation are shaped by context, such as the infrastructure conditions </w:t>
      </w:r>
      <w:r w:rsidR="00040DBB" w:rsidRPr="00A74F76">
        <w:rPr>
          <w:rFonts w:ascii="Gilroy" w:hAnsi="Gilroy" w:cs="Segoe UI"/>
          <w:color w:val="000000" w:themeColor="text1"/>
          <w:spacing w:val="5"/>
          <w:sz w:val="22"/>
          <w:szCs w:val="22"/>
        </w:rPr>
        <w:t>favouring the</w:t>
      </w:r>
      <w:r w:rsidRPr="00A74F76">
        <w:rPr>
          <w:rFonts w:ascii="Gilroy" w:hAnsi="Gilroy" w:cs="Segoe UI"/>
          <w:color w:val="000000" w:themeColor="text1"/>
          <w:spacing w:val="5"/>
          <w:sz w:val="22"/>
          <w:szCs w:val="22"/>
        </w:rPr>
        <w:t xml:space="preserve"> use of mobile </w:t>
      </w:r>
      <w:r w:rsidR="00040DBB" w:rsidRPr="00A74F76">
        <w:rPr>
          <w:rFonts w:ascii="Gilroy" w:hAnsi="Gilroy" w:cs="Segoe UI"/>
          <w:color w:val="000000" w:themeColor="text1"/>
          <w:spacing w:val="5"/>
          <w:sz w:val="22"/>
          <w:szCs w:val="22"/>
        </w:rPr>
        <w:t>instead of</w:t>
      </w:r>
      <w:r w:rsidRPr="00A74F76">
        <w:rPr>
          <w:rFonts w:ascii="Gilroy" w:hAnsi="Gilroy" w:cs="Segoe UI"/>
          <w:color w:val="000000" w:themeColor="text1"/>
          <w:spacing w:val="5"/>
          <w:sz w:val="22"/>
          <w:szCs w:val="22"/>
        </w:rPr>
        <w:t xml:space="preserve"> fixed networks. Initial research findings of research being conducted by the Institute of Community and Public Health, </w:t>
      </w:r>
      <w:proofErr w:type="spellStart"/>
      <w:r w:rsidRPr="00A74F76">
        <w:rPr>
          <w:rFonts w:ascii="Gilroy" w:hAnsi="Gilroy" w:cs="Segoe UI"/>
          <w:color w:val="000000" w:themeColor="text1"/>
          <w:spacing w:val="5"/>
          <w:sz w:val="22"/>
          <w:szCs w:val="22"/>
        </w:rPr>
        <w:t>Birzeit</w:t>
      </w:r>
      <w:proofErr w:type="spellEnd"/>
      <w:r w:rsidRPr="00A74F76">
        <w:rPr>
          <w:rFonts w:ascii="Gilroy" w:hAnsi="Gilroy" w:cs="Segoe UI"/>
          <w:color w:val="000000" w:themeColor="text1"/>
          <w:spacing w:val="5"/>
          <w:sz w:val="22"/>
          <w:szCs w:val="22"/>
        </w:rPr>
        <w:t xml:space="preserve"> University (BZU) in the West Bank, the Jordan University for Science and Technology (JUST) in Amman, the Institute for Informatics, University of Oslo (</w:t>
      </w:r>
      <w:proofErr w:type="spellStart"/>
      <w:r w:rsidRPr="00A74F76">
        <w:rPr>
          <w:rFonts w:ascii="Gilroy" w:hAnsi="Gilroy" w:cs="Segoe UI"/>
          <w:color w:val="000000" w:themeColor="text1"/>
          <w:spacing w:val="5"/>
          <w:sz w:val="22"/>
          <w:szCs w:val="22"/>
        </w:rPr>
        <w:t>UiO</w:t>
      </w:r>
      <w:proofErr w:type="spellEnd"/>
      <w:r w:rsidRPr="00A74F76">
        <w:rPr>
          <w:rFonts w:ascii="Gilroy" w:hAnsi="Gilroy" w:cs="Segoe UI"/>
          <w:color w:val="000000" w:themeColor="text1"/>
          <w:spacing w:val="5"/>
          <w:sz w:val="22"/>
          <w:szCs w:val="22"/>
        </w:rPr>
        <w:t xml:space="preserve">) and </w:t>
      </w:r>
      <w:r w:rsidR="005F4036"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 xml:space="preserve"> on the governance of digital personal data to strengthen reproductive, maternal, </w:t>
      </w:r>
      <w:proofErr w:type="spellStart"/>
      <w:r w:rsidRPr="00A74F76">
        <w:rPr>
          <w:rFonts w:ascii="Gilroy" w:hAnsi="Gilroy" w:cs="Segoe UI"/>
          <w:color w:val="000000" w:themeColor="text1"/>
          <w:spacing w:val="5"/>
          <w:sz w:val="22"/>
          <w:szCs w:val="22"/>
        </w:rPr>
        <w:t>newborn</w:t>
      </w:r>
      <w:proofErr w:type="spellEnd"/>
      <w:r w:rsidRPr="00A74F76">
        <w:rPr>
          <w:rFonts w:ascii="Gilroy" w:hAnsi="Gilroy" w:cs="Segoe UI"/>
          <w:color w:val="000000" w:themeColor="text1"/>
          <w:spacing w:val="5"/>
          <w:sz w:val="22"/>
          <w:szCs w:val="22"/>
        </w:rPr>
        <w:t xml:space="preserve"> and child health services in Palestine indicates that there is an array of digital RMNCH initiatives being deployed in Palestine and Jordan, and it is unclear so far what governance framework is being applied to ensure respect with human rights including right to health, gender equality and privacy.</w:t>
      </w:r>
    </w:p>
    <w:p w14:paraId="1FA6CAB0"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BDDFF57" w14:textId="5CBA9688"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Below are references to a few case studies of digital RMNCH initiatives including in fragile settings:</w:t>
      </w:r>
    </w:p>
    <w:p w14:paraId="7D2DBC04"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E99664C" w14:textId="5E92D2C6"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proofErr w:type="spellStart"/>
      <w:r w:rsidRPr="00A74F76">
        <w:rPr>
          <w:rStyle w:val="Strong"/>
          <w:rFonts w:ascii="Gilroy" w:hAnsi="Gilroy" w:cs="Segoe UI"/>
          <w:b w:val="0"/>
          <w:bCs w:val="0"/>
          <w:i/>
          <w:iCs/>
          <w:color w:val="000000" w:themeColor="text1"/>
          <w:spacing w:val="5"/>
          <w:sz w:val="22"/>
          <w:szCs w:val="22"/>
        </w:rPr>
        <w:t>AviCenna</w:t>
      </w:r>
      <w:proofErr w:type="spellEnd"/>
      <w:r w:rsidRPr="00A74F76">
        <w:rPr>
          <w:rStyle w:val="Strong"/>
          <w:rFonts w:ascii="Gilroy" w:hAnsi="Gilroy" w:cs="Segoe UI"/>
          <w:b w:val="0"/>
          <w:bCs w:val="0"/>
          <w:i/>
          <w:iCs/>
          <w:color w:val="000000" w:themeColor="text1"/>
          <w:spacing w:val="5"/>
          <w:sz w:val="22"/>
          <w:szCs w:val="22"/>
        </w:rPr>
        <w:t xml:space="preserve"> Health Information Medical, e-registries and other digital RMNCH initiatives, Palestine</w:t>
      </w:r>
      <w:r w:rsidR="00A660F8" w:rsidRPr="00A74F76">
        <w:rPr>
          <w:rStyle w:val="Strong"/>
          <w:rFonts w:ascii="Gilroy" w:hAnsi="Gilroy" w:cs="Segoe UI"/>
          <w:b w:val="0"/>
          <w:bCs w:val="0"/>
          <w:i/>
          <w:iCs/>
          <w:color w:val="000000" w:themeColor="text1"/>
          <w:spacing w:val="5"/>
          <w:sz w:val="22"/>
          <w:szCs w:val="22"/>
        </w:rPr>
        <w:t>.</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A decade ago the Palestinian Ministry of Health in the West Bank started to implement an e-health system</w:t>
      </w:r>
      <w:r w:rsidRPr="00A74F76">
        <w:rPr>
          <w:rStyle w:val="apple-converted-space"/>
          <w:rFonts w:ascii="Cambria" w:hAnsi="Cambria" w:cs="Cambria"/>
          <w:color w:val="000000" w:themeColor="text1"/>
          <w:spacing w:val="5"/>
          <w:sz w:val="22"/>
          <w:szCs w:val="22"/>
        </w:rPr>
        <w:t> </w:t>
      </w:r>
      <w:proofErr w:type="spellStart"/>
      <w:r w:rsidRPr="00A74F76">
        <w:rPr>
          <w:rFonts w:ascii="Gilroy" w:hAnsi="Gilroy" w:cs="Segoe UI"/>
          <w:color w:val="000000" w:themeColor="text1"/>
          <w:spacing w:val="5"/>
          <w:sz w:val="22"/>
          <w:szCs w:val="22"/>
        </w:rPr>
        <w:t>AviCenna</w:t>
      </w:r>
      <w:proofErr w:type="spellEnd"/>
      <w:r w:rsidRPr="00A74F76">
        <w:rPr>
          <w:rFonts w:ascii="Gilroy" w:hAnsi="Gilroy" w:cs="Segoe UI"/>
          <w:color w:val="000000" w:themeColor="text1"/>
          <w:spacing w:val="5"/>
          <w:sz w:val="22"/>
          <w:szCs w:val="22"/>
        </w:rPr>
        <w:t xml:space="preserve"> Health Information Medical System, which </w:t>
      </w:r>
      <w:r w:rsidRPr="00A74F76">
        <w:rPr>
          <w:rFonts w:ascii="Gilroy" w:hAnsi="Gilroy" w:cs="Segoe UI"/>
          <w:color w:val="000000" w:themeColor="text1"/>
          <w:spacing w:val="5"/>
          <w:sz w:val="22"/>
          <w:szCs w:val="22"/>
        </w:rPr>
        <w:lastRenderedPageBreak/>
        <w:t>includes provision of some RMNCH services.</w:t>
      </w:r>
      <w:r w:rsidR="006E4AC0" w:rsidRPr="00A74F76">
        <w:rPr>
          <w:rStyle w:val="FootnoteReference"/>
          <w:rFonts w:ascii="Gilroy" w:hAnsi="Gilroy" w:cs="Segoe UI"/>
          <w:color w:val="000000" w:themeColor="text1"/>
          <w:spacing w:val="5"/>
          <w:sz w:val="22"/>
          <w:szCs w:val="22"/>
        </w:rPr>
        <w:footnoteReference w:id="63"/>
      </w:r>
      <w:r w:rsidRPr="00A74F76">
        <w:rPr>
          <w:rFonts w:ascii="Gilroy" w:hAnsi="Gilroy" w:cs="Segoe UI"/>
          <w:color w:val="000000" w:themeColor="text1"/>
          <w:spacing w:val="5"/>
          <w:sz w:val="22"/>
          <w:szCs w:val="22"/>
        </w:rPr>
        <w:t xml:space="preserve"> There is also a collaborative project between the Palestinian Health Authorities and the Norwegian Institute of Public Health (NIPH) on a 5-year NORAD funded</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e-registries project</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aimed at strengthening RMNCH preparedness capacities.</w:t>
      </w:r>
      <w:r w:rsidR="006E4AC0" w:rsidRPr="00A74F76">
        <w:rPr>
          <w:rStyle w:val="FootnoteReference"/>
          <w:rFonts w:ascii="Gilroy" w:hAnsi="Gilroy" w:cs="Segoe UI"/>
          <w:color w:val="000000" w:themeColor="text1"/>
          <w:spacing w:val="5"/>
          <w:sz w:val="22"/>
          <w:szCs w:val="22"/>
        </w:rPr>
        <w:footnoteReference w:id="64"/>
      </w:r>
      <w:r w:rsidRPr="00A74F76">
        <w:rPr>
          <w:rFonts w:ascii="Gilroy" w:hAnsi="Gilroy" w:cs="Segoe UI"/>
          <w:color w:val="000000" w:themeColor="text1"/>
          <w:spacing w:val="5"/>
          <w:sz w:val="22"/>
          <w:szCs w:val="22"/>
        </w:rPr>
        <w:t xml:space="preserve"> This is in addition to an array of digital RMNCH initiatives being deployed by public, private and international institutions such as development and humanitarian organisations.</w:t>
      </w:r>
    </w:p>
    <w:p w14:paraId="41ACD05E"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5DF66C91" w14:textId="1DC28935"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Perinatal and Neonatal Mortality Surveillance and Auditing System</w:t>
      </w:r>
      <w:r w:rsidR="00A660F8" w:rsidRPr="00A74F76">
        <w:rPr>
          <w:rStyle w:val="Strong"/>
          <w:rFonts w:ascii="Gilroy" w:hAnsi="Gilroy" w:cs="Segoe UI"/>
          <w:b w:val="0"/>
          <w:bCs w:val="0"/>
          <w:i/>
          <w:iCs/>
          <w:color w:val="000000" w:themeColor="text1"/>
          <w:spacing w:val="5"/>
          <w:sz w:val="22"/>
          <w:szCs w:val="22"/>
        </w:rPr>
        <w:t xml:space="preserve"> </w:t>
      </w:r>
      <w:r w:rsidRPr="00A74F76">
        <w:rPr>
          <w:rStyle w:val="Strong"/>
          <w:rFonts w:ascii="Gilroy" w:hAnsi="Gilroy" w:cs="Segoe UI"/>
          <w:b w:val="0"/>
          <w:bCs w:val="0"/>
          <w:i/>
          <w:iCs/>
          <w:color w:val="000000" w:themeColor="text1"/>
          <w:spacing w:val="5"/>
          <w:sz w:val="22"/>
          <w:szCs w:val="22"/>
        </w:rPr>
        <w:t xml:space="preserve">(J-SANDS), Hakeem Program and </w:t>
      </w:r>
      <w:proofErr w:type="spellStart"/>
      <w:r w:rsidRPr="00A74F76">
        <w:rPr>
          <w:rStyle w:val="Strong"/>
          <w:rFonts w:ascii="Gilroy" w:hAnsi="Gilroy" w:cs="Segoe UI"/>
          <w:b w:val="0"/>
          <w:bCs w:val="0"/>
          <w:i/>
          <w:iCs/>
          <w:color w:val="000000" w:themeColor="text1"/>
          <w:spacing w:val="5"/>
          <w:sz w:val="22"/>
          <w:szCs w:val="22"/>
        </w:rPr>
        <w:t>and</w:t>
      </w:r>
      <w:proofErr w:type="spellEnd"/>
      <w:r w:rsidRPr="00A74F76">
        <w:rPr>
          <w:rStyle w:val="Strong"/>
          <w:rFonts w:ascii="Gilroy" w:hAnsi="Gilroy" w:cs="Segoe UI"/>
          <w:b w:val="0"/>
          <w:bCs w:val="0"/>
          <w:i/>
          <w:iCs/>
          <w:color w:val="000000" w:themeColor="text1"/>
          <w:spacing w:val="5"/>
          <w:sz w:val="22"/>
          <w:szCs w:val="22"/>
        </w:rPr>
        <w:t xml:space="preserve"> other digital RMNCH initiatives, Jorda</w:t>
      </w:r>
      <w:r w:rsidRPr="00A74F76">
        <w:rPr>
          <w:rFonts w:ascii="Gilroy" w:hAnsi="Gilroy" w:cs="Segoe UI"/>
          <w:i/>
          <w:iCs/>
          <w:color w:val="000000" w:themeColor="text1"/>
          <w:spacing w:val="5"/>
          <w:sz w:val="22"/>
          <w:szCs w:val="22"/>
        </w:rPr>
        <w:t>n</w:t>
      </w:r>
      <w:r w:rsidR="00A660F8" w:rsidRPr="00A74F76">
        <w:rPr>
          <w:rFonts w:ascii="Gilroy" w:hAnsi="Gilroy" w:cs="Segoe UI"/>
          <w:color w:val="000000" w:themeColor="text1"/>
          <w:spacing w:val="5"/>
          <w:sz w:val="22"/>
          <w:szCs w:val="22"/>
        </w:rPr>
        <w:t>.</w:t>
      </w:r>
      <w:r w:rsidRPr="00A74F76">
        <w:rPr>
          <w:rFonts w:ascii="Gilroy" w:hAnsi="Gilroy" w:cs="Segoe UI"/>
          <w:color w:val="000000" w:themeColor="text1"/>
          <w:spacing w:val="5"/>
          <w:sz w:val="22"/>
          <w:szCs w:val="22"/>
        </w:rPr>
        <w:t xml:space="preserve"> The</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J-SANDS system</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seeks to strengthen perinatal and neonatal (PNN) registration and reporting system and is currently deployed in 4 main hospitals in Jordan.</w:t>
      </w:r>
      <w:r w:rsidR="006E4AC0" w:rsidRPr="00A74F76">
        <w:rPr>
          <w:rStyle w:val="FootnoteReference"/>
          <w:rFonts w:ascii="Gilroy" w:hAnsi="Gilroy" w:cs="Segoe UI"/>
          <w:color w:val="000000" w:themeColor="text1"/>
          <w:spacing w:val="5"/>
          <w:sz w:val="22"/>
          <w:szCs w:val="22"/>
        </w:rPr>
        <w:footnoteReference w:id="65"/>
      </w:r>
      <w:r w:rsidRPr="00A74F76">
        <w:rPr>
          <w:rFonts w:ascii="Gilroy" w:hAnsi="Gilroy" w:cs="Segoe UI"/>
          <w:color w:val="000000" w:themeColor="text1"/>
          <w:spacing w:val="5"/>
          <w:sz w:val="22"/>
          <w:szCs w:val="22"/>
        </w:rPr>
        <w:t xml:space="preserve"> In October 2009, the Electronic Health Solutions (EHS) launched its flagship program,</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Hakeem, the first national Electronic Health Record (HER).</w:t>
      </w:r>
      <w:r w:rsidR="006E4AC0" w:rsidRPr="00A74F76">
        <w:rPr>
          <w:rStyle w:val="FootnoteReference"/>
          <w:rFonts w:ascii="Gilroy" w:hAnsi="Gilroy" w:cs="Segoe UI"/>
          <w:color w:val="000000" w:themeColor="text1"/>
          <w:spacing w:val="5"/>
          <w:sz w:val="22"/>
          <w:szCs w:val="22"/>
        </w:rPr>
        <w:footnoteReference w:id="66"/>
      </w:r>
      <w:r w:rsidRPr="00A74F76">
        <w:rPr>
          <w:rFonts w:ascii="Gilroy" w:hAnsi="Gilroy" w:cs="Segoe UI"/>
          <w:color w:val="000000" w:themeColor="text1"/>
          <w:spacing w:val="5"/>
          <w:sz w:val="22"/>
          <w:szCs w:val="22"/>
        </w:rPr>
        <w:t xml:space="preserve"> Based on a patient’s national ID number, the system aims to provide clinicians with access to patient’s historical information, including of comprehensive medical and surgical history, physical examinations, procedural and surgical reports, current medications, allergies as well as in-patient and out-patient clinic visit notes.</w:t>
      </w:r>
    </w:p>
    <w:p w14:paraId="4B166EAD"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51AFD35C" w14:textId="50EB408C" w:rsidR="00526EF8" w:rsidRPr="00A74F76" w:rsidRDefault="00526EF8"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Mother and Child Tracking System, India</w:t>
      </w:r>
      <w:r w:rsidR="00A660F8" w:rsidRPr="00A74F76">
        <w:rPr>
          <w:rFonts w:ascii="Gilroy" w:hAnsi="Gilroy" w:cs="Segoe UI"/>
          <w:i/>
          <w:iCs/>
          <w:color w:val="000000" w:themeColor="text1"/>
          <w:spacing w:val="5"/>
          <w:sz w:val="22"/>
          <w:szCs w:val="22"/>
        </w:rPr>
        <w:t xml:space="preserve">. </w:t>
      </w:r>
      <w:r w:rsidRPr="00A74F76">
        <w:rPr>
          <w:rFonts w:ascii="Gilroy" w:hAnsi="Gilroy" w:cs="Segoe UI"/>
          <w:color w:val="000000" w:themeColor="text1"/>
          <w:spacing w:val="5"/>
          <w:sz w:val="22"/>
          <w:szCs w:val="22"/>
        </w:rPr>
        <w:t xml:space="preserve">India’s health programme instituted an information system in 2009, the Mother and Child Tracking System (MCTS), which is aimed at collecting data on maternal and child health. Between 2011 and 2018, 120 million pregnant women and 111 million children have been registered on the MCTS. The central database collects data on each visit of the woman from conception to 42 days postpartum, including details of direct benefit transfer of maternity benefit schemes, by tracking a move and children through a 16 digital identification number. The MCTS does not operate in a </w:t>
      </w:r>
      <w:proofErr w:type="gramStart"/>
      <w:r w:rsidRPr="00A74F76">
        <w:rPr>
          <w:rFonts w:ascii="Gilroy" w:hAnsi="Gilroy" w:cs="Segoe UI"/>
          <w:color w:val="000000" w:themeColor="text1"/>
          <w:spacing w:val="5"/>
          <w:sz w:val="22"/>
          <w:szCs w:val="22"/>
        </w:rPr>
        <w:t>silo</w:t>
      </w:r>
      <w:r w:rsidR="00A660F8" w:rsidRPr="00A74F76">
        <w:rPr>
          <w:rFonts w:ascii="Gilroy" w:hAnsi="Gilroy" w:cs="Segoe UI"/>
          <w:color w:val="000000" w:themeColor="text1"/>
          <w:spacing w:val="5"/>
          <w:sz w:val="22"/>
          <w:szCs w:val="22"/>
        </w:rPr>
        <w:t>, and</w:t>
      </w:r>
      <w:proofErr w:type="gramEnd"/>
      <w:r w:rsidR="00A660F8" w:rsidRPr="00A74F76">
        <w:rPr>
          <w:rFonts w:ascii="Gilroy" w:hAnsi="Gilroy" w:cs="Segoe UI"/>
          <w:color w:val="000000" w:themeColor="text1"/>
          <w:spacing w:val="5"/>
          <w:sz w:val="22"/>
          <w:szCs w:val="22"/>
        </w:rPr>
        <w:t xml:space="preserve"> has an </w:t>
      </w:r>
      <w:r w:rsidRPr="00A74F76">
        <w:rPr>
          <w:rFonts w:ascii="Gilroy" w:hAnsi="Gilroy" w:cs="Segoe UI"/>
          <w:color w:val="000000" w:themeColor="text1"/>
          <w:spacing w:val="5"/>
          <w:sz w:val="22"/>
          <w:szCs w:val="22"/>
        </w:rPr>
        <w:t>infrastructure</w:t>
      </w:r>
      <w:r w:rsidR="00A660F8" w:rsidRPr="00A74F76">
        <w:rPr>
          <w:rFonts w:ascii="Gilroy" w:hAnsi="Gilroy" w:cs="Segoe UI"/>
          <w:color w:val="000000" w:themeColor="text1"/>
          <w:spacing w:val="5"/>
          <w:sz w:val="22"/>
          <w:szCs w:val="22"/>
        </w:rPr>
        <w:t xml:space="preserve"> in place</w:t>
      </w:r>
      <w:r w:rsidRPr="00A74F76">
        <w:rPr>
          <w:rFonts w:ascii="Gilroy" w:hAnsi="Gilroy" w:cs="Segoe UI"/>
          <w:color w:val="000000" w:themeColor="text1"/>
          <w:spacing w:val="5"/>
          <w:sz w:val="22"/>
          <w:szCs w:val="22"/>
        </w:rPr>
        <w:t xml:space="preserve"> facilitating access to cash assistance for deliveries and post-natal care for the mother.</w:t>
      </w:r>
      <w:r w:rsidR="00A660F8" w:rsidRPr="00A74F76">
        <w:rPr>
          <w:rFonts w:ascii="Gilroy" w:hAnsi="Gilroy" w:cs="Segoe UI"/>
          <w:color w:val="000000" w:themeColor="text1"/>
          <w:spacing w:val="5"/>
          <w:sz w:val="22"/>
          <w:szCs w:val="22"/>
        </w:rPr>
        <w:t xml:space="preserve"> Similarly, there are plans to link MCTS to Aadhar, the Indian ID database – one of the biggest biometric databases on the planet – which remains an ongoing concern due to its intrusiveness.</w:t>
      </w:r>
      <w:r w:rsidR="00A660F8" w:rsidRPr="00A74F76">
        <w:rPr>
          <w:rStyle w:val="FootnoteReference"/>
          <w:rFonts w:ascii="Gilroy" w:hAnsi="Gilroy" w:cs="Segoe UI"/>
          <w:color w:val="000000" w:themeColor="text1"/>
          <w:spacing w:val="5"/>
          <w:sz w:val="22"/>
          <w:szCs w:val="22"/>
        </w:rPr>
        <w:footnoteReference w:id="67"/>
      </w:r>
      <w:r w:rsidRPr="00A74F76">
        <w:rPr>
          <w:rFonts w:ascii="Gilroy" w:hAnsi="Gilroy" w:cs="Segoe UI"/>
          <w:color w:val="000000" w:themeColor="text1"/>
          <w:spacing w:val="5"/>
          <w:sz w:val="22"/>
          <w:szCs w:val="22"/>
        </w:rPr>
        <w:t xml:space="preserve"> </w:t>
      </w:r>
      <w:r w:rsidR="00A660F8" w:rsidRPr="00A74F76">
        <w:rPr>
          <w:rFonts w:ascii="Gilroy" w:hAnsi="Gilroy" w:cs="Segoe UI"/>
          <w:color w:val="000000" w:themeColor="text1"/>
          <w:spacing w:val="5"/>
          <w:sz w:val="22"/>
          <w:szCs w:val="22"/>
        </w:rPr>
        <w:t>Not unlike Aadhaar,</w:t>
      </w:r>
      <w:r w:rsidRPr="00A74F76">
        <w:rPr>
          <w:rFonts w:ascii="Gilroy" w:hAnsi="Gilroy" w:cs="Segoe UI"/>
          <w:color w:val="000000" w:themeColor="text1"/>
          <w:spacing w:val="5"/>
          <w:sz w:val="22"/>
          <w:szCs w:val="22"/>
        </w:rPr>
        <w:t xml:space="preserve"> the MCTS was deployed in the absence of robust data protection measures. Research by</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the Centre for Internet and Society</w:t>
      </w:r>
      <w:r w:rsidRPr="00A74F76">
        <w:rPr>
          <w:rStyle w:val="apple-converted-space"/>
          <w:rFonts w:ascii="Cambria" w:hAnsi="Cambria" w:cs="Cambria"/>
          <w:color w:val="000000" w:themeColor="text1"/>
          <w:spacing w:val="5"/>
          <w:sz w:val="22"/>
          <w:szCs w:val="22"/>
        </w:rPr>
        <w:t> </w:t>
      </w:r>
      <w:r w:rsidRPr="00A74F76">
        <w:rPr>
          <w:rFonts w:ascii="Gilroy" w:hAnsi="Gilroy" w:cs="Segoe UI"/>
          <w:color w:val="000000" w:themeColor="text1"/>
          <w:spacing w:val="5"/>
          <w:sz w:val="22"/>
          <w:szCs w:val="22"/>
        </w:rPr>
        <w:t>explored the MCTS as part of an assessment of the use of big in reproductive health in India</w:t>
      </w:r>
      <w:r w:rsidR="00A660F8" w:rsidRPr="00A74F76">
        <w:rPr>
          <w:rFonts w:ascii="Gilroy" w:hAnsi="Gilroy" w:cs="Segoe UI"/>
          <w:color w:val="000000" w:themeColor="text1"/>
          <w:spacing w:val="5"/>
          <w:sz w:val="22"/>
          <w:szCs w:val="22"/>
        </w:rPr>
        <w:t xml:space="preserve">, finding that </w:t>
      </w:r>
      <w:r w:rsidR="005272F6" w:rsidRPr="00A74F76">
        <w:rPr>
          <w:rFonts w:ascii="Gilroy" w:hAnsi="Gilroy" w:cs="Segoe UI"/>
          <w:color w:val="000000" w:themeColor="text1"/>
          <w:spacing w:val="5"/>
          <w:sz w:val="22"/>
          <w:szCs w:val="22"/>
        </w:rPr>
        <w:t>the MCTS failed</w:t>
      </w:r>
      <w:r w:rsidR="005272F6" w:rsidRPr="00A74F76">
        <w:rPr>
          <w:rStyle w:val="apple-converted-space"/>
          <w:rFonts w:ascii="Gilroy" w:hAnsi="Gilroy" w:cs="Segoe UI"/>
          <w:color w:val="000000" w:themeColor="text1"/>
          <w:spacing w:val="5"/>
          <w:sz w:val="22"/>
          <w:szCs w:val="22"/>
        </w:rPr>
        <w:t xml:space="preserve"> </w:t>
      </w:r>
      <w:r w:rsidRPr="00A74F76">
        <w:rPr>
          <w:rFonts w:ascii="Gilroy" w:hAnsi="Gilroy" w:cs="Segoe UI"/>
          <w:color w:val="000000" w:themeColor="text1"/>
          <w:spacing w:val="5"/>
          <w:sz w:val="22"/>
          <w:szCs w:val="22"/>
        </w:rPr>
        <w:t>to take into</w:t>
      </w:r>
      <w:r w:rsidR="005272F6" w:rsidRPr="00A74F76">
        <w:rPr>
          <w:rFonts w:ascii="Gilroy" w:hAnsi="Gilroy" w:cs="Segoe UI"/>
          <w:color w:val="000000" w:themeColor="text1"/>
          <w:spacing w:val="5"/>
          <w:sz w:val="22"/>
          <w:szCs w:val="22"/>
        </w:rPr>
        <w:t xml:space="preserve"> account</w:t>
      </w:r>
      <w:r w:rsidRPr="00A74F76">
        <w:rPr>
          <w:rFonts w:ascii="Gilroy" w:hAnsi="Gilroy" w:cs="Segoe UI"/>
          <w:color w:val="000000" w:themeColor="text1"/>
          <w:spacing w:val="5"/>
          <w:sz w:val="22"/>
          <w:szCs w:val="22"/>
        </w:rPr>
        <w:t xml:space="preserve"> local realities including personal ownership of a mobile phone by users, </w:t>
      </w:r>
      <w:r w:rsidR="005272F6" w:rsidRPr="00A74F76">
        <w:rPr>
          <w:rFonts w:ascii="Gilroy" w:hAnsi="Gilroy" w:cs="Segoe UI"/>
          <w:color w:val="000000" w:themeColor="text1"/>
          <w:spacing w:val="5"/>
          <w:sz w:val="22"/>
          <w:szCs w:val="22"/>
        </w:rPr>
        <w:t xml:space="preserve">and flagging </w:t>
      </w:r>
      <w:r w:rsidRPr="00A74F76">
        <w:rPr>
          <w:rFonts w:ascii="Gilroy" w:hAnsi="Gilroy" w:cs="Segoe UI"/>
          <w:color w:val="000000" w:themeColor="text1"/>
          <w:spacing w:val="5"/>
          <w:sz w:val="22"/>
          <w:szCs w:val="22"/>
        </w:rPr>
        <w:t>lack of training of staff using the system, and flaws in the system design.</w:t>
      </w:r>
      <w:r w:rsidR="005272F6" w:rsidRPr="00A74F76">
        <w:rPr>
          <w:rStyle w:val="FootnoteReference"/>
          <w:rFonts w:ascii="Gilroy" w:hAnsi="Gilroy" w:cs="Segoe UI"/>
          <w:color w:val="000000" w:themeColor="text1"/>
          <w:spacing w:val="5"/>
          <w:sz w:val="22"/>
          <w:szCs w:val="22"/>
        </w:rPr>
        <w:footnoteReference w:id="68"/>
      </w:r>
    </w:p>
    <w:p w14:paraId="0F5200EF" w14:textId="2573B5F8" w:rsidR="00B575F8" w:rsidRPr="00A74F76" w:rsidRDefault="00B575F8" w:rsidP="00E30A73">
      <w:pPr>
        <w:pStyle w:val="part"/>
        <w:spacing w:before="0" w:beforeAutospacing="0" w:after="0" w:afterAutospacing="0"/>
        <w:jc w:val="both"/>
        <w:rPr>
          <w:rFonts w:ascii="Gilroy" w:hAnsi="Gilroy" w:cs="Segoe UI"/>
          <w:color w:val="000000" w:themeColor="text1"/>
          <w:spacing w:val="5"/>
          <w:sz w:val="22"/>
          <w:szCs w:val="22"/>
        </w:rPr>
      </w:pPr>
    </w:p>
    <w:p w14:paraId="6318B678" w14:textId="5757F13F" w:rsidR="009A62B6" w:rsidRPr="000A333E" w:rsidRDefault="009A62B6" w:rsidP="00E30A73">
      <w:pPr>
        <w:pStyle w:val="part"/>
        <w:spacing w:before="0" w:beforeAutospacing="0" w:after="0" w:afterAutospacing="0"/>
        <w:jc w:val="both"/>
        <w:rPr>
          <w:rFonts w:ascii="Gilroy" w:hAnsi="Gilroy" w:cs="Segoe UI"/>
          <w:b/>
          <w:bCs/>
          <w:color w:val="000000" w:themeColor="text1"/>
          <w:spacing w:val="5"/>
          <w:sz w:val="22"/>
          <w:szCs w:val="22"/>
        </w:rPr>
      </w:pPr>
      <w:r w:rsidRPr="000A333E">
        <w:rPr>
          <w:rFonts w:ascii="Gilroy" w:hAnsi="Gilroy" w:cs="Segoe UI"/>
          <w:b/>
          <w:bCs/>
          <w:color w:val="000000" w:themeColor="text1"/>
          <w:spacing w:val="5"/>
          <w:sz w:val="22"/>
          <w:szCs w:val="22"/>
        </w:rPr>
        <w:t xml:space="preserve">Recommendations </w:t>
      </w:r>
    </w:p>
    <w:p w14:paraId="63CED241" w14:textId="60499201" w:rsidR="009A62B6" w:rsidRPr="00A74F76" w:rsidRDefault="001E29C2" w:rsidP="009A62B6">
      <w:pPr>
        <w:pStyle w:val="part"/>
        <w:numPr>
          <w:ilvl w:val="0"/>
          <w:numId w:val="19"/>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The Working Group should highlight that </w:t>
      </w:r>
      <w:r w:rsidR="009A62B6" w:rsidRPr="00A74F76">
        <w:rPr>
          <w:rFonts w:ascii="Gilroy" w:hAnsi="Gilroy" w:cs="Segoe UI"/>
          <w:color w:val="000000" w:themeColor="text1"/>
          <w:spacing w:val="5"/>
          <w:sz w:val="22"/>
          <w:szCs w:val="22"/>
        </w:rPr>
        <w:t xml:space="preserve">the conceptualisation, implementation and monitoring of RMNCH initiatives </w:t>
      </w:r>
      <w:r w:rsidR="000A333E">
        <w:rPr>
          <w:rFonts w:ascii="Gilroy" w:hAnsi="Gilroy" w:cs="Segoe UI"/>
          <w:color w:val="000000" w:themeColor="text1"/>
          <w:spacing w:val="5"/>
          <w:sz w:val="22"/>
          <w:szCs w:val="22"/>
        </w:rPr>
        <w:t>must be</w:t>
      </w:r>
      <w:r w:rsidR="009A62B6" w:rsidRPr="00A74F76">
        <w:rPr>
          <w:rFonts w:ascii="Gilroy" w:hAnsi="Gilroy" w:cs="Segoe UI"/>
          <w:color w:val="000000" w:themeColor="text1"/>
          <w:spacing w:val="5"/>
          <w:sz w:val="22"/>
          <w:szCs w:val="22"/>
        </w:rPr>
        <w:t xml:space="preserve"> </w:t>
      </w:r>
      <w:r w:rsidR="00A449C0" w:rsidRPr="00A74F76">
        <w:rPr>
          <w:rFonts w:ascii="Gilroy" w:hAnsi="Gilroy" w:cs="Segoe UI"/>
          <w:color w:val="000000" w:themeColor="text1"/>
          <w:spacing w:val="5"/>
          <w:sz w:val="22"/>
          <w:szCs w:val="22"/>
        </w:rPr>
        <w:t>underpinned</w:t>
      </w:r>
      <w:r w:rsidR="009A62B6" w:rsidRPr="00A74F76">
        <w:rPr>
          <w:rFonts w:ascii="Gilroy" w:hAnsi="Gilroy" w:cs="Segoe UI"/>
          <w:color w:val="000000" w:themeColor="text1"/>
          <w:spacing w:val="5"/>
          <w:sz w:val="22"/>
          <w:szCs w:val="22"/>
        </w:rPr>
        <w:t xml:space="preserve"> by </w:t>
      </w:r>
      <w:r w:rsidR="00A449C0" w:rsidRPr="00A74F76">
        <w:rPr>
          <w:rFonts w:ascii="Gilroy" w:hAnsi="Gilroy" w:cs="Segoe UI"/>
          <w:color w:val="000000" w:themeColor="text1"/>
          <w:spacing w:val="5"/>
          <w:sz w:val="22"/>
          <w:szCs w:val="22"/>
        </w:rPr>
        <w:t xml:space="preserve">health, gender equality and </w:t>
      </w:r>
      <w:r w:rsidR="009A62B6" w:rsidRPr="00A74F76">
        <w:rPr>
          <w:rFonts w:ascii="Gilroy" w:hAnsi="Gilroy" w:cs="Segoe UI"/>
          <w:color w:val="000000" w:themeColor="text1"/>
          <w:spacing w:val="5"/>
          <w:sz w:val="22"/>
          <w:szCs w:val="22"/>
        </w:rPr>
        <w:t>privacy considerations</w:t>
      </w:r>
      <w:r w:rsidR="00A449C0" w:rsidRPr="00A74F76">
        <w:rPr>
          <w:rFonts w:ascii="Gilroy" w:hAnsi="Gilroy" w:cs="Segoe UI"/>
          <w:color w:val="000000" w:themeColor="text1"/>
          <w:spacing w:val="5"/>
          <w:sz w:val="22"/>
          <w:szCs w:val="22"/>
        </w:rPr>
        <w:t xml:space="preserve">, with clear responsibilities being assigned to each of the actors involved. </w:t>
      </w:r>
    </w:p>
    <w:p w14:paraId="73D0DE0D" w14:textId="25367928" w:rsidR="00A449C0" w:rsidRPr="00A74F76" w:rsidRDefault="001E29C2" w:rsidP="000A333E">
      <w:pPr>
        <w:pStyle w:val="part"/>
        <w:numPr>
          <w:ilvl w:val="0"/>
          <w:numId w:val="19"/>
        </w:numPr>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lastRenderedPageBreak/>
        <w:t>It should further recommend that s</w:t>
      </w:r>
      <w:r w:rsidR="00A449C0" w:rsidRPr="00A74F76">
        <w:rPr>
          <w:rFonts w:ascii="Gilroy" w:hAnsi="Gilroy" w:cs="Segoe UI"/>
          <w:color w:val="000000" w:themeColor="text1"/>
          <w:spacing w:val="5"/>
          <w:sz w:val="22"/>
          <w:szCs w:val="22"/>
        </w:rPr>
        <w:t xml:space="preserve">tates </w:t>
      </w:r>
      <w:r w:rsidRPr="00A74F76">
        <w:rPr>
          <w:rFonts w:ascii="Gilroy" w:hAnsi="Gilroy" w:cs="Segoe UI"/>
          <w:color w:val="000000" w:themeColor="text1"/>
          <w:spacing w:val="5"/>
          <w:sz w:val="22"/>
          <w:szCs w:val="22"/>
        </w:rPr>
        <w:t xml:space="preserve">should </w:t>
      </w:r>
      <w:r w:rsidR="00A449C0" w:rsidRPr="00A74F76">
        <w:rPr>
          <w:rFonts w:ascii="Gilroy" w:hAnsi="Gilroy" w:cs="Segoe UI"/>
          <w:color w:val="000000" w:themeColor="text1"/>
          <w:spacing w:val="5"/>
          <w:sz w:val="22"/>
          <w:szCs w:val="22"/>
        </w:rPr>
        <w:t>ensure that risks to privacy are incorporated into risk assessments applied to RMNCH initiatives.</w:t>
      </w:r>
    </w:p>
    <w:p w14:paraId="238C3ACD" w14:textId="68D38CA8" w:rsidR="00B575F8" w:rsidRPr="00A74F76" w:rsidRDefault="00526EF8" w:rsidP="004E50B1">
      <w:pPr>
        <w:pStyle w:val="Heading1"/>
        <w:numPr>
          <w:ilvl w:val="0"/>
          <w:numId w:val="12"/>
        </w:numPr>
        <w:rPr>
          <w:rFonts w:ascii="Gilroy" w:hAnsi="Gilroy"/>
          <w:sz w:val="24"/>
          <w:szCs w:val="24"/>
        </w:rPr>
      </w:pPr>
      <w:bookmarkStart w:id="25" w:name="_Toc50373299"/>
      <w:r w:rsidRPr="00A74F76">
        <w:rPr>
          <w:rFonts w:ascii="Gilroy" w:hAnsi="Gilroy"/>
          <w:sz w:val="24"/>
          <w:szCs w:val="24"/>
        </w:rPr>
        <w:t>Legal</w:t>
      </w:r>
      <w:r w:rsidRPr="00A74F76">
        <w:rPr>
          <w:rStyle w:val="Strong"/>
          <w:rFonts w:ascii="Gilroy" w:hAnsi="Gilroy"/>
          <w:b w:val="0"/>
          <w:bCs w:val="0"/>
          <w:sz w:val="24"/>
          <w:szCs w:val="24"/>
        </w:rPr>
        <w:t xml:space="preserve"> and policy safeguards against abuses and delays in the provision of SRH services</w:t>
      </w:r>
      <w:bookmarkEnd w:id="25"/>
      <w:r w:rsidRPr="00A74F76">
        <w:rPr>
          <w:rStyle w:val="Strong"/>
          <w:rFonts w:ascii="Gilroy" w:hAnsi="Gilroy"/>
          <w:b w:val="0"/>
          <w:bCs w:val="0"/>
          <w:sz w:val="24"/>
          <w:szCs w:val="24"/>
        </w:rPr>
        <w:t xml:space="preserve"> </w:t>
      </w:r>
    </w:p>
    <w:p w14:paraId="4E28EC7B" w14:textId="77777777" w:rsidR="00E30A73" w:rsidRPr="00A74F76" w:rsidRDefault="00E30A73"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p>
    <w:p w14:paraId="5ACBF87F" w14:textId="2AF6E111" w:rsidR="0089770E" w:rsidRPr="00A74F76" w:rsidRDefault="0089770E"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color w:val="000000" w:themeColor="text1"/>
          <w:spacing w:val="5"/>
          <w:sz w:val="22"/>
          <w:szCs w:val="22"/>
        </w:rPr>
        <w:t>Several challenges to women’s full and free exercise of their sexual and reproductive rights</w:t>
      </w:r>
      <w:r w:rsidR="00B72AE7" w:rsidRPr="00A74F76">
        <w:rPr>
          <w:rStyle w:val="Strong"/>
          <w:rFonts w:ascii="Gilroy" w:hAnsi="Gilroy" w:cs="Segoe UI"/>
          <w:b w:val="0"/>
          <w:bCs w:val="0"/>
          <w:color w:val="000000" w:themeColor="text1"/>
          <w:spacing w:val="5"/>
          <w:sz w:val="22"/>
          <w:szCs w:val="22"/>
        </w:rPr>
        <w:t xml:space="preserve"> exist </w:t>
      </w:r>
      <w:r w:rsidR="00E048B2" w:rsidRPr="00A74F76">
        <w:rPr>
          <w:rStyle w:val="Strong"/>
          <w:rFonts w:ascii="Gilroy" w:hAnsi="Gilroy" w:cs="Segoe UI"/>
          <w:b w:val="0"/>
          <w:bCs w:val="0"/>
          <w:color w:val="000000" w:themeColor="text1"/>
          <w:spacing w:val="5"/>
          <w:sz w:val="22"/>
          <w:szCs w:val="22"/>
        </w:rPr>
        <w:t xml:space="preserve">in relation to confidentiality, referrals, informed consent, conscientious objection, and </w:t>
      </w:r>
      <w:proofErr w:type="gramStart"/>
      <w:r w:rsidR="00E048B2" w:rsidRPr="00A74F76">
        <w:rPr>
          <w:rStyle w:val="Strong"/>
          <w:rFonts w:ascii="Gilroy" w:hAnsi="Gilroy" w:cs="Segoe UI"/>
          <w:b w:val="0"/>
          <w:bCs w:val="0"/>
          <w:color w:val="000000" w:themeColor="text1"/>
          <w:spacing w:val="5"/>
          <w:sz w:val="22"/>
          <w:szCs w:val="22"/>
        </w:rPr>
        <w:t>third party</w:t>
      </w:r>
      <w:proofErr w:type="gramEnd"/>
      <w:r w:rsidR="00E048B2" w:rsidRPr="00A74F76">
        <w:rPr>
          <w:rStyle w:val="Strong"/>
          <w:rFonts w:ascii="Gilroy" w:hAnsi="Gilroy" w:cs="Segoe UI"/>
          <w:b w:val="0"/>
          <w:bCs w:val="0"/>
          <w:color w:val="000000" w:themeColor="text1"/>
          <w:spacing w:val="5"/>
          <w:sz w:val="22"/>
          <w:szCs w:val="22"/>
        </w:rPr>
        <w:t xml:space="preserve"> consent requirements</w:t>
      </w:r>
      <w:r w:rsidRPr="00A74F76">
        <w:rPr>
          <w:rStyle w:val="Strong"/>
          <w:rFonts w:ascii="Gilroy" w:hAnsi="Gilroy" w:cs="Segoe UI"/>
          <w:b w:val="0"/>
          <w:bCs w:val="0"/>
          <w:color w:val="000000" w:themeColor="text1"/>
          <w:spacing w:val="5"/>
          <w:sz w:val="22"/>
          <w:szCs w:val="22"/>
        </w:rPr>
        <w:t>. These obstacles are often enshrined in primary legislation and have the effect of pushing women towards clandestine and ultimately unsafe abortions.</w:t>
      </w:r>
    </w:p>
    <w:p w14:paraId="448263B8" w14:textId="77777777" w:rsidR="00E30A73" w:rsidRPr="00A74F76" w:rsidRDefault="00E30A73" w:rsidP="00E30A73">
      <w:pPr>
        <w:pStyle w:val="part"/>
        <w:spacing w:before="0" w:beforeAutospacing="0" w:after="0" w:afterAutospacing="0"/>
        <w:jc w:val="both"/>
        <w:rPr>
          <w:rStyle w:val="Strong"/>
          <w:rFonts w:ascii="Gilroy" w:hAnsi="Gilroy" w:cs="Segoe UI"/>
          <w:color w:val="000000" w:themeColor="text1"/>
          <w:spacing w:val="5"/>
          <w:sz w:val="22"/>
          <w:szCs w:val="22"/>
        </w:rPr>
      </w:pPr>
    </w:p>
    <w:p w14:paraId="78A9CA9F" w14:textId="646BD5B3" w:rsidR="0014451B" w:rsidRPr="00A74F76" w:rsidRDefault="00C83EDA" w:rsidP="00D74731">
      <w:pPr>
        <w:pStyle w:val="Heading3"/>
        <w:rPr>
          <w:rStyle w:val="Strong"/>
          <w:rFonts w:ascii="Gilroy" w:hAnsi="Gilroy"/>
          <w:b w:val="0"/>
          <w:bCs w:val="0"/>
          <w:sz w:val="22"/>
          <w:szCs w:val="22"/>
        </w:rPr>
      </w:pPr>
      <w:bookmarkStart w:id="26" w:name="_Toc50373300"/>
      <w:r w:rsidRPr="00A74F76">
        <w:rPr>
          <w:rStyle w:val="Strong"/>
          <w:rFonts w:ascii="Gilroy" w:hAnsi="Gilroy"/>
          <w:b w:val="0"/>
          <w:bCs w:val="0"/>
          <w:sz w:val="22"/>
          <w:szCs w:val="22"/>
        </w:rPr>
        <w:t>Challenges to patient confidentiality</w:t>
      </w:r>
      <w:bookmarkEnd w:id="26"/>
    </w:p>
    <w:p w14:paraId="3F4F49B0" w14:textId="77777777" w:rsidR="00E30A73" w:rsidRPr="00A74F76" w:rsidRDefault="00E30A73" w:rsidP="00E30A73">
      <w:pPr>
        <w:pStyle w:val="part"/>
        <w:spacing w:before="0" w:beforeAutospacing="0" w:after="0" w:afterAutospacing="0"/>
        <w:jc w:val="both"/>
        <w:rPr>
          <w:rStyle w:val="Strong"/>
          <w:rFonts w:ascii="Gilroy" w:hAnsi="Gilroy" w:cs="Segoe UI"/>
          <w:b w:val="0"/>
          <w:bCs w:val="0"/>
          <w:i/>
          <w:iCs/>
          <w:color w:val="000000" w:themeColor="text1"/>
          <w:spacing w:val="5"/>
          <w:sz w:val="22"/>
          <w:szCs w:val="22"/>
        </w:rPr>
      </w:pPr>
    </w:p>
    <w:p w14:paraId="684D673F" w14:textId="17F223AC" w:rsidR="007A70A3" w:rsidRPr="00A74F76" w:rsidRDefault="00C83EDA"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Compulsory reporting requirements</w:t>
      </w:r>
      <w:r w:rsidRPr="00A74F76">
        <w:rPr>
          <w:rStyle w:val="Strong"/>
          <w:rFonts w:ascii="Gilroy" w:hAnsi="Gilroy" w:cs="Segoe UI"/>
          <w:b w:val="0"/>
          <w:bCs w:val="0"/>
          <w:color w:val="000000" w:themeColor="text1"/>
          <w:spacing w:val="5"/>
          <w:sz w:val="22"/>
          <w:szCs w:val="22"/>
        </w:rPr>
        <w:t xml:space="preserve">. </w:t>
      </w:r>
      <w:r w:rsidR="007A70A3" w:rsidRPr="00A74F76">
        <w:rPr>
          <w:rStyle w:val="Strong"/>
          <w:rFonts w:ascii="Gilroy" w:hAnsi="Gilroy" w:cs="Segoe UI"/>
          <w:b w:val="0"/>
          <w:bCs w:val="0"/>
          <w:color w:val="000000" w:themeColor="text1"/>
          <w:spacing w:val="5"/>
          <w:sz w:val="22"/>
          <w:szCs w:val="22"/>
        </w:rPr>
        <w:t xml:space="preserve">Some countries require healthcare professionals to report women who they believe have undergone an illegal abortion to government authorities. In Peru, doctors are legally compelled to report women who seek treatment after suffering complications from an abortion to the police if they suspect that an illegal abortion has taken place. This legal requirement overrides doctors’ right to professional secrecy in a doctor-patient relationship, and has continued to </w:t>
      </w:r>
      <w:r w:rsidRPr="00A74F76">
        <w:rPr>
          <w:rStyle w:val="Strong"/>
          <w:rFonts w:ascii="Gilroy" w:hAnsi="Gilroy" w:cs="Segoe UI"/>
          <w:b w:val="0"/>
          <w:bCs w:val="0"/>
          <w:color w:val="000000" w:themeColor="text1"/>
          <w:spacing w:val="5"/>
          <w:sz w:val="22"/>
          <w:szCs w:val="22"/>
        </w:rPr>
        <w:t>be enforced</w:t>
      </w:r>
      <w:r w:rsidR="007A70A3" w:rsidRPr="00A74F76">
        <w:rPr>
          <w:rStyle w:val="Strong"/>
          <w:rFonts w:ascii="Gilroy" w:hAnsi="Gilroy" w:cs="Segoe UI"/>
          <w:b w:val="0"/>
          <w:bCs w:val="0"/>
          <w:color w:val="000000" w:themeColor="text1"/>
          <w:spacing w:val="5"/>
          <w:sz w:val="22"/>
          <w:szCs w:val="22"/>
        </w:rPr>
        <w:t xml:space="preserve"> despite regional human rights jurisprudence to the contrary.</w:t>
      </w:r>
      <w:r w:rsidR="007A70A3" w:rsidRPr="00A74F76">
        <w:rPr>
          <w:rStyle w:val="FootnoteReference"/>
          <w:rFonts w:ascii="Gilroy" w:hAnsi="Gilroy" w:cs="Segoe UI"/>
          <w:color w:val="000000" w:themeColor="text1"/>
          <w:spacing w:val="5"/>
          <w:sz w:val="22"/>
          <w:szCs w:val="22"/>
        </w:rPr>
        <w:footnoteReference w:id="69"/>
      </w:r>
      <w:r w:rsidR="007A70A3" w:rsidRPr="00A74F76">
        <w:rPr>
          <w:rStyle w:val="Strong"/>
          <w:rFonts w:ascii="Gilroy" w:hAnsi="Gilroy" w:cs="Segoe UI"/>
          <w:b w:val="0"/>
          <w:bCs w:val="0"/>
          <w:color w:val="000000" w:themeColor="text1"/>
          <w:spacing w:val="5"/>
          <w:sz w:val="22"/>
          <w:szCs w:val="22"/>
        </w:rPr>
        <w:t xml:space="preserve"> This </w:t>
      </w:r>
      <w:r w:rsidRPr="00A74F76">
        <w:rPr>
          <w:rStyle w:val="Strong"/>
          <w:rFonts w:ascii="Gilroy" w:hAnsi="Gilroy" w:cs="Segoe UI"/>
          <w:b w:val="0"/>
          <w:bCs w:val="0"/>
          <w:color w:val="000000" w:themeColor="text1"/>
          <w:spacing w:val="5"/>
          <w:sz w:val="22"/>
          <w:szCs w:val="22"/>
        </w:rPr>
        <w:t>continued practice</w:t>
      </w:r>
      <w:r w:rsidR="007A70A3" w:rsidRPr="00A74F76">
        <w:rPr>
          <w:rStyle w:val="Strong"/>
          <w:rFonts w:ascii="Gilroy" w:hAnsi="Gilroy" w:cs="Segoe UI"/>
          <w:b w:val="0"/>
          <w:bCs w:val="0"/>
          <w:color w:val="000000" w:themeColor="text1"/>
          <w:spacing w:val="5"/>
          <w:sz w:val="22"/>
          <w:szCs w:val="22"/>
        </w:rPr>
        <w:t xml:space="preserve"> forces a difficult – and unnecessary</w:t>
      </w:r>
      <w:r w:rsidRPr="00A74F76">
        <w:rPr>
          <w:rStyle w:val="Strong"/>
          <w:rFonts w:ascii="Gilroy" w:hAnsi="Gilroy" w:cs="Segoe UI"/>
          <w:b w:val="0"/>
          <w:bCs w:val="0"/>
          <w:color w:val="000000" w:themeColor="text1"/>
          <w:spacing w:val="5"/>
          <w:sz w:val="22"/>
          <w:szCs w:val="22"/>
        </w:rPr>
        <w:t xml:space="preserve"> </w:t>
      </w:r>
      <w:r w:rsidR="007A70A3" w:rsidRPr="00A74F76">
        <w:rPr>
          <w:rStyle w:val="Strong"/>
          <w:rFonts w:ascii="Gilroy" w:hAnsi="Gilroy" w:cs="Segoe UI"/>
          <w:b w:val="0"/>
          <w:bCs w:val="0"/>
          <w:color w:val="000000" w:themeColor="text1"/>
          <w:spacing w:val="5"/>
          <w:sz w:val="22"/>
          <w:szCs w:val="22"/>
        </w:rPr>
        <w:t xml:space="preserve">– </w:t>
      </w:r>
      <w:r w:rsidRPr="00A74F76">
        <w:rPr>
          <w:rStyle w:val="Strong"/>
          <w:rFonts w:ascii="Gilroy" w:hAnsi="Gilroy" w:cs="Segoe UI"/>
          <w:b w:val="0"/>
          <w:bCs w:val="0"/>
          <w:color w:val="000000" w:themeColor="text1"/>
          <w:spacing w:val="5"/>
          <w:sz w:val="22"/>
          <w:szCs w:val="22"/>
        </w:rPr>
        <w:t xml:space="preserve">choice </w:t>
      </w:r>
      <w:r w:rsidR="007A70A3" w:rsidRPr="00A74F76">
        <w:rPr>
          <w:rStyle w:val="Strong"/>
          <w:rFonts w:ascii="Gilroy" w:hAnsi="Gilroy" w:cs="Segoe UI"/>
          <w:b w:val="0"/>
          <w:bCs w:val="0"/>
          <w:color w:val="000000" w:themeColor="text1"/>
          <w:spacing w:val="5"/>
          <w:sz w:val="22"/>
          <w:szCs w:val="22"/>
        </w:rPr>
        <w:t xml:space="preserve">onto women: seek medical help and risk prosecution, or leave potentially serious complications unattended.  </w:t>
      </w:r>
    </w:p>
    <w:p w14:paraId="7E761BF0" w14:textId="77777777" w:rsidR="00E30A73" w:rsidRPr="00A74F76" w:rsidRDefault="00E30A73" w:rsidP="00E30A73">
      <w:pPr>
        <w:pStyle w:val="part"/>
        <w:spacing w:before="0" w:beforeAutospacing="0" w:after="0" w:afterAutospacing="0"/>
        <w:jc w:val="both"/>
        <w:rPr>
          <w:rStyle w:val="Strong"/>
          <w:rFonts w:ascii="Gilroy" w:hAnsi="Gilroy" w:cs="Segoe UI"/>
          <w:b w:val="0"/>
          <w:bCs w:val="0"/>
          <w:i/>
          <w:iCs/>
          <w:color w:val="000000" w:themeColor="text1"/>
          <w:spacing w:val="5"/>
          <w:sz w:val="22"/>
          <w:szCs w:val="22"/>
        </w:rPr>
      </w:pPr>
    </w:p>
    <w:p w14:paraId="716EB92C" w14:textId="5FCAB45C" w:rsidR="0089770E" w:rsidRPr="00A74F76" w:rsidRDefault="00F87EBA"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Poor working conditions</w:t>
      </w:r>
      <w:r w:rsidR="0089770E" w:rsidRPr="00A74F76">
        <w:rPr>
          <w:rStyle w:val="Strong"/>
          <w:rFonts w:ascii="Gilroy" w:hAnsi="Gilroy" w:cs="Segoe UI"/>
          <w:b w:val="0"/>
          <w:bCs w:val="0"/>
          <w:color w:val="000000" w:themeColor="text1"/>
          <w:spacing w:val="5"/>
          <w:sz w:val="22"/>
          <w:szCs w:val="22"/>
        </w:rPr>
        <w:t>.</w:t>
      </w:r>
      <w:r w:rsidR="00F34F12" w:rsidRPr="00A74F76">
        <w:rPr>
          <w:rStyle w:val="Strong"/>
          <w:rFonts w:ascii="Gilroy" w:hAnsi="Gilroy" w:cs="Segoe UI"/>
          <w:b w:val="0"/>
          <w:bCs w:val="0"/>
          <w:color w:val="000000" w:themeColor="text1"/>
          <w:spacing w:val="5"/>
          <w:sz w:val="22"/>
          <w:szCs w:val="22"/>
        </w:rPr>
        <w:t xml:space="preserve"> In Chile, women seeking to undergo an abortion under one of the specified legal avenues are entitled by law to access an accompaniment program. However, two years after the introduction </w:t>
      </w:r>
      <w:r w:rsidR="004235D0" w:rsidRPr="00A74F76">
        <w:rPr>
          <w:rStyle w:val="Strong"/>
          <w:rFonts w:ascii="Gilroy" w:hAnsi="Gilroy" w:cs="Segoe UI"/>
          <w:b w:val="0"/>
          <w:bCs w:val="0"/>
          <w:color w:val="000000" w:themeColor="text1"/>
          <w:spacing w:val="5"/>
          <w:sz w:val="22"/>
          <w:szCs w:val="22"/>
        </w:rPr>
        <w:t>the program, serious issues were raised by supporting staff, who reported that their precarious conditions of work meant that they were not in a position to guarantee the confidentiality of the patients they worked with.</w:t>
      </w:r>
      <w:r w:rsidR="004235D0" w:rsidRPr="00A74F76">
        <w:rPr>
          <w:rStyle w:val="FootnoteReference"/>
          <w:rFonts w:ascii="Gilroy" w:hAnsi="Gilroy" w:cs="Segoe UI"/>
          <w:color w:val="000000" w:themeColor="text1"/>
          <w:spacing w:val="5"/>
          <w:sz w:val="22"/>
          <w:szCs w:val="22"/>
        </w:rPr>
        <w:footnoteReference w:id="70"/>
      </w:r>
      <w:r w:rsidR="004235D0" w:rsidRPr="00A74F76">
        <w:rPr>
          <w:rStyle w:val="Strong"/>
          <w:rFonts w:ascii="Gilroy" w:hAnsi="Gilroy" w:cs="Segoe UI"/>
          <w:b w:val="0"/>
          <w:bCs w:val="0"/>
          <w:color w:val="000000" w:themeColor="text1"/>
          <w:spacing w:val="5"/>
          <w:sz w:val="22"/>
          <w:szCs w:val="22"/>
        </w:rPr>
        <w:t xml:space="preserve">  </w:t>
      </w:r>
      <w:r w:rsidRPr="00A74F76">
        <w:rPr>
          <w:rStyle w:val="Strong"/>
          <w:rFonts w:ascii="Gilroy" w:hAnsi="Gilroy" w:cs="Segoe UI"/>
          <w:b w:val="0"/>
          <w:bCs w:val="0"/>
          <w:color w:val="000000" w:themeColor="text1"/>
          <w:spacing w:val="5"/>
          <w:sz w:val="22"/>
          <w:szCs w:val="22"/>
        </w:rPr>
        <w:t>Among the difficulties they noted was the hostility they faced from other healthcare professionals, including doctors, midwives and nurses, when asserting the patient’s right to receiving adequate support.</w:t>
      </w:r>
    </w:p>
    <w:p w14:paraId="61C3E173" w14:textId="77777777" w:rsidR="00E30A73" w:rsidRPr="00A74F76" w:rsidRDefault="00E30A73" w:rsidP="00E30A73">
      <w:pPr>
        <w:pStyle w:val="part"/>
        <w:spacing w:before="0" w:beforeAutospacing="0" w:after="0" w:afterAutospacing="0"/>
        <w:jc w:val="both"/>
        <w:rPr>
          <w:rStyle w:val="Strong"/>
          <w:rFonts w:ascii="Gilroy" w:hAnsi="Gilroy" w:cs="Segoe UI"/>
          <w:color w:val="000000" w:themeColor="text1"/>
          <w:spacing w:val="5"/>
          <w:sz w:val="22"/>
          <w:szCs w:val="22"/>
        </w:rPr>
      </w:pPr>
    </w:p>
    <w:p w14:paraId="0AAAC44D" w14:textId="141AC352" w:rsidR="00FE2BBC" w:rsidRPr="00A74F76" w:rsidRDefault="00EA2994" w:rsidP="00D74731">
      <w:pPr>
        <w:pStyle w:val="Heading3"/>
        <w:rPr>
          <w:rStyle w:val="Strong"/>
          <w:rFonts w:ascii="Gilroy" w:hAnsi="Gilroy"/>
          <w:b w:val="0"/>
          <w:bCs w:val="0"/>
          <w:sz w:val="22"/>
          <w:szCs w:val="22"/>
        </w:rPr>
      </w:pPr>
      <w:bookmarkStart w:id="27" w:name="_Toc50373301"/>
      <w:r w:rsidRPr="00A74F76">
        <w:rPr>
          <w:rStyle w:val="Strong"/>
          <w:rFonts w:ascii="Gilroy" w:hAnsi="Gilroy"/>
          <w:b w:val="0"/>
          <w:bCs w:val="0"/>
          <w:sz w:val="22"/>
          <w:szCs w:val="22"/>
        </w:rPr>
        <w:t>Abuse of the conscientious objection</w:t>
      </w:r>
      <w:bookmarkEnd w:id="27"/>
    </w:p>
    <w:p w14:paraId="2F713706" w14:textId="77777777" w:rsidR="00E30A73" w:rsidRPr="00A74F76" w:rsidRDefault="00E30A73"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p>
    <w:p w14:paraId="2708300F" w14:textId="76009C54" w:rsidR="007D62DD" w:rsidRPr="00A74F76" w:rsidRDefault="00CE2F03"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color w:val="000000" w:themeColor="text1"/>
          <w:spacing w:val="5"/>
          <w:sz w:val="22"/>
          <w:szCs w:val="22"/>
        </w:rPr>
        <w:t>Conscientious objection was raised</w:t>
      </w:r>
      <w:r w:rsidR="00F87EBA" w:rsidRPr="00A74F76">
        <w:rPr>
          <w:rStyle w:val="Strong"/>
          <w:rFonts w:ascii="Gilroy" w:hAnsi="Gilroy" w:cs="Segoe UI"/>
          <w:b w:val="0"/>
          <w:bCs w:val="0"/>
          <w:color w:val="000000" w:themeColor="text1"/>
          <w:spacing w:val="5"/>
          <w:sz w:val="22"/>
          <w:szCs w:val="22"/>
        </w:rPr>
        <w:t xml:space="preserve"> multiple times</w:t>
      </w:r>
      <w:r w:rsidRPr="00A74F76">
        <w:rPr>
          <w:rStyle w:val="Strong"/>
          <w:rFonts w:ascii="Gilroy" w:hAnsi="Gilroy" w:cs="Segoe UI"/>
          <w:b w:val="0"/>
          <w:bCs w:val="0"/>
          <w:color w:val="000000" w:themeColor="text1"/>
          <w:spacing w:val="5"/>
          <w:sz w:val="22"/>
          <w:szCs w:val="22"/>
        </w:rPr>
        <w:t xml:space="preserve"> in research commissioned by </w:t>
      </w:r>
      <w:r w:rsidR="00E048B2" w:rsidRPr="00A74F76">
        <w:rPr>
          <w:rStyle w:val="Strong"/>
          <w:rFonts w:ascii="Gilroy" w:hAnsi="Gilroy" w:cs="Segoe UI"/>
          <w:b w:val="0"/>
          <w:bCs w:val="0"/>
          <w:color w:val="000000" w:themeColor="text1"/>
          <w:spacing w:val="5"/>
          <w:sz w:val="22"/>
          <w:szCs w:val="22"/>
        </w:rPr>
        <w:t>PI</w:t>
      </w:r>
      <w:r w:rsidRPr="00A74F76">
        <w:rPr>
          <w:rStyle w:val="Strong"/>
          <w:rFonts w:ascii="Gilroy" w:hAnsi="Gilroy" w:cs="Segoe UI"/>
          <w:b w:val="0"/>
          <w:bCs w:val="0"/>
          <w:color w:val="000000" w:themeColor="text1"/>
          <w:spacing w:val="5"/>
          <w:sz w:val="22"/>
          <w:szCs w:val="22"/>
        </w:rPr>
        <w:t xml:space="preserve"> as one of the obstacles to women exercising their sexual and reproductive rights. </w:t>
      </w:r>
      <w:r w:rsidR="00EA2994" w:rsidRPr="00A74F76">
        <w:rPr>
          <w:rStyle w:val="Strong"/>
          <w:rFonts w:ascii="Gilroy" w:hAnsi="Gilroy" w:cs="Segoe UI"/>
          <w:b w:val="0"/>
          <w:bCs w:val="0"/>
          <w:color w:val="000000" w:themeColor="text1"/>
          <w:spacing w:val="5"/>
          <w:sz w:val="22"/>
          <w:szCs w:val="22"/>
        </w:rPr>
        <w:t xml:space="preserve">Despite its emphasis on individual beliefs, there is evidence to show that conscientious objection is institutionally applied. </w:t>
      </w:r>
    </w:p>
    <w:p w14:paraId="6CCEAD3E" w14:textId="77777777" w:rsidR="00E30A73" w:rsidRPr="00A74F76" w:rsidRDefault="00E30A73"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p>
    <w:p w14:paraId="1390D2DD" w14:textId="000F677F" w:rsidR="00EA2994" w:rsidRPr="00A74F76" w:rsidRDefault="009341D3"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Institutional reliance on conscientious objection</w:t>
      </w:r>
      <w:r w:rsidR="00EA2994" w:rsidRPr="00A74F76">
        <w:rPr>
          <w:rStyle w:val="Strong"/>
          <w:rFonts w:ascii="Gilroy" w:hAnsi="Gilroy" w:cs="Segoe UI"/>
          <w:b w:val="0"/>
          <w:bCs w:val="0"/>
          <w:color w:val="000000" w:themeColor="text1"/>
          <w:spacing w:val="5"/>
          <w:sz w:val="22"/>
          <w:szCs w:val="22"/>
        </w:rPr>
        <w:t>.</w:t>
      </w:r>
      <w:r w:rsidRPr="00A74F76">
        <w:rPr>
          <w:rStyle w:val="Strong"/>
          <w:rFonts w:ascii="Gilroy" w:hAnsi="Gilroy" w:cs="Segoe UI"/>
          <w:b w:val="0"/>
          <w:bCs w:val="0"/>
          <w:color w:val="000000" w:themeColor="text1"/>
          <w:spacing w:val="5"/>
          <w:sz w:val="22"/>
          <w:szCs w:val="22"/>
        </w:rPr>
        <w:t xml:space="preserve"> </w:t>
      </w:r>
      <w:r w:rsidR="00CE2F03" w:rsidRPr="00A74F76">
        <w:rPr>
          <w:rStyle w:val="Strong"/>
          <w:rFonts w:ascii="Gilroy" w:hAnsi="Gilroy" w:cs="Segoe UI"/>
          <w:b w:val="0"/>
          <w:bCs w:val="0"/>
          <w:color w:val="000000" w:themeColor="text1"/>
          <w:spacing w:val="5"/>
          <w:sz w:val="22"/>
          <w:szCs w:val="22"/>
        </w:rPr>
        <w:t xml:space="preserve">In Argentina, </w:t>
      </w:r>
      <w:r w:rsidR="00FE2BBC" w:rsidRPr="00A74F76">
        <w:rPr>
          <w:rStyle w:val="Strong"/>
          <w:rFonts w:ascii="Gilroy" w:hAnsi="Gilroy" w:cs="Segoe UI"/>
          <w:b w:val="0"/>
          <w:bCs w:val="0"/>
          <w:color w:val="000000" w:themeColor="text1"/>
          <w:spacing w:val="5"/>
          <w:sz w:val="22"/>
          <w:szCs w:val="22"/>
        </w:rPr>
        <w:t xml:space="preserve">objection is frequently practised in health institutions and can occur across the entire department or establishment, resulting in one of the main institutional barriers to legal abortion services. It also contributes to the abortion stigma and fuels the idea that abortion is illegal. </w:t>
      </w:r>
      <w:r w:rsidR="00FE2BBC" w:rsidRPr="00A74F76">
        <w:rPr>
          <w:rStyle w:val="FootnoteReference"/>
          <w:rFonts w:ascii="Gilroy" w:hAnsi="Gilroy" w:cs="Segoe UI"/>
          <w:color w:val="000000" w:themeColor="text1"/>
          <w:spacing w:val="5"/>
          <w:sz w:val="22"/>
          <w:szCs w:val="22"/>
        </w:rPr>
        <w:footnoteReference w:id="71"/>
      </w:r>
      <w:r w:rsidR="00CE2F03" w:rsidRPr="00A74F76">
        <w:rPr>
          <w:rStyle w:val="Strong"/>
          <w:rFonts w:ascii="Gilroy" w:hAnsi="Gilroy" w:cs="Segoe UI"/>
          <w:b w:val="0"/>
          <w:bCs w:val="0"/>
          <w:color w:val="000000" w:themeColor="text1"/>
          <w:spacing w:val="5"/>
          <w:sz w:val="22"/>
          <w:szCs w:val="22"/>
        </w:rPr>
        <w:t xml:space="preserve"> </w:t>
      </w:r>
      <w:r w:rsidR="00EA2994" w:rsidRPr="00A74F76">
        <w:rPr>
          <w:rStyle w:val="Strong"/>
          <w:rFonts w:ascii="Gilroy" w:hAnsi="Gilroy" w:cs="Segoe UI"/>
          <w:b w:val="0"/>
          <w:bCs w:val="0"/>
          <w:color w:val="000000" w:themeColor="text1"/>
          <w:spacing w:val="5"/>
          <w:sz w:val="22"/>
          <w:szCs w:val="22"/>
        </w:rPr>
        <w:t xml:space="preserve"> </w:t>
      </w:r>
      <w:r w:rsidR="00CE2F03" w:rsidRPr="00A74F76">
        <w:rPr>
          <w:rStyle w:val="Strong"/>
          <w:rFonts w:ascii="Gilroy" w:hAnsi="Gilroy" w:cs="Segoe UI"/>
          <w:b w:val="0"/>
          <w:bCs w:val="0"/>
          <w:color w:val="000000" w:themeColor="text1"/>
          <w:spacing w:val="5"/>
          <w:sz w:val="22"/>
          <w:szCs w:val="22"/>
        </w:rPr>
        <w:t xml:space="preserve">In Chile, </w:t>
      </w:r>
      <w:r w:rsidR="00F87EBA" w:rsidRPr="00A74F76">
        <w:rPr>
          <w:rStyle w:val="Strong"/>
          <w:rFonts w:ascii="Gilroy" w:hAnsi="Gilroy" w:cs="Segoe UI"/>
          <w:b w:val="0"/>
          <w:bCs w:val="0"/>
          <w:color w:val="000000" w:themeColor="text1"/>
          <w:spacing w:val="5"/>
          <w:sz w:val="22"/>
          <w:szCs w:val="22"/>
        </w:rPr>
        <w:t>the picture is bleaker.</w:t>
      </w:r>
      <w:r w:rsidR="00CE2F03" w:rsidRPr="00A74F76">
        <w:rPr>
          <w:rStyle w:val="Strong"/>
          <w:rFonts w:ascii="Gilroy" w:hAnsi="Gilroy" w:cs="Segoe UI"/>
          <w:b w:val="0"/>
          <w:bCs w:val="0"/>
          <w:color w:val="000000" w:themeColor="text1"/>
          <w:spacing w:val="5"/>
          <w:sz w:val="22"/>
          <w:szCs w:val="22"/>
        </w:rPr>
        <w:t xml:space="preserve"> </w:t>
      </w:r>
      <w:r w:rsidR="00F87EBA" w:rsidRPr="00A74F76">
        <w:rPr>
          <w:rStyle w:val="Strong"/>
          <w:rFonts w:ascii="Gilroy" w:hAnsi="Gilroy" w:cs="Segoe UI"/>
          <w:b w:val="0"/>
          <w:bCs w:val="0"/>
          <w:color w:val="000000" w:themeColor="text1"/>
          <w:spacing w:val="5"/>
          <w:sz w:val="22"/>
          <w:szCs w:val="22"/>
        </w:rPr>
        <w:t>Re</w:t>
      </w:r>
      <w:r w:rsidR="00CE2F03" w:rsidRPr="00A74F76">
        <w:rPr>
          <w:rStyle w:val="Strong"/>
          <w:rFonts w:ascii="Gilroy" w:hAnsi="Gilroy" w:cs="Segoe UI"/>
          <w:b w:val="0"/>
          <w:bCs w:val="0"/>
          <w:color w:val="000000" w:themeColor="text1"/>
          <w:spacing w:val="5"/>
          <w:sz w:val="22"/>
          <w:szCs w:val="22"/>
        </w:rPr>
        <w:t xml:space="preserve">search by Human Rights Watch found that </w:t>
      </w:r>
      <w:r w:rsidR="00CE2F03" w:rsidRPr="00A74F76">
        <w:rPr>
          <w:rStyle w:val="Strong"/>
          <w:rFonts w:ascii="Gilroy" w:hAnsi="Gilroy" w:cs="Segoe UI"/>
          <w:b w:val="0"/>
          <w:bCs w:val="0"/>
          <w:color w:val="000000" w:themeColor="text1"/>
          <w:spacing w:val="5"/>
          <w:sz w:val="22"/>
          <w:szCs w:val="22"/>
        </w:rPr>
        <w:lastRenderedPageBreak/>
        <w:t>nearly 50% of all medical providers objected to providing abortions after rape, and some public hospitals lacked a single provider willing to perform an abortion in those circumstances.</w:t>
      </w:r>
      <w:r w:rsidR="00CE2F03" w:rsidRPr="00A74F76">
        <w:rPr>
          <w:rStyle w:val="FootnoteReference"/>
          <w:rFonts w:ascii="Gilroy" w:hAnsi="Gilroy" w:cs="Segoe UI"/>
          <w:color w:val="000000" w:themeColor="text1"/>
          <w:spacing w:val="5"/>
          <w:sz w:val="22"/>
          <w:szCs w:val="22"/>
        </w:rPr>
        <w:footnoteReference w:id="72"/>
      </w:r>
      <w:r w:rsidR="00F87EBA" w:rsidRPr="00A74F76">
        <w:rPr>
          <w:rStyle w:val="Strong"/>
          <w:rFonts w:ascii="Gilroy" w:hAnsi="Gilroy" w:cs="Segoe UI"/>
          <w:b w:val="0"/>
          <w:bCs w:val="0"/>
          <w:color w:val="000000" w:themeColor="text1"/>
          <w:spacing w:val="5"/>
          <w:sz w:val="22"/>
          <w:szCs w:val="22"/>
        </w:rPr>
        <w:t xml:space="preserve"> </w:t>
      </w:r>
      <w:r w:rsidR="00EA2994" w:rsidRPr="00A74F76">
        <w:rPr>
          <w:rStyle w:val="Strong"/>
          <w:rFonts w:ascii="Gilroy" w:hAnsi="Gilroy" w:cs="Segoe UI"/>
          <w:b w:val="0"/>
          <w:bCs w:val="0"/>
          <w:color w:val="000000" w:themeColor="text1"/>
          <w:spacing w:val="5"/>
          <w:sz w:val="22"/>
          <w:szCs w:val="22"/>
        </w:rPr>
        <w:t>Importantly, conscientious objection is often not an individual choice, but an institutional one: where the head of the hospital objects to abortion, they are able to pressure individual doctors who are not conscientious objectors to object.</w:t>
      </w:r>
      <w:r w:rsidR="00EA2994" w:rsidRPr="00A74F76">
        <w:rPr>
          <w:rStyle w:val="FootnoteReference"/>
          <w:rFonts w:ascii="Gilroy" w:hAnsi="Gilroy" w:cs="Segoe UI"/>
          <w:color w:val="000000" w:themeColor="text1"/>
          <w:spacing w:val="5"/>
          <w:sz w:val="22"/>
          <w:szCs w:val="22"/>
        </w:rPr>
        <w:footnoteReference w:id="73"/>
      </w:r>
    </w:p>
    <w:p w14:paraId="6A021E12" w14:textId="77777777" w:rsidR="00E30A73" w:rsidRPr="00A74F76" w:rsidRDefault="00E30A73"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p>
    <w:p w14:paraId="24423504" w14:textId="39CA118A" w:rsidR="00F87EBA" w:rsidRPr="00A74F76" w:rsidRDefault="00C9305A" w:rsidP="00E30A73">
      <w:pPr>
        <w:pStyle w:val="part"/>
        <w:spacing w:before="0" w:beforeAutospacing="0" w:after="0" w:afterAutospacing="0"/>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Absence of justification requirements</w:t>
      </w:r>
      <w:r w:rsidRPr="00A74F76">
        <w:rPr>
          <w:rStyle w:val="Strong"/>
          <w:rFonts w:ascii="Gilroy" w:hAnsi="Gilroy" w:cs="Segoe UI"/>
          <w:b w:val="0"/>
          <w:bCs w:val="0"/>
          <w:color w:val="000000" w:themeColor="text1"/>
          <w:spacing w:val="5"/>
          <w:sz w:val="22"/>
          <w:szCs w:val="22"/>
        </w:rPr>
        <w:t xml:space="preserve">. </w:t>
      </w:r>
      <w:r w:rsidR="00F87EBA" w:rsidRPr="00A74F76">
        <w:rPr>
          <w:rStyle w:val="Strong"/>
          <w:rFonts w:ascii="Gilroy" w:hAnsi="Gilroy" w:cs="Segoe UI"/>
          <w:b w:val="0"/>
          <w:bCs w:val="0"/>
          <w:color w:val="000000" w:themeColor="text1"/>
          <w:spacing w:val="5"/>
          <w:sz w:val="22"/>
          <w:szCs w:val="22"/>
        </w:rPr>
        <w:t xml:space="preserve">Conscientious objection in Chile is facilitated to the fullest possible extent by the Ministry of Health, which merely requires the completion of a form and refrains from requesting any details or background information as to the reasons behind the objection. </w:t>
      </w:r>
    </w:p>
    <w:p w14:paraId="54B00728" w14:textId="77777777" w:rsidR="00E30A73" w:rsidRPr="00A74F76" w:rsidRDefault="00E30A73" w:rsidP="00E30A73">
      <w:pPr>
        <w:pStyle w:val="part"/>
        <w:spacing w:before="0" w:beforeAutospacing="0" w:after="0" w:afterAutospacing="0"/>
        <w:jc w:val="both"/>
        <w:rPr>
          <w:rStyle w:val="Strong"/>
          <w:rFonts w:ascii="Gilroy" w:hAnsi="Gilroy" w:cs="Segoe UI"/>
          <w:color w:val="000000" w:themeColor="text1"/>
          <w:spacing w:val="5"/>
          <w:sz w:val="22"/>
          <w:szCs w:val="22"/>
        </w:rPr>
      </w:pPr>
    </w:p>
    <w:p w14:paraId="05B3495F" w14:textId="2558A49E" w:rsidR="00FE2BBC" w:rsidRPr="00A74F76" w:rsidRDefault="00FE2BBC" w:rsidP="00D74731">
      <w:pPr>
        <w:pStyle w:val="Heading3"/>
        <w:rPr>
          <w:rStyle w:val="Strong"/>
          <w:rFonts w:ascii="Gilroy" w:hAnsi="Gilroy"/>
          <w:b w:val="0"/>
          <w:bCs w:val="0"/>
          <w:sz w:val="22"/>
          <w:szCs w:val="22"/>
        </w:rPr>
      </w:pPr>
      <w:bookmarkStart w:id="28" w:name="_Toc50373302"/>
      <w:r w:rsidRPr="00A74F76">
        <w:rPr>
          <w:rStyle w:val="Strong"/>
          <w:rFonts w:ascii="Gilroy" w:hAnsi="Gilroy"/>
          <w:b w:val="0"/>
          <w:bCs w:val="0"/>
          <w:sz w:val="22"/>
          <w:szCs w:val="22"/>
        </w:rPr>
        <w:t>Informed consent</w:t>
      </w:r>
      <w:bookmarkEnd w:id="28"/>
    </w:p>
    <w:p w14:paraId="56313FDA" w14:textId="77777777" w:rsidR="00E30A73" w:rsidRPr="00A74F76" w:rsidRDefault="00E30A73" w:rsidP="00E30A73">
      <w:pPr>
        <w:jc w:val="both"/>
        <w:rPr>
          <w:rStyle w:val="Strong"/>
          <w:rFonts w:ascii="Gilroy" w:hAnsi="Gilroy" w:cs="Segoe UI"/>
          <w:b w:val="0"/>
          <w:bCs w:val="0"/>
          <w:color w:val="000000" w:themeColor="text1"/>
          <w:spacing w:val="5"/>
          <w:sz w:val="22"/>
          <w:szCs w:val="22"/>
        </w:rPr>
      </w:pPr>
    </w:p>
    <w:p w14:paraId="5577D9BF" w14:textId="4FD91617" w:rsidR="00FE2BBC" w:rsidRPr="00A74F76" w:rsidRDefault="00FE2BBC" w:rsidP="00E30A73">
      <w:pPr>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color w:val="000000" w:themeColor="text1"/>
          <w:spacing w:val="5"/>
          <w:sz w:val="22"/>
          <w:szCs w:val="22"/>
        </w:rPr>
        <w:t xml:space="preserve">The notion of informed consent lies at the heart of ethical medical practice and data protection. However, there is growing evidence that opposition tactics, both online and in-person, erode the notion of informed consent for women seeking access to sexual and reproductive health services.  </w:t>
      </w:r>
    </w:p>
    <w:p w14:paraId="0F39D393" w14:textId="53C1AB1F" w:rsidR="002C05E7" w:rsidRPr="00A74F76" w:rsidRDefault="002C05E7" w:rsidP="00E30A73">
      <w:pPr>
        <w:jc w:val="both"/>
        <w:rPr>
          <w:rStyle w:val="Strong"/>
          <w:rFonts w:ascii="Gilroy" w:hAnsi="Gilroy" w:cs="Segoe UI"/>
          <w:b w:val="0"/>
          <w:bCs w:val="0"/>
          <w:color w:val="000000" w:themeColor="text1"/>
          <w:spacing w:val="5"/>
          <w:sz w:val="22"/>
          <w:szCs w:val="22"/>
        </w:rPr>
      </w:pPr>
    </w:p>
    <w:p w14:paraId="47CEB780" w14:textId="7AE53505" w:rsidR="002C05E7" w:rsidRPr="00A74F76" w:rsidRDefault="002C05E7" w:rsidP="00E30A73">
      <w:pPr>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Absence of accreditation</w:t>
      </w:r>
      <w:r w:rsidRPr="00A74F76">
        <w:rPr>
          <w:rStyle w:val="Strong"/>
          <w:rFonts w:ascii="Gilroy" w:hAnsi="Gilroy" w:cs="Segoe UI"/>
          <w:b w:val="0"/>
          <w:bCs w:val="0"/>
          <w:color w:val="000000" w:themeColor="text1"/>
          <w:spacing w:val="5"/>
          <w:sz w:val="22"/>
          <w:szCs w:val="22"/>
        </w:rPr>
        <w:t>. As stated in the paragraphs above, multiple opposition-led websites and centres purport to give sexual and reproductive health advice without offering any form of medical accreditation or qualification. An Open Democracy investigation spanning 18 countries found that these centres presented themselves, whether through advertising or in person, as medically qualified institutions.</w:t>
      </w:r>
      <w:r w:rsidRPr="00A74F76">
        <w:rPr>
          <w:rStyle w:val="FootnoteReference"/>
          <w:rFonts w:ascii="Gilroy" w:hAnsi="Gilroy" w:cs="Segoe UI"/>
          <w:color w:val="000000" w:themeColor="text1"/>
          <w:spacing w:val="5"/>
          <w:sz w:val="22"/>
          <w:szCs w:val="22"/>
        </w:rPr>
        <w:footnoteReference w:id="74"/>
      </w:r>
      <w:r w:rsidR="00286B5A" w:rsidRPr="00A74F76">
        <w:rPr>
          <w:rStyle w:val="Strong"/>
          <w:rFonts w:ascii="Gilroy" w:hAnsi="Gilroy" w:cs="Segoe UI"/>
          <w:b w:val="0"/>
          <w:bCs w:val="0"/>
          <w:color w:val="000000" w:themeColor="text1"/>
          <w:spacing w:val="5"/>
          <w:sz w:val="22"/>
          <w:szCs w:val="22"/>
        </w:rPr>
        <w:t xml:space="preserve"> </w:t>
      </w:r>
      <w:r w:rsidR="005F4036" w:rsidRPr="00A74F76">
        <w:rPr>
          <w:rStyle w:val="Strong"/>
          <w:rFonts w:ascii="Gilroy" w:hAnsi="Gilroy" w:cs="Segoe UI"/>
          <w:b w:val="0"/>
          <w:bCs w:val="0"/>
          <w:color w:val="000000" w:themeColor="text1"/>
          <w:spacing w:val="5"/>
          <w:sz w:val="22"/>
          <w:szCs w:val="22"/>
        </w:rPr>
        <w:t>PI</w:t>
      </w:r>
      <w:r w:rsidR="00286B5A" w:rsidRPr="00A74F76">
        <w:rPr>
          <w:rStyle w:val="Strong"/>
          <w:rFonts w:ascii="Gilroy" w:hAnsi="Gilroy" w:cs="Segoe UI"/>
          <w:b w:val="0"/>
          <w:bCs w:val="0"/>
          <w:color w:val="000000" w:themeColor="text1"/>
          <w:spacing w:val="5"/>
          <w:sz w:val="22"/>
          <w:szCs w:val="22"/>
        </w:rPr>
        <w:t xml:space="preserve"> research later confirmed that these misleading practices extended to the online sphere.</w:t>
      </w:r>
      <w:r w:rsidR="00286B5A" w:rsidRPr="00A74F76">
        <w:rPr>
          <w:rStyle w:val="FootnoteReference"/>
          <w:rFonts w:ascii="Gilroy" w:hAnsi="Gilroy" w:cs="Segoe UI"/>
          <w:color w:val="000000" w:themeColor="text1"/>
          <w:spacing w:val="5"/>
          <w:sz w:val="22"/>
          <w:szCs w:val="22"/>
        </w:rPr>
        <w:footnoteReference w:id="75"/>
      </w:r>
      <w:r w:rsidR="00286B5A" w:rsidRPr="00A74F76">
        <w:rPr>
          <w:rStyle w:val="Strong"/>
          <w:rFonts w:ascii="Gilroy" w:hAnsi="Gilroy" w:cs="Segoe UI"/>
          <w:b w:val="0"/>
          <w:bCs w:val="0"/>
          <w:color w:val="000000" w:themeColor="text1"/>
          <w:spacing w:val="5"/>
          <w:sz w:val="22"/>
          <w:szCs w:val="22"/>
        </w:rPr>
        <w:t xml:space="preserve"> Strong penalties should exist for individuals or institutions holding themselves out as medically qualified, and they should be properly enforced. </w:t>
      </w:r>
    </w:p>
    <w:p w14:paraId="19B947B7" w14:textId="30F5FDB2" w:rsidR="00286B5A" w:rsidRPr="00A74F76" w:rsidRDefault="00286B5A" w:rsidP="00E30A73">
      <w:pPr>
        <w:jc w:val="both"/>
        <w:rPr>
          <w:rStyle w:val="Strong"/>
          <w:rFonts w:ascii="Gilroy" w:hAnsi="Gilroy" w:cs="Segoe UI"/>
          <w:b w:val="0"/>
          <w:bCs w:val="0"/>
          <w:color w:val="000000" w:themeColor="text1"/>
          <w:spacing w:val="5"/>
          <w:sz w:val="22"/>
          <w:szCs w:val="22"/>
        </w:rPr>
      </w:pPr>
    </w:p>
    <w:p w14:paraId="68125F2B" w14:textId="5BF5C6A6" w:rsidR="00286B5A" w:rsidRPr="00A74F76" w:rsidRDefault="00286B5A" w:rsidP="00E30A73">
      <w:pPr>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i/>
          <w:iCs/>
          <w:color w:val="000000" w:themeColor="text1"/>
          <w:spacing w:val="5"/>
          <w:sz w:val="22"/>
          <w:szCs w:val="22"/>
        </w:rPr>
        <w:t>The impact on privacy</w:t>
      </w:r>
      <w:r w:rsidRPr="00A74F76">
        <w:rPr>
          <w:rStyle w:val="Strong"/>
          <w:rFonts w:ascii="Gilroy" w:hAnsi="Gilroy" w:cs="Segoe UI"/>
          <w:b w:val="0"/>
          <w:bCs w:val="0"/>
          <w:color w:val="000000" w:themeColor="text1"/>
          <w:spacing w:val="5"/>
          <w:sz w:val="22"/>
          <w:szCs w:val="22"/>
        </w:rPr>
        <w:t>. Whether in online interactions or in person, women are more likely to disclose personal information if they believe they are speaking to a healthcare professional, not least because of the widespread notion of patient-doctor confidentiality. In the same way women would not so readily accept treatment from unqualified professionals, they may also have reservations about sharing their personal data with an unqualified third-party.</w:t>
      </w:r>
    </w:p>
    <w:p w14:paraId="14C02310" w14:textId="1B7AC6A1" w:rsidR="00286B5A" w:rsidRPr="00A74F76" w:rsidRDefault="00286B5A" w:rsidP="00E30A73">
      <w:pPr>
        <w:jc w:val="both"/>
        <w:rPr>
          <w:rStyle w:val="Strong"/>
          <w:rFonts w:ascii="Gilroy" w:hAnsi="Gilroy" w:cs="Segoe UI"/>
          <w:b w:val="0"/>
          <w:bCs w:val="0"/>
          <w:color w:val="000000" w:themeColor="text1"/>
          <w:spacing w:val="5"/>
          <w:sz w:val="22"/>
          <w:szCs w:val="22"/>
        </w:rPr>
      </w:pPr>
    </w:p>
    <w:p w14:paraId="5022BEF7" w14:textId="76F91645" w:rsidR="00061093" w:rsidRPr="000A333E" w:rsidRDefault="00061093" w:rsidP="00E30A73">
      <w:pPr>
        <w:jc w:val="both"/>
        <w:rPr>
          <w:rStyle w:val="Strong"/>
          <w:rFonts w:ascii="Gilroy" w:hAnsi="Gilroy" w:cs="Segoe UI"/>
          <w:color w:val="000000" w:themeColor="text1"/>
          <w:spacing w:val="5"/>
          <w:sz w:val="22"/>
          <w:szCs w:val="22"/>
        </w:rPr>
      </w:pPr>
      <w:r w:rsidRPr="000A333E">
        <w:rPr>
          <w:rStyle w:val="Strong"/>
          <w:rFonts w:ascii="Gilroy" w:hAnsi="Gilroy" w:cs="Segoe UI"/>
          <w:color w:val="000000" w:themeColor="text1"/>
          <w:spacing w:val="5"/>
          <w:sz w:val="22"/>
          <w:szCs w:val="22"/>
        </w:rPr>
        <w:t>Recommendations</w:t>
      </w:r>
    </w:p>
    <w:p w14:paraId="4CD851BF" w14:textId="733AD65D" w:rsidR="00061093" w:rsidRPr="00A74F76" w:rsidRDefault="001E29C2" w:rsidP="00061093">
      <w:pPr>
        <w:pStyle w:val="ListParagraph"/>
        <w:numPr>
          <w:ilvl w:val="0"/>
          <w:numId w:val="20"/>
        </w:numPr>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color w:val="000000" w:themeColor="text1"/>
          <w:spacing w:val="5"/>
          <w:sz w:val="22"/>
          <w:szCs w:val="22"/>
        </w:rPr>
        <w:t xml:space="preserve">The Working Group should recommend </w:t>
      </w:r>
      <w:r w:rsidR="000A333E">
        <w:rPr>
          <w:rStyle w:val="Strong"/>
          <w:rFonts w:ascii="Gilroy" w:hAnsi="Gilroy" w:cs="Segoe UI"/>
          <w:b w:val="0"/>
          <w:bCs w:val="0"/>
          <w:color w:val="000000" w:themeColor="text1"/>
          <w:spacing w:val="5"/>
          <w:sz w:val="22"/>
          <w:szCs w:val="22"/>
        </w:rPr>
        <w:t>for</w:t>
      </w:r>
      <w:r w:rsidR="00061093" w:rsidRPr="00A74F76">
        <w:rPr>
          <w:rStyle w:val="Strong"/>
          <w:rFonts w:ascii="Gilroy" w:hAnsi="Gilroy" w:cs="Segoe UI"/>
          <w:b w:val="0"/>
          <w:bCs w:val="0"/>
          <w:color w:val="000000" w:themeColor="text1"/>
          <w:spacing w:val="5"/>
          <w:sz w:val="22"/>
          <w:szCs w:val="22"/>
        </w:rPr>
        <w:t xml:space="preserve"> doctor-patient confidentiality </w:t>
      </w:r>
      <w:r w:rsidR="000A333E">
        <w:rPr>
          <w:rStyle w:val="Strong"/>
          <w:rFonts w:ascii="Gilroy" w:hAnsi="Gilroy" w:cs="Segoe UI"/>
          <w:b w:val="0"/>
          <w:bCs w:val="0"/>
          <w:color w:val="000000" w:themeColor="text1"/>
          <w:spacing w:val="5"/>
          <w:sz w:val="22"/>
          <w:szCs w:val="22"/>
        </w:rPr>
        <w:t>to be</w:t>
      </w:r>
      <w:r w:rsidR="00061093" w:rsidRPr="00A74F76">
        <w:rPr>
          <w:rStyle w:val="Strong"/>
          <w:rFonts w:ascii="Gilroy" w:hAnsi="Gilroy" w:cs="Segoe UI"/>
          <w:b w:val="0"/>
          <w:bCs w:val="0"/>
          <w:color w:val="000000" w:themeColor="text1"/>
          <w:spacing w:val="5"/>
          <w:sz w:val="22"/>
          <w:szCs w:val="22"/>
        </w:rPr>
        <w:t xml:space="preserve"> unequivocally protected and enforced</w:t>
      </w:r>
      <w:r w:rsidRPr="00A74F76">
        <w:rPr>
          <w:rStyle w:val="Strong"/>
          <w:rFonts w:ascii="Gilroy" w:hAnsi="Gilroy" w:cs="Segoe UI"/>
          <w:b w:val="0"/>
          <w:bCs w:val="0"/>
          <w:color w:val="000000" w:themeColor="text1"/>
          <w:spacing w:val="5"/>
          <w:sz w:val="22"/>
          <w:szCs w:val="22"/>
        </w:rPr>
        <w:t xml:space="preserve"> at all times</w:t>
      </w:r>
      <w:r w:rsidR="00061093" w:rsidRPr="00A74F76">
        <w:rPr>
          <w:rStyle w:val="Strong"/>
          <w:rFonts w:ascii="Gilroy" w:hAnsi="Gilroy" w:cs="Segoe UI"/>
          <w:b w:val="0"/>
          <w:bCs w:val="0"/>
          <w:color w:val="000000" w:themeColor="text1"/>
          <w:spacing w:val="5"/>
          <w:sz w:val="22"/>
          <w:szCs w:val="22"/>
        </w:rPr>
        <w:t xml:space="preserve">. </w:t>
      </w:r>
    </w:p>
    <w:p w14:paraId="2E0B307B" w14:textId="64FBF697" w:rsidR="00061093" w:rsidRPr="00A74F76" w:rsidRDefault="001E29C2" w:rsidP="00061093">
      <w:pPr>
        <w:pStyle w:val="ListParagraph"/>
        <w:numPr>
          <w:ilvl w:val="0"/>
          <w:numId w:val="20"/>
        </w:numPr>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color w:val="000000" w:themeColor="text1"/>
          <w:spacing w:val="5"/>
          <w:sz w:val="22"/>
          <w:szCs w:val="22"/>
        </w:rPr>
        <w:t>It should recommend that s</w:t>
      </w:r>
      <w:r w:rsidR="00061093" w:rsidRPr="00A74F76">
        <w:rPr>
          <w:rStyle w:val="Strong"/>
          <w:rFonts w:ascii="Gilroy" w:hAnsi="Gilroy" w:cs="Segoe UI"/>
          <w:b w:val="0"/>
          <w:bCs w:val="0"/>
          <w:color w:val="000000" w:themeColor="text1"/>
          <w:spacing w:val="5"/>
          <w:sz w:val="22"/>
          <w:szCs w:val="22"/>
        </w:rPr>
        <w:t xml:space="preserve">tates </w:t>
      </w:r>
      <w:r w:rsidRPr="00A74F76">
        <w:rPr>
          <w:rStyle w:val="Strong"/>
          <w:rFonts w:ascii="Gilroy" w:hAnsi="Gilroy" w:cs="Segoe UI"/>
          <w:b w:val="0"/>
          <w:bCs w:val="0"/>
          <w:color w:val="000000" w:themeColor="text1"/>
          <w:spacing w:val="5"/>
          <w:sz w:val="22"/>
          <w:szCs w:val="22"/>
        </w:rPr>
        <w:t xml:space="preserve">should </w:t>
      </w:r>
      <w:r w:rsidR="00061093" w:rsidRPr="00A74F76">
        <w:rPr>
          <w:rStyle w:val="Strong"/>
          <w:rFonts w:ascii="Gilroy" w:hAnsi="Gilroy" w:cs="Segoe UI"/>
          <w:b w:val="0"/>
          <w:bCs w:val="0"/>
          <w:color w:val="000000" w:themeColor="text1"/>
          <w:spacing w:val="5"/>
          <w:sz w:val="22"/>
          <w:szCs w:val="22"/>
        </w:rPr>
        <w:t xml:space="preserve">ensure that any legislation interfering with doctor-patient confidentiality is made compatible with women’s rights or, alternatively, repealed.  </w:t>
      </w:r>
    </w:p>
    <w:p w14:paraId="7D9B0651" w14:textId="38AA05CD" w:rsidR="00DC4356" w:rsidRPr="00A74F76" w:rsidRDefault="001E29C2" w:rsidP="000A333E">
      <w:pPr>
        <w:pStyle w:val="ListParagraph"/>
        <w:numPr>
          <w:ilvl w:val="0"/>
          <w:numId w:val="20"/>
        </w:numPr>
        <w:jc w:val="both"/>
        <w:rPr>
          <w:rStyle w:val="Strong"/>
          <w:rFonts w:ascii="Gilroy" w:hAnsi="Gilroy" w:cs="Segoe UI"/>
          <w:b w:val="0"/>
          <w:bCs w:val="0"/>
          <w:color w:val="000000" w:themeColor="text1"/>
          <w:spacing w:val="5"/>
          <w:sz w:val="22"/>
          <w:szCs w:val="22"/>
        </w:rPr>
      </w:pPr>
      <w:r w:rsidRPr="00A74F76">
        <w:rPr>
          <w:rStyle w:val="Strong"/>
          <w:rFonts w:ascii="Gilroy" w:hAnsi="Gilroy" w:cs="Segoe UI"/>
          <w:b w:val="0"/>
          <w:bCs w:val="0"/>
          <w:color w:val="000000" w:themeColor="text1"/>
          <w:spacing w:val="5"/>
          <w:sz w:val="22"/>
          <w:szCs w:val="22"/>
        </w:rPr>
        <w:t>It should note that</w:t>
      </w:r>
      <w:r w:rsidR="00061093" w:rsidRPr="00A74F76">
        <w:rPr>
          <w:rStyle w:val="Strong"/>
          <w:rFonts w:ascii="Gilroy" w:hAnsi="Gilroy" w:cs="Segoe UI"/>
          <w:b w:val="0"/>
          <w:bCs w:val="0"/>
          <w:color w:val="000000" w:themeColor="text1"/>
          <w:spacing w:val="5"/>
          <w:sz w:val="22"/>
          <w:szCs w:val="22"/>
        </w:rPr>
        <w:t xml:space="preserve"> any support services made available to women accessing sexual and reproductive healthcare </w:t>
      </w:r>
      <w:r w:rsidR="000A333E">
        <w:rPr>
          <w:rStyle w:val="Strong"/>
          <w:rFonts w:ascii="Gilroy" w:hAnsi="Gilroy" w:cs="Segoe UI"/>
          <w:b w:val="0"/>
          <w:bCs w:val="0"/>
          <w:color w:val="000000" w:themeColor="text1"/>
          <w:spacing w:val="5"/>
          <w:sz w:val="22"/>
          <w:szCs w:val="22"/>
        </w:rPr>
        <w:t>must be</w:t>
      </w:r>
      <w:r w:rsidR="00061093" w:rsidRPr="00A74F76">
        <w:rPr>
          <w:rStyle w:val="Strong"/>
          <w:rFonts w:ascii="Gilroy" w:hAnsi="Gilroy" w:cs="Segoe UI"/>
          <w:b w:val="0"/>
          <w:bCs w:val="0"/>
          <w:color w:val="000000" w:themeColor="text1"/>
          <w:spacing w:val="5"/>
          <w:sz w:val="22"/>
          <w:szCs w:val="22"/>
        </w:rPr>
        <w:t xml:space="preserve"> in a position to be able to respect the patient’s privacy</w:t>
      </w:r>
      <w:r w:rsidRPr="00A74F76">
        <w:rPr>
          <w:rStyle w:val="Strong"/>
          <w:rFonts w:ascii="Gilroy" w:hAnsi="Gilroy" w:cs="Segoe UI"/>
          <w:b w:val="0"/>
          <w:bCs w:val="0"/>
          <w:color w:val="000000" w:themeColor="text1"/>
          <w:spacing w:val="5"/>
          <w:sz w:val="22"/>
          <w:szCs w:val="22"/>
        </w:rPr>
        <w:t xml:space="preserve"> even in times of crisis</w:t>
      </w:r>
      <w:r w:rsidR="00061093" w:rsidRPr="00A74F76">
        <w:rPr>
          <w:rStyle w:val="Strong"/>
          <w:rFonts w:ascii="Gilroy" w:hAnsi="Gilroy" w:cs="Segoe UI"/>
          <w:b w:val="0"/>
          <w:bCs w:val="0"/>
          <w:color w:val="000000" w:themeColor="text1"/>
          <w:spacing w:val="5"/>
          <w:sz w:val="22"/>
          <w:szCs w:val="22"/>
        </w:rPr>
        <w:t>.</w:t>
      </w:r>
    </w:p>
    <w:p w14:paraId="5A4D9F80" w14:textId="7B0C706D" w:rsidR="00526EF8" w:rsidRPr="00A74F76" w:rsidRDefault="00286B5A" w:rsidP="004E50B1">
      <w:pPr>
        <w:pStyle w:val="Heading1"/>
        <w:numPr>
          <w:ilvl w:val="0"/>
          <w:numId w:val="12"/>
        </w:numPr>
        <w:rPr>
          <w:rFonts w:ascii="Gilroy" w:hAnsi="Gilroy"/>
          <w:sz w:val="24"/>
          <w:szCs w:val="24"/>
        </w:rPr>
      </w:pPr>
      <w:bookmarkStart w:id="29" w:name="_Toc50373303"/>
      <w:r w:rsidRPr="00A74F76">
        <w:rPr>
          <w:rStyle w:val="Strong"/>
          <w:rFonts w:ascii="Gilroy" w:hAnsi="Gilroy"/>
          <w:b w:val="0"/>
          <w:bCs w:val="0"/>
          <w:sz w:val="24"/>
          <w:szCs w:val="24"/>
        </w:rPr>
        <w:lastRenderedPageBreak/>
        <w:t>Groups of women disproportionately affected by restrictions on the exercise of reproductive rights</w:t>
      </w:r>
      <w:bookmarkEnd w:id="29"/>
    </w:p>
    <w:p w14:paraId="49A7A338"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741ED73" w14:textId="462FFAA6" w:rsidR="00AA1072" w:rsidRPr="00A74F76" w:rsidRDefault="00AA1072"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Some obstacles to the exercise of sexual and reproductive rights have a disproportionate effect on particular categories of women. </w:t>
      </w:r>
      <w:r w:rsidR="00E048B2" w:rsidRPr="00A74F76">
        <w:rPr>
          <w:rFonts w:ascii="Gilroy" w:hAnsi="Gilroy" w:cs="Segoe UI"/>
          <w:color w:val="000000" w:themeColor="text1"/>
          <w:spacing w:val="5"/>
          <w:sz w:val="22"/>
          <w:szCs w:val="22"/>
        </w:rPr>
        <w:t>PI</w:t>
      </w:r>
      <w:r w:rsidRPr="00A74F76">
        <w:rPr>
          <w:rFonts w:ascii="Gilroy" w:hAnsi="Gilroy" w:cs="Segoe UI"/>
          <w:color w:val="000000" w:themeColor="text1"/>
          <w:spacing w:val="5"/>
          <w:sz w:val="22"/>
          <w:szCs w:val="22"/>
        </w:rPr>
        <w:t xml:space="preserve"> has found that women </w:t>
      </w:r>
      <w:r w:rsidR="004D6399" w:rsidRPr="00A74F76">
        <w:rPr>
          <w:rFonts w:ascii="Gilroy" w:hAnsi="Gilroy" w:cs="Segoe UI"/>
          <w:color w:val="000000" w:themeColor="text1"/>
          <w:spacing w:val="5"/>
          <w:sz w:val="22"/>
          <w:szCs w:val="22"/>
        </w:rPr>
        <w:t>without legal status</w:t>
      </w:r>
      <w:r w:rsidRPr="00A74F76">
        <w:rPr>
          <w:rFonts w:ascii="Gilroy" w:hAnsi="Gilroy" w:cs="Segoe UI"/>
          <w:color w:val="000000" w:themeColor="text1"/>
          <w:spacing w:val="5"/>
          <w:sz w:val="22"/>
          <w:szCs w:val="22"/>
        </w:rPr>
        <w:t>,</w:t>
      </w:r>
      <w:r w:rsidR="00162A37" w:rsidRPr="00A74F76">
        <w:rPr>
          <w:rFonts w:ascii="Gilroy" w:hAnsi="Gilroy" w:cs="Segoe UI"/>
          <w:color w:val="000000" w:themeColor="text1"/>
          <w:spacing w:val="5"/>
          <w:sz w:val="22"/>
          <w:szCs w:val="22"/>
        </w:rPr>
        <w:t xml:space="preserve"> </w:t>
      </w:r>
      <w:r w:rsidR="004D6399" w:rsidRPr="00A74F76">
        <w:rPr>
          <w:rFonts w:ascii="Gilroy" w:hAnsi="Gilroy" w:cs="Segoe UI"/>
          <w:color w:val="000000" w:themeColor="text1"/>
          <w:spacing w:val="5"/>
          <w:sz w:val="22"/>
          <w:szCs w:val="22"/>
        </w:rPr>
        <w:t>those living in rural setting</w:t>
      </w:r>
      <w:r w:rsidRPr="00A74F76">
        <w:rPr>
          <w:rFonts w:ascii="Gilroy" w:hAnsi="Gilroy" w:cs="Segoe UI"/>
          <w:color w:val="000000" w:themeColor="text1"/>
          <w:spacing w:val="5"/>
          <w:sz w:val="22"/>
          <w:szCs w:val="22"/>
        </w:rPr>
        <w:t>,</w:t>
      </w:r>
      <w:r w:rsidR="004D6399" w:rsidRPr="00A74F76">
        <w:rPr>
          <w:rFonts w:ascii="Gilroy" w:hAnsi="Gilroy" w:cs="Segoe UI"/>
          <w:color w:val="000000" w:themeColor="text1"/>
          <w:spacing w:val="5"/>
          <w:sz w:val="22"/>
          <w:szCs w:val="22"/>
        </w:rPr>
        <w:t xml:space="preserve"> and those having survived domestic violence</w:t>
      </w:r>
      <w:r w:rsidRPr="00A74F76">
        <w:rPr>
          <w:rFonts w:ascii="Gilroy" w:hAnsi="Gilroy" w:cs="Segoe UI"/>
          <w:color w:val="000000" w:themeColor="text1"/>
          <w:spacing w:val="5"/>
          <w:sz w:val="22"/>
          <w:szCs w:val="22"/>
        </w:rPr>
        <w:t xml:space="preserve"> are among those who are adversely affected.</w:t>
      </w:r>
    </w:p>
    <w:p w14:paraId="4FF7E699" w14:textId="77777777" w:rsidR="00E30A73" w:rsidRPr="00A74F76" w:rsidRDefault="00E30A73" w:rsidP="00E30A73">
      <w:pPr>
        <w:pStyle w:val="part"/>
        <w:spacing w:before="0" w:beforeAutospacing="0" w:after="0" w:afterAutospacing="0"/>
        <w:jc w:val="both"/>
        <w:rPr>
          <w:rFonts w:ascii="Gilroy" w:hAnsi="Gilroy" w:cs="Segoe UI"/>
          <w:b/>
          <w:bCs/>
          <w:color w:val="000000" w:themeColor="text1"/>
          <w:spacing w:val="5"/>
          <w:sz w:val="22"/>
          <w:szCs w:val="22"/>
        </w:rPr>
      </w:pPr>
    </w:p>
    <w:p w14:paraId="6111E7D1" w14:textId="3F2D8298" w:rsidR="00286B5A" w:rsidRPr="00A74F76" w:rsidRDefault="00C376C1" w:rsidP="004E50B1">
      <w:pPr>
        <w:pStyle w:val="Heading3"/>
        <w:rPr>
          <w:rFonts w:ascii="Gilroy" w:hAnsi="Gilroy"/>
          <w:sz w:val="22"/>
          <w:szCs w:val="22"/>
        </w:rPr>
      </w:pPr>
      <w:bookmarkStart w:id="30" w:name="_Toc50373304"/>
      <w:r w:rsidRPr="00A74F76">
        <w:rPr>
          <w:rFonts w:ascii="Gilroy" w:hAnsi="Gilroy"/>
          <w:sz w:val="22"/>
          <w:szCs w:val="22"/>
        </w:rPr>
        <w:t>Migrant women</w:t>
      </w:r>
      <w:bookmarkEnd w:id="30"/>
    </w:p>
    <w:p w14:paraId="2DB651D1"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31043944" w14:textId="775587D4" w:rsidR="00C376C1" w:rsidRPr="00A74F76" w:rsidRDefault="00C376C1"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PI </w:t>
      </w:r>
      <w:r w:rsidR="00E048B2" w:rsidRPr="00A74F76">
        <w:rPr>
          <w:rFonts w:ascii="Gilroy" w:hAnsi="Gilroy" w:cs="Segoe UI"/>
          <w:color w:val="000000" w:themeColor="text1"/>
          <w:spacing w:val="5"/>
          <w:sz w:val="22"/>
          <w:szCs w:val="22"/>
        </w:rPr>
        <w:t xml:space="preserve">has been </w:t>
      </w:r>
      <w:r w:rsidRPr="00A74F76">
        <w:rPr>
          <w:rFonts w:ascii="Gilroy" w:hAnsi="Gilroy" w:cs="Segoe UI"/>
          <w:color w:val="000000" w:themeColor="text1"/>
          <w:spacing w:val="5"/>
          <w:sz w:val="22"/>
          <w:szCs w:val="22"/>
        </w:rPr>
        <w:t xml:space="preserve">working with partners </w:t>
      </w:r>
      <w:r w:rsidR="00022BD7" w:rsidRPr="00A74F76">
        <w:rPr>
          <w:rFonts w:ascii="Gilroy" w:hAnsi="Gilroy" w:cs="Segoe UI"/>
          <w:color w:val="000000" w:themeColor="text1"/>
          <w:spacing w:val="5"/>
          <w:sz w:val="22"/>
          <w:szCs w:val="22"/>
        </w:rPr>
        <w:t xml:space="preserve">around the world </w:t>
      </w:r>
      <w:r w:rsidRPr="00A74F76">
        <w:rPr>
          <w:rFonts w:ascii="Gilroy" w:hAnsi="Gilroy" w:cs="Segoe UI"/>
          <w:color w:val="000000" w:themeColor="text1"/>
          <w:spacing w:val="5"/>
          <w:sz w:val="22"/>
          <w:szCs w:val="22"/>
        </w:rPr>
        <w:t xml:space="preserve">to expose how welfare systems and healthcare systems are turning into systems of surveillance through the requirement for ID systems. Though our research on this front is preliminary, PI has found a trend in several countries, such as the Philippines, Kenya, Panama, Colombia, where people are required to provide ID to access health and welfare programmes. Such requirements prevent women without legal status to access sexual and reproductive health services. In the Philippines this problem is compounded by the requirement to show a birth certificate in order to obtain a valid ID. If the birth certificate is lost, damaged or otherwise not available, ID will not be issued. </w:t>
      </w:r>
    </w:p>
    <w:p w14:paraId="70F59DA3" w14:textId="77777777" w:rsidR="00E30A73" w:rsidRPr="00A74F76" w:rsidRDefault="00E30A73" w:rsidP="00E30A73">
      <w:pPr>
        <w:pStyle w:val="part"/>
        <w:spacing w:before="0" w:beforeAutospacing="0" w:after="0" w:afterAutospacing="0"/>
        <w:jc w:val="both"/>
        <w:rPr>
          <w:rFonts w:ascii="Gilroy" w:hAnsi="Gilroy" w:cs="Segoe UI"/>
          <w:b/>
          <w:bCs/>
          <w:color w:val="000000" w:themeColor="text1"/>
          <w:spacing w:val="5"/>
          <w:sz w:val="22"/>
          <w:szCs w:val="22"/>
        </w:rPr>
      </w:pPr>
    </w:p>
    <w:p w14:paraId="7B2F0F9D" w14:textId="466D7A32" w:rsidR="00EC3570" w:rsidRPr="00A74F76" w:rsidRDefault="00EC3570" w:rsidP="004E50B1">
      <w:pPr>
        <w:pStyle w:val="Heading3"/>
        <w:rPr>
          <w:rFonts w:ascii="Gilroy" w:hAnsi="Gilroy"/>
          <w:sz w:val="22"/>
          <w:szCs w:val="22"/>
        </w:rPr>
      </w:pPr>
      <w:bookmarkStart w:id="31" w:name="_Toc50373305"/>
      <w:r w:rsidRPr="00A74F76">
        <w:rPr>
          <w:rFonts w:ascii="Gilroy" w:hAnsi="Gilroy"/>
          <w:sz w:val="22"/>
          <w:szCs w:val="22"/>
        </w:rPr>
        <w:t>Rural women</w:t>
      </w:r>
      <w:bookmarkEnd w:id="31"/>
    </w:p>
    <w:p w14:paraId="2D9684C7" w14:textId="77777777" w:rsidR="00E30A73" w:rsidRPr="00A74F76" w:rsidRDefault="00E30A73" w:rsidP="00E30A73">
      <w:pPr>
        <w:pStyle w:val="part"/>
        <w:spacing w:before="0" w:beforeAutospacing="0" w:after="0" w:afterAutospacing="0"/>
        <w:jc w:val="both"/>
        <w:rPr>
          <w:rFonts w:ascii="Gilroy" w:hAnsi="Gilroy" w:cs="Segoe UI"/>
          <w:i/>
          <w:iCs/>
          <w:color w:val="000000" w:themeColor="text1"/>
          <w:spacing w:val="5"/>
          <w:sz w:val="22"/>
          <w:szCs w:val="22"/>
        </w:rPr>
      </w:pPr>
    </w:p>
    <w:p w14:paraId="0CBC8084" w14:textId="00B44494" w:rsidR="00162A37" w:rsidRPr="00A74F76" w:rsidRDefault="00EC357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Difficulties in obtaining ID</w:t>
      </w:r>
      <w:r w:rsidRPr="00A74F76">
        <w:rPr>
          <w:rFonts w:ascii="Gilroy" w:hAnsi="Gilroy" w:cs="Segoe UI"/>
          <w:color w:val="000000" w:themeColor="text1"/>
          <w:spacing w:val="5"/>
          <w:sz w:val="22"/>
          <w:szCs w:val="22"/>
        </w:rPr>
        <w:t xml:space="preserve">. </w:t>
      </w:r>
      <w:r w:rsidR="00162A37" w:rsidRPr="00A74F76">
        <w:rPr>
          <w:rFonts w:ascii="Gilroy" w:hAnsi="Gilroy" w:cs="Segoe UI"/>
          <w:color w:val="000000" w:themeColor="text1"/>
          <w:spacing w:val="5"/>
          <w:sz w:val="22"/>
          <w:szCs w:val="22"/>
        </w:rPr>
        <w:t>As previously stated, in India, many public hospitals are demanding Aadhaar cards – the national ID – before allowing women to access reproductive health procedures. This has resulted in a denial of essential services to people who have not been able to register to the Aadhaar database.</w:t>
      </w:r>
      <w:r w:rsidR="00162A37" w:rsidRPr="00A74F76">
        <w:rPr>
          <w:rStyle w:val="FootnoteReference"/>
          <w:rFonts w:ascii="Gilroy" w:hAnsi="Gilroy" w:cs="Segoe UI"/>
          <w:color w:val="000000" w:themeColor="text1"/>
          <w:spacing w:val="5"/>
          <w:sz w:val="22"/>
          <w:szCs w:val="22"/>
        </w:rPr>
        <w:footnoteReference w:id="76"/>
      </w:r>
      <w:r w:rsidR="00162A37" w:rsidRPr="00A74F76">
        <w:rPr>
          <w:rFonts w:ascii="Gilroy" w:hAnsi="Gilroy" w:cs="Segoe UI"/>
          <w:color w:val="000000" w:themeColor="text1"/>
          <w:spacing w:val="5"/>
          <w:sz w:val="22"/>
          <w:szCs w:val="22"/>
        </w:rPr>
        <w:t xml:space="preserve"> Of course, access to ID is predicated on access to government infrastructure, which is usually located in urban centres. However, </w:t>
      </w:r>
      <w:r w:rsidRPr="00A74F76">
        <w:rPr>
          <w:rFonts w:ascii="Gilroy" w:hAnsi="Gilroy" w:cs="Segoe UI"/>
          <w:color w:val="000000" w:themeColor="text1"/>
          <w:spacing w:val="5"/>
          <w:sz w:val="22"/>
          <w:szCs w:val="22"/>
        </w:rPr>
        <w:t xml:space="preserve">considering that </w:t>
      </w:r>
      <w:r w:rsidR="00162A37" w:rsidRPr="00A74F76">
        <w:rPr>
          <w:rFonts w:ascii="Gilroy" w:hAnsi="Gilroy" w:cs="Segoe UI"/>
          <w:color w:val="000000" w:themeColor="text1"/>
          <w:spacing w:val="5"/>
          <w:sz w:val="22"/>
          <w:szCs w:val="22"/>
        </w:rPr>
        <w:t>70% of the Indian population is rural</w:t>
      </w:r>
      <w:r w:rsidRPr="00A74F76">
        <w:rPr>
          <w:rFonts w:ascii="Gilroy" w:hAnsi="Gilroy" w:cs="Segoe UI"/>
          <w:color w:val="000000" w:themeColor="text1"/>
          <w:spacing w:val="5"/>
          <w:sz w:val="22"/>
          <w:szCs w:val="22"/>
        </w:rPr>
        <w:t>, it is likely the number of ID-holding population is limited</w:t>
      </w:r>
      <w:r w:rsidR="00162A37" w:rsidRPr="00A74F76">
        <w:rPr>
          <w:rFonts w:ascii="Gilroy" w:hAnsi="Gilroy" w:cs="Segoe UI"/>
          <w:color w:val="000000" w:themeColor="text1"/>
          <w:spacing w:val="5"/>
          <w:sz w:val="22"/>
          <w:szCs w:val="22"/>
        </w:rPr>
        <w:t>.</w:t>
      </w:r>
      <w:r w:rsidR="00162A37" w:rsidRPr="00A74F76">
        <w:rPr>
          <w:rStyle w:val="FootnoteReference"/>
          <w:rFonts w:ascii="Gilroy" w:hAnsi="Gilroy" w:cs="Segoe UI"/>
          <w:color w:val="000000" w:themeColor="text1"/>
          <w:spacing w:val="5"/>
          <w:sz w:val="22"/>
          <w:szCs w:val="22"/>
        </w:rPr>
        <w:footnoteReference w:id="77"/>
      </w:r>
    </w:p>
    <w:p w14:paraId="1EB7873B"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7B609402" w14:textId="01CBB562" w:rsidR="00EC3570" w:rsidRPr="00A74F76" w:rsidRDefault="00EC3570"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Digital literacy and inclusion</w:t>
      </w:r>
      <w:r w:rsidRPr="00A74F76">
        <w:rPr>
          <w:rFonts w:ascii="Gilroy" w:hAnsi="Gilroy" w:cs="Segoe UI"/>
          <w:color w:val="000000" w:themeColor="text1"/>
          <w:spacing w:val="5"/>
          <w:sz w:val="22"/>
          <w:szCs w:val="22"/>
        </w:rPr>
        <w:t xml:space="preserve">. Internet has become a key gateway to access to information, including accurate and reliable information on sexual and reproductive rights. However, the digital gap often means that women in rural areas may not benefit from the vast knowledge trove that is the Internet. In Peru, for example, only 12.5% of women in rural areas use Internet. In a joint submission to the Committee on the Elimination of All Forms of Discrimination Against Women, PI and </w:t>
      </w:r>
      <w:proofErr w:type="spellStart"/>
      <w:r w:rsidRPr="00A74F76">
        <w:rPr>
          <w:rFonts w:ascii="Gilroy" w:hAnsi="Gilroy" w:cs="Segoe UI"/>
          <w:color w:val="000000" w:themeColor="text1"/>
          <w:spacing w:val="5"/>
          <w:sz w:val="22"/>
          <w:szCs w:val="22"/>
        </w:rPr>
        <w:t>Hiperderecho</w:t>
      </w:r>
      <w:proofErr w:type="spellEnd"/>
      <w:r w:rsidRPr="00A74F76">
        <w:rPr>
          <w:rFonts w:ascii="Gilroy" w:hAnsi="Gilroy" w:cs="Segoe UI"/>
          <w:color w:val="000000" w:themeColor="text1"/>
          <w:spacing w:val="5"/>
          <w:sz w:val="22"/>
          <w:szCs w:val="22"/>
        </w:rPr>
        <w:t xml:space="preserve"> highlighted the digital gap as a factor exacerbating the country’s social inequalities, requesting the Committee to support the development of gender-specific objectives in policies relating to technology, broadband, infrastructure and privacy.</w:t>
      </w:r>
      <w:r w:rsidRPr="00A74F76">
        <w:rPr>
          <w:rStyle w:val="FootnoteReference"/>
          <w:rFonts w:ascii="Gilroy" w:hAnsi="Gilroy" w:cs="Segoe UI"/>
          <w:color w:val="000000" w:themeColor="text1"/>
          <w:spacing w:val="5"/>
          <w:sz w:val="22"/>
          <w:szCs w:val="22"/>
        </w:rPr>
        <w:footnoteReference w:id="78"/>
      </w:r>
      <w:r w:rsidRPr="00A74F76">
        <w:rPr>
          <w:rFonts w:ascii="Gilroy" w:hAnsi="Gilroy" w:cs="Segoe UI"/>
          <w:color w:val="000000" w:themeColor="text1"/>
          <w:spacing w:val="5"/>
          <w:sz w:val="22"/>
          <w:szCs w:val="22"/>
        </w:rPr>
        <w:t xml:space="preserve"> </w:t>
      </w:r>
    </w:p>
    <w:p w14:paraId="7EFA327F"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21DDCC8A" w14:textId="77777777" w:rsidR="00BA02D4" w:rsidRPr="00A74F76" w:rsidRDefault="00BA02D4" w:rsidP="004E50B1">
      <w:pPr>
        <w:pStyle w:val="Heading3"/>
        <w:rPr>
          <w:rFonts w:ascii="Gilroy" w:hAnsi="Gilroy"/>
          <w:sz w:val="22"/>
          <w:szCs w:val="22"/>
        </w:rPr>
      </w:pPr>
      <w:bookmarkStart w:id="32" w:name="_Toc50373306"/>
      <w:r w:rsidRPr="00A74F76">
        <w:rPr>
          <w:rFonts w:ascii="Gilroy" w:hAnsi="Gilroy"/>
          <w:sz w:val="22"/>
          <w:szCs w:val="22"/>
        </w:rPr>
        <w:t>Trans women</w:t>
      </w:r>
      <w:bookmarkEnd w:id="32"/>
    </w:p>
    <w:p w14:paraId="6FBC5B91"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0935B1A0" w14:textId="2811C742" w:rsidR="00BA02D4" w:rsidRPr="00A74F76" w:rsidRDefault="00BA02D4"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Trans women face obstacles in virtually every aspect of their lives. The fact that trans women’s experience of discrimination is exacerbated by being constrained to use an ID with their birth name and gender, as opposed to the name and gender they self-</w:t>
      </w:r>
      <w:r w:rsidRPr="00A74F76">
        <w:rPr>
          <w:rFonts w:ascii="Gilroy" w:hAnsi="Gilroy" w:cs="Segoe UI"/>
          <w:color w:val="000000" w:themeColor="text1"/>
          <w:spacing w:val="5"/>
          <w:sz w:val="22"/>
          <w:szCs w:val="22"/>
        </w:rPr>
        <w:lastRenderedPageBreak/>
        <w:t xml:space="preserve">identify with, has been exhaustively researched and documented. As PI has documented in interviews with trans activists, the repercussions of the mismatch between ID and self-identity extend to </w:t>
      </w:r>
      <w:r w:rsidR="0075406D" w:rsidRPr="00A74F76">
        <w:rPr>
          <w:rFonts w:ascii="Gilroy" w:hAnsi="Gilroy" w:cs="Segoe UI"/>
          <w:color w:val="000000" w:themeColor="text1"/>
          <w:spacing w:val="5"/>
          <w:sz w:val="22"/>
          <w:szCs w:val="22"/>
        </w:rPr>
        <w:t>trans women’s</w:t>
      </w:r>
      <w:r w:rsidRPr="00A74F76">
        <w:rPr>
          <w:rFonts w:ascii="Gilroy" w:hAnsi="Gilroy" w:cs="Segoe UI"/>
          <w:color w:val="000000" w:themeColor="text1"/>
          <w:spacing w:val="5"/>
          <w:sz w:val="22"/>
          <w:szCs w:val="22"/>
        </w:rPr>
        <w:t xml:space="preserve"> access to </w:t>
      </w:r>
      <w:r w:rsidR="0075406D" w:rsidRPr="00A74F76">
        <w:rPr>
          <w:rFonts w:ascii="Gilroy" w:hAnsi="Gilroy" w:cs="Segoe UI"/>
          <w:color w:val="000000" w:themeColor="text1"/>
          <w:spacing w:val="5"/>
          <w:sz w:val="22"/>
          <w:szCs w:val="22"/>
        </w:rPr>
        <w:t>sexual and reproductive health services</w:t>
      </w:r>
      <w:r w:rsidRPr="00A74F76">
        <w:rPr>
          <w:rFonts w:ascii="Gilroy" w:hAnsi="Gilroy" w:cs="Segoe UI"/>
          <w:color w:val="000000" w:themeColor="text1"/>
          <w:spacing w:val="5"/>
          <w:sz w:val="22"/>
          <w:szCs w:val="22"/>
        </w:rPr>
        <w:t>, with many trans people being discouraged from accessing healthcare services.</w:t>
      </w:r>
      <w:r w:rsidRPr="00A74F76">
        <w:rPr>
          <w:rStyle w:val="FootnoteReference"/>
          <w:rFonts w:ascii="Gilroy" w:hAnsi="Gilroy" w:cs="Segoe UI"/>
          <w:color w:val="000000" w:themeColor="text1"/>
          <w:spacing w:val="5"/>
          <w:sz w:val="22"/>
          <w:szCs w:val="22"/>
        </w:rPr>
        <w:footnoteReference w:id="79"/>
      </w:r>
    </w:p>
    <w:p w14:paraId="4D15F2F0" w14:textId="77777777" w:rsidR="00E30A73" w:rsidRPr="00A74F76" w:rsidRDefault="00E30A73" w:rsidP="00E30A73">
      <w:pPr>
        <w:pStyle w:val="part"/>
        <w:spacing w:before="0" w:beforeAutospacing="0" w:after="0" w:afterAutospacing="0"/>
        <w:jc w:val="both"/>
        <w:rPr>
          <w:rFonts w:ascii="Gilroy" w:hAnsi="Gilroy" w:cs="Segoe UI"/>
          <w:b/>
          <w:bCs/>
          <w:color w:val="000000" w:themeColor="text1"/>
          <w:spacing w:val="5"/>
          <w:sz w:val="22"/>
          <w:szCs w:val="22"/>
        </w:rPr>
      </w:pPr>
    </w:p>
    <w:p w14:paraId="1FD00345" w14:textId="5E15B15C" w:rsidR="00526EF8" w:rsidRPr="00A74F76" w:rsidRDefault="0075406D" w:rsidP="00E30A73">
      <w:pPr>
        <w:pStyle w:val="part"/>
        <w:spacing w:before="0" w:beforeAutospacing="0" w:after="0" w:afterAutospacing="0"/>
        <w:jc w:val="both"/>
        <w:rPr>
          <w:rFonts w:ascii="Gilroy" w:hAnsi="Gilroy" w:cs="Segoe UI"/>
          <w:color w:val="000000" w:themeColor="text1"/>
          <w:spacing w:val="5"/>
          <w:sz w:val="22"/>
          <w:szCs w:val="22"/>
        </w:rPr>
      </w:pPr>
      <w:r w:rsidRPr="00A74F76">
        <w:rPr>
          <w:rFonts w:ascii="Gilroy" w:hAnsi="Gilroy" w:cs="Segoe UI"/>
          <w:i/>
          <w:iCs/>
          <w:color w:val="000000" w:themeColor="text1"/>
          <w:spacing w:val="5"/>
          <w:sz w:val="22"/>
          <w:szCs w:val="22"/>
        </w:rPr>
        <w:t>Access to healthcare during the pandemic</w:t>
      </w:r>
      <w:r w:rsidRPr="00A74F76">
        <w:rPr>
          <w:rFonts w:ascii="Gilroy" w:hAnsi="Gilroy" w:cs="Segoe UI"/>
          <w:color w:val="000000" w:themeColor="text1"/>
          <w:spacing w:val="5"/>
          <w:sz w:val="22"/>
          <w:szCs w:val="22"/>
        </w:rPr>
        <w:t xml:space="preserve">. In countries which applied </w:t>
      </w:r>
      <w:proofErr w:type="gramStart"/>
      <w:r w:rsidRPr="00A74F76">
        <w:rPr>
          <w:rFonts w:ascii="Gilroy" w:hAnsi="Gilroy" w:cs="Segoe UI"/>
          <w:color w:val="000000" w:themeColor="text1"/>
          <w:spacing w:val="5"/>
          <w:sz w:val="22"/>
          <w:szCs w:val="22"/>
        </w:rPr>
        <w:t>gendered-measures</w:t>
      </w:r>
      <w:proofErr w:type="gramEnd"/>
      <w:r w:rsidRPr="00A74F76">
        <w:rPr>
          <w:rFonts w:ascii="Gilroy" w:hAnsi="Gilroy" w:cs="Segoe UI"/>
          <w:color w:val="000000" w:themeColor="text1"/>
          <w:spacing w:val="5"/>
          <w:sz w:val="22"/>
          <w:szCs w:val="22"/>
        </w:rPr>
        <w:t xml:space="preserve"> in response to the pandemic, for example by assigning different circulation days to women and men, instances of discrimination of transgender women were widely documented. This was the case in Peru</w:t>
      </w:r>
      <w:r w:rsidR="00475B36" w:rsidRPr="00A74F76">
        <w:rPr>
          <w:rFonts w:ascii="Gilroy" w:hAnsi="Gilroy" w:cs="Segoe UI"/>
          <w:color w:val="000000" w:themeColor="text1"/>
          <w:spacing w:val="5"/>
          <w:sz w:val="22"/>
          <w:szCs w:val="22"/>
        </w:rPr>
        <w:t xml:space="preserve">, </w:t>
      </w:r>
      <w:r w:rsidRPr="00A74F76">
        <w:rPr>
          <w:rFonts w:ascii="Gilroy" w:hAnsi="Gilroy" w:cs="Segoe UI"/>
          <w:color w:val="000000" w:themeColor="text1"/>
          <w:spacing w:val="5"/>
          <w:sz w:val="22"/>
          <w:szCs w:val="22"/>
        </w:rPr>
        <w:t>Panama</w:t>
      </w:r>
      <w:r w:rsidR="00475B36" w:rsidRPr="00A74F76">
        <w:rPr>
          <w:rFonts w:ascii="Gilroy" w:hAnsi="Gilroy" w:cs="Segoe UI"/>
          <w:color w:val="000000" w:themeColor="text1"/>
          <w:spacing w:val="5"/>
          <w:sz w:val="22"/>
          <w:szCs w:val="22"/>
        </w:rPr>
        <w:t xml:space="preserve"> and Colombia</w:t>
      </w:r>
      <w:r w:rsidRPr="00A74F76">
        <w:rPr>
          <w:rFonts w:ascii="Gilroy" w:hAnsi="Gilroy" w:cs="Segoe UI"/>
          <w:color w:val="000000" w:themeColor="text1"/>
          <w:spacing w:val="5"/>
          <w:sz w:val="22"/>
          <w:szCs w:val="22"/>
        </w:rPr>
        <w:t>.</w:t>
      </w:r>
      <w:r w:rsidR="00475B36" w:rsidRPr="00A74F76">
        <w:rPr>
          <w:rFonts w:ascii="Gilroy" w:hAnsi="Gilroy" w:cs="Segoe UI"/>
          <w:color w:val="000000" w:themeColor="text1"/>
          <w:spacing w:val="5"/>
          <w:sz w:val="22"/>
          <w:szCs w:val="22"/>
        </w:rPr>
        <w:t xml:space="preserve"> In all of these countries, the implementation of gendered-measures resulted in trans women whose ID did not match the gender they self-identified with having their identity challenged and being accused of breaching lockdown rules.</w:t>
      </w:r>
      <w:r w:rsidR="00475B36" w:rsidRPr="00A74F76">
        <w:rPr>
          <w:rStyle w:val="FootnoteReference"/>
          <w:rFonts w:ascii="Gilroy" w:hAnsi="Gilroy" w:cs="Segoe UI"/>
          <w:color w:val="000000" w:themeColor="text1"/>
          <w:spacing w:val="5"/>
          <w:sz w:val="22"/>
          <w:szCs w:val="22"/>
        </w:rPr>
        <w:footnoteReference w:id="80"/>
      </w:r>
      <w:r w:rsidRPr="00A74F76">
        <w:rPr>
          <w:rFonts w:ascii="Gilroy" w:hAnsi="Gilroy" w:cs="Segoe UI"/>
          <w:color w:val="000000" w:themeColor="text1"/>
          <w:spacing w:val="5"/>
          <w:sz w:val="22"/>
          <w:szCs w:val="22"/>
        </w:rPr>
        <w:t xml:space="preserve"> </w:t>
      </w:r>
      <w:r w:rsidR="00475B36" w:rsidRPr="00A74F76">
        <w:rPr>
          <w:rFonts w:ascii="Gilroy" w:hAnsi="Gilroy" w:cs="Segoe UI"/>
          <w:color w:val="000000" w:themeColor="text1"/>
          <w:spacing w:val="5"/>
          <w:sz w:val="22"/>
          <w:szCs w:val="22"/>
        </w:rPr>
        <w:t>This meant that trans women’s circulation was obstructed on the days when they could rightfully leave their home, and that their access to healthcare was curtailed</w:t>
      </w:r>
      <w:r w:rsidR="008E5D31" w:rsidRPr="00A74F76">
        <w:rPr>
          <w:rFonts w:ascii="Gilroy" w:hAnsi="Gilroy" w:cs="Segoe UI"/>
          <w:color w:val="000000" w:themeColor="text1"/>
          <w:spacing w:val="5"/>
          <w:sz w:val="22"/>
          <w:szCs w:val="22"/>
        </w:rPr>
        <w:t xml:space="preserve"> both</w:t>
      </w:r>
      <w:r w:rsidR="00475B36" w:rsidRPr="00A74F76">
        <w:rPr>
          <w:rFonts w:ascii="Gilroy" w:hAnsi="Gilroy" w:cs="Segoe UI"/>
          <w:color w:val="000000" w:themeColor="text1"/>
          <w:spacing w:val="5"/>
          <w:sz w:val="22"/>
          <w:szCs w:val="22"/>
        </w:rPr>
        <w:t xml:space="preserve"> </w:t>
      </w:r>
      <w:r w:rsidR="008E5D31" w:rsidRPr="00A74F76">
        <w:rPr>
          <w:rFonts w:ascii="Gilroy" w:hAnsi="Gilroy" w:cs="Segoe UI"/>
          <w:color w:val="000000" w:themeColor="text1"/>
          <w:spacing w:val="5"/>
          <w:sz w:val="22"/>
          <w:szCs w:val="22"/>
        </w:rPr>
        <w:t>when they</w:t>
      </w:r>
      <w:r w:rsidR="00475B36" w:rsidRPr="00A74F76">
        <w:rPr>
          <w:rFonts w:ascii="Gilroy" w:hAnsi="Gilroy" w:cs="Segoe UI"/>
          <w:color w:val="000000" w:themeColor="text1"/>
          <w:spacing w:val="5"/>
          <w:sz w:val="22"/>
          <w:szCs w:val="22"/>
        </w:rPr>
        <w:t xml:space="preserve"> were </w:t>
      </w:r>
      <w:r w:rsidR="008E5D31" w:rsidRPr="00A74F76">
        <w:rPr>
          <w:rFonts w:ascii="Gilroy" w:hAnsi="Gilroy" w:cs="Segoe UI"/>
          <w:color w:val="000000" w:themeColor="text1"/>
          <w:spacing w:val="5"/>
          <w:sz w:val="22"/>
          <w:szCs w:val="22"/>
        </w:rPr>
        <w:t xml:space="preserve">unfairly </w:t>
      </w:r>
      <w:r w:rsidR="00475B36" w:rsidRPr="00A74F76">
        <w:rPr>
          <w:rFonts w:ascii="Gilroy" w:hAnsi="Gilroy" w:cs="Segoe UI"/>
          <w:color w:val="000000" w:themeColor="text1"/>
          <w:spacing w:val="5"/>
          <w:sz w:val="22"/>
          <w:szCs w:val="22"/>
        </w:rPr>
        <w:t>stopped by authorities</w:t>
      </w:r>
      <w:r w:rsidR="008E5D31" w:rsidRPr="00A74F76">
        <w:rPr>
          <w:rFonts w:ascii="Gilroy" w:hAnsi="Gilroy" w:cs="Segoe UI"/>
          <w:color w:val="000000" w:themeColor="text1"/>
          <w:spacing w:val="5"/>
          <w:sz w:val="22"/>
          <w:szCs w:val="22"/>
        </w:rPr>
        <w:t>, or when they were deterred from seeking help on account of fear of reprisals</w:t>
      </w:r>
      <w:r w:rsidR="00475B36" w:rsidRPr="00A74F76">
        <w:rPr>
          <w:rFonts w:ascii="Gilroy" w:hAnsi="Gilroy" w:cs="Segoe UI"/>
          <w:color w:val="000000" w:themeColor="text1"/>
          <w:spacing w:val="5"/>
          <w:sz w:val="22"/>
          <w:szCs w:val="22"/>
        </w:rPr>
        <w:t>.</w:t>
      </w:r>
      <w:r w:rsidR="004D6399" w:rsidRPr="00A74F76">
        <w:rPr>
          <w:rFonts w:ascii="Gilroy" w:hAnsi="Gilroy" w:cs="Segoe UI"/>
          <w:color w:val="000000" w:themeColor="text1"/>
          <w:spacing w:val="5"/>
          <w:sz w:val="22"/>
          <w:szCs w:val="22"/>
        </w:rPr>
        <w:t xml:space="preserve"> </w:t>
      </w:r>
    </w:p>
    <w:p w14:paraId="0141FDE7" w14:textId="77777777" w:rsidR="00E30A73" w:rsidRPr="00A74F76" w:rsidRDefault="00E30A73" w:rsidP="00E30A73">
      <w:pPr>
        <w:pStyle w:val="part"/>
        <w:spacing w:before="0" w:beforeAutospacing="0" w:after="0" w:afterAutospacing="0"/>
        <w:jc w:val="both"/>
        <w:rPr>
          <w:rFonts w:ascii="Gilroy" w:hAnsi="Gilroy" w:cs="Segoe UI"/>
          <w:color w:val="000000" w:themeColor="text1"/>
          <w:spacing w:val="5"/>
          <w:sz w:val="22"/>
          <w:szCs w:val="22"/>
        </w:rPr>
      </w:pPr>
    </w:p>
    <w:p w14:paraId="65948DC6" w14:textId="49CDE09F" w:rsidR="00E23AA6" w:rsidRPr="00A74F76" w:rsidRDefault="0075406D" w:rsidP="004E50B1">
      <w:pPr>
        <w:pStyle w:val="Heading3"/>
        <w:rPr>
          <w:rFonts w:ascii="Gilroy" w:hAnsi="Gilroy"/>
          <w:sz w:val="22"/>
          <w:szCs w:val="22"/>
        </w:rPr>
      </w:pPr>
      <w:bookmarkStart w:id="33" w:name="_Toc50373307"/>
      <w:r w:rsidRPr="00A74F76">
        <w:rPr>
          <w:rFonts w:ascii="Gilroy" w:hAnsi="Gilroy"/>
          <w:sz w:val="22"/>
          <w:szCs w:val="22"/>
        </w:rPr>
        <w:t xml:space="preserve">Domestic </w:t>
      </w:r>
      <w:r w:rsidR="008212AD" w:rsidRPr="00A74F76">
        <w:rPr>
          <w:rFonts w:ascii="Gilroy" w:hAnsi="Gilroy"/>
          <w:sz w:val="22"/>
          <w:szCs w:val="22"/>
        </w:rPr>
        <w:t xml:space="preserve">and sexual </w:t>
      </w:r>
      <w:r w:rsidRPr="00A74F76">
        <w:rPr>
          <w:rFonts w:ascii="Gilroy" w:hAnsi="Gilroy"/>
          <w:sz w:val="22"/>
          <w:szCs w:val="22"/>
        </w:rPr>
        <w:t>violence survivors</w:t>
      </w:r>
      <w:bookmarkEnd w:id="33"/>
    </w:p>
    <w:p w14:paraId="18BD2C36" w14:textId="5BCBAC6E" w:rsidR="00162A37" w:rsidRPr="00A74F76" w:rsidRDefault="00162A37" w:rsidP="00E30A73">
      <w:pPr>
        <w:jc w:val="both"/>
        <w:rPr>
          <w:rFonts w:ascii="Gilroy" w:hAnsi="Gilroy"/>
          <w:color w:val="000000" w:themeColor="text1"/>
          <w:sz w:val="22"/>
          <w:szCs w:val="22"/>
        </w:rPr>
      </w:pPr>
    </w:p>
    <w:p w14:paraId="02CD0555" w14:textId="190CDEA2" w:rsidR="001E29C2" w:rsidRPr="00A74F76" w:rsidRDefault="008212AD" w:rsidP="00E30A73">
      <w:pPr>
        <w:jc w:val="both"/>
        <w:rPr>
          <w:rFonts w:ascii="Gilroy" w:hAnsi="Gilroy" w:cs="Segoe UI"/>
          <w:color w:val="000000" w:themeColor="text1"/>
          <w:spacing w:val="5"/>
          <w:sz w:val="22"/>
          <w:szCs w:val="22"/>
        </w:rPr>
      </w:pPr>
      <w:r w:rsidRPr="00A74F76">
        <w:rPr>
          <w:rFonts w:ascii="Gilroy" w:hAnsi="Gilroy" w:cs="Segoe UI"/>
          <w:color w:val="000000" w:themeColor="text1"/>
          <w:spacing w:val="5"/>
          <w:sz w:val="22"/>
          <w:szCs w:val="22"/>
        </w:rPr>
        <w:t xml:space="preserve">Domestic and sexual violence survivors deserve timely and adequate support. </w:t>
      </w:r>
      <w:r w:rsidR="00215EFA" w:rsidRPr="00A74F76">
        <w:rPr>
          <w:rFonts w:ascii="Gilroy" w:hAnsi="Gilroy" w:cs="Segoe UI"/>
          <w:color w:val="000000" w:themeColor="text1"/>
          <w:spacing w:val="5"/>
          <w:sz w:val="22"/>
          <w:szCs w:val="22"/>
        </w:rPr>
        <w:t xml:space="preserve">However, practical, social and cultural restrictions on the right to abortion may result in the double victimisation of survivors, even when support mechanisms are </w:t>
      </w:r>
      <w:r w:rsidR="00045F70" w:rsidRPr="00A74F76">
        <w:rPr>
          <w:rFonts w:ascii="Gilroy" w:hAnsi="Gilroy" w:cs="Segoe UI"/>
          <w:color w:val="000000" w:themeColor="text1"/>
          <w:spacing w:val="5"/>
          <w:sz w:val="22"/>
          <w:szCs w:val="22"/>
        </w:rPr>
        <w:t>implemented by law</w:t>
      </w:r>
      <w:r w:rsidR="00215EFA" w:rsidRPr="00A74F76">
        <w:rPr>
          <w:rFonts w:ascii="Gilroy" w:hAnsi="Gilroy" w:cs="Segoe UI"/>
          <w:color w:val="000000" w:themeColor="text1"/>
          <w:spacing w:val="5"/>
          <w:sz w:val="22"/>
          <w:szCs w:val="22"/>
        </w:rPr>
        <w:t>.</w:t>
      </w:r>
      <w:r w:rsidR="0075406D" w:rsidRPr="00A74F76">
        <w:rPr>
          <w:rFonts w:ascii="Gilroy" w:hAnsi="Gilroy" w:cs="Segoe UI"/>
          <w:color w:val="000000" w:themeColor="text1"/>
          <w:spacing w:val="5"/>
          <w:sz w:val="22"/>
          <w:szCs w:val="22"/>
        </w:rPr>
        <w:t xml:space="preserve"> </w:t>
      </w:r>
      <w:r w:rsidR="00162A37" w:rsidRPr="00A74F76">
        <w:rPr>
          <w:rFonts w:ascii="Gilroy" w:hAnsi="Gilroy" w:cs="Segoe UI"/>
          <w:color w:val="000000" w:themeColor="text1"/>
          <w:spacing w:val="5"/>
          <w:sz w:val="22"/>
          <w:szCs w:val="22"/>
        </w:rPr>
        <w:t>In 2005, India passed legislation addressing and outlining the rights of survivors of domestic and sexual violence, introducing amendments to the criminal code which made the failure by public and private actors to immediately treat victims of sexual violence a crime.</w:t>
      </w:r>
      <w:r w:rsidR="00162A37" w:rsidRPr="00A74F76">
        <w:rPr>
          <w:rFonts w:ascii="Gilroy" w:hAnsi="Gilroy" w:cs="Segoe UI"/>
          <w:color w:val="000000" w:themeColor="text1"/>
          <w:spacing w:val="5"/>
          <w:sz w:val="22"/>
          <w:szCs w:val="22"/>
          <w:vertAlign w:val="superscript"/>
        </w:rPr>
        <w:footnoteReference w:id="81"/>
      </w:r>
      <w:r w:rsidR="00162A37" w:rsidRPr="00A74F76">
        <w:rPr>
          <w:rFonts w:ascii="Gilroy" w:hAnsi="Gilroy" w:cs="Segoe UI"/>
          <w:color w:val="000000" w:themeColor="text1"/>
          <w:spacing w:val="5"/>
          <w:sz w:val="22"/>
          <w:szCs w:val="22"/>
          <w:vertAlign w:val="superscript"/>
        </w:rPr>
        <w:t xml:space="preserve"> </w:t>
      </w:r>
      <w:r w:rsidR="00162A37" w:rsidRPr="00A74F76">
        <w:rPr>
          <w:rFonts w:ascii="Gilroy" w:hAnsi="Gilroy" w:cs="Segoe UI"/>
          <w:color w:val="000000" w:themeColor="text1"/>
          <w:spacing w:val="5"/>
          <w:sz w:val="22"/>
          <w:szCs w:val="22"/>
        </w:rPr>
        <w:t xml:space="preserve">Despite this, research by the Centre for Enquiry into Health and Allied Themes (CEHAT) found that </w:t>
      </w:r>
      <w:r w:rsidR="00F94E1B" w:rsidRPr="00A74F76">
        <w:rPr>
          <w:rFonts w:ascii="Gilroy" w:hAnsi="Gilroy" w:cs="Segoe UI"/>
          <w:color w:val="000000" w:themeColor="text1"/>
          <w:spacing w:val="5"/>
          <w:sz w:val="22"/>
          <w:szCs w:val="22"/>
        </w:rPr>
        <w:t>private and public facilities frequently refuse to provide abortions to women, either when it is the woman’s first pregnancy, or if the pregnancy goes beyond the 20-week mark. Both grounds for refusal openly defy the domestic violence legislation.</w:t>
      </w:r>
      <w:r w:rsidR="00F94E1B" w:rsidRPr="00A74F76">
        <w:rPr>
          <w:rFonts w:ascii="Gilroy" w:hAnsi="Gilroy" w:cs="Segoe UI"/>
          <w:color w:val="000000" w:themeColor="text1"/>
          <w:spacing w:val="5"/>
          <w:sz w:val="22"/>
          <w:szCs w:val="22"/>
          <w:vertAlign w:val="superscript"/>
        </w:rPr>
        <w:footnoteReference w:id="82"/>
      </w:r>
      <w:r w:rsidR="00F94E1B" w:rsidRPr="00A74F76">
        <w:rPr>
          <w:rFonts w:ascii="Gilroy" w:hAnsi="Gilroy" w:cs="Segoe UI"/>
          <w:color w:val="000000" w:themeColor="text1"/>
          <w:spacing w:val="5"/>
          <w:sz w:val="22"/>
          <w:szCs w:val="22"/>
          <w:vertAlign w:val="superscript"/>
        </w:rPr>
        <w:t xml:space="preserve"> </w:t>
      </w:r>
    </w:p>
    <w:p w14:paraId="4FD1F519" w14:textId="252E5126" w:rsidR="00162A37" w:rsidRPr="00A74F76" w:rsidRDefault="00162A37" w:rsidP="00E30A73">
      <w:pPr>
        <w:jc w:val="both"/>
        <w:rPr>
          <w:rFonts w:ascii="Gilroy" w:hAnsi="Gilroy"/>
          <w:color w:val="000000" w:themeColor="text1"/>
          <w:sz w:val="22"/>
          <w:szCs w:val="22"/>
        </w:rPr>
      </w:pPr>
    </w:p>
    <w:p w14:paraId="7CEBE3CF" w14:textId="4262B4D3" w:rsidR="00E30A73" w:rsidRPr="000A333E" w:rsidRDefault="00E30A73" w:rsidP="000A333E">
      <w:pPr>
        <w:jc w:val="both"/>
        <w:rPr>
          <w:rStyle w:val="Strong"/>
          <w:rFonts w:ascii="Gilroy" w:hAnsi="Gilroy" w:cs="Segoe UI"/>
          <w:color w:val="000000" w:themeColor="text1"/>
          <w:spacing w:val="5"/>
          <w:sz w:val="22"/>
          <w:szCs w:val="22"/>
        </w:rPr>
      </w:pPr>
      <w:r w:rsidRPr="000A333E">
        <w:rPr>
          <w:rStyle w:val="Strong"/>
          <w:rFonts w:ascii="Gilroy" w:hAnsi="Gilroy" w:cs="Segoe UI"/>
          <w:color w:val="000000" w:themeColor="text1"/>
          <w:spacing w:val="5"/>
          <w:sz w:val="22"/>
          <w:szCs w:val="22"/>
        </w:rPr>
        <w:t>Recommendations</w:t>
      </w:r>
    </w:p>
    <w:p w14:paraId="2AF46E15" w14:textId="6356B91A" w:rsidR="004014A9" w:rsidRPr="000A333E" w:rsidRDefault="001E29C2" w:rsidP="004014A9">
      <w:pPr>
        <w:pStyle w:val="ListParagraph"/>
        <w:numPr>
          <w:ilvl w:val="0"/>
          <w:numId w:val="14"/>
        </w:numPr>
        <w:rPr>
          <w:rFonts w:ascii="Gilroy" w:hAnsi="Gilroy"/>
          <w:sz w:val="22"/>
          <w:szCs w:val="22"/>
        </w:rPr>
      </w:pPr>
      <w:r w:rsidRPr="00A74F76">
        <w:rPr>
          <w:rFonts w:ascii="Gilroy" w:hAnsi="Gilroy"/>
          <w:sz w:val="22"/>
          <w:szCs w:val="22"/>
        </w:rPr>
        <w:t xml:space="preserve">The Working Group should recognise </w:t>
      </w:r>
      <w:r w:rsidR="004014A9" w:rsidRPr="00A74F76">
        <w:rPr>
          <w:rFonts w:ascii="Gilroy" w:hAnsi="Gilroy"/>
          <w:sz w:val="22"/>
          <w:szCs w:val="22"/>
        </w:rPr>
        <w:t xml:space="preserve">that all women </w:t>
      </w:r>
      <w:r w:rsidR="000A333E">
        <w:rPr>
          <w:rFonts w:ascii="Gilroy" w:hAnsi="Gilroy"/>
          <w:sz w:val="22"/>
          <w:szCs w:val="22"/>
        </w:rPr>
        <w:t>must be</w:t>
      </w:r>
      <w:r w:rsidR="004014A9" w:rsidRPr="00A74F76">
        <w:rPr>
          <w:rFonts w:ascii="Gilroy" w:hAnsi="Gilroy"/>
          <w:sz w:val="22"/>
          <w:szCs w:val="22"/>
        </w:rPr>
        <w:t xml:space="preserve"> guaranteed equal access to sexual and reproductive services and information</w:t>
      </w:r>
      <w:r w:rsidRPr="00A74F76">
        <w:rPr>
          <w:rFonts w:ascii="Gilroy" w:hAnsi="Gilroy"/>
          <w:sz w:val="22"/>
          <w:szCs w:val="22"/>
        </w:rPr>
        <w:t xml:space="preserve"> at all times</w:t>
      </w:r>
      <w:r w:rsidR="004014A9" w:rsidRPr="00A74F76">
        <w:rPr>
          <w:rFonts w:ascii="Gilroy" w:hAnsi="Gilroy"/>
          <w:sz w:val="22"/>
          <w:szCs w:val="22"/>
        </w:rPr>
        <w:t>.</w:t>
      </w:r>
    </w:p>
    <w:p w14:paraId="416AE43D" w14:textId="0C5BBEAB" w:rsidR="000C42A3" w:rsidRPr="000A333E" w:rsidRDefault="001E29C2" w:rsidP="004014A9">
      <w:pPr>
        <w:pStyle w:val="ListParagraph"/>
        <w:numPr>
          <w:ilvl w:val="0"/>
          <w:numId w:val="14"/>
        </w:numPr>
        <w:rPr>
          <w:rFonts w:ascii="Gilroy" w:hAnsi="Gilroy"/>
          <w:sz w:val="22"/>
          <w:szCs w:val="22"/>
        </w:rPr>
      </w:pPr>
      <w:r w:rsidRPr="00A74F76">
        <w:rPr>
          <w:rFonts w:ascii="Gilroy" w:hAnsi="Gilroy"/>
          <w:sz w:val="22"/>
          <w:szCs w:val="22"/>
        </w:rPr>
        <w:t>It should recommend that a</w:t>
      </w:r>
      <w:r w:rsidR="004014A9" w:rsidRPr="00A74F76">
        <w:rPr>
          <w:rFonts w:ascii="Gilroy" w:hAnsi="Gilroy"/>
          <w:sz w:val="22"/>
          <w:szCs w:val="22"/>
        </w:rPr>
        <w:t>ll legal and practical obstacles to women accessing healthcare</w:t>
      </w:r>
      <w:r w:rsidR="000C42A3" w:rsidRPr="00A74F76">
        <w:rPr>
          <w:rFonts w:ascii="Gilroy" w:hAnsi="Gilroy"/>
          <w:sz w:val="22"/>
          <w:szCs w:val="22"/>
        </w:rPr>
        <w:t xml:space="preserve"> on equal footing are removed. </w:t>
      </w:r>
    </w:p>
    <w:p w14:paraId="0CFCBB55" w14:textId="52880E1D" w:rsidR="004014A9" w:rsidRPr="00A74F76" w:rsidRDefault="005364C1" w:rsidP="000A333E">
      <w:pPr>
        <w:pStyle w:val="ListParagraph"/>
        <w:numPr>
          <w:ilvl w:val="0"/>
          <w:numId w:val="14"/>
        </w:numPr>
        <w:rPr>
          <w:rFonts w:ascii="Gilroy" w:hAnsi="Gilroy"/>
          <w:sz w:val="22"/>
          <w:szCs w:val="22"/>
        </w:rPr>
      </w:pPr>
      <w:r w:rsidRPr="00A74F76">
        <w:rPr>
          <w:rFonts w:ascii="Gilroy" w:hAnsi="Gilroy"/>
          <w:sz w:val="22"/>
          <w:szCs w:val="22"/>
        </w:rPr>
        <w:t xml:space="preserve">It should recommend </w:t>
      </w:r>
      <w:r w:rsidR="000A333E">
        <w:rPr>
          <w:rFonts w:ascii="Gilroy" w:hAnsi="Gilroy"/>
          <w:sz w:val="22"/>
          <w:szCs w:val="22"/>
        </w:rPr>
        <w:t>for</w:t>
      </w:r>
      <w:r w:rsidRPr="00A74F76">
        <w:rPr>
          <w:rFonts w:ascii="Gilroy" w:hAnsi="Gilroy"/>
          <w:sz w:val="22"/>
          <w:szCs w:val="22"/>
        </w:rPr>
        <w:t xml:space="preserve"> s</w:t>
      </w:r>
      <w:r w:rsidR="000C42A3" w:rsidRPr="00A74F76">
        <w:rPr>
          <w:rFonts w:ascii="Gilroy" w:hAnsi="Gilroy"/>
          <w:sz w:val="22"/>
          <w:szCs w:val="22"/>
        </w:rPr>
        <w:t xml:space="preserve">tates </w:t>
      </w:r>
      <w:r w:rsidR="000A333E">
        <w:rPr>
          <w:rFonts w:ascii="Gilroy" w:hAnsi="Gilroy"/>
          <w:sz w:val="22"/>
          <w:szCs w:val="22"/>
        </w:rPr>
        <w:t>to</w:t>
      </w:r>
      <w:r w:rsidR="000C42A3" w:rsidRPr="00A74F76">
        <w:rPr>
          <w:rFonts w:ascii="Gilroy" w:hAnsi="Gilroy"/>
          <w:sz w:val="22"/>
          <w:szCs w:val="22"/>
        </w:rPr>
        <w:t xml:space="preserve"> ensure that any measures taken in response to a crisis properly take into account the experiences of all women, in particular those who are disproportionately discriminated, excluded or otherwise victimised on account of their gender identity, race, and socioeconomic background.</w:t>
      </w:r>
    </w:p>
    <w:sectPr w:rsidR="004014A9" w:rsidRPr="00A74F76" w:rsidSect="00E30A73">
      <w:headerReference w:type="default" r:id="rId8"/>
      <w:footerReference w:type="even" r:id="rId9"/>
      <w:footerReference w:type="default" r:id="rId10"/>
      <w:head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77074" w14:textId="77777777" w:rsidR="009A256D" w:rsidRDefault="009A256D" w:rsidP="00425AA4">
      <w:r>
        <w:separator/>
      </w:r>
    </w:p>
  </w:endnote>
  <w:endnote w:type="continuationSeparator" w:id="0">
    <w:p w14:paraId="775476AA" w14:textId="77777777" w:rsidR="009A256D" w:rsidRDefault="009A256D" w:rsidP="0042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roy">
    <w:panose1 w:val="020B0604020202020204"/>
    <w:charset w:val="4D"/>
    <w:family w:val="auto"/>
    <w:notTrueType/>
    <w:pitch w:val="variable"/>
    <w:sig w:usb0="00000207" w:usb1="00000000" w:usb2="00000000" w:usb3="00000000" w:csb0="00000097"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B060402020202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2670832"/>
      <w:docPartObj>
        <w:docPartGallery w:val="Page Numbers (Bottom of Page)"/>
        <w:docPartUnique/>
      </w:docPartObj>
    </w:sdtPr>
    <w:sdtEndPr>
      <w:rPr>
        <w:rStyle w:val="PageNumber"/>
      </w:rPr>
    </w:sdtEndPr>
    <w:sdtContent>
      <w:p w14:paraId="772D4CC9" w14:textId="17B00F56" w:rsidR="00581B4D" w:rsidRDefault="00581B4D" w:rsidP="00AE7C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40B673" w14:textId="77777777" w:rsidR="00581B4D" w:rsidRDefault="00581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ilroy" w:hAnsi="Gilroy"/>
        <w:sz w:val="22"/>
        <w:szCs w:val="22"/>
      </w:rPr>
      <w:id w:val="-823203607"/>
      <w:docPartObj>
        <w:docPartGallery w:val="Page Numbers (Bottom of Page)"/>
        <w:docPartUnique/>
      </w:docPartObj>
    </w:sdtPr>
    <w:sdtEndPr>
      <w:rPr>
        <w:rStyle w:val="PageNumber"/>
      </w:rPr>
    </w:sdtEndPr>
    <w:sdtContent>
      <w:p w14:paraId="00EB2A5F" w14:textId="56B17DAE" w:rsidR="00581B4D" w:rsidRPr="00A74F76" w:rsidRDefault="00581B4D" w:rsidP="00AE7C34">
        <w:pPr>
          <w:pStyle w:val="Footer"/>
          <w:framePr w:wrap="none" w:vAnchor="text" w:hAnchor="page" w:x="6181" w:y="87"/>
          <w:rPr>
            <w:rStyle w:val="PageNumber"/>
            <w:rFonts w:ascii="Gilroy" w:hAnsi="Gilroy"/>
            <w:sz w:val="22"/>
            <w:szCs w:val="22"/>
          </w:rPr>
        </w:pPr>
        <w:r w:rsidRPr="00A74F76">
          <w:rPr>
            <w:rStyle w:val="PageNumber"/>
            <w:rFonts w:ascii="Gilroy" w:hAnsi="Gilroy"/>
            <w:sz w:val="22"/>
            <w:szCs w:val="22"/>
          </w:rPr>
          <w:fldChar w:fldCharType="begin"/>
        </w:r>
        <w:r w:rsidRPr="00A74F76">
          <w:rPr>
            <w:rStyle w:val="PageNumber"/>
            <w:rFonts w:ascii="Gilroy" w:hAnsi="Gilroy"/>
            <w:sz w:val="22"/>
            <w:szCs w:val="22"/>
          </w:rPr>
          <w:instrText xml:space="preserve"> PAGE </w:instrText>
        </w:r>
        <w:r w:rsidRPr="00A74F76">
          <w:rPr>
            <w:rStyle w:val="PageNumber"/>
            <w:rFonts w:ascii="Gilroy" w:hAnsi="Gilroy"/>
            <w:sz w:val="22"/>
            <w:szCs w:val="22"/>
          </w:rPr>
          <w:fldChar w:fldCharType="separate"/>
        </w:r>
        <w:r w:rsidRPr="00A74F76">
          <w:rPr>
            <w:rStyle w:val="PageNumber"/>
            <w:rFonts w:ascii="Gilroy" w:hAnsi="Gilroy"/>
            <w:noProof/>
            <w:sz w:val="22"/>
            <w:szCs w:val="22"/>
          </w:rPr>
          <w:t>4</w:t>
        </w:r>
        <w:r w:rsidRPr="00A74F76">
          <w:rPr>
            <w:rStyle w:val="PageNumber"/>
            <w:rFonts w:ascii="Gilroy" w:hAnsi="Gilroy"/>
            <w:sz w:val="22"/>
            <w:szCs w:val="22"/>
          </w:rPr>
          <w:fldChar w:fldCharType="end"/>
        </w:r>
      </w:p>
    </w:sdtContent>
  </w:sdt>
  <w:p w14:paraId="483419EA" w14:textId="77777777" w:rsidR="00581B4D" w:rsidRDefault="0058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13FF" w14:textId="77777777" w:rsidR="009A256D" w:rsidRDefault="009A256D" w:rsidP="00425AA4">
      <w:r>
        <w:separator/>
      </w:r>
    </w:p>
  </w:footnote>
  <w:footnote w:type="continuationSeparator" w:id="0">
    <w:p w14:paraId="57688C83" w14:textId="77777777" w:rsidR="009A256D" w:rsidRDefault="009A256D" w:rsidP="00425AA4">
      <w:r>
        <w:continuationSeparator/>
      </w:r>
    </w:p>
  </w:footnote>
  <w:footnote w:id="1">
    <w:p w14:paraId="088C8686" w14:textId="2AA4F955" w:rsidR="00581B4D" w:rsidRPr="00A74F76" w:rsidRDefault="00581B4D" w:rsidP="00A74F76">
      <w:pPr>
        <w:jc w:val="both"/>
        <w:rPr>
          <w:rFonts w:ascii="Gilroy" w:hAnsi="Gilroy"/>
          <w:color w:val="000000" w:themeColor="text1"/>
          <w:sz w:val="18"/>
          <w:szCs w:val="18"/>
        </w:rPr>
      </w:pPr>
      <w:r w:rsidRPr="00A74F76">
        <w:rPr>
          <w:rFonts w:ascii="Gilroy" w:hAnsi="Gilroy"/>
          <w:color w:val="000000" w:themeColor="text1"/>
          <w:sz w:val="18"/>
          <w:szCs w:val="18"/>
          <w:vertAlign w:val="superscript"/>
        </w:rPr>
        <w:footnoteRef/>
      </w:r>
      <w:r w:rsidRPr="00A74F76">
        <w:rPr>
          <w:rFonts w:ascii="Gilroy" w:hAnsi="Gilroy"/>
          <w:color w:val="000000" w:themeColor="text1"/>
          <w:sz w:val="18"/>
          <w:szCs w:val="18"/>
        </w:rPr>
        <w:t xml:space="preserve"> Privacy International (PI) is a London based registered charity that works globally at the intersection of modern technologies and rights. We challenge overreaching state and corporate surveillance, so that people everywhere can have greater security and freedom through greater personal privacy. We are fighting for a world where technology will empower and enable us, not exploit our data for profit and power.</w:t>
      </w:r>
    </w:p>
  </w:footnote>
  <w:footnote w:id="2">
    <w:p w14:paraId="70934E2E" w14:textId="4E5D5500"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hyperlink r:id="rId1" w:history="1">
        <w:r w:rsidRPr="00A74F76">
          <w:rPr>
            <w:rStyle w:val="Hyperlink"/>
            <w:rFonts w:ascii="Gilroy" w:hAnsi="Gilroy"/>
            <w:sz w:val="18"/>
            <w:szCs w:val="18"/>
          </w:rPr>
          <w:t>https://www.ohchr.org/EN/Issues/Women/WGWomen/Pages/SexualReproductiveHealthRights.aspx</w:t>
        </w:r>
      </w:hyperlink>
      <w:r w:rsidRPr="00A74F76">
        <w:rPr>
          <w:rFonts w:ascii="Gilroy" w:hAnsi="Gilroy"/>
          <w:sz w:val="18"/>
          <w:szCs w:val="18"/>
        </w:rPr>
        <w:t xml:space="preserve">. </w:t>
      </w:r>
    </w:p>
  </w:footnote>
  <w:footnote w:id="3">
    <w:p w14:paraId="13C14252" w14:textId="7777777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Our Global Reach</w:t>
      </w:r>
      <w:r w:rsidRPr="00A74F76">
        <w:rPr>
          <w:rFonts w:ascii="Gilroy" w:hAnsi="Gilroy"/>
          <w:sz w:val="18"/>
          <w:szCs w:val="18"/>
        </w:rPr>
        <w:t xml:space="preserve">, available at: </w:t>
      </w:r>
      <w:hyperlink r:id="rId2" w:history="1">
        <w:r w:rsidRPr="00A74F76">
          <w:rPr>
            <w:rStyle w:val="Hyperlink"/>
            <w:rFonts w:ascii="Gilroy" w:hAnsi="Gilroy"/>
            <w:sz w:val="18"/>
            <w:szCs w:val="18"/>
          </w:rPr>
          <w:t>https://privacyinternational.org/where-we-work</w:t>
        </w:r>
      </w:hyperlink>
      <w:r w:rsidRPr="00A74F76">
        <w:rPr>
          <w:rFonts w:ascii="Gilroy" w:hAnsi="Gilroy"/>
          <w:sz w:val="18"/>
          <w:szCs w:val="18"/>
        </w:rPr>
        <w:t xml:space="preserve"> </w:t>
      </w:r>
    </w:p>
  </w:footnote>
  <w:footnote w:id="4">
    <w:p w14:paraId="40963E11" w14:textId="7777777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Throughout this submission, the concept of “women” is intended to encapsulate women in all their diversity, including transgender, gender-diverse people, lesbians, bisexual people, sex workers, women and girls with disabilities, women living with HIV, women who use drugs, refugees, migrants, women and girls in conflict zones, detention and humanitarian settings, indigenous women and those from other racial and ethnic minorities.</w:t>
      </w:r>
    </w:p>
  </w:footnote>
  <w:footnote w:id="5">
    <w:p w14:paraId="07ACF162" w14:textId="77777777" w:rsidR="00581B4D" w:rsidRPr="00A74F76" w:rsidRDefault="00581B4D" w:rsidP="00581B4D">
      <w:pPr>
        <w:pStyle w:val="FootnoteText"/>
        <w:tabs>
          <w:tab w:val="left" w:pos="794"/>
        </w:tabs>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Reproductive Rights and Privacy Project</w:t>
      </w:r>
      <w:r w:rsidRPr="00A74F76">
        <w:rPr>
          <w:rFonts w:ascii="Gilroy" w:hAnsi="Gilroy"/>
          <w:sz w:val="18"/>
          <w:szCs w:val="18"/>
        </w:rPr>
        <w:t xml:space="preserve">, available at: </w:t>
      </w:r>
      <w:hyperlink r:id="rId3" w:history="1">
        <w:r w:rsidRPr="00A74F76">
          <w:rPr>
            <w:rStyle w:val="Hyperlink"/>
            <w:rFonts w:ascii="Gilroy" w:hAnsi="Gilroy"/>
            <w:sz w:val="18"/>
            <w:szCs w:val="18"/>
          </w:rPr>
          <w:t>https://privacyinternational.org/campaigns/reproductive-rights-and-privacy-project</w:t>
        </w:r>
      </w:hyperlink>
      <w:r w:rsidRPr="00A74F76">
        <w:rPr>
          <w:rFonts w:ascii="Gilroy" w:hAnsi="Gilroy"/>
          <w:sz w:val="18"/>
          <w:szCs w:val="18"/>
        </w:rPr>
        <w:t xml:space="preserve">. </w:t>
      </w:r>
    </w:p>
  </w:footnote>
  <w:footnote w:id="6">
    <w:p w14:paraId="40B76FDD" w14:textId="7777777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UN OHCHR, </w:t>
      </w:r>
      <w:r w:rsidRPr="00A74F76">
        <w:rPr>
          <w:rFonts w:ascii="Gilroy" w:hAnsi="Gilroy"/>
          <w:i/>
          <w:iCs/>
          <w:sz w:val="18"/>
          <w:szCs w:val="18"/>
        </w:rPr>
        <w:t>Women’s economic, social and cultural rights</w:t>
      </w:r>
      <w:r w:rsidRPr="00A74F76">
        <w:rPr>
          <w:rFonts w:ascii="Gilroy" w:hAnsi="Gilroy"/>
          <w:sz w:val="18"/>
          <w:szCs w:val="18"/>
        </w:rPr>
        <w:t xml:space="preserve">, available at: </w:t>
      </w:r>
      <w:hyperlink r:id="rId4" w:history="1">
        <w:r w:rsidRPr="00A74F76">
          <w:rPr>
            <w:rStyle w:val="Hyperlink"/>
            <w:rFonts w:ascii="Gilroy" w:hAnsi="Gilroy"/>
            <w:sz w:val="18"/>
            <w:szCs w:val="18"/>
          </w:rPr>
          <w:t>https://www.ohchr.org/EN/Issues/Women/Pages/WomenESCR.aspx</w:t>
        </w:r>
      </w:hyperlink>
      <w:r w:rsidRPr="00A74F76">
        <w:rPr>
          <w:rFonts w:ascii="Gilroy" w:hAnsi="Gilroy"/>
          <w:sz w:val="18"/>
          <w:szCs w:val="18"/>
        </w:rPr>
        <w:t xml:space="preserve"> </w:t>
      </w:r>
    </w:p>
  </w:footnote>
  <w:footnote w:id="7">
    <w:p w14:paraId="38609D2B" w14:textId="7777777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The Guardian, “Lockdowns around the world bring rise in domestic violence”, 28 March 2020, available at” </w:t>
      </w:r>
      <w:hyperlink r:id="rId5" w:history="1">
        <w:r w:rsidRPr="00A74F76">
          <w:rPr>
            <w:rStyle w:val="Hyperlink"/>
            <w:rFonts w:ascii="Gilroy" w:hAnsi="Gilroy"/>
            <w:sz w:val="18"/>
            <w:szCs w:val="18"/>
          </w:rPr>
          <w:t>https://www.theguardian.com/society/2020/mar/28/lockdowns-world-rise-domestic-violence</w:t>
        </w:r>
      </w:hyperlink>
      <w:r w:rsidRPr="00A74F76">
        <w:rPr>
          <w:rFonts w:ascii="Gilroy" w:hAnsi="Gilroy"/>
          <w:sz w:val="18"/>
          <w:szCs w:val="18"/>
        </w:rPr>
        <w:t xml:space="preserve"> </w:t>
      </w:r>
    </w:p>
  </w:footnote>
  <w:footnote w:id="8">
    <w:p w14:paraId="31126BE5" w14:textId="4033E38B" w:rsidR="00581B4D" w:rsidRPr="00A74F76" w:rsidRDefault="00581B4D" w:rsidP="00A74F76">
      <w:pPr>
        <w:pStyle w:val="FootnoteText"/>
        <w:jc w:val="both"/>
        <w:rPr>
          <w:rFonts w:ascii="Gilroy" w:hAnsi="Gilroy"/>
          <w:sz w:val="18"/>
          <w:szCs w:val="18"/>
          <w:lang w:val="es-ES"/>
        </w:rPr>
      </w:pPr>
      <w:r w:rsidRPr="00A74F76">
        <w:rPr>
          <w:rStyle w:val="FootnoteReference"/>
          <w:rFonts w:ascii="Gilroy" w:hAnsi="Gilroy"/>
          <w:sz w:val="18"/>
          <w:szCs w:val="18"/>
        </w:rPr>
        <w:footnoteRef/>
      </w:r>
      <w:r w:rsidRPr="00A74F76">
        <w:rPr>
          <w:rFonts w:ascii="Gilroy" w:hAnsi="Gilroy"/>
          <w:sz w:val="18"/>
          <w:szCs w:val="18"/>
          <w:lang w:val="es-ES"/>
        </w:rPr>
        <w:t xml:space="preserve"> </w:t>
      </w:r>
      <w:proofErr w:type="spellStart"/>
      <w:r w:rsidRPr="00A74F76">
        <w:rPr>
          <w:rFonts w:ascii="Gilroy" w:hAnsi="Gilroy"/>
          <w:sz w:val="18"/>
          <w:szCs w:val="18"/>
          <w:lang w:val="es-ES"/>
        </w:rPr>
        <w:t>Article</w:t>
      </w:r>
      <w:proofErr w:type="spellEnd"/>
      <w:r w:rsidRPr="00A74F76">
        <w:rPr>
          <w:rFonts w:ascii="Gilroy" w:hAnsi="Gilroy"/>
          <w:sz w:val="18"/>
          <w:szCs w:val="18"/>
          <w:lang w:val="es-ES"/>
        </w:rPr>
        <w:t xml:space="preserve"> 19, </w:t>
      </w:r>
      <w:r w:rsidRPr="00A74F76">
        <w:rPr>
          <w:rFonts w:ascii="Gilroy" w:hAnsi="Gilroy"/>
          <w:i/>
          <w:iCs/>
          <w:sz w:val="18"/>
          <w:szCs w:val="18"/>
          <w:lang w:val="es-ES"/>
        </w:rPr>
        <w:t>Breve Panorama sobre aborto legal e transparencia no Brasil</w:t>
      </w:r>
      <w:r w:rsidRPr="00A74F76">
        <w:rPr>
          <w:rFonts w:ascii="Gilroy" w:hAnsi="Gilroy"/>
          <w:sz w:val="18"/>
          <w:szCs w:val="18"/>
          <w:lang w:val="es-ES"/>
        </w:rPr>
        <w:t xml:space="preserve">, 2018, </w:t>
      </w:r>
      <w:proofErr w:type="spellStart"/>
      <w:r w:rsidRPr="00A74F76">
        <w:rPr>
          <w:rFonts w:ascii="Gilroy" w:hAnsi="Gilroy"/>
          <w:sz w:val="18"/>
          <w:szCs w:val="18"/>
          <w:lang w:val="es-ES"/>
        </w:rPr>
        <w:t>available</w:t>
      </w:r>
      <w:proofErr w:type="spellEnd"/>
      <w:r w:rsidRPr="00A74F76">
        <w:rPr>
          <w:rFonts w:ascii="Gilroy" w:hAnsi="Gilroy"/>
          <w:sz w:val="18"/>
          <w:szCs w:val="18"/>
          <w:lang w:val="es-ES"/>
        </w:rPr>
        <w:t xml:space="preserve"> at: </w:t>
      </w:r>
      <w:hyperlink r:id="rId6" w:history="1">
        <w:r w:rsidRPr="002E7292">
          <w:rPr>
            <w:rStyle w:val="Hyperlink"/>
            <w:rFonts w:ascii="Gilroy" w:hAnsi="Gilroy"/>
            <w:sz w:val="18"/>
            <w:szCs w:val="18"/>
            <w:lang w:val="es-ES"/>
          </w:rPr>
          <w:t>https://mapaabortolegal.org/wp-content/uploads/2019/03/AbortoLegaleTransparencia.pdf</w:t>
        </w:r>
      </w:hyperlink>
      <w:r>
        <w:rPr>
          <w:rFonts w:ascii="Gilroy" w:hAnsi="Gilroy"/>
          <w:sz w:val="18"/>
          <w:szCs w:val="18"/>
          <w:lang w:val="es-ES"/>
        </w:rPr>
        <w:t xml:space="preserve"> </w:t>
      </w:r>
    </w:p>
  </w:footnote>
  <w:footnote w:id="9">
    <w:p w14:paraId="4350AD29" w14:textId="5C57D2BE"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Brazil</w:t>
      </w:r>
      <w:r w:rsidRPr="00A74F76">
        <w:rPr>
          <w:rFonts w:ascii="Gilroy" w:hAnsi="Gilroy"/>
          <w:sz w:val="18"/>
          <w:szCs w:val="18"/>
        </w:rPr>
        <w:t xml:space="preserve">, available at: </w:t>
      </w:r>
      <w:hyperlink r:id="rId7" w:history="1">
        <w:r w:rsidRPr="002E7292">
          <w:rPr>
            <w:rStyle w:val="Hyperlink"/>
            <w:rFonts w:ascii="Gilroy" w:hAnsi="Gilroy"/>
            <w:sz w:val="18"/>
            <w:szCs w:val="18"/>
          </w:rPr>
          <w:t>https://privacyinternational.org/long-read/3895/country-case-study-sexual-and-reproductive-rights-brazil</w:t>
        </w:r>
      </w:hyperlink>
      <w:r>
        <w:rPr>
          <w:rFonts w:ascii="Gilroy" w:hAnsi="Gilroy"/>
          <w:sz w:val="18"/>
          <w:szCs w:val="18"/>
        </w:rPr>
        <w:t xml:space="preserve"> </w:t>
      </w:r>
    </w:p>
  </w:footnote>
  <w:footnote w:id="10">
    <w:p w14:paraId="65E03618" w14:textId="4E283252"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Human Rights Watch, “A falsa </w:t>
      </w:r>
      <w:proofErr w:type="spellStart"/>
      <w:r w:rsidRPr="00A74F76">
        <w:rPr>
          <w:rFonts w:ascii="Gilroy" w:hAnsi="Gilroy"/>
          <w:sz w:val="18"/>
          <w:szCs w:val="18"/>
        </w:rPr>
        <w:t>preocupacao</w:t>
      </w:r>
      <w:proofErr w:type="spellEnd"/>
      <w:r w:rsidRPr="00A74F76">
        <w:rPr>
          <w:rFonts w:ascii="Gilroy" w:hAnsi="Gilroy"/>
          <w:sz w:val="18"/>
          <w:szCs w:val="18"/>
        </w:rPr>
        <w:t xml:space="preserve"> da </w:t>
      </w:r>
      <w:proofErr w:type="spellStart"/>
      <w:r w:rsidRPr="00A74F76">
        <w:rPr>
          <w:rFonts w:ascii="Gilroy" w:hAnsi="Gilroy"/>
          <w:sz w:val="18"/>
          <w:szCs w:val="18"/>
        </w:rPr>
        <w:t>ministra</w:t>
      </w:r>
      <w:proofErr w:type="spellEnd"/>
      <w:r w:rsidRPr="00A74F76">
        <w:rPr>
          <w:rFonts w:ascii="Gilroy" w:hAnsi="Gilroy"/>
          <w:sz w:val="18"/>
          <w:szCs w:val="18"/>
        </w:rPr>
        <w:t xml:space="preserve"> dos </w:t>
      </w:r>
      <w:proofErr w:type="spellStart"/>
      <w:r w:rsidRPr="00A74F76">
        <w:rPr>
          <w:rFonts w:ascii="Gilroy" w:hAnsi="Gilroy"/>
          <w:sz w:val="18"/>
          <w:szCs w:val="18"/>
        </w:rPr>
        <w:t>Direitos</w:t>
      </w:r>
      <w:proofErr w:type="spellEnd"/>
      <w:r w:rsidRPr="00A74F76">
        <w:rPr>
          <w:rFonts w:ascii="Gilroy" w:hAnsi="Gilroy"/>
          <w:sz w:val="18"/>
          <w:szCs w:val="18"/>
        </w:rPr>
        <w:t xml:space="preserve"> Humanos com as </w:t>
      </w:r>
      <w:proofErr w:type="spellStart"/>
      <w:r w:rsidRPr="00A74F76">
        <w:rPr>
          <w:rFonts w:ascii="Gilroy" w:hAnsi="Gilroy"/>
          <w:sz w:val="18"/>
          <w:szCs w:val="18"/>
        </w:rPr>
        <w:t>mulheres</w:t>
      </w:r>
      <w:proofErr w:type="spellEnd"/>
      <w:r w:rsidRPr="00A74F76">
        <w:rPr>
          <w:rFonts w:ascii="Gilroy" w:hAnsi="Gilroy"/>
          <w:sz w:val="18"/>
          <w:szCs w:val="18"/>
        </w:rPr>
        <w:t xml:space="preserve">”, 4 October 2019, available at: </w:t>
      </w:r>
      <w:hyperlink r:id="rId8" w:history="1">
        <w:r w:rsidRPr="002E7292">
          <w:rPr>
            <w:rStyle w:val="Hyperlink"/>
            <w:rFonts w:ascii="Gilroy" w:hAnsi="Gilroy"/>
            <w:sz w:val="18"/>
            <w:szCs w:val="18"/>
          </w:rPr>
          <w:t>https://www.hrw.org/pt/news/2019/10/04/334411</w:t>
        </w:r>
      </w:hyperlink>
      <w:r>
        <w:rPr>
          <w:rFonts w:ascii="Gilroy" w:hAnsi="Gilroy"/>
          <w:sz w:val="18"/>
          <w:szCs w:val="18"/>
        </w:rPr>
        <w:t xml:space="preserve"> </w:t>
      </w:r>
    </w:p>
  </w:footnote>
  <w:footnote w:id="11">
    <w:p w14:paraId="2189BA35" w14:textId="44245042"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UOL </w:t>
      </w:r>
      <w:proofErr w:type="spellStart"/>
      <w:r w:rsidRPr="00A74F76">
        <w:rPr>
          <w:rFonts w:ascii="Gilroy" w:hAnsi="Gilroy"/>
          <w:sz w:val="18"/>
          <w:szCs w:val="18"/>
        </w:rPr>
        <w:t>Noticias</w:t>
      </w:r>
      <w:proofErr w:type="spellEnd"/>
      <w:r w:rsidRPr="00A74F76">
        <w:rPr>
          <w:rFonts w:ascii="Gilroy" w:hAnsi="Gilroy"/>
          <w:sz w:val="18"/>
          <w:szCs w:val="18"/>
        </w:rPr>
        <w:t>, “</w:t>
      </w:r>
      <w:proofErr w:type="spellStart"/>
      <w:r w:rsidRPr="00A74F76">
        <w:rPr>
          <w:rFonts w:ascii="Gilroy" w:hAnsi="Gilroy"/>
          <w:sz w:val="18"/>
          <w:szCs w:val="18"/>
        </w:rPr>
        <w:t>Damares</w:t>
      </w:r>
      <w:proofErr w:type="spellEnd"/>
      <w:r w:rsidRPr="00A74F76">
        <w:rPr>
          <w:rFonts w:ascii="Gilroy" w:hAnsi="Gilroy"/>
          <w:sz w:val="18"/>
          <w:szCs w:val="18"/>
        </w:rPr>
        <w:t xml:space="preserve"> </w:t>
      </w:r>
      <w:proofErr w:type="spellStart"/>
      <w:r w:rsidRPr="00A74F76">
        <w:rPr>
          <w:rFonts w:ascii="Gilroy" w:hAnsi="Gilroy"/>
          <w:sz w:val="18"/>
          <w:szCs w:val="18"/>
        </w:rPr>
        <w:t>denuncia</w:t>
      </w:r>
      <w:proofErr w:type="spellEnd"/>
      <w:r w:rsidRPr="00A74F76">
        <w:rPr>
          <w:rFonts w:ascii="Gilroy" w:hAnsi="Gilroy"/>
          <w:sz w:val="18"/>
          <w:szCs w:val="18"/>
        </w:rPr>
        <w:t xml:space="preserve"> site por </w:t>
      </w:r>
      <w:proofErr w:type="spellStart"/>
      <w:r w:rsidRPr="00A74F76">
        <w:rPr>
          <w:rFonts w:ascii="Gilroy" w:hAnsi="Gilroy"/>
          <w:sz w:val="18"/>
          <w:szCs w:val="18"/>
        </w:rPr>
        <w:t>reportagem</w:t>
      </w:r>
      <w:proofErr w:type="spellEnd"/>
      <w:r w:rsidRPr="00A74F76">
        <w:rPr>
          <w:rFonts w:ascii="Gilroy" w:hAnsi="Gilroy"/>
          <w:sz w:val="18"/>
          <w:szCs w:val="18"/>
        </w:rPr>
        <w:t xml:space="preserve"> </w:t>
      </w:r>
      <w:proofErr w:type="spellStart"/>
      <w:r w:rsidRPr="00A74F76">
        <w:rPr>
          <w:rFonts w:ascii="Gilroy" w:hAnsi="Gilroy"/>
          <w:sz w:val="18"/>
          <w:szCs w:val="18"/>
        </w:rPr>
        <w:t>sobre</w:t>
      </w:r>
      <w:proofErr w:type="spellEnd"/>
      <w:r w:rsidRPr="00A74F76">
        <w:rPr>
          <w:rFonts w:ascii="Gilroy" w:hAnsi="Gilroy"/>
          <w:sz w:val="18"/>
          <w:szCs w:val="18"/>
        </w:rPr>
        <w:t xml:space="preserve"> </w:t>
      </w:r>
      <w:proofErr w:type="spellStart"/>
      <w:r w:rsidRPr="00A74F76">
        <w:rPr>
          <w:rFonts w:ascii="Gilroy" w:hAnsi="Gilroy"/>
          <w:sz w:val="18"/>
          <w:szCs w:val="18"/>
        </w:rPr>
        <w:t>aborto</w:t>
      </w:r>
      <w:proofErr w:type="spellEnd"/>
      <w:r w:rsidRPr="00A74F76">
        <w:rPr>
          <w:rFonts w:ascii="Gilroy" w:hAnsi="Gilroy"/>
          <w:sz w:val="18"/>
          <w:szCs w:val="18"/>
        </w:rPr>
        <w:t xml:space="preserve">: “apologia </w:t>
      </w:r>
      <w:proofErr w:type="spellStart"/>
      <w:r w:rsidRPr="00A74F76">
        <w:rPr>
          <w:rFonts w:ascii="Gilroy" w:hAnsi="Gilroy"/>
          <w:sz w:val="18"/>
          <w:szCs w:val="18"/>
        </w:rPr>
        <w:t>ao</w:t>
      </w:r>
      <w:proofErr w:type="spellEnd"/>
      <w:r w:rsidRPr="00A74F76">
        <w:rPr>
          <w:rFonts w:ascii="Gilroy" w:hAnsi="Gilroy"/>
          <w:sz w:val="18"/>
          <w:szCs w:val="18"/>
        </w:rPr>
        <w:t xml:space="preserve"> crime”, 20 September 2019, available at: </w:t>
      </w:r>
      <w:hyperlink r:id="rId9" w:history="1">
        <w:r w:rsidRPr="002E7292">
          <w:rPr>
            <w:rStyle w:val="Hyperlink"/>
            <w:rFonts w:ascii="Gilroy" w:hAnsi="Gilroy"/>
            <w:sz w:val="18"/>
            <w:szCs w:val="18"/>
          </w:rPr>
          <w:t>https://noticias.uol.com.br/saude/ultimas-noticias/redacao/2019/09/20/damares-denuncia-site-por-reportagem-sobre-aborto-apologia-ao-crime.htm</w:t>
        </w:r>
      </w:hyperlink>
      <w:r>
        <w:rPr>
          <w:rFonts w:ascii="Gilroy" w:hAnsi="Gilroy"/>
          <w:sz w:val="18"/>
          <w:szCs w:val="18"/>
        </w:rPr>
        <w:t xml:space="preserve"> </w:t>
      </w:r>
    </w:p>
  </w:footnote>
  <w:footnote w:id="12">
    <w:p w14:paraId="2FCAF4E0" w14:textId="2A0CD23C"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Indonesia</w:t>
      </w:r>
      <w:r w:rsidRPr="00A74F76">
        <w:rPr>
          <w:rFonts w:ascii="Gilroy" w:hAnsi="Gilroy"/>
          <w:sz w:val="18"/>
          <w:szCs w:val="18"/>
        </w:rPr>
        <w:t xml:space="preserve">, available at: </w:t>
      </w:r>
      <w:hyperlink r:id="rId10" w:history="1">
        <w:r w:rsidRPr="002E7292">
          <w:rPr>
            <w:rStyle w:val="Hyperlink"/>
            <w:rFonts w:ascii="Gilroy" w:hAnsi="Gilroy"/>
            <w:sz w:val="18"/>
            <w:szCs w:val="18"/>
          </w:rPr>
          <w:t>https://privacyinternational.org/long-read/3853/country-case-study-sexual-and-reproductive-rights-indonesia</w:t>
        </w:r>
      </w:hyperlink>
      <w:r>
        <w:rPr>
          <w:rFonts w:ascii="Gilroy" w:hAnsi="Gilroy"/>
          <w:sz w:val="18"/>
          <w:szCs w:val="18"/>
        </w:rPr>
        <w:t xml:space="preserve"> </w:t>
      </w:r>
    </w:p>
  </w:footnote>
  <w:footnote w:id="13">
    <w:p w14:paraId="0A29F7AC" w14:textId="23AE7DE1" w:rsidR="00581B4D" w:rsidRPr="00A74F76" w:rsidRDefault="00581B4D" w:rsidP="00A74F76">
      <w:pPr>
        <w:pStyle w:val="FootnoteText"/>
        <w:jc w:val="both"/>
        <w:rPr>
          <w:rFonts w:ascii="Gilroy" w:hAnsi="Gilroy"/>
          <w:sz w:val="18"/>
          <w:szCs w:val="18"/>
          <w:lang w:val="es-ES"/>
        </w:rPr>
      </w:pPr>
      <w:r w:rsidRPr="00A74F76">
        <w:rPr>
          <w:rStyle w:val="FootnoteReference"/>
          <w:rFonts w:ascii="Gilroy" w:hAnsi="Gilroy"/>
          <w:sz w:val="18"/>
          <w:szCs w:val="18"/>
        </w:rPr>
        <w:footnoteRef/>
      </w:r>
      <w:r w:rsidRPr="00A74F76">
        <w:rPr>
          <w:rFonts w:ascii="Gilroy" w:hAnsi="Gilroy"/>
          <w:sz w:val="18"/>
          <w:szCs w:val="18"/>
          <w:lang w:val="es-ES"/>
        </w:rPr>
        <w:t xml:space="preserve"> Diario Digital Femenino, “¿Cuál es el estado de implementación de la ESI a casi 13 años de la sanción de la ley 26.150?”, 27 </w:t>
      </w:r>
      <w:proofErr w:type="spellStart"/>
      <w:r w:rsidRPr="00A74F76">
        <w:rPr>
          <w:rFonts w:ascii="Gilroy" w:hAnsi="Gilroy"/>
          <w:sz w:val="18"/>
          <w:szCs w:val="18"/>
          <w:lang w:val="es-ES"/>
        </w:rPr>
        <w:t>September</w:t>
      </w:r>
      <w:proofErr w:type="spellEnd"/>
      <w:r w:rsidRPr="00A74F76">
        <w:rPr>
          <w:rFonts w:ascii="Gilroy" w:hAnsi="Gilroy"/>
          <w:sz w:val="18"/>
          <w:szCs w:val="18"/>
          <w:lang w:val="es-ES"/>
        </w:rPr>
        <w:t xml:space="preserve"> 2019, </w:t>
      </w:r>
      <w:proofErr w:type="spellStart"/>
      <w:r w:rsidRPr="00A74F76">
        <w:rPr>
          <w:rFonts w:ascii="Gilroy" w:hAnsi="Gilroy"/>
          <w:sz w:val="18"/>
          <w:szCs w:val="18"/>
          <w:lang w:val="es-ES"/>
        </w:rPr>
        <w:t>available</w:t>
      </w:r>
      <w:proofErr w:type="spellEnd"/>
      <w:r w:rsidRPr="00A74F76">
        <w:rPr>
          <w:rFonts w:ascii="Gilroy" w:hAnsi="Gilroy"/>
          <w:sz w:val="18"/>
          <w:szCs w:val="18"/>
          <w:lang w:val="es-ES"/>
        </w:rPr>
        <w:t xml:space="preserve"> at: </w:t>
      </w:r>
      <w:r w:rsidR="009A256D">
        <w:fldChar w:fldCharType="begin"/>
      </w:r>
      <w:r w:rsidR="009A256D" w:rsidRPr="00577754">
        <w:rPr>
          <w:lang w:val="fr-FR"/>
        </w:rPr>
        <w:instrText xml:space="preserve"> HYPERLINK "https://diariofemenino.com.ar/cual-es-el-estado-de-implementacion-de-la-esi/" </w:instrText>
      </w:r>
      <w:r w:rsidR="009A256D">
        <w:fldChar w:fldCharType="separate"/>
      </w:r>
      <w:r w:rsidRPr="002E7292">
        <w:rPr>
          <w:rStyle w:val="Hyperlink"/>
          <w:rFonts w:ascii="Gilroy" w:hAnsi="Gilroy"/>
          <w:sz w:val="18"/>
          <w:szCs w:val="18"/>
          <w:lang w:val="es-ES"/>
        </w:rPr>
        <w:t>https://diariofemenino.com.ar/cual-es-el-estado-de-implementacion-de-la-esi/</w:t>
      </w:r>
      <w:r w:rsidR="009A256D">
        <w:rPr>
          <w:rStyle w:val="Hyperlink"/>
          <w:rFonts w:ascii="Gilroy" w:hAnsi="Gilroy"/>
          <w:sz w:val="18"/>
          <w:szCs w:val="18"/>
          <w:lang w:val="es-ES"/>
        </w:rPr>
        <w:fldChar w:fldCharType="end"/>
      </w:r>
      <w:r>
        <w:rPr>
          <w:rFonts w:ascii="Gilroy" w:hAnsi="Gilroy"/>
          <w:sz w:val="18"/>
          <w:szCs w:val="18"/>
          <w:lang w:val="es-ES"/>
        </w:rPr>
        <w:t xml:space="preserve"> </w:t>
      </w:r>
    </w:p>
  </w:footnote>
  <w:footnote w:id="14">
    <w:p w14:paraId="125A49F9" w14:textId="72725B91" w:rsidR="00581B4D" w:rsidRPr="00A74F76" w:rsidRDefault="00581B4D" w:rsidP="00A74F76">
      <w:pPr>
        <w:pStyle w:val="FootnoteText"/>
        <w:jc w:val="both"/>
        <w:rPr>
          <w:rFonts w:ascii="Gilroy" w:hAnsi="Gilroy"/>
          <w:sz w:val="18"/>
          <w:szCs w:val="18"/>
          <w:lang w:val="es-ES"/>
        </w:rPr>
      </w:pPr>
      <w:r w:rsidRPr="00A74F76">
        <w:rPr>
          <w:rStyle w:val="FootnoteReference"/>
          <w:rFonts w:ascii="Gilroy" w:hAnsi="Gilroy"/>
          <w:sz w:val="18"/>
          <w:szCs w:val="18"/>
        </w:rPr>
        <w:footnoteRef/>
      </w:r>
      <w:r w:rsidRPr="00A74F76">
        <w:rPr>
          <w:rFonts w:ascii="Gilroy" w:hAnsi="Gilroy"/>
          <w:sz w:val="18"/>
          <w:szCs w:val="18"/>
          <w:lang w:val="es-ES"/>
        </w:rPr>
        <w:t xml:space="preserve"> Peru21, “El 85% de escolares aprende sobre sexualidad por medio de Internet”, 10 </w:t>
      </w:r>
      <w:proofErr w:type="spellStart"/>
      <w:r w:rsidRPr="00A74F76">
        <w:rPr>
          <w:rFonts w:ascii="Gilroy" w:hAnsi="Gilroy"/>
          <w:sz w:val="18"/>
          <w:szCs w:val="18"/>
          <w:lang w:val="es-ES"/>
        </w:rPr>
        <w:t>February</w:t>
      </w:r>
      <w:proofErr w:type="spellEnd"/>
      <w:r w:rsidRPr="00A74F76">
        <w:rPr>
          <w:rFonts w:ascii="Gilroy" w:hAnsi="Gilroy"/>
          <w:sz w:val="18"/>
          <w:szCs w:val="18"/>
          <w:lang w:val="es-ES"/>
        </w:rPr>
        <w:t xml:space="preserve"> 2018, </w:t>
      </w:r>
      <w:proofErr w:type="spellStart"/>
      <w:r w:rsidRPr="00A74F76">
        <w:rPr>
          <w:rFonts w:ascii="Gilroy" w:hAnsi="Gilroy"/>
          <w:sz w:val="18"/>
          <w:szCs w:val="18"/>
          <w:lang w:val="es-ES"/>
        </w:rPr>
        <w:t>available</w:t>
      </w:r>
      <w:proofErr w:type="spellEnd"/>
      <w:r w:rsidRPr="00A74F76">
        <w:rPr>
          <w:rFonts w:ascii="Gilroy" w:hAnsi="Gilroy"/>
          <w:sz w:val="18"/>
          <w:szCs w:val="18"/>
          <w:lang w:val="es-ES"/>
        </w:rPr>
        <w:t xml:space="preserve"> at: </w:t>
      </w:r>
      <w:r w:rsidR="009A256D">
        <w:fldChar w:fldCharType="begin"/>
      </w:r>
      <w:r w:rsidR="009A256D" w:rsidRPr="00577754">
        <w:rPr>
          <w:lang w:val="fr-FR"/>
        </w:rPr>
        <w:instrText xml:space="preserve"> HYPERLINK "https://peru21.pe/peru/educacion-sexual-peru-85-escolares-aprende-sexualidad-medio-internet-395319-noticia/" </w:instrText>
      </w:r>
      <w:r w:rsidR="009A256D">
        <w:fldChar w:fldCharType="separate"/>
      </w:r>
      <w:r w:rsidRPr="002E7292">
        <w:rPr>
          <w:rStyle w:val="Hyperlink"/>
          <w:rFonts w:ascii="Gilroy" w:hAnsi="Gilroy"/>
          <w:sz w:val="18"/>
          <w:szCs w:val="18"/>
          <w:lang w:val="es-ES"/>
        </w:rPr>
        <w:t>https://peru21.pe/peru/educacion-sexual-peru-85-escolares-aprende-sexualidad-medio-internet-395319-noticia/</w:t>
      </w:r>
      <w:r w:rsidR="009A256D">
        <w:rPr>
          <w:rStyle w:val="Hyperlink"/>
          <w:rFonts w:ascii="Gilroy" w:hAnsi="Gilroy"/>
          <w:sz w:val="18"/>
          <w:szCs w:val="18"/>
          <w:lang w:val="es-ES"/>
        </w:rPr>
        <w:fldChar w:fldCharType="end"/>
      </w:r>
      <w:r>
        <w:rPr>
          <w:rFonts w:ascii="Gilroy" w:hAnsi="Gilroy"/>
          <w:sz w:val="18"/>
          <w:szCs w:val="18"/>
          <w:lang w:val="es-ES"/>
        </w:rPr>
        <w:t xml:space="preserve"> </w:t>
      </w:r>
      <w:r w:rsidRPr="00A74F76">
        <w:rPr>
          <w:rFonts w:ascii="Gilroy" w:hAnsi="Gilroy"/>
          <w:sz w:val="18"/>
          <w:szCs w:val="18"/>
          <w:lang w:val="es-ES"/>
        </w:rPr>
        <w:t xml:space="preserve"> </w:t>
      </w:r>
      <w:r>
        <w:rPr>
          <w:rFonts w:ascii="Gilroy" w:hAnsi="Gilroy"/>
          <w:sz w:val="18"/>
          <w:szCs w:val="18"/>
          <w:lang w:val="es-ES"/>
        </w:rPr>
        <w:t xml:space="preserve">  </w:t>
      </w:r>
    </w:p>
  </w:footnote>
  <w:footnote w:id="15">
    <w:p w14:paraId="2656F538" w14:textId="04F2AB4F" w:rsidR="00581B4D" w:rsidRPr="00A74F76" w:rsidRDefault="00581B4D" w:rsidP="00A74F76">
      <w:pPr>
        <w:pStyle w:val="FootnoteText"/>
        <w:jc w:val="both"/>
        <w:rPr>
          <w:rFonts w:ascii="Gilroy" w:hAnsi="Gilroy"/>
          <w:sz w:val="18"/>
          <w:szCs w:val="18"/>
          <w:lang w:val="es-ES"/>
        </w:rPr>
      </w:pPr>
      <w:r w:rsidRPr="00A74F76">
        <w:rPr>
          <w:rStyle w:val="FootnoteReference"/>
          <w:rFonts w:ascii="Gilroy" w:hAnsi="Gilroy"/>
          <w:sz w:val="18"/>
          <w:szCs w:val="18"/>
        </w:rPr>
        <w:footnoteRef/>
      </w:r>
      <w:r w:rsidRPr="00A74F76">
        <w:rPr>
          <w:rFonts w:ascii="Gilroy" w:hAnsi="Gilroy"/>
          <w:sz w:val="18"/>
          <w:szCs w:val="18"/>
          <w:lang w:val="es-ES"/>
        </w:rPr>
        <w:t xml:space="preserve"> Universidad Católica, “Educación sexual en Chile: ¿desafío eterno?”, </w:t>
      </w:r>
      <w:proofErr w:type="spellStart"/>
      <w:r w:rsidRPr="00A74F76">
        <w:rPr>
          <w:rFonts w:ascii="Gilroy" w:hAnsi="Gilroy"/>
          <w:sz w:val="18"/>
          <w:szCs w:val="18"/>
          <w:lang w:val="es-ES"/>
        </w:rPr>
        <w:t>available</w:t>
      </w:r>
      <w:proofErr w:type="spellEnd"/>
      <w:r w:rsidRPr="00A74F76">
        <w:rPr>
          <w:rFonts w:ascii="Gilroy" w:hAnsi="Gilroy"/>
          <w:sz w:val="18"/>
          <w:szCs w:val="18"/>
          <w:lang w:val="es-ES"/>
        </w:rPr>
        <w:t xml:space="preserve"> at: </w:t>
      </w:r>
      <w:hyperlink r:id="rId11" w:history="1">
        <w:r w:rsidRPr="002E7292">
          <w:rPr>
            <w:rStyle w:val="Hyperlink"/>
            <w:rFonts w:ascii="Gilroy" w:hAnsi="Gilroy"/>
            <w:sz w:val="18"/>
            <w:szCs w:val="18"/>
            <w:lang w:val="es-ES"/>
          </w:rPr>
          <w:t>http://comunicaciones.ucsh.cl/opiniones/educacion-sexual-en-chile-desafio-eterno/</w:t>
        </w:r>
      </w:hyperlink>
      <w:r>
        <w:rPr>
          <w:rFonts w:ascii="Gilroy" w:hAnsi="Gilroy"/>
          <w:sz w:val="18"/>
          <w:szCs w:val="18"/>
          <w:lang w:val="es-ES"/>
        </w:rPr>
        <w:t xml:space="preserve"> </w:t>
      </w:r>
    </w:p>
  </w:footnote>
  <w:footnote w:id="16">
    <w:p w14:paraId="2F228317" w14:textId="16B483F8"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Indonesia</w:t>
      </w:r>
      <w:r w:rsidRPr="00A74F76">
        <w:rPr>
          <w:rFonts w:ascii="Gilroy" w:hAnsi="Gilroy"/>
          <w:sz w:val="18"/>
          <w:szCs w:val="18"/>
        </w:rPr>
        <w:t xml:space="preserve">, available at: </w:t>
      </w:r>
      <w:hyperlink r:id="rId12" w:history="1">
        <w:r w:rsidRPr="002E7292">
          <w:rPr>
            <w:rStyle w:val="Hyperlink"/>
            <w:rFonts w:ascii="Gilroy" w:hAnsi="Gilroy"/>
            <w:sz w:val="18"/>
            <w:szCs w:val="18"/>
          </w:rPr>
          <w:t>https://privacyinternational.org/long-read/3853/country-case-study-sexual-and-reproductive-rights-indonesia</w:t>
        </w:r>
      </w:hyperlink>
      <w:r>
        <w:rPr>
          <w:rFonts w:ascii="Gilroy" w:hAnsi="Gilroy"/>
          <w:sz w:val="18"/>
          <w:szCs w:val="18"/>
        </w:rPr>
        <w:t xml:space="preserve"> </w:t>
      </w:r>
    </w:p>
  </w:footnote>
  <w:footnote w:id="17">
    <w:p w14:paraId="10D0579C" w14:textId="7777777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Throughout this consultation response, PI refers to groups opposing abortion or the exercise of any other sexual and reproductive rights as “the opposition”.</w:t>
      </w:r>
    </w:p>
  </w:footnote>
  <w:footnote w:id="18">
    <w:p w14:paraId="06D6FFA2" w14:textId="49FDA3EE" w:rsidR="00581B4D" w:rsidRPr="00A74F76" w:rsidRDefault="00581B4D" w:rsidP="00A74F76">
      <w:pPr>
        <w:pStyle w:val="FootnoteText"/>
        <w:jc w:val="both"/>
        <w:rPr>
          <w:rFonts w:ascii="Gilroy" w:hAnsi="Gilroy"/>
          <w:sz w:val="18"/>
          <w:szCs w:val="18"/>
          <w:lang w:val="fr-FR"/>
        </w:rPr>
      </w:pPr>
      <w:r w:rsidRPr="00A74F76">
        <w:rPr>
          <w:rStyle w:val="FootnoteReference"/>
          <w:rFonts w:ascii="Gilroy" w:hAnsi="Gilroy"/>
          <w:sz w:val="18"/>
          <w:szCs w:val="18"/>
        </w:rPr>
        <w:footnoteRef/>
      </w:r>
      <w:r w:rsidRPr="00A74F76">
        <w:rPr>
          <w:rFonts w:ascii="Gilroy" w:hAnsi="Gilroy"/>
          <w:sz w:val="18"/>
          <w:szCs w:val="18"/>
          <w:lang w:val="fr-FR"/>
        </w:rPr>
        <w:t xml:space="preserve"> Le Monde, «</w:t>
      </w:r>
      <w:r w:rsidRPr="00A74F76">
        <w:rPr>
          <w:rFonts w:ascii="Cambria" w:hAnsi="Cambria" w:cs="Cambria"/>
          <w:sz w:val="18"/>
          <w:szCs w:val="18"/>
          <w:lang w:val="fr-FR"/>
        </w:rPr>
        <w:t> </w:t>
      </w:r>
      <w:r w:rsidRPr="00A74F76">
        <w:rPr>
          <w:rFonts w:ascii="Gilroy" w:hAnsi="Gilroy"/>
          <w:sz w:val="18"/>
          <w:szCs w:val="18"/>
          <w:lang w:val="fr-FR"/>
        </w:rPr>
        <w:t>Les anti-IVG ciblent les jeunes femmes grâce aux publicités sur Facebook</w:t>
      </w:r>
      <w:r w:rsidRPr="00A74F76">
        <w:rPr>
          <w:rFonts w:ascii="Cambria" w:hAnsi="Cambria" w:cs="Cambria"/>
          <w:sz w:val="18"/>
          <w:szCs w:val="18"/>
          <w:lang w:val="fr-FR"/>
        </w:rPr>
        <w:t> </w:t>
      </w:r>
      <w:r w:rsidRPr="00A74F76">
        <w:rPr>
          <w:rFonts w:ascii="Gilroy" w:hAnsi="Gilroy"/>
          <w:sz w:val="18"/>
          <w:szCs w:val="18"/>
          <w:lang w:val="fr-FR"/>
        </w:rPr>
        <w:t xml:space="preserve">», 11 July 2018, </w:t>
      </w:r>
      <w:proofErr w:type="spellStart"/>
      <w:r w:rsidRPr="00A74F76">
        <w:rPr>
          <w:rFonts w:ascii="Gilroy" w:hAnsi="Gilroy"/>
          <w:sz w:val="18"/>
          <w:szCs w:val="18"/>
          <w:lang w:val="fr-FR"/>
        </w:rPr>
        <w:t>available</w:t>
      </w:r>
      <w:proofErr w:type="spellEnd"/>
      <w:r w:rsidRPr="00A74F76">
        <w:rPr>
          <w:rFonts w:ascii="Gilroy" w:hAnsi="Gilroy"/>
          <w:sz w:val="18"/>
          <w:szCs w:val="18"/>
          <w:lang w:val="fr-FR"/>
        </w:rPr>
        <w:t xml:space="preserve"> at</w:t>
      </w:r>
      <w:r w:rsidRPr="00A74F76">
        <w:rPr>
          <w:rFonts w:ascii="Cambria" w:hAnsi="Cambria" w:cs="Cambria"/>
          <w:sz w:val="18"/>
          <w:szCs w:val="18"/>
          <w:lang w:val="fr-FR"/>
        </w:rPr>
        <w:t> </w:t>
      </w:r>
      <w:r w:rsidRPr="00A74F76">
        <w:rPr>
          <w:rFonts w:ascii="Gilroy" w:hAnsi="Gilroy"/>
          <w:sz w:val="18"/>
          <w:szCs w:val="18"/>
          <w:lang w:val="fr-FR"/>
        </w:rPr>
        <w:t xml:space="preserve">: </w:t>
      </w:r>
      <w:r w:rsidR="009A256D">
        <w:fldChar w:fldCharType="begin"/>
      </w:r>
      <w:r w:rsidR="009A256D" w:rsidRPr="00577754">
        <w:rPr>
          <w:lang w:val="fr-FR"/>
        </w:rPr>
        <w:instrText xml:space="preserve"> HYPERLINK "https://www.lemonde.fr/les-decodeurs/article/2018/07/11/les-anti-ivg-ciblent-les-jeunes-femmes-grace-aux-publicites-sur-face</w:instrText>
      </w:r>
      <w:r w:rsidR="009A256D" w:rsidRPr="00577754">
        <w:rPr>
          <w:lang w:val="fr-FR"/>
        </w:rPr>
        <w:instrText xml:space="preserve">book_5329906_4355770.html" </w:instrText>
      </w:r>
      <w:r w:rsidR="009A256D">
        <w:fldChar w:fldCharType="separate"/>
      </w:r>
      <w:r w:rsidRPr="00A74F76">
        <w:rPr>
          <w:rStyle w:val="Hyperlink"/>
          <w:rFonts w:ascii="Gilroy" w:hAnsi="Gilroy"/>
          <w:sz w:val="18"/>
          <w:szCs w:val="18"/>
          <w:lang w:val="fr-FR"/>
        </w:rPr>
        <w:t>https://www.lemonde.fr/les-decodeurs/article/2018/07/11/les-anti-ivg-ciblent-les-jeunes-femmes-grace-aux-publicites-sur-facebook_5329906_4355770.html</w:t>
      </w:r>
      <w:r w:rsidR="009A256D">
        <w:rPr>
          <w:rStyle w:val="Hyperlink"/>
          <w:rFonts w:ascii="Gilroy" w:hAnsi="Gilroy"/>
          <w:sz w:val="18"/>
          <w:szCs w:val="18"/>
          <w:lang w:val="fr-FR"/>
        </w:rPr>
        <w:fldChar w:fldCharType="end"/>
      </w:r>
      <w:r w:rsidRPr="00A74F76">
        <w:rPr>
          <w:rFonts w:ascii="Gilroy" w:hAnsi="Gilroy"/>
          <w:sz w:val="18"/>
          <w:szCs w:val="18"/>
          <w:lang w:val="fr-FR"/>
        </w:rPr>
        <w:t xml:space="preserve"> </w:t>
      </w:r>
    </w:p>
  </w:footnote>
  <w:footnote w:id="19">
    <w:p w14:paraId="61368562" w14:textId="66BA824F"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Rewire News, “Anti-Choice groups user smartphone surveillance to target ‘abortion-minded women’ during clinic visits”, 25 May 2016, available at: </w:t>
      </w:r>
      <w:hyperlink r:id="rId13" w:history="1">
        <w:r w:rsidRPr="00A74F76">
          <w:rPr>
            <w:rStyle w:val="Hyperlink"/>
            <w:rFonts w:ascii="Gilroy" w:hAnsi="Gilroy"/>
            <w:sz w:val="18"/>
            <w:szCs w:val="18"/>
          </w:rPr>
          <w:t>https://rewire.news/article/2016/05/25/anti-choice-groups-deploy-smartphone-surveillance-target-abortion-minded-women-clinic-visits/</w:t>
        </w:r>
      </w:hyperlink>
      <w:r w:rsidRPr="00A74F76">
        <w:rPr>
          <w:rFonts w:ascii="Gilroy" w:hAnsi="Gilroy"/>
          <w:sz w:val="18"/>
          <w:szCs w:val="18"/>
        </w:rPr>
        <w:t xml:space="preserve"> </w:t>
      </w:r>
    </w:p>
  </w:footnote>
  <w:footnote w:id="20">
    <w:p w14:paraId="1467C2E7" w14:textId="6EE0773A"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A documentation of data exploitation in sexual and reproductive rights</w:t>
      </w:r>
      <w:r w:rsidRPr="00A74F76">
        <w:rPr>
          <w:rFonts w:ascii="Gilroy" w:hAnsi="Gilroy"/>
          <w:sz w:val="18"/>
          <w:szCs w:val="18"/>
        </w:rPr>
        <w:t xml:space="preserve">, available at: </w:t>
      </w:r>
      <w:hyperlink r:id="rId14" w:history="1">
        <w:r w:rsidRPr="00A74F76">
          <w:rPr>
            <w:rStyle w:val="Hyperlink"/>
            <w:rFonts w:ascii="Gilroy" w:hAnsi="Gilroy"/>
            <w:sz w:val="18"/>
            <w:szCs w:val="18"/>
          </w:rPr>
          <w:t>https://privacyinternational.org/long-read/3669/documentation-data-exploitation-sexual-and-reproductive-rights</w:t>
        </w:r>
      </w:hyperlink>
      <w:r w:rsidRPr="00A74F76">
        <w:rPr>
          <w:rFonts w:ascii="Gilroy" w:hAnsi="Gilroy"/>
          <w:sz w:val="18"/>
          <w:szCs w:val="18"/>
        </w:rPr>
        <w:t xml:space="preserve"> </w:t>
      </w:r>
    </w:p>
  </w:footnote>
  <w:footnote w:id="21">
    <w:p w14:paraId="17DE3174" w14:textId="0D564FCA"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Extend Web Services, Home page, available at: </w:t>
      </w:r>
      <w:hyperlink r:id="rId15" w:history="1">
        <w:r w:rsidRPr="00A74F76">
          <w:rPr>
            <w:rStyle w:val="Hyperlink"/>
            <w:rFonts w:ascii="Gilroy" w:hAnsi="Gilroy"/>
            <w:sz w:val="18"/>
            <w:szCs w:val="18"/>
          </w:rPr>
          <w:t>https://extendwebservices.com/services/websites</w:t>
        </w:r>
      </w:hyperlink>
      <w:r w:rsidRPr="00A74F76">
        <w:rPr>
          <w:rFonts w:ascii="Gilroy" w:hAnsi="Gilroy"/>
          <w:sz w:val="18"/>
          <w:szCs w:val="18"/>
        </w:rPr>
        <w:t xml:space="preserve"> </w:t>
      </w:r>
    </w:p>
  </w:footnote>
  <w:footnote w:id="22">
    <w:p w14:paraId="3B7F1FB4" w14:textId="1C53208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How anti-abortion activism is exploiting data</w:t>
      </w:r>
      <w:r w:rsidRPr="00A74F76">
        <w:rPr>
          <w:rFonts w:ascii="Gilroy" w:hAnsi="Gilroy"/>
          <w:sz w:val="18"/>
          <w:szCs w:val="18"/>
        </w:rPr>
        <w:t xml:space="preserve">, available at: </w:t>
      </w:r>
      <w:hyperlink r:id="rId16" w:history="1">
        <w:r w:rsidRPr="00A74F76">
          <w:rPr>
            <w:rStyle w:val="Hyperlink"/>
            <w:rFonts w:ascii="Gilroy" w:hAnsi="Gilroy"/>
            <w:sz w:val="18"/>
            <w:szCs w:val="18"/>
          </w:rPr>
          <w:t>https://privacyinternational.org/long-read/3096/how-anti-abortion-activism-exploiting-data</w:t>
        </w:r>
      </w:hyperlink>
      <w:r w:rsidRPr="00A74F76">
        <w:rPr>
          <w:rFonts w:ascii="Gilroy" w:hAnsi="Gilroy"/>
          <w:sz w:val="18"/>
          <w:szCs w:val="18"/>
        </w:rPr>
        <w:t xml:space="preserve"> </w:t>
      </w:r>
    </w:p>
  </w:footnote>
  <w:footnote w:id="23">
    <w:p w14:paraId="6CFCA513" w14:textId="12D2A18E"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Id.  </w:t>
      </w:r>
    </w:p>
  </w:footnote>
  <w:footnote w:id="24">
    <w:p w14:paraId="0403F54A" w14:textId="2737F27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Brazil,</w:t>
      </w:r>
      <w:r w:rsidRPr="00A74F76">
        <w:rPr>
          <w:rFonts w:ascii="Gilroy" w:hAnsi="Gilroy"/>
          <w:sz w:val="18"/>
          <w:szCs w:val="18"/>
        </w:rPr>
        <w:t xml:space="preserve"> available at: </w:t>
      </w:r>
      <w:hyperlink r:id="rId17" w:history="1">
        <w:r w:rsidRPr="00A74F76">
          <w:rPr>
            <w:rStyle w:val="Hyperlink"/>
            <w:rFonts w:ascii="Gilroy" w:hAnsi="Gilroy"/>
            <w:sz w:val="18"/>
            <w:szCs w:val="18"/>
          </w:rPr>
          <w:t>https://privacyinternational.org/long-read/3895/country-case-study-sexual-and-reproductive-rights-brazil</w:t>
        </w:r>
      </w:hyperlink>
      <w:r w:rsidRPr="00A74F76">
        <w:rPr>
          <w:rFonts w:ascii="Gilroy" w:hAnsi="Gilroy"/>
          <w:sz w:val="18"/>
          <w:szCs w:val="18"/>
        </w:rPr>
        <w:t xml:space="preserve"> </w:t>
      </w:r>
    </w:p>
  </w:footnote>
  <w:footnote w:id="25">
    <w:p w14:paraId="46B31507" w14:textId="5B45DF72" w:rsidR="00581B4D" w:rsidRPr="00A74F76" w:rsidRDefault="00581B4D" w:rsidP="00A74F76">
      <w:pPr>
        <w:pStyle w:val="FootnoteText"/>
        <w:jc w:val="both"/>
        <w:rPr>
          <w:rFonts w:ascii="Gilroy" w:hAnsi="Gilroy"/>
          <w:sz w:val="18"/>
          <w:szCs w:val="18"/>
          <w:lang w:val="es-ES"/>
        </w:rPr>
      </w:pPr>
      <w:r w:rsidRPr="00BE2AE9">
        <w:rPr>
          <w:rStyle w:val="FootnoteReference"/>
          <w:rFonts w:ascii="Gilroy" w:hAnsi="Gilroy"/>
          <w:color w:val="000000" w:themeColor="text1"/>
          <w:sz w:val="18"/>
          <w:szCs w:val="18"/>
        </w:rPr>
        <w:footnoteRef/>
      </w:r>
      <w:r w:rsidRPr="00BE2AE9">
        <w:rPr>
          <w:rFonts w:ascii="Gilroy" w:hAnsi="Gilroy"/>
          <w:color w:val="000000" w:themeColor="text1"/>
          <w:sz w:val="18"/>
          <w:szCs w:val="18"/>
          <w:lang w:val="es-ES"/>
        </w:rPr>
        <w:t xml:space="preserve"> </w:t>
      </w:r>
      <w:proofErr w:type="spellStart"/>
      <w:r w:rsidRPr="00BE2AE9">
        <w:rPr>
          <w:rFonts w:ascii="Gilroy" w:hAnsi="Gilroy" w:cs="Segoe UI"/>
          <w:color w:val="000000" w:themeColor="text1"/>
          <w:spacing w:val="5"/>
          <w:sz w:val="18"/>
          <w:szCs w:val="18"/>
          <w:lang w:val="es-ES"/>
        </w:rPr>
        <w:t>Agência</w:t>
      </w:r>
      <w:proofErr w:type="spellEnd"/>
      <w:r w:rsidRPr="00BE2AE9">
        <w:rPr>
          <w:rFonts w:ascii="Gilroy" w:hAnsi="Gilroy" w:cs="Segoe UI"/>
          <w:color w:val="000000" w:themeColor="text1"/>
          <w:spacing w:val="5"/>
          <w:sz w:val="18"/>
          <w:szCs w:val="18"/>
          <w:lang w:val="es-ES"/>
        </w:rPr>
        <w:t xml:space="preserve"> Pública, “</w:t>
      </w:r>
      <w:proofErr w:type="spellStart"/>
      <w:r w:rsidRPr="00BE2AE9">
        <w:rPr>
          <w:rFonts w:ascii="Gilroy" w:hAnsi="Gilroy" w:cs="Segoe UI"/>
          <w:color w:val="000000" w:themeColor="text1"/>
          <w:spacing w:val="5"/>
          <w:sz w:val="18"/>
          <w:szCs w:val="18"/>
          <w:lang w:val="es-ES"/>
        </w:rPr>
        <w:t>Armadilha</w:t>
      </w:r>
      <w:proofErr w:type="spellEnd"/>
      <w:r w:rsidRPr="00BE2AE9">
        <w:rPr>
          <w:rFonts w:ascii="Gilroy" w:hAnsi="Gilroy" w:cs="Segoe UI"/>
          <w:color w:val="000000" w:themeColor="text1"/>
          <w:spacing w:val="5"/>
          <w:sz w:val="18"/>
          <w:szCs w:val="18"/>
          <w:lang w:val="es-ES"/>
        </w:rPr>
        <w:t xml:space="preserve"> para </w:t>
      </w:r>
      <w:proofErr w:type="spellStart"/>
      <w:r w:rsidRPr="00BE2AE9">
        <w:rPr>
          <w:rFonts w:ascii="Gilroy" w:hAnsi="Gilroy" w:cs="Segoe UI"/>
          <w:color w:val="000000" w:themeColor="text1"/>
          <w:spacing w:val="5"/>
          <w:sz w:val="18"/>
          <w:szCs w:val="18"/>
          <w:lang w:val="es-ES"/>
        </w:rPr>
        <w:t>mulheres</w:t>
      </w:r>
      <w:proofErr w:type="spellEnd"/>
      <w:r w:rsidRPr="00BE2AE9">
        <w:rPr>
          <w:rFonts w:ascii="Gilroy" w:hAnsi="Gilroy" w:cs="Segoe UI"/>
          <w:color w:val="000000" w:themeColor="text1"/>
          <w:spacing w:val="5"/>
          <w:sz w:val="18"/>
          <w:szCs w:val="18"/>
          <w:lang w:val="es-ES"/>
        </w:rPr>
        <w:t xml:space="preserve">”, 22 </w:t>
      </w:r>
      <w:proofErr w:type="spellStart"/>
      <w:r w:rsidRPr="00BE2AE9">
        <w:rPr>
          <w:rFonts w:ascii="Gilroy" w:hAnsi="Gilroy" w:cs="Segoe UI"/>
          <w:color w:val="000000" w:themeColor="text1"/>
          <w:spacing w:val="5"/>
          <w:sz w:val="18"/>
          <w:szCs w:val="18"/>
          <w:lang w:val="es-ES"/>
        </w:rPr>
        <w:t>January</w:t>
      </w:r>
      <w:proofErr w:type="spellEnd"/>
      <w:r w:rsidRPr="00BE2AE9">
        <w:rPr>
          <w:rFonts w:ascii="Gilroy" w:hAnsi="Gilroy" w:cs="Segoe UI"/>
          <w:color w:val="000000" w:themeColor="text1"/>
          <w:spacing w:val="5"/>
          <w:sz w:val="18"/>
          <w:szCs w:val="18"/>
          <w:lang w:val="es-ES"/>
        </w:rPr>
        <w:t xml:space="preserve"> 2018, </w:t>
      </w:r>
      <w:proofErr w:type="spellStart"/>
      <w:r w:rsidRPr="00BE2AE9">
        <w:rPr>
          <w:rFonts w:ascii="Gilroy" w:hAnsi="Gilroy" w:cs="Segoe UI"/>
          <w:color w:val="000000" w:themeColor="text1"/>
          <w:spacing w:val="5"/>
          <w:sz w:val="18"/>
          <w:szCs w:val="18"/>
          <w:lang w:val="es-ES"/>
        </w:rPr>
        <w:t>available</w:t>
      </w:r>
      <w:proofErr w:type="spellEnd"/>
      <w:r w:rsidRPr="00BE2AE9">
        <w:rPr>
          <w:rFonts w:ascii="Gilroy" w:hAnsi="Gilroy" w:cs="Segoe UI"/>
          <w:color w:val="000000" w:themeColor="text1"/>
          <w:spacing w:val="5"/>
          <w:sz w:val="18"/>
          <w:szCs w:val="18"/>
          <w:lang w:val="es-ES"/>
        </w:rPr>
        <w:t xml:space="preserve"> at: </w:t>
      </w:r>
      <w:hyperlink r:id="rId18" w:history="1">
        <w:r w:rsidRPr="00A74F76">
          <w:rPr>
            <w:rStyle w:val="Hyperlink"/>
            <w:rFonts w:ascii="Gilroy" w:hAnsi="Gilroy"/>
            <w:sz w:val="18"/>
            <w:szCs w:val="18"/>
            <w:lang w:val="es-ES"/>
          </w:rPr>
          <w:t>https://apublica.org/2018/01/armadilha-para-mulheres/</w:t>
        </w:r>
      </w:hyperlink>
      <w:r w:rsidRPr="00A74F76">
        <w:rPr>
          <w:rFonts w:ascii="Gilroy" w:hAnsi="Gilroy"/>
          <w:sz w:val="18"/>
          <w:szCs w:val="18"/>
          <w:lang w:val="es-ES"/>
        </w:rPr>
        <w:t xml:space="preserve"> </w:t>
      </w:r>
    </w:p>
  </w:footnote>
  <w:footnote w:id="26">
    <w:p w14:paraId="6BE3112C" w14:textId="79F9C868"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w:t>
      </w:r>
      <w:proofErr w:type="spellStart"/>
      <w:r w:rsidRPr="00A74F76">
        <w:rPr>
          <w:rFonts w:ascii="Gilroy" w:hAnsi="Gilroy"/>
          <w:sz w:val="18"/>
          <w:szCs w:val="18"/>
        </w:rPr>
        <w:t>OpenDemocracy</w:t>
      </w:r>
      <w:proofErr w:type="spellEnd"/>
      <w:r w:rsidRPr="00A74F76">
        <w:rPr>
          <w:rFonts w:ascii="Gilroy" w:hAnsi="Gilroy"/>
          <w:sz w:val="18"/>
          <w:szCs w:val="18"/>
        </w:rPr>
        <w:t xml:space="preserve">, “Revealed: US-linked anti-abortion centres ‘lie’ and ‘scare women’ across Latin America”, 12 February 2020, available at: </w:t>
      </w:r>
      <w:hyperlink r:id="rId19" w:history="1">
        <w:r w:rsidRPr="00A74F76">
          <w:rPr>
            <w:rStyle w:val="Hyperlink"/>
            <w:rFonts w:ascii="Gilroy" w:hAnsi="Gilroy"/>
            <w:sz w:val="18"/>
            <w:szCs w:val="18"/>
          </w:rPr>
          <w:t>https://www.opendemocracy.net/en/5050/revealed-us-linked-anti-abortion-centres-lie-and-scare-women-across-latin-america/</w:t>
        </w:r>
      </w:hyperlink>
      <w:r w:rsidRPr="00A74F76">
        <w:rPr>
          <w:rFonts w:ascii="Gilroy" w:hAnsi="Gilroy"/>
          <w:sz w:val="18"/>
          <w:szCs w:val="18"/>
        </w:rPr>
        <w:t xml:space="preserve"> </w:t>
      </w:r>
    </w:p>
  </w:footnote>
  <w:footnote w:id="27">
    <w:p w14:paraId="239E18D1" w14:textId="5E714402"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Id.</w:t>
      </w:r>
    </w:p>
  </w:footnote>
  <w:footnote w:id="28">
    <w:p w14:paraId="219501EB" w14:textId="01FECC52"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The Irish Times, “HSE takes action over allegedly misleading pregnancy options website”, 13 February 2019, available at: </w:t>
      </w:r>
      <w:hyperlink r:id="rId20" w:history="1">
        <w:r w:rsidRPr="00A74F76">
          <w:rPr>
            <w:rStyle w:val="Hyperlink"/>
            <w:rFonts w:ascii="Gilroy" w:hAnsi="Gilroy"/>
            <w:sz w:val="18"/>
            <w:szCs w:val="18"/>
          </w:rPr>
          <w:t>https://www.irishtimes.com/news/crime-and-law/courts/high-court/hse-takes-action-over-allegedly-misleading-pregnancy-options-website-1.3792806</w:t>
        </w:r>
      </w:hyperlink>
      <w:r w:rsidRPr="00A74F76">
        <w:rPr>
          <w:rFonts w:ascii="Gilroy" w:hAnsi="Gilroy"/>
          <w:sz w:val="18"/>
          <w:szCs w:val="18"/>
        </w:rPr>
        <w:t xml:space="preserve"> </w:t>
      </w:r>
    </w:p>
  </w:footnote>
  <w:footnote w:id="29">
    <w:p w14:paraId="7046B58C" w14:textId="19AB37E4"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Indonesia</w:t>
      </w:r>
      <w:r w:rsidRPr="00A74F76">
        <w:rPr>
          <w:rFonts w:ascii="Gilroy" w:hAnsi="Gilroy"/>
          <w:sz w:val="18"/>
          <w:szCs w:val="18"/>
        </w:rPr>
        <w:t xml:space="preserve">, available at: </w:t>
      </w:r>
      <w:hyperlink r:id="rId21" w:history="1">
        <w:r w:rsidRPr="00A74F76">
          <w:rPr>
            <w:rStyle w:val="Hyperlink"/>
            <w:rFonts w:ascii="Gilroy" w:hAnsi="Gilroy"/>
            <w:sz w:val="18"/>
            <w:szCs w:val="18"/>
          </w:rPr>
          <w:t>https://privacyinternational.org/long-read/3853/country-case-study-sexual-and-reproductive-rights-indonesia</w:t>
        </w:r>
      </w:hyperlink>
      <w:r w:rsidRPr="00A74F76">
        <w:rPr>
          <w:rFonts w:ascii="Gilroy" w:hAnsi="Gilroy"/>
          <w:sz w:val="18"/>
          <w:szCs w:val="18"/>
        </w:rPr>
        <w:t xml:space="preserve"> </w:t>
      </w:r>
    </w:p>
  </w:footnote>
  <w:footnote w:id="30">
    <w:p w14:paraId="52AA1DB3" w14:textId="38DC32FA"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Brazil,</w:t>
      </w:r>
      <w:r w:rsidRPr="00A74F76">
        <w:rPr>
          <w:rFonts w:ascii="Gilroy" w:hAnsi="Gilroy"/>
          <w:sz w:val="18"/>
          <w:szCs w:val="18"/>
        </w:rPr>
        <w:t xml:space="preserve"> available at: </w:t>
      </w:r>
      <w:hyperlink r:id="rId22" w:history="1">
        <w:r w:rsidRPr="00A74F76">
          <w:rPr>
            <w:rStyle w:val="Hyperlink"/>
            <w:rFonts w:ascii="Gilroy" w:hAnsi="Gilroy"/>
            <w:sz w:val="18"/>
            <w:szCs w:val="18"/>
          </w:rPr>
          <w:t>https://privacyinternational.org/long-read/3895/country-case-study-sexual-and-reproductive-rights-brazil</w:t>
        </w:r>
      </w:hyperlink>
      <w:r w:rsidRPr="00A74F76">
        <w:rPr>
          <w:rFonts w:ascii="Gilroy" w:hAnsi="Gilroy"/>
          <w:sz w:val="18"/>
          <w:szCs w:val="18"/>
        </w:rPr>
        <w:t xml:space="preserve"> </w:t>
      </w:r>
    </w:p>
  </w:footnote>
  <w:footnote w:id="31">
    <w:p w14:paraId="4AD8D0BC" w14:textId="416F8C9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The Guardian, “Revealed: women’s fertility app is funded by anti-abortion campaigners”, 30 May 2019, available at: </w:t>
      </w:r>
      <w:hyperlink r:id="rId23" w:history="1">
        <w:r w:rsidRPr="00A74F76">
          <w:rPr>
            <w:rStyle w:val="Hyperlink"/>
            <w:rFonts w:ascii="Gilroy" w:hAnsi="Gilroy"/>
            <w:sz w:val="18"/>
            <w:szCs w:val="18"/>
          </w:rPr>
          <w:t>https://www.theguardian.com/world/2019/may/30/revealed-womens-fertility-app-is-funded-by-anti-abortion-campaigners</w:t>
        </w:r>
      </w:hyperlink>
      <w:r w:rsidRPr="00A74F76">
        <w:rPr>
          <w:rFonts w:ascii="Gilroy" w:hAnsi="Gilroy"/>
          <w:sz w:val="18"/>
          <w:szCs w:val="18"/>
        </w:rPr>
        <w:t xml:space="preserve"> </w:t>
      </w:r>
    </w:p>
  </w:footnote>
  <w:footnote w:id="32">
    <w:p w14:paraId="41AB5502" w14:textId="5F6077E2"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Brazil</w:t>
      </w:r>
      <w:r w:rsidRPr="00A74F76">
        <w:rPr>
          <w:rFonts w:ascii="Gilroy" w:hAnsi="Gilroy"/>
          <w:sz w:val="18"/>
          <w:szCs w:val="18"/>
        </w:rPr>
        <w:t>.</w:t>
      </w:r>
    </w:p>
  </w:footnote>
  <w:footnote w:id="33">
    <w:p w14:paraId="46CC31E7" w14:textId="6C14ED14"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Brazil</w:t>
      </w:r>
      <w:r w:rsidRPr="00A74F76">
        <w:rPr>
          <w:rFonts w:ascii="Gilroy" w:hAnsi="Gilroy"/>
          <w:sz w:val="18"/>
          <w:szCs w:val="18"/>
        </w:rPr>
        <w:t>.</w:t>
      </w:r>
    </w:p>
  </w:footnote>
  <w:footnote w:id="34">
    <w:p w14:paraId="718BEDF3" w14:textId="085AF02F"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A documentation of data exploitation in sexual and reproductive rights</w:t>
      </w:r>
      <w:r w:rsidRPr="00A74F76">
        <w:rPr>
          <w:rFonts w:ascii="Gilroy" w:hAnsi="Gilroy"/>
          <w:sz w:val="18"/>
          <w:szCs w:val="18"/>
        </w:rPr>
        <w:t xml:space="preserve">, available at: </w:t>
      </w:r>
      <w:hyperlink r:id="rId24" w:history="1">
        <w:r w:rsidRPr="00A74F76">
          <w:rPr>
            <w:rStyle w:val="Hyperlink"/>
            <w:rFonts w:ascii="Gilroy" w:hAnsi="Gilroy"/>
            <w:sz w:val="18"/>
            <w:szCs w:val="18"/>
          </w:rPr>
          <w:t>https://privacyinternational.org/long-read/3669/documentation-data-exploitation-sexual-and-reproductive-rights</w:t>
        </w:r>
      </w:hyperlink>
      <w:r w:rsidRPr="00A74F76">
        <w:rPr>
          <w:rFonts w:ascii="Gilroy" w:hAnsi="Gilroy"/>
          <w:sz w:val="18"/>
          <w:szCs w:val="18"/>
        </w:rPr>
        <w:t xml:space="preserve"> </w:t>
      </w:r>
    </w:p>
  </w:footnote>
  <w:footnote w:id="35">
    <w:p w14:paraId="696B8D6F" w14:textId="6A8E879C"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No Body’s Business But Mine: How Menstruation Apps Are Sharing Your Data</w:t>
      </w:r>
      <w:r w:rsidRPr="00A74F76">
        <w:rPr>
          <w:rFonts w:ascii="Gilroy" w:hAnsi="Gilroy"/>
          <w:sz w:val="18"/>
          <w:szCs w:val="18"/>
        </w:rPr>
        <w:t xml:space="preserve">, available at: </w:t>
      </w:r>
      <w:hyperlink r:id="rId25" w:history="1">
        <w:r w:rsidRPr="00A74F76">
          <w:rPr>
            <w:rStyle w:val="Hyperlink"/>
            <w:rFonts w:ascii="Gilroy" w:hAnsi="Gilroy"/>
            <w:sz w:val="18"/>
            <w:szCs w:val="18"/>
          </w:rPr>
          <w:t>https://www.privacyinternational.org/long-read/3196/no-bodys-business-mine-how-menstruations-apps-are-sharing-your-data</w:t>
        </w:r>
      </w:hyperlink>
      <w:r w:rsidRPr="00A74F76">
        <w:rPr>
          <w:rFonts w:ascii="Gilroy" w:hAnsi="Gilroy"/>
          <w:sz w:val="18"/>
          <w:szCs w:val="18"/>
        </w:rPr>
        <w:t xml:space="preserve"> </w:t>
      </w:r>
    </w:p>
  </w:footnote>
  <w:footnote w:id="36">
    <w:p w14:paraId="46956199" w14:textId="0C3C67F8"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Id.</w:t>
      </w:r>
    </w:p>
  </w:footnote>
  <w:footnote w:id="37">
    <w:p w14:paraId="5E1DC126" w14:textId="60847EA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 xml:space="preserve">Complaint against </w:t>
      </w:r>
      <w:proofErr w:type="spellStart"/>
      <w:r w:rsidRPr="00A74F76">
        <w:rPr>
          <w:rFonts w:ascii="Gilroy" w:hAnsi="Gilroy"/>
          <w:i/>
          <w:iCs/>
          <w:sz w:val="18"/>
          <w:szCs w:val="18"/>
        </w:rPr>
        <w:t>Doctissimo</w:t>
      </w:r>
      <w:proofErr w:type="spellEnd"/>
      <w:r w:rsidRPr="00A74F76">
        <w:rPr>
          <w:rFonts w:ascii="Gilroy" w:hAnsi="Gilroy"/>
          <w:sz w:val="18"/>
          <w:szCs w:val="18"/>
        </w:rPr>
        <w:t xml:space="preserve">, available at: </w:t>
      </w:r>
      <w:hyperlink r:id="rId26" w:history="1">
        <w:r w:rsidRPr="00A74F76">
          <w:rPr>
            <w:rStyle w:val="Hyperlink"/>
            <w:rFonts w:ascii="Gilroy" w:hAnsi="Gilroy"/>
            <w:sz w:val="18"/>
            <w:szCs w:val="18"/>
          </w:rPr>
          <w:t>https://privacyinternational.org/legal-action/complaint-against-doctissimo</w:t>
        </w:r>
      </w:hyperlink>
      <w:r w:rsidRPr="00A74F76">
        <w:rPr>
          <w:rFonts w:ascii="Gilroy" w:hAnsi="Gilroy"/>
          <w:sz w:val="18"/>
          <w:szCs w:val="18"/>
        </w:rPr>
        <w:t xml:space="preserve"> </w:t>
      </w:r>
    </w:p>
  </w:footnote>
  <w:footnote w:id="38">
    <w:p w14:paraId="09599AE2" w14:textId="31D6D9AC"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case-studies Reproductive rights</w:t>
      </w:r>
      <w:r w:rsidRPr="00A74F76">
        <w:rPr>
          <w:rFonts w:ascii="Gilroy" w:hAnsi="Gilroy"/>
          <w:sz w:val="18"/>
          <w:szCs w:val="18"/>
        </w:rPr>
        <w:t xml:space="preserve">, available at: </w:t>
      </w:r>
      <w:hyperlink r:id="rId27" w:history="1">
        <w:r w:rsidRPr="00A74F76">
          <w:rPr>
            <w:rStyle w:val="Hyperlink"/>
            <w:rFonts w:ascii="Gilroy" w:hAnsi="Gilroy"/>
            <w:sz w:val="18"/>
            <w:szCs w:val="18"/>
          </w:rPr>
          <w:t>https://privacyinternational.org/learning-resources/country-case-studies-reproductive-rights</w:t>
        </w:r>
      </w:hyperlink>
      <w:r w:rsidRPr="00A74F76">
        <w:rPr>
          <w:rFonts w:ascii="Gilroy" w:hAnsi="Gilroy"/>
          <w:sz w:val="18"/>
          <w:szCs w:val="18"/>
        </w:rPr>
        <w:t xml:space="preserve"> </w:t>
      </w:r>
    </w:p>
  </w:footnote>
  <w:footnote w:id="39">
    <w:p w14:paraId="40B4CF02" w14:textId="0B590C3A"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Brazil</w:t>
      </w:r>
      <w:r w:rsidRPr="00A74F76">
        <w:rPr>
          <w:rFonts w:ascii="Gilroy" w:hAnsi="Gilroy"/>
          <w:sz w:val="18"/>
          <w:szCs w:val="18"/>
        </w:rPr>
        <w:t xml:space="preserve">, available at: </w:t>
      </w:r>
      <w:hyperlink r:id="rId28" w:history="1">
        <w:r w:rsidRPr="00A74F76">
          <w:rPr>
            <w:rStyle w:val="Hyperlink"/>
            <w:rFonts w:ascii="Gilroy" w:hAnsi="Gilroy"/>
            <w:sz w:val="18"/>
            <w:szCs w:val="18"/>
          </w:rPr>
          <w:t>https://privacyinternational.org/long-read/3895/country-case-study-sexual-and-reproductive-rights-brazil</w:t>
        </w:r>
      </w:hyperlink>
      <w:r w:rsidRPr="00A74F76">
        <w:rPr>
          <w:rFonts w:ascii="Gilroy" w:hAnsi="Gilroy"/>
          <w:sz w:val="18"/>
          <w:szCs w:val="18"/>
        </w:rPr>
        <w:t xml:space="preserve"> </w:t>
      </w:r>
    </w:p>
  </w:footnote>
  <w:footnote w:id="40">
    <w:p w14:paraId="1B0F871D" w14:textId="78156F18"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Brazil</w:t>
      </w:r>
      <w:r w:rsidRPr="00A74F76">
        <w:rPr>
          <w:rFonts w:ascii="Gilroy" w:hAnsi="Gilroy"/>
          <w:sz w:val="18"/>
          <w:szCs w:val="18"/>
        </w:rPr>
        <w:t xml:space="preserve">, available at: </w:t>
      </w:r>
      <w:hyperlink r:id="rId29" w:history="1">
        <w:r w:rsidRPr="00A74F76">
          <w:rPr>
            <w:rStyle w:val="Hyperlink"/>
            <w:rFonts w:ascii="Gilroy" w:hAnsi="Gilroy"/>
            <w:sz w:val="18"/>
            <w:szCs w:val="18"/>
          </w:rPr>
          <w:t>https://privacyinternational.org/long-read/3895/country-case-study-sexual-and-reproductive-rights-brazil</w:t>
        </w:r>
      </w:hyperlink>
      <w:r w:rsidRPr="00A74F76">
        <w:rPr>
          <w:rFonts w:ascii="Gilroy" w:hAnsi="Gilroy"/>
          <w:sz w:val="18"/>
          <w:szCs w:val="18"/>
        </w:rPr>
        <w:t xml:space="preserve"> </w:t>
      </w:r>
    </w:p>
  </w:footnote>
  <w:footnote w:id="41">
    <w:p w14:paraId="3DBF24CC" w14:textId="3039AF5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India</w:t>
      </w:r>
      <w:r w:rsidRPr="00A74F76">
        <w:rPr>
          <w:rFonts w:ascii="Gilroy" w:hAnsi="Gilroy"/>
          <w:sz w:val="18"/>
          <w:szCs w:val="18"/>
        </w:rPr>
        <w:t xml:space="preserve">, available at: </w:t>
      </w:r>
      <w:hyperlink r:id="rId30" w:history="1">
        <w:r w:rsidRPr="00A74F76">
          <w:rPr>
            <w:rStyle w:val="Hyperlink"/>
            <w:rFonts w:ascii="Gilroy" w:hAnsi="Gilroy"/>
            <w:sz w:val="18"/>
            <w:szCs w:val="18"/>
          </w:rPr>
          <w:t>https://privacyinternational.org/long-read/3863/country-case-study-sexual-and-reproductive-rights-india</w:t>
        </w:r>
      </w:hyperlink>
      <w:r w:rsidRPr="00A74F76">
        <w:rPr>
          <w:rFonts w:ascii="Gilroy" w:hAnsi="Gilroy"/>
          <w:sz w:val="18"/>
          <w:szCs w:val="18"/>
        </w:rPr>
        <w:t xml:space="preserve"> </w:t>
      </w:r>
    </w:p>
  </w:footnote>
  <w:footnote w:id="42">
    <w:p w14:paraId="68F387F7" w14:textId="06B826E0"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Kenya</w:t>
      </w:r>
      <w:r w:rsidRPr="00A74F76">
        <w:rPr>
          <w:rFonts w:ascii="Gilroy" w:hAnsi="Gilroy"/>
          <w:sz w:val="18"/>
          <w:szCs w:val="18"/>
        </w:rPr>
        <w:t xml:space="preserve">, available at: </w:t>
      </w:r>
      <w:hyperlink r:id="rId31" w:history="1">
        <w:r w:rsidRPr="00A74F76">
          <w:rPr>
            <w:rStyle w:val="Hyperlink"/>
            <w:rFonts w:ascii="Gilroy" w:hAnsi="Gilroy"/>
            <w:sz w:val="18"/>
            <w:szCs w:val="18"/>
          </w:rPr>
          <w:t>https://privacyinternational.org/long-read/3859/country-case-study-sexual-and-reproductive-rights-kenya</w:t>
        </w:r>
      </w:hyperlink>
      <w:r w:rsidRPr="00A74F76">
        <w:rPr>
          <w:rFonts w:ascii="Gilroy" w:hAnsi="Gilroy"/>
          <w:sz w:val="18"/>
          <w:szCs w:val="18"/>
        </w:rPr>
        <w:t xml:space="preserve"> </w:t>
      </w:r>
    </w:p>
  </w:footnote>
  <w:footnote w:id="43">
    <w:p w14:paraId="61B3F11C" w14:textId="1C2A892C"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 xml:space="preserve">Country case-study: sexual and reproductive rights in Brazil, </w:t>
      </w:r>
      <w:r w:rsidRPr="00A74F76">
        <w:rPr>
          <w:rFonts w:ascii="Gilroy" w:hAnsi="Gilroy"/>
          <w:sz w:val="18"/>
          <w:szCs w:val="18"/>
        </w:rPr>
        <w:t xml:space="preserve">available at: </w:t>
      </w:r>
      <w:hyperlink r:id="rId32" w:history="1">
        <w:r w:rsidRPr="00A74F76">
          <w:rPr>
            <w:rStyle w:val="Hyperlink"/>
            <w:rFonts w:ascii="Gilroy" w:hAnsi="Gilroy"/>
            <w:sz w:val="18"/>
            <w:szCs w:val="18"/>
          </w:rPr>
          <w:t>https://privacyinternational.org/long-read/3895/country-case-study-sexual-and-reproductive-rights-brazil</w:t>
        </w:r>
      </w:hyperlink>
      <w:r w:rsidRPr="00A74F76">
        <w:rPr>
          <w:rFonts w:ascii="Gilroy" w:hAnsi="Gilroy"/>
          <w:sz w:val="18"/>
          <w:szCs w:val="18"/>
        </w:rPr>
        <w:t xml:space="preserve"> </w:t>
      </w:r>
    </w:p>
  </w:footnote>
  <w:footnote w:id="44">
    <w:p w14:paraId="34E84E02" w14:textId="73654D5A"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“Privacy matters because…it protects our bodily autonomy”, available at: </w:t>
      </w:r>
      <w:hyperlink r:id="rId33" w:history="1">
        <w:r w:rsidRPr="00A74F76">
          <w:rPr>
            <w:rStyle w:val="Hyperlink"/>
            <w:rFonts w:ascii="Gilroy" w:hAnsi="Gilroy"/>
            <w:sz w:val="18"/>
            <w:szCs w:val="18"/>
          </w:rPr>
          <w:t>https://privacyinternational.org/case-study/3388/it-protects-our-bodily-autonomy</w:t>
        </w:r>
      </w:hyperlink>
      <w:r w:rsidRPr="00A74F76">
        <w:rPr>
          <w:rFonts w:ascii="Gilroy" w:hAnsi="Gilroy"/>
          <w:sz w:val="18"/>
          <w:szCs w:val="18"/>
        </w:rPr>
        <w:t xml:space="preserve"> </w:t>
      </w:r>
    </w:p>
  </w:footnote>
  <w:footnote w:id="45">
    <w:p w14:paraId="66C05D3D" w14:textId="602DD284"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India</w:t>
      </w:r>
      <w:r w:rsidRPr="00A74F76">
        <w:rPr>
          <w:rFonts w:ascii="Gilroy" w:hAnsi="Gilroy"/>
          <w:sz w:val="18"/>
          <w:szCs w:val="18"/>
        </w:rPr>
        <w:t xml:space="preserve">, available at: </w:t>
      </w:r>
      <w:hyperlink r:id="rId34" w:history="1">
        <w:r w:rsidRPr="00A74F76">
          <w:rPr>
            <w:rStyle w:val="Hyperlink"/>
            <w:rFonts w:ascii="Gilroy" w:hAnsi="Gilroy"/>
            <w:sz w:val="18"/>
            <w:szCs w:val="18"/>
          </w:rPr>
          <w:t>https://privacyinternational.org/long-read/3863/country-case-study-sexual-and-reproductive-rights-india</w:t>
        </w:r>
      </w:hyperlink>
      <w:r w:rsidRPr="00A74F76">
        <w:rPr>
          <w:rFonts w:ascii="Gilroy" w:hAnsi="Gilroy"/>
          <w:sz w:val="18"/>
          <w:szCs w:val="18"/>
        </w:rPr>
        <w:t xml:space="preserve"> </w:t>
      </w:r>
    </w:p>
  </w:footnote>
  <w:footnote w:id="46">
    <w:p w14:paraId="4F35ABF8" w14:textId="29FF1E99"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Id.</w:t>
      </w:r>
    </w:p>
  </w:footnote>
  <w:footnote w:id="47">
    <w:p w14:paraId="5913190B" w14:textId="6B44CC18"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A documentation of data exploitation in sexual and reproductive rights</w:t>
      </w:r>
      <w:r w:rsidRPr="00A74F76">
        <w:rPr>
          <w:rFonts w:ascii="Gilroy" w:hAnsi="Gilroy"/>
          <w:sz w:val="18"/>
          <w:szCs w:val="18"/>
        </w:rPr>
        <w:t xml:space="preserve">, available at: </w:t>
      </w:r>
      <w:hyperlink r:id="rId35" w:history="1">
        <w:r w:rsidRPr="00A74F76">
          <w:rPr>
            <w:rStyle w:val="Hyperlink"/>
            <w:rFonts w:ascii="Gilroy" w:hAnsi="Gilroy"/>
            <w:sz w:val="18"/>
            <w:szCs w:val="18"/>
          </w:rPr>
          <w:t>https://privacyinternational.org/long-read/3669/documentation-data-exploitation-sexual-and-reproductive-rights</w:t>
        </w:r>
      </w:hyperlink>
      <w:r w:rsidRPr="00A74F76">
        <w:rPr>
          <w:rFonts w:ascii="Gilroy" w:hAnsi="Gilroy"/>
          <w:sz w:val="18"/>
          <w:szCs w:val="18"/>
        </w:rPr>
        <w:t xml:space="preserve"> </w:t>
      </w:r>
    </w:p>
  </w:footnote>
  <w:footnote w:id="48">
    <w:p w14:paraId="4CB48D91" w14:textId="111176A6"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Abortion Support Network, “Charities warn that anti-choice groups in Malta are targeting women with “lies and misinformation” to prevent them accessing legal abortion care overseas”, 5 June 2019, available at:  </w:t>
      </w:r>
      <w:hyperlink r:id="rId36" w:history="1">
        <w:r w:rsidRPr="00A74F76">
          <w:rPr>
            <w:rStyle w:val="Hyperlink"/>
            <w:rFonts w:ascii="Gilroy" w:hAnsi="Gilroy"/>
            <w:sz w:val="18"/>
            <w:szCs w:val="18"/>
          </w:rPr>
          <w:t>https://www.asn.org.uk/news-and-events/press-release-charities-warn-that-anti-choice-groups-in-malta-are-targeting-women-with-lies-and-misinformation-to-prevent-them-accessing-legal-abortion-care-overseas/</w:t>
        </w:r>
      </w:hyperlink>
      <w:r w:rsidRPr="00A74F76">
        <w:rPr>
          <w:rFonts w:ascii="Gilroy" w:hAnsi="Gilroy"/>
          <w:sz w:val="18"/>
          <w:szCs w:val="18"/>
        </w:rPr>
        <w:t xml:space="preserve"> </w:t>
      </w:r>
    </w:p>
  </w:footnote>
  <w:footnote w:id="49">
    <w:p w14:paraId="4563E7FE" w14:textId="0E71E176"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How anti-abortion activism is exploiting data, available at: </w:t>
      </w:r>
      <w:hyperlink r:id="rId37" w:history="1">
        <w:r w:rsidRPr="00A74F76">
          <w:rPr>
            <w:rStyle w:val="Hyperlink"/>
            <w:rFonts w:ascii="Gilroy" w:hAnsi="Gilroy"/>
            <w:sz w:val="18"/>
            <w:szCs w:val="18"/>
          </w:rPr>
          <w:t>https://privacyinternational.org/long-read/3096/how-anti-abortion-activism-exploiting-data</w:t>
        </w:r>
      </w:hyperlink>
      <w:r w:rsidRPr="00A74F76">
        <w:rPr>
          <w:rFonts w:ascii="Gilroy" w:hAnsi="Gilroy"/>
          <w:sz w:val="18"/>
          <w:szCs w:val="18"/>
        </w:rPr>
        <w:t xml:space="preserve"> </w:t>
      </w:r>
    </w:p>
  </w:footnote>
  <w:footnote w:id="50">
    <w:p w14:paraId="45A7D3F5" w14:textId="1E8584F6"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See PI, </w:t>
      </w:r>
      <w:r w:rsidRPr="00A74F76">
        <w:rPr>
          <w:rFonts w:ascii="Gilroy" w:hAnsi="Gilroy"/>
          <w:i/>
          <w:iCs/>
          <w:sz w:val="18"/>
          <w:szCs w:val="18"/>
        </w:rPr>
        <w:t>A documentation of data exploitation in sexual and reproductive rights</w:t>
      </w:r>
      <w:r w:rsidRPr="00A74F76">
        <w:rPr>
          <w:rFonts w:ascii="Gilroy" w:hAnsi="Gilroy"/>
          <w:sz w:val="18"/>
          <w:szCs w:val="18"/>
        </w:rPr>
        <w:t>, available at:</w:t>
      </w:r>
      <w:r w:rsidRPr="00A74F76">
        <w:rPr>
          <w:rFonts w:ascii="Gilroy" w:hAnsi="Gilroy"/>
          <w:i/>
          <w:iCs/>
          <w:sz w:val="18"/>
          <w:szCs w:val="18"/>
        </w:rPr>
        <w:t xml:space="preserve"> </w:t>
      </w:r>
      <w:hyperlink r:id="rId38" w:history="1">
        <w:r w:rsidRPr="00A74F76">
          <w:rPr>
            <w:rStyle w:val="Hyperlink"/>
            <w:rFonts w:ascii="Gilroy" w:hAnsi="Gilroy"/>
            <w:i/>
            <w:iCs/>
            <w:sz w:val="18"/>
            <w:szCs w:val="18"/>
          </w:rPr>
          <w:t>https://privacyinternational.org/long-read/3669/documentation-data-exploitation-sexual-and-reproductive-rights</w:t>
        </w:r>
      </w:hyperlink>
      <w:r w:rsidRPr="00A74F76">
        <w:rPr>
          <w:rFonts w:ascii="Gilroy" w:hAnsi="Gilroy"/>
          <w:i/>
          <w:iCs/>
          <w:sz w:val="18"/>
          <w:szCs w:val="18"/>
        </w:rPr>
        <w:t xml:space="preserve"> </w:t>
      </w:r>
    </w:p>
  </w:footnote>
  <w:footnote w:id="51">
    <w:p w14:paraId="76F84E9B" w14:textId="7B6DCF70"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Id.</w:t>
      </w:r>
    </w:p>
  </w:footnote>
  <w:footnote w:id="52">
    <w:p w14:paraId="527B4781" w14:textId="4EA5FBD0"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Peru</w:t>
      </w:r>
      <w:r w:rsidRPr="00A74F76">
        <w:rPr>
          <w:rFonts w:ascii="Gilroy" w:hAnsi="Gilroy"/>
          <w:sz w:val="18"/>
          <w:szCs w:val="18"/>
        </w:rPr>
        <w:t xml:space="preserve">, available a: </w:t>
      </w:r>
      <w:hyperlink r:id="rId39" w:history="1">
        <w:r w:rsidRPr="00A74F76">
          <w:rPr>
            <w:rStyle w:val="Hyperlink"/>
            <w:rFonts w:ascii="Gilroy" w:hAnsi="Gilroy"/>
            <w:sz w:val="18"/>
            <w:szCs w:val="18"/>
          </w:rPr>
          <w:t>https://privacyinternational.org/long-read/3791/country-case-study-sexual-and-reproductive-rights-peru</w:t>
        </w:r>
      </w:hyperlink>
      <w:r w:rsidRPr="00A74F76">
        <w:rPr>
          <w:rFonts w:ascii="Gilroy" w:hAnsi="Gilroy"/>
          <w:sz w:val="18"/>
          <w:szCs w:val="18"/>
        </w:rPr>
        <w:t xml:space="preserve"> </w:t>
      </w:r>
    </w:p>
  </w:footnote>
  <w:footnote w:id="53">
    <w:p w14:paraId="780EF77E" w14:textId="7777777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Human Rights Watch, A 10-Year-Old Girl’s Ordeal to Have a Legal Abortion in Brazil, 20 August 2020, available at: </w:t>
      </w:r>
      <w:hyperlink r:id="rId40" w:history="1">
        <w:r w:rsidRPr="00A74F76">
          <w:rPr>
            <w:rStyle w:val="Hyperlink"/>
            <w:rFonts w:ascii="Gilroy" w:hAnsi="Gilroy"/>
            <w:sz w:val="18"/>
            <w:szCs w:val="18"/>
          </w:rPr>
          <w:t>https://www.hrw.org/news/2020/08/20/10-year-old-girls-ordeal-have-legal-abortion-brazil</w:t>
        </w:r>
      </w:hyperlink>
      <w:r w:rsidRPr="00A74F76">
        <w:rPr>
          <w:rFonts w:ascii="Gilroy" w:hAnsi="Gilroy"/>
          <w:sz w:val="18"/>
          <w:szCs w:val="18"/>
        </w:rPr>
        <w:t xml:space="preserve"> </w:t>
      </w:r>
    </w:p>
  </w:footnote>
  <w:footnote w:id="54">
    <w:p w14:paraId="38763F4A" w14:textId="7E9183D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“Privacy matters because…it protects our development”, available at: </w:t>
      </w:r>
      <w:hyperlink r:id="rId41" w:history="1">
        <w:r w:rsidRPr="00A74F76">
          <w:rPr>
            <w:rStyle w:val="Hyperlink"/>
            <w:rFonts w:ascii="Gilroy" w:hAnsi="Gilroy"/>
            <w:sz w:val="18"/>
            <w:szCs w:val="18"/>
          </w:rPr>
          <w:t>https://privacyinternational.org/case-study/4113/it-protects-our-development</w:t>
        </w:r>
      </w:hyperlink>
      <w:r w:rsidRPr="00A74F76">
        <w:rPr>
          <w:rFonts w:ascii="Gilroy" w:hAnsi="Gilroy"/>
          <w:sz w:val="18"/>
          <w:szCs w:val="18"/>
        </w:rPr>
        <w:t xml:space="preserve"> </w:t>
      </w:r>
    </w:p>
  </w:footnote>
  <w:footnote w:id="55">
    <w:p w14:paraId="7CC0C456" w14:textId="7777777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w:t>
      </w:r>
      <w:proofErr w:type="spellStart"/>
      <w:r w:rsidRPr="00A74F76">
        <w:rPr>
          <w:rFonts w:ascii="Gilroy" w:hAnsi="Gilroy"/>
          <w:sz w:val="18"/>
          <w:szCs w:val="18"/>
        </w:rPr>
        <w:t>SWGfL</w:t>
      </w:r>
      <w:proofErr w:type="spellEnd"/>
      <w:r w:rsidRPr="00A74F76">
        <w:rPr>
          <w:rFonts w:ascii="Gilroy" w:hAnsi="Gilroy"/>
          <w:sz w:val="18"/>
          <w:szCs w:val="18"/>
        </w:rPr>
        <w:t xml:space="preserve">, “Research reveals gendered trends in revenge porn crimes”, available at: </w:t>
      </w:r>
      <w:hyperlink r:id="rId42" w:history="1">
        <w:r w:rsidRPr="00A74F76">
          <w:rPr>
            <w:rStyle w:val="Hyperlink"/>
            <w:rFonts w:ascii="Gilroy" w:hAnsi="Gilroy" w:cs="Segoe UI"/>
            <w:spacing w:val="5"/>
            <w:sz w:val="18"/>
            <w:szCs w:val="18"/>
          </w:rPr>
          <w:t>https://swgfl.org.uk/magazine/revenge-porn-research-2019/</w:t>
        </w:r>
      </w:hyperlink>
    </w:p>
  </w:footnote>
  <w:footnote w:id="56">
    <w:p w14:paraId="39BA69C8" w14:textId="338B688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Women’s Aid and PI, “Women’s Aid and Privacy International launch digital information cards to help women stay safe on Valentine’s Day”, available at: </w:t>
      </w:r>
      <w:hyperlink r:id="rId43" w:history="1">
        <w:r w:rsidRPr="00A74F76">
          <w:rPr>
            <w:rStyle w:val="Hyperlink"/>
            <w:rFonts w:ascii="Gilroy" w:hAnsi="Gilroy"/>
            <w:sz w:val="18"/>
            <w:szCs w:val="18"/>
          </w:rPr>
          <w:t>https://privacyinternational.org/long-read/3366/womens-aid-and-privacy-international-launch-digital-information-cards-help-women</w:t>
        </w:r>
      </w:hyperlink>
      <w:r w:rsidRPr="00A74F76">
        <w:rPr>
          <w:rFonts w:ascii="Gilroy" w:hAnsi="Gilroy"/>
          <w:sz w:val="18"/>
          <w:szCs w:val="18"/>
        </w:rPr>
        <w:t xml:space="preserve">; PI, “Privacy matters because…it protects marriage equality”, available at: </w:t>
      </w:r>
      <w:hyperlink r:id="rId44" w:history="1">
        <w:r w:rsidRPr="00A74F76">
          <w:rPr>
            <w:rStyle w:val="Hyperlink"/>
            <w:rFonts w:ascii="Gilroy" w:hAnsi="Gilroy"/>
            <w:sz w:val="18"/>
            <w:szCs w:val="18"/>
          </w:rPr>
          <w:t>https://privacyinternational.org/case-study/3538/it-protects-marriage-equality</w:t>
        </w:r>
      </w:hyperlink>
      <w:r w:rsidRPr="00A74F76">
        <w:rPr>
          <w:rFonts w:ascii="Gilroy" w:hAnsi="Gilroy"/>
          <w:sz w:val="18"/>
          <w:szCs w:val="18"/>
        </w:rPr>
        <w:t xml:space="preserve"> </w:t>
      </w:r>
    </w:p>
  </w:footnote>
  <w:footnote w:id="57">
    <w:p w14:paraId="0A39125A" w14:textId="08FE196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w:t>
      </w:r>
      <w:proofErr w:type="spellStart"/>
      <w:r w:rsidRPr="00A74F76">
        <w:rPr>
          <w:rFonts w:ascii="Gilroy" w:hAnsi="Gilroy"/>
          <w:sz w:val="18"/>
          <w:szCs w:val="18"/>
        </w:rPr>
        <w:t>CitizenLab</w:t>
      </w:r>
      <w:proofErr w:type="spellEnd"/>
      <w:r w:rsidRPr="00A74F76">
        <w:rPr>
          <w:rFonts w:ascii="Gilroy" w:hAnsi="Gilroy"/>
          <w:sz w:val="18"/>
          <w:szCs w:val="18"/>
        </w:rPr>
        <w:t xml:space="preserve">, </w:t>
      </w:r>
      <w:r w:rsidRPr="00A74F76">
        <w:rPr>
          <w:rFonts w:ascii="Gilroy" w:hAnsi="Gilroy"/>
          <w:i/>
          <w:iCs/>
          <w:sz w:val="18"/>
          <w:szCs w:val="18"/>
        </w:rPr>
        <w:t>The Predator in Your Pocket</w:t>
      </w:r>
      <w:r w:rsidRPr="00A74F76">
        <w:rPr>
          <w:rFonts w:ascii="Gilroy" w:hAnsi="Gilroy"/>
          <w:sz w:val="18"/>
          <w:szCs w:val="18"/>
        </w:rPr>
        <w:t xml:space="preserve">, June 2019, available at: </w:t>
      </w:r>
      <w:hyperlink r:id="rId45" w:tgtFrame="_blank" w:history="1">
        <w:r w:rsidRPr="00A74F76">
          <w:rPr>
            <w:rStyle w:val="Hyperlink"/>
            <w:rFonts w:ascii="Gilroy" w:hAnsi="Gilroy" w:cs="Segoe UI"/>
            <w:color w:val="337AB7"/>
            <w:spacing w:val="5"/>
            <w:sz w:val="18"/>
            <w:szCs w:val="18"/>
          </w:rPr>
          <w:t>https://citizenlab.ca/docs/stalkerware-holistic.pdf</w:t>
        </w:r>
      </w:hyperlink>
    </w:p>
  </w:footnote>
  <w:footnote w:id="58">
    <w:p w14:paraId="33E3390E" w14:textId="21C1A1CE"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Donna </w:t>
      </w:r>
      <w:proofErr w:type="spellStart"/>
      <w:r w:rsidRPr="00A74F76">
        <w:rPr>
          <w:rFonts w:ascii="Gilroy" w:hAnsi="Gilroy"/>
          <w:sz w:val="18"/>
          <w:szCs w:val="18"/>
        </w:rPr>
        <w:t>Mavley</w:t>
      </w:r>
      <w:proofErr w:type="spellEnd"/>
      <w:r w:rsidRPr="00A74F76">
        <w:rPr>
          <w:rFonts w:ascii="Gilroy" w:hAnsi="Gilroy"/>
          <w:sz w:val="18"/>
          <w:szCs w:val="18"/>
        </w:rPr>
        <w:t xml:space="preserve"> &amp; Donna </w:t>
      </w:r>
      <w:proofErr w:type="spellStart"/>
      <w:r w:rsidRPr="00A74F76">
        <w:rPr>
          <w:rFonts w:ascii="Gilroy" w:hAnsi="Gilroy"/>
          <w:sz w:val="18"/>
          <w:szCs w:val="18"/>
        </w:rPr>
        <w:t>Slovensky</w:t>
      </w:r>
      <w:proofErr w:type="spellEnd"/>
      <w:r w:rsidRPr="00A74F76">
        <w:rPr>
          <w:rFonts w:ascii="Gilroy" w:hAnsi="Gilroy"/>
          <w:sz w:val="18"/>
          <w:szCs w:val="18"/>
        </w:rPr>
        <w:t xml:space="preserve">, </w:t>
      </w:r>
      <w:r w:rsidRPr="00A74F76">
        <w:rPr>
          <w:rFonts w:ascii="Gilroy" w:hAnsi="Gilroy"/>
          <w:i/>
          <w:iCs/>
          <w:sz w:val="18"/>
          <w:szCs w:val="18"/>
        </w:rPr>
        <w:t>mHealth</w:t>
      </w:r>
      <w:r w:rsidRPr="00A74F76">
        <w:rPr>
          <w:rFonts w:ascii="Gilroy" w:hAnsi="Gilroy"/>
          <w:sz w:val="18"/>
          <w:szCs w:val="18"/>
        </w:rPr>
        <w:t>, Springer, 2014.</w:t>
      </w:r>
    </w:p>
  </w:footnote>
  <w:footnote w:id="59">
    <w:p w14:paraId="1B93D5F3" w14:textId="2346525B"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WHO, </w:t>
      </w:r>
      <w:r w:rsidRPr="00A74F76">
        <w:rPr>
          <w:rFonts w:ascii="Gilroy" w:hAnsi="Gilroy"/>
          <w:i/>
          <w:iCs/>
          <w:sz w:val="18"/>
          <w:szCs w:val="18"/>
        </w:rPr>
        <w:t>eHealth and innovation in women’s and children’s health: a base line review</w:t>
      </w:r>
      <w:r w:rsidRPr="00A74F76">
        <w:rPr>
          <w:rFonts w:ascii="Gilroy" w:hAnsi="Gilroy"/>
          <w:sz w:val="18"/>
          <w:szCs w:val="18"/>
        </w:rPr>
        <w:t xml:space="preserve">, March 2014, available at: </w:t>
      </w:r>
      <w:hyperlink r:id="rId46" w:history="1">
        <w:r w:rsidRPr="00A74F76">
          <w:rPr>
            <w:rStyle w:val="Hyperlink"/>
            <w:rFonts w:ascii="Gilroy" w:hAnsi="Gilroy"/>
            <w:sz w:val="18"/>
            <w:szCs w:val="18"/>
          </w:rPr>
          <w:t>https://www.who.int/goe/publications/baseline_fullreport/en/</w:t>
        </w:r>
      </w:hyperlink>
      <w:r w:rsidRPr="00A74F76">
        <w:rPr>
          <w:rFonts w:ascii="Gilroy" w:hAnsi="Gilroy"/>
          <w:sz w:val="18"/>
          <w:szCs w:val="18"/>
        </w:rPr>
        <w:t xml:space="preserve"> </w:t>
      </w:r>
    </w:p>
  </w:footnote>
  <w:footnote w:id="60">
    <w:p w14:paraId="6F344AFB" w14:textId="34B3C6B0"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Sunday Oluwafemi Oyeyemi, Rolf Wynn, “Giving cell phones to pregnant women and improving services may increase primary health facility utilization: a case-control study of a Nigerian project”, 11(1) </w:t>
      </w:r>
      <w:proofErr w:type="spellStart"/>
      <w:r w:rsidRPr="00A74F76">
        <w:rPr>
          <w:rFonts w:ascii="Gilroy" w:hAnsi="Gilroy"/>
          <w:i/>
          <w:iCs/>
          <w:sz w:val="18"/>
          <w:szCs w:val="18"/>
        </w:rPr>
        <w:t>Reprod</w:t>
      </w:r>
      <w:proofErr w:type="spellEnd"/>
      <w:r w:rsidRPr="00A74F76">
        <w:rPr>
          <w:rFonts w:ascii="Gilroy" w:hAnsi="Gilroy"/>
          <w:i/>
          <w:iCs/>
          <w:sz w:val="18"/>
          <w:szCs w:val="18"/>
        </w:rPr>
        <w:t xml:space="preserve"> Health</w:t>
      </w:r>
      <w:r w:rsidRPr="00A74F76">
        <w:rPr>
          <w:rFonts w:ascii="Gilroy" w:hAnsi="Gilroy"/>
          <w:sz w:val="18"/>
          <w:szCs w:val="18"/>
        </w:rPr>
        <w:t xml:space="preserve">, available at: </w:t>
      </w:r>
      <w:hyperlink r:id="rId47" w:history="1">
        <w:r w:rsidRPr="00A74F76">
          <w:rPr>
            <w:rStyle w:val="Hyperlink"/>
            <w:rFonts w:ascii="Gilroy" w:hAnsi="Gilroy"/>
            <w:sz w:val="18"/>
            <w:szCs w:val="18"/>
          </w:rPr>
          <w:t>https://pubmed.ncbi.nlm.nih.gov/24438150/</w:t>
        </w:r>
      </w:hyperlink>
      <w:r w:rsidRPr="00A74F76">
        <w:rPr>
          <w:rFonts w:ascii="Gilroy" w:hAnsi="Gilroy"/>
          <w:sz w:val="18"/>
          <w:szCs w:val="18"/>
        </w:rPr>
        <w:t xml:space="preserve">   </w:t>
      </w:r>
    </w:p>
  </w:footnote>
  <w:footnote w:id="61">
    <w:p w14:paraId="4D38792C" w14:textId="442B155D"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w:t>
      </w:r>
      <w:proofErr w:type="spellStart"/>
      <w:r w:rsidRPr="00A74F76">
        <w:rPr>
          <w:rFonts w:ascii="Gilroy" w:hAnsi="Gilroy"/>
          <w:sz w:val="18"/>
          <w:szCs w:val="18"/>
        </w:rPr>
        <w:t>Smisha</w:t>
      </w:r>
      <w:proofErr w:type="spellEnd"/>
      <w:r w:rsidRPr="00A74F76">
        <w:rPr>
          <w:rFonts w:ascii="Gilroy" w:hAnsi="Gilroy"/>
          <w:sz w:val="18"/>
          <w:szCs w:val="18"/>
        </w:rPr>
        <w:t xml:space="preserve"> Agarwal, Alain </w:t>
      </w:r>
      <w:proofErr w:type="spellStart"/>
      <w:r w:rsidRPr="00A74F76">
        <w:rPr>
          <w:rFonts w:ascii="Gilroy" w:hAnsi="Gilroy"/>
          <w:sz w:val="18"/>
          <w:szCs w:val="18"/>
        </w:rPr>
        <w:t>Labrique</w:t>
      </w:r>
      <w:proofErr w:type="spellEnd"/>
      <w:r w:rsidRPr="00A74F76">
        <w:rPr>
          <w:rFonts w:ascii="Gilroy" w:hAnsi="Gilroy"/>
          <w:sz w:val="18"/>
          <w:szCs w:val="18"/>
        </w:rPr>
        <w:t>, “</w:t>
      </w:r>
      <w:proofErr w:type="spellStart"/>
      <w:r w:rsidRPr="00A74F76">
        <w:rPr>
          <w:rFonts w:ascii="Gilroy" w:hAnsi="Gilroy"/>
          <w:sz w:val="18"/>
          <w:szCs w:val="18"/>
        </w:rPr>
        <w:t>Newborn</w:t>
      </w:r>
      <w:proofErr w:type="spellEnd"/>
      <w:r w:rsidRPr="00A74F76">
        <w:rPr>
          <w:rFonts w:ascii="Gilroy" w:hAnsi="Gilroy"/>
          <w:sz w:val="18"/>
          <w:szCs w:val="18"/>
        </w:rPr>
        <w:t xml:space="preserve"> health on the line: the potential mHealth applications”, 312(3) </w:t>
      </w:r>
      <w:r w:rsidRPr="00A74F76">
        <w:rPr>
          <w:rFonts w:ascii="Gilroy" w:hAnsi="Gilroy"/>
          <w:i/>
          <w:iCs/>
          <w:sz w:val="18"/>
          <w:szCs w:val="18"/>
        </w:rPr>
        <w:t>JAMA</w:t>
      </w:r>
      <w:r w:rsidRPr="00A74F76">
        <w:rPr>
          <w:rFonts w:ascii="Gilroy" w:hAnsi="Gilroy"/>
          <w:sz w:val="18"/>
          <w:szCs w:val="18"/>
        </w:rPr>
        <w:t xml:space="preserve">, available at: </w:t>
      </w:r>
      <w:hyperlink r:id="rId48" w:history="1">
        <w:r w:rsidRPr="00A74F76">
          <w:rPr>
            <w:rStyle w:val="Hyperlink"/>
            <w:rFonts w:ascii="Gilroy" w:hAnsi="Gilroy"/>
            <w:sz w:val="18"/>
            <w:szCs w:val="18"/>
          </w:rPr>
          <w:t>https://pubmed.ncbi.nlm.nih.gov/24953141/</w:t>
        </w:r>
      </w:hyperlink>
      <w:r w:rsidRPr="00A74F76">
        <w:rPr>
          <w:rFonts w:ascii="Gilroy" w:hAnsi="Gilroy"/>
          <w:sz w:val="18"/>
          <w:szCs w:val="18"/>
        </w:rPr>
        <w:t xml:space="preserve"> </w:t>
      </w:r>
    </w:p>
  </w:footnote>
  <w:footnote w:id="62">
    <w:p w14:paraId="6B4247CE" w14:textId="50D1F570"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Maternal Health Task Force, </w:t>
      </w:r>
      <w:r w:rsidRPr="00A74F76">
        <w:rPr>
          <w:rFonts w:ascii="Gilroy" w:hAnsi="Gilroy"/>
          <w:i/>
          <w:iCs/>
          <w:sz w:val="18"/>
          <w:szCs w:val="18"/>
        </w:rPr>
        <w:t>Closing the Gaps of Maternal Health in Conflict and Crises,</w:t>
      </w:r>
      <w:r w:rsidRPr="00A74F76">
        <w:rPr>
          <w:rFonts w:ascii="Gilroy" w:hAnsi="Gilroy"/>
          <w:sz w:val="18"/>
          <w:szCs w:val="18"/>
        </w:rPr>
        <w:t xml:space="preserve"> available at: </w:t>
      </w:r>
      <w:hyperlink r:id="rId49" w:history="1">
        <w:r w:rsidRPr="00A74F76">
          <w:rPr>
            <w:rStyle w:val="Hyperlink"/>
            <w:rFonts w:ascii="Gilroy" w:hAnsi="Gilroy"/>
            <w:sz w:val="18"/>
            <w:szCs w:val="18"/>
          </w:rPr>
          <w:t>https://www.mhtf.org/projects/woodrow-wilson-international-center-advancing-dialogue-on-maternal-health-series/closing-the-gaps-of-maternal-health-in-conflict-and-crises/</w:t>
        </w:r>
      </w:hyperlink>
      <w:r w:rsidRPr="00A74F76">
        <w:rPr>
          <w:rFonts w:ascii="Gilroy" w:hAnsi="Gilroy"/>
          <w:sz w:val="18"/>
          <w:szCs w:val="18"/>
        </w:rPr>
        <w:t xml:space="preserve"> </w:t>
      </w:r>
    </w:p>
  </w:footnote>
  <w:footnote w:id="63">
    <w:p w14:paraId="35A8A8E7" w14:textId="4F598D35"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Avicenna Medical Systems, Chronic Care Management Overview, available at: </w:t>
      </w:r>
      <w:hyperlink r:id="rId50" w:history="1">
        <w:r w:rsidRPr="00A74F76">
          <w:rPr>
            <w:rStyle w:val="Hyperlink"/>
            <w:rFonts w:ascii="Gilroy" w:hAnsi="Gilroy"/>
            <w:sz w:val="18"/>
            <w:szCs w:val="18"/>
          </w:rPr>
          <w:t>https://www.avicenna-medical.com/chronic-care-management-software-benefits-avitracks-cm</w:t>
        </w:r>
      </w:hyperlink>
      <w:r w:rsidRPr="00A74F76">
        <w:rPr>
          <w:rFonts w:ascii="Gilroy" w:hAnsi="Gilroy"/>
          <w:sz w:val="18"/>
          <w:szCs w:val="18"/>
        </w:rPr>
        <w:t xml:space="preserve"> </w:t>
      </w:r>
    </w:p>
  </w:footnote>
  <w:footnote w:id="64">
    <w:p w14:paraId="1DBB2736" w14:textId="40B949E6"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NIPH, Global Health Preparedness Project in Palestine, 22 September 2017, available at: </w:t>
      </w:r>
      <w:hyperlink r:id="rId51" w:history="1">
        <w:r w:rsidRPr="00A74F76">
          <w:rPr>
            <w:rStyle w:val="Hyperlink"/>
            <w:rFonts w:ascii="Gilroy" w:hAnsi="Gilroy"/>
            <w:sz w:val="18"/>
            <w:szCs w:val="18"/>
          </w:rPr>
          <w:t>https://www.fhi.no/en/qk/global-healt-collaboration/global-health-preparedness-programme/our-partner-countries/palestine/</w:t>
        </w:r>
      </w:hyperlink>
      <w:r w:rsidRPr="00A74F76">
        <w:rPr>
          <w:rFonts w:ascii="Gilroy" w:hAnsi="Gilroy"/>
          <w:sz w:val="18"/>
          <w:szCs w:val="18"/>
        </w:rPr>
        <w:t xml:space="preserve"> </w:t>
      </w:r>
    </w:p>
  </w:footnote>
  <w:footnote w:id="65">
    <w:p w14:paraId="5F5F93C0" w14:textId="0285BFF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JSANDS, </w:t>
      </w:r>
      <w:r w:rsidRPr="00A74F76">
        <w:rPr>
          <w:rFonts w:ascii="Gilroy" w:hAnsi="Gilroy"/>
          <w:i/>
          <w:iCs/>
          <w:sz w:val="18"/>
          <w:szCs w:val="18"/>
        </w:rPr>
        <w:t>About J-SANDS</w:t>
      </w:r>
      <w:r w:rsidRPr="00A74F76">
        <w:rPr>
          <w:rFonts w:ascii="Gilroy" w:hAnsi="Gilroy"/>
          <w:sz w:val="18"/>
          <w:szCs w:val="18"/>
        </w:rPr>
        <w:t xml:space="preserve">, available at: </w:t>
      </w:r>
      <w:hyperlink r:id="rId52" w:history="1">
        <w:r w:rsidRPr="00A74F76">
          <w:rPr>
            <w:rStyle w:val="Hyperlink"/>
            <w:rFonts w:ascii="Gilroy" w:hAnsi="Gilroy"/>
            <w:sz w:val="18"/>
            <w:szCs w:val="18"/>
          </w:rPr>
          <w:t>www.jsands.jo</w:t>
        </w:r>
      </w:hyperlink>
      <w:r w:rsidRPr="00A74F76">
        <w:rPr>
          <w:rFonts w:ascii="Gilroy" w:hAnsi="Gilroy"/>
          <w:sz w:val="18"/>
          <w:szCs w:val="18"/>
        </w:rPr>
        <w:t xml:space="preserve"> </w:t>
      </w:r>
    </w:p>
  </w:footnote>
  <w:footnote w:id="66">
    <w:p w14:paraId="1E664452" w14:textId="2181825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Electronic Health Solutions, </w:t>
      </w:r>
      <w:r w:rsidRPr="00A74F76">
        <w:rPr>
          <w:rFonts w:ascii="Gilroy" w:hAnsi="Gilroy"/>
          <w:i/>
          <w:iCs/>
          <w:sz w:val="18"/>
          <w:szCs w:val="18"/>
        </w:rPr>
        <w:t>About EHS</w:t>
      </w:r>
      <w:r w:rsidRPr="00A74F76">
        <w:rPr>
          <w:rFonts w:ascii="Gilroy" w:hAnsi="Gilroy"/>
          <w:sz w:val="18"/>
          <w:szCs w:val="18"/>
        </w:rPr>
        <w:t xml:space="preserve">, available at: </w:t>
      </w:r>
      <w:hyperlink r:id="rId53" w:history="1">
        <w:r w:rsidRPr="00A74F76">
          <w:rPr>
            <w:rStyle w:val="Hyperlink"/>
            <w:rFonts w:ascii="Gilroy" w:hAnsi="Gilroy"/>
            <w:sz w:val="18"/>
            <w:szCs w:val="18"/>
          </w:rPr>
          <w:t>https://ehs.com.jo/</w:t>
        </w:r>
      </w:hyperlink>
      <w:r w:rsidRPr="00A74F76">
        <w:rPr>
          <w:rFonts w:ascii="Gilroy" w:hAnsi="Gilroy"/>
          <w:sz w:val="18"/>
          <w:szCs w:val="18"/>
        </w:rPr>
        <w:t xml:space="preserve"> </w:t>
      </w:r>
    </w:p>
  </w:footnote>
  <w:footnote w:id="67">
    <w:p w14:paraId="62E409E5" w14:textId="16E0D52D"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“Initial analysis of Indian Supreme Court decision on Aadhaar”, available at: </w:t>
      </w:r>
      <w:hyperlink r:id="rId54" w:history="1">
        <w:r w:rsidRPr="00A74F76">
          <w:rPr>
            <w:rStyle w:val="Hyperlink"/>
            <w:rFonts w:ascii="Gilroy" w:hAnsi="Gilroy"/>
            <w:sz w:val="18"/>
            <w:szCs w:val="18"/>
          </w:rPr>
          <w:t>https://privacyinternational.org/long-read/2299/initial-analysis-indian-supreme-court-decision-aadhaar</w:t>
        </w:r>
      </w:hyperlink>
      <w:r w:rsidRPr="00A74F76">
        <w:rPr>
          <w:rFonts w:ascii="Gilroy" w:hAnsi="Gilroy"/>
          <w:sz w:val="18"/>
          <w:szCs w:val="18"/>
        </w:rPr>
        <w:t xml:space="preserve"> </w:t>
      </w:r>
    </w:p>
  </w:footnote>
  <w:footnote w:id="68">
    <w:p w14:paraId="6C1813F2" w14:textId="1DE80F0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Centre for Internet and Society, </w:t>
      </w:r>
      <w:r w:rsidRPr="00A74F76">
        <w:rPr>
          <w:rFonts w:ascii="Gilroy" w:hAnsi="Gilroy"/>
          <w:i/>
          <w:iCs/>
          <w:sz w:val="18"/>
          <w:szCs w:val="18"/>
        </w:rPr>
        <w:t>Big Data and Reproductive Health: A case study of the Mother and Child Tracking System</w:t>
      </w:r>
      <w:r w:rsidRPr="00A74F76">
        <w:rPr>
          <w:rFonts w:ascii="Gilroy" w:hAnsi="Gilroy"/>
          <w:sz w:val="18"/>
          <w:szCs w:val="18"/>
        </w:rPr>
        <w:t xml:space="preserve">, October 2019, available at: </w:t>
      </w:r>
      <w:hyperlink r:id="rId55" w:history="1">
        <w:r w:rsidRPr="00A74F76">
          <w:rPr>
            <w:rStyle w:val="Hyperlink"/>
            <w:rFonts w:ascii="Gilroy" w:hAnsi="Gilroy"/>
            <w:sz w:val="18"/>
            <w:szCs w:val="18"/>
          </w:rPr>
          <w:t>https://cis-india.org/raw/big-data-reproductive-health-india-mcts</w:t>
        </w:r>
      </w:hyperlink>
      <w:r w:rsidRPr="00A74F76">
        <w:rPr>
          <w:rFonts w:ascii="Gilroy" w:hAnsi="Gilroy"/>
          <w:sz w:val="18"/>
          <w:szCs w:val="18"/>
        </w:rPr>
        <w:t xml:space="preserve"> </w:t>
      </w:r>
    </w:p>
  </w:footnote>
  <w:footnote w:id="69">
    <w:p w14:paraId="652FB050" w14:textId="11533D05"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Country case-study: sexual and reproductive rights in Peru, available at: </w:t>
      </w:r>
      <w:hyperlink r:id="rId56" w:history="1">
        <w:r w:rsidRPr="00A74F76">
          <w:rPr>
            <w:rStyle w:val="Hyperlink"/>
            <w:rFonts w:ascii="Gilroy" w:hAnsi="Gilroy"/>
            <w:sz w:val="18"/>
            <w:szCs w:val="18"/>
          </w:rPr>
          <w:t>https://privacyinternational.org/long-read/3791/country-case-study-sexual-and-reproductive-rights-peru</w:t>
        </w:r>
      </w:hyperlink>
      <w:r w:rsidRPr="00A74F76">
        <w:rPr>
          <w:rFonts w:ascii="Gilroy" w:hAnsi="Gilroy"/>
          <w:sz w:val="18"/>
          <w:szCs w:val="18"/>
        </w:rPr>
        <w:t xml:space="preserve"> </w:t>
      </w:r>
    </w:p>
  </w:footnote>
  <w:footnote w:id="70">
    <w:p w14:paraId="0AF6DE79" w14:textId="6502B8AC" w:rsidR="00581B4D" w:rsidRPr="00A74F76" w:rsidRDefault="00581B4D" w:rsidP="00A74F76">
      <w:pPr>
        <w:pStyle w:val="FootnoteText"/>
        <w:jc w:val="both"/>
        <w:rPr>
          <w:rFonts w:ascii="Gilroy" w:hAnsi="Gilroy"/>
          <w:sz w:val="18"/>
          <w:szCs w:val="18"/>
          <w:lang w:val="es-ES"/>
        </w:rPr>
      </w:pPr>
      <w:r w:rsidRPr="00A74F76">
        <w:rPr>
          <w:rStyle w:val="FootnoteReference"/>
          <w:rFonts w:ascii="Gilroy" w:hAnsi="Gilroy"/>
          <w:sz w:val="18"/>
          <w:szCs w:val="18"/>
        </w:rPr>
        <w:footnoteRef/>
      </w:r>
      <w:r w:rsidRPr="00A74F76">
        <w:rPr>
          <w:rFonts w:ascii="Gilroy" w:hAnsi="Gilroy"/>
          <w:sz w:val="18"/>
          <w:szCs w:val="18"/>
          <w:lang w:val="es-ES"/>
        </w:rPr>
        <w:t xml:space="preserve"> CIPER, “Acompañamiento a las mujeres que abortan: un programa abandonado a su suerte”, 9 </w:t>
      </w:r>
      <w:proofErr w:type="spellStart"/>
      <w:r w:rsidRPr="00A74F76">
        <w:rPr>
          <w:rFonts w:ascii="Gilroy" w:hAnsi="Gilroy"/>
          <w:sz w:val="18"/>
          <w:szCs w:val="18"/>
          <w:lang w:val="es-ES"/>
        </w:rPr>
        <w:t>October</w:t>
      </w:r>
      <w:proofErr w:type="spellEnd"/>
      <w:r w:rsidRPr="00A74F76">
        <w:rPr>
          <w:rFonts w:ascii="Gilroy" w:hAnsi="Gilroy"/>
          <w:sz w:val="18"/>
          <w:szCs w:val="18"/>
          <w:lang w:val="es-ES"/>
        </w:rPr>
        <w:t xml:space="preserve"> 2019, </w:t>
      </w:r>
      <w:proofErr w:type="spellStart"/>
      <w:r w:rsidRPr="00A74F76">
        <w:rPr>
          <w:rFonts w:ascii="Gilroy" w:hAnsi="Gilroy"/>
          <w:sz w:val="18"/>
          <w:szCs w:val="18"/>
          <w:lang w:val="es-ES"/>
        </w:rPr>
        <w:t>available</w:t>
      </w:r>
      <w:proofErr w:type="spellEnd"/>
      <w:r w:rsidRPr="00A74F76">
        <w:rPr>
          <w:rFonts w:ascii="Gilroy" w:hAnsi="Gilroy"/>
          <w:sz w:val="18"/>
          <w:szCs w:val="18"/>
          <w:lang w:val="es-ES"/>
        </w:rPr>
        <w:t xml:space="preserve"> at: </w:t>
      </w:r>
      <w:r w:rsidR="009A256D">
        <w:fldChar w:fldCharType="begin"/>
      </w:r>
      <w:r w:rsidR="009A256D" w:rsidRPr="00577754">
        <w:rPr>
          <w:lang w:val="fr-FR"/>
        </w:rPr>
        <w:instrText xml:space="preserve"> HYPERLINK "https://ciperchile.cl/2019/10/09/acompanamiento-a-las-mujeres-que-abortan-un-</w:instrText>
      </w:r>
      <w:r w:rsidR="009A256D" w:rsidRPr="00577754">
        <w:rPr>
          <w:lang w:val="fr-FR"/>
        </w:rPr>
        <w:instrText xml:space="preserve">programa-abandonado-a-su-suerte/" </w:instrText>
      </w:r>
      <w:r w:rsidR="009A256D">
        <w:fldChar w:fldCharType="separate"/>
      </w:r>
      <w:r w:rsidRPr="00A74F76">
        <w:rPr>
          <w:rStyle w:val="Hyperlink"/>
          <w:rFonts w:ascii="Gilroy" w:hAnsi="Gilroy"/>
          <w:sz w:val="18"/>
          <w:szCs w:val="18"/>
          <w:lang w:val="es-ES"/>
        </w:rPr>
        <w:t>https://ciperchile.cl/2019/10/09/acompanamiento-a-las-mujeres-que-abortan-un-programa-abandonado-a-su-suerte/</w:t>
      </w:r>
      <w:r w:rsidR="009A256D">
        <w:rPr>
          <w:rStyle w:val="Hyperlink"/>
          <w:rFonts w:ascii="Gilroy" w:hAnsi="Gilroy"/>
          <w:sz w:val="18"/>
          <w:szCs w:val="18"/>
          <w:lang w:val="es-ES"/>
        </w:rPr>
        <w:fldChar w:fldCharType="end"/>
      </w:r>
      <w:r w:rsidRPr="00A74F76">
        <w:rPr>
          <w:rFonts w:ascii="Gilroy" w:hAnsi="Gilroy"/>
          <w:sz w:val="18"/>
          <w:szCs w:val="18"/>
          <w:lang w:val="es-ES"/>
        </w:rPr>
        <w:t xml:space="preserve"> </w:t>
      </w:r>
    </w:p>
  </w:footnote>
  <w:footnote w:id="71">
    <w:p w14:paraId="3690565A" w14:textId="673E0BBD"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Country case-study: sexual and reproductive rights in Argentina, available at: </w:t>
      </w:r>
      <w:hyperlink r:id="rId57" w:history="1">
        <w:r w:rsidRPr="00A74F76">
          <w:rPr>
            <w:rStyle w:val="Hyperlink"/>
            <w:rFonts w:ascii="Gilroy" w:hAnsi="Gilroy"/>
            <w:sz w:val="18"/>
            <w:szCs w:val="18"/>
          </w:rPr>
          <w:t>https://privacyinternational.org/long-read/3856/country-case-study-sexual-and-reproductive-rights-argentina</w:t>
        </w:r>
      </w:hyperlink>
      <w:r w:rsidRPr="00A74F76">
        <w:rPr>
          <w:rFonts w:ascii="Gilroy" w:hAnsi="Gilroy"/>
          <w:sz w:val="18"/>
          <w:szCs w:val="18"/>
        </w:rPr>
        <w:t xml:space="preserve"> </w:t>
      </w:r>
    </w:p>
  </w:footnote>
  <w:footnote w:id="72">
    <w:p w14:paraId="7D3B1EF5" w14:textId="23C9B0E0"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Human Rights Watch, </w:t>
      </w:r>
      <w:r w:rsidRPr="00A74F76">
        <w:rPr>
          <w:rFonts w:ascii="Gilroy" w:hAnsi="Gilroy"/>
          <w:i/>
          <w:iCs/>
          <w:sz w:val="18"/>
          <w:szCs w:val="18"/>
        </w:rPr>
        <w:t>Chile Events of 2018</w:t>
      </w:r>
      <w:r w:rsidRPr="00A74F76">
        <w:rPr>
          <w:rFonts w:ascii="Gilroy" w:hAnsi="Gilroy"/>
          <w:sz w:val="18"/>
          <w:szCs w:val="18"/>
        </w:rPr>
        <w:t xml:space="preserve">, available at: </w:t>
      </w:r>
      <w:hyperlink r:id="rId58" w:anchor="085afa" w:history="1">
        <w:r w:rsidRPr="00A74F76">
          <w:rPr>
            <w:rStyle w:val="Hyperlink"/>
            <w:rFonts w:ascii="Gilroy" w:hAnsi="Gilroy"/>
            <w:sz w:val="18"/>
            <w:szCs w:val="18"/>
          </w:rPr>
          <w:t>https://www.hrw.org/world-report/2019/country-chapters/chile#085afa</w:t>
        </w:r>
      </w:hyperlink>
      <w:r w:rsidRPr="00A74F76">
        <w:rPr>
          <w:rFonts w:ascii="Gilroy" w:hAnsi="Gilroy"/>
          <w:sz w:val="18"/>
          <w:szCs w:val="18"/>
        </w:rPr>
        <w:t xml:space="preserve"> </w:t>
      </w:r>
    </w:p>
  </w:footnote>
  <w:footnote w:id="73">
    <w:p w14:paraId="42E0F7C5" w14:textId="77777777" w:rsidR="00581B4D" w:rsidRPr="00A74F76" w:rsidRDefault="00581B4D" w:rsidP="00A74F76">
      <w:pPr>
        <w:pStyle w:val="FootnoteText"/>
        <w:jc w:val="both"/>
        <w:rPr>
          <w:rFonts w:ascii="Gilroy" w:hAnsi="Gilroy"/>
          <w:sz w:val="18"/>
          <w:szCs w:val="18"/>
          <w:lang w:val="es-ES"/>
        </w:rPr>
      </w:pPr>
      <w:r w:rsidRPr="00A74F76">
        <w:rPr>
          <w:rStyle w:val="FootnoteReference"/>
          <w:rFonts w:ascii="Gilroy" w:hAnsi="Gilroy"/>
          <w:sz w:val="18"/>
          <w:szCs w:val="18"/>
        </w:rPr>
        <w:footnoteRef/>
      </w:r>
      <w:r w:rsidRPr="00A74F76">
        <w:rPr>
          <w:rFonts w:ascii="Gilroy" w:hAnsi="Gilroy"/>
          <w:sz w:val="18"/>
          <w:szCs w:val="18"/>
          <w:lang w:val="es-ES"/>
        </w:rPr>
        <w:t xml:space="preserve"> CIPER, “Todos los obstáculos y presiones que impiden a las mujeres acceder al aborto por tres causales”, 4 </w:t>
      </w:r>
      <w:proofErr w:type="spellStart"/>
      <w:r w:rsidRPr="00A74F76">
        <w:rPr>
          <w:rFonts w:ascii="Gilroy" w:hAnsi="Gilroy"/>
          <w:sz w:val="18"/>
          <w:szCs w:val="18"/>
          <w:lang w:val="es-ES"/>
        </w:rPr>
        <w:t>September</w:t>
      </w:r>
      <w:proofErr w:type="spellEnd"/>
      <w:r w:rsidRPr="00A74F76">
        <w:rPr>
          <w:rFonts w:ascii="Gilroy" w:hAnsi="Gilroy"/>
          <w:sz w:val="18"/>
          <w:szCs w:val="18"/>
          <w:lang w:val="es-ES"/>
        </w:rPr>
        <w:t xml:space="preserve"> 2018, </w:t>
      </w:r>
      <w:proofErr w:type="spellStart"/>
      <w:r w:rsidRPr="00A74F76">
        <w:rPr>
          <w:rFonts w:ascii="Gilroy" w:hAnsi="Gilroy"/>
          <w:sz w:val="18"/>
          <w:szCs w:val="18"/>
          <w:lang w:val="es-ES"/>
        </w:rPr>
        <w:t>available</w:t>
      </w:r>
      <w:proofErr w:type="spellEnd"/>
      <w:r w:rsidRPr="00A74F76">
        <w:rPr>
          <w:rFonts w:ascii="Gilroy" w:hAnsi="Gilroy"/>
          <w:sz w:val="18"/>
          <w:szCs w:val="18"/>
          <w:lang w:val="es-ES"/>
        </w:rPr>
        <w:t xml:space="preserve"> at: </w:t>
      </w:r>
      <w:hyperlink r:id="rId59" w:history="1">
        <w:r w:rsidRPr="00A74F76">
          <w:rPr>
            <w:rStyle w:val="Hyperlink"/>
            <w:rFonts w:ascii="Gilroy" w:hAnsi="Gilroy"/>
            <w:sz w:val="18"/>
            <w:szCs w:val="18"/>
            <w:lang w:val="es-ES"/>
          </w:rPr>
          <w:t>https://ciperchile.cl/2018/09/04/todos-los-obstaculos-y-presiones-que-impiden-a-las-mujeres-acceder-al-aborto-por-tres-causales/</w:t>
        </w:r>
      </w:hyperlink>
      <w:r w:rsidRPr="00A74F76">
        <w:rPr>
          <w:rFonts w:ascii="Gilroy" w:hAnsi="Gilroy"/>
          <w:sz w:val="18"/>
          <w:szCs w:val="18"/>
          <w:lang w:val="es-ES"/>
        </w:rPr>
        <w:t xml:space="preserve"> </w:t>
      </w:r>
    </w:p>
  </w:footnote>
  <w:footnote w:id="74">
    <w:p w14:paraId="2C15947F" w14:textId="416C264A"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Open Democracy, “Exclusive: Trump-linked religious ‘extremists’ target women with disinformation worldwide”, 10 February 2020. Available at: </w:t>
      </w:r>
      <w:hyperlink r:id="rId60" w:history="1">
        <w:r w:rsidRPr="00A74F76">
          <w:rPr>
            <w:rStyle w:val="Hyperlink"/>
            <w:rFonts w:ascii="Gilroy" w:hAnsi="Gilroy"/>
            <w:sz w:val="18"/>
            <w:szCs w:val="18"/>
          </w:rPr>
          <w:t>https://www.opendemocracy.net/en/5050/trump-linked-religious-extremists-global-disinformation-pregnant-women/</w:t>
        </w:r>
      </w:hyperlink>
      <w:r w:rsidRPr="00A74F76">
        <w:rPr>
          <w:rFonts w:ascii="Gilroy" w:hAnsi="Gilroy"/>
          <w:sz w:val="18"/>
          <w:szCs w:val="18"/>
        </w:rPr>
        <w:t xml:space="preserve"> </w:t>
      </w:r>
    </w:p>
  </w:footnote>
  <w:footnote w:id="75">
    <w:p w14:paraId="16D8DFF5" w14:textId="72B70DA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A documentation of data exploitation in sexual and reproductive rights</w:t>
      </w:r>
      <w:r w:rsidRPr="00A74F76">
        <w:rPr>
          <w:rFonts w:ascii="Gilroy" w:hAnsi="Gilroy"/>
          <w:sz w:val="18"/>
          <w:szCs w:val="18"/>
        </w:rPr>
        <w:t xml:space="preserve">, available at: </w:t>
      </w:r>
      <w:hyperlink r:id="rId61" w:history="1">
        <w:r w:rsidRPr="00A74F76">
          <w:rPr>
            <w:rStyle w:val="Hyperlink"/>
            <w:rFonts w:ascii="Gilroy" w:hAnsi="Gilroy"/>
            <w:sz w:val="18"/>
            <w:szCs w:val="18"/>
          </w:rPr>
          <w:t>https://privacyinternational.org/long-read/3669/documentation-data-exploitation-sexual-and-reproductive-rights</w:t>
        </w:r>
      </w:hyperlink>
      <w:r w:rsidRPr="00A74F76">
        <w:rPr>
          <w:rFonts w:ascii="Gilroy" w:hAnsi="Gilroy"/>
          <w:sz w:val="18"/>
          <w:szCs w:val="18"/>
        </w:rPr>
        <w:t xml:space="preserve"> </w:t>
      </w:r>
    </w:p>
  </w:footnote>
  <w:footnote w:id="76">
    <w:p w14:paraId="7195A92D" w14:textId="1A69EE6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India</w:t>
      </w:r>
      <w:r w:rsidRPr="00A74F76">
        <w:rPr>
          <w:rFonts w:ascii="Gilroy" w:hAnsi="Gilroy"/>
          <w:sz w:val="18"/>
          <w:szCs w:val="18"/>
        </w:rPr>
        <w:t>, available at: https://privacyinternational.org/long-read/3863/country-case-study-sexual-and-reproductive-rights-india</w:t>
      </w:r>
    </w:p>
  </w:footnote>
  <w:footnote w:id="77">
    <w:p w14:paraId="51601778" w14:textId="3A967037"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India</w:t>
      </w:r>
      <w:r w:rsidRPr="00A74F76">
        <w:rPr>
          <w:rFonts w:ascii="Gilroy" w:hAnsi="Gilroy"/>
          <w:sz w:val="18"/>
          <w:szCs w:val="18"/>
        </w:rPr>
        <w:t>, available at: https://privacyinternational.org/long-read/3863/country-case-study-sexual-and-reproductive-rights-india</w:t>
      </w:r>
    </w:p>
  </w:footnote>
  <w:footnote w:id="78">
    <w:p w14:paraId="1F79EAAA" w14:textId="170FD545"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and </w:t>
      </w:r>
      <w:proofErr w:type="spellStart"/>
      <w:r w:rsidRPr="00A74F76">
        <w:rPr>
          <w:rFonts w:ascii="Gilroy" w:hAnsi="Gilroy"/>
          <w:sz w:val="18"/>
          <w:szCs w:val="18"/>
        </w:rPr>
        <w:t>Hiperderecho</w:t>
      </w:r>
      <w:proofErr w:type="spellEnd"/>
      <w:r w:rsidRPr="00A74F76">
        <w:rPr>
          <w:rFonts w:ascii="Gilroy" w:hAnsi="Gilroy"/>
          <w:sz w:val="18"/>
          <w:szCs w:val="18"/>
        </w:rPr>
        <w:t xml:space="preserve">, </w:t>
      </w:r>
      <w:r w:rsidRPr="00A74F76">
        <w:rPr>
          <w:rFonts w:ascii="Gilroy" w:hAnsi="Gilroy"/>
          <w:i/>
          <w:iCs/>
          <w:sz w:val="18"/>
          <w:szCs w:val="18"/>
        </w:rPr>
        <w:t>Submission to the UN CEDAW Committee for the Examination of the Republic of Peru</w:t>
      </w:r>
      <w:r w:rsidRPr="00A74F76">
        <w:rPr>
          <w:rFonts w:ascii="Gilroy" w:hAnsi="Gilroy"/>
          <w:sz w:val="18"/>
          <w:szCs w:val="18"/>
        </w:rPr>
        <w:t>, available at: https://privacyinternational.org/sites/default/files/2020-07/CEDAW%20submission%20eng.pdf</w:t>
      </w:r>
    </w:p>
  </w:footnote>
  <w:footnote w:id="79">
    <w:p w14:paraId="6046F238" w14:textId="1F14D06E"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From Oppression to Liberation: Reclaiming the Right to Privacy</w:t>
      </w:r>
      <w:r w:rsidRPr="00A74F76">
        <w:rPr>
          <w:rFonts w:ascii="Gilroy" w:hAnsi="Gilroy"/>
          <w:sz w:val="18"/>
          <w:szCs w:val="18"/>
        </w:rPr>
        <w:t xml:space="preserve">, p. 22, available at: </w:t>
      </w:r>
      <w:hyperlink r:id="rId62" w:history="1">
        <w:r w:rsidRPr="00A74F76">
          <w:rPr>
            <w:rStyle w:val="Hyperlink"/>
            <w:rFonts w:ascii="Gilroy" w:hAnsi="Gilroy"/>
            <w:sz w:val="18"/>
            <w:szCs w:val="18"/>
          </w:rPr>
          <w:t>https://privacyinternational.org/sites/default/files/2018-11/From%20oppression%20to%20liberation-reclaiming%20the%20right%20to%20privacy.pdf</w:t>
        </w:r>
      </w:hyperlink>
      <w:r w:rsidRPr="00A74F76">
        <w:rPr>
          <w:rFonts w:ascii="Gilroy" w:hAnsi="Gilroy"/>
          <w:sz w:val="18"/>
          <w:szCs w:val="18"/>
        </w:rPr>
        <w:t xml:space="preserve"> </w:t>
      </w:r>
    </w:p>
  </w:footnote>
  <w:footnote w:id="80">
    <w:p w14:paraId="4AE5BEE8" w14:textId="1DD56873" w:rsidR="00581B4D" w:rsidRPr="00A74F76" w:rsidRDefault="00581B4D" w:rsidP="00A74F76">
      <w:pPr>
        <w:pStyle w:val="FootnoteText"/>
        <w:jc w:val="both"/>
        <w:rPr>
          <w:rFonts w:ascii="Gilroy" w:hAnsi="Gilroy"/>
          <w:sz w:val="18"/>
          <w:szCs w:val="18"/>
          <w:lang w:val="es-ES"/>
        </w:rPr>
      </w:pPr>
      <w:r w:rsidRPr="00A74F76">
        <w:rPr>
          <w:rStyle w:val="FootnoteReference"/>
          <w:rFonts w:ascii="Gilroy" w:hAnsi="Gilroy"/>
          <w:sz w:val="18"/>
          <w:szCs w:val="18"/>
        </w:rPr>
        <w:footnoteRef/>
      </w:r>
      <w:r w:rsidRPr="00A74F76">
        <w:rPr>
          <w:rFonts w:ascii="Gilroy" w:hAnsi="Gilroy"/>
          <w:sz w:val="18"/>
          <w:szCs w:val="18"/>
          <w:lang w:val="es-ES"/>
        </w:rPr>
        <w:t xml:space="preserve"> Reuters, “Las personas </w:t>
      </w:r>
      <w:proofErr w:type="spellStart"/>
      <w:r w:rsidRPr="00A74F76">
        <w:rPr>
          <w:rFonts w:ascii="Gilroy" w:hAnsi="Gilroy"/>
          <w:sz w:val="18"/>
          <w:szCs w:val="18"/>
          <w:lang w:val="es-ES"/>
        </w:rPr>
        <w:t>trans</w:t>
      </w:r>
      <w:proofErr w:type="spellEnd"/>
      <w:r w:rsidRPr="00A74F76">
        <w:rPr>
          <w:rFonts w:ascii="Gilroy" w:hAnsi="Gilroy"/>
          <w:sz w:val="18"/>
          <w:szCs w:val="18"/>
          <w:lang w:val="es-ES"/>
        </w:rPr>
        <w:t xml:space="preserve">, expuestas a discriminación y violencia en las cuarentenas de América Latina”, 6 </w:t>
      </w:r>
      <w:proofErr w:type="spellStart"/>
      <w:r w:rsidRPr="00A74F76">
        <w:rPr>
          <w:rFonts w:ascii="Gilroy" w:hAnsi="Gilroy"/>
          <w:sz w:val="18"/>
          <w:szCs w:val="18"/>
          <w:lang w:val="es-ES"/>
        </w:rPr>
        <w:t>May</w:t>
      </w:r>
      <w:proofErr w:type="spellEnd"/>
      <w:r w:rsidRPr="00A74F76">
        <w:rPr>
          <w:rFonts w:ascii="Gilroy" w:hAnsi="Gilroy"/>
          <w:sz w:val="18"/>
          <w:szCs w:val="18"/>
          <w:lang w:val="es-ES"/>
        </w:rPr>
        <w:t xml:space="preserve"> 2020, </w:t>
      </w:r>
      <w:proofErr w:type="spellStart"/>
      <w:r w:rsidRPr="00A74F76">
        <w:rPr>
          <w:rFonts w:ascii="Gilroy" w:hAnsi="Gilroy"/>
          <w:sz w:val="18"/>
          <w:szCs w:val="18"/>
          <w:lang w:val="es-ES"/>
        </w:rPr>
        <w:t>available</w:t>
      </w:r>
      <w:proofErr w:type="spellEnd"/>
      <w:r w:rsidRPr="00A74F76">
        <w:rPr>
          <w:rFonts w:ascii="Gilroy" w:hAnsi="Gilroy"/>
          <w:sz w:val="18"/>
          <w:szCs w:val="18"/>
          <w:lang w:val="es-ES"/>
        </w:rPr>
        <w:t xml:space="preserve"> at: </w:t>
      </w:r>
      <w:r w:rsidR="009A256D">
        <w:fldChar w:fldCharType="begin"/>
      </w:r>
      <w:r w:rsidR="009A256D" w:rsidRPr="00577754">
        <w:rPr>
          <w:lang w:val="fr-FR"/>
        </w:rPr>
        <w:instrText xml:space="preserve"> HYPERLINK "https://es.reuters.com/article/entertainmentNews/idESKBN22I0D4" </w:instrText>
      </w:r>
      <w:r w:rsidR="009A256D">
        <w:fldChar w:fldCharType="separate"/>
      </w:r>
      <w:r w:rsidRPr="00A74F76">
        <w:rPr>
          <w:rStyle w:val="Hyperlink"/>
          <w:rFonts w:ascii="Gilroy" w:hAnsi="Gilroy"/>
          <w:sz w:val="18"/>
          <w:szCs w:val="18"/>
          <w:lang w:val="es-ES"/>
        </w:rPr>
        <w:t>https://es.reuters.com/article/entertainmentNews/idESKBN22I0D4</w:t>
      </w:r>
      <w:r w:rsidR="009A256D">
        <w:rPr>
          <w:rStyle w:val="Hyperlink"/>
          <w:rFonts w:ascii="Gilroy" w:hAnsi="Gilroy"/>
          <w:sz w:val="18"/>
          <w:szCs w:val="18"/>
          <w:lang w:val="es-ES"/>
        </w:rPr>
        <w:fldChar w:fldCharType="end"/>
      </w:r>
      <w:r w:rsidRPr="00A74F76">
        <w:rPr>
          <w:rFonts w:ascii="Gilroy" w:hAnsi="Gilroy"/>
          <w:sz w:val="18"/>
          <w:szCs w:val="18"/>
          <w:lang w:val="es-ES"/>
        </w:rPr>
        <w:t xml:space="preserve"> </w:t>
      </w:r>
    </w:p>
  </w:footnote>
  <w:footnote w:id="81">
    <w:p w14:paraId="29B3116B" w14:textId="2BDCD6D3" w:rsidR="00581B4D" w:rsidRPr="00A74F76" w:rsidRDefault="00581B4D" w:rsidP="00A74F76">
      <w:pPr>
        <w:pStyle w:val="FootnoteText"/>
        <w:jc w:val="both"/>
        <w:rPr>
          <w:rFonts w:ascii="Gilroy" w:hAnsi="Gilroy"/>
          <w:sz w:val="18"/>
          <w:szCs w:val="18"/>
        </w:rPr>
      </w:pPr>
      <w:r w:rsidRPr="00A74F76">
        <w:rPr>
          <w:rStyle w:val="FootnoteReference"/>
          <w:rFonts w:ascii="Gilroy" w:hAnsi="Gilroy"/>
          <w:sz w:val="18"/>
          <w:szCs w:val="18"/>
        </w:rPr>
        <w:footnoteRef/>
      </w:r>
      <w:r w:rsidRPr="00A74F76">
        <w:rPr>
          <w:rFonts w:ascii="Gilroy" w:hAnsi="Gilroy"/>
          <w:sz w:val="18"/>
          <w:szCs w:val="18"/>
        </w:rPr>
        <w:t xml:space="preserve"> PI, </w:t>
      </w:r>
      <w:r w:rsidRPr="00A74F76">
        <w:rPr>
          <w:rFonts w:ascii="Gilroy" w:hAnsi="Gilroy"/>
          <w:i/>
          <w:iCs/>
          <w:sz w:val="18"/>
          <w:szCs w:val="18"/>
        </w:rPr>
        <w:t>Country case-study: sexual and reproductive rights in India</w:t>
      </w:r>
      <w:r w:rsidRPr="00A74F76">
        <w:rPr>
          <w:rFonts w:ascii="Gilroy" w:hAnsi="Gilroy"/>
          <w:sz w:val="18"/>
          <w:szCs w:val="18"/>
        </w:rPr>
        <w:t xml:space="preserve">, available at: </w:t>
      </w:r>
      <w:hyperlink r:id="rId63" w:history="1">
        <w:r w:rsidRPr="00A74F76">
          <w:rPr>
            <w:rStyle w:val="Hyperlink"/>
            <w:rFonts w:ascii="Gilroy" w:hAnsi="Gilroy"/>
            <w:sz w:val="18"/>
            <w:szCs w:val="18"/>
          </w:rPr>
          <w:t>https://privacyinternational.org/long-read/3863/country-case-study-sexual-and-reproductive-rights-india</w:t>
        </w:r>
      </w:hyperlink>
      <w:r w:rsidRPr="00A74F76">
        <w:rPr>
          <w:rFonts w:ascii="Gilroy" w:hAnsi="Gilroy"/>
          <w:sz w:val="18"/>
          <w:szCs w:val="18"/>
        </w:rPr>
        <w:t xml:space="preserve"> </w:t>
      </w:r>
    </w:p>
  </w:footnote>
  <w:footnote w:id="82">
    <w:p w14:paraId="7B35CE3C" w14:textId="0B7BDC14" w:rsidR="00581B4D" w:rsidRPr="00A74F76" w:rsidRDefault="00581B4D" w:rsidP="00A74F76">
      <w:pPr>
        <w:jc w:val="both"/>
        <w:rPr>
          <w:rFonts w:ascii="Gilroy" w:hAnsi="Gilroy"/>
          <w:sz w:val="18"/>
          <w:szCs w:val="18"/>
        </w:rPr>
      </w:pPr>
      <w:r w:rsidRPr="00A74F76">
        <w:rPr>
          <w:rFonts w:ascii="Gilroy" w:hAnsi="Gilroy"/>
          <w:sz w:val="18"/>
          <w:szCs w:val="18"/>
          <w:vertAlign w:val="superscript"/>
        </w:rPr>
        <w:footnoteRef/>
      </w:r>
      <w:r w:rsidRPr="00A74F76">
        <w:rPr>
          <w:rFonts w:ascii="Gilroy" w:hAnsi="Gilroy"/>
          <w:sz w:val="18"/>
          <w:szCs w:val="18"/>
          <w:vertAlign w:val="superscript"/>
        </w:rPr>
        <w:t xml:space="preserve"> </w:t>
      </w:r>
      <w:r w:rsidRPr="00A74F76">
        <w:rPr>
          <w:rFonts w:ascii="Gilroy" w:hAnsi="Gilroy"/>
          <w:sz w:val="18"/>
          <w:szCs w:val="18"/>
        </w:rPr>
        <w:t xml:space="preserve">Padma </w:t>
      </w:r>
      <w:proofErr w:type="spellStart"/>
      <w:r w:rsidRPr="00A74F76">
        <w:rPr>
          <w:rFonts w:ascii="Gilroy" w:hAnsi="Gilroy"/>
          <w:sz w:val="18"/>
          <w:szCs w:val="18"/>
        </w:rPr>
        <w:t>Bhate-Deosthali</w:t>
      </w:r>
      <w:proofErr w:type="spellEnd"/>
      <w:r w:rsidRPr="00A74F76">
        <w:rPr>
          <w:rFonts w:ascii="Gilroy" w:hAnsi="Gilroy"/>
          <w:sz w:val="18"/>
          <w:szCs w:val="18"/>
        </w:rPr>
        <w:t xml:space="preserve">, &amp; Sangeeta </w:t>
      </w:r>
      <w:proofErr w:type="spellStart"/>
      <w:r w:rsidRPr="00A74F76">
        <w:rPr>
          <w:rFonts w:ascii="Gilroy" w:hAnsi="Gilroy"/>
          <w:sz w:val="18"/>
          <w:szCs w:val="18"/>
        </w:rPr>
        <w:t>Rege</w:t>
      </w:r>
      <w:proofErr w:type="spellEnd"/>
      <w:r w:rsidRPr="00A74F76">
        <w:rPr>
          <w:rFonts w:ascii="Gilroy" w:hAnsi="Gilroy"/>
          <w:sz w:val="18"/>
          <w:szCs w:val="18"/>
        </w:rPr>
        <w:t xml:space="preserve">, “Denial of safe abortion to survivors of rape in India”, (2019) </w:t>
      </w:r>
      <w:r w:rsidRPr="00A74F76">
        <w:rPr>
          <w:rFonts w:ascii="Gilroy" w:hAnsi="Gilroy"/>
          <w:i/>
          <w:iCs/>
          <w:sz w:val="18"/>
          <w:szCs w:val="18"/>
        </w:rPr>
        <w:t>Health and human rights,</w:t>
      </w:r>
      <w:r w:rsidRPr="00A74F76">
        <w:rPr>
          <w:rFonts w:ascii="Gilroy" w:hAnsi="Gilroy"/>
          <w:sz w:val="18"/>
          <w:szCs w:val="18"/>
        </w:rPr>
        <w:t xml:space="preserve"> </w:t>
      </w:r>
      <w:r w:rsidRPr="00A74F76">
        <w:rPr>
          <w:rFonts w:ascii="Gilroy" w:hAnsi="Gilroy"/>
          <w:i/>
          <w:iCs/>
          <w:sz w:val="18"/>
          <w:szCs w:val="18"/>
        </w:rPr>
        <w:t>21</w:t>
      </w:r>
      <w:r w:rsidRPr="00A74F76">
        <w:rPr>
          <w:rFonts w:ascii="Gilroy" w:hAnsi="Gilroy"/>
          <w:sz w:val="18"/>
          <w:szCs w:val="18"/>
        </w:rPr>
        <w:t>(2), p. 189.</w:t>
      </w:r>
    </w:p>
    <w:p w14:paraId="3C298D53" w14:textId="5A35C038" w:rsidR="00581B4D" w:rsidRPr="00A74F76" w:rsidRDefault="00581B4D" w:rsidP="00A74F76">
      <w:pPr>
        <w:pStyle w:val="FootnoteText"/>
        <w:jc w:val="both"/>
        <w:rPr>
          <w:rFonts w:ascii="Gilroy" w:hAnsi="Gilroy"/>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3C8D" w14:textId="3DA6D4C3" w:rsidR="00581B4D" w:rsidRDefault="00581B4D" w:rsidP="00D472AF">
    <w:pPr>
      <w:pStyle w:val="Header"/>
      <w:jc w:val="center"/>
    </w:pPr>
  </w:p>
  <w:p w14:paraId="163168BD" w14:textId="77777777" w:rsidR="00581B4D" w:rsidRDefault="00581B4D" w:rsidP="00D472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F3BD" w14:textId="00750F6F" w:rsidR="00581B4D" w:rsidRDefault="00581B4D" w:rsidP="00E30A73">
    <w:pPr>
      <w:pStyle w:val="Header"/>
      <w:jc w:val="center"/>
    </w:pPr>
    <w:r>
      <w:rPr>
        <w:rFonts w:ascii="Gilroy" w:hAnsi="Gilroy"/>
        <w:bCs/>
        <w:noProof/>
      </w:rPr>
      <w:drawing>
        <wp:inline distT="0" distB="0" distL="0" distR="0" wp14:anchorId="738E060E" wp14:editId="2A8B4F3B">
          <wp:extent cx="1617785" cy="1617785"/>
          <wp:effectExtent l="0" t="0" r="0" b="0"/>
          <wp:docPr id="3" name="Picture 3"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re 2020-03-17 at 3_04 P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1293" cy="1641293"/>
                  </a:xfrm>
                  <a:prstGeom prst="rect">
                    <a:avLst/>
                  </a:prstGeom>
                </pic:spPr>
              </pic:pic>
            </a:graphicData>
          </a:graphic>
        </wp:inline>
      </w:drawing>
    </w:r>
  </w:p>
  <w:p w14:paraId="25DDC56E" w14:textId="77777777" w:rsidR="00581B4D" w:rsidRDefault="00581B4D" w:rsidP="00E30A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C93"/>
    <w:multiLevelType w:val="hybridMultilevel"/>
    <w:tmpl w:val="6B2A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977AE"/>
    <w:multiLevelType w:val="hybridMultilevel"/>
    <w:tmpl w:val="A4A4CC66"/>
    <w:lvl w:ilvl="0" w:tplc="E300FEE0">
      <w:start w:val="1"/>
      <w:numFmt w:val="upperRoman"/>
      <w:lvlText w:val="%1)"/>
      <w:lvlJc w:val="left"/>
      <w:pPr>
        <w:ind w:left="1080" w:hanging="720"/>
      </w:pPr>
      <w:rPr>
        <w:rFonts w:ascii="Gilroy" w:hAnsi="Gilroy" w:cstheme="majorBidi" w:hint="default"/>
        <w:b w:val="0"/>
        <w:color w:val="2F5496" w:themeColor="accent1" w:themeShade="BF"/>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E22BC"/>
    <w:multiLevelType w:val="hybridMultilevel"/>
    <w:tmpl w:val="877A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539B3"/>
    <w:multiLevelType w:val="hybridMultilevel"/>
    <w:tmpl w:val="4D1CC3B8"/>
    <w:lvl w:ilvl="0" w:tplc="1A14CBAE">
      <w:start w:val="2"/>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73FD3"/>
    <w:multiLevelType w:val="hybridMultilevel"/>
    <w:tmpl w:val="1564E71C"/>
    <w:lvl w:ilvl="0" w:tplc="5CC8C8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92EFF"/>
    <w:multiLevelType w:val="hybridMultilevel"/>
    <w:tmpl w:val="ED2EC522"/>
    <w:lvl w:ilvl="0" w:tplc="1AA207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41B30"/>
    <w:multiLevelType w:val="hybridMultilevel"/>
    <w:tmpl w:val="32F8A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6A884A6">
      <w:start w:val="5"/>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05F88"/>
    <w:multiLevelType w:val="hybridMultilevel"/>
    <w:tmpl w:val="5A12F51A"/>
    <w:lvl w:ilvl="0" w:tplc="D21297A0">
      <w:start w:val="4"/>
      <w:numFmt w:val="bullet"/>
      <w:lvlText w:val="-"/>
      <w:lvlJc w:val="left"/>
      <w:pPr>
        <w:ind w:left="1440" w:hanging="360"/>
      </w:pPr>
      <w:rPr>
        <w:rFonts w:ascii="Gilroy" w:eastAsia="Times New Roman" w:hAnsi="Gilroy" w:cs="Segoe U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87123F"/>
    <w:multiLevelType w:val="hybridMultilevel"/>
    <w:tmpl w:val="4D1CC3B8"/>
    <w:lvl w:ilvl="0" w:tplc="1A14CBAE">
      <w:start w:val="2"/>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624BD"/>
    <w:multiLevelType w:val="hybridMultilevel"/>
    <w:tmpl w:val="A9CA5F4A"/>
    <w:lvl w:ilvl="0" w:tplc="6874A2E4">
      <w:start w:val="3"/>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F5CB8"/>
    <w:multiLevelType w:val="hybridMultilevel"/>
    <w:tmpl w:val="A2900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D5CAB"/>
    <w:multiLevelType w:val="hybridMultilevel"/>
    <w:tmpl w:val="4614D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74CA0"/>
    <w:multiLevelType w:val="hybridMultilevel"/>
    <w:tmpl w:val="BBE4C436"/>
    <w:lvl w:ilvl="0" w:tplc="9AB82D78">
      <w:start w:val="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F1DFF"/>
    <w:multiLevelType w:val="hybridMultilevel"/>
    <w:tmpl w:val="CEB2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A52FD"/>
    <w:multiLevelType w:val="hybridMultilevel"/>
    <w:tmpl w:val="EA86D3C2"/>
    <w:lvl w:ilvl="0" w:tplc="3BA0BC7A">
      <w:start w:val="1"/>
      <w:numFmt w:val="upperLetter"/>
      <w:lvlText w:val="%1)"/>
      <w:lvlJc w:val="left"/>
      <w:pPr>
        <w:ind w:left="720" w:hanging="360"/>
      </w:pPr>
      <w:rPr>
        <w:rFonts w:ascii="Gilroy" w:hAnsi="Gilroy" w:cstheme="majorHAnsi"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C560EF"/>
    <w:multiLevelType w:val="hybridMultilevel"/>
    <w:tmpl w:val="ED2EC522"/>
    <w:lvl w:ilvl="0" w:tplc="1AA207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1510FB"/>
    <w:multiLevelType w:val="hybridMultilevel"/>
    <w:tmpl w:val="919EC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90846"/>
    <w:multiLevelType w:val="hybridMultilevel"/>
    <w:tmpl w:val="25AED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6253F7"/>
    <w:multiLevelType w:val="hybridMultilevel"/>
    <w:tmpl w:val="4A227992"/>
    <w:lvl w:ilvl="0" w:tplc="CD445786">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E727A71"/>
    <w:multiLevelType w:val="hybridMultilevel"/>
    <w:tmpl w:val="4D1CC3B8"/>
    <w:lvl w:ilvl="0" w:tplc="1A14CBAE">
      <w:start w:val="2"/>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663A6"/>
    <w:multiLevelType w:val="hybridMultilevel"/>
    <w:tmpl w:val="FE92F106"/>
    <w:lvl w:ilvl="0" w:tplc="91921618">
      <w:start w:val="5"/>
      <w:numFmt w:val="bullet"/>
      <w:lvlText w:val="-"/>
      <w:lvlJc w:val="left"/>
      <w:pPr>
        <w:ind w:left="720" w:hanging="360"/>
      </w:pPr>
      <w:rPr>
        <w:rFonts w:ascii="Gilroy" w:eastAsia="Times New Roman" w:hAnsi="Gilro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25C92"/>
    <w:multiLevelType w:val="hybridMultilevel"/>
    <w:tmpl w:val="4D1CC3B8"/>
    <w:lvl w:ilvl="0" w:tplc="1A14CBAE">
      <w:start w:val="2"/>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6638B9"/>
    <w:multiLevelType w:val="hybridMultilevel"/>
    <w:tmpl w:val="7D549040"/>
    <w:lvl w:ilvl="0" w:tplc="69CC57B0">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4"/>
  </w:num>
  <w:num w:numId="4">
    <w:abstractNumId w:val="12"/>
  </w:num>
  <w:num w:numId="5">
    <w:abstractNumId w:val="9"/>
  </w:num>
  <w:num w:numId="6">
    <w:abstractNumId w:val="15"/>
  </w:num>
  <w:num w:numId="7">
    <w:abstractNumId w:val="3"/>
  </w:num>
  <w:num w:numId="8">
    <w:abstractNumId w:val="8"/>
  </w:num>
  <w:num w:numId="9">
    <w:abstractNumId w:val="19"/>
  </w:num>
  <w:num w:numId="10">
    <w:abstractNumId w:val="21"/>
  </w:num>
  <w:num w:numId="11">
    <w:abstractNumId w:val="18"/>
  </w:num>
  <w:num w:numId="12">
    <w:abstractNumId w:val="1"/>
  </w:num>
  <w:num w:numId="13">
    <w:abstractNumId w:val="14"/>
  </w:num>
  <w:num w:numId="14">
    <w:abstractNumId w:val="16"/>
  </w:num>
  <w:num w:numId="15">
    <w:abstractNumId w:val="10"/>
  </w:num>
  <w:num w:numId="16">
    <w:abstractNumId w:val="11"/>
  </w:num>
  <w:num w:numId="17">
    <w:abstractNumId w:val="13"/>
  </w:num>
  <w:num w:numId="18">
    <w:abstractNumId w:val="7"/>
  </w:num>
  <w:num w:numId="19">
    <w:abstractNumId w:val="17"/>
  </w:num>
  <w:num w:numId="20">
    <w:abstractNumId w:val="6"/>
  </w:num>
  <w:num w:numId="21">
    <w:abstractNumId w:val="20"/>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F8"/>
    <w:rsid w:val="000053FC"/>
    <w:rsid w:val="000133DB"/>
    <w:rsid w:val="00016438"/>
    <w:rsid w:val="00022BD7"/>
    <w:rsid w:val="00040DBB"/>
    <w:rsid w:val="00045F70"/>
    <w:rsid w:val="00047F96"/>
    <w:rsid w:val="00061093"/>
    <w:rsid w:val="00067327"/>
    <w:rsid w:val="00077890"/>
    <w:rsid w:val="000A333E"/>
    <w:rsid w:val="000B22DA"/>
    <w:rsid w:val="000C42A3"/>
    <w:rsid w:val="000C7054"/>
    <w:rsid w:val="001119BB"/>
    <w:rsid w:val="00116BCD"/>
    <w:rsid w:val="0014451B"/>
    <w:rsid w:val="00145D82"/>
    <w:rsid w:val="00162A37"/>
    <w:rsid w:val="001672A6"/>
    <w:rsid w:val="00174D40"/>
    <w:rsid w:val="001763FB"/>
    <w:rsid w:val="00181063"/>
    <w:rsid w:val="001810DF"/>
    <w:rsid w:val="00181E5C"/>
    <w:rsid w:val="001A0641"/>
    <w:rsid w:val="001E1D69"/>
    <w:rsid w:val="001E29C2"/>
    <w:rsid w:val="001E4772"/>
    <w:rsid w:val="001F0D5D"/>
    <w:rsid w:val="00210986"/>
    <w:rsid w:val="00215EFA"/>
    <w:rsid w:val="00227B7E"/>
    <w:rsid w:val="00241058"/>
    <w:rsid w:val="00264311"/>
    <w:rsid w:val="00286B5A"/>
    <w:rsid w:val="00291A1B"/>
    <w:rsid w:val="002A0380"/>
    <w:rsid w:val="002B370C"/>
    <w:rsid w:val="002C05E7"/>
    <w:rsid w:val="002D225B"/>
    <w:rsid w:val="003061C3"/>
    <w:rsid w:val="0032042E"/>
    <w:rsid w:val="00333058"/>
    <w:rsid w:val="00345600"/>
    <w:rsid w:val="003470B8"/>
    <w:rsid w:val="00351E8E"/>
    <w:rsid w:val="0037723B"/>
    <w:rsid w:val="003B65C6"/>
    <w:rsid w:val="003D0904"/>
    <w:rsid w:val="003D0F34"/>
    <w:rsid w:val="003D2634"/>
    <w:rsid w:val="003D76DF"/>
    <w:rsid w:val="004014A9"/>
    <w:rsid w:val="004235D0"/>
    <w:rsid w:val="00425AA4"/>
    <w:rsid w:val="004530BF"/>
    <w:rsid w:val="00460EDF"/>
    <w:rsid w:val="00472901"/>
    <w:rsid w:val="00475B36"/>
    <w:rsid w:val="00482236"/>
    <w:rsid w:val="00482388"/>
    <w:rsid w:val="004B1ABC"/>
    <w:rsid w:val="004C3180"/>
    <w:rsid w:val="004D3F23"/>
    <w:rsid w:val="004D6399"/>
    <w:rsid w:val="004E50B1"/>
    <w:rsid w:val="004F1AA0"/>
    <w:rsid w:val="00501294"/>
    <w:rsid w:val="00501E1C"/>
    <w:rsid w:val="00526EF8"/>
    <w:rsid w:val="005272F6"/>
    <w:rsid w:val="005353C8"/>
    <w:rsid w:val="00535DE4"/>
    <w:rsid w:val="0053619C"/>
    <w:rsid w:val="005364C1"/>
    <w:rsid w:val="00540657"/>
    <w:rsid w:val="0054293C"/>
    <w:rsid w:val="0055210A"/>
    <w:rsid w:val="005523D9"/>
    <w:rsid w:val="00574BA9"/>
    <w:rsid w:val="00577754"/>
    <w:rsid w:val="00581B4D"/>
    <w:rsid w:val="00591C55"/>
    <w:rsid w:val="005A3034"/>
    <w:rsid w:val="005A4CA8"/>
    <w:rsid w:val="005D0623"/>
    <w:rsid w:val="005D3692"/>
    <w:rsid w:val="005E64C6"/>
    <w:rsid w:val="005F38A3"/>
    <w:rsid w:val="005F4036"/>
    <w:rsid w:val="00614041"/>
    <w:rsid w:val="006154CA"/>
    <w:rsid w:val="00654CA9"/>
    <w:rsid w:val="0069456F"/>
    <w:rsid w:val="006A752E"/>
    <w:rsid w:val="006C52AF"/>
    <w:rsid w:val="006E4AC0"/>
    <w:rsid w:val="006F3DB5"/>
    <w:rsid w:val="00702D8E"/>
    <w:rsid w:val="00705049"/>
    <w:rsid w:val="007263CE"/>
    <w:rsid w:val="00747C8E"/>
    <w:rsid w:val="00753054"/>
    <w:rsid w:val="0075406D"/>
    <w:rsid w:val="0077747B"/>
    <w:rsid w:val="00797C05"/>
    <w:rsid w:val="007A0E8A"/>
    <w:rsid w:val="007A70A3"/>
    <w:rsid w:val="007C7DA0"/>
    <w:rsid w:val="007D26A1"/>
    <w:rsid w:val="007D5C17"/>
    <w:rsid w:val="007D62DD"/>
    <w:rsid w:val="007E0E84"/>
    <w:rsid w:val="0080074C"/>
    <w:rsid w:val="0080388C"/>
    <w:rsid w:val="00817EE6"/>
    <w:rsid w:val="008212AD"/>
    <w:rsid w:val="008307D9"/>
    <w:rsid w:val="00852338"/>
    <w:rsid w:val="00874C3C"/>
    <w:rsid w:val="00877FD5"/>
    <w:rsid w:val="00890E0F"/>
    <w:rsid w:val="0089770E"/>
    <w:rsid w:val="008979A7"/>
    <w:rsid w:val="008A2C33"/>
    <w:rsid w:val="008B2846"/>
    <w:rsid w:val="008B3876"/>
    <w:rsid w:val="008E10DC"/>
    <w:rsid w:val="008E5D31"/>
    <w:rsid w:val="009341D3"/>
    <w:rsid w:val="0096710B"/>
    <w:rsid w:val="00972B16"/>
    <w:rsid w:val="00987503"/>
    <w:rsid w:val="00992061"/>
    <w:rsid w:val="0099795D"/>
    <w:rsid w:val="009A256D"/>
    <w:rsid w:val="009A62B6"/>
    <w:rsid w:val="009E1580"/>
    <w:rsid w:val="009E1A34"/>
    <w:rsid w:val="00A0558F"/>
    <w:rsid w:val="00A16281"/>
    <w:rsid w:val="00A203E5"/>
    <w:rsid w:val="00A22342"/>
    <w:rsid w:val="00A31AA7"/>
    <w:rsid w:val="00A41A09"/>
    <w:rsid w:val="00A43211"/>
    <w:rsid w:val="00A449C0"/>
    <w:rsid w:val="00A660F8"/>
    <w:rsid w:val="00A7012E"/>
    <w:rsid w:val="00A73F83"/>
    <w:rsid w:val="00A74F76"/>
    <w:rsid w:val="00A77C86"/>
    <w:rsid w:val="00A911E2"/>
    <w:rsid w:val="00AA1072"/>
    <w:rsid w:val="00AA43F7"/>
    <w:rsid w:val="00AD7988"/>
    <w:rsid w:val="00AE02D3"/>
    <w:rsid w:val="00AE2322"/>
    <w:rsid w:val="00AE7C34"/>
    <w:rsid w:val="00B02D8F"/>
    <w:rsid w:val="00B16FB0"/>
    <w:rsid w:val="00B3433F"/>
    <w:rsid w:val="00B55BCE"/>
    <w:rsid w:val="00B575F8"/>
    <w:rsid w:val="00B701A7"/>
    <w:rsid w:val="00B72AE7"/>
    <w:rsid w:val="00BA02D4"/>
    <w:rsid w:val="00BA3CAF"/>
    <w:rsid w:val="00BE2AE9"/>
    <w:rsid w:val="00C01EAD"/>
    <w:rsid w:val="00C1096C"/>
    <w:rsid w:val="00C35A49"/>
    <w:rsid w:val="00C371C5"/>
    <w:rsid w:val="00C376C1"/>
    <w:rsid w:val="00C616FF"/>
    <w:rsid w:val="00C83EDA"/>
    <w:rsid w:val="00C9141C"/>
    <w:rsid w:val="00C9305A"/>
    <w:rsid w:val="00CC02A3"/>
    <w:rsid w:val="00CC5DC9"/>
    <w:rsid w:val="00CC69B4"/>
    <w:rsid w:val="00CE2F03"/>
    <w:rsid w:val="00CF3C0E"/>
    <w:rsid w:val="00D21A3A"/>
    <w:rsid w:val="00D26AA5"/>
    <w:rsid w:val="00D472AF"/>
    <w:rsid w:val="00D5148A"/>
    <w:rsid w:val="00D74731"/>
    <w:rsid w:val="00D90C43"/>
    <w:rsid w:val="00DA1B8F"/>
    <w:rsid w:val="00DA4262"/>
    <w:rsid w:val="00DB2742"/>
    <w:rsid w:val="00DB44E9"/>
    <w:rsid w:val="00DC4356"/>
    <w:rsid w:val="00DE0C7A"/>
    <w:rsid w:val="00E01922"/>
    <w:rsid w:val="00E048B2"/>
    <w:rsid w:val="00E04D3F"/>
    <w:rsid w:val="00E0622C"/>
    <w:rsid w:val="00E16238"/>
    <w:rsid w:val="00E211C4"/>
    <w:rsid w:val="00E23AA6"/>
    <w:rsid w:val="00E30A73"/>
    <w:rsid w:val="00E31FEB"/>
    <w:rsid w:val="00E62583"/>
    <w:rsid w:val="00E660A6"/>
    <w:rsid w:val="00E76EF4"/>
    <w:rsid w:val="00E91460"/>
    <w:rsid w:val="00EA2994"/>
    <w:rsid w:val="00EC3570"/>
    <w:rsid w:val="00EC43E9"/>
    <w:rsid w:val="00EC6716"/>
    <w:rsid w:val="00ED77FF"/>
    <w:rsid w:val="00EF196B"/>
    <w:rsid w:val="00EF341F"/>
    <w:rsid w:val="00EF59D9"/>
    <w:rsid w:val="00F34F12"/>
    <w:rsid w:val="00F77388"/>
    <w:rsid w:val="00F87EBA"/>
    <w:rsid w:val="00F94E1B"/>
    <w:rsid w:val="00FE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C6FE"/>
  <w15:chartTrackingRefBased/>
  <w15:docId w15:val="{9B9EEE4C-80B1-A748-8018-28C3C573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30A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472A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30A7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048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rsid w:val="00526EF8"/>
    <w:pPr>
      <w:spacing w:before="100" w:beforeAutospacing="1" w:after="100" w:afterAutospacing="1"/>
    </w:pPr>
  </w:style>
  <w:style w:type="character" w:customStyle="1" w:styleId="apple-converted-space">
    <w:name w:val="apple-converted-space"/>
    <w:basedOn w:val="DefaultParagraphFont"/>
    <w:rsid w:val="00526EF8"/>
  </w:style>
  <w:style w:type="character" w:styleId="Hyperlink">
    <w:name w:val="Hyperlink"/>
    <w:basedOn w:val="DefaultParagraphFont"/>
    <w:uiPriority w:val="99"/>
    <w:unhideWhenUsed/>
    <w:rsid w:val="00526EF8"/>
    <w:rPr>
      <w:color w:val="0000FF"/>
      <w:u w:val="single"/>
    </w:rPr>
  </w:style>
  <w:style w:type="character" w:styleId="Strong">
    <w:name w:val="Strong"/>
    <w:basedOn w:val="DefaultParagraphFont"/>
    <w:uiPriority w:val="22"/>
    <w:qFormat/>
    <w:rsid w:val="00526EF8"/>
    <w:rPr>
      <w:b/>
      <w:bCs/>
    </w:rPr>
  </w:style>
  <w:style w:type="character" w:styleId="Emphasis">
    <w:name w:val="Emphasis"/>
    <w:basedOn w:val="DefaultParagraphFont"/>
    <w:uiPriority w:val="20"/>
    <w:qFormat/>
    <w:rsid w:val="00526EF8"/>
    <w:rPr>
      <w:i/>
      <w:iCs/>
    </w:rPr>
  </w:style>
  <w:style w:type="paragraph" w:styleId="Header">
    <w:name w:val="header"/>
    <w:basedOn w:val="Normal"/>
    <w:link w:val="HeaderChar"/>
    <w:uiPriority w:val="99"/>
    <w:unhideWhenUsed/>
    <w:rsid w:val="00425AA4"/>
    <w:pPr>
      <w:tabs>
        <w:tab w:val="center" w:pos="4513"/>
        <w:tab w:val="right" w:pos="9026"/>
      </w:tabs>
    </w:pPr>
  </w:style>
  <w:style w:type="character" w:customStyle="1" w:styleId="HeaderChar">
    <w:name w:val="Header Char"/>
    <w:basedOn w:val="DefaultParagraphFont"/>
    <w:link w:val="Header"/>
    <w:uiPriority w:val="99"/>
    <w:rsid w:val="00425AA4"/>
  </w:style>
  <w:style w:type="paragraph" w:styleId="Footer">
    <w:name w:val="footer"/>
    <w:basedOn w:val="Normal"/>
    <w:link w:val="FooterChar"/>
    <w:uiPriority w:val="99"/>
    <w:unhideWhenUsed/>
    <w:rsid w:val="00425AA4"/>
    <w:pPr>
      <w:tabs>
        <w:tab w:val="center" w:pos="4513"/>
        <w:tab w:val="right" w:pos="9026"/>
      </w:tabs>
    </w:pPr>
  </w:style>
  <w:style w:type="character" w:customStyle="1" w:styleId="FooterChar">
    <w:name w:val="Footer Char"/>
    <w:basedOn w:val="DefaultParagraphFont"/>
    <w:link w:val="Footer"/>
    <w:uiPriority w:val="99"/>
    <w:rsid w:val="00425AA4"/>
  </w:style>
  <w:style w:type="paragraph" w:styleId="FootnoteText">
    <w:name w:val="footnote text"/>
    <w:basedOn w:val="Normal"/>
    <w:link w:val="FootnoteTextChar"/>
    <w:uiPriority w:val="99"/>
    <w:unhideWhenUsed/>
    <w:rsid w:val="006F3DB5"/>
    <w:rPr>
      <w:sz w:val="20"/>
      <w:szCs w:val="20"/>
    </w:rPr>
  </w:style>
  <w:style w:type="character" w:customStyle="1" w:styleId="FootnoteTextChar">
    <w:name w:val="Footnote Text Char"/>
    <w:basedOn w:val="DefaultParagraphFont"/>
    <w:link w:val="FootnoteText"/>
    <w:uiPriority w:val="99"/>
    <w:rsid w:val="006F3DB5"/>
    <w:rPr>
      <w:sz w:val="20"/>
      <w:szCs w:val="20"/>
    </w:rPr>
  </w:style>
  <w:style w:type="character" w:styleId="FootnoteReference">
    <w:name w:val="footnote reference"/>
    <w:basedOn w:val="DefaultParagraphFont"/>
    <w:uiPriority w:val="99"/>
    <w:semiHidden/>
    <w:unhideWhenUsed/>
    <w:rsid w:val="006F3DB5"/>
    <w:rPr>
      <w:vertAlign w:val="superscript"/>
    </w:rPr>
  </w:style>
  <w:style w:type="character" w:styleId="UnresolvedMention">
    <w:name w:val="Unresolved Mention"/>
    <w:basedOn w:val="DefaultParagraphFont"/>
    <w:uiPriority w:val="99"/>
    <w:semiHidden/>
    <w:unhideWhenUsed/>
    <w:rsid w:val="00702D8E"/>
    <w:rPr>
      <w:color w:val="605E5C"/>
      <w:shd w:val="clear" w:color="auto" w:fill="E1DFDD"/>
    </w:rPr>
  </w:style>
  <w:style w:type="character" w:styleId="FollowedHyperlink">
    <w:name w:val="FollowedHyperlink"/>
    <w:basedOn w:val="DefaultParagraphFont"/>
    <w:uiPriority w:val="99"/>
    <w:semiHidden/>
    <w:unhideWhenUsed/>
    <w:rsid w:val="00AE02D3"/>
    <w:rPr>
      <w:color w:val="954F72" w:themeColor="followedHyperlink"/>
      <w:u w:val="single"/>
    </w:rPr>
  </w:style>
  <w:style w:type="paragraph" w:styleId="BalloonText">
    <w:name w:val="Balloon Text"/>
    <w:basedOn w:val="Normal"/>
    <w:link w:val="BalloonTextChar"/>
    <w:uiPriority w:val="99"/>
    <w:semiHidden/>
    <w:unhideWhenUsed/>
    <w:rsid w:val="00E31FEB"/>
    <w:rPr>
      <w:sz w:val="18"/>
      <w:szCs w:val="18"/>
    </w:rPr>
  </w:style>
  <w:style w:type="character" w:customStyle="1" w:styleId="BalloonTextChar">
    <w:name w:val="Balloon Text Char"/>
    <w:basedOn w:val="DefaultParagraphFont"/>
    <w:link w:val="BalloonText"/>
    <w:uiPriority w:val="99"/>
    <w:semiHidden/>
    <w:rsid w:val="00E31FEB"/>
    <w:rPr>
      <w:rFonts w:ascii="Times New Roman" w:eastAsia="Times New Roman" w:hAnsi="Times New Roman" w:cs="Times New Roman"/>
      <w:sz w:val="18"/>
      <w:szCs w:val="18"/>
      <w:lang w:eastAsia="en-GB"/>
    </w:rPr>
  </w:style>
  <w:style w:type="paragraph" w:styleId="NormalWeb">
    <w:name w:val="Normal (Web)"/>
    <w:basedOn w:val="Normal"/>
    <w:uiPriority w:val="99"/>
    <w:semiHidden/>
    <w:unhideWhenUsed/>
    <w:rsid w:val="00501294"/>
    <w:pPr>
      <w:spacing w:before="100" w:beforeAutospacing="1" w:after="100" w:afterAutospacing="1"/>
    </w:pPr>
  </w:style>
  <w:style w:type="paragraph" w:styleId="ListParagraph">
    <w:name w:val="List Paragraph"/>
    <w:basedOn w:val="Normal"/>
    <w:uiPriority w:val="34"/>
    <w:qFormat/>
    <w:rsid w:val="00460EDF"/>
    <w:pPr>
      <w:ind w:left="720"/>
      <w:contextualSpacing/>
    </w:pPr>
  </w:style>
  <w:style w:type="character" w:customStyle="1" w:styleId="Heading2Char">
    <w:name w:val="Heading 2 Char"/>
    <w:basedOn w:val="DefaultParagraphFont"/>
    <w:link w:val="Heading2"/>
    <w:uiPriority w:val="9"/>
    <w:rsid w:val="00D472AF"/>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E30A73"/>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E30A73"/>
    <w:rPr>
      <w:rFonts w:asciiTheme="majorHAnsi" w:eastAsiaTheme="majorEastAsia" w:hAnsiTheme="majorHAnsi" w:cstheme="majorBidi"/>
      <w:color w:val="1F3763" w:themeColor="accent1" w:themeShade="7F"/>
      <w:lang w:eastAsia="en-GB"/>
    </w:rPr>
  </w:style>
  <w:style w:type="character" w:styleId="CommentReference">
    <w:name w:val="annotation reference"/>
    <w:basedOn w:val="DefaultParagraphFont"/>
    <w:uiPriority w:val="99"/>
    <w:semiHidden/>
    <w:unhideWhenUsed/>
    <w:rsid w:val="00C9141C"/>
    <w:rPr>
      <w:sz w:val="16"/>
      <w:szCs w:val="16"/>
    </w:rPr>
  </w:style>
  <w:style w:type="paragraph" w:styleId="CommentText">
    <w:name w:val="annotation text"/>
    <w:basedOn w:val="Normal"/>
    <w:link w:val="CommentTextChar"/>
    <w:uiPriority w:val="99"/>
    <w:unhideWhenUsed/>
    <w:rsid w:val="00C9141C"/>
    <w:rPr>
      <w:sz w:val="20"/>
      <w:szCs w:val="20"/>
    </w:rPr>
  </w:style>
  <w:style w:type="character" w:customStyle="1" w:styleId="CommentTextChar">
    <w:name w:val="Comment Text Char"/>
    <w:basedOn w:val="DefaultParagraphFont"/>
    <w:link w:val="CommentText"/>
    <w:uiPriority w:val="99"/>
    <w:rsid w:val="00C9141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9141C"/>
    <w:rPr>
      <w:b/>
      <w:bCs/>
    </w:rPr>
  </w:style>
  <w:style w:type="character" w:customStyle="1" w:styleId="CommentSubjectChar">
    <w:name w:val="Comment Subject Char"/>
    <w:basedOn w:val="CommentTextChar"/>
    <w:link w:val="CommentSubject"/>
    <w:uiPriority w:val="99"/>
    <w:semiHidden/>
    <w:rsid w:val="00C9141C"/>
    <w:rPr>
      <w:rFonts w:ascii="Times New Roman" w:eastAsia="Times New Roman" w:hAnsi="Times New Roman" w:cs="Times New Roman"/>
      <w:b/>
      <w:bCs/>
      <w:sz w:val="20"/>
      <w:szCs w:val="20"/>
      <w:lang w:eastAsia="en-GB"/>
    </w:rPr>
  </w:style>
  <w:style w:type="character" w:customStyle="1" w:styleId="Heading4Char">
    <w:name w:val="Heading 4 Char"/>
    <w:basedOn w:val="DefaultParagraphFont"/>
    <w:link w:val="Heading4"/>
    <w:uiPriority w:val="9"/>
    <w:rsid w:val="00E048B2"/>
    <w:rPr>
      <w:rFonts w:asciiTheme="majorHAnsi" w:eastAsiaTheme="majorEastAsia" w:hAnsiTheme="majorHAnsi" w:cstheme="majorBidi"/>
      <w:i/>
      <w:iCs/>
      <w:color w:val="2F5496" w:themeColor="accent1" w:themeShade="BF"/>
      <w:lang w:eastAsia="en-GB"/>
    </w:rPr>
  </w:style>
  <w:style w:type="paragraph" w:styleId="Revision">
    <w:name w:val="Revision"/>
    <w:hidden/>
    <w:uiPriority w:val="99"/>
    <w:semiHidden/>
    <w:rsid w:val="00A7012E"/>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EC43E9"/>
    <w:pPr>
      <w:spacing w:before="480" w:line="276" w:lineRule="auto"/>
      <w:outlineLvl w:val="9"/>
    </w:pPr>
    <w:rPr>
      <w:b/>
      <w:bCs/>
      <w:sz w:val="28"/>
      <w:szCs w:val="28"/>
      <w:lang w:val="en-US" w:eastAsia="en-US"/>
    </w:rPr>
  </w:style>
  <w:style w:type="paragraph" w:styleId="TOC2">
    <w:name w:val="toc 2"/>
    <w:basedOn w:val="Normal"/>
    <w:next w:val="Normal"/>
    <w:autoRedefine/>
    <w:uiPriority w:val="39"/>
    <w:unhideWhenUsed/>
    <w:rsid w:val="00EC43E9"/>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EC43E9"/>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EC43E9"/>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C43E9"/>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C43E9"/>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C43E9"/>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C43E9"/>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C43E9"/>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C43E9"/>
    <w:pPr>
      <w:ind w:left="1920"/>
    </w:pPr>
    <w:rPr>
      <w:rFonts w:asciiTheme="minorHAnsi" w:hAnsiTheme="minorHAnsi" w:cstheme="minorHAnsi"/>
      <w:sz w:val="20"/>
      <w:szCs w:val="20"/>
    </w:rPr>
  </w:style>
  <w:style w:type="character" w:styleId="PageNumber">
    <w:name w:val="page number"/>
    <w:basedOn w:val="DefaultParagraphFont"/>
    <w:uiPriority w:val="99"/>
    <w:semiHidden/>
    <w:unhideWhenUsed/>
    <w:rsid w:val="00A7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2792">
      <w:bodyDiv w:val="1"/>
      <w:marLeft w:val="0"/>
      <w:marRight w:val="0"/>
      <w:marTop w:val="0"/>
      <w:marBottom w:val="0"/>
      <w:divBdr>
        <w:top w:val="none" w:sz="0" w:space="0" w:color="auto"/>
        <w:left w:val="none" w:sz="0" w:space="0" w:color="auto"/>
        <w:bottom w:val="none" w:sz="0" w:space="0" w:color="auto"/>
        <w:right w:val="none" w:sz="0" w:space="0" w:color="auto"/>
      </w:divBdr>
    </w:div>
    <w:div w:id="24596515">
      <w:bodyDiv w:val="1"/>
      <w:marLeft w:val="0"/>
      <w:marRight w:val="0"/>
      <w:marTop w:val="0"/>
      <w:marBottom w:val="0"/>
      <w:divBdr>
        <w:top w:val="none" w:sz="0" w:space="0" w:color="auto"/>
        <w:left w:val="none" w:sz="0" w:space="0" w:color="auto"/>
        <w:bottom w:val="none" w:sz="0" w:space="0" w:color="auto"/>
        <w:right w:val="none" w:sz="0" w:space="0" w:color="auto"/>
      </w:divBdr>
    </w:div>
    <w:div w:id="67583057">
      <w:bodyDiv w:val="1"/>
      <w:marLeft w:val="0"/>
      <w:marRight w:val="0"/>
      <w:marTop w:val="0"/>
      <w:marBottom w:val="0"/>
      <w:divBdr>
        <w:top w:val="none" w:sz="0" w:space="0" w:color="auto"/>
        <w:left w:val="none" w:sz="0" w:space="0" w:color="auto"/>
        <w:bottom w:val="none" w:sz="0" w:space="0" w:color="auto"/>
        <w:right w:val="none" w:sz="0" w:space="0" w:color="auto"/>
      </w:divBdr>
    </w:div>
    <w:div w:id="201796134">
      <w:bodyDiv w:val="1"/>
      <w:marLeft w:val="0"/>
      <w:marRight w:val="0"/>
      <w:marTop w:val="0"/>
      <w:marBottom w:val="0"/>
      <w:divBdr>
        <w:top w:val="none" w:sz="0" w:space="0" w:color="auto"/>
        <w:left w:val="none" w:sz="0" w:space="0" w:color="auto"/>
        <w:bottom w:val="none" w:sz="0" w:space="0" w:color="auto"/>
        <w:right w:val="none" w:sz="0" w:space="0" w:color="auto"/>
      </w:divBdr>
    </w:div>
    <w:div w:id="219364796">
      <w:bodyDiv w:val="1"/>
      <w:marLeft w:val="0"/>
      <w:marRight w:val="0"/>
      <w:marTop w:val="0"/>
      <w:marBottom w:val="0"/>
      <w:divBdr>
        <w:top w:val="none" w:sz="0" w:space="0" w:color="auto"/>
        <w:left w:val="none" w:sz="0" w:space="0" w:color="auto"/>
        <w:bottom w:val="none" w:sz="0" w:space="0" w:color="auto"/>
        <w:right w:val="none" w:sz="0" w:space="0" w:color="auto"/>
      </w:divBdr>
    </w:div>
    <w:div w:id="308365799">
      <w:bodyDiv w:val="1"/>
      <w:marLeft w:val="0"/>
      <w:marRight w:val="0"/>
      <w:marTop w:val="0"/>
      <w:marBottom w:val="0"/>
      <w:divBdr>
        <w:top w:val="none" w:sz="0" w:space="0" w:color="auto"/>
        <w:left w:val="none" w:sz="0" w:space="0" w:color="auto"/>
        <w:bottom w:val="none" w:sz="0" w:space="0" w:color="auto"/>
        <w:right w:val="none" w:sz="0" w:space="0" w:color="auto"/>
      </w:divBdr>
    </w:div>
    <w:div w:id="316960185">
      <w:bodyDiv w:val="1"/>
      <w:marLeft w:val="0"/>
      <w:marRight w:val="0"/>
      <w:marTop w:val="0"/>
      <w:marBottom w:val="0"/>
      <w:divBdr>
        <w:top w:val="none" w:sz="0" w:space="0" w:color="auto"/>
        <w:left w:val="none" w:sz="0" w:space="0" w:color="auto"/>
        <w:bottom w:val="none" w:sz="0" w:space="0" w:color="auto"/>
        <w:right w:val="none" w:sz="0" w:space="0" w:color="auto"/>
      </w:divBdr>
    </w:div>
    <w:div w:id="337663537">
      <w:bodyDiv w:val="1"/>
      <w:marLeft w:val="0"/>
      <w:marRight w:val="0"/>
      <w:marTop w:val="0"/>
      <w:marBottom w:val="0"/>
      <w:divBdr>
        <w:top w:val="none" w:sz="0" w:space="0" w:color="auto"/>
        <w:left w:val="none" w:sz="0" w:space="0" w:color="auto"/>
        <w:bottom w:val="none" w:sz="0" w:space="0" w:color="auto"/>
        <w:right w:val="none" w:sz="0" w:space="0" w:color="auto"/>
      </w:divBdr>
    </w:div>
    <w:div w:id="460854244">
      <w:bodyDiv w:val="1"/>
      <w:marLeft w:val="0"/>
      <w:marRight w:val="0"/>
      <w:marTop w:val="0"/>
      <w:marBottom w:val="0"/>
      <w:divBdr>
        <w:top w:val="none" w:sz="0" w:space="0" w:color="auto"/>
        <w:left w:val="none" w:sz="0" w:space="0" w:color="auto"/>
        <w:bottom w:val="none" w:sz="0" w:space="0" w:color="auto"/>
        <w:right w:val="none" w:sz="0" w:space="0" w:color="auto"/>
      </w:divBdr>
    </w:div>
    <w:div w:id="504825604">
      <w:bodyDiv w:val="1"/>
      <w:marLeft w:val="0"/>
      <w:marRight w:val="0"/>
      <w:marTop w:val="0"/>
      <w:marBottom w:val="0"/>
      <w:divBdr>
        <w:top w:val="none" w:sz="0" w:space="0" w:color="auto"/>
        <w:left w:val="none" w:sz="0" w:space="0" w:color="auto"/>
        <w:bottom w:val="none" w:sz="0" w:space="0" w:color="auto"/>
        <w:right w:val="none" w:sz="0" w:space="0" w:color="auto"/>
      </w:divBdr>
    </w:div>
    <w:div w:id="600337225">
      <w:bodyDiv w:val="1"/>
      <w:marLeft w:val="0"/>
      <w:marRight w:val="0"/>
      <w:marTop w:val="0"/>
      <w:marBottom w:val="0"/>
      <w:divBdr>
        <w:top w:val="none" w:sz="0" w:space="0" w:color="auto"/>
        <w:left w:val="none" w:sz="0" w:space="0" w:color="auto"/>
        <w:bottom w:val="none" w:sz="0" w:space="0" w:color="auto"/>
        <w:right w:val="none" w:sz="0" w:space="0" w:color="auto"/>
      </w:divBdr>
    </w:div>
    <w:div w:id="617832264">
      <w:bodyDiv w:val="1"/>
      <w:marLeft w:val="0"/>
      <w:marRight w:val="0"/>
      <w:marTop w:val="0"/>
      <w:marBottom w:val="0"/>
      <w:divBdr>
        <w:top w:val="none" w:sz="0" w:space="0" w:color="auto"/>
        <w:left w:val="none" w:sz="0" w:space="0" w:color="auto"/>
        <w:bottom w:val="none" w:sz="0" w:space="0" w:color="auto"/>
        <w:right w:val="none" w:sz="0" w:space="0" w:color="auto"/>
      </w:divBdr>
    </w:div>
    <w:div w:id="665283262">
      <w:bodyDiv w:val="1"/>
      <w:marLeft w:val="0"/>
      <w:marRight w:val="0"/>
      <w:marTop w:val="0"/>
      <w:marBottom w:val="0"/>
      <w:divBdr>
        <w:top w:val="none" w:sz="0" w:space="0" w:color="auto"/>
        <w:left w:val="none" w:sz="0" w:space="0" w:color="auto"/>
        <w:bottom w:val="none" w:sz="0" w:space="0" w:color="auto"/>
        <w:right w:val="none" w:sz="0" w:space="0" w:color="auto"/>
      </w:divBdr>
    </w:div>
    <w:div w:id="834339249">
      <w:bodyDiv w:val="1"/>
      <w:marLeft w:val="0"/>
      <w:marRight w:val="0"/>
      <w:marTop w:val="0"/>
      <w:marBottom w:val="0"/>
      <w:divBdr>
        <w:top w:val="none" w:sz="0" w:space="0" w:color="auto"/>
        <w:left w:val="none" w:sz="0" w:space="0" w:color="auto"/>
        <w:bottom w:val="none" w:sz="0" w:space="0" w:color="auto"/>
        <w:right w:val="none" w:sz="0" w:space="0" w:color="auto"/>
      </w:divBdr>
      <w:divsChild>
        <w:div w:id="622200977">
          <w:marLeft w:val="0"/>
          <w:marRight w:val="0"/>
          <w:marTop w:val="0"/>
          <w:marBottom w:val="0"/>
          <w:divBdr>
            <w:top w:val="none" w:sz="0" w:space="0" w:color="auto"/>
            <w:left w:val="none" w:sz="0" w:space="0" w:color="auto"/>
            <w:bottom w:val="none" w:sz="0" w:space="0" w:color="auto"/>
            <w:right w:val="none" w:sz="0" w:space="0" w:color="auto"/>
          </w:divBdr>
        </w:div>
        <w:div w:id="838541359">
          <w:marLeft w:val="0"/>
          <w:marRight w:val="0"/>
          <w:marTop w:val="0"/>
          <w:marBottom w:val="0"/>
          <w:divBdr>
            <w:top w:val="none" w:sz="0" w:space="0" w:color="auto"/>
            <w:left w:val="none" w:sz="0" w:space="0" w:color="auto"/>
            <w:bottom w:val="none" w:sz="0" w:space="0" w:color="auto"/>
            <w:right w:val="none" w:sz="0" w:space="0" w:color="auto"/>
          </w:divBdr>
        </w:div>
      </w:divsChild>
    </w:div>
    <w:div w:id="1055154973">
      <w:bodyDiv w:val="1"/>
      <w:marLeft w:val="0"/>
      <w:marRight w:val="0"/>
      <w:marTop w:val="0"/>
      <w:marBottom w:val="0"/>
      <w:divBdr>
        <w:top w:val="none" w:sz="0" w:space="0" w:color="auto"/>
        <w:left w:val="none" w:sz="0" w:space="0" w:color="auto"/>
        <w:bottom w:val="none" w:sz="0" w:space="0" w:color="auto"/>
        <w:right w:val="none" w:sz="0" w:space="0" w:color="auto"/>
      </w:divBdr>
    </w:div>
    <w:div w:id="1185753137">
      <w:bodyDiv w:val="1"/>
      <w:marLeft w:val="0"/>
      <w:marRight w:val="0"/>
      <w:marTop w:val="0"/>
      <w:marBottom w:val="0"/>
      <w:divBdr>
        <w:top w:val="none" w:sz="0" w:space="0" w:color="auto"/>
        <w:left w:val="none" w:sz="0" w:space="0" w:color="auto"/>
        <w:bottom w:val="none" w:sz="0" w:space="0" w:color="auto"/>
        <w:right w:val="none" w:sz="0" w:space="0" w:color="auto"/>
      </w:divBdr>
    </w:div>
    <w:div w:id="1227449026">
      <w:bodyDiv w:val="1"/>
      <w:marLeft w:val="0"/>
      <w:marRight w:val="0"/>
      <w:marTop w:val="0"/>
      <w:marBottom w:val="0"/>
      <w:divBdr>
        <w:top w:val="none" w:sz="0" w:space="0" w:color="auto"/>
        <w:left w:val="none" w:sz="0" w:space="0" w:color="auto"/>
        <w:bottom w:val="none" w:sz="0" w:space="0" w:color="auto"/>
        <w:right w:val="none" w:sz="0" w:space="0" w:color="auto"/>
      </w:divBdr>
    </w:div>
    <w:div w:id="1308626362">
      <w:bodyDiv w:val="1"/>
      <w:marLeft w:val="0"/>
      <w:marRight w:val="0"/>
      <w:marTop w:val="0"/>
      <w:marBottom w:val="0"/>
      <w:divBdr>
        <w:top w:val="none" w:sz="0" w:space="0" w:color="auto"/>
        <w:left w:val="none" w:sz="0" w:space="0" w:color="auto"/>
        <w:bottom w:val="none" w:sz="0" w:space="0" w:color="auto"/>
        <w:right w:val="none" w:sz="0" w:space="0" w:color="auto"/>
      </w:divBdr>
    </w:div>
    <w:div w:id="1388261497">
      <w:bodyDiv w:val="1"/>
      <w:marLeft w:val="0"/>
      <w:marRight w:val="0"/>
      <w:marTop w:val="0"/>
      <w:marBottom w:val="0"/>
      <w:divBdr>
        <w:top w:val="none" w:sz="0" w:space="0" w:color="auto"/>
        <w:left w:val="none" w:sz="0" w:space="0" w:color="auto"/>
        <w:bottom w:val="none" w:sz="0" w:space="0" w:color="auto"/>
        <w:right w:val="none" w:sz="0" w:space="0" w:color="auto"/>
      </w:divBdr>
    </w:div>
    <w:div w:id="1418942498">
      <w:bodyDiv w:val="1"/>
      <w:marLeft w:val="0"/>
      <w:marRight w:val="0"/>
      <w:marTop w:val="0"/>
      <w:marBottom w:val="0"/>
      <w:divBdr>
        <w:top w:val="none" w:sz="0" w:space="0" w:color="auto"/>
        <w:left w:val="none" w:sz="0" w:space="0" w:color="auto"/>
        <w:bottom w:val="none" w:sz="0" w:space="0" w:color="auto"/>
        <w:right w:val="none" w:sz="0" w:space="0" w:color="auto"/>
      </w:divBdr>
    </w:div>
    <w:div w:id="1480728694">
      <w:bodyDiv w:val="1"/>
      <w:marLeft w:val="0"/>
      <w:marRight w:val="0"/>
      <w:marTop w:val="0"/>
      <w:marBottom w:val="0"/>
      <w:divBdr>
        <w:top w:val="none" w:sz="0" w:space="0" w:color="auto"/>
        <w:left w:val="none" w:sz="0" w:space="0" w:color="auto"/>
        <w:bottom w:val="none" w:sz="0" w:space="0" w:color="auto"/>
        <w:right w:val="none" w:sz="0" w:space="0" w:color="auto"/>
      </w:divBdr>
    </w:div>
    <w:div w:id="1520201309">
      <w:bodyDiv w:val="1"/>
      <w:marLeft w:val="0"/>
      <w:marRight w:val="0"/>
      <w:marTop w:val="0"/>
      <w:marBottom w:val="0"/>
      <w:divBdr>
        <w:top w:val="none" w:sz="0" w:space="0" w:color="auto"/>
        <w:left w:val="none" w:sz="0" w:space="0" w:color="auto"/>
        <w:bottom w:val="none" w:sz="0" w:space="0" w:color="auto"/>
        <w:right w:val="none" w:sz="0" w:space="0" w:color="auto"/>
      </w:divBdr>
    </w:div>
    <w:div w:id="1620262689">
      <w:bodyDiv w:val="1"/>
      <w:marLeft w:val="0"/>
      <w:marRight w:val="0"/>
      <w:marTop w:val="0"/>
      <w:marBottom w:val="0"/>
      <w:divBdr>
        <w:top w:val="none" w:sz="0" w:space="0" w:color="auto"/>
        <w:left w:val="none" w:sz="0" w:space="0" w:color="auto"/>
        <w:bottom w:val="none" w:sz="0" w:space="0" w:color="auto"/>
        <w:right w:val="none" w:sz="0" w:space="0" w:color="auto"/>
      </w:divBdr>
    </w:div>
    <w:div w:id="1627007004">
      <w:bodyDiv w:val="1"/>
      <w:marLeft w:val="0"/>
      <w:marRight w:val="0"/>
      <w:marTop w:val="0"/>
      <w:marBottom w:val="0"/>
      <w:divBdr>
        <w:top w:val="none" w:sz="0" w:space="0" w:color="auto"/>
        <w:left w:val="none" w:sz="0" w:space="0" w:color="auto"/>
        <w:bottom w:val="none" w:sz="0" w:space="0" w:color="auto"/>
        <w:right w:val="none" w:sz="0" w:space="0" w:color="auto"/>
      </w:divBdr>
    </w:div>
    <w:div w:id="1684361504">
      <w:bodyDiv w:val="1"/>
      <w:marLeft w:val="0"/>
      <w:marRight w:val="0"/>
      <w:marTop w:val="0"/>
      <w:marBottom w:val="0"/>
      <w:divBdr>
        <w:top w:val="none" w:sz="0" w:space="0" w:color="auto"/>
        <w:left w:val="none" w:sz="0" w:space="0" w:color="auto"/>
        <w:bottom w:val="none" w:sz="0" w:space="0" w:color="auto"/>
        <w:right w:val="none" w:sz="0" w:space="0" w:color="auto"/>
      </w:divBdr>
    </w:div>
    <w:div w:id="1739128958">
      <w:bodyDiv w:val="1"/>
      <w:marLeft w:val="0"/>
      <w:marRight w:val="0"/>
      <w:marTop w:val="0"/>
      <w:marBottom w:val="0"/>
      <w:divBdr>
        <w:top w:val="none" w:sz="0" w:space="0" w:color="auto"/>
        <w:left w:val="none" w:sz="0" w:space="0" w:color="auto"/>
        <w:bottom w:val="none" w:sz="0" w:space="0" w:color="auto"/>
        <w:right w:val="none" w:sz="0" w:space="0" w:color="auto"/>
      </w:divBdr>
    </w:div>
    <w:div w:id="1740592484">
      <w:bodyDiv w:val="1"/>
      <w:marLeft w:val="0"/>
      <w:marRight w:val="0"/>
      <w:marTop w:val="0"/>
      <w:marBottom w:val="0"/>
      <w:divBdr>
        <w:top w:val="none" w:sz="0" w:space="0" w:color="auto"/>
        <w:left w:val="none" w:sz="0" w:space="0" w:color="auto"/>
        <w:bottom w:val="none" w:sz="0" w:space="0" w:color="auto"/>
        <w:right w:val="none" w:sz="0" w:space="0" w:color="auto"/>
      </w:divBdr>
    </w:div>
    <w:div w:id="1756170262">
      <w:bodyDiv w:val="1"/>
      <w:marLeft w:val="0"/>
      <w:marRight w:val="0"/>
      <w:marTop w:val="0"/>
      <w:marBottom w:val="0"/>
      <w:divBdr>
        <w:top w:val="none" w:sz="0" w:space="0" w:color="auto"/>
        <w:left w:val="none" w:sz="0" w:space="0" w:color="auto"/>
        <w:bottom w:val="none" w:sz="0" w:space="0" w:color="auto"/>
        <w:right w:val="none" w:sz="0" w:space="0" w:color="auto"/>
      </w:divBdr>
    </w:div>
    <w:div w:id="1763909866">
      <w:bodyDiv w:val="1"/>
      <w:marLeft w:val="0"/>
      <w:marRight w:val="0"/>
      <w:marTop w:val="0"/>
      <w:marBottom w:val="0"/>
      <w:divBdr>
        <w:top w:val="none" w:sz="0" w:space="0" w:color="auto"/>
        <w:left w:val="none" w:sz="0" w:space="0" w:color="auto"/>
        <w:bottom w:val="none" w:sz="0" w:space="0" w:color="auto"/>
        <w:right w:val="none" w:sz="0" w:space="0" w:color="auto"/>
      </w:divBdr>
    </w:div>
    <w:div w:id="20929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s://rewire.news/article/2016/05/25/anti-choice-groups-deploy-smartphone-surveillance-target-abortion-minded-women-clinic-visits/" TargetMode="External"/><Relationship Id="rId18" Type="http://schemas.openxmlformats.org/officeDocument/2006/relationships/hyperlink" Target="https://apublica.org/2018/01/armadilha-para-mulheres/" TargetMode="External"/><Relationship Id="rId26" Type="http://schemas.openxmlformats.org/officeDocument/2006/relationships/hyperlink" Target="https://privacyinternational.org/legal-action/complaint-against-doctissimo" TargetMode="External"/><Relationship Id="rId39" Type="http://schemas.openxmlformats.org/officeDocument/2006/relationships/hyperlink" Target="https://privacyinternational.org/long-read/3791/country-case-study-sexual-and-reproductive-rights-peru" TargetMode="External"/><Relationship Id="rId21" Type="http://schemas.openxmlformats.org/officeDocument/2006/relationships/hyperlink" Target="https://privacyinternational.org/long-read/3853/country-case-study-sexual-and-reproductive-rights-indonesia" TargetMode="External"/><Relationship Id="rId34" Type="http://schemas.openxmlformats.org/officeDocument/2006/relationships/hyperlink" Target="https://privacyinternational.org/long-read/3863/country-case-study-sexual-and-reproductive-rights-india" TargetMode="External"/><Relationship Id="rId42" Type="http://schemas.openxmlformats.org/officeDocument/2006/relationships/hyperlink" Target="https://swgfl.org.uk/magazine/revenge-porn-research-2019/" TargetMode="External"/><Relationship Id="rId47" Type="http://schemas.openxmlformats.org/officeDocument/2006/relationships/hyperlink" Target="https://pubmed.ncbi.nlm.nih.gov/24438150/" TargetMode="External"/><Relationship Id="rId50" Type="http://schemas.openxmlformats.org/officeDocument/2006/relationships/hyperlink" Target="https://www.avicenna-medical.com/chronic-care-management-software-benefits-avitracks-cm" TargetMode="External"/><Relationship Id="rId55" Type="http://schemas.openxmlformats.org/officeDocument/2006/relationships/hyperlink" Target="https://cis-india.org/raw/big-data-reproductive-health-india-mcts" TargetMode="External"/><Relationship Id="rId63" Type="http://schemas.openxmlformats.org/officeDocument/2006/relationships/hyperlink" Target="https://privacyinternational.org/long-read/3863/country-case-study-sexual-and-reproductive-rights-india" TargetMode="External"/><Relationship Id="rId7" Type="http://schemas.openxmlformats.org/officeDocument/2006/relationships/hyperlink" Target="https://privacyinternational.org/long-read/3895/country-case-study-sexual-and-reproductive-rights-brazil" TargetMode="External"/><Relationship Id="rId2" Type="http://schemas.openxmlformats.org/officeDocument/2006/relationships/hyperlink" Target="https://privacyinternational.org/where-we-work" TargetMode="External"/><Relationship Id="rId16" Type="http://schemas.openxmlformats.org/officeDocument/2006/relationships/hyperlink" Target="https://privacyinternational.org/long-read/3096/how-anti-abortion-activism-exploiting-data" TargetMode="External"/><Relationship Id="rId29" Type="http://schemas.openxmlformats.org/officeDocument/2006/relationships/hyperlink" Target="https://privacyinternational.org/long-read/3895/country-case-study-sexual-and-reproductive-rights-brazil" TargetMode="External"/><Relationship Id="rId11" Type="http://schemas.openxmlformats.org/officeDocument/2006/relationships/hyperlink" Target="http://comunicaciones.ucsh.cl/opiniones/educacion-sexual-en-chile-desafio-eterno/" TargetMode="External"/><Relationship Id="rId24" Type="http://schemas.openxmlformats.org/officeDocument/2006/relationships/hyperlink" Target="https://privacyinternational.org/long-read/3669/documentation-data-exploitation-sexual-and-reproductive-rights" TargetMode="External"/><Relationship Id="rId32" Type="http://schemas.openxmlformats.org/officeDocument/2006/relationships/hyperlink" Target="https://privacyinternational.org/long-read/3895/country-case-study-sexual-and-reproductive-rights-brazil" TargetMode="External"/><Relationship Id="rId37" Type="http://schemas.openxmlformats.org/officeDocument/2006/relationships/hyperlink" Target="https://privacyinternational.org/long-read/3096/how-anti-abortion-activism-exploiting-data" TargetMode="External"/><Relationship Id="rId40" Type="http://schemas.openxmlformats.org/officeDocument/2006/relationships/hyperlink" Target="https://www.hrw.org/news/2020/08/20/10-year-old-girls-ordeal-have-legal-abortion-brazil" TargetMode="External"/><Relationship Id="rId45" Type="http://schemas.openxmlformats.org/officeDocument/2006/relationships/hyperlink" Target="https://citizenlab.ca/docs/stalkerware-holistic.pdf" TargetMode="External"/><Relationship Id="rId53" Type="http://schemas.openxmlformats.org/officeDocument/2006/relationships/hyperlink" Target="https://ehs.com.jo/" TargetMode="External"/><Relationship Id="rId58" Type="http://schemas.openxmlformats.org/officeDocument/2006/relationships/hyperlink" Target="https://www.hrw.org/world-report/2019/country-chapters/chile" TargetMode="External"/><Relationship Id="rId5" Type="http://schemas.openxmlformats.org/officeDocument/2006/relationships/hyperlink" Target="https://www.theguardian.com/society/2020/mar/28/lockdowns-world-rise-domestic-violence" TargetMode="External"/><Relationship Id="rId61" Type="http://schemas.openxmlformats.org/officeDocument/2006/relationships/hyperlink" Target="https://privacyinternational.org/long-read/3669/documentation-data-exploitation-sexual-and-reproductive-rights" TargetMode="External"/><Relationship Id="rId19" Type="http://schemas.openxmlformats.org/officeDocument/2006/relationships/hyperlink" Target="https://www.opendemocracy.net/en/5050/revealed-us-linked-anti-abortion-centres-lie-and-scare-women-across-latin-america/" TargetMode="External"/><Relationship Id="rId14" Type="http://schemas.openxmlformats.org/officeDocument/2006/relationships/hyperlink" Target="https://privacyinternational.org/long-read/3669/documentation-data-exploitation-sexual-and-reproductive-rights" TargetMode="External"/><Relationship Id="rId22" Type="http://schemas.openxmlformats.org/officeDocument/2006/relationships/hyperlink" Target="https://privacyinternational.org/long-read/3895/country-case-study-sexual-and-reproductive-rights-brazil" TargetMode="External"/><Relationship Id="rId27" Type="http://schemas.openxmlformats.org/officeDocument/2006/relationships/hyperlink" Target="https://privacyinternational.org/learning-resources/country-case-studies-reproductive-rights" TargetMode="External"/><Relationship Id="rId30" Type="http://schemas.openxmlformats.org/officeDocument/2006/relationships/hyperlink" Target="https://privacyinternational.org/long-read/3863/country-case-study-sexual-and-reproductive-rights-india" TargetMode="External"/><Relationship Id="rId35" Type="http://schemas.openxmlformats.org/officeDocument/2006/relationships/hyperlink" Target="https://privacyinternational.org/long-read/3669/documentation-data-exploitation-sexual-and-reproductive-rights" TargetMode="External"/><Relationship Id="rId43" Type="http://schemas.openxmlformats.org/officeDocument/2006/relationships/hyperlink" Target="https://privacyinternational.org/long-read/3366/womens-aid-and-privacy-international-launch-digital-information-cards-help-women" TargetMode="External"/><Relationship Id="rId48" Type="http://schemas.openxmlformats.org/officeDocument/2006/relationships/hyperlink" Target="https://pubmed.ncbi.nlm.nih.gov/24953141/" TargetMode="External"/><Relationship Id="rId56" Type="http://schemas.openxmlformats.org/officeDocument/2006/relationships/hyperlink" Target="https://privacyinternational.org/long-read/3791/country-case-study-sexual-and-reproductive-rights-peru" TargetMode="External"/><Relationship Id="rId8" Type="http://schemas.openxmlformats.org/officeDocument/2006/relationships/hyperlink" Target="https://www.hrw.org/pt/news/2019/10/04/334411" TargetMode="External"/><Relationship Id="rId51" Type="http://schemas.openxmlformats.org/officeDocument/2006/relationships/hyperlink" Target="https://www.fhi.no/en/qk/global-healt-collaboration/global-health-preparedness-programme/our-partner-countries/palestine/" TargetMode="External"/><Relationship Id="rId3" Type="http://schemas.openxmlformats.org/officeDocument/2006/relationships/hyperlink" Target="https://privacyinternational.org/campaigns/reproductive-rights-and-privacy-project" TargetMode="External"/><Relationship Id="rId12" Type="http://schemas.openxmlformats.org/officeDocument/2006/relationships/hyperlink" Target="https://privacyinternational.org/long-read/3853/country-case-study-sexual-and-reproductive-rights-indonesia" TargetMode="External"/><Relationship Id="rId17" Type="http://schemas.openxmlformats.org/officeDocument/2006/relationships/hyperlink" Target="https://privacyinternational.org/long-read/3895/country-case-study-sexual-and-reproductive-rights-brazil" TargetMode="External"/><Relationship Id="rId25" Type="http://schemas.openxmlformats.org/officeDocument/2006/relationships/hyperlink" Target="https://www.privacyinternational.org/long-read/3196/no-bodys-business-mine-how-menstruations-apps-are-sharing-your-data" TargetMode="External"/><Relationship Id="rId33" Type="http://schemas.openxmlformats.org/officeDocument/2006/relationships/hyperlink" Target="https://privacyinternational.org/case-study/3388/it-protects-our-bodily-autonomy" TargetMode="External"/><Relationship Id="rId38" Type="http://schemas.openxmlformats.org/officeDocument/2006/relationships/hyperlink" Target="https://privacyinternational.org/long-read/3669/documentation-data-exploitation-sexual-and-reproductive-rights" TargetMode="External"/><Relationship Id="rId46" Type="http://schemas.openxmlformats.org/officeDocument/2006/relationships/hyperlink" Target="https://www.who.int/goe/publications/baseline_fullreport/en/" TargetMode="External"/><Relationship Id="rId59" Type="http://schemas.openxmlformats.org/officeDocument/2006/relationships/hyperlink" Target="https://ciperchile.cl/2018/09/04/todos-los-obstaculos-y-presiones-que-impiden-a-las-mujeres-acceder-al-aborto-por-tres-causales/" TargetMode="External"/><Relationship Id="rId20" Type="http://schemas.openxmlformats.org/officeDocument/2006/relationships/hyperlink" Target="https://www.irishtimes.com/news/crime-and-law/courts/high-court/hse-takes-action-over-allegedly-misleading-pregnancy-options-website-1.3792806" TargetMode="External"/><Relationship Id="rId41" Type="http://schemas.openxmlformats.org/officeDocument/2006/relationships/hyperlink" Target="https://privacyinternational.org/case-study/4113/it-protects-our-development" TargetMode="External"/><Relationship Id="rId54" Type="http://schemas.openxmlformats.org/officeDocument/2006/relationships/hyperlink" Target="https://privacyinternational.org/long-read/2299/initial-analysis-indian-supreme-court-decision-aadhaar" TargetMode="External"/><Relationship Id="rId62" Type="http://schemas.openxmlformats.org/officeDocument/2006/relationships/hyperlink" Target="https://privacyinternational.org/sites/default/files/2018-11/From%20oppression%20to%20liberation-reclaiming%20the%20right%20to%20privacy.pdf" TargetMode="External"/><Relationship Id="rId1" Type="http://schemas.openxmlformats.org/officeDocument/2006/relationships/hyperlink" Target="https://www.ohchr.org/EN/Issues/Women/WGWomen/Pages/SexualReproductiveHealthRights.aspx" TargetMode="External"/><Relationship Id="rId6" Type="http://schemas.openxmlformats.org/officeDocument/2006/relationships/hyperlink" Target="https://mapaabortolegal.org/wp-content/uploads/2019/03/AbortoLegaleTransparencia.pdf" TargetMode="External"/><Relationship Id="rId15" Type="http://schemas.openxmlformats.org/officeDocument/2006/relationships/hyperlink" Target="https://extendwebservices.com/services/websites" TargetMode="External"/><Relationship Id="rId23" Type="http://schemas.openxmlformats.org/officeDocument/2006/relationships/hyperlink" Target="https://www.theguardian.com/world/2019/may/30/revealed-womens-fertility-app-is-funded-by-anti-abortion-campaigners" TargetMode="External"/><Relationship Id="rId28" Type="http://schemas.openxmlformats.org/officeDocument/2006/relationships/hyperlink" Target="https://privacyinternational.org/long-read/3895/country-case-study-sexual-and-reproductive-rights-brazil" TargetMode="External"/><Relationship Id="rId36" Type="http://schemas.openxmlformats.org/officeDocument/2006/relationships/hyperlink" Target="https://www.asn.org.uk/news-and-events/press-release-charities-warn-that-anti-choice-groups-in-malta-are-targeting-women-with-lies-and-misinformation-to-prevent-them-accessing-legal-abortion-care-overseas/" TargetMode="External"/><Relationship Id="rId49" Type="http://schemas.openxmlformats.org/officeDocument/2006/relationships/hyperlink" Target="https://www.mhtf.org/projects/woodrow-wilson-international-center-advancing-dialogue-on-maternal-health-series/closing-the-gaps-of-maternal-health-in-conflict-and-crises/" TargetMode="External"/><Relationship Id="rId57" Type="http://schemas.openxmlformats.org/officeDocument/2006/relationships/hyperlink" Target="https://privacyinternational.org/long-read/3856/country-case-study-sexual-and-reproductive-rights-argentina" TargetMode="External"/><Relationship Id="rId10" Type="http://schemas.openxmlformats.org/officeDocument/2006/relationships/hyperlink" Target="https://privacyinternational.org/long-read/3853/country-case-study-sexual-and-reproductive-rights-indonesia" TargetMode="External"/><Relationship Id="rId31" Type="http://schemas.openxmlformats.org/officeDocument/2006/relationships/hyperlink" Target="https://privacyinternational.org/long-read/3859/country-case-study-sexual-and-reproductive-rights-kenya" TargetMode="External"/><Relationship Id="rId44" Type="http://schemas.openxmlformats.org/officeDocument/2006/relationships/hyperlink" Target="https://privacyinternational.org/case-study/3538/it-protects-marriage-equality" TargetMode="External"/><Relationship Id="rId52" Type="http://schemas.openxmlformats.org/officeDocument/2006/relationships/hyperlink" Target="http://www.jsands.jo" TargetMode="External"/><Relationship Id="rId60" Type="http://schemas.openxmlformats.org/officeDocument/2006/relationships/hyperlink" Target="https://www.opendemocracy.net/en/5050/trump-linked-religious-extremists-global-disinformation-pregnant-women/" TargetMode="External"/><Relationship Id="rId4" Type="http://schemas.openxmlformats.org/officeDocument/2006/relationships/hyperlink" Target="https://www.ohchr.org/EN/Issues/Women/Pages/WomenESCR.aspx" TargetMode="External"/><Relationship Id="rId9" Type="http://schemas.openxmlformats.org/officeDocument/2006/relationships/hyperlink" Target="https://noticias.uol.com.br/saude/ultimas-noticias/redacao/2019/09/20/damares-denuncia-site-por-reportagem-sobre-aborto-apologia-ao-crime.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58FF2D-B3AB-DC49-B0C9-B44C9D97F2CD}">
  <ds:schemaRefs>
    <ds:schemaRef ds:uri="http://schemas.openxmlformats.org/officeDocument/2006/bibliography"/>
  </ds:schemaRefs>
</ds:datastoreItem>
</file>

<file path=customXml/itemProps2.xml><?xml version="1.0" encoding="utf-8"?>
<ds:datastoreItem xmlns:ds="http://schemas.openxmlformats.org/officeDocument/2006/customXml" ds:itemID="{BE3F85FC-8EE7-46C0-ABF8-D852A50E0E9A}"/>
</file>

<file path=customXml/itemProps3.xml><?xml version="1.0" encoding="utf-8"?>
<ds:datastoreItem xmlns:ds="http://schemas.openxmlformats.org/officeDocument/2006/customXml" ds:itemID="{4B879C91-2CDD-4800-BB3C-ED9B9347446C}"/>
</file>

<file path=customXml/itemProps4.xml><?xml version="1.0" encoding="utf-8"?>
<ds:datastoreItem xmlns:ds="http://schemas.openxmlformats.org/officeDocument/2006/customXml" ds:itemID="{A18AB516-4710-4C28-A93B-B6C35C319BA9}"/>
</file>

<file path=docProps/app.xml><?xml version="1.0" encoding="utf-8"?>
<Properties xmlns="http://schemas.openxmlformats.org/officeDocument/2006/extended-properties" xmlns:vt="http://schemas.openxmlformats.org/officeDocument/2006/docPropsVTypes">
  <Template>Normal.dotm</Template>
  <TotalTime>0</TotalTime>
  <Pages>23</Pages>
  <Words>9691</Words>
  <Characters>55243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Lazaro</dc:creator>
  <cp:keywords/>
  <dc:description/>
  <cp:lastModifiedBy>Ilia Siatitsa</cp:lastModifiedBy>
  <cp:revision>3</cp:revision>
  <cp:lastPrinted>2020-09-07T11:44:00Z</cp:lastPrinted>
  <dcterms:created xsi:type="dcterms:W3CDTF">2020-09-07T11:44:00Z</dcterms:created>
  <dcterms:modified xsi:type="dcterms:W3CDTF">2020-09-07T11:52:00Z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