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AD100" w14:textId="77777777" w:rsidR="0053326A" w:rsidRPr="0053326A" w:rsidRDefault="0053326A" w:rsidP="001D484F">
      <w:pPr>
        <w:jc w:val="center"/>
        <w:rPr>
          <w:b/>
          <w:bCs/>
          <w:sz w:val="26"/>
          <w:szCs w:val="26"/>
        </w:rPr>
      </w:pPr>
      <w:r>
        <w:rPr>
          <w:b/>
          <w:bCs/>
          <w:sz w:val="26"/>
          <w:szCs w:val="26"/>
        </w:rPr>
        <w:t>Call for submissions</w:t>
      </w:r>
    </w:p>
    <w:p w14:paraId="3C50B7EE" w14:textId="77777777" w:rsidR="001D484F" w:rsidRPr="001D484F" w:rsidRDefault="0047406D" w:rsidP="001D484F">
      <w:pPr>
        <w:jc w:val="center"/>
        <w:rPr>
          <w:b/>
          <w:bCs/>
          <w:i/>
          <w:iCs/>
          <w:sz w:val="26"/>
          <w:szCs w:val="26"/>
        </w:rPr>
      </w:pPr>
      <w:r>
        <w:rPr>
          <w:b/>
          <w:bCs/>
          <w:i/>
          <w:iCs/>
          <w:sz w:val="26"/>
          <w:szCs w:val="26"/>
        </w:rPr>
        <w:t>W</w:t>
      </w:r>
      <w:r w:rsidR="001D484F" w:rsidRPr="001D484F">
        <w:rPr>
          <w:b/>
          <w:bCs/>
          <w:i/>
          <w:iCs/>
          <w:sz w:val="26"/>
          <w:szCs w:val="26"/>
        </w:rPr>
        <w:t>omen</w:t>
      </w:r>
      <w:r w:rsidR="00FA41F4">
        <w:rPr>
          <w:b/>
          <w:bCs/>
          <w:i/>
          <w:iCs/>
          <w:sz w:val="26"/>
          <w:szCs w:val="26"/>
        </w:rPr>
        <w:t>’s</w:t>
      </w:r>
      <w:r>
        <w:rPr>
          <w:b/>
          <w:bCs/>
          <w:i/>
          <w:iCs/>
          <w:sz w:val="26"/>
          <w:szCs w:val="26"/>
        </w:rPr>
        <w:t xml:space="preserve"> and girls’</w:t>
      </w:r>
      <w:r w:rsidR="001D484F" w:rsidRPr="001D484F">
        <w:rPr>
          <w:b/>
          <w:bCs/>
          <w:i/>
          <w:iCs/>
          <w:sz w:val="26"/>
          <w:szCs w:val="26"/>
        </w:rPr>
        <w:t xml:space="preserve"> sexual and reproductive health and rights in </w:t>
      </w:r>
      <w:r w:rsidR="007353C7">
        <w:rPr>
          <w:b/>
          <w:bCs/>
          <w:i/>
          <w:iCs/>
          <w:sz w:val="26"/>
          <w:szCs w:val="26"/>
        </w:rPr>
        <w:t>situations</w:t>
      </w:r>
      <w:r w:rsidR="001D484F" w:rsidRPr="001D484F">
        <w:rPr>
          <w:b/>
          <w:bCs/>
          <w:i/>
          <w:iCs/>
          <w:sz w:val="26"/>
          <w:szCs w:val="26"/>
        </w:rPr>
        <w:t xml:space="preserve"> of crisis</w:t>
      </w:r>
    </w:p>
    <w:p w14:paraId="7FACF182" w14:textId="77777777" w:rsidR="00C61598" w:rsidRDefault="00C61598" w:rsidP="00AB746C"/>
    <w:p w14:paraId="28BA1671" w14:textId="77777777" w:rsidR="00C61598" w:rsidRDefault="00C61598" w:rsidP="00C61598">
      <w:pPr>
        <w:jc w:val="both"/>
      </w:pPr>
      <w:r>
        <w:t>The Working Group on discrimination against women and girls will</w:t>
      </w:r>
      <w:r w:rsidR="007353C7">
        <w:t xml:space="preserve"> present a thematic report on </w:t>
      </w:r>
      <w:r w:rsidR="007353C7" w:rsidRPr="00B46C03">
        <w:t>w</w:t>
      </w:r>
      <w:r w:rsidR="007353C7">
        <w:t>omen</w:t>
      </w:r>
      <w:r w:rsidR="00FA41F4">
        <w:t>’s</w:t>
      </w:r>
      <w:r w:rsidR="000C70B6">
        <w:t xml:space="preserve"> </w:t>
      </w:r>
      <w:r w:rsidR="008F2AEC">
        <w:t>and girls</w:t>
      </w:r>
      <w:r w:rsidR="007353C7">
        <w:t>’</w:t>
      </w:r>
      <w:r w:rsidR="0047406D">
        <w:t xml:space="preserve"> </w:t>
      </w:r>
      <w:r w:rsidR="007353C7">
        <w:t>sexual and reproductive health and rights</w:t>
      </w:r>
      <w:r w:rsidR="00643635">
        <w:rPr>
          <w:rStyle w:val="FootnoteReference"/>
        </w:rPr>
        <w:footnoteReference w:id="1"/>
      </w:r>
      <w:r w:rsidR="00643635">
        <w:t xml:space="preserve"> </w:t>
      </w:r>
      <w:r w:rsidR="007353C7">
        <w:t xml:space="preserve">(SRHR) in situations of crisis to the </w:t>
      </w:r>
      <w:r>
        <w:t>47</w:t>
      </w:r>
      <w:r w:rsidRPr="007353C7">
        <w:rPr>
          <w:vertAlign w:val="superscript"/>
        </w:rPr>
        <w:t>th</w:t>
      </w:r>
      <w:r>
        <w:t xml:space="preserve"> session</w:t>
      </w:r>
      <w:r w:rsidR="007353C7">
        <w:t xml:space="preserve"> of the Human Rights Council in June 2021. The report </w:t>
      </w:r>
      <w:r w:rsidR="00643635">
        <w:t>will examine women’s and girls’ SRHR within an overarching framework of reasserting gender equality and countering roll-backs.</w:t>
      </w:r>
    </w:p>
    <w:p w14:paraId="05FBBD9A" w14:textId="7328327B" w:rsidR="0053326A" w:rsidRDefault="0047406D" w:rsidP="0047406D">
      <w:pPr>
        <w:jc w:val="both"/>
      </w:pPr>
      <w:r>
        <w:t xml:space="preserve">The Working Group </w:t>
      </w:r>
      <w:r w:rsidR="00643635">
        <w:t xml:space="preserve">will take a broad approach to </w:t>
      </w:r>
      <w:r>
        <w:t>crisis.</w:t>
      </w:r>
      <w:r w:rsidRPr="0047406D">
        <w:rPr>
          <w:rStyle w:val="FootnoteReference"/>
        </w:rPr>
        <w:t xml:space="preserve"> </w:t>
      </w:r>
      <w:r>
        <w:t xml:space="preserve">In doing so, it intends not only to look at humanitarian crises, </w:t>
      </w:r>
      <w:r w:rsidR="00643635">
        <w:t xml:space="preserve">typically </w:t>
      </w:r>
      <w:r>
        <w:t xml:space="preserve">understood as encompassing </w:t>
      </w:r>
      <w:r w:rsidR="003C40E8">
        <w:t xml:space="preserve">international and </w:t>
      </w:r>
      <w:r w:rsidR="00E65F54">
        <w:t>non-international</w:t>
      </w:r>
      <w:r w:rsidR="003C40E8">
        <w:t xml:space="preserve"> </w:t>
      </w:r>
      <w:r>
        <w:t>conflicts</w:t>
      </w:r>
      <w:r w:rsidR="003F12E7">
        <w:t xml:space="preserve"> and occupied territories</w:t>
      </w:r>
      <w:r>
        <w:t>, natural disasters, man-made disasters, famine and pandemics</w:t>
      </w:r>
      <w:r w:rsidR="00643635">
        <w:t xml:space="preserve">, but it </w:t>
      </w:r>
      <w:r>
        <w:t>will also examine long-</w:t>
      </w:r>
      <w:r w:rsidR="00995296" w:rsidRPr="008F553C">
        <w:t>standing</w:t>
      </w:r>
      <w:r>
        <w:t xml:space="preserve"> situations of crisis resulting from structural discrimination deeply embedded in histories of patriarchy, colonization, conquest and marginalization</w:t>
      </w:r>
      <w:r w:rsidR="008F553C">
        <w:t xml:space="preserve"> (such as in the case, for example, of indigenous women, Roma women and women of African descent)</w:t>
      </w:r>
      <w:r>
        <w:t xml:space="preserve">, as well as other types of crisis based on the lived experiences of women, such </w:t>
      </w:r>
      <w:r w:rsidR="009A36A5">
        <w:t xml:space="preserve">as </w:t>
      </w:r>
      <w:r w:rsidR="00643635">
        <w:t>those induced by</w:t>
      </w:r>
      <w:r>
        <w:t xml:space="preserve"> environmental </w:t>
      </w:r>
      <w:r w:rsidR="00643635">
        <w:t>factors</w:t>
      </w:r>
      <w:r>
        <w:t>, including the toxification of the planet,</w:t>
      </w:r>
      <w:r w:rsidR="00F3585F">
        <w:t xml:space="preserve"> land grabbing,</w:t>
      </w:r>
      <w:r>
        <w:t xml:space="preserve"> </w:t>
      </w:r>
      <w:bookmarkStart w:id="0" w:name="_Hlk46135280"/>
      <w:r>
        <w:t>political, social and economic crises</w:t>
      </w:r>
      <w:bookmarkEnd w:id="0"/>
      <w:r w:rsidR="00F3585F">
        <w:t>, including the impact of austerity measures</w:t>
      </w:r>
      <w:r>
        <w:t>, refugee and migrant crises, displacement crises, and gang-related violence, among others</w:t>
      </w:r>
      <w:bookmarkStart w:id="1" w:name="_Hlk46136075"/>
      <w:r>
        <w:t>.</w:t>
      </w:r>
      <w:bookmarkStart w:id="2" w:name="_Hlk46135825"/>
      <w:r w:rsidR="0053326A">
        <w:t xml:space="preserve"> </w:t>
      </w:r>
      <w:r w:rsidR="00AC1EE9">
        <w:t>The Working Group</w:t>
      </w:r>
      <w:r w:rsidR="0053326A">
        <w:t xml:space="preserve"> </w:t>
      </w:r>
      <w:r w:rsidR="00643635">
        <w:t xml:space="preserve">will examine how </w:t>
      </w:r>
      <w:r w:rsidR="0053326A">
        <w:t>existing</w:t>
      </w:r>
      <w:r w:rsidR="00643635">
        <w:t xml:space="preserve"> laws, policies, and practices </w:t>
      </w:r>
      <w:r w:rsidR="002C101E">
        <w:t xml:space="preserve">can </w:t>
      </w:r>
      <w:r w:rsidR="00643635">
        <w:t xml:space="preserve">contribute </w:t>
      </w:r>
      <w:bookmarkEnd w:id="2"/>
      <w:r w:rsidR="00643635">
        <w:t xml:space="preserve">to </w:t>
      </w:r>
      <w:r w:rsidR="00FA41F4" w:rsidRPr="0053326A">
        <w:t>negative reproductive health outcomes</w:t>
      </w:r>
      <w:r w:rsidR="00995296" w:rsidRPr="0053326A">
        <w:t xml:space="preserve"> for women and girls</w:t>
      </w:r>
      <w:r w:rsidR="0053326A">
        <w:t xml:space="preserve"> in situations of crisis</w:t>
      </w:r>
      <w:r w:rsidR="00FA41F4" w:rsidRPr="0053326A">
        <w:t xml:space="preserve"> and restrictions on </w:t>
      </w:r>
      <w:r w:rsidR="00995296" w:rsidRPr="0053326A">
        <w:t>their</w:t>
      </w:r>
      <w:r w:rsidR="00FA41F4" w:rsidRPr="0053326A">
        <w:t xml:space="preserve"> autonomy</w:t>
      </w:r>
      <w:r w:rsidR="00995296" w:rsidRPr="0053326A">
        <w:t xml:space="preserve"> during their life-cycle</w:t>
      </w:r>
      <w:r w:rsidR="0053326A" w:rsidRPr="0053326A">
        <w:t>, using</w:t>
      </w:r>
      <w:r w:rsidR="00B908EC" w:rsidRPr="0053326A">
        <w:t xml:space="preserve"> an intersectional approach</w:t>
      </w:r>
      <w:r w:rsidR="00995296" w:rsidRPr="0053326A">
        <w:t>.</w:t>
      </w:r>
      <w:bookmarkEnd w:id="1"/>
      <w:r w:rsidR="00995296" w:rsidRPr="0053326A">
        <w:t xml:space="preserve"> </w:t>
      </w:r>
    </w:p>
    <w:p w14:paraId="25A57A8A" w14:textId="45A580F8" w:rsidR="007A4850" w:rsidRDefault="00EF0CAF" w:rsidP="001D484F">
      <w:pPr>
        <w:jc w:val="both"/>
        <w:rPr>
          <w:lang w:val="en-AU"/>
        </w:rPr>
      </w:pPr>
      <w:r>
        <w:t xml:space="preserve">In order </w:t>
      </w:r>
      <w:r w:rsidR="0043638F" w:rsidRPr="007353C7">
        <w:t xml:space="preserve">to inform the preparation of this report </w:t>
      </w:r>
      <w:r>
        <w:t xml:space="preserve">and </w:t>
      </w:r>
      <w:r w:rsidR="0043638F" w:rsidRPr="007353C7">
        <w:t xml:space="preserve">in line with its mandate to maintain a constructive dialogue with States and other stakeholders to address discrimination against women </w:t>
      </w:r>
      <w:r w:rsidR="007353C7" w:rsidRPr="007353C7">
        <w:t>and girls</w:t>
      </w:r>
      <w:r>
        <w:t xml:space="preserve">, </w:t>
      </w:r>
      <w:r w:rsidRPr="007353C7">
        <w:t>the Working Group would like to se</w:t>
      </w:r>
      <w:r w:rsidR="00B743A7">
        <w:t xml:space="preserve">ek inputs from all </w:t>
      </w:r>
      <w:r w:rsidRPr="007353C7">
        <w:t>stakeholders</w:t>
      </w:r>
      <w:r w:rsidR="007353C7" w:rsidRPr="007353C7">
        <w:t>.</w:t>
      </w:r>
      <w:r w:rsidR="00E53EFD">
        <w:t xml:space="preserve"> Submissions should be sent </w:t>
      </w:r>
      <w:r w:rsidR="00E53EFD" w:rsidRPr="00E53EFD">
        <w:rPr>
          <w:b/>
          <w:bCs/>
        </w:rPr>
        <w:t>by 31 August 2020</w:t>
      </w:r>
      <w:r w:rsidR="00E53EFD">
        <w:t xml:space="preserve"> to </w:t>
      </w:r>
      <w:hyperlink r:id="rId11" w:history="1">
        <w:r w:rsidR="00E53EFD" w:rsidRPr="000E107A">
          <w:rPr>
            <w:rStyle w:val="Hyperlink"/>
          </w:rPr>
          <w:t>wgdiscriminationwomen@ohchr.org</w:t>
        </w:r>
      </w:hyperlink>
      <w:r w:rsidR="00E53EFD">
        <w:t xml:space="preserve"> </w:t>
      </w:r>
      <w:r w:rsidR="00E53EFD" w:rsidRPr="00E53EFD">
        <w:t>and will be made public on the Working Group's web page, unless otherwise requested.</w:t>
      </w:r>
      <w:r w:rsidR="00A31315">
        <w:t xml:space="preserve"> The Working Groupd is particularly interested in receiving information about challenges faced in ensuring that women’s and girls’  sexual and reproductive rights are respected, protected and fulfilled in times of cris</w:t>
      </w:r>
      <w:r w:rsidR="00031377">
        <w:t>I</w:t>
      </w:r>
      <w:r w:rsidR="00A31315">
        <w:t>s</w:t>
      </w:r>
      <w:r w:rsidR="00031377">
        <w:t>,</w:t>
      </w:r>
      <w:r w:rsidR="00A31315">
        <w:t xml:space="preserve"> and </w:t>
      </w:r>
      <w:r w:rsidR="000A4396">
        <w:t xml:space="preserve">are </w:t>
      </w:r>
      <w:r w:rsidR="00A31315">
        <w:t>adequately priorit</w:t>
      </w:r>
      <w:r w:rsidR="000A4396">
        <w:t>ized</w:t>
      </w:r>
      <w:r w:rsidR="00031377">
        <w:t>,</w:t>
      </w:r>
      <w:r w:rsidR="00A31315">
        <w:t xml:space="preserve"> as well as </w:t>
      </w:r>
      <w:r w:rsidR="00A44B5B">
        <w:t xml:space="preserve">examples of </w:t>
      </w:r>
      <w:r w:rsidR="00A31315">
        <w:t xml:space="preserve">good practices. </w:t>
      </w:r>
    </w:p>
    <w:p w14:paraId="585ABF72" w14:textId="77777777" w:rsidR="00353D40" w:rsidRPr="00824E56" w:rsidRDefault="00353D40" w:rsidP="00353D40">
      <w:pPr>
        <w:jc w:val="center"/>
        <w:rPr>
          <w:b/>
          <w:bCs/>
          <w:u w:val="single"/>
          <w:lang w:val="en-AU"/>
        </w:rPr>
      </w:pPr>
      <w:r w:rsidRPr="00824E56">
        <w:rPr>
          <w:b/>
          <w:bCs/>
          <w:u w:val="single"/>
          <w:lang w:val="en-AU"/>
        </w:rPr>
        <w:t>Questionnaire</w:t>
      </w:r>
    </w:p>
    <w:p w14:paraId="2C6F64E9" w14:textId="77777777" w:rsidR="0047406D" w:rsidRPr="0047406D" w:rsidRDefault="00F54EE6" w:rsidP="0047406D">
      <w:pPr>
        <w:jc w:val="both"/>
        <w:rPr>
          <w:u w:val="single"/>
        </w:rPr>
      </w:pPr>
      <w:r w:rsidRPr="0047406D">
        <w:rPr>
          <w:u w:val="single"/>
        </w:rPr>
        <w:t>Concept/definition of crisis</w:t>
      </w:r>
    </w:p>
    <w:p w14:paraId="487F1915" w14:textId="77777777" w:rsidR="007B299E" w:rsidRDefault="00F61A39" w:rsidP="0047406D">
      <w:pPr>
        <w:pStyle w:val="ListParagraph"/>
        <w:numPr>
          <w:ilvl w:val="0"/>
          <w:numId w:val="9"/>
        </w:numPr>
        <w:ind w:left="709"/>
        <w:jc w:val="both"/>
      </w:pPr>
      <w:r>
        <w:t>Pl</w:t>
      </w:r>
      <w:r w:rsidR="007B299E">
        <w:t>ease provide information on</w:t>
      </w:r>
      <w:r w:rsidR="0047406D">
        <w:t xml:space="preserve"> the legal and policy framework used by your State to manage situations of crisis and on</w:t>
      </w:r>
      <w:r w:rsidR="007B299E">
        <w:t xml:space="preserve"> how the concept of “crisis” has been </w:t>
      </w:r>
      <w:r w:rsidR="00FA41F4">
        <w:t xml:space="preserve">defined or </w:t>
      </w:r>
      <w:r w:rsidR="007B299E">
        <w:t>framed</w:t>
      </w:r>
      <w:r w:rsidR="00404E5B">
        <w:t>.</w:t>
      </w:r>
      <w:r w:rsidR="007B299E">
        <w:t xml:space="preserve"> </w:t>
      </w:r>
    </w:p>
    <w:p w14:paraId="5E9FF5B5" w14:textId="77777777" w:rsidR="004B3AF4" w:rsidRDefault="004B3AF4" w:rsidP="00E92935">
      <w:pPr>
        <w:pStyle w:val="ListParagraph"/>
        <w:ind w:left="709"/>
        <w:jc w:val="both"/>
      </w:pPr>
    </w:p>
    <w:p w14:paraId="366C332E" w14:textId="3C99E0AF" w:rsidR="00EB22D6" w:rsidRDefault="00EB22D6" w:rsidP="00E9121D">
      <w:pPr>
        <w:pStyle w:val="ListParagraph"/>
        <w:ind w:left="709"/>
        <w:jc w:val="both"/>
      </w:pPr>
      <w:r w:rsidRPr="00EB22D6">
        <w:lastRenderedPageBreak/>
        <w:t>Th</w:t>
      </w:r>
      <w:r>
        <w:t>e s</w:t>
      </w:r>
      <w:r w:rsidRPr="00EB22D6">
        <w:t xml:space="preserve">tate of emergency </w:t>
      </w:r>
      <w:r w:rsidR="006658EE">
        <w:t>is</w:t>
      </w:r>
      <w:r w:rsidRPr="00EB22D6">
        <w:t xml:space="preserve"> defined in Article (110) of the Amended Basic Law of 2003, as an exceptional system defined in time and place, </w:t>
      </w:r>
      <w:r w:rsidR="006658EE">
        <w:t>which may be declared by the</w:t>
      </w:r>
      <w:r w:rsidRPr="00EB22D6">
        <w:t xml:space="preserve"> </w:t>
      </w:r>
      <w:r w:rsidR="006658EE">
        <w:t>President</w:t>
      </w:r>
      <w:r w:rsidRPr="00EB22D6">
        <w:t xml:space="preserve"> </w:t>
      </w:r>
      <w:r w:rsidR="006658EE">
        <w:t xml:space="preserve">of the State of Palestine </w:t>
      </w:r>
      <w:r w:rsidR="006658EE" w:rsidRPr="006658EE">
        <w:t xml:space="preserve">when there is a threat to </w:t>
      </w:r>
      <w:r w:rsidR="006658EE">
        <w:t xml:space="preserve">the </w:t>
      </w:r>
      <w:r w:rsidR="006658EE" w:rsidRPr="006658EE">
        <w:t>national security caused by war, invasion, armed insurrection or in times of natural disaster</w:t>
      </w:r>
      <w:r w:rsidR="006658EE">
        <w:t xml:space="preserve">. </w:t>
      </w:r>
      <w:r w:rsidR="006658EE" w:rsidRPr="006658EE">
        <w:t>The decree declaring a state of emergency shall state its purpose, the region to which it applies and its duration.</w:t>
      </w:r>
      <w:r w:rsidR="006658EE">
        <w:t xml:space="preserve"> </w:t>
      </w:r>
      <w:r w:rsidR="006658EE" w:rsidRPr="006658EE">
        <w:t xml:space="preserve">The </w:t>
      </w:r>
      <w:r w:rsidR="006658EE">
        <w:t>Parliament</w:t>
      </w:r>
      <w:r w:rsidR="006658EE" w:rsidRPr="006658EE">
        <w:t xml:space="preserve"> shall have the right to review all or some of the procedures and measures adopted during the state of emergency, at the first session convened after the declaration of the state of emergency or in the extension session, whichever comes earlier, and to conduct the necessary interpellation in this regard.</w:t>
      </w:r>
    </w:p>
    <w:p w14:paraId="201C0BBA" w14:textId="30D98950" w:rsidR="004B3AF4" w:rsidRDefault="00E9121D" w:rsidP="003A43C5">
      <w:pPr>
        <w:pStyle w:val="ListParagraph"/>
        <w:ind w:left="709"/>
        <w:jc w:val="both"/>
      </w:pPr>
      <w:r>
        <w:t xml:space="preserve">Moreover, the State of </w:t>
      </w:r>
      <w:r w:rsidR="003A43C5">
        <w:t>Palestine is</w:t>
      </w:r>
      <w:r w:rsidR="004B3AF4">
        <w:t xml:space="preserve"> preparing a system at the national level that organizes disaster risk management, reduction processes, and clarifies the responsibilities between law enforcement agencies and other relevant authorities. </w:t>
      </w:r>
      <w:r w:rsidR="002B3147">
        <w:t>The Palestinian Go</w:t>
      </w:r>
      <w:r>
        <w:t>vernment is</w:t>
      </w:r>
      <w:r w:rsidR="004B3AF4">
        <w:t xml:space="preserve"> working on a proactive approach towards disaster risk management, in </w:t>
      </w:r>
      <w:r w:rsidR="006F33D2">
        <w:t>line</w:t>
      </w:r>
      <w:r w:rsidR="004B3AF4">
        <w:t xml:space="preserve"> with policies related to climate change and sustainable development. In addition, </w:t>
      </w:r>
      <w:r w:rsidR="00A06BCE">
        <w:t>t</w:t>
      </w:r>
      <w:r w:rsidR="00A06BCE" w:rsidRPr="00A06BCE">
        <w:t>he Palestinian Government</w:t>
      </w:r>
      <w:r w:rsidR="004B3AF4">
        <w:t xml:space="preserve"> </w:t>
      </w:r>
      <w:r w:rsidR="00A06BCE">
        <w:t xml:space="preserve">is </w:t>
      </w:r>
      <w:r w:rsidR="004B3AF4">
        <w:t>working to include disaster risk management in development policies, plans, sectoral and non-sectoral programs, and budgets, and to enhance the role of marginalized groups in disaster risk management.</w:t>
      </w:r>
    </w:p>
    <w:p w14:paraId="39A201F0" w14:textId="63475D3A" w:rsidR="004B3AF4" w:rsidRDefault="00261F81" w:rsidP="004B3AF4">
      <w:pPr>
        <w:pStyle w:val="ListParagraph"/>
        <w:ind w:left="709"/>
        <w:jc w:val="both"/>
      </w:pPr>
      <w:r>
        <w:t>According to the applicable legislations</w:t>
      </w:r>
      <w:r w:rsidR="004B3AF4">
        <w:t xml:space="preserve"> the disaster </w:t>
      </w:r>
      <w:r>
        <w:t xml:space="preserve">is defined </w:t>
      </w:r>
      <w:r w:rsidR="004B3AF4">
        <w:t>as: disruption in the functioning of society or gatherings as a result of an event or phenomenon arising from natural factors or human action, or both. This includes great losses and negative effects on lives, material and economic aspects, and the environment that exceeds the ability of the affected community or urban community to confront it using their own resources.</w:t>
      </w:r>
    </w:p>
    <w:p w14:paraId="55E584BE" w14:textId="77777777" w:rsidR="00E92935" w:rsidRDefault="00E92935" w:rsidP="00E92935">
      <w:pPr>
        <w:jc w:val="both"/>
      </w:pPr>
    </w:p>
    <w:p w14:paraId="4EF21DAF" w14:textId="77777777" w:rsidR="00F54EE6" w:rsidRDefault="00910A19" w:rsidP="0047406D">
      <w:pPr>
        <w:pStyle w:val="ListParagraph"/>
        <w:numPr>
          <w:ilvl w:val="0"/>
          <w:numId w:val="9"/>
        </w:numPr>
        <w:ind w:left="709"/>
        <w:jc w:val="both"/>
      </w:pPr>
      <w:r>
        <w:t>Please list the</w:t>
      </w:r>
      <w:r w:rsidR="0047406D">
        <w:t xml:space="preserve"> </w:t>
      </w:r>
      <w:r w:rsidR="00F54EE6" w:rsidRPr="00597229">
        <w:t xml:space="preserve">type of situations </w:t>
      </w:r>
      <w:r>
        <w:t xml:space="preserve">that </w:t>
      </w:r>
      <w:r w:rsidR="0002644E">
        <w:t>would fit the concept of</w:t>
      </w:r>
      <w:r w:rsidR="00F54EE6" w:rsidRPr="00597229">
        <w:t xml:space="preserve"> “crisis” in your State</w:t>
      </w:r>
      <w:r w:rsidR="0047406D">
        <w:t xml:space="preserve"> and indicate</w:t>
      </w:r>
      <w:r w:rsidR="00F54EE6" w:rsidRPr="00597229">
        <w:t xml:space="preserve"> </w:t>
      </w:r>
      <w:r w:rsidR="0047406D">
        <w:t>w</w:t>
      </w:r>
      <w:r w:rsidR="00F54EE6" w:rsidRPr="00597229">
        <w:t>hat situations are excluded</w:t>
      </w:r>
      <w:r w:rsidR="0047406D">
        <w:t>.</w:t>
      </w:r>
      <w:r w:rsidR="007B299E">
        <w:t xml:space="preserve"> </w:t>
      </w:r>
    </w:p>
    <w:p w14:paraId="51017D93" w14:textId="77777777" w:rsidR="003C5CF3" w:rsidRDefault="003F7A03" w:rsidP="003C5CF3">
      <w:pPr>
        <w:pStyle w:val="ListParagraph"/>
        <w:numPr>
          <w:ilvl w:val="0"/>
          <w:numId w:val="25"/>
        </w:numPr>
        <w:jc w:val="both"/>
      </w:pPr>
      <w:r>
        <w:t xml:space="preserve">Israeli occupation and its systematic </w:t>
      </w:r>
      <w:r w:rsidR="009E0C4E">
        <w:t>violations of Human R</w:t>
      </w:r>
      <w:r w:rsidR="0029170E">
        <w:t xml:space="preserve">ights, </w:t>
      </w:r>
      <w:r w:rsidR="000C4312">
        <w:t>as Palestinian women and girls suffer from the daily systematic and widespread violations of their fundamental rights, including the right to life and survival, the right to health, the right to education, the right to self-determination and the right of return, in violation of international law, including international human rights law, international humanitarian law, and relevant United Nations resolutions.</w:t>
      </w:r>
    </w:p>
    <w:p w14:paraId="654E9422" w14:textId="74B1D67C" w:rsidR="00CF0064" w:rsidRDefault="003C5CF3" w:rsidP="003C5CF3">
      <w:pPr>
        <w:pStyle w:val="ListParagraph"/>
        <w:ind w:left="1440"/>
        <w:jc w:val="both"/>
      </w:pPr>
      <w:r>
        <w:t>Palestinian</w:t>
      </w:r>
      <w:r w:rsidR="000C4312">
        <w:t xml:space="preserve"> women and girls are exposed to and the target of illegal policies such as extrajudicial killings and injury, home demolitions, confiscation of land, destruction of property, forced displacement, arrest and arbitrary detention, harassment and settlers’ terrorism.</w:t>
      </w:r>
    </w:p>
    <w:p w14:paraId="3A580F7B" w14:textId="7839E35E" w:rsidR="003C5CF3" w:rsidRDefault="0086275E" w:rsidP="003C5CF3">
      <w:pPr>
        <w:pStyle w:val="ListParagraph"/>
        <w:numPr>
          <w:ilvl w:val="0"/>
          <w:numId w:val="25"/>
        </w:numPr>
        <w:jc w:val="both"/>
      </w:pPr>
      <w:r>
        <w:t xml:space="preserve">The </w:t>
      </w:r>
      <w:r w:rsidR="0071535B">
        <w:t>recent COVID</w:t>
      </w:r>
      <w:r>
        <w:t xml:space="preserve">-19 Pandemic. </w:t>
      </w:r>
    </w:p>
    <w:p w14:paraId="657E538C" w14:textId="77777777" w:rsidR="003C5CF3" w:rsidRDefault="003C5CF3" w:rsidP="003C5CF3">
      <w:pPr>
        <w:pStyle w:val="ListParagraph"/>
        <w:ind w:left="1440"/>
        <w:jc w:val="both"/>
      </w:pPr>
    </w:p>
    <w:p w14:paraId="72B6968B" w14:textId="77777777" w:rsidR="000C4312" w:rsidRDefault="000C4312" w:rsidP="000C4312">
      <w:pPr>
        <w:pStyle w:val="ListParagraph"/>
        <w:ind w:left="1170"/>
        <w:jc w:val="both"/>
      </w:pPr>
    </w:p>
    <w:p w14:paraId="3969A15C" w14:textId="77777777" w:rsidR="00F61A39" w:rsidRDefault="00F61A39" w:rsidP="0047406D">
      <w:pPr>
        <w:pStyle w:val="ListParagraph"/>
        <w:numPr>
          <w:ilvl w:val="0"/>
          <w:numId w:val="9"/>
        </w:numPr>
        <w:ind w:left="709"/>
        <w:jc w:val="both"/>
      </w:pPr>
      <w:r>
        <w:t>What institutional mechanisms are in place for managing a crisis and how are priorities determined?</w:t>
      </w:r>
    </w:p>
    <w:p w14:paraId="62FB9852" w14:textId="06294AF8" w:rsidR="00E92935" w:rsidRDefault="00023C7A" w:rsidP="007E22B5">
      <w:pPr>
        <w:pStyle w:val="ListParagraph"/>
        <w:ind w:left="709"/>
        <w:jc w:val="both"/>
        <w:rPr>
          <w:lang w:bidi="ar-AE"/>
        </w:rPr>
      </w:pPr>
      <w:r>
        <w:rPr>
          <w:lang w:bidi="ar-AE"/>
        </w:rPr>
        <w:t xml:space="preserve">During the Coronavirus crisis, the President of the State of Palestine has declared the state of emergency as explained above. </w:t>
      </w:r>
      <w:r w:rsidR="00E92935">
        <w:rPr>
          <w:lang w:bidi="ar-AE"/>
        </w:rPr>
        <w:t>A National Health Emergency C</w:t>
      </w:r>
      <w:r w:rsidR="00E92935" w:rsidRPr="00E92935">
        <w:rPr>
          <w:lang w:bidi="ar-AE"/>
        </w:rPr>
        <w:t>ommittee</w:t>
      </w:r>
      <w:r w:rsidR="00964E53">
        <w:rPr>
          <w:lang w:bidi="ar-AE"/>
        </w:rPr>
        <w:t>,</w:t>
      </w:r>
      <w:r w:rsidR="00E92935" w:rsidRPr="00E92935">
        <w:rPr>
          <w:lang w:bidi="ar-AE"/>
        </w:rPr>
        <w:t xml:space="preserve"> </w:t>
      </w:r>
      <w:r w:rsidR="00964E53" w:rsidRPr="00E92935">
        <w:rPr>
          <w:lang w:bidi="ar-AE"/>
        </w:rPr>
        <w:t>headed by the Ministry of Health (MoH) including a platform for the private sector</w:t>
      </w:r>
      <w:r w:rsidR="00964E53">
        <w:rPr>
          <w:lang w:bidi="ar-AE"/>
        </w:rPr>
        <w:t>,</w:t>
      </w:r>
      <w:r w:rsidR="00964E53" w:rsidRPr="00E92935">
        <w:rPr>
          <w:lang w:bidi="ar-AE"/>
        </w:rPr>
        <w:t xml:space="preserve"> </w:t>
      </w:r>
      <w:r w:rsidR="00E92935" w:rsidRPr="00E92935">
        <w:rPr>
          <w:lang w:bidi="ar-AE"/>
        </w:rPr>
        <w:t>was established</w:t>
      </w:r>
      <w:r w:rsidR="00964E53">
        <w:rPr>
          <w:lang w:bidi="ar-AE"/>
        </w:rPr>
        <w:t xml:space="preserve"> </w:t>
      </w:r>
      <w:r w:rsidR="00E92935" w:rsidRPr="00E92935">
        <w:rPr>
          <w:lang w:bidi="ar-AE"/>
        </w:rPr>
        <w:t>to confront the Corona</w:t>
      </w:r>
      <w:r w:rsidR="003068D1">
        <w:rPr>
          <w:lang w:bidi="ar-AE"/>
        </w:rPr>
        <w:t>virus</w:t>
      </w:r>
      <w:r w:rsidR="00E92935" w:rsidRPr="00E92935">
        <w:rPr>
          <w:lang w:bidi="ar-AE"/>
        </w:rPr>
        <w:t xml:space="preserve"> </w:t>
      </w:r>
      <w:r w:rsidR="00964E53">
        <w:rPr>
          <w:lang w:bidi="ar-AE"/>
        </w:rPr>
        <w:t>crisis</w:t>
      </w:r>
      <w:r w:rsidR="00E92935" w:rsidRPr="00E92935">
        <w:rPr>
          <w:lang w:bidi="ar-AE"/>
        </w:rPr>
        <w:t>. A confr</w:t>
      </w:r>
      <w:r w:rsidR="007E22B5">
        <w:rPr>
          <w:lang w:bidi="ar-AE"/>
        </w:rPr>
        <w:t xml:space="preserve">ontation plan has been drawn up, </w:t>
      </w:r>
      <w:r>
        <w:rPr>
          <w:lang w:bidi="ar-AE"/>
        </w:rPr>
        <w:t>including</w:t>
      </w:r>
      <w:r w:rsidR="00E92935" w:rsidRPr="00E92935">
        <w:rPr>
          <w:lang w:bidi="ar-AE"/>
        </w:rPr>
        <w:t xml:space="preserve"> </w:t>
      </w:r>
      <w:r w:rsidR="007E22B5">
        <w:rPr>
          <w:lang w:bidi="ar-AE"/>
        </w:rPr>
        <w:t>emergency</w:t>
      </w:r>
      <w:r w:rsidR="00E92935" w:rsidRPr="00E92935">
        <w:rPr>
          <w:lang w:bidi="ar-AE"/>
        </w:rPr>
        <w:t xml:space="preserve"> plans at the level of public administrations, hospitals and primary health care centers. </w:t>
      </w:r>
      <w:r w:rsidR="007E22B5" w:rsidRPr="007E22B5">
        <w:rPr>
          <w:lang w:bidi="ar-AE"/>
        </w:rPr>
        <w:t xml:space="preserve">Regular committee sessions are held to continuously assess the existing situation and modify </w:t>
      </w:r>
      <w:r w:rsidR="007E22B5">
        <w:rPr>
          <w:lang w:bidi="ar-AE"/>
        </w:rPr>
        <w:t xml:space="preserve">the </w:t>
      </w:r>
      <w:r w:rsidR="007E22B5" w:rsidRPr="007E22B5">
        <w:rPr>
          <w:lang w:bidi="ar-AE"/>
        </w:rPr>
        <w:t>executive plans as needed.</w:t>
      </w:r>
    </w:p>
    <w:p w14:paraId="4230C64F" w14:textId="6C0D7388" w:rsidR="004B3AF4" w:rsidRDefault="003C6123" w:rsidP="00964E53">
      <w:pPr>
        <w:pStyle w:val="ListParagraph"/>
        <w:ind w:left="709"/>
        <w:jc w:val="both"/>
        <w:rPr>
          <w:lang w:bidi="ar-AE"/>
        </w:rPr>
      </w:pPr>
      <w:r>
        <w:rPr>
          <w:lang w:bidi="ar-AE"/>
        </w:rPr>
        <w:t xml:space="preserve"> </w:t>
      </w:r>
    </w:p>
    <w:p w14:paraId="4627484C" w14:textId="5B162622" w:rsidR="003C6123" w:rsidRDefault="003C6123" w:rsidP="00964E53">
      <w:pPr>
        <w:pStyle w:val="ListParagraph"/>
        <w:ind w:left="709"/>
        <w:jc w:val="both"/>
        <w:rPr>
          <w:lang w:bidi="ar-AE"/>
        </w:rPr>
      </w:pPr>
      <w:r>
        <w:rPr>
          <w:lang w:bidi="ar-AE"/>
        </w:rPr>
        <w:t>In addition, the Palestinian government has taken the following measures:</w:t>
      </w:r>
    </w:p>
    <w:p w14:paraId="67802753" w14:textId="34695242" w:rsidR="00C91E79" w:rsidRDefault="00C91E79" w:rsidP="003C6123">
      <w:pPr>
        <w:pStyle w:val="ListParagraph"/>
        <w:numPr>
          <w:ilvl w:val="0"/>
          <w:numId w:val="25"/>
        </w:numPr>
        <w:jc w:val="both"/>
        <w:rPr>
          <w:lang w:bidi="ar-AE"/>
        </w:rPr>
      </w:pPr>
      <w:r>
        <w:rPr>
          <w:lang w:bidi="ar-AE"/>
        </w:rPr>
        <w:t>Health</w:t>
      </w:r>
      <w:r w:rsidR="0039468F">
        <w:rPr>
          <w:lang w:bidi="ar-AE"/>
        </w:rPr>
        <w:t xml:space="preserve"> Care</w:t>
      </w:r>
      <w:r w:rsidR="00F41ACC">
        <w:rPr>
          <w:lang w:bidi="ar-AE"/>
        </w:rPr>
        <w:t xml:space="preserve"> measures</w:t>
      </w:r>
      <w:r>
        <w:rPr>
          <w:lang w:bidi="ar-AE"/>
        </w:rPr>
        <w:t xml:space="preserve">: </w:t>
      </w:r>
    </w:p>
    <w:p w14:paraId="3A718686" w14:textId="20260984" w:rsidR="00C91E79" w:rsidRDefault="00C91E79" w:rsidP="00C91E79">
      <w:pPr>
        <w:pStyle w:val="ListParagraph"/>
        <w:numPr>
          <w:ilvl w:val="1"/>
          <w:numId w:val="16"/>
        </w:numPr>
        <w:jc w:val="both"/>
        <w:rPr>
          <w:lang w:bidi="ar-AE"/>
        </w:rPr>
      </w:pPr>
      <w:r>
        <w:rPr>
          <w:lang w:bidi="ar-AE"/>
        </w:rPr>
        <w:lastRenderedPageBreak/>
        <w:t>Reopening of the productive health clinics and findi</w:t>
      </w:r>
      <w:r w:rsidR="00294F9A">
        <w:rPr>
          <w:lang w:bidi="ar-AE"/>
        </w:rPr>
        <w:t>ng alternatives to monitor them.</w:t>
      </w:r>
    </w:p>
    <w:p w14:paraId="3042A7AF" w14:textId="7A69021D" w:rsidR="00C91E79" w:rsidRDefault="00294F9A" w:rsidP="00C91E79">
      <w:pPr>
        <w:pStyle w:val="ListParagraph"/>
        <w:numPr>
          <w:ilvl w:val="1"/>
          <w:numId w:val="16"/>
        </w:numPr>
        <w:jc w:val="both"/>
        <w:rPr>
          <w:lang w:bidi="ar-AE"/>
        </w:rPr>
      </w:pPr>
      <w:r>
        <w:rPr>
          <w:lang w:bidi="ar-AE"/>
        </w:rPr>
        <w:t>Providing p</w:t>
      </w:r>
      <w:r w:rsidR="00C91E79">
        <w:rPr>
          <w:lang w:bidi="ar-AE"/>
        </w:rPr>
        <w:t xml:space="preserve">sychological and social counselling and support for 1410 persons through </w:t>
      </w:r>
      <w:r>
        <w:rPr>
          <w:lang w:bidi="ar-AE"/>
        </w:rPr>
        <w:t>“</w:t>
      </w:r>
      <w:r w:rsidR="00C91E79">
        <w:rPr>
          <w:lang w:bidi="ar-AE"/>
        </w:rPr>
        <w:t>Tawasol centers</w:t>
      </w:r>
      <w:r>
        <w:rPr>
          <w:lang w:bidi="ar-AE"/>
        </w:rPr>
        <w:t>”</w:t>
      </w:r>
      <w:r w:rsidR="00C91E79">
        <w:rPr>
          <w:lang w:bidi="ar-AE"/>
        </w:rPr>
        <w:t xml:space="preserve"> and psychological health committees</w:t>
      </w:r>
      <w:r>
        <w:rPr>
          <w:lang w:bidi="ar-AE"/>
        </w:rPr>
        <w:t>.</w:t>
      </w:r>
      <w:r w:rsidR="00C91E79">
        <w:rPr>
          <w:lang w:bidi="ar-AE"/>
        </w:rPr>
        <w:t xml:space="preserve"> </w:t>
      </w:r>
    </w:p>
    <w:p w14:paraId="0827B8B9" w14:textId="4ABDD79F" w:rsidR="00C91E79" w:rsidRDefault="00C91E79" w:rsidP="00C91E79">
      <w:pPr>
        <w:pStyle w:val="ListParagraph"/>
        <w:numPr>
          <w:ilvl w:val="1"/>
          <w:numId w:val="16"/>
        </w:numPr>
        <w:jc w:val="both"/>
        <w:rPr>
          <w:lang w:bidi="ar-AE"/>
        </w:rPr>
      </w:pPr>
      <w:r>
        <w:rPr>
          <w:lang w:bidi="ar-AE"/>
        </w:rPr>
        <w:t>Providing sex disaggregated data via the online platform that track</w:t>
      </w:r>
      <w:r w:rsidR="00294F9A">
        <w:rPr>
          <w:lang w:bidi="ar-AE"/>
        </w:rPr>
        <w:t>s</w:t>
      </w:r>
      <w:r>
        <w:rPr>
          <w:lang w:bidi="ar-AE"/>
        </w:rPr>
        <w:t xml:space="preserve"> COVID</w:t>
      </w:r>
      <w:r w:rsidR="00294F9A">
        <w:rPr>
          <w:lang w:bidi="ar-AE"/>
        </w:rPr>
        <w:t>-19</w:t>
      </w:r>
      <w:r>
        <w:rPr>
          <w:lang w:bidi="ar-AE"/>
        </w:rPr>
        <w:t xml:space="preserve"> reported cases</w:t>
      </w:r>
      <w:r w:rsidR="00294F9A">
        <w:rPr>
          <w:lang w:bidi="ar-AE"/>
        </w:rPr>
        <w:t>.</w:t>
      </w:r>
    </w:p>
    <w:p w14:paraId="76E64401" w14:textId="2B493276" w:rsidR="00C91E79" w:rsidRDefault="00C91E79" w:rsidP="00C91E79">
      <w:pPr>
        <w:pStyle w:val="ListParagraph"/>
        <w:numPr>
          <w:ilvl w:val="1"/>
          <w:numId w:val="16"/>
        </w:numPr>
        <w:jc w:val="both"/>
        <w:rPr>
          <w:lang w:bidi="ar-AE"/>
        </w:rPr>
      </w:pPr>
      <w:r>
        <w:rPr>
          <w:lang w:bidi="ar-AE"/>
        </w:rPr>
        <w:t xml:space="preserve">Preparing special rooms for abused women </w:t>
      </w:r>
      <w:r w:rsidR="00294F9A">
        <w:rPr>
          <w:lang w:bidi="ar-AE"/>
        </w:rPr>
        <w:t xml:space="preserve">and girls </w:t>
      </w:r>
      <w:r>
        <w:rPr>
          <w:lang w:bidi="ar-AE"/>
        </w:rPr>
        <w:t>in the governorates</w:t>
      </w:r>
      <w:r w:rsidR="00294F9A">
        <w:rPr>
          <w:lang w:bidi="ar-AE"/>
        </w:rPr>
        <w:t>.</w:t>
      </w:r>
      <w:r>
        <w:rPr>
          <w:lang w:bidi="ar-AE"/>
        </w:rPr>
        <w:t xml:space="preserve"> </w:t>
      </w:r>
    </w:p>
    <w:p w14:paraId="11252290" w14:textId="77777777" w:rsidR="00C91E79" w:rsidRDefault="00C91E79" w:rsidP="00C91E79">
      <w:pPr>
        <w:pStyle w:val="ListParagraph"/>
        <w:ind w:left="709"/>
        <w:jc w:val="both"/>
        <w:rPr>
          <w:lang w:bidi="ar-AE"/>
        </w:rPr>
      </w:pPr>
    </w:p>
    <w:p w14:paraId="5FF68215" w14:textId="478584D1" w:rsidR="00C91E79" w:rsidRDefault="00C91E79" w:rsidP="00294F9A">
      <w:pPr>
        <w:pStyle w:val="ListParagraph"/>
        <w:numPr>
          <w:ilvl w:val="0"/>
          <w:numId w:val="25"/>
        </w:numPr>
        <w:jc w:val="both"/>
        <w:rPr>
          <w:lang w:bidi="ar-AE"/>
        </w:rPr>
      </w:pPr>
      <w:r>
        <w:rPr>
          <w:lang w:bidi="ar-AE"/>
        </w:rPr>
        <w:t>Social protection</w:t>
      </w:r>
      <w:r w:rsidR="00F41ACC">
        <w:rPr>
          <w:lang w:bidi="ar-AE"/>
        </w:rPr>
        <w:t xml:space="preserve"> measures</w:t>
      </w:r>
      <w:r>
        <w:rPr>
          <w:lang w:bidi="ar-AE"/>
        </w:rPr>
        <w:t xml:space="preserve">: </w:t>
      </w:r>
    </w:p>
    <w:p w14:paraId="2781BD69" w14:textId="28507C72" w:rsidR="00C91E79" w:rsidRDefault="00C91E79" w:rsidP="00535674">
      <w:pPr>
        <w:pStyle w:val="ListParagraph"/>
        <w:numPr>
          <w:ilvl w:val="1"/>
          <w:numId w:val="16"/>
        </w:numPr>
        <w:jc w:val="both"/>
        <w:rPr>
          <w:lang w:bidi="ar-AE"/>
        </w:rPr>
      </w:pPr>
      <w:r>
        <w:rPr>
          <w:lang w:bidi="ar-AE"/>
        </w:rPr>
        <w:t xml:space="preserve">In </w:t>
      </w:r>
      <w:r w:rsidR="00535674">
        <w:rPr>
          <w:lang w:bidi="ar-AE"/>
        </w:rPr>
        <w:t>cooperation with</w:t>
      </w:r>
      <w:r>
        <w:rPr>
          <w:lang w:bidi="ar-AE"/>
        </w:rPr>
        <w:t xml:space="preserve"> </w:t>
      </w:r>
      <w:r w:rsidR="00535674">
        <w:rPr>
          <w:lang w:bidi="ar-AE"/>
        </w:rPr>
        <w:t>the Ministry of Women’s Affairs,</w:t>
      </w:r>
      <w:r>
        <w:rPr>
          <w:lang w:bidi="ar-AE"/>
        </w:rPr>
        <w:t xml:space="preserve"> the Ministry of Social Development, </w:t>
      </w:r>
      <w:r w:rsidR="00535674">
        <w:rPr>
          <w:lang w:bidi="ar-AE"/>
        </w:rPr>
        <w:t xml:space="preserve">the Ministry of </w:t>
      </w:r>
      <w:r>
        <w:rPr>
          <w:lang w:bidi="ar-AE"/>
        </w:rPr>
        <w:t xml:space="preserve">Health, </w:t>
      </w:r>
      <w:r w:rsidR="00535674">
        <w:rPr>
          <w:lang w:bidi="ar-AE"/>
        </w:rPr>
        <w:t xml:space="preserve">the </w:t>
      </w:r>
      <w:r>
        <w:rPr>
          <w:lang w:bidi="ar-AE"/>
        </w:rPr>
        <w:t xml:space="preserve">Police, </w:t>
      </w:r>
      <w:r w:rsidR="00535674">
        <w:rPr>
          <w:lang w:bidi="ar-AE"/>
        </w:rPr>
        <w:t xml:space="preserve">the Governorates, the </w:t>
      </w:r>
      <w:r>
        <w:rPr>
          <w:lang w:bidi="ar-AE"/>
        </w:rPr>
        <w:t xml:space="preserve">Protection Centers and </w:t>
      </w:r>
      <w:r w:rsidR="00535674">
        <w:rPr>
          <w:lang w:bidi="ar-AE"/>
        </w:rPr>
        <w:t xml:space="preserve">the </w:t>
      </w:r>
      <w:r>
        <w:rPr>
          <w:lang w:bidi="ar-AE"/>
        </w:rPr>
        <w:t xml:space="preserve">civil society </w:t>
      </w:r>
      <w:r w:rsidR="00535674">
        <w:rPr>
          <w:lang w:bidi="ar-AE"/>
        </w:rPr>
        <w:t>organisations</w:t>
      </w:r>
      <w:r>
        <w:rPr>
          <w:lang w:bidi="ar-AE"/>
        </w:rPr>
        <w:t xml:space="preserve">, 14 procedures were approved, adopted, and followed to transform women victims of violence during the </w:t>
      </w:r>
      <w:r w:rsidR="00535674">
        <w:rPr>
          <w:lang w:bidi="ar-AE"/>
        </w:rPr>
        <w:t xml:space="preserve">state of </w:t>
      </w:r>
      <w:r>
        <w:rPr>
          <w:lang w:bidi="ar-AE"/>
        </w:rPr>
        <w:t xml:space="preserve">emergency. </w:t>
      </w:r>
    </w:p>
    <w:p w14:paraId="374C26EF" w14:textId="790ECDBF" w:rsidR="00C91E79" w:rsidRDefault="00C91E79" w:rsidP="00C91E79">
      <w:pPr>
        <w:pStyle w:val="ListParagraph"/>
        <w:numPr>
          <w:ilvl w:val="1"/>
          <w:numId w:val="16"/>
        </w:numPr>
        <w:jc w:val="both"/>
        <w:rPr>
          <w:lang w:bidi="ar-AE"/>
        </w:rPr>
      </w:pPr>
      <w:r>
        <w:rPr>
          <w:lang w:bidi="ar-AE"/>
        </w:rPr>
        <w:t xml:space="preserve">Providing counseling and psychological assistance to 887 cases from the </w:t>
      </w:r>
      <w:r w:rsidR="00535674">
        <w:rPr>
          <w:lang w:bidi="ar-AE"/>
        </w:rPr>
        <w:t xml:space="preserve">different </w:t>
      </w:r>
      <w:r>
        <w:rPr>
          <w:lang w:bidi="ar-AE"/>
        </w:rPr>
        <w:t>governorates through innovative technologies</w:t>
      </w:r>
      <w:r w:rsidR="00535674">
        <w:rPr>
          <w:lang w:bidi="ar-AE"/>
        </w:rPr>
        <w:t>.</w:t>
      </w:r>
    </w:p>
    <w:p w14:paraId="5FA005EF" w14:textId="67018C7A" w:rsidR="00C91E79" w:rsidRDefault="00C91E79" w:rsidP="009204AC">
      <w:pPr>
        <w:pStyle w:val="ListParagraph"/>
        <w:numPr>
          <w:ilvl w:val="1"/>
          <w:numId w:val="16"/>
        </w:numPr>
        <w:jc w:val="both"/>
        <w:rPr>
          <w:lang w:bidi="ar-AE"/>
        </w:rPr>
      </w:pPr>
      <w:r>
        <w:rPr>
          <w:lang w:bidi="ar-AE"/>
        </w:rPr>
        <w:t xml:space="preserve">Proposing a plan to </w:t>
      </w:r>
      <w:r w:rsidR="00535674">
        <w:rPr>
          <w:lang w:bidi="ar-AE"/>
        </w:rPr>
        <w:t>enhance the role of</w:t>
      </w:r>
      <w:r>
        <w:rPr>
          <w:lang w:bidi="ar-AE"/>
        </w:rPr>
        <w:t xml:space="preserve"> protection centers and the centers </w:t>
      </w:r>
      <w:r w:rsidR="00535674">
        <w:rPr>
          <w:lang w:bidi="ar-AE"/>
        </w:rPr>
        <w:t>for</w:t>
      </w:r>
      <w:r w:rsidR="009204AC">
        <w:rPr>
          <w:lang w:bidi="ar-AE"/>
        </w:rPr>
        <w:t xml:space="preserve"> dangerous cases, and to improve the services provided by them. </w:t>
      </w:r>
    </w:p>
    <w:p w14:paraId="6A364663" w14:textId="77777777" w:rsidR="00F41ACC" w:rsidRDefault="00F41ACC" w:rsidP="00F41ACC">
      <w:pPr>
        <w:pStyle w:val="ListParagraph"/>
        <w:ind w:left="1810"/>
        <w:jc w:val="both"/>
        <w:rPr>
          <w:lang w:bidi="ar-AE"/>
        </w:rPr>
      </w:pPr>
    </w:p>
    <w:p w14:paraId="20BD10FD" w14:textId="103084A2" w:rsidR="00C91E79" w:rsidRDefault="00F41ACC" w:rsidP="00F41ACC">
      <w:pPr>
        <w:pStyle w:val="ListParagraph"/>
        <w:numPr>
          <w:ilvl w:val="0"/>
          <w:numId w:val="25"/>
        </w:numPr>
        <w:jc w:val="both"/>
        <w:rPr>
          <w:lang w:bidi="ar-AE"/>
        </w:rPr>
      </w:pPr>
      <w:r>
        <w:rPr>
          <w:lang w:bidi="ar-AE"/>
        </w:rPr>
        <w:t xml:space="preserve">Establishing </w:t>
      </w:r>
      <w:r w:rsidR="00C91E79">
        <w:rPr>
          <w:lang w:bidi="ar-AE"/>
        </w:rPr>
        <w:t>E</w:t>
      </w:r>
      <w:r>
        <w:rPr>
          <w:lang w:bidi="ar-AE"/>
        </w:rPr>
        <w:t>mergency Committees</w:t>
      </w:r>
      <w:r w:rsidR="00C91E79">
        <w:rPr>
          <w:lang w:bidi="ar-AE"/>
        </w:rPr>
        <w:t xml:space="preserve">: </w:t>
      </w:r>
    </w:p>
    <w:p w14:paraId="10416F56" w14:textId="53BBA50F" w:rsidR="00C91E79" w:rsidRDefault="00883943" w:rsidP="00883943">
      <w:pPr>
        <w:pStyle w:val="ListParagraph"/>
        <w:numPr>
          <w:ilvl w:val="0"/>
          <w:numId w:val="20"/>
        </w:numPr>
        <w:jc w:val="both"/>
        <w:rPr>
          <w:lang w:bidi="ar-AE"/>
        </w:rPr>
      </w:pPr>
      <w:r>
        <w:rPr>
          <w:lang w:bidi="ar-AE"/>
        </w:rPr>
        <w:t>In cooperation with</w:t>
      </w:r>
      <w:r w:rsidR="00C91E79">
        <w:rPr>
          <w:lang w:bidi="ar-AE"/>
        </w:rPr>
        <w:t xml:space="preserve"> the Ministry of Women’s Affairs </w:t>
      </w:r>
      <w:r>
        <w:rPr>
          <w:lang w:bidi="ar-AE"/>
        </w:rPr>
        <w:t xml:space="preserve">and </w:t>
      </w:r>
      <w:r w:rsidR="00C91E79">
        <w:rPr>
          <w:lang w:bidi="ar-AE"/>
        </w:rPr>
        <w:t xml:space="preserve">the Governmental institutions,  </w:t>
      </w:r>
      <w:r>
        <w:rPr>
          <w:lang w:bidi="ar-AE"/>
        </w:rPr>
        <w:t xml:space="preserve">the </w:t>
      </w:r>
      <w:r w:rsidR="00C91E79">
        <w:rPr>
          <w:lang w:bidi="ar-AE"/>
        </w:rPr>
        <w:t xml:space="preserve">security forces and the civil society </w:t>
      </w:r>
      <w:r>
        <w:rPr>
          <w:lang w:bidi="ar-AE"/>
        </w:rPr>
        <w:t>organisations, an emergency plan has been developed to confront  the Coronav</w:t>
      </w:r>
      <w:r w:rsidR="00C91E79">
        <w:rPr>
          <w:lang w:bidi="ar-AE"/>
        </w:rPr>
        <w:t>irus</w:t>
      </w:r>
      <w:r>
        <w:rPr>
          <w:lang w:bidi="ar-AE"/>
        </w:rPr>
        <w:t xml:space="preserve"> crisis</w:t>
      </w:r>
      <w:r w:rsidR="00C91E79">
        <w:rPr>
          <w:lang w:bidi="ar-AE"/>
        </w:rPr>
        <w:t xml:space="preserve">. </w:t>
      </w:r>
    </w:p>
    <w:p w14:paraId="3958FD46" w14:textId="3FA55381" w:rsidR="00C91E79" w:rsidRDefault="00C91E79" w:rsidP="00C91E79">
      <w:pPr>
        <w:pStyle w:val="ListParagraph"/>
        <w:numPr>
          <w:ilvl w:val="0"/>
          <w:numId w:val="20"/>
        </w:numPr>
        <w:jc w:val="both"/>
        <w:rPr>
          <w:lang w:bidi="ar-AE"/>
        </w:rPr>
      </w:pPr>
      <w:r>
        <w:rPr>
          <w:lang w:bidi="ar-AE"/>
        </w:rPr>
        <w:t xml:space="preserve">Involving the security forces advisory committee in the emergency operations. </w:t>
      </w:r>
    </w:p>
    <w:p w14:paraId="25F947C3" w14:textId="5FEEDDB0" w:rsidR="00C91E79" w:rsidRDefault="00C91E79" w:rsidP="004B4A6E">
      <w:pPr>
        <w:pStyle w:val="ListParagraph"/>
        <w:numPr>
          <w:ilvl w:val="0"/>
          <w:numId w:val="20"/>
        </w:numPr>
        <w:jc w:val="both"/>
        <w:rPr>
          <w:lang w:bidi="ar-AE"/>
        </w:rPr>
      </w:pPr>
      <w:r>
        <w:rPr>
          <w:lang w:bidi="ar-AE"/>
        </w:rPr>
        <w:t xml:space="preserve">Involving </w:t>
      </w:r>
      <w:r w:rsidR="004B4A6E">
        <w:rPr>
          <w:lang w:bidi="ar-AE"/>
        </w:rPr>
        <w:t>“</w:t>
      </w:r>
      <w:r>
        <w:rPr>
          <w:lang w:bidi="ar-AE"/>
        </w:rPr>
        <w:t>Tawasol Centers</w:t>
      </w:r>
      <w:r w:rsidR="004B4A6E">
        <w:rPr>
          <w:lang w:bidi="ar-AE"/>
        </w:rPr>
        <w:t>”</w:t>
      </w:r>
      <w:r>
        <w:rPr>
          <w:lang w:bidi="ar-AE"/>
        </w:rPr>
        <w:t xml:space="preserve"> </w:t>
      </w:r>
      <w:r w:rsidR="004B4A6E">
        <w:rPr>
          <w:lang w:bidi="ar-AE"/>
        </w:rPr>
        <w:t>of</w:t>
      </w:r>
      <w:r>
        <w:rPr>
          <w:lang w:bidi="ar-AE"/>
        </w:rPr>
        <w:t xml:space="preserve"> </w:t>
      </w:r>
      <w:r w:rsidR="004B4A6E">
        <w:rPr>
          <w:lang w:bidi="ar-AE"/>
        </w:rPr>
        <w:t xml:space="preserve">the different </w:t>
      </w:r>
      <w:r>
        <w:rPr>
          <w:lang w:bidi="ar-AE"/>
        </w:rPr>
        <w:t>governor</w:t>
      </w:r>
      <w:r w:rsidR="004B4A6E">
        <w:rPr>
          <w:lang w:bidi="ar-AE"/>
        </w:rPr>
        <w:t>ates in the emergency groups (</w:t>
      </w:r>
      <w:r>
        <w:rPr>
          <w:lang w:bidi="ar-AE"/>
        </w:rPr>
        <w:t>17 centers in the N</w:t>
      </w:r>
      <w:r w:rsidR="004B4A6E">
        <w:rPr>
          <w:lang w:bidi="ar-AE"/>
        </w:rPr>
        <w:t>orthern &amp; Southern Governorates</w:t>
      </w:r>
      <w:r>
        <w:rPr>
          <w:lang w:bidi="ar-AE"/>
        </w:rPr>
        <w:t xml:space="preserve">) . </w:t>
      </w:r>
    </w:p>
    <w:p w14:paraId="6742DBCE" w14:textId="7E9A9643" w:rsidR="00C91E79" w:rsidRDefault="00C91E79" w:rsidP="004B4A6E">
      <w:pPr>
        <w:pStyle w:val="ListParagraph"/>
        <w:numPr>
          <w:ilvl w:val="0"/>
          <w:numId w:val="20"/>
        </w:numPr>
        <w:jc w:val="both"/>
        <w:rPr>
          <w:lang w:bidi="ar-AE"/>
        </w:rPr>
      </w:pPr>
      <w:r>
        <w:rPr>
          <w:lang w:bidi="ar-AE"/>
        </w:rPr>
        <w:t xml:space="preserve">Creating groups on WhatsApp </w:t>
      </w:r>
      <w:r w:rsidR="004B4A6E">
        <w:rPr>
          <w:lang w:bidi="ar-AE"/>
        </w:rPr>
        <w:t>for</w:t>
      </w:r>
      <w:r>
        <w:rPr>
          <w:lang w:bidi="ar-AE"/>
        </w:rPr>
        <w:t xml:space="preserve"> the families</w:t>
      </w:r>
      <w:r w:rsidR="004B4A6E">
        <w:rPr>
          <w:lang w:bidi="ar-AE"/>
        </w:rPr>
        <w:t xml:space="preserve"> in need,</w:t>
      </w:r>
      <w:r>
        <w:rPr>
          <w:lang w:bidi="ar-AE"/>
        </w:rPr>
        <w:t xml:space="preserve"> </w:t>
      </w:r>
      <w:r w:rsidR="004B4A6E">
        <w:rPr>
          <w:lang w:bidi="ar-AE"/>
        </w:rPr>
        <w:t>in order to provide them with the necessary services</w:t>
      </w:r>
      <w:r>
        <w:rPr>
          <w:lang w:bidi="ar-AE"/>
        </w:rPr>
        <w:t xml:space="preserve">. </w:t>
      </w:r>
    </w:p>
    <w:p w14:paraId="0AF7511F" w14:textId="77777777" w:rsidR="00C91E79" w:rsidRDefault="00C91E79" w:rsidP="00C91E79">
      <w:pPr>
        <w:pStyle w:val="ListParagraph"/>
        <w:ind w:left="709"/>
        <w:jc w:val="both"/>
        <w:rPr>
          <w:lang w:bidi="ar-AE"/>
        </w:rPr>
      </w:pPr>
    </w:p>
    <w:p w14:paraId="4CEFB939" w14:textId="77777777" w:rsidR="00C91E79" w:rsidRDefault="00C91E79" w:rsidP="004B4A6E">
      <w:pPr>
        <w:pStyle w:val="ListParagraph"/>
        <w:numPr>
          <w:ilvl w:val="0"/>
          <w:numId w:val="25"/>
        </w:numPr>
        <w:jc w:val="both"/>
        <w:rPr>
          <w:lang w:bidi="ar-AE"/>
        </w:rPr>
      </w:pPr>
      <w:r>
        <w:rPr>
          <w:lang w:bidi="ar-AE"/>
        </w:rPr>
        <w:t xml:space="preserve">Media : </w:t>
      </w:r>
    </w:p>
    <w:p w14:paraId="23A1AAEE" w14:textId="63DFB113" w:rsidR="00C91E79" w:rsidRDefault="00C91E79" w:rsidP="00852041">
      <w:pPr>
        <w:pStyle w:val="ListParagraph"/>
        <w:numPr>
          <w:ilvl w:val="0"/>
          <w:numId w:val="20"/>
        </w:numPr>
        <w:jc w:val="both"/>
        <w:rPr>
          <w:lang w:bidi="ar-AE"/>
        </w:rPr>
      </w:pPr>
      <w:r>
        <w:rPr>
          <w:lang w:bidi="ar-AE"/>
        </w:rPr>
        <w:t xml:space="preserve">Organizing </w:t>
      </w:r>
      <w:r w:rsidR="00852041">
        <w:rPr>
          <w:lang w:bidi="ar-AE"/>
        </w:rPr>
        <w:t xml:space="preserve">campaigns </w:t>
      </w:r>
      <w:r>
        <w:rPr>
          <w:lang w:bidi="ar-AE"/>
        </w:rPr>
        <w:t>to strengthen the physical and phycolo</w:t>
      </w:r>
      <w:r w:rsidR="00852041">
        <w:rPr>
          <w:lang w:bidi="ar-AE"/>
        </w:rPr>
        <w:t>gical immunity, such as the campaign</w:t>
      </w:r>
      <w:r w:rsidR="00852041" w:rsidRPr="00852041">
        <w:rPr>
          <w:lang w:bidi="ar-AE"/>
        </w:rPr>
        <w:t xml:space="preserve"> </w:t>
      </w:r>
      <w:r w:rsidR="00852041">
        <w:rPr>
          <w:lang w:bidi="ar-AE"/>
        </w:rPr>
        <w:t>“an Information every day”.</w:t>
      </w:r>
    </w:p>
    <w:p w14:paraId="0C274388" w14:textId="77777777" w:rsidR="00C91E79" w:rsidRDefault="00C91E79" w:rsidP="00C91E79">
      <w:pPr>
        <w:pStyle w:val="ListParagraph"/>
        <w:ind w:left="709"/>
        <w:jc w:val="both"/>
        <w:rPr>
          <w:lang w:bidi="ar-AE"/>
        </w:rPr>
      </w:pPr>
    </w:p>
    <w:p w14:paraId="59566E6E" w14:textId="77777777" w:rsidR="00C91E79" w:rsidRDefault="00C91E79" w:rsidP="00852041">
      <w:pPr>
        <w:pStyle w:val="ListParagraph"/>
        <w:numPr>
          <w:ilvl w:val="0"/>
          <w:numId w:val="25"/>
        </w:numPr>
        <w:jc w:val="both"/>
        <w:rPr>
          <w:lang w:bidi="ar-AE"/>
        </w:rPr>
      </w:pPr>
      <w:r>
        <w:rPr>
          <w:lang w:bidi="ar-AE"/>
        </w:rPr>
        <w:t>Systems:</w:t>
      </w:r>
    </w:p>
    <w:p w14:paraId="63D74A60" w14:textId="5850F80E" w:rsidR="00C91E79" w:rsidRDefault="00165003" w:rsidP="00165003">
      <w:pPr>
        <w:pStyle w:val="ListParagraph"/>
        <w:numPr>
          <w:ilvl w:val="0"/>
          <w:numId w:val="20"/>
        </w:numPr>
        <w:jc w:val="both"/>
        <w:rPr>
          <w:lang w:bidi="ar-AE"/>
        </w:rPr>
      </w:pPr>
      <w:r>
        <w:rPr>
          <w:lang w:bidi="ar-AE"/>
        </w:rPr>
        <w:t>Launching the National Observatory on Violence against Women.</w:t>
      </w:r>
    </w:p>
    <w:p w14:paraId="554D2B9A" w14:textId="19981455" w:rsidR="00C91E79" w:rsidRDefault="00165003" w:rsidP="00483B39">
      <w:pPr>
        <w:pStyle w:val="ListParagraph"/>
        <w:numPr>
          <w:ilvl w:val="0"/>
          <w:numId w:val="20"/>
        </w:numPr>
        <w:jc w:val="both"/>
        <w:rPr>
          <w:lang w:bidi="ar-AE"/>
        </w:rPr>
      </w:pPr>
      <w:r>
        <w:rPr>
          <w:lang w:bidi="ar-AE"/>
        </w:rPr>
        <w:t>Creating</w:t>
      </w:r>
      <w:r w:rsidR="00C91E79">
        <w:rPr>
          <w:lang w:bidi="ar-AE"/>
        </w:rPr>
        <w:t xml:space="preserve"> an electroni</w:t>
      </w:r>
      <w:r w:rsidR="00483B39">
        <w:rPr>
          <w:lang w:bidi="ar-AE"/>
        </w:rPr>
        <w:t>c tool titled “Palestinian diaries</w:t>
      </w:r>
      <w:r w:rsidR="00C91E79">
        <w:rPr>
          <w:lang w:bidi="ar-AE"/>
        </w:rPr>
        <w:t xml:space="preserve"> documenting the role of women </w:t>
      </w:r>
      <w:r w:rsidR="00483B39">
        <w:rPr>
          <w:lang w:bidi="ar-AE"/>
        </w:rPr>
        <w:t>in confronting</w:t>
      </w:r>
      <w:r w:rsidR="00C91E79">
        <w:rPr>
          <w:lang w:bidi="ar-AE"/>
        </w:rPr>
        <w:t xml:space="preserve"> the </w:t>
      </w:r>
      <w:r w:rsidR="00483B39">
        <w:rPr>
          <w:lang w:bidi="ar-AE"/>
        </w:rPr>
        <w:t>pandemic</w:t>
      </w:r>
      <w:r w:rsidR="00C91E79">
        <w:rPr>
          <w:lang w:bidi="ar-AE"/>
        </w:rPr>
        <w:t xml:space="preserve">.” </w:t>
      </w:r>
    </w:p>
    <w:p w14:paraId="246017A5" w14:textId="77777777" w:rsidR="00910A19" w:rsidRDefault="00910A19" w:rsidP="00CB0784">
      <w:pPr>
        <w:jc w:val="both"/>
      </w:pPr>
    </w:p>
    <w:p w14:paraId="1577EAE3" w14:textId="77777777" w:rsidR="007B299E" w:rsidRPr="0047406D" w:rsidRDefault="007F12F3" w:rsidP="00CB0784">
      <w:pPr>
        <w:jc w:val="both"/>
        <w:rPr>
          <w:u w:val="single"/>
        </w:rPr>
      </w:pPr>
      <w:r>
        <w:rPr>
          <w:u w:val="single"/>
        </w:rPr>
        <w:t xml:space="preserve">Challenges and </w:t>
      </w:r>
      <w:r w:rsidR="00A44B5B">
        <w:rPr>
          <w:u w:val="single"/>
        </w:rPr>
        <w:t>g</w:t>
      </w:r>
      <w:r w:rsidR="007B299E" w:rsidRPr="0047406D">
        <w:rPr>
          <w:u w:val="single"/>
        </w:rPr>
        <w:t>ood practices</w:t>
      </w:r>
    </w:p>
    <w:p w14:paraId="347AC70E" w14:textId="77777777" w:rsidR="00404E5B" w:rsidRDefault="007B299E" w:rsidP="0047406D">
      <w:pPr>
        <w:pStyle w:val="ListParagraph"/>
        <w:numPr>
          <w:ilvl w:val="0"/>
          <w:numId w:val="9"/>
        </w:numPr>
        <w:ind w:left="709"/>
        <w:jc w:val="both"/>
      </w:pPr>
      <w:r>
        <w:t xml:space="preserve">Please </w:t>
      </w:r>
      <w:r w:rsidRPr="00824E56">
        <w:t xml:space="preserve">highlight any </w:t>
      </w:r>
      <w:r w:rsidR="007D03B6" w:rsidRPr="00824E56">
        <w:t xml:space="preserve">challenges faced in the provision of </w:t>
      </w:r>
      <w:r w:rsidR="00735D47" w:rsidRPr="00824E56">
        <w:t xml:space="preserve">SRH services </w:t>
      </w:r>
      <w:r w:rsidR="007D03B6" w:rsidRPr="00824E56">
        <w:t xml:space="preserve">and </w:t>
      </w:r>
      <w:r w:rsidRPr="00824E56">
        <w:t>good practice</w:t>
      </w:r>
      <w:r w:rsidR="0002644E" w:rsidRPr="00824E56">
        <w:t>s</w:t>
      </w:r>
      <w:r w:rsidRPr="00824E56">
        <w:t xml:space="preserve"> in ensuring women</w:t>
      </w:r>
      <w:r w:rsidR="00FA41F4" w:rsidRPr="00824E56">
        <w:t>’s</w:t>
      </w:r>
      <w:r w:rsidRPr="00824E56">
        <w:t xml:space="preserve"> and girls’ </w:t>
      </w:r>
      <w:r w:rsidR="00B838AA" w:rsidRPr="00824E56">
        <w:t>SRHR</w:t>
      </w:r>
      <w:r w:rsidRPr="00824E56">
        <w:t xml:space="preserve"> in situations of crisis, including</w:t>
      </w:r>
      <w:r w:rsidR="00925106" w:rsidRPr="00824E56">
        <w:t xml:space="preserve">, </w:t>
      </w:r>
      <w:r w:rsidR="00945886" w:rsidRPr="00824E56">
        <w:t>for example</w:t>
      </w:r>
      <w:r w:rsidR="004921A9" w:rsidRPr="00824E56">
        <w:t xml:space="preserve">, measures concerning </w:t>
      </w:r>
      <w:r w:rsidR="00B838AA" w:rsidRPr="00824E56">
        <w:t xml:space="preserve">timely access to the </w:t>
      </w:r>
      <w:r w:rsidR="004921A9" w:rsidRPr="00824E56">
        <w:t xml:space="preserve">the following </w:t>
      </w:r>
      <w:r w:rsidR="00B838AA" w:rsidRPr="00824E56">
        <w:t xml:space="preserve">types </w:t>
      </w:r>
      <w:r w:rsidR="00CD0EC9" w:rsidRPr="00824E56">
        <w:t xml:space="preserve">of services and </w:t>
      </w:r>
      <w:r w:rsidR="004921A9" w:rsidRPr="00824E56">
        <w:t>aspects</w:t>
      </w:r>
      <w:r w:rsidR="00CD0EC9" w:rsidRPr="00824E56">
        <w:t xml:space="preserve"> of care</w:t>
      </w:r>
      <w:r w:rsidR="00925106" w:rsidRPr="00824E56">
        <w:t>:</w:t>
      </w:r>
    </w:p>
    <w:p w14:paraId="65332D97" w14:textId="77777777" w:rsidR="00824E56" w:rsidRPr="00824E56" w:rsidRDefault="00824E56" w:rsidP="00824E56">
      <w:pPr>
        <w:pStyle w:val="ListParagraph"/>
        <w:ind w:left="709"/>
        <w:jc w:val="both"/>
      </w:pPr>
    </w:p>
    <w:p w14:paraId="532417BC" w14:textId="77777777" w:rsidR="00B20A8E" w:rsidRDefault="00B20A8E" w:rsidP="00B20A8E">
      <w:pPr>
        <w:pStyle w:val="ListParagraph"/>
        <w:numPr>
          <w:ilvl w:val="0"/>
          <w:numId w:val="3"/>
        </w:numPr>
        <w:jc w:val="both"/>
      </w:pPr>
      <w:r w:rsidRPr="00824E56">
        <w:t>Access to non-biased and scientifically accurate information about sexual and reproductive health matters and services;</w:t>
      </w:r>
    </w:p>
    <w:p w14:paraId="5F3F0D7F" w14:textId="7BBF3D62" w:rsidR="00E93435" w:rsidRDefault="00E93435" w:rsidP="00E93435">
      <w:pPr>
        <w:pStyle w:val="ListParagraph"/>
        <w:ind w:left="1440"/>
        <w:jc w:val="both"/>
      </w:pPr>
      <w:r>
        <w:t>The National Health Strategy of the Ministry of Health states that all Palestinians should have equal access to health, services and information without discrimination regardless of their age, residency, sex or disability. Community awareness is achieved by dissemination of information on SRH, breast feeding, nutrition of children, pregnant and lactating women</w:t>
      </w:r>
      <w:r w:rsidR="00E7577F">
        <w:t>,</w:t>
      </w:r>
      <w:r>
        <w:t xml:space="preserve"> in addition to GBV with particular emphasis on crisis </w:t>
      </w:r>
      <w:r>
        <w:lastRenderedPageBreak/>
        <w:t>situations, currently the corona</w:t>
      </w:r>
      <w:r w:rsidR="00E7577F">
        <w:t>virus pandemic</w:t>
      </w:r>
      <w:r>
        <w:t>, using social media, internet ads, national TV and announcements made by worship and community centers (e.g. mosques).</w:t>
      </w:r>
    </w:p>
    <w:p w14:paraId="4F07B119" w14:textId="6DCED896" w:rsidR="00E93435" w:rsidRDefault="00E93435" w:rsidP="00E76C7D">
      <w:pPr>
        <w:pStyle w:val="ListParagraph"/>
        <w:ind w:left="1440"/>
        <w:jc w:val="both"/>
      </w:pPr>
      <w:r>
        <w:t>Sexual and reproductive health ed</w:t>
      </w:r>
      <w:r w:rsidR="008702A6">
        <w:t>ucation in Palestine is a debatable</w:t>
      </w:r>
      <w:r>
        <w:t xml:space="preserve"> issue constrained by political, economic, cultural, and religious factors. Societal taboos</w:t>
      </w:r>
      <w:r w:rsidR="008702A6">
        <w:t xml:space="preserve"> are major obstacles to </w:t>
      </w:r>
      <w:r w:rsidR="00E76C7D">
        <w:t xml:space="preserve">holding  </w:t>
      </w:r>
      <w:r w:rsidR="008702A6">
        <w:t>informative</w:t>
      </w:r>
      <w:r>
        <w:t xml:space="preserve"> discussions </w:t>
      </w:r>
      <w:r w:rsidR="00161C6B">
        <w:t>on</w:t>
      </w:r>
      <w:r>
        <w:t xml:space="preserve"> sexual and reproductive health issues, </w:t>
      </w:r>
      <w:r w:rsidR="00161C6B">
        <w:t>especially</w:t>
      </w:r>
      <w:r>
        <w:t xml:space="preserve"> </w:t>
      </w:r>
      <w:r w:rsidR="00161C6B">
        <w:t>with regard</w:t>
      </w:r>
      <w:r>
        <w:t xml:space="preserve"> to young women. This represents</w:t>
      </w:r>
      <w:r w:rsidR="00161C6B">
        <w:t xml:space="preserve"> constitutes</w:t>
      </w:r>
      <w:r>
        <w:t xml:space="preserve"> a constraint </w:t>
      </w:r>
      <w:r w:rsidR="00161C6B">
        <w:t>on</w:t>
      </w:r>
      <w:r>
        <w:t xml:space="preserve"> efforts to raise women’s and</w:t>
      </w:r>
      <w:r w:rsidR="00161C6B">
        <w:t xml:space="preserve"> girls’ awareness of their SRHR, which</w:t>
      </w:r>
      <w:r>
        <w:t xml:space="preserve"> enable them to </w:t>
      </w:r>
      <w:r w:rsidR="00161C6B">
        <w:t>make</w:t>
      </w:r>
      <w:r>
        <w:t xml:space="preserve"> decision</w:t>
      </w:r>
      <w:r w:rsidR="00367A37">
        <w:t>s</w:t>
      </w:r>
      <w:r>
        <w:t xml:space="preserve"> in </w:t>
      </w:r>
      <w:r w:rsidR="00367A37">
        <w:t>this</w:t>
      </w:r>
      <w:r>
        <w:t xml:space="preserve"> regard.</w:t>
      </w:r>
    </w:p>
    <w:p w14:paraId="4624F599" w14:textId="77777777" w:rsidR="00E93435" w:rsidRPr="00824E56" w:rsidRDefault="00E93435" w:rsidP="00E93435">
      <w:pPr>
        <w:pStyle w:val="ListParagraph"/>
        <w:ind w:left="1440"/>
        <w:jc w:val="both"/>
      </w:pPr>
    </w:p>
    <w:p w14:paraId="2AAF58F8" w14:textId="77777777" w:rsidR="00B20A8E" w:rsidRDefault="00B20A8E" w:rsidP="00B20A8E">
      <w:pPr>
        <w:pStyle w:val="ListParagraph"/>
        <w:numPr>
          <w:ilvl w:val="0"/>
          <w:numId w:val="3"/>
        </w:numPr>
        <w:jc w:val="both"/>
      </w:pPr>
      <w:r w:rsidRPr="00824E56">
        <w:t xml:space="preserve">Access to medical professionals and  health service providers, including traditional birth attendants, with adequate provision for their training and safety including personal protective equipment; </w:t>
      </w:r>
    </w:p>
    <w:p w14:paraId="12EED28A" w14:textId="02CF9C6E" w:rsidR="00E93435" w:rsidRDefault="00E93435" w:rsidP="0076240B">
      <w:pPr>
        <w:pStyle w:val="ListParagraph"/>
        <w:ind w:left="1440"/>
        <w:jc w:val="both"/>
      </w:pPr>
      <w:r w:rsidRPr="00E93435">
        <w:t>In order to ensure access to medical professionals and health services</w:t>
      </w:r>
      <w:r w:rsidR="001F20A8">
        <w:t>,</w:t>
      </w:r>
      <w:r w:rsidRPr="00E93435">
        <w:t xml:space="preserve"> including traditional birth attendants, an emergency strategy </w:t>
      </w:r>
      <w:r w:rsidR="001F20A8">
        <w:t>has been</w:t>
      </w:r>
      <w:r w:rsidRPr="00E93435">
        <w:t xml:space="preserve"> </w:t>
      </w:r>
      <w:r w:rsidR="001F20A8">
        <w:t>developed</w:t>
      </w:r>
      <w:r w:rsidRPr="00E93435">
        <w:t xml:space="preserve"> to </w:t>
      </w:r>
      <w:r w:rsidR="001F20A8">
        <w:t>provide</w:t>
      </w:r>
      <w:r w:rsidRPr="00E93435">
        <w:t xml:space="preserve"> </w:t>
      </w:r>
      <w:r w:rsidR="001F20A8" w:rsidRPr="00E93435">
        <w:t xml:space="preserve">face-to-face </w:t>
      </w:r>
      <w:r w:rsidR="001F20A8">
        <w:t xml:space="preserve">and remote </w:t>
      </w:r>
      <w:r w:rsidRPr="00E93435">
        <w:t xml:space="preserve">services </w:t>
      </w:r>
      <w:r w:rsidR="001F20A8">
        <w:t>using internet technologies</w:t>
      </w:r>
      <w:r w:rsidRPr="00E93435">
        <w:t xml:space="preserve">. A coordination of SRH services among different providers is taking place under the leadership of the Ministry of Health. Roles </w:t>
      </w:r>
      <w:r w:rsidR="00C15203">
        <w:t>are</w:t>
      </w:r>
      <w:r w:rsidRPr="00E93435">
        <w:t xml:space="preserve"> distributed between different partners to establish a service directo</w:t>
      </w:r>
      <w:r w:rsidR="00F04162">
        <w:t>ry, activate mobile clinics and/</w:t>
      </w:r>
      <w:r w:rsidRPr="00E93435">
        <w:t xml:space="preserve">or home visits, improve the referral mechanisms for women who are not able to </w:t>
      </w:r>
      <w:r w:rsidR="00F04162">
        <w:t>enjoy these</w:t>
      </w:r>
      <w:r w:rsidRPr="00E93435">
        <w:t xml:space="preserve"> services</w:t>
      </w:r>
      <w:r w:rsidR="00F04162">
        <w:t>.</w:t>
      </w:r>
      <w:r w:rsidRPr="00E93435">
        <w:t xml:space="preserve"> </w:t>
      </w:r>
      <w:r w:rsidR="00F04162">
        <w:t xml:space="preserve">Moreover, </w:t>
      </w:r>
      <w:r w:rsidRPr="00E93435">
        <w:t>health professionals</w:t>
      </w:r>
      <w:r w:rsidR="00F04162">
        <w:t xml:space="preserve"> are trained</w:t>
      </w:r>
      <w:r w:rsidRPr="00E93435">
        <w:t xml:space="preserve"> to </w:t>
      </w:r>
      <w:r w:rsidR="00F04162">
        <w:t>provide</w:t>
      </w:r>
      <w:r w:rsidRPr="00E93435">
        <w:t xml:space="preserve"> services during crisis</w:t>
      </w:r>
      <w:r w:rsidR="00F04162">
        <w:t>,</w:t>
      </w:r>
      <w:r w:rsidRPr="00E93435">
        <w:t xml:space="preserve"> </w:t>
      </w:r>
      <w:r w:rsidR="00DC6942">
        <w:t xml:space="preserve">and </w:t>
      </w:r>
      <w:r w:rsidR="0076240B">
        <w:t>to protect</w:t>
      </w:r>
      <w:r w:rsidR="00DC6942">
        <w:t xml:space="preserve"> themselves from</w:t>
      </w:r>
      <w:r w:rsidRPr="00E93435">
        <w:t xml:space="preserve"> COVID-19 infection. A plan </w:t>
      </w:r>
      <w:r w:rsidR="0076240B">
        <w:t>has been put in place</w:t>
      </w:r>
      <w:r w:rsidRPr="00E93435">
        <w:t xml:space="preserve"> to support at least 5,000 health workers with infection prevention and control measures, including </w:t>
      </w:r>
      <w:r w:rsidR="0076240B">
        <w:t xml:space="preserve">providing them with </w:t>
      </w:r>
      <w:r w:rsidRPr="00E93435">
        <w:t>personal protective equipment (PPE).</w:t>
      </w:r>
    </w:p>
    <w:p w14:paraId="029E6CCE" w14:textId="77777777" w:rsidR="00E93435" w:rsidRPr="00824E56" w:rsidRDefault="00E93435" w:rsidP="00E93435">
      <w:pPr>
        <w:pStyle w:val="ListParagraph"/>
        <w:ind w:left="1440"/>
        <w:jc w:val="both"/>
      </w:pPr>
    </w:p>
    <w:p w14:paraId="23F4FB7C" w14:textId="77777777" w:rsidR="00B20A8E" w:rsidRDefault="00B20A8E" w:rsidP="00B20A8E">
      <w:pPr>
        <w:pStyle w:val="ListParagraph"/>
        <w:numPr>
          <w:ilvl w:val="0"/>
          <w:numId w:val="3"/>
        </w:numPr>
        <w:jc w:val="both"/>
      </w:pPr>
      <w:r w:rsidRPr="00824E56">
        <w:t>Access to essential medicines  as prescribed by the WHO, equipment and technologies essential for the quality provision of sexual and reproductive health services;</w:t>
      </w:r>
    </w:p>
    <w:p w14:paraId="12C0C8D8" w14:textId="40224F4D" w:rsidR="00E93435" w:rsidRDefault="00CA3736" w:rsidP="00214F29">
      <w:pPr>
        <w:pStyle w:val="ListParagraph"/>
        <w:ind w:left="1440"/>
        <w:jc w:val="both"/>
      </w:pPr>
      <w:r>
        <w:t xml:space="preserve">The essential medicines </w:t>
      </w:r>
      <w:r w:rsidRPr="00CA3736">
        <w:t xml:space="preserve">prescribed by the WHO </w:t>
      </w:r>
      <w:r>
        <w:t>are</w:t>
      </w:r>
      <w:r w:rsidR="00E93435" w:rsidRPr="00E93435">
        <w:t xml:space="preserve"> kept available. </w:t>
      </w:r>
      <w:r w:rsidR="00C66D24" w:rsidRPr="00C66D24">
        <w:t>There is a plan to give women double the amount of medication, nutritional supplements and contraception needed, especially during times of lockdown</w:t>
      </w:r>
      <w:r w:rsidR="00C66D24">
        <w:t>.</w:t>
      </w:r>
      <w:r w:rsidR="00E93435" w:rsidRPr="00E93435">
        <w:t xml:space="preserve"> </w:t>
      </w:r>
      <w:r w:rsidR="00C66D24" w:rsidRPr="00C66D24">
        <w:t>The deficit in essential equipment needs is widened by crisis situations</w:t>
      </w:r>
      <w:r w:rsidR="00E93435" w:rsidRPr="00E93435">
        <w:t>. Durin</w:t>
      </w:r>
      <w:r w:rsidR="00120937">
        <w:t>g the coronavirus</w:t>
      </w:r>
      <w:r w:rsidR="00E93435" w:rsidRPr="00E93435">
        <w:t xml:space="preserve"> pandemic, a fund was relocated out of the budget</w:t>
      </w:r>
      <w:r w:rsidR="00214F29" w:rsidRPr="00214F29">
        <w:t xml:space="preserve"> </w:t>
      </w:r>
      <w:r w:rsidR="00214F29">
        <w:t xml:space="preserve">of the </w:t>
      </w:r>
      <w:r w:rsidR="00214F29" w:rsidRPr="00E93435">
        <w:t>MOH</w:t>
      </w:r>
      <w:r w:rsidR="00DF5064">
        <w:t>,</w:t>
      </w:r>
      <w:r w:rsidR="00E93435" w:rsidRPr="00E93435">
        <w:t xml:space="preserve"> along with national, civilian and international donations to purchase </w:t>
      </w:r>
      <w:r w:rsidR="00B06B81" w:rsidRPr="00E93435">
        <w:t xml:space="preserve">essential </w:t>
      </w:r>
      <w:r w:rsidR="00E93435" w:rsidRPr="00E93435">
        <w:t>equipment for SRH services. The purchase an</w:t>
      </w:r>
      <w:r w:rsidR="00B06B81">
        <w:t xml:space="preserve">d distribution of </w:t>
      </w:r>
      <w:r w:rsidR="00214F29">
        <w:t>this</w:t>
      </w:r>
      <w:r w:rsidR="00DF5064">
        <w:t xml:space="preserve"> </w:t>
      </w:r>
      <w:r w:rsidR="00B06B81">
        <w:t>equipment was</w:t>
      </w:r>
      <w:r w:rsidR="00E93435" w:rsidRPr="00E93435">
        <w:t xml:space="preserve"> based on need</w:t>
      </w:r>
      <w:r w:rsidR="00214F29">
        <w:t>s</w:t>
      </w:r>
      <w:r w:rsidR="00E93435" w:rsidRPr="00E93435">
        <w:t xml:space="preserve"> assessment. </w:t>
      </w:r>
    </w:p>
    <w:p w14:paraId="1D7481F2" w14:textId="77777777" w:rsidR="00E93435" w:rsidRPr="00824E56" w:rsidRDefault="00E93435" w:rsidP="00E93435">
      <w:pPr>
        <w:pStyle w:val="ListParagraph"/>
        <w:ind w:left="1440"/>
        <w:jc w:val="both"/>
      </w:pPr>
    </w:p>
    <w:p w14:paraId="5FF2FBD6" w14:textId="77777777" w:rsidR="00B20A8E" w:rsidRDefault="00B20A8E" w:rsidP="00B20A8E">
      <w:pPr>
        <w:pStyle w:val="ListParagraph"/>
        <w:numPr>
          <w:ilvl w:val="0"/>
          <w:numId w:val="3"/>
        </w:numPr>
        <w:jc w:val="both"/>
      </w:pPr>
      <w:r w:rsidRPr="00824E56">
        <w:t>Prevention of HIV transmission</w:t>
      </w:r>
      <w:r>
        <w:t xml:space="preserve">, </w:t>
      </w:r>
      <w:r w:rsidRPr="00824E56">
        <w:t>post-exposure prophylaxis and treatment</w:t>
      </w:r>
      <w:r>
        <w:t xml:space="preserve"> </w:t>
      </w:r>
      <w:r w:rsidRPr="00824E56">
        <w:t>for HIV/AIDS  as well as the prevention and treatment of sexually transmissible infections;</w:t>
      </w:r>
    </w:p>
    <w:p w14:paraId="70C1A5E5" w14:textId="27E99B3E" w:rsidR="00E93435" w:rsidRDefault="00E93435" w:rsidP="007320D3">
      <w:pPr>
        <w:pStyle w:val="ListParagraph"/>
        <w:ind w:left="1440"/>
        <w:jc w:val="both"/>
      </w:pPr>
      <w:r w:rsidRPr="00E93435">
        <w:t>In Palestine the prevalence of HIV/AIDS is very low. HIV case reporting began in 1988</w:t>
      </w:r>
      <w:r w:rsidR="00831F60">
        <w:t>,</w:t>
      </w:r>
      <w:r w:rsidRPr="00E93435">
        <w:t xml:space="preserve"> while HIV prevention Strategy </w:t>
      </w:r>
      <w:r w:rsidR="00831F60">
        <w:t xml:space="preserve">was </w:t>
      </w:r>
      <w:r w:rsidRPr="00E93435">
        <w:t xml:space="preserve">developed in 2019. During </w:t>
      </w:r>
      <w:r w:rsidR="00DC74AE">
        <w:t xml:space="preserve">the </w:t>
      </w:r>
      <w:r w:rsidRPr="00E93435">
        <w:t xml:space="preserve">crisis, particularly the </w:t>
      </w:r>
      <w:r w:rsidR="00831F60">
        <w:t xml:space="preserve">recent </w:t>
      </w:r>
      <w:r w:rsidRPr="00E93435">
        <w:t xml:space="preserve">pandemic, </w:t>
      </w:r>
      <w:r w:rsidR="00DC74AE">
        <w:t>responsive</w:t>
      </w:r>
      <w:r w:rsidRPr="00E93435">
        <w:t xml:space="preserve"> healthcare services </w:t>
      </w:r>
      <w:r w:rsidR="00DC74AE">
        <w:t>take priority</w:t>
      </w:r>
      <w:r w:rsidRPr="00E93435">
        <w:t xml:space="preserve"> over preventive healthcare services</w:t>
      </w:r>
      <w:r w:rsidR="00831F60">
        <w:t>,</w:t>
      </w:r>
      <w:r w:rsidRPr="00E93435">
        <w:t xml:space="preserve"> such as </w:t>
      </w:r>
      <w:r w:rsidR="00DC74AE">
        <w:t>testing</w:t>
      </w:r>
      <w:r w:rsidRPr="00E93435">
        <w:t xml:space="preserve"> for sexually transmitted infections</w:t>
      </w:r>
      <w:r w:rsidR="00DC74AE">
        <w:t>,</w:t>
      </w:r>
      <w:r w:rsidRPr="00E93435">
        <w:t xml:space="preserve"> including HIV. </w:t>
      </w:r>
      <w:r w:rsidR="007320D3" w:rsidRPr="007320D3">
        <w:t xml:space="preserve">More cases are expected to go </w:t>
      </w:r>
      <w:r w:rsidR="007320D3">
        <w:t>undetected during the emergency</w:t>
      </w:r>
      <w:r w:rsidRPr="00E93435">
        <w:t>.</w:t>
      </w:r>
    </w:p>
    <w:p w14:paraId="2F87B57A" w14:textId="77777777" w:rsidR="00E93435" w:rsidRPr="00824E56" w:rsidRDefault="00E93435" w:rsidP="00E93435">
      <w:pPr>
        <w:pStyle w:val="ListParagraph"/>
        <w:ind w:left="1440"/>
        <w:jc w:val="both"/>
      </w:pPr>
    </w:p>
    <w:p w14:paraId="0CA4F8CB" w14:textId="27985C5D" w:rsidR="00925106" w:rsidRDefault="00C92E09" w:rsidP="00C92E09">
      <w:pPr>
        <w:pStyle w:val="ListParagraph"/>
        <w:numPr>
          <w:ilvl w:val="0"/>
          <w:numId w:val="3"/>
        </w:numPr>
        <w:jc w:val="both"/>
      </w:pPr>
      <w:r w:rsidRPr="00824E56">
        <w:t xml:space="preserve">Pregnancy-related </w:t>
      </w:r>
      <w:r w:rsidR="00AF7A8D">
        <w:t>h</w:t>
      </w:r>
      <w:r w:rsidR="007B699E" w:rsidRPr="00824E56">
        <w:t>ealth</w:t>
      </w:r>
      <w:r w:rsidR="00925106" w:rsidRPr="00824E56">
        <w:t xml:space="preserve"> services, including pre- and post-natal</w:t>
      </w:r>
      <w:r w:rsidR="007D03B6" w:rsidRPr="00824E56">
        <w:t xml:space="preserve"> care</w:t>
      </w:r>
      <w:r w:rsidRPr="00824E56">
        <w:t xml:space="preserve">, </w:t>
      </w:r>
      <w:r w:rsidR="007B699E" w:rsidRPr="00824E56">
        <w:t xml:space="preserve"> assistance during child-birth</w:t>
      </w:r>
      <w:r w:rsidR="00766B8A" w:rsidRPr="00824E56">
        <w:t>,</w:t>
      </w:r>
      <w:r w:rsidRPr="00824E56">
        <w:t xml:space="preserve"> and emergency obstetric care;</w:t>
      </w:r>
    </w:p>
    <w:p w14:paraId="1F157372" w14:textId="6462C85D" w:rsidR="00E93435" w:rsidRDefault="00E93435" w:rsidP="00BE2ADD">
      <w:pPr>
        <w:pStyle w:val="ListParagraph"/>
        <w:ind w:left="1440"/>
        <w:jc w:val="both"/>
      </w:pPr>
      <w:r w:rsidRPr="00E93435">
        <w:t>In response to the emergency situation due to the corona</w:t>
      </w:r>
      <w:r w:rsidR="00397E31">
        <w:t>virus pandemic</w:t>
      </w:r>
      <w:r w:rsidRPr="00E93435">
        <w:t xml:space="preserve">, a national protocol </w:t>
      </w:r>
      <w:r w:rsidR="00BE2ADD">
        <w:t>has been</w:t>
      </w:r>
      <w:r w:rsidRPr="00E93435">
        <w:t xml:space="preserve"> developed to guide health professionals </w:t>
      </w:r>
      <w:r w:rsidR="00BE2ADD">
        <w:t>in the care of</w:t>
      </w:r>
      <w:r w:rsidR="00741636">
        <w:t xml:space="preserve"> women infected </w:t>
      </w:r>
      <w:r w:rsidR="00BE2ADD">
        <w:t>with</w:t>
      </w:r>
      <w:r w:rsidR="00741636">
        <w:t xml:space="preserve"> the virus</w:t>
      </w:r>
      <w:r w:rsidRPr="00E93435">
        <w:t xml:space="preserve">, during pregnancy, labor and after delivery. Delivery in hospitals, access to emergency obstetric care </w:t>
      </w:r>
      <w:r w:rsidR="00BE2ADD">
        <w:t xml:space="preserve">has </w:t>
      </w:r>
      <w:r w:rsidRPr="00E93435">
        <w:t>remained the same</w:t>
      </w:r>
      <w:r w:rsidR="00BE2ADD">
        <w:t>,</w:t>
      </w:r>
      <w:r w:rsidRPr="00E93435">
        <w:t xml:space="preserve"> if not increased during the pandemic. Antenatal and postnatal care for </w:t>
      </w:r>
      <w:r w:rsidR="00BE2ADD">
        <w:t>high-</w:t>
      </w:r>
      <w:r w:rsidRPr="00E93435">
        <w:t xml:space="preserve">risk pregnancies </w:t>
      </w:r>
      <w:r w:rsidR="00BE2ADD">
        <w:t xml:space="preserve">has been </w:t>
      </w:r>
      <w:r w:rsidRPr="00E93435">
        <w:t xml:space="preserve">shifted from primary healthcare to hospitals or to private sector clinics. Antenatal and </w:t>
      </w:r>
      <w:r w:rsidRPr="00E93435">
        <w:lastRenderedPageBreak/>
        <w:t>postnatal ca</w:t>
      </w:r>
      <w:r w:rsidR="00BE2ADD">
        <w:t>re for low-risk pregnancies has been</w:t>
      </w:r>
      <w:r w:rsidRPr="00E93435">
        <w:t xml:space="preserve"> </w:t>
      </w:r>
      <w:r w:rsidR="00BE2ADD" w:rsidRPr="00E93435">
        <w:t>noticeably</w:t>
      </w:r>
      <w:r w:rsidRPr="00E93435">
        <w:t xml:space="preserve"> reduced </w:t>
      </w:r>
      <w:r w:rsidR="00BE2ADD">
        <w:t>due to the restriction of</w:t>
      </w:r>
      <w:r w:rsidRPr="00E93435">
        <w:t xml:space="preserve"> movement during </w:t>
      </w:r>
      <w:r w:rsidR="00BE2ADD">
        <w:t xml:space="preserve">the </w:t>
      </w:r>
      <w:r w:rsidRPr="00E93435">
        <w:t xml:space="preserve">lockdown </w:t>
      </w:r>
      <w:r w:rsidR="00BE2ADD">
        <w:t xml:space="preserve">measures, </w:t>
      </w:r>
      <w:r w:rsidRPr="00E93435">
        <w:t xml:space="preserve">and </w:t>
      </w:r>
      <w:r w:rsidR="00BE2ADD">
        <w:t xml:space="preserve">the </w:t>
      </w:r>
      <w:r w:rsidRPr="00E93435">
        <w:t xml:space="preserve">fear </w:t>
      </w:r>
      <w:r w:rsidR="00BE2ADD">
        <w:t>of</w:t>
      </w:r>
      <w:r w:rsidRPr="00E93435">
        <w:t xml:space="preserve"> catching the infection</w:t>
      </w:r>
      <w:r w:rsidR="00BE2ADD">
        <w:t>,</w:t>
      </w:r>
      <w:r w:rsidRPr="00E93435">
        <w:t xml:space="preserve"> which </w:t>
      </w:r>
      <w:r w:rsidR="00BE2ADD">
        <w:t xml:space="preserve">has </w:t>
      </w:r>
      <w:r w:rsidRPr="00E93435">
        <w:t>limited the access to health facilities for both health care providers and women.</w:t>
      </w:r>
    </w:p>
    <w:p w14:paraId="5642BDE6" w14:textId="77777777" w:rsidR="00BE2ADD" w:rsidRPr="00824E56" w:rsidRDefault="00BE2ADD" w:rsidP="00BE2ADD">
      <w:pPr>
        <w:pStyle w:val="ListParagraph"/>
        <w:ind w:left="1440"/>
        <w:jc w:val="both"/>
      </w:pPr>
    </w:p>
    <w:p w14:paraId="2FE94D1A" w14:textId="4972773C" w:rsidR="00945886" w:rsidRDefault="00B20A8E" w:rsidP="00C92E09">
      <w:pPr>
        <w:pStyle w:val="ListParagraph"/>
        <w:numPr>
          <w:ilvl w:val="0"/>
          <w:numId w:val="3"/>
        </w:numPr>
        <w:jc w:val="both"/>
      </w:pPr>
      <w:r w:rsidRPr="00824E56">
        <w:t>The full range of modern contraceptive information and services, including emergency contraception</w:t>
      </w:r>
      <w:r>
        <w:t>, as well as f</w:t>
      </w:r>
      <w:r w:rsidR="00BD2154" w:rsidRPr="00824E56">
        <w:t xml:space="preserve">amily planning </w:t>
      </w:r>
      <w:r w:rsidR="00C92E09" w:rsidRPr="00824E56">
        <w:t xml:space="preserve">information and </w:t>
      </w:r>
      <w:r w:rsidR="00BD2154" w:rsidRPr="00824E56">
        <w:t>services</w:t>
      </w:r>
      <w:r w:rsidR="00564595" w:rsidRPr="00824E56">
        <w:t xml:space="preserve"> related to the number, timing and spacing of pregnancies and infertility treatments</w:t>
      </w:r>
      <w:r w:rsidR="00C92E09" w:rsidRPr="00824E56">
        <w:t>;</w:t>
      </w:r>
    </w:p>
    <w:p w14:paraId="41E87B72" w14:textId="0AB63730" w:rsidR="00E93435" w:rsidRDefault="00E93435" w:rsidP="00EE2631">
      <w:pPr>
        <w:pStyle w:val="ListParagraph"/>
        <w:ind w:left="1440"/>
        <w:jc w:val="both"/>
      </w:pPr>
      <w:r w:rsidRPr="00E93435">
        <w:t>The MOH ensure</w:t>
      </w:r>
      <w:r w:rsidR="00F8000F">
        <w:t>s</w:t>
      </w:r>
      <w:r w:rsidRPr="00E93435">
        <w:t xml:space="preserve"> access to a full range of family planning information and services and modern contraceptives, which have </w:t>
      </w:r>
      <w:r w:rsidR="00BC480B">
        <w:t xml:space="preserve">also </w:t>
      </w:r>
      <w:r w:rsidRPr="00E93435">
        <w:t xml:space="preserve">been included in the </w:t>
      </w:r>
      <w:r w:rsidR="00BC480B">
        <w:t>list of essential medicines</w:t>
      </w:r>
      <w:r w:rsidRPr="00E93435">
        <w:t xml:space="preserve"> to increase </w:t>
      </w:r>
      <w:r w:rsidR="00F8000F">
        <w:t xml:space="preserve">their </w:t>
      </w:r>
      <w:r w:rsidRPr="00E93435">
        <w:t xml:space="preserve">availability, </w:t>
      </w:r>
      <w:r w:rsidR="00F8000F">
        <w:t>and</w:t>
      </w:r>
      <w:r w:rsidRPr="00E93435">
        <w:t xml:space="preserve"> </w:t>
      </w:r>
      <w:r w:rsidR="00BC480B">
        <w:t>ensure</w:t>
      </w:r>
      <w:r w:rsidRPr="00E93435">
        <w:t xml:space="preserve"> that women and men have access </w:t>
      </w:r>
      <w:r w:rsidR="00F8000F">
        <w:t xml:space="preserve">to </w:t>
      </w:r>
      <w:r w:rsidR="00BC480B">
        <w:t>them</w:t>
      </w:r>
      <w:r w:rsidRPr="00E93435">
        <w:t xml:space="preserve">. Emergency contraceptive methods are mainly provided to victims of rape. According to the Health Information Center at the MOH, </w:t>
      </w:r>
      <w:r w:rsidR="00B8796A" w:rsidRPr="00B8796A">
        <w:t>unmet need for family planning has increased due to the decline in the number of women seeking contraceptive advice due to the crisis</w:t>
      </w:r>
      <w:r w:rsidRPr="00E93435">
        <w:t xml:space="preserve">. </w:t>
      </w:r>
      <w:r w:rsidR="0024212C" w:rsidRPr="0024212C">
        <w:t>The main concerns are the expiration of contraceptive methods before use, the increase in the number of unwanted pregnancies and the short intervals between pregnancies which are associated with increased maternal and pe</w:t>
      </w:r>
      <w:r w:rsidR="0024212C">
        <w:t xml:space="preserve">rinatal morbidity and mortality. </w:t>
      </w:r>
      <w:r w:rsidR="00EE2631" w:rsidRPr="00EE2631">
        <w:t xml:space="preserve">Therefore, the </w:t>
      </w:r>
      <w:r w:rsidR="00EE2631">
        <w:t>MoH</w:t>
      </w:r>
      <w:r w:rsidR="00EE2631" w:rsidRPr="00EE2631">
        <w:t xml:space="preserve"> has included face-to-face and remote family planning services in the aforementioned national protocol.</w:t>
      </w:r>
      <w:r w:rsidRPr="00E93435">
        <w:t xml:space="preserve"> </w:t>
      </w:r>
      <w:r w:rsidR="00EE2631" w:rsidRPr="00EE2631">
        <w:t xml:space="preserve">In the event of a lockdown, the distribution of contraceptive services in childbirth or delivery facilities </w:t>
      </w:r>
      <w:r w:rsidR="00EE2631">
        <w:t>will be considered</w:t>
      </w:r>
      <w:r w:rsidR="00EE2631" w:rsidRPr="00EE2631">
        <w:t xml:space="preserve"> through mo</w:t>
      </w:r>
      <w:r w:rsidR="00EE2631">
        <w:t>bile clinics</w:t>
      </w:r>
      <w:r w:rsidRPr="00E93435">
        <w:t>.</w:t>
      </w:r>
    </w:p>
    <w:p w14:paraId="0F1086A6" w14:textId="77777777" w:rsidR="00E93435" w:rsidRPr="00824E56" w:rsidRDefault="00E93435" w:rsidP="00E93435">
      <w:pPr>
        <w:pStyle w:val="ListParagraph"/>
        <w:ind w:left="1440"/>
        <w:jc w:val="both"/>
      </w:pPr>
    </w:p>
    <w:p w14:paraId="243FB19E" w14:textId="77777777" w:rsidR="00945886" w:rsidRDefault="00995296" w:rsidP="00CB0784">
      <w:pPr>
        <w:pStyle w:val="ListParagraph"/>
        <w:numPr>
          <w:ilvl w:val="0"/>
          <w:numId w:val="3"/>
        </w:numPr>
        <w:jc w:val="both"/>
      </w:pPr>
      <w:r w:rsidRPr="00824E56">
        <w:t xml:space="preserve">Safe abortion services including surgical and non-surgical methods of termination of pregnancy </w:t>
      </w:r>
      <w:r w:rsidR="00945886" w:rsidRPr="00824E56">
        <w:t xml:space="preserve"> and </w:t>
      </w:r>
      <w:r w:rsidR="00C92E09" w:rsidRPr="00824E56">
        <w:t xml:space="preserve">humane </w:t>
      </w:r>
      <w:r w:rsidR="00945886" w:rsidRPr="00824E56">
        <w:t>post-abortion care</w:t>
      </w:r>
      <w:r w:rsidRPr="00824E56">
        <w:t>,</w:t>
      </w:r>
      <w:r w:rsidR="00C92E09" w:rsidRPr="00824E56">
        <w:t xml:space="preserve"> regardless of the legal status of abortion</w:t>
      </w:r>
      <w:r w:rsidR="00945886" w:rsidRPr="00824E56">
        <w:t>;</w:t>
      </w:r>
    </w:p>
    <w:p w14:paraId="17AB3BD2" w14:textId="77777777" w:rsidR="000B235A" w:rsidRDefault="00E93435" w:rsidP="000B235A">
      <w:pPr>
        <w:pStyle w:val="ListParagraph"/>
        <w:ind w:left="1440"/>
        <w:jc w:val="both"/>
      </w:pPr>
      <w:r w:rsidRPr="00E93435">
        <w:t xml:space="preserve">A monitoring system for abortion cases has been established </w:t>
      </w:r>
      <w:r w:rsidR="00103DC6">
        <w:t xml:space="preserve">at the MoH </w:t>
      </w:r>
      <w:r w:rsidR="00103DC6" w:rsidRPr="00E93435">
        <w:t xml:space="preserve">facilities </w:t>
      </w:r>
      <w:r w:rsidRPr="00E93435">
        <w:t>to obtain relevant data. The majority of women and girls have access to inst</w:t>
      </w:r>
      <w:r w:rsidR="00103DC6">
        <w:t>itutionalized and safe abortion methods</w:t>
      </w:r>
      <w:r w:rsidRPr="00E93435">
        <w:t xml:space="preserve">, regardless of the legal status of abortion. </w:t>
      </w:r>
    </w:p>
    <w:p w14:paraId="080A45D5" w14:textId="31A0E896" w:rsidR="00E93435" w:rsidRDefault="00E55318" w:rsidP="000330AC">
      <w:pPr>
        <w:pStyle w:val="ListParagraph"/>
        <w:ind w:left="1440"/>
        <w:jc w:val="both"/>
      </w:pPr>
      <w:r w:rsidRPr="00E55318">
        <w:t xml:space="preserve">According to the applicable laws, abortion is criminalized unless there is a medical reason for it. Article </w:t>
      </w:r>
      <w:r>
        <w:t>(</w:t>
      </w:r>
      <w:r w:rsidRPr="00E55318">
        <w:t>8</w:t>
      </w:r>
      <w:r>
        <w:t>)</w:t>
      </w:r>
      <w:r w:rsidRPr="00E55318">
        <w:t xml:space="preserve"> of the Public Health Law stipulates that abortion is medically acceptable only </w:t>
      </w:r>
      <w:r>
        <w:t>if there is a</w:t>
      </w:r>
      <w:r w:rsidRPr="00E55318">
        <w:t xml:space="preserve"> threat to </w:t>
      </w:r>
      <w:r>
        <w:t>the woman’s life,</w:t>
      </w:r>
      <w:r w:rsidRPr="00E55318">
        <w:t xml:space="preserve"> and </w:t>
      </w:r>
      <w:r>
        <w:t>if</w:t>
      </w:r>
      <w:r w:rsidRPr="00E55318">
        <w:t xml:space="preserve"> it is certified by two doctors</w:t>
      </w:r>
      <w:r w:rsidR="00E93435" w:rsidRPr="00E93435">
        <w:t xml:space="preserve">. In this case, abortion can </w:t>
      </w:r>
      <w:r w:rsidR="00B160B6">
        <w:t>be performed with</w:t>
      </w:r>
      <w:r w:rsidR="00E93435" w:rsidRPr="00E93435">
        <w:t xml:space="preserve"> the consent of the woman</w:t>
      </w:r>
      <w:r w:rsidR="00B160B6">
        <w:t>,</w:t>
      </w:r>
      <w:r w:rsidR="00E93435" w:rsidRPr="00E93435">
        <w:t xml:space="preserve"> </w:t>
      </w:r>
      <w:r w:rsidR="00B160B6">
        <w:t>or</w:t>
      </w:r>
      <w:r w:rsidR="00E93435" w:rsidRPr="00E93435">
        <w:t xml:space="preserve"> the consent of her guardian. </w:t>
      </w:r>
      <w:r w:rsidR="000330AC" w:rsidRPr="000330AC">
        <w:t xml:space="preserve">In cases of sexual </w:t>
      </w:r>
      <w:r w:rsidR="000330AC">
        <w:t>violence and rape, an official</w:t>
      </w:r>
      <w:r w:rsidR="000330AC" w:rsidRPr="000330AC">
        <w:t xml:space="preserve"> committee reviews each case before making a decision about abortion.</w:t>
      </w:r>
    </w:p>
    <w:p w14:paraId="52CF98C4" w14:textId="77777777" w:rsidR="00E93435" w:rsidRPr="00824E56" w:rsidRDefault="00E93435" w:rsidP="00E93435">
      <w:pPr>
        <w:pStyle w:val="ListParagraph"/>
        <w:ind w:left="1440"/>
        <w:jc w:val="both"/>
      </w:pPr>
    </w:p>
    <w:p w14:paraId="6BE652EB" w14:textId="77777777" w:rsidR="004E3BDD" w:rsidRDefault="00C92E09" w:rsidP="00CB0784">
      <w:pPr>
        <w:pStyle w:val="ListParagraph"/>
        <w:numPr>
          <w:ilvl w:val="0"/>
          <w:numId w:val="3"/>
        </w:numPr>
        <w:jc w:val="both"/>
      </w:pPr>
      <w:r w:rsidRPr="00824E56">
        <w:t xml:space="preserve">Treatment for pregnancy-related morbidities such as </w:t>
      </w:r>
      <w:r w:rsidR="007B699E" w:rsidRPr="00824E56">
        <w:t xml:space="preserve">obstetric </w:t>
      </w:r>
      <w:r w:rsidR="004E3BDD" w:rsidRPr="00824E56">
        <w:t xml:space="preserve">fistula </w:t>
      </w:r>
      <w:r w:rsidRPr="00824E56">
        <w:t>and uterine prolapse</w:t>
      </w:r>
      <w:r w:rsidR="007D03B6" w:rsidRPr="00824E56">
        <w:t>,</w:t>
      </w:r>
      <w:r w:rsidRPr="00824E56">
        <w:t xml:space="preserve"> among others</w:t>
      </w:r>
      <w:r w:rsidR="00FA31A9">
        <w:t>;</w:t>
      </w:r>
    </w:p>
    <w:p w14:paraId="012485A7" w14:textId="15D96EB0" w:rsidR="00E93435" w:rsidRDefault="00DE1FD3" w:rsidP="00EA499D">
      <w:pPr>
        <w:pStyle w:val="ListParagraph"/>
        <w:ind w:left="1440"/>
        <w:jc w:val="both"/>
      </w:pPr>
      <w:r>
        <w:t>Obstetric fistulae is</w:t>
      </w:r>
      <w:r w:rsidR="00E93435" w:rsidRPr="00E93435">
        <w:t xml:space="preserve"> rare in Palestine. </w:t>
      </w:r>
      <w:r w:rsidR="00BF07CD" w:rsidRPr="00BF07CD">
        <w:t xml:space="preserve">After </w:t>
      </w:r>
      <w:r w:rsidR="00BF07CD">
        <w:t>giving birth</w:t>
      </w:r>
      <w:r w:rsidR="00BF07CD" w:rsidRPr="00BF07CD">
        <w:t>, all women should undergo a thorough evaluation of their perineum to rule out obstetric injuries.</w:t>
      </w:r>
      <w:r w:rsidR="00E93435" w:rsidRPr="00E93435">
        <w:t xml:space="preserve"> Intrapartum and immediate postpartum services are not affected by the crisis. </w:t>
      </w:r>
      <w:r w:rsidR="00615CDF" w:rsidRPr="00615CDF">
        <w:t xml:space="preserve">In contrast, treatment of uterine prolapse is not </w:t>
      </w:r>
      <w:r w:rsidR="00615CDF">
        <w:t>considered</w:t>
      </w:r>
      <w:r w:rsidR="00615CDF" w:rsidRPr="00615CDF">
        <w:t xml:space="preserve"> as a priority </w:t>
      </w:r>
      <w:r w:rsidR="00615CDF">
        <w:t>during</w:t>
      </w:r>
      <w:r w:rsidR="00615CDF" w:rsidRPr="00615CDF">
        <w:t xml:space="preserve"> emergency situation</w:t>
      </w:r>
      <w:r w:rsidR="00615CDF">
        <w:t>s</w:t>
      </w:r>
      <w:r w:rsidR="00615CDF" w:rsidRPr="00615CDF">
        <w:t xml:space="preserve">, but screening for prolapse is part of the </w:t>
      </w:r>
      <w:r w:rsidR="00615CDF">
        <w:t>postnatal services</w:t>
      </w:r>
      <w:r w:rsidR="00EA499D">
        <w:t xml:space="preserve"> provided by the MoH. </w:t>
      </w:r>
    </w:p>
    <w:p w14:paraId="26C05351" w14:textId="77777777" w:rsidR="00E93435" w:rsidRPr="00824E56" w:rsidRDefault="00E93435" w:rsidP="00E93435">
      <w:pPr>
        <w:pStyle w:val="ListParagraph"/>
        <w:ind w:left="1440"/>
        <w:jc w:val="both"/>
      </w:pPr>
    </w:p>
    <w:p w14:paraId="7E07FAFA" w14:textId="77777777" w:rsidR="00B838AA" w:rsidRDefault="00B838AA" w:rsidP="00CB0784">
      <w:pPr>
        <w:pStyle w:val="ListParagraph"/>
        <w:numPr>
          <w:ilvl w:val="0"/>
          <w:numId w:val="3"/>
        </w:numPr>
        <w:jc w:val="both"/>
      </w:pPr>
      <w:r w:rsidRPr="00824E56">
        <w:t>Screenings and treatment for reproductive cancers</w:t>
      </w:r>
      <w:r w:rsidR="00FA31A9">
        <w:t>;</w:t>
      </w:r>
    </w:p>
    <w:p w14:paraId="2861AA2C" w14:textId="01DE0151" w:rsidR="00E93435" w:rsidRDefault="00E93435" w:rsidP="008E0E7C">
      <w:pPr>
        <w:pStyle w:val="ListParagraph"/>
        <w:ind w:left="1440"/>
        <w:jc w:val="both"/>
      </w:pPr>
      <w:r w:rsidRPr="00E93435">
        <w:t xml:space="preserve">The MoH has developed a National Strategy on Cancer Prevention and Control. Early detection </w:t>
      </w:r>
      <w:r w:rsidR="00B85746">
        <w:t xml:space="preserve">of cancer </w:t>
      </w:r>
      <w:r w:rsidRPr="00E93435">
        <w:t xml:space="preserve">is one of the </w:t>
      </w:r>
      <w:r w:rsidR="00B85746">
        <w:t>main components of the strategy,</w:t>
      </w:r>
      <w:r w:rsidRPr="00E93435">
        <w:t xml:space="preserve"> through </w:t>
      </w:r>
      <w:r w:rsidR="00B85746">
        <w:t>the implementation of</w:t>
      </w:r>
      <w:r w:rsidRPr="00E93435">
        <w:t xml:space="preserve"> effective screening programs, and </w:t>
      </w:r>
      <w:r w:rsidR="00B85746" w:rsidRPr="00B85746">
        <w:t>the expansion and promotion of</w:t>
      </w:r>
      <w:r w:rsidR="00B85746">
        <w:t xml:space="preserve"> </w:t>
      </w:r>
      <w:r w:rsidRPr="00E93435">
        <w:t>national screening programs, including breast cancer mammography program, and Pap smear test for early detection of cervical cancer. However, mammograph</w:t>
      </w:r>
      <w:r w:rsidR="00347658">
        <w:t>y</w:t>
      </w:r>
      <w:r w:rsidRPr="00E93435">
        <w:t xml:space="preserve"> </w:t>
      </w:r>
      <w:r w:rsidR="00347658">
        <w:t xml:space="preserve">program </w:t>
      </w:r>
      <w:r w:rsidRPr="00E93435">
        <w:t xml:space="preserve">and pap smears </w:t>
      </w:r>
      <w:r w:rsidR="009621B1">
        <w:t>were halted</w:t>
      </w:r>
      <w:r w:rsidRPr="00E93435">
        <w:t xml:space="preserve"> during the pandemic. </w:t>
      </w:r>
      <w:r w:rsidR="000D2875">
        <w:rPr>
          <w:lang w:val="en-US"/>
        </w:rPr>
        <w:t>T</w:t>
      </w:r>
      <w:r w:rsidR="000D2875" w:rsidRPr="00E93435">
        <w:t xml:space="preserve">reatment </w:t>
      </w:r>
      <w:r w:rsidR="000D2875">
        <w:t>for r</w:t>
      </w:r>
      <w:r w:rsidRPr="00E93435">
        <w:t>eproductive cancer was not interrupted</w:t>
      </w:r>
      <w:r w:rsidR="000D2875">
        <w:t>,</w:t>
      </w:r>
      <w:r w:rsidRPr="00E93435">
        <w:t xml:space="preserve"> </w:t>
      </w:r>
      <w:r w:rsidR="00805542" w:rsidRPr="00805542">
        <w:t>but some patients were transferred to different treatment centers when the hospitals</w:t>
      </w:r>
      <w:r w:rsidR="00805542">
        <w:t>,</w:t>
      </w:r>
      <w:r w:rsidR="00805542" w:rsidRPr="00805542">
        <w:t xml:space="preserve"> where they were being treated</w:t>
      </w:r>
      <w:r w:rsidR="00805542">
        <w:t>,</w:t>
      </w:r>
      <w:r w:rsidR="00805542" w:rsidRPr="00805542">
        <w:t xml:space="preserve"> were </w:t>
      </w:r>
      <w:r w:rsidR="00805542" w:rsidRPr="00805542">
        <w:lastRenderedPageBreak/>
        <w:t>temporarily closed due to COVID-19 infection</w:t>
      </w:r>
      <w:r w:rsidR="00805542">
        <w:t xml:space="preserve">. </w:t>
      </w:r>
      <w:r w:rsidR="008E0E7C" w:rsidRPr="008E0E7C">
        <w:t xml:space="preserve">However, the situation in the Gaza Strip is much worse, as cancer patients are not allowed to seek treatment outside the Gaza Strip. The blockade of the Gaza Strip has put many women at </w:t>
      </w:r>
      <w:r w:rsidR="008E0E7C">
        <w:t xml:space="preserve">the </w:t>
      </w:r>
      <w:r w:rsidR="008E0E7C" w:rsidRPr="008E0E7C">
        <w:t>risk of losing their</w:t>
      </w:r>
      <w:r w:rsidR="008E0E7C">
        <w:t xml:space="preserve"> lives due to the delayed treatment</w:t>
      </w:r>
      <w:r w:rsidRPr="00E93435">
        <w:t>.</w:t>
      </w:r>
    </w:p>
    <w:p w14:paraId="314F9101" w14:textId="77777777" w:rsidR="00E93435" w:rsidRPr="00824E56" w:rsidRDefault="00E93435" w:rsidP="00E93435">
      <w:pPr>
        <w:pStyle w:val="ListParagraph"/>
        <w:ind w:left="1440"/>
        <w:jc w:val="both"/>
      </w:pPr>
    </w:p>
    <w:p w14:paraId="13344188" w14:textId="77777777" w:rsidR="00995296" w:rsidRDefault="00995296" w:rsidP="00CB0784">
      <w:pPr>
        <w:pStyle w:val="ListParagraph"/>
        <w:numPr>
          <w:ilvl w:val="0"/>
          <w:numId w:val="3"/>
        </w:numPr>
        <w:jc w:val="both"/>
      </w:pPr>
      <w:r w:rsidRPr="00824E56">
        <w:t xml:space="preserve">Menstrual hygiene products, </w:t>
      </w:r>
      <w:r w:rsidR="003B3FB5" w:rsidRPr="00824E56">
        <w:t xml:space="preserve">menstrual </w:t>
      </w:r>
      <w:r w:rsidRPr="00824E56">
        <w:t>pain management and menstrual regulatio</w:t>
      </w:r>
      <w:r w:rsidR="00094218" w:rsidRPr="00824E56">
        <w:t>n</w:t>
      </w:r>
      <w:r w:rsidR="00FA31A9">
        <w:t>;</w:t>
      </w:r>
    </w:p>
    <w:p w14:paraId="547AA974" w14:textId="58E10A44" w:rsidR="00E93435" w:rsidRDefault="00E93435" w:rsidP="00303A99">
      <w:pPr>
        <w:pStyle w:val="ListParagraph"/>
        <w:ind w:left="1440"/>
        <w:jc w:val="both"/>
      </w:pPr>
      <w:r w:rsidRPr="00E93435">
        <w:t>Women and girls have easy access to menstrual hygiene products and pain killers, even during lockdown</w:t>
      </w:r>
      <w:r w:rsidR="00F86364">
        <w:t>s,</w:t>
      </w:r>
      <w:r w:rsidRPr="00E93435">
        <w:t xml:space="preserve"> </w:t>
      </w:r>
      <w:r w:rsidR="00303A99">
        <w:t>as</w:t>
      </w:r>
      <w:r w:rsidRPr="00E93435">
        <w:t xml:space="preserve"> pharmacies have been </w:t>
      </w:r>
      <w:r w:rsidR="00303A99">
        <w:t>consistently</w:t>
      </w:r>
      <w:r w:rsidRPr="00E93435">
        <w:t xml:space="preserve"> excluded from the closure. Women </w:t>
      </w:r>
      <w:r w:rsidR="00303A99">
        <w:t>and</w:t>
      </w:r>
      <w:r w:rsidRPr="00E93435">
        <w:t xml:space="preserve"> girls </w:t>
      </w:r>
      <w:r w:rsidR="00F86364">
        <w:t xml:space="preserve">infected </w:t>
      </w:r>
      <w:r w:rsidRPr="00E93435">
        <w:t>with COVID-19</w:t>
      </w:r>
      <w:r w:rsidR="00F86364">
        <w:t>,</w:t>
      </w:r>
      <w:r w:rsidRPr="00E93435">
        <w:t xml:space="preserve"> and who were kept in quarantine centers, were provided with all necessary menstrual products and pain killers through </w:t>
      </w:r>
      <w:r w:rsidR="00F86364">
        <w:t xml:space="preserve">the </w:t>
      </w:r>
      <w:r w:rsidRPr="00E93435">
        <w:t>MoH and the municipality in charge.</w:t>
      </w:r>
    </w:p>
    <w:p w14:paraId="393692E6" w14:textId="77777777" w:rsidR="00E93435" w:rsidRPr="00824E56" w:rsidRDefault="00E93435" w:rsidP="00E93435">
      <w:pPr>
        <w:pStyle w:val="ListParagraph"/>
        <w:ind w:left="1440"/>
        <w:jc w:val="both"/>
      </w:pPr>
    </w:p>
    <w:p w14:paraId="56C2C9DC" w14:textId="77777777" w:rsidR="00F54EE6" w:rsidRDefault="004E3BDD" w:rsidP="00CB0784">
      <w:pPr>
        <w:pStyle w:val="ListParagraph"/>
        <w:numPr>
          <w:ilvl w:val="0"/>
          <w:numId w:val="3"/>
        </w:numPr>
        <w:jc w:val="both"/>
      </w:pPr>
      <w:r w:rsidRPr="00824E56">
        <w:t>Prevention, investigation and punishment of all forms of gender-based violence,</w:t>
      </w:r>
      <w:r w:rsidR="00F1328E" w:rsidRPr="00824E56">
        <w:t xml:space="preserve"> </w:t>
      </w:r>
      <w:r w:rsidRPr="00824E56">
        <w:t xml:space="preserve">and access to </w:t>
      </w:r>
      <w:r w:rsidR="00C92E09" w:rsidRPr="00824E56">
        <w:t xml:space="preserve">timely and </w:t>
      </w:r>
      <w:r w:rsidRPr="00824E56">
        <w:t xml:space="preserve">comprehensive medical </w:t>
      </w:r>
      <w:r w:rsidR="00C92E09" w:rsidRPr="00824E56">
        <w:t>interventions</w:t>
      </w:r>
      <w:r w:rsidRPr="00824E56">
        <w:t>, mental health care</w:t>
      </w:r>
      <w:r w:rsidR="00EE775C" w:rsidRPr="00824E56">
        <w:t>,</w:t>
      </w:r>
      <w:r w:rsidRPr="00824E56">
        <w:t xml:space="preserve"> and psychosocial support </w:t>
      </w:r>
      <w:r w:rsidR="00EE775C" w:rsidRPr="00824E56">
        <w:t>for</w:t>
      </w:r>
      <w:r w:rsidRPr="00824E56">
        <w:t xml:space="preserve"> victims</w:t>
      </w:r>
      <w:r w:rsidR="00EE775C" w:rsidRPr="00824E56">
        <w:t xml:space="preserve"> and survivors</w:t>
      </w:r>
      <w:r w:rsidRPr="00824E56">
        <w:t>;</w:t>
      </w:r>
    </w:p>
    <w:p w14:paraId="53BF2C8A" w14:textId="22758C9B" w:rsidR="00AD1732" w:rsidRDefault="00AD1732" w:rsidP="008E754D">
      <w:pPr>
        <w:pStyle w:val="ListParagraph"/>
        <w:ind w:left="1440"/>
        <w:jc w:val="both"/>
      </w:pPr>
      <w:r w:rsidRPr="00AD1732">
        <w:t xml:space="preserve">Several actions have been taken to put in place a legal framework regulating women’s rights. For instance, the draft law concerning protection of the family from violence includes provisions for the protection of women from violence that are consistent with the </w:t>
      </w:r>
      <w:r w:rsidR="008E754D">
        <w:t xml:space="preserve">CEDAW </w:t>
      </w:r>
      <w:r w:rsidRPr="00AD1732">
        <w:t xml:space="preserve">Convention. Those measures make it easier for women victims to access justice and ensuring that anyone who commits such crimes against them is prosecuted. Work is being done to amend certain articles of the </w:t>
      </w:r>
      <w:r w:rsidR="008E754D">
        <w:t xml:space="preserve">applicable </w:t>
      </w:r>
      <w:r w:rsidRPr="00AD1732">
        <w:t xml:space="preserve">Penal Code. For example, article 99 on mitigating circumstances is being amended to ensure that it does not apply to </w:t>
      </w:r>
      <w:r w:rsidR="008E754D">
        <w:t xml:space="preserve">crimes against women and girls, </w:t>
      </w:r>
      <w:r w:rsidRPr="00AD1732">
        <w:t xml:space="preserve">article 308, which provides for prosecution and the enforcement of judgments to be suspended if the perpetrator marries the victim, </w:t>
      </w:r>
      <w:r w:rsidR="008E754D">
        <w:t>has been repealed</w:t>
      </w:r>
      <w:r w:rsidRPr="00AD1732">
        <w:t>. Numerous other amendments have recently been made to certa</w:t>
      </w:r>
      <w:r w:rsidR="008E754D">
        <w:t xml:space="preserve">in provisions of the penal laws. </w:t>
      </w:r>
    </w:p>
    <w:p w14:paraId="7DAE4942" w14:textId="5FB55129" w:rsidR="00E93435" w:rsidRDefault="00E93435" w:rsidP="00903769">
      <w:pPr>
        <w:pStyle w:val="ListParagraph"/>
        <w:ind w:left="1440"/>
        <w:jc w:val="both"/>
      </w:pPr>
      <w:r>
        <w:t xml:space="preserve">However, Palestinian women </w:t>
      </w:r>
      <w:r w:rsidR="00985B61">
        <w:t>and girls are subjected to all forms of violence</w:t>
      </w:r>
      <w:r>
        <w:t xml:space="preserve"> </w:t>
      </w:r>
      <w:r w:rsidR="00985B61">
        <w:t xml:space="preserve">by </w:t>
      </w:r>
      <w:r>
        <w:t>Israeli occupation</w:t>
      </w:r>
      <w:r w:rsidR="00985B61">
        <w:t xml:space="preserve"> forces and settlers.</w:t>
      </w:r>
      <w:r>
        <w:t xml:space="preserve"> </w:t>
      </w:r>
      <w:r w:rsidR="00985B61" w:rsidRPr="00985B61">
        <w:t>In addition to restrictions on movement and access to certain services due to restrictive measures imposed by the government during the pandemic.</w:t>
      </w:r>
      <w:r w:rsidR="00985B61">
        <w:t xml:space="preserve"> </w:t>
      </w:r>
      <w:r w:rsidR="00A04D45" w:rsidRPr="00A04D45">
        <w:t xml:space="preserve">Nevertheless, the </w:t>
      </w:r>
      <w:r w:rsidR="00A04D45">
        <w:t>MoH</w:t>
      </w:r>
      <w:r w:rsidR="00A04D45" w:rsidRPr="00A04D45">
        <w:t xml:space="preserve"> </w:t>
      </w:r>
      <w:r w:rsidR="00903769">
        <w:t>is cooperating</w:t>
      </w:r>
      <w:r w:rsidR="00A04D45" w:rsidRPr="00A04D45">
        <w:t xml:space="preserve"> with all relevant ministries, partners and authorities to provide all necessary services for women and girls infected with the coronavirus, including </w:t>
      </w:r>
      <w:r w:rsidR="00A04D45">
        <w:t>preventive</w:t>
      </w:r>
      <w:r w:rsidR="00A04D45" w:rsidRPr="00A04D45">
        <w:t xml:space="preserve"> and </w:t>
      </w:r>
      <w:r w:rsidR="00A04D45">
        <w:t>responsive</w:t>
      </w:r>
      <w:r w:rsidR="00A04D45" w:rsidRPr="00A04D45">
        <w:t xml:space="preserve"> activities and psychosocial support.</w:t>
      </w:r>
      <w:r w:rsidR="00A04D45">
        <w:t xml:space="preserve"> The </w:t>
      </w:r>
      <w:r>
        <w:t xml:space="preserve">MoH also ensures </w:t>
      </w:r>
      <w:r w:rsidR="00A04D45">
        <w:t xml:space="preserve">the </w:t>
      </w:r>
      <w:r>
        <w:t xml:space="preserve">protection of all women </w:t>
      </w:r>
      <w:r w:rsidR="00A04D45">
        <w:t xml:space="preserve">and girls, </w:t>
      </w:r>
      <w:r>
        <w:t xml:space="preserve">including </w:t>
      </w:r>
      <w:r w:rsidR="00526FD6">
        <w:t>those infected with the c</w:t>
      </w:r>
      <w:r w:rsidR="00A04D45">
        <w:t>oronavirus</w:t>
      </w:r>
      <w:r>
        <w:t xml:space="preserve">, </w:t>
      </w:r>
      <w:r w:rsidR="00903769">
        <w:t>by setting up</w:t>
      </w:r>
      <w:r w:rsidR="00903769" w:rsidRPr="00903769">
        <w:t xml:space="preserve"> isolation </w:t>
      </w:r>
      <w:r w:rsidR="00903769">
        <w:t>rooms</w:t>
      </w:r>
      <w:r w:rsidR="00903769" w:rsidRPr="00903769">
        <w:t xml:space="preserve"> for victims of gender-based violence infected w</w:t>
      </w:r>
      <w:r w:rsidR="00903769">
        <w:t xml:space="preserve">ith the virus </w:t>
      </w:r>
      <w:r w:rsidR="00903769" w:rsidRPr="00903769">
        <w:t xml:space="preserve">in hospitals and quarantine centers. The </w:t>
      </w:r>
      <w:r w:rsidR="00903769">
        <w:t>MoH</w:t>
      </w:r>
      <w:r w:rsidR="00903769" w:rsidRPr="00903769">
        <w:t xml:space="preserve"> will also make a decision to exempt victims of GBV from the costs of emergency medical interventions.</w:t>
      </w:r>
    </w:p>
    <w:p w14:paraId="2025CBAF" w14:textId="77777777" w:rsidR="00E93435" w:rsidRPr="00824E56" w:rsidRDefault="00E93435" w:rsidP="00E93435">
      <w:pPr>
        <w:pStyle w:val="ListParagraph"/>
        <w:ind w:left="1440"/>
        <w:jc w:val="both"/>
      </w:pPr>
    </w:p>
    <w:p w14:paraId="7126AC48" w14:textId="6CED988E" w:rsidR="004E3BDD" w:rsidRDefault="00DD4D6C" w:rsidP="00CB0784">
      <w:pPr>
        <w:pStyle w:val="ListParagraph"/>
        <w:numPr>
          <w:ilvl w:val="0"/>
          <w:numId w:val="3"/>
        </w:numPr>
        <w:jc w:val="both"/>
      </w:pPr>
      <w:r w:rsidRPr="00824E56">
        <w:t>Measures to p</w:t>
      </w:r>
      <w:r w:rsidR="00882FAB" w:rsidRPr="00824E56">
        <w:t xml:space="preserve">revent and prohibit </w:t>
      </w:r>
      <w:r w:rsidRPr="00824E56">
        <w:t xml:space="preserve">practices such as </w:t>
      </w:r>
      <w:r w:rsidR="00882FAB" w:rsidRPr="00824E56">
        <w:t>female genital mutilation</w:t>
      </w:r>
      <w:r w:rsidR="00031377">
        <w:t xml:space="preserve"> and</w:t>
      </w:r>
      <w:r w:rsidR="00882FAB" w:rsidRPr="00824E56">
        <w:t xml:space="preserve"> child</w:t>
      </w:r>
      <w:r w:rsidR="00031377">
        <w:t xml:space="preserve">, early </w:t>
      </w:r>
      <w:r w:rsidR="00882FAB" w:rsidRPr="00824E56">
        <w:t>and forced marriage</w:t>
      </w:r>
      <w:r w:rsidR="00FA31A9">
        <w:t>;</w:t>
      </w:r>
    </w:p>
    <w:p w14:paraId="6503B258" w14:textId="2AF2AB7A" w:rsidR="00E93435" w:rsidRDefault="00E93435" w:rsidP="00D45449">
      <w:pPr>
        <w:pStyle w:val="ListParagraph"/>
        <w:ind w:left="1440"/>
        <w:jc w:val="both"/>
      </w:pPr>
      <w:r w:rsidRPr="00E93435">
        <w:t xml:space="preserve">Genital mutilation is not practiced in Palestine. </w:t>
      </w:r>
      <w:r w:rsidR="00954E5E">
        <w:t xml:space="preserve">The State of </w:t>
      </w:r>
      <w:r w:rsidRPr="00E93435">
        <w:t>Palestine has committed to eliminate child, early and forced marriage by 2030 in line with target 5.3 of the Sustainable</w:t>
      </w:r>
      <w:r w:rsidR="00954E5E">
        <w:t xml:space="preserve"> Development Goals</w:t>
      </w:r>
      <w:r w:rsidRPr="00E93435">
        <w:t xml:space="preserve">. The </w:t>
      </w:r>
      <w:r w:rsidR="00A02B0F">
        <w:t xml:space="preserve">minimum </w:t>
      </w:r>
      <w:r w:rsidRPr="00E93435">
        <w:t xml:space="preserve">age </w:t>
      </w:r>
      <w:r w:rsidR="00954E5E">
        <w:t>of</w:t>
      </w:r>
      <w:r w:rsidRPr="00E93435">
        <w:t xml:space="preserve"> marriage </w:t>
      </w:r>
      <w:r w:rsidR="00D45449">
        <w:t>has been</w:t>
      </w:r>
      <w:r w:rsidRPr="00E93435">
        <w:t xml:space="preserve"> raised to 18 years</w:t>
      </w:r>
      <w:r w:rsidR="00A02B0F">
        <w:t xml:space="preserve"> old for </w:t>
      </w:r>
      <w:r w:rsidR="00D45449">
        <w:t xml:space="preserve">both </w:t>
      </w:r>
      <w:r w:rsidR="00A02B0F">
        <w:t>males and females,</w:t>
      </w:r>
      <w:r w:rsidRPr="00E93435">
        <w:t xml:space="preserve"> </w:t>
      </w:r>
      <w:r w:rsidR="00A02B0F">
        <w:t>in line with</w:t>
      </w:r>
      <w:r w:rsidRPr="00E93435">
        <w:t xml:space="preserve"> the recommendation</w:t>
      </w:r>
      <w:r w:rsidR="00A02B0F">
        <w:t>s</w:t>
      </w:r>
      <w:r w:rsidRPr="00E93435">
        <w:t xml:space="preserve"> of</w:t>
      </w:r>
      <w:r w:rsidR="00A02B0F">
        <w:t xml:space="preserve"> Human Rights Treaty Bodies, including the CEDAW Committee</w:t>
      </w:r>
      <w:r w:rsidRPr="00E93435">
        <w:t xml:space="preserve">. Medical education </w:t>
      </w:r>
      <w:r w:rsidR="00D45449">
        <w:t>emphasiz</w:t>
      </w:r>
      <w:r w:rsidR="00A02B0F">
        <w:t>es</w:t>
      </w:r>
      <w:r w:rsidRPr="00E93435">
        <w:t xml:space="preserve"> the negative impact of early marriage </w:t>
      </w:r>
      <w:r w:rsidR="00A02B0F">
        <w:t>on</w:t>
      </w:r>
      <w:r w:rsidRPr="00E93435">
        <w:t xml:space="preserve"> the </w:t>
      </w:r>
      <w:r w:rsidR="00D45449">
        <w:t>heal</w:t>
      </w:r>
      <w:r w:rsidR="00A02B0F">
        <w:t xml:space="preserve">th of </w:t>
      </w:r>
      <w:r w:rsidRPr="00E93435">
        <w:t xml:space="preserve">women </w:t>
      </w:r>
      <w:r w:rsidR="00A02B0F">
        <w:t>and girls.</w:t>
      </w:r>
    </w:p>
    <w:p w14:paraId="2FFA318E" w14:textId="77777777" w:rsidR="00E93435" w:rsidRPr="00824E56" w:rsidRDefault="00E93435" w:rsidP="00E93435">
      <w:pPr>
        <w:pStyle w:val="ListParagraph"/>
        <w:ind w:left="1440"/>
        <w:jc w:val="both"/>
      </w:pPr>
    </w:p>
    <w:p w14:paraId="73AC3D5D" w14:textId="77777777" w:rsidR="007D03B6" w:rsidRDefault="007D03B6" w:rsidP="00CB0784">
      <w:pPr>
        <w:pStyle w:val="ListParagraph"/>
        <w:numPr>
          <w:ilvl w:val="0"/>
          <w:numId w:val="3"/>
        </w:numPr>
        <w:jc w:val="both"/>
      </w:pPr>
      <w:r w:rsidRPr="00824E56">
        <w:t xml:space="preserve">Legal and policy safeguards against abuses and delays in the provision of </w:t>
      </w:r>
      <w:r w:rsidR="00632712" w:rsidRPr="00824E56">
        <w:t xml:space="preserve">SRH </w:t>
      </w:r>
      <w:r w:rsidRPr="00824E56">
        <w:t xml:space="preserve">services for example in relation to confidentiality, referrals, </w:t>
      </w:r>
      <w:r w:rsidR="00094218" w:rsidRPr="00824E56">
        <w:t xml:space="preserve">informed consent, </w:t>
      </w:r>
      <w:r w:rsidRPr="00824E56">
        <w:t>conscientious objection, and third party consent requirements</w:t>
      </w:r>
      <w:r w:rsidR="00FA31A9">
        <w:t>;</w:t>
      </w:r>
    </w:p>
    <w:p w14:paraId="1DC14CAB" w14:textId="77777777" w:rsidR="006B2949" w:rsidRDefault="00F57B98" w:rsidP="006B2949">
      <w:pPr>
        <w:pStyle w:val="ListParagraph"/>
        <w:ind w:left="1440"/>
        <w:jc w:val="both"/>
      </w:pPr>
      <w:r>
        <w:lastRenderedPageBreak/>
        <w:t>The Amended Basic Law and t</w:t>
      </w:r>
      <w:r w:rsidR="00E93435">
        <w:t xml:space="preserve">he Charter of Women’s Rights, </w:t>
      </w:r>
      <w:r w:rsidR="00044120">
        <w:t>published</w:t>
      </w:r>
      <w:r w:rsidR="00E93435">
        <w:t xml:space="preserve"> in 2008, </w:t>
      </w:r>
      <w:r>
        <w:t>guarantee</w:t>
      </w:r>
      <w:r w:rsidR="00E93435">
        <w:t xml:space="preserve"> equality </w:t>
      </w:r>
      <w:r w:rsidR="00044120">
        <w:t>and</w:t>
      </w:r>
      <w:r w:rsidR="00E93435">
        <w:t xml:space="preserve"> a number of economic, political and social rights</w:t>
      </w:r>
      <w:r w:rsidR="00044120">
        <w:t xml:space="preserve"> without discrimination</w:t>
      </w:r>
      <w:r w:rsidR="00E93435">
        <w:t xml:space="preserve">. </w:t>
      </w:r>
      <w:r>
        <w:t>They</w:t>
      </w:r>
      <w:r w:rsidR="00E93435">
        <w:t xml:space="preserve"> </w:t>
      </w:r>
      <w:r>
        <w:t>ensure</w:t>
      </w:r>
      <w:r w:rsidR="00044120">
        <w:t xml:space="preserve"> the</w:t>
      </w:r>
      <w:r w:rsidR="00FE2FE8">
        <w:t xml:space="preserve"> right</w:t>
      </w:r>
      <w:r w:rsidR="00E93435">
        <w:t xml:space="preserve"> of women to </w:t>
      </w:r>
      <w:r w:rsidR="00196E5B">
        <w:t xml:space="preserve">equal health care and services, </w:t>
      </w:r>
      <w:r>
        <w:t xml:space="preserve">they </w:t>
      </w:r>
      <w:r w:rsidR="00196E5B">
        <w:t xml:space="preserve">also </w:t>
      </w:r>
      <w:r>
        <w:t>affirm</w:t>
      </w:r>
      <w:r w:rsidR="00E93435">
        <w:t xml:space="preserve"> women’s </w:t>
      </w:r>
      <w:r w:rsidR="00196E5B">
        <w:t>access</w:t>
      </w:r>
      <w:r w:rsidR="00E93435">
        <w:t xml:space="preserve"> </w:t>
      </w:r>
      <w:r w:rsidR="00196E5B">
        <w:t xml:space="preserve">to </w:t>
      </w:r>
      <w:r w:rsidR="00E93435">
        <w:t>information</w:t>
      </w:r>
      <w:r w:rsidR="00196E5B">
        <w:t xml:space="preserve"> about their health status</w:t>
      </w:r>
      <w:r w:rsidR="003E7EC8">
        <w:t xml:space="preserve"> and eliminate</w:t>
      </w:r>
      <w:r w:rsidR="00196E5B">
        <w:t xml:space="preserve"> all forms of violence against them. The </w:t>
      </w:r>
      <w:r w:rsidR="00E93435">
        <w:t xml:space="preserve">MoH conducted </w:t>
      </w:r>
      <w:r w:rsidR="0044235C">
        <w:t xml:space="preserve">several </w:t>
      </w:r>
      <w:r w:rsidR="00E93435">
        <w:t>training</w:t>
      </w:r>
      <w:r w:rsidR="0044235C">
        <w:t>s,</w:t>
      </w:r>
      <w:r w:rsidR="00E93435">
        <w:t xml:space="preserve"> </w:t>
      </w:r>
      <w:r w:rsidR="0044235C">
        <w:t xml:space="preserve">for all relevant personnel working in the health sector, </w:t>
      </w:r>
      <w:r w:rsidR="00E93435">
        <w:t xml:space="preserve">on the implementation of the </w:t>
      </w:r>
      <w:r w:rsidR="0044235C">
        <w:t>National Referral S</w:t>
      </w:r>
      <w:r w:rsidR="00E93435">
        <w:t xml:space="preserve">ystem for women </w:t>
      </w:r>
      <w:r w:rsidR="0044235C">
        <w:t xml:space="preserve">and girls </w:t>
      </w:r>
      <w:r w:rsidR="00E93435">
        <w:t xml:space="preserve">victims of violence, in addition to allocating the necessary resources to ensure </w:t>
      </w:r>
      <w:r w:rsidR="0044235C">
        <w:t>its</w:t>
      </w:r>
      <w:r w:rsidR="00E93435">
        <w:t xml:space="preserve"> effective and comprehensive implementation. </w:t>
      </w:r>
      <w:r w:rsidR="003E7EC8">
        <w:t xml:space="preserve">Palestinian Basic Law and the abovementioned </w:t>
      </w:r>
      <w:r w:rsidR="0044235C">
        <w:t xml:space="preserve">Charter </w:t>
      </w:r>
      <w:r w:rsidR="003E7EC8">
        <w:t>prohibit</w:t>
      </w:r>
      <w:r w:rsidR="0044235C">
        <w:t xml:space="preserve"> torture </w:t>
      </w:r>
      <w:r w:rsidR="003E7EC8">
        <w:t xml:space="preserve">and </w:t>
      </w:r>
      <w:r w:rsidR="0044235C">
        <w:t>other cruel, inhuman, or d</w:t>
      </w:r>
      <w:r w:rsidR="00E93435">
        <w:t>egr</w:t>
      </w:r>
      <w:r w:rsidR="0044235C">
        <w:t xml:space="preserve">ading treatment or punishment, </w:t>
      </w:r>
      <w:r w:rsidR="003E7EC8">
        <w:t>they</w:t>
      </w:r>
      <w:r w:rsidR="0044235C">
        <w:t xml:space="preserve"> also g</w:t>
      </w:r>
      <w:r w:rsidR="00E93435">
        <w:t>uarantee access to emergency contracepti</w:t>
      </w:r>
      <w:r w:rsidR="00223F16">
        <w:t>on, especially in cases of rape, and the right to terminate</w:t>
      </w:r>
      <w:r w:rsidR="00E93435">
        <w:t xml:space="preserve"> pregnancy when a woman’s life or health is in danger, in cases of rape and fatal impairment.</w:t>
      </w:r>
    </w:p>
    <w:p w14:paraId="3E192485" w14:textId="13BD64C9" w:rsidR="00E93435" w:rsidRDefault="00DA184B" w:rsidP="00797E5A">
      <w:pPr>
        <w:pStyle w:val="ListParagraph"/>
        <w:ind w:left="1440"/>
        <w:jc w:val="both"/>
      </w:pPr>
      <w:r w:rsidRPr="00DA184B">
        <w:t xml:space="preserve">The right to privacy </w:t>
      </w:r>
      <w:r w:rsidR="00797E5A">
        <w:t>includes</w:t>
      </w:r>
      <w:r w:rsidRPr="00DA184B">
        <w:t xml:space="preserve"> the right to bodily autonomy and decision-making in matters of sexual and reproductive health, </w:t>
      </w:r>
      <w:r w:rsidR="00797E5A">
        <w:t>and confidential</w:t>
      </w:r>
      <w:r w:rsidRPr="00DA184B">
        <w:t xml:space="preserve"> health information, </w:t>
      </w:r>
      <w:r w:rsidR="00797E5A">
        <w:t>in addition to</w:t>
      </w:r>
      <w:r w:rsidRPr="00DA184B">
        <w:t xml:space="preserve"> the prohibition </w:t>
      </w:r>
      <w:r w:rsidR="00797E5A">
        <w:t xml:space="preserve">of </w:t>
      </w:r>
      <w:r w:rsidRPr="00DA184B">
        <w:t>consent</w:t>
      </w:r>
      <w:r w:rsidR="00797E5A">
        <w:t xml:space="preserve"> from third parties</w:t>
      </w:r>
      <w:r>
        <w:t>, such as spouse and/</w:t>
      </w:r>
      <w:r w:rsidRPr="00DA184B">
        <w:t xml:space="preserve">or parents, to sexual </w:t>
      </w:r>
      <w:r>
        <w:t xml:space="preserve">and reproductive </w:t>
      </w:r>
      <w:r w:rsidRPr="00DA184B">
        <w:t>health services.</w:t>
      </w:r>
    </w:p>
    <w:p w14:paraId="23E82272" w14:textId="77777777" w:rsidR="00DA184B" w:rsidRPr="00824E56" w:rsidRDefault="00DA184B" w:rsidP="00E93435">
      <w:pPr>
        <w:pStyle w:val="ListParagraph"/>
        <w:ind w:left="1440"/>
        <w:jc w:val="both"/>
      </w:pPr>
    </w:p>
    <w:p w14:paraId="31BB18B0" w14:textId="284F164C" w:rsidR="0091248A" w:rsidRDefault="0091248A" w:rsidP="00CB0784">
      <w:pPr>
        <w:pStyle w:val="ListParagraph"/>
        <w:numPr>
          <w:ilvl w:val="0"/>
          <w:numId w:val="3"/>
        </w:numPr>
        <w:jc w:val="both"/>
      </w:pPr>
      <w:r w:rsidRPr="00824E56">
        <w:t>The affordability of SRH services</w:t>
      </w:r>
      <w:r w:rsidR="0000258A" w:rsidRPr="00824E56">
        <w:t xml:space="preserve"> especially </w:t>
      </w:r>
      <w:r w:rsidR="005C1759">
        <w:t>for</w:t>
      </w:r>
      <w:r w:rsidR="0000258A" w:rsidRPr="00824E56">
        <w:t xml:space="preserve"> those in situations of vulnerability</w:t>
      </w:r>
      <w:r w:rsidR="00AE53F4">
        <w:t xml:space="preserve">; </w:t>
      </w:r>
    </w:p>
    <w:p w14:paraId="7D171981" w14:textId="3ACB14DD" w:rsidR="00AE53F4" w:rsidRDefault="00AE53F4" w:rsidP="00A41A83">
      <w:pPr>
        <w:pStyle w:val="ListParagraph"/>
        <w:ind w:left="1440"/>
        <w:jc w:val="both"/>
      </w:pPr>
      <w:r w:rsidRPr="00AE53F4">
        <w:t>The vision of the MoH, as stated in the National Health Strategy</w:t>
      </w:r>
      <w:r w:rsidR="00A41A83">
        <w:t>,</w:t>
      </w:r>
      <w:r w:rsidRPr="00AE53F4">
        <w:t xml:space="preserve"> is to </w:t>
      </w:r>
      <w:r w:rsidR="00A41A83">
        <w:t>ensure</w:t>
      </w:r>
      <w:r w:rsidRPr="00AE53F4">
        <w:t xml:space="preserve"> health </w:t>
      </w:r>
      <w:r w:rsidR="00A41A83">
        <w:t>care for</w:t>
      </w:r>
      <w:r w:rsidRPr="00AE53F4">
        <w:t xml:space="preserve"> all Palestinians</w:t>
      </w:r>
      <w:r w:rsidR="00A41A83">
        <w:t>,</w:t>
      </w:r>
      <w:r w:rsidRPr="00AE53F4">
        <w:t xml:space="preserve"> by providing </w:t>
      </w:r>
      <w:r w:rsidR="00A41A83">
        <w:t xml:space="preserve">them with high quality health services, </w:t>
      </w:r>
      <w:r w:rsidRPr="00AE53F4">
        <w:t xml:space="preserve">which </w:t>
      </w:r>
      <w:r w:rsidR="00A41A83">
        <w:t xml:space="preserve">are </w:t>
      </w:r>
      <w:r w:rsidRPr="00AE53F4">
        <w:t>accessible to all Palestinians regardless of their age, residency, sex or disability. The MoH</w:t>
      </w:r>
      <w:r w:rsidR="00A41A83">
        <w:t>’s vision for reproductive h</w:t>
      </w:r>
      <w:r w:rsidRPr="00AE53F4">
        <w:t>ealth is ‘to promote optimal and equitable reproductive and sexual health</w:t>
      </w:r>
      <w:r w:rsidR="00DA0508">
        <w:t xml:space="preserve"> </w:t>
      </w:r>
      <w:r w:rsidRPr="00AE53F4">
        <w:t>and rights of all people in Palestine</w:t>
      </w:r>
      <w:r w:rsidR="00DA0508">
        <w:t>,</w:t>
      </w:r>
      <w:r w:rsidRPr="00AE53F4">
        <w:t xml:space="preserve"> through the development of </w:t>
      </w:r>
      <w:r w:rsidR="00DA0508">
        <w:t xml:space="preserve">an </w:t>
      </w:r>
      <w:r w:rsidRPr="00AE53F4">
        <w:t xml:space="preserve">effective reproductive health system, population policies, </w:t>
      </w:r>
      <w:r w:rsidR="00DA0508">
        <w:t xml:space="preserve">the </w:t>
      </w:r>
      <w:r w:rsidRPr="00AE53F4">
        <w:t>implementation of quality reproductive health care, public health surveillance, research, leadership, strategic partnerships, capacity building, preparedness, and access to information.’</w:t>
      </w:r>
    </w:p>
    <w:p w14:paraId="6B9D1418" w14:textId="77777777" w:rsidR="00AE53F4" w:rsidRPr="00824E56" w:rsidRDefault="00AE53F4" w:rsidP="00AE53F4">
      <w:pPr>
        <w:pStyle w:val="ListParagraph"/>
        <w:ind w:left="1440"/>
        <w:jc w:val="both"/>
      </w:pPr>
    </w:p>
    <w:p w14:paraId="71AEF42C" w14:textId="6440C1E3" w:rsidR="00B838AA" w:rsidRDefault="00B838AA" w:rsidP="00CB0784">
      <w:pPr>
        <w:pStyle w:val="ListParagraph"/>
        <w:numPr>
          <w:ilvl w:val="0"/>
          <w:numId w:val="3"/>
        </w:numPr>
        <w:jc w:val="both"/>
      </w:pPr>
      <w:r w:rsidRPr="00824E56">
        <w:t>Other pertinent information</w:t>
      </w:r>
      <w:r w:rsidR="00CA68D2" w:rsidRPr="00824E56">
        <w:t xml:space="preserve"> that may affect the availability accessibility, affordability, acceptability and quality of  SRH services</w:t>
      </w:r>
      <w:r w:rsidR="00031377">
        <w:t xml:space="preserve"> and information</w:t>
      </w:r>
      <w:r w:rsidRPr="00824E56">
        <w:t>.</w:t>
      </w:r>
    </w:p>
    <w:p w14:paraId="1E414A35" w14:textId="67C064E8" w:rsidR="007C48B0" w:rsidRDefault="00AE53F4" w:rsidP="007C48B0">
      <w:pPr>
        <w:pStyle w:val="ListParagraph"/>
        <w:numPr>
          <w:ilvl w:val="0"/>
          <w:numId w:val="23"/>
        </w:numPr>
        <w:jc w:val="both"/>
      </w:pPr>
      <w:r>
        <w:t>Strategic plans related to SHR</w:t>
      </w:r>
      <w:r w:rsidR="00940274">
        <w:t xml:space="preserve"> services</w:t>
      </w:r>
      <w:r>
        <w:t xml:space="preserve">, post-abortion, gender-based violence, postpartum and mothers of abnormal babies are available, but </w:t>
      </w:r>
      <w:r w:rsidR="008815FC">
        <w:t xml:space="preserve">their </w:t>
      </w:r>
      <w:r>
        <w:t>implementation is delayed.</w:t>
      </w:r>
    </w:p>
    <w:p w14:paraId="1D0B78FD" w14:textId="112273E8" w:rsidR="007C48B0" w:rsidRDefault="00263F98" w:rsidP="00A0368C">
      <w:pPr>
        <w:pStyle w:val="ListParagraph"/>
        <w:numPr>
          <w:ilvl w:val="0"/>
          <w:numId w:val="23"/>
        </w:numPr>
        <w:jc w:val="both"/>
      </w:pPr>
      <w:r>
        <w:t>Several d</w:t>
      </w:r>
      <w:r w:rsidR="008815FC">
        <w:t>raft laws relevant to S</w:t>
      </w:r>
      <w:r w:rsidR="00AE53F4">
        <w:t xml:space="preserve">HR </w:t>
      </w:r>
      <w:r w:rsidR="008815FC">
        <w:t xml:space="preserve">services </w:t>
      </w:r>
      <w:r w:rsidR="00A0368C">
        <w:t>have not yet been adopted.</w:t>
      </w:r>
      <w:r>
        <w:t xml:space="preserve"> </w:t>
      </w:r>
    </w:p>
    <w:p w14:paraId="73B82C1E" w14:textId="656ACD25" w:rsidR="007C48B0" w:rsidRDefault="00A0368C" w:rsidP="00A0368C">
      <w:pPr>
        <w:pStyle w:val="ListParagraph"/>
        <w:numPr>
          <w:ilvl w:val="0"/>
          <w:numId w:val="23"/>
        </w:numPr>
        <w:jc w:val="both"/>
      </w:pPr>
      <w:r>
        <w:t>The lack of c</w:t>
      </w:r>
      <w:r w:rsidR="00AE53F4">
        <w:t>omprehensive and age-appropriate education on sexual and reproductive health</w:t>
      </w:r>
      <w:r w:rsidR="007C48B0">
        <w:t xml:space="preserve"> </w:t>
      </w:r>
      <w:r w:rsidR="00AE53F4">
        <w:t>rights in schools</w:t>
      </w:r>
      <w:r w:rsidR="00DF7BA5">
        <w:t>.</w:t>
      </w:r>
      <w:r w:rsidR="00AE53F4">
        <w:t xml:space="preserve"> </w:t>
      </w:r>
      <w:r w:rsidR="00DF7BA5">
        <w:t>However,</w:t>
      </w:r>
      <w:r w:rsidR="00AE53F4">
        <w:t xml:space="preserve"> </w:t>
      </w:r>
      <w:r w:rsidR="00263F98">
        <w:t xml:space="preserve">several </w:t>
      </w:r>
      <w:r w:rsidR="00AE53F4">
        <w:t xml:space="preserve">manuals </w:t>
      </w:r>
      <w:r w:rsidR="00DF7BA5">
        <w:t>have been</w:t>
      </w:r>
      <w:r w:rsidR="00263F98">
        <w:t xml:space="preserve"> </w:t>
      </w:r>
      <w:r w:rsidR="00AE53F4">
        <w:t xml:space="preserve">developed </w:t>
      </w:r>
      <w:r w:rsidR="00DF7BA5">
        <w:t>to train</w:t>
      </w:r>
      <w:r w:rsidR="00263F98">
        <w:t xml:space="preserve"> teachers on SHR services.</w:t>
      </w:r>
    </w:p>
    <w:p w14:paraId="441AC54F" w14:textId="5B98D200" w:rsidR="007C48B0" w:rsidRDefault="00AE53F4" w:rsidP="000A1690">
      <w:pPr>
        <w:pStyle w:val="ListParagraph"/>
        <w:numPr>
          <w:ilvl w:val="0"/>
          <w:numId w:val="23"/>
        </w:numPr>
        <w:jc w:val="both"/>
      </w:pPr>
      <w:r>
        <w:t>Information on family planning methods is not consistently provided to women</w:t>
      </w:r>
      <w:r w:rsidR="007C48B0">
        <w:t xml:space="preserve"> </w:t>
      </w:r>
      <w:r>
        <w:t xml:space="preserve">before or after abortion. </w:t>
      </w:r>
      <w:r w:rsidR="000A1690" w:rsidRPr="000A1690">
        <w:t>While family planning services are widely offered by the public health system, their full use is limited, especially for vulnerable women from marginalized communities</w:t>
      </w:r>
      <w:r w:rsidR="000A1690">
        <w:t>,</w:t>
      </w:r>
      <w:r w:rsidR="000A1690" w:rsidRPr="000A1690">
        <w:t xml:space="preserve"> due to </w:t>
      </w:r>
      <w:r w:rsidR="000A1690">
        <w:t>limited</w:t>
      </w:r>
      <w:r w:rsidR="000A1690" w:rsidRPr="000A1690">
        <w:t xml:space="preserve"> physical access </w:t>
      </w:r>
      <w:r w:rsidR="000A1690">
        <w:t xml:space="preserve">to these services, </w:t>
      </w:r>
      <w:r w:rsidR="000A1690" w:rsidRPr="000A1690">
        <w:t xml:space="preserve">lack of awareness </w:t>
      </w:r>
      <w:r w:rsidR="000A1690">
        <w:t xml:space="preserve">, in addition to the </w:t>
      </w:r>
      <w:r>
        <w:t>socio-economic conditions.</w:t>
      </w:r>
    </w:p>
    <w:p w14:paraId="3A7348D7" w14:textId="5FF85737" w:rsidR="007C48B0" w:rsidRDefault="003D561A" w:rsidP="003D561A">
      <w:pPr>
        <w:pStyle w:val="ListParagraph"/>
        <w:numPr>
          <w:ilvl w:val="0"/>
          <w:numId w:val="23"/>
        </w:numPr>
        <w:jc w:val="both"/>
      </w:pPr>
      <w:r>
        <w:t>Cultural</w:t>
      </w:r>
      <w:r w:rsidR="00AE53F4">
        <w:t xml:space="preserve">, economic and social factors are the main reasons </w:t>
      </w:r>
      <w:r>
        <w:t>for</w:t>
      </w:r>
      <w:r w:rsidR="00AE53F4">
        <w:t xml:space="preserve"> the high rates</w:t>
      </w:r>
      <w:r w:rsidR="007C48B0">
        <w:t xml:space="preserve"> </w:t>
      </w:r>
      <w:r w:rsidR="00AE53F4">
        <w:t>of early marriage in Palestine</w:t>
      </w:r>
      <w:r>
        <w:t xml:space="preserve">, especially </w:t>
      </w:r>
      <w:r w:rsidR="00AE53F4">
        <w:t>in</w:t>
      </w:r>
      <w:r w:rsidR="007C48B0">
        <w:t xml:space="preserve"> </w:t>
      </w:r>
      <w:r w:rsidR="00AE53F4">
        <w:t xml:space="preserve">the Gaza Strip and </w:t>
      </w:r>
      <w:r>
        <w:t>the so called “</w:t>
      </w:r>
      <w:r w:rsidR="00AE53F4">
        <w:t>Area C</w:t>
      </w:r>
      <w:r>
        <w:t xml:space="preserve">”. </w:t>
      </w:r>
    </w:p>
    <w:p w14:paraId="2363E390" w14:textId="64075A1C" w:rsidR="007C48B0" w:rsidRDefault="005447B1" w:rsidP="005447B1">
      <w:pPr>
        <w:pStyle w:val="ListParagraph"/>
        <w:numPr>
          <w:ilvl w:val="0"/>
          <w:numId w:val="23"/>
        </w:numPr>
        <w:jc w:val="both"/>
      </w:pPr>
      <w:r>
        <w:t xml:space="preserve">The </w:t>
      </w:r>
      <w:r w:rsidR="00AE53F4">
        <w:t xml:space="preserve"> limited participation of women, youth and vulnerable groups living in the</w:t>
      </w:r>
      <w:r w:rsidR="007C48B0">
        <w:t xml:space="preserve"> </w:t>
      </w:r>
      <w:r>
        <w:t>so called “</w:t>
      </w:r>
      <w:r w:rsidR="00AE53F4">
        <w:t>Area C</w:t>
      </w:r>
      <w:r>
        <w:t>”</w:t>
      </w:r>
      <w:r w:rsidR="00AE53F4">
        <w:t xml:space="preserve">, Jerusalem and </w:t>
      </w:r>
      <w:r>
        <w:t xml:space="preserve">the </w:t>
      </w:r>
      <w:r w:rsidR="00AE53F4">
        <w:t>Gaza Strip</w:t>
      </w:r>
      <w:r>
        <w:t>,</w:t>
      </w:r>
      <w:r w:rsidR="00AE53F4">
        <w:t xml:space="preserve"> in public life and</w:t>
      </w:r>
      <w:r>
        <w:t xml:space="preserve"> in decision-making. </w:t>
      </w:r>
    </w:p>
    <w:p w14:paraId="13538ECF" w14:textId="380E8672" w:rsidR="007C48B0" w:rsidRDefault="00AE53F4" w:rsidP="004D0269">
      <w:pPr>
        <w:pStyle w:val="ListParagraph"/>
        <w:numPr>
          <w:ilvl w:val="0"/>
          <w:numId w:val="23"/>
        </w:numPr>
        <w:jc w:val="both"/>
      </w:pPr>
      <w:r>
        <w:lastRenderedPageBreak/>
        <w:t xml:space="preserve">In relation to ensuring the Right to Life by preventing maternal mortality and morbidity, WHO has identified delays in delivery care </w:t>
      </w:r>
      <w:r w:rsidR="004E4BBA">
        <w:t>as one of the</w:t>
      </w:r>
      <w:r w:rsidR="00E85A77">
        <w:t xml:space="preserve"> main</w:t>
      </w:r>
      <w:r>
        <w:t xml:space="preserve"> causes of maternal death</w:t>
      </w:r>
      <w:r w:rsidR="004E4BBA">
        <w:t>,</w:t>
      </w:r>
      <w:r>
        <w:t xml:space="preserve"> i</w:t>
      </w:r>
      <w:r w:rsidR="004E4BBA">
        <w:t>ncluding</w:t>
      </w:r>
      <w:r>
        <w:t xml:space="preserve"> delays in reaching a health facility and in receiving care at a health facility. </w:t>
      </w:r>
      <w:r w:rsidR="004E4BBA">
        <w:t xml:space="preserve">Palestinian women are subjected </w:t>
      </w:r>
      <w:r>
        <w:t xml:space="preserve">to degrading treatment </w:t>
      </w:r>
      <w:r w:rsidR="004E4BBA">
        <w:t xml:space="preserve">and </w:t>
      </w:r>
      <w:r>
        <w:t>discrimina</w:t>
      </w:r>
      <w:r w:rsidR="004E4BBA">
        <w:t>tion based on their nationality at Israeli checkpoints.</w:t>
      </w:r>
      <w:r w:rsidR="00E85A77">
        <w:t xml:space="preserve"> </w:t>
      </w:r>
      <w:r w:rsidR="00E85A77" w:rsidRPr="00E85A77">
        <w:t xml:space="preserve">In addition to the large number of women </w:t>
      </w:r>
      <w:r w:rsidR="004D0269" w:rsidRPr="00E85A77">
        <w:t xml:space="preserve">physically and psychologically </w:t>
      </w:r>
      <w:r w:rsidR="00E85A77" w:rsidRPr="00E85A77">
        <w:t>traumatized bec</w:t>
      </w:r>
      <w:r w:rsidR="00E85A77">
        <w:t>ause of these illegal practices</w:t>
      </w:r>
      <w:r w:rsidR="00E5739E">
        <w:t>.</w:t>
      </w:r>
      <w:r>
        <w:t xml:space="preserve"> </w:t>
      </w:r>
    </w:p>
    <w:p w14:paraId="4FF689C5" w14:textId="4E2079FF" w:rsidR="00EC3471" w:rsidRPr="00220D84" w:rsidRDefault="00220D84" w:rsidP="00CB0784">
      <w:pPr>
        <w:pStyle w:val="ListParagraph"/>
        <w:numPr>
          <w:ilvl w:val="0"/>
          <w:numId w:val="23"/>
        </w:numPr>
        <w:jc w:val="both"/>
        <w:rPr>
          <w:u w:val="single"/>
        </w:rPr>
      </w:pPr>
      <w:r>
        <w:t xml:space="preserve">Economic barriers and the </w:t>
      </w:r>
      <w:r w:rsidR="00AE53F4">
        <w:t xml:space="preserve">lack of resources among women </w:t>
      </w:r>
      <w:r>
        <w:t>are the</w:t>
      </w:r>
      <w:r w:rsidR="00AE53F4">
        <w:t xml:space="preserve"> </w:t>
      </w:r>
      <w:r>
        <w:t>main obstacles</w:t>
      </w:r>
      <w:r w:rsidR="00AE53F4">
        <w:t xml:space="preserve"> to health care in both the West Bank and </w:t>
      </w:r>
      <w:r>
        <w:t xml:space="preserve">the </w:t>
      </w:r>
      <w:r w:rsidR="00AE53F4">
        <w:t xml:space="preserve">Gaza Strip. </w:t>
      </w:r>
    </w:p>
    <w:p w14:paraId="4EF50254" w14:textId="77777777" w:rsidR="00220D84" w:rsidRPr="00220D84" w:rsidRDefault="00220D84" w:rsidP="00220D84">
      <w:pPr>
        <w:pStyle w:val="ListParagraph"/>
        <w:ind w:left="2440"/>
        <w:jc w:val="both"/>
        <w:rPr>
          <w:u w:val="single"/>
        </w:rPr>
      </w:pPr>
    </w:p>
    <w:p w14:paraId="401032B8" w14:textId="77777777" w:rsidR="00F54EE6" w:rsidRPr="0047406D" w:rsidRDefault="00F54EE6" w:rsidP="00CB0784">
      <w:pPr>
        <w:jc w:val="both"/>
        <w:rPr>
          <w:u w:val="single"/>
        </w:rPr>
      </w:pPr>
      <w:r w:rsidRPr="0047406D">
        <w:rPr>
          <w:u w:val="single"/>
        </w:rPr>
        <w:t>Experience</w:t>
      </w:r>
      <w:r w:rsidR="00CB0784" w:rsidRPr="0047406D">
        <w:rPr>
          <w:u w:val="single"/>
        </w:rPr>
        <w:t>s</w:t>
      </w:r>
      <w:r w:rsidRPr="0047406D">
        <w:rPr>
          <w:u w:val="single"/>
        </w:rPr>
        <w:t xml:space="preserve"> of crisis</w:t>
      </w:r>
    </w:p>
    <w:p w14:paraId="487682C0" w14:textId="77777777" w:rsidR="00F54EE6" w:rsidRDefault="00F54EE6" w:rsidP="000C70B6">
      <w:pPr>
        <w:pStyle w:val="ListParagraph"/>
        <w:numPr>
          <w:ilvl w:val="0"/>
          <w:numId w:val="9"/>
        </w:numPr>
        <w:ind w:left="709"/>
        <w:jc w:val="both"/>
      </w:pPr>
      <w:r w:rsidRPr="0049442F">
        <w:t xml:space="preserve">Please </w:t>
      </w:r>
      <w:r>
        <w:t xml:space="preserve">list </w:t>
      </w:r>
      <w:r w:rsidRPr="0049442F">
        <w:t xml:space="preserve">the situations of crisis experienced by your State in the last five years. </w:t>
      </w:r>
    </w:p>
    <w:p w14:paraId="3AE74FD4" w14:textId="0FE43743" w:rsidR="00F75604" w:rsidRDefault="00F75604" w:rsidP="00BD2F8A">
      <w:pPr>
        <w:pStyle w:val="ListParagraph"/>
        <w:numPr>
          <w:ilvl w:val="0"/>
          <w:numId w:val="24"/>
        </w:numPr>
        <w:jc w:val="both"/>
      </w:pPr>
      <w:r>
        <w:t xml:space="preserve">Israeli occupation and </w:t>
      </w:r>
      <w:r w:rsidR="00BD2F8A">
        <w:t>the systematic</w:t>
      </w:r>
      <w:r>
        <w:t xml:space="preserve"> human rights violations for more than 70 years. </w:t>
      </w:r>
    </w:p>
    <w:p w14:paraId="56EE3FB9" w14:textId="2AE4F80B" w:rsidR="00F75604" w:rsidRDefault="00F75604" w:rsidP="00BD2F8A">
      <w:pPr>
        <w:pStyle w:val="ListParagraph"/>
        <w:numPr>
          <w:ilvl w:val="0"/>
          <w:numId w:val="24"/>
        </w:numPr>
        <w:jc w:val="both"/>
      </w:pPr>
      <w:r>
        <w:t xml:space="preserve">Division between the West Bank and </w:t>
      </w:r>
      <w:r w:rsidR="00BD2F8A">
        <w:t xml:space="preserve">the </w:t>
      </w:r>
      <w:r>
        <w:t xml:space="preserve">Gaza </w:t>
      </w:r>
      <w:r w:rsidR="00BD2F8A">
        <w:t>Strip.</w:t>
      </w:r>
    </w:p>
    <w:p w14:paraId="2D0C9657" w14:textId="79B4DF3F" w:rsidR="00BD2F8A" w:rsidRDefault="00DB0711" w:rsidP="000743CD">
      <w:pPr>
        <w:pStyle w:val="ListParagraph"/>
        <w:numPr>
          <w:ilvl w:val="0"/>
          <w:numId w:val="24"/>
        </w:numPr>
        <w:jc w:val="both"/>
      </w:pPr>
      <w:r>
        <w:t xml:space="preserve">The illegal </w:t>
      </w:r>
      <w:r w:rsidR="00BD2F8A">
        <w:t xml:space="preserve">Israeli blockade </w:t>
      </w:r>
      <w:r>
        <w:t>of</w:t>
      </w:r>
      <w:r w:rsidR="00BD2F8A">
        <w:t xml:space="preserve"> the Gaza Strip since 2007, and the ongoing </w:t>
      </w:r>
      <w:r w:rsidR="000743CD">
        <w:t xml:space="preserve">Israeli </w:t>
      </w:r>
      <w:r w:rsidR="000A5973">
        <w:t>wars on</w:t>
      </w:r>
      <w:r>
        <w:t xml:space="preserve"> Gaza.</w:t>
      </w:r>
    </w:p>
    <w:p w14:paraId="0582EBA7" w14:textId="5F2870DC" w:rsidR="00732CD8" w:rsidRDefault="00F75604" w:rsidP="000743CD">
      <w:pPr>
        <w:pStyle w:val="ListParagraph"/>
        <w:numPr>
          <w:ilvl w:val="0"/>
          <w:numId w:val="24"/>
        </w:numPr>
        <w:jc w:val="both"/>
      </w:pPr>
      <w:r>
        <w:t>The corona</w:t>
      </w:r>
      <w:r w:rsidR="000743CD">
        <w:t>virus pandemic and its economic and psychosocial impact</w:t>
      </w:r>
      <w:r>
        <w:t>.</w:t>
      </w:r>
    </w:p>
    <w:p w14:paraId="39AA5890" w14:textId="77777777" w:rsidR="00FC1EAC" w:rsidRPr="0049442F" w:rsidRDefault="00FC1EAC" w:rsidP="00FC1EAC">
      <w:pPr>
        <w:pStyle w:val="ListParagraph"/>
        <w:ind w:left="1429"/>
        <w:jc w:val="both"/>
      </w:pPr>
    </w:p>
    <w:p w14:paraId="0A97085D" w14:textId="77777777" w:rsidR="0034184A" w:rsidRDefault="00F54EE6" w:rsidP="000C70B6">
      <w:pPr>
        <w:pStyle w:val="ListParagraph"/>
        <w:numPr>
          <w:ilvl w:val="0"/>
          <w:numId w:val="9"/>
        </w:numPr>
        <w:ind w:left="709"/>
        <w:jc w:val="both"/>
      </w:pPr>
      <w:r w:rsidRPr="0049442F">
        <w:t>What was the impact</w:t>
      </w:r>
      <w:r w:rsidR="0034184A">
        <w:t xml:space="preserve"> of those </w:t>
      </w:r>
      <w:r w:rsidR="0002644E">
        <w:t>crises</w:t>
      </w:r>
      <w:r w:rsidR="0002644E" w:rsidRPr="0049442F">
        <w:t xml:space="preserve"> </w:t>
      </w:r>
      <w:r w:rsidRPr="0049442F">
        <w:t xml:space="preserve">on </w:t>
      </w:r>
      <w:r w:rsidR="00882FAB">
        <w:t xml:space="preserve">women and girls? </w:t>
      </w:r>
      <w:r w:rsidR="0034184A">
        <w:t>Please provide information in particular on the following aspects:</w:t>
      </w:r>
    </w:p>
    <w:p w14:paraId="5F288F15" w14:textId="77777777" w:rsidR="0034184A" w:rsidRDefault="00F54EE6" w:rsidP="00CB0784">
      <w:pPr>
        <w:pStyle w:val="ListParagraph"/>
        <w:numPr>
          <w:ilvl w:val="0"/>
          <w:numId w:val="6"/>
        </w:numPr>
        <w:jc w:val="both"/>
      </w:pPr>
      <w:r w:rsidRPr="0049442F">
        <w:t>Which groups of women and girls were most affected and how</w:t>
      </w:r>
      <w:r w:rsidR="00D51B3F">
        <w:t>,</w:t>
      </w:r>
      <w:r w:rsidR="00F61A39">
        <w:t xml:space="preserve"> tak</w:t>
      </w:r>
      <w:r w:rsidR="00D51B3F">
        <w:t>ing</w:t>
      </w:r>
      <w:r w:rsidR="00F61A39">
        <w:t xml:space="preserve"> into account different factors, such as age, geographic location</w:t>
      </w:r>
      <w:r w:rsidR="007329EF">
        <w:t xml:space="preserve"> (including urban and rural areas)</w:t>
      </w:r>
      <w:r w:rsidR="00F61A39">
        <w:t xml:space="preserve">, ethnic </w:t>
      </w:r>
      <w:r w:rsidR="006A083D">
        <w:t xml:space="preserve">and social </w:t>
      </w:r>
      <w:r w:rsidR="00F61A39">
        <w:t>origin, disability, marital status, migratory status, citizenship status or other status</w:t>
      </w:r>
      <w:r w:rsidR="00D51B3F">
        <w:t>?</w:t>
      </w:r>
    </w:p>
    <w:p w14:paraId="78C90DF9" w14:textId="7B2E05FC" w:rsidR="00BD3FC9" w:rsidRDefault="0085621B" w:rsidP="0085621B">
      <w:pPr>
        <w:pStyle w:val="ListParagraph"/>
        <w:numPr>
          <w:ilvl w:val="1"/>
          <w:numId w:val="6"/>
        </w:numPr>
        <w:jc w:val="both"/>
      </w:pPr>
      <w:r w:rsidRPr="0085621B">
        <w:t>Pregnant and lactating women and children who may not be able to receive essential health care due to reshuffling of health service priorities</w:t>
      </w:r>
      <w:r w:rsidR="00BD3FC9">
        <w:t>.</w:t>
      </w:r>
    </w:p>
    <w:p w14:paraId="542A0D1B" w14:textId="52384C33" w:rsidR="00BD3FC9" w:rsidRDefault="00BD3FC9" w:rsidP="007F3EA6">
      <w:pPr>
        <w:pStyle w:val="ListParagraph"/>
        <w:numPr>
          <w:ilvl w:val="1"/>
          <w:numId w:val="6"/>
        </w:numPr>
        <w:jc w:val="both"/>
      </w:pPr>
      <w:r>
        <w:t xml:space="preserve">Palestinian refugees </w:t>
      </w:r>
      <w:r w:rsidR="0085621B">
        <w:t xml:space="preserve">living in the overcrowded refugee </w:t>
      </w:r>
      <w:r>
        <w:t>camps</w:t>
      </w:r>
      <w:r w:rsidR="0085621B">
        <w:t>,</w:t>
      </w:r>
      <w:r>
        <w:t xml:space="preserve"> as well as Bedouin communities with inadequate living conditions</w:t>
      </w:r>
      <w:r w:rsidR="007F3EA6">
        <w:t>,</w:t>
      </w:r>
      <w:r>
        <w:t xml:space="preserve"> </w:t>
      </w:r>
      <w:r w:rsidR="007F3EA6">
        <w:t>especially</w:t>
      </w:r>
      <w:r>
        <w:t xml:space="preserve"> access to water and sanitation.</w:t>
      </w:r>
    </w:p>
    <w:p w14:paraId="6C45A431" w14:textId="74E4CD5E" w:rsidR="00BD3FC9" w:rsidRDefault="0085621B" w:rsidP="00BD3FC9">
      <w:pPr>
        <w:pStyle w:val="ListParagraph"/>
        <w:numPr>
          <w:ilvl w:val="1"/>
          <w:numId w:val="6"/>
        </w:numPr>
        <w:jc w:val="both"/>
      </w:pPr>
      <w:r>
        <w:t>Palestinians living in the Gaza S</w:t>
      </w:r>
      <w:r w:rsidR="00BD3FC9">
        <w:t>trip.</w:t>
      </w:r>
    </w:p>
    <w:p w14:paraId="55889BD2" w14:textId="34189601" w:rsidR="00BD3FC9" w:rsidRDefault="00BD3FC9" w:rsidP="00BD3FC9">
      <w:pPr>
        <w:pStyle w:val="ListParagraph"/>
        <w:numPr>
          <w:ilvl w:val="1"/>
          <w:numId w:val="6"/>
        </w:numPr>
        <w:jc w:val="both"/>
      </w:pPr>
      <w:r>
        <w:t xml:space="preserve">Palestinians living in </w:t>
      </w:r>
      <w:r w:rsidR="0085621B">
        <w:t>the so-called “A</w:t>
      </w:r>
      <w:r>
        <w:t>rea C</w:t>
      </w:r>
      <w:r w:rsidR="0085621B">
        <w:t>”</w:t>
      </w:r>
      <w:r>
        <w:t xml:space="preserve"> and </w:t>
      </w:r>
      <w:r w:rsidR="0085621B">
        <w:t xml:space="preserve">in </w:t>
      </w:r>
      <w:r>
        <w:t>East Jerulalem.</w:t>
      </w:r>
    </w:p>
    <w:p w14:paraId="677A8CEA" w14:textId="77777777" w:rsidR="00F75604" w:rsidRDefault="00F75604" w:rsidP="00F75604">
      <w:pPr>
        <w:pStyle w:val="ListParagraph"/>
        <w:ind w:left="1540"/>
        <w:jc w:val="both"/>
      </w:pPr>
    </w:p>
    <w:p w14:paraId="3205F46B" w14:textId="77777777" w:rsidR="0034184A" w:rsidRDefault="00882FAB" w:rsidP="0087156B">
      <w:pPr>
        <w:pStyle w:val="ListParagraph"/>
        <w:numPr>
          <w:ilvl w:val="0"/>
          <w:numId w:val="6"/>
        </w:numPr>
        <w:jc w:val="both"/>
      </w:pPr>
      <w:r>
        <w:t>What was the impact on their SRHR?</w:t>
      </w:r>
      <w:r w:rsidR="0087156B">
        <w:t xml:space="preserve"> </w:t>
      </w:r>
      <w:r w:rsidR="00F54EE6">
        <w:t xml:space="preserve">Were any specific </w:t>
      </w:r>
      <w:r w:rsidR="0002644E">
        <w:t xml:space="preserve">risk </w:t>
      </w:r>
      <w:r w:rsidR="00F54EE6">
        <w:t>factors</w:t>
      </w:r>
      <w:r w:rsidR="00D51B3F">
        <w:t xml:space="preserve"> and needs</w:t>
      </w:r>
      <w:r w:rsidR="00F54EE6">
        <w:t xml:space="preserve"> identified? </w:t>
      </w:r>
      <w:r w:rsidR="00D51B3F">
        <w:t xml:space="preserve">Do you have </w:t>
      </w:r>
      <w:r w:rsidR="00616B37">
        <w:t xml:space="preserve">data and/or qualitative </w:t>
      </w:r>
      <w:r w:rsidR="00D51B3F">
        <w:t xml:space="preserve">information disaggregated by the factors listed </w:t>
      </w:r>
      <w:r>
        <w:t>under question 6(a)</w:t>
      </w:r>
      <w:r w:rsidR="00D51B3F">
        <w:t xml:space="preserve">? If not, please explain why.  </w:t>
      </w:r>
    </w:p>
    <w:p w14:paraId="199E7148" w14:textId="633DA55C" w:rsidR="00BD3FC9" w:rsidRDefault="00BD3FC9" w:rsidP="008D1BAE">
      <w:pPr>
        <w:pStyle w:val="ListParagraph"/>
        <w:numPr>
          <w:ilvl w:val="1"/>
          <w:numId w:val="6"/>
        </w:numPr>
        <w:jc w:val="both"/>
      </w:pPr>
      <w:r>
        <w:t xml:space="preserve">Maternal Mortality in </w:t>
      </w:r>
      <w:r w:rsidR="00692B7F">
        <w:t xml:space="preserve">the </w:t>
      </w:r>
      <w:r>
        <w:t xml:space="preserve">Gaza Strip witnessed a sharp increase during </w:t>
      </w:r>
      <w:r w:rsidR="00692B7F">
        <w:t>and after</w:t>
      </w:r>
      <w:r>
        <w:t xml:space="preserve"> the war </w:t>
      </w:r>
      <w:r w:rsidR="006B5B27">
        <w:t>in</w:t>
      </w:r>
      <w:r>
        <w:t xml:space="preserve"> July 2014. The MoH reported 4 cases of maternal mortality d</w:t>
      </w:r>
      <w:r w:rsidR="00D6792C">
        <w:t>uring the 51-day</w:t>
      </w:r>
      <w:r>
        <w:t xml:space="preserve"> </w:t>
      </w:r>
      <w:r w:rsidR="00D6792C">
        <w:t>war</w:t>
      </w:r>
      <w:r>
        <w:t>. The MoH reported a total of 17 maternal deaths in 2014. Furthermore, 20 pregnant women died during the war; four cases due to obstetric cause</w:t>
      </w:r>
      <w:r w:rsidR="00D6792C">
        <w:t>s</w:t>
      </w:r>
      <w:r>
        <w:t xml:space="preserve">, and the other 16 cases were killed as a result of the hostilities. </w:t>
      </w:r>
      <w:r w:rsidR="00D6792C">
        <w:t>From July 2014 to June 2015</w:t>
      </w:r>
      <w:r>
        <w:t>, cumulative deaths amounted to 1</w:t>
      </w:r>
      <w:r w:rsidR="008D1BAE">
        <w:t>.</w:t>
      </w:r>
      <w:r>
        <w:t xml:space="preserve">859, compared to 2013 </w:t>
      </w:r>
      <w:r w:rsidR="008D1BAE">
        <w:t>where</w:t>
      </w:r>
      <w:r>
        <w:t xml:space="preserve"> 12 cases of ma</w:t>
      </w:r>
      <w:r w:rsidR="000D5A3D">
        <w:t>ternal mortality were reported.</w:t>
      </w:r>
    </w:p>
    <w:p w14:paraId="6E6C89A8" w14:textId="7E0A4C5B" w:rsidR="00BD3FC9" w:rsidRDefault="00963179" w:rsidP="00F45F0A">
      <w:pPr>
        <w:pStyle w:val="ListParagraph"/>
        <w:numPr>
          <w:ilvl w:val="1"/>
          <w:numId w:val="6"/>
        </w:numPr>
        <w:jc w:val="both"/>
      </w:pPr>
      <w:r>
        <w:t>T</w:t>
      </w:r>
      <w:r w:rsidR="00BD3FC9">
        <w:t>he restrictions</w:t>
      </w:r>
      <w:r w:rsidRPr="00963179">
        <w:t xml:space="preserve"> </w:t>
      </w:r>
      <w:r>
        <w:t>on movement</w:t>
      </w:r>
      <w:r w:rsidR="00BD3FC9">
        <w:t xml:space="preserve">, </w:t>
      </w:r>
      <w:r>
        <w:t xml:space="preserve">the </w:t>
      </w:r>
      <w:r w:rsidR="00BD3FC9">
        <w:t xml:space="preserve">closure of schools and </w:t>
      </w:r>
      <w:r>
        <w:t xml:space="preserve">the </w:t>
      </w:r>
      <w:r w:rsidR="00BD3FC9">
        <w:t xml:space="preserve">growing unemployment </w:t>
      </w:r>
      <w:r>
        <w:t xml:space="preserve">rate </w:t>
      </w:r>
      <w:r w:rsidR="00BD3FC9">
        <w:t>due to the corona</w:t>
      </w:r>
      <w:r>
        <w:t>virus pandemic</w:t>
      </w:r>
      <w:r w:rsidR="00BD3FC9">
        <w:t xml:space="preserve">, is </w:t>
      </w:r>
      <w:r>
        <w:t>affecting</w:t>
      </w:r>
      <w:r w:rsidR="00BD3FC9">
        <w:t xml:space="preserve"> the most vulnerable</w:t>
      </w:r>
      <w:r>
        <w:t xml:space="preserve"> people. Domestic violence </w:t>
      </w:r>
      <w:r w:rsidR="00F45F0A">
        <w:t xml:space="preserve">against </w:t>
      </w:r>
      <w:r>
        <w:t>women and children has increased, and according to</w:t>
      </w:r>
      <w:r w:rsidR="00BD3FC9">
        <w:t xml:space="preserve"> the Ministry of Social Development at least 53,000 families have fallen into poverty in </w:t>
      </w:r>
      <w:r>
        <w:t xml:space="preserve">the </w:t>
      </w:r>
      <w:r w:rsidR="00BD3FC9">
        <w:t>recent weeks.</w:t>
      </w:r>
    </w:p>
    <w:p w14:paraId="54E9DC34" w14:textId="77777777" w:rsidR="00BD3FC9" w:rsidRDefault="00BD3FC9" w:rsidP="00BD3FC9">
      <w:pPr>
        <w:pStyle w:val="ListParagraph"/>
        <w:ind w:left="1540"/>
        <w:jc w:val="both"/>
      </w:pPr>
    </w:p>
    <w:p w14:paraId="2AB19F91" w14:textId="41147723" w:rsidR="00BD3FC9" w:rsidRDefault="002E4587" w:rsidP="00866D8B">
      <w:pPr>
        <w:pStyle w:val="ListParagraph"/>
        <w:numPr>
          <w:ilvl w:val="1"/>
          <w:numId w:val="6"/>
        </w:numPr>
        <w:jc w:val="both"/>
      </w:pPr>
      <w:r>
        <w:lastRenderedPageBreak/>
        <w:t>The pandemic has</w:t>
      </w:r>
      <w:r w:rsidR="00BD3FC9">
        <w:t xml:space="preserve"> disrupted the delivery of essential health care services across Palestine. All major providers have scaled down sexual reproductive services, putting women, girls and their neonates at higher risk of death and disability. The impact on family planning and pre-conception care services, may lead to an increase in unplanned pregnancies</w:t>
      </w:r>
      <w:r w:rsidR="00071CEB">
        <w:t>, which can be life-threatening</w:t>
      </w:r>
      <w:r w:rsidR="00BD3FC9">
        <w:t xml:space="preserve">. </w:t>
      </w:r>
      <w:r w:rsidR="00866D8B" w:rsidRPr="00866D8B">
        <w:t>In the Gaza Strip, 44% of all essential medicines were in stock within a month a</w:t>
      </w:r>
      <w:r w:rsidR="00866D8B">
        <w:t>nd 35% were completely depleted</w:t>
      </w:r>
      <w:r w:rsidR="00BD3FC9">
        <w:t xml:space="preserve">. </w:t>
      </w:r>
    </w:p>
    <w:p w14:paraId="7B434DFF" w14:textId="3574327D" w:rsidR="00BD3FC9" w:rsidRDefault="00BD3FC9" w:rsidP="00BD3FC9">
      <w:pPr>
        <w:pStyle w:val="ListParagraph"/>
        <w:numPr>
          <w:ilvl w:val="1"/>
          <w:numId w:val="6"/>
        </w:numPr>
        <w:jc w:val="both"/>
      </w:pPr>
      <w:r>
        <w:t>Potential increase in obstetric complications and/or home deliveries due to lack of access to transportation.</w:t>
      </w:r>
    </w:p>
    <w:p w14:paraId="6014250C" w14:textId="27FAF12A" w:rsidR="00BD3FC9" w:rsidRDefault="00BD3FC9" w:rsidP="00302267">
      <w:pPr>
        <w:pStyle w:val="ListParagraph"/>
        <w:numPr>
          <w:ilvl w:val="1"/>
          <w:numId w:val="6"/>
        </w:numPr>
        <w:jc w:val="both"/>
      </w:pPr>
      <w:r>
        <w:t>Severe impact on the mental health and well</w:t>
      </w:r>
      <w:r w:rsidR="00302267">
        <w:t>-</w:t>
      </w:r>
      <w:r>
        <w:t xml:space="preserve">being of women, particularly pregnant women, who </w:t>
      </w:r>
      <w:r w:rsidR="00302267">
        <w:t>fear</w:t>
      </w:r>
      <w:r>
        <w:t xml:space="preserve"> for themselves and their children.</w:t>
      </w:r>
    </w:p>
    <w:p w14:paraId="7FDE2F79" w14:textId="049FBD90" w:rsidR="00BD3FC9" w:rsidRDefault="00302267" w:rsidP="00302267">
      <w:pPr>
        <w:pStyle w:val="ListParagraph"/>
        <w:numPr>
          <w:ilvl w:val="1"/>
          <w:numId w:val="6"/>
        </w:numPr>
        <w:jc w:val="both"/>
      </w:pPr>
      <w:r>
        <w:t>The e</w:t>
      </w:r>
      <w:r w:rsidR="00BD3FC9">
        <w:t>conomic impact of COVID-19 on families</w:t>
      </w:r>
      <w:r>
        <w:t>, which</w:t>
      </w:r>
      <w:r w:rsidR="00BD3FC9">
        <w:t xml:space="preserve"> </w:t>
      </w:r>
      <w:r>
        <w:t>can</w:t>
      </w:r>
      <w:r w:rsidR="00BD3FC9">
        <w:t xml:space="preserve"> lead to further deterioration of nutrition for ma</w:t>
      </w:r>
      <w:r>
        <w:t>ny pregnant and lactating women.</w:t>
      </w:r>
      <w:r w:rsidR="00BD3FC9">
        <w:t xml:space="preserve"> </w:t>
      </w:r>
      <w:r>
        <w:t>H</w:t>
      </w:r>
      <w:r w:rsidR="00BD3FC9">
        <w:t>ousehold financial pressures may lead to a de-prioritization of women’s health care.</w:t>
      </w:r>
    </w:p>
    <w:p w14:paraId="34B63FE1" w14:textId="7915A76D" w:rsidR="00BD3FC9" w:rsidRDefault="001A07A0" w:rsidP="001A07A0">
      <w:pPr>
        <w:pStyle w:val="ListParagraph"/>
        <w:numPr>
          <w:ilvl w:val="1"/>
          <w:numId w:val="6"/>
        </w:numPr>
        <w:jc w:val="both"/>
      </w:pPr>
      <w:r>
        <w:t>The l</w:t>
      </w:r>
      <w:r w:rsidR="00BD3FC9">
        <w:t>ockdown</w:t>
      </w:r>
      <w:r>
        <w:t xml:space="preserve"> and </w:t>
      </w:r>
      <w:r w:rsidR="00BD3FC9">
        <w:t xml:space="preserve">movement </w:t>
      </w:r>
      <w:r>
        <w:t>restrictions have disrupted</w:t>
      </w:r>
      <w:r w:rsidR="00BD3FC9">
        <w:t xml:space="preserve"> </w:t>
      </w:r>
      <w:r>
        <w:t>rehabilitation and support</w:t>
      </w:r>
      <w:r w:rsidR="00BD3FC9">
        <w:t xml:space="preserve"> programs for women and girls with disabilities, which </w:t>
      </w:r>
      <w:r>
        <w:t xml:space="preserve">can </w:t>
      </w:r>
      <w:r w:rsidR="00BD3FC9">
        <w:t xml:space="preserve">potentially </w:t>
      </w:r>
      <w:r>
        <w:t>worsen</w:t>
      </w:r>
      <w:r w:rsidR="00BD3FC9">
        <w:t xml:space="preserve"> the</w:t>
      </w:r>
      <w:r>
        <w:t>ir</w:t>
      </w:r>
      <w:r w:rsidR="00BD3FC9">
        <w:t xml:space="preserve"> conditions.  </w:t>
      </w:r>
    </w:p>
    <w:p w14:paraId="0395E8B1" w14:textId="77777777" w:rsidR="00BD3FC9" w:rsidRDefault="00BD3FC9" w:rsidP="00BD3FC9">
      <w:pPr>
        <w:pStyle w:val="ListParagraph"/>
        <w:ind w:left="1540"/>
        <w:jc w:val="both"/>
      </w:pPr>
    </w:p>
    <w:p w14:paraId="297E73E8" w14:textId="77777777" w:rsidR="0034184A" w:rsidRDefault="0034184A" w:rsidP="00CB0784">
      <w:pPr>
        <w:pStyle w:val="ListParagraph"/>
        <w:numPr>
          <w:ilvl w:val="0"/>
          <w:numId w:val="6"/>
        </w:numPr>
        <w:jc w:val="both"/>
      </w:pPr>
      <w:r w:rsidRPr="007329EF">
        <w:t>What were the main obstacles encountered</w:t>
      </w:r>
      <w:r w:rsidR="00D07300">
        <w:t xml:space="preserve"> by the State</w:t>
      </w:r>
      <w:r w:rsidRPr="007329EF">
        <w:t xml:space="preserve">, if any, in identifying and addressing the impact of the crisis on women’s and girls’ </w:t>
      </w:r>
      <w:r w:rsidR="00616B37">
        <w:t>SRHR</w:t>
      </w:r>
      <w:r w:rsidRPr="007329EF">
        <w:t>?</w:t>
      </w:r>
    </w:p>
    <w:p w14:paraId="563402D6" w14:textId="4E90D36B" w:rsidR="002A354B" w:rsidRDefault="002A354B" w:rsidP="00DC512D">
      <w:pPr>
        <w:pStyle w:val="ListParagraph"/>
        <w:numPr>
          <w:ilvl w:val="1"/>
          <w:numId w:val="6"/>
        </w:numPr>
        <w:jc w:val="both"/>
      </w:pPr>
      <w:r>
        <w:t xml:space="preserve">The ongoing Israeli occupation and </w:t>
      </w:r>
      <w:r w:rsidR="00447BD7">
        <w:t>its illegal</w:t>
      </w:r>
      <w:r>
        <w:t xml:space="preserve"> practices </w:t>
      </w:r>
      <w:r w:rsidR="00CD1ABC">
        <w:t xml:space="preserve">and violations of human rights, including SRHR, </w:t>
      </w:r>
      <w:r>
        <w:t xml:space="preserve">are the most dangerous challenges </w:t>
      </w:r>
      <w:r w:rsidR="00DC512D">
        <w:t>for</w:t>
      </w:r>
      <w:r>
        <w:t xml:space="preserve"> the </w:t>
      </w:r>
      <w:r w:rsidR="00447BD7">
        <w:t xml:space="preserve">Palestinian </w:t>
      </w:r>
      <w:r>
        <w:t>health sector.</w:t>
      </w:r>
    </w:p>
    <w:p w14:paraId="245DB385" w14:textId="330771B4" w:rsidR="002A354B" w:rsidRDefault="002A354B" w:rsidP="007A442D">
      <w:pPr>
        <w:pStyle w:val="ListParagraph"/>
        <w:numPr>
          <w:ilvl w:val="1"/>
          <w:numId w:val="6"/>
        </w:numPr>
        <w:jc w:val="both"/>
      </w:pPr>
      <w:r>
        <w:t>The health system has been undermined by the ongoing political conflict, the Israeli blockade</w:t>
      </w:r>
      <w:r w:rsidR="00DC512D">
        <w:t xml:space="preserve"> of the Gaza Strip</w:t>
      </w:r>
      <w:r>
        <w:t xml:space="preserve">, the internal </w:t>
      </w:r>
      <w:r w:rsidR="00DC512D">
        <w:t>division</w:t>
      </w:r>
      <w:r>
        <w:t xml:space="preserve">, and the shortages </w:t>
      </w:r>
      <w:r w:rsidR="007A442D">
        <w:t xml:space="preserve">of </w:t>
      </w:r>
      <w:r>
        <w:t xml:space="preserve">specialized </w:t>
      </w:r>
      <w:r w:rsidR="007A442D">
        <w:t>personnel</w:t>
      </w:r>
      <w:r>
        <w:t>, drugs and equipment. In addition to capacity shorta</w:t>
      </w:r>
      <w:r w:rsidR="007A442D">
        <w:t xml:space="preserve">ges, in the West Bank, </w:t>
      </w:r>
      <w:r>
        <w:t xml:space="preserve">vulnerable communities, particularly in </w:t>
      </w:r>
      <w:r w:rsidR="0063238F">
        <w:t>the so-called “</w:t>
      </w:r>
      <w:r>
        <w:t>Area C</w:t>
      </w:r>
      <w:r w:rsidR="0063238F">
        <w:t>”</w:t>
      </w:r>
      <w:r>
        <w:t xml:space="preserve">, </w:t>
      </w:r>
      <w:r w:rsidR="0063238F">
        <w:t>due to the</w:t>
      </w:r>
      <w:r>
        <w:t xml:space="preserve"> destruction of property </w:t>
      </w:r>
      <w:r w:rsidR="0063238F">
        <w:t>by Israeli forces</w:t>
      </w:r>
      <w:r>
        <w:t>, as well as settler</w:t>
      </w:r>
      <w:r w:rsidR="0063238F">
        <w:t>s’</w:t>
      </w:r>
      <w:r>
        <w:t xml:space="preserve"> violence, </w:t>
      </w:r>
      <w:r w:rsidR="0063238F">
        <w:t>which undermine</w:t>
      </w:r>
      <w:r>
        <w:t xml:space="preserve"> </w:t>
      </w:r>
      <w:r w:rsidR="0063238F">
        <w:t xml:space="preserve">the </w:t>
      </w:r>
      <w:r>
        <w:t xml:space="preserve">capacity </w:t>
      </w:r>
      <w:r w:rsidR="007A442D">
        <w:t xml:space="preserve">of the Palestinian government </w:t>
      </w:r>
      <w:r>
        <w:t>to cope with the crisis.</w:t>
      </w:r>
    </w:p>
    <w:p w14:paraId="39BCBEBF" w14:textId="70A32235" w:rsidR="002A354B" w:rsidRDefault="002A354B" w:rsidP="005B0E0C">
      <w:pPr>
        <w:pStyle w:val="ListParagraph"/>
        <w:numPr>
          <w:ilvl w:val="1"/>
          <w:numId w:val="6"/>
        </w:numPr>
        <w:jc w:val="both"/>
      </w:pPr>
      <w:r>
        <w:t xml:space="preserve">The </w:t>
      </w:r>
      <w:r w:rsidR="00CA6532">
        <w:t>illegal Israeli blockade of</w:t>
      </w:r>
      <w:r>
        <w:t xml:space="preserve"> the Gaza Strip </w:t>
      </w:r>
      <w:r w:rsidR="005B0E0C">
        <w:t>imposes</w:t>
      </w:r>
      <w:r>
        <w:t xml:space="preserve"> severe restrictions on movement and </w:t>
      </w:r>
      <w:r w:rsidR="00CA6532">
        <w:t xml:space="preserve">undermines the </w:t>
      </w:r>
      <w:r>
        <w:t>Government</w:t>
      </w:r>
      <w:r w:rsidR="00CA6532">
        <w:t>’s</w:t>
      </w:r>
      <w:r>
        <w:t xml:space="preserve"> ability to uphold human rights in general and SRHR in particular. Many communities have become marginalized due to </w:t>
      </w:r>
      <w:r w:rsidR="00CA6532">
        <w:t xml:space="preserve">the closure of </w:t>
      </w:r>
      <w:r>
        <w:t>border</w:t>
      </w:r>
      <w:r w:rsidR="00CA6532">
        <w:t>s</w:t>
      </w:r>
      <w:r>
        <w:t xml:space="preserve"> and restrictions on movement. </w:t>
      </w:r>
      <w:r w:rsidR="00CA6532">
        <w:t>Israeli c</w:t>
      </w:r>
      <w:r>
        <w:t>heckpoints between cities</w:t>
      </w:r>
      <w:r w:rsidR="00CA6532">
        <w:t xml:space="preserve"> and villages </w:t>
      </w:r>
      <w:r w:rsidR="00CA6532">
        <w:rPr>
          <w:lang w:val="en-US" w:bidi="ar-JO"/>
        </w:rPr>
        <w:t xml:space="preserve">impede </w:t>
      </w:r>
      <w:r w:rsidR="00CA6532">
        <w:t xml:space="preserve">access </w:t>
      </w:r>
      <w:r>
        <w:t xml:space="preserve">to health services and </w:t>
      </w:r>
      <w:r w:rsidR="00CA6532">
        <w:t>violate</w:t>
      </w:r>
      <w:r>
        <w:t xml:space="preserve"> the right to health.</w:t>
      </w:r>
    </w:p>
    <w:p w14:paraId="18EE7F87" w14:textId="26219C7F" w:rsidR="002A354B" w:rsidRDefault="00191615" w:rsidP="002A354B">
      <w:pPr>
        <w:pStyle w:val="ListParagraph"/>
        <w:numPr>
          <w:ilvl w:val="1"/>
          <w:numId w:val="6"/>
        </w:numPr>
        <w:jc w:val="both"/>
      </w:pPr>
      <w:r>
        <w:t xml:space="preserve">Cultural challenges and traditions. </w:t>
      </w:r>
    </w:p>
    <w:p w14:paraId="109F253A" w14:textId="2704EA98" w:rsidR="002A354B" w:rsidRDefault="002A354B" w:rsidP="002A354B">
      <w:pPr>
        <w:pStyle w:val="ListParagraph"/>
        <w:numPr>
          <w:ilvl w:val="1"/>
          <w:numId w:val="6"/>
        </w:numPr>
        <w:jc w:val="both"/>
      </w:pPr>
      <w:r>
        <w:t>Shortage of healthcare providers and psychosocial workers.</w:t>
      </w:r>
    </w:p>
    <w:p w14:paraId="2922345A" w14:textId="764A4D3B" w:rsidR="002A354B" w:rsidRDefault="002A354B" w:rsidP="00191615">
      <w:pPr>
        <w:pStyle w:val="ListParagraph"/>
        <w:numPr>
          <w:ilvl w:val="1"/>
          <w:numId w:val="6"/>
        </w:numPr>
        <w:jc w:val="both"/>
      </w:pPr>
      <w:r>
        <w:t xml:space="preserve">Limited data and analysis </w:t>
      </w:r>
      <w:r w:rsidR="00191615">
        <w:t>difficulties</w:t>
      </w:r>
      <w:r>
        <w:t>.</w:t>
      </w:r>
    </w:p>
    <w:p w14:paraId="217DC754" w14:textId="77777777" w:rsidR="002A354B" w:rsidRDefault="002A354B" w:rsidP="002A354B">
      <w:pPr>
        <w:pStyle w:val="ListParagraph"/>
        <w:ind w:left="2260"/>
        <w:jc w:val="both"/>
      </w:pPr>
    </w:p>
    <w:p w14:paraId="7331463F" w14:textId="31B98CEB" w:rsidR="00D07300" w:rsidRDefault="00E609D6" w:rsidP="00CB0784">
      <w:pPr>
        <w:pStyle w:val="ListParagraph"/>
        <w:numPr>
          <w:ilvl w:val="0"/>
          <w:numId w:val="6"/>
        </w:numPr>
        <w:jc w:val="both"/>
      </w:pPr>
      <w:r w:rsidRPr="0049442F">
        <w:t>Wh</w:t>
      </w:r>
      <w:r w:rsidR="00616B37">
        <w:t>at</w:t>
      </w:r>
      <w:r w:rsidRPr="0049442F">
        <w:t xml:space="preserve"> measures were adopted during</w:t>
      </w:r>
      <w:r w:rsidR="000C70B6">
        <w:t xml:space="preserve"> </w:t>
      </w:r>
      <w:r w:rsidRPr="0049442F">
        <w:t xml:space="preserve">and after the crisis to ensure women and girls’ access to sexual and reproductive health services? </w:t>
      </w:r>
      <w:r>
        <w:t>Please indicate w</w:t>
      </w:r>
      <w:r w:rsidR="00D07300">
        <w:t>hich SRHR services are recognized as essential services in the health policy</w:t>
      </w:r>
      <w:r w:rsidR="00616B37">
        <w:t xml:space="preserve"> or laws</w:t>
      </w:r>
      <w:r w:rsidR="00D07300">
        <w:t xml:space="preserve"> of your State and </w:t>
      </w:r>
      <w:r w:rsidR="006A083D">
        <w:t xml:space="preserve">are </w:t>
      </w:r>
      <w:r w:rsidR="00D07300">
        <w:t>funded through the health system</w:t>
      </w:r>
      <w:r w:rsidR="00616B37">
        <w:t>. W</w:t>
      </w:r>
      <w:r>
        <w:t xml:space="preserve">hat </w:t>
      </w:r>
      <w:r w:rsidR="00D07300">
        <w:t xml:space="preserve">steps were taken to ensure the continuity of services and access </w:t>
      </w:r>
      <w:r>
        <w:t>during the crisis</w:t>
      </w:r>
      <w:r w:rsidR="00616B37">
        <w:t>?</w:t>
      </w:r>
    </w:p>
    <w:p w14:paraId="7154AE77" w14:textId="04163EBE" w:rsidR="002A354B" w:rsidRDefault="00EB277C" w:rsidP="00CB1039">
      <w:pPr>
        <w:pStyle w:val="ListParagraph"/>
        <w:ind w:left="1540"/>
        <w:jc w:val="both"/>
      </w:pPr>
      <w:r w:rsidRPr="00EB277C">
        <w:t xml:space="preserve">The </w:t>
      </w:r>
      <w:r>
        <w:t>MoH</w:t>
      </w:r>
      <w:r w:rsidRPr="00EB277C">
        <w:t xml:space="preserve"> considers SRH services to be essential services. This includes surveillance for maternal mortality, near misses, pre-conception care, antenatal and postnatal services, screening for breast cancer, cervi</w:t>
      </w:r>
      <w:r>
        <w:t>cal cancer, STIs, including HIV,</w:t>
      </w:r>
      <w:r w:rsidRPr="00EB277C">
        <w:t xml:space="preserve"> and family planning</w:t>
      </w:r>
      <w:r w:rsidR="002A354B" w:rsidRPr="002A354B">
        <w:t xml:space="preserve">. </w:t>
      </w:r>
      <w:r w:rsidR="00CB1039" w:rsidRPr="00CB1039">
        <w:t xml:space="preserve">The coronavirus pandemic </w:t>
      </w:r>
      <w:r w:rsidR="00CB1039">
        <w:t xml:space="preserve">has </w:t>
      </w:r>
      <w:r w:rsidR="00CB1039" w:rsidRPr="00CB1039">
        <w:t xml:space="preserve">caused a disruption in the provision of SRH services, but the </w:t>
      </w:r>
      <w:r w:rsidR="00CB1039">
        <w:t>MoH</w:t>
      </w:r>
      <w:r w:rsidR="00CB1039" w:rsidRPr="00CB1039">
        <w:t xml:space="preserve"> has put in place </w:t>
      </w:r>
      <w:r w:rsidR="00CB1039">
        <w:t>an emergency</w:t>
      </w:r>
      <w:r w:rsidR="00CB1039" w:rsidRPr="00CB1039">
        <w:t xml:space="preserve"> plan to ensure the provision of </w:t>
      </w:r>
      <w:r w:rsidR="00CB1039" w:rsidRPr="00CB1039">
        <w:lastRenderedPageBreak/>
        <w:t xml:space="preserve">these services in cooperation with </w:t>
      </w:r>
      <w:r w:rsidR="00CB1039">
        <w:t>relevant</w:t>
      </w:r>
      <w:r w:rsidR="00CB1039" w:rsidRPr="00CB1039">
        <w:t xml:space="preserve"> partners. A policy framework has been established to guide health care providers and beneficiaries during the crisis, as </w:t>
      </w:r>
      <w:r w:rsidR="00CB1039">
        <w:t>explained above.</w:t>
      </w:r>
      <w:r w:rsidR="008646F3">
        <w:t xml:space="preserve"> </w:t>
      </w:r>
    </w:p>
    <w:p w14:paraId="69D836A1" w14:textId="77777777" w:rsidR="002A354B" w:rsidRDefault="002A354B" w:rsidP="002A354B">
      <w:pPr>
        <w:pStyle w:val="ListParagraph"/>
        <w:ind w:left="1540"/>
        <w:jc w:val="both"/>
      </w:pPr>
    </w:p>
    <w:p w14:paraId="4460DD37" w14:textId="77777777" w:rsidR="00E609D6" w:rsidRDefault="00E609D6" w:rsidP="00BC5A20">
      <w:pPr>
        <w:pStyle w:val="ListParagraph"/>
        <w:numPr>
          <w:ilvl w:val="0"/>
          <w:numId w:val="6"/>
        </w:numPr>
        <w:jc w:val="both"/>
      </w:pPr>
      <w:r>
        <w:t xml:space="preserve">What other </w:t>
      </w:r>
      <w:r w:rsidR="00616B37">
        <w:t xml:space="preserve">protocols or </w:t>
      </w:r>
      <w:r>
        <w:t xml:space="preserve">systems were put in place to prevent adverse reproductive and sexual health outcomes due to </w:t>
      </w:r>
      <w:r w:rsidR="00616B37">
        <w:t xml:space="preserve">the </w:t>
      </w:r>
      <w:r>
        <w:t>common risks triggered by crisis including, for example, gender-based violence and child marriage? Were any special measures adopted for specific groups of women and girls?</w:t>
      </w:r>
    </w:p>
    <w:p w14:paraId="26B4B939" w14:textId="7C53B3FD" w:rsidR="002A354B" w:rsidRDefault="00383FD4" w:rsidP="00383FD4">
      <w:pPr>
        <w:pStyle w:val="ListParagraph"/>
        <w:ind w:left="1540"/>
        <w:jc w:val="both"/>
      </w:pPr>
      <w:r>
        <w:t>cross</w:t>
      </w:r>
      <w:r w:rsidR="00713F5C">
        <w:t xml:space="preserve">-sectorial </w:t>
      </w:r>
      <w:r w:rsidR="002A354B" w:rsidRPr="002A354B">
        <w:t xml:space="preserve">support </w:t>
      </w:r>
      <w:r>
        <w:t>was</w:t>
      </w:r>
      <w:r w:rsidR="00713F5C">
        <w:t xml:space="preserve"> provided </w:t>
      </w:r>
      <w:r>
        <w:t>to</w:t>
      </w:r>
      <w:r w:rsidR="002A354B" w:rsidRPr="002A354B">
        <w:t xml:space="preserve"> vulnerable communities, particularly those living in Bedouin communities, </w:t>
      </w:r>
      <w:r w:rsidR="00713F5C">
        <w:t xml:space="preserve">in </w:t>
      </w:r>
      <w:r w:rsidR="002A354B" w:rsidRPr="002A354B">
        <w:t>the Gaza Strip and</w:t>
      </w:r>
      <w:r w:rsidR="00713F5C">
        <w:t xml:space="preserve"> </w:t>
      </w:r>
      <w:r>
        <w:t xml:space="preserve">in </w:t>
      </w:r>
      <w:r w:rsidR="00713F5C">
        <w:t>the so-called</w:t>
      </w:r>
      <w:r w:rsidR="002A354B" w:rsidRPr="002A354B">
        <w:t xml:space="preserve"> </w:t>
      </w:r>
      <w:r w:rsidR="00713F5C">
        <w:t>“</w:t>
      </w:r>
      <w:r w:rsidR="002A354B" w:rsidRPr="002A354B">
        <w:t>Area C</w:t>
      </w:r>
      <w:r w:rsidR="00713F5C">
        <w:t>”</w:t>
      </w:r>
      <w:r w:rsidR="002A354B" w:rsidRPr="002A354B">
        <w:t xml:space="preserve">, through awareness campaigns. </w:t>
      </w:r>
      <w:r>
        <w:t>In addition to</w:t>
      </w:r>
      <w:r w:rsidR="00713F5C">
        <w:t xml:space="preserve"> taking all necessary measures to </w:t>
      </w:r>
      <w:r>
        <w:rPr>
          <w:lang w:val="en-US" w:bidi="ar-JO"/>
        </w:rPr>
        <w:t>combat</w:t>
      </w:r>
      <w:r w:rsidR="00713F5C">
        <w:rPr>
          <w:lang w:val="en-US" w:bidi="ar-JO"/>
        </w:rPr>
        <w:t xml:space="preserve"> </w:t>
      </w:r>
      <w:r w:rsidR="00713F5C">
        <w:t>domestic violence against women and children</w:t>
      </w:r>
      <w:r w:rsidR="002A354B" w:rsidRPr="002A354B">
        <w:t>. Please see the previous section (items b, e, k, I).</w:t>
      </w:r>
    </w:p>
    <w:p w14:paraId="7E328769" w14:textId="77777777" w:rsidR="002A354B" w:rsidRDefault="002A354B" w:rsidP="002A354B">
      <w:pPr>
        <w:pStyle w:val="ListParagraph"/>
        <w:ind w:left="1540"/>
        <w:jc w:val="both"/>
      </w:pPr>
    </w:p>
    <w:p w14:paraId="53136A69" w14:textId="69E55A9D" w:rsidR="00D07300" w:rsidRDefault="00E609D6" w:rsidP="00D07300">
      <w:pPr>
        <w:pStyle w:val="ListParagraph"/>
        <w:numPr>
          <w:ilvl w:val="0"/>
          <w:numId w:val="6"/>
        </w:numPr>
        <w:jc w:val="both"/>
      </w:pPr>
      <w:r>
        <w:t>Were</w:t>
      </w:r>
      <w:r w:rsidR="00D07300">
        <w:t xml:space="preserve"> </w:t>
      </w:r>
      <w:r w:rsidR="00D07300" w:rsidRPr="0087156B">
        <w:t>women’s rights organizations</w:t>
      </w:r>
      <w:r w:rsidR="00AF7A8D">
        <w:rPr>
          <w:rStyle w:val="FootnoteReference"/>
        </w:rPr>
        <w:footnoteReference w:id="2"/>
      </w:r>
      <w:r w:rsidR="00AF7A8D">
        <w:t xml:space="preserve"> </w:t>
      </w:r>
      <w:r>
        <w:t>involved</w:t>
      </w:r>
      <w:r w:rsidR="00D07300">
        <w:t xml:space="preserve"> in the </w:t>
      </w:r>
      <w:r>
        <w:t xml:space="preserve">needs and </w:t>
      </w:r>
      <w:r w:rsidR="00D07300">
        <w:t>impact assessment</w:t>
      </w:r>
      <w:r w:rsidR="00FA31A9">
        <w:t>s</w:t>
      </w:r>
      <w:r>
        <w:t xml:space="preserve"> and the recovery policies</w:t>
      </w:r>
      <w:r w:rsidR="00D07300">
        <w:t xml:space="preserve">? </w:t>
      </w:r>
      <w:r w:rsidR="00D72EA5">
        <w:t xml:space="preserve">If not, please indicate why. </w:t>
      </w:r>
    </w:p>
    <w:p w14:paraId="2ED92F9B" w14:textId="60446FB8" w:rsidR="002A354B" w:rsidRDefault="00D06931" w:rsidP="00B67471">
      <w:pPr>
        <w:pStyle w:val="ListParagraph"/>
        <w:ind w:left="1540"/>
        <w:jc w:val="both"/>
      </w:pPr>
      <w:r>
        <w:t>Women's rights organizations</w:t>
      </w:r>
      <w:r w:rsidR="002A354B" w:rsidRPr="002A354B">
        <w:t xml:space="preserve"> participate </w:t>
      </w:r>
      <w:r>
        <w:t>in the assessment of</w:t>
      </w:r>
      <w:r w:rsidR="002A354B" w:rsidRPr="002A354B">
        <w:t xml:space="preserve"> needs and implications of the current </w:t>
      </w:r>
      <w:r>
        <w:t>crisis and health disaster. They aslo participate in the assessment of</w:t>
      </w:r>
      <w:r w:rsidR="002A354B" w:rsidRPr="002A354B">
        <w:t xml:space="preserve"> the consequences of political disasters due to the </w:t>
      </w:r>
      <w:r>
        <w:t xml:space="preserve">Israeli </w:t>
      </w:r>
      <w:r w:rsidR="002A354B" w:rsidRPr="002A354B">
        <w:t xml:space="preserve">occupation. </w:t>
      </w:r>
      <w:r>
        <w:t xml:space="preserve">Moreover, </w:t>
      </w:r>
      <w:r w:rsidR="002A354B" w:rsidRPr="002A354B">
        <w:t>they are members of the national committees concerned with women's health and rights.</w:t>
      </w:r>
    </w:p>
    <w:p w14:paraId="3C7EE0CD" w14:textId="77777777" w:rsidR="00B67471" w:rsidRDefault="00B67471" w:rsidP="00B67471">
      <w:pPr>
        <w:pStyle w:val="ListParagraph"/>
        <w:ind w:left="1540"/>
        <w:jc w:val="both"/>
      </w:pPr>
    </w:p>
    <w:p w14:paraId="2AE61969" w14:textId="77777777" w:rsidR="00D72EA5" w:rsidRDefault="000C70B6" w:rsidP="00041634">
      <w:pPr>
        <w:pStyle w:val="ListParagraph"/>
        <w:numPr>
          <w:ilvl w:val="0"/>
          <w:numId w:val="6"/>
        </w:numPr>
        <w:jc w:val="both"/>
      </w:pPr>
      <w:r>
        <w:t>W</w:t>
      </w:r>
      <w:r w:rsidRPr="00AA7C9B">
        <w:t xml:space="preserve">hich actors </w:t>
      </w:r>
      <w:r>
        <w:t>or institutions played a role</w:t>
      </w:r>
      <w:r w:rsidRPr="00AA7C9B">
        <w:t xml:space="preserve"> in the provision of emergency responses? </w:t>
      </w:r>
      <w:r>
        <w:t xml:space="preserve">Please describe their role </w:t>
      </w:r>
      <w:r w:rsidR="00616B37">
        <w:t>and explain</w:t>
      </w:r>
      <w:r>
        <w:t xml:space="preserve"> what roles w</w:t>
      </w:r>
      <w:r w:rsidR="00616B37">
        <w:t>er</w:t>
      </w:r>
      <w:r w:rsidR="00FA31A9">
        <w:t>e</w:t>
      </w:r>
      <w:r>
        <w:t xml:space="preserve"> played, if any, by </w:t>
      </w:r>
      <w:r w:rsidR="00D72EA5" w:rsidRPr="00D72EA5">
        <w:t>national women’s rights or human rights mechanisms, or other similar bodies</w:t>
      </w:r>
      <w:r w:rsidR="00041634">
        <w:t xml:space="preserve"> as well as civil society organisations</w:t>
      </w:r>
      <w:r>
        <w:t>.</w:t>
      </w:r>
    </w:p>
    <w:p w14:paraId="5BFF42A5" w14:textId="444B60AD" w:rsidR="004B3AF4" w:rsidRDefault="002A354B" w:rsidP="00260741">
      <w:pPr>
        <w:pStyle w:val="ListParagraph"/>
        <w:ind w:left="1540"/>
        <w:jc w:val="both"/>
      </w:pPr>
      <w:r w:rsidRPr="002A354B">
        <w:t>Besides the MoH, oth</w:t>
      </w:r>
      <w:r w:rsidR="00B67471">
        <w:t>er members of the SRH National C</w:t>
      </w:r>
      <w:r w:rsidRPr="002A354B">
        <w:t xml:space="preserve">ommittee were involved in </w:t>
      </w:r>
      <w:r w:rsidR="00DA3FA9">
        <w:t>formulating</w:t>
      </w:r>
      <w:r w:rsidRPr="002A354B">
        <w:t xml:space="preserve"> the policy framework and emergency </w:t>
      </w:r>
      <w:r w:rsidR="00DA3FA9">
        <w:t>plan,</w:t>
      </w:r>
      <w:r w:rsidRPr="002A354B">
        <w:t xml:space="preserve"> </w:t>
      </w:r>
      <w:r w:rsidR="00DA3FA9">
        <w:t>including</w:t>
      </w:r>
      <w:r w:rsidRPr="002A354B">
        <w:t xml:space="preserve"> the URWA, </w:t>
      </w:r>
      <w:r w:rsidR="00DA3FA9">
        <w:t xml:space="preserve">the </w:t>
      </w:r>
      <w:r w:rsidRPr="002A354B">
        <w:t xml:space="preserve">WHO, </w:t>
      </w:r>
      <w:r w:rsidR="00DA3FA9">
        <w:t xml:space="preserve">the </w:t>
      </w:r>
      <w:r w:rsidRPr="002A354B">
        <w:t xml:space="preserve">UNFPA, </w:t>
      </w:r>
      <w:r w:rsidR="00DA3FA9">
        <w:t xml:space="preserve">the </w:t>
      </w:r>
      <w:r w:rsidRPr="002A354B">
        <w:t xml:space="preserve">UNICEF, and </w:t>
      </w:r>
      <w:r w:rsidR="00DA3FA9">
        <w:t>relevant</w:t>
      </w:r>
      <w:r w:rsidRPr="002A354B">
        <w:t xml:space="preserve"> civil society organizations. Different roles were assigned to different partners in a complementary manner. </w:t>
      </w:r>
      <w:r w:rsidR="00C95124">
        <w:t xml:space="preserve">For example, </w:t>
      </w:r>
      <w:r w:rsidRPr="002A354B">
        <w:t>Civil society organizations provided SRH services to rural, remote and marginalized a</w:t>
      </w:r>
      <w:r w:rsidR="00DA3FA9">
        <w:t>reas through mobile clinics and/</w:t>
      </w:r>
      <w:r w:rsidRPr="002A354B">
        <w:t>or home visits</w:t>
      </w:r>
      <w:r w:rsidR="00DA3FA9">
        <w:t xml:space="preserve">. </w:t>
      </w:r>
      <w:r w:rsidR="00C95124">
        <w:t xml:space="preserve">The </w:t>
      </w:r>
      <w:r w:rsidR="00C95124" w:rsidRPr="002A354B">
        <w:t xml:space="preserve">WHO and </w:t>
      </w:r>
      <w:r w:rsidR="00C95124">
        <w:t xml:space="preserve">the </w:t>
      </w:r>
      <w:r w:rsidR="00C95124" w:rsidRPr="002A354B">
        <w:t xml:space="preserve">UNFPA provided technical and financial support to </w:t>
      </w:r>
      <w:r w:rsidR="00C95124">
        <w:t>the MoH.</w:t>
      </w:r>
      <w:r w:rsidR="00C95124" w:rsidRPr="002A354B">
        <w:t xml:space="preserve"> </w:t>
      </w:r>
      <w:r w:rsidR="00C95124">
        <w:t xml:space="preserve">In addition, </w:t>
      </w:r>
      <w:r w:rsidRPr="002A354B">
        <w:t xml:space="preserve">SRH service providers were trained </w:t>
      </w:r>
      <w:r w:rsidR="00DA3FA9" w:rsidRPr="002A354B">
        <w:t>by different partners</w:t>
      </w:r>
      <w:r w:rsidR="00DA3FA9">
        <w:t xml:space="preserve"> on</w:t>
      </w:r>
      <w:r w:rsidRPr="002A354B">
        <w:t xml:space="preserve"> infection control </w:t>
      </w:r>
      <w:r w:rsidR="00260741">
        <w:t>measures</w:t>
      </w:r>
      <w:r w:rsidR="00260741" w:rsidRPr="002A354B">
        <w:t xml:space="preserve"> </w:t>
      </w:r>
      <w:r w:rsidRPr="002A354B">
        <w:t>and ICU interventions.</w:t>
      </w:r>
    </w:p>
    <w:p w14:paraId="6AACAB73" w14:textId="0B8F347E" w:rsidR="004B3AF4" w:rsidRDefault="00260741" w:rsidP="00260741">
      <w:pPr>
        <w:pStyle w:val="ListParagraph"/>
        <w:ind w:left="1540"/>
        <w:jc w:val="both"/>
      </w:pPr>
      <w:r>
        <w:t xml:space="preserve">Morover, </w:t>
      </w:r>
      <w:r w:rsidR="004B3AF4" w:rsidRPr="00260741">
        <w:t xml:space="preserve">the civil defense, the Red Crescent, the security services, the </w:t>
      </w:r>
      <w:r>
        <w:t xml:space="preserve">municipalities and governorates </w:t>
      </w:r>
      <w:r w:rsidRPr="00260741">
        <w:t>played a role in providing emergency responses</w:t>
      </w:r>
      <w:r>
        <w:t>.</w:t>
      </w:r>
    </w:p>
    <w:p w14:paraId="54839831" w14:textId="77777777" w:rsidR="002A354B" w:rsidRDefault="002A354B" w:rsidP="002A354B">
      <w:pPr>
        <w:pStyle w:val="ListParagraph"/>
        <w:ind w:left="1540"/>
        <w:jc w:val="both"/>
      </w:pPr>
    </w:p>
    <w:p w14:paraId="2E6C8B65" w14:textId="77777777" w:rsidR="00A34A8C" w:rsidRDefault="00D25A4C" w:rsidP="00A34A8C">
      <w:pPr>
        <w:pStyle w:val="ListParagraph"/>
        <w:numPr>
          <w:ilvl w:val="0"/>
          <w:numId w:val="6"/>
        </w:numPr>
        <w:jc w:val="both"/>
      </w:pPr>
      <w:r>
        <w:t>How were</w:t>
      </w:r>
      <w:r w:rsidR="00BC5A20">
        <w:t xml:space="preserve"> the emergency responses funded and to what extent </w:t>
      </w:r>
      <w:r>
        <w:t xml:space="preserve">did </w:t>
      </w:r>
      <w:r w:rsidR="00BC5A20">
        <w:t xml:space="preserve">they </w:t>
      </w:r>
      <w:r>
        <w:t xml:space="preserve">rely </w:t>
      </w:r>
      <w:r w:rsidR="00BC5A20">
        <w:t>on foreign aid</w:t>
      </w:r>
      <w:r>
        <w:t xml:space="preserve"> </w:t>
      </w:r>
      <w:r w:rsidR="00616B37">
        <w:t xml:space="preserve">or </w:t>
      </w:r>
      <w:r>
        <w:t>assistance</w:t>
      </w:r>
      <w:r w:rsidR="006A083D">
        <w:t>, if any</w:t>
      </w:r>
      <w:r>
        <w:t xml:space="preserve">? Please also indicate how in your State adequate financing of women’s sexual and reproductive health is ensured more generally on an ongoing basis. </w:t>
      </w:r>
    </w:p>
    <w:p w14:paraId="68693FE2" w14:textId="152C7E4E" w:rsidR="00645E54" w:rsidRDefault="002A354B" w:rsidP="00A34A8C">
      <w:pPr>
        <w:pStyle w:val="ListParagraph"/>
        <w:ind w:left="1540"/>
        <w:jc w:val="both"/>
      </w:pPr>
      <w:r w:rsidRPr="002A354B">
        <w:t xml:space="preserve">The SRH strategic plan and programs are generally funded by </w:t>
      </w:r>
      <w:r w:rsidR="009663E8">
        <w:t xml:space="preserve">the </w:t>
      </w:r>
      <w:r w:rsidRPr="002A354B">
        <w:t xml:space="preserve">UNFPA and </w:t>
      </w:r>
      <w:r w:rsidR="009663E8">
        <w:t xml:space="preserve">the </w:t>
      </w:r>
      <w:r w:rsidRPr="002A354B">
        <w:t>MoH. However, emergency response</w:t>
      </w:r>
      <w:r w:rsidR="009663E8">
        <w:t>s</w:t>
      </w:r>
      <w:r w:rsidRPr="002A354B">
        <w:t xml:space="preserve"> to </w:t>
      </w:r>
      <w:r w:rsidR="009663E8">
        <w:t xml:space="preserve">the </w:t>
      </w:r>
      <w:r w:rsidRPr="002A354B">
        <w:t xml:space="preserve">crisis </w:t>
      </w:r>
      <w:r w:rsidR="009663E8">
        <w:t>relied on</w:t>
      </w:r>
      <w:r w:rsidRPr="002A354B">
        <w:t xml:space="preserve"> external funds. </w:t>
      </w:r>
      <w:r w:rsidR="00075ABD">
        <w:t>D</w:t>
      </w:r>
      <w:r w:rsidR="00075ABD" w:rsidRPr="002A354B">
        <w:t>uring the current pandemic</w:t>
      </w:r>
      <w:r w:rsidR="00075ABD">
        <w:t>, funding for</w:t>
      </w:r>
      <w:r w:rsidR="009663E8">
        <w:t xml:space="preserve"> </w:t>
      </w:r>
      <w:r w:rsidRPr="002A354B">
        <w:t>SRH</w:t>
      </w:r>
      <w:r w:rsidR="009663E8">
        <w:t xml:space="preserve"> services</w:t>
      </w:r>
      <w:r w:rsidRPr="002A354B">
        <w:t xml:space="preserve"> and gender-based violence </w:t>
      </w:r>
      <w:r w:rsidR="009663E8">
        <w:t xml:space="preserve">programs </w:t>
      </w:r>
      <w:r w:rsidRPr="002A354B">
        <w:t xml:space="preserve">relied on </w:t>
      </w:r>
      <w:r w:rsidR="00075ABD">
        <w:t xml:space="preserve">the </w:t>
      </w:r>
      <w:r w:rsidRPr="002A354B">
        <w:t xml:space="preserve">relocation of </w:t>
      </w:r>
      <w:r w:rsidR="00075ABD">
        <w:t>the</w:t>
      </w:r>
      <w:r w:rsidRPr="002A354B">
        <w:t xml:space="preserve"> existing budget to meet the urgent needs.</w:t>
      </w:r>
    </w:p>
    <w:p w14:paraId="2A3742E0" w14:textId="77777777" w:rsidR="002A354B" w:rsidRDefault="002A354B" w:rsidP="002A354B">
      <w:pPr>
        <w:jc w:val="both"/>
      </w:pPr>
    </w:p>
    <w:p w14:paraId="647049A7" w14:textId="77777777" w:rsidR="00041634" w:rsidRDefault="00041634" w:rsidP="00CB0784">
      <w:pPr>
        <w:pStyle w:val="ListParagraph"/>
        <w:numPr>
          <w:ilvl w:val="0"/>
          <w:numId w:val="6"/>
        </w:numPr>
        <w:jc w:val="both"/>
      </w:pPr>
      <w:r>
        <w:t>W</w:t>
      </w:r>
      <w:r w:rsidR="00350D4D">
        <w:t>h</w:t>
      </w:r>
      <w:r w:rsidR="0005664F">
        <w:t>at</w:t>
      </w:r>
      <w:r w:rsidR="00350D4D">
        <w:t xml:space="preserve"> obstacles have civil society organisations encountered in their efforts to deliver sexual and reproductive services</w:t>
      </w:r>
      <w:r w:rsidR="0005664F">
        <w:t>?</w:t>
      </w:r>
    </w:p>
    <w:p w14:paraId="71884D2A" w14:textId="2F4D8D70" w:rsidR="002A354B" w:rsidRDefault="003E16AA" w:rsidP="00660F47">
      <w:pPr>
        <w:pStyle w:val="ListParagraph"/>
        <w:ind w:left="1540"/>
        <w:jc w:val="both"/>
      </w:pPr>
      <w:r>
        <w:lastRenderedPageBreak/>
        <w:t xml:space="preserve">The </w:t>
      </w:r>
      <w:r w:rsidR="002A354B">
        <w:t xml:space="preserve">challenges and obstacles that civil society organizations </w:t>
      </w:r>
      <w:r w:rsidR="00F13073">
        <w:t>encount</w:t>
      </w:r>
      <w:r w:rsidR="00660F47">
        <w:t>er</w:t>
      </w:r>
      <w:r w:rsidR="00F13073" w:rsidRPr="00F13073">
        <w:t xml:space="preserve"> in their efforts to deliver sexual and reproductive services</w:t>
      </w:r>
      <w:r w:rsidR="002A354B">
        <w:t>, whether due to the corona</w:t>
      </w:r>
      <w:r w:rsidR="00660F47">
        <w:t>virus</w:t>
      </w:r>
      <w:r w:rsidR="002A354B">
        <w:t xml:space="preserve"> pandemic or </w:t>
      </w:r>
      <w:r w:rsidR="00660F47">
        <w:t>due to the Israeli</w:t>
      </w:r>
      <w:r w:rsidR="002A354B">
        <w:t xml:space="preserve"> occupation, are similar to those </w:t>
      </w:r>
      <w:r w:rsidR="00660F47">
        <w:t>encountered</w:t>
      </w:r>
      <w:r w:rsidR="002A354B">
        <w:t xml:space="preserve"> by the government as follows:</w:t>
      </w:r>
    </w:p>
    <w:p w14:paraId="15054A4F" w14:textId="3DFBA0FD" w:rsidR="002A354B" w:rsidRDefault="006122E2" w:rsidP="00674789">
      <w:pPr>
        <w:pStyle w:val="ListParagraph"/>
        <w:numPr>
          <w:ilvl w:val="1"/>
          <w:numId w:val="6"/>
        </w:numPr>
        <w:jc w:val="both"/>
      </w:pPr>
      <w:r>
        <w:t>T</w:t>
      </w:r>
      <w:r w:rsidR="002A354B">
        <w:t>he current situation is affect</w:t>
      </w:r>
      <w:r>
        <w:t xml:space="preserve">ing </w:t>
      </w:r>
      <w:r w:rsidR="00674789">
        <w:t>the use of</w:t>
      </w:r>
      <w:r>
        <w:t xml:space="preserve"> SRH services </w:t>
      </w:r>
      <w:r w:rsidR="002A354B">
        <w:t>due to</w:t>
      </w:r>
      <w:r w:rsidR="00674789">
        <w:t xml:space="preserve"> the</w:t>
      </w:r>
      <w:r w:rsidR="002A354B">
        <w:t>:</w:t>
      </w:r>
    </w:p>
    <w:p w14:paraId="07006A88" w14:textId="13DB2428" w:rsidR="002A354B" w:rsidRDefault="008F3A6F" w:rsidP="002A354B">
      <w:pPr>
        <w:pStyle w:val="ListParagraph"/>
        <w:numPr>
          <w:ilvl w:val="0"/>
          <w:numId w:val="11"/>
        </w:numPr>
        <w:jc w:val="both"/>
      </w:pPr>
      <w:r>
        <w:t>F</w:t>
      </w:r>
      <w:r w:rsidR="002A354B">
        <w:t>ear of being infected</w:t>
      </w:r>
      <w:r>
        <w:t xml:space="preserve"> with the coronavirus.</w:t>
      </w:r>
    </w:p>
    <w:p w14:paraId="36038EDE" w14:textId="12174C77" w:rsidR="002A354B" w:rsidRDefault="008F3A6F" w:rsidP="008F3A6F">
      <w:pPr>
        <w:pStyle w:val="ListParagraph"/>
        <w:numPr>
          <w:ilvl w:val="0"/>
          <w:numId w:val="11"/>
        </w:numPr>
        <w:jc w:val="both"/>
      </w:pPr>
      <w:r>
        <w:t>Lockdown measures and m</w:t>
      </w:r>
      <w:r w:rsidR="002A354B">
        <w:t xml:space="preserve">ovement restrictions </w:t>
      </w:r>
    </w:p>
    <w:p w14:paraId="418C9B9D" w14:textId="134E876A" w:rsidR="002A354B" w:rsidRDefault="002A354B" w:rsidP="002A354B">
      <w:pPr>
        <w:pStyle w:val="ListParagraph"/>
        <w:numPr>
          <w:ilvl w:val="0"/>
          <w:numId w:val="11"/>
        </w:numPr>
        <w:jc w:val="both"/>
      </w:pPr>
      <w:r>
        <w:t>Lack of public transportation</w:t>
      </w:r>
      <w:r w:rsidR="008F3A6F">
        <w:t>.</w:t>
      </w:r>
    </w:p>
    <w:p w14:paraId="4A3A9C05" w14:textId="44E15389" w:rsidR="002A354B" w:rsidRDefault="008F3A6F" w:rsidP="002A354B">
      <w:pPr>
        <w:pStyle w:val="ListParagraph"/>
        <w:numPr>
          <w:ilvl w:val="0"/>
          <w:numId w:val="11"/>
        </w:numPr>
        <w:jc w:val="both"/>
      </w:pPr>
      <w:r>
        <w:t xml:space="preserve">Economic reasons. </w:t>
      </w:r>
    </w:p>
    <w:p w14:paraId="45803851" w14:textId="6ED9CD28" w:rsidR="002A354B" w:rsidRDefault="00C76F9B" w:rsidP="00674789">
      <w:pPr>
        <w:pStyle w:val="ListParagraph"/>
        <w:numPr>
          <w:ilvl w:val="1"/>
          <w:numId w:val="6"/>
        </w:numPr>
        <w:jc w:val="both"/>
      </w:pPr>
      <w:r>
        <w:t xml:space="preserve">Healthcare </w:t>
      </w:r>
      <w:r w:rsidR="002A354B">
        <w:t xml:space="preserve">providers are not always </w:t>
      </w:r>
      <w:r>
        <w:t>capable of providing</w:t>
      </w:r>
      <w:r w:rsidR="002A354B">
        <w:t xml:space="preserve"> services, </w:t>
      </w:r>
      <w:r w:rsidR="00674789">
        <w:t>due to the lack of access</w:t>
      </w:r>
      <w:r w:rsidR="002A354B">
        <w:t xml:space="preserve"> to </w:t>
      </w:r>
      <w:r w:rsidR="00674789">
        <w:t>appropriate</w:t>
      </w:r>
      <w:r w:rsidR="002A354B">
        <w:t xml:space="preserve"> PPE. This </w:t>
      </w:r>
      <w:r w:rsidR="00674789">
        <w:t>issue was</w:t>
      </w:r>
      <w:r w:rsidR="002A354B">
        <w:t xml:space="preserve"> </w:t>
      </w:r>
      <w:r w:rsidR="00674789">
        <w:t xml:space="preserve">raised during the sessions of the SRH Working Group, </w:t>
      </w:r>
      <w:r w:rsidR="002A354B">
        <w:t xml:space="preserve">where all members stressed </w:t>
      </w:r>
      <w:r w:rsidR="00674789">
        <w:t>out</w:t>
      </w:r>
      <w:r w:rsidR="002A354B">
        <w:t xml:space="preserve"> the importance of making </w:t>
      </w:r>
      <w:r w:rsidR="00674789">
        <w:t>PPE</w:t>
      </w:r>
      <w:r w:rsidR="00674789">
        <w:t xml:space="preserve"> </w:t>
      </w:r>
      <w:r w:rsidR="002A354B">
        <w:t xml:space="preserve">available </w:t>
      </w:r>
      <w:r w:rsidR="00674789">
        <w:t>to</w:t>
      </w:r>
      <w:r w:rsidR="002A354B">
        <w:t xml:space="preserve"> SRH health workers. </w:t>
      </w:r>
    </w:p>
    <w:p w14:paraId="71FECCF5" w14:textId="77777777" w:rsidR="002A354B" w:rsidRDefault="002A354B" w:rsidP="002A354B">
      <w:pPr>
        <w:pStyle w:val="ListParagraph"/>
        <w:numPr>
          <w:ilvl w:val="1"/>
          <w:numId w:val="6"/>
        </w:numPr>
        <w:jc w:val="both"/>
      </w:pPr>
      <w:r>
        <w:t>Doctors are not well prepared to provide online/virtual SRH support.</w:t>
      </w:r>
    </w:p>
    <w:p w14:paraId="065AAAF8" w14:textId="1F543034" w:rsidR="002A354B" w:rsidRDefault="002A354B" w:rsidP="00D22AC9">
      <w:pPr>
        <w:pStyle w:val="ListParagraph"/>
        <w:ind w:left="2260"/>
        <w:jc w:val="both"/>
      </w:pPr>
      <w:r>
        <w:t>Almost all service</w:t>
      </w:r>
      <w:r w:rsidR="00674789">
        <w:t xml:space="preserve"> providers </w:t>
      </w:r>
      <w:r w:rsidR="00D22AC9">
        <w:t xml:space="preserve">have </w:t>
      </w:r>
      <w:r w:rsidR="00674789">
        <w:t>activated a hotline/</w:t>
      </w:r>
      <w:r>
        <w:t xml:space="preserve">phone consultation to follow up with the cases, others have </w:t>
      </w:r>
      <w:r w:rsidR="00D22AC9">
        <w:t>started</w:t>
      </w:r>
      <w:r>
        <w:t xml:space="preserve"> </w:t>
      </w:r>
      <w:r w:rsidR="00674789">
        <w:t xml:space="preserve">raising </w:t>
      </w:r>
      <w:r>
        <w:t xml:space="preserve">awareness </w:t>
      </w:r>
      <w:r w:rsidR="00D22AC9">
        <w:t xml:space="preserve">campaigns </w:t>
      </w:r>
      <w:r w:rsidR="00674789">
        <w:t>through</w:t>
      </w:r>
      <w:r>
        <w:t xml:space="preserve"> social media</w:t>
      </w:r>
      <w:r w:rsidR="00674789">
        <w:t>.</w:t>
      </w:r>
    </w:p>
    <w:p w14:paraId="42C68760" w14:textId="77777777" w:rsidR="00D25A4C" w:rsidRDefault="00D25A4C" w:rsidP="00D25A4C">
      <w:pPr>
        <w:pStyle w:val="ListParagraph"/>
        <w:ind w:left="1540"/>
        <w:jc w:val="both"/>
      </w:pPr>
    </w:p>
    <w:p w14:paraId="55444371" w14:textId="77777777" w:rsidR="00F54EE6" w:rsidRDefault="0034184A" w:rsidP="000C70B6">
      <w:pPr>
        <w:pStyle w:val="ListParagraph"/>
        <w:numPr>
          <w:ilvl w:val="0"/>
          <w:numId w:val="9"/>
        </w:numPr>
        <w:jc w:val="both"/>
      </w:pPr>
      <w:r>
        <w:t>Could you identify</w:t>
      </w:r>
      <w:r w:rsidR="00F54EE6" w:rsidRPr="00AA7C9B">
        <w:t xml:space="preserve"> any lesson</w:t>
      </w:r>
      <w:r w:rsidR="0002644E">
        <w:t>s</w:t>
      </w:r>
      <w:r w:rsidR="00F54EE6" w:rsidRPr="00AA7C9B">
        <w:t xml:space="preserve"> learn</w:t>
      </w:r>
      <w:r w:rsidR="00041634">
        <w:t>ed</w:t>
      </w:r>
      <w:r w:rsidR="00F54EE6" w:rsidRPr="00AA7C9B">
        <w:t xml:space="preserve">? Please indicate if and how </w:t>
      </w:r>
      <w:r w:rsidR="0002644E">
        <w:t>these lessons</w:t>
      </w:r>
      <w:r w:rsidR="0002644E" w:rsidRPr="00AA7C9B">
        <w:t xml:space="preserve"> </w:t>
      </w:r>
      <w:r w:rsidR="00F54EE6" w:rsidRPr="00AA7C9B">
        <w:t xml:space="preserve">have been applied in preparedness </w:t>
      </w:r>
      <w:r w:rsidR="00F3259B">
        <w:t xml:space="preserve">strategies </w:t>
      </w:r>
      <w:r w:rsidR="00F54EE6" w:rsidRPr="00AA7C9B">
        <w:t xml:space="preserve">or in subsequent situations of crisis. </w:t>
      </w:r>
    </w:p>
    <w:p w14:paraId="153ADA0B" w14:textId="4D0F6EAD" w:rsidR="00B44E5A" w:rsidRDefault="00236E36" w:rsidP="0020595B">
      <w:pPr>
        <w:pStyle w:val="ListParagraph"/>
        <w:numPr>
          <w:ilvl w:val="2"/>
          <w:numId w:val="6"/>
        </w:numPr>
        <w:jc w:val="both"/>
      </w:pPr>
      <w:r>
        <w:t xml:space="preserve">The </w:t>
      </w:r>
      <w:r w:rsidR="0020595B">
        <w:t>coherent</w:t>
      </w:r>
      <w:r>
        <w:t xml:space="preserve"> </w:t>
      </w:r>
      <w:r w:rsidR="00B44E5A">
        <w:t>response to essential services</w:t>
      </w:r>
      <w:r w:rsidR="009F06FF">
        <w:t>, and the recognition of</w:t>
      </w:r>
      <w:r w:rsidR="00B44E5A">
        <w:t xml:space="preserve"> SRH </w:t>
      </w:r>
      <w:r w:rsidR="00450956">
        <w:t>as one of these services.</w:t>
      </w:r>
    </w:p>
    <w:p w14:paraId="0DCB8867" w14:textId="13818895" w:rsidR="00B44E5A" w:rsidRDefault="00595E83" w:rsidP="00FD58DF">
      <w:pPr>
        <w:pStyle w:val="ListParagraph"/>
        <w:numPr>
          <w:ilvl w:val="2"/>
          <w:numId w:val="6"/>
        </w:numPr>
        <w:jc w:val="both"/>
      </w:pPr>
      <w:r>
        <w:t>The formulation of a</w:t>
      </w:r>
      <w:r w:rsidR="00FD58DF">
        <w:t xml:space="preserve"> </w:t>
      </w:r>
      <w:r w:rsidR="00B44E5A">
        <w:t>comprehensive emergency plan that can be easily replicated in situations of crisis.</w:t>
      </w:r>
    </w:p>
    <w:p w14:paraId="543C97EE" w14:textId="6EE9CD3C" w:rsidR="00B44E5A" w:rsidRDefault="00236E36" w:rsidP="0020595B">
      <w:pPr>
        <w:pStyle w:val="ListParagraph"/>
        <w:numPr>
          <w:ilvl w:val="2"/>
          <w:numId w:val="6"/>
        </w:numPr>
        <w:jc w:val="both"/>
      </w:pPr>
      <w:r>
        <w:t>The importance of providing</w:t>
      </w:r>
      <w:r w:rsidR="00B44E5A">
        <w:t xml:space="preserve"> PPE </w:t>
      </w:r>
      <w:r w:rsidR="0020595B">
        <w:t>to</w:t>
      </w:r>
      <w:r w:rsidR="00B44E5A">
        <w:t xml:space="preserve"> SRH health workers, to </w:t>
      </w:r>
      <w:r>
        <w:t xml:space="preserve">enable them to provide </w:t>
      </w:r>
      <w:r w:rsidR="0020595B">
        <w:t>appropriate</w:t>
      </w:r>
      <w:r>
        <w:t xml:space="preserve"> services.</w:t>
      </w:r>
      <w:r w:rsidR="00B44E5A">
        <w:t xml:space="preserve"> </w:t>
      </w:r>
      <w:r w:rsidR="008F618B">
        <w:t>The p</w:t>
      </w:r>
      <w:r w:rsidR="00B44E5A">
        <w:t xml:space="preserve">rovision of PPE should be in coordination with </w:t>
      </w:r>
      <w:r w:rsidR="008F618B">
        <w:t xml:space="preserve">the </w:t>
      </w:r>
      <w:r w:rsidR="00B44E5A">
        <w:t xml:space="preserve">MOH and the health cluster, due to high </w:t>
      </w:r>
      <w:r w:rsidR="008F618B">
        <w:t>global demand and limited supplies</w:t>
      </w:r>
      <w:r w:rsidR="00B44E5A">
        <w:t>.</w:t>
      </w:r>
    </w:p>
    <w:p w14:paraId="339D6E5D" w14:textId="4DA043E8" w:rsidR="00B44E5A" w:rsidRDefault="007B489D" w:rsidP="0020595B">
      <w:pPr>
        <w:pStyle w:val="ListParagraph"/>
        <w:numPr>
          <w:ilvl w:val="2"/>
          <w:numId w:val="6"/>
        </w:numPr>
        <w:jc w:val="both"/>
      </w:pPr>
      <w:r>
        <w:t xml:space="preserve">The </w:t>
      </w:r>
      <w:r w:rsidR="00042699">
        <w:t>develop</w:t>
      </w:r>
      <w:r>
        <w:t>ment</w:t>
      </w:r>
      <w:r w:rsidR="00B44E5A">
        <w:t xml:space="preserve"> </w:t>
      </w:r>
      <w:r>
        <w:t>of clear guidelines</w:t>
      </w:r>
      <w:r w:rsidR="00B44E5A">
        <w:t xml:space="preserve"> for SRH service providers, </w:t>
      </w:r>
      <w:r w:rsidR="0020595B">
        <w:t>in line with</w:t>
      </w:r>
      <w:r>
        <w:t xml:space="preserve"> WHO recommendations</w:t>
      </w:r>
      <w:r w:rsidR="00B44E5A">
        <w:t>.</w:t>
      </w:r>
    </w:p>
    <w:p w14:paraId="399FA4A7" w14:textId="66C80C60" w:rsidR="00B44E5A" w:rsidRDefault="00EC638D" w:rsidP="00036BDF">
      <w:pPr>
        <w:pStyle w:val="ListParagraph"/>
        <w:numPr>
          <w:ilvl w:val="2"/>
          <w:numId w:val="6"/>
        </w:numPr>
        <w:jc w:val="both"/>
      </w:pPr>
      <w:r>
        <w:t>A</w:t>
      </w:r>
      <w:r w:rsidR="00B44E5A">
        <w:t xml:space="preserve"> review of </w:t>
      </w:r>
      <w:r w:rsidR="00BA0273">
        <w:t xml:space="preserve">the information and </w:t>
      </w:r>
      <w:r w:rsidR="00B44E5A">
        <w:t>services that should or cou</w:t>
      </w:r>
      <w:r w:rsidR="00BA0273">
        <w:t xml:space="preserve">ld be provided through </w:t>
      </w:r>
      <w:r w:rsidR="00036BDF">
        <w:t xml:space="preserve">the </w:t>
      </w:r>
      <w:r w:rsidR="00BA0273">
        <w:t>hotline</w:t>
      </w:r>
      <w:r w:rsidR="00712FF9">
        <w:t>, in coordination with the MoH</w:t>
      </w:r>
      <w:r w:rsidR="00B44E5A">
        <w:t xml:space="preserve"> </w:t>
      </w:r>
      <w:r w:rsidR="00712FF9">
        <w:t>and the</w:t>
      </w:r>
      <w:r w:rsidR="00B44E5A">
        <w:t xml:space="preserve"> UNFPA and </w:t>
      </w:r>
      <w:r w:rsidR="00650DF9">
        <w:t>relevant civil society organisations.</w:t>
      </w:r>
    </w:p>
    <w:p w14:paraId="3C7C5D5B" w14:textId="31B2FEB7" w:rsidR="00B44E5A" w:rsidRDefault="00036BDF" w:rsidP="00036BDF">
      <w:pPr>
        <w:pStyle w:val="ListParagraph"/>
        <w:numPr>
          <w:ilvl w:val="2"/>
          <w:numId w:val="6"/>
        </w:numPr>
        <w:jc w:val="both"/>
      </w:pPr>
      <w:r w:rsidRPr="00036BDF">
        <w:t>Activate the role of the working group on SRH and strengthen coordination between all partners concerning the a</w:t>
      </w:r>
      <w:r>
        <w:t>ctivities of the health cluster</w:t>
      </w:r>
      <w:r w:rsidR="00B44E5A">
        <w:t>.</w:t>
      </w:r>
    </w:p>
    <w:p w14:paraId="0A1638DD" w14:textId="1DC2F843" w:rsidR="00B44E5A" w:rsidRDefault="00EC638D" w:rsidP="00EC638D">
      <w:pPr>
        <w:pStyle w:val="ListParagraph"/>
        <w:numPr>
          <w:ilvl w:val="2"/>
          <w:numId w:val="6"/>
        </w:numPr>
        <w:jc w:val="both"/>
      </w:pPr>
      <w:r>
        <w:t>The development of monitoring mechanisms</w:t>
      </w:r>
      <w:r w:rsidR="00B44E5A">
        <w:t>.</w:t>
      </w:r>
    </w:p>
    <w:p w14:paraId="119030BB" w14:textId="0E928B14" w:rsidR="00B44E5A" w:rsidRDefault="00042699" w:rsidP="00042699">
      <w:pPr>
        <w:pStyle w:val="ListParagraph"/>
        <w:numPr>
          <w:ilvl w:val="2"/>
          <w:numId w:val="6"/>
        </w:numPr>
        <w:jc w:val="both"/>
      </w:pPr>
      <w:r>
        <w:t>Activation of</w:t>
      </w:r>
      <w:r w:rsidR="00B44E5A">
        <w:t xml:space="preserve"> phone counselling to </w:t>
      </w:r>
      <w:r>
        <w:t>deal with urgent cases.</w:t>
      </w:r>
    </w:p>
    <w:p w14:paraId="63AA437C" w14:textId="711F3039" w:rsidR="00B44E5A" w:rsidRDefault="00036BDF" w:rsidP="00036BDF">
      <w:pPr>
        <w:pStyle w:val="ListParagraph"/>
        <w:numPr>
          <w:ilvl w:val="2"/>
          <w:numId w:val="6"/>
        </w:numPr>
        <w:jc w:val="both"/>
      </w:pPr>
      <w:r>
        <w:t>T</w:t>
      </w:r>
      <w:r w:rsidRPr="00036BDF">
        <w:t>he importance of conducting home visits (taking all necessary precautions into account) to provide counseling to midwives working in PHC centers</w:t>
      </w:r>
      <w:r w:rsidR="00B44E5A">
        <w:t>.</w:t>
      </w:r>
    </w:p>
    <w:p w14:paraId="15EBC5D0" w14:textId="04C3131F" w:rsidR="00B44E5A" w:rsidRDefault="00746E7B" w:rsidP="00036BDF">
      <w:pPr>
        <w:pStyle w:val="ListParagraph"/>
        <w:numPr>
          <w:ilvl w:val="2"/>
          <w:numId w:val="6"/>
        </w:numPr>
        <w:jc w:val="both"/>
      </w:pPr>
      <w:r>
        <w:t>Designation of</w:t>
      </w:r>
      <w:r w:rsidR="00B44E5A">
        <w:t xml:space="preserve"> focal points (Doctors) for each area to follow up onl</w:t>
      </w:r>
      <w:r>
        <w:t xml:space="preserve">ine consultations with ANC, PNC, </w:t>
      </w:r>
      <w:r w:rsidR="00B44E5A">
        <w:t xml:space="preserve">and provide </w:t>
      </w:r>
      <w:r w:rsidR="00036BDF">
        <w:t>guidance and advice</w:t>
      </w:r>
      <w:r w:rsidR="00B44E5A">
        <w:t xml:space="preserve">. </w:t>
      </w:r>
    </w:p>
    <w:p w14:paraId="36DC3086" w14:textId="1F07B501" w:rsidR="0005664F" w:rsidRDefault="00746E7B" w:rsidP="00746E7B">
      <w:pPr>
        <w:pStyle w:val="ListParagraph"/>
        <w:numPr>
          <w:ilvl w:val="2"/>
          <w:numId w:val="6"/>
        </w:numPr>
        <w:jc w:val="both"/>
      </w:pPr>
      <w:r>
        <w:t>The integration of</w:t>
      </w:r>
      <w:r w:rsidR="00B44E5A">
        <w:t xml:space="preserve"> SRH services </w:t>
      </w:r>
      <w:r>
        <w:t>in</w:t>
      </w:r>
      <w:r w:rsidR="00B44E5A">
        <w:t xml:space="preserve"> PHC mobile clinics.  </w:t>
      </w:r>
    </w:p>
    <w:p w14:paraId="0F0AE50E" w14:textId="77777777" w:rsidR="00B44E5A" w:rsidRDefault="00B44E5A" w:rsidP="0005664F">
      <w:pPr>
        <w:pStyle w:val="ListParagraph"/>
        <w:ind w:left="1080"/>
        <w:jc w:val="both"/>
      </w:pPr>
    </w:p>
    <w:p w14:paraId="331A9F45" w14:textId="77777777" w:rsidR="0045780A" w:rsidRPr="0045780A" w:rsidRDefault="0005664F" w:rsidP="0045780A">
      <w:pPr>
        <w:pStyle w:val="ListParagraph"/>
        <w:numPr>
          <w:ilvl w:val="0"/>
          <w:numId w:val="9"/>
        </w:numPr>
        <w:jc w:val="both"/>
        <w:rPr>
          <w:rFonts w:asciiTheme="minorHAnsi" w:hAnsiTheme="minorHAnsi" w:cstheme="minorHAnsi"/>
        </w:rPr>
      </w:pPr>
      <w:r w:rsidRPr="0005664F">
        <w:rPr>
          <w:rFonts w:asciiTheme="minorHAnsi" w:hAnsiTheme="minorHAnsi" w:cstheme="minorHAnsi"/>
          <w:color w:val="000000"/>
          <w:shd w:val="clear" w:color="auto" w:fill="FFFFFF"/>
        </w:rPr>
        <w:t>If your State has humanitarian aid programme</w:t>
      </w:r>
      <w:r>
        <w:rPr>
          <w:rFonts w:asciiTheme="minorHAnsi" w:hAnsiTheme="minorHAnsi" w:cstheme="minorHAnsi"/>
          <w:color w:val="000000"/>
          <w:shd w:val="clear" w:color="auto" w:fill="FFFFFF"/>
        </w:rPr>
        <w:t>s</w:t>
      </w:r>
      <w:r w:rsidRPr="0005664F">
        <w:rPr>
          <w:rFonts w:asciiTheme="minorHAnsi" w:hAnsiTheme="minorHAnsi" w:cstheme="minorHAnsi"/>
          <w:color w:val="000000"/>
          <w:shd w:val="clear" w:color="auto" w:fill="FFFFFF"/>
        </w:rPr>
        <w:t xml:space="preserve">, please indicate whether SRHR are explicitly covered in the humanitarian aid strategy and how priorities on SRHR are set. </w:t>
      </w:r>
    </w:p>
    <w:p w14:paraId="686BA97C" w14:textId="2DA667BB" w:rsidR="00F2265B" w:rsidRPr="0045780A" w:rsidRDefault="008E1FD0" w:rsidP="0045780A">
      <w:pPr>
        <w:pStyle w:val="ListParagraph"/>
        <w:ind w:left="1260"/>
        <w:jc w:val="both"/>
        <w:rPr>
          <w:rFonts w:asciiTheme="minorHAnsi" w:hAnsiTheme="minorHAnsi" w:cstheme="minorHAnsi"/>
        </w:rPr>
      </w:pPr>
      <w:r w:rsidRPr="0045780A">
        <w:rPr>
          <w:rFonts w:asciiTheme="minorHAnsi" w:hAnsiTheme="minorHAnsi" w:cstheme="minorHAnsi"/>
        </w:rPr>
        <w:t xml:space="preserve">The State of </w:t>
      </w:r>
      <w:r w:rsidR="000A0805" w:rsidRPr="0045780A">
        <w:rPr>
          <w:rFonts w:asciiTheme="minorHAnsi" w:hAnsiTheme="minorHAnsi" w:cstheme="minorHAnsi"/>
        </w:rPr>
        <w:t xml:space="preserve">Palestine has </w:t>
      </w:r>
      <w:r w:rsidR="00F2265B" w:rsidRPr="0045780A">
        <w:rPr>
          <w:rFonts w:asciiTheme="minorHAnsi" w:hAnsiTheme="minorHAnsi" w:cstheme="minorHAnsi"/>
        </w:rPr>
        <w:t xml:space="preserve">different </w:t>
      </w:r>
      <w:r w:rsidR="000A0805" w:rsidRPr="0045780A">
        <w:rPr>
          <w:rFonts w:asciiTheme="minorHAnsi" w:hAnsiTheme="minorHAnsi" w:cstheme="minorHAnsi"/>
        </w:rPr>
        <w:t>humanitarian aid programs</w:t>
      </w:r>
      <w:r w:rsidR="00F2265B" w:rsidRPr="0045780A">
        <w:rPr>
          <w:rFonts w:asciiTheme="minorHAnsi" w:hAnsiTheme="minorHAnsi" w:cstheme="minorHAnsi"/>
        </w:rPr>
        <w:t>, including cash assistance to poor families, health insurance,</w:t>
      </w:r>
      <w:r w:rsidR="00F2265B" w:rsidRPr="00F2265B">
        <w:t xml:space="preserve"> </w:t>
      </w:r>
      <w:r w:rsidR="00F2265B" w:rsidRPr="0045780A">
        <w:rPr>
          <w:rFonts w:asciiTheme="minorHAnsi" w:hAnsiTheme="minorHAnsi" w:cstheme="minorHAnsi"/>
        </w:rPr>
        <w:t>distribution of food and health packages</w:t>
      </w:r>
      <w:r w:rsidR="00E9363E">
        <w:rPr>
          <w:rFonts w:asciiTheme="minorHAnsi" w:hAnsiTheme="minorHAnsi" w:cstheme="minorHAnsi"/>
        </w:rPr>
        <w:t xml:space="preserve"> for</w:t>
      </w:r>
      <w:r w:rsidR="00F2265B" w:rsidRPr="0045780A">
        <w:rPr>
          <w:rFonts w:asciiTheme="minorHAnsi" w:hAnsiTheme="minorHAnsi" w:cstheme="minorHAnsi"/>
        </w:rPr>
        <w:t xml:space="preserve"> poor families and HIV patients</w:t>
      </w:r>
      <w:r w:rsidR="000A0805" w:rsidRPr="0045780A">
        <w:rPr>
          <w:rFonts w:asciiTheme="minorHAnsi" w:hAnsiTheme="minorHAnsi" w:cstheme="minorHAnsi"/>
        </w:rPr>
        <w:t xml:space="preserve">. However, the SRHR are not explicitly </w:t>
      </w:r>
      <w:r w:rsidRPr="0045780A">
        <w:rPr>
          <w:rFonts w:asciiTheme="minorHAnsi" w:hAnsiTheme="minorHAnsi" w:cstheme="minorHAnsi"/>
        </w:rPr>
        <w:t>included</w:t>
      </w:r>
      <w:r w:rsidR="000A0805" w:rsidRPr="0045780A">
        <w:rPr>
          <w:rFonts w:asciiTheme="minorHAnsi" w:hAnsiTheme="minorHAnsi" w:cstheme="minorHAnsi"/>
        </w:rPr>
        <w:t xml:space="preserve"> in these programs.</w:t>
      </w:r>
    </w:p>
    <w:p w14:paraId="66F63D4A" w14:textId="77777777" w:rsidR="00A34A8C" w:rsidRPr="00F2265B" w:rsidRDefault="00A34A8C" w:rsidP="00571FB4">
      <w:pPr>
        <w:pStyle w:val="ListParagraph"/>
        <w:ind w:left="1070"/>
        <w:jc w:val="both"/>
        <w:rPr>
          <w:rFonts w:asciiTheme="minorHAnsi" w:hAnsiTheme="minorHAnsi" w:cstheme="minorHAnsi"/>
        </w:rPr>
      </w:pPr>
    </w:p>
    <w:p w14:paraId="3A31A9EB" w14:textId="77777777" w:rsidR="00571FB4" w:rsidRPr="00571FB4" w:rsidRDefault="00571FB4" w:rsidP="00571FB4">
      <w:pPr>
        <w:pStyle w:val="ListParagraph"/>
        <w:ind w:left="1070"/>
        <w:jc w:val="both"/>
        <w:rPr>
          <w:rFonts w:asciiTheme="minorHAnsi" w:hAnsiTheme="minorHAnsi" w:cstheme="minorHAnsi"/>
        </w:rPr>
      </w:pPr>
    </w:p>
    <w:p w14:paraId="333FD886" w14:textId="77777777" w:rsidR="00CF3F56" w:rsidRDefault="007C7CD7" w:rsidP="00CF3F56">
      <w:pPr>
        <w:pStyle w:val="ListParagraph"/>
        <w:numPr>
          <w:ilvl w:val="0"/>
          <w:numId w:val="9"/>
        </w:numPr>
        <w:jc w:val="both"/>
      </w:pPr>
      <w:r w:rsidRPr="00EA3408">
        <w:lastRenderedPageBreak/>
        <w:t xml:space="preserve">Please indicate the main challenges, if any, encountered by women and girls to access justice and obtain reparations for violations of </w:t>
      </w:r>
      <w:r w:rsidR="00031377">
        <w:t xml:space="preserve">their </w:t>
      </w:r>
      <w:r w:rsidR="00FA31A9">
        <w:t>SRHR</w:t>
      </w:r>
      <w:r w:rsidR="00EA3408" w:rsidRPr="00EA3408">
        <w:t>, including any procedural barriers</w:t>
      </w:r>
      <w:r w:rsidR="00FA31A9">
        <w:t>,</w:t>
      </w:r>
      <w:r w:rsidR="00EA3408" w:rsidRPr="00EA3408">
        <w:t xml:space="preserve"> </w:t>
      </w:r>
      <w:r w:rsidR="00616B37">
        <w:t>and the</w:t>
      </w:r>
      <w:r w:rsidR="00EA3408" w:rsidRPr="00EA3408">
        <w:t xml:space="preserve"> type</w:t>
      </w:r>
      <w:r w:rsidR="00616B37">
        <w:t>s</w:t>
      </w:r>
      <w:r w:rsidR="00FA31A9">
        <w:t xml:space="preserve"> </w:t>
      </w:r>
      <w:r w:rsidR="00EA3408" w:rsidRPr="00EA3408">
        <w:t>of assistance available</w:t>
      </w:r>
      <w:r w:rsidR="00616B37">
        <w:t xml:space="preserve"> to access legal and other remedies</w:t>
      </w:r>
      <w:r w:rsidRPr="00EA3408">
        <w:t xml:space="preserve">. Please also indicate the groups of women and girls most affected. </w:t>
      </w:r>
      <w:r w:rsidR="00D25A4C">
        <w:t xml:space="preserve">Where applicable, please indicate </w:t>
      </w:r>
      <w:r w:rsidR="00122894">
        <w:t>the role played</w:t>
      </w:r>
      <w:r w:rsidR="00D25A4C">
        <w:t xml:space="preserve"> by </w:t>
      </w:r>
      <w:r w:rsidR="00FA31A9">
        <w:t>a</w:t>
      </w:r>
      <w:r w:rsidR="00D25A4C">
        <w:t xml:space="preserve"> </w:t>
      </w:r>
      <w:r w:rsidR="00D25A4C" w:rsidRPr="00D25A4C">
        <w:t>national truth and reconciliation commission (or a similar bod</w:t>
      </w:r>
      <w:r w:rsidR="00D25A4C">
        <w:t>y</w:t>
      </w:r>
      <w:r w:rsidR="00D25A4C" w:rsidRPr="00D25A4C">
        <w:t>) in ensuring the recognition of human rights violations in relation to women’s</w:t>
      </w:r>
      <w:r w:rsidR="00D25A4C">
        <w:t xml:space="preserve"> and girls’</w:t>
      </w:r>
      <w:r w:rsidR="00D25A4C" w:rsidRPr="00D25A4C">
        <w:t xml:space="preserve"> SRHR and reparations</w:t>
      </w:r>
      <w:r w:rsidR="00122894">
        <w:t>.</w:t>
      </w:r>
    </w:p>
    <w:p w14:paraId="61ABF66C" w14:textId="77777777" w:rsidR="00CF3F56" w:rsidRDefault="00CF3F56" w:rsidP="00CF3F56">
      <w:pPr>
        <w:pStyle w:val="ListParagraph"/>
        <w:ind w:left="1260"/>
        <w:jc w:val="both"/>
      </w:pPr>
    </w:p>
    <w:p w14:paraId="566EEC02" w14:textId="48E43F23" w:rsidR="000A0805" w:rsidRDefault="00CF3F56" w:rsidP="008575A2">
      <w:pPr>
        <w:pStyle w:val="ListParagraph"/>
        <w:ind w:left="1260"/>
        <w:jc w:val="both"/>
      </w:pPr>
      <w:r>
        <w:t>The Basic Law and the applicable legisltions ensure women’s access to justice</w:t>
      </w:r>
      <w:r w:rsidR="008575A2">
        <w:t xml:space="preserve"> and remedies</w:t>
      </w:r>
      <w:r>
        <w:t>. Moreover, t</w:t>
      </w:r>
      <w:r w:rsidR="000A0805">
        <w:t xml:space="preserve">he </w:t>
      </w:r>
      <w:r>
        <w:t xml:space="preserve">applicable </w:t>
      </w:r>
      <w:r w:rsidR="000A0805">
        <w:t xml:space="preserve">Penal </w:t>
      </w:r>
      <w:r>
        <w:t>Code criminalizes violence against women</w:t>
      </w:r>
      <w:r w:rsidR="000A0805">
        <w:t xml:space="preserve">, and </w:t>
      </w:r>
      <w:r>
        <w:t xml:space="preserve">the draft </w:t>
      </w:r>
      <w:r w:rsidR="000A0805">
        <w:t>Family Protection Law include</w:t>
      </w:r>
      <w:r>
        <w:t>s</w:t>
      </w:r>
      <w:r w:rsidR="000A0805">
        <w:t xml:space="preserve"> provisions to prevent GBV and </w:t>
      </w:r>
      <w:r>
        <w:t>hold the perpetrators accountable</w:t>
      </w:r>
      <w:r w:rsidR="000A0805">
        <w:t xml:space="preserve">. However, there are </w:t>
      </w:r>
      <w:r w:rsidR="008575A2">
        <w:t>several</w:t>
      </w:r>
      <w:r w:rsidR="000A0805">
        <w:t xml:space="preserve"> </w:t>
      </w:r>
      <w:r>
        <w:t>challenges</w:t>
      </w:r>
      <w:r w:rsidR="000A0805">
        <w:t xml:space="preserve"> </w:t>
      </w:r>
      <w:r w:rsidR="008575A2" w:rsidRPr="008575A2">
        <w:t>encountered by women and girls to access justice and obtain reparations for violations of their SRHR</w:t>
      </w:r>
      <w:r w:rsidR="000A0805">
        <w:t xml:space="preserve">, </w:t>
      </w:r>
      <w:r w:rsidR="008575A2">
        <w:t>such as</w:t>
      </w:r>
      <w:r w:rsidR="000A0805">
        <w:t>:</w:t>
      </w:r>
    </w:p>
    <w:p w14:paraId="7860EC14" w14:textId="41C93967" w:rsidR="000A0805" w:rsidRDefault="000A0805" w:rsidP="00A90A5B">
      <w:pPr>
        <w:pStyle w:val="ListParagraph"/>
        <w:numPr>
          <w:ilvl w:val="2"/>
          <w:numId w:val="28"/>
        </w:numPr>
        <w:jc w:val="both"/>
      </w:pPr>
      <w:r>
        <w:t xml:space="preserve">Fear of family </w:t>
      </w:r>
      <w:r w:rsidR="00A90A5B">
        <w:t xml:space="preserve">and </w:t>
      </w:r>
      <w:r>
        <w:t>social stigma.</w:t>
      </w:r>
    </w:p>
    <w:p w14:paraId="394DB5ED" w14:textId="54965CD2" w:rsidR="000A0805" w:rsidRDefault="000A0805" w:rsidP="001E0615">
      <w:pPr>
        <w:pStyle w:val="ListParagraph"/>
        <w:numPr>
          <w:ilvl w:val="2"/>
          <w:numId w:val="28"/>
        </w:numPr>
        <w:jc w:val="both"/>
      </w:pPr>
      <w:r>
        <w:t xml:space="preserve">Fear </w:t>
      </w:r>
      <w:r w:rsidR="001E0615">
        <w:t>of</w:t>
      </w:r>
      <w:r>
        <w:t xml:space="preserve"> being </w:t>
      </w:r>
      <w:r w:rsidR="001E0615">
        <w:t>hurt</w:t>
      </w:r>
      <w:r>
        <w:t xml:space="preserve"> or killed by the perpetrator</w:t>
      </w:r>
      <w:r w:rsidR="00A90A5B">
        <w:t xml:space="preserve"> of violence.</w:t>
      </w:r>
    </w:p>
    <w:p w14:paraId="754905E8" w14:textId="10199DF5" w:rsidR="000A0805" w:rsidRDefault="00A90A5B" w:rsidP="001E0615">
      <w:pPr>
        <w:pStyle w:val="ListParagraph"/>
        <w:numPr>
          <w:ilvl w:val="2"/>
          <w:numId w:val="28"/>
        </w:numPr>
        <w:jc w:val="both"/>
      </w:pPr>
      <w:r>
        <w:t xml:space="preserve">Cultural </w:t>
      </w:r>
      <w:r w:rsidR="001E0615">
        <w:t>barriers</w:t>
      </w:r>
      <w:r>
        <w:t xml:space="preserve"> related to the </w:t>
      </w:r>
      <w:r w:rsidR="001E0615">
        <w:t>prevailing</w:t>
      </w:r>
      <w:r>
        <w:t xml:space="preserve"> traditions</w:t>
      </w:r>
      <w:r w:rsidR="000A0805">
        <w:t xml:space="preserve">. </w:t>
      </w:r>
    </w:p>
    <w:p w14:paraId="1D196EE8" w14:textId="41CD7C9F" w:rsidR="00CF3F56" w:rsidRDefault="00A90A5B" w:rsidP="00A90A5B">
      <w:pPr>
        <w:pStyle w:val="ListParagraph"/>
        <w:numPr>
          <w:ilvl w:val="2"/>
          <w:numId w:val="28"/>
        </w:numPr>
        <w:jc w:val="both"/>
      </w:pPr>
      <w:r>
        <w:t>Lockdown measures and restriction</w:t>
      </w:r>
      <w:r w:rsidR="001E0615">
        <w:t>s</w:t>
      </w:r>
      <w:r>
        <w:t xml:space="preserve"> of movement.</w:t>
      </w:r>
    </w:p>
    <w:p w14:paraId="2A2CF26C" w14:textId="77777777" w:rsidR="00A90A5B" w:rsidRDefault="00A90A5B" w:rsidP="00A90A5B">
      <w:pPr>
        <w:pStyle w:val="ListParagraph"/>
        <w:ind w:left="1970"/>
        <w:jc w:val="both"/>
      </w:pPr>
    </w:p>
    <w:p w14:paraId="2836F050" w14:textId="77777777" w:rsidR="00F54EE6" w:rsidRPr="0047406D" w:rsidRDefault="00F54EE6" w:rsidP="00CB0784">
      <w:pPr>
        <w:jc w:val="both"/>
        <w:rPr>
          <w:u w:val="single"/>
        </w:rPr>
      </w:pPr>
      <w:r w:rsidRPr="0047406D">
        <w:rPr>
          <w:u w:val="single"/>
        </w:rPr>
        <w:t>Preparedness</w:t>
      </w:r>
      <w:r w:rsidR="00960985">
        <w:rPr>
          <w:u w:val="single"/>
        </w:rPr>
        <w:t>,</w:t>
      </w:r>
      <w:r w:rsidRPr="0047406D">
        <w:rPr>
          <w:u w:val="single"/>
        </w:rPr>
        <w:t xml:space="preserve"> </w:t>
      </w:r>
      <w:r w:rsidR="000C4974">
        <w:rPr>
          <w:u w:val="single"/>
        </w:rPr>
        <w:t xml:space="preserve">recovery </w:t>
      </w:r>
      <w:r w:rsidRPr="0047406D">
        <w:rPr>
          <w:u w:val="single"/>
        </w:rPr>
        <w:t>and resilience</w:t>
      </w:r>
    </w:p>
    <w:p w14:paraId="5EAE07CD" w14:textId="77777777" w:rsidR="0034184A" w:rsidRDefault="00F54EE6" w:rsidP="000C70B6">
      <w:pPr>
        <w:pStyle w:val="ListParagraph"/>
        <w:numPr>
          <w:ilvl w:val="0"/>
          <w:numId w:val="9"/>
        </w:numPr>
        <w:jc w:val="both"/>
      </w:pPr>
      <w:r>
        <w:t xml:space="preserve">Is there any preparedness or risk management strategy/plan/policy in your State? </w:t>
      </w:r>
      <w:r w:rsidR="0034184A">
        <w:t>If so, please provide information on the following aspects:</w:t>
      </w:r>
    </w:p>
    <w:p w14:paraId="556E1C09" w14:textId="77777777" w:rsidR="0034184A" w:rsidRDefault="00F54EE6" w:rsidP="00CB0784">
      <w:pPr>
        <w:pStyle w:val="ListParagraph"/>
        <w:numPr>
          <w:ilvl w:val="0"/>
          <w:numId w:val="7"/>
        </w:numPr>
        <w:jc w:val="both"/>
      </w:pPr>
      <w:r>
        <w:t xml:space="preserve">To what crisis does it apply? What situations are excluded? </w:t>
      </w:r>
    </w:p>
    <w:p w14:paraId="1C12863E" w14:textId="0D20F66D" w:rsidR="00B44B8E" w:rsidRDefault="00B44B8E" w:rsidP="00B44B8E">
      <w:pPr>
        <w:pStyle w:val="ListParagraph"/>
        <w:ind w:left="1440"/>
        <w:jc w:val="both"/>
      </w:pPr>
      <w:r w:rsidRPr="00B44B8E">
        <w:t>There is an available risk management strategy in Palestine which applies to different contextual crisis</w:t>
      </w:r>
      <w:r w:rsidR="008A7EA3">
        <w:t>,</w:t>
      </w:r>
      <w:r w:rsidRPr="00B44B8E">
        <w:t xml:space="preserve"> such as natural disasters, political conflicts, wars, pandemics, food poisoning and refugee crisis</w:t>
      </w:r>
      <w:r>
        <w:t>.</w:t>
      </w:r>
    </w:p>
    <w:p w14:paraId="72303662" w14:textId="77777777" w:rsidR="00B44B8E" w:rsidRDefault="00B44B8E" w:rsidP="00B44B8E">
      <w:pPr>
        <w:pStyle w:val="ListParagraph"/>
        <w:ind w:left="1440"/>
        <w:jc w:val="both"/>
      </w:pPr>
    </w:p>
    <w:p w14:paraId="7C3679EE" w14:textId="77777777" w:rsidR="00F54EE6" w:rsidRDefault="00F54EE6" w:rsidP="00CB0784">
      <w:pPr>
        <w:pStyle w:val="ListParagraph"/>
        <w:numPr>
          <w:ilvl w:val="0"/>
          <w:numId w:val="7"/>
        </w:numPr>
        <w:jc w:val="both"/>
      </w:pPr>
      <w:r>
        <w:t xml:space="preserve">Does it contain a definition of crisis? </w:t>
      </w:r>
      <w:r w:rsidRPr="005C100F">
        <w:t xml:space="preserve">If so, please </w:t>
      </w:r>
      <w:r w:rsidR="000C70B6">
        <w:t>indicate the definition used.</w:t>
      </w:r>
    </w:p>
    <w:p w14:paraId="178E24CC" w14:textId="1186AC88" w:rsidR="00B44B8E" w:rsidRDefault="00B44B8E" w:rsidP="00B44B8E">
      <w:pPr>
        <w:pStyle w:val="ListParagraph"/>
        <w:ind w:left="1440"/>
        <w:jc w:val="both"/>
      </w:pPr>
      <w:r w:rsidRPr="00B44B8E">
        <w:t>Please see the first section “definition of Crisis”</w:t>
      </w:r>
      <w:r>
        <w:t>.</w:t>
      </w:r>
    </w:p>
    <w:p w14:paraId="432672B0" w14:textId="77777777" w:rsidR="00B44B8E" w:rsidRDefault="00B44B8E" w:rsidP="00B44B8E">
      <w:pPr>
        <w:pStyle w:val="ListParagraph"/>
        <w:ind w:left="1440"/>
        <w:jc w:val="both"/>
      </w:pPr>
    </w:p>
    <w:p w14:paraId="50F0988B" w14:textId="77777777" w:rsidR="0034184A" w:rsidRDefault="0034184A" w:rsidP="00CB0784">
      <w:pPr>
        <w:pStyle w:val="ListParagraph"/>
        <w:numPr>
          <w:ilvl w:val="0"/>
          <w:numId w:val="7"/>
        </w:numPr>
        <w:jc w:val="both"/>
      </w:pPr>
      <w:r>
        <w:t xml:space="preserve">Does </w:t>
      </w:r>
      <w:r w:rsidR="00576B1F">
        <w:t>it</w:t>
      </w:r>
      <w:r>
        <w:t xml:space="preserve"> include measures concerning women</w:t>
      </w:r>
      <w:r w:rsidR="000C70B6">
        <w:t xml:space="preserve"> </w:t>
      </w:r>
      <w:r>
        <w:t xml:space="preserve">and girls’ </w:t>
      </w:r>
      <w:r w:rsidR="00FA31A9">
        <w:t>SRHR</w:t>
      </w:r>
      <w:r>
        <w:t>? If so, please describe the measures included</w:t>
      </w:r>
      <w:r w:rsidR="000F5AC2">
        <w:t xml:space="preserve"> and</w:t>
      </w:r>
      <w:r w:rsidR="00B95896">
        <w:t xml:space="preserve"> any </w:t>
      </w:r>
      <w:r>
        <w:t>special measures envisaged and/or adopted for specific groups of women and girls</w:t>
      </w:r>
      <w:r w:rsidR="00EC187B">
        <w:t xml:space="preserve"> concerning both preparadeness and recovery</w:t>
      </w:r>
      <w:r>
        <w:t>.</w:t>
      </w:r>
    </w:p>
    <w:p w14:paraId="35365392" w14:textId="6247263C" w:rsidR="00B44B8E" w:rsidRDefault="0080719B" w:rsidP="0040229B">
      <w:pPr>
        <w:pStyle w:val="ListParagraph"/>
        <w:ind w:left="1440"/>
        <w:jc w:val="both"/>
      </w:pPr>
      <w:r>
        <w:t>SRHR for women and girls have not been included in the risk/</w:t>
      </w:r>
      <w:r w:rsidRPr="0080719B">
        <w:t>emergency management strategy. However, the strategy will soon be updated to ensure the inclusion of minimum essential services for SRH.</w:t>
      </w:r>
      <w:r w:rsidR="00B44B8E" w:rsidRPr="00B44B8E">
        <w:t xml:space="preserve">  </w:t>
      </w:r>
    </w:p>
    <w:p w14:paraId="2EDFC838" w14:textId="77777777" w:rsidR="00B44B8E" w:rsidRDefault="00B44B8E" w:rsidP="00B44B8E">
      <w:pPr>
        <w:pStyle w:val="ListParagraph"/>
        <w:ind w:left="1440"/>
        <w:jc w:val="both"/>
      </w:pPr>
    </w:p>
    <w:p w14:paraId="3918FAB7" w14:textId="77777777" w:rsidR="0034184A" w:rsidRDefault="0034184A" w:rsidP="00CB0784">
      <w:pPr>
        <w:pStyle w:val="ListParagraph"/>
        <w:numPr>
          <w:ilvl w:val="0"/>
          <w:numId w:val="7"/>
        </w:numPr>
        <w:jc w:val="both"/>
      </w:pPr>
      <w:r>
        <w:t>How were the risks related to women and girls’ sexual and reproductive health and rights, in urban and rural areas, identified and assessed?</w:t>
      </w:r>
    </w:p>
    <w:p w14:paraId="4F09ACAA" w14:textId="4B8673F2" w:rsidR="00B05326" w:rsidRDefault="00B05326" w:rsidP="00B05326">
      <w:pPr>
        <w:pStyle w:val="ListParagraph"/>
        <w:ind w:left="1440"/>
        <w:jc w:val="both"/>
      </w:pPr>
      <w:r w:rsidRPr="00B05326">
        <w:t>Not applicable.</w:t>
      </w:r>
    </w:p>
    <w:p w14:paraId="4131C3D5" w14:textId="77777777" w:rsidR="00B05326" w:rsidRDefault="00B05326" w:rsidP="00B05326">
      <w:pPr>
        <w:pStyle w:val="ListParagraph"/>
        <w:ind w:left="1440"/>
        <w:jc w:val="both"/>
      </w:pPr>
    </w:p>
    <w:p w14:paraId="0E571FBE" w14:textId="72D6AE60" w:rsidR="00EC187B" w:rsidRDefault="0034184A" w:rsidP="00EC187B">
      <w:pPr>
        <w:pStyle w:val="ListParagraph"/>
        <w:numPr>
          <w:ilvl w:val="0"/>
          <w:numId w:val="7"/>
        </w:numPr>
        <w:jc w:val="both"/>
      </w:pPr>
      <w:r w:rsidRPr="00EA3408">
        <w:t xml:space="preserve">Were women’s </w:t>
      </w:r>
      <w:r w:rsidR="00245FC1" w:rsidRPr="00EA3408">
        <w:t xml:space="preserve">rights </w:t>
      </w:r>
      <w:r w:rsidRPr="00EA3408">
        <w:t>organizations</w:t>
      </w:r>
      <w:r w:rsidR="00EA3408">
        <w:t xml:space="preserve"> </w:t>
      </w:r>
      <w:r w:rsidRPr="0034184A">
        <w:t>involved in:</w:t>
      </w:r>
      <w:r w:rsidR="00EC3471">
        <w:t xml:space="preserve"> </w:t>
      </w:r>
      <w:r>
        <w:t>i</w:t>
      </w:r>
      <w:r w:rsidRPr="0034184A">
        <w:t xml:space="preserve">) the development of the strategy/plan/policy; </w:t>
      </w:r>
      <w:r>
        <w:t>ii</w:t>
      </w:r>
      <w:r w:rsidRPr="0034184A">
        <w:t>)</w:t>
      </w:r>
      <w:r w:rsidR="00FA31A9">
        <w:t xml:space="preserve"> </w:t>
      </w:r>
      <w:r w:rsidRPr="0034184A">
        <w:t xml:space="preserve">assessment of the risks concerning </w:t>
      </w:r>
      <w:r w:rsidR="00FA31A9">
        <w:t>SRHR</w:t>
      </w:r>
      <w:r w:rsidRPr="0034184A">
        <w:t xml:space="preserve">; </w:t>
      </w:r>
      <w:r>
        <w:t>iii</w:t>
      </w:r>
      <w:r w:rsidRPr="0034184A">
        <w:t xml:space="preserve">) the </w:t>
      </w:r>
      <w:r w:rsidRPr="00EA3408">
        <w:t xml:space="preserve">design of the measures </w:t>
      </w:r>
      <w:r w:rsidR="002F0F88" w:rsidRPr="00EA3408">
        <w:t>implemented</w:t>
      </w:r>
      <w:r w:rsidR="000B2982">
        <w:t xml:space="preserve">; and </w:t>
      </w:r>
      <w:r w:rsidR="00FA31A9">
        <w:t xml:space="preserve">iv) </w:t>
      </w:r>
      <w:r w:rsidR="000B2982">
        <w:t xml:space="preserve">the monitoring of the </w:t>
      </w:r>
      <w:r w:rsidR="00EC3471">
        <w:t>strategy</w:t>
      </w:r>
      <w:r w:rsidR="000B2982">
        <w:t>/plan/policy</w:t>
      </w:r>
      <w:r w:rsidRPr="00EA3408">
        <w:t>?</w:t>
      </w:r>
      <w:r w:rsidR="00EC187B">
        <w:t xml:space="preserve"> Please indicate the steps taken to ensure their participation and to include a gender-perspective in crisis preparedness, management and recovery.</w:t>
      </w:r>
    </w:p>
    <w:p w14:paraId="001AED00" w14:textId="5AAD7C98" w:rsidR="00B05326" w:rsidRDefault="00B05326" w:rsidP="00B05326">
      <w:pPr>
        <w:pStyle w:val="ListParagraph"/>
        <w:ind w:left="1440"/>
        <w:jc w:val="both"/>
      </w:pPr>
      <w:r w:rsidRPr="00B05326">
        <w:t>Not applicable.</w:t>
      </w:r>
    </w:p>
    <w:p w14:paraId="4C91B530" w14:textId="77777777" w:rsidR="00B05326" w:rsidRDefault="00B05326" w:rsidP="00B05326">
      <w:pPr>
        <w:pStyle w:val="ListParagraph"/>
        <w:ind w:left="1440"/>
        <w:jc w:val="both"/>
      </w:pPr>
    </w:p>
    <w:p w14:paraId="18D667A5" w14:textId="77777777" w:rsidR="00B24FFC" w:rsidRDefault="00F54EE6" w:rsidP="00B24FFC">
      <w:pPr>
        <w:pStyle w:val="ListParagraph"/>
        <w:numPr>
          <w:ilvl w:val="0"/>
          <w:numId w:val="7"/>
        </w:numPr>
        <w:jc w:val="both"/>
      </w:pPr>
      <w:r>
        <w:t xml:space="preserve">Please indicate if the strategy/plan/policy has undergone any assessments to date. If so, </w:t>
      </w:r>
      <w:r w:rsidR="002F0F88">
        <w:t xml:space="preserve">what </w:t>
      </w:r>
      <w:r>
        <w:t>were the main findings and recommendations concerning women</w:t>
      </w:r>
      <w:r w:rsidR="00031377">
        <w:t>’s</w:t>
      </w:r>
      <w:r>
        <w:t xml:space="preserve"> and girls’ </w:t>
      </w:r>
      <w:r w:rsidR="00EC187B">
        <w:t>SRHR</w:t>
      </w:r>
      <w:r>
        <w:t>?</w:t>
      </w:r>
    </w:p>
    <w:p w14:paraId="6A4B1DF2" w14:textId="7452DDF5" w:rsidR="00B05326" w:rsidRDefault="00B05326" w:rsidP="00B24FFC">
      <w:pPr>
        <w:pStyle w:val="ListParagraph"/>
        <w:ind w:left="1440"/>
        <w:jc w:val="both"/>
      </w:pPr>
      <w:r w:rsidRPr="00B05326">
        <w:lastRenderedPageBreak/>
        <w:t>Please see item a.</w:t>
      </w:r>
    </w:p>
    <w:p w14:paraId="3CEC1959" w14:textId="77777777" w:rsidR="00B24FFC" w:rsidRDefault="00B24FFC" w:rsidP="000B2982">
      <w:pPr>
        <w:pStyle w:val="ListParagraph"/>
        <w:ind w:left="1080"/>
        <w:jc w:val="both"/>
      </w:pPr>
    </w:p>
    <w:p w14:paraId="52F9C946" w14:textId="77777777" w:rsidR="00340213" w:rsidRDefault="000B2982" w:rsidP="00EC187B">
      <w:pPr>
        <w:pStyle w:val="ListParagraph"/>
        <w:numPr>
          <w:ilvl w:val="0"/>
          <w:numId w:val="9"/>
        </w:numPr>
        <w:jc w:val="both"/>
      </w:pPr>
      <w:r>
        <w:t>If your State does not have a plan that can immediately go into effect in a time of crisis, please explain why it is so.</w:t>
      </w:r>
    </w:p>
    <w:p w14:paraId="53AB712C" w14:textId="77777777" w:rsidR="007F12F3" w:rsidRPr="00EC187B" w:rsidRDefault="007F12F3" w:rsidP="00EC187B">
      <w:pPr>
        <w:pStyle w:val="ListParagraph"/>
      </w:pPr>
    </w:p>
    <w:p w14:paraId="6430D96D" w14:textId="00BBD96D" w:rsidR="005F4308" w:rsidRDefault="007F12F3" w:rsidP="005F4308">
      <w:pPr>
        <w:pStyle w:val="ListParagraph"/>
        <w:numPr>
          <w:ilvl w:val="0"/>
          <w:numId w:val="9"/>
        </w:numPr>
        <w:jc w:val="both"/>
      </w:pPr>
      <w:bookmarkStart w:id="3" w:name="_Hlk46138180"/>
      <w:bookmarkStart w:id="4" w:name="_GoBack"/>
      <w:r w:rsidRPr="00EC187B">
        <w:t>Are there specific ways in which</w:t>
      </w:r>
      <w:r w:rsidR="00911D11" w:rsidRPr="00EC187B">
        <w:t xml:space="preserve"> international</w:t>
      </w:r>
      <w:r w:rsidRPr="00EC187B">
        <w:t xml:space="preserve"> human rights mechanisms </w:t>
      </w:r>
      <w:r w:rsidR="00911D11" w:rsidRPr="00EC187B">
        <w:t xml:space="preserve">can </w:t>
      </w:r>
      <w:r w:rsidRPr="00EC187B">
        <w:t>support States in their efforts to address a crisis</w:t>
      </w:r>
      <w:r w:rsidR="00824E56" w:rsidRPr="00EC187B">
        <w:t>?</w:t>
      </w:r>
    </w:p>
    <w:bookmarkEnd w:id="4"/>
    <w:p w14:paraId="66FED0F0" w14:textId="5CCC648B" w:rsidR="00824258" w:rsidRPr="00EC187B" w:rsidRDefault="005F4308" w:rsidP="00211288">
      <w:pPr>
        <w:pStyle w:val="ListParagraph"/>
        <w:ind w:left="1260"/>
        <w:jc w:val="both"/>
      </w:pPr>
      <w:r>
        <w:t xml:space="preserve">The State of </w:t>
      </w:r>
      <w:r w:rsidR="00824258" w:rsidRPr="00824258">
        <w:t xml:space="preserve">Palestine participates </w:t>
      </w:r>
      <w:r>
        <w:t xml:space="preserve">in all activities </w:t>
      </w:r>
      <w:r w:rsidR="00211288">
        <w:t>organized</w:t>
      </w:r>
      <w:r>
        <w:t xml:space="preserve"> by </w:t>
      </w:r>
      <w:r w:rsidR="00211288">
        <w:t xml:space="preserve">the </w:t>
      </w:r>
      <w:r>
        <w:t>UNDRR. Moreover, Palestine</w:t>
      </w:r>
      <w:r w:rsidR="00824258" w:rsidRPr="00824258">
        <w:t xml:space="preserve"> is a member of the Sendai Framework </w:t>
      </w:r>
      <w:r>
        <w:t>which identifies</w:t>
      </w:r>
      <w:r w:rsidR="00824258" w:rsidRPr="00824258">
        <w:t xml:space="preserve"> </w:t>
      </w:r>
      <w:r>
        <w:t xml:space="preserve">the </w:t>
      </w:r>
      <w:r w:rsidR="00211288">
        <w:t>appropriate</w:t>
      </w:r>
      <w:r>
        <w:t xml:space="preserve"> </w:t>
      </w:r>
      <w:r w:rsidR="00824258" w:rsidRPr="00824258">
        <w:t xml:space="preserve">international mechanisms </w:t>
      </w:r>
      <w:r>
        <w:t>to deal with any crisis</w:t>
      </w:r>
      <w:r w:rsidR="00824258" w:rsidRPr="00824258">
        <w:t>.</w:t>
      </w:r>
    </w:p>
    <w:bookmarkEnd w:id="3"/>
    <w:p w14:paraId="69B7578B" w14:textId="77777777" w:rsidR="000B2982" w:rsidRDefault="000B2982" w:rsidP="000B2982">
      <w:pPr>
        <w:pStyle w:val="ListParagraph"/>
        <w:ind w:left="1080"/>
        <w:jc w:val="both"/>
      </w:pPr>
    </w:p>
    <w:p w14:paraId="39A65985" w14:textId="77777777" w:rsidR="00F54EE6" w:rsidRDefault="00F54EE6" w:rsidP="00CB0784">
      <w:pPr>
        <w:jc w:val="both"/>
        <w:rPr>
          <w:rFonts w:hint="cs"/>
          <w:rtl/>
        </w:rPr>
      </w:pPr>
    </w:p>
    <w:sectPr w:rsidR="00F54EE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D6B5C" w14:textId="77777777" w:rsidR="005255BE" w:rsidRDefault="005255BE">
      <w:pPr>
        <w:spacing w:after="0" w:line="240" w:lineRule="auto"/>
      </w:pPr>
      <w:r>
        <w:separator/>
      </w:r>
    </w:p>
  </w:endnote>
  <w:endnote w:type="continuationSeparator" w:id="0">
    <w:p w14:paraId="66ED7446" w14:textId="77777777" w:rsidR="005255BE" w:rsidRDefault="00525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083174"/>
      <w:docPartObj>
        <w:docPartGallery w:val="Page Numbers (Bottom of Page)"/>
        <w:docPartUnique/>
      </w:docPartObj>
    </w:sdtPr>
    <w:sdtEndPr>
      <w:rPr>
        <w:noProof/>
      </w:rPr>
    </w:sdtEndPr>
    <w:sdtContent>
      <w:p w14:paraId="251CD578" w14:textId="58B43B71" w:rsidR="009A36A5" w:rsidRDefault="009A36A5">
        <w:pPr>
          <w:pStyle w:val="Footer"/>
          <w:jc w:val="right"/>
        </w:pPr>
        <w:r>
          <w:fldChar w:fldCharType="begin"/>
        </w:r>
        <w:r>
          <w:instrText xml:space="preserve"> PAGE   \* MERGEFORMAT </w:instrText>
        </w:r>
        <w:r>
          <w:fldChar w:fldCharType="separate"/>
        </w:r>
        <w:r w:rsidR="001346B6">
          <w:rPr>
            <w:noProof/>
          </w:rPr>
          <w:t>13</w:t>
        </w:r>
        <w:r>
          <w:rPr>
            <w:noProof/>
          </w:rPr>
          <w:fldChar w:fldCharType="end"/>
        </w:r>
      </w:p>
    </w:sdtContent>
  </w:sdt>
  <w:p w14:paraId="5E3613D0" w14:textId="77777777" w:rsidR="009A36A5" w:rsidRDefault="009A36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22414" w14:textId="77777777" w:rsidR="005255BE" w:rsidRDefault="005255BE">
      <w:pPr>
        <w:spacing w:after="0" w:line="240" w:lineRule="auto"/>
      </w:pPr>
      <w:r>
        <w:separator/>
      </w:r>
    </w:p>
  </w:footnote>
  <w:footnote w:type="continuationSeparator" w:id="0">
    <w:p w14:paraId="04EAD120" w14:textId="77777777" w:rsidR="005255BE" w:rsidRDefault="005255BE">
      <w:pPr>
        <w:spacing w:after="0" w:line="240" w:lineRule="auto"/>
      </w:pPr>
      <w:r>
        <w:continuationSeparator/>
      </w:r>
    </w:p>
  </w:footnote>
  <w:footnote w:id="1">
    <w:p w14:paraId="25874618" w14:textId="77777777" w:rsidR="009A36A5" w:rsidRPr="00D944F1" w:rsidRDefault="009A36A5" w:rsidP="00643635">
      <w:pPr>
        <w:jc w:val="both"/>
        <w:rPr>
          <w:sz w:val="18"/>
          <w:szCs w:val="18"/>
        </w:rPr>
      </w:pPr>
      <w:r w:rsidRPr="00D944F1">
        <w:rPr>
          <w:rStyle w:val="FootnoteReference"/>
          <w:sz w:val="18"/>
          <w:szCs w:val="18"/>
        </w:rPr>
        <w:footnoteRef/>
      </w:r>
      <w:r w:rsidRPr="00D944F1">
        <w:rPr>
          <w:sz w:val="18"/>
          <w:szCs w:val="18"/>
        </w:rPr>
        <w:t xml:space="preserve"> SRHR include women’s right to make free and responsible decisions and choices, free of violence, coercion and discrimination, regarding matters concerning one’s body and sexual and reproductive health, as well as entitlements to unhindered access to a whole range of health facilities, goods, services and information on sexual and reproductive health, such as maternal health, contraceptives, family planning, sexually transmitted infections, HIV prevention, safe abortion and post-abortion care, infertility and fertility options, and reproductive cancer. Women’s right to sexual and reproductive health further encompasses the “underlying determinants” of sexual and reproductive health, including access to safe and potable water, adequate sanitation, adequate food and nutrition, and adequate housing, among others, and effective protection from all forms of violence, torture and discrimination and other human rights violations that have a negative impact on the right to sexual and reproductive health. Moreover, it covers social determinants, notably social inequalities in society, poverty, unequal distribution of power based on gender, ethnic origin, age, disability and other factors, systemic discrimination</w:t>
      </w:r>
      <w:r>
        <w:rPr>
          <w:sz w:val="18"/>
          <w:szCs w:val="18"/>
        </w:rPr>
        <w:t>,</w:t>
      </w:r>
      <w:r w:rsidRPr="00D944F1">
        <w:rPr>
          <w:sz w:val="18"/>
          <w:szCs w:val="18"/>
        </w:rPr>
        <w:t xml:space="preserve"> and marginalisation, which affect people’s patterns of sexual and reproductive health.</w:t>
      </w:r>
    </w:p>
    <w:p w14:paraId="5198BBD8" w14:textId="77777777" w:rsidR="009A36A5" w:rsidRPr="00D944F1" w:rsidRDefault="009A36A5" w:rsidP="00643635">
      <w:pPr>
        <w:pStyle w:val="FootnoteText"/>
      </w:pPr>
    </w:p>
  </w:footnote>
  <w:footnote w:id="2">
    <w:p w14:paraId="1ED21C2B" w14:textId="212EA2BD" w:rsidR="00AF7A8D" w:rsidRPr="00AF7A8D" w:rsidRDefault="00AF7A8D">
      <w:pPr>
        <w:pStyle w:val="FootnoteText"/>
      </w:pPr>
      <w:r>
        <w:rPr>
          <w:rStyle w:val="FootnoteReference"/>
        </w:rPr>
        <w:footnoteRef/>
      </w:r>
      <w:r>
        <w:t xml:space="preserve"> </w:t>
      </w:r>
      <w:r w:rsidRPr="00F762E4">
        <w:rPr>
          <w:sz w:val="18"/>
          <w:szCs w:val="18"/>
        </w:rPr>
        <w:t>The expression women’s rights organizations should be understood as encompassing organizations of women of different ages, bac</w:t>
      </w:r>
      <w:r w:rsidR="00D03C0E">
        <w:rPr>
          <w:sz w:val="18"/>
          <w:szCs w:val="18"/>
        </w:rPr>
        <w:t>k</w:t>
      </w:r>
      <w:r w:rsidRPr="00F762E4">
        <w:rPr>
          <w:sz w:val="18"/>
          <w:szCs w:val="18"/>
        </w:rPr>
        <w:t>grounds and identities.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B5D"/>
    <w:multiLevelType w:val="hybridMultilevel"/>
    <w:tmpl w:val="19785300"/>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1" w15:restartNumberingAfterBreak="0">
    <w:nsid w:val="065A5BCC"/>
    <w:multiLevelType w:val="hybridMultilevel"/>
    <w:tmpl w:val="5F549ABA"/>
    <w:lvl w:ilvl="0" w:tplc="E9BED770">
      <w:start w:val="3"/>
      <w:numFmt w:val="bullet"/>
      <w:lvlText w:val="-"/>
      <w:lvlJc w:val="left"/>
      <w:pPr>
        <w:ind w:left="1429" w:hanging="360"/>
      </w:pPr>
      <w:rPr>
        <w:rFonts w:ascii="Calibri" w:eastAsiaTheme="minorHAnsi"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8AB3209"/>
    <w:multiLevelType w:val="hybridMultilevel"/>
    <w:tmpl w:val="6EE6F5B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443D47"/>
    <w:multiLevelType w:val="hybridMultilevel"/>
    <w:tmpl w:val="34EA4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AF3E0B"/>
    <w:multiLevelType w:val="hybridMultilevel"/>
    <w:tmpl w:val="E982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60326"/>
    <w:multiLevelType w:val="hybridMultilevel"/>
    <w:tmpl w:val="D0E459D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7EE4149"/>
    <w:multiLevelType w:val="hybridMultilevel"/>
    <w:tmpl w:val="7D802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383A4B"/>
    <w:multiLevelType w:val="hybridMultilevel"/>
    <w:tmpl w:val="244A7DAA"/>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91518D"/>
    <w:multiLevelType w:val="hybridMultilevel"/>
    <w:tmpl w:val="C410517C"/>
    <w:lvl w:ilvl="0" w:tplc="296456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8B3205"/>
    <w:multiLevelType w:val="hybridMultilevel"/>
    <w:tmpl w:val="4790CCEE"/>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0" w15:restartNumberingAfterBreak="0">
    <w:nsid w:val="25626D04"/>
    <w:multiLevelType w:val="hybridMultilevel"/>
    <w:tmpl w:val="EFF406F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5E91EE7"/>
    <w:multiLevelType w:val="hybridMultilevel"/>
    <w:tmpl w:val="854C3B4A"/>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12" w15:restartNumberingAfterBreak="0">
    <w:nsid w:val="26066471"/>
    <w:multiLevelType w:val="hybridMultilevel"/>
    <w:tmpl w:val="FFFC2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950906"/>
    <w:multiLevelType w:val="hybridMultilevel"/>
    <w:tmpl w:val="0124FF88"/>
    <w:lvl w:ilvl="0" w:tplc="0809000F">
      <w:start w:val="1"/>
      <w:numFmt w:val="decimal"/>
      <w:lvlText w:val="%1."/>
      <w:lvlJc w:val="left"/>
      <w:pPr>
        <w:ind w:left="126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22E4B72"/>
    <w:multiLevelType w:val="hybridMultilevel"/>
    <w:tmpl w:val="05A60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074276"/>
    <w:multiLevelType w:val="hybridMultilevel"/>
    <w:tmpl w:val="B1BC2CAE"/>
    <w:lvl w:ilvl="0" w:tplc="08090019">
      <w:start w:val="1"/>
      <w:numFmt w:val="lowerLetter"/>
      <w:lvlText w:val="%1."/>
      <w:lvlJc w:val="left"/>
      <w:pPr>
        <w:ind w:left="224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3AAC1D7E"/>
    <w:multiLevelType w:val="hybridMultilevel"/>
    <w:tmpl w:val="449A3122"/>
    <w:lvl w:ilvl="0" w:tplc="E9BED770">
      <w:start w:val="3"/>
      <w:numFmt w:val="bullet"/>
      <w:lvlText w:val="-"/>
      <w:lvlJc w:val="left"/>
      <w:pPr>
        <w:ind w:left="1429" w:hanging="360"/>
      </w:pPr>
      <w:rPr>
        <w:rFonts w:ascii="Calibri" w:eastAsiaTheme="minorHAnsi"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3CB40E11"/>
    <w:multiLevelType w:val="hybridMultilevel"/>
    <w:tmpl w:val="B91639C8"/>
    <w:lvl w:ilvl="0" w:tplc="4A7ABA36">
      <w:start w:val="1"/>
      <w:numFmt w:val="decimal"/>
      <w:lvlText w:val="%1."/>
      <w:lvlJc w:val="left"/>
      <w:pPr>
        <w:ind w:left="2440" w:hanging="73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8" w15:restartNumberingAfterBreak="0">
    <w:nsid w:val="41407BD9"/>
    <w:multiLevelType w:val="hybridMultilevel"/>
    <w:tmpl w:val="1CEAB16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21312D"/>
    <w:multiLevelType w:val="hybridMultilevel"/>
    <w:tmpl w:val="A35A51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8AB4E4C"/>
    <w:multiLevelType w:val="hybridMultilevel"/>
    <w:tmpl w:val="0EDC92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5CC71A16"/>
    <w:multiLevelType w:val="hybridMultilevel"/>
    <w:tmpl w:val="E8CA48A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638A6910"/>
    <w:multiLevelType w:val="hybridMultilevel"/>
    <w:tmpl w:val="B46AC6C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3" w15:restartNumberingAfterBreak="0">
    <w:nsid w:val="649A340F"/>
    <w:multiLevelType w:val="hybridMultilevel"/>
    <w:tmpl w:val="15E08F9E"/>
    <w:lvl w:ilvl="0" w:tplc="04AA394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78BA486F"/>
    <w:multiLevelType w:val="hybridMultilevel"/>
    <w:tmpl w:val="5C1CFA96"/>
    <w:lvl w:ilvl="0" w:tplc="08090019">
      <w:start w:val="1"/>
      <w:numFmt w:val="lowerLetter"/>
      <w:lvlText w:val="%1."/>
      <w:lvlJc w:val="left"/>
      <w:pPr>
        <w:ind w:left="1540" w:hanging="360"/>
      </w:pPr>
    </w:lvl>
    <w:lvl w:ilvl="1" w:tplc="A644207E">
      <w:start w:val="1"/>
      <w:numFmt w:val="decimal"/>
      <w:lvlText w:val="%2."/>
      <w:lvlJc w:val="left"/>
      <w:pPr>
        <w:ind w:left="2260" w:hanging="360"/>
      </w:pPr>
      <w:rPr>
        <w:rFonts w:hint="default"/>
      </w:rPr>
    </w:lvl>
    <w:lvl w:ilvl="2" w:tplc="F8FCA4D2">
      <w:start w:val="1"/>
      <w:numFmt w:val="bullet"/>
      <w:lvlText w:val="•"/>
      <w:lvlJc w:val="left"/>
      <w:pPr>
        <w:ind w:left="1970" w:hanging="620"/>
      </w:pPr>
      <w:rPr>
        <w:rFonts w:ascii="Calibri" w:eastAsiaTheme="minorHAnsi" w:hAnsi="Calibri" w:cs="Calibri" w:hint="default"/>
      </w:r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abstractNum w:abstractNumId="25" w15:restartNumberingAfterBreak="0">
    <w:nsid w:val="78E121C1"/>
    <w:multiLevelType w:val="hybridMultilevel"/>
    <w:tmpl w:val="32E27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3450AA"/>
    <w:multiLevelType w:val="hybridMultilevel"/>
    <w:tmpl w:val="B5027E26"/>
    <w:lvl w:ilvl="0" w:tplc="4A7ABA36">
      <w:start w:val="1"/>
      <w:numFmt w:val="decimal"/>
      <w:lvlText w:val="%1."/>
      <w:lvlJc w:val="left"/>
      <w:pPr>
        <w:ind w:left="1439" w:hanging="730"/>
      </w:pPr>
      <w:rPr>
        <w:rFonts w:hint="default"/>
      </w:rPr>
    </w:lvl>
    <w:lvl w:ilvl="1" w:tplc="E9BED770">
      <w:start w:val="3"/>
      <w:numFmt w:val="bullet"/>
      <w:lvlText w:val="-"/>
      <w:lvlJc w:val="left"/>
      <w:pPr>
        <w:ind w:left="1810" w:hanging="730"/>
      </w:pPr>
      <w:rPr>
        <w:rFonts w:ascii="Calibri" w:eastAsiaTheme="minorHAnsi" w:hAnsi="Calibri" w:cs="Calibri"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B890A79"/>
    <w:multiLevelType w:val="hybridMultilevel"/>
    <w:tmpl w:val="04E88418"/>
    <w:lvl w:ilvl="0" w:tplc="E9BED770">
      <w:start w:val="3"/>
      <w:numFmt w:val="bullet"/>
      <w:lvlText w:val="-"/>
      <w:lvlJc w:val="left"/>
      <w:pPr>
        <w:ind w:left="1429" w:hanging="360"/>
      </w:pPr>
      <w:rPr>
        <w:rFonts w:ascii="Calibri" w:eastAsiaTheme="minorHAnsi"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4"/>
  </w:num>
  <w:num w:numId="2">
    <w:abstractNumId w:val="12"/>
  </w:num>
  <w:num w:numId="3">
    <w:abstractNumId w:val="5"/>
  </w:num>
  <w:num w:numId="4">
    <w:abstractNumId w:val="7"/>
  </w:num>
  <w:num w:numId="5">
    <w:abstractNumId w:val="8"/>
  </w:num>
  <w:num w:numId="6">
    <w:abstractNumId w:val="24"/>
  </w:num>
  <w:num w:numId="7">
    <w:abstractNumId w:val="2"/>
  </w:num>
  <w:num w:numId="8">
    <w:abstractNumId w:val="3"/>
  </w:num>
  <w:num w:numId="9">
    <w:abstractNumId w:val="13"/>
  </w:num>
  <w:num w:numId="10">
    <w:abstractNumId w:val="6"/>
  </w:num>
  <w:num w:numId="11">
    <w:abstractNumId w:val="9"/>
  </w:num>
  <w:num w:numId="12">
    <w:abstractNumId w:val="19"/>
  </w:num>
  <w:num w:numId="13">
    <w:abstractNumId w:val="0"/>
  </w:num>
  <w:num w:numId="14">
    <w:abstractNumId w:val="11"/>
  </w:num>
  <w:num w:numId="15">
    <w:abstractNumId w:val="15"/>
  </w:num>
  <w:num w:numId="16">
    <w:abstractNumId w:val="26"/>
  </w:num>
  <w:num w:numId="17">
    <w:abstractNumId w:val="21"/>
  </w:num>
  <w:num w:numId="18">
    <w:abstractNumId w:val="20"/>
  </w:num>
  <w:num w:numId="19">
    <w:abstractNumId w:val="10"/>
  </w:num>
  <w:num w:numId="20">
    <w:abstractNumId w:val="1"/>
  </w:num>
  <w:num w:numId="21">
    <w:abstractNumId w:val="27"/>
  </w:num>
  <w:num w:numId="22">
    <w:abstractNumId w:val="23"/>
  </w:num>
  <w:num w:numId="23">
    <w:abstractNumId w:val="17"/>
  </w:num>
  <w:num w:numId="24">
    <w:abstractNumId w:val="16"/>
  </w:num>
  <w:num w:numId="25">
    <w:abstractNumId w:val="18"/>
  </w:num>
  <w:num w:numId="26">
    <w:abstractNumId w:val="22"/>
  </w:num>
  <w:num w:numId="27">
    <w:abstractNumId w:val="2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E6"/>
    <w:rsid w:val="0000258A"/>
    <w:rsid w:val="00023C7A"/>
    <w:rsid w:val="00024694"/>
    <w:rsid w:val="0002644E"/>
    <w:rsid w:val="000308E4"/>
    <w:rsid w:val="00031377"/>
    <w:rsid w:val="000330AC"/>
    <w:rsid w:val="0003542E"/>
    <w:rsid w:val="00036BDF"/>
    <w:rsid w:val="00041634"/>
    <w:rsid w:val="00042699"/>
    <w:rsid w:val="00044120"/>
    <w:rsid w:val="0004706D"/>
    <w:rsid w:val="00047BCB"/>
    <w:rsid w:val="00050CE1"/>
    <w:rsid w:val="0005664F"/>
    <w:rsid w:val="0006108F"/>
    <w:rsid w:val="0006233D"/>
    <w:rsid w:val="00071CEB"/>
    <w:rsid w:val="000743CD"/>
    <w:rsid w:val="00075ABD"/>
    <w:rsid w:val="00081561"/>
    <w:rsid w:val="00081A02"/>
    <w:rsid w:val="000826A5"/>
    <w:rsid w:val="00094218"/>
    <w:rsid w:val="000A0805"/>
    <w:rsid w:val="000A1690"/>
    <w:rsid w:val="000A4396"/>
    <w:rsid w:val="000A5973"/>
    <w:rsid w:val="000B235A"/>
    <w:rsid w:val="000B2982"/>
    <w:rsid w:val="000C3191"/>
    <w:rsid w:val="000C4312"/>
    <w:rsid w:val="000C4974"/>
    <w:rsid w:val="000C70B6"/>
    <w:rsid w:val="000D191D"/>
    <w:rsid w:val="000D2875"/>
    <w:rsid w:val="000D4BE1"/>
    <w:rsid w:val="000D5A3D"/>
    <w:rsid w:val="000E244C"/>
    <w:rsid w:val="000E4369"/>
    <w:rsid w:val="000E4DB2"/>
    <w:rsid w:val="000F4494"/>
    <w:rsid w:val="000F5AC2"/>
    <w:rsid w:val="0010334F"/>
    <w:rsid w:val="00103DC6"/>
    <w:rsid w:val="00107026"/>
    <w:rsid w:val="00120937"/>
    <w:rsid w:val="00122894"/>
    <w:rsid w:val="001346B6"/>
    <w:rsid w:val="00136568"/>
    <w:rsid w:val="00137528"/>
    <w:rsid w:val="00143351"/>
    <w:rsid w:val="00145F76"/>
    <w:rsid w:val="00153D85"/>
    <w:rsid w:val="00154C54"/>
    <w:rsid w:val="00161C6B"/>
    <w:rsid w:val="001629AD"/>
    <w:rsid w:val="00165003"/>
    <w:rsid w:val="00175814"/>
    <w:rsid w:val="00181931"/>
    <w:rsid w:val="00191615"/>
    <w:rsid w:val="00196E5B"/>
    <w:rsid w:val="001A07A0"/>
    <w:rsid w:val="001D484F"/>
    <w:rsid w:val="001E0615"/>
    <w:rsid w:val="001E6805"/>
    <w:rsid w:val="001F20A8"/>
    <w:rsid w:val="001F4B98"/>
    <w:rsid w:val="0020595B"/>
    <w:rsid w:val="00210E37"/>
    <w:rsid w:val="00211288"/>
    <w:rsid w:val="00214F29"/>
    <w:rsid w:val="00220D84"/>
    <w:rsid w:val="00223F16"/>
    <w:rsid w:val="002338DA"/>
    <w:rsid w:val="00236E36"/>
    <w:rsid w:val="0024212C"/>
    <w:rsid w:val="00243088"/>
    <w:rsid w:val="00245FC1"/>
    <w:rsid w:val="00251D04"/>
    <w:rsid w:val="002523DA"/>
    <w:rsid w:val="00255F60"/>
    <w:rsid w:val="00260741"/>
    <w:rsid w:val="002610CA"/>
    <w:rsid w:val="002619E1"/>
    <w:rsid w:val="00261F81"/>
    <w:rsid w:val="00263F98"/>
    <w:rsid w:val="0028204B"/>
    <w:rsid w:val="002855F5"/>
    <w:rsid w:val="00285B15"/>
    <w:rsid w:val="00287470"/>
    <w:rsid w:val="0029170E"/>
    <w:rsid w:val="00294F9A"/>
    <w:rsid w:val="002A112E"/>
    <w:rsid w:val="002A354B"/>
    <w:rsid w:val="002A4295"/>
    <w:rsid w:val="002B3147"/>
    <w:rsid w:val="002C101E"/>
    <w:rsid w:val="002E4587"/>
    <w:rsid w:val="002F0F88"/>
    <w:rsid w:val="002F1E3E"/>
    <w:rsid w:val="00302267"/>
    <w:rsid w:val="00303A99"/>
    <w:rsid w:val="003068D1"/>
    <w:rsid w:val="00317FC6"/>
    <w:rsid w:val="00340213"/>
    <w:rsid w:val="0034184A"/>
    <w:rsid w:val="0034337E"/>
    <w:rsid w:val="00347658"/>
    <w:rsid w:val="00350D4D"/>
    <w:rsid w:val="00353D40"/>
    <w:rsid w:val="00367A37"/>
    <w:rsid w:val="0038283A"/>
    <w:rsid w:val="00383FD4"/>
    <w:rsid w:val="0039468F"/>
    <w:rsid w:val="00397E31"/>
    <w:rsid w:val="003A43C5"/>
    <w:rsid w:val="003B3FB5"/>
    <w:rsid w:val="003C40E8"/>
    <w:rsid w:val="003C5CF3"/>
    <w:rsid w:val="003C6123"/>
    <w:rsid w:val="003D561A"/>
    <w:rsid w:val="003D5C2E"/>
    <w:rsid w:val="003E16AA"/>
    <w:rsid w:val="003E6366"/>
    <w:rsid w:val="003E7EC8"/>
    <w:rsid w:val="003F12E7"/>
    <w:rsid w:val="003F409E"/>
    <w:rsid w:val="003F64E4"/>
    <w:rsid w:val="003F7A03"/>
    <w:rsid w:val="004013EC"/>
    <w:rsid w:val="0040229B"/>
    <w:rsid w:val="00404E5B"/>
    <w:rsid w:val="0041677D"/>
    <w:rsid w:val="00416BDA"/>
    <w:rsid w:val="00421AFF"/>
    <w:rsid w:val="0042309F"/>
    <w:rsid w:val="00423920"/>
    <w:rsid w:val="004334BE"/>
    <w:rsid w:val="0043638F"/>
    <w:rsid w:val="0044235C"/>
    <w:rsid w:val="00447BD7"/>
    <w:rsid w:val="00450956"/>
    <w:rsid w:val="0045780A"/>
    <w:rsid w:val="004668CF"/>
    <w:rsid w:val="00472BFD"/>
    <w:rsid w:val="0047406D"/>
    <w:rsid w:val="00483B39"/>
    <w:rsid w:val="00484E03"/>
    <w:rsid w:val="00487BE6"/>
    <w:rsid w:val="004921A9"/>
    <w:rsid w:val="004B3AF4"/>
    <w:rsid w:val="004B4A6E"/>
    <w:rsid w:val="004B4D9A"/>
    <w:rsid w:val="004D0269"/>
    <w:rsid w:val="004E3BDD"/>
    <w:rsid w:val="004E4BBA"/>
    <w:rsid w:val="004E5DF1"/>
    <w:rsid w:val="004E6551"/>
    <w:rsid w:val="0050264F"/>
    <w:rsid w:val="00503959"/>
    <w:rsid w:val="005041DC"/>
    <w:rsid w:val="005255BE"/>
    <w:rsid w:val="00526FD6"/>
    <w:rsid w:val="0053326A"/>
    <w:rsid w:val="005340AA"/>
    <w:rsid w:val="00535674"/>
    <w:rsid w:val="00536B0F"/>
    <w:rsid w:val="00544147"/>
    <w:rsid w:val="005447B1"/>
    <w:rsid w:val="00545906"/>
    <w:rsid w:val="005533CC"/>
    <w:rsid w:val="0055566D"/>
    <w:rsid w:val="00564595"/>
    <w:rsid w:val="0057092A"/>
    <w:rsid w:val="00571FB4"/>
    <w:rsid w:val="00576B1F"/>
    <w:rsid w:val="00582FAD"/>
    <w:rsid w:val="005940E8"/>
    <w:rsid w:val="00595E83"/>
    <w:rsid w:val="005A038E"/>
    <w:rsid w:val="005A7961"/>
    <w:rsid w:val="005B0E0C"/>
    <w:rsid w:val="005B57BD"/>
    <w:rsid w:val="005C1759"/>
    <w:rsid w:val="005C6B13"/>
    <w:rsid w:val="005F14EC"/>
    <w:rsid w:val="005F4308"/>
    <w:rsid w:val="00602903"/>
    <w:rsid w:val="006122E2"/>
    <w:rsid w:val="00615CDF"/>
    <w:rsid w:val="00616B37"/>
    <w:rsid w:val="0063238F"/>
    <w:rsid w:val="00632712"/>
    <w:rsid w:val="00643635"/>
    <w:rsid w:val="00645E54"/>
    <w:rsid w:val="00650DF9"/>
    <w:rsid w:val="006517FA"/>
    <w:rsid w:val="00660F47"/>
    <w:rsid w:val="006658EE"/>
    <w:rsid w:val="00667AA7"/>
    <w:rsid w:val="00667CA8"/>
    <w:rsid w:val="0067286E"/>
    <w:rsid w:val="00674789"/>
    <w:rsid w:val="00676581"/>
    <w:rsid w:val="006832B8"/>
    <w:rsid w:val="00692B7F"/>
    <w:rsid w:val="006A083D"/>
    <w:rsid w:val="006B2949"/>
    <w:rsid w:val="006B5B27"/>
    <w:rsid w:val="006B6890"/>
    <w:rsid w:val="006F192F"/>
    <w:rsid w:val="006F33D2"/>
    <w:rsid w:val="00712FF9"/>
    <w:rsid w:val="00713F5C"/>
    <w:rsid w:val="0071535B"/>
    <w:rsid w:val="00724EB7"/>
    <w:rsid w:val="007320D3"/>
    <w:rsid w:val="007329EF"/>
    <w:rsid w:val="00732CD8"/>
    <w:rsid w:val="007353C7"/>
    <w:rsid w:val="00735D47"/>
    <w:rsid w:val="00740190"/>
    <w:rsid w:val="00741636"/>
    <w:rsid w:val="00744FF3"/>
    <w:rsid w:val="007468CE"/>
    <w:rsid w:val="00746E7B"/>
    <w:rsid w:val="0074782A"/>
    <w:rsid w:val="00760372"/>
    <w:rsid w:val="0076240B"/>
    <w:rsid w:val="00766B8A"/>
    <w:rsid w:val="007708C1"/>
    <w:rsid w:val="007767F9"/>
    <w:rsid w:val="007849B6"/>
    <w:rsid w:val="007969DE"/>
    <w:rsid w:val="00797E5A"/>
    <w:rsid w:val="007A442D"/>
    <w:rsid w:val="007A4850"/>
    <w:rsid w:val="007B299E"/>
    <w:rsid w:val="007B2CC7"/>
    <w:rsid w:val="007B489D"/>
    <w:rsid w:val="007B5CE4"/>
    <w:rsid w:val="007B699E"/>
    <w:rsid w:val="007B7AA1"/>
    <w:rsid w:val="007C2A8B"/>
    <w:rsid w:val="007C48B0"/>
    <w:rsid w:val="007C4AF4"/>
    <w:rsid w:val="007C7CD7"/>
    <w:rsid w:val="007D03B6"/>
    <w:rsid w:val="007E22B5"/>
    <w:rsid w:val="007F12F3"/>
    <w:rsid w:val="007F3EA6"/>
    <w:rsid w:val="00804CEC"/>
    <w:rsid w:val="00805542"/>
    <w:rsid w:val="0080719B"/>
    <w:rsid w:val="00812D62"/>
    <w:rsid w:val="00822D41"/>
    <w:rsid w:val="00823A9E"/>
    <w:rsid w:val="00824258"/>
    <w:rsid w:val="0082449D"/>
    <w:rsid w:val="00824E56"/>
    <w:rsid w:val="00825F6E"/>
    <w:rsid w:val="00831F60"/>
    <w:rsid w:val="00836A1D"/>
    <w:rsid w:val="0084776C"/>
    <w:rsid w:val="00852041"/>
    <w:rsid w:val="0085621B"/>
    <w:rsid w:val="008575A2"/>
    <w:rsid w:val="00857B3D"/>
    <w:rsid w:val="0086275E"/>
    <w:rsid w:val="008646F3"/>
    <w:rsid w:val="00866D8B"/>
    <w:rsid w:val="008702A6"/>
    <w:rsid w:val="0087156B"/>
    <w:rsid w:val="00872210"/>
    <w:rsid w:val="00872D7B"/>
    <w:rsid w:val="00880EC4"/>
    <w:rsid w:val="008815FC"/>
    <w:rsid w:val="00882FAB"/>
    <w:rsid w:val="00883943"/>
    <w:rsid w:val="00894147"/>
    <w:rsid w:val="008A7EA3"/>
    <w:rsid w:val="008D1BAE"/>
    <w:rsid w:val="008E0B3B"/>
    <w:rsid w:val="008E0E7C"/>
    <w:rsid w:val="008E1FD0"/>
    <w:rsid w:val="008E6C7C"/>
    <w:rsid w:val="008E754D"/>
    <w:rsid w:val="008F2AEC"/>
    <w:rsid w:val="008F2F9F"/>
    <w:rsid w:val="008F3A6F"/>
    <w:rsid w:val="008F553C"/>
    <w:rsid w:val="008F5ED0"/>
    <w:rsid w:val="008F618B"/>
    <w:rsid w:val="00903769"/>
    <w:rsid w:val="00910A19"/>
    <w:rsid w:val="00911D11"/>
    <w:rsid w:val="0091248A"/>
    <w:rsid w:val="009204AC"/>
    <w:rsid w:val="00925106"/>
    <w:rsid w:val="00936CDB"/>
    <w:rsid w:val="00940274"/>
    <w:rsid w:val="00941D25"/>
    <w:rsid w:val="00945886"/>
    <w:rsid w:val="00945CFF"/>
    <w:rsid w:val="00954E5E"/>
    <w:rsid w:val="00960985"/>
    <w:rsid w:val="009621B1"/>
    <w:rsid w:val="00963179"/>
    <w:rsid w:val="00964E53"/>
    <w:rsid w:val="009663E8"/>
    <w:rsid w:val="00971376"/>
    <w:rsid w:val="00976AC4"/>
    <w:rsid w:val="00980D26"/>
    <w:rsid w:val="00985B61"/>
    <w:rsid w:val="00995296"/>
    <w:rsid w:val="009A1C62"/>
    <w:rsid w:val="009A36A5"/>
    <w:rsid w:val="009B7042"/>
    <w:rsid w:val="009C3A5A"/>
    <w:rsid w:val="009D5791"/>
    <w:rsid w:val="009E0C4E"/>
    <w:rsid w:val="009E2EC0"/>
    <w:rsid w:val="009F06FF"/>
    <w:rsid w:val="009F1858"/>
    <w:rsid w:val="009F2E0B"/>
    <w:rsid w:val="009F6063"/>
    <w:rsid w:val="00A00850"/>
    <w:rsid w:val="00A02B0F"/>
    <w:rsid w:val="00A0368C"/>
    <w:rsid w:val="00A04D45"/>
    <w:rsid w:val="00A06BCE"/>
    <w:rsid w:val="00A16432"/>
    <w:rsid w:val="00A22DDC"/>
    <w:rsid w:val="00A31315"/>
    <w:rsid w:val="00A318CC"/>
    <w:rsid w:val="00A34A8C"/>
    <w:rsid w:val="00A41A83"/>
    <w:rsid w:val="00A44B5B"/>
    <w:rsid w:val="00A504E3"/>
    <w:rsid w:val="00A90A5B"/>
    <w:rsid w:val="00AA5554"/>
    <w:rsid w:val="00AB746C"/>
    <w:rsid w:val="00AB7675"/>
    <w:rsid w:val="00AC1EE9"/>
    <w:rsid w:val="00AD1732"/>
    <w:rsid w:val="00AE53F4"/>
    <w:rsid w:val="00AF4BB6"/>
    <w:rsid w:val="00AF7A8D"/>
    <w:rsid w:val="00B05326"/>
    <w:rsid w:val="00B05EBC"/>
    <w:rsid w:val="00B06B81"/>
    <w:rsid w:val="00B160B6"/>
    <w:rsid w:val="00B205CE"/>
    <w:rsid w:val="00B209F2"/>
    <w:rsid w:val="00B20A8E"/>
    <w:rsid w:val="00B24FFC"/>
    <w:rsid w:val="00B41868"/>
    <w:rsid w:val="00B4396F"/>
    <w:rsid w:val="00B44B8E"/>
    <w:rsid w:val="00B44E5A"/>
    <w:rsid w:val="00B46AB8"/>
    <w:rsid w:val="00B46C03"/>
    <w:rsid w:val="00B63554"/>
    <w:rsid w:val="00B67471"/>
    <w:rsid w:val="00B72D6F"/>
    <w:rsid w:val="00B743A7"/>
    <w:rsid w:val="00B76516"/>
    <w:rsid w:val="00B82294"/>
    <w:rsid w:val="00B838AA"/>
    <w:rsid w:val="00B85746"/>
    <w:rsid w:val="00B8796A"/>
    <w:rsid w:val="00B908EC"/>
    <w:rsid w:val="00B95225"/>
    <w:rsid w:val="00B95896"/>
    <w:rsid w:val="00BA0273"/>
    <w:rsid w:val="00BC480B"/>
    <w:rsid w:val="00BC5A20"/>
    <w:rsid w:val="00BD2154"/>
    <w:rsid w:val="00BD2F8A"/>
    <w:rsid w:val="00BD3FC9"/>
    <w:rsid w:val="00BE2ADD"/>
    <w:rsid w:val="00BF07CD"/>
    <w:rsid w:val="00C05FFB"/>
    <w:rsid w:val="00C1267A"/>
    <w:rsid w:val="00C15203"/>
    <w:rsid w:val="00C2397D"/>
    <w:rsid w:val="00C27B89"/>
    <w:rsid w:val="00C3477E"/>
    <w:rsid w:val="00C60BCC"/>
    <w:rsid w:val="00C61598"/>
    <w:rsid w:val="00C66D24"/>
    <w:rsid w:val="00C709C6"/>
    <w:rsid w:val="00C76F9B"/>
    <w:rsid w:val="00C8058A"/>
    <w:rsid w:val="00C85677"/>
    <w:rsid w:val="00C91E79"/>
    <w:rsid w:val="00C92E09"/>
    <w:rsid w:val="00C95124"/>
    <w:rsid w:val="00C96C6D"/>
    <w:rsid w:val="00CA1169"/>
    <w:rsid w:val="00CA3736"/>
    <w:rsid w:val="00CA4FAE"/>
    <w:rsid w:val="00CA6532"/>
    <w:rsid w:val="00CA68D2"/>
    <w:rsid w:val="00CB0784"/>
    <w:rsid w:val="00CB1039"/>
    <w:rsid w:val="00CB2253"/>
    <w:rsid w:val="00CB5554"/>
    <w:rsid w:val="00CC3E18"/>
    <w:rsid w:val="00CD0430"/>
    <w:rsid w:val="00CD0EC9"/>
    <w:rsid w:val="00CD1ABC"/>
    <w:rsid w:val="00CD1C81"/>
    <w:rsid w:val="00CE207C"/>
    <w:rsid w:val="00CE260C"/>
    <w:rsid w:val="00CF0064"/>
    <w:rsid w:val="00CF3F56"/>
    <w:rsid w:val="00CF5C6D"/>
    <w:rsid w:val="00CF6FD5"/>
    <w:rsid w:val="00D03C0E"/>
    <w:rsid w:val="00D05680"/>
    <w:rsid w:val="00D06931"/>
    <w:rsid w:val="00D07300"/>
    <w:rsid w:val="00D1414D"/>
    <w:rsid w:val="00D14152"/>
    <w:rsid w:val="00D22AC9"/>
    <w:rsid w:val="00D240DB"/>
    <w:rsid w:val="00D25A4C"/>
    <w:rsid w:val="00D32A73"/>
    <w:rsid w:val="00D3366C"/>
    <w:rsid w:val="00D45449"/>
    <w:rsid w:val="00D51B3F"/>
    <w:rsid w:val="00D614D0"/>
    <w:rsid w:val="00D6792C"/>
    <w:rsid w:val="00D72EA5"/>
    <w:rsid w:val="00D75091"/>
    <w:rsid w:val="00D90105"/>
    <w:rsid w:val="00D944F1"/>
    <w:rsid w:val="00DA0508"/>
    <w:rsid w:val="00DA05FD"/>
    <w:rsid w:val="00DA184B"/>
    <w:rsid w:val="00DA3FA9"/>
    <w:rsid w:val="00DB0711"/>
    <w:rsid w:val="00DB45BA"/>
    <w:rsid w:val="00DB60F9"/>
    <w:rsid w:val="00DC1186"/>
    <w:rsid w:val="00DC512D"/>
    <w:rsid w:val="00DC6942"/>
    <w:rsid w:val="00DC74AE"/>
    <w:rsid w:val="00DD4D6C"/>
    <w:rsid w:val="00DE1FD3"/>
    <w:rsid w:val="00DF488B"/>
    <w:rsid w:val="00DF5064"/>
    <w:rsid w:val="00DF7BA5"/>
    <w:rsid w:val="00E53EFD"/>
    <w:rsid w:val="00E548B9"/>
    <w:rsid w:val="00E55318"/>
    <w:rsid w:val="00E55555"/>
    <w:rsid w:val="00E5739E"/>
    <w:rsid w:val="00E609D6"/>
    <w:rsid w:val="00E65F54"/>
    <w:rsid w:val="00E67B45"/>
    <w:rsid w:val="00E7577F"/>
    <w:rsid w:val="00E76C7D"/>
    <w:rsid w:val="00E824B6"/>
    <w:rsid w:val="00E8341E"/>
    <w:rsid w:val="00E84C01"/>
    <w:rsid w:val="00E85A77"/>
    <w:rsid w:val="00E9121D"/>
    <w:rsid w:val="00E92935"/>
    <w:rsid w:val="00E93435"/>
    <w:rsid w:val="00E9363E"/>
    <w:rsid w:val="00E978F8"/>
    <w:rsid w:val="00EA2ACF"/>
    <w:rsid w:val="00EA3408"/>
    <w:rsid w:val="00EA499D"/>
    <w:rsid w:val="00EB22D6"/>
    <w:rsid w:val="00EB277C"/>
    <w:rsid w:val="00EC187B"/>
    <w:rsid w:val="00EC3471"/>
    <w:rsid w:val="00EC638D"/>
    <w:rsid w:val="00EE2631"/>
    <w:rsid w:val="00EE775C"/>
    <w:rsid w:val="00EF0CAF"/>
    <w:rsid w:val="00F00F1E"/>
    <w:rsid w:val="00F04162"/>
    <w:rsid w:val="00F13073"/>
    <w:rsid w:val="00F1328E"/>
    <w:rsid w:val="00F2265B"/>
    <w:rsid w:val="00F3259B"/>
    <w:rsid w:val="00F3585F"/>
    <w:rsid w:val="00F41036"/>
    <w:rsid w:val="00F41ACC"/>
    <w:rsid w:val="00F45F0A"/>
    <w:rsid w:val="00F47C29"/>
    <w:rsid w:val="00F47F96"/>
    <w:rsid w:val="00F539B6"/>
    <w:rsid w:val="00F54EE6"/>
    <w:rsid w:val="00F57B98"/>
    <w:rsid w:val="00F61A39"/>
    <w:rsid w:val="00F6274C"/>
    <w:rsid w:val="00F75604"/>
    <w:rsid w:val="00F762E4"/>
    <w:rsid w:val="00F8000F"/>
    <w:rsid w:val="00F86364"/>
    <w:rsid w:val="00FA1FC9"/>
    <w:rsid w:val="00FA2CBB"/>
    <w:rsid w:val="00FA31A9"/>
    <w:rsid w:val="00FA41F4"/>
    <w:rsid w:val="00FC1EAC"/>
    <w:rsid w:val="00FD58DF"/>
    <w:rsid w:val="00FE2FE8"/>
    <w:rsid w:val="00FF00ED"/>
    <w:rsid w:val="00FF1D1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4D31D"/>
  <w15:chartTrackingRefBased/>
  <w15:docId w15:val="{65BF380B-AD9B-482B-983B-85A3C4F0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Dot pt,F5 List Paragraph,List Paragraph Char Char Char,Indicator Text,Numbered Para 1,Bullet 1,Bullet Points,List Paragraph2,MAIN CONTENT,Normal numbered,List Paragraph1,Colorful List - Accent 11,Issue Action POC,3,Bullet Style"/>
    <w:basedOn w:val="Normal"/>
    <w:link w:val="ListParagraphChar"/>
    <w:uiPriority w:val="34"/>
    <w:qFormat/>
    <w:rsid w:val="00F54EE6"/>
    <w:pPr>
      <w:spacing w:after="0" w:line="240" w:lineRule="auto"/>
      <w:ind w:left="720"/>
    </w:pPr>
    <w:rPr>
      <w:rFonts w:ascii="Calibri" w:eastAsiaTheme="minorHAnsi" w:hAnsi="Calibri" w:cs="Calibri"/>
      <w:lang w:eastAsia="en-US"/>
    </w:rPr>
  </w:style>
  <w:style w:type="character" w:customStyle="1" w:styleId="ListParagraphChar">
    <w:name w:val="List Paragraph Char"/>
    <w:aliases w:val="References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locked/>
    <w:rsid w:val="00F54EE6"/>
    <w:rPr>
      <w:rFonts w:ascii="Calibri" w:eastAsiaTheme="minorHAnsi" w:hAnsi="Calibri" w:cs="Calibri"/>
      <w:lang w:eastAsia="en-US"/>
    </w:rPr>
  </w:style>
  <w:style w:type="paragraph" w:styleId="Footer">
    <w:name w:val="footer"/>
    <w:basedOn w:val="Normal"/>
    <w:link w:val="FooterChar"/>
    <w:uiPriority w:val="99"/>
    <w:unhideWhenUsed/>
    <w:rsid w:val="00F54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EE6"/>
  </w:style>
  <w:style w:type="paragraph" w:styleId="BalloonText">
    <w:name w:val="Balloon Text"/>
    <w:basedOn w:val="Normal"/>
    <w:link w:val="BalloonTextChar"/>
    <w:uiPriority w:val="99"/>
    <w:semiHidden/>
    <w:unhideWhenUsed/>
    <w:rsid w:val="007B2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9E"/>
    <w:rPr>
      <w:rFonts w:ascii="Segoe UI" w:hAnsi="Segoe UI" w:cs="Segoe UI"/>
      <w:sz w:val="18"/>
      <w:szCs w:val="18"/>
    </w:rPr>
  </w:style>
  <w:style w:type="character" w:styleId="CommentReference">
    <w:name w:val="annotation reference"/>
    <w:basedOn w:val="DefaultParagraphFont"/>
    <w:uiPriority w:val="99"/>
    <w:semiHidden/>
    <w:unhideWhenUsed/>
    <w:rsid w:val="007B299E"/>
    <w:rPr>
      <w:sz w:val="16"/>
      <w:szCs w:val="16"/>
    </w:rPr>
  </w:style>
  <w:style w:type="paragraph" w:styleId="CommentText">
    <w:name w:val="annotation text"/>
    <w:basedOn w:val="Normal"/>
    <w:link w:val="CommentTextChar"/>
    <w:uiPriority w:val="99"/>
    <w:unhideWhenUsed/>
    <w:rsid w:val="007B299E"/>
    <w:pPr>
      <w:spacing w:line="240" w:lineRule="auto"/>
    </w:pPr>
    <w:rPr>
      <w:sz w:val="20"/>
      <w:szCs w:val="20"/>
    </w:rPr>
  </w:style>
  <w:style w:type="character" w:customStyle="1" w:styleId="CommentTextChar">
    <w:name w:val="Comment Text Char"/>
    <w:basedOn w:val="DefaultParagraphFont"/>
    <w:link w:val="CommentText"/>
    <w:uiPriority w:val="99"/>
    <w:rsid w:val="007B299E"/>
    <w:rPr>
      <w:sz w:val="20"/>
      <w:szCs w:val="20"/>
    </w:rPr>
  </w:style>
  <w:style w:type="paragraph" w:styleId="CommentSubject">
    <w:name w:val="annotation subject"/>
    <w:basedOn w:val="CommentText"/>
    <w:next w:val="CommentText"/>
    <w:link w:val="CommentSubjectChar"/>
    <w:uiPriority w:val="99"/>
    <w:semiHidden/>
    <w:unhideWhenUsed/>
    <w:rsid w:val="007B299E"/>
    <w:rPr>
      <w:b/>
      <w:bCs/>
    </w:rPr>
  </w:style>
  <w:style w:type="character" w:customStyle="1" w:styleId="CommentSubjectChar">
    <w:name w:val="Comment Subject Char"/>
    <w:basedOn w:val="CommentTextChar"/>
    <w:link w:val="CommentSubject"/>
    <w:uiPriority w:val="99"/>
    <w:semiHidden/>
    <w:rsid w:val="007B299E"/>
    <w:rPr>
      <w:b/>
      <w:bCs/>
      <w:sz w:val="20"/>
      <w:szCs w:val="20"/>
    </w:rPr>
  </w:style>
  <w:style w:type="paragraph" w:styleId="Header">
    <w:name w:val="header"/>
    <w:basedOn w:val="Normal"/>
    <w:link w:val="HeaderChar"/>
    <w:uiPriority w:val="99"/>
    <w:unhideWhenUsed/>
    <w:rsid w:val="00484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E03"/>
  </w:style>
  <w:style w:type="character" w:styleId="Hyperlink">
    <w:name w:val="Hyperlink"/>
    <w:basedOn w:val="DefaultParagraphFont"/>
    <w:uiPriority w:val="99"/>
    <w:unhideWhenUsed/>
    <w:rsid w:val="007A4850"/>
    <w:rPr>
      <w:color w:val="0563C1" w:themeColor="hyperlink"/>
      <w:u w:val="single"/>
    </w:rPr>
  </w:style>
  <w:style w:type="character" w:customStyle="1" w:styleId="UnresolvedMention1">
    <w:name w:val="Unresolved Mention1"/>
    <w:basedOn w:val="DefaultParagraphFont"/>
    <w:uiPriority w:val="99"/>
    <w:semiHidden/>
    <w:unhideWhenUsed/>
    <w:rsid w:val="00E53EFD"/>
    <w:rPr>
      <w:color w:val="605E5C"/>
      <w:shd w:val="clear" w:color="auto" w:fill="E1DFDD"/>
    </w:rPr>
  </w:style>
  <w:style w:type="paragraph" w:styleId="FootnoteText">
    <w:name w:val="footnote text"/>
    <w:basedOn w:val="Normal"/>
    <w:link w:val="FootnoteTextChar"/>
    <w:uiPriority w:val="99"/>
    <w:semiHidden/>
    <w:unhideWhenUsed/>
    <w:rsid w:val="00D9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4F1"/>
    <w:rPr>
      <w:sz w:val="20"/>
      <w:szCs w:val="20"/>
    </w:rPr>
  </w:style>
  <w:style w:type="character" w:styleId="FootnoteReference">
    <w:name w:val="footnote reference"/>
    <w:basedOn w:val="DefaultParagraphFont"/>
    <w:uiPriority w:val="99"/>
    <w:semiHidden/>
    <w:unhideWhenUsed/>
    <w:rsid w:val="00D944F1"/>
    <w:rPr>
      <w:vertAlign w:val="superscript"/>
    </w:rPr>
  </w:style>
  <w:style w:type="paragraph" w:styleId="NormalWeb">
    <w:name w:val="Normal (Web)"/>
    <w:basedOn w:val="Normal"/>
    <w:uiPriority w:val="99"/>
    <w:semiHidden/>
    <w:unhideWhenUsed/>
    <w:rsid w:val="00995296"/>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UnresolvedMention2">
    <w:name w:val="Unresolved Mention2"/>
    <w:basedOn w:val="DefaultParagraphFont"/>
    <w:uiPriority w:val="99"/>
    <w:semiHidden/>
    <w:unhideWhenUsed/>
    <w:rsid w:val="0004706D"/>
    <w:rPr>
      <w:color w:val="605E5C"/>
      <w:shd w:val="clear" w:color="auto" w:fill="E1DFDD"/>
    </w:rPr>
  </w:style>
  <w:style w:type="paragraph" w:styleId="Revision">
    <w:name w:val="Revision"/>
    <w:hidden/>
    <w:uiPriority w:val="99"/>
    <w:semiHidden/>
    <w:rsid w:val="00824E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gdiscriminationwomen@ohchr.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C4036-A68A-4E8D-9174-1288D201EEDA}"/>
</file>

<file path=customXml/itemProps2.xml><?xml version="1.0" encoding="utf-8"?>
<ds:datastoreItem xmlns:ds="http://schemas.openxmlformats.org/officeDocument/2006/customXml" ds:itemID="{8244689A-E97A-4EF7-B952-8C4238B626D8}">
  <ds:schemaRefs>
    <ds:schemaRef ds:uri="http://schemas.microsoft.com/office/2006/metadata/properties"/>
    <ds:schemaRef ds:uri="http://schemas.microsoft.com/office/infopath/2007/PartnerControls"/>
    <ds:schemaRef ds:uri="http://schemas.microsoft.com/sharepoint/v4"/>
    <ds:schemaRef ds:uri="565721b6-94e1-453f-b282-d0853890bbb4"/>
  </ds:schemaRefs>
</ds:datastoreItem>
</file>

<file path=customXml/itemProps3.xml><?xml version="1.0" encoding="utf-8"?>
<ds:datastoreItem xmlns:ds="http://schemas.openxmlformats.org/officeDocument/2006/customXml" ds:itemID="{F2218C65-AB53-4597-A3D6-93993EA6B130}">
  <ds:schemaRefs>
    <ds:schemaRef ds:uri="http://schemas.microsoft.com/sharepoint/v3/contenttype/forms"/>
  </ds:schemaRefs>
</ds:datastoreItem>
</file>

<file path=customXml/itemProps4.xml><?xml version="1.0" encoding="utf-8"?>
<ds:datastoreItem xmlns:ds="http://schemas.openxmlformats.org/officeDocument/2006/customXml" ds:itemID="{4EF01277-39A1-4963-823C-D42F66AAB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5802</Words>
  <Characters>33072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dc:creator>
  <cp:keywords/>
  <dc:description/>
  <cp:lastModifiedBy>Abeer AbedAlhaq</cp:lastModifiedBy>
  <cp:revision>3</cp:revision>
  <cp:lastPrinted>2020-08-31T08:51:00Z</cp:lastPrinted>
  <dcterms:created xsi:type="dcterms:W3CDTF">2020-08-31T11:12:00Z</dcterms:created>
  <dcterms:modified xsi:type="dcterms:W3CDTF">2020-08-31T11:12:00Z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