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7E" w:rsidRPr="00BB4B7E" w:rsidRDefault="00BB4B7E" w:rsidP="00BB4B7E">
      <w:pPr>
        <w:jc w:val="center"/>
        <w:rPr>
          <w:rFonts w:ascii="Arial" w:eastAsiaTheme="minorEastAsia" w:hAnsi="Arial" w:cs="Arial"/>
          <w:b/>
          <w:bCs/>
          <w:sz w:val="24"/>
          <w:szCs w:val="24"/>
          <w:lang w:eastAsia="zh-CN"/>
        </w:rPr>
      </w:pPr>
      <w:r w:rsidRPr="00BB4B7E">
        <w:rPr>
          <w:rFonts w:ascii="Arial" w:eastAsiaTheme="minorEastAsia" w:hAnsi="Arial" w:cs="Arial"/>
          <w:b/>
          <w:bCs/>
          <w:sz w:val="24"/>
          <w:szCs w:val="24"/>
          <w:lang w:eastAsia="zh-CN"/>
        </w:rPr>
        <w:t>DEFENSORÍA DEL PUEBLO DE LA NACIÓN</w:t>
      </w:r>
    </w:p>
    <w:p w:rsidR="00BB4B7E" w:rsidRPr="00BB4B7E" w:rsidRDefault="00BB4B7E" w:rsidP="00BB4B7E">
      <w:pPr>
        <w:jc w:val="center"/>
        <w:rPr>
          <w:rFonts w:ascii="Arial" w:eastAsiaTheme="minorEastAsia" w:hAnsi="Arial" w:cs="Arial"/>
          <w:b/>
          <w:bCs/>
          <w:sz w:val="24"/>
          <w:szCs w:val="24"/>
          <w:lang w:eastAsia="zh-CN"/>
        </w:rPr>
      </w:pPr>
      <w:r w:rsidRPr="00BB4B7E">
        <w:rPr>
          <w:rFonts w:ascii="Arial" w:eastAsiaTheme="minorEastAsia" w:hAnsi="Arial" w:cs="Arial"/>
          <w:b/>
          <w:bCs/>
          <w:sz w:val="24"/>
          <w:szCs w:val="24"/>
          <w:lang w:eastAsia="zh-CN"/>
        </w:rPr>
        <w:t>INSTITUCIÓN NACIONAL DE DERECHOS HUMANOS</w:t>
      </w:r>
    </w:p>
    <w:p w:rsidR="00BB4B7E" w:rsidRPr="00BB4B7E" w:rsidRDefault="00BB4B7E" w:rsidP="00BB4B7E">
      <w:pPr>
        <w:jc w:val="center"/>
        <w:rPr>
          <w:rFonts w:ascii="Arial" w:eastAsiaTheme="minorEastAsia" w:hAnsi="Arial" w:cs="Arial"/>
          <w:b/>
          <w:bCs/>
          <w:i/>
          <w:iCs/>
          <w:sz w:val="24"/>
          <w:szCs w:val="24"/>
          <w:lang w:eastAsia="zh-CN"/>
        </w:rPr>
      </w:pPr>
      <w:r w:rsidRPr="00BB4B7E">
        <w:rPr>
          <w:rFonts w:ascii="Arial" w:eastAsiaTheme="minorEastAsia" w:hAnsi="Arial" w:cs="Arial"/>
          <w:b/>
          <w:bCs/>
          <w:sz w:val="24"/>
          <w:szCs w:val="24"/>
          <w:lang w:eastAsia="zh-CN"/>
        </w:rPr>
        <w:t>Salud y los Derechos Sexuales y Reproductivos   de las Mujeres y de las Niñas en situaciones de Crisis</w:t>
      </w:r>
    </w:p>
    <w:p w:rsidR="003D7FF4" w:rsidRPr="00BB4B7E" w:rsidRDefault="003D7FF4">
      <w:pPr>
        <w:jc w:val="center"/>
        <w:rPr>
          <w:rFonts w:ascii="Arial" w:hAnsi="Arial" w:cs="Arial"/>
          <w:b/>
          <w:sz w:val="24"/>
          <w:szCs w:val="24"/>
          <w:u w:val="single"/>
        </w:rPr>
      </w:pPr>
    </w:p>
    <w:p w:rsidR="003D7FF4" w:rsidRPr="00BB4B7E" w:rsidRDefault="007F54DF">
      <w:pPr>
        <w:jc w:val="center"/>
        <w:rPr>
          <w:rFonts w:ascii="Arial" w:hAnsi="Arial" w:cs="Arial"/>
          <w:b/>
          <w:sz w:val="24"/>
          <w:szCs w:val="24"/>
          <w:u w:val="single"/>
        </w:rPr>
      </w:pPr>
      <w:r w:rsidRPr="00BB4B7E">
        <w:rPr>
          <w:rFonts w:ascii="Arial" w:hAnsi="Arial" w:cs="Arial"/>
          <w:b/>
          <w:sz w:val="24"/>
          <w:szCs w:val="24"/>
          <w:u w:val="single"/>
        </w:rPr>
        <w:t>Cuestionario</w:t>
      </w:r>
    </w:p>
    <w:p w:rsidR="003D7FF4" w:rsidRPr="00BB4B7E" w:rsidRDefault="007F54DF">
      <w:pPr>
        <w:jc w:val="both"/>
        <w:rPr>
          <w:rFonts w:ascii="Arial" w:hAnsi="Arial" w:cs="Arial"/>
          <w:b/>
          <w:bCs/>
          <w:sz w:val="24"/>
          <w:szCs w:val="24"/>
          <w:u w:val="single"/>
        </w:rPr>
      </w:pPr>
      <w:r w:rsidRPr="00BB4B7E">
        <w:rPr>
          <w:rFonts w:ascii="Arial" w:hAnsi="Arial" w:cs="Arial"/>
          <w:b/>
          <w:bCs/>
          <w:sz w:val="24"/>
          <w:szCs w:val="24"/>
          <w:u w:val="single"/>
        </w:rPr>
        <w:t>Concepto/definición de crisis</w:t>
      </w:r>
    </w:p>
    <w:p w:rsidR="003D7FF4" w:rsidRPr="00BB4B7E" w:rsidRDefault="007F54DF">
      <w:pPr>
        <w:numPr>
          <w:ilvl w:val="0"/>
          <w:numId w:val="3"/>
        </w:numPr>
        <w:spacing w:after="0"/>
        <w:ind w:left="0"/>
        <w:jc w:val="both"/>
        <w:rPr>
          <w:rFonts w:ascii="Arial" w:hAnsi="Arial" w:cs="Arial"/>
          <w:b/>
          <w:bCs/>
          <w:sz w:val="24"/>
          <w:szCs w:val="24"/>
        </w:rPr>
      </w:pPr>
      <w:r w:rsidRPr="00BB4B7E">
        <w:rPr>
          <w:rFonts w:ascii="Arial" w:hAnsi="Arial" w:cs="Arial"/>
          <w:b/>
          <w:bCs/>
          <w:sz w:val="24"/>
          <w:szCs w:val="24"/>
        </w:rPr>
        <w:t>Sírvase proporcionar información sobre el marco legal y de políticas utilizado por su Estado para gestionar situaciones de crisis y sobre cómo se ha definido o elaborado el concepto de "crisis".</w:t>
      </w:r>
    </w:p>
    <w:p w:rsidR="003D7FF4" w:rsidRPr="00BB4B7E" w:rsidRDefault="003D7FF4">
      <w:pPr>
        <w:spacing w:after="0"/>
        <w:jc w:val="both"/>
        <w:rPr>
          <w:rFonts w:ascii="Arial" w:hAnsi="Arial" w:cs="Arial"/>
          <w:sz w:val="24"/>
          <w:szCs w:val="24"/>
        </w:rPr>
      </w:pPr>
    </w:p>
    <w:p w:rsidR="003D7FF4" w:rsidRPr="00BB4B7E" w:rsidRDefault="007F54DF">
      <w:pPr>
        <w:spacing w:after="0"/>
        <w:jc w:val="both"/>
        <w:rPr>
          <w:rFonts w:ascii="Arial" w:hAnsi="Arial" w:cs="Arial"/>
          <w:sz w:val="24"/>
          <w:szCs w:val="24"/>
        </w:rPr>
      </w:pPr>
      <w:r w:rsidRPr="00BB4B7E">
        <w:rPr>
          <w:rFonts w:ascii="Arial" w:hAnsi="Arial" w:cs="Arial"/>
          <w:sz w:val="24"/>
          <w:szCs w:val="24"/>
        </w:rPr>
        <w:t>Crisis es un concepto que debe utilizarse con carácter restrictivo para poder proceder a su análisis en cada situación. Por supuesto, Argentina ha vivido numerosas crisis en los siglos 20 y 21. Existe la idea de que se trata de un país en crisis permanente. Por eso, el caso argentino y su comparación con otros requiere establecer cuándo hay realmente elementos para considerar que existe una situación de «crisis». Y si la hay, cuándo se trata de una crisis económica, de una crisis política, cuándo de una crisis social, cuándo de una crisis sanitaria, cuándo de una crisis cultural, etc .</w:t>
      </w:r>
    </w:p>
    <w:p w:rsidR="003D7FF4" w:rsidRPr="00BB4B7E" w:rsidRDefault="007F54DF">
      <w:pPr>
        <w:spacing w:after="0"/>
        <w:jc w:val="both"/>
        <w:rPr>
          <w:rFonts w:ascii="Arial" w:hAnsi="Arial" w:cs="Arial"/>
          <w:sz w:val="24"/>
          <w:szCs w:val="24"/>
        </w:rPr>
      </w:pPr>
      <w:r w:rsidRPr="00BB4B7E">
        <w:rPr>
          <w:rFonts w:ascii="Arial" w:hAnsi="Arial" w:cs="Arial"/>
          <w:sz w:val="24"/>
          <w:szCs w:val="24"/>
        </w:rPr>
        <w:t xml:space="preserve">Es sencillo encontrar definiciones objetivas de crisis económicas, políticas o sociales. Cada una establece indicadores, generalmente cuantitativos. Así, la crisis económica puede asociarse a la reducción del </w:t>
      </w:r>
      <w:r w:rsidR="004623BA" w:rsidRPr="00BB4B7E">
        <w:rPr>
          <w:rFonts w:ascii="Arial" w:hAnsi="Arial" w:cs="Arial"/>
          <w:sz w:val="24"/>
          <w:szCs w:val="24"/>
        </w:rPr>
        <w:t>PIB</w:t>
      </w:r>
      <w:r w:rsidRPr="00BB4B7E">
        <w:rPr>
          <w:rFonts w:ascii="Arial" w:hAnsi="Arial" w:cs="Arial"/>
          <w:sz w:val="24"/>
          <w:szCs w:val="24"/>
        </w:rPr>
        <w:t>, la crisis política se refiere a la inestabilidad institucional y la crisis social deriva de indicadores de desocupación, pobreza o indigencia. Cabe hacer notar que todos esos indicadores objetivos resultan de complejos procesos de producción y de una serie de convenciones.  De otro modo la combinación de estos elementos producen efectos vinculados con crisis de confianza en la economía, crisis de confianza en la política, crisis de representación o legitimidad social. La angustia social ante injusticias o desigualdades intolerables, en las que un índice inflacionario puede ser percibido como traumático en un país y no tan grave en otro con una historia diferente. De la misma forma, en contextos nacionales disímiles, las cifras de pobreza o desempleo tienen valoraciones distintas. Argentina no cuenta con una mecánica de gestión de situaciones de crisis enmarcadas por legislación específica, tampoco hallamos una definición unívoca de aplicación</w:t>
      </w:r>
    </w:p>
    <w:p w:rsidR="003D7FF4" w:rsidRPr="00BB4B7E" w:rsidRDefault="003D7FF4">
      <w:pPr>
        <w:spacing w:after="0"/>
        <w:jc w:val="both"/>
        <w:rPr>
          <w:rFonts w:ascii="Arial" w:hAnsi="Arial" w:cs="Arial"/>
          <w:sz w:val="24"/>
          <w:szCs w:val="24"/>
        </w:rPr>
      </w:pPr>
    </w:p>
    <w:p w:rsidR="003D7FF4" w:rsidRPr="00BB4B7E" w:rsidRDefault="003D7FF4">
      <w:pPr>
        <w:spacing w:after="0"/>
        <w:jc w:val="both"/>
        <w:rPr>
          <w:rFonts w:ascii="Arial" w:hAnsi="Arial" w:cs="Arial"/>
          <w:sz w:val="24"/>
          <w:szCs w:val="24"/>
        </w:rPr>
      </w:pPr>
    </w:p>
    <w:p w:rsidR="003D7FF4" w:rsidRPr="00BB4B7E" w:rsidRDefault="007F54DF">
      <w:pPr>
        <w:numPr>
          <w:ilvl w:val="0"/>
          <w:numId w:val="3"/>
        </w:numPr>
        <w:spacing w:after="0"/>
        <w:ind w:left="0"/>
        <w:jc w:val="both"/>
        <w:rPr>
          <w:rFonts w:ascii="Arial" w:hAnsi="Arial" w:cs="Arial"/>
          <w:b/>
          <w:bCs/>
          <w:sz w:val="24"/>
          <w:szCs w:val="24"/>
        </w:rPr>
      </w:pPr>
      <w:r w:rsidRPr="00BB4B7E">
        <w:rPr>
          <w:rFonts w:ascii="Arial" w:hAnsi="Arial" w:cs="Arial"/>
          <w:b/>
          <w:bCs/>
          <w:sz w:val="24"/>
          <w:szCs w:val="24"/>
        </w:rPr>
        <w:t>Sírvase enumerar el tipo de situaciones que serían incluidas en el concepto de "crisis" utilizado en su Estado e indicar qué situaciones quedan excluidas.</w:t>
      </w:r>
    </w:p>
    <w:p w:rsidR="003D7FF4" w:rsidRPr="00BB4B7E" w:rsidRDefault="003D7FF4">
      <w:pPr>
        <w:spacing w:after="0"/>
        <w:jc w:val="both"/>
        <w:rPr>
          <w:rFonts w:ascii="Arial" w:hAnsi="Arial" w:cs="Arial"/>
          <w:sz w:val="24"/>
          <w:szCs w:val="24"/>
        </w:rPr>
      </w:pPr>
    </w:p>
    <w:p w:rsidR="003D7FF4" w:rsidRPr="00BB4B7E" w:rsidRDefault="007F54DF">
      <w:pPr>
        <w:spacing w:after="0"/>
        <w:jc w:val="both"/>
        <w:rPr>
          <w:rFonts w:ascii="Arial" w:hAnsi="Arial" w:cs="Arial"/>
          <w:sz w:val="24"/>
          <w:szCs w:val="24"/>
        </w:rPr>
      </w:pPr>
      <w:r w:rsidRPr="00BB4B7E">
        <w:rPr>
          <w:rFonts w:ascii="Arial" w:hAnsi="Arial" w:cs="Arial"/>
          <w:sz w:val="24"/>
          <w:szCs w:val="24"/>
        </w:rPr>
        <w:t>Cómo distinguir entre las situaciones incluidas y excluidas por el Estado</w:t>
      </w:r>
      <w:r w:rsidR="004623BA" w:rsidRPr="00BB4B7E">
        <w:rPr>
          <w:rFonts w:ascii="Arial" w:hAnsi="Arial" w:cs="Arial"/>
          <w:sz w:val="24"/>
          <w:szCs w:val="24"/>
        </w:rPr>
        <w:t>? Esa distinción</w:t>
      </w:r>
      <w:r w:rsidRPr="00BB4B7E">
        <w:rPr>
          <w:rFonts w:ascii="Arial" w:hAnsi="Arial" w:cs="Arial"/>
          <w:sz w:val="24"/>
          <w:szCs w:val="24"/>
        </w:rPr>
        <w:t xml:space="preserve"> no resulta de posible cumplimiento dado que ello escapa a una definición rígida;  ya se mencionó que de acuerdo con los  resultados las situaciones que pueden dar lugar a una ‘crisis’ son de distinto signo y en los países emergentes </w:t>
      </w:r>
      <w:r w:rsidRPr="00BB4B7E">
        <w:rPr>
          <w:rFonts w:ascii="Arial" w:hAnsi="Arial" w:cs="Arial"/>
          <w:sz w:val="24"/>
          <w:szCs w:val="24"/>
        </w:rPr>
        <w:lastRenderedPageBreak/>
        <w:t>como Argentina, la evaluación de acontecimientos diversos pueden desatar crisis no previstas, es el caso de la Pandemia COVID-19 que ante la declaración por parte de la OMS, determinó el comienzo del dictado de una serie de medidas, cuya cabeza es el Decreto de Necesidad y Urgencia N° 260/20202, por el que se amplía la emergencia sanitaria</w:t>
      </w:r>
      <w:r w:rsidR="004623BA" w:rsidRPr="00BB4B7E">
        <w:rPr>
          <w:rFonts w:ascii="Arial" w:hAnsi="Arial" w:cs="Arial"/>
          <w:sz w:val="24"/>
          <w:szCs w:val="24"/>
        </w:rPr>
        <w:t>, dictada en diciembre de 2019, estableciendo</w:t>
      </w:r>
      <w:r w:rsidRPr="00BB4B7E">
        <w:rPr>
          <w:rFonts w:ascii="Arial" w:hAnsi="Arial" w:cs="Arial"/>
          <w:sz w:val="24"/>
          <w:szCs w:val="24"/>
        </w:rPr>
        <w:t xml:space="preserve"> el Aislamiento social, preventivo y obligatorio.</w:t>
      </w:r>
    </w:p>
    <w:p w:rsidR="003D7FF4" w:rsidRPr="00BB4B7E" w:rsidRDefault="003D7FF4">
      <w:pPr>
        <w:spacing w:after="0"/>
        <w:jc w:val="both"/>
        <w:rPr>
          <w:rFonts w:ascii="Arial" w:hAnsi="Arial" w:cs="Arial"/>
          <w:sz w:val="24"/>
          <w:szCs w:val="24"/>
        </w:rPr>
      </w:pPr>
    </w:p>
    <w:p w:rsidR="003D7FF4" w:rsidRPr="00BB4B7E" w:rsidRDefault="003D7FF4">
      <w:pPr>
        <w:spacing w:after="0"/>
        <w:jc w:val="both"/>
        <w:rPr>
          <w:rFonts w:ascii="Arial" w:hAnsi="Arial" w:cs="Arial"/>
          <w:b/>
          <w:bCs/>
          <w:sz w:val="24"/>
          <w:szCs w:val="24"/>
        </w:rPr>
      </w:pPr>
    </w:p>
    <w:p w:rsidR="003D7FF4" w:rsidRPr="00BB4B7E" w:rsidRDefault="007F54DF">
      <w:pPr>
        <w:numPr>
          <w:ilvl w:val="0"/>
          <w:numId w:val="3"/>
        </w:numPr>
        <w:ind w:left="0"/>
        <w:jc w:val="both"/>
        <w:rPr>
          <w:rFonts w:ascii="Arial" w:hAnsi="Arial" w:cs="Arial"/>
          <w:b/>
          <w:bCs/>
          <w:sz w:val="24"/>
          <w:szCs w:val="24"/>
        </w:rPr>
      </w:pPr>
      <w:r w:rsidRPr="00BB4B7E">
        <w:rPr>
          <w:rFonts w:ascii="Arial" w:hAnsi="Arial" w:cs="Arial"/>
          <w:b/>
          <w:bCs/>
          <w:sz w:val="24"/>
          <w:szCs w:val="24"/>
        </w:rPr>
        <w:t>¿Qué mecanismos institucionales existen para manejar una crisis y cómo se determinan las prioridades?</w:t>
      </w:r>
    </w:p>
    <w:p w:rsidR="003D7FF4" w:rsidRPr="00BB4B7E" w:rsidRDefault="007F54DF">
      <w:pPr>
        <w:jc w:val="both"/>
        <w:rPr>
          <w:rFonts w:ascii="Arial" w:hAnsi="Arial" w:cs="Arial"/>
          <w:b/>
          <w:sz w:val="24"/>
          <w:szCs w:val="24"/>
          <w:u w:val="single"/>
        </w:rPr>
      </w:pPr>
      <w:r w:rsidRPr="00BB4B7E">
        <w:rPr>
          <w:rFonts w:ascii="Arial" w:hAnsi="Arial" w:cs="Arial"/>
          <w:sz w:val="24"/>
          <w:szCs w:val="24"/>
        </w:rPr>
        <w:t>Los mecanismos suelen adecuarse a la situación de que se trata, ya señalamos que no existe una fórmula única, que tampoco se ajusta a la forma de gobierno adoptada por nuestra Constitución Nacional. Cada poder del Estado es independiente y actúa de acuerdo con sus facultades y atribuciones constitucionales y cada estado provincial, en su jurisdicción hace lo propio. Es decir, en todas las instancias existen mecanismos ejecutivos y de gestión, legislativos y judiciales, cuando surge la necesidad de evaluar la aplicación de normas cuestionadas.</w:t>
      </w:r>
    </w:p>
    <w:p w:rsidR="003D7FF4" w:rsidRPr="00BB4B7E" w:rsidRDefault="003D7FF4">
      <w:pPr>
        <w:jc w:val="both"/>
        <w:rPr>
          <w:rFonts w:ascii="Arial" w:hAnsi="Arial" w:cs="Arial"/>
          <w:sz w:val="24"/>
          <w:szCs w:val="24"/>
        </w:rPr>
      </w:pPr>
    </w:p>
    <w:p w:rsidR="003D7FF4" w:rsidRPr="00BB4B7E" w:rsidRDefault="007F54DF">
      <w:pPr>
        <w:jc w:val="both"/>
        <w:rPr>
          <w:rFonts w:ascii="Arial" w:hAnsi="Arial" w:cs="Arial"/>
          <w:b/>
          <w:bCs/>
          <w:sz w:val="24"/>
          <w:szCs w:val="24"/>
          <w:u w:val="single"/>
        </w:rPr>
      </w:pPr>
      <w:r w:rsidRPr="00BB4B7E">
        <w:rPr>
          <w:rFonts w:ascii="Arial" w:hAnsi="Arial" w:cs="Arial"/>
          <w:b/>
          <w:bCs/>
          <w:sz w:val="24"/>
          <w:szCs w:val="24"/>
          <w:u w:val="single"/>
        </w:rPr>
        <w:t>Desafíos y buenas prácticas</w:t>
      </w:r>
    </w:p>
    <w:p w:rsidR="003D7FF4" w:rsidRPr="00BB4B7E" w:rsidRDefault="007F54DF">
      <w:pPr>
        <w:numPr>
          <w:ilvl w:val="0"/>
          <w:numId w:val="3"/>
        </w:numPr>
        <w:pBdr>
          <w:top w:val="nil"/>
          <w:left w:val="nil"/>
          <w:bottom w:val="nil"/>
          <w:right w:val="nil"/>
          <w:between w:val="nil"/>
        </w:pBdr>
        <w:spacing w:after="0"/>
        <w:ind w:left="0"/>
        <w:jc w:val="both"/>
        <w:rPr>
          <w:rFonts w:ascii="Arial" w:hAnsi="Arial" w:cs="Arial"/>
          <w:b/>
          <w:bCs/>
          <w:color w:val="000000"/>
          <w:sz w:val="24"/>
          <w:szCs w:val="24"/>
        </w:rPr>
      </w:pPr>
      <w:r w:rsidRPr="00BB4B7E">
        <w:rPr>
          <w:rFonts w:ascii="Arial" w:hAnsi="Arial" w:cs="Arial"/>
          <w:b/>
          <w:bCs/>
          <w:color w:val="000000"/>
          <w:sz w:val="24"/>
          <w:szCs w:val="24"/>
        </w:rPr>
        <w:t>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rsidR="003D7FF4" w:rsidRPr="00BB4B7E" w:rsidRDefault="003D7FF4">
      <w:pPr>
        <w:pBdr>
          <w:top w:val="nil"/>
          <w:left w:val="nil"/>
          <w:bottom w:val="nil"/>
          <w:right w:val="nil"/>
          <w:between w:val="nil"/>
        </w:pBdr>
        <w:spacing w:after="0"/>
        <w:ind w:left="720"/>
        <w:jc w:val="both"/>
        <w:rPr>
          <w:rFonts w:ascii="Arial" w:hAnsi="Arial" w:cs="Arial"/>
          <w:b/>
          <w:bCs/>
          <w:color w:val="000000"/>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Acceso a información objetiva y científicamente precisa sobre asuntos y servicios de salud sexual y reproductiva:</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A partir de la sanción de la Ley Nº 26.150 en el año 2016 los docentes tienen la obligación de enseñar educación sexual a las niñas/os y adolescentes. A su vez las escuelas tienen espacios de consulta, individuales o grupales que orientan a las y los adolescentes en sus inquietudes con información científica y veraz (asesorías).</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No obstante ello en el cuestionario complementario de las pruebas Aprender del año 2017</w:t>
      </w:r>
      <w:r w:rsidRPr="00BB4B7E">
        <w:rPr>
          <w:rFonts w:ascii="Arial" w:hAnsi="Arial" w:cs="Arial"/>
          <w:sz w:val="24"/>
          <w:szCs w:val="24"/>
          <w:vertAlign w:val="superscript"/>
        </w:rPr>
        <w:footnoteReference w:id="1"/>
      </w:r>
      <w:r w:rsidRPr="00BB4B7E">
        <w:rPr>
          <w:rFonts w:ascii="Arial" w:hAnsi="Arial" w:cs="Arial"/>
          <w:sz w:val="24"/>
          <w:szCs w:val="24"/>
        </w:rPr>
        <w:t xml:space="preserve">, cuando se preguntó por temas que la escuela debería abordar pero no lo hace, el 79% de los estudiantes de secundaria dijo que falta educación sexual y el 76% que falta abordaje sobre violencia de género. La Fundación Huésped realizó una investigación que arrojó como resultado que sólo la mitad de los maestros encuestados había recibido capacitaciones. El 86% dice que la incorpora a sus clases, pero 4 de cada 10 relacionan a ESI solo con genitalidad, cuando la ley es vasta. La mirada de los alumnos, en tanto, es todavía más preocupante: solo la </w:t>
      </w:r>
      <w:r w:rsidRPr="00BB4B7E">
        <w:rPr>
          <w:rFonts w:ascii="Arial" w:hAnsi="Arial" w:cs="Arial"/>
          <w:sz w:val="24"/>
          <w:szCs w:val="24"/>
        </w:rPr>
        <w:lastRenderedPageBreak/>
        <w:t>mitad conoce la existencia de la ley y la gran mayoría la vincula con aprender sobre "el aparato reproductor"</w:t>
      </w:r>
      <w:r w:rsidRPr="00BB4B7E">
        <w:rPr>
          <w:rFonts w:ascii="Arial" w:hAnsi="Arial" w:cs="Arial"/>
          <w:sz w:val="24"/>
          <w:szCs w:val="24"/>
          <w:vertAlign w:val="superscript"/>
        </w:rPr>
        <w:footnoteReference w:id="2"/>
      </w:r>
      <w:r w:rsidRPr="00BB4B7E">
        <w:rPr>
          <w:rFonts w:ascii="Arial" w:hAnsi="Arial" w:cs="Arial"/>
          <w:sz w:val="24"/>
          <w:szCs w:val="24"/>
        </w:rPr>
        <w:t>.</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Desde el dictado del ASPO el pasado 20/03/20 las clases se encuentran suspendidas y se imparten contenidos a través de medios digitales. Sin embargo, el acceso no es homogéneo puesto que no todos los alumnos cuentan con conectividad. Del mismo modo los espacios de consulta que respeten un marco de intimidad y confidencialidad se han visto suprimidos puesto que los estudiantes se encuentran en sus domicilios.</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Acceso a profesionales médicos y proveedores de servicios de salud, incluidas las parteras tradicionales, que cuenten con provisión adecuada para su capacitación y seguridad, incluido equipos de protección personal:</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La atención hospitalaria del subsistema público se desarrolla en hospitales pertenecientes principalmente a las esferas de gobierno provincial (65%) y municipal (35%). El acceso se realiza por derivación de otros niveles y de servicios de urgencia y de emergencia. De acuerdo a datos de 2015, el subsistema público dispone de 1.495 establecimientos con internación, lo que corresponde a un 29% del total de 5.100 hospitales existentes en el país según el Sistema Integrado de Información Sanitaria (SIISA). Los 964 hospitales provinciales y los 522 hospitales municipales representan el 19% y el 10% respectivamente del total de establecimientos con internación del país. En el sector privado hay 3.514 establecimientos con internación, lo que corresponde al 69% de los hospitales del país. En algunas jurisdicciones, la concentración de establecimientos con internación en el sector privado supera el 75%: en Mendoza es del 84%, en San Juan, 81% y en Buenos Aires 79%. El Registro Federal de Profesionales de la Salud (REFEPS) cuenta actualmente con el estado de matriculación de todos los médicos del país: aproximadamente 162.000 profesionales en edad activa. De acuerdo con este dato, la razón de médicos por cada 1.000 habitantes es de 3,88, considerando la población registrada en 2010, o de 4,14 médicos por 1.000 habitantes considerando el tamaño poblacional proyectado para 2015. No obstante, las residencias en algunas especialidades se han vuelto escasas. Esto ocurre en áreas críticas como neonatología, terapia intensiva y anestesiología y en áreas fundamentales para el desarrollo de la estrategia de atención primaria en el país, como medicina general, tocoginecología, pediatría y salud mental. Del mismo modo, la distribución geográfica de los médicos es asimétrica. Hay carencias importantes en las provincias del norte. Siete provincias, todas ellas en el norte, se encuentran por debajo del umbral de 2,5 médicos cada 1.000 habitantes (Chaco, Formosa, Misiones, Salta, Jujuy, Santiago del Estero y Catamarca). Se registra una asimetría semejante analizando la disponibilidad de camas en relación con el tamaño de la población</w:t>
      </w:r>
      <w:r w:rsidRPr="00BB4B7E">
        <w:rPr>
          <w:rFonts w:ascii="Arial" w:hAnsi="Arial" w:cs="Arial"/>
          <w:sz w:val="24"/>
          <w:szCs w:val="24"/>
          <w:vertAlign w:val="superscript"/>
        </w:rPr>
        <w:footnoteReference w:id="3"/>
      </w:r>
      <w:r w:rsidRPr="00BB4B7E">
        <w:rPr>
          <w:rFonts w:ascii="Arial" w:hAnsi="Arial" w:cs="Arial"/>
          <w:sz w:val="24"/>
          <w:szCs w:val="24"/>
        </w:rPr>
        <w:t>.</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lastRenderedPageBreak/>
        <w:t>Respecto de los equipos de protección de los profesionales de la salud, al igual que ha ocurrido a nivel mundial, han estado en faltante. Con dicho motivo el gobierno nacional dictó una serie de medidas tendientes a contrarrestar el efecto. En dicho sentido dispuso de una serie de medidas tales: precios máximos para barbijos, termómetros y limitación de venta de barbijos N95 de forma exclusiva para personal sanitario</w:t>
      </w:r>
      <w:r w:rsidRPr="00BB4B7E">
        <w:rPr>
          <w:rFonts w:ascii="Arial" w:hAnsi="Arial" w:cs="Arial"/>
          <w:sz w:val="24"/>
          <w:szCs w:val="24"/>
          <w:vertAlign w:val="superscript"/>
        </w:rPr>
        <w:footnoteReference w:id="4"/>
      </w:r>
      <w:r w:rsidRPr="00BB4B7E">
        <w:rPr>
          <w:rFonts w:ascii="Arial" w:hAnsi="Arial" w:cs="Arial"/>
          <w:sz w:val="24"/>
          <w:szCs w:val="24"/>
        </w:rPr>
        <w:t>; precios de referencia para alcohol en gel</w:t>
      </w:r>
      <w:r w:rsidRPr="00BB4B7E">
        <w:rPr>
          <w:rFonts w:ascii="Arial" w:hAnsi="Arial" w:cs="Arial"/>
          <w:sz w:val="24"/>
          <w:szCs w:val="24"/>
          <w:vertAlign w:val="superscript"/>
        </w:rPr>
        <w:footnoteReference w:id="5"/>
      </w:r>
      <w:r w:rsidRPr="00BB4B7E">
        <w:rPr>
          <w:rFonts w:ascii="Arial" w:hAnsi="Arial" w:cs="Arial"/>
          <w:sz w:val="24"/>
          <w:szCs w:val="24"/>
        </w:rPr>
        <w:t>; precios máximos para las compras del Estado</w:t>
      </w:r>
      <w:r w:rsidRPr="00BB4B7E">
        <w:rPr>
          <w:rFonts w:ascii="Arial" w:hAnsi="Arial" w:cs="Arial"/>
          <w:sz w:val="24"/>
          <w:szCs w:val="24"/>
          <w:vertAlign w:val="superscript"/>
        </w:rPr>
        <w:footnoteReference w:id="6"/>
      </w:r>
      <w:r w:rsidRPr="00BB4B7E">
        <w:rPr>
          <w:rFonts w:ascii="Arial" w:hAnsi="Arial" w:cs="Arial"/>
          <w:sz w:val="24"/>
          <w:szCs w:val="24"/>
        </w:rPr>
        <w:t>; eliminación de impuestos de importación para insumos críticos</w:t>
      </w:r>
      <w:r w:rsidRPr="00BB4B7E">
        <w:rPr>
          <w:rFonts w:ascii="Arial" w:hAnsi="Arial" w:cs="Arial"/>
          <w:sz w:val="24"/>
          <w:szCs w:val="24"/>
          <w:vertAlign w:val="superscript"/>
        </w:rPr>
        <w:footnoteReference w:id="7"/>
      </w:r>
      <w:r w:rsidRPr="00BB4B7E">
        <w:rPr>
          <w:rFonts w:ascii="Arial" w:hAnsi="Arial" w:cs="Arial"/>
          <w:sz w:val="24"/>
          <w:szCs w:val="24"/>
        </w:rPr>
        <w:t>; creación de un programa de apoyo al sistema productivo en el área de insumos, equipamiento y tecnología sanitaria</w:t>
      </w:r>
      <w:r w:rsidRPr="00BB4B7E">
        <w:rPr>
          <w:rFonts w:ascii="Arial" w:hAnsi="Arial" w:cs="Arial"/>
          <w:sz w:val="24"/>
          <w:szCs w:val="24"/>
          <w:vertAlign w:val="superscript"/>
        </w:rPr>
        <w:footnoteReference w:id="8"/>
      </w:r>
      <w:r w:rsidRPr="00BB4B7E">
        <w:rPr>
          <w:rFonts w:ascii="Arial" w:hAnsi="Arial" w:cs="Arial"/>
          <w:sz w:val="24"/>
          <w:szCs w:val="24"/>
        </w:rPr>
        <w:t>.</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Acceso a medicamentos esenciales según lo prescrito por la OMS, y equipos y tecnologías esenciales para la prestación de calidad de servicios de salud sexual y reproductiva:</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La ley Nº 25.673 (salud sexual y reproductiva) garantiza tanto para el sistema público, como para el privado y el de la seguridad social nacional la cobertura de medicamentos y tecnología para la prestación de los servicios de salud sexual y reproductiva. Durante el año 2018 y 2019 algunas provincias registraron inconvenientes para la provisión de Misoprostol para las pacientes que acudían a los centros de salud con el propósito de que se les practicara la interrupción legal del embarazo</w:t>
      </w:r>
      <w:r w:rsidRPr="00BB4B7E">
        <w:rPr>
          <w:rFonts w:ascii="Arial" w:hAnsi="Arial" w:cs="Arial"/>
          <w:sz w:val="24"/>
          <w:szCs w:val="24"/>
          <w:vertAlign w:val="superscript"/>
        </w:rPr>
        <w:footnoteReference w:id="9"/>
      </w:r>
      <w:r w:rsidRPr="00BB4B7E">
        <w:rPr>
          <w:rFonts w:ascii="Arial" w:hAnsi="Arial" w:cs="Arial"/>
          <w:sz w:val="24"/>
          <w:szCs w:val="24"/>
        </w:rPr>
        <w:t>. No obstante ello, en la actualidad no se han advertido problemáticas asociadas al acceso en el sentido indicado.</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Prevención de la transmisión del VIH, profilaxis posterior a la exposición, y tratamiento del VIH / SIDA, así como prevención y tratamiento de infecciones de transmisión sexual.</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En los últimos años aumentaron las ITS, especialmente sífilis, clamidia y Papiloma Virus</w:t>
      </w:r>
      <w:r w:rsidRPr="00BB4B7E">
        <w:rPr>
          <w:rFonts w:ascii="Arial" w:hAnsi="Arial" w:cs="Arial"/>
          <w:sz w:val="24"/>
          <w:szCs w:val="24"/>
          <w:vertAlign w:val="superscript"/>
        </w:rPr>
        <w:footnoteReference w:id="10"/>
      </w:r>
      <w:r w:rsidRPr="00BB4B7E">
        <w:rPr>
          <w:rFonts w:ascii="Arial" w:hAnsi="Arial" w:cs="Arial"/>
          <w:sz w:val="24"/>
          <w:szCs w:val="24"/>
        </w:rPr>
        <w:t>. No disminuyeron los casos nuevos de VIH, especialmente en adolescentes y mujeres mayores de 50 años. Desde 2016 faltan periódicamente antirretrovirales, reactivos para pruebas y preservativos. Asimismo puede observarse que las estadísticas</w:t>
      </w:r>
      <w:r w:rsidRPr="00BB4B7E">
        <w:rPr>
          <w:rFonts w:ascii="Arial" w:hAnsi="Arial" w:cs="Arial"/>
          <w:sz w:val="24"/>
          <w:szCs w:val="24"/>
          <w:vertAlign w:val="superscript"/>
        </w:rPr>
        <w:footnoteReference w:id="11"/>
      </w:r>
      <w:r w:rsidRPr="00BB4B7E">
        <w:rPr>
          <w:rFonts w:ascii="Arial" w:hAnsi="Arial" w:cs="Arial"/>
          <w:sz w:val="24"/>
          <w:szCs w:val="24"/>
        </w:rPr>
        <w:t xml:space="preserve"> señalan que, por ejemplo, en las pruebas realizadas por laboratorio para la detección de clamidia, arrojó como resultado que el 82% de positividad estaba concentrado en mujeres y que dentro de este grupo la mayor incidencia estaba concentrado en la población adolescente por lo que deberían reforzarse en las campañas de prevención orientadas a este segmento de la población.</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lastRenderedPageBreak/>
        <w:t>Servicios de asistencia sanitaria materna, incluidas la atención pre y postnatal, la asistencia durante el parto y la atención obstétrica de emergencia:</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Este punto se desarrolla en la respuesta “o”.</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Como se desarrollará en el punto “i” los hospitales y centros de salud barriales cuentan con consejerías relacionadas con la salud sexual y reproductiva. Allí también se garantiza el acceso a servicios anticonceptivos tal como lo establece la Ley Nº 25.673. Los servicios anticonceptivos se encuentran garantizados también en los servicios de salud privados y los de la seguridad social nacional a través del PMO.</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En cuanto a los tratamientos de fertilidad también se encuentran garantizados de manera integral tanto en el sector público, como privado y los de la seguridad social nacional. Si bien sobre este aspecto ha habido un gran avance, aún quedan pendientes de regulación las prácticas de gestación por sustitución que en la actualidad se realizan sin un marco normativo a nivel nacional que proteja a progenitores, subrogantes y/o infantes, cuya identidad filiatoria, salvo en la Ciudad de Buenos Aires, depende de una decisión judicial.</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Servicios de aborto seguro, incluidos los métodos quirúrgicos y no quirúrgicos de interrupción del embarazo y atención humana posterior al aborto, independientemente del estatus legal del aborto.</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La Constitución Nacional y los Tratados de Derechos Humanos que se incorporaron en su reforma de 1994, el Código Penal de la Nación de 1921 y el Código Civil y Comercial de la Nación reformado en el año 2015 junto al Fallo F.A.L, constituyen el marco jurídico donde se asientan los distintos diseños que poseen la diversidad de Protocolos que tenemos en el país.</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En Argentina, todo el personal de salud es responsable de garantizar y no obstruir el derecho a interrumpir un embarazo cuando éste ponga en riesgo la vida o la salud de la persona o cuando sea producto de una violación. Si bien la objeción de conciencia también es un derecho que posee el personal de salud, no opera así para las instituciones quienes, a través de su Director Médico, deben garantizar que las interrupciones legales del embarazo sean llevadas adelante sin que ello implique derivación a otro centro o cualquier otra maniobra que ponga en riesgo la salud o la vida de la persona que requiera dichos servicios.</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 xml:space="preserve">El Protocolo para garantizar la Interrupción Legal del Embarazo elaborado por la máxima Autoridad Sanitaria Nacional ha tenido diversas recepciones en las 24 jurisdicciones que integran el país. En este último sentido corresponde destacar que por Resolución Nº 3158 del 19/11/19 la ex Secretaría de Gobierno de Salud de la </w:t>
      </w:r>
      <w:r w:rsidRPr="00BB4B7E">
        <w:rPr>
          <w:rFonts w:ascii="Arial" w:hAnsi="Arial" w:cs="Arial"/>
          <w:sz w:val="24"/>
          <w:szCs w:val="24"/>
        </w:rPr>
        <w:lastRenderedPageBreak/>
        <w:t>Nación había actualizado el Protocolo Nacional para la Interrupción Legal del Embarazo. Sin embargo dos días después, y por Decreto Nº 785/19, el Poder Ejecutivo la derogó. Finalmente, y ante la asunción del nuevo gobierno, el pasado 10/12/19 las actuales autoridades sanitarias, mediante Resolución Nº 1/2019 aprobaron la actualización al Protocolo que se encuentra vigente.</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Respecto de la recepción de este protocolo por parte de las provincias desde el dictado del primer protocolo a la fecha fue gradual. Aún sigue habiendo provincias que no lo han receptado y ello pone en evidencia las dificultades que podrían encontrar las diversas niñas, adolescentes y mujeres en el acceso a este tipo de asistencia médica. Así tenemos que Corrientes, Santiago del Estero y Tucumán continúan sin elaborar protocolo propio y sin adherir al protocolo nacional, mientras que las provincias de Formosa y San Juan tampoco tienen protocolo propio y no han adherido al protocolo nacional, aunque las autoridades de hospitales han indicado que, en caso de necesitarlo, toman las recomendaciones del protocolo nacional. Sin embargo, ello no constituye una garantía jurídica para las personas que requieren de este tipo de atenciones.</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Tratamiento de las morbilidades relacionadas con el embarazo, como fístula obstétrica y prolapso uterino, entre otros:</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La Mortalidad Materna constituye un problema importante de salud pública que afecta el derecho de las mujeres y las niñas a la vida, la salud, la equidad, la no discriminación y el acceso al conocimiento científico aplicado al más alto nivel posible de salud. Respecto de las causas como la fístula obstétrica y el prolapso uterino no se han encontrado informes que revelen alguna dificultad o problemática especial. La problemática argentina tiene que ver con la desigualdad e inequidad en el acceso a los servicios y atención de la salud sexual y reproductiva que, en ocasiones, provoca la muerte materna. Este punto se desarrolla en la respuesta “o”.</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Exámenes y tratamiento para cánceres relacionados con órganos reproductivos:</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Los exámenes y tratamientos para tratar todo tipo de cánceres se encuentra garantizado en Argentina a través de los distintos tipos de coberturas y sistemas de salud existentes (público, privado y de la seguridad social nacional). De acuerdo con el PMO la cobertura para los exámenes y tratamiento en general se encuentran garantizados al 100%. No obstante ello podría evidenciarse alguna inequidad en el tipo y nivel de acceso respecto de las obras sociales provinciales quienes tienen un régimen autónomo y no están alcanzados por el PMO.</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En épocas de crisis como la actual algunos tratamientos se han visto interrumpidos o se ha incrementado la burocracia para garantizar los mismos.</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 xml:space="preserve">En líneas generales todos los organismos y mecanismos de control y denuncia ante vulneración de los derechos de salud han visto reducidas su capacidad de respuesta frente a la demanda de la población. El aislamiento y el cierre de oficinas ha impedido ejercer un control y un seguimiento minucioso de los casos, </w:t>
      </w:r>
      <w:r w:rsidRPr="00BB4B7E">
        <w:rPr>
          <w:rFonts w:ascii="Arial" w:hAnsi="Arial" w:cs="Arial"/>
          <w:sz w:val="24"/>
          <w:szCs w:val="24"/>
        </w:rPr>
        <w:lastRenderedPageBreak/>
        <w:t xml:space="preserve">incrementándose el nivel de vulnerabilidad en aquellos sectores con mayor barrera de acceso a la justicia. </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Productos para la higiene menstrual, el manejo del dolor menstrual y la regulación menstrual:</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No surge información relativa acerca del acceso a productos y/o técnicas relacionadas con la higiene menstrual, el manejo del dolor y la regulación menstrual.</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Prevención, investigación y castigo de todas las formas de violencia de género, acceso a intervenciones médicas oportunas e integrales, atención de salud mental y apoyo psicosocial para las víctimas y las sobrevivientes:</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La pandemia provocó el cierre y suspensión de determinados servicios indispensables para contrarrestar la violencia de género, en especial, en el domicilio. La suspensión del funcionamiento del sistema judicial y de los centros territoriales de denuncia dificultaron el acceso a la justicia para las víctimas de violencia y la implementación de medidas de protección frente a los perpetradores. El confinamiento en los hogares sumado a estas medidas ocasionó un aumento del 39% en las llamadas a líneas de atención</w:t>
      </w:r>
      <w:r w:rsidRPr="00BB4B7E">
        <w:rPr>
          <w:rFonts w:ascii="Arial" w:hAnsi="Arial" w:cs="Arial"/>
          <w:sz w:val="24"/>
          <w:szCs w:val="24"/>
          <w:vertAlign w:val="superscript"/>
        </w:rPr>
        <w:footnoteReference w:id="12"/>
      </w:r>
      <w:r w:rsidRPr="00BB4B7E">
        <w:rPr>
          <w:rFonts w:ascii="Arial" w:hAnsi="Arial" w:cs="Arial"/>
          <w:sz w:val="24"/>
          <w:szCs w:val="24"/>
        </w:rPr>
        <w:t xml:space="preserve">, registrando un aumento de femicidios, muchos de los cuales ocurrieron dentro del hogar. </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Entre las medidas implementadas para contrarrestar los efectos de la violencia ante situación de crisis como la pandemia, el Gobierno Nacional ha implementado una línea telefónica federal -Línea 144- que funciona los 365 días del año, las 24 horas. Por el Aislamiento Social Preventivo Obligatorio –ASPO-, el riesgo de experimentar violencia aumentó, ya que algunas mujeres pueden estar confinadas con sus agresores reales o potenciales. A partir de ello se reforzaron algunas políticas públicas tales como: aumento del número de agentes que atienden la línea, creación de una vía por whatsapp y por email para facilitar la denuncia a las mujeres que conviven con su agresor, y se incrementaron las campañas públicas en medios de comunicación masivos. También se adoptó la herramienta del “Barbijo Rojo” para facilitar denuncias a través del personal de las farmacias.</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En línea con ello, la Cámara Civil</w:t>
      </w:r>
      <w:r w:rsidRPr="00BB4B7E">
        <w:rPr>
          <w:rFonts w:ascii="Arial" w:hAnsi="Arial" w:cs="Arial"/>
          <w:sz w:val="24"/>
          <w:szCs w:val="24"/>
          <w:vertAlign w:val="superscript"/>
        </w:rPr>
        <w:footnoteReference w:id="13"/>
      </w:r>
      <w:r w:rsidRPr="00BB4B7E">
        <w:rPr>
          <w:rFonts w:ascii="Arial" w:hAnsi="Arial" w:cs="Arial"/>
          <w:sz w:val="24"/>
          <w:szCs w:val="24"/>
        </w:rPr>
        <w:t xml:space="preserve"> prorrogó por 60 días las medidas cautelares de exclusión de hogar con motivo de violencia doméstica.</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Argentina también cuenta con la ley Nacional 26.485 (2009) de Protección Integral para Prevenir, Sancionar y Erradicar la Violencia contra las Mujeres en los Ámbitos en que Desarrollen sus Relaciones Interpersonales. Se trata de una ley de orden público que abarca la lucha contra la violencia hacia las mujeres de manera integral. Esta ley ha sido modificada por otras dos, que se detallan más abajo:</w:t>
      </w:r>
    </w:p>
    <w:p w:rsidR="003D7FF4" w:rsidRPr="00BB4B7E" w:rsidRDefault="007F54DF">
      <w:pPr>
        <w:pBdr>
          <w:top w:val="nil"/>
          <w:left w:val="nil"/>
          <w:bottom w:val="nil"/>
          <w:right w:val="nil"/>
          <w:between w:val="nil"/>
        </w:pBdr>
        <w:spacing w:after="0"/>
        <w:ind w:left="708"/>
        <w:jc w:val="both"/>
        <w:rPr>
          <w:rFonts w:ascii="Arial" w:hAnsi="Arial" w:cs="Arial"/>
          <w:sz w:val="24"/>
          <w:szCs w:val="24"/>
        </w:rPr>
      </w:pPr>
      <w:r w:rsidRPr="00BB4B7E">
        <w:rPr>
          <w:rFonts w:ascii="Arial" w:hAnsi="Arial" w:cs="Arial"/>
          <w:sz w:val="24"/>
          <w:szCs w:val="24"/>
        </w:rPr>
        <w:t>• Ley 27.501 (2019), que incorpora el acoso callejero como modalidad de violencia a la mujer.</w:t>
      </w:r>
    </w:p>
    <w:p w:rsidR="003D7FF4" w:rsidRPr="00BB4B7E" w:rsidRDefault="007F54DF">
      <w:pPr>
        <w:pBdr>
          <w:top w:val="nil"/>
          <w:left w:val="nil"/>
          <w:bottom w:val="nil"/>
          <w:right w:val="nil"/>
          <w:between w:val="nil"/>
        </w:pBdr>
        <w:spacing w:after="0"/>
        <w:ind w:left="708"/>
        <w:jc w:val="both"/>
        <w:rPr>
          <w:rFonts w:ascii="Arial" w:hAnsi="Arial" w:cs="Arial"/>
          <w:sz w:val="24"/>
          <w:szCs w:val="24"/>
        </w:rPr>
      </w:pPr>
      <w:r w:rsidRPr="00BB4B7E">
        <w:rPr>
          <w:rFonts w:ascii="Arial" w:hAnsi="Arial" w:cs="Arial"/>
          <w:sz w:val="24"/>
          <w:szCs w:val="24"/>
        </w:rPr>
        <w:t>• Ley 27.501 modificatoria del artículo 6° de la ley 26.485.</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lastRenderedPageBreak/>
        <w:t>Si bien se han realizado avances en el registro de datos, todavía no es posible cuantificar y caracterizar la situación demográfica, económica y social de las mujeres que experimentan violencias. Las mayores dificultades de información corresponden al colectivo LGTIB+, a las afrodescendientes y a las indígenas. La incorporación de la variable étnico racial e identidad de género para cuantificar, caracterizar y proyectar políticas públicas que incidan en una mejor calidad de vida de las mujeres de esos colectivos, es fundamental, así como de las mujeres y niñas en general.</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 xml:space="preserve">En diciembre 2018 se sancionó la Ley 27.499 (llamada Ley Micaela por una de las víctimas) que obliga a capacitarse a todo el personal de ámbitos gubernamentales. </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El Abuso sexual en la Infancia - ASI - es otra forma de violencia muy invisibilizada porque ocurre en el interior de las familias y/o de instituciones como la escuela. En Argentina es muy frecuente, según UNICEF una de cada cinco niñas ha sido abusada. En general se logra denunciar varios años después cuando se es joven o adulto/a. Con el ASPO se considera ha aumentado el riesgo , sin embargo es difícil detectarlo y no hay cifras que lo evidencien. Existe una línea gratuita 102 que recibe denuncias, orienta y da asistencia a la niñez. Salvo la difusión de un video por parte del Plan ENIA del Ministerio de Salud, no se han detectado otras acciones tendientes a evitar este tipo de violencias en contextos de crisis como el actual.</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Medidas para prevenir y prohibir prácticas tales como la mutilación genital femenina y el matrimonio infantil, precoz y forzado.</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Argentina no posee una tradición cultural y/o religiosa asociada a prácticas tales como la mutilación genital femenin. No obstante ello, y si bien no existe una normativa específica sobre la prohibición de la mutilación genital femenina, la misma se encuentra prohíbida para todo aquel personal de la salud en tanto y en cuanto no tenga una justificación médica/científica -Art. 20 inc. 18 Ley Nº 17.032. Asimismo también surge del Código Penal -Art. 89- que este tipo de lesiones se encuentran castigadas.</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Respecto del matrimonio infantil, si bien es un capítulo poco estudiado en nuestro país, no significa que no exista. Según el último censo nacional</w:t>
      </w:r>
      <w:r w:rsidRPr="00BB4B7E">
        <w:rPr>
          <w:rFonts w:ascii="Arial" w:hAnsi="Arial" w:cs="Arial"/>
          <w:sz w:val="24"/>
          <w:szCs w:val="24"/>
          <w:vertAlign w:val="superscript"/>
        </w:rPr>
        <w:footnoteReference w:id="14"/>
      </w:r>
      <w:r w:rsidRPr="00BB4B7E">
        <w:rPr>
          <w:rFonts w:ascii="Arial" w:hAnsi="Arial" w:cs="Arial"/>
          <w:sz w:val="24"/>
          <w:szCs w:val="24"/>
        </w:rPr>
        <w:t>, hay 341.998 adolescentes de entre 14 y 19 años conviviendo en situación de pareja, ya sea unión consensual o legal. De ellos, 230.188 son jóvenes, es decir que el tercio restante corresponde a chicos y chicas de 15 años o menos. Las tres provincias donde se concentra mayor porcentaje de adolescentes de 14 a 19 años, tanto chicas como chicos que conviven son: Buenos Aires, con un 38,5 %, Santa Fe con 8,7 % y Córdoba, con un 6,1 %. No obstante ello el Código Civil y Comercial de la Nación prohíbe estas prácticas a toda persona menor de 18 años -Art. 403 inc. f-, salvo dispensa judicial o autorización de sus padres -Art. 404-.</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t xml:space="preserve">Garantías legales y de políticas contra abusos y demoras en la prestación de servicios de salud sexual y reproductiva, por ejemplo, en relación con la </w:t>
      </w:r>
      <w:r w:rsidRPr="00BB4B7E">
        <w:rPr>
          <w:rFonts w:ascii="Arial" w:hAnsi="Arial" w:cs="Arial"/>
          <w:b/>
          <w:bCs/>
          <w:sz w:val="24"/>
          <w:szCs w:val="24"/>
        </w:rPr>
        <w:lastRenderedPageBreak/>
        <w:t>confidencialidad, referencias, consentimiento informado, objeción de conciencia y requisitos relativos al consentimiento de terceros.</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El Código Civil y Comercial de la Nación establece en su Art. 26 que la persona que cuente con edad y grado de madurez suficiente puede ejercer sus derechos por sí. Asimismo presume que los adolescentes entre 13 y 16 años tienen aptitud para decidir por sí respecto de aquellos tratamientos que no resulten invasivos, ni comprometan su estado de salud o provoquen un riesgo grave en su vida o integridad física. En dicho caso, serán sus padres los que deberán asentir las decisiones. Por el contrario, a partir de los 16 años la persona es considerada un adulto en lo concerniente al cuidado de su propio cuerpo.</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De acuerdo con el fallo F.A.L y el Protocolo ILE nacional, para acceder a la interrupción legal del embarazo no se requiere de denuncia policial, como así tampoco el personal de salud debe indagar acerca de la veracidad de los dichos de la persona que solicita los servicios de salud. Alcanza con la firma de un consentimiento informado, aún cuando personal de salud pueda presumir que el embarazo no fue producto de una violación.</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La objeción de conciencia es un derecho para el personal sanitario, sin embargo ello no opera para las instituciones, quienes a través de su director médico deberán garantizarlo.</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Respecto de la confidencialidad y el consentimiento a través de terceros, la Ley Nº 26.529 y su Decreto Reglamentario Nº 1089/12 es muy clara. Respecto de la confidencialidad le otorga rango de derecho para el paciente en su Art. 2 inc. d, aclarando que toda persona que participe en la elaboración o manipulación de la documentación clínica, o bien tenga acceso al contenido de la misma, debe guardar la debida reserva, salvo expresa disposición en contrario emanada de autoridad judicial competente o autorización del propio paciente. Con relación al consentimiento por representación el Decreto 1089/12 establece que habrá consentimiento por representación cuando el paciente no sea capaz de tomar decisiones según criterio del profesional tratante, o cuando su estado físico o psíquico no le permita hacerse cargo de su situación, y no haya designado persona alguna para hacerlo; en cuyo supuesto, la información pertinente al tratamiento aplicable a su dolencia y sus resultados se dará según el orden de prelación referido anteriormente para tales fines. También operará este consentimiento por representación en el caso de los pacientes incapacitados legalmente o de menores de edad que no son capaces intelectual o emocionalmente de comprender los alcances de la práctica a autorizar. Cuando los mismos puedan comprender tales alcances, se escuchará su opinión, sin perjuicio de suministrarle la información a las personas legalmente habilitadas, para la toma de decisión correspondiente. Para este consentimiento deberán tenerse en cuenta las circunstancias y necesidades a atender, a favor del paciente, respetando su dignidad personal, y promoviendo su participación en la toma de decisiones a lo largo de ese proceso, según su competencia y discernimiento.</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spacing w:after="0"/>
        <w:ind w:left="0"/>
        <w:jc w:val="both"/>
        <w:rPr>
          <w:rFonts w:ascii="Arial" w:hAnsi="Arial" w:cs="Arial"/>
          <w:b/>
          <w:bCs/>
          <w:sz w:val="24"/>
          <w:szCs w:val="24"/>
        </w:rPr>
      </w:pPr>
      <w:r w:rsidRPr="00BB4B7E">
        <w:rPr>
          <w:rFonts w:ascii="Arial" w:hAnsi="Arial" w:cs="Arial"/>
          <w:b/>
          <w:bCs/>
          <w:sz w:val="24"/>
          <w:szCs w:val="24"/>
        </w:rPr>
        <w:lastRenderedPageBreak/>
        <w:t>La asequibilidad de los servicios de salud sexual y reproductiva especialmente en relación con mujeres y niñas en situaciones de vulnerabilidad:</w:t>
      </w:r>
    </w:p>
    <w:p w:rsidR="003D7FF4" w:rsidRPr="00BB4B7E" w:rsidRDefault="003D7FF4">
      <w:pPr>
        <w:pBdr>
          <w:top w:val="nil"/>
          <w:left w:val="nil"/>
          <w:bottom w:val="nil"/>
          <w:right w:val="nil"/>
          <w:between w:val="nil"/>
        </w:pBdr>
        <w:spacing w:after="0"/>
        <w:ind w:left="1440"/>
        <w:jc w:val="both"/>
        <w:rPr>
          <w:rFonts w:ascii="Arial" w:hAnsi="Arial" w:cs="Arial"/>
          <w:sz w:val="24"/>
          <w:szCs w:val="24"/>
        </w:rPr>
      </w:pP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Desde el año 2017 la máxima autoridad sanitaria nacional ha jerarquizado el área de salud sexual y reproductiva otorgándole el rango de “dirección”, esto permitió, entre otras cosas, la actualización del Protocolo de Interrupción Legal del Embarazo –ILE-, la incorporación de los ODS al Primer Plan de Igualdad y Oportunidades y Derechos y el Plan Nacional de Prevención del Embarazo no Intencional en la Adolescencia.</w:t>
      </w:r>
    </w:p>
    <w:p w:rsidR="003D7FF4" w:rsidRPr="00BB4B7E" w:rsidRDefault="007F54DF">
      <w:pPr>
        <w:pBdr>
          <w:top w:val="nil"/>
          <w:left w:val="nil"/>
          <w:bottom w:val="nil"/>
          <w:right w:val="nil"/>
          <w:between w:val="nil"/>
        </w:pBdr>
        <w:spacing w:after="0"/>
        <w:jc w:val="both"/>
        <w:rPr>
          <w:rFonts w:ascii="Arial" w:hAnsi="Arial" w:cs="Arial"/>
          <w:sz w:val="24"/>
          <w:szCs w:val="24"/>
        </w:rPr>
      </w:pPr>
      <w:r w:rsidRPr="00BB4B7E">
        <w:rPr>
          <w:rFonts w:ascii="Arial" w:hAnsi="Arial" w:cs="Arial"/>
          <w:sz w:val="24"/>
          <w:szCs w:val="24"/>
        </w:rPr>
        <w:t>Actualmente y con motivo de la pandemia por COVID 19 se ha reconocido a los servicios de salud sexual y reproductiva como un servicio esencial. Sin embargo, persisten obstáculos para el acceso de adolescentes, mujeres y personas LGBTIQ+ a estos servicios, incluidos la hormonización, la ILE e información sobre derechos sexuales y reproductivos. Algunas organizaciones de la sociedad civil</w:t>
      </w:r>
      <w:r w:rsidRPr="00BB4B7E">
        <w:rPr>
          <w:rFonts w:ascii="Arial" w:hAnsi="Arial" w:cs="Arial"/>
          <w:sz w:val="24"/>
          <w:szCs w:val="24"/>
          <w:vertAlign w:val="superscript"/>
        </w:rPr>
        <w:footnoteReference w:id="15"/>
      </w:r>
      <w:r w:rsidRPr="00BB4B7E">
        <w:rPr>
          <w:rFonts w:ascii="Arial" w:hAnsi="Arial" w:cs="Arial"/>
          <w:sz w:val="24"/>
          <w:szCs w:val="24"/>
        </w:rPr>
        <w:t xml:space="preserve"> han detectado la vulneración de derechos de niñas y adolescentes que requieren métodos anticonceptivos o ILE. Del mismo modo sigue siendo una deuda pendiente la legalización y despenalización del aborto, que impacta en la mortalidad materna.</w:t>
      </w:r>
    </w:p>
    <w:p w:rsidR="003D7FF4" w:rsidRPr="00BB4B7E" w:rsidRDefault="003D7FF4">
      <w:pPr>
        <w:pBdr>
          <w:top w:val="nil"/>
          <w:left w:val="nil"/>
          <w:bottom w:val="nil"/>
          <w:right w:val="nil"/>
          <w:between w:val="nil"/>
        </w:pBdr>
        <w:spacing w:after="0"/>
        <w:jc w:val="both"/>
        <w:rPr>
          <w:rFonts w:ascii="Arial" w:hAnsi="Arial" w:cs="Arial"/>
          <w:sz w:val="24"/>
          <w:szCs w:val="24"/>
        </w:rPr>
      </w:pPr>
    </w:p>
    <w:p w:rsidR="003D7FF4" w:rsidRPr="00BB4B7E" w:rsidRDefault="007F54DF">
      <w:pPr>
        <w:numPr>
          <w:ilvl w:val="0"/>
          <w:numId w:val="1"/>
        </w:numPr>
        <w:pBdr>
          <w:top w:val="nil"/>
          <w:left w:val="nil"/>
          <w:bottom w:val="nil"/>
          <w:right w:val="nil"/>
          <w:between w:val="nil"/>
        </w:pBdr>
        <w:ind w:left="0"/>
        <w:jc w:val="both"/>
        <w:rPr>
          <w:rFonts w:ascii="Arial" w:hAnsi="Arial" w:cs="Arial"/>
          <w:b/>
          <w:bCs/>
          <w:sz w:val="24"/>
          <w:szCs w:val="24"/>
        </w:rPr>
      </w:pPr>
      <w:r w:rsidRPr="00BB4B7E">
        <w:rPr>
          <w:rFonts w:ascii="Arial" w:hAnsi="Arial" w:cs="Arial"/>
          <w:b/>
          <w:bCs/>
          <w:sz w:val="24"/>
          <w:szCs w:val="24"/>
        </w:rPr>
        <w:t>Cualquier información pertinente que pueda afectar la disponibilidad, accesibilidad, asequibilidad, aceptabilidad y calidad de la información y los servicios de salud sexual y reproductiva:</w:t>
      </w:r>
    </w:p>
    <w:p w:rsidR="003D7FF4" w:rsidRPr="00BB4B7E" w:rsidRDefault="007F54DF">
      <w:pPr>
        <w:pBdr>
          <w:top w:val="nil"/>
          <w:left w:val="nil"/>
          <w:bottom w:val="nil"/>
          <w:right w:val="nil"/>
          <w:between w:val="nil"/>
        </w:pBdr>
        <w:jc w:val="both"/>
        <w:rPr>
          <w:rFonts w:ascii="Arial" w:hAnsi="Arial" w:cs="Arial"/>
          <w:sz w:val="24"/>
          <w:szCs w:val="24"/>
        </w:rPr>
      </w:pPr>
      <w:r w:rsidRPr="00BB4B7E">
        <w:rPr>
          <w:rFonts w:ascii="Arial" w:hAnsi="Arial" w:cs="Arial"/>
          <w:sz w:val="24"/>
          <w:szCs w:val="24"/>
        </w:rPr>
        <w:t>De acuerdo con datos de la Primera Encuesta sobre Salud Sexual y Reproductiva (ENSSyR, 2013</w:t>
      </w:r>
      <w:r w:rsidRPr="00BB4B7E">
        <w:rPr>
          <w:rFonts w:ascii="Arial" w:hAnsi="Arial" w:cs="Arial"/>
          <w:sz w:val="24"/>
          <w:szCs w:val="24"/>
          <w:vertAlign w:val="superscript"/>
        </w:rPr>
        <w:footnoteReference w:id="16"/>
      </w:r>
      <w:r w:rsidRPr="00BB4B7E">
        <w:rPr>
          <w:rFonts w:ascii="Arial" w:hAnsi="Arial" w:cs="Arial"/>
          <w:sz w:val="24"/>
          <w:szCs w:val="24"/>
        </w:rPr>
        <w:t>), un 90% de las mujeres de 14 a 19 años y un 87% de los hombres de esas edades utilizaron algún método anticonceptivo en su primera relación sexual (una proporción 20 puntos porcentuales más alta que en el promedio de la muestra que cubría población general). La misma proporción entre las mujeres dice utilizar algún método anticonceptivo en la actualidad, mientras entre los varones el uso actual crece al 98%. Los principales métodos utilizados, tanto por mujeres como por varones, son el hormonal y el de barrera (57% de las mujeres y el 63% de los hombres utiliza métodos hormonales; el 42% de las mujeres y el 36% de los hombres métodos de barrera). Solamente el 43% de las mujeres y 28% de los varones adolescentes tienen acceso gratuito a los métodos anticonceptivos que utilizan. La evidencia disponible muestra que una gran parte de los embarazos en la adolescencia son no planificados: el 60,8% de los registrados en 2013 en el Sistema Informático Perinatal, según el informe de gestión 2015 elaborado por el Ministerio de Salud de la Nación.</w:t>
      </w:r>
    </w:p>
    <w:p w:rsidR="003D7FF4" w:rsidRPr="00BB4B7E" w:rsidRDefault="007F54DF">
      <w:pPr>
        <w:pBdr>
          <w:top w:val="nil"/>
          <w:left w:val="nil"/>
          <w:bottom w:val="nil"/>
          <w:right w:val="nil"/>
          <w:between w:val="nil"/>
        </w:pBdr>
        <w:jc w:val="both"/>
        <w:rPr>
          <w:rFonts w:ascii="Arial" w:hAnsi="Arial" w:cs="Arial"/>
          <w:sz w:val="24"/>
          <w:szCs w:val="24"/>
        </w:rPr>
      </w:pPr>
      <w:r w:rsidRPr="00BB4B7E">
        <w:rPr>
          <w:rFonts w:ascii="Arial" w:hAnsi="Arial" w:cs="Arial"/>
          <w:sz w:val="24"/>
          <w:szCs w:val="24"/>
        </w:rPr>
        <w:t>De acuerdo con  un informe de UNICEF</w:t>
      </w:r>
      <w:r w:rsidRPr="00BB4B7E">
        <w:rPr>
          <w:rFonts w:ascii="Arial" w:hAnsi="Arial" w:cs="Arial"/>
          <w:sz w:val="24"/>
          <w:szCs w:val="24"/>
          <w:vertAlign w:val="superscript"/>
        </w:rPr>
        <w:footnoteReference w:id="17"/>
      </w:r>
      <w:r w:rsidRPr="00BB4B7E">
        <w:rPr>
          <w:rFonts w:ascii="Arial" w:hAnsi="Arial" w:cs="Arial"/>
          <w:sz w:val="24"/>
          <w:szCs w:val="24"/>
        </w:rPr>
        <w:t xml:space="preserve">, la fragmentación y la segmentación del sistema de salud han complicado la regulación de la atención perinatal pública. En el año 2000, Argentina asumió el compromiso de reducir para 2015 la tasa de mortalidad de las mujeres durante el embarazo, parto y puerperio en dos tercios (1,4 </w:t>
      </w:r>
      <w:r w:rsidRPr="00BB4B7E">
        <w:rPr>
          <w:rFonts w:ascii="Arial" w:hAnsi="Arial" w:cs="Arial"/>
          <w:sz w:val="24"/>
          <w:szCs w:val="24"/>
        </w:rPr>
        <w:lastRenderedPageBreak/>
        <w:t>por 10.000 nacidos vivos) y la desigualdad entre las provincias en un 20%. La situación en las distintas jurisdicciones es desigual. Hay provincias que presentan valores muy por encima de la media nacional, como La Rioja (15,9 por 10.000 nacidos vivos), Formosa (9,6 por 10.000 nacidos vivos) y Salta y Santa Cruz (8,1 por 10.000 nacidos vivos). Entre los factores que inciden en estas muertes se observa, en el largo plazo, un descenso de las defunciones asociadas con abortos y de otras causas directas, y un incremento de la influencia de las causas indirectas. Entre las causas se encuentran las deficiencias en asistencia sanitaria de la madre, el saneamiento, la nutrición y las condiciones socioeconómicas. Un punto fundamental para comprender estas muertes es la dificultad de acceso a los centros de salud y las condiciones de infraestructura, así como las posibilidades de traslados. De acuerdo con algunos estudios, a esto se suman los problemas derivados del tiempo que algunas familias demoran en acercarse a los centros de salud. Los problemas relativos a la accesibilidad son de múltiple causalidad e interdependientes, por lo que dificultan la atención oportuna.</w:t>
      </w:r>
    </w:p>
    <w:p w:rsidR="003D7FF4" w:rsidRPr="00BB4B7E" w:rsidRDefault="007F54DF">
      <w:pPr>
        <w:pBdr>
          <w:top w:val="nil"/>
          <w:left w:val="nil"/>
          <w:bottom w:val="nil"/>
          <w:right w:val="nil"/>
          <w:between w:val="nil"/>
        </w:pBdr>
        <w:jc w:val="both"/>
        <w:rPr>
          <w:rFonts w:ascii="Arial" w:hAnsi="Arial" w:cs="Arial"/>
          <w:b/>
          <w:bCs/>
          <w:sz w:val="24"/>
          <w:szCs w:val="24"/>
          <w:u w:val="single"/>
        </w:rPr>
      </w:pPr>
      <w:r w:rsidRPr="00BB4B7E">
        <w:rPr>
          <w:rFonts w:ascii="Arial" w:hAnsi="Arial" w:cs="Arial"/>
          <w:b/>
          <w:bCs/>
          <w:sz w:val="24"/>
          <w:szCs w:val="24"/>
          <w:u w:val="single"/>
        </w:rPr>
        <w:t>Experiencias de crisis</w:t>
      </w: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5. Sírvase enumerar las situaciones de crisis experimentadas por su Estado en los últimos cinco años.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En el quinquenio 2015/2020 las crisis significativas que dieron lugar al deterioro del entramado social, caracterizado por el crecimiento de la pobreza e indigencia, y por ende generando desigualdad, tienen su principio en las crisis económicas que derivan en la necesidad de brindar asistencia del Estado a sectores desfavorecidos. </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Es así que las reservas de dólares son para una economía como la de Argentina de suma importancia. Suponen una herramienta de política monetaria vital para evitar la devaluación de su moneda, el peso argentino, y para sostener los compromisos asumidos internacionalmente.</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La posición de Argentina, ésta insuficiencia de moneda extranjera, se ha visto agravada por la salida de capitales del país. Los argentinos saben bien lo que eso significa: en pocos países existe un vínculo tan directo entre devaluación e inflación y entre inflación y pobreza.</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La economía argentina se contrajo un 5,8% en el primer trimestre de 2019, después de haber retrocedido un 2,5% el año 2018,  período en el cual 3 millones de personas cayeron en la pobreza.</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Los índices informados por el Instituto Nacional de Estadísticas y Censos (INDEC), </w:t>
      </w:r>
      <w:hyperlink r:id="rId8" w:history="1">
        <w:r w:rsidR="004623BA" w:rsidRPr="00BB4B7E">
          <w:rPr>
            <w:rStyle w:val="Hipervnculo"/>
            <w:rFonts w:ascii="Arial" w:hAnsi="Arial" w:cs="Arial"/>
            <w:sz w:val="24"/>
            <w:szCs w:val="24"/>
          </w:rPr>
          <w:t>www.indec.gob.ar</w:t>
        </w:r>
      </w:hyperlink>
      <w:r w:rsidR="004623BA" w:rsidRPr="00BB4B7E">
        <w:rPr>
          <w:rFonts w:ascii="Arial" w:hAnsi="Arial" w:cs="Arial"/>
          <w:sz w:val="24"/>
          <w:szCs w:val="24"/>
        </w:rPr>
        <w:t xml:space="preserve">, </w:t>
      </w:r>
      <w:r w:rsidRPr="00BB4B7E">
        <w:rPr>
          <w:rFonts w:ascii="Arial" w:hAnsi="Arial" w:cs="Arial"/>
          <w:sz w:val="24"/>
          <w:szCs w:val="24"/>
        </w:rPr>
        <w:t>señalan una población estimada para 2020 de 45.376.763, millones de personas, con una tasa de desocupación del 10,4% para el primer trimestre del año en curso.</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Son estas cuestiones las que determinan el dictado de normas llamadas de ‘emergencia’ para distintos sectores, así la ley 27.541, declara la emergencia pública en materia económica, financiera, fiscal, administrativa, previsional, tarifaria, energética, sanitaria y social, delegándose en el Poder Ejecutivo Nacional las facultades que indica la normas, ello se produjo el 23 de diciembre de 2019.</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En el mes de marzo de 2020, ante la declaración de la Pandemia por parte de la OMS en relación con el COVID-19, se dictaron decretos de necesidad y urgencia, </w:t>
      </w:r>
      <w:r w:rsidRPr="00BB4B7E">
        <w:rPr>
          <w:rFonts w:ascii="Arial" w:hAnsi="Arial" w:cs="Arial"/>
          <w:sz w:val="24"/>
          <w:szCs w:val="24"/>
        </w:rPr>
        <w:lastRenderedPageBreak/>
        <w:t>previstos por la Constitución Nacional, artículo 99, facultad del titular del Ejecutivo, que a posteriori deben ser ratificados por el Congreso de la Nación. Por su parte el DNU 260/2020, amplía el alcance de la ley de emergencia, su par el 297/2020 prohibió el ingreso al país de personas al país de personas no residentes, por el plazo de 15 días.</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Luego con el dictado del decreto 297/2020, con el fin de proteger la salud pública, tenida como obligación inalienable del Estado Nacional, estableció para todas las personas que habitan en el país o que se encontrasen en el temporariamente, el ‘aislamiento social, preventivo y obligatorio’ ASPO, que rigió, en principio hasta el 31 de marzo de este año, pudiéndose prorrogar por el tiempo que se considerase necesario en atención a la situación epidemiológica, facultad que se utilizó en varias ocasiones, a partir del vencimiento de dicho plazo.</w:t>
      </w:r>
      <w:r w:rsidR="004623BA" w:rsidRPr="00BB4B7E">
        <w:rPr>
          <w:rFonts w:ascii="Arial" w:hAnsi="Arial" w:cs="Arial"/>
          <w:sz w:val="24"/>
          <w:szCs w:val="24"/>
        </w:rPr>
        <w:t xml:space="preserve"> </w:t>
      </w:r>
      <w:hyperlink r:id="rId9" w:history="1">
        <w:r w:rsidR="00C460B8" w:rsidRPr="00BB4B7E">
          <w:rPr>
            <w:rStyle w:val="Hipervnculo"/>
            <w:rFonts w:ascii="Arial" w:hAnsi="Arial" w:cs="Arial"/>
            <w:sz w:val="24"/>
            <w:szCs w:val="24"/>
          </w:rPr>
          <w:t>www.infoleg.gob.ar</w:t>
        </w:r>
      </w:hyperlink>
    </w:p>
    <w:p w:rsidR="004623BA" w:rsidRPr="00BB4B7E" w:rsidRDefault="004623BA">
      <w:pPr>
        <w:tabs>
          <w:tab w:val="left" w:pos="1035"/>
        </w:tabs>
        <w:spacing w:after="0"/>
        <w:jc w:val="both"/>
        <w:rPr>
          <w:rFonts w:ascii="Arial" w:hAnsi="Arial" w:cs="Arial"/>
          <w:sz w:val="24"/>
          <w:szCs w:val="24"/>
        </w:rPr>
      </w:pPr>
    </w:p>
    <w:p w:rsidR="003D7FF4" w:rsidRPr="00BB4B7E" w:rsidRDefault="003D7FF4">
      <w:pPr>
        <w:tabs>
          <w:tab w:val="left" w:pos="1035"/>
        </w:tabs>
        <w:spacing w:after="0"/>
        <w:jc w:val="both"/>
        <w:rPr>
          <w:rFonts w:ascii="Arial" w:hAnsi="Arial" w:cs="Arial"/>
          <w:sz w:val="24"/>
          <w:szCs w:val="24"/>
        </w:rPr>
      </w:pPr>
    </w:p>
    <w:p w:rsidR="003D7FF4" w:rsidRPr="00BB4B7E" w:rsidRDefault="004623BA">
      <w:pPr>
        <w:tabs>
          <w:tab w:val="left" w:pos="1035"/>
        </w:tabs>
        <w:spacing w:after="0"/>
        <w:jc w:val="both"/>
        <w:rPr>
          <w:rFonts w:ascii="Arial" w:hAnsi="Arial" w:cs="Arial"/>
          <w:sz w:val="24"/>
          <w:szCs w:val="24"/>
        </w:rPr>
      </w:pPr>
      <w:r w:rsidRPr="00BB4B7E">
        <w:rPr>
          <w:rFonts w:ascii="Arial" w:hAnsi="Arial" w:cs="Arial"/>
          <w:b/>
          <w:bCs/>
          <w:sz w:val="24"/>
          <w:szCs w:val="24"/>
        </w:rPr>
        <w:t>6</w:t>
      </w:r>
      <w:r w:rsidR="007F54DF" w:rsidRPr="00BB4B7E">
        <w:rPr>
          <w:rFonts w:ascii="Arial" w:hAnsi="Arial" w:cs="Arial"/>
          <w:b/>
          <w:bCs/>
          <w:sz w:val="24"/>
          <w:szCs w:val="24"/>
        </w:rPr>
        <w:t>. ¿Cuál fue el impacto de esas crisis en las mujeres y las niñas? Sírvase proporcionar información en particular sobre los siguientes aspectos: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El impacto se observa sobre la población en general, dado que la imposibilidad de cumplir con actividades habituales, trabajo, estudio y toda otra que requiera la movilidad de las personas fue limitada fuertemente, habiéndose generado un impacto sustantivo en los grupos más vulnerables. 8 millones de niños, niñas y adolescentes pobres, cuyos derechos a la nutrición adecuada se encuentran conculcados, de estos 5 millones pasan hambre. Por lo tanto se calcula que el 45% de estos niños, niñas y adolescentes son pobres en términos de ingresos, dentro de este grupo el 10% se encuentra en situación de indigencia. El déficit de alimentación, salud y educación se profundiza en tanto deben contribuir con la  estrategia de supervivencia familiar</w:t>
      </w:r>
      <w:r w:rsidR="004623BA" w:rsidRPr="00BB4B7E">
        <w:rPr>
          <w:rFonts w:ascii="Arial" w:hAnsi="Arial" w:cs="Arial"/>
          <w:sz w:val="24"/>
          <w:szCs w:val="24"/>
        </w:rPr>
        <w:t xml:space="preserve"> </w:t>
      </w:r>
      <w:hyperlink r:id="rId10" w:history="1">
        <w:r w:rsidR="004623BA" w:rsidRPr="00BB4B7E">
          <w:rPr>
            <w:rStyle w:val="Hipervnculo"/>
            <w:rFonts w:ascii="Arial" w:hAnsi="Arial" w:cs="Arial"/>
            <w:sz w:val="24"/>
            <w:szCs w:val="24"/>
          </w:rPr>
          <w:t>www.indec.gob.ar</w:t>
        </w:r>
      </w:hyperlink>
      <w:r w:rsidR="004623BA" w:rsidRPr="00BB4B7E">
        <w:rPr>
          <w:rFonts w:ascii="Arial" w:hAnsi="Arial" w:cs="Arial"/>
          <w:sz w:val="24"/>
          <w:szCs w:val="24"/>
        </w:rPr>
        <w:t xml:space="preserve"> </w:t>
      </w:r>
      <w:r w:rsidRPr="00BB4B7E">
        <w:rPr>
          <w:rFonts w:ascii="Arial" w:hAnsi="Arial" w:cs="Arial"/>
          <w:sz w:val="24"/>
          <w:szCs w:val="24"/>
        </w:rPr>
        <w:t xml:space="preserve"> </w:t>
      </w:r>
    </w:p>
    <w:p w:rsidR="003D7FF4" w:rsidRPr="00BB4B7E" w:rsidRDefault="003D7FF4">
      <w:pPr>
        <w:tabs>
          <w:tab w:val="left" w:pos="1035"/>
        </w:tabs>
        <w:spacing w:after="0"/>
        <w:ind w:left="72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Las mujeres y niñas más afectadas son las que las que se encuentran sin posibilidad de acceder al trabajo </w:t>
      </w:r>
      <w:r w:rsidR="00C460B8" w:rsidRPr="00BB4B7E">
        <w:rPr>
          <w:rFonts w:ascii="Arial" w:hAnsi="Arial" w:cs="Arial"/>
          <w:sz w:val="24"/>
          <w:szCs w:val="24"/>
        </w:rPr>
        <w:t xml:space="preserve">estable, </w:t>
      </w:r>
      <w:r w:rsidRPr="00BB4B7E">
        <w:rPr>
          <w:rFonts w:ascii="Arial" w:hAnsi="Arial" w:cs="Arial"/>
          <w:sz w:val="24"/>
          <w:szCs w:val="24"/>
        </w:rPr>
        <w:t>y nutrición adecuadas, se contempla dentro de este grupo a quienes presentan discapacidades, aquellas que tienen dificultades para acceder a la educación en general y particularmente a la vinculada con la salud sexual y reproductiva integral, los conjuntos que viven en condiciones de desigualdad, se vean afectados por los condicionantes que implica  su  ubicación  territorial, origen social, estado civil, estatus migratorio y su  condición de permanencia en el país</w:t>
      </w:r>
      <w:r w:rsidR="00C460B8" w:rsidRPr="00BB4B7E">
        <w:rPr>
          <w:rFonts w:ascii="Arial" w:hAnsi="Arial" w:cs="Arial"/>
          <w:sz w:val="24"/>
          <w:szCs w:val="24"/>
        </w:rPr>
        <w:t>, es decir a los determinantes sociales</w:t>
      </w:r>
      <w:r w:rsidRPr="00BB4B7E">
        <w:rPr>
          <w:rFonts w:ascii="Arial" w:hAnsi="Arial" w:cs="Arial"/>
          <w:sz w:val="24"/>
          <w:szCs w:val="24"/>
        </w:rPr>
        <w:t>.</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 xml:space="preserve">¿Cuál fue el impacto en su salud y derechos sexuales y reproductivos? ¿Se identificaron factores de riesgo y necesidades específicas? ¿Tiene datos y / o información cualitativa desglosados ​​por los factores enumerados en la </w:t>
      </w:r>
      <w:r w:rsidRPr="00BB4B7E">
        <w:rPr>
          <w:rFonts w:ascii="Arial" w:hAnsi="Arial" w:cs="Arial"/>
          <w:b/>
          <w:bCs/>
          <w:sz w:val="24"/>
          <w:szCs w:val="24"/>
        </w:rPr>
        <w:lastRenderedPageBreak/>
        <w:t>pregunta 6 (a)? Si no cuenta con dichos datos y/o información, sírvase explicar la razón.</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El impacto en cuanto a los derechos sexuales y reproductivos es directamente proporcional a las condiciones adversas, riesgos y vulnerabilidad de este conjunto, prueba de ello es el embarazo adolescente, la imposibilidad de realizar planificación familiar, que denota la ausencia de asistencia genuina por parte del Estado, con diversas implicancias de acuerdo con las jurisdicciones y la diversidad de posturas asumidas por cada una de estas. A tales circunstancias se agrega la falta de acceso a los servicios de salud, concurrencia tardía, la falta de prevención respecto a las enfermedades de transmisión sexual, la violencia de género intrafamiliar, la explotación y trata de personas, ello con indudable repercusión en la población joven, que marca definitivamente su desarrollo sexual y reproductivo.</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¿Cuáles fueron los principales obstáculos a los cuales se enfrentó el Estado, si los hubo, para identificar y abordar el impacto de la crisis en la salud y los derechos sexuales y reproductivos de mujeres y niñas?</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El Estado cuenta con un enorme aparato burocrático cuya complejidad atenta contra las iniciativas puntuales que puedan elaborarse para avanzar, la multiplicidad de problemas de diversa índole y origen quedan a merced de decisiones que, sin desmerecer su valor, son atrapadas en los engranajes de los escritorios, donde se requiere acción hay poco trabajo de campo, aún cuanto muy destacado, pero las iniciativas se pierden o son tan puntuales que lo logrado hoy puede quedar abandonado mañana. La falta de políticas de Estado duraderas, coherentes, como líneas directrices de la actividad gubernamental quedan atrás porque no se han consensuado previamente para darles cimientos y trazabilidad en el tiempo. Metas a corto plazo que no alcanzan a concretarse cuando ya se proponen nuevas, que posiblemente corran igual suerte.</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¿Qué medidas se adoptaron durante y después de la crisis para garantizar el acceso de las mujeres y las niñas a servicios de salud sexual y reproductiva? Sírvase indicar qué servicios de salud sexual y reproductiva se reconocen como servicios esenciales en la política o las leyes sanitarias de su Estado y se financian a través del sistema de salud. ¿Qué medidas se tomaron para garantizar la continuidad de los servicios y el acceso a dichos servicios durante la crisis?</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La legislación argentina con relación a igualdad de género, equidad y empoderamiento de las mujeres y las diversidades, es amplia, pero también es necesario que se verifiquen en la realidad para los grupos involucrados. No obstante lo cual se presentan brechas significativas entre los asuntos legislados y su posterior implementación, debido, en ocasiones a la falta de voluntad política en el acatamiento diferencial por jurisdicción o también a intereses ajenos a la salud pública que plantean los distintos actores. Las crisis antes descriptas a la que debe adicionarse la Pandemia COVID-19,  generó el dictado de  gran cantidad de </w:t>
      </w:r>
      <w:r w:rsidRPr="00BB4B7E">
        <w:rPr>
          <w:rFonts w:ascii="Arial" w:hAnsi="Arial" w:cs="Arial"/>
          <w:sz w:val="24"/>
          <w:szCs w:val="24"/>
        </w:rPr>
        <w:lastRenderedPageBreak/>
        <w:t xml:space="preserve">normas; el comienzo fue dado por la mencionada ley 27.541, dictada el 21 de diciembre de 2019, más luego una cantidad de disposiciones se adoptaron por medio del dictado de decretos de necesidad y urgencia, como fuera referido, comenzando por la ampliación de la ley 27.541, mediante el decreto 260/2020, luego se dicta el decreto 274/2020, de prohibición del ingreso al país y el también mencionado decreto 297/2020, dictando el AISLAMIENTO SOCIAL, PREVENTIVO Y OBLIGATORIO, conocido como ASPO, a las que sigue una numerosa cantidad de normas, de diversa jerarquía normativa, hasta llegar al DISTANCIAMIENTO SOCIAL, PREVENTIVO Y OBLIGATORIO, nominado DSPO </w:t>
      </w:r>
      <w:hyperlink r:id="rId11" w:history="1">
        <w:r w:rsidR="00C460B8" w:rsidRPr="00BB4B7E">
          <w:rPr>
            <w:rStyle w:val="Hipervnculo"/>
            <w:rFonts w:ascii="Arial" w:hAnsi="Arial" w:cs="Arial"/>
            <w:sz w:val="24"/>
            <w:szCs w:val="24"/>
          </w:rPr>
          <w:t>www.infoleg.gob.ar</w:t>
        </w:r>
      </w:hyperlink>
      <w:r w:rsidR="00C460B8" w:rsidRPr="00BB4B7E">
        <w:rPr>
          <w:rFonts w:ascii="Arial" w:hAnsi="Arial" w:cs="Arial"/>
          <w:sz w:val="24"/>
          <w:szCs w:val="24"/>
        </w:rPr>
        <w:t xml:space="preserve"> </w:t>
      </w:r>
      <w:r w:rsidRPr="00BB4B7E">
        <w:rPr>
          <w:rFonts w:ascii="Arial" w:hAnsi="Arial" w:cs="Arial"/>
          <w:sz w:val="24"/>
          <w:szCs w:val="24"/>
        </w:rPr>
        <w:t>.</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¿Qué otros protocolos o sistemas se implementaron para prevenir los resultados adversos en materia de salud sexual y reproductiva debido a los riesgos comunes provocados por las crisis, que incluyen, por ejemplo, la violencia de género y el matrimonio infantil? ¿Se adoptaron medidas especiales para grupos específicos de mujeres y niñas?</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Argentina cuenta con instrumentos legales para la protección de los diversos grupos, se trata de la ley 24.247, sobre protección de violencia familiar, 25.087 sobre delitos contra la integridad sexual, 25.273 sobre creación de un sistema de inasistencias justificadas por razones de gravidez, 25.543 sobre test diagnóstico de VIH para toda mujer embarazada, 25.584 sobre prohibición de acciones contra alumnas embarazadas, 25.673 sobre creación del programa nacional de salud sexual y reproductiva y procreación responsable, 25.808 sobre garantía para las alumnas embarazadas o que estén amamantando del derecho a continuar sus estudios, 26.150 sobre programa de salud sexual integral, 26.061 sobre protección integral de los derechos de las niñas, niños y  adolescentes, 26.130 sobre régimen de intervenciones de contracepción quirúrgica, 26.171 sobre aprobación del protocolo facultativo de la Convención sobre eliminación de todas las formas de discriminación contra la mujer, 26.529, sobre derechos del paciente en relación con los profesionales de la salud, 26.743 sobre identidad de género, 26.8</w:t>
      </w:r>
      <w:r w:rsidR="00C460B8" w:rsidRPr="00BB4B7E">
        <w:rPr>
          <w:rFonts w:ascii="Arial" w:hAnsi="Arial" w:cs="Arial"/>
          <w:sz w:val="24"/>
          <w:szCs w:val="24"/>
        </w:rPr>
        <w:t xml:space="preserve">62 sobre fertilización asistida </w:t>
      </w:r>
      <w:hyperlink r:id="rId12" w:history="1">
        <w:r w:rsidR="00C460B8" w:rsidRPr="00BB4B7E">
          <w:rPr>
            <w:rStyle w:val="Hipervnculo"/>
            <w:rFonts w:ascii="Arial" w:hAnsi="Arial" w:cs="Arial"/>
            <w:sz w:val="24"/>
            <w:szCs w:val="24"/>
          </w:rPr>
          <w:t>www.infoleg.gob.ar</w:t>
        </w:r>
      </w:hyperlink>
    </w:p>
    <w:p w:rsidR="00C460B8" w:rsidRPr="00BB4B7E" w:rsidRDefault="00C460B8">
      <w:pPr>
        <w:tabs>
          <w:tab w:val="left" w:pos="1035"/>
        </w:tabs>
        <w:spacing w:after="0"/>
        <w:jc w:val="both"/>
        <w:rPr>
          <w:rFonts w:ascii="Arial" w:hAnsi="Arial" w:cs="Arial"/>
          <w:sz w:val="24"/>
          <w:szCs w:val="24"/>
        </w:rPr>
      </w:pP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¿Participaron las organizaciones de derechos de las mujeres</w:t>
      </w:r>
      <w:r w:rsidR="00C460B8" w:rsidRPr="00BB4B7E">
        <w:rPr>
          <w:rFonts w:ascii="Arial" w:hAnsi="Arial" w:cs="Arial"/>
          <w:b/>
          <w:bCs/>
          <w:sz w:val="24"/>
          <w:szCs w:val="24"/>
        </w:rPr>
        <w:t xml:space="preserve"> </w:t>
      </w:r>
      <w:r w:rsidRPr="00BB4B7E">
        <w:rPr>
          <w:rFonts w:ascii="Arial" w:hAnsi="Arial" w:cs="Arial"/>
          <w:b/>
          <w:bCs/>
          <w:sz w:val="24"/>
          <w:szCs w:val="24"/>
        </w:rPr>
        <w:t xml:space="preserve">en las evaluaciones sobre necesidades e impacto y en las políticas de recuperación? Si no, sírvase indicar la razón. </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Las organizaciones no gubernamentales que en general cuentan con la posibilidad de presentar sus posturas en distintos medios, ya sea ante la opinión pública o en esferas legislativas</w:t>
      </w:r>
      <w:r w:rsidR="00C460B8" w:rsidRPr="00BB4B7E">
        <w:rPr>
          <w:rFonts w:ascii="Arial" w:hAnsi="Arial" w:cs="Arial"/>
          <w:sz w:val="24"/>
          <w:szCs w:val="24"/>
        </w:rPr>
        <w:t xml:space="preserve"> son</w:t>
      </w:r>
      <w:r w:rsidRPr="00BB4B7E">
        <w:rPr>
          <w:rFonts w:ascii="Arial" w:hAnsi="Arial" w:cs="Arial"/>
          <w:sz w:val="24"/>
          <w:szCs w:val="24"/>
        </w:rPr>
        <w:t>, entre otras, FEIM: Fundación para estudio e investigación de la mujer; FOCO: Foro ciudadano de participación por la justicia y los derechos humanos; CELS: Centro de Estudios legales y sociales; Católicos por el derecho a decidir; ELA: Equipo latinoamericano de justicia y género; Foro de los derechos reproductivos; INSGENAR: Instituto de género y desarrollo; CEDES-Argentina: Centro de Estudios de Estado y Sociedad; ADC: Asociación por derechos civiles.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lastRenderedPageBreak/>
        <w:t>¿Qué actores o instituciones jugaron un papel en la provisión de respuestas de emergencia? Sírvase describir su papel y explicar qué papeles desempeñaron - si los desempeñaron - los mecanismos nacionales de derechos de la mujer o de derechos humanos, u otros organismos similares, así como las organizaciones de la sociedad civil.</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El Ministerio de la Mujer, Género y Diversidades, elaboró recomendaciones para diversidad, personas LGBTI e identidades no binarias, en el contexto de la emergencia sanitaria COVID-19</w:t>
      </w:r>
      <w:r w:rsidR="00C460B8" w:rsidRPr="00BB4B7E">
        <w:rPr>
          <w:rFonts w:ascii="Arial" w:hAnsi="Arial" w:cs="Arial"/>
          <w:sz w:val="24"/>
          <w:szCs w:val="24"/>
        </w:rPr>
        <w:t xml:space="preserve">. </w:t>
      </w:r>
      <w:r w:rsidRPr="00BB4B7E">
        <w:rPr>
          <w:rFonts w:ascii="Arial" w:hAnsi="Arial" w:cs="Arial"/>
          <w:sz w:val="24"/>
          <w:szCs w:val="24"/>
        </w:rPr>
        <w:t xml:space="preserve"> Para su elaboración el Ministerio analizó diversas recomendaciones de organizaciones internacionales especializados en la materia y también realizó, a través del Consejo Federal, un relevamiento de medidas implementadas a nivel provincial y municipal en Argentina. Tales medidas y recomendaciones, junto con la experiencia otorgada por la ejecución de las medidas que impulsaron a nivel nacional, fueron el insumo que habría permitido elaborar  el compendio presentado, en el contexto de la emergencia sanitaria. En tal sentido sólo se enunciarán los títulos de las Medidas Recomendadas: 1.- para la prevención y protección de las personas en situación de violencia por motivos de género durante la emergencia sanitaria; 2.-en materia de organización del cuidado; 3.- asistencia social, alimentaria y sanitaria para población travesti-trans y mujeres en situación de violencia por motivos de género. 4.- en materia de comunicación y acceso  a la información; 5.- Documentos elaborados por organizaciones de la sociedad civil y  organismos internacionales con competencia en la materia: Amnistía Internacional-Argentina: ‘Un decálogo de los derechos humanos en tiempos de crisis’; CEPAL: ‘La pandemia del COVID-19 profundiza la crisis de los cuidados en América Latina y el Caribe’; CIDH: ‘La CIDH hace un llamado a los Estados a incorporar la perspectiva de género en la respuesta  a la pandemia del COVID-19 y a combatir la violencia sexual e intrafamiliar en este contexto’; CIPPEC: ‘La oportunidad de la emergencia del COVID-19’; ELA: ‘Decálogo para abordar las violencias hacia las mujeres en épocas de aislamiento social; Fondo de Población para Naciones Unidas-UNPFA: ‘Un enfoque de género. Proteger </w:t>
      </w:r>
      <w:r w:rsidR="00BB4B7E" w:rsidRPr="00BB4B7E">
        <w:rPr>
          <w:rFonts w:ascii="Arial" w:hAnsi="Arial" w:cs="Arial"/>
          <w:sz w:val="24"/>
          <w:szCs w:val="24"/>
        </w:rPr>
        <w:t>la salud</w:t>
      </w:r>
      <w:r w:rsidRPr="00BB4B7E">
        <w:rPr>
          <w:rFonts w:ascii="Arial" w:hAnsi="Arial" w:cs="Arial"/>
          <w:sz w:val="24"/>
          <w:szCs w:val="24"/>
        </w:rPr>
        <w:t xml:space="preserve"> y los derechos sexuales y reproductivos y promover la  igualdad de género’;  ONU-Mujeres: ‘En la mira: la igualdad de género importa en la respuesta al COVID-19’. Con fecha 18 de julio de 2020 se publica en el Boletín Oficial el decreto 680/2020, mediante el que se crea el Gabinete Nacional para la transversalidad de las políticas de género cuya finalidad será </w:t>
      </w:r>
      <w:r w:rsidR="00BB4B7E" w:rsidRPr="00BB4B7E">
        <w:rPr>
          <w:rFonts w:ascii="Arial" w:hAnsi="Arial" w:cs="Arial"/>
          <w:sz w:val="24"/>
          <w:szCs w:val="24"/>
        </w:rPr>
        <w:t>garantizar la</w:t>
      </w:r>
      <w:r w:rsidRPr="00BB4B7E">
        <w:rPr>
          <w:rFonts w:ascii="Arial" w:hAnsi="Arial" w:cs="Arial"/>
          <w:sz w:val="24"/>
          <w:szCs w:val="24"/>
        </w:rPr>
        <w:t xml:space="preserve"> incorporación de la perspectiva de género en el diseño e implementación de las políticas públicas nacionales.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¿Cómo se financiaron las respuestas de emergencia y en qué medida se basaron en ayuda o asistencia extranjera, si hubo alguna? Sírvase indicar también cómo en su Estado se garantiza una financiación adecuada de la salud sexual y reproductiva de las mujeres de manera más general de forma continua.</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El decreto de necesidad y urgencia 260/2020, que amplía la emergencia sanitaria dispuesta por ley 27.541, en el artículo 23, establece que el Jefe de Gabinete de Ministros tendrá a su cargo la reasignación de partidas presupuestarias para la </w:t>
      </w:r>
      <w:r w:rsidRPr="00BB4B7E">
        <w:rPr>
          <w:rFonts w:ascii="Arial" w:hAnsi="Arial" w:cs="Arial"/>
          <w:sz w:val="24"/>
          <w:szCs w:val="24"/>
        </w:rPr>
        <w:lastRenderedPageBreak/>
        <w:t>implementación del decreto; por decreto 387/2020 se aprobó el modelo de contrato de préstamo BIRF a celebrarse con el Banco Internacional de Reconstrucción y Fomento destinado a financiar en emergencia para la prevención y manejo de la emergencia por COVID-19, en la República Argentina. Mediante el decreto 352/2020, crea el Programa para la Emergencia Financiera Provincial, para asistir financieramente a las provincias mediante asignación de recursos provenientes del Fondo de Aportes del Tesoro nacional y otros.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4"/>
        </w:numPr>
        <w:tabs>
          <w:tab w:val="left" w:pos="1035"/>
        </w:tabs>
        <w:spacing w:after="0"/>
        <w:ind w:left="0"/>
        <w:jc w:val="both"/>
        <w:rPr>
          <w:rFonts w:ascii="Arial" w:hAnsi="Arial" w:cs="Arial"/>
          <w:b/>
          <w:bCs/>
          <w:sz w:val="24"/>
          <w:szCs w:val="24"/>
        </w:rPr>
      </w:pPr>
      <w:r w:rsidRPr="00BB4B7E">
        <w:rPr>
          <w:rFonts w:ascii="Arial" w:hAnsi="Arial" w:cs="Arial"/>
          <w:b/>
          <w:bCs/>
          <w:sz w:val="24"/>
          <w:szCs w:val="24"/>
        </w:rPr>
        <w:t>¿Qué obstáculos han encontrado las organizaciones de la sociedad civil en sus esfuerzos por brindar servicios sexuales y reproductivos?</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Argentina, pese a los avances realizados en el dictado de legislación sobre temas vinculados con la prestación de servicios sexuales y reproductivos, presenta aún disidencias entre las jurisdicciones para su implementación, los estados provinciales por mandato constitucional reservaron para sí las cuestiones relativas a salud y educación, ello de acuerdo con el artículo 121 del texto constitucional.</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7. ¿Se pudo identificar alguna lección aprendida? Sírvase indicar si y cómo se han aplicado estas lecciones en las estrategias de preparación o en situaciones posteriores de crisis.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La identificación de lecciones aprendidas, en esta instancia, cuando aún se encuentra vigente el distanciamiento s</w:t>
      </w:r>
      <w:r w:rsidR="00C460B8" w:rsidRPr="00BB4B7E">
        <w:rPr>
          <w:rFonts w:ascii="Arial" w:hAnsi="Arial" w:cs="Arial"/>
          <w:sz w:val="24"/>
          <w:szCs w:val="24"/>
        </w:rPr>
        <w:t>ocial, preventivo y obligatorio, d</w:t>
      </w:r>
      <w:r w:rsidRPr="00BB4B7E">
        <w:rPr>
          <w:rFonts w:ascii="Arial" w:hAnsi="Arial" w:cs="Arial"/>
          <w:sz w:val="24"/>
          <w:szCs w:val="24"/>
        </w:rPr>
        <w:t>ec</w:t>
      </w:r>
      <w:r w:rsidR="00C460B8" w:rsidRPr="00BB4B7E">
        <w:rPr>
          <w:rFonts w:ascii="Arial" w:hAnsi="Arial" w:cs="Arial"/>
          <w:sz w:val="24"/>
          <w:szCs w:val="24"/>
        </w:rPr>
        <w:t xml:space="preserve">reto </w:t>
      </w:r>
      <w:r w:rsidRPr="00BB4B7E">
        <w:rPr>
          <w:rFonts w:ascii="Arial" w:hAnsi="Arial" w:cs="Arial"/>
          <w:sz w:val="24"/>
          <w:szCs w:val="24"/>
        </w:rPr>
        <w:t xml:space="preserve"> 677/2020</w:t>
      </w:r>
      <w:r w:rsidR="00C460B8" w:rsidRPr="00BB4B7E">
        <w:rPr>
          <w:rFonts w:ascii="Arial" w:hAnsi="Arial" w:cs="Arial"/>
          <w:sz w:val="24"/>
          <w:szCs w:val="24"/>
        </w:rPr>
        <w:t xml:space="preserve">, </w:t>
      </w:r>
      <w:r w:rsidRPr="00BB4B7E">
        <w:rPr>
          <w:rFonts w:ascii="Arial" w:hAnsi="Arial" w:cs="Arial"/>
          <w:sz w:val="24"/>
          <w:szCs w:val="24"/>
        </w:rPr>
        <w:t xml:space="preserve"> mediante el que se ratifica que ‘ las medias adoptadas por el Estado Nacional desde la ampliación de la emergencia pública en materia sanitaria, realizada mediante el decreto 260/2020, se encuentran en consonancia  con lo  reflejado por la Corte Interamericana de Derechos Humanos en su Declaración N° 1/2020 denominada ‘COVID-10 y Derechos Humanos: Los problemas y desafíos deben ser abordados con perspectiva de derechos humanos y respetando las obligaciones internacionales’, del 9 de abril pasado, en cuanto a la consideración de que las medidas que puedan afectar o restringir el goce y ejercicio de los derechos deben ser limitadas temporalmente, legales, ajustadas a los objetivos definidos conforme a criterios científicos, razonables, estrictamente necesarias y proporcionales y acorde con los demás requisitos desarrollados en el derecho interamericano de los derechos humanos, se advierte algo prematura. Sin perjuicio de lo cual y sin que ello implique un juicio de valor, la garantía de ingreso a personas en situación de vulnerabilidad (IFE), permiten advertir impactos diferenciados según la situación de empleo (formal o informal), aumento de la mortalidad por diversas causas, entre las que se verifica la falta de acceso oportuno para la atención de patologías principalmente crónicas,  lento comienzo de la recuperación económica, acompañada por la informalidad, la pobreza y la desigualdad, necesidad de contar con redes de contención y protección a largo plazo, fortalecimiento de y ampliación de los programas de empleo y programas de emprendimiento, capacitación y educación profesional, inversión en el sector salud, equipamiento, telemedicina, recetas electrónicas, educación a distancia, ampliación del mercado electrónico, pruebas diagnósticas más rápidas, avance de la </w:t>
      </w:r>
      <w:r w:rsidRPr="00BB4B7E">
        <w:rPr>
          <w:rFonts w:ascii="Arial" w:hAnsi="Arial" w:cs="Arial"/>
          <w:sz w:val="24"/>
          <w:szCs w:val="24"/>
        </w:rPr>
        <w:lastRenderedPageBreak/>
        <w:t xml:space="preserve">biotecnología, aceleración de las investigaciones científicas (vacunas, </w:t>
      </w:r>
      <w:r w:rsidR="00F814D0" w:rsidRPr="00BB4B7E">
        <w:rPr>
          <w:rFonts w:ascii="Arial" w:hAnsi="Arial" w:cs="Arial"/>
          <w:sz w:val="24"/>
          <w:szCs w:val="24"/>
        </w:rPr>
        <w:t xml:space="preserve">métodos </w:t>
      </w:r>
      <w:r w:rsidRPr="00BB4B7E">
        <w:rPr>
          <w:rFonts w:ascii="Arial" w:hAnsi="Arial" w:cs="Arial"/>
          <w:sz w:val="24"/>
          <w:szCs w:val="24"/>
        </w:rPr>
        <w:t>diagnósticos), ampliación de la red de laboratorios públicos y privados, avance de la  inteligencia artificial en países de la región, mayor cuidado del medio ambiente, avance de la comunicación remota en tiempo de aislamiento. Finalmente, se destaca que lo sucedido señaló la falta de profesionales y asistentes del ámbito de la salud para atender la creciente necesidad de actuar, particularmente en las UTI’S, es decir personal especializado en terapia intensiva, preparación que requiere mucho tiempo de preparación para realizar la tarea.</w:t>
      </w:r>
    </w:p>
    <w:p w:rsidR="003D7FF4" w:rsidRPr="00BB4B7E" w:rsidRDefault="003D7FF4">
      <w:pPr>
        <w:tabs>
          <w:tab w:val="left" w:pos="1035"/>
        </w:tabs>
        <w:spacing w:after="0"/>
        <w:ind w:left="720"/>
        <w:jc w:val="both"/>
        <w:rPr>
          <w:rFonts w:ascii="Arial" w:hAnsi="Arial" w:cs="Arial"/>
          <w:sz w:val="24"/>
          <w:szCs w:val="24"/>
        </w:rPr>
      </w:pP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8. Si su Estado tiene programas de ayuda humanitaria, sírvase indicar si la salud y los derechos sexuales y reproductivos están explícitamente incluidos en la estrategia de ayuda humanitaria y cómo se establecen las prioridades en relación con la salud y los derechos sexuales y reproductivos.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Los derechos sexuales y los derechos reproductivos están protegidos por la Constitución Nacional, los Tratados Internacionales de Derechos Humanos y por Leyes Nacionales. Asimismo</w:t>
      </w:r>
      <w:r w:rsidR="00F814D0" w:rsidRPr="00BB4B7E">
        <w:rPr>
          <w:rFonts w:ascii="Arial" w:hAnsi="Arial" w:cs="Arial"/>
          <w:sz w:val="24"/>
          <w:szCs w:val="24"/>
        </w:rPr>
        <w:t>,</w:t>
      </w:r>
      <w:r w:rsidRPr="00BB4B7E">
        <w:rPr>
          <w:rFonts w:ascii="Arial" w:hAnsi="Arial" w:cs="Arial"/>
          <w:sz w:val="24"/>
          <w:szCs w:val="24"/>
        </w:rPr>
        <w:t xml:space="preserve"> cada jurisdicción establece cómo deben actuar los hospitales, centros de salud, obras sociales y prepagas para respetar los derechos de la población. A su vez se cuenta con una línea de contacto sobre salud sexual 0 800 222 3444, en todo el país la llamada es gratuita.</w:t>
      </w:r>
    </w:p>
    <w:p w:rsidR="003D7FF4" w:rsidRPr="00BB4B7E" w:rsidRDefault="003D7FF4">
      <w:pPr>
        <w:tabs>
          <w:tab w:val="left" w:pos="1035"/>
        </w:tabs>
        <w:spacing w:after="0"/>
        <w:jc w:val="both"/>
        <w:rPr>
          <w:rFonts w:ascii="Arial" w:hAnsi="Arial" w:cs="Arial"/>
          <w:sz w:val="24"/>
          <w:szCs w:val="24"/>
        </w:rPr>
      </w:pPr>
    </w:p>
    <w:p w:rsidR="003D7FF4" w:rsidRPr="00BB4B7E" w:rsidRDefault="003D7FF4">
      <w:pPr>
        <w:tabs>
          <w:tab w:val="left" w:pos="1035"/>
        </w:tabs>
        <w:spacing w:after="0"/>
        <w:ind w:left="720"/>
        <w:jc w:val="both"/>
        <w:rPr>
          <w:rFonts w:ascii="Arial" w:hAnsi="Arial" w:cs="Arial"/>
          <w:sz w:val="24"/>
          <w:szCs w:val="24"/>
        </w:rPr>
      </w:pP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 xml:space="preserve">9. Sírvase indicar los principales desafíos, si los hay, que enfrentan las mujeres y las niñas para acceder a la justicia y obtener reparaciones por las violaciones de sus derechos sexuales y reproductivos, incluidas las barreras procesales, y los tipos de asistencia disponibles para acceder a recursos legales y de otro tipo. Sírvase también indicar los grupos de mujeres y niñas más afectadas. Cuando corresponda, sírvase indicar el papel desempeñado por una comisión nacional de verdad y reconciliación (o un organismo similar) para garantizar el reconocimiento de las violaciones de derechos humanos en materia de salud sexual y reproductiva de mujeres y niñas y las reparaciones. </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La CIDH ha observado que el derecho de las mujeres a vivir libres de violencia y discriminación, ha sido consagrado y establecido como un desafío prioritario en los sistemas de protección de los derechos humanos a nivel regional e internacional. La promulgación de instrumentos internacionales de derechos humanos que protegen el derecho de las mujeres a vivir libres de violencia, refleja  consenso y reconocimiento por parte de los Estados sobre el trato discriminatorio tradicionalmente recibido por las mujeres en sus sociedades.  El hecho de que la Convención Interamericana para Prevenir, Sancionar y Erradicar la Violencia contra la Mujer (en adelante "Convención de Belém do Pará") sea el instrumento más ratificado del sistema interamericano, refleja el consenso regional sobre que la violencia contra las mujeres es un problema público y prevalente, merecedor de acciones estatales para lograr su prevención, investigación, sanción y reparación. El precedente jurídico del sistema interamericano afirma que un acceso de jure y de facto a garantías y protecciones judiciales, es indispensable para la erradicación del </w:t>
      </w:r>
      <w:r w:rsidRPr="00BB4B7E">
        <w:rPr>
          <w:rFonts w:ascii="Arial" w:hAnsi="Arial" w:cs="Arial"/>
          <w:sz w:val="24"/>
          <w:szCs w:val="24"/>
        </w:rPr>
        <w:lastRenderedPageBreak/>
        <w:t xml:space="preserve">problema de la violencia contra las mujeres, y por lo tanto, para que los Estados cumplan de manera efectiva con las obligaciones internacionales que han contraído libremente de actuar con la debida diligencia frente a este grave problema de derechos humanos. Sin embargo, la labor de la CIDH y de la Relatoría sobre los Derechos de las revela que las mujeres víctimas de violencia frecuentemente no obtienen un acceso a recursos judiciales idóneos y efectivos al denunciar los hechos sufridos, permaneciendo la gran mayoría de estos incidentes a la sombra de la impunidad, y por consiguiente quedando sus derechos desprotegidos.  La CIDH observa que la gran mayoría de los casos de violencia contra las mujeres se encuentran marcados por la impunidad, lo cual alimenta que se perpetúe esta grave violación a los derechos humanos. Esta afirmación lamentablemente válida para nuestra sociedad, señala el desafío que implica la necesidad de vencer barreras burocráticas y educativas, para reconocer los hechos de que son víctimas las mujeres y niñas como ‘violencia’ primero y como ‘flagrante violación a los derechos humanos’. Son las propias mujeres y niñas pudiendo reconocer estas situaciones, quienes podrán denunciarlas y exigir reparación.  </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Por lo tanto el concepto de ‘acceso a la justicia’, como el acceso de jure y de facto a instancias y recursos judiciales de protección frente a la violencia, no se refiere sólo a la existencia formal de los mismos, sino a que sean idóneos para investigar, sancionar y reparar las vulneraciones sufridas y denunciadas. Esto implica que resulten accesibles recursos judiciales sencillos, rápidos, idóneos e imparciales, sin discriminación para investigar, sancionar y reparar y también prevenir estos hechos. Si se considera al Poder Judicial como el recurso de primer acceso para la protección de los derechos y las libertades individuales de las mujeres, entre los que se observan los derechos sexuales y reproductivos, la respuesta debe ser efectiva y oportuna, la demora menoscaba los derechos adquiridos y los torna ilusorios. Otra consecuencia directa es la ‘impunidad’ del o los agresores, que ante tales situaciones no cejan en ejercer violencia sobre sus víctimas. Se reconocen también ineficacia de los sistemas de la administración de justicia para prevenirla. Asimismo, existen otros problemas estructurales que afectan al sistema de justicia, entre estos, los ataques contra la independencia e imparcialidad, insuficiencia presupuestaria, y particularmente los obstáculos que las personas de bajos recursos encuentran para acceder a los sistemas de justicia. Estos son, se reitera, problemas estructurales que afectan a los más débiles y vulnerables, que denota una discriminación lamentable. Hay que reconocer esta relación entre violencia de género y discriminación, indicando que esa violencia es un reflejo de las relaciones de poder históricamente desiguales entre mujeres y hombres. Los principios consagrados en la definición de "violencia contra las mujeres" de la Convención de Belém do Pará, se ven reforzados por la definición de violencia incluida en la Recomendación 19 del Comité para la Eliminación de la Discriminación contra la Mujer, que vigila el cumplimiento de la CEDAW, que fue diseñada con el objetivo de promover la igualdad de jure y de facto entre el hombre y la mujer en el ejercicio de sus derechos humanos y libertades. Aun existiendo el reconocimiento de los estados, respecto de que cualquier forma de violencia contra las mujeres y niñas ello constituye un desafío al que debe darse prioridad; existe una notable distancia entre la gravedad del problema, su prevalencia y la calidad de la respuesta obtenida. Es </w:t>
      </w:r>
      <w:r w:rsidRPr="00BB4B7E">
        <w:rPr>
          <w:rFonts w:ascii="Arial" w:hAnsi="Arial" w:cs="Arial"/>
          <w:sz w:val="24"/>
          <w:szCs w:val="24"/>
        </w:rPr>
        <w:lastRenderedPageBreak/>
        <w:t>así como se crea un patrón de impunidad que permite la reiteración de hechos violentos, en el que se revictimiza a las propias víctimas. Argentina cuenta con legislación suficiente, tal como fuera expuesto en el apartado 5, e), sin perjuicio de lo cual la implementación de estas normas no ha sido suficiente para repeler los hechos y situaciones que implican violencia, discriminación y por ende la violación de los derechos humanos fundamentales.</w:t>
      </w:r>
    </w:p>
    <w:p w:rsidR="003D7FF4" w:rsidRPr="00BB4B7E" w:rsidRDefault="003D7FF4">
      <w:pPr>
        <w:pBdr>
          <w:top w:val="nil"/>
          <w:left w:val="nil"/>
          <w:bottom w:val="nil"/>
          <w:right w:val="nil"/>
          <w:between w:val="nil"/>
        </w:pBdr>
        <w:ind w:left="1440"/>
        <w:jc w:val="both"/>
        <w:rPr>
          <w:rFonts w:ascii="Arial" w:hAnsi="Arial" w:cs="Arial"/>
          <w:sz w:val="24"/>
          <w:szCs w:val="24"/>
        </w:rPr>
      </w:pPr>
    </w:p>
    <w:p w:rsidR="003D7FF4" w:rsidRPr="00BB4B7E" w:rsidRDefault="007F54DF">
      <w:pPr>
        <w:tabs>
          <w:tab w:val="left" w:pos="1035"/>
        </w:tabs>
        <w:jc w:val="both"/>
        <w:rPr>
          <w:rFonts w:ascii="Arial" w:hAnsi="Arial" w:cs="Arial"/>
          <w:b/>
          <w:bCs/>
          <w:sz w:val="24"/>
          <w:szCs w:val="24"/>
          <w:u w:val="single"/>
        </w:rPr>
      </w:pPr>
      <w:r w:rsidRPr="00BB4B7E">
        <w:rPr>
          <w:rFonts w:ascii="Arial" w:hAnsi="Arial" w:cs="Arial"/>
          <w:b/>
          <w:bCs/>
          <w:sz w:val="24"/>
          <w:szCs w:val="24"/>
          <w:u w:val="single"/>
        </w:rPr>
        <w:t>Preparación, recuperación y resiliencia</w:t>
      </w: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10. ¿Existe alguna estrategia / plan / política de preparación o gestión de riesgos en su Estado? En caso afirmativo, sírvase proporcionar información sobre los siguientes aspectos:</w:t>
      </w:r>
    </w:p>
    <w:p w:rsidR="003D7FF4" w:rsidRPr="00BB4B7E" w:rsidRDefault="003D7FF4">
      <w:pPr>
        <w:tabs>
          <w:tab w:val="left" w:pos="1035"/>
        </w:tabs>
        <w:spacing w:after="0"/>
        <w:ind w:left="720"/>
        <w:jc w:val="both"/>
        <w:rPr>
          <w:rFonts w:ascii="Arial" w:hAnsi="Arial" w:cs="Arial"/>
          <w:b/>
          <w:bCs/>
          <w:sz w:val="24"/>
          <w:szCs w:val="24"/>
        </w:rPr>
      </w:pPr>
    </w:p>
    <w:p w:rsidR="003D7FF4" w:rsidRPr="00BB4B7E" w:rsidRDefault="007F54DF">
      <w:pPr>
        <w:numPr>
          <w:ilvl w:val="0"/>
          <w:numId w:val="2"/>
        </w:numPr>
        <w:tabs>
          <w:tab w:val="left" w:pos="1035"/>
        </w:tabs>
        <w:spacing w:after="0"/>
        <w:ind w:left="0"/>
        <w:jc w:val="both"/>
        <w:rPr>
          <w:rFonts w:ascii="Arial" w:hAnsi="Arial" w:cs="Arial"/>
          <w:b/>
          <w:bCs/>
          <w:sz w:val="24"/>
          <w:szCs w:val="24"/>
        </w:rPr>
      </w:pPr>
      <w:r w:rsidRPr="00BB4B7E">
        <w:rPr>
          <w:rFonts w:ascii="Arial" w:hAnsi="Arial" w:cs="Arial"/>
          <w:b/>
          <w:bCs/>
          <w:sz w:val="24"/>
          <w:szCs w:val="24"/>
        </w:rPr>
        <w:t>¿A qué tipo de crisis se aplican? ¿Qué situaciones están excluidas?</w:t>
      </w:r>
    </w:p>
    <w:p w:rsidR="003D7FF4" w:rsidRPr="00BB4B7E" w:rsidRDefault="003D7FF4">
      <w:pPr>
        <w:tabs>
          <w:tab w:val="left" w:pos="1035"/>
        </w:tabs>
        <w:spacing w:after="0"/>
        <w:jc w:val="both"/>
        <w:rPr>
          <w:rFonts w:ascii="Arial" w:hAnsi="Arial" w:cs="Arial"/>
          <w:color w:val="274E13"/>
          <w:sz w:val="24"/>
          <w:szCs w:val="24"/>
        </w:rPr>
      </w:pPr>
    </w:p>
    <w:p w:rsidR="003D7FF4" w:rsidRPr="00BB4B7E" w:rsidRDefault="007F54DF">
      <w:pPr>
        <w:tabs>
          <w:tab w:val="left" w:pos="135"/>
        </w:tabs>
        <w:spacing w:after="0"/>
        <w:ind w:right="-40"/>
        <w:jc w:val="both"/>
        <w:rPr>
          <w:rFonts w:ascii="Arial" w:hAnsi="Arial" w:cs="Arial"/>
          <w:sz w:val="24"/>
          <w:szCs w:val="24"/>
        </w:rPr>
      </w:pPr>
      <w:r w:rsidRPr="00BB4B7E">
        <w:rPr>
          <w:rFonts w:ascii="Arial" w:hAnsi="Arial" w:cs="Arial"/>
          <w:sz w:val="24"/>
          <w:szCs w:val="24"/>
        </w:rPr>
        <w:t>Desde el 20/03/20 rige en Argentina el Aislamiento Social, Preventivo y Obligatorio, ello no sólo  limitó la circulación de la población, sino también suspendió todo tipo de atención no urgente en centros de salud y hospitales, los que se limitaron a las atenciones por COVID o problemas de salud que no admitían dilación.</w:t>
      </w:r>
    </w:p>
    <w:p w:rsidR="003D7FF4" w:rsidRPr="00BB4B7E" w:rsidRDefault="007F54DF">
      <w:pPr>
        <w:tabs>
          <w:tab w:val="left" w:pos="0"/>
        </w:tabs>
        <w:spacing w:after="0"/>
        <w:jc w:val="both"/>
        <w:rPr>
          <w:rFonts w:ascii="Arial" w:hAnsi="Arial" w:cs="Arial"/>
          <w:sz w:val="24"/>
          <w:szCs w:val="24"/>
        </w:rPr>
      </w:pPr>
      <w:r w:rsidRPr="00BB4B7E">
        <w:rPr>
          <w:rFonts w:ascii="Arial" w:hAnsi="Arial" w:cs="Arial"/>
          <w:sz w:val="24"/>
          <w:szCs w:val="24"/>
        </w:rPr>
        <w:t>No obstante lo dicho, y previo a la pandemia, Argentina se encontraba inmersa en una crisis económica que había provocado, la degradación del Ministerio de Salud de la Nación en Secretaría de Gobierno de Salud de la Nación, lo que derivó en un recorte presupuestario para el sector que afectó a todos los programas nacionales, incluyendo los programas de salud sexual y reproductiva y los de prevención y tratamiento de las enfermedades de transmisión sexual. Por dicho motivo y a partir de la asunción del nuevo gobierno el pasado 10/12/19 se dictó una ley de emergencia económica, financiera y social (Ley Nº 27.541) que permitió a las autoridades sanitarias poner en marcha los programas y planes que estaban descontinuados.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2"/>
        </w:numPr>
        <w:tabs>
          <w:tab w:val="left" w:pos="1035"/>
        </w:tabs>
        <w:spacing w:after="0"/>
        <w:ind w:left="0"/>
        <w:jc w:val="both"/>
        <w:rPr>
          <w:rFonts w:ascii="Arial" w:hAnsi="Arial" w:cs="Arial"/>
          <w:b/>
          <w:bCs/>
          <w:sz w:val="24"/>
          <w:szCs w:val="24"/>
        </w:rPr>
      </w:pPr>
      <w:r w:rsidRPr="00BB4B7E">
        <w:rPr>
          <w:rFonts w:ascii="Arial" w:hAnsi="Arial" w:cs="Arial"/>
          <w:b/>
          <w:bCs/>
          <w:sz w:val="24"/>
          <w:szCs w:val="24"/>
        </w:rPr>
        <w:t>¿Contienen una definición de crisis? En caso afirmativo, sírvase indicar la definición utilizada.</w:t>
      </w:r>
    </w:p>
    <w:p w:rsidR="003D7FF4" w:rsidRPr="00BB4B7E" w:rsidRDefault="003D7FF4">
      <w:pPr>
        <w:tabs>
          <w:tab w:val="left" w:pos="1035"/>
        </w:tabs>
        <w:spacing w:after="0"/>
        <w:jc w:val="both"/>
        <w:rPr>
          <w:rFonts w:ascii="Arial" w:hAnsi="Arial" w:cs="Arial"/>
          <w:color w:val="274E13"/>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La Ley Nº 27.541 no brinda una definición de crisis, sin embargo en su Art. 71 inc. “a” hace referencia a las atribuciones que tiene el Ministerio de Salud de la Nación para las contrataciones públicas teniendo en cuenta y dando por acreditada la grave y notoria crisis por la que atraviesa el sistema de salud argentino.</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2"/>
        </w:numPr>
        <w:tabs>
          <w:tab w:val="left" w:pos="1035"/>
        </w:tabs>
        <w:spacing w:after="0"/>
        <w:ind w:left="0"/>
        <w:jc w:val="both"/>
        <w:rPr>
          <w:rFonts w:ascii="Arial" w:hAnsi="Arial" w:cs="Arial"/>
          <w:b/>
          <w:bCs/>
          <w:sz w:val="24"/>
          <w:szCs w:val="24"/>
        </w:rPr>
      </w:pPr>
      <w:r w:rsidRPr="00BB4B7E">
        <w:rPr>
          <w:rFonts w:ascii="Arial" w:hAnsi="Arial" w:cs="Arial"/>
          <w:b/>
          <w:bCs/>
          <w:sz w:val="24"/>
          <w:szCs w:val="24"/>
        </w:rPr>
        <w:t>¿Se incluyen medidas en materia de salud sexual y reproductiva de las mujeres y las niñas? En caso afirmativo, sírvase describir las medidas incluidas y cualquier medida especial prevista y / o adoptada para grupos específicos de mujeres y niñas en relación con las fases de preparación y recuperación.</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Respecto de la crisis económica, financiera y social decretada en la Ley de emergencia Nº 27.541 se hace referencia a la prioridad que se les dará a los </w:t>
      </w:r>
      <w:r w:rsidRPr="00BB4B7E">
        <w:rPr>
          <w:rFonts w:ascii="Arial" w:hAnsi="Arial" w:cs="Arial"/>
          <w:sz w:val="24"/>
          <w:szCs w:val="24"/>
        </w:rPr>
        <w:lastRenderedPageBreak/>
        <w:t>siguientes programas:  Plan Nacional a favor de la Madre y el Niño y Lucha contra el VIH.</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Respecto de la crisis por pandemia, el Ministerio de Salud de la Nación ha elaborado diversos protocolos de atención y asistencia relacionados por los temas que se consulta tales como:</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1- </w:t>
      </w:r>
      <w:hyperlink r:id="rId13">
        <w:r w:rsidRPr="00BB4B7E">
          <w:rPr>
            <w:rFonts w:ascii="Arial" w:hAnsi="Arial" w:cs="Arial"/>
            <w:sz w:val="24"/>
            <w:szCs w:val="24"/>
          </w:rPr>
          <w:t>Pautas para el cuidado de la salud perinatal y de la niñez en contexto de pandemia</w:t>
        </w:r>
      </w:hyperlink>
      <w:r w:rsidRPr="00BB4B7E">
        <w:rPr>
          <w:rFonts w:ascii="Arial" w:hAnsi="Arial" w:cs="Arial"/>
          <w:sz w:val="24"/>
          <w:szCs w:val="24"/>
        </w:rPr>
        <w:t>.</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2- </w:t>
      </w:r>
      <w:hyperlink r:id="rId14">
        <w:r w:rsidRPr="00BB4B7E">
          <w:rPr>
            <w:rFonts w:ascii="Arial" w:hAnsi="Arial" w:cs="Arial"/>
            <w:sz w:val="24"/>
            <w:szCs w:val="24"/>
          </w:rPr>
          <w:t>Recomendaciones sobre realización de estudios de tamizaje y diagnóstico de cáncer de mama, cáncer de cervicouterino y cáncer colorrectal en contexto de pandemia</w:t>
        </w:r>
      </w:hyperlink>
      <w:r w:rsidRPr="00BB4B7E">
        <w:rPr>
          <w:rFonts w:ascii="Arial" w:hAnsi="Arial" w:cs="Arial"/>
          <w:sz w:val="24"/>
          <w:szCs w:val="24"/>
        </w:rPr>
        <w:t>.</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3- </w:t>
      </w:r>
      <w:hyperlink r:id="rId15">
        <w:r w:rsidRPr="00BB4B7E">
          <w:rPr>
            <w:rFonts w:ascii="Arial" w:hAnsi="Arial" w:cs="Arial"/>
            <w:sz w:val="24"/>
            <w:szCs w:val="24"/>
          </w:rPr>
          <w:t>Recomendaciones para la reproducción medicamente asistida en el contexto de la pandemia.</w:t>
        </w:r>
      </w:hyperlink>
      <w:r w:rsidRPr="00BB4B7E">
        <w:rPr>
          <w:rFonts w:ascii="Arial" w:hAnsi="Arial" w:cs="Arial"/>
          <w:sz w:val="24"/>
          <w:szCs w:val="24"/>
        </w:rPr>
        <w:t>.</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4- </w:t>
      </w:r>
      <w:hyperlink r:id="rId16">
        <w:r w:rsidRPr="00BB4B7E">
          <w:rPr>
            <w:rFonts w:ascii="Arial" w:hAnsi="Arial" w:cs="Arial"/>
            <w:sz w:val="24"/>
            <w:szCs w:val="24"/>
          </w:rPr>
          <w:t>Recomendaciones para garantizar el acceso a la salud de las personas trans, travestis y no binaria en el contexto de pandemia</w:t>
        </w:r>
      </w:hyperlink>
      <w:r w:rsidRPr="00BB4B7E">
        <w:rPr>
          <w:rFonts w:ascii="Arial" w:hAnsi="Arial" w:cs="Arial"/>
          <w:sz w:val="24"/>
          <w:szCs w:val="24"/>
        </w:rPr>
        <w:t>.</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5- </w:t>
      </w:r>
      <w:hyperlink r:id="rId17">
        <w:r w:rsidRPr="00BB4B7E">
          <w:rPr>
            <w:rFonts w:ascii="Arial" w:hAnsi="Arial" w:cs="Arial"/>
            <w:sz w:val="24"/>
            <w:szCs w:val="24"/>
          </w:rPr>
          <w:t>Recomendaciones para el primer nivel de atención de personas gestantes, niñas y niños y adolescentes</w:t>
        </w:r>
      </w:hyperlink>
      <w:r w:rsidRPr="00BB4B7E">
        <w:rPr>
          <w:rFonts w:ascii="Arial" w:hAnsi="Arial" w:cs="Arial"/>
          <w:sz w:val="24"/>
          <w:szCs w:val="24"/>
        </w:rPr>
        <w:t>.</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6- </w:t>
      </w:r>
      <w:hyperlink r:id="rId18">
        <w:r w:rsidRPr="00BB4B7E">
          <w:rPr>
            <w:rFonts w:ascii="Arial" w:hAnsi="Arial" w:cs="Arial"/>
            <w:sz w:val="24"/>
            <w:szCs w:val="24"/>
          </w:rPr>
          <w:t>Recomendaciones para la atención de embarazadas y recién nacidos en contexto de pandemia</w:t>
        </w:r>
      </w:hyperlink>
      <w:r w:rsidRPr="00BB4B7E">
        <w:rPr>
          <w:rFonts w:ascii="Arial" w:hAnsi="Arial" w:cs="Arial"/>
          <w:sz w:val="24"/>
          <w:szCs w:val="24"/>
        </w:rPr>
        <w:t>.</w:t>
      </w: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7- </w:t>
      </w:r>
      <w:hyperlink r:id="rId19">
        <w:r w:rsidRPr="00BB4B7E">
          <w:rPr>
            <w:rFonts w:ascii="Arial" w:hAnsi="Arial" w:cs="Arial"/>
            <w:sz w:val="24"/>
            <w:szCs w:val="24"/>
          </w:rPr>
          <w:t>Recomendaciones de manejo de personas con HIV en contexto de pandemia</w:t>
        </w:r>
      </w:hyperlink>
      <w:r w:rsidRPr="00BB4B7E">
        <w:rPr>
          <w:rFonts w:ascii="Arial" w:hAnsi="Arial" w:cs="Arial"/>
          <w:sz w:val="24"/>
          <w:szCs w:val="24"/>
        </w:rPr>
        <w:t>.</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2"/>
        </w:numPr>
        <w:tabs>
          <w:tab w:val="left" w:pos="1035"/>
        </w:tabs>
        <w:spacing w:after="0"/>
        <w:ind w:left="0"/>
        <w:jc w:val="both"/>
        <w:rPr>
          <w:rFonts w:ascii="Arial" w:hAnsi="Arial" w:cs="Arial"/>
          <w:b/>
          <w:bCs/>
          <w:sz w:val="24"/>
          <w:szCs w:val="24"/>
        </w:rPr>
      </w:pPr>
      <w:r w:rsidRPr="00BB4B7E">
        <w:rPr>
          <w:rFonts w:ascii="Arial" w:hAnsi="Arial" w:cs="Arial"/>
          <w:b/>
          <w:bCs/>
          <w:sz w:val="24"/>
          <w:szCs w:val="24"/>
        </w:rPr>
        <w:t>¿Cómo se identificaron y evaluaron los riesgos relacionados con la salud y los derechos sexuales y reproductivos de las mujeres y las niñas en las zonas urbanas y rurales?</w:t>
      </w:r>
    </w:p>
    <w:p w:rsidR="003D7FF4" w:rsidRPr="00BB4B7E" w:rsidRDefault="003D7FF4">
      <w:pPr>
        <w:tabs>
          <w:tab w:val="left" w:pos="1035"/>
        </w:tabs>
        <w:spacing w:after="0"/>
        <w:jc w:val="both"/>
        <w:rPr>
          <w:rFonts w:ascii="Arial" w:hAnsi="Arial" w:cs="Arial"/>
          <w:color w:val="274E13"/>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No se tiene evidencia que acredite una evaluación de riesgos relacionados con la salud y los derechos sexuales y reproductivos de mujeres y niñas en zonas urbanas y rurales.</w:t>
      </w:r>
    </w:p>
    <w:p w:rsidR="003D7FF4" w:rsidRPr="00BB4B7E" w:rsidRDefault="003D7FF4">
      <w:pPr>
        <w:tabs>
          <w:tab w:val="left" w:pos="1035"/>
        </w:tabs>
        <w:spacing w:after="0"/>
        <w:jc w:val="both"/>
        <w:rPr>
          <w:rFonts w:ascii="Arial" w:hAnsi="Arial" w:cs="Arial"/>
          <w:color w:val="274E13"/>
          <w:sz w:val="24"/>
          <w:szCs w:val="24"/>
        </w:rPr>
      </w:pPr>
    </w:p>
    <w:p w:rsidR="003D7FF4" w:rsidRPr="00BB4B7E" w:rsidRDefault="007F54DF">
      <w:pPr>
        <w:numPr>
          <w:ilvl w:val="0"/>
          <w:numId w:val="2"/>
        </w:numPr>
        <w:tabs>
          <w:tab w:val="left" w:pos="1035"/>
        </w:tabs>
        <w:spacing w:after="0"/>
        <w:ind w:left="0"/>
        <w:jc w:val="both"/>
        <w:rPr>
          <w:rFonts w:ascii="Arial" w:hAnsi="Arial" w:cs="Arial"/>
          <w:b/>
          <w:bCs/>
          <w:sz w:val="24"/>
          <w:szCs w:val="24"/>
        </w:rPr>
      </w:pPr>
      <w:r w:rsidRPr="00BB4B7E">
        <w:rPr>
          <w:rFonts w:ascii="Arial" w:hAnsi="Arial" w:cs="Arial"/>
          <w:b/>
          <w:bCs/>
          <w:sz w:val="24"/>
          <w:szCs w:val="24"/>
        </w:rPr>
        <w:t xml:space="preserve"> ¿Participaron las organizaciones de derechos de las mujeres en: i) el desarrollo de la estrategia / plan / política; ii) la evaluación de los riesgos relacionados con la salud y los derechos sexuales y reproductivos; iii) el diseño de las medidas implementadas; y iv) el seguimiento de la estrategia / plan / política? Sírvase indicar los pasos dados para asegurar la participación de estas organizaciones e incluir una perspectiva de género en la preparación, gestión y recuperación de la crisis.</w:t>
      </w:r>
    </w:p>
    <w:p w:rsidR="003D7FF4" w:rsidRPr="00BB4B7E" w:rsidRDefault="003D7FF4">
      <w:pPr>
        <w:tabs>
          <w:tab w:val="left" w:pos="1035"/>
        </w:tabs>
        <w:spacing w:after="0"/>
        <w:ind w:left="144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No se tiene evidencia de que las organizaciones de derechos de las mujeres hayan tomado intervención en el desarrollo, estrategia, plan o política acerca de los temas consultados.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numPr>
          <w:ilvl w:val="0"/>
          <w:numId w:val="2"/>
        </w:numPr>
        <w:tabs>
          <w:tab w:val="left" w:pos="1035"/>
        </w:tabs>
        <w:spacing w:after="0"/>
        <w:ind w:left="0"/>
        <w:jc w:val="both"/>
        <w:rPr>
          <w:rFonts w:ascii="Arial" w:hAnsi="Arial" w:cs="Arial"/>
          <w:b/>
          <w:bCs/>
          <w:sz w:val="24"/>
          <w:szCs w:val="24"/>
        </w:rPr>
      </w:pPr>
      <w:r w:rsidRPr="00BB4B7E">
        <w:rPr>
          <w:rFonts w:ascii="Arial" w:hAnsi="Arial" w:cs="Arial"/>
          <w:b/>
          <w:bCs/>
          <w:sz w:val="24"/>
          <w:szCs w:val="24"/>
        </w:rPr>
        <w:t>Sírvase indicar si la estrategia / plan / política ha sido objeto de alguna evaluación hasta la fecha. En caso afirmativo, ¿cuáles fueron las principales conclusiones y recomendaciones en materia de salud y derechos sexuales y reproductivos de las mujeres y las niñas?</w:t>
      </w:r>
    </w:p>
    <w:p w:rsidR="003D7FF4" w:rsidRPr="00BB4B7E" w:rsidRDefault="003D7FF4">
      <w:pPr>
        <w:tabs>
          <w:tab w:val="left" w:pos="1035"/>
        </w:tabs>
        <w:spacing w:after="0"/>
        <w:ind w:left="1417"/>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lastRenderedPageBreak/>
        <w:t xml:space="preserve">Con motivo del Aislamiento Social, Preventivo y Obligatorio dictado el pasado 20/03/20 la administración pública nacional y los organismos de control han suspendido sus funciones durante la primer parte de la cuarentena, regresando  gradualmente y con un servicio limitado desde el inicio de la cuarentena hasta la  fecha. Por tal motivo muchas de las tareas de control y supervisión han quedado  suspendidas o postergadas, no pudiendo identificar un seguimiento de las políticas </w:t>
      </w:r>
      <w:r w:rsidRPr="00BB4B7E">
        <w:rPr>
          <w:rFonts w:ascii="Arial" w:hAnsi="Arial" w:cs="Arial"/>
          <w:sz w:val="24"/>
          <w:szCs w:val="24"/>
        </w:rPr>
        <w:tab/>
        <w:t>públicas implementadas.</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 xml:space="preserve">11. Si su Estado no tiene un plan que pueda entrar en vigencia de inmediato en caso de crisis, explique </w:t>
      </w:r>
      <w:r w:rsidR="00BB4B7E" w:rsidRPr="00BB4B7E">
        <w:rPr>
          <w:rFonts w:ascii="Arial" w:hAnsi="Arial" w:cs="Arial"/>
          <w:b/>
          <w:bCs/>
          <w:sz w:val="24"/>
          <w:szCs w:val="24"/>
        </w:rPr>
        <w:t>por qué</w:t>
      </w:r>
      <w:r w:rsidRPr="00BB4B7E">
        <w:rPr>
          <w:rFonts w:ascii="Arial" w:hAnsi="Arial" w:cs="Arial"/>
          <w:b/>
          <w:bCs/>
          <w:sz w:val="24"/>
          <w:szCs w:val="24"/>
        </w:rPr>
        <w:t>.</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El propósito y objetivos de un plan de crisis o emergencia, consiste en establecer cuáles son los recursos, su ubicación </w:t>
      </w:r>
      <w:r w:rsidR="00BB4B7E" w:rsidRPr="00BB4B7E">
        <w:rPr>
          <w:rFonts w:ascii="Arial" w:hAnsi="Arial" w:cs="Arial"/>
          <w:sz w:val="24"/>
          <w:szCs w:val="24"/>
        </w:rPr>
        <w:t>y disponibilidad</w:t>
      </w:r>
      <w:r w:rsidRPr="00BB4B7E">
        <w:rPr>
          <w:rFonts w:ascii="Arial" w:hAnsi="Arial" w:cs="Arial"/>
          <w:sz w:val="24"/>
          <w:szCs w:val="24"/>
        </w:rPr>
        <w:t xml:space="preserve">, para que las acciones de contingencia que se lleven adelante para la prevención, contención y medidas de mitigación durante el lapso que dure la eventualidad de que se trate, en esta instancia la Pandemia COVID- 19, resulten eficientes. Es así que Argentina elaboró un plan para identificar y enumerar los recursos y acciones a desarrollar durante esta contingencia. En tal sentido, a partir del dictado de la denominada ley de emergencia 27.541, publicada el 23 de diciembre de 2019, constituyó la base de las normas dictadas con posterioridad al declararse la Pandemia por la OMS. De allí esta y las demás dictadas, en función del decreto de necesidad y urgencia 260/2020, 287/2020, 297/2020, estableciendo diversas medidas y facultades. Este ha sido el sostén de las medidas subsiguientes, las que por su extensión y variedad pueden consultarse a través del link correspondiente. </w:t>
      </w:r>
      <w:hyperlink r:id="rId20">
        <w:r w:rsidRPr="00BB4B7E">
          <w:rPr>
            <w:rFonts w:ascii="Arial" w:hAnsi="Arial" w:cs="Arial"/>
            <w:color w:val="0563C1"/>
            <w:sz w:val="24"/>
            <w:szCs w:val="24"/>
            <w:u w:val="single"/>
          </w:rPr>
          <w:t>www.infoleg.gov.ar</w:t>
        </w:r>
      </w:hyperlink>
    </w:p>
    <w:p w:rsidR="003D7FF4" w:rsidRPr="00BB4B7E" w:rsidRDefault="007F54DF">
      <w:pPr>
        <w:tabs>
          <w:tab w:val="left" w:pos="1035"/>
        </w:tabs>
        <w:spacing w:after="0"/>
        <w:jc w:val="both"/>
        <w:rPr>
          <w:rFonts w:ascii="Arial" w:hAnsi="Arial" w:cs="Arial"/>
          <w:sz w:val="24"/>
          <w:szCs w:val="24"/>
        </w:rPr>
      </w:pPr>
      <w:r w:rsidRPr="00BB4B7E">
        <w:rPr>
          <w:rFonts w:ascii="Arial" w:hAnsi="Arial" w:cs="Arial"/>
          <w:sz w:val="24"/>
          <w:szCs w:val="24"/>
        </w:rPr>
        <w:t xml:space="preserve">Así el citado decreto 287/2020, </w:t>
      </w:r>
      <w:r w:rsidR="00BB4B7E" w:rsidRPr="00BB4B7E">
        <w:rPr>
          <w:rFonts w:ascii="Arial" w:hAnsi="Arial" w:cs="Arial"/>
          <w:sz w:val="24"/>
          <w:szCs w:val="24"/>
        </w:rPr>
        <w:t>modificó el</w:t>
      </w:r>
      <w:r w:rsidRPr="00BB4B7E">
        <w:rPr>
          <w:rFonts w:ascii="Arial" w:hAnsi="Arial" w:cs="Arial"/>
          <w:sz w:val="24"/>
          <w:szCs w:val="24"/>
        </w:rPr>
        <w:t xml:space="preserve"> artículo 10mo del decreto 260/2020, otorgando al Jefe de Gabinete de Ministros las facultades para actuar y disponer acciones y recursos en pos del cumplimiento de las metas comprometidas. </w:t>
      </w:r>
    </w:p>
    <w:p w:rsidR="003D7FF4" w:rsidRPr="00BB4B7E" w:rsidRDefault="003D7FF4">
      <w:pPr>
        <w:tabs>
          <w:tab w:val="left" w:pos="1035"/>
        </w:tabs>
        <w:spacing w:after="0"/>
        <w:jc w:val="both"/>
        <w:rPr>
          <w:rFonts w:ascii="Arial" w:hAnsi="Arial" w:cs="Arial"/>
          <w:sz w:val="24"/>
          <w:szCs w:val="24"/>
        </w:rPr>
      </w:pPr>
    </w:p>
    <w:p w:rsidR="003D7FF4" w:rsidRPr="00BB4B7E" w:rsidRDefault="007F54DF">
      <w:pPr>
        <w:tabs>
          <w:tab w:val="left" w:pos="1035"/>
        </w:tabs>
        <w:spacing w:after="0"/>
        <w:jc w:val="both"/>
        <w:rPr>
          <w:rFonts w:ascii="Arial" w:hAnsi="Arial" w:cs="Arial"/>
          <w:b/>
          <w:bCs/>
          <w:sz w:val="24"/>
          <w:szCs w:val="24"/>
        </w:rPr>
      </w:pPr>
      <w:r w:rsidRPr="00BB4B7E">
        <w:rPr>
          <w:rFonts w:ascii="Arial" w:hAnsi="Arial" w:cs="Arial"/>
          <w:b/>
          <w:bCs/>
          <w:sz w:val="24"/>
          <w:szCs w:val="24"/>
        </w:rPr>
        <w:t>12. Existen maneras específicas en que los mecanismos internacionales de derechos humanos puedan apoyar a los Estados en sus esfuerzos por responder a una crisis?</w:t>
      </w:r>
    </w:p>
    <w:p w:rsidR="003D7FF4" w:rsidRPr="00BB4B7E" w:rsidRDefault="003D7FF4">
      <w:pPr>
        <w:tabs>
          <w:tab w:val="left" w:pos="1035"/>
        </w:tabs>
        <w:spacing w:after="0"/>
        <w:jc w:val="both"/>
        <w:rPr>
          <w:rFonts w:ascii="Arial" w:hAnsi="Arial" w:cs="Arial"/>
          <w:sz w:val="24"/>
          <w:szCs w:val="24"/>
        </w:rPr>
      </w:pPr>
    </w:p>
    <w:p w:rsidR="00BB4B7E" w:rsidRDefault="007F54DF">
      <w:pPr>
        <w:tabs>
          <w:tab w:val="left" w:pos="1035"/>
        </w:tabs>
        <w:spacing w:after="0"/>
        <w:jc w:val="both"/>
        <w:rPr>
          <w:rFonts w:ascii="Arial" w:hAnsi="Arial" w:cs="Arial"/>
          <w:sz w:val="24"/>
          <w:szCs w:val="24"/>
        </w:rPr>
      </w:pPr>
      <w:bookmarkStart w:id="0" w:name="_heading=h.30j0zll" w:colFirst="0" w:colLast="0"/>
      <w:bookmarkEnd w:id="0"/>
      <w:r w:rsidRPr="00BB4B7E">
        <w:rPr>
          <w:rFonts w:ascii="Arial" w:hAnsi="Arial" w:cs="Arial"/>
          <w:sz w:val="24"/>
          <w:szCs w:val="24"/>
        </w:rPr>
        <w:t xml:space="preserve">Los organismos internacionales cuentan con mecanismos para la protección de los derechos humanos, brindado apoyo a los países para evitar mayores daños; costo de vidas </w:t>
      </w:r>
      <w:r w:rsidR="00BB4B7E" w:rsidRPr="00BB4B7E">
        <w:rPr>
          <w:rFonts w:ascii="Arial" w:hAnsi="Arial" w:cs="Arial"/>
          <w:sz w:val="24"/>
          <w:szCs w:val="24"/>
        </w:rPr>
        <w:t>humanas, desocupación</w:t>
      </w:r>
      <w:r w:rsidRPr="00BB4B7E">
        <w:rPr>
          <w:rFonts w:ascii="Arial" w:hAnsi="Arial" w:cs="Arial"/>
          <w:sz w:val="24"/>
          <w:szCs w:val="24"/>
        </w:rPr>
        <w:t xml:space="preserve">, pobreza, indigencia, entre otras consecuencias indeseables pero factibles en condiciones de emergencia sanitaria y económica mundial. El objetivo, por lo tanto, comprende proteger vidas, evitar daños económicos y adoptar medidas de protección extremas ante tamaña crisis. </w:t>
      </w:r>
    </w:p>
    <w:p w:rsidR="00BB4B7E" w:rsidRDefault="00BB4B7E">
      <w:pPr>
        <w:tabs>
          <w:tab w:val="left" w:pos="1035"/>
        </w:tabs>
        <w:spacing w:after="0"/>
        <w:jc w:val="both"/>
        <w:rPr>
          <w:rFonts w:ascii="Arial" w:hAnsi="Arial" w:cs="Arial"/>
          <w:sz w:val="24"/>
          <w:szCs w:val="24"/>
        </w:rPr>
      </w:pPr>
    </w:p>
    <w:p w:rsidR="003D7FF4" w:rsidRPr="00BB4B7E" w:rsidRDefault="004B0C49">
      <w:pPr>
        <w:tabs>
          <w:tab w:val="left" w:pos="1035"/>
        </w:tabs>
        <w:spacing w:after="0"/>
        <w:jc w:val="both"/>
        <w:rPr>
          <w:rFonts w:ascii="Arial" w:hAnsi="Arial" w:cs="Arial"/>
          <w:sz w:val="24"/>
          <w:szCs w:val="24"/>
        </w:rPr>
      </w:pPr>
      <w:hyperlink r:id="rId21" w:history="1">
        <w:r w:rsidR="00E75738" w:rsidRPr="005D2068">
          <w:rPr>
            <w:rStyle w:val="Hipervnculo"/>
            <w:rFonts w:ascii="Arial" w:hAnsi="Arial" w:cs="Arial"/>
            <w:sz w:val="24"/>
            <w:szCs w:val="24"/>
          </w:rPr>
          <w:t>https://www.cepal.org/es/comunicados/60-agencias-internacionales-exhortan-respuesta-coordinada-oportuna-enfrentar-la-crisis</w:t>
        </w:r>
      </w:hyperlink>
      <w:r w:rsidR="007F54DF" w:rsidRPr="00BB4B7E">
        <w:rPr>
          <w:rFonts w:ascii="Arial" w:hAnsi="Arial" w:cs="Arial"/>
          <w:color w:val="0563C1"/>
          <w:sz w:val="24"/>
          <w:szCs w:val="24"/>
          <w:u w:val="single"/>
        </w:rPr>
        <w:t xml:space="preserve">. </w:t>
      </w:r>
      <w:hyperlink r:id="rId22">
        <w:r w:rsidR="007F54DF" w:rsidRPr="00BB4B7E">
          <w:rPr>
            <w:rFonts w:ascii="Arial" w:hAnsi="Arial" w:cs="Arial"/>
            <w:color w:val="0563C1"/>
            <w:sz w:val="24"/>
            <w:szCs w:val="24"/>
            <w:u w:val="single"/>
          </w:rPr>
          <w:t>https://www.un.org/es/chronicle/article/mejorar-la-respuesta-de-las-naciones-unidas-las-crisis-humanitarias</w:t>
        </w:r>
      </w:hyperlink>
      <w:r w:rsidR="007F54DF" w:rsidRPr="00BB4B7E">
        <w:rPr>
          <w:rFonts w:ascii="Arial" w:hAnsi="Arial" w:cs="Arial"/>
          <w:sz w:val="24"/>
          <w:szCs w:val="24"/>
        </w:rPr>
        <w:t>.</w:t>
      </w:r>
    </w:p>
    <w:bookmarkStart w:id="1" w:name="_heading=h.o8hy5etrekw3" w:colFirst="0" w:colLast="0"/>
    <w:bookmarkEnd w:id="1"/>
    <w:p w:rsidR="003D7FF4" w:rsidRPr="00BB4B7E" w:rsidRDefault="004B0C49">
      <w:pPr>
        <w:tabs>
          <w:tab w:val="left" w:pos="1035"/>
        </w:tabs>
        <w:spacing w:after="0"/>
        <w:jc w:val="both"/>
        <w:rPr>
          <w:rFonts w:ascii="Arial" w:hAnsi="Arial" w:cs="Arial"/>
          <w:sz w:val="24"/>
          <w:szCs w:val="24"/>
        </w:rPr>
      </w:pPr>
      <w:r w:rsidRPr="004B0C49">
        <w:rPr>
          <w:rFonts w:ascii="Arial" w:hAnsi="Arial" w:cs="Arial"/>
          <w:sz w:val="24"/>
          <w:szCs w:val="24"/>
        </w:rPr>
        <w:fldChar w:fldCharType="begin"/>
      </w:r>
      <w:r w:rsidR="007F54DF" w:rsidRPr="00BB4B7E">
        <w:rPr>
          <w:rFonts w:ascii="Arial" w:hAnsi="Arial" w:cs="Arial"/>
          <w:sz w:val="24"/>
          <w:szCs w:val="24"/>
        </w:rPr>
        <w:instrText xml:space="preserve"> HYPERLINK "https://www.imf.org/external/np/exr/ib/2001/esl/032601s.htm" \h </w:instrText>
      </w:r>
      <w:r w:rsidRPr="004B0C49">
        <w:rPr>
          <w:rFonts w:ascii="Arial" w:hAnsi="Arial" w:cs="Arial"/>
          <w:sz w:val="24"/>
          <w:szCs w:val="24"/>
        </w:rPr>
        <w:fldChar w:fldCharType="separate"/>
      </w:r>
      <w:r w:rsidR="007F54DF" w:rsidRPr="00BB4B7E">
        <w:rPr>
          <w:rFonts w:ascii="Arial" w:hAnsi="Arial" w:cs="Arial"/>
          <w:color w:val="0563C1"/>
          <w:sz w:val="24"/>
          <w:szCs w:val="24"/>
          <w:u w:val="single"/>
        </w:rPr>
        <w:t>https://www.imf.org/external/np/exr/ib/2001/esl/032601s.htm</w:t>
      </w:r>
      <w:r w:rsidRPr="00BB4B7E">
        <w:rPr>
          <w:rFonts w:ascii="Arial" w:hAnsi="Arial" w:cs="Arial"/>
          <w:color w:val="0563C1"/>
          <w:sz w:val="24"/>
          <w:szCs w:val="24"/>
          <w:u w:val="single"/>
        </w:rPr>
        <w:fldChar w:fldCharType="end"/>
      </w:r>
      <w:r w:rsidR="007F54DF" w:rsidRPr="00BB4B7E">
        <w:rPr>
          <w:rFonts w:ascii="Arial" w:hAnsi="Arial" w:cs="Arial"/>
          <w:sz w:val="24"/>
          <w:szCs w:val="24"/>
        </w:rPr>
        <w:t xml:space="preserve"> </w:t>
      </w:r>
      <w:hyperlink r:id="rId23">
        <w:r w:rsidR="007F54DF" w:rsidRPr="00BB4B7E">
          <w:rPr>
            <w:rFonts w:ascii="Arial" w:hAnsi="Arial" w:cs="Arial"/>
            <w:color w:val="0563C1"/>
            <w:sz w:val="24"/>
            <w:szCs w:val="24"/>
            <w:u w:val="single"/>
          </w:rPr>
          <w:t>https://www.who.int/es/news-room/detail/20-04-2020-un-agencies-issue-urgent-call-to-fund-the-global-emergency-supply-system-to-fight-covid-19</w:t>
        </w:r>
      </w:hyperlink>
      <w:r w:rsidR="007F54DF" w:rsidRPr="00BB4B7E">
        <w:rPr>
          <w:rFonts w:ascii="Arial" w:hAnsi="Arial" w:cs="Arial"/>
          <w:color w:val="0563C1"/>
          <w:sz w:val="24"/>
          <w:szCs w:val="24"/>
          <w:u w:val="single"/>
        </w:rPr>
        <w:t xml:space="preserve">  </w:t>
      </w:r>
      <w:hyperlink r:id="rId24">
        <w:r w:rsidR="007F54DF" w:rsidRPr="00BB4B7E">
          <w:rPr>
            <w:rFonts w:ascii="Arial" w:hAnsi="Arial" w:cs="Arial"/>
            <w:color w:val="0563C1"/>
            <w:sz w:val="24"/>
            <w:szCs w:val="24"/>
            <w:u w:val="single"/>
          </w:rPr>
          <w:t>https://www.segib.org/organismos-internacionales-e-interamericanos-hacemos-un-llamado-a-los-estados-para-que-aseguren-una-participacion-igualitaria-de-las-mujeres-en-la-toma-de-decisiones-frente-a-la-crisis-del-covid-19/</w:t>
        </w:r>
      </w:hyperlink>
    </w:p>
    <w:p w:rsidR="003D7FF4" w:rsidRPr="00BB4B7E" w:rsidRDefault="003D7FF4">
      <w:pPr>
        <w:tabs>
          <w:tab w:val="left" w:pos="1035"/>
        </w:tabs>
        <w:spacing w:after="0"/>
        <w:jc w:val="both"/>
        <w:rPr>
          <w:rFonts w:ascii="Arial" w:hAnsi="Arial" w:cs="Arial"/>
          <w:sz w:val="24"/>
          <w:szCs w:val="24"/>
        </w:rPr>
      </w:pPr>
    </w:p>
    <w:p w:rsidR="003D7FF4" w:rsidRPr="00BB4B7E" w:rsidRDefault="003D7FF4">
      <w:pPr>
        <w:tabs>
          <w:tab w:val="left" w:pos="1035"/>
        </w:tabs>
        <w:spacing w:after="0"/>
        <w:ind w:left="720"/>
        <w:jc w:val="both"/>
        <w:rPr>
          <w:rFonts w:ascii="Arial" w:hAnsi="Arial" w:cs="Arial"/>
          <w:sz w:val="24"/>
          <w:szCs w:val="24"/>
        </w:rPr>
      </w:pPr>
    </w:p>
    <w:p w:rsidR="003D7FF4" w:rsidRPr="00BB4B7E" w:rsidRDefault="003D7FF4">
      <w:pPr>
        <w:pBdr>
          <w:top w:val="nil"/>
          <w:left w:val="nil"/>
          <w:bottom w:val="nil"/>
          <w:right w:val="nil"/>
          <w:between w:val="nil"/>
        </w:pBdr>
        <w:tabs>
          <w:tab w:val="left" w:pos="1035"/>
        </w:tabs>
        <w:ind w:left="720"/>
        <w:jc w:val="both"/>
        <w:rPr>
          <w:rFonts w:ascii="Arial" w:hAnsi="Arial" w:cs="Arial"/>
          <w:sz w:val="24"/>
          <w:szCs w:val="24"/>
        </w:rPr>
      </w:pPr>
    </w:p>
    <w:sectPr w:rsidR="003D7FF4" w:rsidRPr="00BB4B7E" w:rsidSect="004B0C49">
      <w:footerReference w:type="default" r:id="rId25"/>
      <w:pgSz w:w="11906" w:h="16838"/>
      <w:pgMar w:top="1440" w:right="1440" w:bottom="1440" w:left="1440" w:header="708"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21" w:rsidRDefault="00730621">
      <w:pPr>
        <w:spacing w:after="0" w:line="240" w:lineRule="auto"/>
      </w:pPr>
      <w:r>
        <w:separator/>
      </w:r>
    </w:p>
  </w:endnote>
  <w:endnote w:type="continuationSeparator" w:id="0">
    <w:p w:rsidR="00730621" w:rsidRDefault="00730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F4" w:rsidRDefault="004B0C4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7F54DF">
      <w:rPr>
        <w:color w:val="000000"/>
      </w:rPr>
      <w:instrText>PAGE</w:instrText>
    </w:r>
    <w:r>
      <w:rPr>
        <w:color w:val="000000"/>
      </w:rPr>
      <w:fldChar w:fldCharType="separate"/>
    </w:r>
    <w:r w:rsidR="00F73370">
      <w:rPr>
        <w:noProof/>
        <w:color w:val="000000"/>
      </w:rPr>
      <w:t>1</w:t>
    </w:r>
    <w:r>
      <w:rPr>
        <w:color w:val="000000"/>
      </w:rPr>
      <w:fldChar w:fldCharType="end"/>
    </w:r>
  </w:p>
  <w:p w:rsidR="003D7FF4" w:rsidRDefault="003D7F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21" w:rsidRDefault="00730621">
      <w:pPr>
        <w:spacing w:after="0" w:line="240" w:lineRule="auto"/>
      </w:pPr>
      <w:r>
        <w:separator/>
      </w:r>
    </w:p>
  </w:footnote>
  <w:footnote w:type="continuationSeparator" w:id="0">
    <w:p w:rsidR="00730621" w:rsidRDefault="00730621">
      <w:pPr>
        <w:spacing w:after="0" w:line="240" w:lineRule="auto"/>
      </w:pPr>
      <w:r>
        <w:continuationSeparator/>
      </w:r>
    </w:p>
  </w:footnote>
  <w:footnote w:id="1">
    <w:p w:rsidR="003D7FF4" w:rsidRDefault="007F54DF">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https://www.argentina.gob.ar/sites/default/files/reporte_nacional_2017_secundaria_web.pdf</w:t>
        </w:r>
      </w:hyperlink>
      <w:r>
        <w:rPr>
          <w:sz w:val="20"/>
          <w:szCs w:val="20"/>
        </w:rPr>
        <w:t xml:space="preserve">. </w:t>
      </w:r>
    </w:p>
  </w:footnote>
  <w:footnote w:id="2">
    <w:p w:rsidR="003D7FF4" w:rsidRDefault="007F54DF">
      <w:pPr>
        <w:spacing w:after="0" w:line="240" w:lineRule="auto"/>
        <w:jc w:val="both"/>
        <w:rPr>
          <w:sz w:val="20"/>
          <w:szCs w:val="20"/>
        </w:rPr>
      </w:pPr>
      <w:r>
        <w:rPr>
          <w:vertAlign w:val="superscript"/>
        </w:rPr>
        <w:footnoteRef/>
      </w:r>
      <w:r>
        <w:rPr>
          <w:sz w:val="20"/>
          <w:szCs w:val="20"/>
        </w:rPr>
        <w:t xml:space="preserve"> </w:t>
      </w:r>
      <w:hyperlink r:id="rId2">
        <w:r>
          <w:rPr>
            <w:color w:val="1155CC"/>
            <w:sz w:val="20"/>
            <w:szCs w:val="20"/>
            <w:u w:val="single"/>
          </w:rPr>
          <w:t>https://www.infobae.com/educacion/2018/08/05/educacion-sexual-integral-la-realidad-de-la-ley-de-la-que-mucho-se-habla-pero-poco-se-cumple/</w:t>
        </w:r>
      </w:hyperlink>
      <w:r>
        <w:rPr>
          <w:sz w:val="20"/>
          <w:szCs w:val="20"/>
        </w:rPr>
        <w:t xml:space="preserve">. </w:t>
      </w:r>
    </w:p>
  </w:footnote>
  <w:footnote w:id="3">
    <w:p w:rsidR="003D7FF4" w:rsidRDefault="007F54DF">
      <w:pPr>
        <w:spacing w:after="0" w:line="240" w:lineRule="auto"/>
        <w:jc w:val="both"/>
        <w:rPr>
          <w:sz w:val="20"/>
          <w:szCs w:val="20"/>
        </w:rPr>
      </w:pPr>
      <w:r>
        <w:rPr>
          <w:vertAlign w:val="superscript"/>
        </w:rPr>
        <w:footnoteRef/>
      </w:r>
      <w:r>
        <w:rPr>
          <w:sz w:val="20"/>
          <w:szCs w:val="20"/>
        </w:rPr>
        <w:t xml:space="preserve"> UNICEF. Estado de la situación de la niñez y la adolescencia en Argentina. Disponible en: </w:t>
      </w:r>
      <w:hyperlink r:id="rId3">
        <w:r>
          <w:rPr>
            <w:color w:val="1155CC"/>
            <w:sz w:val="20"/>
            <w:szCs w:val="20"/>
            <w:u w:val="single"/>
          </w:rPr>
          <w:t>https://www.unicef.org/argentina/sites/unicef.org.argentina/files/2018-04/SITAN.pdf</w:t>
        </w:r>
      </w:hyperlink>
      <w:r>
        <w:rPr>
          <w:sz w:val="20"/>
          <w:szCs w:val="20"/>
        </w:rPr>
        <w:t xml:space="preserve"> </w:t>
      </w:r>
    </w:p>
  </w:footnote>
  <w:footnote w:id="4">
    <w:p w:rsidR="003D7FF4" w:rsidRDefault="007F54DF">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Resolución 114/2020</w:t>
        </w:r>
      </w:hyperlink>
      <w:r>
        <w:rPr>
          <w:sz w:val="20"/>
          <w:szCs w:val="20"/>
        </w:rPr>
        <w:t>.</w:t>
      </w:r>
    </w:p>
  </w:footnote>
  <w:footnote w:id="5">
    <w:p w:rsidR="003D7FF4" w:rsidRDefault="007F54DF">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Resolución 115/2020</w:t>
        </w:r>
      </w:hyperlink>
      <w:r>
        <w:rPr>
          <w:sz w:val="20"/>
          <w:szCs w:val="20"/>
        </w:rPr>
        <w:t>.</w:t>
      </w:r>
    </w:p>
  </w:footnote>
  <w:footnote w:id="6">
    <w:p w:rsidR="003D7FF4" w:rsidRDefault="007F54DF">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Decisión Administrativa 472/2020</w:t>
        </w:r>
      </w:hyperlink>
      <w:r>
        <w:rPr>
          <w:sz w:val="20"/>
          <w:szCs w:val="20"/>
        </w:rPr>
        <w:t>.</w:t>
      </w:r>
    </w:p>
  </w:footnote>
  <w:footnote w:id="7">
    <w:p w:rsidR="003D7FF4" w:rsidRDefault="007F54DF">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Decreto 333/2020</w:t>
        </w:r>
      </w:hyperlink>
      <w:r>
        <w:rPr>
          <w:sz w:val="20"/>
          <w:szCs w:val="20"/>
        </w:rPr>
        <w:t>.</w:t>
      </w:r>
    </w:p>
  </w:footnote>
  <w:footnote w:id="8">
    <w:p w:rsidR="003D7FF4" w:rsidRDefault="007F54DF">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Resolución 132/2020</w:t>
        </w:r>
      </w:hyperlink>
      <w:r>
        <w:rPr>
          <w:sz w:val="20"/>
          <w:szCs w:val="20"/>
        </w:rPr>
        <w:t>.</w:t>
      </w:r>
    </w:p>
  </w:footnote>
  <w:footnote w:id="9">
    <w:p w:rsidR="003D7FF4" w:rsidRDefault="007F54DF">
      <w:pPr>
        <w:spacing w:after="0" w:line="240" w:lineRule="auto"/>
        <w:jc w:val="both"/>
        <w:rPr>
          <w:sz w:val="18"/>
          <w:szCs w:val="18"/>
        </w:rPr>
      </w:pPr>
      <w:r>
        <w:rPr>
          <w:vertAlign w:val="superscript"/>
        </w:rPr>
        <w:footnoteRef/>
      </w:r>
      <w:r>
        <w:rPr>
          <w:sz w:val="20"/>
          <w:szCs w:val="20"/>
        </w:rPr>
        <w:t xml:space="preserve"> </w:t>
      </w:r>
      <w:hyperlink r:id="rId9">
        <w:r>
          <w:rPr>
            <w:color w:val="1155CC"/>
            <w:sz w:val="18"/>
            <w:szCs w:val="18"/>
            <w:u w:val="single"/>
          </w:rPr>
          <w:t>Intervención de la Defensoría del Pueblo de la Nación ante el Ministerio de Salud de la provincia de Buenos Aires</w:t>
        </w:r>
      </w:hyperlink>
      <w:r>
        <w:rPr>
          <w:sz w:val="18"/>
          <w:szCs w:val="18"/>
        </w:rPr>
        <w:t>.</w:t>
      </w:r>
    </w:p>
  </w:footnote>
  <w:footnote w:id="10">
    <w:p w:rsidR="003D7FF4" w:rsidRDefault="007F54DF">
      <w:pPr>
        <w:spacing w:after="0" w:line="240" w:lineRule="auto"/>
        <w:jc w:val="both"/>
        <w:rPr>
          <w:sz w:val="20"/>
          <w:szCs w:val="20"/>
        </w:rPr>
      </w:pPr>
      <w:r>
        <w:rPr>
          <w:vertAlign w:val="superscript"/>
        </w:rPr>
        <w:footnoteRef/>
      </w:r>
      <w:r>
        <w:rPr>
          <w:sz w:val="20"/>
          <w:szCs w:val="20"/>
        </w:rPr>
        <w:t xml:space="preserve"> Boletín epidemiológico Nº 36 sobre VIH, Sida e ITS en Argentina, Diciembre 2019. Disponible en: </w:t>
      </w:r>
      <w:hyperlink r:id="rId10">
        <w:r>
          <w:rPr>
            <w:color w:val="1155CC"/>
            <w:sz w:val="20"/>
            <w:szCs w:val="20"/>
            <w:u w:val="single"/>
          </w:rPr>
          <w:t>http://www.msal.gob.ar/images/stories/bes/graficos/0000001754cnt-boletin-epidemiologico-2019_vih-sida-its.pdf</w:t>
        </w:r>
      </w:hyperlink>
      <w:r>
        <w:rPr>
          <w:sz w:val="20"/>
          <w:szCs w:val="20"/>
        </w:rPr>
        <w:t xml:space="preserve"> </w:t>
      </w:r>
    </w:p>
  </w:footnote>
  <w:footnote w:id="11">
    <w:p w:rsidR="003D7FF4" w:rsidRPr="004623BA" w:rsidRDefault="007F54DF">
      <w:pPr>
        <w:spacing w:after="0" w:line="240" w:lineRule="auto"/>
        <w:rPr>
          <w:sz w:val="20"/>
          <w:szCs w:val="20"/>
          <w:lang w:val="en-US"/>
        </w:rPr>
      </w:pPr>
      <w:r>
        <w:rPr>
          <w:vertAlign w:val="superscript"/>
        </w:rPr>
        <w:footnoteRef/>
      </w:r>
      <w:r w:rsidRPr="004623BA">
        <w:rPr>
          <w:sz w:val="20"/>
          <w:szCs w:val="20"/>
          <w:lang w:val="en-US"/>
        </w:rPr>
        <w:t xml:space="preserve"> Idem.</w:t>
      </w:r>
    </w:p>
  </w:footnote>
  <w:footnote w:id="12">
    <w:p w:rsidR="003D7FF4" w:rsidRPr="004623BA" w:rsidRDefault="007F54DF">
      <w:pPr>
        <w:spacing w:after="0" w:line="240" w:lineRule="auto"/>
        <w:rPr>
          <w:sz w:val="18"/>
          <w:szCs w:val="18"/>
          <w:lang w:val="en-US"/>
        </w:rPr>
      </w:pPr>
      <w:r>
        <w:rPr>
          <w:vertAlign w:val="superscript"/>
        </w:rPr>
        <w:footnoteRef/>
      </w:r>
      <w:r w:rsidRPr="004623BA">
        <w:rPr>
          <w:sz w:val="20"/>
          <w:szCs w:val="20"/>
          <w:lang w:val="en-US"/>
        </w:rPr>
        <w:t xml:space="preserve"> </w:t>
      </w:r>
      <w:hyperlink r:id="rId11">
        <w:r w:rsidRPr="004623BA">
          <w:rPr>
            <w:color w:val="1155CC"/>
            <w:sz w:val="18"/>
            <w:szCs w:val="18"/>
            <w:u w:val="single"/>
            <w:lang w:val="en-US"/>
          </w:rPr>
          <w:t>https://www.ambito.com/cuarentena/durante-la-aumentaron-un-39-las-llamadas-violencia-genero-n5094105</w:t>
        </w:r>
      </w:hyperlink>
      <w:r w:rsidRPr="004623BA">
        <w:rPr>
          <w:sz w:val="18"/>
          <w:szCs w:val="18"/>
          <w:lang w:val="en-US"/>
        </w:rPr>
        <w:t xml:space="preserve">. </w:t>
      </w:r>
    </w:p>
  </w:footnote>
  <w:footnote w:id="13">
    <w:p w:rsidR="003D7FF4" w:rsidRPr="004623BA" w:rsidRDefault="007F54DF">
      <w:pPr>
        <w:spacing w:after="0" w:line="240" w:lineRule="auto"/>
        <w:jc w:val="both"/>
        <w:rPr>
          <w:sz w:val="20"/>
          <w:szCs w:val="20"/>
          <w:lang w:val="en-US"/>
        </w:rPr>
      </w:pPr>
      <w:r>
        <w:rPr>
          <w:vertAlign w:val="superscript"/>
        </w:rPr>
        <w:footnoteRef/>
      </w:r>
      <w:hyperlink r:id="rId12">
        <w:r w:rsidRPr="004623BA">
          <w:rPr>
            <w:color w:val="1155CC"/>
            <w:sz w:val="20"/>
            <w:szCs w:val="20"/>
            <w:u w:val="single"/>
            <w:lang w:val="en-US"/>
          </w:rPr>
          <w:t>https://www.cij.gov.ar/nota-37431-Prorrogan-por-60-d-as-las-medidas-cautelares-de-protecci-n-dictadas-en-procesos-de-violencia-dom-stica.html</w:t>
        </w:r>
      </w:hyperlink>
      <w:r w:rsidRPr="004623BA">
        <w:rPr>
          <w:sz w:val="20"/>
          <w:szCs w:val="20"/>
          <w:lang w:val="en-US"/>
        </w:rPr>
        <w:t xml:space="preserve">. </w:t>
      </w:r>
    </w:p>
  </w:footnote>
  <w:footnote w:id="14">
    <w:p w:rsidR="003D7FF4" w:rsidRPr="004623BA" w:rsidRDefault="007F54DF">
      <w:pPr>
        <w:spacing w:after="0" w:line="240" w:lineRule="auto"/>
        <w:rPr>
          <w:sz w:val="20"/>
          <w:szCs w:val="20"/>
          <w:lang w:val="en-US"/>
        </w:rPr>
      </w:pPr>
      <w:r>
        <w:rPr>
          <w:vertAlign w:val="superscript"/>
        </w:rPr>
        <w:footnoteRef/>
      </w:r>
      <w:r w:rsidRPr="004623BA">
        <w:rPr>
          <w:sz w:val="20"/>
          <w:szCs w:val="20"/>
          <w:lang w:val="en-US"/>
        </w:rPr>
        <w:t xml:space="preserve"> </w:t>
      </w:r>
      <w:hyperlink r:id="rId13">
        <w:r w:rsidRPr="004623BA">
          <w:rPr>
            <w:color w:val="1155CC"/>
            <w:sz w:val="20"/>
            <w:szCs w:val="20"/>
            <w:u w:val="single"/>
            <w:lang w:val="en-US"/>
          </w:rPr>
          <w:t>https://www.indec.gob.ar/indec/web/Nivel4-Tema-2-41-135</w:t>
        </w:r>
      </w:hyperlink>
      <w:r w:rsidRPr="004623BA">
        <w:rPr>
          <w:sz w:val="20"/>
          <w:szCs w:val="20"/>
          <w:lang w:val="en-US"/>
        </w:rPr>
        <w:t xml:space="preserve">. </w:t>
      </w:r>
    </w:p>
  </w:footnote>
  <w:footnote w:id="15">
    <w:p w:rsidR="003D7FF4" w:rsidRDefault="007F54DF">
      <w:pPr>
        <w:spacing w:after="0" w:line="240" w:lineRule="auto"/>
        <w:jc w:val="both"/>
        <w:rPr>
          <w:sz w:val="20"/>
          <w:szCs w:val="20"/>
        </w:rPr>
      </w:pPr>
      <w:r>
        <w:rPr>
          <w:vertAlign w:val="superscript"/>
        </w:rPr>
        <w:footnoteRef/>
      </w:r>
      <w:r>
        <w:rPr>
          <w:sz w:val="20"/>
          <w:szCs w:val="20"/>
        </w:rPr>
        <w:t xml:space="preserve"> Fundación para estudio e investigación de la mujer -FEIM-. </w:t>
      </w:r>
    </w:p>
  </w:footnote>
  <w:footnote w:id="16">
    <w:p w:rsidR="003D7FF4" w:rsidRDefault="007F54DF">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https://www.indec.gob.ar/ftp/cuadros/publicaciones/enssyr_2013.pdf</w:t>
        </w:r>
      </w:hyperlink>
      <w:r>
        <w:rPr>
          <w:sz w:val="20"/>
          <w:szCs w:val="20"/>
        </w:rPr>
        <w:t xml:space="preserve">. </w:t>
      </w:r>
    </w:p>
  </w:footnote>
  <w:footnote w:id="17">
    <w:p w:rsidR="003D7FF4" w:rsidRDefault="007F54DF">
      <w:pPr>
        <w:spacing w:after="0" w:line="240" w:lineRule="auto"/>
        <w:jc w:val="both"/>
        <w:rPr>
          <w:sz w:val="20"/>
          <w:szCs w:val="20"/>
        </w:rPr>
      </w:pPr>
      <w:r>
        <w:rPr>
          <w:vertAlign w:val="superscript"/>
        </w:rPr>
        <w:footnoteRef/>
      </w:r>
      <w:r>
        <w:rPr>
          <w:sz w:val="20"/>
          <w:szCs w:val="20"/>
        </w:rPr>
        <w:t xml:space="preserve"> UNICEF. Estado de la situación de la niñez y la adolescencia en Argentina. Disponible en: </w:t>
      </w:r>
      <w:hyperlink r:id="rId15">
        <w:r>
          <w:rPr>
            <w:color w:val="1155CC"/>
            <w:sz w:val="20"/>
            <w:szCs w:val="20"/>
            <w:u w:val="single"/>
          </w:rPr>
          <w:t>https://www.unicef.org/argentina/sites/unicef.org.argentina/files/2018-04/SITAN.pdf</w:t>
        </w:r>
      </w:hyperlink>
      <w:r>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5BC"/>
    <w:multiLevelType w:val="multilevel"/>
    <w:tmpl w:val="0FFCA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676494"/>
    <w:multiLevelType w:val="multilevel"/>
    <w:tmpl w:val="7D50D3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5A44D9F"/>
    <w:multiLevelType w:val="multilevel"/>
    <w:tmpl w:val="202219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C5740DF"/>
    <w:multiLevelType w:val="multilevel"/>
    <w:tmpl w:val="F36E62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D7FF4"/>
    <w:rsid w:val="001234B8"/>
    <w:rsid w:val="003D7FF4"/>
    <w:rsid w:val="004623BA"/>
    <w:rsid w:val="004B0C49"/>
    <w:rsid w:val="006719F6"/>
    <w:rsid w:val="00730621"/>
    <w:rsid w:val="007F54DF"/>
    <w:rsid w:val="00BB4B7E"/>
    <w:rsid w:val="00C460B8"/>
    <w:rsid w:val="00E75738"/>
    <w:rsid w:val="00F73370"/>
    <w:rsid w:val="00F814D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49"/>
  </w:style>
  <w:style w:type="paragraph" w:styleId="Ttulo1">
    <w:name w:val="heading 1"/>
    <w:basedOn w:val="Normal"/>
    <w:next w:val="Normal"/>
    <w:rsid w:val="004B0C49"/>
    <w:pPr>
      <w:keepNext/>
      <w:keepLines/>
      <w:spacing w:before="480" w:after="120"/>
      <w:outlineLvl w:val="0"/>
    </w:pPr>
    <w:rPr>
      <w:b/>
      <w:sz w:val="48"/>
      <w:szCs w:val="48"/>
    </w:rPr>
  </w:style>
  <w:style w:type="paragraph" w:styleId="Ttulo2">
    <w:name w:val="heading 2"/>
    <w:basedOn w:val="Normal"/>
    <w:next w:val="Normal"/>
    <w:rsid w:val="004B0C49"/>
    <w:pPr>
      <w:keepNext/>
      <w:keepLines/>
      <w:spacing w:before="360" w:after="80"/>
      <w:outlineLvl w:val="1"/>
    </w:pPr>
    <w:rPr>
      <w:b/>
      <w:sz w:val="36"/>
      <w:szCs w:val="36"/>
    </w:rPr>
  </w:style>
  <w:style w:type="paragraph" w:styleId="Ttulo3">
    <w:name w:val="heading 3"/>
    <w:basedOn w:val="Normal"/>
    <w:next w:val="Normal"/>
    <w:rsid w:val="004B0C49"/>
    <w:pPr>
      <w:keepNext/>
      <w:keepLines/>
      <w:spacing w:before="280" w:after="80"/>
      <w:outlineLvl w:val="2"/>
    </w:pPr>
    <w:rPr>
      <w:b/>
      <w:sz w:val="28"/>
      <w:szCs w:val="28"/>
    </w:rPr>
  </w:style>
  <w:style w:type="paragraph" w:styleId="Ttulo4">
    <w:name w:val="heading 4"/>
    <w:basedOn w:val="Normal"/>
    <w:next w:val="Normal"/>
    <w:rsid w:val="004B0C49"/>
    <w:pPr>
      <w:keepNext/>
      <w:keepLines/>
      <w:spacing w:before="240" w:after="40"/>
      <w:outlineLvl w:val="3"/>
    </w:pPr>
    <w:rPr>
      <w:b/>
      <w:sz w:val="24"/>
      <w:szCs w:val="24"/>
    </w:rPr>
  </w:style>
  <w:style w:type="paragraph" w:styleId="Ttulo5">
    <w:name w:val="heading 5"/>
    <w:basedOn w:val="Normal"/>
    <w:next w:val="Normal"/>
    <w:rsid w:val="004B0C49"/>
    <w:pPr>
      <w:keepNext/>
      <w:keepLines/>
      <w:spacing w:before="220" w:after="40"/>
      <w:outlineLvl w:val="4"/>
    </w:pPr>
    <w:rPr>
      <w:b/>
    </w:rPr>
  </w:style>
  <w:style w:type="paragraph" w:styleId="Ttulo6">
    <w:name w:val="heading 6"/>
    <w:basedOn w:val="Normal"/>
    <w:next w:val="Normal"/>
    <w:rsid w:val="004B0C4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B0C49"/>
    <w:tblPr>
      <w:tblCellMar>
        <w:top w:w="0" w:type="dxa"/>
        <w:left w:w="0" w:type="dxa"/>
        <w:bottom w:w="0" w:type="dxa"/>
        <w:right w:w="0" w:type="dxa"/>
      </w:tblCellMar>
    </w:tblPr>
  </w:style>
  <w:style w:type="paragraph" w:styleId="Ttulo">
    <w:name w:val="Title"/>
    <w:basedOn w:val="Normal"/>
    <w:next w:val="Normal"/>
    <w:rsid w:val="004B0C49"/>
    <w:pPr>
      <w:keepNext/>
      <w:keepLines/>
      <w:spacing w:before="480" w:after="120"/>
    </w:pPr>
    <w:rPr>
      <w:b/>
      <w:sz w:val="72"/>
      <w:szCs w:val="72"/>
    </w:rPr>
  </w:style>
  <w:style w:type="table" w:customStyle="1" w:styleId="TableNormal0">
    <w:name w:val="Table Normal"/>
    <w:rsid w:val="004B0C49"/>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F06E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6EA7"/>
    <w:rPr>
      <w:sz w:val="20"/>
      <w:szCs w:val="20"/>
    </w:rPr>
  </w:style>
  <w:style w:type="character" w:styleId="Refdenotaalpie">
    <w:name w:val="footnote reference"/>
    <w:basedOn w:val="Fuentedeprrafopredeter"/>
    <w:uiPriority w:val="99"/>
    <w:semiHidden/>
    <w:unhideWhenUsed/>
    <w:rsid w:val="00F06EA7"/>
    <w:rPr>
      <w:vertAlign w:val="superscript"/>
    </w:rPr>
  </w:style>
  <w:style w:type="character" w:styleId="Hipervnculo">
    <w:name w:val="Hyperlink"/>
    <w:basedOn w:val="Fuentedeprrafopredeter"/>
    <w:uiPriority w:val="99"/>
    <w:unhideWhenUsed/>
    <w:rsid w:val="0095572F"/>
    <w:rPr>
      <w:color w:val="0563C1" w:themeColor="hyperlink"/>
      <w:u w:val="single"/>
    </w:rPr>
  </w:style>
  <w:style w:type="paragraph" w:styleId="Prrafodelista">
    <w:name w:val="List Paragraph"/>
    <w:basedOn w:val="Normal"/>
    <w:uiPriority w:val="34"/>
    <w:qFormat/>
    <w:rsid w:val="00995656"/>
    <w:pPr>
      <w:ind w:left="720"/>
      <w:contextualSpacing/>
    </w:pPr>
  </w:style>
  <w:style w:type="paragraph" w:styleId="Encabezado">
    <w:name w:val="header"/>
    <w:basedOn w:val="Normal"/>
    <w:link w:val="EncabezadoCar"/>
    <w:uiPriority w:val="99"/>
    <w:unhideWhenUsed/>
    <w:rsid w:val="00CE115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1153"/>
  </w:style>
  <w:style w:type="paragraph" w:styleId="Piedepgina">
    <w:name w:val="footer"/>
    <w:basedOn w:val="Normal"/>
    <w:link w:val="PiedepginaCar"/>
    <w:uiPriority w:val="99"/>
    <w:unhideWhenUsed/>
    <w:rsid w:val="00CE115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E1153"/>
  </w:style>
  <w:style w:type="paragraph" w:styleId="Textodeglobo">
    <w:name w:val="Balloon Text"/>
    <w:basedOn w:val="Normal"/>
    <w:link w:val="TextodegloboCar"/>
    <w:uiPriority w:val="99"/>
    <w:semiHidden/>
    <w:unhideWhenUsed/>
    <w:rsid w:val="00810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409"/>
    <w:rPr>
      <w:rFonts w:ascii="Segoe UI" w:hAnsi="Segoe UI" w:cs="Segoe UI"/>
      <w:sz w:val="18"/>
      <w:szCs w:val="18"/>
    </w:rPr>
  </w:style>
  <w:style w:type="paragraph" w:styleId="Subttulo">
    <w:name w:val="Subtitle"/>
    <w:basedOn w:val="Normal"/>
    <w:next w:val="Normal"/>
    <w:rsid w:val="004B0C49"/>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BB4B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dec.gob.ar" TargetMode="External"/><Relationship Id="rId13" Type="http://schemas.openxmlformats.org/officeDocument/2006/relationships/hyperlink" Target="http://www.msal.gob.ar/images/stories/bes/graficos/0000002015cnt-2020-06-22-covid19-pautas-cuidado-ninez.pdf" TargetMode="External"/><Relationship Id="rId18" Type="http://schemas.openxmlformats.org/officeDocument/2006/relationships/hyperlink" Target="http://www.msal.gob.ar/images/stories/bes/graficos/0000001839cnt-covid-19-recomendaciones-atencion-embarazadas-recien-nacido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epal.org/es/comunicados/60-agencias-internacionales-exhortan-respuesta-coordinada-oportuna-enfrentar-la-crisis" TargetMode="External"/><Relationship Id="rId7" Type="http://schemas.openxmlformats.org/officeDocument/2006/relationships/endnotes" Target="endnotes.xml"/><Relationship Id="rId12" Type="http://schemas.openxmlformats.org/officeDocument/2006/relationships/hyperlink" Target="http://www.infoleg.gob.ar" TargetMode="External"/><Relationship Id="rId17" Type="http://schemas.openxmlformats.org/officeDocument/2006/relationships/hyperlink" Target="http://www.msal.gob.ar/images/stories/bes/graficos/0000001873cnt-covid-19-recomendaciones-1-nivel-atencion-gestantes-ninos-ninas-adolescente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l.gob.ar/images/stories/bes/graficos/0000001891cnt-covid19-recomendaciones-para-garantizar-acceso-a-la-salud-personas-trans-travestis-y-no-binarias.pdf" TargetMode="External"/><Relationship Id="rId20" Type="http://schemas.openxmlformats.org/officeDocument/2006/relationships/hyperlink" Target="http://www.infoleg.gov.ar"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leg.gob.ar" TargetMode="External"/><Relationship Id="rId24" Type="http://schemas.openxmlformats.org/officeDocument/2006/relationships/hyperlink" Target="https://www.segib.org/organismos-internacionales-e-interamericanos-hacemos-un-llamado-a-los-estados-para-que-aseguren-una-participacion-igualitaria-de-las-mujeres-en-la-toma-de-decisiones-frente-a-la-crisis-del-covid-19/" TargetMode="External"/><Relationship Id="rId5" Type="http://schemas.openxmlformats.org/officeDocument/2006/relationships/webSettings" Target="webSettings.xml"/><Relationship Id="rId15" Type="http://schemas.openxmlformats.org/officeDocument/2006/relationships/hyperlink" Target="http://www.msal.gob.ar/images/stories/bes/graficos/0000001957cnt-covid19-recomendaciones-para-la-reproduccion-medicamente-asistida-en-contexto-de-pandemia.pdf" TargetMode="External"/><Relationship Id="rId23" Type="http://schemas.openxmlformats.org/officeDocument/2006/relationships/hyperlink" Target="https://www.who.int/es/news-room/detail/20-04-2020-un-agencies-issue-urgent-call-to-fund-the-global-emergency-supply-system-to-fight-covid-19" TargetMode="External"/><Relationship Id="rId28" Type="http://schemas.openxmlformats.org/officeDocument/2006/relationships/customXml" Target="../customXml/item2.xml"/><Relationship Id="rId10" Type="http://schemas.openxmlformats.org/officeDocument/2006/relationships/hyperlink" Target="http://www.indec.gob.ar" TargetMode="External"/><Relationship Id="rId19" Type="http://schemas.openxmlformats.org/officeDocument/2006/relationships/hyperlink" Target="http://www.msal.gob.ar/images/stories/bes/graficos/0000001836cnt-covid19_manejo-situaciones-personas-vih.pdf" TargetMode="External"/><Relationship Id="rId4" Type="http://schemas.openxmlformats.org/officeDocument/2006/relationships/settings" Target="settings.xml"/><Relationship Id="rId9" Type="http://schemas.openxmlformats.org/officeDocument/2006/relationships/hyperlink" Target="http://www.infoleg.gob.ar" TargetMode="External"/><Relationship Id="rId14" Type="http://schemas.openxmlformats.org/officeDocument/2006/relationships/hyperlink" Target="http://www.msal.gob.ar/images/stories/bes/graficos/0000001972cnt-covid19-estudios-de-tamizaje-y-diagnostico-cancer-de-mama-cervicouterino-colorrectal.pdf" TargetMode="External"/><Relationship Id="rId22" Type="http://schemas.openxmlformats.org/officeDocument/2006/relationships/hyperlink" Target="https://www.un.org/es/chronicle/article/mejorar-la-respuesta-de-las-naciones-unidas-las-crisis-humanitarias"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boletinoficial.gob.ar/detalleAviso/primera/227340/20200401" TargetMode="External"/><Relationship Id="rId13" Type="http://schemas.openxmlformats.org/officeDocument/2006/relationships/hyperlink" Target="https://www.indec.gob.ar/indec/web/Nivel4-Tema-2-41-135" TargetMode="External"/><Relationship Id="rId3" Type="http://schemas.openxmlformats.org/officeDocument/2006/relationships/hyperlink" Target="https://www.unicef.org/argentina/sites/unicef.org.argentina/files/2018-04/SITAN.pdf" TargetMode="External"/><Relationship Id="rId7" Type="http://schemas.openxmlformats.org/officeDocument/2006/relationships/hyperlink" Target="https://www.boletinoficial.gob.ar/detalleAviso/primera/227367/20200402" TargetMode="External"/><Relationship Id="rId12" Type="http://schemas.openxmlformats.org/officeDocument/2006/relationships/hyperlink" Target="https://www.cij.gov.ar/nota-37431-Prorrogan-por-60-d-as-las-medidas-cautelares-de-protecci-n-dictadas-en-procesos-de-violencia-dom-stica.html" TargetMode="External"/><Relationship Id="rId2" Type="http://schemas.openxmlformats.org/officeDocument/2006/relationships/hyperlink" Target="https://www.infobae.com/educacion/2018/08/05/educacion-sexual-integral-la-realidad-de-la-ley-de-la-que-mucho-se-habla-pero-poco-se-cumple/" TargetMode="External"/><Relationship Id="rId1" Type="http://schemas.openxmlformats.org/officeDocument/2006/relationships/hyperlink" Target="https://www.argentina.gob.ar/sites/default/files/reporte_nacional_2017_secundaria_web.pdf" TargetMode="External"/><Relationship Id="rId6" Type="http://schemas.openxmlformats.org/officeDocument/2006/relationships/hyperlink" Target="https://www.boletinoficial.gob.ar/suplementos/2020040701NS.pdf" TargetMode="External"/><Relationship Id="rId11" Type="http://schemas.openxmlformats.org/officeDocument/2006/relationships/hyperlink" Target="https://www.ambito.com/cuarentena/durante-la-aumentaron-un-39-las-llamadas-violencia-genero-n5094105" TargetMode="External"/><Relationship Id="rId5" Type="http://schemas.openxmlformats.org/officeDocument/2006/relationships/hyperlink" Target="https://www.boletinoficial.gob.ar/detalleAviso/primera/227939/20200417" TargetMode="External"/><Relationship Id="rId15" Type="http://schemas.openxmlformats.org/officeDocument/2006/relationships/hyperlink" Target="https://www.unicef.org/argentina/sites/unicef.org.argentina/files/2018-04/SITAN.pdf" TargetMode="External"/><Relationship Id="rId10" Type="http://schemas.openxmlformats.org/officeDocument/2006/relationships/hyperlink" Target="http://www.msal.gob.ar/images/stories/bes/graficos/0000001754cnt-boletin-epidemiologico-2019_vih-sida-its.pdf" TargetMode="External"/><Relationship Id="rId4" Type="http://schemas.openxmlformats.org/officeDocument/2006/relationships/hyperlink" Target="https://www.boletinoficial.gob.ar/detalleAviso/primera/227938/20200417" TargetMode="External"/><Relationship Id="rId9" Type="http://schemas.openxmlformats.org/officeDocument/2006/relationships/hyperlink" Target="https://www.facebook.com/dpn.argentina/photos/a-partir-de-la-intervenci%C3%B3n-solicitada-por-el-consejo-local-de-mujeres-de-bah%C3%ADa-/2238674989534952/" TargetMode="External"/><Relationship Id="rId14" Type="http://schemas.openxmlformats.org/officeDocument/2006/relationships/hyperlink" Target="https://www.indec.gob.ar/ftp/cuadros/publicaciones/enssyr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sk7j9ZDHTlIVO9icUVFql+XNOQ==">AMUW2mUjiIp02Fw8yhyaPSYdvWYITfHJWmAxxwB/6JOUkgtp6/HzTwUraAr6a2+SK9bkP8TbA6JFDEW1sWYKVUpzxcOgaBvXtHVV5zQ4gJ38TBCkFc5mbEiFHNLQEiL7wrrKatxXUvDQlpgxNYpWW5h3KiCU7DY02Q==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81AA58-1E78-4BA1-ACDD-D4828F80B30C}"/>
</file>

<file path=customXml/itemProps3.xml><?xml version="1.0" encoding="utf-8"?>
<ds:datastoreItem xmlns:ds="http://schemas.openxmlformats.org/officeDocument/2006/customXml" ds:itemID="{2BCD208E-9971-4DE9-A761-94FA43A3284D}"/>
</file>

<file path=customXml/itemProps4.xml><?xml version="1.0" encoding="utf-8"?>
<ds:datastoreItem xmlns:ds="http://schemas.openxmlformats.org/officeDocument/2006/customXml" ds:itemID="{04C4DCA1-B778-4CE2-9628-9B9698393DE3}"/>
</file>

<file path=docProps/app.xml><?xml version="1.0" encoding="utf-8"?>
<Properties xmlns="http://schemas.openxmlformats.org/officeDocument/2006/extended-properties" xmlns:vt="http://schemas.openxmlformats.org/officeDocument/2006/docPropsVTypes">
  <Template>Normal</Template>
  <TotalTime>1</TotalTime>
  <Pages>22</Pages>
  <Words>9874</Words>
  <Characters>54307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jbockel</cp:lastModifiedBy>
  <cp:revision>2</cp:revision>
  <dcterms:created xsi:type="dcterms:W3CDTF">2020-08-31T15:08:00Z</dcterms:created>
  <dcterms:modified xsi:type="dcterms:W3CDTF">2020-08-31T15:08:00Z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