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0A" w:rsidRDefault="00606E0A" w:rsidP="00A35EDD">
      <w:pPr>
        <w:rPr>
          <w:sz w:val="23"/>
          <w:szCs w:val="23"/>
        </w:rPr>
      </w:pPr>
    </w:p>
    <w:p w:rsidR="00692E09" w:rsidRDefault="00692E09" w:rsidP="00A35EDD">
      <w:pPr>
        <w:rPr>
          <w:sz w:val="23"/>
          <w:szCs w:val="23"/>
        </w:rPr>
      </w:pPr>
    </w:p>
    <w:p w:rsidR="008F7747" w:rsidRDefault="008F7747" w:rsidP="00A35EDD">
      <w:pPr>
        <w:jc w:val="center"/>
        <w:rPr>
          <w:b/>
          <w:sz w:val="23"/>
          <w:szCs w:val="23"/>
        </w:rPr>
      </w:pPr>
      <w:r w:rsidRPr="008F7747">
        <w:rPr>
          <w:b/>
          <w:sz w:val="23"/>
          <w:szCs w:val="23"/>
        </w:rPr>
        <w:t>RESPUESTA A LA CONSU</w:t>
      </w:r>
      <w:bookmarkStart w:id="0" w:name="_GoBack"/>
      <w:bookmarkEnd w:id="0"/>
      <w:r w:rsidRPr="008F7747">
        <w:rPr>
          <w:b/>
          <w:sz w:val="23"/>
          <w:szCs w:val="23"/>
        </w:rPr>
        <w:t>LTA SOBRE BRECHA DIGITAL DE GÉNERO EN URUGUAY</w:t>
      </w:r>
    </w:p>
    <w:p w:rsidR="0027440A" w:rsidRPr="00692E09" w:rsidRDefault="0027440A" w:rsidP="00A35EDD">
      <w:pPr>
        <w:rPr>
          <w:sz w:val="8"/>
          <w:szCs w:val="8"/>
        </w:rPr>
      </w:pPr>
    </w:p>
    <w:p w:rsidR="00692E09" w:rsidRPr="00692E09" w:rsidRDefault="00692E09" w:rsidP="00692E09">
      <w:pPr>
        <w:jc w:val="center"/>
        <w:rPr>
          <w:i/>
          <w:sz w:val="23"/>
          <w:szCs w:val="23"/>
        </w:rPr>
      </w:pPr>
      <w:r w:rsidRPr="00692E09">
        <w:rPr>
          <w:i/>
          <w:sz w:val="23"/>
          <w:szCs w:val="23"/>
        </w:rPr>
        <w:t>Diciembre de 2016</w:t>
      </w:r>
    </w:p>
    <w:p w:rsidR="00692E09" w:rsidRPr="00692E09" w:rsidRDefault="00692E09" w:rsidP="00A35EDD">
      <w:pPr>
        <w:rPr>
          <w:sz w:val="23"/>
          <w:szCs w:val="23"/>
        </w:rPr>
      </w:pPr>
    </w:p>
    <w:p w:rsidR="00692E09" w:rsidRDefault="00692E09" w:rsidP="00A35EDD">
      <w:pPr>
        <w:rPr>
          <w:sz w:val="23"/>
          <w:szCs w:val="23"/>
        </w:rPr>
      </w:pPr>
    </w:p>
    <w:p w:rsidR="0027440A" w:rsidRPr="00C45442" w:rsidRDefault="008F7747" w:rsidP="00A35EDD">
      <w:pPr>
        <w:rPr>
          <w:sz w:val="23"/>
          <w:szCs w:val="23"/>
        </w:rPr>
      </w:pPr>
      <w:r>
        <w:rPr>
          <w:sz w:val="23"/>
          <w:szCs w:val="23"/>
        </w:rPr>
        <w:t xml:space="preserve">El presente documento busca dar respuesta a </w:t>
      </w:r>
      <w:r w:rsidR="0027440A" w:rsidRPr="00C45442">
        <w:rPr>
          <w:sz w:val="23"/>
          <w:szCs w:val="23"/>
        </w:rPr>
        <w:t>la consulta realizada por la Oficina del Alto Comisionado para los Derechos Humanos sobre la brecha digital de género.</w:t>
      </w:r>
    </w:p>
    <w:p w:rsidR="0027440A" w:rsidRPr="00C45442" w:rsidRDefault="0027440A" w:rsidP="00A35EDD">
      <w:pPr>
        <w:rPr>
          <w:sz w:val="23"/>
          <w:szCs w:val="23"/>
        </w:rPr>
      </w:pPr>
    </w:p>
    <w:p w:rsidR="0027440A" w:rsidRPr="00C45442" w:rsidRDefault="0027440A" w:rsidP="00A35EDD">
      <w:pPr>
        <w:rPr>
          <w:sz w:val="23"/>
          <w:szCs w:val="23"/>
        </w:rPr>
      </w:pPr>
      <w:r w:rsidRPr="00C45442">
        <w:rPr>
          <w:sz w:val="23"/>
          <w:szCs w:val="23"/>
        </w:rPr>
        <w:t xml:space="preserve">Conviene aclarar que de acuerdo con las definiciones internacionales de estadísticas TIC, el acceso a TIC es medido en los hogares y su uso en las personas, por tanto la información que a continuación se presenta refiere al </w:t>
      </w:r>
      <w:r w:rsidRPr="00C45442">
        <w:rPr>
          <w:sz w:val="23"/>
          <w:szCs w:val="23"/>
          <w:u w:val="single"/>
        </w:rPr>
        <w:t>uso de TIC</w:t>
      </w:r>
      <w:r w:rsidRPr="00C45442">
        <w:rPr>
          <w:sz w:val="23"/>
          <w:szCs w:val="23"/>
        </w:rPr>
        <w:t xml:space="preserve"> por parte de la población.</w:t>
      </w:r>
    </w:p>
    <w:p w:rsidR="00416435" w:rsidRPr="00C45442" w:rsidRDefault="00416435" w:rsidP="00A35EDD">
      <w:pPr>
        <w:rPr>
          <w:sz w:val="23"/>
          <w:szCs w:val="23"/>
        </w:rPr>
      </w:pPr>
    </w:p>
    <w:p w:rsidR="0027440A" w:rsidRPr="00C45442" w:rsidRDefault="0027440A" w:rsidP="00A35EDD">
      <w:pPr>
        <w:rPr>
          <w:sz w:val="23"/>
          <w:szCs w:val="23"/>
        </w:rPr>
      </w:pPr>
      <w:r w:rsidRPr="00C45442">
        <w:rPr>
          <w:sz w:val="23"/>
          <w:szCs w:val="23"/>
        </w:rPr>
        <w:t xml:space="preserve">Uruguay ha </w:t>
      </w:r>
      <w:r w:rsidRPr="00C45442">
        <w:rPr>
          <w:b/>
          <w:sz w:val="23"/>
          <w:szCs w:val="23"/>
        </w:rPr>
        <w:t>cerrado la brecha digital de género</w:t>
      </w:r>
      <w:r w:rsidRPr="00C45442">
        <w:rPr>
          <w:sz w:val="23"/>
          <w:szCs w:val="23"/>
        </w:rPr>
        <w:t xml:space="preserve"> en el uso de tecnologías digitales, tal como puede observarse en el Cuadro N° 1.</w:t>
      </w:r>
    </w:p>
    <w:p w:rsidR="0027440A" w:rsidRPr="00C45442" w:rsidRDefault="0027440A" w:rsidP="00A35EDD">
      <w:pPr>
        <w:rPr>
          <w:sz w:val="23"/>
          <w:szCs w:val="23"/>
        </w:rPr>
      </w:pPr>
    </w:p>
    <w:p w:rsidR="0027440A" w:rsidRPr="00C45442" w:rsidRDefault="0027440A" w:rsidP="00A35EDD">
      <w:pPr>
        <w:jc w:val="center"/>
        <w:rPr>
          <w:b/>
          <w:color w:val="595959" w:themeColor="text1" w:themeTint="A6"/>
        </w:rPr>
      </w:pPr>
      <w:r w:rsidRPr="00C45442">
        <w:rPr>
          <w:b/>
          <w:color w:val="595959" w:themeColor="text1" w:themeTint="A6"/>
        </w:rPr>
        <w:t xml:space="preserve">Cuadro N° 1 - Evolución </w:t>
      </w:r>
      <w:r w:rsidR="00692E09">
        <w:rPr>
          <w:b/>
          <w:color w:val="595959" w:themeColor="text1" w:themeTint="A6"/>
        </w:rPr>
        <w:t>en el</w:t>
      </w:r>
      <w:r w:rsidRPr="00C45442">
        <w:rPr>
          <w:b/>
          <w:color w:val="595959" w:themeColor="text1" w:themeTint="A6"/>
        </w:rPr>
        <w:t xml:space="preserve"> uso de tecnologías digitales, según sexo (2009-</w:t>
      </w:r>
      <w:r w:rsidR="00392CEA">
        <w:rPr>
          <w:b/>
          <w:color w:val="595959" w:themeColor="text1" w:themeTint="A6"/>
        </w:rPr>
        <w:t>2012-</w:t>
      </w:r>
      <w:r w:rsidRPr="00C45442">
        <w:rPr>
          <w:b/>
          <w:color w:val="595959" w:themeColor="text1" w:themeTint="A6"/>
        </w:rPr>
        <w:t>2015)</w:t>
      </w:r>
    </w:p>
    <w:p w:rsidR="0027440A" w:rsidRPr="00C45442" w:rsidRDefault="0027440A" w:rsidP="00A35EDD"/>
    <w:tbl>
      <w:tblPr>
        <w:tblW w:w="6629" w:type="dxa"/>
        <w:jc w:val="center"/>
        <w:tblCellMar>
          <w:left w:w="70" w:type="dxa"/>
          <w:right w:w="70" w:type="dxa"/>
        </w:tblCellMar>
        <w:tblLook w:val="04A0" w:firstRow="1" w:lastRow="0" w:firstColumn="1" w:lastColumn="0" w:noHBand="0" w:noVBand="1"/>
      </w:tblPr>
      <w:tblGrid>
        <w:gridCol w:w="3044"/>
        <w:gridCol w:w="1144"/>
        <w:gridCol w:w="829"/>
        <w:gridCol w:w="796"/>
        <w:gridCol w:w="816"/>
      </w:tblGrid>
      <w:tr w:rsidR="0027440A" w:rsidRPr="00C45442" w:rsidTr="00392CEA">
        <w:trPr>
          <w:trHeight w:val="378"/>
          <w:jc w:val="center"/>
        </w:trPr>
        <w:tc>
          <w:tcPr>
            <w:tcW w:w="3044" w:type="dxa"/>
            <w:tcBorders>
              <w:top w:val="nil"/>
              <w:left w:val="nil"/>
              <w:bottom w:val="nil"/>
              <w:right w:val="nil"/>
            </w:tcBorders>
            <w:shd w:val="clear" w:color="auto" w:fill="auto"/>
            <w:vAlign w:val="center"/>
            <w:hideMark/>
          </w:tcPr>
          <w:p w:rsidR="0027440A" w:rsidRPr="00C45442" w:rsidRDefault="0027440A" w:rsidP="00A35EDD">
            <w:pPr>
              <w:rPr>
                <w:rFonts w:eastAsia="Times New Roman"/>
                <w:lang w:eastAsia="es-ES"/>
              </w:rPr>
            </w:pPr>
          </w:p>
        </w:tc>
        <w:tc>
          <w:tcPr>
            <w:tcW w:w="1144" w:type="dxa"/>
            <w:tcBorders>
              <w:top w:val="nil"/>
              <w:left w:val="nil"/>
              <w:bottom w:val="nil"/>
              <w:right w:val="nil"/>
            </w:tcBorders>
            <w:shd w:val="clear" w:color="auto" w:fill="auto"/>
            <w:vAlign w:val="center"/>
            <w:hideMark/>
          </w:tcPr>
          <w:p w:rsidR="0027440A" w:rsidRPr="00C45442" w:rsidRDefault="0027440A" w:rsidP="00A35EDD">
            <w:pPr>
              <w:rPr>
                <w:rFonts w:eastAsia="Times New Roman"/>
                <w:lang w:eastAsia="es-ES"/>
              </w:rPr>
            </w:pPr>
          </w:p>
        </w:tc>
        <w:tc>
          <w:tcPr>
            <w:tcW w:w="829" w:type="dxa"/>
            <w:tcBorders>
              <w:top w:val="nil"/>
              <w:left w:val="nil"/>
              <w:bottom w:val="nil"/>
              <w:right w:val="nil"/>
            </w:tcBorders>
            <w:shd w:val="clear" w:color="000000" w:fill="BDD7EE"/>
            <w:vAlign w:val="center"/>
            <w:hideMark/>
          </w:tcPr>
          <w:p w:rsidR="0027440A" w:rsidRPr="00C45442" w:rsidRDefault="0027440A" w:rsidP="00A35EDD">
            <w:pPr>
              <w:jc w:val="center"/>
              <w:rPr>
                <w:rFonts w:eastAsia="Times New Roman"/>
                <w:b/>
                <w:bCs/>
                <w:color w:val="000000"/>
                <w:lang w:eastAsia="es-ES"/>
              </w:rPr>
            </w:pPr>
            <w:r w:rsidRPr="00C45442">
              <w:rPr>
                <w:rFonts w:eastAsia="Times New Roman"/>
                <w:b/>
                <w:bCs/>
                <w:color w:val="000000"/>
                <w:lang w:eastAsia="es-ES"/>
              </w:rPr>
              <w:t>2009</w:t>
            </w:r>
          </w:p>
        </w:tc>
        <w:tc>
          <w:tcPr>
            <w:tcW w:w="796" w:type="dxa"/>
            <w:tcBorders>
              <w:top w:val="nil"/>
              <w:left w:val="nil"/>
              <w:bottom w:val="nil"/>
              <w:right w:val="nil"/>
            </w:tcBorders>
            <w:shd w:val="clear" w:color="000000" w:fill="BDD7EE"/>
            <w:vAlign w:val="center"/>
            <w:hideMark/>
          </w:tcPr>
          <w:p w:rsidR="0027440A" w:rsidRPr="00C45442" w:rsidRDefault="0027440A" w:rsidP="00A35EDD">
            <w:pPr>
              <w:jc w:val="center"/>
              <w:rPr>
                <w:rFonts w:eastAsia="Times New Roman"/>
                <w:b/>
                <w:bCs/>
                <w:color w:val="000000"/>
                <w:lang w:eastAsia="es-ES"/>
              </w:rPr>
            </w:pPr>
            <w:r w:rsidRPr="00C45442">
              <w:rPr>
                <w:rFonts w:eastAsia="Times New Roman"/>
                <w:b/>
                <w:bCs/>
                <w:color w:val="000000"/>
                <w:lang w:eastAsia="es-ES"/>
              </w:rPr>
              <w:t>2012</w:t>
            </w:r>
          </w:p>
        </w:tc>
        <w:tc>
          <w:tcPr>
            <w:tcW w:w="816" w:type="dxa"/>
            <w:tcBorders>
              <w:top w:val="nil"/>
              <w:left w:val="nil"/>
              <w:bottom w:val="nil"/>
              <w:right w:val="nil"/>
            </w:tcBorders>
            <w:shd w:val="clear" w:color="000000" w:fill="BDD7EE"/>
            <w:vAlign w:val="center"/>
            <w:hideMark/>
          </w:tcPr>
          <w:p w:rsidR="0027440A" w:rsidRPr="00C45442" w:rsidRDefault="0027440A" w:rsidP="00A35EDD">
            <w:pPr>
              <w:jc w:val="center"/>
              <w:rPr>
                <w:rFonts w:eastAsia="Times New Roman"/>
                <w:b/>
                <w:bCs/>
                <w:color w:val="000000"/>
                <w:lang w:eastAsia="es-ES"/>
              </w:rPr>
            </w:pPr>
            <w:r w:rsidRPr="00C45442">
              <w:rPr>
                <w:rFonts w:eastAsia="Times New Roman"/>
                <w:b/>
                <w:bCs/>
                <w:color w:val="000000"/>
                <w:lang w:eastAsia="es-ES"/>
              </w:rPr>
              <w:t>2015</w:t>
            </w:r>
          </w:p>
        </w:tc>
      </w:tr>
      <w:tr w:rsidR="0027440A" w:rsidRPr="00C45442" w:rsidTr="00392CEA">
        <w:trPr>
          <w:trHeight w:val="283"/>
          <w:jc w:val="center"/>
        </w:trPr>
        <w:tc>
          <w:tcPr>
            <w:tcW w:w="3044" w:type="dxa"/>
            <w:vMerge w:val="restart"/>
            <w:tcBorders>
              <w:top w:val="single" w:sz="4" w:space="0" w:color="BFBFBF"/>
              <w:left w:val="single" w:sz="4" w:space="0" w:color="BFBFBF"/>
              <w:bottom w:val="single" w:sz="4" w:space="0" w:color="BFBFBF"/>
              <w:right w:val="single" w:sz="4" w:space="0" w:color="BFBFBF"/>
            </w:tcBorders>
            <w:shd w:val="clear" w:color="000000" w:fill="BDD7EE"/>
            <w:vAlign w:val="center"/>
            <w:hideMark/>
          </w:tcPr>
          <w:p w:rsidR="0027440A" w:rsidRPr="00C45442" w:rsidRDefault="0027440A" w:rsidP="00A35EDD">
            <w:pPr>
              <w:jc w:val="left"/>
              <w:rPr>
                <w:rFonts w:eastAsia="Times New Roman"/>
                <w:color w:val="000000"/>
                <w:lang w:eastAsia="es-ES"/>
              </w:rPr>
            </w:pPr>
            <w:r w:rsidRPr="00C45442">
              <w:rPr>
                <w:rFonts w:eastAsia="Times New Roman"/>
                <w:color w:val="000000"/>
                <w:lang w:eastAsia="es-ES"/>
              </w:rPr>
              <w:t>Teléfono móvil (tenencia)</w:t>
            </w:r>
          </w:p>
        </w:tc>
        <w:tc>
          <w:tcPr>
            <w:tcW w:w="1144" w:type="dxa"/>
            <w:tcBorders>
              <w:top w:val="single" w:sz="4" w:space="0" w:color="BFBFBF"/>
              <w:left w:val="nil"/>
              <w:bottom w:val="single" w:sz="4" w:space="0" w:color="BFBFBF"/>
              <w:right w:val="single" w:sz="4" w:space="0" w:color="BFBFBF"/>
            </w:tcBorders>
            <w:shd w:val="clear" w:color="000000" w:fill="BDD7EE"/>
            <w:vAlign w:val="center"/>
            <w:hideMark/>
          </w:tcPr>
          <w:p w:rsidR="0027440A" w:rsidRPr="00C45442" w:rsidRDefault="0027440A" w:rsidP="00A35EDD">
            <w:pPr>
              <w:rPr>
                <w:rFonts w:eastAsia="Times New Roman"/>
                <w:color w:val="000000"/>
                <w:lang w:eastAsia="es-ES"/>
              </w:rPr>
            </w:pPr>
            <w:r w:rsidRPr="00C45442">
              <w:rPr>
                <w:rFonts w:eastAsia="Times New Roman"/>
                <w:color w:val="000000"/>
                <w:lang w:eastAsia="es-ES"/>
              </w:rPr>
              <w:t>Mujer</w:t>
            </w:r>
          </w:p>
        </w:tc>
        <w:tc>
          <w:tcPr>
            <w:tcW w:w="829" w:type="dxa"/>
            <w:tcBorders>
              <w:top w:val="single" w:sz="4" w:space="0" w:color="BFBFBF"/>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67,6</w:t>
            </w:r>
          </w:p>
        </w:tc>
        <w:tc>
          <w:tcPr>
            <w:tcW w:w="796" w:type="dxa"/>
            <w:tcBorders>
              <w:top w:val="single" w:sz="4" w:space="0" w:color="BFBFBF"/>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72,7</w:t>
            </w:r>
          </w:p>
        </w:tc>
        <w:tc>
          <w:tcPr>
            <w:tcW w:w="816" w:type="dxa"/>
            <w:tcBorders>
              <w:top w:val="single" w:sz="4" w:space="0" w:color="BFBFBF"/>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79,8</w:t>
            </w:r>
          </w:p>
        </w:tc>
      </w:tr>
      <w:tr w:rsidR="0027440A" w:rsidRPr="00C45442" w:rsidTr="00392CEA">
        <w:trPr>
          <w:trHeight w:val="283"/>
          <w:jc w:val="center"/>
        </w:trPr>
        <w:tc>
          <w:tcPr>
            <w:tcW w:w="3044" w:type="dxa"/>
            <w:vMerge/>
            <w:tcBorders>
              <w:top w:val="single" w:sz="4" w:space="0" w:color="BFBFBF"/>
              <w:left w:val="single" w:sz="4" w:space="0" w:color="BFBFBF"/>
              <w:bottom w:val="single" w:sz="4" w:space="0" w:color="BFBFBF"/>
              <w:right w:val="single" w:sz="4" w:space="0" w:color="BFBFBF"/>
            </w:tcBorders>
            <w:vAlign w:val="center"/>
            <w:hideMark/>
          </w:tcPr>
          <w:p w:rsidR="0027440A" w:rsidRPr="00C45442" w:rsidRDefault="0027440A" w:rsidP="00A35EDD">
            <w:pPr>
              <w:jc w:val="left"/>
              <w:rPr>
                <w:rFonts w:eastAsia="Times New Roman"/>
                <w:color w:val="000000"/>
                <w:lang w:eastAsia="es-ES"/>
              </w:rPr>
            </w:pPr>
          </w:p>
        </w:tc>
        <w:tc>
          <w:tcPr>
            <w:tcW w:w="1144" w:type="dxa"/>
            <w:tcBorders>
              <w:top w:val="nil"/>
              <w:left w:val="nil"/>
              <w:bottom w:val="single" w:sz="4" w:space="0" w:color="BFBFBF"/>
              <w:right w:val="single" w:sz="4" w:space="0" w:color="BFBFBF"/>
            </w:tcBorders>
            <w:shd w:val="clear" w:color="000000" w:fill="BDD7EE"/>
            <w:vAlign w:val="center"/>
            <w:hideMark/>
          </w:tcPr>
          <w:p w:rsidR="0027440A" w:rsidRPr="00C45442" w:rsidRDefault="0027440A" w:rsidP="00A35EDD">
            <w:pPr>
              <w:rPr>
                <w:rFonts w:eastAsia="Times New Roman"/>
                <w:color w:val="000000"/>
                <w:lang w:eastAsia="es-ES"/>
              </w:rPr>
            </w:pPr>
            <w:r w:rsidRPr="00C45442">
              <w:rPr>
                <w:rFonts w:eastAsia="Times New Roman"/>
                <w:color w:val="000000"/>
                <w:lang w:eastAsia="es-ES"/>
              </w:rPr>
              <w:t>Hombre</w:t>
            </w:r>
          </w:p>
        </w:tc>
        <w:tc>
          <w:tcPr>
            <w:tcW w:w="829"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67,2</w:t>
            </w:r>
          </w:p>
        </w:tc>
        <w:tc>
          <w:tcPr>
            <w:tcW w:w="796"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70,4</w:t>
            </w:r>
          </w:p>
        </w:tc>
        <w:tc>
          <w:tcPr>
            <w:tcW w:w="816"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78,3</w:t>
            </w:r>
          </w:p>
        </w:tc>
      </w:tr>
      <w:tr w:rsidR="0027440A" w:rsidRPr="00C45442" w:rsidTr="00392CEA">
        <w:trPr>
          <w:trHeight w:val="283"/>
          <w:jc w:val="center"/>
        </w:trPr>
        <w:tc>
          <w:tcPr>
            <w:tcW w:w="3044" w:type="dxa"/>
            <w:vMerge w:val="restart"/>
            <w:tcBorders>
              <w:top w:val="nil"/>
              <w:left w:val="single" w:sz="4" w:space="0" w:color="BFBFBF"/>
              <w:bottom w:val="single" w:sz="4" w:space="0" w:color="BFBFBF"/>
              <w:right w:val="single" w:sz="4" w:space="0" w:color="BFBFBF"/>
            </w:tcBorders>
            <w:shd w:val="clear" w:color="000000" w:fill="BDD7EE"/>
            <w:vAlign w:val="center"/>
            <w:hideMark/>
          </w:tcPr>
          <w:p w:rsidR="0027440A" w:rsidRPr="00C45442" w:rsidRDefault="0027440A" w:rsidP="00A35EDD">
            <w:pPr>
              <w:jc w:val="left"/>
              <w:rPr>
                <w:rFonts w:eastAsia="Times New Roman"/>
                <w:color w:val="000000"/>
                <w:lang w:eastAsia="es-ES"/>
              </w:rPr>
            </w:pPr>
            <w:r w:rsidRPr="00C45442">
              <w:rPr>
                <w:rFonts w:eastAsia="Times New Roman"/>
                <w:color w:val="000000"/>
                <w:lang w:eastAsia="es-ES"/>
              </w:rPr>
              <w:t>PC (último mes)</w:t>
            </w:r>
          </w:p>
        </w:tc>
        <w:tc>
          <w:tcPr>
            <w:tcW w:w="1144" w:type="dxa"/>
            <w:tcBorders>
              <w:top w:val="nil"/>
              <w:left w:val="nil"/>
              <w:bottom w:val="single" w:sz="4" w:space="0" w:color="BFBFBF"/>
              <w:right w:val="single" w:sz="4" w:space="0" w:color="BFBFBF"/>
            </w:tcBorders>
            <w:shd w:val="clear" w:color="000000" w:fill="BDD7EE"/>
            <w:vAlign w:val="center"/>
            <w:hideMark/>
          </w:tcPr>
          <w:p w:rsidR="0027440A" w:rsidRPr="00C45442" w:rsidRDefault="0027440A" w:rsidP="00A35EDD">
            <w:pPr>
              <w:rPr>
                <w:rFonts w:eastAsia="Times New Roman"/>
                <w:color w:val="000000"/>
                <w:lang w:eastAsia="es-ES"/>
              </w:rPr>
            </w:pPr>
            <w:r w:rsidRPr="00C45442">
              <w:rPr>
                <w:rFonts w:eastAsia="Times New Roman"/>
                <w:color w:val="000000"/>
                <w:lang w:eastAsia="es-ES"/>
              </w:rPr>
              <w:t>Mujer</w:t>
            </w:r>
          </w:p>
        </w:tc>
        <w:tc>
          <w:tcPr>
            <w:tcW w:w="829"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47,7</w:t>
            </w:r>
          </w:p>
        </w:tc>
        <w:tc>
          <w:tcPr>
            <w:tcW w:w="796"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57,4</w:t>
            </w:r>
          </w:p>
        </w:tc>
        <w:tc>
          <w:tcPr>
            <w:tcW w:w="816"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60,4</w:t>
            </w:r>
          </w:p>
        </w:tc>
      </w:tr>
      <w:tr w:rsidR="0027440A" w:rsidRPr="00C45442" w:rsidTr="00392CEA">
        <w:trPr>
          <w:trHeight w:val="283"/>
          <w:jc w:val="center"/>
        </w:trPr>
        <w:tc>
          <w:tcPr>
            <w:tcW w:w="3044" w:type="dxa"/>
            <w:vMerge/>
            <w:tcBorders>
              <w:top w:val="nil"/>
              <w:left w:val="single" w:sz="4" w:space="0" w:color="BFBFBF"/>
              <w:bottom w:val="single" w:sz="4" w:space="0" w:color="BFBFBF"/>
              <w:right w:val="single" w:sz="4" w:space="0" w:color="BFBFBF"/>
            </w:tcBorders>
            <w:vAlign w:val="center"/>
            <w:hideMark/>
          </w:tcPr>
          <w:p w:rsidR="0027440A" w:rsidRPr="00C45442" w:rsidRDefault="0027440A" w:rsidP="00A35EDD">
            <w:pPr>
              <w:jc w:val="left"/>
              <w:rPr>
                <w:rFonts w:eastAsia="Times New Roman"/>
                <w:color w:val="000000"/>
                <w:lang w:eastAsia="es-ES"/>
              </w:rPr>
            </w:pPr>
          </w:p>
        </w:tc>
        <w:tc>
          <w:tcPr>
            <w:tcW w:w="1144" w:type="dxa"/>
            <w:tcBorders>
              <w:top w:val="nil"/>
              <w:left w:val="nil"/>
              <w:bottom w:val="single" w:sz="4" w:space="0" w:color="BFBFBF"/>
              <w:right w:val="single" w:sz="4" w:space="0" w:color="BFBFBF"/>
            </w:tcBorders>
            <w:shd w:val="clear" w:color="000000" w:fill="BDD7EE"/>
            <w:vAlign w:val="center"/>
            <w:hideMark/>
          </w:tcPr>
          <w:p w:rsidR="0027440A" w:rsidRPr="00C45442" w:rsidRDefault="0027440A" w:rsidP="00A35EDD">
            <w:pPr>
              <w:rPr>
                <w:rFonts w:eastAsia="Times New Roman"/>
                <w:color w:val="000000"/>
                <w:lang w:eastAsia="es-ES"/>
              </w:rPr>
            </w:pPr>
            <w:r w:rsidRPr="00C45442">
              <w:rPr>
                <w:rFonts w:eastAsia="Times New Roman"/>
                <w:color w:val="000000"/>
                <w:lang w:eastAsia="es-ES"/>
              </w:rPr>
              <w:t>Hombre</w:t>
            </w:r>
          </w:p>
        </w:tc>
        <w:tc>
          <w:tcPr>
            <w:tcW w:w="829"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50,2</w:t>
            </w:r>
          </w:p>
        </w:tc>
        <w:tc>
          <w:tcPr>
            <w:tcW w:w="796"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59,0</w:t>
            </w:r>
          </w:p>
        </w:tc>
        <w:tc>
          <w:tcPr>
            <w:tcW w:w="816"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61,4</w:t>
            </w:r>
          </w:p>
        </w:tc>
      </w:tr>
      <w:tr w:rsidR="00392CEA" w:rsidRPr="00C45442" w:rsidTr="00392CEA">
        <w:trPr>
          <w:trHeight w:val="283"/>
          <w:jc w:val="center"/>
        </w:trPr>
        <w:tc>
          <w:tcPr>
            <w:tcW w:w="3044" w:type="dxa"/>
            <w:vMerge w:val="restart"/>
            <w:tcBorders>
              <w:top w:val="nil"/>
              <w:left w:val="single" w:sz="4" w:space="0" w:color="BFBFBF"/>
              <w:bottom w:val="single" w:sz="4" w:space="0" w:color="BFBFBF"/>
              <w:right w:val="single" w:sz="4" w:space="0" w:color="BFBFBF"/>
            </w:tcBorders>
            <w:shd w:val="clear" w:color="000000" w:fill="BDD7EE"/>
            <w:vAlign w:val="center"/>
            <w:hideMark/>
          </w:tcPr>
          <w:p w:rsidR="00392CEA" w:rsidRPr="00C45442" w:rsidRDefault="00392CEA" w:rsidP="00392CEA">
            <w:pPr>
              <w:jc w:val="left"/>
              <w:rPr>
                <w:rFonts w:eastAsia="Times New Roman"/>
                <w:color w:val="000000"/>
                <w:lang w:eastAsia="es-ES"/>
              </w:rPr>
            </w:pPr>
            <w:r w:rsidRPr="00C45442">
              <w:rPr>
                <w:rFonts w:eastAsia="Times New Roman"/>
                <w:color w:val="000000"/>
                <w:lang w:eastAsia="es-ES"/>
              </w:rPr>
              <w:t>Internet (último mes)</w:t>
            </w:r>
          </w:p>
        </w:tc>
        <w:tc>
          <w:tcPr>
            <w:tcW w:w="1144" w:type="dxa"/>
            <w:tcBorders>
              <w:top w:val="nil"/>
              <w:left w:val="nil"/>
              <w:bottom w:val="single" w:sz="4" w:space="0" w:color="BFBFBF"/>
              <w:right w:val="single" w:sz="4" w:space="0" w:color="BFBFBF"/>
            </w:tcBorders>
            <w:shd w:val="clear" w:color="000000" w:fill="BDD7EE"/>
            <w:vAlign w:val="center"/>
            <w:hideMark/>
          </w:tcPr>
          <w:p w:rsidR="00392CEA" w:rsidRPr="00392CEA" w:rsidRDefault="00392CEA" w:rsidP="00392CEA">
            <w:pPr>
              <w:rPr>
                <w:rFonts w:eastAsia="Times New Roman"/>
                <w:color w:val="000000"/>
                <w:lang w:eastAsia="es-ES"/>
              </w:rPr>
            </w:pPr>
            <w:r w:rsidRPr="00392CEA">
              <w:rPr>
                <w:rFonts w:eastAsia="Times New Roman"/>
                <w:color w:val="000000"/>
                <w:lang w:eastAsia="es-ES"/>
              </w:rPr>
              <w:t>Mujer</w:t>
            </w:r>
          </w:p>
        </w:tc>
        <w:tc>
          <w:tcPr>
            <w:tcW w:w="829" w:type="dxa"/>
            <w:tcBorders>
              <w:top w:val="nil"/>
              <w:left w:val="nil"/>
              <w:bottom w:val="single" w:sz="4" w:space="0" w:color="BFBFBF"/>
              <w:right w:val="single" w:sz="4" w:space="0" w:color="BFBFBF"/>
            </w:tcBorders>
            <w:shd w:val="clear" w:color="auto" w:fill="auto"/>
            <w:vAlign w:val="center"/>
            <w:hideMark/>
          </w:tcPr>
          <w:p w:rsidR="00392CEA" w:rsidRPr="00392CEA" w:rsidRDefault="00392CEA" w:rsidP="00392CEA">
            <w:pPr>
              <w:jc w:val="right"/>
              <w:rPr>
                <w:rFonts w:eastAsia="Times New Roman"/>
                <w:color w:val="000000"/>
                <w:lang w:eastAsia="es-ES"/>
              </w:rPr>
            </w:pPr>
            <w:r w:rsidRPr="00392CEA">
              <w:rPr>
                <w:rFonts w:eastAsia="Times New Roman"/>
                <w:color w:val="000000"/>
                <w:lang w:eastAsia="es-ES"/>
              </w:rPr>
              <w:t>40,6</w:t>
            </w:r>
          </w:p>
        </w:tc>
        <w:tc>
          <w:tcPr>
            <w:tcW w:w="796" w:type="dxa"/>
            <w:tcBorders>
              <w:top w:val="nil"/>
              <w:left w:val="nil"/>
              <w:bottom w:val="single" w:sz="4" w:space="0" w:color="BFBFBF"/>
              <w:right w:val="single" w:sz="4" w:space="0" w:color="BFBFBF"/>
            </w:tcBorders>
            <w:shd w:val="clear" w:color="auto" w:fill="auto"/>
            <w:vAlign w:val="center"/>
            <w:hideMark/>
          </w:tcPr>
          <w:p w:rsidR="00392CEA" w:rsidRPr="00392CEA" w:rsidRDefault="00392CEA" w:rsidP="00392CEA">
            <w:pPr>
              <w:jc w:val="right"/>
              <w:rPr>
                <w:rFonts w:eastAsia="Times New Roman"/>
                <w:color w:val="000000"/>
                <w:lang w:eastAsia="es-ES"/>
              </w:rPr>
            </w:pPr>
            <w:r w:rsidRPr="00392CEA">
              <w:rPr>
                <w:rFonts w:eastAsia="Times New Roman"/>
                <w:color w:val="000000"/>
                <w:lang w:eastAsia="es-ES"/>
              </w:rPr>
              <w:t>53,8</w:t>
            </w:r>
          </w:p>
        </w:tc>
        <w:tc>
          <w:tcPr>
            <w:tcW w:w="816" w:type="dxa"/>
            <w:tcBorders>
              <w:top w:val="nil"/>
              <w:left w:val="nil"/>
              <w:bottom w:val="single" w:sz="4" w:space="0" w:color="BFBFBF"/>
              <w:right w:val="single" w:sz="4" w:space="0" w:color="BFBFBF"/>
            </w:tcBorders>
            <w:shd w:val="clear" w:color="auto" w:fill="auto"/>
            <w:vAlign w:val="center"/>
            <w:hideMark/>
          </w:tcPr>
          <w:p w:rsidR="00392CEA" w:rsidRPr="00392CEA" w:rsidRDefault="00392CEA" w:rsidP="00392CEA">
            <w:pPr>
              <w:jc w:val="right"/>
              <w:rPr>
                <w:rFonts w:eastAsia="Times New Roman"/>
                <w:color w:val="000000"/>
                <w:lang w:eastAsia="es-ES"/>
              </w:rPr>
            </w:pPr>
            <w:r w:rsidRPr="00392CEA">
              <w:rPr>
                <w:rFonts w:eastAsia="Times New Roman"/>
                <w:color w:val="000000"/>
                <w:lang w:eastAsia="es-ES"/>
              </w:rPr>
              <w:t>64,2</w:t>
            </w:r>
          </w:p>
        </w:tc>
      </w:tr>
      <w:tr w:rsidR="0027440A" w:rsidRPr="00C45442" w:rsidTr="00392CEA">
        <w:trPr>
          <w:trHeight w:val="283"/>
          <w:jc w:val="center"/>
        </w:trPr>
        <w:tc>
          <w:tcPr>
            <w:tcW w:w="3044" w:type="dxa"/>
            <w:vMerge/>
            <w:tcBorders>
              <w:top w:val="nil"/>
              <w:left w:val="single" w:sz="4" w:space="0" w:color="BFBFBF"/>
              <w:bottom w:val="single" w:sz="4" w:space="0" w:color="BFBFBF"/>
              <w:right w:val="single" w:sz="4" w:space="0" w:color="BFBFBF"/>
            </w:tcBorders>
            <w:vAlign w:val="center"/>
            <w:hideMark/>
          </w:tcPr>
          <w:p w:rsidR="0027440A" w:rsidRPr="00C45442" w:rsidRDefault="0027440A" w:rsidP="00A35EDD">
            <w:pPr>
              <w:jc w:val="left"/>
              <w:rPr>
                <w:rFonts w:eastAsia="Times New Roman"/>
                <w:color w:val="000000"/>
                <w:lang w:eastAsia="es-ES"/>
              </w:rPr>
            </w:pPr>
          </w:p>
        </w:tc>
        <w:tc>
          <w:tcPr>
            <w:tcW w:w="1144" w:type="dxa"/>
            <w:tcBorders>
              <w:top w:val="nil"/>
              <w:left w:val="nil"/>
              <w:bottom w:val="single" w:sz="4" w:space="0" w:color="BFBFBF"/>
              <w:right w:val="single" w:sz="4" w:space="0" w:color="BFBFBF"/>
            </w:tcBorders>
            <w:shd w:val="clear" w:color="000000" w:fill="BDD7EE"/>
            <w:vAlign w:val="center"/>
            <w:hideMark/>
          </w:tcPr>
          <w:p w:rsidR="0027440A" w:rsidRPr="00C45442" w:rsidRDefault="0027440A" w:rsidP="00A35EDD">
            <w:pPr>
              <w:rPr>
                <w:rFonts w:eastAsia="Times New Roman"/>
                <w:color w:val="000000"/>
                <w:lang w:eastAsia="es-ES"/>
              </w:rPr>
            </w:pPr>
            <w:r w:rsidRPr="00C45442">
              <w:rPr>
                <w:rFonts w:eastAsia="Times New Roman"/>
                <w:color w:val="000000"/>
                <w:lang w:eastAsia="es-ES"/>
              </w:rPr>
              <w:t>Hombre</w:t>
            </w:r>
          </w:p>
        </w:tc>
        <w:tc>
          <w:tcPr>
            <w:tcW w:w="829"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43,2</w:t>
            </w:r>
          </w:p>
        </w:tc>
        <w:tc>
          <w:tcPr>
            <w:tcW w:w="796"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55,2</w:t>
            </w:r>
          </w:p>
        </w:tc>
        <w:tc>
          <w:tcPr>
            <w:tcW w:w="816"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64,9</w:t>
            </w:r>
          </w:p>
        </w:tc>
      </w:tr>
      <w:tr w:rsidR="0027440A" w:rsidRPr="00C45442" w:rsidTr="00392CEA">
        <w:trPr>
          <w:trHeight w:val="283"/>
          <w:jc w:val="center"/>
        </w:trPr>
        <w:tc>
          <w:tcPr>
            <w:tcW w:w="3044" w:type="dxa"/>
            <w:vMerge w:val="restart"/>
            <w:tcBorders>
              <w:top w:val="nil"/>
              <w:left w:val="single" w:sz="4" w:space="0" w:color="BFBFBF"/>
              <w:bottom w:val="single" w:sz="4" w:space="0" w:color="BFBFBF"/>
              <w:right w:val="single" w:sz="4" w:space="0" w:color="BFBFBF"/>
            </w:tcBorders>
            <w:shd w:val="clear" w:color="000000" w:fill="BDD7EE"/>
            <w:vAlign w:val="center"/>
            <w:hideMark/>
          </w:tcPr>
          <w:p w:rsidR="0027440A" w:rsidRPr="00C45442" w:rsidRDefault="0027440A" w:rsidP="00A35EDD">
            <w:pPr>
              <w:jc w:val="left"/>
              <w:rPr>
                <w:rFonts w:eastAsia="Times New Roman"/>
                <w:color w:val="000000"/>
                <w:lang w:eastAsia="es-ES"/>
              </w:rPr>
            </w:pPr>
            <w:r w:rsidRPr="00C45442">
              <w:rPr>
                <w:rFonts w:eastAsia="Times New Roman"/>
                <w:color w:val="000000"/>
                <w:lang w:eastAsia="es-ES"/>
              </w:rPr>
              <w:t>Internet (uso diario)</w:t>
            </w:r>
          </w:p>
        </w:tc>
        <w:tc>
          <w:tcPr>
            <w:tcW w:w="1144" w:type="dxa"/>
            <w:tcBorders>
              <w:top w:val="nil"/>
              <w:left w:val="nil"/>
              <w:bottom w:val="single" w:sz="4" w:space="0" w:color="BFBFBF"/>
              <w:right w:val="single" w:sz="4" w:space="0" w:color="BFBFBF"/>
            </w:tcBorders>
            <w:shd w:val="clear" w:color="000000" w:fill="BDD7EE"/>
            <w:vAlign w:val="center"/>
            <w:hideMark/>
          </w:tcPr>
          <w:p w:rsidR="0027440A" w:rsidRPr="00C45442" w:rsidRDefault="0027440A" w:rsidP="00A35EDD">
            <w:pPr>
              <w:rPr>
                <w:rFonts w:eastAsia="Times New Roman"/>
                <w:color w:val="000000"/>
                <w:lang w:eastAsia="es-ES"/>
              </w:rPr>
            </w:pPr>
            <w:r w:rsidRPr="00C45442">
              <w:rPr>
                <w:rFonts w:eastAsia="Times New Roman"/>
                <w:color w:val="000000"/>
                <w:lang w:eastAsia="es-ES"/>
              </w:rPr>
              <w:t>Mujer</w:t>
            </w:r>
          </w:p>
        </w:tc>
        <w:tc>
          <w:tcPr>
            <w:tcW w:w="829"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20,0</w:t>
            </w:r>
          </w:p>
        </w:tc>
        <w:tc>
          <w:tcPr>
            <w:tcW w:w="796"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30,1</w:t>
            </w:r>
          </w:p>
        </w:tc>
        <w:tc>
          <w:tcPr>
            <w:tcW w:w="816"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47,3</w:t>
            </w:r>
          </w:p>
        </w:tc>
      </w:tr>
      <w:tr w:rsidR="0027440A" w:rsidRPr="00C45442" w:rsidTr="00392CEA">
        <w:trPr>
          <w:trHeight w:val="283"/>
          <w:jc w:val="center"/>
        </w:trPr>
        <w:tc>
          <w:tcPr>
            <w:tcW w:w="3044" w:type="dxa"/>
            <w:vMerge/>
            <w:tcBorders>
              <w:top w:val="nil"/>
              <w:left w:val="single" w:sz="4" w:space="0" w:color="BFBFBF"/>
              <w:bottom w:val="single" w:sz="4" w:space="0" w:color="BFBFBF"/>
              <w:right w:val="single" w:sz="4" w:space="0" w:color="BFBFBF"/>
            </w:tcBorders>
            <w:vAlign w:val="center"/>
            <w:hideMark/>
          </w:tcPr>
          <w:p w:rsidR="0027440A" w:rsidRPr="00C45442" w:rsidRDefault="0027440A" w:rsidP="00A35EDD">
            <w:pPr>
              <w:rPr>
                <w:rFonts w:eastAsia="Times New Roman"/>
                <w:color w:val="000000"/>
                <w:lang w:eastAsia="es-ES"/>
              </w:rPr>
            </w:pPr>
          </w:p>
        </w:tc>
        <w:tc>
          <w:tcPr>
            <w:tcW w:w="1144" w:type="dxa"/>
            <w:tcBorders>
              <w:top w:val="nil"/>
              <w:left w:val="nil"/>
              <w:bottom w:val="single" w:sz="4" w:space="0" w:color="BFBFBF"/>
              <w:right w:val="single" w:sz="4" w:space="0" w:color="BFBFBF"/>
            </w:tcBorders>
            <w:shd w:val="clear" w:color="000000" w:fill="BDD7EE"/>
            <w:vAlign w:val="center"/>
            <w:hideMark/>
          </w:tcPr>
          <w:p w:rsidR="0027440A" w:rsidRPr="00C45442" w:rsidRDefault="0027440A" w:rsidP="00A35EDD">
            <w:pPr>
              <w:rPr>
                <w:rFonts w:eastAsia="Times New Roman"/>
                <w:color w:val="000000"/>
                <w:lang w:eastAsia="es-ES"/>
              </w:rPr>
            </w:pPr>
            <w:r w:rsidRPr="00C45442">
              <w:rPr>
                <w:rFonts w:eastAsia="Times New Roman"/>
                <w:color w:val="000000"/>
                <w:lang w:eastAsia="es-ES"/>
              </w:rPr>
              <w:t>Hombre</w:t>
            </w:r>
          </w:p>
        </w:tc>
        <w:tc>
          <w:tcPr>
            <w:tcW w:w="829"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23,0</w:t>
            </w:r>
          </w:p>
        </w:tc>
        <w:tc>
          <w:tcPr>
            <w:tcW w:w="796"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32,2</w:t>
            </w:r>
          </w:p>
        </w:tc>
        <w:tc>
          <w:tcPr>
            <w:tcW w:w="816" w:type="dxa"/>
            <w:tcBorders>
              <w:top w:val="nil"/>
              <w:left w:val="nil"/>
              <w:bottom w:val="single" w:sz="4" w:space="0" w:color="BFBFBF"/>
              <w:right w:val="single" w:sz="4" w:space="0" w:color="BFBFBF"/>
            </w:tcBorders>
            <w:shd w:val="clear" w:color="auto" w:fill="auto"/>
            <w:vAlign w:val="center"/>
            <w:hideMark/>
          </w:tcPr>
          <w:p w:rsidR="0027440A" w:rsidRPr="00C45442" w:rsidRDefault="0027440A" w:rsidP="00A35EDD">
            <w:pPr>
              <w:jc w:val="right"/>
              <w:rPr>
                <w:rFonts w:eastAsia="Times New Roman"/>
                <w:color w:val="000000"/>
                <w:lang w:eastAsia="es-ES"/>
              </w:rPr>
            </w:pPr>
            <w:r w:rsidRPr="00C45442">
              <w:rPr>
                <w:rFonts w:eastAsia="Times New Roman"/>
                <w:color w:val="000000"/>
                <w:lang w:eastAsia="es-ES"/>
              </w:rPr>
              <w:t>47,8</w:t>
            </w:r>
          </w:p>
        </w:tc>
      </w:tr>
    </w:tbl>
    <w:p w:rsidR="0027440A" w:rsidRPr="00C45442" w:rsidRDefault="0027440A" w:rsidP="00A35EDD">
      <w:pPr>
        <w:rPr>
          <w:sz w:val="8"/>
          <w:szCs w:val="8"/>
        </w:rPr>
      </w:pPr>
    </w:p>
    <w:p w:rsidR="0027440A" w:rsidRPr="00C45442" w:rsidRDefault="0027440A" w:rsidP="00A35EDD">
      <w:pPr>
        <w:ind w:left="1560"/>
        <w:jc w:val="left"/>
        <w:rPr>
          <w:color w:val="595959" w:themeColor="text1" w:themeTint="A6"/>
        </w:rPr>
      </w:pPr>
      <w:r w:rsidRPr="00C45442">
        <w:rPr>
          <w:color w:val="595959" w:themeColor="text1" w:themeTint="A6"/>
        </w:rPr>
        <w:t>Fuente: Encuesta Continua de Hogares</w:t>
      </w:r>
    </w:p>
    <w:p w:rsidR="0027440A" w:rsidRPr="00C45442" w:rsidRDefault="0027440A" w:rsidP="00A35EDD">
      <w:pPr>
        <w:rPr>
          <w:sz w:val="23"/>
          <w:szCs w:val="23"/>
        </w:rPr>
      </w:pPr>
    </w:p>
    <w:p w:rsidR="0027440A" w:rsidRPr="00C45442" w:rsidRDefault="0027440A" w:rsidP="00A35EDD">
      <w:pPr>
        <w:rPr>
          <w:sz w:val="23"/>
          <w:szCs w:val="23"/>
          <w:lang w:val="es-ES_tradnl"/>
        </w:rPr>
      </w:pPr>
      <w:r w:rsidRPr="00C45442">
        <w:rPr>
          <w:sz w:val="23"/>
          <w:szCs w:val="23"/>
          <w:lang w:val="es-ES_tradnl"/>
        </w:rPr>
        <w:t>Tampoco se observan diferencias significativas en los tipos de usos que se miden a nivel nacional (ya sea para buscar información, educación, compras, trámites, entretenimiento o transacciones financieras).</w:t>
      </w:r>
    </w:p>
    <w:p w:rsidR="0027440A" w:rsidRPr="00C45442" w:rsidRDefault="0027440A" w:rsidP="00A35EDD">
      <w:pPr>
        <w:rPr>
          <w:sz w:val="23"/>
          <w:szCs w:val="23"/>
          <w:lang w:val="es-ES_tradnl"/>
        </w:rPr>
      </w:pPr>
    </w:p>
    <w:p w:rsidR="0027440A" w:rsidRPr="00C45442" w:rsidRDefault="0027440A" w:rsidP="00A35EDD">
      <w:pPr>
        <w:jc w:val="center"/>
        <w:rPr>
          <w:b/>
          <w:color w:val="595959" w:themeColor="text1" w:themeTint="A6"/>
        </w:rPr>
      </w:pPr>
      <w:r w:rsidRPr="00C45442">
        <w:rPr>
          <w:b/>
          <w:color w:val="595959" w:themeColor="text1" w:themeTint="A6"/>
        </w:rPr>
        <w:t>Cuadro N° 2 - Tipos de uso de Internet, según sexo (2015)</w:t>
      </w:r>
    </w:p>
    <w:p w:rsidR="0027440A" w:rsidRPr="00C45442" w:rsidRDefault="0027440A" w:rsidP="00A35EDD">
      <w:pPr>
        <w:rPr>
          <w:lang w:val="es-ES"/>
        </w:rPr>
      </w:pPr>
    </w:p>
    <w:tbl>
      <w:tblPr>
        <w:tblW w:w="6538" w:type="dxa"/>
        <w:jc w:val="center"/>
        <w:tblCellMar>
          <w:left w:w="70" w:type="dxa"/>
          <w:right w:w="70" w:type="dxa"/>
        </w:tblCellMar>
        <w:tblLook w:val="04A0" w:firstRow="1" w:lastRow="0" w:firstColumn="1" w:lastColumn="0" w:noHBand="0" w:noVBand="1"/>
      </w:tblPr>
      <w:tblGrid>
        <w:gridCol w:w="4564"/>
        <w:gridCol w:w="987"/>
        <w:gridCol w:w="987"/>
      </w:tblGrid>
      <w:tr w:rsidR="00C45442" w:rsidRPr="00C45442" w:rsidTr="008F7747">
        <w:trPr>
          <w:trHeight w:val="284"/>
          <w:jc w:val="center"/>
        </w:trPr>
        <w:tc>
          <w:tcPr>
            <w:tcW w:w="4564" w:type="dxa"/>
            <w:tcBorders>
              <w:top w:val="nil"/>
              <w:left w:val="nil"/>
              <w:bottom w:val="single" w:sz="4" w:space="0" w:color="BFBFBF"/>
              <w:right w:val="nil"/>
            </w:tcBorders>
            <w:shd w:val="clear" w:color="auto" w:fill="auto"/>
            <w:vAlign w:val="center"/>
            <w:hideMark/>
          </w:tcPr>
          <w:p w:rsidR="00C45442" w:rsidRPr="00C45442" w:rsidRDefault="00C45442" w:rsidP="00A35EDD">
            <w:pPr>
              <w:rPr>
                <w:rFonts w:eastAsia="Times New Roman"/>
                <w:b/>
                <w:bCs/>
                <w:color w:val="000000"/>
                <w:lang w:eastAsia="es-ES"/>
              </w:rPr>
            </w:pPr>
          </w:p>
        </w:tc>
        <w:tc>
          <w:tcPr>
            <w:tcW w:w="987" w:type="dxa"/>
            <w:tcBorders>
              <w:top w:val="single" w:sz="4" w:space="0" w:color="BFBFBF"/>
              <w:left w:val="single" w:sz="4" w:space="0" w:color="BFBFBF"/>
              <w:bottom w:val="single" w:sz="4" w:space="0" w:color="BFBFBF"/>
              <w:right w:val="single" w:sz="4" w:space="0" w:color="BFBFBF"/>
            </w:tcBorders>
            <w:shd w:val="clear" w:color="auto" w:fill="BDD7EE"/>
            <w:vAlign w:val="center"/>
          </w:tcPr>
          <w:p w:rsidR="00C45442" w:rsidRPr="00C45442" w:rsidRDefault="00C45442" w:rsidP="00A35EDD">
            <w:pPr>
              <w:jc w:val="center"/>
              <w:rPr>
                <w:rFonts w:eastAsia="Times New Roman"/>
                <w:b/>
                <w:color w:val="000000"/>
                <w:lang w:eastAsia="es-ES"/>
              </w:rPr>
            </w:pPr>
            <w:r w:rsidRPr="00C45442">
              <w:rPr>
                <w:rFonts w:eastAsia="Times New Roman"/>
                <w:b/>
                <w:color w:val="000000"/>
                <w:lang w:eastAsia="es-ES"/>
              </w:rPr>
              <w:t>Mujer</w:t>
            </w:r>
          </w:p>
        </w:tc>
        <w:tc>
          <w:tcPr>
            <w:tcW w:w="987" w:type="dxa"/>
            <w:tcBorders>
              <w:top w:val="single" w:sz="4" w:space="0" w:color="BFBFBF"/>
              <w:left w:val="single" w:sz="4" w:space="0" w:color="BFBFBF"/>
              <w:bottom w:val="single" w:sz="4" w:space="0" w:color="BFBFBF"/>
              <w:right w:val="single" w:sz="4" w:space="0" w:color="BFBFBF"/>
            </w:tcBorders>
            <w:shd w:val="clear" w:color="auto" w:fill="BDD7EE"/>
            <w:vAlign w:val="center"/>
            <w:hideMark/>
          </w:tcPr>
          <w:p w:rsidR="00C45442" w:rsidRPr="00C45442" w:rsidRDefault="00C45442" w:rsidP="00A35EDD">
            <w:pPr>
              <w:jc w:val="center"/>
              <w:rPr>
                <w:rFonts w:eastAsia="Times New Roman"/>
                <w:b/>
                <w:color w:val="000000"/>
                <w:lang w:eastAsia="es-ES"/>
              </w:rPr>
            </w:pPr>
            <w:r w:rsidRPr="00C45442">
              <w:rPr>
                <w:rFonts w:eastAsia="Times New Roman"/>
                <w:b/>
                <w:color w:val="000000"/>
                <w:lang w:eastAsia="es-ES"/>
              </w:rPr>
              <w:t>Hombre</w:t>
            </w:r>
          </w:p>
        </w:tc>
      </w:tr>
      <w:tr w:rsidR="00C45442" w:rsidRPr="00C45442" w:rsidTr="00C45442">
        <w:trPr>
          <w:trHeight w:val="284"/>
          <w:jc w:val="center"/>
        </w:trPr>
        <w:tc>
          <w:tcPr>
            <w:tcW w:w="4564"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rsidR="00C45442" w:rsidRPr="00C45442" w:rsidRDefault="00C45442" w:rsidP="00A35EDD">
            <w:pPr>
              <w:rPr>
                <w:rFonts w:eastAsia="Times New Roman"/>
                <w:color w:val="000000"/>
                <w:lang w:eastAsia="es-ES"/>
              </w:rPr>
            </w:pPr>
            <w:r w:rsidRPr="00C45442">
              <w:rPr>
                <w:rFonts w:eastAsia="Times New Roman"/>
                <w:color w:val="000000"/>
                <w:lang w:eastAsia="es-ES"/>
              </w:rPr>
              <w:t>Comunicación</w:t>
            </w:r>
          </w:p>
        </w:tc>
        <w:tc>
          <w:tcPr>
            <w:tcW w:w="987" w:type="dxa"/>
            <w:tcBorders>
              <w:top w:val="single" w:sz="4" w:space="0" w:color="BFBFBF"/>
              <w:left w:val="single" w:sz="4" w:space="0" w:color="BFBFBF"/>
              <w:bottom w:val="single" w:sz="4" w:space="0" w:color="BFBFBF"/>
              <w:right w:val="single" w:sz="4" w:space="0" w:color="BFBFBF"/>
            </w:tcBorders>
            <w:vAlign w:val="center"/>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56,2</w:t>
            </w:r>
          </w:p>
        </w:tc>
        <w:tc>
          <w:tcPr>
            <w:tcW w:w="98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55,1</w:t>
            </w:r>
          </w:p>
        </w:tc>
      </w:tr>
      <w:tr w:rsidR="00C45442" w:rsidRPr="00C45442" w:rsidTr="00C45442">
        <w:trPr>
          <w:trHeight w:val="284"/>
          <w:jc w:val="center"/>
        </w:trPr>
        <w:tc>
          <w:tcPr>
            <w:tcW w:w="4564"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rsidR="00C45442" w:rsidRPr="00C45442" w:rsidRDefault="00C45442" w:rsidP="00A35EDD">
            <w:pPr>
              <w:rPr>
                <w:rFonts w:eastAsia="Times New Roman"/>
                <w:color w:val="000000"/>
                <w:lang w:eastAsia="es-ES"/>
              </w:rPr>
            </w:pPr>
            <w:r w:rsidRPr="00C45442">
              <w:rPr>
                <w:rFonts w:eastAsia="Times New Roman"/>
                <w:color w:val="000000"/>
                <w:lang w:eastAsia="es-ES"/>
              </w:rPr>
              <w:t>Búsqueda de información</w:t>
            </w:r>
          </w:p>
        </w:tc>
        <w:tc>
          <w:tcPr>
            <w:tcW w:w="987" w:type="dxa"/>
            <w:tcBorders>
              <w:top w:val="single" w:sz="4" w:space="0" w:color="BFBFBF"/>
              <w:left w:val="single" w:sz="4" w:space="0" w:color="BFBFBF"/>
              <w:bottom w:val="single" w:sz="4" w:space="0" w:color="BFBFBF"/>
              <w:right w:val="single" w:sz="4" w:space="0" w:color="BFBFBF"/>
            </w:tcBorders>
            <w:vAlign w:val="center"/>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58,5</w:t>
            </w:r>
          </w:p>
        </w:tc>
        <w:tc>
          <w:tcPr>
            <w:tcW w:w="98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58,3</w:t>
            </w:r>
          </w:p>
        </w:tc>
      </w:tr>
      <w:tr w:rsidR="00C45442" w:rsidRPr="00C45442" w:rsidTr="00C45442">
        <w:trPr>
          <w:trHeight w:val="284"/>
          <w:jc w:val="center"/>
        </w:trPr>
        <w:tc>
          <w:tcPr>
            <w:tcW w:w="4564"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rsidR="00C45442" w:rsidRPr="00C45442" w:rsidRDefault="00C45442" w:rsidP="00A35EDD">
            <w:pPr>
              <w:rPr>
                <w:rFonts w:eastAsia="Times New Roman"/>
                <w:color w:val="000000"/>
                <w:lang w:eastAsia="es-ES"/>
              </w:rPr>
            </w:pPr>
            <w:r w:rsidRPr="00C45442">
              <w:rPr>
                <w:rFonts w:eastAsia="Times New Roman"/>
                <w:color w:val="000000"/>
                <w:lang w:eastAsia="es-ES"/>
              </w:rPr>
              <w:t>Educación y aprendizaje</w:t>
            </w:r>
          </w:p>
        </w:tc>
        <w:tc>
          <w:tcPr>
            <w:tcW w:w="987" w:type="dxa"/>
            <w:tcBorders>
              <w:top w:val="single" w:sz="4" w:space="0" w:color="BFBFBF"/>
              <w:left w:val="single" w:sz="4" w:space="0" w:color="BFBFBF"/>
              <w:bottom w:val="single" w:sz="4" w:space="0" w:color="BFBFBF"/>
              <w:right w:val="single" w:sz="4" w:space="0" w:color="BFBFBF"/>
            </w:tcBorders>
            <w:vAlign w:val="center"/>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8,3</w:t>
            </w:r>
          </w:p>
        </w:tc>
        <w:tc>
          <w:tcPr>
            <w:tcW w:w="98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7,4</w:t>
            </w:r>
          </w:p>
        </w:tc>
      </w:tr>
      <w:tr w:rsidR="00C45442" w:rsidRPr="00C45442" w:rsidTr="00C45442">
        <w:trPr>
          <w:trHeight w:val="284"/>
          <w:jc w:val="center"/>
        </w:trPr>
        <w:tc>
          <w:tcPr>
            <w:tcW w:w="4564"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rsidR="00C45442" w:rsidRPr="00C45442" w:rsidRDefault="00C45442" w:rsidP="00A35EDD">
            <w:pPr>
              <w:rPr>
                <w:rFonts w:eastAsia="Times New Roman"/>
                <w:color w:val="000000"/>
                <w:lang w:eastAsia="es-ES"/>
              </w:rPr>
            </w:pPr>
            <w:r w:rsidRPr="00C45442">
              <w:rPr>
                <w:rFonts w:eastAsia="Times New Roman"/>
                <w:color w:val="000000"/>
                <w:lang w:eastAsia="es-ES"/>
              </w:rPr>
              <w:t>Comprar/ordenar productos o servicios</w:t>
            </w:r>
          </w:p>
        </w:tc>
        <w:tc>
          <w:tcPr>
            <w:tcW w:w="987" w:type="dxa"/>
            <w:tcBorders>
              <w:top w:val="single" w:sz="4" w:space="0" w:color="BFBFBF"/>
              <w:left w:val="single" w:sz="4" w:space="0" w:color="BFBFBF"/>
              <w:bottom w:val="single" w:sz="4" w:space="0" w:color="BFBFBF"/>
              <w:right w:val="single" w:sz="4" w:space="0" w:color="BFBFBF"/>
            </w:tcBorders>
            <w:vAlign w:val="center"/>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6,6</w:t>
            </w:r>
          </w:p>
        </w:tc>
        <w:tc>
          <w:tcPr>
            <w:tcW w:w="98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8,6</w:t>
            </w:r>
          </w:p>
        </w:tc>
      </w:tr>
      <w:tr w:rsidR="00C45442" w:rsidRPr="00C45442" w:rsidTr="00C45442">
        <w:trPr>
          <w:trHeight w:val="284"/>
          <w:jc w:val="center"/>
        </w:trPr>
        <w:tc>
          <w:tcPr>
            <w:tcW w:w="4564"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rsidR="00C45442" w:rsidRPr="00C45442" w:rsidRDefault="00C45442" w:rsidP="00A35EDD">
            <w:pPr>
              <w:rPr>
                <w:rFonts w:eastAsia="Times New Roman"/>
                <w:color w:val="000000"/>
                <w:lang w:eastAsia="es-ES"/>
              </w:rPr>
            </w:pPr>
            <w:r w:rsidRPr="00C45442">
              <w:rPr>
                <w:rFonts w:eastAsia="Times New Roman"/>
                <w:color w:val="000000"/>
                <w:lang w:eastAsia="es-ES"/>
              </w:rPr>
              <w:t>Banca electrónica y otros servicios financieros</w:t>
            </w:r>
          </w:p>
        </w:tc>
        <w:tc>
          <w:tcPr>
            <w:tcW w:w="987" w:type="dxa"/>
            <w:tcBorders>
              <w:top w:val="single" w:sz="4" w:space="0" w:color="BFBFBF"/>
              <w:left w:val="single" w:sz="4" w:space="0" w:color="BFBFBF"/>
              <w:bottom w:val="single" w:sz="4" w:space="0" w:color="BFBFBF"/>
              <w:right w:val="single" w:sz="4" w:space="0" w:color="BFBFBF"/>
            </w:tcBorders>
            <w:vAlign w:val="center"/>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6,3</w:t>
            </w:r>
          </w:p>
        </w:tc>
        <w:tc>
          <w:tcPr>
            <w:tcW w:w="98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7,7</w:t>
            </w:r>
          </w:p>
        </w:tc>
      </w:tr>
      <w:tr w:rsidR="00C45442" w:rsidRPr="00C45442" w:rsidTr="00C45442">
        <w:trPr>
          <w:trHeight w:val="284"/>
          <w:jc w:val="center"/>
        </w:trPr>
        <w:tc>
          <w:tcPr>
            <w:tcW w:w="4564"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rsidR="00C45442" w:rsidRPr="00C45442" w:rsidRDefault="00C45442" w:rsidP="00A35EDD">
            <w:pPr>
              <w:rPr>
                <w:rFonts w:eastAsia="Times New Roman"/>
                <w:color w:val="000000"/>
                <w:lang w:eastAsia="es-ES"/>
              </w:rPr>
            </w:pPr>
            <w:r w:rsidRPr="00C45442">
              <w:rPr>
                <w:rFonts w:eastAsia="Times New Roman"/>
                <w:color w:val="000000"/>
                <w:lang w:eastAsia="es-ES"/>
              </w:rPr>
              <w:t>Trámites</w:t>
            </w:r>
          </w:p>
        </w:tc>
        <w:tc>
          <w:tcPr>
            <w:tcW w:w="987" w:type="dxa"/>
            <w:tcBorders>
              <w:top w:val="single" w:sz="4" w:space="0" w:color="BFBFBF"/>
              <w:left w:val="single" w:sz="4" w:space="0" w:color="BFBFBF"/>
              <w:bottom w:val="single" w:sz="4" w:space="0" w:color="BFBFBF"/>
              <w:right w:val="single" w:sz="4" w:space="0" w:color="BFBFBF"/>
            </w:tcBorders>
            <w:vAlign w:val="center"/>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11,1</w:t>
            </w:r>
          </w:p>
        </w:tc>
        <w:tc>
          <w:tcPr>
            <w:tcW w:w="98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10,9</w:t>
            </w:r>
          </w:p>
        </w:tc>
      </w:tr>
      <w:tr w:rsidR="00C45442" w:rsidRPr="00C45442" w:rsidTr="00C45442">
        <w:trPr>
          <w:trHeight w:val="284"/>
          <w:jc w:val="center"/>
        </w:trPr>
        <w:tc>
          <w:tcPr>
            <w:tcW w:w="4564"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rsidR="00C45442" w:rsidRPr="00C45442" w:rsidRDefault="00C45442" w:rsidP="00A35EDD">
            <w:pPr>
              <w:rPr>
                <w:rFonts w:eastAsia="Times New Roman"/>
                <w:color w:val="000000"/>
                <w:lang w:eastAsia="es-ES"/>
              </w:rPr>
            </w:pPr>
            <w:r w:rsidRPr="00C45442">
              <w:rPr>
                <w:rFonts w:eastAsia="Times New Roman"/>
                <w:color w:val="000000"/>
                <w:lang w:eastAsia="es-ES"/>
              </w:rPr>
              <w:t>Entretenimiento</w:t>
            </w:r>
          </w:p>
        </w:tc>
        <w:tc>
          <w:tcPr>
            <w:tcW w:w="987" w:type="dxa"/>
            <w:tcBorders>
              <w:top w:val="single" w:sz="4" w:space="0" w:color="BFBFBF"/>
              <w:left w:val="single" w:sz="4" w:space="0" w:color="BFBFBF"/>
              <w:bottom w:val="single" w:sz="4" w:space="0" w:color="BFBFBF"/>
              <w:right w:val="single" w:sz="4" w:space="0" w:color="BFBFBF"/>
            </w:tcBorders>
            <w:vAlign w:val="center"/>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51,0</w:t>
            </w:r>
          </w:p>
        </w:tc>
        <w:tc>
          <w:tcPr>
            <w:tcW w:w="98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C45442" w:rsidRPr="00C45442" w:rsidRDefault="00C45442" w:rsidP="00A35EDD">
            <w:pPr>
              <w:jc w:val="right"/>
              <w:rPr>
                <w:rFonts w:eastAsia="Times New Roman"/>
                <w:color w:val="000000"/>
                <w:lang w:eastAsia="es-ES"/>
              </w:rPr>
            </w:pPr>
            <w:r w:rsidRPr="00C45442">
              <w:rPr>
                <w:rFonts w:eastAsia="Times New Roman"/>
                <w:color w:val="000000"/>
                <w:lang w:eastAsia="es-ES"/>
              </w:rPr>
              <w:t>53,5</w:t>
            </w:r>
          </w:p>
        </w:tc>
      </w:tr>
    </w:tbl>
    <w:p w:rsidR="0027440A" w:rsidRPr="00C45442" w:rsidRDefault="0027440A" w:rsidP="00A35EDD">
      <w:pPr>
        <w:rPr>
          <w:sz w:val="8"/>
          <w:szCs w:val="8"/>
        </w:rPr>
      </w:pPr>
    </w:p>
    <w:p w:rsidR="0027440A" w:rsidRPr="00C45442" w:rsidRDefault="0027440A" w:rsidP="00A35EDD">
      <w:pPr>
        <w:ind w:left="1560"/>
        <w:jc w:val="left"/>
        <w:rPr>
          <w:color w:val="595959" w:themeColor="text1" w:themeTint="A6"/>
        </w:rPr>
      </w:pPr>
      <w:r w:rsidRPr="00C45442">
        <w:rPr>
          <w:color w:val="595959" w:themeColor="text1" w:themeTint="A6"/>
        </w:rPr>
        <w:t>Fuente: Encuesta Continua de Hogares</w:t>
      </w:r>
    </w:p>
    <w:p w:rsidR="0027440A" w:rsidRPr="00C45442" w:rsidRDefault="0027440A" w:rsidP="00A35EDD">
      <w:pPr>
        <w:rPr>
          <w:sz w:val="23"/>
          <w:szCs w:val="23"/>
          <w:lang w:val="es-ES_tradnl"/>
        </w:rPr>
      </w:pPr>
    </w:p>
    <w:p w:rsidR="0027440A" w:rsidRPr="00C45442" w:rsidRDefault="0027440A" w:rsidP="00A35EDD">
      <w:pPr>
        <w:rPr>
          <w:sz w:val="23"/>
          <w:szCs w:val="23"/>
          <w:lang w:val="es-ES_tradnl"/>
        </w:rPr>
      </w:pPr>
      <w:r w:rsidRPr="00C45442">
        <w:rPr>
          <w:sz w:val="23"/>
          <w:szCs w:val="23"/>
          <w:lang w:val="es-ES_tradnl"/>
        </w:rPr>
        <w:lastRenderedPageBreak/>
        <w:t xml:space="preserve">Por ello, los obstáculos que se reconocen en nuestro país para las mujeres, están </w:t>
      </w:r>
      <w:r w:rsidR="00392CEA">
        <w:rPr>
          <w:sz w:val="23"/>
          <w:szCs w:val="23"/>
          <w:lang w:val="es-ES_tradnl"/>
        </w:rPr>
        <w:t>relacionados con</w:t>
      </w:r>
      <w:r w:rsidRPr="00C45442">
        <w:rPr>
          <w:sz w:val="23"/>
          <w:szCs w:val="23"/>
          <w:lang w:val="es-ES_tradnl"/>
        </w:rPr>
        <w:t xml:space="preserve"> </w:t>
      </w:r>
      <w:r w:rsidR="00392CEA">
        <w:rPr>
          <w:sz w:val="23"/>
          <w:szCs w:val="23"/>
          <w:lang w:val="es-ES_tradnl"/>
        </w:rPr>
        <w:t>el desarrollo de</w:t>
      </w:r>
      <w:r w:rsidRPr="00C45442">
        <w:rPr>
          <w:sz w:val="23"/>
          <w:szCs w:val="23"/>
          <w:lang w:val="es-ES_tradnl"/>
        </w:rPr>
        <w:t xml:space="preserve"> habilidades complejas y las posteriores oportunidades que las mismas reflejan. Continúa siendo baja la matrícula femenina en carreras relacionadas </w:t>
      </w:r>
      <w:r w:rsidR="00692E09">
        <w:rPr>
          <w:sz w:val="23"/>
          <w:szCs w:val="23"/>
          <w:lang w:val="es-ES_tradnl"/>
        </w:rPr>
        <w:t>con</w:t>
      </w:r>
      <w:r w:rsidRPr="00C45442">
        <w:rPr>
          <w:sz w:val="23"/>
          <w:szCs w:val="23"/>
          <w:lang w:val="es-ES_tradnl"/>
        </w:rPr>
        <w:t xml:space="preserve"> las tecnologías, así como la cantidad de mujeres programadoras. </w:t>
      </w:r>
    </w:p>
    <w:p w:rsidR="0027440A" w:rsidRPr="00C45442" w:rsidRDefault="0027440A" w:rsidP="00A35EDD">
      <w:pPr>
        <w:rPr>
          <w:sz w:val="23"/>
          <w:szCs w:val="23"/>
          <w:lang w:val="es-ES_tradnl"/>
        </w:rPr>
      </w:pPr>
    </w:p>
    <w:p w:rsidR="0027440A" w:rsidRDefault="0027440A" w:rsidP="00A35EDD">
      <w:pPr>
        <w:rPr>
          <w:sz w:val="23"/>
          <w:szCs w:val="23"/>
          <w:lang w:val="es-ES_tradnl"/>
        </w:rPr>
      </w:pPr>
      <w:r w:rsidRPr="00C45442">
        <w:rPr>
          <w:sz w:val="23"/>
          <w:szCs w:val="23"/>
          <w:lang w:val="es-ES_tradnl"/>
        </w:rPr>
        <w:t xml:space="preserve">En este sentido, el desarrollo equitativo de habilidades digitales </w:t>
      </w:r>
      <w:r w:rsidR="00692E09">
        <w:rPr>
          <w:sz w:val="23"/>
          <w:szCs w:val="23"/>
          <w:lang w:val="es-ES_tradnl"/>
        </w:rPr>
        <w:t xml:space="preserve">avanzadas </w:t>
      </w:r>
      <w:r w:rsidRPr="00C45442">
        <w:rPr>
          <w:sz w:val="23"/>
          <w:szCs w:val="23"/>
          <w:lang w:val="es-ES_tradnl"/>
        </w:rPr>
        <w:t xml:space="preserve">es imprescindible para el aprovechamiento en igualdad de condiciones de los beneficios de las mismas, y la política digital del país al 2020 lo ha priorizado en sus objetivos y metas. </w:t>
      </w:r>
    </w:p>
    <w:p w:rsidR="0027440A" w:rsidRPr="00C45442" w:rsidRDefault="0027440A" w:rsidP="00A35EDD">
      <w:pPr>
        <w:rPr>
          <w:sz w:val="23"/>
          <w:szCs w:val="23"/>
          <w:lang w:val="es-ES_tradnl"/>
        </w:rPr>
      </w:pPr>
    </w:p>
    <w:p w:rsidR="0027440A" w:rsidRPr="00C45442" w:rsidRDefault="003F5289" w:rsidP="00A35EDD">
      <w:pPr>
        <w:rPr>
          <w:b/>
          <w:sz w:val="23"/>
          <w:szCs w:val="23"/>
        </w:rPr>
      </w:pPr>
      <w:r w:rsidRPr="00C45442">
        <w:rPr>
          <w:b/>
          <w:sz w:val="23"/>
          <w:szCs w:val="23"/>
        </w:rPr>
        <w:t>DISPONIBILIDAD DE DATOS DESAGREGADOS POR SEXO</w:t>
      </w:r>
    </w:p>
    <w:p w:rsidR="0027440A" w:rsidRPr="00C45442" w:rsidRDefault="0027440A" w:rsidP="00A35EDD">
      <w:pPr>
        <w:rPr>
          <w:sz w:val="23"/>
          <w:szCs w:val="23"/>
        </w:rPr>
      </w:pPr>
    </w:p>
    <w:p w:rsidR="003F5289" w:rsidRPr="00C45442" w:rsidRDefault="0027440A" w:rsidP="00A35EDD">
      <w:pPr>
        <w:rPr>
          <w:sz w:val="23"/>
          <w:szCs w:val="23"/>
        </w:rPr>
      </w:pPr>
      <w:r w:rsidRPr="00C45442">
        <w:rPr>
          <w:sz w:val="23"/>
          <w:szCs w:val="23"/>
        </w:rPr>
        <w:t xml:space="preserve">Disponer de estadísticas desagregadas por sexo </w:t>
      </w:r>
      <w:r w:rsidR="0076781E">
        <w:rPr>
          <w:sz w:val="23"/>
          <w:szCs w:val="23"/>
        </w:rPr>
        <w:t>resulta necesario</w:t>
      </w:r>
      <w:r w:rsidRPr="00C45442">
        <w:rPr>
          <w:sz w:val="23"/>
          <w:szCs w:val="23"/>
        </w:rPr>
        <w:t xml:space="preserve"> no solo para mejorar la precisión de los diagnósticos sino para permitir la toma de decisiones informada. </w:t>
      </w:r>
    </w:p>
    <w:p w:rsidR="003F5289" w:rsidRPr="00C45442" w:rsidRDefault="003F5289" w:rsidP="00A35EDD">
      <w:pPr>
        <w:rPr>
          <w:sz w:val="23"/>
          <w:szCs w:val="23"/>
        </w:rPr>
      </w:pPr>
    </w:p>
    <w:p w:rsidR="0027440A" w:rsidRPr="00C45442" w:rsidRDefault="0027440A" w:rsidP="00A35EDD">
      <w:pPr>
        <w:rPr>
          <w:sz w:val="23"/>
          <w:szCs w:val="23"/>
        </w:rPr>
      </w:pPr>
      <w:r w:rsidRPr="00C45442">
        <w:rPr>
          <w:b/>
          <w:sz w:val="23"/>
          <w:szCs w:val="23"/>
        </w:rPr>
        <w:t>El país cuenta con un importante conjunto de estudios del sector</w:t>
      </w:r>
      <w:r w:rsidRPr="00C45442">
        <w:rPr>
          <w:sz w:val="23"/>
          <w:szCs w:val="23"/>
        </w:rPr>
        <w:t xml:space="preserve">, de los cuáles algunos forman parte del Sistema Estadístico Nacional y otros son realizados por los organismos que lideran las diferentes políticas. </w:t>
      </w:r>
      <w:r w:rsidRPr="00C45442">
        <w:rPr>
          <w:b/>
          <w:sz w:val="23"/>
          <w:szCs w:val="23"/>
        </w:rPr>
        <w:t>Todos ellos permiten la desagregación de la información por sexo</w:t>
      </w:r>
      <w:r w:rsidRPr="00C45442">
        <w:rPr>
          <w:sz w:val="23"/>
          <w:szCs w:val="23"/>
        </w:rPr>
        <w:t xml:space="preserve">. </w:t>
      </w:r>
    </w:p>
    <w:p w:rsidR="0027440A" w:rsidRPr="00C45442" w:rsidRDefault="0027440A" w:rsidP="00A35EDD">
      <w:pPr>
        <w:rPr>
          <w:sz w:val="23"/>
          <w:szCs w:val="23"/>
        </w:rPr>
      </w:pPr>
    </w:p>
    <w:p w:rsidR="003F5289" w:rsidRPr="00C45442" w:rsidRDefault="0027440A" w:rsidP="00A35EDD">
      <w:pPr>
        <w:rPr>
          <w:sz w:val="23"/>
          <w:szCs w:val="23"/>
        </w:rPr>
      </w:pPr>
      <w:r w:rsidRPr="00C45442">
        <w:rPr>
          <w:sz w:val="23"/>
          <w:szCs w:val="23"/>
        </w:rPr>
        <w:t xml:space="preserve">Entre los principales se destacan: </w:t>
      </w:r>
    </w:p>
    <w:p w:rsidR="003F5289" w:rsidRPr="00C45442" w:rsidRDefault="003F5289" w:rsidP="00A35EDD">
      <w:pPr>
        <w:pStyle w:val="ListParagraph"/>
        <w:numPr>
          <w:ilvl w:val="0"/>
          <w:numId w:val="1"/>
        </w:numPr>
        <w:rPr>
          <w:sz w:val="23"/>
          <w:szCs w:val="23"/>
        </w:rPr>
      </w:pPr>
      <w:r w:rsidRPr="00C45442">
        <w:rPr>
          <w:sz w:val="23"/>
          <w:szCs w:val="23"/>
        </w:rPr>
        <w:t>L</w:t>
      </w:r>
      <w:r w:rsidR="0027440A" w:rsidRPr="00C45442">
        <w:rPr>
          <w:sz w:val="23"/>
          <w:szCs w:val="23"/>
        </w:rPr>
        <w:t>a Encuesta Continua de Hogares</w:t>
      </w:r>
      <w:r w:rsidRPr="00C45442">
        <w:rPr>
          <w:sz w:val="23"/>
          <w:szCs w:val="23"/>
        </w:rPr>
        <w:t xml:space="preserve"> (ECH).</w:t>
      </w:r>
      <w:r w:rsidR="007179BB">
        <w:rPr>
          <w:sz w:val="23"/>
          <w:szCs w:val="23"/>
        </w:rPr>
        <w:t xml:space="preserve"> Realizada continuamente</w:t>
      </w:r>
      <w:r w:rsidRPr="00C45442">
        <w:rPr>
          <w:sz w:val="23"/>
          <w:szCs w:val="23"/>
        </w:rPr>
        <w:t xml:space="preserve"> por el Instituto Nacional de Estadísticas (INE), en la que se releva una batería de indicadores sobre acceso en los hogares y uso en las personas.</w:t>
      </w:r>
    </w:p>
    <w:p w:rsidR="003F5289" w:rsidRPr="00C45442" w:rsidRDefault="003F5289" w:rsidP="00A35EDD">
      <w:pPr>
        <w:pStyle w:val="ListParagraph"/>
        <w:numPr>
          <w:ilvl w:val="0"/>
          <w:numId w:val="1"/>
        </w:numPr>
        <w:rPr>
          <w:sz w:val="23"/>
          <w:szCs w:val="23"/>
        </w:rPr>
      </w:pPr>
      <w:r w:rsidRPr="00C45442">
        <w:rPr>
          <w:sz w:val="23"/>
          <w:szCs w:val="23"/>
        </w:rPr>
        <w:t>La Encuesta específica de Acceso y Uso de TIC (EUTIC)</w:t>
      </w:r>
      <w:r w:rsidR="00C45442" w:rsidRPr="00C45442">
        <w:rPr>
          <w:sz w:val="23"/>
          <w:szCs w:val="23"/>
        </w:rPr>
        <w:t xml:space="preserve">. Realizada cada tres años por la Agencia de Gobierno Electrónico y Sociedad de la Información </w:t>
      </w:r>
      <w:r w:rsidR="007179BB">
        <w:rPr>
          <w:sz w:val="23"/>
          <w:szCs w:val="23"/>
        </w:rPr>
        <w:t>y del Conocimiento (AGE</w:t>
      </w:r>
      <w:r w:rsidR="00C45442" w:rsidRPr="00C45442">
        <w:rPr>
          <w:sz w:val="23"/>
          <w:szCs w:val="23"/>
        </w:rPr>
        <w:t>S</w:t>
      </w:r>
      <w:r w:rsidR="007179BB">
        <w:rPr>
          <w:sz w:val="23"/>
          <w:szCs w:val="23"/>
        </w:rPr>
        <w:t>I</w:t>
      </w:r>
      <w:r w:rsidR="00C45442" w:rsidRPr="00C45442">
        <w:rPr>
          <w:sz w:val="23"/>
          <w:szCs w:val="23"/>
        </w:rPr>
        <w:t>C) junto con el INE, que profundiza en el conocimiento del comportamiento digital de la población.</w:t>
      </w:r>
    </w:p>
    <w:p w:rsidR="00C45442" w:rsidRPr="00C45442" w:rsidRDefault="00C45442" w:rsidP="00A35EDD">
      <w:pPr>
        <w:pStyle w:val="ListParagraph"/>
        <w:numPr>
          <w:ilvl w:val="0"/>
          <w:numId w:val="1"/>
        </w:numPr>
        <w:rPr>
          <w:sz w:val="23"/>
          <w:szCs w:val="23"/>
        </w:rPr>
      </w:pPr>
      <w:r w:rsidRPr="00C45442">
        <w:rPr>
          <w:sz w:val="23"/>
          <w:szCs w:val="23"/>
        </w:rPr>
        <w:t xml:space="preserve">Encuestas sobre actividades puntuales en las que </w:t>
      </w:r>
      <w:r w:rsidR="007179BB">
        <w:rPr>
          <w:sz w:val="23"/>
          <w:szCs w:val="23"/>
        </w:rPr>
        <w:t xml:space="preserve">igualmente </w:t>
      </w:r>
      <w:r w:rsidRPr="00C45442">
        <w:rPr>
          <w:sz w:val="23"/>
          <w:szCs w:val="23"/>
        </w:rPr>
        <w:t>se relevan indicadores básicos de acceso y uso, como el Estudio de conocimientos, actitudes y prácticas de Ciudadanía Digital que realiza AGESIC o los estudios sobre uso del Plan Ceibal (computadoras a estudiantes) y del Plan Ibirapi</w:t>
      </w:r>
      <w:r w:rsidR="008F7747">
        <w:rPr>
          <w:sz w:val="23"/>
          <w:szCs w:val="23"/>
        </w:rPr>
        <w:t>tá (tabletas a adultos mayores), por mencionar algunos ejemplos.</w:t>
      </w:r>
    </w:p>
    <w:p w:rsidR="003F5289" w:rsidRPr="00C45442" w:rsidRDefault="003F5289" w:rsidP="00A35EDD">
      <w:pPr>
        <w:rPr>
          <w:sz w:val="23"/>
          <w:szCs w:val="23"/>
        </w:rPr>
      </w:pPr>
    </w:p>
    <w:p w:rsidR="0027440A" w:rsidRDefault="0027440A" w:rsidP="00A35EDD">
      <w:pPr>
        <w:pStyle w:val="NormalWeb"/>
        <w:shd w:val="clear" w:color="auto" w:fill="FFFFFF"/>
        <w:spacing w:before="0" w:beforeAutospacing="0" w:after="0" w:afterAutospacing="0"/>
        <w:jc w:val="both"/>
        <w:outlineLvl w:val="3"/>
        <w:rPr>
          <w:rFonts w:ascii="Arial" w:hAnsi="Arial" w:cs="Arial"/>
          <w:bCs/>
          <w:color w:val="000000"/>
          <w:sz w:val="23"/>
          <w:szCs w:val="23"/>
          <w:lang w:val="es-ES_tradnl"/>
        </w:rPr>
      </w:pPr>
      <w:r w:rsidRPr="00C45442">
        <w:rPr>
          <w:rFonts w:ascii="Arial" w:hAnsi="Arial" w:cs="Arial"/>
          <w:bCs/>
          <w:color w:val="000000"/>
          <w:sz w:val="23"/>
          <w:szCs w:val="23"/>
          <w:lang w:val="es-ES_tradnl"/>
        </w:rPr>
        <w:t xml:space="preserve">Es importante aclarar que las dimensiones de la brecha digital de género que </w:t>
      </w:r>
      <w:r w:rsidR="00C45442" w:rsidRPr="00C45442">
        <w:rPr>
          <w:rFonts w:ascii="Arial" w:hAnsi="Arial" w:cs="Arial"/>
          <w:bCs/>
          <w:color w:val="000000"/>
          <w:sz w:val="23"/>
          <w:szCs w:val="23"/>
          <w:lang w:val="es-ES_tradnl"/>
        </w:rPr>
        <w:t xml:space="preserve">aún </w:t>
      </w:r>
      <w:r w:rsidRPr="00C45442">
        <w:rPr>
          <w:rFonts w:ascii="Arial" w:hAnsi="Arial" w:cs="Arial"/>
          <w:bCs/>
          <w:color w:val="000000"/>
          <w:sz w:val="23"/>
          <w:szCs w:val="23"/>
          <w:lang w:val="es-ES_tradnl"/>
        </w:rPr>
        <w:t>persiste poseen un carácter complejo anclado en desigualdades sociales</w:t>
      </w:r>
      <w:r w:rsidR="008F7747">
        <w:rPr>
          <w:rFonts w:ascii="Arial" w:hAnsi="Arial" w:cs="Arial"/>
          <w:bCs/>
          <w:color w:val="000000"/>
          <w:sz w:val="23"/>
          <w:szCs w:val="23"/>
          <w:lang w:val="es-ES_tradnl"/>
        </w:rPr>
        <w:t>,</w:t>
      </w:r>
      <w:r w:rsidRPr="00C45442">
        <w:rPr>
          <w:rFonts w:ascii="Arial" w:hAnsi="Arial" w:cs="Arial"/>
          <w:bCs/>
          <w:color w:val="000000"/>
          <w:sz w:val="23"/>
          <w:szCs w:val="23"/>
          <w:lang w:val="es-ES_tradnl"/>
        </w:rPr>
        <w:t xml:space="preserve"> que deben abordarse fundamentalmente desde las políticas de género en articulación con las políticas digitales. Por esta misma razón, son diferencias difíciles de captar en las mediciones tradicionales</w:t>
      </w:r>
      <w:r w:rsidR="008F7747">
        <w:rPr>
          <w:rFonts w:ascii="Arial" w:hAnsi="Arial" w:cs="Arial"/>
          <w:bCs/>
          <w:color w:val="000000"/>
          <w:sz w:val="23"/>
          <w:szCs w:val="23"/>
          <w:lang w:val="es-ES_tradnl"/>
        </w:rPr>
        <w:t xml:space="preserve"> de acceso y uso de TIC</w:t>
      </w:r>
      <w:r w:rsidRPr="00C45442">
        <w:rPr>
          <w:rFonts w:ascii="Arial" w:hAnsi="Arial" w:cs="Arial"/>
          <w:bCs/>
          <w:color w:val="000000"/>
          <w:sz w:val="23"/>
          <w:szCs w:val="23"/>
          <w:lang w:val="es-ES_tradnl"/>
        </w:rPr>
        <w:t xml:space="preserve">. </w:t>
      </w:r>
    </w:p>
    <w:p w:rsidR="00416435" w:rsidRDefault="00416435" w:rsidP="00A35EDD">
      <w:pPr>
        <w:pStyle w:val="NormalWeb"/>
        <w:shd w:val="clear" w:color="auto" w:fill="FFFFFF"/>
        <w:spacing w:before="0" w:beforeAutospacing="0" w:after="0" w:afterAutospacing="0"/>
        <w:jc w:val="both"/>
        <w:outlineLvl w:val="3"/>
        <w:rPr>
          <w:rFonts w:ascii="Arial" w:hAnsi="Arial" w:cs="Arial"/>
          <w:bCs/>
          <w:color w:val="000000"/>
          <w:sz w:val="23"/>
          <w:szCs w:val="23"/>
          <w:lang w:val="es-ES_tradnl"/>
        </w:rPr>
      </w:pPr>
    </w:p>
    <w:p w:rsidR="0027440A" w:rsidRPr="00C45442" w:rsidRDefault="0027440A" w:rsidP="00A35EDD">
      <w:pPr>
        <w:pStyle w:val="NormalWeb"/>
        <w:shd w:val="clear" w:color="auto" w:fill="FFFFFF"/>
        <w:spacing w:before="0" w:beforeAutospacing="0" w:after="0" w:afterAutospacing="0"/>
        <w:jc w:val="both"/>
        <w:outlineLvl w:val="3"/>
        <w:rPr>
          <w:rFonts w:ascii="Arial" w:hAnsi="Arial" w:cs="Arial"/>
          <w:bCs/>
          <w:color w:val="000000"/>
          <w:sz w:val="23"/>
          <w:szCs w:val="23"/>
          <w:lang w:val="es-ES_tradnl"/>
        </w:rPr>
      </w:pPr>
    </w:p>
    <w:p w:rsidR="0027440A" w:rsidRPr="008F7747" w:rsidRDefault="008F7747" w:rsidP="00A35EDD">
      <w:pPr>
        <w:rPr>
          <w:b/>
          <w:sz w:val="23"/>
          <w:szCs w:val="23"/>
        </w:rPr>
      </w:pPr>
      <w:r w:rsidRPr="008F7747">
        <w:rPr>
          <w:b/>
          <w:sz w:val="23"/>
          <w:szCs w:val="23"/>
        </w:rPr>
        <w:t>MEDIDAS PARA FACILITAR Y EXPANDIR EL ACCESO Y EL USO</w:t>
      </w:r>
      <w:r w:rsidR="00A35EDD">
        <w:rPr>
          <w:b/>
          <w:sz w:val="23"/>
          <w:szCs w:val="23"/>
        </w:rPr>
        <w:t xml:space="preserve"> DE INTERNET</w:t>
      </w:r>
    </w:p>
    <w:p w:rsidR="0027440A" w:rsidRPr="00C45442" w:rsidRDefault="0027440A" w:rsidP="00A35EDD">
      <w:pPr>
        <w:rPr>
          <w:sz w:val="23"/>
          <w:szCs w:val="23"/>
        </w:rPr>
      </w:pPr>
    </w:p>
    <w:p w:rsidR="008F7747" w:rsidRDefault="0027440A" w:rsidP="00A35EDD">
      <w:pPr>
        <w:rPr>
          <w:sz w:val="23"/>
          <w:szCs w:val="23"/>
        </w:rPr>
      </w:pPr>
      <w:r w:rsidRPr="00C45442">
        <w:rPr>
          <w:sz w:val="23"/>
          <w:szCs w:val="23"/>
        </w:rPr>
        <w:t xml:space="preserve">El país ha desarrollado </w:t>
      </w:r>
      <w:r w:rsidRPr="00C45442">
        <w:rPr>
          <w:b/>
          <w:sz w:val="23"/>
          <w:szCs w:val="23"/>
        </w:rPr>
        <w:t xml:space="preserve">políticas </w:t>
      </w:r>
      <w:r w:rsidR="008F7747">
        <w:rPr>
          <w:b/>
          <w:sz w:val="23"/>
          <w:szCs w:val="23"/>
        </w:rPr>
        <w:t>de universalización de las tecnologías digitales</w:t>
      </w:r>
      <w:r w:rsidRPr="00C45442">
        <w:rPr>
          <w:sz w:val="23"/>
          <w:szCs w:val="23"/>
        </w:rPr>
        <w:t xml:space="preserve"> que </w:t>
      </w:r>
      <w:r w:rsidR="008F7747">
        <w:rPr>
          <w:sz w:val="23"/>
          <w:szCs w:val="23"/>
        </w:rPr>
        <w:t>han tenido un impacto considerable en el cierre de la</w:t>
      </w:r>
      <w:r w:rsidR="007179BB">
        <w:rPr>
          <w:sz w:val="23"/>
          <w:szCs w:val="23"/>
        </w:rPr>
        <w:t>s</w:t>
      </w:r>
      <w:r w:rsidR="008F7747">
        <w:rPr>
          <w:sz w:val="23"/>
          <w:szCs w:val="23"/>
        </w:rPr>
        <w:t xml:space="preserve"> brecha</w:t>
      </w:r>
      <w:r w:rsidR="007179BB">
        <w:rPr>
          <w:sz w:val="23"/>
          <w:szCs w:val="23"/>
        </w:rPr>
        <w:t>s</w:t>
      </w:r>
      <w:r w:rsidR="008F7747">
        <w:rPr>
          <w:sz w:val="23"/>
          <w:szCs w:val="23"/>
        </w:rPr>
        <w:t xml:space="preserve"> digital</w:t>
      </w:r>
      <w:r w:rsidR="007179BB">
        <w:rPr>
          <w:sz w:val="23"/>
          <w:szCs w:val="23"/>
        </w:rPr>
        <w:t>es de acceso y uso</w:t>
      </w:r>
      <w:r w:rsidR="008F7747">
        <w:rPr>
          <w:sz w:val="23"/>
          <w:szCs w:val="23"/>
        </w:rPr>
        <w:t xml:space="preserve"> en distintos segmentos de la población, </w:t>
      </w:r>
      <w:r w:rsidRPr="00C45442">
        <w:rPr>
          <w:sz w:val="23"/>
          <w:szCs w:val="23"/>
        </w:rPr>
        <w:t xml:space="preserve">incluyendo en todos los casos a las mujeres. </w:t>
      </w:r>
    </w:p>
    <w:p w:rsidR="008F7747" w:rsidRDefault="008F7747" w:rsidP="00A35EDD">
      <w:pPr>
        <w:rPr>
          <w:sz w:val="23"/>
          <w:szCs w:val="23"/>
        </w:rPr>
      </w:pPr>
    </w:p>
    <w:p w:rsidR="00A35EDD" w:rsidRDefault="0076781E" w:rsidP="00A35EDD">
      <w:pPr>
        <w:rPr>
          <w:sz w:val="23"/>
          <w:szCs w:val="23"/>
        </w:rPr>
      </w:pPr>
      <w:r w:rsidRPr="00C45442">
        <w:rPr>
          <w:sz w:val="23"/>
          <w:szCs w:val="23"/>
        </w:rPr>
        <w:t xml:space="preserve">En este </w:t>
      </w:r>
      <w:r>
        <w:rPr>
          <w:sz w:val="23"/>
          <w:szCs w:val="23"/>
        </w:rPr>
        <w:t xml:space="preserve">sentido, se pueden resaltar que </w:t>
      </w:r>
      <w:r w:rsidRPr="0076781E">
        <w:rPr>
          <w:sz w:val="23"/>
          <w:szCs w:val="23"/>
        </w:rPr>
        <w:t xml:space="preserve">el país tiene una amplia cobertura de infraestructura de telecomunicaciones, se viene conectando con fibra óptica </w:t>
      </w:r>
      <w:r w:rsidR="00A35EDD">
        <w:rPr>
          <w:sz w:val="23"/>
          <w:szCs w:val="23"/>
        </w:rPr>
        <w:t>directamente a</w:t>
      </w:r>
      <w:r w:rsidRPr="0076781E">
        <w:rPr>
          <w:sz w:val="23"/>
          <w:szCs w:val="23"/>
        </w:rPr>
        <w:t xml:space="preserve"> cada hogar, se ofrecen planes de Internet gratuitos para la población, las tarifas de conexión son las más </w:t>
      </w:r>
      <w:r w:rsidRPr="0076781E">
        <w:rPr>
          <w:sz w:val="23"/>
          <w:szCs w:val="23"/>
        </w:rPr>
        <w:lastRenderedPageBreak/>
        <w:t>bajas de la región y a las velocidades más altas, todos los niños de la educación pública tienen su propia computadora con Internet y que comparten con sus familias, la población cuenta con competencias bás</w:t>
      </w:r>
      <w:r w:rsidR="00A35EDD">
        <w:rPr>
          <w:sz w:val="23"/>
          <w:szCs w:val="23"/>
        </w:rPr>
        <w:t xml:space="preserve">icas de alfabetización digital, e iniciativas en curso como la entrega de tabletas con Internet y capacitación a todos los jubilados de </w:t>
      </w:r>
      <w:r w:rsidR="007179BB">
        <w:rPr>
          <w:sz w:val="23"/>
          <w:szCs w:val="23"/>
        </w:rPr>
        <w:t>bajos</w:t>
      </w:r>
      <w:r w:rsidR="00A35EDD">
        <w:rPr>
          <w:sz w:val="23"/>
          <w:szCs w:val="23"/>
        </w:rPr>
        <w:t xml:space="preserve"> ingresos y la oferta en línea de todos los trámites del gobierno.</w:t>
      </w:r>
    </w:p>
    <w:p w:rsidR="00A35EDD" w:rsidRDefault="00A35EDD" w:rsidP="00A35EDD">
      <w:pPr>
        <w:rPr>
          <w:sz w:val="23"/>
          <w:szCs w:val="23"/>
        </w:rPr>
      </w:pPr>
    </w:p>
    <w:p w:rsidR="00A35EDD" w:rsidRDefault="00A35EDD" w:rsidP="00A35EDD">
      <w:pPr>
        <w:rPr>
          <w:rFonts w:eastAsia="Arial"/>
          <w:sz w:val="23"/>
          <w:szCs w:val="23"/>
        </w:rPr>
      </w:pPr>
      <w:r>
        <w:rPr>
          <w:sz w:val="23"/>
          <w:szCs w:val="23"/>
        </w:rPr>
        <w:t xml:space="preserve">Esfuerzos como los anteriores han </w:t>
      </w:r>
      <w:r w:rsidR="0027440A" w:rsidRPr="0076781E">
        <w:rPr>
          <w:rFonts w:eastAsia="Arial"/>
          <w:sz w:val="23"/>
          <w:szCs w:val="23"/>
        </w:rPr>
        <w:t>logrado disminuir todas las brechas digitales</w:t>
      </w:r>
      <w:r w:rsidR="007179BB">
        <w:rPr>
          <w:rFonts w:eastAsia="Arial"/>
          <w:sz w:val="23"/>
          <w:szCs w:val="23"/>
        </w:rPr>
        <w:t xml:space="preserve"> de acceso y uso</w:t>
      </w:r>
      <w:r w:rsidR="0027440A" w:rsidRPr="0076781E">
        <w:rPr>
          <w:rFonts w:eastAsia="Arial"/>
          <w:sz w:val="23"/>
          <w:szCs w:val="23"/>
        </w:rPr>
        <w:t>, no sólo la de género</w:t>
      </w:r>
      <w:r w:rsidR="007179BB">
        <w:rPr>
          <w:rFonts w:eastAsia="Arial"/>
          <w:sz w:val="23"/>
          <w:szCs w:val="23"/>
        </w:rPr>
        <w:t>. La desigualdad en el</w:t>
      </w:r>
      <w:r w:rsidR="0027440A" w:rsidRPr="0076781E">
        <w:rPr>
          <w:rFonts w:eastAsia="Arial"/>
          <w:sz w:val="23"/>
          <w:szCs w:val="23"/>
        </w:rPr>
        <w:t xml:space="preserve"> acceso a internet ha disminuido en cuatro países de </w:t>
      </w:r>
      <w:r w:rsidR="007179BB">
        <w:rPr>
          <w:rFonts w:eastAsia="Arial"/>
          <w:sz w:val="23"/>
          <w:szCs w:val="23"/>
        </w:rPr>
        <w:t>Latinoamérica</w:t>
      </w:r>
      <w:r w:rsidR="0027440A" w:rsidRPr="0076781E">
        <w:rPr>
          <w:rFonts w:eastAsia="Arial"/>
          <w:sz w:val="23"/>
          <w:szCs w:val="23"/>
        </w:rPr>
        <w:t>, siendo la de Uruguay la más importante con un índic</w:t>
      </w:r>
      <w:r>
        <w:rPr>
          <w:rFonts w:eastAsia="Arial"/>
          <w:sz w:val="23"/>
          <w:szCs w:val="23"/>
        </w:rPr>
        <w:t xml:space="preserve">e de </w:t>
      </w:r>
      <w:proofErr w:type="spellStart"/>
      <w:r>
        <w:rPr>
          <w:rFonts w:eastAsia="Arial"/>
          <w:sz w:val="23"/>
          <w:szCs w:val="23"/>
        </w:rPr>
        <w:t>Gini</w:t>
      </w:r>
      <w:proofErr w:type="spellEnd"/>
      <w:r>
        <w:rPr>
          <w:rFonts w:eastAsia="Arial"/>
          <w:sz w:val="23"/>
          <w:szCs w:val="23"/>
        </w:rPr>
        <w:t xml:space="preserve"> cercano a la igualdad (CEPAL, 2015).</w:t>
      </w:r>
    </w:p>
    <w:p w:rsidR="00416435" w:rsidRDefault="00416435" w:rsidP="00A35EDD">
      <w:pPr>
        <w:rPr>
          <w:rFonts w:eastAsia="Arial"/>
          <w:sz w:val="23"/>
          <w:szCs w:val="23"/>
        </w:rPr>
      </w:pPr>
    </w:p>
    <w:p w:rsidR="00A35EDD" w:rsidRDefault="00A35EDD" w:rsidP="00A35EDD">
      <w:pPr>
        <w:rPr>
          <w:rFonts w:eastAsia="Arial"/>
          <w:sz w:val="23"/>
          <w:szCs w:val="23"/>
        </w:rPr>
      </w:pPr>
    </w:p>
    <w:p w:rsidR="0027440A" w:rsidRPr="00A35EDD" w:rsidRDefault="00A35EDD" w:rsidP="00A35EDD">
      <w:pPr>
        <w:rPr>
          <w:b/>
          <w:sz w:val="23"/>
          <w:szCs w:val="23"/>
        </w:rPr>
      </w:pPr>
      <w:r w:rsidRPr="00A35EDD">
        <w:rPr>
          <w:b/>
          <w:sz w:val="23"/>
          <w:szCs w:val="23"/>
        </w:rPr>
        <w:t>POLÍTICA DIGITAL NACIONAL, CON PERSPECTIVA DE GÉNERO</w:t>
      </w:r>
    </w:p>
    <w:p w:rsidR="00A35EDD" w:rsidRDefault="00A35EDD" w:rsidP="00A35EDD">
      <w:pPr>
        <w:rPr>
          <w:rFonts w:eastAsia="Arial"/>
          <w:sz w:val="23"/>
          <w:szCs w:val="23"/>
        </w:rPr>
      </w:pPr>
    </w:p>
    <w:p w:rsidR="00A35EDD" w:rsidRDefault="0027440A" w:rsidP="00A35EDD">
      <w:pPr>
        <w:rPr>
          <w:rFonts w:eastAsia="Arial"/>
          <w:sz w:val="23"/>
          <w:szCs w:val="23"/>
        </w:rPr>
      </w:pPr>
      <w:r w:rsidRPr="00C45442">
        <w:rPr>
          <w:rFonts w:eastAsia="Arial"/>
          <w:sz w:val="23"/>
          <w:szCs w:val="23"/>
        </w:rPr>
        <w:t xml:space="preserve">Asumiendo que los Estados deben </w:t>
      </w:r>
      <w:r w:rsidRPr="00C45442">
        <w:rPr>
          <w:rFonts w:eastAsia="Times New Roman"/>
          <w:bCs/>
          <w:color w:val="000000"/>
          <w:sz w:val="23"/>
          <w:szCs w:val="23"/>
          <w:lang w:val="es-ES_tradnl" w:eastAsia="es-ES"/>
        </w:rPr>
        <w:t>garantizar que todos los ciudadanos puedan beneficiarse de las oportunidades que brindan las TIC,</w:t>
      </w:r>
      <w:r w:rsidRPr="00C45442">
        <w:rPr>
          <w:rFonts w:eastAsia="Arial"/>
          <w:sz w:val="23"/>
          <w:szCs w:val="23"/>
        </w:rPr>
        <w:t xml:space="preserve"> Uruguay ha construido una política digital integrada, que basada en una sólida estructura institucional responsable de la misma, ha podido generar compromisos y metas consensuados por todos los actores públicos y privados involucrados. </w:t>
      </w:r>
    </w:p>
    <w:p w:rsidR="00A35EDD" w:rsidRDefault="00A35EDD" w:rsidP="00A35EDD">
      <w:pPr>
        <w:rPr>
          <w:rFonts w:eastAsia="Arial"/>
          <w:sz w:val="23"/>
          <w:szCs w:val="23"/>
        </w:rPr>
      </w:pPr>
    </w:p>
    <w:p w:rsidR="0027440A" w:rsidRDefault="0027440A" w:rsidP="00A35EDD">
      <w:pPr>
        <w:rPr>
          <w:rFonts w:eastAsia="Arial"/>
          <w:sz w:val="23"/>
          <w:szCs w:val="23"/>
        </w:rPr>
      </w:pPr>
      <w:r w:rsidRPr="00C45442">
        <w:rPr>
          <w:rFonts w:eastAsia="Arial"/>
          <w:sz w:val="23"/>
          <w:szCs w:val="23"/>
        </w:rPr>
        <w:t xml:space="preserve">Estos compromisos se ven plasmados en la </w:t>
      </w:r>
      <w:r w:rsidRPr="00C45442">
        <w:rPr>
          <w:rFonts w:eastAsia="Arial"/>
          <w:b/>
          <w:sz w:val="23"/>
          <w:szCs w:val="23"/>
        </w:rPr>
        <w:t>Agenda Uruguay Digital (AUD),</w:t>
      </w:r>
      <w:r w:rsidRPr="00C45442">
        <w:rPr>
          <w:rFonts w:eastAsia="Arial"/>
          <w:sz w:val="23"/>
          <w:szCs w:val="23"/>
        </w:rPr>
        <w:t xml:space="preserve"> que ya cuenta con cuatro versiones y ha significado un mapa de ruta dinámico, orientado a la generación de más y mejores oportunidades de uso y apropiación de las TIC para los uruguayos, especialmente en los sectores más excluidos. </w:t>
      </w:r>
    </w:p>
    <w:p w:rsidR="00A35EDD" w:rsidRPr="00C45442" w:rsidRDefault="00A35EDD" w:rsidP="00A35EDD">
      <w:pPr>
        <w:rPr>
          <w:rFonts w:eastAsia="Arial"/>
          <w:sz w:val="23"/>
          <w:szCs w:val="23"/>
        </w:rPr>
      </w:pPr>
    </w:p>
    <w:p w:rsidR="0027440A" w:rsidRPr="00C45442" w:rsidRDefault="0027440A" w:rsidP="00A35EDD">
      <w:pPr>
        <w:rPr>
          <w:rFonts w:eastAsia="Arial"/>
          <w:sz w:val="23"/>
          <w:szCs w:val="23"/>
        </w:rPr>
      </w:pPr>
      <w:r w:rsidRPr="00C45442">
        <w:rPr>
          <w:rFonts w:eastAsia="Arial"/>
          <w:sz w:val="23"/>
          <w:szCs w:val="23"/>
        </w:rPr>
        <w:t>La Age</w:t>
      </w:r>
      <w:r w:rsidR="00A35EDD">
        <w:rPr>
          <w:rFonts w:eastAsia="Arial"/>
          <w:sz w:val="23"/>
          <w:szCs w:val="23"/>
        </w:rPr>
        <w:t>nda Uruguay Digital 2020 se ha aprobado</w:t>
      </w:r>
      <w:r w:rsidR="007179BB">
        <w:rPr>
          <w:rFonts w:eastAsia="Arial"/>
          <w:sz w:val="23"/>
          <w:szCs w:val="23"/>
        </w:rPr>
        <w:t xml:space="preserve"> recientemente con foco en</w:t>
      </w:r>
      <w:r w:rsidRPr="00C45442">
        <w:rPr>
          <w:rFonts w:eastAsia="Arial"/>
          <w:sz w:val="23"/>
          <w:szCs w:val="23"/>
        </w:rPr>
        <w:t xml:space="preserve"> </w:t>
      </w:r>
      <w:r w:rsidR="007179BB">
        <w:rPr>
          <w:rFonts w:eastAsia="Arial"/>
          <w:sz w:val="23"/>
          <w:szCs w:val="23"/>
        </w:rPr>
        <w:t xml:space="preserve">avanzar en la </w:t>
      </w:r>
      <w:r w:rsidRPr="00C45442">
        <w:rPr>
          <w:rFonts w:eastAsia="Arial"/>
          <w:sz w:val="23"/>
          <w:szCs w:val="23"/>
        </w:rPr>
        <w:t>transformación digital con equidad y</w:t>
      </w:r>
      <w:r w:rsidR="007179BB">
        <w:rPr>
          <w:rFonts w:eastAsia="Arial"/>
          <w:sz w:val="23"/>
          <w:szCs w:val="23"/>
        </w:rPr>
        <w:t>,</w:t>
      </w:r>
      <w:r w:rsidRPr="00C45442">
        <w:rPr>
          <w:rFonts w:eastAsia="Arial"/>
          <w:sz w:val="23"/>
          <w:szCs w:val="23"/>
        </w:rPr>
        <w:t xml:space="preserve"> en la misma, el país se compromete a intensificar la adopción de capacidades digitales en segmentos específicos de la población, abordar con perspectiva de género sus 47 metas y mejorar el relevamiento y tratamiento de la información para contar con datos oportunos para el diseño de políticas públicas equitativas.</w:t>
      </w:r>
    </w:p>
    <w:p w:rsidR="0027440A" w:rsidRDefault="0027440A" w:rsidP="00A35EDD">
      <w:pPr>
        <w:rPr>
          <w:sz w:val="23"/>
          <w:szCs w:val="23"/>
        </w:rPr>
      </w:pPr>
    </w:p>
    <w:p w:rsidR="008F3D47" w:rsidRPr="008F3D47" w:rsidRDefault="008F3D47" w:rsidP="008F3D47">
      <w:pPr>
        <w:rPr>
          <w:b/>
          <w:caps/>
          <w:sz w:val="23"/>
          <w:szCs w:val="23"/>
        </w:rPr>
      </w:pPr>
      <w:r w:rsidRPr="008F3D47">
        <w:rPr>
          <w:b/>
          <w:caps/>
          <w:sz w:val="23"/>
          <w:szCs w:val="23"/>
        </w:rPr>
        <w:t>Leyes o políticas específicas para abordar la violencia de género en línea</w:t>
      </w:r>
    </w:p>
    <w:p w:rsidR="008F3D47" w:rsidRPr="008F3D47" w:rsidRDefault="008F3D47" w:rsidP="008F3D47">
      <w:pPr>
        <w:rPr>
          <w:b/>
          <w:sz w:val="23"/>
          <w:szCs w:val="23"/>
        </w:rPr>
      </w:pPr>
    </w:p>
    <w:p w:rsidR="008F3D47" w:rsidRDefault="008F3D47" w:rsidP="008F3D47">
      <w:pPr>
        <w:rPr>
          <w:sz w:val="23"/>
          <w:szCs w:val="23"/>
        </w:rPr>
      </w:pPr>
      <w:r>
        <w:rPr>
          <w:sz w:val="23"/>
          <w:szCs w:val="23"/>
        </w:rPr>
        <w:t>Uruguay no cuenta aún con leyes e</w:t>
      </w:r>
      <w:r w:rsidRPr="008F3D47">
        <w:rPr>
          <w:sz w:val="23"/>
          <w:szCs w:val="23"/>
        </w:rPr>
        <w:t xml:space="preserve">specíficas para violencia basada en género </w:t>
      </w:r>
      <w:r>
        <w:rPr>
          <w:sz w:val="23"/>
          <w:szCs w:val="23"/>
        </w:rPr>
        <w:t>ni</w:t>
      </w:r>
      <w:r w:rsidRPr="008F3D47">
        <w:rPr>
          <w:sz w:val="23"/>
          <w:szCs w:val="23"/>
        </w:rPr>
        <w:t xml:space="preserve"> para delitos informáticos en general. En 2014 se presentó un proyecto de ley pero no ha sido aprobado.</w:t>
      </w:r>
      <w:r>
        <w:rPr>
          <w:sz w:val="23"/>
          <w:szCs w:val="23"/>
        </w:rPr>
        <w:t xml:space="preserve"> </w:t>
      </w:r>
      <w:r w:rsidRPr="008F3D47">
        <w:rPr>
          <w:sz w:val="23"/>
          <w:szCs w:val="23"/>
        </w:rPr>
        <w:t>Muchas veces lo que se utilizan son otros figuras penales para encuadrar este delito.</w:t>
      </w:r>
    </w:p>
    <w:p w:rsidR="008F3D47" w:rsidRPr="008F3D47" w:rsidRDefault="008F3D47" w:rsidP="008F3D47">
      <w:pPr>
        <w:rPr>
          <w:sz w:val="23"/>
          <w:szCs w:val="23"/>
        </w:rPr>
      </w:pPr>
    </w:p>
    <w:p w:rsidR="008F3D47" w:rsidRPr="008F3D47" w:rsidRDefault="008F3D47" w:rsidP="008F3D47">
      <w:pPr>
        <w:rPr>
          <w:sz w:val="23"/>
          <w:szCs w:val="23"/>
        </w:rPr>
      </w:pPr>
      <w:r w:rsidRPr="008F3D47">
        <w:rPr>
          <w:sz w:val="23"/>
          <w:szCs w:val="23"/>
        </w:rPr>
        <w:t>Algunas de las limitaciones tienen que ver con la poca agilidad para acceder a determinados datos por ejemplo cuando los servidores están fuera del país.</w:t>
      </w:r>
    </w:p>
    <w:p w:rsidR="008F3D47" w:rsidRPr="008F3D47" w:rsidRDefault="008F3D47" w:rsidP="008F3D47">
      <w:pPr>
        <w:rPr>
          <w:sz w:val="23"/>
          <w:szCs w:val="23"/>
        </w:rPr>
      </w:pPr>
    </w:p>
    <w:p w:rsidR="008F3D47" w:rsidRDefault="008F3D47" w:rsidP="008F3D47">
      <w:pPr>
        <w:rPr>
          <w:sz w:val="23"/>
          <w:szCs w:val="23"/>
        </w:rPr>
      </w:pPr>
      <w:r w:rsidRPr="008F3D47">
        <w:rPr>
          <w:sz w:val="23"/>
          <w:szCs w:val="23"/>
        </w:rPr>
        <w:t xml:space="preserve">En el caso de Niñez y Adolescencia </w:t>
      </w:r>
      <w:r>
        <w:rPr>
          <w:sz w:val="23"/>
          <w:szCs w:val="23"/>
        </w:rPr>
        <w:t>se cuenta</w:t>
      </w:r>
      <w:r w:rsidRPr="008F3D47">
        <w:rPr>
          <w:sz w:val="23"/>
          <w:szCs w:val="23"/>
        </w:rPr>
        <w:t xml:space="preserve"> con la Ley 17.815 de fecha 2004 en sus artículos 1 al 3 sanciona los delitos de: </w:t>
      </w:r>
    </w:p>
    <w:p w:rsidR="008F3D47" w:rsidRPr="008F3D47" w:rsidRDefault="008F3D47" w:rsidP="008F3D47">
      <w:pPr>
        <w:rPr>
          <w:sz w:val="23"/>
          <w:szCs w:val="23"/>
        </w:rPr>
      </w:pPr>
    </w:p>
    <w:p w:rsidR="008F3D47" w:rsidRPr="008F3D47" w:rsidRDefault="008F3D47" w:rsidP="008F3D47">
      <w:pPr>
        <w:rPr>
          <w:sz w:val="23"/>
          <w:szCs w:val="23"/>
        </w:rPr>
      </w:pPr>
      <w:proofErr w:type="spellStart"/>
      <w:r w:rsidRPr="008F3D47">
        <w:rPr>
          <w:b/>
          <w:sz w:val="23"/>
          <w:szCs w:val="23"/>
        </w:rPr>
        <w:t>Articulo</w:t>
      </w:r>
      <w:proofErr w:type="spellEnd"/>
      <w:r w:rsidRPr="008F3D47">
        <w:rPr>
          <w:b/>
          <w:sz w:val="23"/>
          <w:szCs w:val="23"/>
        </w:rPr>
        <w:t xml:space="preserve"> 1º.</w:t>
      </w:r>
      <w:r w:rsidRPr="008F3D47">
        <w:rPr>
          <w:sz w:val="23"/>
          <w:szCs w:val="23"/>
        </w:rPr>
        <w:t xml:space="preserve"> Fabricación o producción de material pornográfico con utilización de personas menores de edad o incapaces.</w:t>
      </w:r>
    </w:p>
    <w:p w:rsidR="008F3D47" w:rsidRPr="008F3D47" w:rsidRDefault="008F3D47" w:rsidP="008F3D47">
      <w:pPr>
        <w:rPr>
          <w:sz w:val="23"/>
          <w:szCs w:val="23"/>
        </w:rPr>
      </w:pPr>
      <w:r w:rsidRPr="008F3D47">
        <w:rPr>
          <w:b/>
          <w:sz w:val="23"/>
          <w:szCs w:val="23"/>
        </w:rPr>
        <w:t>Artículo 2º.</w:t>
      </w:r>
      <w:r w:rsidRPr="008F3D47">
        <w:rPr>
          <w:sz w:val="23"/>
          <w:szCs w:val="23"/>
        </w:rPr>
        <w:t xml:space="preserve"> Comercio y difusión de material pornográfico en que aparezca la imagen u otra forma de representación de personas menores de edad o personas </w:t>
      </w:r>
      <w:proofErr w:type="gramStart"/>
      <w:r w:rsidRPr="008F3D47">
        <w:rPr>
          <w:sz w:val="23"/>
          <w:szCs w:val="23"/>
        </w:rPr>
        <w:t>incapaces</w:t>
      </w:r>
      <w:proofErr w:type="gramEnd"/>
      <w:r w:rsidRPr="008F3D47">
        <w:rPr>
          <w:sz w:val="23"/>
          <w:szCs w:val="23"/>
        </w:rPr>
        <w:t xml:space="preserve">. </w:t>
      </w:r>
    </w:p>
    <w:p w:rsidR="008F3D47" w:rsidRPr="008F3D47" w:rsidRDefault="008F3D47" w:rsidP="008F3D47">
      <w:pPr>
        <w:rPr>
          <w:sz w:val="23"/>
          <w:szCs w:val="23"/>
        </w:rPr>
      </w:pPr>
      <w:r w:rsidRPr="008F3D47">
        <w:rPr>
          <w:b/>
          <w:sz w:val="23"/>
          <w:szCs w:val="23"/>
        </w:rPr>
        <w:lastRenderedPageBreak/>
        <w:t>Artículo 3º.</w:t>
      </w:r>
      <w:r w:rsidRPr="008F3D47">
        <w:rPr>
          <w:sz w:val="23"/>
          <w:szCs w:val="23"/>
        </w:rPr>
        <w:t xml:space="preserve"> </w:t>
      </w:r>
      <w:proofErr w:type="spellStart"/>
      <w:r w:rsidRPr="008F3D47">
        <w:rPr>
          <w:sz w:val="23"/>
          <w:szCs w:val="23"/>
        </w:rPr>
        <w:t>Facilitamiento</w:t>
      </w:r>
      <w:proofErr w:type="spellEnd"/>
      <w:r w:rsidRPr="008F3D47">
        <w:rPr>
          <w:sz w:val="23"/>
          <w:szCs w:val="23"/>
        </w:rPr>
        <w:t xml:space="preserve"> de la comercialización y difusión de material pornográfico con la imagen u otra representación de una o más personas menores de edad o incapaces.</w:t>
      </w:r>
    </w:p>
    <w:p w:rsidR="008F3D47" w:rsidRPr="008F3D47" w:rsidRDefault="008F3D47" w:rsidP="008F3D47">
      <w:pPr>
        <w:rPr>
          <w:sz w:val="23"/>
          <w:szCs w:val="23"/>
        </w:rPr>
      </w:pPr>
    </w:p>
    <w:p w:rsidR="008F3D47" w:rsidRPr="008F3D47" w:rsidRDefault="008F3D47" w:rsidP="008F3D47">
      <w:pPr>
        <w:rPr>
          <w:sz w:val="23"/>
          <w:szCs w:val="23"/>
          <w:lang w:val="es-ES"/>
        </w:rPr>
      </w:pPr>
      <w:r w:rsidRPr="008F3D47">
        <w:rPr>
          <w:bCs/>
          <w:sz w:val="23"/>
          <w:szCs w:val="23"/>
          <w:lang w:val="es-ES"/>
        </w:rPr>
        <w:t xml:space="preserve">En el marco de dicha ley se crea por Decreto </w:t>
      </w:r>
      <w:r w:rsidRPr="008F3D47">
        <w:rPr>
          <w:b/>
          <w:bCs/>
          <w:sz w:val="23"/>
          <w:szCs w:val="23"/>
          <w:lang w:val="es-ES"/>
        </w:rPr>
        <w:t>385/2004 el Comité Nacional para la Erradicación de la Explotación Sexual, Comercial y no comercial de Niñas, Niños y Adolescentes (CONAPEES). Actualmente se lanzó el II Plan Nacional 100 acciones acordadas para el período 2016-2021.</w:t>
      </w:r>
    </w:p>
    <w:p w:rsidR="008F3D47" w:rsidRPr="008F3D47" w:rsidRDefault="008F3D47" w:rsidP="008F3D47">
      <w:pPr>
        <w:rPr>
          <w:sz w:val="23"/>
          <w:szCs w:val="23"/>
          <w:lang w:val="es-ES"/>
        </w:rPr>
      </w:pPr>
    </w:p>
    <w:p w:rsidR="008F3D47" w:rsidRPr="008F3D47" w:rsidRDefault="008F3D47" w:rsidP="008F3D47">
      <w:pPr>
        <w:rPr>
          <w:bCs/>
          <w:sz w:val="23"/>
          <w:szCs w:val="23"/>
          <w:lang w:val="es-ES"/>
        </w:rPr>
      </w:pPr>
      <w:r w:rsidRPr="008F3D47">
        <w:rPr>
          <w:bCs/>
          <w:sz w:val="23"/>
          <w:szCs w:val="23"/>
          <w:lang w:val="es-ES"/>
        </w:rPr>
        <w:t xml:space="preserve">A nivel del Ministerio del Interior se crea la Dirección General de Lucha contra el Crimen Organizado e Interpol, por Ley de Presupuesto Nº 18.719 (2010) que trabaja específicamente el Crimen Organizado y los delitos conexos entre los cuales se destacan la trata y tráfico de personas en todas sus expresiones y la explotación sexual comercial de niñas, niños y adolescentes. </w:t>
      </w:r>
    </w:p>
    <w:p w:rsidR="008F3D47" w:rsidRPr="008F3D47" w:rsidRDefault="008F3D47" w:rsidP="008F3D47">
      <w:pPr>
        <w:rPr>
          <w:sz w:val="23"/>
          <w:szCs w:val="23"/>
        </w:rPr>
      </w:pPr>
    </w:p>
    <w:p w:rsidR="008F3D47" w:rsidRDefault="008F3D47" w:rsidP="008F3D47">
      <w:pPr>
        <w:rPr>
          <w:sz w:val="23"/>
          <w:szCs w:val="23"/>
        </w:rPr>
      </w:pPr>
      <w:r w:rsidRPr="008F3D47">
        <w:rPr>
          <w:sz w:val="23"/>
          <w:szCs w:val="23"/>
        </w:rPr>
        <w:t xml:space="preserve">Con el avance tecnológico de estos últimos años y las diversas manifestaciones de delitos que utilizan las TIC como forma de expresión, se creó el Departamento de Delitos Informáticos. En dicho Departamento se trabajan tanto delitos contra las personas entre ellos algunos tipificados por nuestra legislación como ser pornografía infantil como figuras delictivas aun no contempladas en nuestro  ordenamiento jurídico interno como ser </w:t>
      </w:r>
      <w:proofErr w:type="spellStart"/>
      <w:r w:rsidRPr="008F3D47">
        <w:rPr>
          <w:sz w:val="23"/>
          <w:szCs w:val="23"/>
        </w:rPr>
        <w:t>Grooming</w:t>
      </w:r>
      <w:proofErr w:type="spellEnd"/>
      <w:r w:rsidRPr="008F3D47">
        <w:rPr>
          <w:sz w:val="23"/>
          <w:szCs w:val="23"/>
        </w:rPr>
        <w:t xml:space="preserve">, </w:t>
      </w:r>
      <w:proofErr w:type="spellStart"/>
      <w:r w:rsidRPr="008F3D47">
        <w:rPr>
          <w:sz w:val="23"/>
          <w:szCs w:val="23"/>
        </w:rPr>
        <w:t>Ciberbulling</w:t>
      </w:r>
      <w:proofErr w:type="spellEnd"/>
      <w:r w:rsidRPr="008F3D47">
        <w:rPr>
          <w:sz w:val="23"/>
          <w:szCs w:val="23"/>
        </w:rPr>
        <w:t xml:space="preserve">, </w:t>
      </w:r>
      <w:proofErr w:type="spellStart"/>
      <w:r w:rsidRPr="008F3D47">
        <w:rPr>
          <w:sz w:val="23"/>
          <w:szCs w:val="23"/>
        </w:rPr>
        <w:t>ciberacoso</w:t>
      </w:r>
      <w:proofErr w:type="spellEnd"/>
      <w:r w:rsidRPr="008F3D47">
        <w:rPr>
          <w:sz w:val="23"/>
          <w:szCs w:val="23"/>
        </w:rPr>
        <w:t xml:space="preserve">, </w:t>
      </w:r>
      <w:proofErr w:type="spellStart"/>
      <w:r w:rsidRPr="008F3D47">
        <w:rPr>
          <w:sz w:val="23"/>
          <w:szCs w:val="23"/>
        </w:rPr>
        <w:t>sextorsion</w:t>
      </w:r>
      <w:proofErr w:type="spellEnd"/>
      <w:r w:rsidRPr="008F3D47">
        <w:rPr>
          <w:sz w:val="23"/>
          <w:szCs w:val="23"/>
        </w:rPr>
        <w:t xml:space="preserve">, etc.; asimismo con delitos contra la propiedad como la estafa entre otros. </w:t>
      </w:r>
    </w:p>
    <w:p w:rsidR="008F3D47" w:rsidRPr="008F3D47" w:rsidRDefault="008F3D47" w:rsidP="008F3D47">
      <w:pPr>
        <w:rPr>
          <w:sz w:val="23"/>
          <w:szCs w:val="23"/>
        </w:rPr>
      </w:pPr>
    </w:p>
    <w:p w:rsidR="008F3D47" w:rsidRPr="008F3D47" w:rsidRDefault="008F3D47" w:rsidP="008F3D47">
      <w:pPr>
        <w:rPr>
          <w:sz w:val="23"/>
          <w:szCs w:val="23"/>
        </w:rPr>
      </w:pPr>
      <w:r w:rsidRPr="008F3D47">
        <w:rPr>
          <w:sz w:val="23"/>
          <w:szCs w:val="23"/>
        </w:rPr>
        <w:t xml:space="preserve">Dicha Dirección engloba la Oficina en Uruguay de INTERPOL, que en virtud de ser un organismo internacional con sede en Lyon – Francia, trabaja facilitando el intercambio de información entre los países integrantes de dicha Organización y demás organismos internacionales (OIM, OIT, etc.), actuando de manera muy especial los delitos vinculados a las redes de crimen organizado, delincuentes convictos, personas desaparecidas, etc. </w:t>
      </w:r>
    </w:p>
    <w:p w:rsidR="008F3D47" w:rsidRPr="008F3D47" w:rsidRDefault="008F3D47" w:rsidP="008F3D47">
      <w:pPr>
        <w:rPr>
          <w:sz w:val="23"/>
          <w:szCs w:val="23"/>
        </w:rPr>
      </w:pPr>
    </w:p>
    <w:p w:rsidR="008F3D47" w:rsidRPr="008F3D47" w:rsidRDefault="008F3D47" w:rsidP="008F3D47">
      <w:pPr>
        <w:rPr>
          <w:sz w:val="23"/>
          <w:szCs w:val="23"/>
        </w:rPr>
      </w:pPr>
      <w:r w:rsidRPr="008F3D47">
        <w:rPr>
          <w:sz w:val="23"/>
          <w:szCs w:val="23"/>
        </w:rPr>
        <w:t xml:space="preserve">En el interior del país se trata de capacitar y sensibilizar al personal de las Direcciones de Investigaciones de las Jefaturas de Policías, quienes tienen competencia departamental y en este tipo de violencia se trabaja articuladamente con las Unidades Especializadas de Violencia Doméstica y Género de la jurisdicción correspondiente. </w:t>
      </w:r>
    </w:p>
    <w:p w:rsidR="008F3D47" w:rsidRPr="008F3D47" w:rsidRDefault="008F3D47" w:rsidP="008F3D47">
      <w:pPr>
        <w:rPr>
          <w:sz w:val="23"/>
          <w:szCs w:val="23"/>
        </w:rPr>
      </w:pPr>
    </w:p>
    <w:p w:rsidR="008F3D47" w:rsidRPr="008F3D47" w:rsidRDefault="008F3D47" w:rsidP="008F3D47">
      <w:pPr>
        <w:rPr>
          <w:sz w:val="23"/>
          <w:szCs w:val="23"/>
        </w:rPr>
      </w:pPr>
      <w:r w:rsidRPr="008F3D47">
        <w:rPr>
          <w:sz w:val="23"/>
          <w:szCs w:val="23"/>
        </w:rPr>
        <w:t>Además se cuenta el software ANALYZE DI que fue donado por la Federación Interamericana de Abogados (FIA). Este es un software forense de imagen y de video para las Investigaciones sobre abuso y explotación sexual de niños, niñas y adolescentes, automatiza la labor de clasificar fotografías y películas, lo que produce una gran economía de tiempo, permitiendo que las autoridades judiciales y policiales realicen una labor más efectiva. Reemplaza la clasificación manual –lenta y tediosa- de imágenes, por una clasificación automatizada, que actúa con gran rapidez y certeza (Aceptado por Resolución Ministerial B 8074 de fecha 28 de agosto de 2013).</w:t>
      </w:r>
    </w:p>
    <w:p w:rsidR="008F3D47" w:rsidRPr="008F3D47" w:rsidRDefault="008F3D47" w:rsidP="008F3D47">
      <w:pPr>
        <w:rPr>
          <w:sz w:val="23"/>
          <w:szCs w:val="23"/>
        </w:rPr>
      </w:pPr>
    </w:p>
    <w:p w:rsidR="008F3D47" w:rsidRPr="008F3D47" w:rsidRDefault="008F3D47" w:rsidP="008F3D47">
      <w:pPr>
        <w:rPr>
          <w:b/>
          <w:caps/>
          <w:sz w:val="23"/>
          <w:szCs w:val="23"/>
        </w:rPr>
      </w:pPr>
      <w:r w:rsidRPr="008F3D47">
        <w:rPr>
          <w:b/>
          <w:caps/>
          <w:sz w:val="23"/>
          <w:szCs w:val="23"/>
        </w:rPr>
        <w:t>desafíos a los que se enfrenta el gobierno para garantizar la rendición de cuentas de los autores de las violaciones de los derechos humanos cometidas contra personas por el ejercicio de sus derechos humanos y libertades fundamentales en Internet</w:t>
      </w:r>
    </w:p>
    <w:p w:rsidR="008F3D47" w:rsidRPr="008F3D47" w:rsidRDefault="008F3D47" w:rsidP="008F3D47">
      <w:pPr>
        <w:rPr>
          <w:sz w:val="23"/>
          <w:szCs w:val="23"/>
        </w:rPr>
      </w:pPr>
    </w:p>
    <w:p w:rsidR="008F3D47" w:rsidRPr="008F3D47" w:rsidRDefault="008F3D47" w:rsidP="008F3D47">
      <w:pPr>
        <w:rPr>
          <w:sz w:val="23"/>
          <w:szCs w:val="23"/>
        </w:rPr>
      </w:pPr>
      <w:r w:rsidRPr="008F3D47">
        <w:rPr>
          <w:sz w:val="23"/>
          <w:szCs w:val="23"/>
        </w:rPr>
        <w:t xml:space="preserve">El desafío más grande que tiene específicamente el Ministerio del Interior </w:t>
      </w:r>
      <w:r w:rsidR="00E12723">
        <w:rPr>
          <w:sz w:val="23"/>
          <w:szCs w:val="23"/>
        </w:rPr>
        <w:t xml:space="preserve">del Uruguay </w:t>
      </w:r>
      <w:r w:rsidRPr="008F3D47">
        <w:rPr>
          <w:sz w:val="23"/>
          <w:szCs w:val="23"/>
        </w:rPr>
        <w:t>es el registro de la información lo que repercute a la hora de poder sistematiza</w:t>
      </w:r>
      <w:r w:rsidR="00E12723">
        <w:rPr>
          <w:sz w:val="23"/>
          <w:szCs w:val="23"/>
        </w:rPr>
        <w:t>r.</w:t>
      </w:r>
    </w:p>
    <w:p w:rsidR="008F3D47" w:rsidRPr="008F3D47" w:rsidRDefault="008F3D47" w:rsidP="008F3D47">
      <w:pPr>
        <w:rPr>
          <w:sz w:val="23"/>
          <w:szCs w:val="23"/>
        </w:rPr>
      </w:pPr>
    </w:p>
    <w:p w:rsidR="008F3D47" w:rsidRDefault="008F3D47" w:rsidP="008F3D47">
      <w:pPr>
        <w:rPr>
          <w:sz w:val="23"/>
          <w:szCs w:val="23"/>
        </w:rPr>
      </w:pPr>
      <w:r w:rsidRPr="008F3D47">
        <w:rPr>
          <w:sz w:val="23"/>
          <w:szCs w:val="23"/>
        </w:rPr>
        <w:t xml:space="preserve">El Ministerio del Interior cuenta con el Sistema de Gestión y Seguridad Pública (SGSP) el cual  es una herramienta de gestión que permite el registro de las denuncias y de todos los eventos policiales (delitos, faltas, accidentes y hechos no delictivos pero con intervención policial) que se registran dentro del territorio nacional.  Los datos registrados en este sistema desde el año 2000 constituyen una fuente de información de alto valor para la gestión policial y para el propio Ministerio. Desde mediados de 2012 está operativo a nivel nacional. </w:t>
      </w:r>
    </w:p>
    <w:p w:rsidR="00E12723" w:rsidRPr="008F3D47" w:rsidRDefault="00E12723" w:rsidP="008F3D47">
      <w:pPr>
        <w:rPr>
          <w:sz w:val="23"/>
          <w:szCs w:val="23"/>
        </w:rPr>
      </w:pPr>
    </w:p>
    <w:p w:rsidR="008F3D47" w:rsidRPr="008F3D47" w:rsidRDefault="008F3D47" w:rsidP="008F3D47">
      <w:pPr>
        <w:rPr>
          <w:sz w:val="23"/>
          <w:szCs w:val="23"/>
        </w:rPr>
      </w:pPr>
      <w:r w:rsidRPr="008F3D47">
        <w:rPr>
          <w:sz w:val="23"/>
          <w:szCs w:val="23"/>
        </w:rPr>
        <w:t>Con relación a los delitos de violencia basada en género en línea, se cargan las denuncias que se reciben de los usuarios, pero al momento de tipificar la misma cuando no se corresponde con una tipificación que este en el ordenamiento jurídico interno es muy difícil catalogarla y queda a criterio del operador buscarle una manera de ingresarla que encuadre  en alguna figura penal existente.</w:t>
      </w:r>
    </w:p>
    <w:p w:rsidR="008F3D47" w:rsidRPr="008F3D47" w:rsidRDefault="008F3D47" w:rsidP="008F3D47">
      <w:pPr>
        <w:rPr>
          <w:sz w:val="23"/>
          <w:szCs w:val="23"/>
        </w:rPr>
      </w:pPr>
    </w:p>
    <w:p w:rsidR="008F3D47" w:rsidRPr="008F3D47" w:rsidRDefault="008F3D47" w:rsidP="008F3D47">
      <w:pPr>
        <w:rPr>
          <w:sz w:val="23"/>
          <w:szCs w:val="23"/>
        </w:rPr>
      </w:pPr>
      <w:r w:rsidRPr="008F3D47">
        <w:rPr>
          <w:sz w:val="23"/>
          <w:szCs w:val="23"/>
        </w:rPr>
        <w:t xml:space="preserve">Por lo expresado,  a la hora de rendir cuentas en relación a estos delitos se </w:t>
      </w:r>
      <w:proofErr w:type="spellStart"/>
      <w:r w:rsidRPr="008F3D47">
        <w:rPr>
          <w:sz w:val="23"/>
          <w:szCs w:val="23"/>
        </w:rPr>
        <w:t>invisibiliza</w:t>
      </w:r>
      <w:proofErr w:type="spellEnd"/>
      <w:r w:rsidRPr="008F3D47">
        <w:rPr>
          <w:sz w:val="23"/>
          <w:szCs w:val="23"/>
        </w:rPr>
        <w:t xml:space="preserve"> gran parte de los mismos y del trabajo policial que hay detrás de las investigaciones realizadas.  </w:t>
      </w:r>
    </w:p>
    <w:p w:rsidR="008F3D47" w:rsidRPr="008F3D47" w:rsidRDefault="008F3D47" w:rsidP="008F3D47">
      <w:pPr>
        <w:rPr>
          <w:sz w:val="23"/>
          <w:szCs w:val="23"/>
        </w:rPr>
      </w:pPr>
    </w:p>
    <w:p w:rsidR="008F3D47" w:rsidRPr="008F3D47" w:rsidRDefault="008F3D47" w:rsidP="008F3D47">
      <w:pPr>
        <w:rPr>
          <w:sz w:val="23"/>
          <w:szCs w:val="23"/>
        </w:rPr>
      </w:pPr>
      <w:r w:rsidRPr="008F3D47">
        <w:rPr>
          <w:sz w:val="23"/>
          <w:szCs w:val="23"/>
        </w:rPr>
        <w:t>En el plan 2015-2020 del Ministerio del Interior se incluye la capacitación del funcionariado en temas vinculados a la violencia basada en género y se prevé a partir de este año formar investiga</w:t>
      </w:r>
      <w:r w:rsidR="00E12723">
        <w:rPr>
          <w:sz w:val="23"/>
          <w:szCs w:val="23"/>
        </w:rPr>
        <w:t>dores/as en la temática en todo</w:t>
      </w:r>
      <w:r w:rsidRPr="008F3D47">
        <w:rPr>
          <w:sz w:val="23"/>
          <w:szCs w:val="23"/>
        </w:rPr>
        <w:t xml:space="preserve"> el país. </w:t>
      </w:r>
    </w:p>
    <w:p w:rsidR="008F3D47" w:rsidRPr="008F3D47" w:rsidRDefault="008F3D47" w:rsidP="008F3D47">
      <w:pPr>
        <w:rPr>
          <w:sz w:val="23"/>
          <w:szCs w:val="23"/>
        </w:rPr>
      </w:pPr>
    </w:p>
    <w:p w:rsidR="008F3D47" w:rsidRPr="008F3D47" w:rsidRDefault="008F3D47" w:rsidP="008F3D47">
      <w:pPr>
        <w:rPr>
          <w:sz w:val="23"/>
          <w:szCs w:val="23"/>
        </w:rPr>
      </w:pPr>
      <w:r w:rsidRPr="008F3D47">
        <w:rPr>
          <w:sz w:val="23"/>
          <w:szCs w:val="23"/>
        </w:rPr>
        <w:t xml:space="preserve">Se cuenta con protocolos de investigación Policía-Fiscalía General de la Nación en el marco de la implementación del nuevo Código Procesal Penal, así como protocolos específicos del accionar policial, los que se llevará a cabo impresión, distribución y capacitación en el correr del año </w:t>
      </w:r>
      <w:proofErr w:type="spellStart"/>
      <w:r w:rsidRPr="008F3D47">
        <w:rPr>
          <w:sz w:val="23"/>
          <w:szCs w:val="23"/>
        </w:rPr>
        <w:t>asi</w:t>
      </w:r>
      <w:proofErr w:type="spellEnd"/>
      <w:r w:rsidRPr="008F3D47">
        <w:rPr>
          <w:sz w:val="23"/>
          <w:szCs w:val="23"/>
        </w:rPr>
        <w:t xml:space="preserve"> como en los próximos años.</w:t>
      </w:r>
    </w:p>
    <w:p w:rsidR="008F3D47" w:rsidRPr="008F3D47" w:rsidRDefault="008F3D47" w:rsidP="008F3D47">
      <w:pPr>
        <w:rPr>
          <w:sz w:val="23"/>
          <w:szCs w:val="23"/>
        </w:rPr>
      </w:pPr>
    </w:p>
    <w:p w:rsidR="008F3D47" w:rsidRPr="008F3D47" w:rsidRDefault="008F3D47" w:rsidP="008F3D47">
      <w:pPr>
        <w:rPr>
          <w:sz w:val="23"/>
          <w:szCs w:val="23"/>
        </w:rPr>
      </w:pPr>
      <w:r w:rsidRPr="008F3D47">
        <w:rPr>
          <w:sz w:val="23"/>
          <w:szCs w:val="23"/>
        </w:rPr>
        <w:t>La capacitación sobre investigación de delitos informáticos es otra de las prioridades para este año 2017.</w:t>
      </w:r>
    </w:p>
    <w:p w:rsidR="008F3D47" w:rsidRPr="008F3D47" w:rsidRDefault="008F3D47" w:rsidP="008F3D47">
      <w:pPr>
        <w:rPr>
          <w:sz w:val="23"/>
          <w:szCs w:val="23"/>
        </w:rPr>
      </w:pPr>
      <w:r w:rsidRPr="008F3D47">
        <w:rPr>
          <w:sz w:val="23"/>
          <w:szCs w:val="23"/>
        </w:rPr>
        <w:t xml:space="preserve"> </w:t>
      </w:r>
    </w:p>
    <w:p w:rsidR="008F3D47" w:rsidRPr="00C45442" w:rsidRDefault="008F3D47" w:rsidP="00A35EDD">
      <w:pPr>
        <w:rPr>
          <w:sz w:val="23"/>
          <w:szCs w:val="23"/>
        </w:rPr>
      </w:pPr>
    </w:p>
    <w:sectPr w:rsidR="008F3D47" w:rsidRPr="00C45442" w:rsidSect="00740039">
      <w:headerReference w:type="default" r:id="rId11"/>
      <w:footerReference w:type="default" r:id="rId12"/>
      <w:pgSz w:w="11906" w:h="16838"/>
      <w:pgMar w:top="1134" w:right="1134" w:bottom="851" w:left="113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632" w:rsidRDefault="008D6632" w:rsidP="00740039">
      <w:r>
        <w:separator/>
      </w:r>
    </w:p>
  </w:endnote>
  <w:endnote w:type="continuationSeparator" w:id="0">
    <w:p w:rsidR="008D6632" w:rsidRDefault="008D6632" w:rsidP="0074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039" w:rsidRDefault="00740039" w:rsidP="00740039">
    <w:pPr>
      <w:pStyle w:val="Footer"/>
      <w:snapToGrid w:val="0"/>
      <w:rPr>
        <w:rFonts w:ascii="Times New Roman" w:hAnsi="Times New Roman" w:cs="Times New Roman"/>
        <w:spacing w:val="-10"/>
        <w:sz w:val="20"/>
        <w:szCs w:val="20"/>
        <w:lang w:val="es-CO"/>
      </w:rPr>
    </w:pPr>
  </w:p>
  <w:p w:rsidR="00740039" w:rsidRPr="006B0323" w:rsidRDefault="00302EAD" w:rsidP="00740039">
    <w:pPr>
      <w:pStyle w:val="Footer"/>
      <w:snapToGrid w:val="0"/>
      <w:rPr>
        <w:rFonts w:ascii="Times New Roman" w:hAnsi="Times New Roman" w:cs="Times New Roman"/>
        <w:spacing w:val="-10"/>
        <w:sz w:val="20"/>
        <w:szCs w:val="20"/>
        <w:lang w:val="es-CO"/>
      </w:rPr>
    </w:pPr>
    <w:r>
      <w:rPr>
        <w:rFonts w:ascii="Times New Roman" w:hAnsi="Times New Roman" w:cs="Times New Roman"/>
        <w:spacing w:val="-10"/>
        <w:sz w:val="20"/>
        <w:szCs w:val="20"/>
        <w:lang w:val="es-CO"/>
      </w:rPr>
      <w:t xml:space="preserve">Torre Ejecutiva Sur, Liniers </w:t>
    </w:r>
    <w:r w:rsidR="00740039">
      <w:rPr>
        <w:rFonts w:ascii="Times New Roman" w:hAnsi="Times New Roman" w:cs="Times New Roman"/>
        <w:spacing w:val="-10"/>
        <w:sz w:val="20"/>
        <w:szCs w:val="20"/>
        <w:lang w:val="es-CO"/>
      </w:rPr>
      <w:t xml:space="preserve">1324 </w:t>
    </w:r>
    <w:r>
      <w:rPr>
        <w:rFonts w:ascii="Times New Roman" w:hAnsi="Times New Roman" w:cs="Times New Roman"/>
        <w:spacing w:val="-10"/>
        <w:sz w:val="20"/>
        <w:szCs w:val="20"/>
        <w:lang w:val="es-CO"/>
      </w:rPr>
      <w:t>p</w:t>
    </w:r>
    <w:r w:rsidR="00740039">
      <w:rPr>
        <w:rFonts w:ascii="Times New Roman" w:hAnsi="Times New Roman" w:cs="Times New Roman"/>
        <w:spacing w:val="-10"/>
        <w:sz w:val="20"/>
        <w:szCs w:val="20"/>
        <w:lang w:val="es-CO"/>
      </w:rPr>
      <w:t xml:space="preserve">iso </w:t>
    </w:r>
    <w:r>
      <w:rPr>
        <w:rFonts w:ascii="Times New Roman" w:hAnsi="Times New Roman" w:cs="Times New Roman"/>
        <w:spacing w:val="-10"/>
        <w:sz w:val="20"/>
        <w:szCs w:val="20"/>
        <w:lang w:val="es-CO"/>
      </w:rPr>
      <w:t>4</w:t>
    </w:r>
  </w:p>
  <w:p w:rsidR="00740039" w:rsidRPr="00416435" w:rsidRDefault="00740039" w:rsidP="00740039">
    <w:pPr>
      <w:pStyle w:val="Footer"/>
      <w:rPr>
        <w:rFonts w:ascii="Times New Roman" w:hAnsi="Times New Roman" w:cs="Times New Roman"/>
        <w:spacing w:val="-10"/>
        <w:sz w:val="20"/>
        <w:szCs w:val="20"/>
        <w:lang w:val="en-US"/>
      </w:rPr>
    </w:pPr>
    <w:r w:rsidRPr="00416435">
      <w:rPr>
        <w:rFonts w:ascii="Times New Roman" w:hAnsi="Times New Roman" w:cs="Times New Roman"/>
        <w:spacing w:val="-10"/>
        <w:sz w:val="20"/>
        <w:szCs w:val="20"/>
        <w:lang w:val="en-US"/>
      </w:rPr>
      <w:t>(11.000) Montevideo – Uruguay</w:t>
    </w:r>
  </w:p>
  <w:p w:rsidR="00740039" w:rsidRPr="00302EAD" w:rsidRDefault="00740039" w:rsidP="00740039">
    <w:pPr>
      <w:pStyle w:val="Footer"/>
      <w:rPr>
        <w:rFonts w:ascii="Times New Roman" w:hAnsi="Times New Roman" w:cs="Times New Roman"/>
        <w:spacing w:val="-10"/>
        <w:sz w:val="20"/>
        <w:szCs w:val="20"/>
        <w:lang w:val="en-US"/>
      </w:rPr>
    </w:pPr>
    <w:r w:rsidRPr="00302EAD">
      <w:rPr>
        <w:rFonts w:ascii="Times New Roman" w:hAnsi="Times New Roman" w:cs="Times New Roman"/>
        <w:spacing w:val="-10"/>
        <w:sz w:val="20"/>
        <w:szCs w:val="20"/>
        <w:lang w:val="en-US"/>
      </w:rPr>
      <w:t>Tel</w:t>
    </w:r>
    <w:proofErr w:type="gramStart"/>
    <w:r w:rsidRPr="00302EAD">
      <w:rPr>
        <w:rFonts w:ascii="Times New Roman" w:hAnsi="Times New Roman" w:cs="Times New Roman"/>
        <w:spacing w:val="-10"/>
        <w:sz w:val="20"/>
        <w:szCs w:val="20"/>
        <w:lang w:val="en-US"/>
      </w:rPr>
      <w:t>./</w:t>
    </w:r>
    <w:proofErr w:type="gramEnd"/>
    <w:r w:rsidRPr="00302EAD">
      <w:rPr>
        <w:rFonts w:ascii="Times New Roman" w:hAnsi="Times New Roman" w:cs="Times New Roman"/>
        <w:spacing w:val="-10"/>
        <w:sz w:val="20"/>
        <w:szCs w:val="20"/>
        <w:lang w:val="en-US"/>
      </w:rPr>
      <w:t>Fax: (+598) 29012929</w:t>
    </w:r>
  </w:p>
  <w:p w:rsidR="00740039" w:rsidRPr="00302EAD" w:rsidRDefault="00740039" w:rsidP="00740039">
    <w:pPr>
      <w:pStyle w:val="Footer"/>
      <w:rPr>
        <w:rFonts w:ascii="Times New Roman" w:hAnsi="Times New Roman" w:cs="Times New Roman"/>
        <w:sz w:val="20"/>
        <w:szCs w:val="20"/>
        <w:lang w:val="en-US"/>
      </w:rPr>
    </w:pPr>
    <w:r w:rsidRPr="00302EAD">
      <w:rPr>
        <w:rFonts w:ascii="Times New Roman" w:hAnsi="Times New Roman" w:cs="Times New Roman"/>
        <w:spacing w:val="-10"/>
        <w:sz w:val="20"/>
        <w:szCs w:val="20"/>
        <w:lang w:val="en-US"/>
      </w:rPr>
      <w:t xml:space="preserve">Email: </w:t>
    </w:r>
    <w:hyperlink r:id="rId1" w:history="1">
      <w:r w:rsidRPr="00302EAD">
        <w:rPr>
          <w:rStyle w:val="Hyperlink"/>
          <w:rFonts w:ascii="Times New Roman" w:hAnsi="Times New Roman" w:cs="Times New Roman"/>
          <w:spacing w:val="-10"/>
          <w:sz w:val="20"/>
          <w:szCs w:val="20"/>
          <w:lang w:val="en-US"/>
        </w:rPr>
        <w:t>contacto@agesic.gub.uy</w:t>
      </w:r>
    </w:hyperlink>
  </w:p>
  <w:p w:rsidR="00740039" w:rsidRPr="00302EAD" w:rsidRDefault="00740039" w:rsidP="00740039">
    <w:pPr>
      <w:pStyle w:val="Footer"/>
      <w:rPr>
        <w:sz w:val="4"/>
        <w:szCs w:val="4"/>
        <w:lang w:val="en-US"/>
      </w:rPr>
    </w:pPr>
  </w:p>
  <w:p w:rsidR="00740039" w:rsidRPr="00740039" w:rsidRDefault="00740039">
    <w:pPr>
      <w:pStyle w:val="Footer"/>
      <w:rPr>
        <w:sz w:val="4"/>
        <w:szCs w:val="4"/>
      </w:rPr>
    </w:pPr>
    <w:r w:rsidRPr="002B54A3">
      <w:rPr>
        <w:rFonts w:ascii="Times New Roman" w:hAnsi="Times New Roman" w:cs="Times New Roman"/>
        <w:color w:val="808080"/>
        <w:sz w:val="30"/>
        <w:szCs w:val="30"/>
      </w:rPr>
      <w:t>www.agesic.gub.uy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632" w:rsidRDefault="008D6632" w:rsidP="00740039">
      <w:r>
        <w:separator/>
      </w:r>
    </w:p>
  </w:footnote>
  <w:footnote w:type="continuationSeparator" w:id="0">
    <w:p w:rsidR="008D6632" w:rsidRDefault="008D6632" w:rsidP="00740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740039" w:rsidTr="00740039">
      <w:tc>
        <w:tcPr>
          <w:tcW w:w="4889" w:type="dxa"/>
          <w:tcMar>
            <w:left w:w="0" w:type="dxa"/>
            <w:right w:w="0" w:type="dxa"/>
          </w:tcMar>
          <w:vAlign w:val="bottom"/>
        </w:tcPr>
        <w:p w:rsidR="00740039" w:rsidRDefault="00740039" w:rsidP="00740039">
          <w:pPr>
            <w:pStyle w:val="Header"/>
            <w:jc w:val="left"/>
          </w:pPr>
        </w:p>
      </w:tc>
      <w:tc>
        <w:tcPr>
          <w:tcW w:w="4889" w:type="dxa"/>
        </w:tcPr>
        <w:p w:rsidR="00740039" w:rsidRDefault="00302EAD" w:rsidP="00740039">
          <w:pPr>
            <w:pStyle w:val="Header"/>
            <w:jc w:val="right"/>
          </w:pPr>
          <w:r>
            <w:rPr>
              <w:noProof/>
              <w:lang w:val="en-GB" w:eastAsia="en-GB"/>
            </w:rPr>
            <w:drawing>
              <wp:anchor distT="0" distB="0" distL="114300" distR="114300" simplePos="0" relativeHeight="251657216" behindDoc="0" locked="0" layoutInCell="1" allowOverlap="1" wp14:anchorId="6DA39332" wp14:editId="3752DDF3">
                <wp:simplePos x="0" y="0"/>
                <wp:positionH relativeFrom="column">
                  <wp:posOffset>1698625</wp:posOffset>
                </wp:positionH>
                <wp:positionV relativeFrom="paragraph">
                  <wp:posOffset>-135890</wp:posOffset>
                </wp:positionV>
                <wp:extent cx="1257300" cy="733425"/>
                <wp:effectExtent l="19050" t="0" r="0" b="0"/>
                <wp:wrapNone/>
                <wp:docPr id="4" name="Imagen 1" descr="X:\Comunicación\Privado\02 -AGESIC\5 - Gráfica\logo nuevo presidencia\logo_presid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unicación\Privado\02 -AGESIC\5 - Gráfica\logo nuevo presidencia\logo_presidencia.png"/>
                        <pic:cNvPicPr>
                          <a:picLocks noChangeAspect="1" noChangeArrowheads="1"/>
                        </pic:cNvPicPr>
                      </pic:nvPicPr>
                      <pic:blipFill>
                        <a:blip r:embed="rId1"/>
                        <a:srcRect/>
                        <a:stretch>
                          <a:fillRect/>
                        </a:stretch>
                      </pic:blipFill>
                      <pic:spPr bwMode="auto">
                        <a:xfrm>
                          <a:off x="0" y="0"/>
                          <a:ext cx="1257300" cy="733425"/>
                        </a:xfrm>
                        <a:prstGeom prst="rect">
                          <a:avLst/>
                        </a:prstGeom>
                        <a:noFill/>
                        <a:ln w="9525">
                          <a:noFill/>
                          <a:miter lim="800000"/>
                          <a:headEnd/>
                          <a:tailEnd/>
                        </a:ln>
                      </pic:spPr>
                    </pic:pic>
                  </a:graphicData>
                </a:graphic>
              </wp:anchor>
            </w:drawing>
          </w:r>
        </w:p>
      </w:tc>
    </w:tr>
  </w:tbl>
  <w:p w:rsidR="00740039" w:rsidRDefault="00192941">
    <w:pPr>
      <w:pStyle w:val="Header"/>
    </w:pPr>
    <w:r>
      <w:rPr>
        <w:noProof/>
        <w:lang w:val="en-GB" w:eastAsia="en-GB"/>
      </w:rPr>
      <w:drawing>
        <wp:anchor distT="0" distB="0" distL="114300" distR="114300" simplePos="0" relativeHeight="251671552" behindDoc="0" locked="0" layoutInCell="1" allowOverlap="1" wp14:anchorId="1395AC8B" wp14:editId="70091E58">
          <wp:simplePos x="0" y="0"/>
          <wp:positionH relativeFrom="column">
            <wp:posOffset>-50165</wp:posOffset>
          </wp:positionH>
          <wp:positionV relativeFrom="paragraph">
            <wp:posOffset>-188265</wp:posOffset>
          </wp:positionV>
          <wp:extent cx="1842770" cy="5759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png"/>
                  <pic:cNvPicPr/>
                </pic:nvPicPr>
                <pic:blipFill>
                  <a:blip r:embed="rId2">
                    <a:extLst>
                      <a:ext uri="{28A0092B-C50C-407E-A947-70E740481C1C}">
                        <a14:useLocalDpi xmlns:a14="http://schemas.microsoft.com/office/drawing/2010/main" val="0"/>
                      </a:ext>
                    </a:extLst>
                  </a:blip>
                  <a:stretch>
                    <a:fillRect/>
                  </a:stretch>
                </pic:blipFill>
                <pic:spPr>
                  <a:xfrm>
                    <a:off x="0" y="0"/>
                    <a:ext cx="1842770" cy="575945"/>
                  </a:xfrm>
                  <a:prstGeom prst="rect">
                    <a:avLst/>
                  </a:prstGeom>
                </pic:spPr>
              </pic:pic>
            </a:graphicData>
          </a:graphic>
          <wp14:sizeRelH relativeFrom="margin">
            <wp14:pctWidth>0</wp14:pctWidth>
          </wp14:sizeRelH>
          <wp14:sizeRelV relativeFrom="margin">
            <wp14:pctHeight>0</wp14:pctHeight>
          </wp14:sizeRelV>
        </wp:anchor>
      </w:drawing>
    </w:r>
  </w:p>
  <w:p w:rsidR="00302EAD" w:rsidRDefault="00302EAD">
    <w:pPr>
      <w:pStyle w:val="Header"/>
    </w:pPr>
  </w:p>
  <w:p w:rsidR="00302EAD" w:rsidRDefault="00302EAD">
    <w:pPr>
      <w:pStyle w:val="Header"/>
    </w:pPr>
  </w:p>
  <w:p w:rsidR="00302EAD" w:rsidRDefault="00302EAD" w:rsidP="00302EAD">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A76B5"/>
    <w:multiLevelType w:val="hybridMultilevel"/>
    <w:tmpl w:val="8EEA16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56BD5BCE"/>
    <w:multiLevelType w:val="hybridMultilevel"/>
    <w:tmpl w:val="702242A6"/>
    <w:lvl w:ilvl="0" w:tplc="04D4A9D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AE47A60"/>
    <w:multiLevelType w:val="hybridMultilevel"/>
    <w:tmpl w:val="13FC2D4C"/>
    <w:lvl w:ilvl="0" w:tplc="2B165FD6">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039"/>
    <w:rsid w:val="00036848"/>
    <w:rsid w:val="00114772"/>
    <w:rsid w:val="00192941"/>
    <w:rsid w:val="0027440A"/>
    <w:rsid w:val="00295400"/>
    <w:rsid w:val="00302EAD"/>
    <w:rsid w:val="00392CEA"/>
    <w:rsid w:val="003F5289"/>
    <w:rsid w:val="00416435"/>
    <w:rsid w:val="00490F98"/>
    <w:rsid w:val="005B063E"/>
    <w:rsid w:val="00606E0A"/>
    <w:rsid w:val="00692E09"/>
    <w:rsid w:val="007179BB"/>
    <w:rsid w:val="00740039"/>
    <w:rsid w:val="0076781E"/>
    <w:rsid w:val="008D6632"/>
    <w:rsid w:val="008F3D47"/>
    <w:rsid w:val="008F7747"/>
    <w:rsid w:val="00A3059E"/>
    <w:rsid w:val="00A35EDD"/>
    <w:rsid w:val="00B80D56"/>
    <w:rsid w:val="00BA2489"/>
    <w:rsid w:val="00C45442"/>
    <w:rsid w:val="00E127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1"/>
        <w:szCs w:val="21"/>
        <w:lang w:val="es-U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039"/>
    <w:pPr>
      <w:tabs>
        <w:tab w:val="center" w:pos="4252"/>
        <w:tab w:val="right" w:pos="8504"/>
      </w:tabs>
    </w:pPr>
  </w:style>
  <w:style w:type="character" w:customStyle="1" w:styleId="HeaderChar">
    <w:name w:val="Header Char"/>
    <w:basedOn w:val="DefaultParagraphFont"/>
    <w:link w:val="Header"/>
    <w:uiPriority w:val="99"/>
    <w:rsid w:val="00740039"/>
  </w:style>
  <w:style w:type="paragraph" w:styleId="Footer">
    <w:name w:val="footer"/>
    <w:basedOn w:val="Normal"/>
    <w:link w:val="FooterChar"/>
    <w:unhideWhenUsed/>
    <w:rsid w:val="00740039"/>
    <w:pPr>
      <w:tabs>
        <w:tab w:val="center" w:pos="4252"/>
        <w:tab w:val="right" w:pos="8504"/>
      </w:tabs>
    </w:pPr>
  </w:style>
  <w:style w:type="character" w:customStyle="1" w:styleId="FooterChar">
    <w:name w:val="Footer Char"/>
    <w:basedOn w:val="DefaultParagraphFont"/>
    <w:link w:val="Footer"/>
    <w:rsid w:val="00740039"/>
  </w:style>
  <w:style w:type="character" w:styleId="Hyperlink">
    <w:name w:val="Hyperlink"/>
    <w:basedOn w:val="DefaultParagraphFont"/>
    <w:uiPriority w:val="99"/>
    <w:rsid w:val="00740039"/>
    <w:rPr>
      <w:color w:val="0000FF"/>
      <w:u w:val="single"/>
    </w:rPr>
  </w:style>
  <w:style w:type="table" w:styleId="TableGrid">
    <w:name w:val="Table Grid"/>
    <w:basedOn w:val="TableNormal"/>
    <w:uiPriority w:val="59"/>
    <w:rsid w:val="00740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0039"/>
    <w:rPr>
      <w:rFonts w:ascii="Tahoma" w:hAnsi="Tahoma" w:cs="Tahoma"/>
      <w:sz w:val="16"/>
      <w:szCs w:val="16"/>
    </w:rPr>
  </w:style>
  <w:style w:type="character" w:customStyle="1" w:styleId="BalloonTextChar">
    <w:name w:val="Balloon Text Char"/>
    <w:basedOn w:val="DefaultParagraphFont"/>
    <w:link w:val="BalloonText"/>
    <w:uiPriority w:val="99"/>
    <w:semiHidden/>
    <w:rsid w:val="00740039"/>
    <w:rPr>
      <w:rFonts w:ascii="Tahoma" w:hAnsi="Tahoma" w:cs="Tahoma"/>
      <w:sz w:val="16"/>
      <w:szCs w:val="16"/>
    </w:rPr>
  </w:style>
  <w:style w:type="paragraph" w:styleId="NormalWeb">
    <w:name w:val="Normal (Web)"/>
    <w:basedOn w:val="Normal"/>
    <w:uiPriority w:val="99"/>
    <w:semiHidden/>
    <w:unhideWhenUsed/>
    <w:rsid w:val="0027440A"/>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C454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1"/>
        <w:szCs w:val="21"/>
        <w:lang w:val="es-U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039"/>
    <w:pPr>
      <w:tabs>
        <w:tab w:val="center" w:pos="4252"/>
        <w:tab w:val="right" w:pos="8504"/>
      </w:tabs>
    </w:pPr>
  </w:style>
  <w:style w:type="character" w:customStyle="1" w:styleId="HeaderChar">
    <w:name w:val="Header Char"/>
    <w:basedOn w:val="DefaultParagraphFont"/>
    <w:link w:val="Header"/>
    <w:uiPriority w:val="99"/>
    <w:rsid w:val="00740039"/>
  </w:style>
  <w:style w:type="paragraph" w:styleId="Footer">
    <w:name w:val="footer"/>
    <w:basedOn w:val="Normal"/>
    <w:link w:val="FooterChar"/>
    <w:unhideWhenUsed/>
    <w:rsid w:val="00740039"/>
    <w:pPr>
      <w:tabs>
        <w:tab w:val="center" w:pos="4252"/>
        <w:tab w:val="right" w:pos="8504"/>
      </w:tabs>
    </w:pPr>
  </w:style>
  <w:style w:type="character" w:customStyle="1" w:styleId="FooterChar">
    <w:name w:val="Footer Char"/>
    <w:basedOn w:val="DefaultParagraphFont"/>
    <w:link w:val="Footer"/>
    <w:rsid w:val="00740039"/>
  </w:style>
  <w:style w:type="character" w:styleId="Hyperlink">
    <w:name w:val="Hyperlink"/>
    <w:basedOn w:val="DefaultParagraphFont"/>
    <w:uiPriority w:val="99"/>
    <w:rsid w:val="00740039"/>
    <w:rPr>
      <w:color w:val="0000FF"/>
      <w:u w:val="single"/>
    </w:rPr>
  </w:style>
  <w:style w:type="table" w:styleId="TableGrid">
    <w:name w:val="Table Grid"/>
    <w:basedOn w:val="TableNormal"/>
    <w:uiPriority w:val="59"/>
    <w:rsid w:val="00740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0039"/>
    <w:rPr>
      <w:rFonts w:ascii="Tahoma" w:hAnsi="Tahoma" w:cs="Tahoma"/>
      <w:sz w:val="16"/>
      <w:szCs w:val="16"/>
    </w:rPr>
  </w:style>
  <w:style w:type="character" w:customStyle="1" w:styleId="BalloonTextChar">
    <w:name w:val="Balloon Text Char"/>
    <w:basedOn w:val="DefaultParagraphFont"/>
    <w:link w:val="BalloonText"/>
    <w:uiPriority w:val="99"/>
    <w:semiHidden/>
    <w:rsid w:val="00740039"/>
    <w:rPr>
      <w:rFonts w:ascii="Tahoma" w:hAnsi="Tahoma" w:cs="Tahoma"/>
      <w:sz w:val="16"/>
      <w:szCs w:val="16"/>
    </w:rPr>
  </w:style>
  <w:style w:type="paragraph" w:styleId="NormalWeb">
    <w:name w:val="Normal (Web)"/>
    <w:basedOn w:val="Normal"/>
    <w:uiPriority w:val="99"/>
    <w:semiHidden/>
    <w:unhideWhenUsed/>
    <w:rsid w:val="0027440A"/>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C45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o@agesic.gub.u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386BD3-AD0C-4DF7-8965-E1049DCCA02E}"/>
</file>

<file path=customXml/itemProps2.xml><?xml version="1.0" encoding="utf-8"?>
<ds:datastoreItem xmlns:ds="http://schemas.openxmlformats.org/officeDocument/2006/customXml" ds:itemID="{65D570EA-5E85-4AA1-8836-75AFC84498EF}"/>
</file>

<file path=customXml/itemProps3.xml><?xml version="1.0" encoding="utf-8"?>
<ds:datastoreItem xmlns:ds="http://schemas.openxmlformats.org/officeDocument/2006/customXml" ds:itemID="{1440E4BE-FF47-45A1-B66D-86F2BEBA1B23}"/>
</file>

<file path=docProps/app.xml><?xml version="1.0" encoding="utf-8"?>
<Properties xmlns="http://schemas.openxmlformats.org/officeDocument/2006/extended-properties" xmlns:vt="http://schemas.openxmlformats.org/officeDocument/2006/docPropsVTypes">
  <Template>Normal.dotm</Template>
  <TotalTime>1</TotalTime>
  <Pages>5</Pages>
  <Words>1855</Words>
  <Characters>10579</Characters>
  <Application>Microsoft Office Word</Application>
  <DocSecurity>0</DocSecurity>
  <Lines>88</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Parra</dc:creator>
  <cp:lastModifiedBy>Eimear Farrell</cp:lastModifiedBy>
  <cp:revision>2</cp:revision>
  <cp:lastPrinted>2017-01-10T16:31:00Z</cp:lastPrinted>
  <dcterms:created xsi:type="dcterms:W3CDTF">2017-01-10T16:32:00Z</dcterms:created>
  <dcterms:modified xsi:type="dcterms:W3CDTF">2017-01-10T16:32:00Z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