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03922" w14:textId="1FC92CC0" w:rsidR="00EC49DE" w:rsidRPr="00F62719" w:rsidRDefault="00D43684" w:rsidP="005D6F13">
      <w:pPr>
        <w:jc w:val="center"/>
        <w:rPr>
          <w:b/>
        </w:rPr>
      </w:pPr>
      <w:r w:rsidRPr="00F62719">
        <w:rPr>
          <w:b/>
        </w:rPr>
        <w:t>Comments from the Center for Reproductive Rights in response to the call for submissions from the Office of the High Commissioner for Human Rights on child, early, and forced marriage</w:t>
      </w:r>
    </w:p>
    <w:p w14:paraId="413CB7FA" w14:textId="7857C0C0" w:rsidR="00EC49DE" w:rsidRPr="00F62719" w:rsidRDefault="00EC49DE" w:rsidP="005D6F13">
      <w:pPr>
        <w:jc w:val="center"/>
        <w:rPr>
          <w:b/>
        </w:rPr>
      </w:pPr>
    </w:p>
    <w:p w14:paraId="516AB794" w14:textId="77777777" w:rsidR="00EC49DE" w:rsidRPr="00F62719" w:rsidRDefault="00EC49DE" w:rsidP="005D6F13">
      <w:pPr>
        <w:jc w:val="both"/>
        <w:rPr>
          <w:bCs/>
        </w:rPr>
      </w:pPr>
    </w:p>
    <w:p w14:paraId="061186BB" w14:textId="77777777" w:rsidR="00EC49DE" w:rsidRPr="00F62719" w:rsidRDefault="00D43684" w:rsidP="005D6F13">
      <w:pPr>
        <w:jc w:val="both"/>
        <w:rPr>
          <w:bCs/>
        </w:rPr>
      </w:pPr>
      <w:r w:rsidRPr="00F62719">
        <w:rPr>
          <w:bCs/>
        </w:rPr>
        <w:t>The Center for Reproductive Rights (the Center)—an international non-profit legal advocacy organization headquartered in New York City, with regional offices in Nairobi, Bogotá, Kathmandu, Geneva, and Washington, D.C.—uses the law to advance reproductive freedom as a fundamental human right that all governments are legally obligated to respect, protect, and fulfill. Since its inception twenty-five years ago, the Center has advocated for the realization of women and girls’ human rights on a broad range of issues, including the right to access sexual and reproductive health services; preventing and addressing sexual violence; and the eradication of harmful traditional practices, including child, early, and forced marriage. We are pleased to provide this submission to the Office of the High Commissioner for Human Rights on child, early, and forced marriage in humanitarian settings.</w:t>
      </w:r>
    </w:p>
    <w:p w14:paraId="696A5EDE" w14:textId="77777777" w:rsidR="00EF7C6C" w:rsidRPr="00F62719" w:rsidRDefault="00EF7C6C" w:rsidP="005D6F13">
      <w:pPr>
        <w:jc w:val="both"/>
        <w:rPr>
          <w:bCs/>
        </w:rPr>
      </w:pPr>
    </w:p>
    <w:p w14:paraId="30C64790" w14:textId="03C67ED2" w:rsidR="00EF7C6C" w:rsidRPr="00F62719" w:rsidRDefault="00EF7C6C" w:rsidP="005D6F13">
      <w:pPr>
        <w:jc w:val="both"/>
      </w:pPr>
      <w:r w:rsidRPr="00F62719">
        <w:rPr>
          <w:bCs/>
        </w:rPr>
        <w:t xml:space="preserve">This submission begins by discussing the nature, scope, and effects of child, early, and forced marriage in humanitarian settings. </w:t>
      </w:r>
      <w:proofErr w:type="gramStart"/>
      <w:r w:rsidRPr="00F62719">
        <w:rPr>
          <w:bCs/>
        </w:rPr>
        <w:t>Next</w:t>
      </w:r>
      <w:proofErr w:type="gramEnd"/>
      <w:r w:rsidRPr="00F62719">
        <w:rPr>
          <w:bCs/>
        </w:rPr>
        <w:t xml:space="preserve"> it discusses </w:t>
      </w:r>
      <w:r w:rsidR="005822DE" w:rsidRPr="00F62719">
        <w:rPr>
          <w:bCs/>
        </w:rPr>
        <w:t>states’</w:t>
      </w:r>
      <w:r w:rsidRPr="00F62719">
        <w:rPr>
          <w:bCs/>
        </w:rPr>
        <w:t xml:space="preserve"> </w:t>
      </w:r>
      <w:r w:rsidR="005822DE" w:rsidRPr="00F62719">
        <w:rPr>
          <w:bCs/>
        </w:rPr>
        <w:t xml:space="preserve">human rights obligations, which </w:t>
      </w:r>
      <w:r w:rsidR="00C468FD" w:rsidRPr="00F62719">
        <w:rPr>
          <w:bCs/>
        </w:rPr>
        <w:t>continue</w:t>
      </w:r>
      <w:r w:rsidRPr="00F62719">
        <w:rPr>
          <w:bCs/>
        </w:rPr>
        <w:t xml:space="preserve"> in humanitarian settings. </w:t>
      </w:r>
      <w:r w:rsidR="005822DE" w:rsidRPr="00F62719">
        <w:rPr>
          <w:bCs/>
        </w:rPr>
        <w:t>Finally, it outlines</w:t>
      </w:r>
      <w:r w:rsidR="00F805FF">
        <w:rPr>
          <w:bCs/>
        </w:rPr>
        <w:t xml:space="preserve"> key principles for addressing the root causes of</w:t>
      </w:r>
      <w:r w:rsidR="005822DE" w:rsidRPr="00F62719">
        <w:rPr>
          <w:bCs/>
        </w:rPr>
        <w:t xml:space="preserve"> child, early, and forced marriage in humanitarian settings</w:t>
      </w:r>
      <w:r w:rsidR="00565253">
        <w:rPr>
          <w:bCs/>
        </w:rPr>
        <w:t xml:space="preserve"> and recommends </w:t>
      </w:r>
      <w:r w:rsidR="00565253" w:rsidRPr="00F62719">
        <w:rPr>
          <w:bCs/>
        </w:rPr>
        <w:t>measures</w:t>
      </w:r>
      <w:r w:rsidR="00565253">
        <w:rPr>
          <w:bCs/>
        </w:rPr>
        <w:t xml:space="preserve"> for preventing and fighting impunity for this harmful practice</w:t>
      </w:r>
      <w:r w:rsidR="005822DE" w:rsidRPr="00F62719">
        <w:rPr>
          <w:bCs/>
        </w:rPr>
        <w:t xml:space="preserve">. </w:t>
      </w:r>
    </w:p>
    <w:p w14:paraId="41B41BC8" w14:textId="77777777" w:rsidR="00EC49DE" w:rsidRPr="00F62719" w:rsidRDefault="00EC49DE" w:rsidP="005D6F13">
      <w:pPr>
        <w:jc w:val="both"/>
        <w:rPr>
          <w:bCs/>
        </w:rPr>
      </w:pPr>
    </w:p>
    <w:p w14:paraId="359A9189" w14:textId="70FBF330" w:rsidR="00EC49DE" w:rsidRPr="00F62719" w:rsidRDefault="00D43684" w:rsidP="005D6F13">
      <w:pPr>
        <w:pStyle w:val="ListParagraph"/>
        <w:numPr>
          <w:ilvl w:val="0"/>
          <w:numId w:val="1"/>
        </w:numPr>
        <w:jc w:val="both"/>
        <w:rPr>
          <w:b/>
        </w:rPr>
      </w:pPr>
      <w:r w:rsidRPr="00F62719">
        <w:rPr>
          <w:b/>
        </w:rPr>
        <w:t>Nature</w:t>
      </w:r>
      <w:r w:rsidR="00565253">
        <w:rPr>
          <w:b/>
        </w:rPr>
        <w:t>,</w:t>
      </w:r>
      <w:r w:rsidRPr="00F62719">
        <w:rPr>
          <w:b/>
        </w:rPr>
        <w:t xml:space="preserve"> scope</w:t>
      </w:r>
      <w:r w:rsidR="00565253">
        <w:rPr>
          <w:b/>
        </w:rPr>
        <w:t>, and effects</w:t>
      </w:r>
      <w:r w:rsidRPr="00F62719">
        <w:rPr>
          <w:b/>
        </w:rPr>
        <w:t xml:space="preserve"> of child, early, and forced marriage in humanitarian settings</w:t>
      </w:r>
    </w:p>
    <w:p w14:paraId="05CE125C" w14:textId="77777777" w:rsidR="00EC49DE" w:rsidRPr="00F62719" w:rsidRDefault="00EC49DE" w:rsidP="005D6F13">
      <w:pPr>
        <w:ind w:left="360"/>
        <w:jc w:val="both"/>
        <w:rPr>
          <w:b/>
        </w:rPr>
      </w:pPr>
    </w:p>
    <w:p w14:paraId="220B676A" w14:textId="20451A0A" w:rsidR="00DF744A" w:rsidRPr="00F62719" w:rsidRDefault="00D43684" w:rsidP="005D6F13">
      <w:pPr>
        <w:jc w:val="both"/>
      </w:pPr>
      <w:r w:rsidRPr="00F62719">
        <w:t>In humanitarian settings, women and girls are at heighte</w:t>
      </w:r>
      <w:r w:rsidR="00F00AD7" w:rsidRPr="00F62719">
        <w:t>ned risk of human rights abuses</w:t>
      </w:r>
      <w:r w:rsidRPr="00F62719">
        <w:t>.</w:t>
      </w:r>
      <w:bookmarkStart w:id="0" w:name="_Ref506924709"/>
      <w:bookmarkStart w:id="1" w:name="_Ref507678999"/>
      <w:bookmarkEnd w:id="0"/>
      <w:r w:rsidR="00DF744A" w:rsidRPr="00F62719">
        <w:rPr>
          <w:rStyle w:val="EndnoteAnchor"/>
        </w:rPr>
        <w:endnoteReference w:id="1"/>
      </w:r>
      <w:bookmarkEnd w:id="1"/>
      <w:r w:rsidR="00DF744A" w:rsidRPr="00F62719">
        <w:t xml:space="preserve"> </w:t>
      </w:r>
      <w:bookmarkStart w:id="2" w:name="_Ref506924535"/>
      <w:bookmarkStart w:id="3" w:name="_Ref506924497"/>
      <w:bookmarkEnd w:id="2"/>
      <w:bookmarkEnd w:id="3"/>
      <w:r w:rsidR="00404BBF" w:rsidRPr="00F62719">
        <w:t>In particular, h</w:t>
      </w:r>
      <w:r w:rsidR="00DF744A" w:rsidRPr="00F62719">
        <w:t xml:space="preserve">umanitarian situations </w:t>
      </w:r>
      <w:proofErr w:type="gramStart"/>
      <w:r w:rsidR="00DF744A" w:rsidRPr="00F62719">
        <w:t>have been linked</w:t>
      </w:r>
      <w:proofErr w:type="gramEnd"/>
      <w:r w:rsidR="00DF744A" w:rsidRPr="00F62719">
        <w:t xml:space="preserve"> to an increase in child, early, and forced marriage.</w:t>
      </w:r>
      <w:r w:rsidR="00DF744A" w:rsidRPr="00F62719">
        <w:rPr>
          <w:rStyle w:val="EndnoteAnchor"/>
        </w:rPr>
        <w:endnoteReference w:id="2"/>
      </w:r>
      <w:r w:rsidR="00DF744A" w:rsidRPr="00F62719">
        <w:t xml:space="preserve"> For instance, according to the United Nations Children’s Fund (UNICEF), </w:t>
      </w:r>
      <w:r w:rsidR="00DF744A" w:rsidRPr="00F62719">
        <w:rPr>
          <w:shd w:val="clear" w:color="auto" w:fill="FFFFFF"/>
        </w:rPr>
        <w:t>the rate of child, early, and forced marriage among Syrian refugee girls in Jordan rose to 32% in 2014, compared to an average of 13% in Syria before the war.</w:t>
      </w:r>
      <w:r w:rsidR="00DF744A" w:rsidRPr="00F62719">
        <w:rPr>
          <w:rStyle w:val="EndnoteAnchor"/>
          <w:shd w:val="clear" w:color="auto" w:fill="FFFFFF"/>
        </w:rPr>
        <w:endnoteReference w:id="3"/>
      </w:r>
      <w:r w:rsidR="00DF744A" w:rsidRPr="00F62719">
        <w:t xml:space="preserve"> Various reports suggest that the increase in child, early, and forced marriage is attributable in part to a fear of sexual violence and economic hardships.</w:t>
      </w:r>
      <w:bookmarkStart w:id="4" w:name="_Ref506925038"/>
      <w:bookmarkEnd w:id="4"/>
      <w:r w:rsidR="00DF744A" w:rsidRPr="00F62719">
        <w:rPr>
          <w:rStyle w:val="EndnoteAnchor"/>
        </w:rPr>
        <w:endnoteReference w:id="4"/>
      </w:r>
      <w:r w:rsidR="00DF744A" w:rsidRPr="00F62719">
        <w:t xml:space="preserve"> </w:t>
      </w:r>
      <w:r w:rsidR="00DF744A" w:rsidRPr="00F62719">
        <w:rPr>
          <w:shd w:val="clear" w:color="auto" w:fill="FFFFFF"/>
        </w:rPr>
        <w:t>There is a growing body of evidence to suggest rising rates of child, early, and forced marriage in humanitarian settings due to a lack of economic resources and because families perceive marriage as a way to protect girls from other forms of violence, including sexual violence, the risk of which increases in these settings.</w:t>
      </w:r>
      <w:r w:rsidR="00DF744A" w:rsidRPr="00F62719">
        <w:rPr>
          <w:rStyle w:val="EndnoteAnchor"/>
          <w:shd w:val="clear" w:color="auto" w:fill="FFFFFF"/>
        </w:rPr>
        <w:endnoteReference w:id="5"/>
      </w:r>
      <w:r w:rsidR="00DF744A" w:rsidRPr="00F62719">
        <w:t xml:space="preserve"> </w:t>
      </w:r>
    </w:p>
    <w:p w14:paraId="2A8B05DB" w14:textId="77777777" w:rsidR="00DF744A" w:rsidRPr="00F62719" w:rsidRDefault="00DF744A" w:rsidP="005D6F13">
      <w:pPr>
        <w:jc w:val="both"/>
      </w:pPr>
    </w:p>
    <w:p w14:paraId="3F68A440" w14:textId="77777777" w:rsidR="00F00AD7" w:rsidRPr="00F62719" w:rsidRDefault="00F00AD7" w:rsidP="005D6F13">
      <w:pPr>
        <w:jc w:val="both"/>
      </w:pPr>
      <w:r w:rsidRPr="00F62719">
        <w:t>Moreover, in some humanitarian settings, armed groups have created systems of forced marriage and sexual slavery.</w:t>
      </w:r>
      <w:r w:rsidRPr="00F62719">
        <w:rPr>
          <w:rStyle w:val="EndnoteAnchor"/>
        </w:rPr>
        <w:endnoteReference w:id="6"/>
      </w:r>
      <w:r w:rsidRPr="00F62719">
        <w:t xml:space="preserve"> For instance, in Nigeria, systematic sexual and gender-based violence has been a well-documented feature of Boko Haram’s treatment of the women and girls it abducts, but data on the scope and extent of this violence remains difficult to obtain.</w:t>
      </w:r>
      <w:r w:rsidRPr="00F62719">
        <w:rPr>
          <w:rStyle w:val="EndnoteAnchor"/>
        </w:rPr>
        <w:endnoteReference w:id="7"/>
      </w:r>
      <w:r w:rsidRPr="00F62719">
        <w:t xml:space="preserve">  More reliable and comprehensive data on sexual violence in conflict and displacement settings is necessary,</w:t>
      </w:r>
      <w:r w:rsidRPr="00F62719">
        <w:rPr>
          <w:rStyle w:val="EndnoteAnchor"/>
        </w:rPr>
        <w:endnoteReference w:id="8"/>
      </w:r>
      <w:r w:rsidRPr="00F62719">
        <w:t xml:space="preserve">  though it continues to be difficult to collect due to stigma and other barriers associated with reporting these violations.</w:t>
      </w:r>
      <w:r w:rsidRPr="00F62719">
        <w:rPr>
          <w:rStyle w:val="EndnoteAnchor"/>
        </w:rPr>
        <w:endnoteReference w:id="9"/>
      </w:r>
    </w:p>
    <w:p w14:paraId="795650D2" w14:textId="77777777" w:rsidR="00F00AD7" w:rsidRPr="00F62719" w:rsidRDefault="00F00AD7" w:rsidP="005D6F13">
      <w:pPr>
        <w:jc w:val="both"/>
      </w:pPr>
    </w:p>
    <w:p w14:paraId="4BF489AE" w14:textId="05F54D1B" w:rsidR="00613792" w:rsidRDefault="00291055" w:rsidP="005D6F13">
      <w:pPr>
        <w:jc w:val="both"/>
      </w:pPr>
      <w:r w:rsidRPr="00F62719">
        <w:lastRenderedPageBreak/>
        <w:t xml:space="preserve">Following conflict and violence in Myanmar, </w:t>
      </w:r>
      <w:r w:rsidR="00E1724D">
        <w:t xml:space="preserve">reports indicate that </w:t>
      </w:r>
      <w:proofErr w:type="spellStart"/>
      <w:r w:rsidRPr="00F62719">
        <w:t>Rohingya</w:t>
      </w:r>
      <w:proofErr w:type="spellEnd"/>
      <w:r w:rsidRPr="00F62719">
        <w:t xml:space="preserve"> girls have experienced </w:t>
      </w:r>
      <w:r w:rsidR="002925E2" w:rsidRPr="00F62719">
        <w:t>especially</w:t>
      </w:r>
      <w:r w:rsidRPr="00F62719">
        <w:t xml:space="preserve"> high rates of child marriage. V</w:t>
      </w:r>
      <w:r w:rsidR="00613792" w:rsidRPr="00F62719">
        <w:t xml:space="preserve">iolence and communal clashes that occurred between 2012 and early 2017 forced more than 168,000 </w:t>
      </w:r>
      <w:proofErr w:type="spellStart"/>
      <w:r w:rsidR="00613792" w:rsidRPr="00F62719">
        <w:t>Rohingya</w:t>
      </w:r>
      <w:proofErr w:type="spellEnd"/>
      <w:r w:rsidR="00613792" w:rsidRPr="00F62719">
        <w:t xml:space="preserve"> </w:t>
      </w:r>
      <w:r w:rsidR="007C10D8">
        <w:t>Muslims</w:t>
      </w:r>
      <w:r w:rsidR="007C10D8" w:rsidRPr="00F62719">
        <w:t xml:space="preserve"> </w:t>
      </w:r>
      <w:r w:rsidR="00613792" w:rsidRPr="00F62719">
        <w:t>living in western Myanmar to flee their homes.</w:t>
      </w:r>
      <w:r w:rsidR="00613792" w:rsidRPr="00F62719">
        <w:rPr>
          <w:rStyle w:val="EndnoteReference"/>
        </w:rPr>
        <w:endnoteReference w:id="10"/>
      </w:r>
      <w:r w:rsidR="00613792" w:rsidRPr="00F62719">
        <w:t xml:space="preserve"> A survey of 85 </w:t>
      </w:r>
      <w:proofErr w:type="spellStart"/>
      <w:r w:rsidR="00613792" w:rsidRPr="00F62719">
        <w:t>Rohingya</w:t>
      </w:r>
      <w:proofErr w:type="spellEnd"/>
      <w:r w:rsidR="00613792" w:rsidRPr="00F62719">
        <w:t xml:space="preserve"> women and girls who fled to India, Malaysia, and Indonesia during that time found that about 60 percent were married before they turned 18.</w:t>
      </w:r>
      <w:r w:rsidR="00613792" w:rsidRPr="00F62719">
        <w:rPr>
          <w:rStyle w:val="EndnoteReference"/>
        </w:rPr>
        <w:endnoteReference w:id="11"/>
      </w:r>
      <w:r w:rsidR="00613792" w:rsidRPr="00F62719">
        <w:t xml:space="preserve"> In August 2017, military operations</w:t>
      </w:r>
      <w:r w:rsidRPr="00F62719">
        <w:t xml:space="preserve">, which </w:t>
      </w:r>
      <w:proofErr w:type="gramStart"/>
      <w:r w:rsidRPr="00F62719">
        <w:t xml:space="preserve">have been </w:t>
      </w:r>
      <w:r w:rsidR="00613792" w:rsidRPr="00F62719">
        <w:t>condemned</w:t>
      </w:r>
      <w:proofErr w:type="gramEnd"/>
      <w:r w:rsidR="00613792" w:rsidRPr="00F62719">
        <w:t xml:space="preserve"> by the United Nations as “ethnic cleansing</w:t>
      </w:r>
      <w:r w:rsidR="00DF5C6A">
        <w:t>,</w:t>
      </w:r>
      <w:r w:rsidR="00613792" w:rsidRPr="00F62719">
        <w:t>”</w:t>
      </w:r>
      <w:r w:rsidR="00BA40B7">
        <w:rPr>
          <w:rStyle w:val="EndnoteReference"/>
        </w:rPr>
        <w:endnoteReference w:id="12"/>
      </w:r>
      <w:r w:rsidR="00613792" w:rsidRPr="00F62719">
        <w:t xml:space="preserve"> caused more than </w:t>
      </w:r>
      <w:r w:rsidR="00B65232" w:rsidRPr="00F62719">
        <w:t>7</w:t>
      </w:r>
      <w:r w:rsidR="00613792" w:rsidRPr="00F62719">
        <w:t xml:space="preserve">00,000 additional </w:t>
      </w:r>
      <w:proofErr w:type="spellStart"/>
      <w:r w:rsidR="00613792" w:rsidRPr="00F62719">
        <w:t>Rohingya</w:t>
      </w:r>
      <w:proofErr w:type="spellEnd"/>
      <w:r w:rsidR="00613792" w:rsidRPr="00F62719">
        <w:t xml:space="preserve"> Muslims to</w:t>
      </w:r>
      <w:r w:rsidRPr="00F62719">
        <w:t xml:space="preserve"> also</w:t>
      </w:r>
      <w:r w:rsidR="00613792" w:rsidRPr="00F62719">
        <w:t xml:space="preserve"> flee their homes</w:t>
      </w:r>
      <w:r w:rsidRPr="00F62719">
        <w:t xml:space="preserve"> in western Myanmar</w:t>
      </w:r>
      <w:r w:rsidR="00613792" w:rsidRPr="00F62719">
        <w:t>.</w:t>
      </w:r>
      <w:r w:rsidR="00613792" w:rsidRPr="00F62719">
        <w:rPr>
          <w:rStyle w:val="EndnoteReference"/>
        </w:rPr>
        <w:endnoteReference w:id="13"/>
      </w:r>
      <w:r w:rsidR="00613792" w:rsidRPr="00F62719">
        <w:t xml:space="preserve"> In</w:t>
      </w:r>
      <w:r w:rsidRPr="00F62719">
        <w:t xml:space="preserve"> </w:t>
      </w:r>
      <w:r w:rsidR="00613792" w:rsidRPr="00F62719">
        <w:t>Cox’s Bazar</w:t>
      </w:r>
      <w:r w:rsidRPr="00F62719">
        <w:t>,</w:t>
      </w:r>
      <w:r w:rsidR="00613792" w:rsidRPr="00F62719">
        <w:t xml:space="preserve"> Bangladesh, </w:t>
      </w:r>
      <w:proofErr w:type="spellStart"/>
      <w:r w:rsidR="00613792" w:rsidRPr="00F62719">
        <w:t>Rohingya</w:t>
      </w:r>
      <w:proofErr w:type="spellEnd"/>
      <w:r w:rsidR="00613792" w:rsidRPr="00F62719">
        <w:t xml:space="preserve"> girls as young as 11 </w:t>
      </w:r>
      <w:proofErr w:type="gramStart"/>
      <w:r w:rsidRPr="00F62719">
        <w:t>have been</w:t>
      </w:r>
      <w:r w:rsidR="00613792" w:rsidRPr="00F62719">
        <w:t xml:space="preserve"> forced</w:t>
      </w:r>
      <w:proofErr w:type="gramEnd"/>
      <w:r w:rsidR="00613792" w:rsidRPr="00F62719">
        <w:t xml:space="preserve"> to marry by their families who </w:t>
      </w:r>
      <w:r w:rsidRPr="00F62719">
        <w:t>have</w:t>
      </w:r>
      <w:r w:rsidR="00613792" w:rsidRPr="00F62719">
        <w:t xml:space="preserve"> hopes of securing more food for themselves and </w:t>
      </w:r>
      <w:r w:rsidRPr="00F62719">
        <w:t>the rest of their</w:t>
      </w:r>
      <w:r w:rsidR="00613792" w:rsidRPr="00F62719">
        <w:t xml:space="preserve"> </w:t>
      </w:r>
      <w:r w:rsidRPr="00F62719">
        <w:t>families</w:t>
      </w:r>
      <w:r w:rsidR="00613792" w:rsidRPr="00F62719">
        <w:t>.</w:t>
      </w:r>
      <w:r w:rsidR="00613792" w:rsidRPr="00F62719">
        <w:rPr>
          <w:rStyle w:val="EndnoteReference"/>
        </w:rPr>
        <w:endnoteReference w:id="14"/>
      </w:r>
      <w:r w:rsidR="00613792" w:rsidRPr="00F62719">
        <w:t xml:space="preserve"> Other </w:t>
      </w:r>
      <w:proofErr w:type="spellStart"/>
      <w:r w:rsidR="00613792" w:rsidRPr="00F62719">
        <w:t>Rohingya</w:t>
      </w:r>
      <w:proofErr w:type="spellEnd"/>
      <w:r w:rsidR="00613792" w:rsidRPr="00F62719">
        <w:t xml:space="preserve"> girls are being sold </w:t>
      </w:r>
      <w:proofErr w:type="gramStart"/>
      <w:r w:rsidR="00613792" w:rsidRPr="00F62719">
        <w:t>to</w:t>
      </w:r>
      <w:proofErr w:type="gramEnd"/>
      <w:r w:rsidR="00613792" w:rsidRPr="00F62719">
        <w:t xml:space="preserve"> much older men in places such as India.</w:t>
      </w:r>
      <w:r w:rsidR="00613792" w:rsidRPr="00F62719">
        <w:rPr>
          <w:rStyle w:val="EndnoteReference"/>
        </w:rPr>
        <w:endnoteReference w:id="15"/>
      </w:r>
      <w:r w:rsidR="00613792" w:rsidRPr="00F62719">
        <w:t xml:space="preserve"> </w:t>
      </w:r>
      <w:r w:rsidRPr="00F62719">
        <w:t xml:space="preserve">More data on the prevalence of child marriage </w:t>
      </w:r>
      <w:r w:rsidR="007C10D8">
        <w:t xml:space="preserve">and sex trafficking </w:t>
      </w:r>
      <w:r w:rsidRPr="00F62719">
        <w:t xml:space="preserve">of </w:t>
      </w:r>
      <w:proofErr w:type="spellStart"/>
      <w:r w:rsidRPr="00F62719">
        <w:t>Rohingya</w:t>
      </w:r>
      <w:proofErr w:type="spellEnd"/>
      <w:r w:rsidRPr="00F62719">
        <w:t xml:space="preserve"> girls </w:t>
      </w:r>
      <w:proofErr w:type="gramStart"/>
      <w:r w:rsidRPr="00F62719">
        <w:t>is need</w:t>
      </w:r>
      <w:r w:rsidR="007C10D8">
        <w:t>ed</w:t>
      </w:r>
      <w:proofErr w:type="gramEnd"/>
      <w:r w:rsidRPr="00F62719">
        <w:t xml:space="preserve">. </w:t>
      </w:r>
    </w:p>
    <w:p w14:paraId="3AC504CA" w14:textId="33559FA9" w:rsidR="00BA40B7" w:rsidRDefault="00BA40B7" w:rsidP="005D6F13">
      <w:pPr>
        <w:jc w:val="both"/>
      </w:pPr>
    </w:p>
    <w:p w14:paraId="47E5E37A" w14:textId="0A6E737B" w:rsidR="00BA40B7" w:rsidRPr="00F62719" w:rsidRDefault="00BA40B7" w:rsidP="00BA40B7">
      <w:pPr>
        <w:jc w:val="both"/>
      </w:pPr>
      <w:r w:rsidRPr="00F62719">
        <w:t xml:space="preserve">The effects of child, early, and forced marriage can be significant. For instance, of the children who have dropped out of school since </w:t>
      </w:r>
      <w:r>
        <w:t>the</w:t>
      </w:r>
      <w:r w:rsidRPr="00F62719">
        <w:t xml:space="preserve"> 2015 earthquakes in Nepal, 65% have been girls, and respondents of a survey stated early marriage as the primary cause of these dropouts.</w:t>
      </w:r>
      <w:r w:rsidRPr="00F62719">
        <w:rPr>
          <w:rStyle w:val="EndnoteAnchor"/>
        </w:rPr>
        <w:endnoteReference w:id="16"/>
      </w:r>
      <w:r w:rsidRPr="00F62719">
        <w:t xml:space="preserve"> Though it is difficult to compare data with pre-earthquake rate</w:t>
      </w:r>
      <w:r w:rsidR="00565253">
        <w:t>s</w:t>
      </w:r>
      <w:r w:rsidRPr="00F62719">
        <w:t xml:space="preserve"> and age of marriage in Nepal, available information suggests that child marriage is probably occurring at a higher rate compared to the time immediately before the earthquakes.</w:t>
      </w:r>
      <w:r w:rsidRPr="00F62719">
        <w:rPr>
          <w:rStyle w:val="EndnoteReference"/>
        </w:rPr>
        <w:endnoteReference w:id="17"/>
      </w:r>
      <w:r w:rsidRPr="00F62719">
        <w:t xml:space="preserve"> </w:t>
      </w:r>
    </w:p>
    <w:p w14:paraId="049741A1" w14:textId="3CDD8BE9" w:rsidR="00DF744A" w:rsidRPr="00F62719" w:rsidRDefault="00DF744A" w:rsidP="005D6F13">
      <w:pPr>
        <w:jc w:val="both"/>
      </w:pPr>
    </w:p>
    <w:p w14:paraId="39BD7DB4" w14:textId="7198EFC2" w:rsidR="00DF744A" w:rsidRPr="00565253" w:rsidRDefault="00DF744A" w:rsidP="005D6F13">
      <w:pPr>
        <w:jc w:val="both"/>
      </w:pPr>
      <w:r w:rsidRPr="00F62719">
        <w:t xml:space="preserve">In addition to limiting the education, work, and life prospects of girls, child marriage poses several risks to </w:t>
      </w:r>
      <w:r w:rsidRPr="00565253">
        <w:t>girls’ sexual and reproductive health and rights.</w:t>
      </w:r>
      <w:r w:rsidR="001A2ADC" w:rsidRPr="00565253">
        <w:t xml:space="preserve"> There is convincing evidence to demonstrate high rates of maternal mortality and morbidity for adolescent pregnancy, which is a risk of child, early, and forced marriage.</w:t>
      </w:r>
      <w:r w:rsidR="001A2ADC" w:rsidRPr="00565253">
        <w:rPr>
          <w:rStyle w:val="EndnoteReference"/>
        </w:rPr>
        <w:endnoteReference w:id="18"/>
      </w:r>
      <w:r w:rsidR="00C30E6E" w:rsidRPr="00565253">
        <w:t xml:space="preserve"> </w:t>
      </w:r>
      <w:r w:rsidR="001A2ADC" w:rsidRPr="00565253">
        <w:t>A</w:t>
      </w:r>
      <w:r w:rsidR="001A2ADC" w:rsidRPr="00565253">
        <w:rPr>
          <w:shd w:val="clear" w:color="auto" w:fill="FFFFFF"/>
        </w:rPr>
        <w:t>dolescent girls under 15 years old experience the highest rates of maternal mortality,</w:t>
      </w:r>
      <w:r w:rsidR="001A2ADC" w:rsidRPr="00565253">
        <w:rPr>
          <w:rStyle w:val="EndnoteReference"/>
          <w:shd w:val="clear" w:color="auto" w:fill="FFFFFF"/>
        </w:rPr>
        <w:endnoteReference w:id="19"/>
      </w:r>
      <w:r w:rsidR="001A2ADC" w:rsidRPr="00565253">
        <w:t xml:space="preserve"> as early pregnancy greatly increases the risk of serious complications.</w:t>
      </w:r>
      <w:r w:rsidR="001A2ADC" w:rsidRPr="00565253">
        <w:rPr>
          <w:rStyle w:val="EndnoteAnchor"/>
        </w:rPr>
        <w:endnoteReference w:id="20"/>
      </w:r>
      <w:r w:rsidR="001A2ADC" w:rsidRPr="00565253">
        <w:rPr>
          <w:shd w:val="clear" w:color="auto" w:fill="FFFFFF"/>
        </w:rPr>
        <w:t xml:space="preserve"> </w:t>
      </w:r>
      <w:r w:rsidR="00C30E6E" w:rsidRPr="00565253">
        <w:rPr>
          <w:shd w:val="clear" w:color="auto" w:fill="FFFFFF"/>
        </w:rPr>
        <w:t xml:space="preserve">Complications in pregnancy and childbirth </w:t>
      </w:r>
      <w:r w:rsidR="00565253">
        <w:rPr>
          <w:shd w:val="clear" w:color="auto" w:fill="FFFFFF"/>
        </w:rPr>
        <w:t>are</w:t>
      </w:r>
      <w:r w:rsidR="00565253" w:rsidRPr="00565253">
        <w:rPr>
          <w:shd w:val="clear" w:color="auto" w:fill="FFFFFF"/>
        </w:rPr>
        <w:t xml:space="preserve"> </w:t>
      </w:r>
      <w:r w:rsidR="00C30E6E" w:rsidRPr="00565253">
        <w:rPr>
          <w:shd w:val="clear" w:color="auto" w:fill="FFFFFF"/>
        </w:rPr>
        <w:t>a leading cause of death among adolescent girls in developing countries.</w:t>
      </w:r>
      <w:r w:rsidR="00C30E6E" w:rsidRPr="00565253">
        <w:rPr>
          <w:rStyle w:val="EndnoteReference"/>
          <w:shd w:val="clear" w:color="auto" w:fill="FFFFFF"/>
        </w:rPr>
        <w:endnoteReference w:id="21"/>
      </w:r>
      <w:r w:rsidR="00C30E6E" w:rsidRPr="00565253">
        <w:rPr>
          <w:shd w:val="clear" w:color="auto" w:fill="FFFFFF"/>
        </w:rPr>
        <w:t xml:space="preserve"> </w:t>
      </w:r>
      <w:r w:rsidRPr="00565253">
        <w:t xml:space="preserve">Treaty bodies have linked high rates of maternal mortality </w:t>
      </w:r>
      <w:proofErr w:type="gramStart"/>
      <w:r w:rsidRPr="00565253">
        <w:t>to,</w:t>
      </w:r>
      <w:proofErr w:type="gramEnd"/>
      <w:r w:rsidRPr="00565253">
        <w:t xml:space="preserve"> </w:t>
      </w:r>
      <w:r w:rsidRPr="00BE0C09">
        <w:rPr>
          <w:i/>
        </w:rPr>
        <w:t>inter alia</w:t>
      </w:r>
      <w:r w:rsidRPr="00565253">
        <w:t xml:space="preserve">, lack of access to reproductive health services </w:t>
      </w:r>
      <w:r w:rsidR="00D308CB" w:rsidRPr="00565253">
        <w:t xml:space="preserve">and high rates </w:t>
      </w:r>
      <w:r w:rsidRPr="00565253">
        <w:t>adolescent pregnancy and child marriage.</w:t>
      </w:r>
      <w:r w:rsidRPr="00565253">
        <w:rPr>
          <w:rStyle w:val="EndnoteAnchor"/>
        </w:rPr>
        <w:endnoteReference w:id="22"/>
      </w:r>
      <w:r w:rsidRPr="00565253">
        <w:t xml:space="preserve"> </w:t>
      </w:r>
      <w:r w:rsidR="007C10D8" w:rsidRPr="00565253">
        <w:t>Moreover, in humanitarian settings, d</w:t>
      </w:r>
      <w:r w:rsidRPr="00565253">
        <w:t xml:space="preserve">isintegrating health infrastructure can have critical impacts on reproductive health. In countries designated as fragile states, the estimated lifetime risk of maternal mortality is </w:t>
      </w:r>
      <w:proofErr w:type="gramStart"/>
      <w:r w:rsidRPr="00565253">
        <w:t>1</w:t>
      </w:r>
      <w:proofErr w:type="gramEnd"/>
      <w:r w:rsidRPr="00565253">
        <w:t xml:space="preserve"> in 54, as compared to a 1 in 180 global lifetime risk.</w:t>
      </w:r>
      <w:r w:rsidRPr="00565253">
        <w:rPr>
          <w:rStyle w:val="EndnoteAnchor"/>
        </w:rPr>
        <w:endnoteReference w:id="23"/>
      </w:r>
    </w:p>
    <w:p w14:paraId="358C2F6B" w14:textId="77777777" w:rsidR="00DF744A" w:rsidRPr="00565253" w:rsidRDefault="00DF744A" w:rsidP="005D6F13">
      <w:pPr>
        <w:jc w:val="both"/>
      </w:pPr>
    </w:p>
    <w:p w14:paraId="5E03EB38" w14:textId="77777777" w:rsidR="00DF744A" w:rsidRPr="00F62719" w:rsidRDefault="00DF744A" w:rsidP="005D6F13">
      <w:pPr>
        <w:jc w:val="both"/>
      </w:pPr>
      <w:r w:rsidRPr="00F62719">
        <w:t>Girls who are subjected to child marriage are also often less able to make important reproductive health decisions such as accessing contraception to delay pregnancy, either because of power dynamics within their relationships</w:t>
      </w:r>
      <w:r w:rsidRPr="00F62719">
        <w:rPr>
          <w:rStyle w:val="EndnoteAnchor"/>
        </w:rPr>
        <w:endnoteReference w:id="24"/>
      </w:r>
      <w:r w:rsidRPr="00F62719">
        <w:t xml:space="preserve"> or laws and health care practices that otherwise limit the reproductive health decision-making power of adolescents. For instance, many states require that girls obtain spousal consent to access a range of reproductive health services, including contraception and abortion,</w:t>
      </w:r>
      <w:r w:rsidRPr="00F62719">
        <w:rPr>
          <w:rStyle w:val="EndnoteAnchor"/>
        </w:rPr>
        <w:endnoteReference w:id="25"/>
      </w:r>
      <w:r w:rsidRPr="00F62719">
        <w:t xml:space="preserve"> denying married girls the ability to control this aspect of their lives. </w:t>
      </w:r>
    </w:p>
    <w:p w14:paraId="5763AAE5" w14:textId="77777777" w:rsidR="00DF744A" w:rsidRPr="00F62719" w:rsidRDefault="00DF744A" w:rsidP="005D6F13">
      <w:pPr>
        <w:jc w:val="both"/>
      </w:pPr>
    </w:p>
    <w:p w14:paraId="259FEE15" w14:textId="39413BB3" w:rsidR="00DF744A" w:rsidRPr="00F62719" w:rsidRDefault="00DF744A" w:rsidP="005D6F13">
      <w:pPr>
        <w:pStyle w:val="ListParagraph"/>
        <w:numPr>
          <w:ilvl w:val="0"/>
          <w:numId w:val="1"/>
        </w:numPr>
        <w:jc w:val="both"/>
        <w:rPr>
          <w:b/>
        </w:rPr>
      </w:pPr>
      <w:r w:rsidRPr="00F62719">
        <w:rPr>
          <w:b/>
        </w:rPr>
        <w:t>Human rights standards in humanitarian settings</w:t>
      </w:r>
    </w:p>
    <w:p w14:paraId="169C0970" w14:textId="77777777" w:rsidR="00DF744A" w:rsidRPr="00F62719" w:rsidRDefault="00DF744A" w:rsidP="005D6F13">
      <w:pPr>
        <w:pStyle w:val="ListParagraph"/>
        <w:jc w:val="both"/>
        <w:rPr>
          <w:b/>
        </w:rPr>
      </w:pPr>
    </w:p>
    <w:p w14:paraId="58DC6B3D" w14:textId="2586A3A8" w:rsidR="00DF744A" w:rsidRPr="00F62719" w:rsidRDefault="00DF744A" w:rsidP="005D6F13">
      <w:pPr>
        <w:pStyle w:val="ListParagraph"/>
        <w:numPr>
          <w:ilvl w:val="1"/>
          <w:numId w:val="1"/>
        </w:numPr>
        <w:jc w:val="both"/>
        <w:rPr>
          <w:b/>
          <w:u w:val="single"/>
        </w:rPr>
      </w:pPr>
      <w:r w:rsidRPr="00F62719">
        <w:rPr>
          <w:u w:val="single"/>
        </w:rPr>
        <w:t>Child, early, and forced marriage violates international human rights law</w:t>
      </w:r>
    </w:p>
    <w:p w14:paraId="037D5BC6" w14:textId="7EFE8A44" w:rsidR="00DF744A" w:rsidRPr="00F62719" w:rsidRDefault="00DF744A" w:rsidP="005D6F13">
      <w:pPr>
        <w:jc w:val="both"/>
        <w:rPr>
          <w:b/>
        </w:rPr>
      </w:pPr>
    </w:p>
    <w:p w14:paraId="74F608AB" w14:textId="647231E7" w:rsidR="00DF744A" w:rsidRPr="00F62719" w:rsidRDefault="00DF744A" w:rsidP="005D6F13">
      <w:pPr>
        <w:jc w:val="both"/>
      </w:pPr>
      <w:r w:rsidRPr="00F62719">
        <w:lastRenderedPageBreak/>
        <w:t xml:space="preserve">Children </w:t>
      </w:r>
      <w:proofErr w:type="gramStart"/>
      <w:r w:rsidRPr="00F62719">
        <w:t>are recognized</w:t>
      </w:r>
      <w:proofErr w:type="gramEnd"/>
      <w:r w:rsidRPr="00F62719">
        <w:t xml:space="preserve"> under international human rights law as requiring special care and enjoying the right to special measures of protection.</w:t>
      </w:r>
      <w:bookmarkStart w:id="6" w:name="_Ref508272866"/>
      <w:r w:rsidRPr="00F62719">
        <w:rPr>
          <w:rStyle w:val="EndnoteReference"/>
        </w:rPr>
        <w:endnoteReference w:id="26"/>
      </w:r>
      <w:bookmarkEnd w:id="6"/>
      <w:r w:rsidRPr="00F62719">
        <w:t xml:space="preserve"> This protection is enshrined in the Convention on the Rights of the Child (CRC)</w:t>
      </w:r>
      <w:r w:rsidR="00C90559" w:rsidRPr="00F62719">
        <w:t xml:space="preserve">, the </w:t>
      </w:r>
      <w:proofErr w:type="gramStart"/>
      <w:r w:rsidR="000A6EA7" w:rsidRPr="00F62719">
        <w:t xml:space="preserve">Convention </w:t>
      </w:r>
      <w:r w:rsidR="00E80C35" w:rsidRPr="00F62719">
        <w:t xml:space="preserve"> </w:t>
      </w:r>
      <w:r w:rsidR="00C90559" w:rsidRPr="00F62719">
        <w:t>on</w:t>
      </w:r>
      <w:proofErr w:type="gramEnd"/>
      <w:r w:rsidR="00C90559" w:rsidRPr="00F62719">
        <w:t xml:space="preserve"> the Elimination of All Forms of Discrimination Against Women (CEDAW),</w:t>
      </w:r>
      <w:r w:rsidRPr="00F62719">
        <w:t xml:space="preserve"> as well as in the International Covenant on Civil and Political Rights (ICCPR) and the Covenant on Economic, Social, and Cultural Rights (CESCR).</w:t>
      </w:r>
      <w:bookmarkStart w:id="7" w:name="_Ref508182330"/>
      <w:r w:rsidRPr="00F62719">
        <w:rPr>
          <w:rStyle w:val="EndnoteReference"/>
        </w:rPr>
        <w:endnoteReference w:id="27"/>
      </w:r>
      <w:bookmarkEnd w:id="7"/>
      <w:r w:rsidRPr="00F62719">
        <w:t xml:space="preserve"> The Human Rights Committee has established that the obligation to protect children requires states parties to “eradicate both through legislation and any other appropriate measures, all cultural or religious practices which jeopardize the freedom and well-being of female children.”</w:t>
      </w:r>
      <w:r w:rsidRPr="00F62719">
        <w:rPr>
          <w:rStyle w:val="EndnoteReference"/>
        </w:rPr>
        <w:endnoteReference w:id="28"/>
      </w:r>
    </w:p>
    <w:p w14:paraId="5BA35DE3" w14:textId="6502DB41" w:rsidR="00C90559" w:rsidRPr="00F62719" w:rsidRDefault="00C90559" w:rsidP="005D6F13">
      <w:pPr>
        <w:jc w:val="both"/>
      </w:pPr>
    </w:p>
    <w:p w14:paraId="1FBABE82" w14:textId="45DB6AA0" w:rsidR="00C90559" w:rsidRPr="00F62719" w:rsidRDefault="00DF744A" w:rsidP="005D6F13">
      <w:pPr>
        <w:jc w:val="both"/>
        <w:rPr>
          <w:color w:val="000000" w:themeColor="text1"/>
        </w:rPr>
      </w:pPr>
      <w:r w:rsidRPr="00F62719">
        <w:rPr>
          <w:color w:val="000000" w:themeColor="text1"/>
        </w:rPr>
        <w:t>The CRC Committee has repeatedly expressed concern that the persistence of child, early, and forced marriage undermines girls’ status and dignity</w:t>
      </w:r>
      <w:r w:rsidRPr="00F62719">
        <w:rPr>
          <w:rStyle w:val="EndnoteReference"/>
          <w:color w:val="000000" w:themeColor="text1"/>
        </w:rPr>
        <w:endnoteReference w:id="29"/>
      </w:r>
      <w:r w:rsidR="003D676C">
        <w:rPr>
          <w:color w:val="000000" w:themeColor="text1"/>
        </w:rPr>
        <w:t>;</w:t>
      </w:r>
      <w:r w:rsidRPr="00F62719">
        <w:rPr>
          <w:color w:val="000000" w:themeColor="text1"/>
        </w:rPr>
        <w:t xml:space="preserve"> negatively impacts girls’ health, development, and full enjoyment of their rights; and exposes girls to early pregnancy.</w:t>
      </w:r>
      <w:r w:rsidRPr="00F62719">
        <w:rPr>
          <w:rStyle w:val="EndnoteReference"/>
          <w:color w:val="000000" w:themeColor="text1"/>
        </w:rPr>
        <w:endnoteReference w:id="30"/>
      </w:r>
      <w:r w:rsidRPr="00F62719">
        <w:rPr>
          <w:color w:val="000000" w:themeColor="text1"/>
        </w:rPr>
        <w:t xml:space="preserve"> The CRC Committee’s General Comment 4 recognizes that “early marriage and pregnancy are significant factors in health problems related to sexual and reproductive health, including HIV/AIDS.”</w:t>
      </w:r>
      <w:r w:rsidRPr="00F62719">
        <w:rPr>
          <w:rStyle w:val="EndnoteReference"/>
          <w:color w:val="000000" w:themeColor="text1"/>
        </w:rPr>
        <w:endnoteReference w:id="31"/>
      </w:r>
      <w:r w:rsidRPr="00F62719">
        <w:rPr>
          <w:color w:val="000000" w:themeColor="text1"/>
        </w:rPr>
        <w:t xml:space="preserve"> </w:t>
      </w:r>
      <w:r w:rsidR="00C90559" w:rsidRPr="00F62719">
        <w:rPr>
          <w:color w:val="000000" w:themeColor="text1"/>
        </w:rPr>
        <w:t xml:space="preserve">The CEDAW Committee has also expressed concern over child marriage, noting that it negatively </w:t>
      </w:r>
      <w:proofErr w:type="gramStart"/>
      <w:r w:rsidR="00C90559" w:rsidRPr="00F62719">
        <w:rPr>
          <w:color w:val="000000" w:themeColor="text1"/>
        </w:rPr>
        <w:t>impacts</w:t>
      </w:r>
      <w:proofErr w:type="gramEnd"/>
      <w:r w:rsidR="00C90559" w:rsidRPr="00F62719">
        <w:rPr>
          <w:color w:val="000000" w:themeColor="text1"/>
        </w:rPr>
        <w:t xml:space="preserve"> girls’ equal right to education.</w:t>
      </w:r>
      <w:r w:rsidR="00C90559" w:rsidRPr="00F62719">
        <w:rPr>
          <w:rStyle w:val="EndnoteReference"/>
          <w:color w:val="000000" w:themeColor="text1"/>
        </w:rPr>
        <w:endnoteReference w:id="32"/>
      </w:r>
      <w:r w:rsidR="00C90559" w:rsidRPr="00F62719">
        <w:rPr>
          <w:color w:val="000000" w:themeColor="text1"/>
        </w:rPr>
        <w:t xml:space="preserve"> In a joint General Comment, the CRC </w:t>
      </w:r>
      <w:r w:rsidR="003D676C">
        <w:rPr>
          <w:color w:val="000000" w:themeColor="text1"/>
        </w:rPr>
        <w:t>and</w:t>
      </w:r>
      <w:r w:rsidR="003D676C" w:rsidRPr="00F62719">
        <w:rPr>
          <w:color w:val="000000" w:themeColor="text1"/>
        </w:rPr>
        <w:t xml:space="preserve"> </w:t>
      </w:r>
      <w:r w:rsidR="00C90559" w:rsidRPr="00F62719">
        <w:rPr>
          <w:color w:val="000000" w:themeColor="text1"/>
        </w:rPr>
        <w:t>CEDAW Committees linked child, early, and forced marriage to higher than average maternal morbidity and mortality rates, lack of decision-making power, higher rates of school dropout, increased risk of domestic violence, in addition to limiting the enjoyment of the right to freedom of movement.</w:t>
      </w:r>
      <w:r w:rsidR="00C90559" w:rsidRPr="00F62719">
        <w:rPr>
          <w:rStyle w:val="EndnoteReference"/>
          <w:color w:val="000000" w:themeColor="text1"/>
        </w:rPr>
        <w:endnoteReference w:id="33"/>
      </w:r>
    </w:p>
    <w:p w14:paraId="4A602338" w14:textId="77777777" w:rsidR="00C90559" w:rsidRPr="00F62719" w:rsidRDefault="00C90559" w:rsidP="005D6F13">
      <w:pPr>
        <w:jc w:val="both"/>
        <w:rPr>
          <w:color w:val="000000" w:themeColor="text1"/>
        </w:rPr>
      </w:pPr>
    </w:p>
    <w:p w14:paraId="2F4FD058" w14:textId="4B440B68" w:rsidR="00DF744A" w:rsidRPr="00F62719" w:rsidRDefault="00DF744A" w:rsidP="005D6F13">
      <w:pPr>
        <w:jc w:val="both"/>
      </w:pPr>
      <w:r w:rsidRPr="00F62719">
        <w:t xml:space="preserve">Child, early, and forced marriage </w:t>
      </w:r>
      <w:proofErr w:type="gramStart"/>
      <w:r w:rsidRPr="00F62719">
        <w:t>is also recognized</w:t>
      </w:r>
      <w:proofErr w:type="gramEnd"/>
      <w:r w:rsidRPr="00F62719">
        <w:t xml:space="preserve"> as a form of gender-based violence.</w:t>
      </w:r>
      <w:bookmarkStart w:id="8" w:name="_Ref508182355"/>
      <w:r w:rsidRPr="00F62719">
        <w:rPr>
          <w:rStyle w:val="EndnoteReference"/>
        </w:rPr>
        <w:endnoteReference w:id="34"/>
      </w:r>
      <w:bookmarkEnd w:id="8"/>
      <w:r w:rsidRPr="00F62719">
        <w:t xml:space="preserve"> </w:t>
      </w:r>
      <w:r w:rsidR="003D676C">
        <w:t>The CRC obligates states parties to</w:t>
      </w:r>
      <w:r w:rsidRPr="00F62719">
        <w:t xml:space="preserve"> “take all appropriate legislative, administrative, social and educational measures to protect the child from all forms of physical or mental violence, injury or abuse, neglect or negligent treatment, maltreatment or exploitation, including sexual abuse.”</w:t>
      </w:r>
      <w:r w:rsidRPr="00F62719">
        <w:rPr>
          <w:rStyle w:val="EndnoteReference"/>
        </w:rPr>
        <w:endnoteReference w:id="35"/>
      </w:r>
      <w:r w:rsidRPr="00F62719">
        <w:t xml:space="preserve"> Officials at all levels of government are responsible for preventing violence against children.</w:t>
      </w:r>
      <w:r w:rsidRPr="00F62719">
        <w:rPr>
          <w:rStyle w:val="EndnoteReference"/>
        </w:rPr>
        <w:endnoteReference w:id="36"/>
      </w:r>
      <w:r w:rsidRPr="00F62719">
        <w:t xml:space="preserve"> In General Comment No. 22, the CESCR Committee explicates that states must enact and enforce the legal prohibition all forms of gender-based violence, including child, early, and forced marriage.</w:t>
      </w:r>
      <w:bookmarkStart w:id="9" w:name="_Ref508274312"/>
      <w:r w:rsidRPr="00F62719">
        <w:rPr>
          <w:rStyle w:val="EndnoteReference"/>
        </w:rPr>
        <w:endnoteReference w:id="37"/>
      </w:r>
      <w:bookmarkEnd w:id="9"/>
      <w:r w:rsidRPr="00F62719">
        <w:t xml:space="preserve"> </w:t>
      </w:r>
      <w:r w:rsidR="00F52E61" w:rsidRPr="00F62719">
        <w:rPr>
          <w:color w:val="000000" w:themeColor="text1"/>
        </w:rPr>
        <w:t xml:space="preserve">The Special Rapporteur on Violence against Women </w:t>
      </w:r>
      <w:r w:rsidR="00F52E61">
        <w:rPr>
          <w:color w:val="000000" w:themeColor="text1"/>
        </w:rPr>
        <w:t xml:space="preserve">in her report on her visit to India </w:t>
      </w:r>
      <w:proofErr w:type="gramStart"/>
      <w:r w:rsidR="00F52E61" w:rsidRPr="00F62719">
        <w:rPr>
          <w:color w:val="000000" w:themeColor="text1"/>
        </w:rPr>
        <w:t>noted that</w:t>
      </w:r>
      <w:proofErr w:type="gramEnd"/>
      <w:r w:rsidR="00F52E61" w:rsidRPr="00F62719">
        <w:rPr>
          <w:color w:val="000000" w:themeColor="text1"/>
        </w:rPr>
        <w:t xml:space="preserve"> “the high prevalence of [child, early, and forced] marriages continues to endanger the lives of girls, whether in respect of domestic violence, marital rape or early pregnancies. It also deprives them of numerous human rights, including the right to education and the enjoyment of their childhood.”</w:t>
      </w:r>
      <w:r w:rsidR="00F52E61" w:rsidRPr="00F62719">
        <w:rPr>
          <w:rStyle w:val="EndnoteReference"/>
          <w:color w:val="000000" w:themeColor="text1"/>
        </w:rPr>
        <w:endnoteReference w:id="38"/>
      </w:r>
    </w:p>
    <w:p w14:paraId="2D110159" w14:textId="006D6C22" w:rsidR="00DF744A" w:rsidRPr="00F62719" w:rsidRDefault="00DF744A" w:rsidP="005D6F13">
      <w:pPr>
        <w:jc w:val="both"/>
      </w:pPr>
    </w:p>
    <w:p w14:paraId="6C0D3210" w14:textId="77D16528" w:rsidR="00DF744A" w:rsidRPr="00F62719" w:rsidRDefault="00DF744A" w:rsidP="005D6F13">
      <w:pPr>
        <w:jc w:val="both"/>
      </w:pPr>
      <w:r w:rsidRPr="00F62719">
        <w:t xml:space="preserve">Moreover, child, early, and forced marriage violates women and </w:t>
      </w:r>
      <w:proofErr w:type="gramStart"/>
      <w:r w:rsidRPr="00F62719">
        <w:t>girl’s</w:t>
      </w:r>
      <w:proofErr w:type="gramEnd"/>
      <w:r w:rsidRPr="00F62719">
        <w:t xml:space="preserve"> right to equality and non-discrimination, which is guaranteed under international human rights treaties.</w:t>
      </w:r>
      <w:r w:rsidRPr="00F62719">
        <w:rPr>
          <w:rStyle w:val="EndnoteReference"/>
        </w:rPr>
        <w:endnoteReference w:id="39"/>
      </w:r>
      <w:r w:rsidRPr="00F62719">
        <w:t xml:space="preserve"> States parties must ensure both formal and substantive equality, meaning that women and girls </w:t>
      </w:r>
      <w:proofErr w:type="gramStart"/>
      <w:r w:rsidRPr="00F62719">
        <w:t>must be treated</w:t>
      </w:r>
      <w:proofErr w:type="gramEnd"/>
      <w:r w:rsidRPr="00F62719">
        <w:t xml:space="preserve"> equally under the law as well as enjoy equality of results and opportunities; upholding this right requires states parties to ensure women’s distinct biological capacity to reproduce does not lead to violations of their rights.</w:t>
      </w:r>
      <w:r w:rsidRPr="00F62719">
        <w:rPr>
          <w:rStyle w:val="EndnoteReference"/>
        </w:rPr>
        <w:endnoteReference w:id="40"/>
      </w:r>
      <w:r w:rsidRPr="00F62719">
        <w:t xml:space="preserve"> Under international law, child, early, and forced marriage </w:t>
      </w:r>
      <w:proofErr w:type="gramStart"/>
      <w:r w:rsidRPr="00F62719">
        <w:t>is recognized</w:t>
      </w:r>
      <w:proofErr w:type="gramEnd"/>
      <w:r w:rsidRPr="00F62719">
        <w:t xml:space="preserve"> as a violation of women’s rights to non-discrimination and equal enjoyment of their human rights.</w:t>
      </w:r>
      <w:r w:rsidRPr="00F62719">
        <w:rPr>
          <w:rStyle w:val="EndnoteReference"/>
        </w:rPr>
        <w:endnoteReference w:id="41"/>
      </w:r>
      <w:r w:rsidRPr="00F62719">
        <w:t xml:space="preserve"> Treaty monitoring bodies have emphasized that child marriage results from discriminatory social attitudes, and causes suffering and marginalization of women.</w:t>
      </w:r>
      <w:r w:rsidRPr="00F62719">
        <w:rPr>
          <w:rStyle w:val="EndnoteReference"/>
        </w:rPr>
        <w:endnoteReference w:id="42"/>
      </w:r>
      <w:r w:rsidRPr="00F62719">
        <w:t xml:space="preserve"> The treaty monitoring bodies have repeatedly expressed concern where child marriage persists despite legal prohibitions,</w:t>
      </w:r>
      <w:r w:rsidRPr="00F62719">
        <w:rPr>
          <w:rStyle w:val="EndnoteReference"/>
        </w:rPr>
        <w:endnoteReference w:id="43"/>
      </w:r>
      <w:r w:rsidRPr="00F62719">
        <w:t xml:space="preserve"> and affirmed that states parties must ensure there is not impunity where child marriage occurs.</w:t>
      </w:r>
      <w:r w:rsidRPr="00F62719">
        <w:rPr>
          <w:rStyle w:val="EndnoteReference"/>
        </w:rPr>
        <w:endnoteReference w:id="44"/>
      </w:r>
      <w:r w:rsidRPr="00F62719">
        <w:t xml:space="preserve"> </w:t>
      </w:r>
    </w:p>
    <w:p w14:paraId="62EDB2EA" w14:textId="5090F2D1" w:rsidR="00DF744A" w:rsidRPr="00F62719" w:rsidRDefault="00DF744A" w:rsidP="005D6F13">
      <w:pPr>
        <w:jc w:val="both"/>
      </w:pPr>
    </w:p>
    <w:p w14:paraId="76E4908E" w14:textId="7E1CD477" w:rsidR="00DF744A" w:rsidRPr="00F62719" w:rsidRDefault="00DF744A" w:rsidP="005D6F13">
      <w:pPr>
        <w:jc w:val="both"/>
      </w:pPr>
      <w:proofErr w:type="gramStart"/>
      <w:r w:rsidRPr="00F62719">
        <w:lastRenderedPageBreak/>
        <w:t xml:space="preserve">Additionally, </w:t>
      </w:r>
      <w:r w:rsidR="005454AE">
        <w:t>human rights experts</w:t>
      </w:r>
      <w:r w:rsidRPr="00F62719">
        <w:t xml:space="preserve"> have recognized that child marriage may constitute torture and other forms of cruel, inhuman, or degrading treatment (TCIDT),</w:t>
      </w:r>
      <w:r w:rsidRPr="00F62719">
        <w:rPr>
          <w:rStyle w:val="EndnoteReference"/>
        </w:rPr>
        <w:endnoteReference w:id="45"/>
      </w:r>
      <w:r w:rsidRPr="00F62719">
        <w:t xml:space="preserve"> particularly where governments fail to “set a minimum age of marriage that complies with international standards,”</w:t>
      </w:r>
      <w:r w:rsidRPr="00F62719">
        <w:rPr>
          <w:rStyle w:val="EndnoteReference"/>
        </w:rPr>
        <w:endnoteReference w:id="46"/>
      </w:r>
      <w:r w:rsidRPr="00F62719">
        <w:t xml:space="preserve"> do not eradicate forms of marriage that permit sexual exploitation of children,</w:t>
      </w:r>
      <w:r w:rsidRPr="00F62719">
        <w:rPr>
          <w:rStyle w:val="EndnoteReference"/>
        </w:rPr>
        <w:endnoteReference w:id="47"/>
      </w:r>
      <w:r w:rsidRPr="00F62719">
        <w:t xml:space="preserve"> or allow child marriage to occur despite laws setting the minimum age of marriage at 18.</w:t>
      </w:r>
      <w:r w:rsidRPr="00F62719">
        <w:rPr>
          <w:rStyle w:val="EndnoteReference"/>
        </w:rPr>
        <w:endnoteReference w:id="48"/>
      </w:r>
      <w:proofErr w:type="gramEnd"/>
      <w:r w:rsidRPr="00F62719">
        <w:t xml:space="preserve"> The failure of governments to introduce and enforce laws prohibiting child marriage and to eliminate discriminatory patriarchal norms about girls’ value perpetuates girls’ powerlessness to challenge the practice of child marriage.</w:t>
      </w:r>
    </w:p>
    <w:p w14:paraId="6823839C" w14:textId="3F988761" w:rsidR="00DF744A" w:rsidRDefault="00DF744A" w:rsidP="005D6F13">
      <w:pPr>
        <w:jc w:val="both"/>
      </w:pPr>
    </w:p>
    <w:p w14:paraId="598E57BF" w14:textId="44C92D7A" w:rsidR="00BE0C09" w:rsidRDefault="00BE0C09" w:rsidP="005D6F13">
      <w:pPr>
        <w:jc w:val="both"/>
      </w:pPr>
    </w:p>
    <w:p w14:paraId="74E27B28" w14:textId="77777777" w:rsidR="00BE0C09" w:rsidRDefault="00BE0C09" w:rsidP="005D6F13">
      <w:pPr>
        <w:jc w:val="both"/>
      </w:pPr>
    </w:p>
    <w:p w14:paraId="11AB9729" w14:textId="77777777" w:rsidR="005D6F13" w:rsidRPr="00F62719" w:rsidRDefault="005D6F13" w:rsidP="005D6F13">
      <w:pPr>
        <w:jc w:val="both"/>
      </w:pPr>
    </w:p>
    <w:p w14:paraId="273356F7" w14:textId="3677A528" w:rsidR="00DF744A" w:rsidRPr="00F62719" w:rsidRDefault="00DF744A" w:rsidP="005D6F13">
      <w:pPr>
        <w:pStyle w:val="ListParagraph"/>
        <w:numPr>
          <w:ilvl w:val="1"/>
          <w:numId w:val="1"/>
        </w:numPr>
        <w:jc w:val="both"/>
        <w:rPr>
          <w:b/>
          <w:u w:val="single"/>
        </w:rPr>
      </w:pPr>
      <w:r w:rsidRPr="00F62719">
        <w:rPr>
          <w:u w:val="single"/>
        </w:rPr>
        <w:t>Women and girls’ rights are not suspended in humanitarian settings</w:t>
      </w:r>
    </w:p>
    <w:p w14:paraId="6F1F3649" w14:textId="05197995" w:rsidR="00DF744A" w:rsidRPr="00F62719" w:rsidRDefault="00DF744A" w:rsidP="005D6F13">
      <w:pPr>
        <w:jc w:val="both"/>
      </w:pPr>
    </w:p>
    <w:p w14:paraId="382CA1C1" w14:textId="330FD264" w:rsidR="00DF744A" w:rsidRPr="00F62719" w:rsidRDefault="00DF744A" w:rsidP="005D6F13">
      <w:pPr>
        <w:jc w:val="both"/>
      </w:pPr>
      <w:r w:rsidRPr="00F62719">
        <w:t>International human rights bodies</w:t>
      </w:r>
      <w:r w:rsidR="00966207" w:rsidRPr="00F62719">
        <w:t>, including the CEDAW, CRC, and Human Rights Committee</w:t>
      </w:r>
      <w:r w:rsidR="00F52E61">
        <w:t>s</w:t>
      </w:r>
      <w:r w:rsidR="00966207" w:rsidRPr="00F62719">
        <w:t>,</w:t>
      </w:r>
      <w:r w:rsidRPr="00F62719">
        <w:t xml:space="preserve"> have affirmed that fundamental human rights obligations, including economic, social, and cultural rights, continue to apply even in humanitarian settings. Although international human </w:t>
      </w:r>
      <w:r w:rsidR="003D676C">
        <w:t>rights law</w:t>
      </w:r>
      <w:r w:rsidRPr="00F62719">
        <w:t xml:space="preserve"> permits states to derogate from certain civil and political rights in some </w:t>
      </w:r>
      <w:r w:rsidR="00F52E61">
        <w:t>circumstances</w:t>
      </w:r>
      <w:r w:rsidRPr="00F62719">
        <w:t xml:space="preserve"> and to limit certain obligations with respect to economic, social, and cultural rights depending on resource availability,</w:t>
      </w:r>
      <w:bookmarkStart w:id="10" w:name="_Ref508275360"/>
      <w:r w:rsidRPr="00F62719">
        <w:rPr>
          <w:rStyle w:val="EndnoteReference"/>
        </w:rPr>
        <w:endnoteReference w:id="49"/>
      </w:r>
      <w:bookmarkEnd w:id="10"/>
      <w:r w:rsidRPr="00F62719">
        <w:t xml:space="preserve"> human rights treaty bodies have emphasized that such derogations are subject to strict conditions and that certain minimum core obligations are non-</w:t>
      </w:r>
      <w:proofErr w:type="spellStart"/>
      <w:r w:rsidRPr="00F62719">
        <w:t>derogable</w:t>
      </w:r>
      <w:proofErr w:type="spellEnd"/>
      <w:r w:rsidRPr="00F62719">
        <w:t>.</w:t>
      </w:r>
      <w:r w:rsidRPr="00F62719">
        <w:rPr>
          <w:rStyle w:val="EndnoteReference"/>
        </w:rPr>
        <w:endnoteReference w:id="50"/>
      </w:r>
      <w:r w:rsidRPr="00F62719">
        <w:t xml:space="preserve"> Even where derogations </w:t>
      </w:r>
      <w:proofErr w:type="gramStart"/>
      <w:r w:rsidRPr="00F62719">
        <w:t>are permitted</w:t>
      </w:r>
      <w:proofErr w:type="gramEnd"/>
      <w:r w:rsidRPr="00F62719">
        <w:t>, the measures taken cannot involve discrimination based solely on prohibited grounds, including sex.</w:t>
      </w:r>
      <w:r w:rsidRPr="00F62719">
        <w:rPr>
          <w:rStyle w:val="EndnoteReference"/>
        </w:rPr>
        <w:endnoteReference w:id="51"/>
      </w:r>
      <w:r w:rsidRPr="00F62719">
        <w:t xml:space="preserve">   </w:t>
      </w:r>
    </w:p>
    <w:p w14:paraId="720ED18B" w14:textId="68060BEA" w:rsidR="00DF744A" w:rsidRPr="00F62719" w:rsidRDefault="00DF744A" w:rsidP="005D6F13">
      <w:pPr>
        <w:pStyle w:val="NoSpacing"/>
        <w:jc w:val="both"/>
        <w:rPr>
          <w:rFonts w:ascii="Times New Roman" w:hAnsi="Times New Roman"/>
          <w:sz w:val="24"/>
          <w:szCs w:val="24"/>
        </w:rPr>
      </w:pPr>
    </w:p>
    <w:p w14:paraId="6DB3CE85" w14:textId="2EA9E671" w:rsidR="00DF744A" w:rsidRPr="00F62719" w:rsidRDefault="00DF744A" w:rsidP="005D6F13">
      <w:pPr>
        <w:pStyle w:val="NoSpacing"/>
        <w:jc w:val="both"/>
        <w:rPr>
          <w:rFonts w:ascii="Times New Roman" w:hAnsi="Times New Roman"/>
          <w:sz w:val="24"/>
          <w:szCs w:val="24"/>
        </w:rPr>
      </w:pPr>
      <w:r w:rsidRPr="00F62719">
        <w:rPr>
          <w:rFonts w:ascii="Times New Roman" w:hAnsi="Times New Roman"/>
          <w:sz w:val="24"/>
          <w:szCs w:val="24"/>
        </w:rPr>
        <w:t xml:space="preserve">With the prevalence of sexual violence in humanitarian settings, human rights bodies increasingly have provided recommendations regarding gender-based violence experienced by women and girls, explaining that the right to be free from gender-based violence still applies in humanitarian settings. In its general recommendation </w:t>
      </w:r>
      <w:r w:rsidR="00447A53">
        <w:rPr>
          <w:rFonts w:ascii="Times New Roman" w:hAnsi="Times New Roman"/>
          <w:sz w:val="24"/>
          <w:szCs w:val="24"/>
        </w:rPr>
        <w:t xml:space="preserve">30 on women </w:t>
      </w:r>
      <w:r w:rsidR="00447A53" w:rsidRPr="00447A53">
        <w:rPr>
          <w:rFonts w:ascii="Times New Roman" w:hAnsi="Times New Roman"/>
          <w:sz w:val="24"/>
          <w:szCs w:val="24"/>
        </w:rPr>
        <w:t>in conflict prevention, conflict and post-conflict situations</w:t>
      </w:r>
      <w:r w:rsidRPr="00F62719">
        <w:rPr>
          <w:rFonts w:ascii="Times New Roman" w:hAnsi="Times New Roman"/>
          <w:sz w:val="24"/>
          <w:szCs w:val="24"/>
        </w:rPr>
        <w:t>, the CEDAW Committee urges states to prevent, investigate, and punish all forms of gender-based violence and to ensure survivors’ access to justice, comprehensive medical treatment, and psychosocial support.</w:t>
      </w:r>
      <w:bookmarkStart w:id="11" w:name="_Ref508275090"/>
      <w:r w:rsidRPr="00F62719">
        <w:rPr>
          <w:rStyle w:val="EndnoteReference"/>
          <w:rFonts w:ascii="Times New Roman" w:hAnsi="Times New Roman"/>
          <w:sz w:val="24"/>
          <w:szCs w:val="24"/>
        </w:rPr>
        <w:endnoteReference w:id="52"/>
      </w:r>
      <w:bookmarkEnd w:id="11"/>
      <w:r w:rsidRPr="00F62719">
        <w:rPr>
          <w:rFonts w:ascii="Times New Roman" w:hAnsi="Times New Roman"/>
          <w:sz w:val="24"/>
          <w:szCs w:val="24"/>
        </w:rPr>
        <w:t xml:space="preserve"> The Committee also specifically calls on states to safeguard refugees and </w:t>
      </w:r>
      <w:r w:rsidR="007F3E69">
        <w:rPr>
          <w:rFonts w:ascii="Times New Roman" w:hAnsi="Times New Roman"/>
          <w:sz w:val="24"/>
          <w:szCs w:val="24"/>
        </w:rPr>
        <w:t>i</w:t>
      </w:r>
      <w:r w:rsidR="00D5215E" w:rsidRPr="00F62719">
        <w:rPr>
          <w:rFonts w:ascii="Times New Roman" w:hAnsi="Times New Roman"/>
          <w:sz w:val="24"/>
          <w:szCs w:val="24"/>
        </w:rPr>
        <w:t xml:space="preserve">nternally </w:t>
      </w:r>
      <w:r w:rsidR="007F3E69">
        <w:rPr>
          <w:rFonts w:ascii="Times New Roman" w:hAnsi="Times New Roman"/>
          <w:sz w:val="24"/>
          <w:szCs w:val="24"/>
        </w:rPr>
        <w:t>d</w:t>
      </w:r>
      <w:r w:rsidR="00D5215E" w:rsidRPr="00F62719">
        <w:rPr>
          <w:rFonts w:ascii="Times New Roman" w:hAnsi="Times New Roman"/>
          <w:sz w:val="24"/>
          <w:szCs w:val="24"/>
        </w:rPr>
        <w:t>isplaced</w:t>
      </w:r>
      <w:r w:rsidR="007F3E69">
        <w:rPr>
          <w:rFonts w:ascii="Times New Roman" w:hAnsi="Times New Roman"/>
          <w:sz w:val="24"/>
          <w:szCs w:val="24"/>
        </w:rPr>
        <w:t xml:space="preserve"> persons</w:t>
      </w:r>
      <w:r w:rsidR="00D5215E" w:rsidRPr="00F62719">
        <w:rPr>
          <w:rFonts w:ascii="Times New Roman" w:hAnsi="Times New Roman"/>
          <w:sz w:val="24"/>
          <w:szCs w:val="24"/>
        </w:rPr>
        <w:t xml:space="preserve"> (IDPs)</w:t>
      </w:r>
      <w:r w:rsidRPr="00F62719">
        <w:rPr>
          <w:rFonts w:ascii="Times New Roman" w:hAnsi="Times New Roman"/>
          <w:sz w:val="24"/>
          <w:szCs w:val="24"/>
        </w:rPr>
        <w:t xml:space="preserve"> from child, early, and forced marriage and to provide them with immediate access to medical services and to create accountability mechanisms for gender-based violence in all displacement settings.</w:t>
      </w:r>
      <w:r w:rsidRPr="00F62719">
        <w:rPr>
          <w:rStyle w:val="EndnoteReference"/>
          <w:rFonts w:ascii="Times New Roman" w:hAnsi="Times New Roman"/>
          <w:sz w:val="24"/>
          <w:szCs w:val="24"/>
        </w:rPr>
        <w:endnoteReference w:id="53"/>
      </w:r>
      <w:r w:rsidRPr="00F62719">
        <w:rPr>
          <w:rFonts w:ascii="Times New Roman" w:hAnsi="Times New Roman"/>
          <w:sz w:val="24"/>
          <w:szCs w:val="24"/>
        </w:rPr>
        <w:t xml:space="preserve"> </w:t>
      </w:r>
    </w:p>
    <w:p w14:paraId="251DA4DD" w14:textId="7D4A6B87" w:rsidR="00DF744A" w:rsidRPr="00F62719" w:rsidRDefault="00DF744A" w:rsidP="005D6F13">
      <w:pPr>
        <w:pStyle w:val="NoSpacing"/>
        <w:jc w:val="both"/>
        <w:rPr>
          <w:rFonts w:ascii="Times New Roman" w:hAnsi="Times New Roman"/>
          <w:sz w:val="24"/>
          <w:szCs w:val="24"/>
        </w:rPr>
      </w:pPr>
    </w:p>
    <w:p w14:paraId="2B0C118E" w14:textId="56F66B2B" w:rsidR="00DF744A" w:rsidRPr="00F62719" w:rsidRDefault="00DF744A" w:rsidP="005D6F13">
      <w:pPr>
        <w:jc w:val="both"/>
      </w:pPr>
      <w:r w:rsidRPr="00F62719">
        <w:t>Moreover, within the context of humanitarian settings, human rights bodies hold that the right to equality and non-discrimination applies.</w:t>
      </w:r>
      <w:r w:rsidRPr="00F62719">
        <w:rPr>
          <w:rStyle w:val="EndnoteAnchor"/>
        </w:rPr>
        <w:endnoteReference w:id="54"/>
      </w:r>
      <w:r w:rsidRPr="00F62719">
        <w:t xml:space="preserve"> In its General Recommendation No. 28, the CEDAW Committee affirmed that, even during disasters and public emergencies, women’s rights are not suspended, and states must continue to respect, protect, and fulfill women’s right to equality, which includes their reproductive rights.</w:t>
      </w:r>
      <w:bookmarkStart w:id="12" w:name="_Ref507496815"/>
      <w:bookmarkStart w:id="13" w:name="_Ref508274104"/>
      <w:bookmarkEnd w:id="12"/>
      <w:r w:rsidRPr="00F62719">
        <w:rPr>
          <w:rStyle w:val="EndnoteAnchor"/>
        </w:rPr>
        <w:endnoteReference w:id="55"/>
      </w:r>
      <w:bookmarkEnd w:id="13"/>
      <w:r w:rsidRPr="00F62719">
        <w:t xml:space="preserve"> The CEDAW Committee has found that “[p]</w:t>
      </w:r>
      <w:proofErr w:type="spellStart"/>
      <w:r w:rsidRPr="00F62719">
        <w:t>rotecting</w:t>
      </w:r>
      <w:proofErr w:type="spellEnd"/>
      <w:r w:rsidRPr="00F62719">
        <w:t xml:space="preserve"> women’s human rights at all times, advancing substantive gender equality before, during, and after conflict, and ensuring that women’s diverse experiences are fully integrated into all . . . reconstruction processes are important objectives of the Convention.”</w:t>
      </w:r>
      <w:r w:rsidRPr="00F62719">
        <w:rPr>
          <w:rStyle w:val="EndnoteAnchor"/>
        </w:rPr>
        <w:endnoteReference w:id="56"/>
      </w:r>
      <w:r w:rsidRPr="00F62719">
        <w:t xml:space="preserve"> The CEDAW Committee has noted that, instead of suspending rights protections, </w:t>
      </w:r>
      <w:r w:rsidRPr="00F62719">
        <w:lastRenderedPageBreak/>
        <w:t>states should “adopt strategies and take measures addressed to the particular needs of women in . . . states of emergency.”</w:t>
      </w:r>
      <w:r w:rsidRPr="00F62719">
        <w:rPr>
          <w:rStyle w:val="EndnoteReference"/>
        </w:rPr>
        <w:endnoteReference w:id="57"/>
      </w:r>
      <w:r w:rsidRPr="00F62719">
        <w:t xml:space="preserve"> Because child, early, and forced marriage is a form of discrimination based on sex, states must take steps to eradicate the practice. </w:t>
      </w:r>
    </w:p>
    <w:p w14:paraId="467A2B5C" w14:textId="2A911241" w:rsidR="00187C47" w:rsidRPr="00F62719" w:rsidRDefault="00187C47" w:rsidP="005D6F13">
      <w:pPr>
        <w:jc w:val="both"/>
      </w:pPr>
    </w:p>
    <w:p w14:paraId="0F15F4D0" w14:textId="07C6362E" w:rsidR="00966207" w:rsidRPr="00F62719" w:rsidRDefault="00966207" w:rsidP="005D6F13">
      <w:pPr>
        <w:jc w:val="both"/>
      </w:pPr>
      <w:r w:rsidRPr="00F62719">
        <w:t xml:space="preserve">The CRC Committee has </w:t>
      </w:r>
      <w:r w:rsidR="00F52E61">
        <w:t>also</w:t>
      </w:r>
      <w:r w:rsidR="00F52E61" w:rsidRPr="00F62719">
        <w:t xml:space="preserve"> </w:t>
      </w:r>
      <w:r w:rsidRPr="00F62719">
        <w:t>found that states’ obligations apply in humanitarian settings. For instance, the CRC Committee found that states should prioritize the progressive realization of children’s right to health, “even in the context of political or economic crisis or emergency situations.”</w:t>
      </w:r>
      <w:r w:rsidRPr="00F62719">
        <w:rPr>
          <w:rStyle w:val="EndnoteReference"/>
        </w:rPr>
        <w:endnoteReference w:id="58"/>
      </w:r>
      <w:r w:rsidRPr="00F62719">
        <w:t xml:space="preserve"> This requires that “children’s health and related policies, </w:t>
      </w:r>
      <w:proofErr w:type="spellStart"/>
      <w:r w:rsidRPr="00F62719">
        <w:t>programmes</w:t>
      </w:r>
      <w:proofErr w:type="spellEnd"/>
      <w:r w:rsidRPr="00F62719">
        <w:t xml:space="preserve"> and services be planned, designed, financed and implemented in a sustainable manner.”</w:t>
      </w:r>
      <w:r w:rsidRPr="00F62719">
        <w:rPr>
          <w:rStyle w:val="EndnoteReference"/>
        </w:rPr>
        <w:endnoteReference w:id="59"/>
      </w:r>
      <w:r w:rsidRPr="00F62719">
        <w:t xml:space="preserve"> </w:t>
      </w:r>
      <w:r w:rsidR="001B0E61" w:rsidRPr="00F62719">
        <w:t>Moreover, the CRC Committee has expressed concern that humanitarian programs have failed to address the specific needs and rights of adolescents and has noted that “emergency preparedness programs should address adolescents, recognizing both their vulnerably and right to protection, and their potential role in supporting communities and helping mitigate risk.”</w:t>
      </w:r>
      <w:r w:rsidR="001B0E61" w:rsidRPr="00F62719">
        <w:rPr>
          <w:rStyle w:val="EndnoteReference"/>
        </w:rPr>
        <w:endnoteReference w:id="60"/>
      </w:r>
    </w:p>
    <w:p w14:paraId="1A762055" w14:textId="333EE64D" w:rsidR="00187C47" w:rsidRPr="00F62719" w:rsidRDefault="00187C47" w:rsidP="005D6F13">
      <w:pPr>
        <w:jc w:val="both"/>
      </w:pPr>
    </w:p>
    <w:p w14:paraId="6C135B6B" w14:textId="125DC257" w:rsidR="00DF744A" w:rsidRPr="00F62719" w:rsidRDefault="00DF744A" w:rsidP="005D6F13">
      <w:pPr>
        <w:jc w:val="both"/>
        <w:rPr>
          <w:rFonts w:eastAsiaTheme="minorHAnsi"/>
          <w:lang w:val="en-GB"/>
        </w:rPr>
      </w:pPr>
      <w:r w:rsidRPr="00F62719">
        <w:t xml:space="preserve">Additionally, although the ICCPR allows states to derogate from some </w:t>
      </w:r>
      <w:r w:rsidR="007F3E69">
        <w:t>obligations</w:t>
      </w:r>
      <w:r w:rsidRPr="00F62719">
        <w:t xml:space="preserve"> during public emergencies</w:t>
      </w:r>
      <w:r w:rsidR="007F3E69">
        <w:t xml:space="preserve"> in certain limited circumstances</w:t>
      </w:r>
      <w:r w:rsidRPr="00F62719">
        <w:t>, the ICCPR also states that the rights to life and to be free from torture or ill-treatment—both of which underlie states’ obligations to ensure reproductive rights and address violence against women—are non-</w:t>
      </w:r>
      <w:proofErr w:type="spellStart"/>
      <w:r w:rsidRPr="00F62719">
        <w:t>derogable</w:t>
      </w:r>
      <w:proofErr w:type="spellEnd"/>
      <w:r w:rsidRPr="00F62719">
        <w:t xml:space="preserve">, </w:t>
      </w:r>
      <w:r w:rsidR="009153AB" w:rsidRPr="00F62719">
        <w:t xml:space="preserve">even </w:t>
      </w:r>
      <w:r w:rsidRPr="00F62719">
        <w:t>in humanitarian settings.</w:t>
      </w:r>
      <w:r w:rsidRPr="00F62719">
        <w:rPr>
          <w:rStyle w:val="EndnoteReference"/>
        </w:rPr>
        <w:endnoteReference w:id="61"/>
      </w:r>
      <w:r w:rsidRPr="00F62719">
        <w:t xml:space="preserve"> This includes the right to be free from TCIDT, which </w:t>
      </w:r>
      <w:proofErr w:type="gramStart"/>
      <w:r w:rsidRPr="00F62719">
        <w:t>cannot be diminished</w:t>
      </w:r>
      <w:proofErr w:type="gramEnd"/>
      <w:r w:rsidRPr="00F62719">
        <w:t xml:space="preserve"> under any circumstance.</w:t>
      </w:r>
      <w:r w:rsidRPr="00F62719">
        <w:rPr>
          <w:rStyle w:val="EndnoteReference"/>
        </w:rPr>
        <w:endnoteReference w:id="62"/>
      </w:r>
      <w:r w:rsidRPr="00F62719">
        <w:t xml:space="preserve"> </w:t>
      </w:r>
      <w:r w:rsidR="00F52E61">
        <w:t>B</w:t>
      </w:r>
      <w:r w:rsidRPr="00F62719">
        <w:t xml:space="preserve">ecause child, early, and forced marriage </w:t>
      </w:r>
      <w:proofErr w:type="gramStart"/>
      <w:r w:rsidR="00F52E61">
        <w:t>has been</w:t>
      </w:r>
      <w:r w:rsidR="00F52E61" w:rsidRPr="00F62719">
        <w:t xml:space="preserve"> </w:t>
      </w:r>
      <w:r w:rsidRPr="00F62719">
        <w:t>recognized</w:t>
      </w:r>
      <w:proofErr w:type="gramEnd"/>
      <w:r w:rsidRPr="00F62719">
        <w:t xml:space="preserve"> as a form of TCIDT</w:t>
      </w:r>
      <w:r w:rsidR="00F52E61">
        <w:t xml:space="preserve"> in certain circumstances</w:t>
      </w:r>
      <w:r w:rsidRPr="00F62719">
        <w:t xml:space="preserve">, states have additional obligations to prevent </w:t>
      </w:r>
      <w:r w:rsidR="00F52E61">
        <w:t xml:space="preserve">and address </w:t>
      </w:r>
      <w:r w:rsidRPr="00F62719">
        <w:t xml:space="preserve">early, child, and forced marriage.  </w:t>
      </w:r>
    </w:p>
    <w:p w14:paraId="657104F9" w14:textId="3BD89F45" w:rsidR="00DF744A" w:rsidRPr="00F62719" w:rsidRDefault="00DF744A" w:rsidP="005D6F13">
      <w:pPr>
        <w:pStyle w:val="NoSpacing"/>
        <w:jc w:val="both"/>
        <w:rPr>
          <w:rFonts w:ascii="Times New Roman" w:hAnsi="Times New Roman"/>
          <w:sz w:val="24"/>
          <w:szCs w:val="24"/>
        </w:rPr>
      </w:pPr>
    </w:p>
    <w:p w14:paraId="77F993C9" w14:textId="7AF2814D" w:rsidR="00DF744A" w:rsidRPr="00F573D1" w:rsidRDefault="00F573D1" w:rsidP="00F573D1">
      <w:pPr>
        <w:pStyle w:val="ListParagraph"/>
        <w:numPr>
          <w:ilvl w:val="0"/>
          <w:numId w:val="1"/>
        </w:numPr>
        <w:jc w:val="both"/>
        <w:rPr>
          <w:b/>
        </w:rPr>
      </w:pPr>
      <w:r>
        <w:rPr>
          <w:b/>
        </w:rPr>
        <w:t>K</w:t>
      </w:r>
      <w:r w:rsidR="00447A53" w:rsidRPr="00F573D1">
        <w:rPr>
          <w:b/>
        </w:rPr>
        <w:t>ey principles for addressing root causes of child, early and forced marriage in humanitarian settings</w:t>
      </w:r>
    </w:p>
    <w:p w14:paraId="240A2643" w14:textId="77777777" w:rsidR="00447A53" w:rsidRPr="00F62719" w:rsidDel="00447A53" w:rsidRDefault="00447A53" w:rsidP="00F573D1">
      <w:pPr>
        <w:pStyle w:val="ListParagraph"/>
        <w:jc w:val="both"/>
        <w:rPr>
          <w:b/>
        </w:rPr>
      </w:pPr>
    </w:p>
    <w:p w14:paraId="3CA77CDB" w14:textId="77777777" w:rsidR="00DF744A" w:rsidRPr="00F62719" w:rsidRDefault="00DF744A" w:rsidP="005D6F13">
      <w:pPr>
        <w:pStyle w:val="NoSpacing"/>
        <w:jc w:val="both"/>
        <w:rPr>
          <w:rFonts w:ascii="Times New Roman" w:hAnsi="Times New Roman"/>
          <w:sz w:val="24"/>
          <w:szCs w:val="24"/>
        </w:rPr>
      </w:pPr>
    </w:p>
    <w:p w14:paraId="006DBAB3" w14:textId="157B12FA" w:rsidR="00DF744A" w:rsidRPr="00F62719" w:rsidRDefault="00DF744A" w:rsidP="005D6F13">
      <w:pPr>
        <w:pStyle w:val="NoSpacing"/>
        <w:jc w:val="both"/>
        <w:rPr>
          <w:rFonts w:ascii="Times New Roman" w:hAnsi="Times New Roman"/>
          <w:sz w:val="24"/>
          <w:szCs w:val="24"/>
        </w:rPr>
      </w:pPr>
      <w:r w:rsidRPr="00F62719">
        <w:rPr>
          <w:rFonts w:ascii="Times New Roman" w:hAnsi="Times New Roman"/>
          <w:sz w:val="24"/>
          <w:szCs w:val="24"/>
        </w:rPr>
        <w:t xml:space="preserve">In humanitarian settings, women </w:t>
      </w:r>
      <w:r w:rsidR="00081E95">
        <w:rPr>
          <w:rFonts w:ascii="Times New Roman" w:hAnsi="Times New Roman"/>
          <w:sz w:val="24"/>
          <w:szCs w:val="24"/>
        </w:rPr>
        <w:t xml:space="preserve">and girls </w:t>
      </w:r>
      <w:r w:rsidRPr="00F62719">
        <w:rPr>
          <w:rFonts w:ascii="Times New Roman" w:hAnsi="Times New Roman"/>
          <w:sz w:val="24"/>
          <w:szCs w:val="24"/>
        </w:rPr>
        <w:t xml:space="preserve">are at elevated risk of gender-based violence, including child, early, and forced marriage. In these settings, where state institutions </w:t>
      </w:r>
      <w:proofErr w:type="gramStart"/>
      <w:r w:rsidRPr="00F62719">
        <w:rPr>
          <w:rFonts w:ascii="Times New Roman" w:hAnsi="Times New Roman"/>
          <w:sz w:val="24"/>
          <w:szCs w:val="24"/>
        </w:rPr>
        <w:t>are weakened</w:t>
      </w:r>
      <w:proofErr w:type="gramEnd"/>
      <w:r w:rsidRPr="00F62719">
        <w:rPr>
          <w:rFonts w:ascii="Times New Roman" w:hAnsi="Times New Roman"/>
          <w:sz w:val="24"/>
          <w:szCs w:val="24"/>
        </w:rPr>
        <w:t>, overwhelmed, or not functioning, humanitarian organizations play an important role in ensuring the provision of basic services and goods.</w:t>
      </w:r>
      <w:r w:rsidRPr="00F62719">
        <w:rPr>
          <w:rStyle w:val="EndnoteAnchor"/>
          <w:rFonts w:ascii="Times New Roman" w:hAnsi="Times New Roman"/>
          <w:sz w:val="24"/>
          <w:szCs w:val="24"/>
        </w:rPr>
        <w:endnoteReference w:id="63"/>
      </w:r>
      <w:r w:rsidRPr="00F62719">
        <w:rPr>
          <w:rFonts w:ascii="Times New Roman" w:hAnsi="Times New Roman"/>
          <w:sz w:val="24"/>
          <w:szCs w:val="24"/>
        </w:rPr>
        <w:t xml:space="preserve"> </w:t>
      </w:r>
      <w:r w:rsidR="00CB3EAE" w:rsidRPr="00F62719">
        <w:rPr>
          <w:rFonts w:ascii="Times New Roman" w:hAnsi="Times New Roman"/>
          <w:sz w:val="24"/>
          <w:szCs w:val="24"/>
        </w:rPr>
        <w:t>Access to these goods and services can play an important role in preventing early, child, and forced marriage</w:t>
      </w:r>
      <w:r w:rsidR="00404DBD" w:rsidRPr="00F62719">
        <w:rPr>
          <w:rFonts w:ascii="Times New Roman" w:hAnsi="Times New Roman"/>
          <w:sz w:val="24"/>
          <w:szCs w:val="24"/>
        </w:rPr>
        <w:t xml:space="preserve"> and providing remed</w:t>
      </w:r>
      <w:r w:rsidR="00081E95">
        <w:rPr>
          <w:rFonts w:ascii="Times New Roman" w:hAnsi="Times New Roman"/>
          <w:sz w:val="24"/>
          <w:szCs w:val="24"/>
        </w:rPr>
        <w:t>ies for</w:t>
      </w:r>
      <w:r w:rsidR="00404DBD" w:rsidRPr="00F62719">
        <w:rPr>
          <w:rFonts w:ascii="Times New Roman" w:hAnsi="Times New Roman"/>
          <w:sz w:val="24"/>
          <w:szCs w:val="24"/>
        </w:rPr>
        <w:t xml:space="preserve"> girls who are already married</w:t>
      </w:r>
      <w:r w:rsidR="00081E95">
        <w:rPr>
          <w:rFonts w:ascii="Times New Roman" w:hAnsi="Times New Roman"/>
          <w:sz w:val="24"/>
          <w:szCs w:val="24"/>
        </w:rPr>
        <w:t>.</w:t>
      </w:r>
      <w:r w:rsidR="00CB3EAE" w:rsidRPr="00F62719">
        <w:rPr>
          <w:rStyle w:val="EndnoteReference"/>
          <w:rFonts w:ascii="Times New Roman" w:hAnsi="Times New Roman"/>
          <w:sz w:val="24"/>
          <w:szCs w:val="24"/>
        </w:rPr>
        <w:endnoteReference w:id="64"/>
      </w:r>
      <w:r w:rsidR="00CB3EAE" w:rsidRPr="00F62719">
        <w:rPr>
          <w:rFonts w:ascii="Times New Roman" w:hAnsi="Times New Roman"/>
          <w:sz w:val="24"/>
          <w:szCs w:val="24"/>
        </w:rPr>
        <w:t xml:space="preserve"> </w:t>
      </w:r>
      <w:r w:rsidRPr="00F62719">
        <w:rPr>
          <w:rFonts w:ascii="Times New Roman" w:hAnsi="Times New Roman"/>
          <w:sz w:val="24"/>
          <w:szCs w:val="24"/>
        </w:rPr>
        <w:t>In addition to the legal obligations detailed above, human rights principles are critical to ensuring that humanitarian funding, programs, and policies are driven by, benefiting, and accountable to the individuals most directly affected by them</w:t>
      </w:r>
      <w:r w:rsidR="00CB3EAE" w:rsidRPr="00F62719">
        <w:rPr>
          <w:rFonts w:ascii="Times New Roman" w:hAnsi="Times New Roman"/>
          <w:sz w:val="24"/>
          <w:szCs w:val="24"/>
        </w:rPr>
        <w:t>, including women and girls experiencing child, early, and forced marriage</w:t>
      </w:r>
      <w:r w:rsidRPr="00F62719">
        <w:rPr>
          <w:rFonts w:ascii="Times New Roman" w:hAnsi="Times New Roman"/>
          <w:sz w:val="24"/>
          <w:szCs w:val="24"/>
        </w:rPr>
        <w:t>.</w:t>
      </w:r>
      <w:r w:rsidR="00CB3EAE" w:rsidRPr="00F62719">
        <w:rPr>
          <w:rStyle w:val="EndnoteReference"/>
          <w:rFonts w:ascii="Times New Roman" w:hAnsi="Times New Roman"/>
          <w:sz w:val="24"/>
          <w:szCs w:val="24"/>
        </w:rPr>
        <w:endnoteReference w:id="65"/>
      </w:r>
      <w:r w:rsidRPr="00F62719">
        <w:rPr>
          <w:rFonts w:ascii="Times New Roman" w:hAnsi="Times New Roman"/>
          <w:sz w:val="24"/>
          <w:szCs w:val="24"/>
        </w:rPr>
        <w:t xml:space="preserve"> Principles of equality and non-discrimination, participation, transparency, and accountability are foundational to international human rights law and are necessary to guide and inform all aspects of humanitarian service provision to ensure that it reflects and meets the needs of the individuals and communities most directly affected.</w:t>
      </w:r>
      <w:bookmarkStart w:id="14" w:name="_Ref507679120"/>
      <w:r w:rsidRPr="00F62719">
        <w:rPr>
          <w:rStyle w:val="EndnoteAnchor"/>
          <w:rFonts w:ascii="Times New Roman" w:hAnsi="Times New Roman"/>
          <w:sz w:val="24"/>
          <w:szCs w:val="24"/>
        </w:rPr>
        <w:endnoteReference w:id="66"/>
      </w:r>
      <w:bookmarkEnd w:id="14"/>
    </w:p>
    <w:p w14:paraId="0CA0100A" w14:textId="77777777" w:rsidR="00DF744A" w:rsidRPr="00F62719" w:rsidRDefault="00DF744A" w:rsidP="005D6F13">
      <w:pPr>
        <w:pStyle w:val="NoSpacing"/>
        <w:jc w:val="both"/>
        <w:rPr>
          <w:rFonts w:ascii="Times New Roman" w:hAnsi="Times New Roman"/>
          <w:sz w:val="24"/>
          <w:szCs w:val="24"/>
        </w:rPr>
      </w:pPr>
    </w:p>
    <w:p w14:paraId="30F8F7E4" w14:textId="1CF6E9EE" w:rsidR="00DF744A" w:rsidRPr="00F62719" w:rsidRDefault="00DF744A" w:rsidP="005D6F13">
      <w:pPr>
        <w:pStyle w:val="ListParagraph"/>
        <w:numPr>
          <w:ilvl w:val="1"/>
          <w:numId w:val="1"/>
        </w:numPr>
        <w:jc w:val="both"/>
        <w:rPr>
          <w:u w:val="single"/>
        </w:rPr>
      </w:pPr>
      <w:r w:rsidRPr="00F62719">
        <w:rPr>
          <w:u w:val="single"/>
        </w:rPr>
        <w:t xml:space="preserve">Equality and non-discrimination </w:t>
      </w:r>
    </w:p>
    <w:p w14:paraId="03B0CEC4" w14:textId="77777777" w:rsidR="00DF744A" w:rsidRPr="00F62719" w:rsidRDefault="00DF744A" w:rsidP="005D6F13">
      <w:pPr>
        <w:jc w:val="both"/>
      </w:pPr>
    </w:p>
    <w:p w14:paraId="11C95505" w14:textId="0F9E3AB3" w:rsidR="00DF744A" w:rsidRPr="00F62719" w:rsidRDefault="00480774" w:rsidP="005D6F13">
      <w:pPr>
        <w:jc w:val="both"/>
      </w:pPr>
      <w:r w:rsidRPr="00F62719">
        <w:lastRenderedPageBreak/>
        <w:t>Even in humanitarian settings, w</w:t>
      </w:r>
      <w:r w:rsidR="000658D2" w:rsidRPr="00F62719">
        <w:t>omen’s rights are not suspended, and states must continue to respect, protect, and fu</w:t>
      </w:r>
      <w:r w:rsidRPr="00F62719">
        <w:t>lfill women’s right to equality</w:t>
      </w:r>
      <w:r w:rsidR="000658D2" w:rsidRPr="00F62719">
        <w:t>.</w:t>
      </w:r>
      <w:r w:rsidR="000658D2" w:rsidRPr="00F62719">
        <w:rPr>
          <w:rStyle w:val="EndnoteReference"/>
        </w:rPr>
        <w:endnoteReference w:id="67"/>
      </w:r>
      <w:r w:rsidRPr="00F62719">
        <w:t xml:space="preserve"> P</w:t>
      </w:r>
      <w:r w:rsidR="00DF744A" w:rsidRPr="00F62719">
        <w:t xml:space="preserve">rinciples of non-discrimination and equality are central to ensuring that humanitarian programs and policies recognize and address the root causes of </w:t>
      </w:r>
      <w:r w:rsidRPr="00F62719">
        <w:t>child, early and forced marriage in humanitarian settings</w:t>
      </w:r>
      <w:r w:rsidR="00DF744A" w:rsidRPr="00F62719">
        <w:t xml:space="preserve"> to better prevent and eradicate these</w:t>
      </w:r>
      <w:r w:rsidRPr="00F62719">
        <w:t xml:space="preserve"> harmful</w:t>
      </w:r>
      <w:r w:rsidR="00DF744A" w:rsidRPr="00F62719">
        <w:t xml:space="preserve"> practices.</w:t>
      </w:r>
      <w:r w:rsidR="00DF744A" w:rsidRPr="00F62719">
        <w:rPr>
          <w:rStyle w:val="EndnoteAnchor"/>
        </w:rPr>
        <w:endnoteReference w:id="68"/>
      </w:r>
      <w:r w:rsidR="00DF744A" w:rsidRPr="00F62719">
        <w:t xml:space="preserve"> Aid efforts guided by the principles of non-discrimination and equality, moreover, prioritize the needs of marginalized or vulnerable groups or individuals.</w:t>
      </w:r>
      <w:r w:rsidR="00DF744A" w:rsidRPr="00F62719">
        <w:rPr>
          <w:rStyle w:val="EndnoteAnchor"/>
        </w:rPr>
        <w:endnoteReference w:id="69"/>
      </w:r>
      <w:r w:rsidR="00DF744A" w:rsidRPr="00F62719">
        <w:t xml:space="preserve"> To ensure that programs are accessible to the most vulnerable requires agencies and donors to monitor and collect data disaggregated on a number of different grounds, including, but not limited to, gender, age, ethnicity, religion, and geographic location.</w:t>
      </w:r>
      <w:r w:rsidR="00DF744A" w:rsidRPr="00F62719">
        <w:rPr>
          <w:rStyle w:val="EndnoteAnchor"/>
        </w:rPr>
        <w:endnoteReference w:id="70"/>
      </w:r>
      <w:r w:rsidR="00DF744A" w:rsidRPr="00F62719">
        <w:t xml:space="preserve"> </w:t>
      </w:r>
    </w:p>
    <w:p w14:paraId="39937DEC" w14:textId="6A529EFF" w:rsidR="000658D2" w:rsidRPr="00F62719" w:rsidRDefault="000658D2" w:rsidP="005D6F13">
      <w:pPr>
        <w:jc w:val="both"/>
      </w:pPr>
    </w:p>
    <w:p w14:paraId="434FEA7C" w14:textId="6A7D9FAB" w:rsidR="00DF744A" w:rsidRPr="00F62719" w:rsidRDefault="00DF744A" w:rsidP="005D6F13">
      <w:pPr>
        <w:pStyle w:val="ListParagraph"/>
        <w:numPr>
          <w:ilvl w:val="1"/>
          <w:numId w:val="1"/>
        </w:numPr>
        <w:jc w:val="both"/>
        <w:rPr>
          <w:u w:val="single"/>
        </w:rPr>
      </w:pPr>
      <w:r w:rsidRPr="00F62719">
        <w:rPr>
          <w:u w:val="single"/>
        </w:rPr>
        <w:t>Meaningful participation of women and girls</w:t>
      </w:r>
    </w:p>
    <w:p w14:paraId="73CF5364" w14:textId="77777777" w:rsidR="00DF744A" w:rsidRPr="00F62719" w:rsidRDefault="00DF744A" w:rsidP="005D6F13">
      <w:pPr>
        <w:jc w:val="both"/>
      </w:pPr>
    </w:p>
    <w:p w14:paraId="73BF1478" w14:textId="443E9714" w:rsidR="00DF744A" w:rsidRPr="00F62719" w:rsidRDefault="00DF744A" w:rsidP="005D6F13">
      <w:pPr>
        <w:jc w:val="both"/>
      </w:pPr>
      <w:r w:rsidRPr="00F62719">
        <w:t xml:space="preserve">Meaningful participation of women and girls in humanitarian settings, </w:t>
      </w:r>
      <w:r w:rsidR="00480774" w:rsidRPr="00F62719">
        <w:t>particularly those experiencing or vulnerable to child, early, and forced marriage,</w:t>
      </w:r>
      <w:r w:rsidRPr="00F62719">
        <w:t xml:space="preserve"> is a key priority in all stages of humanitarian response, from the development to the implementation, monitoring, and evaluation of service policies and programs.</w:t>
      </w:r>
      <w:r w:rsidR="00480774" w:rsidRPr="00F62719">
        <w:rPr>
          <w:rStyle w:val="EndnoteReference"/>
        </w:rPr>
        <w:endnoteReference w:id="71"/>
      </w:r>
      <w:r w:rsidRPr="00F62719">
        <w:t xml:space="preserve"> A human-rights based approach recognizes the agency of affected individuals to participate in, shape, and make decisions regarding programs and policies that </w:t>
      </w:r>
      <w:proofErr w:type="gramStart"/>
      <w:r w:rsidRPr="00F62719">
        <w:t>are intended</w:t>
      </w:r>
      <w:proofErr w:type="gramEnd"/>
      <w:r w:rsidRPr="00F62719">
        <w:t xml:space="preserve"> to be for their benefit.</w:t>
      </w:r>
      <w:r w:rsidRPr="00F62719">
        <w:rPr>
          <w:rStyle w:val="EndnoteAnchor"/>
        </w:rPr>
        <w:endnoteReference w:id="72"/>
      </w:r>
      <w:r w:rsidRPr="00F62719">
        <w:t xml:space="preserve"> </w:t>
      </w:r>
    </w:p>
    <w:p w14:paraId="4D11BC1B" w14:textId="3C6A2B21" w:rsidR="00DF744A" w:rsidRPr="00F62719" w:rsidRDefault="00DF744A" w:rsidP="005D6F13">
      <w:pPr>
        <w:jc w:val="both"/>
      </w:pPr>
    </w:p>
    <w:p w14:paraId="7AC919B8" w14:textId="6D81A324" w:rsidR="00DF744A" w:rsidRPr="00F62719" w:rsidRDefault="00DF744A" w:rsidP="005D6F13">
      <w:pPr>
        <w:pStyle w:val="ListParagraph"/>
        <w:numPr>
          <w:ilvl w:val="1"/>
          <w:numId w:val="1"/>
        </w:numPr>
        <w:jc w:val="both"/>
        <w:rPr>
          <w:u w:val="single"/>
        </w:rPr>
      </w:pPr>
      <w:r w:rsidRPr="00F62719">
        <w:rPr>
          <w:u w:val="single"/>
        </w:rPr>
        <w:t>Effective accountability mechanisms</w:t>
      </w:r>
    </w:p>
    <w:p w14:paraId="50056A3A" w14:textId="77777777" w:rsidR="00DF744A" w:rsidRPr="00F62719" w:rsidRDefault="00DF744A" w:rsidP="005D6F13">
      <w:pPr>
        <w:jc w:val="both"/>
      </w:pPr>
    </w:p>
    <w:p w14:paraId="39E471D4" w14:textId="59C804F0" w:rsidR="00DF744A" w:rsidRPr="00F62719" w:rsidRDefault="00DF744A" w:rsidP="005D6F13">
      <w:pPr>
        <w:jc w:val="both"/>
      </w:pPr>
      <w:r w:rsidRPr="00F62719">
        <w:t xml:space="preserve">A human rights-based approach also prioritizes a broad and robust understanding of accountability to ensure that policymakers, decision-makers, and others who have an impact on affected individuals and communities </w:t>
      </w:r>
      <w:proofErr w:type="gramStart"/>
      <w:r w:rsidRPr="00F62719">
        <w:t>are held</w:t>
      </w:r>
      <w:proofErr w:type="gramEnd"/>
      <w:r w:rsidRPr="00F62719">
        <w:t xml:space="preserve"> responsible for their actions and decisions and that </w:t>
      </w:r>
      <w:r w:rsidR="004B34E1" w:rsidRPr="00F62719">
        <w:t xml:space="preserve">women and girls </w:t>
      </w:r>
      <w:r w:rsidRPr="00F62719">
        <w:t xml:space="preserve">whose rights have been violated </w:t>
      </w:r>
      <w:r w:rsidR="004B34E1" w:rsidRPr="00F62719">
        <w:t xml:space="preserve">through child, early, and forced marriage </w:t>
      </w:r>
      <w:r w:rsidRPr="00F62719">
        <w:t>have access to remedies. Effective accountability mechanisms require participation and transparency as well as the ability to confer meaningful and effective remedies to victims of violations on a basis of non-discrimination.</w:t>
      </w:r>
      <w:r w:rsidRPr="00F62719">
        <w:rPr>
          <w:rStyle w:val="EndnoteAnchor"/>
        </w:rPr>
        <w:endnoteReference w:id="73"/>
      </w:r>
      <w:r w:rsidRPr="00F62719">
        <w:t xml:space="preserve"> International human rights and political bodies have recognized that accountability requires prompt investigation into violations and punishment of perpetrators</w:t>
      </w:r>
      <w:r w:rsidR="004B34E1" w:rsidRPr="00F62719">
        <w:t>,</w:t>
      </w:r>
      <w:r w:rsidRPr="00F62719">
        <w:t xml:space="preserve"> as well as legal and policy shifts in order to prevent future violations.</w:t>
      </w:r>
      <w:r w:rsidRPr="00F62719">
        <w:rPr>
          <w:rStyle w:val="EndnoteAnchor"/>
        </w:rPr>
        <w:endnoteReference w:id="74"/>
      </w:r>
      <w:r w:rsidRPr="00F62719">
        <w:t xml:space="preserve"> Remedies, moreover, must aim to restore the rights of victims of </w:t>
      </w:r>
      <w:r w:rsidR="004B34E1" w:rsidRPr="00F62719">
        <w:t xml:space="preserve">child, early, and forced marriage </w:t>
      </w:r>
      <w:r w:rsidRPr="00F62719">
        <w:t>and must include adequate, effective, and prompt reparation, forms of which include restitution, compensation, rehabilitation (e.g. medical or psychological services), satisfaction, and guarantees of non-repetition.</w:t>
      </w:r>
      <w:r w:rsidRPr="00F62719">
        <w:rPr>
          <w:rStyle w:val="EndnoteAnchor"/>
        </w:rPr>
        <w:endnoteReference w:id="75"/>
      </w:r>
      <w:r w:rsidRPr="00F62719">
        <w:t xml:space="preserve"> </w:t>
      </w:r>
      <w:r w:rsidR="00404DBD" w:rsidRPr="00F62719">
        <w:t>Remedies for married girls should include access to sexual and reproductive health services, which can be especially difficult to obtain in humanitarian settings.</w:t>
      </w:r>
      <w:r w:rsidR="00404DBD" w:rsidRPr="00F62719">
        <w:rPr>
          <w:rStyle w:val="EndnoteReference"/>
        </w:rPr>
        <w:endnoteReference w:id="76"/>
      </w:r>
    </w:p>
    <w:p w14:paraId="02FA353F" w14:textId="77777777" w:rsidR="00DF744A" w:rsidRPr="00F62719" w:rsidRDefault="00DF744A" w:rsidP="005D6F13">
      <w:pPr>
        <w:jc w:val="both"/>
      </w:pPr>
    </w:p>
    <w:p w14:paraId="5B67E827" w14:textId="70635AEE" w:rsidR="00DF744A" w:rsidRPr="00F62719" w:rsidRDefault="00DF744A" w:rsidP="005D6F13">
      <w:pPr>
        <w:jc w:val="both"/>
      </w:pPr>
    </w:p>
    <w:p w14:paraId="3C41F9DC" w14:textId="0916E239" w:rsidR="00DF744A" w:rsidRPr="00F62719" w:rsidRDefault="00DF744A" w:rsidP="005D6F13">
      <w:pPr>
        <w:jc w:val="both"/>
      </w:pPr>
      <w:r w:rsidRPr="00F62719">
        <w:t>These fundamental principles must drive and guide all aspects of humanitarian funding, programs, and policies in humanitarian settings to ensure effectiveness, sustainability, and the fulfillment of the needs and rights of those most directly affected.</w:t>
      </w:r>
    </w:p>
    <w:p w14:paraId="4DF156C2" w14:textId="44576FCB" w:rsidR="00FC68D9" w:rsidRDefault="00FC68D9" w:rsidP="005D6F13">
      <w:pPr>
        <w:jc w:val="both"/>
      </w:pPr>
    </w:p>
    <w:p w14:paraId="69688C4B" w14:textId="7A9AED9E" w:rsidR="00F573D1" w:rsidRPr="00F573D1" w:rsidRDefault="00F573D1" w:rsidP="00F573D1">
      <w:pPr>
        <w:pStyle w:val="ListParagraph"/>
        <w:numPr>
          <w:ilvl w:val="0"/>
          <w:numId w:val="1"/>
        </w:numPr>
        <w:jc w:val="both"/>
        <w:rPr>
          <w:b/>
        </w:rPr>
      </w:pPr>
      <w:r w:rsidRPr="00F573D1">
        <w:rPr>
          <w:b/>
        </w:rPr>
        <w:t xml:space="preserve">Measures to </w:t>
      </w:r>
      <w:r w:rsidR="00F52E61">
        <w:rPr>
          <w:b/>
        </w:rPr>
        <w:t xml:space="preserve">prevent and </w:t>
      </w:r>
      <w:r w:rsidRPr="00F573D1">
        <w:rPr>
          <w:b/>
        </w:rPr>
        <w:t xml:space="preserve">fight impunity for child, early and forced marriage in humanitarian settings </w:t>
      </w:r>
    </w:p>
    <w:p w14:paraId="41B726A3" w14:textId="77777777" w:rsidR="00DF744A" w:rsidRPr="00F62719" w:rsidRDefault="00DF744A" w:rsidP="005D6F13">
      <w:pPr>
        <w:pStyle w:val="NoSpacing"/>
        <w:jc w:val="both"/>
        <w:rPr>
          <w:rFonts w:ascii="Times New Roman" w:hAnsi="Times New Roman"/>
          <w:sz w:val="24"/>
          <w:szCs w:val="24"/>
        </w:rPr>
      </w:pPr>
    </w:p>
    <w:p w14:paraId="10267EAB" w14:textId="059E5734" w:rsidR="00DF744A" w:rsidRPr="00F62719" w:rsidRDefault="00DF744A" w:rsidP="005D6F13">
      <w:pPr>
        <w:pStyle w:val="NoSpacing"/>
        <w:jc w:val="both"/>
        <w:rPr>
          <w:rFonts w:ascii="Times New Roman" w:hAnsi="Times New Roman"/>
          <w:sz w:val="24"/>
          <w:szCs w:val="24"/>
        </w:rPr>
      </w:pPr>
      <w:r w:rsidRPr="00F62719">
        <w:rPr>
          <w:rFonts w:ascii="Times New Roman" w:hAnsi="Times New Roman"/>
          <w:sz w:val="24"/>
          <w:szCs w:val="24"/>
        </w:rPr>
        <w:lastRenderedPageBreak/>
        <w:t xml:space="preserve">Finally, the following measures </w:t>
      </w:r>
      <w:proofErr w:type="gramStart"/>
      <w:r w:rsidRPr="00F62719">
        <w:rPr>
          <w:rFonts w:ascii="Times New Roman" w:hAnsi="Times New Roman"/>
          <w:sz w:val="24"/>
          <w:szCs w:val="24"/>
        </w:rPr>
        <w:t>should be recommended</w:t>
      </w:r>
      <w:proofErr w:type="gramEnd"/>
      <w:r w:rsidRPr="00F62719">
        <w:rPr>
          <w:rFonts w:ascii="Times New Roman" w:hAnsi="Times New Roman"/>
          <w:sz w:val="24"/>
          <w:szCs w:val="24"/>
        </w:rPr>
        <w:t xml:space="preserve"> to </w:t>
      </w:r>
      <w:r w:rsidR="00F52E61">
        <w:rPr>
          <w:rFonts w:ascii="Times New Roman" w:hAnsi="Times New Roman"/>
          <w:sz w:val="24"/>
          <w:szCs w:val="24"/>
        </w:rPr>
        <w:t xml:space="preserve">prevent and </w:t>
      </w:r>
      <w:r w:rsidRPr="00F62719">
        <w:rPr>
          <w:rFonts w:ascii="Times New Roman" w:hAnsi="Times New Roman"/>
          <w:sz w:val="24"/>
          <w:szCs w:val="24"/>
        </w:rPr>
        <w:t xml:space="preserve">fight against impunity for child, early, and forced marriage in humanitarian settings: </w:t>
      </w:r>
    </w:p>
    <w:p w14:paraId="2FD60D3C" w14:textId="77777777" w:rsidR="00DF744A" w:rsidRPr="00F62719" w:rsidRDefault="00DF744A" w:rsidP="005D6F13">
      <w:pPr>
        <w:jc w:val="both"/>
      </w:pPr>
    </w:p>
    <w:p w14:paraId="41C68998" w14:textId="460CF07C" w:rsidR="00DF744A" w:rsidRPr="00F62719" w:rsidRDefault="00DF744A" w:rsidP="005D6F13">
      <w:pPr>
        <w:pStyle w:val="ListParagraph"/>
        <w:numPr>
          <w:ilvl w:val="0"/>
          <w:numId w:val="2"/>
        </w:numPr>
        <w:jc w:val="both"/>
      </w:pPr>
      <w:r w:rsidRPr="00F62719">
        <w:t xml:space="preserve">Affirm </w:t>
      </w:r>
      <w:r w:rsidR="00B92FBB" w:rsidRPr="00F62719">
        <w:t xml:space="preserve">states’ </w:t>
      </w:r>
      <w:r w:rsidRPr="00F62719">
        <w:t>obligations</w:t>
      </w:r>
      <w:r w:rsidR="00B92FBB" w:rsidRPr="00F62719">
        <w:t xml:space="preserve"> with respect to the rights of women and girls</w:t>
      </w:r>
      <w:r w:rsidRPr="00F62719">
        <w:t xml:space="preserve">, including reproductive rights and the right to be free from violence, in humanitarian settings. </w:t>
      </w:r>
    </w:p>
    <w:p w14:paraId="78995B0A" w14:textId="46F9F0F8" w:rsidR="00DF744A" w:rsidRPr="00F62719" w:rsidRDefault="00DF744A" w:rsidP="005D6F13">
      <w:pPr>
        <w:pStyle w:val="ListParagraph"/>
        <w:numPr>
          <w:ilvl w:val="0"/>
          <w:numId w:val="2"/>
        </w:numPr>
        <w:jc w:val="both"/>
      </w:pPr>
      <w:proofErr w:type="gramStart"/>
      <w:r w:rsidRPr="00F62719">
        <w:t xml:space="preserve">Recommend that, as a means of reducing the risk to women and girls of violations of their rights in humanitarian settings, states adopt and implement laws, policies, and practices that ensure protection of and accountability for violations of the full range of women’s and girls’ sexual and reproductive </w:t>
      </w:r>
      <w:r w:rsidR="006B77E6">
        <w:t xml:space="preserve">health and </w:t>
      </w:r>
      <w:r w:rsidRPr="00F62719">
        <w:t>rights and women’s and girls’ rights to freedom from gender-based violence, including child, early, and forced marriage.</w:t>
      </w:r>
      <w:proofErr w:type="gramEnd"/>
      <w:r w:rsidRPr="00F62719">
        <w:t xml:space="preserve"> </w:t>
      </w:r>
    </w:p>
    <w:p w14:paraId="426B3058" w14:textId="77777777" w:rsidR="00404DBD" w:rsidRPr="00F62719" w:rsidRDefault="00DF744A" w:rsidP="005D6F13">
      <w:pPr>
        <w:pStyle w:val="ListParagraph"/>
        <w:numPr>
          <w:ilvl w:val="0"/>
          <w:numId w:val="2"/>
        </w:numPr>
        <w:jc w:val="both"/>
      </w:pPr>
      <w:r w:rsidRPr="00F62719">
        <w:t>Recommend that states, following a crisis, effectively enforce laws prohibiting child marriage and prioritize creating an environment that ensures the security and well-being of girls. This may include establishing girl-specific programs and shelters that integrate girls in the post-disaster relief efforts</w:t>
      </w:r>
      <w:r w:rsidR="006E080A" w:rsidRPr="00F62719">
        <w:t xml:space="preserve"> and provide alternatives to child marriage;</w:t>
      </w:r>
      <w:r w:rsidRPr="00F62719">
        <w:t xml:space="preserve"> </w:t>
      </w:r>
      <w:r w:rsidR="006E080A" w:rsidRPr="00F62719">
        <w:t xml:space="preserve">ensuring </w:t>
      </w:r>
      <w:r w:rsidRPr="00F62719">
        <w:t>gender-segregated facilities</w:t>
      </w:r>
      <w:r w:rsidR="006E080A" w:rsidRPr="00F62719">
        <w:t>;</w:t>
      </w:r>
      <w:r w:rsidRPr="00F62719">
        <w:t xml:space="preserve"> and provide </w:t>
      </w:r>
      <w:r w:rsidR="006E080A" w:rsidRPr="00F62719">
        <w:t xml:space="preserve">providing </w:t>
      </w:r>
      <w:r w:rsidRPr="00F62719">
        <w:t>education</w:t>
      </w:r>
      <w:r w:rsidR="006E080A" w:rsidRPr="00F62719">
        <w:t xml:space="preserve"> to girls and </w:t>
      </w:r>
      <w:proofErr w:type="gramStart"/>
      <w:r w:rsidR="006E080A" w:rsidRPr="00F62719">
        <w:t>families which</w:t>
      </w:r>
      <w:proofErr w:type="gramEnd"/>
      <w:r w:rsidR="006E080A" w:rsidRPr="00F62719">
        <w:t xml:space="preserve"> includes information on the risks of child marriage</w:t>
      </w:r>
      <w:r w:rsidRPr="00F62719">
        <w:t>.</w:t>
      </w:r>
    </w:p>
    <w:p w14:paraId="2E469222" w14:textId="68BABAC7" w:rsidR="00DF744A" w:rsidRPr="00F62719" w:rsidRDefault="00FD3549" w:rsidP="005D6F13">
      <w:pPr>
        <w:pStyle w:val="ListParagraph"/>
        <w:numPr>
          <w:ilvl w:val="0"/>
          <w:numId w:val="2"/>
        </w:numPr>
        <w:jc w:val="both"/>
      </w:pPr>
      <w:r w:rsidRPr="00F62719">
        <w:t xml:space="preserve">Recommend that states provide and ensure access to sexual and reproductive health services for all women and girls, especially ensuring that married girls are able to obtain these services.  </w:t>
      </w:r>
      <w:r w:rsidR="006E080A" w:rsidRPr="00F62719">
        <w:t xml:space="preserve"> </w:t>
      </w:r>
      <w:r w:rsidR="00DF744A" w:rsidRPr="00F62719">
        <w:t xml:space="preserve"> </w:t>
      </w:r>
    </w:p>
    <w:p w14:paraId="6460F3CC" w14:textId="66C84184" w:rsidR="00DF744A" w:rsidRDefault="00DF744A" w:rsidP="005D6F13">
      <w:pPr>
        <w:pStyle w:val="ListParagraph"/>
        <w:numPr>
          <w:ilvl w:val="0"/>
          <w:numId w:val="2"/>
        </w:numPr>
        <w:jc w:val="both"/>
      </w:pPr>
      <w:r w:rsidRPr="00F62719">
        <w:t>Invest in technical expertise and allocate resources to address the distinct needs of women and girls subject to violence.</w:t>
      </w:r>
      <w:r w:rsidRPr="00F62719">
        <w:rPr>
          <w:rStyle w:val="EndnoteAnchor"/>
        </w:rPr>
        <w:endnoteReference w:id="77"/>
      </w:r>
    </w:p>
    <w:p w14:paraId="2B865E7D" w14:textId="46D1F4D7" w:rsidR="00BE0C09" w:rsidRDefault="00BE0C09" w:rsidP="00BE0C09">
      <w:pPr>
        <w:jc w:val="both"/>
      </w:pPr>
    </w:p>
    <w:p w14:paraId="7FAABA96" w14:textId="7935CB67" w:rsidR="00BE0C09" w:rsidRPr="00F62719" w:rsidRDefault="00BE0C09" w:rsidP="00BE0C09">
      <w:pPr>
        <w:jc w:val="both"/>
      </w:pPr>
      <w:r>
        <w:t xml:space="preserve">We are grateful for this opportunity to input in this report. Should the mandate need any additional information, please do not hesitate to reach out to Rebecca Brown, Director for Global Advocacy </w:t>
      </w:r>
      <w:hyperlink r:id="rId11" w:history="1">
        <w:r>
          <w:rPr>
            <w:rStyle w:val="Hyperlink"/>
          </w:rPr>
          <w:t>rbrown@reprorights.org</w:t>
        </w:r>
      </w:hyperlink>
      <w:r>
        <w:rPr>
          <w:rFonts w:ascii="Helvetica" w:hAnsi="Helvetica"/>
          <w:color w:val="000000"/>
          <w:szCs w:val="20"/>
        </w:rPr>
        <w:t xml:space="preserve"> </w:t>
      </w:r>
    </w:p>
    <w:p w14:paraId="7675C3F4" w14:textId="77777777" w:rsidR="00EC49DE" w:rsidRPr="00F62719" w:rsidRDefault="00EC49DE" w:rsidP="005D6F13">
      <w:pPr>
        <w:jc w:val="both"/>
      </w:pPr>
    </w:p>
    <w:sectPr w:rsidR="00EC49DE" w:rsidRPr="00F62719">
      <w:footerReference w:type="default" r:id="rId12"/>
      <w:endnotePr>
        <w:numFmt w:val="decimal"/>
      </w:endnotePr>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B1C1E" w14:textId="77777777" w:rsidR="000D1CE7" w:rsidRDefault="000D1CE7">
      <w:r>
        <w:separator/>
      </w:r>
    </w:p>
  </w:endnote>
  <w:endnote w:type="continuationSeparator" w:id="0">
    <w:p w14:paraId="11C6FF64" w14:textId="77777777" w:rsidR="000D1CE7" w:rsidRDefault="000D1CE7">
      <w:r>
        <w:continuationSeparator/>
      </w:r>
    </w:p>
  </w:endnote>
  <w:endnote w:id="1">
    <w:p w14:paraId="3AB50BE8" w14:textId="019FB7F4" w:rsidR="00DF744A" w:rsidRPr="00F62719" w:rsidRDefault="00DF744A" w:rsidP="006D403C">
      <w:pPr>
        <w:pStyle w:val="EndnoteText"/>
        <w:rPr>
          <w:sz w:val="20"/>
          <w:szCs w:val="20"/>
        </w:rPr>
      </w:pPr>
      <w:r w:rsidRPr="00F62719">
        <w:rPr>
          <w:rStyle w:val="EndnoteReference"/>
          <w:sz w:val="20"/>
          <w:szCs w:val="20"/>
        </w:rPr>
        <w:endnoteRef/>
      </w:r>
      <w:r w:rsidRPr="00F62719">
        <w:rPr>
          <w:smallCaps/>
          <w:sz w:val="20"/>
          <w:szCs w:val="20"/>
        </w:rPr>
        <w:t xml:space="preserve"> United Nations Population Fund (UNFPA), Shelter from the Storm: A transformative agenda for women and girls in </w:t>
      </w:r>
      <w:proofErr w:type="gramStart"/>
      <w:r w:rsidRPr="00F62719">
        <w:rPr>
          <w:smallCaps/>
          <w:sz w:val="20"/>
          <w:szCs w:val="20"/>
        </w:rPr>
        <w:t>a</w:t>
      </w:r>
      <w:proofErr w:type="gramEnd"/>
      <w:r w:rsidRPr="00F62719">
        <w:rPr>
          <w:smallCaps/>
          <w:sz w:val="20"/>
          <w:szCs w:val="20"/>
        </w:rPr>
        <w:t xml:space="preserve"> crisis-prone world</w:t>
      </w:r>
      <w:r w:rsidRPr="00F62719">
        <w:rPr>
          <w:sz w:val="20"/>
          <w:szCs w:val="20"/>
        </w:rPr>
        <w:t xml:space="preserve"> 38–39 (2015) [hereinafter </w:t>
      </w:r>
      <w:r w:rsidRPr="00F62719">
        <w:rPr>
          <w:smallCaps/>
          <w:sz w:val="20"/>
          <w:szCs w:val="20"/>
        </w:rPr>
        <w:t>UNFPA, Shelter from the Storm</w:t>
      </w:r>
      <w:r w:rsidRPr="00F62719">
        <w:rPr>
          <w:sz w:val="20"/>
          <w:szCs w:val="20"/>
        </w:rPr>
        <w:t>].</w:t>
      </w:r>
    </w:p>
  </w:endnote>
  <w:endnote w:id="2">
    <w:p w14:paraId="70402F55" w14:textId="4DD4A5C7"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r w:rsidR="00F52E61">
        <w:rPr>
          <w:i/>
          <w:sz w:val="20"/>
          <w:szCs w:val="20"/>
        </w:rPr>
        <w:t>Id.</w:t>
      </w:r>
      <w:r w:rsidRPr="00F62719">
        <w:rPr>
          <w:sz w:val="20"/>
          <w:szCs w:val="20"/>
        </w:rPr>
        <w:t xml:space="preserve"> at 50.  </w:t>
      </w:r>
    </w:p>
  </w:endnote>
  <w:endnote w:id="3">
    <w:p w14:paraId="6964B21C" w14:textId="4E5DB280" w:rsidR="00DF744A" w:rsidRPr="00F573D1" w:rsidRDefault="00DF744A" w:rsidP="00BA40B7">
      <w:pPr>
        <w:pStyle w:val="CommentText"/>
      </w:pPr>
      <w:r w:rsidRPr="00F62719">
        <w:rPr>
          <w:rStyle w:val="EndnoteReference"/>
          <w:rFonts w:ascii="Times New Roman" w:hAnsi="Times New Roman"/>
        </w:rPr>
        <w:endnoteRef/>
      </w:r>
      <w:r w:rsidR="00BA40B7">
        <w:t xml:space="preserve"> </w:t>
      </w:r>
      <w:r w:rsidR="00BA40B7" w:rsidRPr="00F573D1">
        <w:rPr>
          <w:rFonts w:ascii="Times New Roman" w:hAnsi="Times New Roman"/>
        </w:rPr>
        <w:t>Press Release, United Nations Children’s Fund (UNICEF), Concern over</w:t>
      </w:r>
      <w:r w:rsidR="00F573D1" w:rsidRPr="00F573D1">
        <w:rPr>
          <w:rFonts w:ascii="Times New Roman" w:hAnsi="Times New Roman"/>
        </w:rPr>
        <w:t xml:space="preserve"> </w:t>
      </w:r>
      <w:r w:rsidR="00BA40B7" w:rsidRPr="00F573D1">
        <w:rPr>
          <w:rFonts w:ascii="Times New Roman" w:hAnsi="Times New Roman"/>
        </w:rPr>
        <w:t xml:space="preserve">child marriage among vulnerable girls in Jordan (July 16, 2014), </w:t>
      </w:r>
      <w:hyperlink r:id="rId1" w:history="1">
        <w:r w:rsidR="00BA40B7" w:rsidRPr="00F573D1">
          <w:rPr>
            <w:rFonts w:ascii="Times New Roman" w:hAnsi="Times New Roman"/>
          </w:rPr>
          <w:t>https://www.unicef.org/mena/press-releases/concern-over-child-marriage-in-jordan</w:t>
        </w:r>
      </w:hyperlink>
      <w:r w:rsidRPr="00F62719">
        <w:rPr>
          <w:rFonts w:ascii="Times New Roman" w:hAnsi="Times New Roman"/>
        </w:rPr>
        <w:t xml:space="preserve">. </w:t>
      </w:r>
    </w:p>
  </w:endnote>
  <w:endnote w:id="4">
    <w:p w14:paraId="5711BB1B" w14:textId="7ADD54A0"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r w:rsidRPr="00F62719">
        <w:rPr>
          <w:smallCaps/>
          <w:sz w:val="20"/>
          <w:szCs w:val="20"/>
        </w:rPr>
        <w:t>UNFPA, Shelter from the Storm</w:t>
      </w:r>
      <w:r w:rsidRPr="00F62719">
        <w:rPr>
          <w:sz w:val="20"/>
          <w:szCs w:val="20"/>
        </w:rPr>
        <w:t xml:space="preserve">, </w:t>
      </w:r>
      <w:r w:rsidRPr="00F62719">
        <w:rPr>
          <w:i/>
          <w:iCs/>
          <w:sz w:val="20"/>
          <w:szCs w:val="20"/>
        </w:rPr>
        <w:t xml:space="preserve">supra </w:t>
      </w:r>
      <w:r w:rsidRPr="00F62719">
        <w:rPr>
          <w:sz w:val="20"/>
          <w:szCs w:val="20"/>
        </w:rPr>
        <w:t xml:space="preserve">note 1, at 50; </w:t>
      </w:r>
      <w:r w:rsidRPr="00F62719">
        <w:rPr>
          <w:i/>
          <w:sz w:val="20"/>
          <w:szCs w:val="20"/>
        </w:rPr>
        <w:t>see also</w:t>
      </w:r>
      <w:r w:rsidRPr="00F62719">
        <w:rPr>
          <w:sz w:val="20"/>
          <w:szCs w:val="20"/>
        </w:rPr>
        <w:t xml:space="preserve"> UNFPA, </w:t>
      </w:r>
      <w:r w:rsidRPr="00F62719">
        <w:rPr>
          <w:i/>
          <w:sz w:val="20"/>
          <w:szCs w:val="20"/>
        </w:rPr>
        <w:t>10 things you should know about women &amp; the world’s humanitarian crisis</w:t>
      </w:r>
      <w:r w:rsidRPr="00F62719">
        <w:rPr>
          <w:sz w:val="20"/>
          <w:szCs w:val="20"/>
        </w:rPr>
        <w:t xml:space="preserve"> (23 May 2016), </w:t>
      </w:r>
      <w:r w:rsidRPr="00BE0C09">
        <w:rPr>
          <w:i/>
          <w:sz w:val="20"/>
          <w:szCs w:val="20"/>
        </w:rPr>
        <w:t xml:space="preserve">available at </w:t>
      </w:r>
      <w:r w:rsidRPr="00F62719">
        <w:rPr>
          <w:rStyle w:val="InternetLink"/>
          <w:color w:val="auto"/>
          <w:sz w:val="20"/>
          <w:szCs w:val="20"/>
          <w:u w:val="none"/>
        </w:rPr>
        <w:t>https://www.unfpa.org/news/10-things-you-should-know-about-women-world%E2%80%99s-humanitarian-crises</w:t>
      </w:r>
      <w:r w:rsidRPr="00F62719">
        <w:rPr>
          <w:sz w:val="20"/>
          <w:szCs w:val="20"/>
        </w:rPr>
        <w:t xml:space="preserve"> (last visited Feb. 20, 2018).</w:t>
      </w:r>
    </w:p>
  </w:endnote>
  <w:endnote w:id="5">
    <w:p w14:paraId="5E43D9F7" w14:textId="4C76F402"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As highlighted in the following reports, there is no evidence that marriage protects women and girls from violence. </w:t>
      </w:r>
      <w:r w:rsidRPr="00F62719">
        <w:rPr>
          <w:i/>
          <w:sz w:val="20"/>
          <w:szCs w:val="20"/>
        </w:rPr>
        <w:t>See</w:t>
      </w:r>
      <w:r w:rsidRPr="00F62719">
        <w:rPr>
          <w:sz w:val="20"/>
          <w:szCs w:val="20"/>
        </w:rPr>
        <w:t xml:space="preserve"> United Nations High Commissioner for Human Rights</w:t>
      </w:r>
      <w:r w:rsidRPr="00F62719">
        <w:rPr>
          <w:smallCaps/>
          <w:sz w:val="20"/>
          <w:szCs w:val="20"/>
        </w:rPr>
        <w:t xml:space="preserve"> (OHCHR)</w:t>
      </w:r>
      <w:r w:rsidRPr="00F62719">
        <w:rPr>
          <w:sz w:val="20"/>
          <w:szCs w:val="20"/>
        </w:rPr>
        <w:t xml:space="preserve">, </w:t>
      </w:r>
      <w:r w:rsidRPr="00F62719">
        <w:rPr>
          <w:i/>
          <w:sz w:val="20"/>
          <w:szCs w:val="20"/>
        </w:rPr>
        <w:t xml:space="preserve">Preventing and Eliminating Child, Early and Forced </w:t>
      </w:r>
      <w:r w:rsidRPr="00F62719">
        <w:rPr>
          <w:sz w:val="20"/>
          <w:szCs w:val="20"/>
        </w:rPr>
        <w:t xml:space="preserve">Marriage, para. </w:t>
      </w:r>
      <w:proofErr w:type="gramStart"/>
      <w:r w:rsidRPr="00F62719">
        <w:rPr>
          <w:sz w:val="20"/>
          <w:szCs w:val="20"/>
        </w:rPr>
        <w:t>20</w:t>
      </w:r>
      <w:proofErr w:type="gramEnd"/>
      <w:r w:rsidRPr="00F62719">
        <w:rPr>
          <w:sz w:val="20"/>
          <w:szCs w:val="20"/>
        </w:rPr>
        <w:t>, U.N. Doc. A/HRC/26/22 (2014)</w:t>
      </w:r>
      <w:proofErr w:type="gramStart"/>
      <w:r w:rsidRPr="00F62719">
        <w:rPr>
          <w:sz w:val="20"/>
          <w:szCs w:val="20"/>
        </w:rPr>
        <w:t>;</w:t>
      </w:r>
      <w:proofErr w:type="gramEnd"/>
      <w:r w:rsidRPr="00F62719">
        <w:rPr>
          <w:sz w:val="20"/>
          <w:szCs w:val="20"/>
        </w:rPr>
        <w:t xml:space="preserve"> </w:t>
      </w:r>
      <w:r w:rsidRPr="00F62719">
        <w:rPr>
          <w:smallCaps/>
          <w:sz w:val="20"/>
          <w:szCs w:val="20"/>
        </w:rPr>
        <w:t>Save the Children, Too Young to Wed: The Growing Problem of Child Marriage Among Syrian Girls in Jordan</w:t>
      </w:r>
      <w:r w:rsidRPr="00F62719">
        <w:rPr>
          <w:sz w:val="20"/>
          <w:szCs w:val="20"/>
        </w:rPr>
        <w:t xml:space="preserve"> 1 (2014), </w:t>
      </w:r>
      <w:r w:rsidRPr="00F62719">
        <w:rPr>
          <w:i/>
          <w:sz w:val="20"/>
          <w:szCs w:val="20"/>
        </w:rPr>
        <w:t>available at</w:t>
      </w:r>
      <w:r w:rsidRPr="00F62719">
        <w:rPr>
          <w:sz w:val="20"/>
          <w:szCs w:val="20"/>
        </w:rPr>
        <w:t xml:space="preserve"> http://www.savethechildren.org/atf/cf/%7B9def2ebe-10ae-432c-9bd0-df91d2eba74a%7D/TOO_YOUNG_TO_WED_REPORT_0714.PDF. </w:t>
      </w:r>
    </w:p>
  </w:endnote>
  <w:endnote w:id="6">
    <w:p w14:paraId="2F117FD2" w14:textId="77777777" w:rsidR="00F00AD7" w:rsidRPr="00F62719" w:rsidRDefault="00F00AD7" w:rsidP="00F00AD7">
      <w:pPr>
        <w:rPr>
          <w:sz w:val="20"/>
          <w:szCs w:val="20"/>
        </w:rPr>
      </w:pPr>
      <w:r w:rsidRPr="00F62719">
        <w:rPr>
          <w:rStyle w:val="EndnoteReference"/>
          <w:sz w:val="20"/>
          <w:szCs w:val="20"/>
        </w:rPr>
        <w:endnoteRef/>
      </w:r>
      <w:r w:rsidRPr="00F62719">
        <w:rPr>
          <w:sz w:val="20"/>
          <w:szCs w:val="20"/>
        </w:rPr>
        <w:t xml:space="preserve"> </w:t>
      </w:r>
      <w:r w:rsidRPr="00F62719">
        <w:rPr>
          <w:i/>
          <w:sz w:val="20"/>
          <w:szCs w:val="20"/>
        </w:rPr>
        <w:t>See, e.g.</w:t>
      </w:r>
      <w:r w:rsidRPr="00F62719">
        <w:rPr>
          <w:sz w:val="20"/>
          <w:szCs w:val="20"/>
        </w:rPr>
        <w:t xml:space="preserve">, U.N. Human Rights Council, </w:t>
      </w:r>
      <w:r w:rsidRPr="00F62719">
        <w:rPr>
          <w:i/>
          <w:iCs/>
          <w:sz w:val="20"/>
          <w:szCs w:val="20"/>
        </w:rPr>
        <w:t>Report of the Independent International Commission of Inquiry on the Syrian Arab Republic</w:t>
      </w:r>
      <w:r w:rsidRPr="00F62719">
        <w:rPr>
          <w:sz w:val="20"/>
          <w:szCs w:val="20"/>
        </w:rPr>
        <w:t xml:space="preserve">, U.N. Doc. A/HRC/S-17/2/Add.1 (Nov. 23, 2011); U.N. Human Rights Council, </w:t>
      </w:r>
      <w:r w:rsidRPr="00F62719">
        <w:rPr>
          <w:i/>
          <w:sz w:val="20"/>
          <w:szCs w:val="20"/>
        </w:rPr>
        <w:t>Report of the Independent International Commission of Inquiry on the Syrian Arab Republic</w:t>
      </w:r>
      <w:r w:rsidRPr="00F62719">
        <w:rPr>
          <w:sz w:val="20"/>
          <w:szCs w:val="20"/>
        </w:rPr>
        <w:t>,</w:t>
      </w:r>
      <w:r w:rsidRPr="00F62719">
        <w:rPr>
          <w:i/>
          <w:sz w:val="20"/>
          <w:szCs w:val="20"/>
        </w:rPr>
        <w:t xml:space="preserve"> “They came to destroy”: ISIS Crimes Against the Yazidis</w:t>
      </w:r>
      <w:r w:rsidRPr="00F62719">
        <w:rPr>
          <w:sz w:val="20"/>
          <w:szCs w:val="20"/>
        </w:rPr>
        <w:t xml:space="preserve">, U.N. Doc. </w:t>
      </w:r>
      <w:proofErr w:type="gramStart"/>
      <w:r w:rsidRPr="00F62719">
        <w:rPr>
          <w:sz w:val="20"/>
          <w:szCs w:val="20"/>
        </w:rPr>
        <w:t xml:space="preserve">A/HRC/32/CRP.2 (June 15, 2016); </w:t>
      </w:r>
      <w:r w:rsidRPr="00F62719">
        <w:rPr>
          <w:smallCaps/>
          <w:sz w:val="20"/>
          <w:szCs w:val="20"/>
        </w:rPr>
        <w:t>Human Rights Watch, “Those Terrible Weeks in their camp</w:t>
      </w:r>
      <w:r w:rsidRPr="00F62719">
        <w:rPr>
          <w:sz w:val="20"/>
          <w:szCs w:val="20"/>
        </w:rPr>
        <w:t>”</w:t>
      </w:r>
      <w:r w:rsidRPr="00F62719">
        <w:rPr>
          <w:smallCaps/>
          <w:sz w:val="20"/>
          <w:szCs w:val="20"/>
        </w:rPr>
        <w:t>: Boko Haram Violence against Women and Girls in Northeast Nigeria</w:t>
      </w:r>
      <w:r w:rsidRPr="00F62719">
        <w:rPr>
          <w:sz w:val="20"/>
          <w:szCs w:val="20"/>
        </w:rPr>
        <w:t xml:space="preserve"> (Oct. 27, 2014), </w:t>
      </w:r>
      <w:r w:rsidRPr="00F62719">
        <w:rPr>
          <w:i/>
          <w:sz w:val="20"/>
          <w:szCs w:val="20"/>
        </w:rPr>
        <w:t xml:space="preserve">available at </w:t>
      </w:r>
      <w:r w:rsidRPr="00F62719">
        <w:rPr>
          <w:rStyle w:val="InternetLink"/>
          <w:color w:val="auto"/>
          <w:sz w:val="20"/>
          <w:szCs w:val="20"/>
          <w:u w:val="none"/>
        </w:rPr>
        <w:t>https://www.hrw.org/report/2014/10/27/those-terrible-weeks-their-camp/boko-haram-violence-against-women-and-girls</w:t>
      </w:r>
      <w:r w:rsidRPr="00F62719">
        <w:rPr>
          <w:sz w:val="20"/>
          <w:szCs w:val="20"/>
        </w:rPr>
        <w:t>;</w:t>
      </w:r>
      <w:r w:rsidRPr="00F62719">
        <w:rPr>
          <w:smallCaps/>
          <w:sz w:val="20"/>
          <w:szCs w:val="20"/>
        </w:rPr>
        <w:t xml:space="preserve"> Human Rights Watch, “Our Rights are Fundamental to Peace</w:t>
      </w:r>
      <w:r w:rsidRPr="00F62719">
        <w:rPr>
          <w:sz w:val="20"/>
          <w:szCs w:val="20"/>
        </w:rPr>
        <w:t xml:space="preserve">” (Aug. 13, 2015), </w:t>
      </w:r>
      <w:r w:rsidRPr="00F62719">
        <w:rPr>
          <w:i/>
          <w:sz w:val="20"/>
          <w:szCs w:val="20"/>
        </w:rPr>
        <w:t>available at</w:t>
      </w:r>
      <w:r w:rsidRPr="00F62719">
        <w:rPr>
          <w:sz w:val="20"/>
          <w:szCs w:val="20"/>
        </w:rPr>
        <w:t xml:space="preserve"> </w:t>
      </w:r>
      <w:hyperlink r:id="rId2">
        <w:r w:rsidRPr="00F62719">
          <w:rPr>
            <w:rStyle w:val="InternetLink"/>
            <w:color w:val="auto"/>
            <w:sz w:val="20"/>
            <w:szCs w:val="20"/>
            <w:u w:val="none"/>
          </w:rPr>
          <w:t>https://www.hrw.org/sites/default/files/supporting_resources/our_rights_are_fundamental_to_peace.pdf</w:t>
        </w:r>
      </w:hyperlink>
      <w:r w:rsidRPr="00F62719">
        <w:rPr>
          <w:sz w:val="20"/>
          <w:szCs w:val="20"/>
        </w:rPr>
        <w:t>.</w:t>
      </w:r>
      <w:proofErr w:type="gramEnd"/>
      <w:r w:rsidRPr="00F62719">
        <w:rPr>
          <w:sz w:val="20"/>
          <w:szCs w:val="20"/>
        </w:rPr>
        <w:t xml:space="preserve"> </w:t>
      </w:r>
    </w:p>
  </w:endnote>
  <w:endnote w:id="7">
    <w:p w14:paraId="4D615D00" w14:textId="77777777" w:rsidR="00F00AD7" w:rsidRPr="00F62719" w:rsidRDefault="00F00AD7" w:rsidP="00F00AD7">
      <w:pPr>
        <w:pStyle w:val="EndnoteText"/>
        <w:rPr>
          <w:sz w:val="20"/>
          <w:szCs w:val="20"/>
        </w:rPr>
      </w:pPr>
      <w:r w:rsidRPr="00F62719">
        <w:rPr>
          <w:rStyle w:val="EndnoteReference"/>
          <w:sz w:val="20"/>
          <w:szCs w:val="20"/>
        </w:rPr>
        <w:endnoteRef/>
      </w:r>
      <w:r w:rsidRPr="00F62719">
        <w:rPr>
          <w:sz w:val="20"/>
          <w:szCs w:val="20"/>
        </w:rPr>
        <w:t xml:space="preserve"> Elizabeth J. Rushing, Joe Read, </w:t>
      </w:r>
      <w:r w:rsidRPr="00F62719">
        <w:rPr>
          <w:i/>
          <w:sz w:val="20"/>
          <w:szCs w:val="20"/>
        </w:rPr>
        <w:t>Nigeria: multiple displacement crises overshadowed by Boko Haram</w:t>
      </w:r>
      <w:r w:rsidRPr="00F62719">
        <w:rPr>
          <w:sz w:val="20"/>
          <w:szCs w:val="20"/>
        </w:rPr>
        <w:t xml:space="preserve">, Internal Displacement Monitoring Centre (Dec. 9, 2014), </w:t>
      </w:r>
      <w:r w:rsidRPr="00F62719">
        <w:rPr>
          <w:i/>
          <w:sz w:val="20"/>
          <w:szCs w:val="20"/>
        </w:rPr>
        <w:t xml:space="preserve">available at </w:t>
      </w:r>
      <w:r w:rsidRPr="00F62719">
        <w:rPr>
          <w:rStyle w:val="InternetLink"/>
          <w:color w:val="auto"/>
          <w:sz w:val="20"/>
          <w:szCs w:val="20"/>
          <w:u w:val="none"/>
        </w:rPr>
        <w:t>http://www.internal-displacement.org/sub-saharan-africa/nigeria/2014/nigeria-multiple-displacement-crises-overshadowed-by-boko-haram</w:t>
      </w:r>
      <w:r w:rsidRPr="00F62719">
        <w:rPr>
          <w:sz w:val="20"/>
          <w:szCs w:val="20"/>
        </w:rPr>
        <w:t xml:space="preserve">. </w:t>
      </w:r>
    </w:p>
  </w:endnote>
  <w:endnote w:id="8">
    <w:p w14:paraId="2B39AE4E" w14:textId="77777777" w:rsidR="00F00AD7" w:rsidRPr="00F62719" w:rsidRDefault="00F00AD7" w:rsidP="00F00AD7">
      <w:pPr>
        <w:pStyle w:val="EndnoteText"/>
        <w:rPr>
          <w:sz w:val="20"/>
          <w:szCs w:val="20"/>
        </w:rPr>
      </w:pPr>
      <w:r w:rsidRPr="00F62719">
        <w:rPr>
          <w:rStyle w:val="EndnoteReference"/>
          <w:sz w:val="20"/>
          <w:szCs w:val="20"/>
        </w:rPr>
        <w:endnoteRef/>
      </w:r>
      <w:r w:rsidRPr="00F62719">
        <w:rPr>
          <w:sz w:val="20"/>
          <w:szCs w:val="20"/>
        </w:rPr>
        <w:t xml:space="preserve"> Tia Palermo and Amber Peterman,</w:t>
      </w:r>
      <w:r w:rsidRPr="00F62719">
        <w:rPr>
          <w:i/>
          <w:sz w:val="20"/>
          <w:szCs w:val="20"/>
        </w:rPr>
        <w:t xml:space="preserve"> Undercounting, over-counting, and the longevity of flawed estimates: statistics on sexual violence in conflict</w:t>
      </w:r>
      <w:r w:rsidRPr="00F62719">
        <w:rPr>
          <w:sz w:val="20"/>
          <w:szCs w:val="20"/>
        </w:rPr>
        <w:t xml:space="preserve">, 89 </w:t>
      </w:r>
      <w:r w:rsidRPr="00F62719">
        <w:rPr>
          <w:smallCaps/>
          <w:sz w:val="20"/>
          <w:szCs w:val="20"/>
        </w:rPr>
        <w:t>Bulletin of the World Health Organization</w:t>
      </w:r>
      <w:r w:rsidRPr="00F62719">
        <w:rPr>
          <w:sz w:val="20"/>
          <w:szCs w:val="20"/>
        </w:rPr>
        <w:t xml:space="preserve"> (July 2011), </w:t>
      </w:r>
      <w:r w:rsidRPr="00F62719">
        <w:rPr>
          <w:i/>
          <w:sz w:val="20"/>
          <w:szCs w:val="20"/>
        </w:rPr>
        <w:t>available at</w:t>
      </w:r>
      <w:r w:rsidRPr="00F62719">
        <w:rPr>
          <w:sz w:val="20"/>
          <w:szCs w:val="20"/>
        </w:rPr>
        <w:t xml:space="preserve"> </w:t>
      </w:r>
      <w:r w:rsidRPr="00F62719">
        <w:rPr>
          <w:rStyle w:val="InternetLink"/>
          <w:color w:val="auto"/>
          <w:sz w:val="20"/>
          <w:szCs w:val="20"/>
          <w:u w:val="none"/>
        </w:rPr>
        <w:t>http://www.who.int/bulletin/volumes/89/12/11-089888/en/</w:t>
      </w:r>
      <w:r w:rsidRPr="00F62719">
        <w:rPr>
          <w:sz w:val="20"/>
          <w:szCs w:val="20"/>
        </w:rPr>
        <w:t xml:space="preserve">. </w:t>
      </w:r>
    </w:p>
  </w:endnote>
  <w:endnote w:id="9">
    <w:p w14:paraId="5EE0AFFD" w14:textId="77777777" w:rsidR="00F00AD7" w:rsidRPr="00F62719" w:rsidRDefault="00F00AD7" w:rsidP="00F00AD7">
      <w:pPr>
        <w:pStyle w:val="EndnoteText"/>
        <w:rPr>
          <w:sz w:val="20"/>
          <w:szCs w:val="20"/>
        </w:rPr>
      </w:pPr>
      <w:r w:rsidRPr="00F62719">
        <w:rPr>
          <w:rStyle w:val="EndnoteReference"/>
          <w:sz w:val="20"/>
          <w:szCs w:val="20"/>
        </w:rPr>
        <w:endnoteRef/>
      </w:r>
      <w:r w:rsidRPr="00F62719">
        <w:rPr>
          <w:sz w:val="20"/>
          <w:szCs w:val="20"/>
        </w:rPr>
        <w:t xml:space="preserve"> </w:t>
      </w:r>
      <w:proofErr w:type="gramStart"/>
      <w:r w:rsidRPr="00F62719">
        <w:rPr>
          <w:sz w:val="20"/>
          <w:szCs w:val="20"/>
        </w:rPr>
        <w:t>The Global Study on the implementation of United Nations Security Council Resolution 1325 on Women and Peace and Security, which highlights the role of women in conflict prevention, resolution and peacebuilding, reports that a large number of women and girls do not report sexual violence “because there are no easily accessible services or ways to report safely, receive help and be treated with dignity.”</w:t>
      </w:r>
      <w:proofErr w:type="gramEnd"/>
      <w:r w:rsidRPr="00F62719">
        <w:rPr>
          <w:sz w:val="20"/>
          <w:szCs w:val="20"/>
        </w:rPr>
        <w:t xml:space="preserve"> </w:t>
      </w:r>
      <w:r w:rsidRPr="00F62719">
        <w:rPr>
          <w:smallCaps/>
          <w:sz w:val="20"/>
          <w:szCs w:val="20"/>
        </w:rPr>
        <w:t>UN Women</w:t>
      </w:r>
      <w:r w:rsidRPr="00F62719">
        <w:rPr>
          <w:sz w:val="20"/>
          <w:szCs w:val="20"/>
        </w:rPr>
        <w:t xml:space="preserve">, </w:t>
      </w:r>
      <w:r w:rsidRPr="00F62719">
        <w:rPr>
          <w:i/>
          <w:sz w:val="20"/>
          <w:szCs w:val="20"/>
        </w:rPr>
        <w:t>Preventing Conflict, Transforming Justice, Securing the Peace: A Global Study on the Implementation of the UNSC Resolution 1325</w:t>
      </w:r>
      <w:r w:rsidRPr="00F62719">
        <w:rPr>
          <w:sz w:val="20"/>
          <w:szCs w:val="20"/>
        </w:rPr>
        <w:t xml:space="preserve">, at 73 (2015), </w:t>
      </w:r>
      <w:r w:rsidRPr="00F62719">
        <w:rPr>
          <w:i/>
          <w:sz w:val="20"/>
          <w:szCs w:val="20"/>
        </w:rPr>
        <w:t>available at</w:t>
      </w:r>
      <w:r w:rsidRPr="00F62719">
        <w:rPr>
          <w:sz w:val="20"/>
          <w:szCs w:val="20"/>
        </w:rPr>
        <w:t xml:space="preserve"> </w:t>
      </w:r>
      <w:r w:rsidRPr="00F62719">
        <w:rPr>
          <w:rStyle w:val="InternetLink"/>
          <w:color w:val="auto"/>
          <w:sz w:val="20"/>
          <w:szCs w:val="20"/>
          <w:u w:val="none"/>
        </w:rPr>
        <w:t>http://www.unwomen.org/~/media/files/un%20women/wps/highlights/unw-global-study-1325-2015.pdf</w:t>
      </w:r>
      <w:r w:rsidRPr="00F62719">
        <w:rPr>
          <w:sz w:val="20"/>
          <w:szCs w:val="20"/>
        </w:rPr>
        <w:t xml:space="preserve">. </w:t>
      </w:r>
    </w:p>
  </w:endnote>
  <w:endnote w:id="10">
    <w:p w14:paraId="01EE2661" w14:textId="52EA2495" w:rsidR="00613792" w:rsidRPr="00F62719" w:rsidRDefault="00613792">
      <w:pPr>
        <w:pStyle w:val="EndnoteText"/>
        <w:rPr>
          <w:sz w:val="20"/>
          <w:szCs w:val="20"/>
        </w:rPr>
      </w:pPr>
      <w:r w:rsidRPr="00F62719">
        <w:rPr>
          <w:rStyle w:val="EndnoteReference"/>
          <w:sz w:val="20"/>
          <w:szCs w:val="20"/>
        </w:rPr>
        <w:endnoteRef/>
      </w:r>
      <w:r w:rsidRPr="00F62719">
        <w:rPr>
          <w:sz w:val="20"/>
          <w:szCs w:val="20"/>
        </w:rPr>
        <w:t xml:space="preserve"> Reuters Staff, </w:t>
      </w:r>
      <w:r w:rsidRPr="00F62719">
        <w:rPr>
          <w:i/>
          <w:sz w:val="20"/>
          <w:szCs w:val="20"/>
        </w:rPr>
        <w:t xml:space="preserve">Over half of </w:t>
      </w:r>
      <w:proofErr w:type="spellStart"/>
      <w:r w:rsidRPr="00F62719">
        <w:rPr>
          <w:i/>
          <w:sz w:val="20"/>
          <w:szCs w:val="20"/>
        </w:rPr>
        <w:t>Rohingya</w:t>
      </w:r>
      <w:proofErr w:type="spellEnd"/>
      <w:r w:rsidRPr="00F62719">
        <w:rPr>
          <w:i/>
          <w:sz w:val="20"/>
          <w:szCs w:val="20"/>
        </w:rPr>
        <w:t xml:space="preserve"> girls who fled violence became child brides- U.N. survey</w:t>
      </w:r>
      <w:r w:rsidRPr="00F62719">
        <w:rPr>
          <w:sz w:val="20"/>
          <w:szCs w:val="20"/>
        </w:rPr>
        <w:t xml:space="preserve">, </w:t>
      </w:r>
      <w:r w:rsidRPr="00F62719">
        <w:rPr>
          <w:smallCaps/>
          <w:sz w:val="20"/>
          <w:szCs w:val="20"/>
        </w:rPr>
        <w:t>Reuters</w:t>
      </w:r>
      <w:r w:rsidRPr="00F62719">
        <w:rPr>
          <w:sz w:val="20"/>
          <w:szCs w:val="20"/>
        </w:rPr>
        <w:t xml:space="preserve"> (May 4, 2017). </w:t>
      </w:r>
    </w:p>
  </w:endnote>
  <w:endnote w:id="11">
    <w:p w14:paraId="692A1F57" w14:textId="7D1EE65E" w:rsidR="00613792" w:rsidRPr="00F62719" w:rsidRDefault="00613792">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Id</w:t>
      </w:r>
      <w:r w:rsidRPr="00F62719">
        <w:rPr>
          <w:sz w:val="20"/>
          <w:szCs w:val="20"/>
        </w:rPr>
        <w:t xml:space="preserve">. </w:t>
      </w:r>
    </w:p>
  </w:endnote>
  <w:endnote w:id="12">
    <w:p w14:paraId="68AED0AF" w14:textId="28B800D0" w:rsidR="00BA40B7" w:rsidRPr="00F573D1" w:rsidRDefault="00BA40B7">
      <w:pPr>
        <w:pStyle w:val="EndnoteText"/>
        <w:rPr>
          <w:sz w:val="20"/>
          <w:szCs w:val="20"/>
        </w:rPr>
      </w:pPr>
      <w:r w:rsidRPr="00BE0C09">
        <w:rPr>
          <w:rStyle w:val="EndnoteReference"/>
          <w:sz w:val="20"/>
        </w:rPr>
        <w:endnoteRef/>
      </w:r>
      <w:r w:rsidRPr="00BE0C09">
        <w:rPr>
          <w:sz w:val="20"/>
        </w:rPr>
        <w:t xml:space="preserve"> </w:t>
      </w:r>
      <w:r w:rsidRPr="00BE0C09">
        <w:rPr>
          <w:sz w:val="20"/>
          <w:szCs w:val="20"/>
        </w:rPr>
        <w:t>See</w:t>
      </w:r>
      <w:r w:rsidR="00F52E61">
        <w:rPr>
          <w:sz w:val="20"/>
          <w:szCs w:val="20"/>
        </w:rPr>
        <w:t xml:space="preserve"> Press Release, OHCHR,</w:t>
      </w:r>
      <w:r>
        <w:t xml:space="preserve"> </w:t>
      </w:r>
      <w:r w:rsidRPr="00F573D1">
        <w:rPr>
          <w:i/>
          <w:sz w:val="20"/>
          <w:szCs w:val="20"/>
        </w:rPr>
        <w:t xml:space="preserve">Myanmar: Senior UN human rights official decries continued ethnic cleansing in </w:t>
      </w:r>
      <w:proofErr w:type="spellStart"/>
      <w:r w:rsidRPr="00F573D1">
        <w:rPr>
          <w:i/>
          <w:sz w:val="20"/>
          <w:szCs w:val="20"/>
        </w:rPr>
        <w:t>Rakhine</w:t>
      </w:r>
      <w:proofErr w:type="spellEnd"/>
      <w:r w:rsidRPr="00F573D1">
        <w:rPr>
          <w:i/>
          <w:sz w:val="20"/>
          <w:szCs w:val="20"/>
        </w:rPr>
        <w:t xml:space="preserve"> State</w:t>
      </w:r>
      <w:r>
        <w:rPr>
          <w:i/>
          <w:sz w:val="20"/>
          <w:szCs w:val="20"/>
        </w:rPr>
        <w:t xml:space="preserve">, </w:t>
      </w:r>
      <w:r>
        <w:rPr>
          <w:sz w:val="20"/>
          <w:szCs w:val="20"/>
        </w:rPr>
        <w:t xml:space="preserve"> March 6</w:t>
      </w:r>
      <w:r w:rsidRPr="00F573D1">
        <w:rPr>
          <w:sz w:val="20"/>
          <w:szCs w:val="20"/>
          <w:vertAlign w:val="superscript"/>
        </w:rPr>
        <w:t>th</w:t>
      </w:r>
      <w:r>
        <w:rPr>
          <w:sz w:val="20"/>
          <w:szCs w:val="20"/>
        </w:rPr>
        <w:t xml:space="preserve">, 2018, </w:t>
      </w:r>
      <w:hyperlink r:id="rId3" w:history="1">
        <w:r w:rsidRPr="0061066E">
          <w:rPr>
            <w:rStyle w:val="Hyperlink"/>
            <w:sz w:val="20"/>
            <w:szCs w:val="20"/>
          </w:rPr>
          <w:t>https://www.ohchr.org/EN/NewsEvents/Pages/DisplayNews.aspx?NewsID=22761&amp;LangID=E</w:t>
        </w:r>
      </w:hyperlink>
      <w:r>
        <w:rPr>
          <w:sz w:val="20"/>
          <w:szCs w:val="20"/>
        </w:rPr>
        <w:t xml:space="preserve"> </w:t>
      </w:r>
    </w:p>
  </w:endnote>
  <w:endnote w:id="13">
    <w:p w14:paraId="32B4E433" w14:textId="3700B1AC" w:rsidR="00613792" w:rsidRPr="00F62719" w:rsidRDefault="00613792">
      <w:pPr>
        <w:pStyle w:val="EndnoteText"/>
        <w:rPr>
          <w:sz w:val="20"/>
          <w:szCs w:val="20"/>
        </w:rPr>
      </w:pPr>
      <w:r w:rsidRPr="00F62719">
        <w:rPr>
          <w:rStyle w:val="EndnoteReference"/>
          <w:sz w:val="20"/>
          <w:szCs w:val="20"/>
        </w:rPr>
        <w:endnoteRef/>
      </w:r>
      <w:r w:rsidRPr="00F62719">
        <w:rPr>
          <w:sz w:val="20"/>
          <w:szCs w:val="20"/>
        </w:rPr>
        <w:t xml:space="preserve"> </w:t>
      </w:r>
      <w:r w:rsidR="00B65232" w:rsidRPr="00F62719">
        <w:rPr>
          <w:i/>
          <w:sz w:val="20"/>
          <w:szCs w:val="20"/>
        </w:rPr>
        <w:t>See</w:t>
      </w:r>
      <w:r w:rsidR="00B65232" w:rsidRPr="00F62719">
        <w:rPr>
          <w:sz w:val="20"/>
          <w:szCs w:val="20"/>
        </w:rPr>
        <w:t xml:space="preserve"> Fiona MacGregor, </w:t>
      </w:r>
      <w:proofErr w:type="spellStart"/>
      <w:r w:rsidR="00B65232" w:rsidRPr="00F62719">
        <w:rPr>
          <w:i/>
          <w:sz w:val="20"/>
          <w:szCs w:val="20"/>
        </w:rPr>
        <w:t>Rohingya</w:t>
      </w:r>
      <w:proofErr w:type="spellEnd"/>
      <w:r w:rsidR="00B65232" w:rsidRPr="00F62719">
        <w:rPr>
          <w:i/>
          <w:sz w:val="20"/>
          <w:szCs w:val="20"/>
        </w:rPr>
        <w:t xml:space="preserve"> girls as young as 12 compelled to marry just to get food</w:t>
      </w:r>
      <w:r w:rsidR="00B65232" w:rsidRPr="00F62719">
        <w:rPr>
          <w:sz w:val="20"/>
          <w:szCs w:val="20"/>
        </w:rPr>
        <w:t xml:space="preserve">, </w:t>
      </w:r>
      <w:r w:rsidR="00B65232" w:rsidRPr="00F62719">
        <w:rPr>
          <w:smallCaps/>
          <w:sz w:val="20"/>
          <w:szCs w:val="20"/>
        </w:rPr>
        <w:t>The Guardian</w:t>
      </w:r>
      <w:r w:rsidR="00B65232" w:rsidRPr="00F62719">
        <w:rPr>
          <w:sz w:val="20"/>
          <w:szCs w:val="20"/>
        </w:rPr>
        <w:t xml:space="preserve"> (Nov. 30, 2017). </w:t>
      </w:r>
    </w:p>
  </w:endnote>
  <w:endnote w:id="14">
    <w:p w14:paraId="7F52C1A2" w14:textId="3603E303" w:rsidR="00613792" w:rsidRPr="00F62719" w:rsidRDefault="00613792" w:rsidP="00613792">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 xml:space="preserve">See </w:t>
      </w:r>
      <w:r w:rsidR="00F52E61">
        <w:rPr>
          <w:i/>
          <w:sz w:val="20"/>
          <w:szCs w:val="20"/>
        </w:rPr>
        <w:t>i</w:t>
      </w:r>
      <w:r w:rsidR="00B65232" w:rsidRPr="00F62719">
        <w:rPr>
          <w:i/>
          <w:sz w:val="20"/>
          <w:szCs w:val="20"/>
        </w:rPr>
        <w:t>d.</w:t>
      </w:r>
      <w:proofErr w:type="gramStart"/>
      <w:r w:rsidR="00B65232" w:rsidRPr="00BE0C09">
        <w:rPr>
          <w:sz w:val="20"/>
          <w:szCs w:val="20"/>
        </w:rPr>
        <w:t>;</w:t>
      </w:r>
      <w:proofErr w:type="gramEnd"/>
      <w:r w:rsidR="00B65232" w:rsidRPr="00F62719">
        <w:rPr>
          <w:i/>
          <w:sz w:val="20"/>
          <w:szCs w:val="20"/>
        </w:rPr>
        <w:t xml:space="preserve"> </w:t>
      </w:r>
      <w:r w:rsidRPr="00F62719">
        <w:rPr>
          <w:sz w:val="20"/>
          <w:szCs w:val="20"/>
        </w:rPr>
        <w:t xml:space="preserve">Ann Taylor, </w:t>
      </w:r>
      <w:r w:rsidRPr="00F62719">
        <w:rPr>
          <w:i/>
          <w:sz w:val="20"/>
          <w:szCs w:val="20"/>
        </w:rPr>
        <w:t xml:space="preserve">Child Marriage in the </w:t>
      </w:r>
      <w:proofErr w:type="spellStart"/>
      <w:r w:rsidRPr="00F62719">
        <w:rPr>
          <w:i/>
          <w:sz w:val="20"/>
          <w:szCs w:val="20"/>
        </w:rPr>
        <w:t>Rohingya</w:t>
      </w:r>
      <w:proofErr w:type="spellEnd"/>
      <w:r w:rsidRPr="00F62719">
        <w:rPr>
          <w:i/>
          <w:sz w:val="20"/>
          <w:szCs w:val="20"/>
        </w:rPr>
        <w:t xml:space="preserve"> Camps in Bangladesh</w:t>
      </w:r>
      <w:r w:rsidRPr="00F62719">
        <w:rPr>
          <w:sz w:val="20"/>
          <w:szCs w:val="20"/>
        </w:rPr>
        <w:t xml:space="preserve">, </w:t>
      </w:r>
      <w:r w:rsidRPr="00F62719">
        <w:rPr>
          <w:smallCaps/>
          <w:sz w:val="20"/>
          <w:szCs w:val="20"/>
        </w:rPr>
        <w:t>The Atlantic</w:t>
      </w:r>
      <w:r w:rsidR="00B65232" w:rsidRPr="00F62719">
        <w:rPr>
          <w:sz w:val="20"/>
          <w:szCs w:val="20"/>
        </w:rPr>
        <w:t xml:space="preserve"> (Dec. 14, 2017)</w:t>
      </w:r>
      <w:r w:rsidRPr="00F62719">
        <w:rPr>
          <w:sz w:val="20"/>
          <w:szCs w:val="20"/>
        </w:rPr>
        <w:t>.</w:t>
      </w:r>
    </w:p>
  </w:endnote>
  <w:endnote w:id="15">
    <w:p w14:paraId="24DB537F" w14:textId="77777777" w:rsidR="00613792" w:rsidRPr="00F62719" w:rsidRDefault="00613792" w:rsidP="00613792">
      <w:pPr>
        <w:pStyle w:val="EndnoteText"/>
        <w:rPr>
          <w:sz w:val="20"/>
          <w:szCs w:val="20"/>
        </w:rPr>
      </w:pPr>
      <w:r w:rsidRPr="00F62719">
        <w:rPr>
          <w:rStyle w:val="EndnoteReference"/>
          <w:sz w:val="20"/>
          <w:szCs w:val="20"/>
        </w:rPr>
        <w:endnoteRef/>
      </w:r>
      <w:r w:rsidRPr="00F62719">
        <w:rPr>
          <w:sz w:val="20"/>
          <w:szCs w:val="20"/>
        </w:rPr>
        <w:t xml:space="preserve"> </w:t>
      </w:r>
      <w:proofErr w:type="spellStart"/>
      <w:r w:rsidRPr="00F62719">
        <w:rPr>
          <w:sz w:val="20"/>
          <w:szCs w:val="20"/>
        </w:rPr>
        <w:t>Roli</w:t>
      </w:r>
      <w:proofErr w:type="spellEnd"/>
      <w:r w:rsidRPr="00F62719">
        <w:rPr>
          <w:sz w:val="20"/>
          <w:szCs w:val="20"/>
        </w:rPr>
        <w:t xml:space="preserve"> Srivastava, </w:t>
      </w:r>
      <w:r w:rsidRPr="00F62719">
        <w:rPr>
          <w:i/>
          <w:sz w:val="20"/>
          <w:szCs w:val="20"/>
        </w:rPr>
        <w:t xml:space="preserve">Lured with a happily-ever-after dream, </w:t>
      </w:r>
      <w:proofErr w:type="spellStart"/>
      <w:r w:rsidRPr="00F62719">
        <w:rPr>
          <w:i/>
          <w:sz w:val="20"/>
          <w:szCs w:val="20"/>
        </w:rPr>
        <w:t>Rohingya</w:t>
      </w:r>
      <w:proofErr w:type="spellEnd"/>
      <w:r w:rsidRPr="00F62719">
        <w:rPr>
          <w:i/>
          <w:sz w:val="20"/>
          <w:szCs w:val="20"/>
        </w:rPr>
        <w:t xml:space="preserve"> girls sold in India</w:t>
      </w:r>
      <w:r w:rsidRPr="00F62719">
        <w:rPr>
          <w:sz w:val="20"/>
          <w:szCs w:val="20"/>
        </w:rPr>
        <w:t xml:space="preserve">, </w:t>
      </w:r>
      <w:r w:rsidRPr="00F62719">
        <w:rPr>
          <w:smallCaps/>
          <w:sz w:val="20"/>
          <w:szCs w:val="20"/>
        </w:rPr>
        <w:t>Reuters</w:t>
      </w:r>
      <w:r w:rsidRPr="00F62719">
        <w:rPr>
          <w:sz w:val="20"/>
          <w:szCs w:val="20"/>
        </w:rPr>
        <w:t xml:space="preserve"> (Jan. 22, 2018). </w:t>
      </w:r>
    </w:p>
  </w:endnote>
  <w:endnote w:id="16">
    <w:p w14:paraId="1F5BF65C" w14:textId="77777777" w:rsidR="00BA40B7" w:rsidRPr="00F62719" w:rsidRDefault="00BA40B7" w:rsidP="00BA40B7">
      <w:pPr>
        <w:pStyle w:val="EndnoteText"/>
        <w:rPr>
          <w:sz w:val="20"/>
          <w:szCs w:val="20"/>
        </w:rPr>
      </w:pPr>
      <w:r w:rsidRPr="00F62719">
        <w:rPr>
          <w:rStyle w:val="EndnoteReference"/>
          <w:sz w:val="20"/>
          <w:szCs w:val="20"/>
        </w:rPr>
        <w:endnoteRef/>
      </w:r>
      <w:r w:rsidRPr="00F62719">
        <w:rPr>
          <w:sz w:val="20"/>
          <w:szCs w:val="20"/>
        </w:rPr>
        <w:t xml:space="preserve"> </w:t>
      </w:r>
      <w:r w:rsidRPr="00F62719">
        <w:rPr>
          <w:smallCaps/>
          <w:sz w:val="20"/>
          <w:szCs w:val="20"/>
        </w:rPr>
        <w:t xml:space="preserve">People in Need, </w:t>
      </w:r>
      <w:r w:rsidRPr="00F62719">
        <w:rPr>
          <w:iCs/>
          <w:smallCaps/>
          <w:sz w:val="20"/>
          <w:szCs w:val="20"/>
        </w:rPr>
        <w:t>Her Safety Assessment Report 12</w:t>
      </w:r>
      <w:r w:rsidRPr="00F62719">
        <w:rPr>
          <w:i/>
          <w:iCs/>
          <w:sz w:val="20"/>
          <w:szCs w:val="20"/>
        </w:rPr>
        <w:t xml:space="preserve"> </w:t>
      </w:r>
      <w:r w:rsidRPr="00F62719">
        <w:rPr>
          <w:sz w:val="20"/>
          <w:szCs w:val="20"/>
        </w:rPr>
        <w:t xml:space="preserve">(November 2015), </w:t>
      </w:r>
      <w:r w:rsidRPr="00F62719">
        <w:rPr>
          <w:i/>
          <w:iCs/>
          <w:sz w:val="20"/>
          <w:szCs w:val="20"/>
        </w:rPr>
        <w:t xml:space="preserve">available at </w:t>
      </w:r>
      <w:r w:rsidRPr="00F62719">
        <w:rPr>
          <w:iCs/>
          <w:sz w:val="20"/>
          <w:szCs w:val="20"/>
        </w:rPr>
        <w:t>https://www.clovekvtisni.cz/media/publications/532/file/1450100038-her-safety-assessment-final.pdf</w:t>
      </w:r>
      <w:r w:rsidRPr="00F62719">
        <w:rPr>
          <w:sz w:val="20"/>
          <w:szCs w:val="20"/>
        </w:rPr>
        <w:t xml:space="preserve">.  </w:t>
      </w:r>
    </w:p>
  </w:endnote>
  <w:endnote w:id="17">
    <w:p w14:paraId="2606E923" w14:textId="4E28AD73" w:rsidR="00BA40B7" w:rsidRPr="00F62719" w:rsidRDefault="00BA40B7" w:rsidP="00BA40B7">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Id</w:t>
      </w:r>
      <w:r w:rsidRPr="00F62719">
        <w:rPr>
          <w:sz w:val="20"/>
          <w:szCs w:val="20"/>
        </w:rPr>
        <w:t xml:space="preserve">. </w:t>
      </w:r>
    </w:p>
  </w:endnote>
  <w:endnote w:id="18">
    <w:p w14:paraId="45CE3B63" w14:textId="0992F9EF" w:rsidR="001A2ADC" w:rsidRPr="00F62719" w:rsidRDefault="001A2ADC" w:rsidP="001A2ADC">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See</w:t>
      </w:r>
      <w:r w:rsidRPr="00F62719">
        <w:rPr>
          <w:sz w:val="20"/>
          <w:szCs w:val="20"/>
        </w:rPr>
        <w:t xml:space="preserve"> WHO, </w:t>
      </w:r>
      <w:r w:rsidRPr="00F62719">
        <w:rPr>
          <w:i/>
          <w:sz w:val="20"/>
          <w:szCs w:val="20"/>
        </w:rPr>
        <w:t>Maternal mortality: Fact sheet</w:t>
      </w:r>
      <w:r w:rsidRPr="00F62719">
        <w:rPr>
          <w:sz w:val="20"/>
          <w:szCs w:val="20"/>
        </w:rPr>
        <w:t xml:space="preserve"> (Nov. 2016), </w:t>
      </w:r>
      <w:r w:rsidRPr="00F62719">
        <w:rPr>
          <w:i/>
          <w:sz w:val="20"/>
          <w:szCs w:val="20"/>
        </w:rPr>
        <w:t>available at</w:t>
      </w:r>
      <w:r w:rsidRPr="00F62719">
        <w:rPr>
          <w:sz w:val="20"/>
          <w:szCs w:val="20"/>
        </w:rPr>
        <w:t xml:space="preserve"> http://www.who.int/mediacentre/factsheets/fs348/en/.</w:t>
      </w:r>
    </w:p>
  </w:endnote>
  <w:endnote w:id="19">
    <w:p w14:paraId="369D82D0" w14:textId="77777777" w:rsidR="001A2ADC" w:rsidRPr="00F62719" w:rsidRDefault="001A2ADC" w:rsidP="001A2ADC">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Id</w:t>
      </w:r>
      <w:r w:rsidRPr="00F62719">
        <w:rPr>
          <w:sz w:val="20"/>
          <w:szCs w:val="20"/>
        </w:rPr>
        <w:t>.</w:t>
      </w:r>
    </w:p>
  </w:endnote>
  <w:endnote w:id="20">
    <w:p w14:paraId="797136D1" w14:textId="668B018A" w:rsidR="001A2ADC" w:rsidRPr="00F62719" w:rsidRDefault="001A2ADC" w:rsidP="001A2ADC">
      <w:pPr>
        <w:pStyle w:val="EndnoteText"/>
        <w:rPr>
          <w:sz w:val="20"/>
          <w:szCs w:val="20"/>
        </w:rPr>
      </w:pPr>
      <w:r w:rsidRPr="00F62719">
        <w:rPr>
          <w:rStyle w:val="EndnoteReference"/>
          <w:sz w:val="20"/>
          <w:szCs w:val="20"/>
        </w:rPr>
        <w:endnoteRef/>
      </w:r>
      <w:r w:rsidRPr="00F62719">
        <w:rPr>
          <w:sz w:val="20"/>
          <w:szCs w:val="20"/>
        </w:rPr>
        <w:t xml:space="preserve"> </w:t>
      </w:r>
      <w:r w:rsidRPr="00F62719">
        <w:rPr>
          <w:smallCaps/>
          <w:sz w:val="20"/>
          <w:szCs w:val="20"/>
        </w:rPr>
        <w:t xml:space="preserve">UNFPA, </w:t>
      </w:r>
      <w:r w:rsidRPr="00F62719">
        <w:rPr>
          <w:iCs/>
          <w:smallCaps/>
          <w:sz w:val="20"/>
          <w:szCs w:val="20"/>
        </w:rPr>
        <w:t>Marrying too Young: End Child Marriage</w:t>
      </w:r>
      <w:r w:rsidRPr="00F62719">
        <w:rPr>
          <w:i/>
          <w:iCs/>
          <w:sz w:val="20"/>
          <w:szCs w:val="20"/>
        </w:rPr>
        <w:t xml:space="preserve"> </w:t>
      </w:r>
      <w:r w:rsidRPr="00F62719">
        <w:rPr>
          <w:sz w:val="20"/>
          <w:szCs w:val="20"/>
        </w:rPr>
        <w:t>11 (2012)</w:t>
      </w:r>
      <w:r w:rsidR="00BD785A">
        <w:rPr>
          <w:sz w:val="20"/>
          <w:szCs w:val="20"/>
        </w:rPr>
        <w:t xml:space="preserve">, </w:t>
      </w:r>
      <w:r w:rsidR="00BD785A">
        <w:rPr>
          <w:i/>
          <w:sz w:val="20"/>
          <w:szCs w:val="20"/>
        </w:rPr>
        <w:t xml:space="preserve">available </w:t>
      </w:r>
      <w:proofErr w:type="gramStart"/>
      <w:r w:rsidR="00BD785A">
        <w:rPr>
          <w:i/>
          <w:sz w:val="20"/>
          <w:szCs w:val="20"/>
        </w:rPr>
        <w:t xml:space="preserve">at </w:t>
      </w:r>
      <w:r w:rsidR="00BD785A">
        <w:rPr>
          <w:sz w:val="20"/>
          <w:szCs w:val="20"/>
        </w:rPr>
        <w:t xml:space="preserve"> </w:t>
      </w:r>
      <w:r w:rsidR="00BD785A" w:rsidRPr="00BD785A">
        <w:rPr>
          <w:sz w:val="20"/>
          <w:szCs w:val="20"/>
        </w:rPr>
        <w:t>https</w:t>
      </w:r>
      <w:proofErr w:type="gramEnd"/>
      <w:r w:rsidR="00BD785A" w:rsidRPr="00BD785A">
        <w:rPr>
          <w:sz w:val="20"/>
          <w:szCs w:val="20"/>
        </w:rPr>
        <w:t>://www.unfpa.org/sites/default/files/pub-pdf/MarryingTooYoung.pdf</w:t>
      </w:r>
      <w:r w:rsidRPr="00F62719">
        <w:rPr>
          <w:sz w:val="20"/>
          <w:szCs w:val="20"/>
        </w:rPr>
        <w:t xml:space="preserve">.  </w:t>
      </w:r>
    </w:p>
  </w:endnote>
  <w:endnote w:id="21">
    <w:p w14:paraId="4A2D935C" w14:textId="77777777" w:rsidR="00C30E6E" w:rsidRPr="00F62719" w:rsidRDefault="00C30E6E" w:rsidP="00C30E6E">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Id</w:t>
      </w:r>
      <w:r w:rsidRPr="00F62719">
        <w:rPr>
          <w:sz w:val="20"/>
          <w:szCs w:val="20"/>
        </w:rPr>
        <w:t>.</w:t>
      </w:r>
    </w:p>
  </w:endnote>
  <w:endnote w:id="22">
    <w:p w14:paraId="2E9F6F6C" w14:textId="29C6BD3E"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See</w:t>
      </w:r>
      <w:r w:rsidRPr="00F62719">
        <w:rPr>
          <w:sz w:val="20"/>
          <w:szCs w:val="20"/>
        </w:rPr>
        <w:t xml:space="preserve"> </w:t>
      </w:r>
      <w:r w:rsidR="00C90559" w:rsidRPr="00F62719">
        <w:rPr>
          <w:sz w:val="20"/>
          <w:szCs w:val="20"/>
        </w:rPr>
        <w:t xml:space="preserve">CEDAW and CRC Committees, </w:t>
      </w:r>
      <w:r w:rsidR="00C90559" w:rsidRPr="00F62719">
        <w:rPr>
          <w:i/>
          <w:sz w:val="20"/>
          <w:szCs w:val="20"/>
        </w:rPr>
        <w:t>Joint general recommendation No. 31 of the Committee on the Elimination of Discrimination against Women/general comment No. 18 of the Committee on the Rights of the Child on harmful practices</w:t>
      </w:r>
      <w:r w:rsidR="00C90559" w:rsidRPr="00F62719">
        <w:rPr>
          <w:sz w:val="20"/>
          <w:szCs w:val="20"/>
        </w:rPr>
        <w:t xml:space="preserve">, para. </w:t>
      </w:r>
      <w:proofErr w:type="gramStart"/>
      <w:r w:rsidR="00C90559" w:rsidRPr="00F62719">
        <w:rPr>
          <w:sz w:val="20"/>
          <w:szCs w:val="20"/>
        </w:rPr>
        <w:t>22</w:t>
      </w:r>
      <w:proofErr w:type="gramEnd"/>
      <w:r w:rsidR="00C90559" w:rsidRPr="00F62719">
        <w:rPr>
          <w:sz w:val="20"/>
          <w:szCs w:val="20"/>
        </w:rPr>
        <w:t xml:space="preserve">, U.N. Doc. CEDAW/C/GC/31-CRC/C/GC/18 (2014) [hereinafter CEDAW and CRC Committees, </w:t>
      </w:r>
      <w:r w:rsidR="00C90559" w:rsidRPr="00F62719">
        <w:rPr>
          <w:i/>
          <w:sz w:val="20"/>
          <w:szCs w:val="20"/>
        </w:rPr>
        <w:t>Joint general recommendation</w:t>
      </w:r>
      <w:r w:rsidR="00C90559" w:rsidRPr="00F62719">
        <w:rPr>
          <w:sz w:val="20"/>
          <w:szCs w:val="20"/>
        </w:rPr>
        <w:t xml:space="preserve">]. </w:t>
      </w:r>
      <w:r w:rsidR="00C90559" w:rsidRPr="00F62719">
        <w:rPr>
          <w:i/>
          <w:sz w:val="20"/>
          <w:szCs w:val="20"/>
        </w:rPr>
        <w:t>See also</w:t>
      </w:r>
      <w:r w:rsidR="00C90559" w:rsidRPr="00F62719">
        <w:rPr>
          <w:sz w:val="20"/>
          <w:szCs w:val="20"/>
        </w:rPr>
        <w:t xml:space="preserve"> </w:t>
      </w:r>
      <w:r w:rsidR="00BD785A" w:rsidRPr="00F62719">
        <w:rPr>
          <w:sz w:val="20"/>
          <w:szCs w:val="20"/>
        </w:rPr>
        <w:t xml:space="preserve">CEDAW Committee, </w:t>
      </w:r>
      <w:r w:rsidR="00BD785A" w:rsidRPr="00F62719">
        <w:rPr>
          <w:i/>
          <w:sz w:val="20"/>
          <w:szCs w:val="20"/>
        </w:rPr>
        <w:t>Concluding Observations: Bangladesh</w:t>
      </w:r>
      <w:r w:rsidR="00BD785A" w:rsidRPr="00F62719">
        <w:rPr>
          <w:sz w:val="20"/>
          <w:szCs w:val="20"/>
        </w:rPr>
        <w:t xml:space="preserve">, para. </w:t>
      </w:r>
      <w:proofErr w:type="gramStart"/>
      <w:r w:rsidR="00BD785A" w:rsidRPr="00F62719">
        <w:rPr>
          <w:sz w:val="20"/>
          <w:szCs w:val="20"/>
        </w:rPr>
        <w:t>34</w:t>
      </w:r>
      <w:proofErr w:type="gramEnd"/>
      <w:r w:rsidR="00BD785A" w:rsidRPr="00F62719">
        <w:rPr>
          <w:sz w:val="20"/>
          <w:szCs w:val="20"/>
        </w:rPr>
        <w:t xml:space="preserve">, U.N. Doc. CEDAW/C/BGD/CO/8 (2016); </w:t>
      </w:r>
      <w:r w:rsidR="00BD785A" w:rsidRPr="00F62719">
        <w:rPr>
          <w:i/>
          <w:sz w:val="20"/>
          <w:szCs w:val="20"/>
        </w:rPr>
        <w:t>Argentina</w:t>
      </w:r>
      <w:r w:rsidR="00BD785A" w:rsidRPr="00F62719">
        <w:rPr>
          <w:sz w:val="20"/>
          <w:szCs w:val="20"/>
        </w:rPr>
        <w:t>,</w:t>
      </w:r>
      <w:r w:rsidR="00BD785A" w:rsidRPr="00F62719">
        <w:rPr>
          <w:i/>
          <w:sz w:val="20"/>
          <w:szCs w:val="20"/>
        </w:rPr>
        <w:t xml:space="preserve"> </w:t>
      </w:r>
      <w:r w:rsidR="00BD785A" w:rsidRPr="00F62719">
        <w:rPr>
          <w:sz w:val="20"/>
          <w:szCs w:val="20"/>
        </w:rPr>
        <w:t xml:space="preserve">para. </w:t>
      </w:r>
      <w:proofErr w:type="gramStart"/>
      <w:r w:rsidR="00BD785A" w:rsidRPr="00F62719">
        <w:rPr>
          <w:sz w:val="20"/>
          <w:szCs w:val="20"/>
        </w:rPr>
        <w:t>32</w:t>
      </w:r>
      <w:proofErr w:type="gramEnd"/>
      <w:r w:rsidR="00BD785A" w:rsidRPr="00F62719">
        <w:rPr>
          <w:sz w:val="20"/>
          <w:szCs w:val="20"/>
        </w:rPr>
        <w:t xml:space="preserve">, U.N. Doc. CEDAW/C/ARG/CO/7 (2016); </w:t>
      </w:r>
      <w:r w:rsidRPr="00F62719">
        <w:rPr>
          <w:i/>
          <w:sz w:val="20"/>
          <w:szCs w:val="20"/>
        </w:rPr>
        <w:t>Malawi</w:t>
      </w:r>
      <w:r w:rsidRPr="00F62719">
        <w:rPr>
          <w:sz w:val="20"/>
          <w:szCs w:val="20"/>
        </w:rPr>
        <w:t xml:space="preserve">, para. </w:t>
      </w:r>
      <w:proofErr w:type="gramStart"/>
      <w:r w:rsidRPr="00F62719">
        <w:rPr>
          <w:sz w:val="20"/>
          <w:szCs w:val="20"/>
        </w:rPr>
        <w:t>31</w:t>
      </w:r>
      <w:proofErr w:type="gramEnd"/>
      <w:r w:rsidRPr="00F62719">
        <w:rPr>
          <w:sz w:val="20"/>
          <w:szCs w:val="20"/>
        </w:rPr>
        <w:t xml:space="preserve">, U.N. Doc. CEDAW/C/MWI/CO (2006); CESCR, </w:t>
      </w:r>
      <w:r w:rsidRPr="00F62719">
        <w:rPr>
          <w:i/>
          <w:sz w:val="20"/>
          <w:szCs w:val="20"/>
        </w:rPr>
        <w:t>Concluding Observations: El Salvador</w:t>
      </w:r>
      <w:r w:rsidRPr="00F62719">
        <w:rPr>
          <w:sz w:val="20"/>
          <w:szCs w:val="20"/>
        </w:rPr>
        <w:t xml:space="preserve">, para. </w:t>
      </w:r>
      <w:proofErr w:type="gramStart"/>
      <w:r w:rsidRPr="00F62719">
        <w:rPr>
          <w:sz w:val="20"/>
          <w:szCs w:val="20"/>
        </w:rPr>
        <w:t>22</w:t>
      </w:r>
      <w:proofErr w:type="gramEnd"/>
      <w:r w:rsidRPr="00F62719">
        <w:rPr>
          <w:sz w:val="20"/>
          <w:szCs w:val="20"/>
        </w:rPr>
        <w:t xml:space="preserve">, U.N. Doc. E/C.12/SLV/ CO/3-5 (2014); </w:t>
      </w:r>
      <w:r w:rsidR="00BD785A" w:rsidRPr="00F62719">
        <w:rPr>
          <w:sz w:val="20"/>
          <w:szCs w:val="20"/>
        </w:rPr>
        <w:t xml:space="preserve">HRC, </w:t>
      </w:r>
      <w:r w:rsidR="00BD785A" w:rsidRPr="00F62719">
        <w:rPr>
          <w:i/>
          <w:sz w:val="20"/>
          <w:szCs w:val="20"/>
        </w:rPr>
        <w:t>Concluding Observations: Jamaica</w:t>
      </w:r>
      <w:r w:rsidR="00BD785A" w:rsidRPr="00F62719">
        <w:rPr>
          <w:sz w:val="20"/>
          <w:szCs w:val="20"/>
        </w:rPr>
        <w:t>,</w:t>
      </w:r>
      <w:r w:rsidR="00BD785A" w:rsidRPr="00F62719">
        <w:rPr>
          <w:i/>
          <w:sz w:val="20"/>
          <w:szCs w:val="20"/>
        </w:rPr>
        <w:t xml:space="preserve"> </w:t>
      </w:r>
      <w:r w:rsidR="00BD785A" w:rsidRPr="00F62719">
        <w:rPr>
          <w:sz w:val="20"/>
          <w:szCs w:val="20"/>
        </w:rPr>
        <w:t xml:space="preserve">para. </w:t>
      </w:r>
      <w:proofErr w:type="gramStart"/>
      <w:r w:rsidR="00BD785A" w:rsidRPr="00F62719">
        <w:rPr>
          <w:sz w:val="20"/>
          <w:szCs w:val="20"/>
        </w:rPr>
        <w:t>25</w:t>
      </w:r>
      <w:proofErr w:type="gramEnd"/>
      <w:r w:rsidR="00BD785A" w:rsidRPr="00F62719">
        <w:rPr>
          <w:sz w:val="20"/>
          <w:szCs w:val="20"/>
        </w:rPr>
        <w:t>, U.N. Doc. CCPR/C/JAM/CO/4 (2016)</w:t>
      </w:r>
      <w:r w:rsidR="00BD785A">
        <w:rPr>
          <w:sz w:val="20"/>
          <w:szCs w:val="20"/>
        </w:rPr>
        <w:t xml:space="preserve">; </w:t>
      </w:r>
      <w:r w:rsidRPr="00F62719">
        <w:rPr>
          <w:i/>
          <w:sz w:val="20"/>
          <w:szCs w:val="20"/>
        </w:rPr>
        <w:t>Panama</w:t>
      </w:r>
      <w:r w:rsidRPr="00F62719">
        <w:rPr>
          <w:sz w:val="20"/>
          <w:szCs w:val="20"/>
        </w:rPr>
        <w:t xml:space="preserve">, para. </w:t>
      </w:r>
      <w:proofErr w:type="gramStart"/>
      <w:r w:rsidRPr="00F62719">
        <w:rPr>
          <w:sz w:val="20"/>
          <w:szCs w:val="20"/>
        </w:rPr>
        <w:t>9</w:t>
      </w:r>
      <w:proofErr w:type="gramEnd"/>
      <w:r w:rsidRPr="00F62719">
        <w:rPr>
          <w:sz w:val="20"/>
          <w:szCs w:val="20"/>
        </w:rPr>
        <w:t xml:space="preserve">, U.N. Doc. CCPR/C/PAN/CO/3 (2008); CRC Committee, </w:t>
      </w:r>
      <w:r w:rsidRPr="00F62719">
        <w:rPr>
          <w:i/>
          <w:sz w:val="20"/>
          <w:szCs w:val="20"/>
        </w:rPr>
        <w:t>Concluding Observations: Haiti</w:t>
      </w:r>
      <w:r w:rsidRPr="00F62719">
        <w:rPr>
          <w:sz w:val="20"/>
          <w:szCs w:val="20"/>
        </w:rPr>
        <w:t xml:space="preserve">, para. 46, U.N. Doc. CRC/C/15/ Add.202 (2003); Committee </w:t>
      </w:r>
      <w:proofErr w:type="gramStart"/>
      <w:r w:rsidRPr="00F62719">
        <w:rPr>
          <w:sz w:val="20"/>
          <w:szCs w:val="20"/>
        </w:rPr>
        <w:t>Against</w:t>
      </w:r>
      <w:proofErr w:type="gramEnd"/>
      <w:r w:rsidRPr="00F62719">
        <w:rPr>
          <w:sz w:val="20"/>
          <w:szCs w:val="20"/>
        </w:rPr>
        <w:t xml:space="preserve"> Torture, </w:t>
      </w:r>
      <w:r w:rsidRPr="00F62719">
        <w:rPr>
          <w:i/>
          <w:sz w:val="20"/>
          <w:szCs w:val="20"/>
        </w:rPr>
        <w:t>Concluding Observations: Yemen</w:t>
      </w:r>
      <w:r w:rsidRPr="00F62719">
        <w:rPr>
          <w:sz w:val="20"/>
          <w:szCs w:val="20"/>
        </w:rPr>
        <w:t xml:space="preserve">, para. </w:t>
      </w:r>
      <w:proofErr w:type="gramStart"/>
      <w:r w:rsidRPr="00F62719">
        <w:rPr>
          <w:sz w:val="20"/>
          <w:szCs w:val="20"/>
        </w:rPr>
        <w:t>31</w:t>
      </w:r>
      <w:proofErr w:type="gramEnd"/>
      <w:r w:rsidRPr="00F62719">
        <w:rPr>
          <w:sz w:val="20"/>
          <w:szCs w:val="20"/>
        </w:rPr>
        <w:t>, U.N. Doc. CAT/C/YEM/ CO/2/Rev. 1 (2010).</w:t>
      </w:r>
    </w:p>
  </w:endnote>
  <w:endnote w:id="23">
    <w:p w14:paraId="3582490B" w14:textId="45F5825F"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proofErr w:type="gramStart"/>
      <w:r w:rsidRPr="00F62719">
        <w:rPr>
          <w:smallCaps/>
          <w:sz w:val="20"/>
          <w:szCs w:val="20"/>
        </w:rPr>
        <w:t>WHO</w:t>
      </w:r>
      <w:proofErr w:type="gramEnd"/>
      <w:r w:rsidRPr="00F62719">
        <w:rPr>
          <w:smallCaps/>
          <w:sz w:val="20"/>
          <w:szCs w:val="20"/>
        </w:rPr>
        <w:t xml:space="preserve">, UNICEF, UNFPA, World Bank Group, and the United Nations Population Division, </w:t>
      </w:r>
      <w:r w:rsidRPr="00F62719">
        <w:rPr>
          <w:iCs/>
          <w:smallCaps/>
          <w:sz w:val="20"/>
          <w:szCs w:val="20"/>
        </w:rPr>
        <w:t>Trends in Maternal Mortality: 1990 to 2015</w:t>
      </w:r>
      <w:r w:rsidRPr="00F62719">
        <w:rPr>
          <w:iCs/>
          <w:sz w:val="20"/>
          <w:szCs w:val="20"/>
        </w:rPr>
        <w:t>, a</w:t>
      </w:r>
      <w:r w:rsidRPr="00F62719">
        <w:rPr>
          <w:sz w:val="20"/>
          <w:szCs w:val="20"/>
        </w:rPr>
        <w:t xml:space="preserve">t 15, 26 (2012), </w:t>
      </w:r>
      <w:r w:rsidRPr="00F62719">
        <w:rPr>
          <w:i/>
          <w:sz w:val="20"/>
          <w:szCs w:val="20"/>
        </w:rPr>
        <w:t xml:space="preserve">available at </w:t>
      </w:r>
      <w:r w:rsidRPr="00F62719">
        <w:rPr>
          <w:sz w:val="20"/>
          <w:szCs w:val="20"/>
        </w:rPr>
        <w:t xml:space="preserve">http://apps.who.int/iris/bitstream/10665/194254/1/9789241565141_eng.pdf. </w:t>
      </w:r>
    </w:p>
  </w:endnote>
  <w:endnote w:id="24">
    <w:p w14:paraId="6238F76C" w14:textId="4442390A"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r w:rsidRPr="00F62719">
        <w:rPr>
          <w:smallCaps/>
          <w:sz w:val="20"/>
          <w:szCs w:val="20"/>
        </w:rPr>
        <w:t>UNFPA, Shelter from the Storm</w:t>
      </w:r>
      <w:r w:rsidRPr="00F62719">
        <w:rPr>
          <w:sz w:val="20"/>
          <w:szCs w:val="20"/>
        </w:rPr>
        <w:t xml:space="preserve">, </w:t>
      </w:r>
      <w:r w:rsidRPr="00F62719">
        <w:rPr>
          <w:i/>
          <w:iCs/>
          <w:sz w:val="20"/>
          <w:szCs w:val="20"/>
        </w:rPr>
        <w:t xml:space="preserve">supra </w:t>
      </w:r>
      <w:r w:rsidRPr="00F62719">
        <w:rPr>
          <w:sz w:val="20"/>
          <w:szCs w:val="20"/>
        </w:rPr>
        <w:t>note</w:t>
      </w:r>
      <w:r w:rsidR="00C90559" w:rsidRPr="00F62719">
        <w:rPr>
          <w:sz w:val="20"/>
          <w:szCs w:val="20"/>
        </w:rPr>
        <w:t xml:space="preserve"> </w:t>
      </w:r>
      <w:proofErr w:type="gramStart"/>
      <w:r w:rsidR="00C90559" w:rsidRPr="00F62719">
        <w:rPr>
          <w:sz w:val="20"/>
          <w:szCs w:val="20"/>
        </w:rPr>
        <w:t>1</w:t>
      </w:r>
      <w:bookmarkStart w:id="5" w:name="__Fieldmark__657_130574555"/>
      <w:bookmarkEnd w:id="5"/>
      <w:proofErr w:type="gramEnd"/>
      <w:r w:rsidRPr="00F62719">
        <w:rPr>
          <w:sz w:val="20"/>
          <w:szCs w:val="20"/>
        </w:rPr>
        <w:t xml:space="preserve">, at 51.  </w:t>
      </w:r>
    </w:p>
  </w:endnote>
  <w:endnote w:id="25">
    <w:p w14:paraId="3E78CE90" w14:textId="24DB8AEA"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Center for Reproductive Rights, </w:t>
      </w:r>
      <w:r w:rsidRPr="00F62719">
        <w:rPr>
          <w:i/>
          <w:iCs/>
          <w:sz w:val="20"/>
          <w:szCs w:val="20"/>
        </w:rPr>
        <w:t xml:space="preserve">Breaking Ground 2018: Treaty Monitoring Bodies on Reproductive Rights </w:t>
      </w:r>
      <w:r w:rsidRPr="00F62719">
        <w:rPr>
          <w:sz w:val="20"/>
          <w:szCs w:val="20"/>
        </w:rPr>
        <w:t xml:space="preserve">(2018) </w:t>
      </w:r>
      <w:r w:rsidRPr="00F62719">
        <w:rPr>
          <w:i/>
          <w:iCs/>
          <w:sz w:val="20"/>
          <w:szCs w:val="20"/>
        </w:rPr>
        <w:t xml:space="preserve">available </w:t>
      </w:r>
      <w:r w:rsidRPr="00F62719">
        <w:rPr>
          <w:iCs/>
          <w:sz w:val="20"/>
          <w:szCs w:val="20"/>
        </w:rPr>
        <w:t>at https://www.reproductiverights.org/document/breaking-ground-2018-treaty-monitoring-bodies-on-reproductive-rights.</w:t>
      </w:r>
    </w:p>
  </w:endnote>
  <w:endnote w:id="26">
    <w:p w14:paraId="2AF2FE48" w14:textId="77FF905F"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Universal Declaration of Human Rights, adopted Dec. 10, 1948, G.A. Res. 217A (III), art. 25(2), U.N. Doc A/810 at 71 (1948); Convention on the Rights of the Child, adopted Nov. 20, 1989, preamble, G.A. Res. 44/25, annex, U.N. GAOR, 44th Sess., Supp. No. 49, U.N. Doc. A/44/49 (1989) (entered into force Sept. 2, 1990) [hereinafter CRC]; International Covenant on Civil and Political Rights, adopted Dec </w:t>
      </w:r>
      <w:proofErr w:type="gramStart"/>
      <w:r w:rsidRPr="00F62719">
        <w:rPr>
          <w:sz w:val="20"/>
          <w:szCs w:val="20"/>
        </w:rPr>
        <w:t>16th</w:t>
      </w:r>
      <w:proofErr w:type="gramEnd"/>
      <w:r w:rsidRPr="00F62719">
        <w:rPr>
          <w:sz w:val="20"/>
          <w:szCs w:val="20"/>
        </w:rPr>
        <w:t xml:space="preserve">, 1966, art. </w:t>
      </w:r>
      <w:proofErr w:type="gramStart"/>
      <w:r w:rsidRPr="00F62719">
        <w:rPr>
          <w:sz w:val="20"/>
          <w:szCs w:val="20"/>
        </w:rPr>
        <w:t>24</w:t>
      </w:r>
      <w:proofErr w:type="gramEnd"/>
      <w:r w:rsidRPr="00F62719">
        <w:rPr>
          <w:sz w:val="20"/>
          <w:szCs w:val="20"/>
        </w:rPr>
        <w:t xml:space="preserve">, G.A. Res. 2200A (XXI), U.N. GAOR, 21st Sess., Supp. No. 16, U.N. Doc. A/6316 (1966), 999 U.N.T.S. 171 (entered into force Mar. 23, 1976) [hereinafter ICCPR]; International Covenant on Economic, Social, and Cultural Rights, adopted Dec. </w:t>
      </w:r>
      <w:proofErr w:type="gramStart"/>
      <w:r w:rsidRPr="00F62719">
        <w:rPr>
          <w:sz w:val="20"/>
          <w:szCs w:val="20"/>
        </w:rPr>
        <w:t>16th</w:t>
      </w:r>
      <w:proofErr w:type="gramEnd"/>
      <w:r w:rsidRPr="00F62719">
        <w:rPr>
          <w:sz w:val="20"/>
          <w:szCs w:val="20"/>
        </w:rPr>
        <w:t>, 1966, art. 10(3), G.A. Res. 2200A (XXI), U.N. GAOR, Supp. No. 16, U.N. Doc. A/6316 (1966) (entered into force Jan. 3, 1976) [hereinafter ICESCR].</w:t>
      </w:r>
    </w:p>
  </w:endnote>
  <w:endnote w:id="27">
    <w:p w14:paraId="2D0A7B3E" w14:textId="59D776D1" w:rsidR="00DF744A" w:rsidRPr="00F62719" w:rsidRDefault="00DF744A" w:rsidP="002E3A73">
      <w:pPr>
        <w:rPr>
          <w:sz w:val="20"/>
          <w:szCs w:val="20"/>
        </w:rPr>
      </w:pPr>
      <w:r w:rsidRPr="00F62719">
        <w:rPr>
          <w:rStyle w:val="EndnoteReference"/>
          <w:sz w:val="20"/>
          <w:szCs w:val="20"/>
        </w:rPr>
        <w:endnoteRef/>
      </w:r>
      <w:r w:rsidRPr="00F62719">
        <w:rPr>
          <w:sz w:val="20"/>
          <w:szCs w:val="20"/>
        </w:rPr>
        <w:t xml:space="preserve"> CRC, </w:t>
      </w:r>
      <w:r w:rsidRPr="00F62719">
        <w:rPr>
          <w:i/>
          <w:sz w:val="20"/>
          <w:szCs w:val="20"/>
        </w:rPr>
        <w:t xml:space="preserve">supra </w:t>
      </w:r>
      <w:r w:rsidRPr="00F62719">
        <w:rPr>
          <w:sz w:val="20"/>
          <w:szCs w:val="20"/>
        </w:rPr>
        <w:t>note</w:t>
      </w:r>
      <w:r w:rsidR="00C90559" w:rsidRPr="00F62719">
        <w:rPr>
          <w:sz w:val="20"/>
          <w:szCs w:val="20"/>
        </w:rPr>
        <w:t xml:space="preserve"> </w:t>
      </w:r>
      <w:r w:rsidR="00654389" w:rsidRPr="00F62719">
        <w:rPr>
          <w:sz w:val="20"/>
          <w:szCs w:val="20"/>
        </w:rPr>
        <w:t>2</w:t>
      </w:r>
      <w:r w:rsidR="00BD785A">
        <w:rPr>
          <w:sz w:val="20"/>
          <w:szCs w:val="20"/>
        </w:rPr>
        <w:t>6</w:t>
      </w:r>
      <w:r w:rsidRPr="00F62719">
        <w:rPr>
          <w:sz w:val="20"/>
          <w:szCs w:val="20"/>
        </w:rPr>
        <w:t xml:space="preserve">, art. 24; </w:t>
      </w:r>
      <w:r w:rsidR="00AA7903" w:rsidRPr="00F62719">
        <w:rPr>
          <w:sz w:val="20"/>
          <w:szCs w:val="20"/>
        </w:rPr>
        <w:t xml:space="preserve">Convention on the Elimination of All Forms of Discrimination against Women, adopted Dec. 18, 1979, art.16(2), G.A. Res. 34/180, U.N. GOAR, 34th Sess., Supp. No. 46, at 47, U.N. Doc. A/34/46, U.N.T.S. 13 (entered into force Sept. </w:t>
      </w:r>
      <w:proofErr w:type="gramStart"/>
      <w:r w:rsidR="00AA7903" w:rsidRPr="00F62719">
        <w:rPr>
          <w:sz w:val="20"/>
          <w:szCs w:val="20"/>
        </w:rPr>
        <w:t>3rd</w:t>
      </w:r>
      <w:proofErr w:type="gramEnd"/>
      <w:r w:rsidR="00AA7903" w:rsidRPr="00F62719">
        <w:rPr>
          <w:sz w:val="20"/>
          <w:szCs w:val="20"/>
        </w:rPr>
        <w:t>, 1981) [hereinafter CEDAW]</w:t>
      </w:r>
      <w:r w:rsidR="00C90559" w:rsidRPr="00F62719">
        <w:rPr>
          <w:sz w:val="20"/>
          <w:szCs w:val="20"/>
        </w:rPr>
        <w:t xml:space="preserve">; </w:t>
      </w:r>
      <w:r w:rsidRPr="00F62719">
        <w:rPr>
          <w:sz w:val="20"/>
          <w:szCs w:val="20"/>
        </w:rPr>
        <w:t xml:space="preserve">ICESCR, </w:t>
      </w:r>
      <w:r w:rsidRPr="00F62719">
        <w:rPr>
          <w:i/>
          <w:sz w:val="20"/>
          <w:szCs w:val="20"/>
        </w:rPr>
        <w:t>supra</w:t>
      </w:r>
      <w:r w:rsidRPr="00F62719">
        <w:rPr>
          <w:sz w:val="20"/>
          <w:szCs w:val="20"/>
        </w:rPr>
        <w:t xml:space="preserve"> note </w:t>
      </w:r>
      <w:r w:rsidR="00BC52D8" w:rsidRPr="00F62719">
        <w:rPr>
          <w:sz w:val="20"/>
          <w:szCs w:val="20"/>
        </w:rPr>
        <w:t>2</w:t>
      </w:r>
      <w:r w:rsidR="00BD785A">
        <w:rPr>
          <w:sz w:val="20"/>
          <w:szCs w:val="20"/>
        </w:rPr>
        <w:t>6</w:t>
      </w:r>
      <w:r w:rsidRPr="00F62719">
        <w:rPr>
          <w:sz w:val="20"/>
          <w:szCs w:val="20"/>
        </w:rPr>
        <w:t xml:space="preserve">, at para. </w:t>
      </w:r>
      <w:proofErr w:type="gramStart"/>
      <w:r w:rsidRPr="00F62719">
        <w:rPr>
          <w:sz w:val="20"/>
          <w:szCs w:val="20"/>
        </w:rPr>
        <w:t>3</w:t>
      </w:r>
      <w:proofErr w:type="gramEnd"/>
      <w:r w:rsidR="00C90559" w:rsidRPr="00F62719">
        <w:rPr>
          <w:sz w:val="20"/>
          <w:szCs w:val="20"/>
        </w:rPr>
        <w:t xml:space="preserve">; ICCPR, </w:t>
      </w:r>
      <w:r w:rsidR="00C90559" w:rsidRPr="00F62719">
        <w:rPr>
          <w:i/>
          <w:sz w:val="20"/>
          <w:szCs w:val="20"/>
        </w:rPr>
        <w:t xml:space="preserve">supra </w:t>
      </w:r>
      <w:r w:rsidR="00C90559" w:rsidRPr="00F62719">
        <w:rPr>
          <w:sz w:val="20"/>
          <w:szCs w:val="20"/>
        </w:rPr>
        <w:t xml:space="preserve">note </w:t>
      </w:r>
      <w:r w:rsidR="00654389" w:rsidRPr="00F62719">
        <w:rPr>
          <w:sz w:val="20"/>
          <w:szCs w:val="20"/>
        </w:rPr>
        <w:t>2</w:t>
      </w:r>
      <w:r w:rsidR="00BD785A">
        <w:rPr>
          <w:sz w:val="20"/>
          <w:szCs w:val="20"/>
        </w:rPr>
        <w:t>6</w:t>
      </w:r>
      <w:r w:rsidR="00C90559" w:rsidRPr="00F62719">
        <w:rPr>
          <w:sz w:val="20"/>
          <w:szCs w:val="20"/>
        </w:rPr>
        <w:t>, art. 23</w:t>
      </w:r>
      <w:r w:rsidRPr="00F62719">
        <w:rPr>
          <w:sz w:val="20"/>
          <w:szCs w:val="20"/>
        </w:rPr>
        <w:t>.</w:t>
      </w:r>
    </w:p>
  </w:endnote>
  <w:endnote w:id="28">
    <w:p w14:paraId="67AB84B7" w14:textId="396644C6" w:rsidR="00DF744A" w:rsidRPr="00F62719" w:rsidRDefault="00DF744A" w:rsidP="002E3A73">
      <w:pPr>
        <w:rPr>
          <w:sz w:val="20"/>
          <w:szCs w:val="20"/>
        </w:rPr>
      </w:pPr>
      <w:r w:rsidRPr="00F62719">
        <w:rPr>
          <w:rStyle w:val="EndnoteReference"/>
          <w:sz w:val="20"/>
          <w:szCs w:val="20"/>
        </w:rPr>
        <w:endnoteRef/>
      </w:r>
      <w:r w:rsidRPr="00F62719">
        <w:rPr>
          <w:sz w:val="20"/>
          <w:szCs w:val="20"/>
        </w:rPr>
        <w:t xml:space="preserve"> HRC, </w:t>
      </w:r>
      <w:r w:rsidRPr="00F62719">
        <w:rPr>
          <w:i/>
          <w:sz w:val="20"/>
          <w:szCs w:val="20"/>
        </w:rPr>
        <w:t>General Comment No. 28: (Article 3) The equality of rights between men and women (68th Sess., 2000)</w:t>
      </w:r>
      <w:r w:rsidRPr="00F62719">
        <w:rPr>
          <w:sz w:val="20"/>
          <w:szCs w:val="20"/>
        </w:rPr>
        <w:t xml:space="preserve">, in Compilation of General Comments and General Recommendations Adopted by Human Rights Treaty Bodies, at 233, para. </w:t>
      </w:r>
      <w:proofErr w:type="gramStart"/>
      <w:r w:rsidRPr="00F62719">
        <w:rPr>
          <w:sz w:val="20"/>
          <w:szCs w:val="20"/>
        </w:rPr>
        <w:t>28</w:t>
      </w:r>
      <w:proofErr w:type="gramEnd"/>
      <w:r w:rsidRPr="00F62719">
        <w:rPr>
          <w:sz w:val="20"/>
          <w:szCs w:val="20"/>
        </w:rPr>
        <w:t>, U.N. Doc. HRI/GEN/1/ Rev.9 (Vol. I) (2008).</w:t>
      </w:r>
    </w:p>
  </w:endnote>
  <w:endnote w:id="29">
    <w:p w14:paraId="762E1E67" w14:textId="69276693" w:rsidR="00DF744A" w:rsidRPr="00F62719" w:rsidRDefault="00DF744A" w:rsidP="00D11D5E">
      <w:pPr>
        <w:rPr>
          <w:sz w:val="20"/>
          <w:szCs w:val="20"/>
        </w:rPr>
      </w:pPr>
      <w:r w:rsidRPr="00F62719">
        <w:rPr>
          <w:rStyle w:val="EndnoteReference"/>
          <w:sz w:val="20"/>
          <w:szCs w:val="20"/>
        </w:rPr>
        <w:endnoteRef/>
      </w:r>
      <w:r w:rsidRPr="00F62719">
        <w:rPr>
          <w:sz w:val="20"/>
          <w:szCs w:val="20"/>
        </w:rPr>
        <w:t xml:space="preserve"> CRC Committee, </w:t>
      </w:r>
      <w:r w:rsidRPr="00F62719">
        <w:rPr>
          <w:i/>
          <w:sz w:val="20"/>
          <w:szCs w:val="20"/>
        </w:rPr>
        <w:t>Concluding Observations: Cameroon</w:t>
      </w:r>
      <w:r w:rsidRPr="00F62719">
        <w:rPr>
          <w:sz w:val="20"/>
          <w:szCs w:val="20"/>
        </w:rPr>
        <w:t xml:space="preserve">, para. </w:t>
      </w:r>
      <w:proofErr w:type="gramStart"/>
      <w:r w:rsidRPr="00F62719">
        <w:rPr>
          <w:sz w:val="20"/>
          <w:szCs w:val="20"/>
        </w:rPr>
        <w:t>59</w:t>
      </w:r>
      <w:proofErr w:type="gramEnd"/>
      <w:r w:rsidRPr="00F62719">
        <w:rPr>
          <w:sz w:val="20"/>
          <w:szCs w:val="20"/>
        </w:rPr>
        <w:t>, U.N. Doc. CRC/C/CMR/CO/2 (2010).</w:t>
      </w:r>
    </w:p>
  </w:endnote>
  <w:endnote w:id="30">
    <w:p w14:paraId="0E17E3E5" w14:textId="67E0216E" w:rsidR="00DF744A" w:rsidRPr="00F62719" w:rsidRDefault="00DF744A" w:rsidP="00D11D5E">
      <w:pPr>
        <w:rPr>
          <w:sz w:val="20"/>
          <w:szCs w:val="20"/>
        </w:rPr>
      </w:pPr>
      <w:r w:rsidRPr="00F62719">
        <w:rPr>
          <w:rStyle w:val="EndnoteReference"/>
          <w:sz w:val="20"/>
          <w:szCs w:val="20"/>
        </w:rPr>
        <w:endnoteRef/>
      </w:r>
      <w:r w:rsidRPr="00F62719">
        <w:rPr>
          <w:sz w:val="20"/>
          <w:szCs w:val="20"/>
        </w:rPr>
        <w:t xml:space="preserve"> CRC Committee, </w:t>
      </w:r>
      <w:r w:rsidRPr="00F62719">
        <w:rPr>
          <w:i/>
          <w:sz w:val="20"/>
          <w:szCs w:val="20"/>
        </w:rPr>
        <w:t>Concluding Observations: Afghanistan</w:t>
      </w:r>
      <w:r w:rsidRPr="00F62719">
        <w:rPr>
          <w:sz w:val="20"/>
          <w:szCs w:val="20"/>
        </w:rPr>
        <w:t xml:space="preserve">, para. </w:t>
      </w:r>
      <w:proofErr w:type="gramStart"/>
      <w:r w:rsidRPr="00F62719">
        <w:rPr>
          <w:sz w:val="20"/>
          <w:szCs w:val="20"/>
        </w:rPr>
        <w:t>53</w:t>
      </w:r>
      <w:proofErr w:type="gramEnd"/>
      <w:r w:rsidRPr="00F62719">
        <w:rPr>
          <w:sz w:val="20"/>
          <w:szCs w:val="20"/>
        </w:rPr>
        <w:t xml:space="preserve">, U.N. Doc. CRC/C/AFG/CO/1 (2011); </w:t>
      </w:r>
      <w:r w:rsidRPr="00F62719">
        <w:rPr>
          <w:i/>
          <w:sz w:val="20"/>
          <w:szCs w:val="20"/>
        </w:rPr>
        <w:t>Togo</w:t>
      </w:r>
      <w:r w:rsidRPr="00F62719">
        <w:rPr>
          <w:sz w:val="20"/>
          <w:szCs w:val="20"/>
        </w:rPr>
        <w:t xml:space="preserve">, para. </w:t>
      </w:r>
      <w:proofErr w:type="gramStart"/>
      <w:r w:rsidRPr="00F62719">
        <w:rPr>
          <w:sz w:val="20"/>
          <w:szCs w:val="20"/>
        </w:rPr>
        <w:t>55</w:t>
      </w:r>
      <w:proofErr w:type="gramEnd"/>
      <w:r w:rsidRPr="00F62719">
        <w:rPr>
          <w:sz w:val="20"/>
          <w:szCs w:val="20"/>
        </w:rPr>
        <w:t>, U.N. Doc. CRC/C/TGO/CO/3-4 (2012).</w:t>
      </w:r>
    </w:p>
  </w:endnote>
  <w:endnote w:id="31">
    <w:p w14:paraId="4F5B06FD" w14:textId="477B85D6" w:rsidR="00DF744A" w:rsidRPr="00F62719" w:rsidRDefault="00DF744A" w:rsidP="005D723F">
      <w:pPr>
        <w:rPr>
          <w:sz w:val="20"/>
          <w:szCs w:val="20"/>
        </w:rPr>
      </w:pPr>
      <w:r w:rsidRPr="00F62719">
        <w:rPr>
          <w:rStyle w:val="EndnoteReference"/>
          <w:sz w:val="20"/>
          <w:szCs w:val="20"/>
        </w:rPr>
        <w:endnoteRef/>
      </w:r>
      <w:r w:rsidRPr="00F62719">
        <w:rPr>
          <w:sz w:val="20"/>
          <w:szCs w:val="20"/>
        </w:rPr>
        <w:t xml:space="preserve"> CRC Committee, </w:t>
      </w:r>
      <w:r w:rsidRPr="00F62719">
        <w:rPr>
          <w:i/>
          <w:sz w:val="20"/>
          <w:szCs w:val="20"/>
        </w:rPr>
        <w:t>General Comment No. 4: Adolescent health and development in the context of the Convention on the Rights of the Child, (33rd Sess., 2003)</w:t>
      </w:r>
      <w:r w:rsidRPr="00F62719">
        <w:rPr>
          <w:sz w:val="20"/>
          <w:szCs w:val="20"/>
        </w:rPr>
        <w:t xml:space="preserve">, in Compilation of General Comments and General Recommendations Adopted by Human Rights Treaty Bodies, at 416, para. </w:t>
      </w:r>
      <w:proofErr w:type="gramStart"/>
      <w:r w:rsidRPr="00F62719">
        <w:rPr>
          <w:sz w:val="20"/>
          <w:szCs w:val="20"/>
        </w:rPr>
        <w:t>20</w:t>
      </w:r>
      <w:proofErr w:type="gramEnd"/>
      <w:r w:rsidRPr="00F62719">
        <w:rPr>
          <w:sz w:val="20"/>
          <w:szCs w:val="20"/>
        </w:rPr>
        <w:t>, U.N. Doc. HRI/GEN/1/Rev.9 (Vol. II) (2008).</w:t>
      </w:r>
    </w:p>
  </w:endnote>
  <w:endnote w:id="32">
    <w:p w14:paraId="40D8B74C" w14:textId="6A929B0E" w:rsidR="00C90559" w:rsidRPr="00F62719" w:rsidRDefault="00C90559">
      <w:pPr>
        <w:pStyle w:val="EndnoteText"/>
        <w:rPr>
          <w:i/>
          <w:sz w:val="20"/>
          <w:szCs w:val="20"/>
        </w:rPr>
      </w:pPr>
      <w:r w:rsidRPr="00F62719">
        <w:rPr>
          <w:rStyle w:val="EndnoteReference"/>
          <w:sz w:val="20"/>
          <w:szCs w:val="20"/>
        </w:rPr>
        <w:endnoteRef/>
      </w:r>
      <w:r w:rsidRPr="00F62719">
        <w:rPr>
          <w:sz w:val="20"/>
          <w:szCs w:val="20"/>
        </w:rPr>
        <w:t xml:space="preserve"> CEDAW Committee, </w:t>
      </w:r>
      <w:r w:rsidRPr="00F62719">
        <w:rPr>
          <w:i/>
          <w:sz w:val="20"/>
          <w:szCs w:val="20"/>
        </w:rPr>
        <w:t>General recommendation No. 36 (2017) on the right of girls and women to education</w:t>
      </w:r>
      <w:r w:rsidRPr="00F62719">
        <w:rPr>
          <w:sz w:val="20"/>
          <w:szCs w:val="20"/>
        </w:rPr>
        <w:t xml:space="preserve">, paras. 33, 52, 53, U.N. Doc. CEDAW/C/GC/36 (2017). </w:t>
      </w:r>
    </w:p>
  </w:endnote>
  <w:endnote w:id="33">
    <w:p w14:paraId="406EE944" w14:textId="39F60319" w:rsidR="00C90559" w:rsidRPr="00F62719" w:rsidRDefault="00C90559">
      <w:pPr>
        <w:pStyle w:val="EndnoteText"/>
        <w:rPr>
          <w:sz w:val="20"/>
          <w:szCs w:val="20"/>
        </w:rPr>
      </w:pPr>
      <w:r w:rsidRPr="00F62719">
        <w:rPr>
          <w:rStyle w:val="EndnoteReference"/>
          <w:sz w:val="20"/>
          <w:szCs w:val="20"/>
        </w:rPr>
        <w:endnoteRef/>
      </w:r>
      <w:r w:rsidRPr="00F62719">
        <w:rPr>
          <w:sz w:val="20"/>
          <w:szCs w:val="20"/>
        </w:rPr>
        <w:t xml:space="preserve"> CEDAW and CRC Committees, </w:t>
      </w:r>
      <w:r w:rsidRPr="00F62719">
        <w:rPr>
          <w:i/>
          <w:sz w:val="20"/>
          <w:szCs w:val="20"/>
        </w:rPr>
        <w:t>Joint general recommendation, supra</w:t>
      </w:r>
      <w:r w:rsidRPr="00F62719">
        <w:rPr>
          <w:sz w:val="20"/>
          <w:szCs w:val="20"/>
        </w:rPr>
        <w:t xml:space="preserve"> note </w:t>
      </w:r>
      <w:r w:rsidR="002925E2" w:rsidRPr="00F62719">
        <w:rPr>
          <w:sz w:val="20"/>
          <w:szCs w:val="20"/>
        </w:rPr>
        <w:t>2</w:t>
      </w:r>
      <w:r w:rsidR="00935115">
        <w:rPr>
          <w:sz w:val="20"/>
          <w:szCs w:val="20"/>
        </w:rPr>
        <w:t>2</w:t>
      </w:r>
      <w:r w:rsidRPr="00F62719">
        <w:rPr>
          <w:sz w:val="20"/>
          <w:szCs w:val="20"/>
        </w:rPr>
        <w:t xml:space="preserve">, at para. 22. </w:t>
      </w:r>
    </w:p>
  </w:endnote>
  <w:endnote w:id="34">
    <w:p w14:paraId="6505156F" w14:textId="2DE1A163" w:rsidR="00DF744A" w:rsidRPr="00F62719" w:rsidRDefault="00DF744A" w:rsidP="005D723F">
      <w:pPr>
        <w:rPr>
          <w:sz w:val="20"/>
          <w:szCs w:val="20"/>
        </w:rPr>
      </w:pPr>
      <w:r w:rsidRPr="00F62719">
        <w:rPr>
          <w:rStyle w:val="EndnoteReference"/>
          <w:sz w:val="20"/>
          <w:szCs w:val="20"/>
        </w:rPr>
        <w:endnoteRef/>
      </w:r>
      <w:r w:rsidRPr="00F62719">
        <w:rPr>
          <w:sz w:val="20"/>
          <w:szCs w:val="20"/>
        </w:rPr>
        <w:t xml:space="preserve"> CRC Committee, </w:t>
      </w:r>
      <w:r w:rsidRPr="00F62719">
        <w:rPr>
          <w:i/>
          <w:sz w:val="20"/>
          <w:szCs w:val="20"/>
        </w:rPr>
        <w:t>General Comment No. 13: The right of the child from freedom of all forms of violence</w:t>
      </w:r>
      <w:r w:rsidRPr="00F62719">
        <w:rPr>
          <w:sz w:val="20"/>
          <w:szCs w:val="20"/>
        </w:rPr>
        <w:t xml:space="preserve">, 56th Sess., para. 29(e), U.N. Doc. CRC/C/GC/13 (2011). </w:t>
      </w:r>
      <w:r w:rsidRPr="00F62719">
        <w:rPr>
          <w:i/>
          <w:sz w:val="20"/>
          <w:szCs w:val="20"/>
        </w:rPr>
        <w:t>See also</w:t>
      </w:r>
      <w:r w:rsidRPr="00F62719">
        <w:rPr>
          <w:sz w:val="20"/>
          <w:szCs w:val="20"/>
        </w:rPr>
        <w:t xml:space="preserve"> </w:t>
      </w:r>
      <w:r w:rsidR="00935115">
        <w:rPr>
          <w:sz w:val="20"/>
          <w:szCs w:val="20"/>
        </w:rPr>
        <w:t>C</w:t>
      </w:r>
      <w:r w:rsidRPr="00F62719">
        <w:rPr>
          <w:sz w:val="20"/>
          <w:szCs w:val="20"/>
        </w:rPr>
        <w:t xml:space="preserve">ESCR, </w:t>
      </w:r>
      <w:r w:rsidRPr="00F62719">
        <w:rPr>
          <w:i/>
          <w:sz w:val="20"/>
          <w:szCs w:val="20"/>
        </w:rPr>
        <w:t>Concluding Observations: Afghanistan</w:t>
      </w:r>
      <w:r w:rsidRPr="00F62719">
        <w:rPr>
          <w:sz w:val="20"/>
          <w:szCs w:val="20"/>
        </w:rPr>
        <w:t xml:space="preserve">, paras. 18, 28, U.N. Doc E/C.12/ AFG/CO/2-4 (2010); </w:t>
      </w:r>
      <w:r w:rsidRPr="00F62719">
        <w:rPr>
          <w:i/>
          <w:sz w:val="20"/>
          <w:szCs w:val="20"/>
        </w:rPr>
        <w:t>Philippines</w:t>
      </w:r>
      <w:r w:rsidRPr="00F62719">
        <w:rPr>
          <w:sz w:val="20"/>
          <w:szCs w:val="20"/>
        </w:rPr>
        <w:t xml:space="preserve">, para. </w:t>
      </w:r>
      <w:proofErr w:type="gramStart"/>
      <w:r w:rsidRPr="00F62719">
        <w:rPr>
          <w:sz w:val="20"/>
          <w:szCs w:val="20"/>
        </w:rPr>
        <w:t>18</w:t>
      </w:r>
      <w:proofErr w:type="gramEnd"/>
      <w:r w:rsidRPr="00F62719">
        <w:rPr>
          <w:sz w:val="20"/>
          <w:szCs w:val="20"/>
        </w:rPr>
        <w:t>, U.N. Doc E/C.12/PHL/CO/4 (2008).</w:t>
      </w:r>
    </w:p>
  </w:endnote>
  <w:endnote w:id="35">
    <w:p w14:paraId="6278882B" w14:textId="43F91B7F"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CRC, </w:t>
      </w:r>
      <w:r w:rsidRPr="00F62719">
        <w:rPr>
          <w:i/>
          <w:sz w:val="20"/>
          <w:szCs w:val="20"/>
        </w:rPr>
        <w:t>supra</w:t>
      </w:r>
      <w:r w:rsidRPr="00F62719">
        <w:rPr>
          <w:sz w:val="20"/>
          <w:szCs w:val="20"/>
        </w:rPr>
        <w:t xml:space="preserve"> note</w:t>
      </w:r>
      <w:r w:rsidR="00793082" w:rsidRPr="00F62719">
        <w:rPr>
          <w:sz w:val="20"/>
          <w:szCs w:val="20"/>
        </w:rPr>
        <w:t xml:space="preserve"> </w:t>
      </w:r>
      <w:r w:rsidR="00BC52D8" w:rsidRPr="00F62719">
        <w:rPr>
          <w:sz w:val="20"/>
          <w:szCs w:val="20"/>
        </w:rPr>
        <w:t>2</w:t>
      </w:r>
      <w:r w:rsidR="00935115">
        <w:rPr>
          <w:sz w:val="20"/>
          <w:szCs w:val="20"/>
        </w:rPr>
        <w:t>6</w:t>
      </w:r>
      <w:r w:rsidRPr="00F62719">
        <w:rPr>
          <w:sz w:val="20"/>
          <w:szCs w:val="20"/>
        </w:rPr>
        <w:t>, art. 19</w:t>
      </w:r>
    </w:p>
  </w:endnote>
  <w:endnote w:id="36">
    <w:p w14:paraId="42D48A52" w14:textId="1CB543E0" w:rsidR="00DF744A" w:rsidRPr="00F62719" w:rsidRDefault="00DF744A" w:rsidP="005D723F">
      <w:pPr>
        <w:rPr>
          <w:sz w:val="20"/>
          <w:szCs w:val="20"/>
        </w:rPr>
      </w:pPr>
      <w:r w:rsidRPr="00F62719">
        <w:rPr>
          <w:rStyle w:val="EndnoteReference"/>
          <w:sz w:val="20"/>
          <w:szCs w:val="20"/>
        </w:rPr>
        <w:endnoteRef/>
      </w:r>
      <w:r w:rsidRPr="00F62719">
        <w:rPr>
          <w:sz w:val="20"/>
          <w:szCs w:val="20"/>
        </w:rPr>
        <w:t xml:space="preserve"> CRC Committee, </w:t>
      </w:r>
      <w:r w:rsidRPr="00F62719">
        <w:rPr>
          <w:i/>
          <w:sz w:val="20"/>
          <w:szCs w:val="20"/>
        </w:rPr>
        <w:t>Gen. Comment No. 13</w:t>
      </w:r>
      <w:r w:rsidRPr="00F62719">
        <w:rPr>
          <w:sz w:val="20"/>
          <w:szCs w:val="20"/>
        </w:rPr>
        <w:t xml:space="preserve">, </w:t>
      </w:r>
      <w:r w:rsidR="00935115">
        <w:rPr>
          <w:i/>
          <w:sz w:val="20"/>
          <w:szCs w:val="20"/>
        </w:rPr>
        <w:t>supra</w:t>
      </w:r>
      <w:r w:rsidR="00935115">
        <w:rPr>
          <w:sz w:val="20"/>
          <w:szCs w:val="20"/>
        </w:rPr>
        <w:t xml:space="preserve"> note 34</w:t>
      </w:r>
      <w:r w:rsidRPr="00F62719">
        <w:rPr>
          <w:sz w:val="20"/>
          <w:szCs w:val="20"/>
        </w:rPr>
        <w:t>, para. 32.</w:t>
      </w:r>
    </w:p>
  </w:endnote>
  <w:endnote w:id="37">
    <w:p w14:paraId="58FB9A6E" w14:textId="35666EA4" w:rsidR="00DF744A" w:rsidRPr="00F62719" w:rsidRDefault="00DF744A" w:rsidP="006D403C">
      <w:pPr>
        <w:rPr>
          <w:bCs/>
          <w:sz w:val="20"/>
          <w:szCs w:val="20"/>
          <w:shd w:val="clear" w:color="auto" w:fill="FFFFFF"/>
        </w:rPr>
      </w:pPr>
      <w:r w:rsidRPr="00F62719">
        <w:rPr>
          <w:rStyle w:val="EndnoteReference"/>
          <w:sz w:val="20"/>
          <w:szCs w:val="20"/>
        </w:rPr>
        <w:endnoteRef/>
      </w:r>
      <w:r w:rsidRPr="00F62719">
        <w:rPr>
          <w:sz w:val="20"/>
          <w:szCs w:val="20"/>
        </w:rPr>
        <w:t xml:space="preserve"> CESCR, </w:t>
      </w:r>
      <w:r w:rsidRPr="00F62719">
        <w:rPr>
          <w:bCs/>
          <w:i/>
          <w:sz w:val="20"/>
          <w:szCs w:val="20"/>
          <w:shd w:val="clear" w:color="auto" w:fill="FFFFFF"/>
        </w:rPr>
        <w:t>General Comment No. 22 (2016) on the Right to sexual and reproductive health</w:t>
      </w:r>
      <w:r w:rsidRPr="00F62719">
        <w:rPr>
          <w:bCs/>
          <w:sz w:val="20"/>
          <w:szCs w:val="20"/>
          <w:shd w:val="clear" w:color="auto" w:fill="FFFFFF"/>
        </w:rPr>
        <w:t xml:space="preserve">, para. 49(c), U.N. Doc. E/C.12/GC/22 (2016) [hereinafter </w:t>
      </w:r>
      <w:r w:rsidRPr="00F62719">
        <w:rPr>
          <w:sz w:val="20"/>
          <w:szCs w:val="20"/>
        </w:rPr>
        <w:t xml:space="preserve">CESCR, </w:t>
      </w:r>
      <w:r w:rsidRPr="00F62719">
        <w:rPr>
          <w:bCs/>
          <w:i/>
          <w:sz w:val="20"/>
          <w:szCs w:val="20"/>
          <w:shd w:val="clear" w:color="auto" w:fill="FFFFFF"/>
        </w:rPr>
        <w:t>General Comment No. 22</w:t>
      </w:r>
      <w:r w:rsidRPr="00F62719">
        <w:rPr>
          <w:bCs/>
          <w:sz w:val="20"/>
          <w:szCs w:val="20"/>
          <w:shd w:val="clear" w:color="auto" w:fill="FFFFFF"/>
        </w:rPr>
        <w:t>].</w:t>
      </w:r>
    </w:p>
  </w:endnote>
  <w:endnote w:id="38">
    <w:p w14:paraId="3DC4BB44" w14:textId="77777777" w:rsidR="00F52E61" w:rsidRPr="00F62719" w:rsidRDefault="00F52E61" w:rsidP="00F52E61">
      <w:pPr>
        <w:autoSpaceDE w:val="0"/>
        <w:autoSpaceDN w:val="0"/>
        <w:adjustRightInd w:val="0"/>
        <w:rPr>
          <w:rFonts w:eastAsiaTheme="minorEastAsia"/>
          <w:sz w:val="20"/>
          <w:szCs w:val="20"/>
        </w:rPr>
      </w:pPr>
      <w:r w:rsidRPr="00F62719">
        <w:rPr>
          <w:rStyle w:val="EndnoteReference"/>
          <w:sz w:val="20"/>
          <w:szCs w:val="20"/>
        </w:rPr>
        <w:endnoteRef/>
      </w:r>
      <w:r w:rsidRPr="00F62719">
        <w:rPr>
          <w:sz w:val="20"/>
          <w:szCs w:val="20"/>
        </w:rPr>
        <w:t xml:space="preserve"> Special Rapporteur on violence against women, its causes and consequences, </w:t>
      </w:r>
      <w:r w:rsidRPr="00F62719">
        <w:rPr>
          <w:i/>
          <w:sz w:val="20"/>
          <w:szCs w:val="20"/>
        </w:rPr>
        <w:t xml:space="preserve">Rep. of the Special Rapporteur on violence against women, its causes and consequences, </w:t>
      </w:r>
      <w:proofErr w:type="spellStart"/>
      <w:r w:rsidRPr="00F62719">
        <w:rPr>
          <w:i/>
          <w:sz w:val="20"/>
          <w:szCs w:val="20"/>
        </w:rPr>
        <w:t>Rashida</w:t>
      </w:r>
      <w:proofErr w:type="spellEnd"/>
      <w:r w:rsidRPr="00F62719">
        <w:rPr>
          <w:i/>
          <w:sz w:val="20"/>
          <w:szCs w:val="20"/>
        </w:rPr>
        <w:t xml:space="preserve"> </w:t>
      </w:r>
      <w:proofErr w:type="spellStart"/>
      <w:r w:rsidRPr="00F62719">
        <w:rPr>
          <w:i/>
          <w:sz w:val="20"/>
          <w:szCs w:val="20"/>
        </w:rPr>
        <w:t>Manjoo</w:t>
      </w:r>
      <w:proofErr w:type="spellEnd"/>
      <w:r w:rsidRPr="00F62719">
        <w:rPr>
          <w:i/>
          <w:sz w:val="20"/>
          <w:szCs w:val="20"/>
        </w:rPr>
        <w:t xml:space="preserve"> – Addendum – Mission to India, </w:t>
      </w:r>
      <w:r w:rsidRPr="00F62719">
        <w:rPr>
          <w:sz w:val="20"/>
          <w:szCs w:val="20"/>
        </w:rPr>
        <w:t xml:space="preserve">para. </w:t>
      </w:r>
      <w:proofErr w:type="gramStart"/>
      <w:r w:rsidRPr="00F62719">
        <w:rPr>
          <w:sz w:val="20"/>
          <w:szCs w:val="20"/>
        </w:rPr>
        <w:t>13</w:t>
      </w:r>
      <w:proofErr w:type="gramEnd"/>
      <w:r w:rsidRPr="00F62719">
        <w:rPr>
          <w:sz w:val="20"/>
          <w:szCs w:val="20"/>
        </w:rPr>
        <w:t>, U.N. Doc. A/HRC/26/38/Add.1 (2014).</w:t>
      </w:r>
    </w:p>
  </w:endnote>
  <w:endnote w:id="39">
    <w:p w14:paraId="7D52CD4F" w14:textId="7C0F6310" w:rsidR="00DF744A" w:rsidRPr="00F62719" w:rsidRDefault="00DF744A" w:rsidP="00C152B0">
      <w:pPr>
        <w:rPr>
          <w:sz w:val="20"/>
          <w:szCs w:val="20"/>
        </w:rPr>
      </w:pPr>
      <w:r w:rsidRPr="00F62719">
        <w:rPr>
          <w:rStyle w:val="EndnoteReference"/>
          <w:sz w:val="20"/>
          <w:szCs w:val="20"/>
        </w:rPr>
        <w:endnoteRef/>
      </w:r>
      <w:r w:rsidRPr="00F62719">
        <w:rPr>
          <w:sz w:val="20"/>
          <w:szCs w:val="20"/>
        </w:rPr>
        <w:t xml:space="preserve"> </w:t>
      </w:r>
      <w:r w:rsidR="006E080A" w:rsidRPr="00F62719">
        <w:rPr>
          <w:sz w:val="20"/>
          <w:szCs w:val="20"/>
        </w:rPr>
        <w:t xml:space="preserve">ICCPR, </w:t>
      </w:r>
      <w:r w:rsidR="006E080A" w:rsidRPr="00F62719">
        <w:rPr>
          <w:i/>
          <w:sz w:val="20"/>
          <w:szCs w:val="20"/>
        </w:rPr>
        <w:t>supra</w:t>
      </w:r>
      <w:r w:rsidR="006E080A" w:rsidRPr="00F62719">
        <w:rPr>
          <w:sz w:val="20"/>
          <w:szCs w:val="20"/>
        </w:rPr>
        <w:t xml:space="preserve"> note </w:t>
      </w:r>
      <w:r w:rsidR="002925E2" w:rsidRPr="00F62719">
        <w:rPr>
          <w:sz w:val="20"/>
          <w:szCs w:val="20"/>
        </w:rPr>
        <w:t>2</w:t>
      </w:r>
      <w:r w:rsidR="00935115">
        <w:rPr>
          <w:sz w:val="20"/>
          <w:szCs w:val="20"/>
        </w:rPr>
        <w:t>6</w:t>
      </w:r>
      <w:r w:rsidR="006E080A" w:rsidRPr="00F62719">
        <w:rPr>
          <w:sz w:val="20"/>
          <w:szCs w:val="20"/>
        </w:rPr>
        <w:t xml:space="preserve">, art. 3, 26; ICESCR, </w:t>
      </w:r>
      <w:r w:rsidR="006E080A" w:rsidRPr="00F62719">
        <w:rPr>
          <w:i/>
          <w:sz w:val="20"/>
          <w:szCs w:val="20"/>
        </w:rPr>
        <w:t>supra</w:t>
      </w:r>
      <w:r w:rsidR="006E080A" w:rsidRPr="00F62719">
        <w:rPr>
          <w:sz w:val="20"/>
          <w:szCs w:val="20"/>
        </w:rPr>
        <w:t xml:space="preserve"> note 2</w:t>
      </w:r>
      <w:r w:rsidR="00935115">
        <w:rPr>
          <w:sz w:val="20"/>
          <w:szCs w:val="20"/>
        </w:rPr>
        <w:t>6</w:t>
      </w:r>
      <w:r w:rsidR="006E080A" w:rsidRPr="00F62719">
        <w:rPr>
          <w:sz w:val="20"/>
          <w:szCs w:val="20"/>
        </w:rPr>
        <w:t xml:space="preserve">, art. </w:t>
      </w:r>
      <w:proofErr w:type="gramStart"/>
      <w:r w:rsidR="006E080A" w:rsidRPr="00F62719">
        <w:rPr>
          <w:sz w:val="20"/>
          <w:szCs w:val="20"/>
        </w:rPr>
        <w:t>3</w:t>
      </w:r>
      <w:proofErr w:type="gramEnd"/>
      <w:r w:rsidR="006E080A" w:rsidRPr="00F62719">
        <w:rPr>
          <w:sz w:val="20"/>
          <w:szCs w:val="20"/>
        </w:rPr>
        <w:t xml:space="preserve">; CEDAW, </w:t>
      </w:r>
      <w:r w:rsidR="006E080A" w:rsidRPr="00F62719">
        <w:rPr>
          <w:i/>
          <w:sz w:val="20"/>
          <w:szCs w:val="20"/>
        </w:rPr>
        <w:t>supra</w:t>
      </w:r>
      <w:r w:rsidR="006E080A" w:rsidRPr="00F62719">
        <w:rPr>
          <w:sz w:val="20"/>
          <w:szCs w:val="20"/>
        </w:rPr>
        <w:t xml:space="preserve"> note 2</w:t>
      </w:r>
      <w:r w:rsidR="00935115">
        <w:rPr>
          <w:sz w:val="20"/>
          <w:szCs w:val="20"/>
        </w:rPr>
        <w:t>7</w:t>
      </w:r>
      <w:r w:rsidR="006E080A" w:rsidRPr="00F62719">
        <w:rPr>
          <w:sz w:val="20"/>
          <w:szCs w:val="20"/>
        </w:rPr>
        <w:t>, art. 1.</w:t>
      </w:r>
    </w:p>
  </w:endnote>
  <w:endnote w:id="40">
    <w:p w14:paraId="2D92870D" w14:textId="5B680371" w:rsidR="00DF744A" w:rsidRPr="00F62719" w:rsidRDefault="00DF744A" w:rsidP="007F70A8">
      <w:pPr>
        <w:rPr>
          <w:sz w:val="20"/>
          <w:szCs w:val="20"/>
        </w:rPr>
      </w:pPr>
      <w:r w:rsidRPr="00F62719">
        <w:rPr>
          <w:rStyle w:val="EndnoteReference"/>
          <w:sz w:val="20"/>
          <w:szCs w:val="20"/>
        </w:rPr>
        <w:endnoteRef/>
      </w:r>
      <w:r w:rsidRPr="00F62719">
        <w:rPr>
          <w:sz w:val="20"/>
          <w:szCs w:val="20"/>
        </w:rPr>
        <w:t xml:space="preserve"> </w:t>
      </w:r>
      <w:r w:rsidRPr="00F62719">
        <w:rPr>
          <w:i/>
          <w:sz w:val="20"/>
          <w:szCs w:val="20"/>
        </w:rPr>
        <w:t>See</w:t>
      </w:r>
      <w:r w:rsidRPr="00F62719">
        <w:rPr>
          <w:sz w:val="20"/>
          <w:szCs w:val="20"/>
        </w:rPr>
        <w:t xml:space="preserve"> CEDAW Committee, </w:t>
      </w:r>
      <w:r w:rsidRPr="00F62719">
        <w:rPr>
          <w:i/>
          <w:sz w:val="20"/>
          <w:szCs w:val="20"/>
        </w:rPr>
        <w:t>General Recommendation No. 25 (30th Sess., 2004)</w:t>
      </w:r>
      <w:r w:rsidRPr="00F62719">
        <w:rPr>
          <w:sz w:val="20"/>
          <w:szCs w:val="20"/>
        </w:rPr>
        <w:t xml:space="preserve">, in Compilation of General Comments and General Recommendations Adopted by Human Rights Treaty Bodies, at 366-367, paras. 7-10, U.N. Doc. HRI/GEN/1/Rev.9 (Vol. II) (2008); Special Rapporteur on violence against women, its causes and consequences, Rep. of the Special Rapporteur on violence against women, its causes and consequences, Ms. Radhika </w:t>
      </w:r>
      <w:proofErr w:type="spellStart"/>
      <w:r w:rsidRPr="00F62719">
        <w:rPr>
          <w:sz w:val="20"/>
          <w:szCs w:val="20"/>
        </w:rPr>
        <w:t>Coomaraswamy</w:t>
      </w:r>
      <w:proofErr w:type="spellEnd"/>
      <w:r w:rsidRPr="00F62719">
        <w:rPr>
          <w:sz w:val="20"/>
          <w:szCs w:val="20"/>
        </w:rPr>
        <w:t xml:space="preserve">, submitted in accordance with Commission on Human Rights resolution 2001/49, </w:t>
      </w:r>
      <w:r w:rsidRPr="00F62719">
        <w:rPr>
          <w:i/>
          <w:sz w:val="20"/>
          <w:szCs w:val="20"/>
        </w:rPr>
        <w:t>Cultural practices in the family that are violent towards women</w:t>
      </w:r>
      <w:r w:rsidRPr="00F62719">
        <w:rPr>
          <w:sz w:val="20"/>
          <w:szCs w:val="20"/>
        </w:rPr>
        <w:t xml:space="preserve">, para. </w:t>
      </w:r>
      <w:proofErr w:type="gramStart"/>
      <w:r w:rsidRPr="00F62719">
        <w:rPr>
          <w:sz w:val="20"/>
          <w:szCs w:val="20"/>
        </w:rPr>
        <w:t>90</w:t>
      </w:r>
      <w:proofErr w:type="gramEnd"/>
      <w:r w:rsidRPr="00F62719">
        <w:rPr>
          <w:sz w:val="20"/>
          <w:szCs w:val="20"/>
        </w:rPr>
        <w:t>, U.N. Doc. E/CN.4/2002/83 (Jan. 31, 2002).</w:t>
      </w:r>
    </w:p>
  </w:endnote>
  <w:endnote w:id="41">
    <w:p w14:paraId="7851B22D" w14:textId="4058E4FC" w:rsidR="00DF744A" w:rsidRPr="00F62719" w:rsidRDefault="00DF744A" w:rsidP="007F70A8">
      <w:pPr>
        <w:rPr>
          <w:sz w:val="20"/>
          <w:szCs w:val="20"/>
        </w:rPr>
      </w:pPr>
      <w:r w:rsidRPr="00F62719">
        <w:rPr>
          <w:rStyle w:val="EndnoteReference"/>
          <w:sz w:val="20"/>
          <w:szCs w:val="20"/>
        </w:rPr>
        <w:endnoteRef/>
      </w:r>
      <w:r w:rsidRPr="00F62719">
        <w:rPr>
          <w:sz w:val="20"/>
          <w:szCs w:val="20"/>
        </w:rPr>
        <w:t xml:space="preserve"> </w:t>
      </w:r>
      <w:r w:rsidR="00935115">
        <w:rPr>
          <w:sz w:val="20"/>
          <w:szCs w:val="20"/>
        </w:rPr>
        <w:t>C</w:t>
      </w:r>
      <w:r w:rsidRPr="00F62719">
        <w:rPr>
          <w:sz w:val="20"/>
          <w:szCs w:val="20"/>
        </w:rPr>
        <w:t xml:space="preserve">ESCR, </w:t>
      </w:r>
      <w:r w:rsidRPr="00F62719">
        <w:rPr>
          <w:i/>
          <w:sz w:val="20"/>
          <w:szCs w:val="20"/>
        </w:rPr>
        <w:t>General Comment No. 16: The equal right of men and women to the enjoyment of all economic, social, and cultural rights (Art. 3)</w:t>
      </w:r>
      <w:r w:rsidRPr="00F62719">
        <w:rPr>
          <w:sz w:val="20"/>
          <w:szCs w:val="20"/>
        </w:rPr>
        <w:t xml:space="preserve">, (34th Sess., 2005) in Compilation of General Comments and General Recommendations Adopted by Human Rights Treaty Bodies, at 199, para. </w:t>
      </w:r>
      <w:proofErr w:type="gramStart"/>
      <w:r w:rsidRPr="00F62719">
        <w:rPr>
          <w:sz w:val="20"/>
          <w:szCs w:val="20"/>
        </w:rPr>
        <w:t>27</w:t>
      </w:r>
      <w:proofErr w:type="gramEnd"/>
      <w:r w:rsidRPr="00F62719">
        <w:rPr>
          <w:sz w:val="20"/>
          <w:szCs w:val="20"/>
        </w:rPr>
        <w:t xml:space="preserve">, U.N. Doc. HRI/GEN/1/Rev.9 (Vol. I) (2008); CEDAW Committee, </w:t>
      </w:r>
      <w:r w:rsidRPr="00F62719">
        <w:rPr>
          <w:i/>
          <w:sz w:val="20"/>
          <w:szCs w:val="20"/>
        </w:rPr>
        <w:t>Concluding Observations: Italy</w:t>
      </w:r>
      <w:r w:rsidRPr="00F62719">
        <w:rPr>
          <w:sz w:val="20"/>
          <w:szCs w:val="20"/>
        </w:rPr>
        <w:t xml:space="preserve">, paras. 52, 53, U.N. Doc. CEDAW/C/ITA/CO/6 (2011); CRC Committee, </w:t>
      </w:r>
      <w:r w:rsidRPr="00F62719">
        <w:rPr>
          <w:i/>
          <w:sz w:val="20"/>
          <w:szCs w:val="20"/>
        </w:rPr>
        <w:t>Concluding Observations: Bangladesh</w:t>
      </w:r>
      <w:r w:rsidRPr="00F62719">
        <w:rPr>
          <w:sz w:val="20"/>
          <w:szCs w:val="20"/>
        </w:rPr>
        <w:t xml:space="preserve">, para. </w:t>
      </w:r>
      <w:proofErr w:type="gramStart"/>
      <w:r w:rsidRPr="00F62719">
        <w:rPr>
          <w:sz w:val="20"/>
          <w:szCs w:val="20"/>
        </w:rPr>
        <w:t>32</w:t>
      </w:r>
      <w:proofErr w:type="gramEnd"/>
      <w:r w:rsidRPr="00F62719">
        <w:rPr>
          <w:sz w:val="20"/>
          <w:szCs w:val="20"/>
        </w:rPr>
        <w:t xml:space="preserve">, U.N. Doc. CRC/C/BGD/CO/4, (2009); </w:t>
      </w:r>
      <w:r w:rsidRPr="00F62719">
        <w:rPr>
          <w:i/>
          <w:sz w:val="20"/>
          <w:szCs w:val="20"/>
        </w:rPr>
        <w:t>Pakistan</w:t>
      </w:r>
      <w:r w:rsidRPr="00F62719">
        <w:rPr>
          <w:sz w:val="20"/>
          <w:szCs w:val="20"/>
        </w:rPr>
        <w:t xml:space="preserve">, paras. 18-19, U.N. Doc. CRC/C/PAK/CO/5 (2016); Human Rights Committee, </w:t>
      </w:r>
      <w:r w:rsidRPr="00F62719">
        <w:rPr>
          <w:i/>
          <w:sz w:val="20"/>
          <w:szCs w:val="20"/>
        </w:rPr>
        <w:t>Concluding Observations: Yemen</w:t>
      </w:r>
      <w:r w:rsidRPr="00F62719">
        <w:rPr>
          <w:sz w:val="20"/>
          <w:szCs w:val="20"/>
        </w:rPr>
        <w:t xml:space="preserve">, para. </w:t>
      </w:r>
      <w:proofErr w:type="gramStart"/>
      <w:r w:rsidRPr="00F62719">
        <w:rPr>
          <w:sz w:val="20"/>
          <w:szCs w:val="20"/>
        </w:rPr>
        <w:t>10</w:t>
      </w:r>
      <w:proofErr w:type="gramEnd"/>
      <w:r w:rsidRPr="00F62719">
        <w:rPr>
          <w:sz w:val="20"/>
          <w:szCs w:val="20"/>
        </w:rPr>
        <w:t>, U.N. Doc. CCPR/CO/75/YEM (2002).</w:t>
      </w:r>
    </w:p>
  </w:endnote>
  <w:endnote w:id="42">
    <w:p w14:paraId="3809A302" w14:textId="69D961D3" w:rsidR="00DF744A" w:rsidRPr="00F62719" w:rsidRDefault="00DF744A" w:rsidP="007F70A8">
      <w:pPr>
        <w:rPr>
          <w:sz w:val="20"/>
          <w:szCs w:val="20"/>
        </w:rPr>
      </w:pPr>
      <w:r w:rsidRPr="00F62719">
        <w:rPr>
          <w:rStyle w:val="EndnoteReference"/>
          <w:sz w:val="20"/>
          <w:szCs w:val="20"/>
        </w:rPr>
        <w:endnoteRef/>
      </w:r>
      <w:r w:rsidRPr="00F62719">
        <w:rPr>
          <w:sz w:val="20"/>
          <w:szCs w:val="20"/>
        </w:rPr>
        <w:t xml:space="preserve"> CRC Committee, </w:t>
      </w:r>
      <w:r w:rsidRPr="00F62719">
        <w:rPr>
          <w:i/>
          <w:sz w:val="20"/>
          <w:szCs w:val="20"/>
        </w:rPr>
        <w:t>Concluding Observations: India</w:t>
      </w:r>
      <w:r w:rsidRPr="00F62719">
        <w:rPr>
          <w:sz w:val="20"/>
          <w:szCs w:val="20"/>
        </w:rPr>
        <w:t xml:space="preserve">, paras. 60- 61, U.N. Doc. CRC/C/15/Add.228 26 (2004); </w:t>
      </w:r>
      <w:r w:rsidRPr="00F62719">
        <w:rPr>
          <w:i/>
          <w:sz w:val="20"/>
          <w:szCs w:val="20"/>
        </w:rPr>
        <w:t>Afghanistan</w:t>
      </w:r>
      <w:r w:rsidRPr="00F62719">
        <w:rPr>
          <w:sz w:val="20"/>
          <w:szCs w:val="20"/>
        </w:rPr>
        <w:t xml:space="preserve">, para. </w:t>
      </w:r>
      <w:proofErr w:type="gramStart"/>
      <w:r w:rsidRPr="00F62719">
        <w:rPr>
          <w:sz w:val="20"/>
          <w:szCs w:val="20"/>
        </w:rPr>
        <w:t>55</w:t>
      </w:r>
      <w:proofErr w:type="gramEnd"/>
      <w:r w:rsidRPr="00F62719">
        <w:rPr>
          <w:sz w:val="20"/>
          <w:szCs w:val="20"/>
        </w:rPr>
        <w:t xml:space="preserve">, U.N. Doc CRC/C/AFG/CO/1 (2011); CEDAW Committee, </w:t>
      </w:r>
      <w:r w:rsidRPr="00F62719">
        <w:rPr>
          <w:i/>
          <w:sz w:val="20"/>
          <w:szCs w:val="20"/>
        </w:rPr>
        <w:t>General Recommendation No. 21: Equality in marriage and family relations</w:t>
      </w:r>
      <w:r w:rsidRPr="00F62719">
        <w:rPr>
          <w:sz w:val="20"/>
          <w:szCs w:val="20"/>
        </w:rPr>
        <w:t>, (13th Sess., 1994), in Compilation of General Comments and General Recommendations Adopted by Human Rights Treaty Bodies, at 337, paras. 36-37, U.N. Doc. HRI/GEN/1/ Rev.9 (Vol. II) (2008).</w:t>
      </w:r>
    </w:p>
  </w:endnote>
  <w:endnote w:id="43">
    <w:p w14:paraId="540943E7" w14:textId="4FAD91F2" w:rsidR="00DF744A" w:rsidRPr="00F62719" w:rsidRDefault="00DF744A" w:rsidP="007F70A8">
      <w:pPr>
        <w:rPr>
          <w:sz w:val="20"/>
          <w:szCs w:val="20"/>
        </w:rPr>
      </w:pPr>
      <w:r w:rsidRPr="00F62719">
        <w:rPr>
          <w:rStyle w:val="EndnoteReference"/>
          <w:sz w:val="20"/>
          <w:szCs w:val="20"/>
        </w:rPr>
        <w:endnoteRef/>
      </w:r>
      <w:r w:rsidRPr="00F62719">
        <w:rPr>
          <w:sz w:val="20"/>
          <w:szCs w:val="20"/>
        </w:rPr>
        <w:t xml:space="preserve"> CEDAW Committee, </w:t>
      </w:r>
      <w:r w:rsidRPr="00F62719">
        <w:rPr>
          <w:i/>
          <w:sz w:val="20"/>
          <w:szCs w:val="20"/>
        </w:rPr>
        <w:t>Concluding Observations: India</w:t>
      </w:r>
      <w:r w:rsidRPr="00F62719">
        <w:rPr>
          <w:sz w:val="20"/>
          <w:szCs w:val="20"/>
        </w:rPr>
        <w:t xml:space="preserve">, paras. 38-39, U.N. Doc. CEDAW/C/IND/4-5 (2014); </w:t>
      </w:r>
      <w:r w:rsidRPr="00F62719">
        <w:rPr>
          <w:i/>
          <w:sz w:val="20"/>
          <w:szCs w:val="20"/>
        </w:rPr>
        <w:t>Bangladesh</w:t>
      </w:r>
      <w:r w:rsidRPr="00F62719">
        <w:rPr>
          <w:sz w:val="20"/>
          <w:szCs w:val="20"/>
        </w:rPr>
        <w:t xml:space="preserve">, para. </w:t>
      </w:r>
      <w:proofErr w:type="gramStart"/>
      <w:r w:rsidRPr="00F62719">
        <w:rPr>
          <w:sz w:val="20"/>
          <w:szCs w:val="20"/>
        </w:rPr>
        <w:t>39</w:t>
      </w:r>
      <w:proofErr w:type="gramEnd"/>
      <w:r w:rsidRPr="00F62719">
        <w:rPr>
          <w:sz w:val="20"/>
          <w:szCs w:val="20"/>
        </w:rPr>
        <w:t>, CEDAW/C/BGD/CO/7 (2011).</w:t>
      </w:r>
    </w:p>
  </w:endnote>
  <w:endnote w:id="44">
    <w:p w14:paraId="6DEFCF7D" w14:textId="65CBF4E9" w:rsidR="00DF744A" w:rsidRPr="00F62719" w:rsidRDefault="00DF744A" w:rsidP="007F70A8">
      <w:pPr>
        <w:rPr>
          <w:sz w:val="20"/>
          <w:szCs w:val="20"/>
        </w:rPr>
      </w:pPr>
      <w:r w:rsidRPr="00F62719">
        <w:rPr>
          <w:rStyle w:val="EndnoteReference"/>
          <w:sz w:val="20"/>
          <w:szCs w:val="20"/>
        </w:rPr>
        <w:endnoteRef/>
      </w:r>
      <w:r w:rsidRPr="00F62719">
        <w:rPr>
          <w:sz w:val="20"/>
          <w:szCs w:val="20"/>
        </w:rPr>
        <w:t xml:space="preserve"> Human Rights Committee, Concluding Observations: Democratic Republic of the Congo, para. </w:t>
      </w:r>
      <w:proofErr w:type="gramStart"/>
      <w:r w:rsidRPr="00F62719">
        <w:rPr>
          <w:sz w:val="20"/>
          <w:szCs w:val="20"/>
        </w:rPr>
        <w:t>11</w:t>
      </w:r>
      <w:proofErr w:type="gramEnd"/>
      <w:r w:rsidRPr="00F62719">
        <w:rPr>
          <w:sz w:val="20"/>
          <w:szCs w:val="20"/>
        </w:rPr>
        <w:t>, U.N. Doc. CCPR/C/COD/CO/3 (2006).</w:t>
      </w:r>
    </w:p>
  </w:endnote>
  <w:endnote w:id="45">
    <w:p w14:paraId="2B5F8BB9" w14:textId="7A24AA0C" w:rsidR="00DF744A" w:rsidRPr="00F62719" w:rsidRDefault="00DF744A" w:rsidP="007F70A8">
      <w:pPr>
        <w:rPr>
          <w:sz w:val="20"/>
          <w:szCs w:val="20"/>
        </w:rPr>
      </w:pPr>
      <w:r w:rsidRPr="00F62719">
        <w:rPr>
          <w:rStyle w:val="EndnoteReference"/>
          <w:sz w:val="20"/>
          <w:szCs w:val="20"/>
        </w:rPr>
        <w:endnoteRef/>
      </w:r>
      <w:r w:rsidRPr="00F62719">
        <w:rPr>
          <w:sz w:val="20"/>
          <w:szCs w:val="20"/>
        </w:rPr>
        <w:t xml:space="preserve"> CAT Committee, </w:t>
      </w:r>
      <w:r w:rsidRPr="00F62719">
        <w:rPr>
          <w:i/>
          <w:sz w:val="20"/>
          <w:szCs w:val="20"/>
        </w:rPr>
        <w:t>Concluding Observations: Bulgaria</w:t>
      </w:r>
      <w:r w:rsidRPr="00F62719">
        <w:rPr>
          <w:sz w:val="20"/>
          <w:szCs w:val="20"/>
        </w:rPr>
        <w:t xml:space="preserve">, para. </w:t>
      </w:r>
      <w:proofErr w:type="gramStart"/>
      <w:r w:rsidRPr="00F62719">
        <w:rPr>
          <w:sz w:val="20"/>
          <w:szCs w:val="20"/>
        </w:rPr>
        <w:t>26</w:t>
      </w:r>
      <w:proofErr w:type="gramEnd"/>
      <w:r w:rsidRPr="00F62719">
        <w:rPr>
          <w:sz w:val="20"/>
          <w:szCs w:val="20"/>
        </w:rPr>
        <w:t xml:space="preserve">, U.N. Doc. CAT/C/BGR/CO/4-5 (2011); </w:t>
      </w:r>
      <w:r w:rsidRPr="00F62719">
        <w:rPr>
          <w:i/>
          <w:sz w:val="20"/>
          <w:szCs w:val="20"/>
        </w:rPr>
        <w:t>Yemen</w:t>
      </w:r>
      <w:r w:rsidRPr="00F62719">
        <w:rPr>
          <w:sz w:val="20"/>
          <w:szCs w:val="20"/>
        </w:rPr>
        <w:t xml:space="preserve">, para. </w:t>
      </w:r>
      <w:proofErr w:type="gramStart"/>
      <w:r w:rsidRPr="00F62719">
        <w:rPr>
          <w:sz w:val="20"/>
          <w:szCs w:val="20"/>
        </w:rPr>
        <w:t>31</w:t>
      </w:r>
      <w:proofErr w:type="gramEnd"/>
      <w:r w:rsidRPr="00F62719">
        <w:rPr>
          <w:sz w:val="20"/>
          <w:szCs w:val="20"/>
        </w:rPr>
        <w:t xml:space="preserve">, U.N. Doc CAT/C/YEM/CO/2 (2009); Human Rights Committee, </w:t>
      </w:r>
      <w:r w:rsidRPr="00F62719">
        <w:rPr>
          <w:i/>
          <w:sz w:val="20"/>
          <w:szCs w:val="20"/>
        </w:rPr>
        <w:t>Concluding Observations: Yemen</w:t>
      </w:r>
      <w:r w:rsidRPr="00F62719">
        <w:rPr>
          <w:sz w:val="20"/>
          <w:szCs w:val="20"/>
        </w:rPr>
        <w:t>, para. 10, U.N. Doc. CCPR/C/YEM/CO/5 (2012)</w:t>
      </w:r>
      <w:r w:rsidR="005D1ED4">
        <w:rPr>
          <w:sz w:val="20"/>
          <w:szCs w:val="20"/>
        </w:rPr>
        <w:t xml:space="preserve">; Report of Special Rapporteur on torture and other cruel, inhuman or degrading treatment or punishment, </w:t>
      </w:r>
      <w:r w:rsidR="0045181D">
        <w:rPr>
          <w:sz w:val="20"/>
          <w:szCs w:val="20"/>
        </w:rPr>
        <w:t>U.N. Doc A/HRC/31/57, para</w:t>
      </w:r>
      <w:r w:rsidR="00935115">
        <w:rPr>
          <w:sz w:val="20"/>
          <w:szCs w:val="20"/>
        </w:rPr>
        <w:t>s</w:t>
      </w:r>
      <w:r w:rsidR="0045181D">
        <w:rPr>
          <w:sz w:val="20"/>
          <w:szCs w:val="20"/>
        </w:rPr>
        <w:t xml:space="preserve"> 63-64</w:t>
      </w:r>
      <w:r w:rsidR="00935115">
        <w:rPr>
          <w:sz w:val="20"/>
          <w:szCs w:val="20"/>
        </w:rPr>
        <w:t xml:space="preserve"> (2016)</w:t>
      </w:r>
      <w:r w:rsidR="0045181D">
        <w:rPr>
          <w:sz w:val="20"/>
          <w:szCs w:val="20"/>
        </w:rPr>
        <w:t xml:space="preserve">, </w:t>
      </w:r>
      <w:r w:rsidR="0045181D" w:rsidRPr="00BE0C09">
        <w:rPr>
          <w:i/>
          <w:sz w:val="20"/>
          <w:szCs w:val="20"/>
        </w:rPr>
        <w:t xml:space="preserve">available at </w:t>
      </w:r>
      <w:r w:rsidR="0045181D" w:rsidRPr="0045181D">
        <w:rPr>
          <w:sz w:val="20"/>
          <w:szCs w:val="20"/>
        </w:rPr>
        <w:t>https://undocs.org/A/HRC/31/57</w:t>
      </w:r>
      <w:r w:rsidR="0045181D">
        <w:rPr>
          <w:sz w:val="20"/>
          <w:szCs w:val="20"/>
        </w:rPr>
        <w:t xml:space="preserve"> </w:t>
      </w:r>
    </w:p>
  </w:endnote>
  <w:endnote w:id="46">
    <w:p w14:paraId="700B59DA" w14:textId="42B7CB74" w:rsidR="00DF744A" w:rsidRPr="00F62719" w:rsidRDefault="00DF744A">
      <w:pPr>
        <w:pStyle w:val="EndnoteText"/>
        <w:rPr>
          <w:sz w:val="20"/>
          <w:szCs w:val="20"/>
        </w:rPr>
      </w:pPr>
      <w:r w:rsidRPr="00F62719">
        <w:rPr>
          <w:rStyle w:val="EndnoteReference"/>
          <w:sz w:val="20"/>
          <w:szCs w:val="20"/>
        </w:rPr>
        <w:endnoteRef/>
      </w:r>
      <w:r w:rsidRPr="00F62719">
        <w:rPr>
          <w:sz w:val="20"/>
          <w:szCs w:val="20"/>
        </w:rPr>
        <w:t xml:space="preserve"> </w:t>
      </w:r>
      <w:r w:rsidR="005454AE" w:rsidRPr="00F62719">
        <w:rPr>
          <w:sz w:val="20"/>
          <w:szCs w:val="20"/>
        </w:rPr>
        <w:t xml:space="preserve">Human Rights Committee, </w:t>
      </w:r>
      <w:r w:rsidR="005454AE" w:rsidRPr="00F62719">
        <w:rPr>
          <w:i/>
          <w:sz w:val="20"/>
          <w:szCs w:val="20"/>
        </w:rPr>
        <w:t>Concluding Observations: Yemen</w:t>
      </w:r>
      <w:r w:rsidR="005454AE" w:rsidRPr="00F62719">
        <w:rPr>
          <w:sz w:val="20"/>
          <w:szCs w:val="20"/>
        </w:rPr>
        <w:t xml:space="preserve">, para. </w:t>
      </w:r>
      <w:proofErr w:type="gramStart"/>
      <w:r w:rsidR="005454AE" w:rsidRPr="00F62719">
        <w:rPr>
          <w:sz w:val="20"/>
          <w:szCs w:val="20"/>
        </w:rPr>
        <w:t>10</w:t>
      </w:r>
      <w:proofErr w:type="gramEnd"/>
      <w:r w:rsidR="005454AE" w:rsidRPr="00F62719">
        <w:rPr>
          <w:sz w:val="20"/>
          <w:szCs w:val="20"/>
        </w:rPr>
        <w:t>, U.N. Doc. CCPR/C/YEM/CO/5 (2012)</w:t>
      </w:r>
      <w:r w:rsidR="005454AE">
        <w:rPr>
          <w:sz w:val="20"/>
          <w:szCs w:val="20"/>
        </w:rPr>
        <w:t>.</w:t>
      </w:r>
    </w:p>
  </w:endnote>
  <w:endnote w:id="47">
    <w:p w14:paraId="47E17BE3" w14:textId="1987A203" w:rsidR="00DF744A" w:rsidRPr="00F62719" w:rsidRDefault="00DF744A">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Id</w:t>
      </w:r>
      <w:r w:rsidRPr="00F62719">
        <w:rPr>
          <w:sz w:val="20"/>
          <w:szCs w:val="20"/>
        </w:rPr>
        <w:t>.</w:t>
      </w:r>
    </w:p>
  </w:endnote>
  <w:endnote w:id="48">
    <w:p w14:paraId="38F2EB2D" w14:textId="08CB1EB1" w:rsidR="00DF744A" w:rsidRPr="00F62719" w:rsidRDefault="00DF744A" w:rsidP="007F70A8">
      <w:pPr>
        <w:rPr>
          <w:sz w:val="20"/>
          <w:szCs w:val="20"/>
        </w:rPr>
      </w:pPr>
      <w:r w:rsidRPr="00F62719">
        <w:rPr>
          <w:rStyle w:val="EndnoteReference"/>
          <w:sz w:val="20"/>
          <w:szCs w:val="20"/>
        </w:rPr>
        <w:endnoteRef/>
      </w:r>
      <w:r w:rsidRPr="00F62719">
        <w:rPr>
          <w:sz w:val="20"/>
          <w:szCs w:val="20"/>
        </w:rPr>
        <w:t xml:space="preserve"> Human Rights Committee, </w:t>
      </w:r>
      <w:r w:rsidRPr="00F62719">
        <w:rPr>
          <w:i/>
          <w:sz w:val="20"/>
          <w:szCs w:val="20"/>
        </w:rPr>
        <w:t>Concluding Observations: Bulgaria</w:t>
      </w:r>
      <w:r w:rsidRPr="00F62719">
        <w:rPr>
          <w:sz w:val="20"/>
          <w:szCs w:val="20"/>
        </w:rPr>
        <w:t xml:space="preserve">, para. </w:t>
      </w:r>
      <w:proofErr w:type="gramStart"/>
      <w:r w:rsidRPr="00F62719">
        <w:rPr>
          <w:sz w:val="20"/>
          <w:szCs w:val="20"/>
        </w:rPr>
        <w:t>15</w:t>
      </w:r>
      <w:proofErr w:type="gramEnd"/>
      <w:r w:rsidRPr="00F62719">
        <w:rPr>
          <w:sz w:val="20"/>
          <w:szCs w:val="20"/>
        </w:rPr>
        <w:t>, U.N. Doc CCPR/C/BGR/CO/3 (2011).</w:t>
      </w:r>
    </w:p>
  </w:endnote>
  <w:endnote w:id="49">
    <w:p w14:paraId="67776435" w14:textId="7C3108ED" w:rsidR="00DF744A" w:rsidRPr="00F62719" w:rsidRDefault="00DF744A" w:rsidP="002652D7">
      <w:pPr>
        <w:autoSpaceDE w:val="0"/>
        <w:autoSpaceDN w:val="0"/>
        <w:adjustRightInd w:val="0"/>
        <w:rPr>
          <w:sz w:val="20"/>
          <w:szCs w:val="20"/>
        </w:rPr>
      </w:pPr>
      <w:r w:rsidRPr="00F62719">
        <w:rPr>
          <w:rStyle w:val="EndnoteReference"/>
          <w:sz w:val="20"/>
          <w:szCs w:val="20"/>
        </w:rPr>
        <w:endnoteRef/>
      </w:r>
      <w:r w:rsidRPr="00F62719">
        <w:rPr>
          <w:sz w:val="20"/>
          <w:szCs w:val="20"/>
        </w:rPr>
        <w:t xml:space="preserve"> Human Rights Committee, </w:t>
      </w:r>
      <w:r w:rsidRPr="00F62719">
        <w:rPr>
          <w:i/>
          <w:sz w:val="20"/>
          <w:szCs w:val="20"/>
        </w:rPr>
        <w:t>General Comment No. 29: Article 4: Derogations during a State of Emergency</w:t>
      </w:r>
      <w:r w:rsidRPr="00F62719">
        <w:rPr>
          <w:sz w:val="20"/>
          <w:szCs w:val="20"/>
        </w:rPr>
        <w:t xml:space="preserve">, para. </w:t>
      </w:r>
      <w:proofErr w:type="gramStart"/>
      <w:r w:rsidRPr="00F62719">
        <w:rPr>
          <w:sz w:val="20"/>
          <w:szCs w:val="20"/>
        </w:rPr>
        <w:t>1</w:t>
      </w:r>
      <w:proofErr w:type="gramEnd"/>
      <w:r w:rsidRPr="00F62719">
        <w:rPr>
          <w:sz w:val="20"/>
          <w:szCs w:val="20"/>
        </w:rPr>
        <w:t xml:space="preserve">, U.N. Doc. CCPR/C/21/Rev.1/Add.11 (2001) [hereinafter Human Rights Committee, </w:t>
      </w:r>
      <w:r w:rsidRPr="00F62719">
        <w:rPr>
          <w:i/>
          <w:sz w:val="20"/>
          <w:szCs w:val="20"/>
        </w:rPr>
        <w:t>Gen. Comment No. 29</w:t>
      </w:r>
      <w:r w:rsidRPr="00F62719">
        <w:rPr>
          <w:sz w:val="20"/>
          <w:szCs w:val="20"/>
        </w:rPr>
        <w:t xml:space="preserve">]; OHCHR, </w:t>
      </w:r>
      <w:r w:rsidR="00AA7903" w:rsidRPr="00F62719">
        <w:rPr>
          <w:smallCaps/>
          <w:sz w:val="20"/>
          <w:szCs w:val="20"/>
        </w:rPr>
        <w:t xml:space="preserve">International Legal Protection of </w:t>
      </w:r>
      <w:r w:rsidRPr="00F62719">
        <w:rPr>
          <w:smallCaps/>
          <w:sz w:val="20"/>
          <w:szCs w:val="20"/>
        </w:rPr>
        <w:t>Human Rights in Armed Conflict</w:t>
      </w:r>
      <w:r w:rsidRPr="00F62719">
        <w:rPr>
          <w:sz w:val="20"/>
          <w:szCs w:val="20"/>
        </w:rPr>
        <w:t xml:space="preserve"> 10</w:t>
      </w:r>
      <w:r w:rsidR="00AA7903" w:rsidRPr="00F62719">
        <w:rPr>
          <w:sz w:val="20"/>
          <w:szCs w:val="20"/>
        </w:rPr>
        <w:t xml:space="preserve"> (2011), </w:t>
      </w:r>
      <w:r w:rsidR="00AA7903" w:rsidRPr="00F62719">
        <w:rPr>
          <w:i/>
          <w:sz w:val="20"/>
          <w:szCs w:val="20"/>
        </w:rPr>
        <w:t>available at</w:t>
      </w:r>
      <w:r w:rsidR="00AA7903" w:rsidRPr="00F62719">
        <w:rPr>
          <w:sz w:val="20"/>
          <w:szCs w:val="20"/>
        </w:rPr>
        <w:t xml:space="preserve"> http://www.ohchr.org/Documents/Publications/HR_in_armed_conflict.pdf</w:t>
      </w:r>
      <w:r w:rsidRPr="00F62719">
        <w:rPr>
          <w:sz w:val="20"/>
          <w:szCs w:val="20"/>
        </w:rPr>
        <w:t xml:space="preserve">. State obligations with respect to economic, social, and cultural rights, including the right to health, are subject to progressive realization, though states are obligated to take steps to the maximum of available resources </w:t>
      </w:r>
      <w:proofErr w:type="gramStart"/>
      <w:r w:rsidRPr="00F62719">
        <w:rPr>
          <w:sz w:val="20"/>
          <w:szCs w:val="20"/>
        </w:rPr>
        <w:t>to fully realize</w:t>
      </w:r>
      <w:proofErr w:type="gramEnd"/>
      <w:r w:rsidRPr="00F62719">
        <w:rPr>
          <w:sz w:val="20"/>
          <w:szCs w:val="20"/>
        </w:rPr>
        <w:t xml:space="preserve"> these rights. ICESCR, </w:t>
      </w:r>
      <w:r w:rsidRPr="00F62719">
        <w:rPr>
          <w:i/>
          <w:sz w:val="20"/>
          <w:szCs w:val="20"/>
        </w:rPr>
        <w:t>supra</w:t>
      </w:r>
      <w:r w:rsidRPr="00F62719">
        <w:rPr>
          <w:sz w:val="20"/>
          <w:szCs w:val="20"/>
        </w:rPr>
        <w:t xml:space="preserve"> note</w:t>
      </w:r>
      <w:r w:rsidR="00AA7903" w:rsidRPr="00F62719">
        <w:rPr>
          <w:sz w:val="20"/>
          <w:szCs w:val="20"/>
        </w:rPr>
        <w:t xml:space="preserve"> </w:t>
      </w:r>
      <w:r w:rsidR="00BC52D8" w:rsidRPr="00F62719">
        <w:rPr>
          <w:sz w:val="20"/>
          <w:szCs w:val="20"/>
        </w:rPr>
        <w:t>2</w:t>
      </w:r>
      <w:r w:rsidR="00935115">
        <w:rPr>
          <w:sz w:val="20"/>
          <w:szCs w:val="20"/>
        </w:rPr>
        <w:t>6</w:t>
      </w:r>
      <w:r w:rsidRPr="00F62719">
        <w:rPr>
          <w:sz w:val="20"/>
          <w:szCs w:val="20"/>
        </w:rPr>
        <w:t xml:space="preserve">, art. 2(1); </w:t>
      </w:r>
      <w:r w:rsidR="00AA7903" w:rsidRPr="00F62719">
        <w:rPr>
          <w:sz w:val="20"/>
          <w:szCs w:val="20"/>
        </w:rPr>
        <w:t xml:space="preserve">CRC, </w:t>
      </w:r>
      <w:r w:rsidR="00AA7903" w:rsidRPr="00F62719">
        <w:rPr>
          <w:i/>
          <w:sz w:val="20"/>
          <w:szCs w:val="20"/>
        </w:rPr>
        <w:t xml:space="preserve">supra </w:t>
      </w:r>
      <w:r w:rsidR="00AA7903" w:rsidRPr="00F62719">
        <w:rPr>
          <w:sz w:val="20"/>
          <w:szCs w:val="20"/>
        </w:rPr>
        <w:t xml:space="preserve">note </w:t>
      </w:r>
      <w:r w:rsidR="00BC52D8" w:rsidRPr="00F62719">
        <w:rPr>
          <w:sz w:val="20"/>
          <w:szCs w:val="20"/>
        </w:rPr>
        <w:t>2</w:t>
      </w:r>
      <w:r w:rsidR="00935115">
        <w:rPr>
          <w:sz w:val="20"/>
          <w:szCs w:val="20"/>
        </w:rPr>
        <w:t>6</w:t>
      </w:r>
      <w:r w:rsidRPr="00F62719">
        <w:rPr>
          <w:sz w:val="20"/>
          <w:szCs w:val="20"/>
        </w:rPr>
        <w:t xml:space="preserve">, </w:t>
      </w:r>
      <w:r w:rsidR="00AA7903" w:rsidRPr="00F62719">
        <w:rPr>
          <w:sz w:val="20"/>
          <w:szCs w:val="20"/>
        </w:rPr>
        <w:t xml:space="preserve">at </w:t>
      </w:r>
      <w:r w:rsidRPr="00F62719">
        <w:rPr>
          <w:sz w:val="20"/>
          <w:szCs w:val="20"/>
        </w:rPr>
        <w:t xml:space="preserve">art. 4; Convention on the Rights of Persons with Disabilities, </w:t>
      </w:r>
      <w:r w:rsidRPr="00F62719">
        <w:rPr>
          <w:i/>
          <w:sz w:val="20"/>
          <w:szCs w:val="20"/>
        </w:rPr>
        <w:t xml:space="preserve">adopted </w:t>
      </w:r>
      <w:r w:rsidRPr="00F62719">
        <w:rPr>
          <w:sz w:val="20"/>
          <w:szCs w:val="20"/>
        </w:rPr>
        <w:t>Dec. 13, 2006, art, 4(2), G.A. Res. A/RES/61/106, U.N. GAOR, 61</w:t>
      </w:r>
      <w:r w:rsidRPr="00F62719">
        <w:rPr>
          <w:sz w:val="20"/>
          <w:szCs w:val="20"/>
          <w:vertAlign w:val="superscript"/>
        </w:rPr>
        <w:t>st</w:t>
      </w:r>
      <w:r w:rsidRPr="00F62719">
        <w:rPr>
          <w:sz w:val="20"/>
          <w:szCs w:val="20"/>
        </w:rPr>
        <w:t xml:space="preserve"> Sess., U.N. Doc. </w:t>
      </w:r>
      <w:r w:rsidR="006E080A" w:rsidRPr="00F62719">
        <w:rPr>
          <w:sz w:val="20"/>
          <w:szCs w:val="20"/>
        </w:rPr>
        <w:t>A/61/611 (1980) (</w:t>
      </w:r>
      <w:r w:rsidR="006E080A" w:rsidRPr="00F62719">
        <w:rPr>
          <w:i/>
          <w:sz w:val="20"/>
          <w:szCs w:val="20"/>
        </w:rPr>
        <w:t>entered into force</w:t>
      </w:r>
      <w:r w:rsidR="006E080A" w:rsidRPr="00F62719">
        <w:rPr>
          <w:sz w:val="20"/>
          <w:szCs w:val="20"/>
        </w:rPr>
        <w:t xml:space="preserve"> May 3 2008)</w:t>
      </w:r>
      <w:proofErr w:type="gramStart"/>
      <w:r w:rsidR="006E080A" w:rsidRPr="00F62719">
        <w:rPr>
          <w:sz w:val="20"/>
          <w:szCs w:val="20"/>
        </w:rPr>
        <w:t>;</w:t>
      </w:r>
      <w:proofErr w:type="gramEnd"/>
      <w:r w:rsidR="006E080A" w:rsidRPr="00F62719">
        <w:rPr>
          <w:sz w:val="20"/>
          <w:szCs w:val="20"/>
        </w:rPr>
        <w:t xml:space="preserve"> </w:t>
      </w:r>
      <w:r w:rsidR="006E080A" w:rsidRPr="00F62719">
        <w:rPr>
          <w:i/>
          <w:sz w:val="20"/>
          <w:szCs w:val="20"/>
        </w:rPr>
        <w:t>see also</w:t>
      </w:r>
      <w:r w:rsidR="006E080A" w:rsidRPr="00F62719">
        <w:rPr>
          <w:sz w:val="20"/>
          <w:szCs w:val="20"/>
        </w:rPr>
        <w:t xml:space="preserve"> CESCR, </w:t>
      </w:r>
      <w:r w:rsidR="006E080A" w:rsidRPr="00F62719">
        <w:rPr>
          <w:i/>
          <w:sz w:val="20"/>
          <w:szCs w:val="20"/>
        </w:rPr>
        <w:t xml:space="preserve">General Comment No. 3: The Nature of States Parties’ Obligations (Art. 2, Para. </w:t>
      </w:r>
      <w:r w:rsidRPr="00F62719">
        <w:rPr>
          <w:i/>
          <w:sz w:val="20"/>
          <w:szCs w:val="20"/>
        </w:rPr>
        <w:t>1, of the Covenant)</w:t>
      </w:r>
      <w:r w:rsidRPr="00F62719">
        <w:rPr>
          <w:sz w:val="20"/>
          <w:szCs w:val="20"/>
        </w:rPr>
        <w:t xml:space="preserve">, para. </w:t>
      </w:r>
      <w:proofErr w:type="gramStart"/>
      <w:r w:rsidRPr="00F62719">
        <w:rPr>
          <w:sz w:val="20"/>
          <w:szCs w:val="20"/>
        </w:rPr>
        <w:t>9</w:t>
      </w:r>
      <w:proofErr w:type="gramEnd"/>
      <w:r w:rsidRPr="00F62719">
        <w:rPr>
          <w:sz w:val="20"/>
          <w:szCs w:val="20"/>
        </w:rPr>
        <w:t xml:space="preserve">, U.N. Doc. E/1991/23 (1990). </w:t>
      </w:r>
    </w:p>
  </w:endnote>
  <w:endnote w:id="50">
    <w:p w14:paraId="6A4C345F" w14:textId="7EA48B82" w:rsidR="00DF744A" w:rsidRPr="00F62719" w:rsidRDefault="00DF744A" w:rsidP="002652D7">
      <w:pPr>
        <w:pStyle w:val="EndnoteText"/>
        <w:rPr>
          <w:sz w:val="20"/>
          <w:szCs w:val="20"/>
        </w:rPr>
      </w:pPr>
      <w:r w:rsidRPr="00F62719">
        <w:rPr>
          <w:rStyle w:val="EndnoteReference"/>
          <w:sz w:val="20"/>
          <w:szCs w:val="20"/>
        </w:rPr>
        <w:endnoteRef/>
      </w:r>
      <w:r w:rsidRPr="00F62719">
        <w:rPr>
          <w:sz w:val="20"/>
          <w:szCs w:val="20"/>
        </w:rPr>
        <w:t xml:space="preserve"> States cannot derogate from certain </w:t>
      </w:r>
      <w:r w:rsidRPr="00F62719">
        <w:rPr>
          <w:i/>
          <w:sz w:val="20"/>
          <w:szCs w:val="20"/>
        </w:rPr>
        <w:t xml:space="preserve">jus </w:t>
      </w:r>
      <w:proofErr w:type="spellStart"/>
      <w:r w:rsidRPr="00F62719">
        <w:rPr>
          <w:i/>
          <w:sz w:val="20"/>
          <w:szCs w:val="20"/>
        </w:rPr>
        <w:t>cogens</w:t>
      </w:r>
      <w:proofErr w:type="spellEnd"/>
      <w:r w:rsidRPr="00F62719">
        <w:rPr>
          <w:sz w:val="20"/>
          <w:szCs w:val="20"/>
        </w:rPr>
        <w:t xml:space="preserve"> norms, such as the prohibitions on torture, genocide, and slavery, even during situations of armed conflict. Human Rights Committee, </w:t>
      </w:r>
      <w:r w:rsidRPr="00F62719">
        <w:rPr>
          <w:i/>
          <w:sz w:val="20"/>
          <w:szCs w:val="20"/>
        </w:rPr>
        <w:t>Gen. Comment No. 29</w:t>
      </w:r>
      <w:r w:rsidRPr="00F62719">
        <w:rPr>
          <w:sz w:val="20"/>
          <w:szCs w:val="20"/>
        </w:rPr>
        <w:t xml:space="preserve">, </w:t>
      </w:r>
      <w:r w:rsidRPr="00F62719">
        <w:rPr>
          <w:i/>
          <w:sz w:val="20"/>
          <w:szCs w:val="20"/>
        </w:rPr>
        <w:t xml:space="preserve">supra </w:t>
      </w:r>
      <w:r w:rsidRPr="00F62719">
        <w:rPr>
          <w:sz w:val="20"/>
          <w:szCs w:val="20"/>
        </w:rPr>
        <w:t>note</w:t>
      </w:r>
      <w:r w:rsidR="00AA7903" w:rsidRPr="00F62719">
        <w:rPr>
          <w:sz w:val="20"/>
          <w:szCs w:val="20"/>
        </w:rPr>
        <w:t xml:space="preserve"> 4</w:t>
      </w:r>
      <w:r w:rsidR="00935115">
        <w:rPr>
          <w:sz w:val="20"/>
          <w:szCs w:val="20"/>
        </w:rPr>
        <w:t>9</w:t>
      </w:r>
      <w:r w:rsidRPr="00F62719">
        <w:rPr>
          <w:sz w:val="20"/>
          <w:szCs w:val="20"/>
        </w:rPr>
        <w:t>, para. 7. Minimum core obligations with respect to economic, social, and cultural rights are not subject to resource availability and are non-</w:t>
      </w:r>
      <w:proofErr w:type="spellStart"/>
      <w:r w:rsidRPr="00F62719">
        <w:rPr>
          <w:sz w:val="20"/>
          <w:szCs w:val="20"/>
        </w:rPr>
        <w:t>derogable</w:t>
      </w:r>
      <w:proofErr w:type="spellEnd"/>
      <w:r w:rsidRPr="00F62719">
        <w:rPr>
          <w:sz w:val="20"/>
          <w:szCs w:val="20"/>
        </w:rPr>
        <w:t xml:space="preserve">. CESCR, </w:t>
      </w:r>
      <w:r w:rsidRPr="00F62719">
        <w:rPr>
          <w:i/>
          <w:sz w:val="20"/>
          <w:szCs w:val="20"/>
        </w:rPr>
        <w:t>General Comment No. 14 (2000): The right to the highest attainable standard of health (article 12 of the International Covenant on Economic, Social and Cultural Rights)</w:t>
      </w:r>
      <w:r w:rsidRPr="00F62719">
        <w:rPr>
          <w:sz w:val="20"/>
          <w:szCs w:val="20"/>
        </w:rPr>
        <w:t xml:space="preserve">, para. </w:t>
      </w:r>
      <w:proofErr w:type="gramStart"/>
      <w:r w:rsidRPr="00F62719">
        <w:rPr>
          <w:sz w:val="20"/>
          <w:szCs w:val="20"/>
        </w:rPr>
        <w:t>47</w:t>
      </w:r>
      <w:proofErr w:type="gramEnd"/>
      <w:r w:rsidRPr="00F62719">
        <w:rPr>
          <w:sz w:val="20"/>
          <w:szCs w:val="20"/>
        </w:rPr>
        <w:t xml:space="preserve">, U.N. Doc. E/C.12/2000/4 (2000) [hereinafter CESCR, </w:t>
      </w:r>
      <w:r w:rsidRPr="00F62719">
        <w:rPr>
          <w:i/>
          <w:sz w:val="20"/>
          <w:szCs w:val="20"/>
        </w:rPr>
        <w:t>Gen. Comment No. 14</w:t>
      </w:r>
      <w:r w:rsidRPr="00F62719">
        <w:rPr>
          <w:sz w:val="20"/>
          <w:szCs w:val="20"/>
        </w:rPr>
        <w:t xml:space="preserve">]; CESCR, </w:t>
      </w:r>
      <w:r w:rsidRPr="00F62719">
        <w:rPr>
          <w:i/>
          <w:sz w:val="20"/>
          <w:szCs w:val="20"/>
        </w:rPr>
        <w:t>General Comment No. 15: The Right to Water (Arts. 11 and 12 of the Covenant)</w:t>
      </w:r>
      <w:r w:rsidRPr="00F62719">
        <w:rPr>
          <w:sz w:val="20"/>
          <w:szCs w:val="20"/>
        </w:rPr>
        <w:t xml:space="preserve">, para. 40, U.N. Doc. E/C.12/2002/11 (2003); </w:t>
      </w:r>
      <w:r w:rsidRPr="00F62719">
        <w:rPr>
          <w:i/>
          <w:sz w:val="20"/>
          <w:szCs w:val="20"/>
        </w:rPr>
        <w:t>see also</w:t>
      </w:r>
      <w:r w:rsidRPr="00F62719">
        <w:rPr>
          <w:sz w:val="20"/>
          <w:szCs w:val="20"/>
        </w:rPr>
        <w:t xml:space="preserve"> </w:t>
      </w:r>
      <w:r w:rsidRPr="00F62719">
        <w:rPr>
          <w:smallCaps/>
          <w:sz w:val="20"/>
          <w:szCs w:val="20"/>
        </w:rPr>
        <w:t>OHCHR, Protection of Economic, Social and Cultural Rights in Conflict, Report of the High Commissioner for Human Rights</w:t>
      </w:r>
      <w:r w:rsidRPr="00F62719">
        <w:rPr>
          <w:sz w:val="20"/>
          <w:szCs w:val="20"/>
        </w:rPr>
        <w:t xml:space="preserve"> 4-5 (2015), </w:t>
      </w:r>
      <w:r w:rsidRPr="00F62719">
        <w:rPr>
          <w:i/>
          <w:sz w:val="20"/>
          <w:szCs w:val="20"/>
        </w:rPr>
        <w:t xml:space="preserve">available at </w:t>
      </w:r>
      <w:hyperlink r:id="rId4" w:history="1">
        <w:r w:rsidRPr="00BE0C09">
          <w:rPr>
            <w:rStyle w:val="Hyperlink"/>
            <w:color w:val="auto"/>
            <w:sz w:val="20"/>
            <w:szCs w:val="20"/>
            <w:u w:val="none"/>
          </w:rPr>
          <w:t>http://www.ohchr.org/Documents/Issues/ESCR/E-2015-59.pdf</w:t>
        </w:r>
      </w:hyperlink>
      <w:r w:rsidRPr="00935115">
        <w:rPr>
          <w:sz w:val="20"/>
          <w:szCs w:val="20"/>
        </w:rPr>
        <w:t>.</w:t>
      </w:r>
      <w:r w:rsidRPr="00F62719">
        <w:rPr>
          <w:sz w:val="20"/>
          <w:szCs w:val="20"/>
        </w:rPr>
        <w:t xml:space="preserve"> </w:t>
      </w:r>
    </w:p>
  </w:endnote>
  <w:endnote w:id="51">
    <w:p w14:paraId="088208AA" w14:textId="0989048C" w:rsidR="00DF744A" w:rsidRPr="00F62719" w:rsidRDefault="00DF744A" w:rsidP="002652D7">
      <w:pPr>
        <w:pStyle w:val="EndnoteText"/>
        <w:rPr>
          <w:sz w:val="20"/>
          <w:szCs w:val="20"/>
        </w:rPr>
      </w:pPr>
      <w:r w:rsidRPr="00F62719">
        <w:rPr>
          <w:rStyle w:val="EndnoteReference"/>
          <w:sz w:val="20"/>
          <w:szCs w:val="20"/>
        </w:rPr>
        <w:endnoteRef/>
      </w:r>
      <w:r w:rsidRPr="00F62719">
        <w:rPr>
          <w:sz w:val="20"/>
          <w:szCs w:val="20"/>
        </w:rPr>
        <w:t xml:space="preserve"> Human Rights Committee, </w:t>
      </w:r>
      <w:r w:rsidRPr="00F62719">
        <w:rPr>
          <w:i/>
          <w:sz w:val="20"/>
          <w:szCs w:val="20"/>
        </w:rPr>
        <w:t>Gen. Comment No. 29</w:t>
      </w:r>
      <w:r w:rsidRPr="00F62719">
        <w:rPr>
          <w:sz w:val="20"/>
          <w:szCs w:val="20"/>
        </w:rPr>
        <w:t xml:space="preserve">, </w:t>
      </w:r>
      <w:r w:rsidRPr="00F62719">
        <w:rPr>
          <w:i/>
          <w:sz w:val="20"/>
          <w:szCs w:val="20"/>
        </w:rPr>
        <w:t xml:space="preserve">supra </w:t>
      </w:r>
      <w:r w:rsidR="00431633" w:rsidRPr="00F62719">
        <w:rPr>
          <w:sz w:val="20"/>
          <w:szCs w:val="20"/>
        </w:rPr>
        <w:t>note</w:t>
      </w:r>
      <w:r w:rsidR="00AA7903" w:rsidRPr="00F62719">
        <w:rPr>
          <w:sz w:val="20"/>
          <w:szCs w:val="20"/>
        </w:rPr>
        <w:t xml:space="preserve"> 4</w:t>
      </w:r>
      <w:r w:rsidR="000A3318">
        <w:rPr>
          <w:sz w:val="20"/>
          <w:szCs w:val="20"/>
        </w:rPr>
        <w:t>9</w:t>
      </w:r>
      <w:r w:rsidRPr="00F62719">
        <w:rPr>
          <w:sz w:val="20"/>
          <w:szCs w:val="20"/>
        </w:rPr>
        <w:t>,</w:t>
      </w:r>
      <w:r w:rsidR="00431633" w:rsidRPr="00F62719">
        <w:rPr>
          <w:sz w:val="20"/>
          <w:szCs w:val="20"/>
        </w:rPr>
        <w:t xml:space="preserve"> at</w:t>
      </w:r>
      <w:r w:rsidRPr="00F62719">
        <w:rPr>
          <w:sz w:val="20"/>
          <w:szCs w:val="20"/>
        </w:rPr>
        <w:t xml:space="preserve"> para. 8.</w:t>
      </w:r>
    </w:p>
  </w:endnote>
  <w:endnote w:id="52">
    <w:p w14:paraId="2606B563" w14:textId="35755280" w:rsidR="00DF744A" w:rsidRPr="00F62719" w:rsidRDefault="00DF744A" w:rsidP="00DF744A">
      <w:pPr>
        <w:pStyle w:val="EndnoteText"/>
        <w:rPr>
          <w:i/>
          <w:sz w:val="20"/>
          <w:szCs w:val="20"/>
        </w:rPr>
      </w:pPr>
      <w:r w:rsidRPr="00F62719">
        <w:rPr>
          <w:rStyle w:val="EndnoteReference"/>
          <w:sz w:val="20"/>
          <w:szCs w:val="20"/>
        </w:rPr>
        <w:endnoteRef/>
      </w:r>
      <w:r w:rsidRPr="00F62719">
        <w:rPr>
          <w:sz w:val="20"/>
          <w:szCs w:val="20"/>
        </w:rPr>
        <w:t xml:space="preserve"> CEDAW Committee, </w:t>
      </w:r>
      <w:r w:rsidRPr="00F62719">
        <w:rPr>
          <w:i/>
          <w:sz w:val="20"/>
          <w:szCs w:val="20"/>
        </w:rPr>
        <w:t>Gen. Recommendation No. 30 on women in conflict prevention, conflict and post-conflict situations</w:t>
      </w:r>
      <w:r w:rsidRPr="00F62719">
        <w:rPr>
          <w:sz w:val="20"/>
          <w:szCs w:val="20"/>
        </w:rPr>
        <w:t xml:space="preserve">, para. 38(e), U.N. Doc. CEDAW/C/GC/30 (2013) [hereinafter CEDAW Committee, </w:t>
      </w:r>
      <w:r w:rsidRPr="00F62719">
        <w:rPr>
          <w:i/>
          <w:sz w:val="20"/>
          <w:szCs w:val="20"/>
        </w:rPr>
        <w:t>Gen. Recommendation No. 30</w:t>
      </w:r>
      <w:r w:rsidRPr="00F62719">
        <w:rPr>
          <w:sz w:val="20"/>
          <w:szCs w:val="20"/>
        </w:rPr>
        <w:t>]</w:t>
      </w:r>
      <w:proofErr w:type="gramStart"/>
      <w:r w:rsidRPr="00F62719">
        <w:rPr>
          <w:sz w:val="20"/>
          <w:szCs w:val="20"/>
        </w:rPr>
        <w:t>;</w:t>
      </w:r>
      <w:proofErr w:type="gramEnd"/>
      <w:r w:rsidRPr="00F62719">
        <w:rPr>
          <w:sz w:val="20"/>
          <w:szCs w:val="20"/>
        </w:rPr>
        <w:t xml:space="preserve"> </w:t>
      </w:r>
      <w:r w:rsidRPr="00F62719">
        <w:rPr>
          <w:i/>
          <w:sz w:val="20"/>
          <w:szCs w:val="20"/>
        </w:rPr>
        <w:t>see also</w:t>
      </w:r>
      <w:r w:rsidRPr="00F62719">
        <w:rPr>
          <w:sz w:val="20"/>
          <w:szCs w:val="20"/>
        </w:rPr>
        <w:t xml:space="preserve"> CAT Committee, </w:t>
      </w:r>
      <w:r w:rsidRPr="00F62719">
        <w:rPr>
          <w:i/>
          <w:sz w:val="20"/>
          <w:szCs w:val="20"/>
        </w:rPr>
        <w:t>Concluding Observations: Iraq</w:t>
      </w:r>
      <w:r w:rsidRPr="00F62719">
        <w:rPr>
          <w:sz w:val="20"/>
          <w:szCs w:val="20"/>
        </w:rPr>
        <w:t xml:space="preserve">, para. </w:t>
      </w:r>
      <w:proofErr w:type="gramStart"/>
      <w:r w:rsidRPr="00F62719">
        <w:rPr>
          <w:sz w:val="20"/>
          <w:szCs w:val="20"/>
        </w:rPr>
        <w:t>13</w:t>
      </w:r>
      <w:proofErr w:type="gramEnd"/>
      <w:r w:rsidRPr="00F62719">
        <w:rPr>
          <w:sz w:val="20"/>
          <w:szCs w:val="20"/>
        </w:rPr>
        <w:t>, U.N. Doc. CAT/C/IRQ/CO/1 (2015).</w:t>
      </w:r>
    </w:p>
  </w:endnote>
  <w:endnote w:id="53">
    <w:p w14:paraId="64E95C41" w14:textId="68802E52" w:rsidR="00DF744A" w:rsidRPr="00F62719" w:rsidRDefault="00DF744A" w:rsidP="00C17BB9">
      <w:pPr>
        <w:pStyle w:val="EndnoteText"/>
        <w:rPr>
          <w:sz w:val="20"/>
          <w:szCs w:val="20"/>
        </w:rPr>
      </w:pPr>
      <w:r w:rsidRPr="00F62719">
        <w:rPr>
          <w:rStyle w:val="EndnoteReference"/>
          <w:sz w:val="20"/>
          <w:szCs w:val="20"/>
        </w:rPr>
        <w:endnoteRef/>
      </w:r>
      <w:r w:rsidRPr="00F62719">
        <w:rPr>
          <w:sz w:val="20"/>
          <w:szCs w:val="20"/>
        </w:rPr>
        <w:t xml:space="preserve"> CEDAW</w:t>
      </w:r>
      <w:r w:rsidRPr="00F62719" w:rsidDel="004F76D7">
        <w:rPr>
          <w:sz w:val="20"/>
          <w:szCs w:val="20"/>
        </w:rPr>
        <w:t xml:space="preserve"> Comm</w:t>
      </w:r>
      <w:r w:rsidRPr="00F62719">
        <w:rPr>
          <w:sz w:val="20"/>
          <w:szCs w:val="20"/>
        </w:rPr>
        <w:t xml:space="preserve">ittee, </w:t>
      </w:r>
      <w:r w:rsidRPr="00F62719">
        <w:rPr>
          <w:i/>
          <w:sz w:val="20"/>
          <w:szCs w:val="20"/>
        </w:rPr>
        <w:t>Gen. Recommendation No. 30</w:t>
      </w:r>
      <w:r w:rsidRPr="00F62719">
        <w:rPr>
          <w:sz w:val="20"/>
          <w:szCs w:val="20"/>
        </w:rPr>
        <w:t xml:space="preserve">, </w:t>
      </w:r>
      <w:r w:rsidRPr="00F62719">
        <w:rPr>
          <w:i/>
          <w:sz w:val="20"/>
          <w:szCs w:val="20"/>
        </w:rPr>
        <w:t xml:space="preserve">supra </w:t>
      </w:r>
      <w:r w:rsidRPr="00F62719">
        <w:rPr>
          <w:sz w:val="20"/>
          <w:szCs w:val="20"/>
        </w:rPr>
        <w:t>note</w:t>
      </w:r>
      <w:r w:rsidR="000658D2" w:rsidRPr="00F62719">
        <w:rPr>
          <w:sz w:val="20"/>
          <w:szCs w:val="20"/>
        </w:rPr>
        <w:t xml:space="preserve"> </w:t>
      </w:r>
      <w:r w:rsidR="002925E2" w:rsidRPr="00F62719">
        <w:rPr>
          <w:sz w:val="20"/>
          <w:szCs w:val="20"/>
        </w:rPr>
        <w:t>5</w:t>
      </w:r>
      <w:r w:rsidR="000A3318">
        <w:rPr>
          <w:sz w:val="20"/>
          <w:szCs w:val="20"/>
        </w:rPr>
        <w:t>2</w:t>
      </w:r>
      <w:r w:rsidRPr="00F62719">
        <w:rPr>
          <w:sz w:val="20"/>
          <w:szCs w:val="20"/>
        </w:rPr>
        <w:t>, at para. 57.</w:t>
      </w:r>
    </w:p>
  </w:endnote>
  <w:endnote w:id="54">
    <w:p w14:paraId="55323C27" w14:textId="6C8577A6" w:rsidR="00DF744A" w:rsidRPr="00F62719" w:rsidRDefault="00DF744A" w:rsidP="006A033F">
      <w:pPr>
        <w:pStyle w:val="EndnoteText"/>
        <w:rPr>
          <w:sz w:val="20"/>
          <w:szCs w:val="20"/>
        </w:rPr>
      </w:pPr>
      <w:r w:rsidRPr="00F62719">
        <w:rPr>
          <w:rStyle w:val="EndnoteReference"/>
          <w:sz w:val="20"/>
          <w:szCs w:val="20"/>
        </w:rPr>
        <w:endnoteRef/>
      </w:r>
      <w:r w:rsidR="00431633" w:rsidRPr="00F62719">
        <w:rPr>
          <w:i/>
          <w:sz w:val="20"/>
          <w:szCs w:val="20"/>
        </w:rPr>
        <w:t xml:space="preserve"> </w:t>
      </w:r>
      <w:r w:rsidRPr="00F62719">
        <w:rPr>
          <w:i/>
          <w:sz w:val="20"/>
          <w:szCs w:val="20"/>
        </w:rPr>
        <w:t>See generally</w:t>
      </w:r>
      <w:r w:rsidRPr="00F62719">
        <w:rPr>
          <w:sz w:val="20"/>
          <w:szCs w:val="20"/>
        </w:rPr>
        <w:t xml:space="preserve"> </w:t>
      </w:r>
      <w:r w:rsidRPr="00F62719">
        <w:rPr>
          <w:smallCaps/>
          <w:sz w:val="20"/>
          <w:szCs w:val="20"/>
        </w:rPr>
        <w:t>Center for Reproductive Rights, Breaking Ground</w:t>
      </w:r>
      <w:r w:rsidR="00431633" w:rsidRPr="00F62719">
        <w:rPr>
          <w:sz w:val="20"/>
          <w:szCs w:val="20"/>
        </w:rPr>
        <w:t xml:space="preserve"> (2018</w:t>
      </w:r>
      <w:r w:rsidRPr="00F62719">
        <w:rPr>
          <w:sz w:val="20"/>
          <w:szCs w:val="20"/>
        </w:rPr>
        <w:t xml:space="preserve">), </w:t>
      </w:r>
      <w:r w:rsidR="00431633" w:rsidRPr="00F62719">
        <w:rPr>
          <w:i/>
          <w:sz w:val="20"/>
          <w:szCs w:val="20"/>
        </w:rPr>
        <w:t xml:space="preserve">available </w:t>
      </w:r>
      <w:r w:rsidR="00431633" w:rsidRPr="00F62719">
        <w:rPr>
          <w:sz w:val="20"/>
          <w:szCs w:val="20"/>
        </w:rPr>
        <w:t>at https://www.reproductiverights.org/sites/crr.civicactions.net/files/documents/Breaking-Ground-2018.pdf</w:t>
      </w:r>
      <w:r w:rsidRPr="00F62719">
        <w:rPr>
          <w:sz w:val="20"/>
          <w:szCs w:val="20"/>
        </w:rPr>
        <w:t xml:space="preserve">; </w:t>
      </w:r>
      <w:r w:rsidRPr="00F62719">
        <w:rPr>
          <w:smallCaps/>
          <w:sz w:val="20"/>
          <w:szCs w:val="20"/>
        </w:rPr>
        <w:t>Center for Reproductive Rights, Reproductive Rights are Human</w:t>
      </w:r>
      <w:r w:rsidRPr="00F62719">
        <w:rPr>
          <w:i/>
          <w:sz w:val="20"/>
          <w:szCs w:val="20"/>
        </w:rPr>
        <w:t xml:space="preserve"> </w:t>
      </w:r>
      <w:r w:rsidRPr="00F62719">
        <w:rPr>
          <w:smallCaps/>
          <w:sz w:val="20"/>
          <w:szCs w:val="20"/>
        </w:rPr>
        <w:t>Rights</w:t>
      </w:r>
      <w:r w:rsidRPr="00F62719">
        <w:rPr>
          <w:sz w:val="20"/>
          <w:szCs w:val="20"/>
        </w:rPr>
        <w:t xml:space="preserve"> (2009), </w:t>
      </w:r>
      <w:r w:rsidRPr="00F62719">
        <w:rPr>
          <w:i/>
          <w:sz w:val="20"/>
          <w:szCs w:val="20"/>
        </w:rPr>
        <w:t xml:space="preserve">available at </w:t>
      </w:r>
      <w:r w:rsidRPr="00F62719">
        <w:rPr>
          <w:rStyle w:val="InternetLink"/>
          <w:color w:val="auto"/>
          <w:sz w:val="20"/>
          <w:szCs w:val="20"/>
          <w:u w:val="none"/>
        </w:rPr>
        <w:t>https://www.reproductiverights.org/sites/crr.civicactions.net/files/documents/RRareHR_final.pdf</w:t>
      </w:r>
      <w:r w:rsidRPr="00F62719">
        <w:rPr>
          <w:sz w:val="20"/>
          <w:szCs w:val="20"/>
        </w:rPr>
        <w:t xml:space="preserve">. </w:t>
      </w:r>
    </w:p>
  </w:endnote>
  <w:endnote w:id="55">
    <w:p w14:paraId="278A0934" w14:textId="33F52EE8" w:rsidR="00DF744A" w:rsidRPr="00F62719" w:rsidRDefault="00DF744A" w:rsidP="006A033F">
      <w:pPr>
        <w:pStyle w:val="EndnoteText"/>
        <w:rPr>
          <w:sz w:val="20"/>
          <w:szCs w:val="20"/>
        </w:rPr>
      </w:pPr>
      <w:r w:rsidRPr="00F62719">
        <w:rPr>
          <w:rStyle w:val="EndnoteReference"/>
          <w:sz w:val="20"/>
          <w:szCs w:val="20"/>
        </w:rPr>
        <w:endnoteRef/>
      </w:r>
      <w:r w:rsidRPr="00F62719">
        <w:rPr>
          <w:rStyle w:val="EndnoteReference"/>
          <w:sz w:val="20"/>
          <w:szCs w:val="20"/>
        </w:rPr>
        <w:t xml:space="preserve"> </w:t>
      </w:r>
      <w:r w:rsidRPr="00F62719">
        <w:rPr>
          <w:sz w:val="20"/>
          <w:szCs w:val="20"/>
        </w:rPr>
        <w:t xml:space="preserve"> States’ obligations under the treaty “do not cease in periods of armed conflict or in states of emergency resulting from political events or natural disasters.” The CEDAW Committee explained that these situations “have a deep impact on and broad consequences for the equal enjoyment and exercise by women of their fundamental rights” and called upon states to pursue strategies and measures aimed at addressing the particular needs of women during such states of emergency. CEDAW Committee</w:t>
      </w:r>
      <w:r w:rsidRPr="00F62719">
        <w:rPr>
          <w:i/>
          <w:sz w:val="20"/>
          <w:szCs w:val="20"/>
        </w:rPr>
        <w:t>, General Recommendation No. 28 on the core obligations of States parties under article 2 of the Convention on the Elimination of All Forms of Discrimination against Women</w:t>
      </w:r>
      <w:r w:rsidRPr="00F62719">
        <w:rPr>
          <w:sz w:val="20"/>
          <w:szCs w:val="20"/>
        </w:rPr>
        <w:t xml:space="preserve">, para. </w:t>
      </w:r>
      <w:proofErr w:type="gramStart"/>
      <w:r w:rsidRPr="00F62719">
        <w:rPr>
          <w:sz w:val="20"/>
          <w:szCs w:val="20"/>
        </w:rPr>
        <w:t>11</w:t>
      </w:r>
      <w:proofErr w:type="gramEnd"/>
      <w:r w:rsidRPr="00F62719">
        <w:rPr>
          <w:sz w:val="20"/>
          <w:szCs w:val="20"/>
        </w:rPr>
        <w:t xml:space="preserve">, U.N. Doc. CEDAW/C/GC/28 (2010) [hereinafter CEDAW Committee, </w:t>
      </w:r>
      <w:r w:rsidRPr="00F62719">
        <w:rPr>
          <w:i/>
          <w:sz w:val="20"/>
          <w:szCs w:val="20"/>
        </w:rPr>
        <w:t>Gen. Recommendation No. 28</w:t>
      </w:r>
      <w:r w:rsidRPr="00F62719">
        <w:rPr>
          <w:sz w:val="20"/>
          <w:szCs w:val="20"/>
        </w:rPr>
        <w:t xml:space="preserve">]. </w:t>
      </w:r>
      <w:r w:rsidRPr="00F62719">
        <w:rPr>
          <w:i/>
          <w:sz w:val="20"/>
          <w:szCs w:val="20"/>
        </w:rPr>
        <w:t xml:space="preserve">See also </w:t>
      </w:r>
      <w:r w:rsidRPr="00F62719">
        <w:rPr>
          <w:sz w:val="20"/>
          <w:szCs w:val="20"/>
        </w:rPr>
        <w:t>CEDAW</w:t>
      </w:r>
      <w:r w:rsidRPr="00F62719" w:rsidDel="004F76D7">
        <w:rPr>
          <w:sz w:val="20"/>
          <w:szCs w:val="20"/>
        </w:rPr>
        <w:t xml:space="preserve"> Comm</w:t>
      </w:r>
      <w:r w:rsidRPr="00F62719">
        <w:rPr>
          <w:sz w:val="20"/>
          <w:szCs w:val="20"/>
        </w:rPr>
        <w:t xml:space="preserve">ittee, </w:t>
      </w:r>
      <w:r w:rsidRPr="00F62719">
        <w:rPr>
          <w:i/>
          <w:sz w:val="20"/>
          <w:szCs w:val="20"/>
        </w:rPr>
        <w:t xml:space="preserve">Gen. Recommendation No. </w:t>
      </w:r>
      <w:proofErr w:type="gramStart"/>
      <w:r w:rsidRPr="00F62719">
        <w:rPr>
          <w:i/>
          <w:sz w:val="20"/>
          <w:szCs w:val="20"/>
        </w:rPr>
        <w:t>30</w:t>
      </w:r>
      <w:r w:rsidRPr="00F62719">
        <w:rPr>
          <w:sz w:val="20"/>
          <w:szCs w:val="20"/>
        </w:rPr>
        <w:t>,</w:t>
      </w:r>
      <w:proofErr w:type="gramEnd"/>
      <w:r w:rsidRPr="00F62719">
        <w:rPr>
          <w:sz w:val="20"/>
          <w:szCs w:val="20"/>
        </w:rPr>
        <w:t xml:space="preserve"> </w:t>
      </w:r>
      <w:r w:rsidRPr="00F62719">
        <w:rPr>
          <w:i/>
          <w:sz w:val="20"/>
          <w:szCs w:val="20"/>
        </w:rPr>
        <w:t xml:space="preserve">supra </w:t>
      </w:r>
      <w:r w:rsidRPr="00F62719">
        <w:rPr>
          <w:sz w:val="20"/>
          <w:szCs w:val="20"/>
        </w:rPr>
        <w:t>note</w:t>
      </w:r>
      <w:r w:rsidR="00BC52D8" w:rsidRPr="00F62719">
        <w:rPr>
          <w:sz w:val="20"/>
          <w:szCs w:val="20"/>
        </w:rPr>
        <w:t xml:space="preserve"> </w:t>
      </w:r>
      <w:r w:rsidR="002925E2" w:rsidRPr="00F62719">
        <w:rPr>
          <w:sz w:val="20"/>
          <w:szCs w:val="20"/>
        </w:rPr>
        <w:t>5</w:t>
      </w:r>
      <w:r w:rsidR="000A3318">
        <w:rPr>
          <w:sz w:val="20"/>
          <w:szCs w:val="20"/>
        </w:rPr>
        <w:t>2</w:t>
      </w:r>
      <w:r w:rsidRPr="00F62719">
        <w:rPr>
          <w:sz w:val="20"/>
          <w:szCs w:val="20"/>
        </w:rPr>
        <w:t>, at para. 2, U.N. Doc. CEDAW/C/GC/30 (2013) (“The Committee reiterates that States parties’ obligations continue to apply during conflict or states of emergency without discrimination between citizens and non-citizens within their territory or effective control, even if not situated within the territory of the State party.”).</w:t>
      </w:r>
    </w:p>
  </w:endnote>
  <w:endnote w:id="56">
    <w:p w14:paraId="758FCE87" w14:textId="601537B9" w:rsidR="00DF744A" w:rsidRPr="00F62719" w:rsidRDefault="00DF744A" w:rsidP="006A033F">
      <w:pPr>
        <w:pStyle w:val="EndnoteText"/>
        <w:rPr>
          <w:sz w:val="20"/>
          <w:szCs w:val="20"/>
        </w:rPr>
      </w:pPr>
      <w:r w:rsidRPr="00F62719">
        <w:rPr>
          <w:rStyle w:val="EndnoteReference"/>
          <w:sz w:val="20"/>
          <w:szCs w:val="20"/>
        </w:rPr>
        <w:endnoteRef/>
      </w:r>
      <w:r w:rsidRPr="00F62719">
        <w:rPr>
          <w:sz w:val="20"/>
          <w:szCs w:val="20"/>
        </w:rPr>
        <w:t xml:space="preserve"> CEDAW</w:t>
      </w:r>
      <w:r w:rsidRPr="00F62719" w:rsidDel="004F76D7">
        <w:rPr>
          <w:sz w:val="20"/>
          <w:szCs w:val="20"/>
        </w:rPr>
        <w:t xml:space="preserve"> Comm</w:t>
      </w:r>
      <w:r w:rsidRPr="00F62719">
        <w:rPr>
          <w:sz w:val="20"/>
          <w:szCs w:val="20"/>
        </w:rPr>
        <w:t xml:space="preserve">ittee, </w:t>
      </w:r>
      <w:r w:rsidRPr="00F62719">
        <w:rPr>
          <w:i/>
          <w:sz w:val="20"/>
          <w:szCs w:val="20"/>
        </w:rPr>
        <w:t>Gen. Recommendation No. 30</w:t>
      </w:r>
      <w:r w:rsidRPr="00F62719">
        <w:rPr>
          <w:sz w:val="20"/>
          <w:szCs w:val="20"/>
        </w:rPr>
        <w:t xml:space="preserve">, </w:t>
      </w:r>
      <w:r w:rsidRPr="00F62719">
        <w:rPr>
          <w:i/>
          <w:sz w:val="20"/>
          <w:szCs w:val="20"/>
        </w:rPr>
        <w:t xml:space="preserve">supra </w:t>
      </w:r>
      <w:r w:rsidRPr="00F62719">
        <w:rPr>
          <w:sz w:val="20"/>
          <w:szCs w:val="20"/>
        </w:rPr>
        <w:t>note</w:t>
      </w:r>
      <w:r w:rsidR="00AA7903" w:rsidRPr="00F62719">
        <w:rPr>
          <w:sz w:val="20"/>
          <w:szCs w:val="20"/>
        </w:rPr>
        <w:t xml:space="preserve"> </w:t>
      </w:r>
      <w:r w:rsidR="002925E2" w:rsidRPr="00F62719">
        <w:rPr>
          <w:sz w:val="20"/>
          <w:szCs w:val="20"/>
        </w:rPr>
        <w:t>5</w:t>
      </w:r>
      <w:r w:rsidR="000A3318">
        <w:rPr>
          <w:sz w:val="20"/>
          <w:szCs w:val="20"/>
        </w:rPr>
        <w:t>2</w:t>
      </w:r>
      <w:r w:rsidRPr="00F62719">
        <w:rPr>
          <w:sz w:val="20"/>
          <w:szCs w:val="20"/>
        </w:rPr>
        <w:t>, at para. 2.</w:t>
      </w:r>
    </w:p>
  </w:endnote>
  <w:endnote w:id="57">
    <w:p w14:paraId="28F30B8D" w14:textId="29078BF3" w:rsidR="00DF744A" w:rsidRPr="00F62719" w:rsidRDefault="00DF744A" w:rsidP="006A033F">
      <w:pPr>
        <w:pStyle w:val="EndnoteText"/>
        <w:rPr>
          <w:sz w:val="20"/>
          <w:szCs w:val="20"/>
        </w:rPr>
      </w:pPr>
      <w:r w:rsidRPr="00F62719">
        <w:rPr>
          <w:rStyle w:val="EndnoteReference"/>
          <w:sz w:val="20"/>
          <w:szCs w:val="20"/>
        </w:rPr>
        <w:endnoteRef/>
      </w:r>
      <w:r w:rsidRPr="00F62719">
        <w:rPr>
          <w:sz w:val="20"/>
          <w:szCs w:val="20"/>
        </w:rPr>
        <w:t xml:space="preserve"> CEDAW Committee, </w:t>
      </w:r>
      <w:r w:rsidRPr="00F62719">
        <w:rPr>
          <w:i/>
          <w:iCs/>
          <w:sz w:val="20"/>
          <w:szCs w:val="20"/>
        </w:rPr>
        <w:t xml:space="preserve">General Recommendation No. 28, supra </w:t>
      </w:r>
      <w:r w:rsidRPr="00F62719">
        <w:rPr>
          <w:iCs/>
          <w:sz w:val="20"/>
          <w:szCs w:val="20"/>
        </w:rPr>
        <w:t>note</w:t>
      </w:r>
      <w:r w:rsidR="00BC52D8" w:rsidRPr="00F62719">
        <w:rPr>
          <w:iCs/>
          <w:sz w:val="20"/>
          <w:szCs w:val="20"/>
        </w:rPr>
        <w:t xml:space="preserve"> </w:t>
      </w:r>
      <w:r w:rsidR="002925E2" w:rsidRPr="00F62719">
        <w:rPr>
          <w:iCs/>
          <w:sz w:val="20"/>
          <w:szCs w:val="20"/>
        </w:rPr>
        <w:t>5</w:t>
      </w:r>
      <w:r w:rsidR="000A3318">
        <w:rPr>
          <w:iCs/>
          <w:sz w:val="20"/>
          <w:szCs w:val="20"/>
        </w:rPr>
        <w:t>5</w:t>
      </w:r>
      <w:r w:rsidRPr="00F62719">
        <w:rPr>
          <w:sz w:val="20"/>
          <w:szCs w:val="20"/>
        </w:rPr>
        <w:t xml:space="preserve">, at para. 11.  </w:t>
      </w:r>
    </w:p>
  </w:endnote>
  <w:endnote w:id="58">
    <w:p w14:paraId="585D850F" w14:textId="36F0A318" w:rsidR="00966207" w:rsidRPr="00F62719" w:rsidRDefault="00966207" w:rsidP="00966207">
      <w:pPr>
        <w:pStyle w:val="EndnoteText"/>
        <w:rPr>
          <w:sz w:val="20"/>
          <w:szCs w:val="20"/>
        </w:rPr>
      </w:pPr>
      <w:r w:rsidRPr="00F62719">
        <w:rPr>
          <w:rStyle w:val="EndnoteReference"/>
          <w:sz w:val="20"/>
          <w:szCs w:val="20"/>
        </w:rPr>
        <w:endnoteRef/>
      </w:r>
      <w:r w:rsidRPr="00F62719">
        <w:rPr>
          <w:sz w:val="20"/>
          <w:szCs w:val="20"/>
        </w:rPr>
        <w:t xml:space="preserve"> </w:t>
      </w:r>
      <w:r w:rsidRPr="00F62719">
        <w:rPr>
          <w:rFonts w:eastAsiaTheme="minorHAnsi"/>
          <w:color w:val="000000"/>
          <w:sz w:val="20"/>
          <w:szCs w:val="20"/>
        </w:rPr>
        <w:t xml:space="preserve">Committee on the Rights of the Child, </w:t>
      </w:r>
      <w:r w:rsidRPr="00F62719">
        <w:rPr>
          <w:rFonts w:eastAsiaTheme="minorHAnsi"/>
          <w:i/>
          <w:iCs/>
          <w:color w:val="000000"/>
          <w:sz w:val="20"/>
          <w:szCs w:val="20"/>
        </w:rPr>
        <w:t>General Comment No. 15 on the Right of the Child to the Highest Attainable Standard of Health</w:t>
      </w:r>
      <w:proofErr w:type="gramStart"/>
      <w:r w:rsidR="000A3318">
        <w:rPr>
          <w:rFonts w:eastAsiaTheme="minorHAnsi"/>
          <w:iCs/>
          <w:color w:val="000000"/>
          <w:sz w:val="20"/>
          <w:szCs w:val="20"/>
        </w:rPr>
        <w:t xml:space="preserve">, </w:t>
      </w:r>
      <w:r w:rsidRPr="00F62719">
        <w:rPr>
          <w:rFonts w:eastAsiaTheme="minorHAnsi"/>
          <w:color w:val="000000"/>
          <w:sz w:val="20"/>
          <w:szCs w:val="20"/>
        </w:rPr>
        <w:t xml:space="preserve"> </w:t>
      </w:r>
      <w:r w:rsidRPr="00BE0C09">
        <w:rPr>
          <w:rFonts w:eastAsiaTheme="minorHAnsi"/>
          <w:iCs/>
          <w:color w:val="000000"/>
          <w:sz w:val="20"/>
          <w:szCs w:val="20"/>
        </w:rPr>
        <w:t>para</w:t>
      </w:r>
      <w:proofErr w:type="gramEnd"/>
      <w:r w:rsidRPr="00BE0C09">
        <w:rPr>
          <w:rFonts w:eastAsiaTheme="minorHAnsi"/>
          <w:iCs/>
          <w:color w:val="000000"/>
          <w:sz w:val="20"/>
          <w:szCs w:val="20"/>
        </w:rPr>
        <w:t xml:space="preserve">. </w:t>
      </w:r>
      <w:proofErr w:type="gramStart"/>
      <w:r w:rsidRPr="00BE0C09">
        <w:rPr>
          <w:rFonts w:eastAsiaTheme="minorHAnsi"/>
          <w:iCs/>
          <w:color w:val="000000"/>
          <w:sz w:val="20"/>
          <w:szCs w:val="20"/>
        </w:rPr>
        <w:t>74</w:t>
      </w:r>
      <w:proofErr w:type="gramEnd"/>
      <w:r w:rsidRPr="000A3318">
        <w:rPr>
          <w:rFonts w:eastAsiaTheme="minorHAnsi"/>
          <w:color w:val="000000"/>
          <w:sz w:val="20"/>
          <w:szCs w:val="20"/>
        </w:rPr>
        <w:t>,</w:t>
      </w:r>
      <w:r w:rsidRPr="00F62719">
        <w:rPr>
          <w:rFonts w:eastAsiaTheme="minorHAnsi"/>
          <w:color w:val="000000"/>
          <w:sz w:val="20"/>
          <w:szCs w:val="20"/>
        </w:rPr>
        <w:t xml:space="preserve"> U.N. Doc. CRC/C/GC/15 (2013).</w:t>
      </w:r>
    </w:p>
  </w:endnote>
  <w:endnote w:id="59">
    <w:p w14:paraId="16C684D1" w14:textId="48AD9E8B" w:rsidR="00966207" w:rsidRPr="00F62719" w:rsidRDefault="00966207" w:rsidP="00966207">
      <w:pPr>
        <w:pStyle w:val="EndnoteText"/>
        <w:rPr>
          <w:sz w:val="20"/>
          <w:szCs w:val="20"/>
        </w:rPr>
      </w:pPr>
      <w:r w:rsidRPr="00F62719">
        <w:rPr>
          <w:rStyle w:val="EndnoteReference"/>
          <w:sz w:val="20"/>
          <w:szCs w:val="20"/>
        </w:rPr>
        <w:endnoteRef/>
      </w:r>
      <w:r w:rsidRPr="00F62719">
        <w:rPr>
          <w:sz w:val="20"/>
          <w:szCs w:val="20"/>
        </w:rPr>
        <w:t xml:space="preserve"> </w:t>
      </w:r>
      <w:r w:rsidRPr="00F62719">
        <w:rPr>
          <w:rFonts w:eastAsiaTheme="minorHAnsi"/>
          <w:i/>
          <w:iCs/>
          <w:color w:val="000000"/>
          <w:sz w:val="20"/>
          <w:szCs w:val="20"/>
        </w:rPr>
        <w:t>Id.</w:t>
      </w:r>
    </w:p>
  </w:endnote>
  <w:endnote w:id="60">
    <w:p w14:paraId="609FF618" w14:textId="13ACEABC" w:rsidR="001B0E61" w:rsidRPr="00F62719" w:rsidRDefault="001B0E61">
      <w:pPr>
        <w:pStyle w:val="EndnoteText"/>
        <w:rPr>
          <w:sz w:val="20"/>
          <w:szCs w:val="20"/>
        </w:rPr>
      </w:pPr>
      <w:r w:rsidRPr="00F62719">
        <w:rPr>
          <w:rStyle w:val="EndnoteReference"/>
          <w:sz w:val="20"/>
          <w:szCs w:val="20"/>
        </w:rPr>
        <w:endnoteRef/>
      </w:r>
      <w:r w:rsidRPr="00F62719">
        <w:rPr>
          <w:sz w:val="20"/>
          <w:szCs w:val="20"/>
        </w:rPr>
        <w:t xml:space="preserve"> CRC Committee, </w:t>
      </w:r>
      <w:r w:rsidRPr="00F62719">
        <w:rPr>
          <w:i/>
          <w:sz w:val="20"/>
          <w:szCs w:val="20"/>
        </w:rPr>
        <w:t>General comment No. 20 (2016) on the implementation of the rights of the child during adolescence</w:t>
      </w:r>
      <w:r w:rsidRPr="00F62719">
        <w:rPr>
          <w:sz w:val="20"/>
          <w:szCs w:val="20"/>
        </w:rPr>
        <w:t>, para</w:t>
      </w:r>
      <w:r w:rsidR="00CB3EAE" w:rsidRPr="00F62719">
        <w:rPr>
          <w:sz w:val="20"/>
          <w:szCs w:val="20"/>
        </w:rPr>
        <w:t>s</w:t>
      </w:r>
      <w:r w:rsidRPr="00F62719">
        <w:rPr>
          <w:sz w:val="20"/>
          <w:szCs w:val="20"/>
        </w:rPr>
        <w:t xml:space="preserve">. </w:t>
      </w:r>
      <w:r w:rsidR="00CB3EAE" w:rsidRPr="00F62719">
        <w:rPr>
          <w:sz w:val="20"/>
          <w:szCs w:val="20"/>
        </w:rPr>
        <w:t xml:space="preserve">79, </w:t>
      </w:r>
      <w:r w:rsidRPr="00F62719">
        <w:rPr>
          <w:sz w:val="20"/>
          <w:szCs w:val="20"/>
        </w:rPr>
        <w:t>80, U.N. Doc. CRC/C/GC/20 (2016)</w:t>
      </w:r>
      <w:r w:rsidR="00CB3EAE" w:rsidRPr="00F62719">
        <w:rPr>
          <w:sz w:val="20"/>
          <w:szCs w:val="20"/>
        </w:rPr>
        <w:t xml:space="preserve"> [hereinafter CRC Committee, </w:t>
      </w:r>
      <w:r w:rsidR="00CB3EAE" w:rsidRPr="00F62719">
        <w:rPr>
          <w:i/>
          <w:sz w:val="20"/>
          <w:szCs w:val="20"/>
        </w:rPr>
        <w:t>General comment No. 20</w:t>
      </w:r>
      <w:r w:rsidR="00CB3EAE" w:rsidRPr="00F62719">
        <w:rPr>
          <w:sz w:val="20"/>
          <w:szCs w:val="20"/>
        </w:rPr>
        <w:t>]</w:t>
      </w:r>
      <w:r w:rsidRPr="00F62719">
        <w:rPr>
          <w:sz w:val="20"/>
          <w:szCs w:val="20"/>
        </w:rPr>
        <w:t xml:space="preserve">. </w:t>
      </w:r>
    </w:p>
  </w:endnote>
  <w:endnote w:id="61">
    <w:p w14:paraId="36ACA67B" w14:textId="169F733A"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ICCPR, </w:t>
      </w:r>
      <w:r w:rsidRPr="00F62719">
        <w:rPr>
          <w:i/>
          <w:sz w:val="20"/>
          <w:szCs w:val="20"/>
        </w:rPr>
        <w:t xml:space="preserve">supra </w:t>
      </w:r>
      <w:r w:rsidRPr="00F62719">
        <w:rPr>
          <w:sz w:val="20"/>
          <w:szCs w:val="20"/>
        </w:rPr>
        <w:t>note</w:t>
      </w:r>
      <w:r w:rsidR="00AA7903" w:rsidRPr="00F62719">
        <w:rPr>
          <w:sz w:val="20"/>
          <w:szCs w:val="20"/>
        </w:rPr>
        <w:t xml:space="preserve"> </w:t>
      </w:r>
      <w:r w:rsidR="00BC52D8" w:rsidRPr="00F62719">
        <w:rPr>
          <w:sz w:val="20"/>
          <w:szCs w:val="20"/>
        </w:rPr>
        <w:t>2</w:t>
      </w:r>
      <w:r w:rsidR="000A3318">
        <w:rPr>
          <w:sz w:val="20"/>
          <w:szCs w:val="20"/>
        </w:rPr>
        <w:t>6</w:t>
      </w:r>
      <w:r w:rsidRPr="00F62719">
        <w:rPr>
          <w:sz w:val="20"/>
          <w:szCs w:val="20"/>
        </w:rPr>
        <w:t xml:space="preserve">, arts. </w:t>
      </w:r>
      <w:proofErr w:type="gramStart"/>
      <w:r w:rsidRPr="00F62719">
        <w:rPr>
          <w:sz w:val="20"/>
          <w:szCs w:val="20"/>
        </w:rPr>
        <w:t>4</w:t>
      </w:r>
      <w:proofErr w:type="gramEnd"/>
      <w:r w:rsidRPr="00F62719">
        <w:rPr>
          <w:sz w:val="20"/>
          <w:szCs w:val="20"/>
        </w:rPr>
        <w:t>,</w:t>
      </w:r>
      <w:r w:rsidR="002925E2" w:rsidRPr="00F62719">
        <w:rPr>
          <w:sz w:val="20"/>
          <w:szCs w:val="20"/>
        </w:rPr>
        <w:t xml:space="preserve"> </w:t>
      </w:r>
      <w:r w:rsidRPr="00F62719">
        <w:rPr>
          <w:sz w:val="20"/>
          <w:szCs w:val="20"/>
        </w:rPr>
        <w:t xml:space="preserve">6 and 7; </w:t>
      </w:r>
      <w:r w:rsidR="00431633" w:rsidRPr="00F62719">
        <w:rPr>
          <w:sz w:val="20"/>
          <w:szCs w:val="20"/>
        </w:rPr>
        <w:t xml:space="preserve">Human Rights Committee, </w:t>
      </w:r>
      <w:r w:rsidR="00431633" w:rsidRPr="00F62719">
        <w:rPr>
          <w:i/>
          <w:sz w:val="20"/>
          <w:szCs w:val="20"/>
        </w:rPr>
        <w:t>Gen. Comment No. 29</w:t>
      </w:r>
      <w:r w:rsidR="00431633" w:rsidRPr="00F62719">
        <w:rPr>
          <w:sz w:val="20"/>
          <w:szCs w:val="20"/>
        </w:rPr>
        <w:t xml:space="preserve">, </w:t>
      </w:r>
      <w:r w:rsidR="00431633" w:rsidRPr="00F62719">
        <w:rPr>
          <w:i/>
          <w:sz w:val="20"/>
          <w:szCs w:val="20"/>
        </w:rPr>
        <w:t xml:space="preserve">supra </w:t>
      </w:r>
      <w:r w:rsidR="00431633" w:rsidRPr="00F62719">
        <w:rPr>
          <w:sz w:val="20"/>
          <w:szCs w:val="20"/>
        </w:rPr>
        <w:t>note</w:t>
      </w:r>
      <w:r w:rsidR="00AA7903" w:rsidRPr="00F62719">
        <w:rPr>
          <w:sz w:val="20"/>
          <w:szCs w:val="20"/>
        </w:rPr>
        <w:t xml:space="preserve"> 4</w:t>
      </w:r>
      <w:r w:rsidR="000A3318">
        <w:rPr>
          <w:sz w:val="20"/>
          <w:szCs w:val="20"/>
        </w:rPr>
        <w:t>9</w:t>
      </w:r>
      <w:r w:rsidR="00431633" w:rsidRPr="00F62719">
        <w:rPr>
          <w:sz w:val="20"/>
          <w:szCs w:val="20"/>
        </w:rPr>
        <w:t>, at para. 7</w:t>
      </w:r>
      <w:r w:rsidRPr="00F62719">
        <w:rPr>
          <w:sz w:val="20"/>
          <w:szCs w:val="20"/>
        </w:rPr>
        <w:t xml:space="preserve">.  </w:t>
      </w:r>
    </w:p>
  </w:endnote>
  <w:endnote w:id="62">
    <w:p w14:paraId="476E9E5A" w14:textId="650F41E8" w:rsidR="00DF744A" w:rsidRPr="00F62719" w:rsidRDefault="00DF744A" w:rsidP="00B03EF6">
      <w:pPr>
        <w:pStyle w:val="EndnoteText"/>
        <w:rPr>
          <w:sz w:val="20"/>
          <w:szCs w:val="20"/>
        </w:rPr>
      </w:pPr>
      <w:r w:rsidRPr="00F62719">
        <w:rPr>
          <w:rStyle w:val="EndnoteReference"/>
          <w:sz w:val="20"/>
          <w:szCs w:val="20"/>
        </w:rPr>
        <w:endnoteRef/>
      </w:r>
      <w:r w:rsidRPr="00F62719">
        <w:rPr>
          <w:sz w:val="20"/>
          <w:szCs w:val="20"/>
        </w:rPr>
        <w:t xml:space="preserve"> CAT Committee, </w:t>
      </w:r>
      <w:r w:rsidRPr="00F62719">
        <w:rPr>
          <w:i/>
          <w:sz w:val="20"/>
          <w:szCs w:val="20"/>
        </w:rPr>
        <w:t>General Comment No. 2: Implementation of article 2 by States parties, (39th Sess., 2007)</w:t>
      </w:r>
      <w:r w:rsidRPr="00F62719">
        <w:rPr>
          <w:sz w:val="20"/>
          <w:szCs w:val="20"/>
        </w:rPr>
        <w:t xml:space="preserve">, in Compilation of General Comments and General Recommendations Adopted by Human Rights Treaty Bodies, at 377, para. </w:t>
      </w:r>
      <w:proofErr w:type="gramStart"/>
      <w:r w:rsidRPr="00F62719">
        <w:rPr>
          <w:sz w:val="20"/>
          <w:szCs w:val="20"/>
        </w:rPr>
        <w:t>5</w:t>
      </w:r>
      <w:proofErr w:type="gramEnd"/>
      <w:r w:rsidRPr="00F62719">
        <w:rPr>
          <w:sz w:val="20"/>
          <w:szCs w:val="20"/>
        </w:rPr>
        <w:t xml:space="preserve">, U.N. Doc. HRI/GEN/1/Rev.9 (Vol. II) (2008). </w:t>
      </w:r>
      <w:r w:rsidRPr="00F62719">
        <w:rPr>
          <w:i/>
          <w:sz w:val="20"/>
          <w:szCs w:val="20"/>
        </w:rPr>
        <w:t>See also</w:t>
      </w:r>
      <w:r w:rsidRPr="00F62719">
        <w:rPr>
          <w:sz w:val="20"/>
          <w:szCs w:val="20"/>
        </w:rPr>
        <w:t xml:space="preserve"> Convention against Torture and Other Cruel, Inhuman, or Degrading Treatment or Punishment, adopted Dec. 10 1984, art. </w:t>
      </w:r>
      <w:proofErr w:type="gramStart"/>
      <w:r w:rsidRPr="00F62719">
        <w:rPr>
          <w:sz w:val="20"/>
          <w:szCs w:val="20"/>
        </w:rPr>
        <w:t>10</w:t>
      </w:r>
      <w:proofErr w:type="gramEnd"/>
      <w:r w:rsidRPr="00F62719">
        <w:rPr>
          <w:sz w:val="20"/>
          <w:szCs w:val="20"/>
        </w:rPr>
        <w:t>, G.A. Res. 39/46, U.N. GAOR, 39th Sess., Supp. No. 51, U.N. Doc. A/39/51 (1984).</w:t>
      </w:r>
    </w:p>
  </w:endnote>
  <w:endnote w:id="63">
    <w:p w14:paraId="0032E264" w14:textId="68589A33"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In fact, both IHL and IHRL envision a key role for aid organizations. IHL obligates parties to a conflict and third states to facilitate the passage of humanitarian relief to civilians in need. </w:t>
      </w:r>
      <w:r w:rsidRPr="00F62719">
        <w:rPr>
          <w:i/>
          <w:sz w:val="20"/>
          <w:szCs w:val="20"/>
        </w:rPr>
        <w:t>See</w:t>
      </w:r>
      <w:r w:rsidRPr="00F62719">
        <w:rPr>
          <w:sz w:val="20"/>
          <w:szCs w:val="20"/>
        </w:rPr>
        <w:t xml:space="preserve"> ICRC, Customary IHL Database, </w:t>
      </w:r>
      <w:r w:rsidRPr="00F62719">
        <w:rPr>
          <w:i/>
          <w:sz w:val="20"/>
          <w:szCs w:val="20"/>
        </w:rPr>
        <w:t>Rule 55</w:t>
      </w:r>
      <w:r w:rsidRPr="00F62719">
        <w:rPr>
          <w:sz w:val="20"/>
          <w:szCs w:val="20"/>
        </w:rPr>
        <w:t xml:space="preserve">, https://ihl-databases.icrc.org/customary-ihl/eng/docs/v1_rul_rule55 (last visited May 31, 2017). </w:t>
      </w:r>
      <w:proofErr w:type="gramStart"/>
      <w:r w:rsidRPr="00F62719">
        <w:rPr>
          <w:i/>
          <w:sz w:val="20"/>
          <w:szCs w:val="20"/>
        </w:rPr>
        <w:t>See also</w:t>
      </w:r>
      <w:r w:rsidRPr="00F62719">
        <w:rPr>
          <w:sz w:val="20"/>
          <w:szCs w:val="20"/>
        </w:rPr>
        <w:t xml:space="preserve"> CESCR, </w:t>
      </w:r>
      <w:r w:rsidRPr="00F62719">
        <w:rPr>
          <w:i/>
          <w:sz w:val="20"/>
          <w:szCs w:val="20"/>
        </w:rPr>
        <w:t>Gen. Comment No. 14</w:t>
      </w:r>
      <w:proofErr w:type="gramEnd"/>
      <w:r w:rsidRPr="00F62719">
        <w:rPr>
          <w:sz w:val="20"/>
          <w:szCs w:val="20"/>
        </w:rPr>
        <w:t xml:space="preserve">, </w:t>
      </w:r>
      <w:proofErr w:type="gramStart"/>
      <w:r w:rsidRPr="00F62719">
        <w:rPr>
          <w:i/>
          <w:sz w:val="20"/>
          <w:szCs w:val="20"/>
        </w:rPr>
        <w:t xml:space="preserve">supra </w:t>
      </w:r>
      <w:r w:rsidRPr="00F62719">
        <w:rPr>
          <w:sz w:val="20"/>
          <w:szCs w:val="20"/>
        </w:rPr>
        <w:t>note</w:t>
      </w:r>
      <w:r w:rsidR="00AA7903" w:rsidRPr="00F62719">
        <w:rPr>
          <w:sz w:val="20"/>
          <w:szCs w:val="20"/>
        </w:rPr>
        <w:t xml:space="preserve"> </w:t>
      </w:r>
      <w:r w:rsidR="000A3318">
        <w:rPr>
          <w:sz w:val="20"/>
          <w:szCs w:val="20"/>
        </w:rPr>
        <w:t>50</w:t>
      </w:r>
      <w:r w:rsidRPr="00F62719">
        <w:rPr>
          <w:sz w:val="20"/>
          <w:szCs w:val="20"/>
        </w:rPr>
        <w:t>, para</w:t>
      </w:r>
      <w:proofErr w:type="gramEnd"/>
      <w:r w:rsidRPr="00F62719">
        <w:rPr>
          <w:sz w:val="20"/>
          <w:szCs w:val="20"/>
        </w:rPr>
        <w:t xml:space="preserve">. </w:t>
      </w:r>
      <w:proofErr w:type="gramStart"/>
      <w:r w:rsidRPr="00F62719">
        <w:rPr>
          <w:sz w:val="20"/>
          <w:szCs w:val="20"/>
        </w:rPr>
        <w:t>65</w:t>
      </w:r>
      <w:proofErr w:type="gramEnd"/>
      <w:r w:rsidRPr="00F62719">
        <w:rPr>
          <w:sz w:val="20"/>
          <w:szCs w:val="20"/>
        </w:rPr>
        <w:t xml:space="preserve"> (recognizing the important role of UN agencies in providing access to basic goods and services in humanitarian settings). </w:t>
      </w:r>
    </w:p>
  </w:endnote>
  <w:endnote w:id="64">
    <w:p w14:paraId="30FDA83E" w14:textId="2A208725" w:rsidR="00CB3EAE" w:rsidRPr="00F62719" w:rsidRDefault="00CB3EAE">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See</w:t>
      </w:r>
      <w:r w:rsidRPr="00F62719">
        <w:rPr>
          <w:sz w:val="20"/>
          <w:szCs w:val="20"/>
        </w:rPr>
        <w:t xml:space="preserve"> CEDAW and CRC Committees, </w:t>
      </w:r>
      <w:r w:rsidRPr="00F62719">
        <w:rPr>
          <w:i/>
          <w:sz w:val="20"/>
          <w:szCs w:val="20"/>
        </w:rPr>
        <w:t>Joint general recommendation, supra</w:t>
      </w:r>
      <w:r w:rsidRPr="00F62719">
        <w:rPr>
          <w:sz w:val="20"/>
          <w:szCs w:val="20"/>
        </w:rPr>
        <w:t xml:space="preserve"> note </w:t>
      </w:r>
      <w:r w:rsidR="002925E2" w:rsidRPr="00F62719">
        <w:rPr>
          <w:sz w:val="20"/>
          <w:szCs w:val="20"/>
        </w:rPr>
        <w:t>2</w:t>
      </w:r>
      <w:r w:rsidR="000A3318">
        <w:rPr>
          <w:sz w:val="20"/>
          <w:szCs w:val="20"/>
        </w:rPr>
        <w:t>2</w:t>
      </w:r>
      <w:r w:rsidRPr="00F62719">
        <w:rPr>
          <w:sz w:val="20"/>
          <w:szCs w:val="20"/>
        </w:rPr>
        <w:t>, at paras. 31, 63, 65.</w:t>
      </w:r>
    </w:p>
  </w:endnote>
  <w:endnote w:id="65">
    <w:p w14:paraId="73B035AD" w14:textId="7C01EB70" w:rsidR="00CB3EAE" w:rsidRPr="00F62719" w:rsidRDefault="00CB3EAE">
      <w:pPr>
        <w:pStyle w:val="EndnoteText"/>
        <w:rPr>
          <w:sz w:val="20"/>
          <w:szCs w:val="20"/>
        </w:rPr>
      </w:pPr>
      <w:r w:rsidRPr="00F62719">
        <w:rPr>
          <w:rStyle w:val="EndnoteReference"/>
          <w:sz w:val="20"/>
          <w:szCs w:val="20"/>
        </w:rPr>
        <w:endnoteRef/>
      </w:r>
      <w:r w:rsidRPr="00F62719">
        <w:rPr>
          <w:sz w:val="20"/>
          <w:szCs w:val="20"/>
        </w:rPr>
        <w:t xml:space="preserve"> CRC Committee, </w:t>
      </w:r>
      <w:r w:rsidRPr="00F62719">
        <w:rPr>
          <w:i/>
          <w:sz w:val="20"/>
          <w:szCs w:val="20"/>
        </w:rPr>
        <w:t>General comment No. 20, supra</w:t>
      </w:r>
      <w:r w:rsidRPr="00F62719">
        <w:rPr>
          <w:sz w:val="20"/>
          <w:szCs w:val="20"/>
        </w:rPr>
        <w:t xml:space="preserve"> note </w:t>
      </w:r>
      <w:r w:rsidR="000A3318">
        <w:rPr>
          <w:sz w:val="20"/>
          <w:szCs w:val="20"/>
        </w:rPr>
        <w:t>60</w:t>
      </w:r>
      <w:r w:rsidRPr="00F62719">
        <w:rPr>
          <w:sz w:val="20"/>
          <w:szCs w:val="20"/>
        </w:rPr>
        <w:t>, at para. 80.</w:t>
      </w:r>
    </w:p>
  </w:endnote>
  <w:endnote w:id="66">
    <w:p w14:paraId="3B23BFD7" w14:textId="6A0CC15F"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See</w:t>
      </w:r>
      <w:r w:rsidRPr="00F62719">
        <w:rPr>
          <w:sz w:val="20"/>
          <w:szCs w:val="20"/>
        </w:rPr>
        <w:t xml:space="preserve"> UNFPA </w:t>
      </w:r>
      <w:proofErr w:type="gramStart"/>
      <w:r w:rsidRPr="00F62719">
        <w:rPr>
          <w:i/>
          <w:sz w:val="20"/>
          <w:szCs w:val="20"/>
        </w:rPr>
        <w:t>The</w:t>
      </w:r>
      <w:proofErr w:type="gramEnd"/>
      <w:r w:rsidRPr="00F62719">
        <w:rPr>
          <w:i/>
          <w:sz w:val="20"/>
          <w:szCs w:val="20"/>
        </w:rPr>
        <w:t xml:space="preserve"> Human Rights Based Approach to Development Cooperation: Towards a Common Understanding Among UN Agencies</w:t>
      </w:r>
      <w:r w:rsidRPr="00F62719">
        <w:rPr>
          <w:sz w:val="20"/>
          <w:szCs w:val="20"/>
        </w:rPr>
        <w:t xml:space="preserve">, </w:t>
      </w:r>
      <w:r w:rsidRPr="00F62719">
        <w:rPr>
          <w:smallCaps/>
          <w:sz w:val="20"/>
          <w:szCs w:val="20"/>
        </w:rPr>
        <w:t xml:space="preserve">HRBA Portal </w:t>
      </w:r>
      <w:r w:rsidRPr="00F62719">
        <w:rPr>
          <w:sz w:val="20"/>
          <w:szCs w:val="20"/>
        </w:rPr>
        <w:t xml:space="preserve">(March 2005), http://hrbaportal.org/the-human-rights-based-approach-to-development-cooperation-towards-a-common-understanding-among-un-agencies [hereinafter UNFPA, </w:t>
      </w:r>
      <w:r w:rsidRPr="00F62719">
        <w:rPr>
          <w:i/>
          <w:sz w:val="20"/>
          <w:szCs w:val="20"/>
        </w:rPr>
        <w:t>The Human Rights Based Approach to Development</w:t>
      </w:r>
      <w:r w:rsidRPr="00F62719">
        <w:rPr>
          <w:sz w:val="20"/>
          <w:szCs w:val="20"/>
        </w:rPr>
        <w:t xml:space="preserve">]. </w:t>
      </w:r>
    </w:p>
  </w:endnote>
  <w:endnote w:id="67">
    <w:p w14:paraId="55EA06CE" w14:textId="34EA06CA" w:rsidR="000658D2" w:rsidRPr="00F62719" w:rsidRDefault="000658D2" w:rsidP="000658D2">
      <w:pPr>
        <w:rPr>
          <w:sz w:val="20"/>
          <w:szCs w:val="20"/>
        </w:rPr>
      </w:pPr>
      <w:r w:rsidRPr="00F62719">
        <w:rPr>
          <w:rStyle w:val="EndnoteReference"/>
          <w:sz w:val="20"/>
          <w:szCs w:val="20"/>
        </w:rPr>
        <w:endnoteRef/>
      </w:r>
      <w:r w:rsidRPr="00F62719">
        <w:rPr>
          <w:sz w:val="20"/>
          <w:szCs w:val="20"/>
        </w:rPr>
        <w:t xml:space="preserve"> CEDAW Committee, </w:t>
      </w:r>
      <w:r w:rsidRPr="00F62719">
        <w:rPr>
          <w:i/>
          <w:sz w:val="20"/>
          <w:szCs w:val="20"/>
        </w:rPr>
        <w:t>Gen. Recommendation No. 28</w:t>
      </w:r>
      <w:r w:rsidRPr="00F62719">
        <w:rPr>
          <w:sz w:val="20"/>
          <w:szCs w:val="20"/>
        </w:rPr>
        <w:t xml:space="preserve">, </w:t>
      </w:r>
      <w:r w:rsidRPr="00F62719">
        <w:rPr>
          <w:i/>
          <w:sz w:val="20"/>
          <w:szCs w:val="20"/>
        </w:rPr>
        <w:t>supra</w:t>
      </w:r>
      <w:r w:rsidRPr="00F62719">
        <w:rPr>
          <w:sz w:val="20"/>
          <w:szCs w:val="20"/>
        </w:rPr>
        <w:t xml:space="preserve"> note </w:t>
      </w:r>
      <w:r w:rsidR="000A3318">
        <w:rPr>
          <w:sz w:val="20"/>
          <w:szCs w:val="20"/>
        </w:rPr>
        <w:t>50</w:t>
      </w:r>
      <w:r w:rsidRPr="00F62719">
        <w:rPr>
          <w:sz w:val="20"/>
          <w:szCs w:val="20"/>
        </w:rPr>
        <w:t xml:space="preserve">, para. </w:t>
      </w:r>
      <w:proofErr w:type="gramStart"/>
      <w:r w:rsidRPr="00F62719">
        <w:rPr>
          <w:sz w:val="20"/>
          <w:szCs w:val="20"/>
        </w:rPr>
        <w:t>11</w:t>
      </w:r>
      <w:proofErr w:type="gramEnd"/>
      <w:r w:rsidR="000A3318">
        <w:rPr>
          <w:sz w:val="20"/>
          <w:szCs w:val="20"/>
        </w:rPr>
        <w:t xml:space="preserve">; </w:t>
      </w:r>
      <w:r w:rsidRPr="00F62719">
        <w:rPr>
          <w:sz w:val="20"/>
          <w:szCs w:val="20"/>
        </w:rPr>
        <w:t>CEDAW</w:t>
      </w:r>
      <w:r w:rsidRPr="00F62719" w:rsidDel="004F76D7">
        <w:rPr>
          <w:sz w:val="20"/>
          <w:szCs w:val="20"/>
        </w:rPr>
        <w:t xml:space="preserve"> Comm</w:t>
      </w:r>
      <w:r w:rsidRPr="00F62719">
        <w:rPr>
          <w:sz w:val="20"/>
          <w:szCs w:val="20"/>
        </w:rPr>
        <w:t xml:space="preserve">ittee, </w:t>
      </w:r>
      <w:r w:rsidRPr="00F62719">
        <w:rPr>
          <w:i/>
          <w:sz w:val="20"/>
          <w:szCs w:val="20"/>
        </w:rPr>
        <w:t>Gen. Recommendation No. 30</w:t>
      </w:r>
      <w:r w:rsidRPr="00F62719">
        <w:rPr>
          <w:sz w:val="20"/>
          <w:szCs w:val="20"/>
        </w:rPr>
        <w:t xml:space="preserve">, </w:t>
      </w:r>
      <w:r w:rsidRPr="00F62719">
        <w:rPr>
          <w:i/>
          <w:sz w:val="20"/>
          <w:szCs w:val="20"/>
        </w:rPr>
        <w:t xml:space="preserve">supra </w:t>
      </w:r>
      <w:r w:rsidRPr="00F62719">
        <w:rPr>
          <w:sz w:val="20"/>
          <w:szCs w:val="20"/>
        </w:rPr>
        <w:t xml:space="preserve">note </w:t>
      </w:r>
      <w:r w:rsidR="002925E2" w:rsidRPr="00F62719">
        <w:rPr>
          <w:sz w:val="20"/>
          <w:szCs w:val="20"/>
        </w:rPr>
        <w:t>5</w:t>
      </w:r>
      <w:r w:rsidR="000A3318">
        <w:rPr>
          <w:sz w:val="20"/>
          <w:szCs w:val="20"/>
        </w:rPr>
        <w:t>2</w:t>
      </w:r>
      <w:r w:rsidRPr="00F62719">
        <w:rPr>
          <w:sz w:val="20"/>
          <w:szCs w:val="20"/>
        </w:rPr>
        <w:t xml:space="preserve">, at para. 2.  </w:t>
      </w:r>
    </w:p>
  </w:endnote>
  <w:endnote w:id="68">
    <w:p w14:paraId="658366B5" w14:textId="26AA774E"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Cf.</w:t>
      </w:r>
      <w:r w:rsidRPr="00F62719">
        <w:rPr>
          <w:sz w:val="20"/>
          <w:szCs w:val="20"/>
        </w:rPr>
        <w:t xml:space="preserve"> OHCHR, </w:t>
      </w:r>
      <w:r w:rsidRPr="00F62719">
        <w:rPr>
          <w:i/>
          <w:sz w:val="20"/>
          <w:szCs w:val="20"/>
        </w:rPr>
        <w:t>Principles and Guidelines for a Human Rights Approach to Poverty Reduction Strategies</w:t>
      </w:r>
      <w:r w:rsidRPr="00F62719">
        <w:rPr>
          <w:sz w:val="20"/>
          <w:szCs w:val="20"/>
        </w:rPr>
        <w:t xml:space="preserve">, para. 21, U.N. Doc. HR/PUB/06/12 (2006) (noting, in the poverty reduction context, that an approach based on these principles shifts focus from “narrow economic issues towards a broader strategy that also addresses the socio-cultural and political-legal institutions which sustain the structures of discrimination”); </w:t>
      </w:r>
      <w:r w:rsidRPr="00F62719">
        <w:rPr>
          <w:i/>
          <w:sz w:val="20"/>
          <w:szCs w:val="20"/>
        </w:rPr>
        <w:t>see also</w:t>
      </w:r>
      <w:r w:rsidRPr="00F62719">
        <w:rPr>
          <w:sz w:val="20"/>
          <w:szCs w:val="20"/>
        </w:rPr>
        <w:t xml:space="preserve"> UNFPA, </w:t>
      </w:r>
      <w:r w:rsidRPr="00F62719">
        <w:rPr>
          <w:i/>
          <w:sz w:val="20"/>
          <w:szCs w:val="20"/>
        </w:rPr>
        <w:t>The Human Rights-Based Approach</w:t>
      </w:r>
      <w:r w:rsidRPr="00F62719">
        <w:rPr>
          <w:sz w:val="20"/>
          <w:szCs w:val="20"/>
        </w:rPr>
        <w:t xml:space="preserve">, http://www.unfpa.org/human-rights-based-approach </w:t>
      </w:r>
      <w:r w:rsidR="00431633" w:rsidRPr="00F62719">
        <w:rPr>
          <w:sz w:val="20"/>
          <w:szCs w:val="20"/>
        </w:rPr>
        <w:t>(last visited June 9, 2017)</w:t>
      </w:r>
      <w:r w:rsidRPr="00F62719">
        <w:rPr>
          <w:sz w:val="20"/>
          <w:szCs w:val="20"/>
        </w:rPr>
        <w:t xml:space="preserve">. </w:t>
      </w:r>
    </w:p>
  </w:endnote>
  <w:endnote w:id="69">
    <w:p w14:paraId="7D08208A" w14:textId="11133207" w:rsidR="00DF744A" w:rsidRPr="00F62719" w:rsidRDefault="00DF744A" w:rsidP="006D403C">
      <w:pPr>
        <w:pStyle w:val="EndnoteText"/>
        <w:rPr>
          <w:sz w:val="20"/>
          <w:szCs w:val="20"/>
        </w:rPr>
      </w:pPr>
      <w:r w:rsidRPr="00F62719">
        <w:rPr>
          <w:rStyle w:val="EndnoteReference"/>
          <w:sz w:val="20"/>
          <w:szCs w:val="20"/>
        </w:rPr>
        <w:endnoteRef/>
      </w:r>
      <w:r w:rsidRPr="00F62719">
        <w:rPr>
          <w:i/>
          <w:sz w:val="20"/>
          <w:szCs w:val="20"/>
        </w:rPr>
        <w:t xml:space="preserve"> </w:t>
      </w:r>
      <w:proofErr w:type="gramStart"/>
      <w:r w:rsidRPr="00F62719">
        <w:rPr>
          <w:i/>
          <w:sz w:val="20"/>
          <w:szCs w:val="20"/>
        </w:rPr>
        <w:t>See</w:t>
      </w:r>
      <w:r w:rsidRPr="00F62719">
        <w:rPr>
          <w:sz w:val="20"/>
          <w:szCs w:val="20"/>
        </w:rPr>
        <w:t xml:space="preserve"> UNFPA, </w:t>
      </w:r>
      <w:r w:rsidRPr="00F62719">
        <w:rPr>
          <w:i/>
          <w:sz w:val="20"/>
          <w:szCs w:val="20"/>
        </w:rPr>
        <w:t>The Human Rights Based Approach to Development</w:t>
      </w:r>
      <w:r w:rsidRPr="00F62719">
        <w:rPr>
          <w:sz w:val="20"/>
          <w:szCs w:val="20"/>
        </w:rPr>
        <w:t xml:space="preserve">, </w:t>
      </w:r>
      <w:r w:rsidRPr="00F62719">
        <w:rPr>
          <w:i/>
          <w:sz w:val="20"/>
          <w:szCs w:val="20"/>
        </w:rPr>
        <w:t xml:space="preserve">supra </w:t>
      </w:r>
      <w:r w:rsidRPr="00F62719">
        <w:rPr>
          <w:sz w:val="20"/>
          <w:szCs w:val="20"/>
        </w:rPr>
        <w:t>note</w:t>
      </w:r>
      <w:r w:rsidR="00AA7903" w:rsidRPr="00F62719">
        <w:rPr>
          <w:sz w:val="20"/>
          <w:szCs w:val="20"/>
        </w:rPr>
        <w:t xml:space="preserve"> </w:t>
      </w:r>
      <w:r w:rsidR="00BC52D8" w:rsidRPr="00F62719">
        <w:rPr>
          <w:sz w:val="20"/>
          <w:szCs w:val="20"/>
        </w:rPr>
        <w:t>6</w:t>
      </w:r>
      <w:r w:rsidR="000A3318">
        <w:rPr>
          <w:sz w:val="20"/>
          <w:szCs w:val="20"/>
        </w:rPr>
        <w:t>6</w:t>
      </w:r>
      <w:r w:rsidRPr="00F62719">
        <w:rPr>
          <w:sz w:val="20"/>
          <w:szCs w:val="20"/>
        </w:rPr>
        <w:t xml:space="preserve">; Lena </w:t>
      </w:r>
      <w:proofErr w:type="spellStart"/>
      <w:r w:rsidRPr="00F62719">
        <w:rPr>
          <w:sz w:val="20"/>
          <w:szCs w:val="20"/>
        </w:rPr>
        <w:t>Kähler</w:t>
      </w:r>
      <w:proofErr w:type="spellEnd"/>
      <w:r w:rsidRPr="00F62719">
        <w:rPr>
          <w:sz w:val="20"/>
          <w:szCs w:val="20"/>
        </w:rPr>
        <w:t xml:space="preserve">, Marie </w:t>
      </w:r>
      <w:proofErr w:type="spellStart"/>
      <w:r w:rsidRPr="00F62719">
        <w:rPr>
          <w:sz w:val="20"/>
          <w:szCs w:val="20"/>
        </w:rPr>
        <w:t>Villumsen</w:t>
      </w:r>
      <w:proofErr w:type="spellEnd"/>
      <w:r w:rsidRPr="00F62719">
        <w:rPr>
          <w:sz w:val="20"/>
          <w:szCs w:val="20"/>
        </w:rPr>
        <w:t xml:space="preserve">, Mads Holst Jensen, and Pia Falk </w:t>
      </w:r>
      <w:proofErr w:type="spellStart"/>
      <w:r w:rsidRPr="00F62719">
        <w:rPr>
          <w:sz w:val="20"/>
          <w:szCs w:val="20"/>
        </w:rPr>
        <w:t>Paarup</w:t>
      </w:r>
      <w:proofErr w:type="spellEnd"/>
      <w:r w:rsidRPr="00F62719">
        <w:rPr>
          <w:sz w:val="20"/>
          <w:szCs w:val="20"/>
        </w:rPr>
        <w:t xml:space="preserve">, </w:t>
      </w:r>
      <w:r w:rsidRPr="00F62719">
        <w:rPr>
          <w:i/>
          <w:sz w:val="20"/>
          <w:szCs w:val="20"/>
        </w:rPr>
        <w:t>AAAQ &amp; Sexual and Reproductive Health and Rights: International Indicators for Availability, Accessibility, Acceptability, and Quality</w:t>
      </w:r>
      <w:r w:rsidRPr="00F62719">
        <w:rPr>
          <w:sz w:val="20"/>
          <w:szCs w:val="20"/>
        </w:rPr>
        <w:t xml:space="preserve">, </w:t>
      </w:r>
      <w:r w:rsidRPr="00F62719">
        <w:rPr>
          <w:smallCaps/>
          <w:sz w:val="20"/>
          <w:szCs w:val="20"/>
        </w:rPr>
        <w:t>The Danish Institute for Human Rights</w:t>
      </w:r>
      <w:r w:rsidRPr="00F62719">
        <w:rPr>
          <w:sz w:val="20"/>
          <w:szCs w:val="20"/>
        </w:rPr>
        <w:t xml:space="preserve"> 24-25 (2017), </w:t>
      </w:r>
      <w:r w:rsidRPr="00F62719">
        <w:rPr>
          <w:i/>
          <w:sz w:val="20"/>
          <w:szCs w:val="20"/>
        </w:rPr>
        <w:t xml:space="preserve">available at </w:t>
      </w:r>
      <w:r w:rsidRPr="00F62719">
        <w:rPr>
          <w:sz w:val="20"/>
          <w:szCs w:val="20"/>
        </w:rPr>
        <w:t>https://www.humanrights.dk/sites/humanrights.dk/files/media/dokumenter/nyheder/aaaq-srhr_issue_paper_dihr_2017_standard.pdf.</w:t>
      </w:r>
      <w:proofErr w:type="gramEnd"/>
      <w:r w:rsidRPr="00F62719">
        <w:rPr>
          <w:sz w:val="20"/>
          <w:szCs w:val="20"/>
        </w:rPr>
        <w:t xml:space="preserve"> </w:t>
      </w:r>
    </w:p>
  </w:endnote>
  <w:endnote w:id="70">
    <w:p w14:paraId="3BD558D3" w14:textId="5F7DE5B8"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proofErr w:type="gramStart"/>
      <w:r w:rsidRPr="00F62719">
        <w:rPr>
          <w:i/>
          <w:sz w:val="20"/>
          <w:szCs w:val="20"/>
        </w:rPr>
        <w:t>See, e.g.</w:t>
      </w:r>
      <w:r w:rsidRPr="00F62719">
        <w:rPr>
          <w:sz w:val="20"/>
          <w:szCs w:val="20"/>
        </w:rPr>
        <w:t xml:space="preserve">, </w:t>
      </w:r>
      <w:r w:rsidRPr="00F62719">
        <w:rPr>
          <w:smallCaps/>
          <w:sz w:val="20"/>
          <w:szCs w:val="20"/>
        </w:rPr>
        <w:t>OHCHR, A Human Rights-Based Approach to Data: Leaving No One Behind in the 2030 Development Agenda</w:t>
      </w:r>
      <w:r w:rsidRPr="00F62719">
        <w:rPr>
          <w:sz w:val="20"/>
          <w:szCs w:val="20"/>
        </w:rPr>
        <w:t xml:space="preserve"> 6-7 (Feb. 19, 2016), http://www.ohchr.org/Documents/Issues/HRIndicators/GuidanceNoteonApproachtoData.pdf; </w:t>
      </w:r>
      <w:r w:rsidRPr="00F62719">
        <w:rPr>
          <w:smallCaps/>
          <w:sz w:val="20"/>
          <w:szCs w:val="20"/>
        </w:rPr>
        <w:t xml:space="preserve">University of Essex Human Rights Centre Clinic </w:t>
      </w:r>
      <w:r w:rsidR="00431633" w:rsidRPr="00F62719">
        <w:rPr>
          <w:smallCaps/>
          <w:sz w:val="20"/>
          <w:szCs w:val="20"/>
        </w:rPr>
        <w:t>&amp;</w:t>
      </w:r>
      <w:r w:rsidRPr="00F62719">
        <w:rPr>
          <w:smallCaps/>
          <w:sz w:val="20"/>
          <w:szCs w:val="20"/>
        </w:rPr>
        <w:t xml:space="preserve"> the European Roma Rights Centre, Disaggregated Data and Human Rights: Law, Policy and Practice 7 </w:t>
      </w:r>
      <w:r w:rsidRPr="00F62719">
        <w:rPr>
          <w:sz w:val="20"/>
          <w:szCs w:val="20"/>
        </w:rPr>
        <w:t xml:space="preserve">(Oct. 2013), </w:t>
      </w:r>
      <w:r w:rsidRPr="00F62719">
        <w:rPr>
          <w:i/>
          <w:sz w:val="20"/>
          <w:szCs w:val="20"/>
        </w:rPr>
        <w:t xml:space="preserve">available </w:t>
      </w:r>
      <w:proofErr w:type="spellStart"/>
      <w:r w:rsidRPr="00F62719">
        <w:rPr>
          <w:i/>
          <w:sz w:val="20"/>
          <w:szCs w:val="20"/>
        </w:rPr>
        <w:t>at</w:t>
      </w:r>
      <w:r w:rsidRPr="00F62719">
        <w:rPr>
          <w:sz w:val="20"/>
          <w:szCs w:val="20"/>
        </w:rPr>
        <w:t xml:space="preserve"> https://www.essex.ac.uk/hrc/careers/clinic/documents/disaggregated-data-and-human-rights-law-policy-and-practice.pdf; </w:t>
      </w:r>
      <w:r w:rsidRPr="00F62719">
        <w:rPr>
          <w:i/>
          <w:sz w:val="20"/>
          <w:szCs w:val="20"/>
        </w:rPr>
        <w:t>see</w:t>
      </w:r>
      <w:proofErr w:type="spellEnd"/>
      <w:r w:rsidRPr="00F62719">
        <w:rPr>
          <w:i/>
          <w:sz w:val="20"/>
          <w:szCs w:val="20"/>
        </w:rPr>
        <w:t xml:space="preserve"> also</w:t>
      </w:r>
      <w:r w:rsidRPr="00F62719">
        <w:rPr>
          <w:sz w:val="20"/>
          <w:szCs w:val="20"/>
        </w:rPr>
        <w:t xml:space="preserve"> CESCR, </w:t>
      </w:r>
      <w:r w:rsidRPr="00F62719">
        <w:rPr>
          <w:i/>
          <w:sz w:val="20"/>
          <w:szCs w:val="20"/>
        </w:rPr>
        <w:t>Gen. Comment No. 22</w:t>
      </w:r>
      <w:r w:rsidRPr="00F62719">
        <w:rPr>
          <w:sz w:val="20"/>
          <w:szCs w:val="20"/>
        </w:rPr>
        <w:t xml:space="preserve">, </w:t>
      </w:r>
      <w:r w:rsidRPr="00F62719">
        <w:rPr>
          <w:i/>
          <w:sz w:val="20"/>
          <w:szCs w:val="20"/>
        </w:rPr>
        <w:t xml:space="preserve">supra </w:t>
      </w:r>
      <w:r w:rsidRPr="00F62719">
        <w:rPr>
          <w:sz w:val="20"/>
          <w:szCs w:val="20"/>
        </w:rPr>
        <w:t>note</w:t>
      </w:r>
      <w:r w:rsidR="00AA7903" w:rsidRPr="00F62719">
        <w:rPr>
          <w:sz w:val="20"/>
          <w:szCs w:val="20"/>
        </w:rPr>
        <w:t xml:space="preserve"> 3</w:t>
      </w:r>
      <w:r w:rsidR="002925E2" w:rsidRPr="00F62719">
        <w:rPr>
          <w:sz w:val="20"/>
          <w:szCs w:val="20"/>
        </w:rPr>
        <w:t>7</w:t>
      </w:r>
      <w:r w:rsidRPr="00F62719">
        <w:rPr>
          <w:sz w:val="20"/>
          <w:szCs w:val="20"/>
        </w:rPr>
        <w:t>, para.</w:t>
      </w:r>
      <w:proofErr w:type="gramEnd"/>
      <w:r w:rsidRPr="00F62719">
        <w:rPr>
          <w:sz w:val="20"/>
          <w:szCs w:val="20"/>
        </w:rPr>
        <w:t xml:space="preserve"> 15 (noting that “health facilities, goods, information and services related to sexual and reproductive health care should be accessible to all individuals and groups without discrimination and free from barriers”).</w:t>
      </w:r>
    </w:p>
  </w:endnote>
  <w:endnote w:id="71">
    <w:p w14:paraId="58416EE4" w14:textId="5AAE1D51" w:rsidR="00480774" w:rsidRPr="00F62719" w:rsidRDefault="00480774">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See</w:t>
      </w:r>
      <w:r w:rsidRPr="00F62719">
        <w:rPr>
          <w:sz w:val="20"/>
          <w:szCs w:val="20"/>
        </w:rPr>
        <w:t xml:space="preserve"> CRC Committee, </w:t>
      </w:r>
      <w:r w:rsidRPr="00F62719">
        <w:rPr>
          <w:i/>
          <w:sz w:val="20"/>
          <w:szCs w:val="20"/>
        </w:rPr>
        <w:t xml:space="preserve">General comment No. </w:t>
      </w:r>
      <w:proofErr w:type="gramStart"/>
      <w:r w:rsidRPr="00F62719">
        <w:rPr>
          <w:i/>
          <w:sz w:val="20"/>
          <w:szCs w:val="20"/>
        </w:rPr>
        <w:t>20,</w:t>
      </w:r>
      <w:proofErr w:type="gramEnd"/>
      <w:r w:rsidRPr="00F62719">
        <w:rPr>
          <w:i/>
          <w:sz w:val="20"/>
          <w:szCs w:val="20"/>
        </w:rPr>
        <w:t xml:space="preserve"> supra</w:t>
      </w:r>
      <w:r w:rsidRPr="00F62719">
        <w:rPr>
          <w:sz w:val="20"/>
          <w:szCs w:val="20"/>
        </w:rPr>
        <w:t xml:space="preserve"> note </w:t>
      </w:r>
      <w:r w:rsidR="00054255">
        <w:rPr>
          <w:sz w:val="20"/>
          <w:szCs w:val="20"/>
        </w:rPr>
        <w:t>60</w:t>
      </w:r>
      <w:r w:rsidRPr="00F62719">
        <w:rPr>
          <w:sz w:val="20"/>
          <w:szCs w:val="20"/>
        </w:rPr>
        <w:t>, at paras. 79-80.</w:t>
      </w:r>
    </w:p>
  </w:endnote>
  <w:endnote w:id="72">
    <w:p w14:paraId="02BD78E3" w14:textId="64A78C1B"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proofErr w:type="gramStart"/>
      <w:r w:rsidRPr="00F62719">
        <w:rPr>
          <w:i/>
          <w:sz w:val="20"/>
          <w:szCs w:val="20"/>
        </w:rPr>
        <w:t>See</w:t>
      </w:r>
      <w:r w:rsidRPr="00F62719">
        <w:rPr>
          <w:sz w:val="20"/>
          <w:szCs w:val="20"/>
        </w:rPr>
        <w:t xml:space="preserve"> UNFPA, </w:t>
      </w:r>
      <w:r w:rsidRPr="00F62719">
        <w:rPr>
          <w:i/>
          <w:sz w:val="20"/>
          <w:szCs w:val="20"/>
        </w:rPr>
        <w:t>The Human Rights Based Approach to Development</w:t>
      </w:r>
      <w:proofErr w:type="gramEnd"/>
      <w:r w:rsidRPr="00F62719">
        <w:rPr>
          <w:sz w:val="20"/>
          <w:szCs w:val="20"/>
        </w:rPr>
        <w:t xml:space="preserve">, </w:t>
      </w:r>
      <w:proofErr w:type="gramStart"/>
      <w:r w:rsidRPr="00F62719">
        <w:rPr>
          <w:i/>
          <w:sz w:val="20"/>
          <w:szCs w:val="20"/>
        </w:rPr>
        <w:t xml:space="preserve">supra </w:t>
      </w:r>
      <w:r w:rsidRPr="00F62719">
        <w:rPr>
          <w:sz w:val="20"/>
          <w:szCs w:val="20"/>
        </w:rPr>
        <w:t>note</w:t>
      </w:r>
      <w:r w:rsidR="00AA7903" w:rsidRPr="00F62719">
        <w:rPr>
          <w:sz w:val="20"/>
          <w:szCs w:val="20"/>
        </w:rPr>
        <w:t xml:space="preserve"> </w:t>
      </w:r>
      <w:r w:rsidR="00BC52D8" w:rsidRPr="00F62719">
        <w:rPr>
          <w:sz w:val="20"/>
          <w:szCs w:val="20"/>
        </w:rPr>
        <w:t>6</w:t>
      </w:r>
      <w:r w:rsidR="00054255">
        <w:rPr>
          <w:sz w:val="20"/>
          <w:szCs w:val="20"/>
        </w:rPr>
        <w:t>6</w:t>
      </w:r>
      <w:proofErr w:type="gramEnd"/>
      <w:r w:rsidRPr="00F62719">
        <w:rPr>
          <w:sz w:val="20"/>
          <w:szCs w:val="20"/>
        </w:rPr>
        <w:t>.</w:t>
      </w:r>
    </w:p>
  </w:endnote>
  <w:endnote w:id="73">
    <w:p w14:paraId="39D354F6" w14:textId="63D14CAF"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See generally</w:t>
      </w:r>
      <w:r w:rsidRPr="00F62719">
        <w:rPr>
          <w:sz w:val="20"/>
          <w:szCs w:val="20"/>
        </w:rPr>
        <w:t xml:space="preserve"> United Nations General Assembly Res. 60/147, </w:t>
      </w:r>
      <w:r w:rsidRPr="00F62719">
        <w:rPr>
          <w:i/>
          <w:sz w:val="20"/>
          <w:szCs w:val="20"/>
        </w:rPr>
        <w:t>Basic Principles and Guidelines on the Right to a Remedy and Reparation for Victims of Gross Violations of International Human Rights Law and Serious Violations of International Humanitarian Law</w:t>
      </w:r>
      <w:r w:rsidRPr="00F62719">
        <w:rPr>
          <w:sz w:val="20"/>
          <w:szCs w:val="20"/>
        </w:rPr>
        <w:t xml:space="preserve">, A/RES/60/147 (21 March 2006). </w:t>
      </w:r>
    </w:p>
  </w:endnote>
  <w:endnote w:id="74">
    <w:p w14:paraId="7B6F398F" w14:textId="0CC14F0B"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r w:rsidRPr="00F62719">
        <w:rPr>
          <w:i/>
          <w:sz w:val="20"/>
          <w:szCs w:val="20"/>
        </w:rPr>
        <w:t>Id.</w:t>
      </w:r>
      <w:r w:rsidRPr="00F62719">
        <w:rPr>
          <w:sz w:val="20"/>
          <w:szCs w:val="20"/>
        </w:rPr>
        <w:t xml:space="preserve">, para. 3(b). </w:t>
      </w:r>
    </w:p>
  </w:endnote>
  <w:endnote w:id="75">
    <w:p w14:paraId="75000BC5" w14:textId="1B43A187" w:rsidR="00DF744A" w:rsidRPr="00F62719" w:rsidRDefault="00DF744A" w:rsidP="006D403C">
      <w:pPr>
        <w:pStyle w:val="EndnoteText"/>
        <w:rPr>
          <w:sz w:val="20"/>
          <w:szCs w:val="20"/>
        </w:rPr>
      </w:pPr>
      <w:r w:rsidRPr="00F62719">
        <w:rPr>
          <w:rStyle w:val="EndnoteReference"/>
          <w:sz w:val="20"/>
          <w:szCs w:val="20"/>
        </w:rPr>
        <w:endnoteRef/>
      </w:r>
      <w:r w:rsidRPr="00F62719">
        <w:rPr>
          <w:sz w:val="20"/>
          <w:szCs w:val="20"/>
        </w:rPr>
        <w:t xml:space="preserve"> Restitution aims to restore the victim to her original situation before the violation and includes restoration of enjoyment of human rights, return to one’s place of residence, or return of property. Compensation is required as appropriate and proportional to the gravity of the violation and the circumstances of each case. Rehabilitation includes medical and psychological care as well as legal and social services. Satisfaction aims to ensure the cessation of continuing violations and includes verification and public disclosure of facts. Guarantees of non-repetition aim to prevent future violations and include structural and systemic changes, such as legal reform and education. </w:t>
      </w:r>
      <w:r w:rsidRPr="00F62719">
        <w:rPr>
          <w:i/>
          <w:sz w:val="20"/>
          <w:szCs w:val="20"/>
        </w:rPr>
        <w:t xml:space="preserve">Id. </w:t>
      </w:r>
      <w:r w:rsidRPr="00F62719">
        <w:rPr>
          <w:sz w:val="20"/>
          <w:szCs w:val="20"/>
        </w:rPr>
        <w:t xml:space="preserve">paras. 19-23. </w:t>
      </w:r>
      <w:r w:rsidRPr="00F62719">
        <w:rPr>
          <w:i/>
          <w:sz w:val="20"/>
          <w:szCs w:val="20"/>
        </w:rPr>
        <w:t>See also</w:t>
      </w:r>
      <w:r w:rsidRPr="00F62719">
        <w:rPr>
          <w:sz w:val="20"/>
          <w:szCs w:val="20"/>
        </w:rPr>
        <w:t xml:space="preserve"> Human Rights Committee, </w:t>
      </w:r>
      <w:r w:rsidRPr="00F62719">
        <w:rPr>
          <w:i/>
          <w:sz w:val="20"/>
          <w:szCs w:val="20"/>
        </w:rPr>
        <w:t>Gen. Comment No. 31: The Nature of the General Legal Obligation Imposed on States Parties to the Covenant</w:t>
      </w:r>
      <w:r w:rsidRPr="00F62719">
        <w:rPr>
          <w:sz w:val="20"/>
          <w:szCs w:val="20"/>
        </w:rPr>
        <w:t xml:space="preserve">, para. </w:t>
      </w:r>
      <w:proofErr w:type="gramStart"/>
      <w:r w:rsidRPr="00F62719">
        <w:rPr>
          <w:sz w:val="20"/>
          <w:szCs w:val="20"/>
        </w:rPr>
        <w:t>16</w:t>
      </w:r>
      <w:proofErr w:type="gramEnd"/>
      <w:r w:rsidRPr="00F62719">
        <w:rPr>
          <w:sz w:val="20"/>
          <w:szCs w:val="20"/>
        </w:rPr>
        <w:t xml:space="preserve">, U.N. CCPR/C/21/Rev.1/Add. </w:t>
      </w:r>
      <w:proofErr w:type="gramStart"/>
      <w:r w:rsidRPr="00F62719">
        <w:rPr>
          <w:sz w:val="20"/>
          <w:szCs w:val="20"/>
        </w:rPr>
        <w:t>1326</w:t>
      </w:r>
      <w:proofErr w:type="gramEnd"/>
      <w:r w:rsidRPr="00F62719">
        <w:rPr>
          <w:sz w:val="20"/>
          <w:szCs w:val="20"/>
        </w:rPr>
        <w:t xml:space="preserve"> (2004); CAT Committee, </w:t>
      </w:r>
      <w:r w:rsidRPr="00F62719">
        <w:rPr>
          <w:i/>
          <w:sz w:val="20"/>
          <w:szCs w:val="20"/>
        </w:rPr>
        <w:t>General Comment No. 3: Implementation of article 14 by States parties</w:t>
      </w:r>
      <w:r w:rsidRPr="00F62719">
        <w:rPr>
          <w:sz w:val="20"/>
          <w:szCs w:val="20"/>
        </w:rPr>
        <w:t xml:space="preserve">, para. </w:t>
      </w:r>
      <w:proofErr w:type="gramStart"/>
      <w:r w:rsidRPr="00F62719">
        <w:rPr>
          <w:sz w:val="20"/>
          <w:szCs w:val="20"/>
        </w:rPr>
        <w:t>2</w:t>
      </w:r>
      <w:proofErr w:type="gramEnd"/>
      <w:r w:rsidRPr="00F62719">
        <w:rPr>
          <w:sz w:val="20"/>
          <w:szCs w:val="20"/>
        </w:rPr>
        <w:t xml:space="preserve">, U.N. Doc. CAT/C/GC/3 (2012); CEDAW Committee, </w:t>
      </w:r>
      <w:r w:rsidRPr="00F62719">
        <w:rPr>
          <w:i/>
          <w:sz w:val="20"/>
          <w:szCs w:val="20"/>
        </w:rPr>
        <w:t>General Recommendation No. 33 on women’s access to justice</w:t>
      </w:r>
      <w:r w:rsidRPr="00F62719">
        <w:rPr>
          <w:sz w:val="20"/>
          <w:szCs w:val="20"/>
        </w:rPr>
        <w:t xml:space="preserve">, para. 19(f), U.N. Doc. CEDAW/C/GC/33 (2015). </w:t>
      </w:r>
    </w:p>
  </w:endnote>
  <w:endnote w:id="76">
    <w:p w14:paraId="69725FA0" w14:textId="0AB6E64B" w:rsidR="00404DBD" w:rsidRPr="00F62719" w:rsidRDefault="00404DBD">
      <w:pPr>
        <w:pStyle w:val="EndnoteText"/>
        <w:rPr>
          <w:sz w:val="20"/>
          <w:szCs w:val="20"/>
        </w:rPr>
      </w:pPr>
      <w:r w:rsidRPr="00F62719">
        <w:rPr>
          <w:rStyle w:val="EndnoteReference"/>
          <w:sz w:val="20"/>
          <w:szCs w:val="20"/>
        </w:rPr>
        <w:endnoteRef/>
      </w:r>
      <w:r w:rsidRPr="00F62719">
        <w:rPr>
          <w:sz w:val="20"/>
          <w:szCs w:val="20"/>
        </w:rPr>
        <w:t xml:space="preserve"> CEDAW</w:t>
      </w:r>
      <w:r w:rsidRPr="00F62719" w:rsidDel="004F76D7">
        <w:rPr>
          <w:sz w:val="20"/>
          <w:szCs w:val="20"/>
        </w:rPr>
        <w:t xml:space="preserve"> Comm</w:t>
      </w:r>
      <w:r w:rsidRPr="00F62719">
        <w:rPr>
          <w:sz w:val="20"/>
          <w:szCs w:val="20"/>
        </w:rPr>
        <w:t xml:space="preserve">ittee, </w:t>
      </w:r>
      <w:r w:rsidRPr="00F62719">
        <w:rPr>
          <w:i/>
          <w:sz w:val="20"/>
          <w:szCs w:val="20"/>
        </w:rPr>
        <w:t>Gen. Recommendation No. 30</w:t>
      </w:r>
      <w:r w:rsidRPr="00F62719">
        <w:rPr>
          <w:sz w:val="20"/>
          <w:szCs w:val="20"/>
        </w:rPr>
        <w:t xml:space="preserve">, </w:t>
      </w:r>
      <w:r w:rsidRPr="00F62719">
        <w:rPr>
          <w:i/>
          <w:sz w:val="20"/>
          <w:szCs w:val="20"/>
        </w:rPr>
        <w:t xml:space="preserve">supra </w:t>
      </w:r>
      <w:r w:rsidRPr="00F62719">
        <w:rPr>
          <w:sz w:val="20"/>
          <w:szCs w:val="20"/>
        </w:rPr>
        <w:t xml:space="preserve">note </w:t>
      </w:r>
      <w:r w:rsidR="002925E2" w:rsidRPr="00F62719">
        <w:rPr>
          <w:sz w:val="20"/>
          <w:szCs w:val="20"/>
        </w:rPr>
        <w:t>5</w:t>
      </w:r>
      <w:r w:rsidR="00054255">
        <w:rPr>
          <w:sz w:val="20"/>
          <w:szCs w:val="20"/>
        </w:rPr>
        <w:t>2</w:t>
      </w:r>
      <w:r w:rsidRPr="00F62719">
        <w:rPr>
          <w:sz w:val="20"/>
          <w:szCs w:val="20"/>
        </w:rPr>
        <w:t>, at para. 51.</w:t>
      </w:r>
    </w:p>
  </w:endnote>
  <w:endnote w:id="77">
    <w:p w14:paraId="7110EDDB" w14:textId="11C87A53" w:rsidR="00DF744A" w:rsidRDefault="00DF744A" w:rsidP="006D403C">
      <w:pPr>
        <w:pStyle w:val="EndnoteText"/>
        <w:rPr>
          <w:sz w:val="20"/>
          <w:szCs w:val="20"/>
        </w:rPr>
      </w:pPr>
      <w:r w:rsidRPr="00F62719">
        <w:rPr>
          <w:rStyle w:val="EndnoteReference"/>
          <w:sz w:val="20"/>
          <w:szCs w:val="20"/>
        </w:rPr>
        <w:endnoteRef/>
      </w:r>
      <w:r w:rsidRPr="00F62719">
        <w:rPr>
          <w:sz w:val="20"/>
          <w:szCs w:val="20"/>
        </w:rPr>
        <w:t xml:space="preserve"> </w:t>
      </w:r>
      <w:r w:rsidR="00054255">
        <w:rPr>
          <w:i/>
          <w:sz w:val="20"/>
          <w:szCs w:val="20"/>
        </w:rPr>
        <w:t>Id.</w:t>
      </w:r>
      <w:r w:rsidRPr="00F62719">
        <w:rPr>
          <w:sz w:val="20"/>
          <w:szCs w:val="20"/>
        </w:rPr>
        <w:t xml:space="preserve"> para.</w:t>
      </w:r>
      <w:r w:rsidR="00404DBD" w:rsidRPr="00F62719">
        <w:rPr>
          <w:sz w:val="20"/>
          <w:szCs w:val="20"/>
        </w:rPr>
        <w:t xml:space="preserve"> </w:t>
      </w:r>
      <w:r w:rsidRPr="00F62719">
        <w:rPr>
          <w:sz w:val="20"/>
          <w:szCs w:val="20"/>
        </w:rPr>
        <w:t xml:space="preserve">52(c).  </w:t>
      </w:r>
    </w:p>
    <w:p w14:paraId="53097A46" w14:textId="2570BC51" w:rsidR="003F56FF" w:rsidRDefault="003F56FF" w:rsidP="006D403C">
      <w:pPr>
        <w:pStyle w:val="EndnoteText"/>
        <w:rPr>
          <w:sz w:val="20"/>
          <w:szCs w:val="20"/>
        </w:rPr>
      </w:pPr>
    </w:p>
    <w:p w14:paraId="4189BBBA" w14:textId="77777777" w:rsidR="003F56FF" w:rsidRPr="003F56FF" w:rsidRDefault="003F56FF" w:rsidP="003F56FF">
      <w:pPr>
        <w:spacing w:before="100" w:beforeAutospacing="1" w:after="100" w:afterAutospacing="1"/>
        <w:rPr>
          <w:rFonts w:ascii="Verdana" w:hAnsi="Verdana"/>
          <w:color w:val="676767"/>
          <w:sz w:val="16"/>
          <w:szCs w:val="16"/>
          <w:lang w:val="en-GB" w:eastAsia="en-GB"/>
        </w:rPr>
      </w:pPr>
      <w:r w:rsidRPr="003F56FF">
        <w:rPr>
          <w:rFonts w:ascii="Arial" w:hAnsi="Arial" w:cs="Arial"/>
          <w:noProof/>
          <w:color w:val="000000"/>
          <w:sz w:val="16"/>
          <w:szCs w:val="16"/>
          <w:lang w:val="en-GB" w:eastAsia="en-GB"/>
        </w:rPr>
        <w:drawing>
          <wp:inline distT="0" distB="0" distL="0" distR="0" wp14:anchorId="3CFE870C" wp14:editId="0B8F9D59">
            <wp:extent cx="1115060" cy="762000"/>
            <wp:effectExtent l="0" t="0" r="8890" b="0"/>
            <wp:docPr id="1" name="Picture 1" descr="cid:image001.png@01D40A39.91C86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A39.91C864F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060" cy="762000"/>
                    </a:xfrm>
                    <a:prstGeom prst="rect">
                      <a:avLst/>
                    </a:prstGeom>
                    <a:noFill/>
                    <a:ln>
                      <a:noFill/>
                    </a:ln>
                  </pic:spPr>
                </pic:pic>
              </a:graphicData>
            </a:graphic>
          </wp:inline>
        </w:drawing>
      </w:r>
    </w:p>
    <w:p w14:paraId="5BF39CDE" w14:textId="77777777" w:rsidR="003F56FF" w:rsidRPr="003F56FF" w:rsidRDefault="003F56FF" w:rsidP="003F56FF">
      <w:pPr>
        <w:spacing w:before="100" w:beforeAutospacing="1" w:after="100" w:afterAutospacing="1"/>
        <w:rPr>
          <w:rFonts w:ascii="Verdana" w:hAnsi="Verdana"/>
          <w:color w:val="676767"/>
          <w:sz w:val="16"/>
          <w:szCs w:val="16"/>
          <w:lang w:val="en-GB" w:eastAsia="en-GB"/>
        </w:rPr>
      </w:pPr>
      <w:r w:rsidRPr="003F56FF">
        <w:rPr>
          <w:rFonts w:ascii="Arial Narrow" w:hAnsi="Arial Narrow"/>
          <w:b/>
          <w:bCs/>
          <w:color w:val="5284C4"/>
          <w:sz w:val="20"/>
          <w:szCs w:val="20"/>
          <w:lang w:eastAsia="en-GB"/>
        </w:rPr>
        <w:t> </w:t>
      </w:r>
    </w:p>
    <w:p w14:paraId="2BD5E9BC" w14:textId="77777777" w:rsidR="003F56FF" w:rsidRPr="003F56FF" w:rsidRDefault="003F56FF" w:rsidP="003F56FF">
      <w:pPr>
        <w:spacing w:before="100" w:beforeAutospacing="1" w:after="100" w:afterAutospacing="1"/>
        <w:rPr>
          <w:rFonts w:ascii="Verdana" w:hAnsi="Verdana"/>
          <w:color w:val="676767"/>
          <w:sz w:val="16"/>
          <w:szCs w:val="16"/>
          <w:lang w:val="en-GB" w:eastAsia="en-GB"/>
        </w:rPr>
      </w:pPr>
      <w:r w:rsidRPr="003F56FF">
        <w:rPr>
          <w:rFonts w:ascii="Arial Narrow" w:hAnsi="Arial Narrow"/>
          <w:b/>
          <w:bCs/>
          <w:color w:val="5284C4"/>
          <w:sz w:val="20"/>
          <w:szCs w:val="20"/>
          <w:lang w:eastAsia="en-GB"/>
        </w:rPr>
        <w:t xml:space="preserve">PAOLA SALWAN DAHER </w:t>
      </w:r>
      <w:r w:rsidRPr="003F56FF">
        <w:rPr>
          <w:rFonts w:ascii="Arial Narrow" w:hAnsi="Arial Narrow"/>
          <w:color w:val="5284C4"/>
          <w:sz w:val="20"/>
          <w:szCs w:val="20"/>
          <w:lang w:eastAsia="en-GB"/>
        </w:rPr>
        <w:t>(she/her/hers)</w:t>
      </w:r>
    </w:p>
    <w:p w14:paraId="48749927" w14:textId="77777777" w:rsidR="003F56FF" w:rsidRPr="003F56FF" w:rsidRDefault="003F56FF" w:rsidP="003F56FF">
      <w:pPr>
        <w:spacing w:before="100" w:beforeAutospacing="1" w:after="100" w:afterAutospacing="1"/>
        <w:rPr>
          <w:rFonts w:ascii="Verdana" w:hAnsi="Verdana"/>
          <w:color w:val="676767"/>
          <w:sz w:val="16"/>
          <w:szCs w:val="16"/>
          <w:lang w:val="en-GB" w:eastAsia="en-GB"/>
        </w:rPr>
      </w:pPr>
      <w:r w:rsidRPr="003F56FF">
        <w:rPr>
          <w:rFonts w:ascii="Arial" w:hAnsi="Arial" w:cs="Arial"/>
          <w:i/>
          <w:iCs/>
          <w:color w:val="5284C4"/>
          <w:sz w:val="18"/>
          <w:szCs w:val="18"/>
          <w:lang w:eastAsia="en-GB"/>
        </w:rPr>
        <w:t xml:space="preserve">Acting Senior Global Advocacy Advisor </w:t>
      </w:r>
    </w:p>
    <w:p w14:paraId="3C244E6D" w14:textId="77777777" w:rsidR="003F56FF" w:rsidRPr="003F56FF" w:rsidRDefault="003F56FF" w:rsidP="003F56FF">
      <w:pPr>
        <w:spacing w:before="100" w:beforeAutospacing="1" w:after="100" w:afterAutospacing="1"/>
        <w:rPr>
          <w:rFonts w:ascii="Verdana" w:hAnsi="Verdana"/>
          <w:color w:val="676767"/>
          <w:sz w:val="16"/>
          <w:szCs w:val="16"/>
          <w:lang w:val="en-GB" w:eastAsia="en-GB"/>
        </w:rPr>
      </w:pPr>
      <w:hyperlink r:id="rId6" w:history="1">
        <w:r w:rsidRPr="003F56FF">
          <w:rPr>
            <w:rFonts w:ascii="Arial" w:hAnsi="Arial" w:cs="Arial"/>
            <w:color w:val="0000FF"/>
            <w:sz w:val="18"/>
            <w:szCs w:val="18"/>
            <w:lang w:eastAsia="en-GB"/>
          </w:rPr>
          <w:t>pdaher@reprorights.org</w:t>
        </w:r>
      </w:hyperlink>
    </w:p>
    <w:p w14:paraId="57E17C98" w14:textId="77777777" w:rsidR="003F56FF" w:rsidRPr="003F56FF" w:rsidRDefault="003F56FF" w:rsidP="003F56FF">
      <w:pPr>
        <w:spacing w:before="100" w:beforeAutospacing="1" w:after="100" w:afterAutospacing="1"/>
        <w:rPr>
          <w:rFonts w:ascii="Verdana" w:hAnsi="Verdana"/>
          <w:color w:val="676767"/>
          <w:sz w:val="16"/>
          <w:szCs w:val="16"/>
          <w:lang w:val="en-GB" w:eastAsia="en-GB"/>
        </w:rPr>
      </w:pPr>
      <w:r w:rsidRPr="003F56FF">
        <w:rPr>
          <w:rFonts w:ascii="Arial" w:hAnsi="Arial" w:cs="Arial"/>
          <w:color w:val="5284C4"/>
          <w:sz w:val="18"/>
          <w:szCs w:val="18"/>
          <w:lang w:eastAsia="en-GB"/>
        </w:rPr>
        <w:t>  </w:t>
      </w:r>
    </w:p>
    <w:p w14:paraId="0075BAA0" w14:textId="77777777" w:rsidR="003F56FF" w:rsidRPr="003F56FF" w:rsidRDefault="003F56FF" w:rsidP="003F56FF">
      <w:pPr>
        <w:spacing w:before="100" w:beforeAutospacing="1" w:after="100" w:afterAutospacing="1"/>
        <w:rPr>
          <w:rFonts w:ascii="Verdana" w:hAnsi="Verdana"/>
          <w:color w:val="676767"/>
          <w:sz w:val="16"/>
          <w:szCs w:val="16"/>
          <w:lang w:val="fr-FR" w:eastAsia="en-GB"/>
        </w:rPr>
      </w:pPr>
      <w:r w:rsidRPr="003F56FF">
        <w:rPr>
          <w:rFonts w:ascii="Arial" w:hAnsi="Arial" w:cs="Arial"/>
          <w:color w:val="857670"/>
          <w:sz w:val="18"/>
          <w:szCs w:val="18"/>
          <w:lang w:val="fr-CH" w:eastAsia="en-GB"/>
        </w:rPr>
        <w:t>7, chemin Louis-Dunant</w:t>
      </w:r>
    </w:p>
    <w:p w14:paraId="3F8532B7" w14:textId="77777777" w:rsidR="003F56FF" w:rsidRPr="003F56FF" w:rsidRDefault="003F56FF" w:rsidP="003F56FF">
      <w:pPr>
        <w:spacing w:before="100" w:beforeAutospacing="1" w:after="100" w:afterAutospacing="1"/>
        <w:rPr>
          <w:rFonts w:ascii="Verdana" w:hAnsi="Verdana"/>
          <w:color w:val="676767"/>
          <w:sz w:val="16"/>
          <w:szCs w:val="16"/>
          <w:lang w:val="fr-FR" w:eastAsia="en-GB"/>
        </w:rPr>
      </w:pPr>
      <w:r w:rsidRPr="003F56FF">
        <w:rPr>
          <w:rFonts w:ascii="Arial" w:hAnsi="Arial" w:cs="Arial"/>
          <w:color w:val="857670"/>
          <w:sz w:val="18"/>
          <w:szCs w:val="18"/>
          <w:lang w:val="fr-CH" w:eastAsia="en-GB"/>
        </w:rPr>
        <w:t>CH - 1202 Genève, Suisse</w:t>
      </w:r>
    </w:p>
    <w:p w14:paraId="73F75EDC" w14:textId="77777777" w:rsidR="003F56FF" w:rsidRPr="003F56FF" w:rsidRDefault="003F56FF" w:rsidP="003F56FF">
      <w:pPr>
        <w:spacing w:before="100" w:beforeAutospacing="1" w:after="100" w:afterAutospacing="1"/>
        <w:rPr>
          <w:rFonts w:ascii="Verdana" w:hAnsi="Verdana"/>
          <w:color w:val="676767"/>
          <w:sz w:val="16"/>
          <w:szCs w:val="16"/>
          <w:lang w:val="en-GB" w:eastAsia="en-GB"/>
        </w:rPr>
      </w:pPr>
      <w:r w:rsidRPr="003F56FF">
        <w:rPr>
          <w:rFonts w:ascii="Arial" w:hAnsi="Arial" w:cs="Arial"/>
          <w:b/>
          <w:bCs/>
          <w:color w:val="857670"/>
          <w:sz w:val="18"/>
          <w:szCs w:val="18"/>
          <w:lang w:eastAsia="en-GB"/>
        </w:rPr>
        <w:t>Tel </w:t>
      </w:r>
      <w:r w:rsidRPr="003F56FF">
        <w:rPr>
          <w:rFonts w:ascii="Arial" w:hAnsi="Arial" w:cs="Arial"/>
          <w:color w:val="5186B9"/>
          <w:sz w:val="18"/>
          <w:szCs w:val="18"/>
          <w:lang w:eastAsia="en-GB"/>
        </w:rPr>
        <w:t> </w:t>
      </w:r>
      <w:r w:rsidRPr="003F56FF">
        <w:rPr>
          <w:rFonts w:ascii="Arial" w:hAnsi="Arial" w:cs="Arial"/>
          <w:color w:val="5284C4"/>
          <w:sz w:val="18"/>
          <w:szCs w:val="18"/>
          <w:lang w:eastAsia="en-GB"/>
        </w:rPr>
        <w:t>+41 (22) 552 16 92   </w:t>
      </w:r>
      <w:r w:rsidRPr="003F56FF">
        <w:rPr>
          <w:rFonts w:ascii="Arial" w:hAnsi="Arial" w:cs="Arial"/>
          <w:b/>
          <w:bCs/>
          <w:color w:val="857670"/>
          <w:sz w:val="18"/>
          <w:szCs w:val="18"/>
          <w:lang w:eastAsia="en-GB"/>
        </w:rPr>
        <w:t>Fax</w:t>
      </w:r>
      <w:r w:rsidRPr="003F56FF">
        <w:rPr>
          <w:rFonts w:ascii="Arial" w:hAnsi="Arial" w:cs="Arial"/>
          <w:b/>
          <w:bCs/>
          <w:color w:val="000000"/>
          <w:sz w:val="18"/>
          <w:szCs w:val="18"/>
          <w:lang w:eastAsia="en-GB"/>
        </w:rPr>
        <w:t> </w:t>
      </w:r>
      <w:r w:rsidRPr="003F56FF">
        <w:rPr>
          <w:rFonts w:ascii="Arial" w:hAnsi="Arial" w:cs="Arial"/>
          <w:b/>
          <w:bCs/>
          <w:color w:val="5284C4"/>
          <w:sz w:val="18"/>
          <w:szCs w:val="18"/>
          <w:lang w:eastAsia="en-GB"/>
        </w:rPr>
        <w:t>+</w:t>
      </w:r>
      <w:r w:rsidRPr="003F56FF">
        <w:rPr>
          <w:rFonts w:ascii="Arial" w:hAnsi="Arial" w:cs="Arial"/>
          <w:color w:val="5284C4"/>
          <w:sz w:val="18"/>
          <w:szCs w:val="18"/>
          <w:lang w:eastAsia="en-GB"/>
        </w:rPr>
        <w:t>41 (22) 594 86 60</w:t>
      </w:r>
    </w:p>
    <w:p w14:paraId="73FF150E" w14:textId="77777777" w:rsidR="003F56FF" w:rsidRPr="003F56FF" w:rsidRDefault="003F56FF" w:rsidP="003F56FF">
      <w:pPr>
        <w:spacing w:before="100" w:beforeAutospacing="1" w:after="100" w:afterAutospacing="1"/>
        <w:rPr>
          <w:rFonts w:ascii="Verdana" w:hAnsi="Verdana"/>
          <w:color w:val="676767"/>
          <w:sz w:val="16"/>
          <w:szCs w:val="16"/>
          <w:lang w:val="en-GB" w:eastAsia="en-GB"/>
        </w:rPr>
      </w:pPr>
      <w:r w:rsidRPr="003F56FF">
        <w:rPr>
          <w:rFonts w:ascii="Arial" w:hAnsi="Arial" w:cs="Arial"/>
          <w:b/>
          <w:bCs/>
          <w:color w:val="857670"/>
          <w:sz w:val="18"/>
          <w:szCs w:val="18"/>
          <w:lang w:eastAsia="en-GB"/>
        </w:rPr>
        <w:t>Tel </w:t>
      </w:r>
      <w:r w:rsidRPr="003F56FF">
        <w:rPr>
          <w:rFonts w:ascii="Arial" w:hAnsi="Arial" w:cs="Arial"/>
          <w:color w:val="5186B9"/>
          <w:sz w:val="18"/>
          <w:szCs w:val="18"/>
          <w:lang w:eastAsia="en-GB"/>
        </w:rPr>
        <w:t> </w:t>
      </w:r>
      <w:r w:rsidRPr="003F56FF">
        <w:rPr>
          <w:rFonts w:ascii="Arial" w:hAnsi="Arial" w:cs="Arial"/>
          <w:color w:val="5284C4"/>
          <w:sz w:val="18"/>
          <w:szCs w:val="18"/>
          <w:lang w:eastAsia="en-GB"/>
        </w:rPr>
        <w:t xml:space="preserve">+41 (79) 523 94 18 </w:t>
      </w:r>
    </w:p>
    <w:p w14:paraId="70F54704" w14:textId="1BD7B319" w:rsidR="003F56FF" w:rsidRPr="00F62719" w:rsidRDefault="003F56FF" w:rsidP="003F56FF">
      <w:pPr>
        <w:pStyle w:val="EndnoteText"/>
        <w:rPr>
          <w:sz w:val="20"/>
          <w:szCs w:val="20"/>
        </w:rPr>
      </w:pPr>
      <w:r w:rsidRPr="003F56FF">
        <w:rPr>
          <w:rFonts w:ascii="Arial" w:hAnsi="Arial" w:cs="Arial"/>
          <w:b/>
          <w:bCs/>
          <w:color w:val="857670"/>
          <w:sz w:val="18"/>
          <w:szCs w:val="18"/>
          <w:lang w:eastAsia="en-GB"/>
        </w:rPr>
        <w:t>Skype</w:t>
      </w:r>
      <w:r w:rsidRPr="003F56FF">
        <w:rPr>
          <w:rFonts w:ascii="Arial" w:hAnsi="Arial" w:cs="Arial"/>
          <w:color w:val="000000"/>
          <w:sz w:val="18"/>
          <w:szCs w:val="18"/>
          <w:lang w:eastAsia="en-GB"/>
        </w:rPr>
        <w:t> </w:t>
      </w:r>
      <w:proofErr w:type="spellStart"/>
      <w:r w:rsidRPr="003F56FF">
        <w:rPr>
          <w:rFonts w:ascii="Arial" w:hAnsi="Arial" w:cs="Arial"/>
          <w:color w:val="5284C4"/>
          <w:sz w:val="18"/>
          <w:szCs w:val="18"/>
          <w:lang w:eastAsia="en-GB"/>
        </w:rPr>
        <w:t>pdaher_crr</w:t>
      </w:r>
      <w:proofErr w:type="spellEnd"/>
      <w:r w:rsidRPr="003F56FF">
        <w:rPr>
          <w:rFonts w:ascii="Arial" w:hAnsi="Arial" w:cs="Arial"/>
          <w:color w:val="5186B9"/>
          <w:sz w:val="18"/>
          <w:szCs w:val="18"/>
          <w:lang w:eastAsia="en-GB"/>
        </w:rPr>
        <w:t> </w:t>
      </w:r>
      <w:bookmarkStart w:id="15" w:name="_GoBack"/>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836857"/>
      <w:docPartObj>
        <w:docPartGallery w:val="Page Numbers (Bottom of Page)"/>
        <w:docPartUnique/>
      </w:docPartObj>
    </w:sdtPr>
    <w:sdtEndPr>
      <w:rPr>
        <w:noProof/>
      </w:rPr>
    </w:sdtEndPr>
    <w:sdtContent>
      <w:p w14:paraId="5A3C560C" w14:textId="71C0A693" w:rsidR="00DF5C6A" w:rsidRDefault="00DF5C6A">
        <w:pPr>
          <w:pStyle w:val="Footer"/>
          <w:jc w:val="right"/>
        </w:pPr>
        <w:r>
          <w:fldChar w:fldCharType="begin"/>
        </w:r>
        <w:r>
          <w:instrText xml:space="preserve"> PAGE   \* MERGEFORMAT </w:instrText>
        </w:r>
        <w:r>
          <w:fldChar w:fldCharType="separate"/>
        </w:r>
        <w:r w:rsidR="003F56FF">
          <w:rPr>
            <w:noProof/>
          </w:rPr>
          <w:t>10</w:t>
        </w:r>
        <w:r>
          <w:rPr>
            <w:noProof/>
          </w:rPr>
          <w:fldChar w:fldCharType="end"/>
        </w:r>
      </w:p>
    </w:sdtContent>
  </w:sdt>
  <w:p w14:paraId="73BC4BDE" w14:textId="77777777" w:rsidR="00DF5C6A" w:rsidRDefault="00DF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777D5" w14:textId="77777777" w:rsidR="000D1CE7" w:rsidRDefault="000D1CE7">
      <w:r>
        <w:separator/>
      </w:r>
    </w:p>
  </w:footnote>
  <w:footnote w:type="continuationSeparator" w:id="0">
    <w:p w14:paraId="51D513F3" w14:textId="77777777" w:rsidR="000D1CE7" w:rsidRDefault="000D1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E05F4"/>
    <w:multiLevelType w:val="hybridMultilevel"/>
    <w:tmpl w:val="3912F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4666B3"/>
    <w:multiLevelType w:val="multilevel"/>
    <w:tmpl w:val="EB3E4E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3D0A91"/>
    <w:multiLevelType w:val="multilevel"/>
    <w:tmpl w:val="EF66A762"/>
    <w:lvl w:ilvl="0">
      <w:start w:val="1"/>
      <w:numFmt w:val="upperRoman"/>
      <w:lvlText w:val="%1."/>
      <w:lvlJc w:val="righ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444175"/>
    <w:multiLevelType w:val="multilevel"/>
    <w:tmpl w:val="EF66A762"/>
    <w:lvl w:ilvl="0">
      <w:start w:val="1"/>
      <w:numFmt w:val="upperRoman"/>
      <w:lvlText w:val="%1."/>
      <w:lvlJc w:val="righ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FE0280"/>
    <w:multiLevelType w:val="multilevel"/>
    <w:tmpl w:val="491E6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BE20DB0"/>
    <w:multiLevelType w:val="multilevel"/>
    <w:tmpl w:val="EB3E4E4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D3254D"/>
    <w:multiLevelType w:val="multilevel"/>
    <w:tmpl w:val="D92AC124"/>
    <w:name w:val="Plato General Level List"/>
    <w:lvl w:ilvl="0">
      <w:start w:val="1"/>
      <w:numFmt w:val="decimal"/>
      <w:pStyle w:val="Generallevel1"/>
      <w:lvlText w:val="%1"/>
      <w:lvlJc w:val="left"/>
      <w:pPr>
        <w:tabs>
          <w:tab w:val="num" w:pos="720"/>
        </w:tabs>
        <w:ind w:left="720" w:hanging="720"/>
      </w:pPr>
      <w:rPr>
        <w:caps w:val="0"/>
        <w:effect w:val="none"/>
      </w:rPr>
    </w:lvl>
    <w:lvl w:ilvl="1">
      <w:start w:val="1"/>
      <w:numFmt w:val="decimal"/>
      <w:pStyle w:val="Generallevel2"/>
      <w:lvlText w:val="%1.%2"/>
      <w:lvlJc w:val="left"/>
      <w:pPr>
        <w:tabs>
          <w:tab w:val="num" w:pos="1800"/>
        </w:tabs>
        <w:ind w:left="1800" w:hanging="1080"/>
      </w:pPr>
      <w:rPr>
        <w:caps w:val="0"/>
        <w:effect w:val="none"/>
      </w:rPr>
    </w:lvl>
    <w:lvl w:ilvl="2">
      <w:start w:val="1"/>
      <w:numFmt w:val="decimal"/>
      <w:pStyle w:val="Generallevel3"/>
      <w:lvlText w:val="%1.%2.%3"/>
      <w:lvlJc w:val="left"/>
      <w:pPr>
        <w:tabs>
          <w:tab w:val="num" w:pos="2880"/>
        </w:tabs>
        <w:ind w:left="2880" w:hanging="1080"/>
      </w:pPr>
      <w:rPr>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05D5D45"/>
    <w:multiLevelType w:val="multilevel"/>
    <w:tmpl w:val="EF66A762"/>
    <w:lvl w:ilvl="0">
      <w:start w:val="1"/>
      <w:numFmt w:val="upperRoman"/>
      <w:lvlText w:val="%1."/>
      <w:lvlJc w:val="righ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2F4FD1"/>
    <w:multiLevelType w:val="multilevel"/>
    <w:tmpl w:val="B11ABE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4"/>
  </w:num>
  <w:num w:numId="3">
    <w:abstractNumId w:val="8"/>
  </w:num>
  <w:num w:numId="4">
    <w:abstractNumId w:val="5"/>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DE"/>
    <w:rsid w:val="000052B1"/>
    <w:rsid w:val="00005349"/>
    <w:rsid w:val="00054255"/>
    <w:rsid w:val="000658D2"/>
    <w:rsid w:val="00081E95"/>
    <w:rsid w:val="000A1EAB"/>
    <w:rsid w:val="000A3318"/>
    <w:rsid w:val="000A6EA7"/>
    <w:rsid w:val="000B65E2"/>
    <w:rsid w:val="000D1CE7"/>
    <w:rsid w:val="000D4212"/>
    <w:rsid w:val="000E0314"/>
    <w:rsid w:val="000E44CD"/>
    <w:rsid w:val="000E478C"/>
    <w:rsid w:val="000E51DD"/>
    <w:rsid w:val="000F6387"/>
    <w:rsid w:val="00101FF5"/>
    <w:rsid w:val="001254F8"/>
    <w:rsid w:val="00137FB1"/>
    <w:rsid w:val="00143B79"/>
    <w:rsid w:val="00156C2F"/>
    <w:rsid w:val="00171198"/>
    <w:rsid w:val="00187C47"/>
    <w:rsid w:val="001941CA"/>
    <w:rsid w:val="001978AA"/>
    <w:rsid w:val="001A2ADC"/>
    <w:rsid w:val="001B0E61"/>
    <w:rsid w:val="001E4BE6"/>
    <w:rsid w:val="001F6821"/>
    <w:rsid w:val="00205035"/>
    <w:rsid w:val="002255B4"/>
    <w:rsid w:val="00242B33"/>
    <w:rsid w:val="00254489"/>
    <w:rsid w:val="0025691B"/>
    <w:rsid w:val="00256E81"/>
    <w:rsid w:val="002652D7"/>
    <w:rsid w:val="00270499"/>
    <w:rsid w:val="00291055"/>
    <w:rsid w:val="002925E2"/>
    <w:rsid w:val="002941B2"/>
    <w:rsid w:val="002A060A"/>
    <w:rsid w:val="002D623B"/>
    <w:rsid w:val="002E3A73"/>
    <w:rsid w:val="002F2F79"/>
    <w:rsid w:val="002F5317"/>
    <w:rsid w:val="0031217A"/>
    <w:rsid w:val="00320CA1"/>
    <w:rsid w:val="00343925"/>
    <w:rsid w:val="003751FD"/>
    <w:rsid w:val="003947F9"/>
    <w:rsid w:val="003C63B4"/>
    <w:rsid w:val="003D4AD8"/>
    <w:rsid w:val="003D676C"/>
    <w:rsid w:val="003F56FF"/>
    <w:rsid w:val="003F784A"/>
    <w:rsid w:val="00400FDA"/>
    <w:rsid w:val="00404BBF"/>
    <w:rsid w:val="00404DBD"/>
    <w:rsid w:val="00415140"/>
    <w:rsid w:val="00431633"/>
    <w:rsid w:val="00434C7C"/>
    <w:rsid w:val="00447A53"/>
    <w:rsid w:val="0045181D"/>
    <w:rsid w:val="00455FF4"/>
    <w:rsid w:val="00471421"/>
    <w:rsid w:val="004778D5"/>
    <w:rsid w:val="00480774"/>
    <w:rsid w:val="004A3208"/>
    <w:rsid w:val="004B34E1"/>
    <w:rsid w:val="004D42C3"/>
    <w:rsid w:val="004D69AA"/>
    <w:rsid w:val="004E0237"/>
    <w:rsid w:val="004E6931"/>
    <w:rsid w:val="005042AE"/>
    <w:rsid w:val="0051283C"/>
    <w:rsid w:val="005141C4"/>
    <w:rsid w:val="00531093"/>
    <w:rsid w:val="005454AE"/>
    <w:rsid w:val="00550269"/>
    <w:rsid w:val="00557F9A"/>
    <w:rsid w:val="00565253"/>
    <w:rsid w:val="00572CF5"/>
    <w:rsid w:val="005822DE"/>
    <w:rsid w:val="005B5144"/>
    <w:rsid w:val="005B6CDD"/>
    <w:rsid w:val="005D1ED4"/>
    <w:rsid w:val="005D6F13"/>
    <w:rsid w:val="005D723F"/>
    <w:rsid w:val="005E01C4"/>
    <w:rsid w:val="005E0773"/>
    <w:rsid w:val="00613792"/>
    <w:rsid w:val="0062357C"/>
    <w:rsid w:val="006366F1"/>
    <w:rsid w:val="00652ABA"/>
    <w:rsid w:val="00654389"/>
    <w:rsid w:val="0068592C"/>
    <w:rsid w:val="00687423"/>
    <w:rsid w:val="006A033F"/>
    <w:rsid w:val="006A4916"/>
    <w:rsid w:val="006B77E6"/>
    <w:rsid w:val="006D403C"/>
    <w:rsid w:val="006E080A"/>
    <w:rsid w:val="006E2356"/>
    <w:rsid w:val="006F01B9"/>
    <w:rsid w:val="00703622"/>
    <w:rsid w:val="00704976"/>
    <w:rsid w:val="007171F0"/>
    <w:rsid w:val="00722846"/>
    <w:rsid w:val="0073710B"/>
    <w:rsid w:val="00750704"/>
    <w:rsid w:val="007767CE"/>
    <w:rsid w:val="00793082"/>
    <w:rsid w:val="007937F4"/>
    <w:rsid w:val="007C0FCE"/>
    <w:rsid w:val="007C10D8"/>
    <w:rsid w:val="007C13EF"/>
    <w:rsid w:val="007C3D07"/>
    <w:rsid w:val="007E5E52"/>
    <w:rsid w:val="007F3E69"/>
    <w:rsid w:val="007F70A8"/>
    <w:rsid w:val="00821203"/>
    <w:rsid w:val="00851C8C"/>
    <w:rsid w:val="008863F4"/>
    <w:rsid w:val="008971ED"/>
    <w:rsid w:val="008B01BB"/>
    <w:rsid w:val="008B5C59"/>
    <w:rsid w:val="008C70C9"/>
    <w:rsid w:val="008D4F09"/>
    <w:rsid w:val="008E5D66"/>
    <w:rsid w:val="008F1C8D"/>
    <w:rsid w:val="009153AB"/>
    <w:rsid w:val="0092368B"/>
    <w:rsid w:val="009249A2"/>
    <w:rsid w:val="009350C2"/>
    <w:rsid w:val="00935115"/>
    <w:rsid w:val="0094399E"/>
    <w:rsid w:val="00947C6B"/>
    <w:rsid w:val="0095009A"/>
    <w:rsid w:val="00966207"/>
    <w:rsid w:val="009B4BA7"/>
    <w:rsid w:val="009C56A7"/>
    <w:rsid w:val="009E77C0"/>
    <w:rsid w:val="009F631D"/>
    <w:rsid w:val="00A26B33"/>
    <w:rsid w:val="00A3049E"/>
    <w:rsid w:val="00A33DED"/>
    <w:rsid w:val="00A409E1"/>
    <w:rsid w:val="00A70647"/>
    <w:rsid w:val="00A74F9D"/>
    <w:rsid w:val="00A75935"/>
    <w:rsid w:val="00A97321"/>
    <w:rsid w:val="00AA0B0F"/>
    <w:rsid w:val="00AA0FAE"/>
    <w:rsid w:val="00AA7903"/>
    <w:rsid w:val="00AB19C1"/>
    <w:rsid w:val="00AB3327"/>
    <w:rsid w:val="00B03EF6"/>
    <w:rsid w:val="00B05206"/>
    <w:rsid w:val="00B24A40"/>
    <w:rsid w:val="00B367BD"/>
    <w:rsid w:val="00B4102F"/>
    <w:rsid w:val="00B43556"/>
    <w:rsid w:val="00B60903"/>
    <w:rsid w:val="00B65232"/>
    <w:rsid w:val="00B84194"/>
    <w:rsid w:val="00B92FBB"/>
    <w:rsid w:val="00B975D4"/>
    <w:rsid w:val="00BA40B7"/>
    <w:rsid w:val="00BA40E4"/>
    <w:rsid w:val="00BC1197"/>
    <w:rsid w:val="00BC3E06"/>
    <w:rsid w:val="00BC52D8"/>
    <w:rsid w:val="00BD785A"/>
    <w:rsid w:val="00BE0C09"/>
    <w:rsid w:val="00BE6FCD"/>
    <w:rsid w:val="00BF5F4D"/>
    <w:rsid w:val="00C152B0"/>
    <w:rsid w:val="00C17BB9"/>
    <w:rsid w:val="00C200BE"/>
    <w:rsid w:val="00C30E6E"/>
    <w:rsid w:val="00C36601"/>
    <w:rsid w:val="00C468FD"/>
    <w:rsid w:val="00C52CEC"/>
    <w:rsid w:val="00C87E16"/>
    <w:rsid w:val="00C90559"/>
    <w:rsid w:val="00CA13EC"/>
    <w:rsid w:val="00CB3EAE"/>
    <w:rsid w:val="00CE765A"/>
    <w:rsid w:val="00CF3122"/>
    <w:rsid w:val="00D11D5E"/>
    <w:rsid w:val="00D2606C"/>
    <w:rsid w:val="00D26463"/>
    <w:rsid w:val="00D26B64"/>
    <w:rsid w:val="00D308CB"/>
    <w:rsid w:val="00D422F7"/>
    <w:rsid w:val="00D43684"/>
    <w:rsid w:val="00D5054B"/>
    <w:rsid w:val="00D5215E"/>
    <w:rsid w:val="00D52316"/>
    <w:rsid w:val="00D77916"/>
    <w:rsid w:val="00D82782"/>
    <w:rsid w:val="00D92BCB"/>
    <w:rsid w:val="00D92FD3"/>
    <w:rsid w:val="00D963E8"/>
    <w:rsid w:val="00DC4749"/>
    <w:rsid w:val="00DE5971"/>
    <w:rsid w:val="00DF254B"/>
    <w:rsid w:val="00DF5C6A"/>
    <w:rsid w:val="00DF744A"/>
    <w:rsid w:val="00E04D96"/>
    <w:rsid w:val="00E13E7D"/>
    <w:rsid w:val="00E16811"/>
    <w:rsid w:val="00E1724D"/>
    <w:rsid w:val="00E5653B"/>
    <w:rsid w:val="00E64ECE"/>
    <w:rsid w:val="00E65A14"/>
    <w:rsid w:val="00E80C35"/>
    <w:rsid w:val="00E81E7D"/>
    <w:rsid w:val="00EA00F2"/>
    <w:rsid w:val="00EC49DE"/>
    <w:rsid w:val="00EE4AAE"/>
    <w:rsid w:val="00EF7C6C"/>
    <w:rsid w:val="00F00AD7"/>
    <w:rsid w:val="00F1197B"/>
    <w:rsid w:val="00F1608D"/>
    <w:rsid w:val="00F22233"/>
    <w:rsid w:val="00F24628"/>
    <w:rsid w:val="00F3783C"/>
    <w:rsid w:val="00F52E61"/>
    <w:rsid w:val="00F573D1"/>
    <w:rsid w:val="00F60C6D"/>
    <w:rsid w:val="00F62719"/>
    <w:rsid w:val="00F805FF"/>
    <w:rsid w:val="00F85A04"/>
    <w:rsid w:val="00F8759D"/>
    <w:rsid w:val="00FC2A8F"/>
    <w:rsid w:val="00FC5F8E"/>
    <w:rsid w:val="00FC68D9"/>
    <w:rsid w:val="00FC6DC2"/>
    <w:rsid w:val="00FD3549"/>
    <w:rsid w:val="00FD7BAF"/>
    <w:rsid w:val="00FF20B2"/>
    <w:rsid w:val="00FF6A3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F300FA"/>
  <w15:docId w15:val="{51B7D079-C298-459F-B124-0005D98E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2B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134F3"/>
    <w:rPr>
      <w:lang w:val="en-GB"/>
    </w:rPr>
  </w:style>
  <w:style w:type="character" w:customStyle="1" w:styleId="InternetLink">
    <w:name w:val="Internet Link"/>
    <w:basedOn w:val="DefaultParagraphFont"/>
    <w:uiPriority w:val="99"/>
    <w:unhideWhenUsed/>
    <w:rsid w:val="001134F3"/>
    <w:rPr>
      <w:color w:val="0563C1" w:themeColor="hyperlink"/>
      <w:u w:val="single"/>
    </w:rPr>
  </w:style>
  <w:style w:type="character" w:customStyle="1" w:styleId="FooterChar">
    <w:name w:val="Footer Char"/>
    <w:basedOn w:val="DefaultParagraphFont"/>
    <w:link w:val="Footer"/>
    <w:uiPriority w:val="99"/>
    <w:qFormat/>
    <w:rsid w:val="001134F3"/>
    <w:rPr>
      <w:lang w:val="en-GB"/>
    </w:rPr>
  </w:style>
  <w:style w:type="character" w:styleId="CommentReference">
    <w:name w:val="annotation reference"/>
    <w:basedOn w:val="DefaultParagraphFont"/>
    <w:uiPriority w:val="99"/>
    <w:semiHidden/>
    <w:unhideWhenUsed/>
    <w:qFormat/>
    <w:rsid w:val="00B77843"/>
    <w:rPr>
      <w:sz w:val="16"/>
      <w:szCs w:val="16"/>
    </w:rPr>
  </w:style>
  <w:style w:type="character" w:customStyle="1" w:styleId="CommentTextChar">
    <w:name w:val="Comment Text Char"/>
    <w:basedOn w:val="DefaultParagraphFont"/>
    <w:link w:val="CommentText"/>
    <w:uiPriority w:val="99"/>
    <w:qFormat/>
    <w:rsid w:val="00B77843"/>
    <w:rPr>
      <w:rFonts w:ascii="Calibri" w:hAnsi="Calibri" w:cs="Times New Roman"/>
      <w:sz w:val="20"/>
      <w:szCs w:val="20"/>
    </w:rPr>
  </w:style>
  <w:style w:type="character" w:customStyle="1" w:styleId="EndnoteTextChar">
    <w:name w:val="Endnote Text Char"/>
    <w:aliases w:val="en Char"/>
    <w:basedOn w:val="DefaultParagraphFont"/>
    <w:link w:val="EndnoteText"/>
    <w:uiPriority w:val="99"/>
    <w:qFormat/>
    <w:rsid w:val="00B77843"/>
    <w:rPr>
      <w:sz w:val="20"/>
      <w:szCs w:val="20"/>
      <w:lang w:val="fr-CH"/>
    </w:rPr>
  </w:style>
  <w:style w:type="character" w:styleId="EndnoteReference">
    <w:name w:val="endnote reference"/>
    <w:basedOn w:val="DefaultParagraphFont"/>
    <w:uiPriority w:val="99"/>
    <w:unhideWhenUsed/>
    <w:qFormat/>
    <w:rsid w:val="00B77843"/>
    <w:rPr>
      <w:vertAlign w:val="superscript"/>
    </w:rPr>
  </w:style>
  <w:style w:type="character" w:customStyle="1" w:styleId="BalloonTextChar">
    <w:name w:val="Balloon Text Char"/>
    <w:basedOn w:val="DefaultParagraphFont"/>
    <w:link w:val="BalloonText"/>
    <w:uiPriority w:val="99"/>
    <w:semiHidden/>
    <w:qFormat/>
    <w:rsid w:val="00B77843"/>
    <w:rPr>
      <w:rFonts w:ascii="Segoe UI" w:hAnsi="Segoe UI" w:cs="Segoe UI"/>
      <w:sz w:val="18"/>
      <w:szCs w:val="18"/>
      <w:lang w:val="en-GB"/>
    </w:rPr>
  </w:style>
  <w:style w:type="character" w:customStyle="1" w:styleId="FootnoteTextChar">
    <w:name w:val="Footnote Text Char"/>
    <w:basedOn w:val="DefaultParagraphFont"/>
    <w:link w:val="FootnoteText"/>
    <w:uiPriority w:val="99"/>
    <w:semiHidden/>
    <w:qFormat/>
    <w:rsid w:val="00AC1515"/>
    <w:rPr>
      <w:sz w:val="20"/>
      <w:szCs w:val="20"/>
      <w:lang w:val="en-GB"/>
    </w:rPr>
  </w:style>
  <w:style w:type="character" w:styleId="FootnoteReference">
    <w:name w:val="footnote reference"/>
    <w:basedOn w:val="DefaultParagraphFont"/>
    <w:uiPriority w:val="99"/>
    <w:semiHidden/>
    <w:unhideWhenUsed/>
    <w:qFormat/>
    <w:rsid w:val="00AC1515"/>
    <w:rPr>
      <w:vertAlign w:val="superscript"/>
    </w:rPr>
  </w:style>
  <w:style w:type="character" w:customStyle="1" w:styleId="UnresolvedMention1">
    <w:name w:val="Unresolved Mention1"/>
    <w:basedOn w:val="DefaultParagraphFont"/>
    <w:uiPriority w:val="99"/>
    <w:semiHidden/>
    <w:unhideWhenUsed/>
    <w:qFormat/>
    <w:rsid w:val="00AC1515"/>
    <w:rPr>
      <w:color w:val="808080"/>
      <w:shd w:val="clear" w:color="auto" w:fill="E6E6E6"/>
    </w:rPr>
  </w:style>
  <w:style w:type="character" w:customStyle="1" w:styleId="apple-converted-space">
    <w:name w:val="apple-converted-space"/>
    <w:basedOn w:val="DefaultParagraphFont"/>
    <w:qFormat/>
    <w:rsid w:val="002469F6"/>
  </w:style>
  <w:style w:type="character" w:styleId="FollowedHyperlink">
    <w:name w:val="FollowedHyperlink"/>
    <w:basedOn w:val="DefaultParagraphFont"/>
    <w:uiPriority w:val="99"/>
    <w:semiHidden/>
    <w:unhideWhenUsed/>
    <w:qFormat/>
    <w:rsid w:val="00F51424"/>
    <w:rPr>
      <w:color w:val="954F72" w:themeColor="followedHyperlink"/>
      <w:u w:val="single"/>
    </w:rPr>
  </w:style>
  <w:style w:type="character" w:customStyle="1" w:styleId="CommentSubjectChar">
    <w:name w:val="Comment Subject Char"/>
    <w:basedOn w:val="CommentTextChar"/>
    <w:link w:val="CommentSubject"/>
    <w:uiPriority w:val="99"/>
    <w:semiHidden/>
    <w:qFormat/>
    <w:rsid w:val="00586BD8"/>
    <w:rPr>
      <w:rFonts w:ascii="Calibri" w:hAnsi="Calibri" w:cs="Times New Roman"/>
      <w:b/>
      <w:bCs/>
      <w:sz w:val="20"/>
      <w:szCs w:val="20"/>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1134F3"/>
    <w:pPr>
      <w:ind w:left="720"/>
      <w:contextualSpacing/>
    </w:pPr>
  </w:style>
  <w:style w:type="paragraph" w:styleId="Header">
    <w:name w:val="header"/>
    <w:basedOn w:val="Normal"/>
    <w:link w:val="HeaderChar"/>
    <w:uiPriority w:val="99"/>
    <w:unhideWhenUsed/>
    <w:rsid w:val="001134F3"/>
    <w:pPr>
      <w:tabs>
        <w:tab w:val="center" w:pos="4513"/>
        <w:tab w:val="right" w:pos="9026"/>
      </w:tabs>
    </w:pPr>
  </w:style>
  <w:style w:type="paragraph" w:styleId="Footer">
    <w:name w:val="footer"/>
    <w:basedOn w:val="Normal"/>
    <w:link w:val="FooterChar"/>
    <w:uiPriority w:val="99"/>
    <w:unhideWhenUsed/>
    <w:rsid w:val="001134F3"/>
    <w:pPr>
      <w:tabs>
        <w:tab w:val="center" w:pos="4680"/>
        <w:tab w:val="right" w:pos="9360"/>
      </w:tabs>
    </w:pPr>
  </w:style>
  <w:style w:type="paragraph" w:styleId="NoSpacing">
    <w:name w:val="No Spacing"/>
    <w:uiPriority w:val="1"/>
    <w:qFormat/>
    <w:rsid w:val="00B77843"/>
    <w:rPr>
      <w:rFonts w:cs="Times New Roman"/>
    </w:rPr>
  </w:style>
  <w:style w:type="paragraph" w:styleId="CommentText">
    <w:name w:val="annotation text"/>
    <w:basedOn w:val="Normal"/>
    <w:link w:val="CommentTextChar"/>
    <w:uiPriority w:val="99"/>
    <w:unhideWhenUsed/>
    <w:qFormat/>
    <w:rsid w:val="00B77843"/>
    <w:rPr>
      <w:rFonts w:ascii="Calibri" w:hAnsi="Calibri"/>
      <w:sz w:val="20"/>
      <w:szCs w:val="20"/>
    </w:rPr>
  </w:style>
  <w:style w:type="paragraph" w:styleId="EndnoteText">
    <w:name w:val="endnote text"/>
    <w:aliases w:val="en"/>
    <w:basedOn w:val="Normal"/>
    <w:link w:val="EndnoteTextChar"/>
    <w:uiPriority w:val="99"/>
  </w:style>
  <w:style w:type="paragraph" w:styleId="BalloonText">
    <w:name w:val="Balloon Text"/>
    <w:basedOn w:val="Normal"/>
    <w:link w:val="BalloonTextChar"/>
    <w:uiPriority w:val="99"/>
    <w:semiHidden/>
    <w:unhideWhenUsed/>
    <w:qFormat/>
    <w:rsid w:val="00B77843"/>
    <w:rPr>
      <w:rFonts w:ascii="Segoe UI" w:hAnsi="Segoe UI" w:cs="Segoe UI"/>
      <w:sz w:val="18"/>
      <w:szCs w:val="18"/>
    </w:rPr>
  </w:style>
  <w:style w:type="paragraph" w:styleId="FootnoteText">
    <w:name w:val="footnote text"/>
    <w:basedOn w:val="Normal"/>
    <w:link w:val="FootnoteTextChar"/>
    <w:uiPriority w:val="99"/>
    <w:semiHidden/>
    <w:unhideWhenUsed/>
    <w:qFormat/>
    <w:rsid w:val="00AC1515"/>
    <w:rPr>
      <w:sz w:val="20"/>
      <w:szCs w:val="20"/>
    </w:rPr>
  </w:style>
  <w:style w:type="paragraph" w:customStyle="1" w:styleId="Default">
    <w:name w:val="Default"/>
    <w:qFormat/>
    <w:rsid w:val="00431CD1"/>
    <w:rPr>
      <w:rFonts w:ascii="Times New Roman" w:eastAsia="Calibri" w:hAnsi="Times New Roman" w:cs="Times New Roman"/>
      <w:color w:val="000000"/>
      <w:sz w:val="24"/>
      <w:szCs w:val="24"/>
    </w:rPr>
  </w:style>
  <w:style w:type="paragraph" w:styleId="CommentSubject">
    <w:name w:val="annotation subject"/>
    <w:basedOn w:val="CommentText"/>
    <w:link w:val="CommentSubjectChar"/>
    <w:uiPriority w:val="99"/>
    <w:semiHidden/>
    <w:unhideWhenUsed/>
    <w:qFormat/>
    <w:rsid w:val="00586BD8"/>
    <w:pPr>
      <w:spacing w:after="160"/>
    </w:pPr>
    <w:rPr>
      <w:rFonts w:asciiTheme="minorHAnsi" w:hAnsiTheme="minorHAnsi" w:cstheme="minorBidi"/>
      <w:b/>
      <w:bCs/>
      <w:lang w:val="en-GB"/>
    </w:rPr>
  </w:style>
  <w:style w:type="character" w:customStyle="1" w:styleId="normaltextrun">
    <w:name w:val="normaltextrun"/>
    <w:basedOn w:val="DefaultParagraphFont"/>
    <w:rsid w:val="00A75935"/>
  </w:style>
  <w:style w:type="character" w:customStyle="1" w:styleId="MarginTextChar">
    <w:name w:val="Margin Text Char"/>
    <w:link w:val="MarginText"/>
    <w:locked/>
    <w:rsid w:val="002D623B"/>
    <w:rPr>
      <w:rFonts w:ascii="Times New Roman" w:eastAsia="STZhongsong" w:hAnsi="Times New Roman" w:cs="Times New Roman"/>
      <w:szCs w:val="20"/>
      <w:lang w:val="en-GB" w:eastAsia="zh-CN"/>
    </w:rPr>
  </w:style>
  <w:style w:type="paragraph" w:customStyle="1" w:styleId="MarginText">
    <w:name w:val="Margin Text"/>
    <w:basedOn w:val="Normal"/>
    <w:link w:val="MarginTextChar"/>
    <w:rsid w:val="002D623B"/>
    <w:pPr>
      <w:adjustRightInd w:val="0"/>
      <w:spacing w:after="240"/>
    </w:pPr>
    <w:rPr>
      <w:rFonts w:eastAsia="STZhongsong"/>
      <w:szCs w:val="20"/>
      <w:lang w:eastAsia="zh-CN"/>
    </w:rPr>
  </w:style>
  <w:style w:type="character" w:styleId="Hyperlink">
    <w:name w:val="Hyperlink"/>
    <w:basedOn w:val="DefaultParagraphFont"/>
    <w:uiPriority w:val="99"/>
    <w:unhideWhenUsed/>
    <w:rsid w:val="002941B2"/>
    <w:rPr>
      <w:color w:val="0563C1" w:themeColor="hyperlink"/>
      <w:u w:val="single"/>
    </w:rPr>
  </w:style>
  <w:style w:type="character" w:customStyle="1" w:styleId="Generallevel1Char">
    <w:name w:val="General level 1 Char"/>
    <w:link w:val="Generallevel1"/>
    <w:locked/>
    <w:rsid w:val="002941B2"/>
    <w:rPr>
      <w:rFonts w:ascii="Times New Roman" w:eastAsia="STZhongsong" w:hAnsi="Times New Roman" w:cs="Times New Roman"/>
      <w:lang w:val="en-GB" w:eastAsia="zh-CN"/>
    </w:rPr>
  </w:style>
  <w:style w:type="paragraph" w:customStyle="1" w:styleId="Generallevel1">
    <w:name w:val="General level 1"/>
    <w:basedOn w:val="Normal"/>
    <w:link w:val="Generallevel1Char"/>
    <w:rsid w:val="002941B2"/>
    <w:pPr>
      <w:numPr>
        <w:numId w:val="6"/>
      </w:numPr>
      <w:adjustRightInd w:val="0"/>
      <w:spacing w:after="240"/>
      <w:outlineLvl w:val="0"/>
    </w:pPr>
    <w:rPr>
      <w:rFonts w:eastAsia="STZhongsong"/>
      <w:lang w:eastAsia="zh-CN"/>
    </w:rPr>
  </w:style>
  <w:style w:type="paragraph" w:customStyle="1" w:styleId="Generallevel2">
    <w:name w:val="General level 2"/>
    <w:basedOn w:val="Normal"/>
    <w:rsid w:val="002941B2"/>
    <w:pPr>
      <w:numPr>
        <w:ilvl w:val="1"/>
        <w:numId w:val="6"/>
      </w:numPr>
      <w:adjustRightInd w:val="0"/>
      <w:spacing w:after="240"/>
      <w:outlineLvl w:val="1"/>
    </w:pPr>
    <w:rPr>
      <w:rFonts w:eastAsia="STZhongsong"/>
      <w:szCs w:val="20"/>
      <w:lang w:eastAsia="zh-CN"/>
    </w:rPr>
  </w:style>
  <w:style w:type="paragraph" w:customStyle="1" w:styleId="Generallevel3">
    <w:name w:val="General level 3"/>
    <w:basedOn w:val="Normal"/>
    <w:rsid w:val="002941B2"/>
    <w:pPr>
      <w:numPr>
        <w:ilvl w:val="2"/>
        <w:numId w:val="6"/>
      </w:numPr>
      <w:adjustRightInd w:val="0"/>
      <w:spacing w:after="240"/>
      <w:outlineLvl w:val="2"/>
    </w:pPr>
    <w:rPr>
      <w:rFonts w:eastAsia="STZhongsong"/>
      <w:szCs w:val="20"/>
      <w:lang w:eastAsia="zh-CN"/>
    </w:rPr>
  </w:style>
  <w:style w:type="paragraph" w:customStyle="1" w:styleId="Generallevel4">
    <w:name w:val="General level 4"/>
    <w:basedOn w:val="Normal"/>
    <w:rsid w:val="002941B2"/>
    <w:pPr>
      <w:numPr>
        <w:ilvl w:val="3"/>
        <w:numId w:val="6"/>
      </w:numPr>
      <w:adjustRightInd w:val="0"/>
      <w:spacing w:after="240"/>
      <w:outlineLvl w:val="3"/>
    </w:pPr>
    <w:rPr>
      <w:rFonts w:eastAsia="STZhongsong"/>
      <w:szCs w:val="20"/>
      <w:lang w:eastAsia="zh-CN"/>
    </w:rPr>
  </w:style>
  <w:style w:type="paragraph" w:customStyle="1" w:styleId="Generallevel5">
    <w:name w:val="General level 5"/>
    <w:basedOn w:val="Normal"/>
    <w:rsid w:val="002941B2"/>
    <w:pPr>
      <w:numPr>
        <w:ilvl w:val="4"/>
        <w:numId w:val="6"/>
      </w:numPr>
      <w:adjustRightInd w:val="0"/>
      <w:spacing w:after="240"/>
      <w:outlineLvl w:val="4"/>
    </w:pPr>
    <w:rPr>
      <w:rFonts w:eastAsia="STZhongsong"/>
      <w:szCs w:val="20"/>
      <w:lang w:eastAsia="zh-CN"/>
    </w:rPr>
  </w:style>
  <w:style w:type="paragraph" w:customStyle="1" w:styleId="Generallevel6">
    <w:name w:val="General level 6"/>
    <w:basedOn w:val="Normal"/>
    <w:rsid w:val="002941B2"/>
    <w:pPr>
      <w:numPr>
        <w:ilvl w:val="5"/>
        <w:numId w:val="6"/>
      </w:numPr>
      <w:adjustRightInd w:val="0"/>
      <w:spacing w:after="240"/>
      <w:outlineLvl w:val="5"/>
    </w:pPr>
    <w:rPr>
      <w:rFonts w:eastAsia="STZhongsong"/>
      <w:szCs w:val="20"/>
      <w:lang w:eastAsia="zh-CN"/>
    </w:rPr>
  </w:style>
  <w:style w:type="paragraph" w:styleId="PlainText">
    <w:name w:val="Plain Text"/>
    <w:basedOn w:val="Normal"/>
    <w:link w:val="PlainTextChar"/>
    <w:uiPriority w:val="99"/>
    <w:unhideWhenUsed/>
    <w:rsid w:val="0095009A"/>
    <w:rPr>
      <w:rFonts w:ascii="Calibri" w:eastAsia="Calibri" w:hAnsi="Calibri" w:cs="Calibri"/>
    </w:rPr>
  </w:style>
  <w:style w:type="character" w:customStyle="1" w:styleId="PlainTextChar">
    <w:name w:val="Plain Text Char"/>
    <w:basedOn w:val="DefaultParagraphFont"/>
    <w:link w:val="PlainText"/>
    <w:uiPriority w:val="99"/>
    <w:rsid w:val="0095009A"/>
    <w:rPr>
      <w:rFonts w:ascii="Calibri" w:eastAsia="Calibri" w:hAnsi="Calibri" w:cs="Calibri"/>
    </w:rPr>
  </w:style>
  <w:style w:type="paragraph" w:styleId="Revision">
    <w:name w:val="Revision"/>
    <w:hidden/>
    <w:uiPriority w:val="99"/>
    <w:semiHidden/>
    <w:rsid w:val="00AB3327"/>
    <w:rPr>
      <w:lang w:val="en-GB"/>
    </w:rPr>
  </w:style>
  <w:style w:type="character" w:styleId="Strong">
    <w:name w:val="Strong"/>
    <w:basedOn w:val="DefaultParagraphFont"/>
    <w:uiPriority w:val="22"/>
    <w:qFormat/>
    <w:rsid w:val="00EE4AAE"/>
    <w:rPr>
      <w:b/>
      <w:bCs/>
    </w:rPr>
  </w:style>
  <w:style w:type="character" w:customStyle="1" w:styleId="UnresolvedMention">
    <w:name w:val="Unresolved Mention"/>
    <w:basedOn w:val="DefaultParagraphFont"/>
    <w:uiPriority w:val="99"/>
    <w:semiHidden/>
    <w:unhideWhenUsed/>
    <w:rsid w:val="00E172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9884">
      <w:bodyDiv w:val="1"/>
      <w:marLeft w:val="0"/>
      <w:marRight w:val="0"/>
      <w:marTop w:val="0"/>
      <w:marBottom w:val="0"/>
      <w:divBdr>
        <w:top w:val="none" w:sz="0" w:space="0" w:color="auto"/>
        <w:left w:val="none" w:sz="0" w:space="0" w:color="auto"/>
        <w:bottom w:val="none" w:sz="0" w:space="0" w:color="auto"/>
        <w:right w:val="none" w:sz="0" w:space="0" w:color="auto"/>
      </w:divBdr>
    </w:div>
    <w:div w:id="59445005">
      <w:bodyDiv w:val="1"/>
      <w:marLeft w:val="0"/>
      <w:marRight w:val="0"/>
      <w:marTop w:val="0"/>
      <w:marBottom w:val="0"/>
      <w:divBdr>
        <w:top w:val="none" w:sz="0" w:space="0" w:color="auto"/>
        <w:left w:val="none" w:sz="0" w:space="0" w:color="auto"/>
        <w:bottom w:val="none" w:sz="0" w:space="0" w:color="auto"/>
        <w:right w:val="none" w:sz="0" w:space="0" w:color="auto"/>
      </w:divBdr>
    </w:div>
    <w:div w:id="65305271">
      <w:bodyDiv w:val="1"/>
      <w:marLeft w:val="0"/>
      <w:marRight w:val="0"/>
      <w:marTop w:val="0"/>
      <w:marBottom w:val="0"/>
      <w:divBdr>
        <w:top w:val="none" w:sz="0" w:space="0" w:color="auto"/>
        <w:left w:val="none" w:sz="0" w:space="0" w:color="auto"/>
        <w:bottom w:val="none" w:sz="0" w:space="0" w:color="auto"/>
        <w:right w:val="none" w:sz="0" w:space="0" w:color="auto"/>
      </w:divBdr>
    </w:div>
    <w:div w:id="145174925">
      <w:bodyDiv w:val="1"/>
      <w:marLeft w:val="0"/>
      <w:marRight w:val="0"/>
      <w:marTop w:val="0"/>
      <w:marBottom w:val="0"/>
      <w:divBdr>
        <w:top w:val="none" w:sz="0" w:space="0" w:color="auto"/>
        <w:left w:val="none" w:sz="0" w:space="0" w:color="auto"/>
        <w:bottom w:val="none" w:sz="0" w:space="0" w:color="auto"/>
        <w:right w:val="none" w:sz="0" w:space="0" w:color="auto"/>
      </w:divBdr>
    </w:div>
    <w:div w:id="159735310">
      <w:bodyDiv w:val="1"/>
      <w:marLeft w:val="0"/>
      <w:marRight w:val="0"/>
      <w:marTop w:val="0"/>
      <w:marBottom w:val="0"/>
      <w:divBdr>
        <w:top w:val="none" w:sz="0" w:space="0" w:color="auto"/>
        <w:left w:val="none" w:sz="0" w:space="0" w:color="auto"/>
        <w:bottom w:val="none" w:sz="0" w:space="0" w:color="auto"/>
        <w:right w:val="none" w:sz="0" w:space="0" w:color="auto"/>
      </w:divBdr>
    </w:div>
    <w:div w:id="169874629">
      <w:bodyDiv w:val="1"/>
      <w:marLeft w:val="0"/>
      <w:marRight w:val="0"/>
      <w:marTop w:val="0"/>
      <w:marBottom w:val="0"/>
      <w:divBdr>
        <w:top w:val="none" w:sz="0" w:space="0" w:color="auto"/>
        <w:left w:val="none" w:sz="0" w:space="0" w:color="auto"/>
        <w:bottom w:val="none" w:sz="0" w:space="0" w:color="auto"/>
        <w:right w:val="none" w:sz="0" w:space="0" w:color="auto"/>
      </w:divBdr>
    </w:div>
    <w:div w:id="186482266">
      <w:bodyDiv w:val="1"/>
      <w:marLeft w:val="0"/>
      <w:marRight w:val="0"/>
      <w:marTop w:val="0"/>
      <w:marBottom w:val="0"/>
      <w:divBdr>
        <w:top w:val="none" w:sz="0" w:space="0" w:color="auto"/>
        <w:left w:val="none" w:sz="0" w:space="0" w:color="auto"/>
        <w:bottom w:val="none" w:sz="0" w:space="0" w:color="auto"/>
        <w:right w:val="none" w:sz="0" w:space="0" w:color="auto"/>
      </w:divBdr>
    </w:div>
    <w:div w:id="188101939">
      <w:bodyDiv w:val="1"/>
      <w:marLeft w:val="0"/>
      <w:marRight w:val="0"/>
      <w:marTop w:val="0"/>
      <w:marBottom w:val="0"/>
      <w:divBdr>
        <w:top w:val="none" w:sz="0" w:space="0" w:color="auto"/>
        <w:left w:val="none" w:sz="0" w:space="0" w:color="auto"/>
        <w:bottom w:val="none" w:sz="0" w:space="0" w:color="auto"/>
        <w:right w:val="none" w:sz="0" w:space="0" w:color="auto"/>
      </w:divBdr>
    </w:div>
    <w:div w:id="244849796">
      <w:bodyDiv w:val="1"/>
      <w:marLeft w:val="0"/>
      <w:marRight w:val="0"/>
      <w:marTop w:val="0"/>
      <w:marBottom w:val="0"/>
      <w:divBdr>
        <w:top w:val="none" w:sz="0" w:space="0" w:color="auto"/>
        <w:left w:val="none" w:sz="0" w:space="0" w:color="auto"/>
        <w:bottom w:val="none" w:sz="0" w:space="0" w:color="auto"/>
        <w:right w:val="none" w:sz="0" w:space="0" w:color="auto"/>
      </w:divBdr>
    </w:div>
    <w:div w:id="247734095">
      <w:bodyDiv w:val="1"/>
      <w:marLeft w:val="0"/>
      <w:marRight w:val="0"/>
      <w:marTop w:val="0"/>
      <w:marBottom w:val="0"/>
      <w:divBdr>
        <w:top w:val="none" w:sz="0" w:space="0" w:color="auto"/>
        <w:left w:val="none" w:sz="0" w:space="0" w:color="auto"/>
        <w:bottom w:val="none" w:sz="0" w:space="0" w:color="auto"/>
        <w:right w:val="none" w:sz="0" w:space="0" w:color="auto"/>
      </w:divBdr>
    </w:div>
    <w:div w:id="253130119">
      <w:bodyDiv w:val="1"/>
      <w:marLeft w:val="0"/>
      <w:marRight w:val="0"/>
      <w:marTop w:val="0"/>
      <w:marBottom w:val="0"/>
      <w:divBdr>
        <w:top w:val="none" w:sz="0" w:space="0" w:color="auto"/>
        <w:left w:val="none" w:sz="0" w:space="0" w:color="auto"/>
        <w:bottom w:val="none" w:sz="0" w:space="0" w:color="auto"/>
        <w:right w:val="none" w:sz="0" w:space="0" w:color="auto"/>
      </w:divBdr>
    </w:div>
    <w:div w:id="266622229">
      <w:bodyDiv w:val="1"/>
      <w:marLeft w:val="0"/>
      <w:marRight w:val="0"/>
      <w:marTop w:val="0"/>
      <w:marBottom w:val="0"/>
      <w:divBdr>
        <w:top w:val="none" w:sz="0" w:space="0" w:color="auto"/>
        <w:left w:val="none" w:sz="0" w:space="0" w:color="auto"/>
        <w:bottom w:val="none" w:sz="0" w:space="0" w:color="auto"/>
        <w:right w:val="none" w:sz="0" w:space="0" w:color="auto"/>
      </w:divBdr>
    </w:div>
    <w:div w:id="318652688">
      <w:bodyDiv w:val="1"/>
      <w:marLeft w:val="0"/>
      <w:marRight w:val="0"/>
      <w:marTop w:val="0"/>
      <w:marBottom w:val="0"/>
      <w:divBdr>
        <w:top w:val="none" w:sz="0" w:space="0" w:color="auto"/>
        <w:left w:val="none" w:sz="0" w:space="0" w:color="auto"/>
        <w:bottom w:val="none" w:sz="0" w:space="0" w:color="auto"/>
        <w:right w:val="none" w:sz="0" w:space="0" w:color="auto"/>
      </w:divBdr>
    </w:div>
    <w:div w:id="324942314">
      <w:bodyDiv w:val="1"/>
      <w:marLeft w:val="0"/>
      <w:marRight w:val="0"/>
      <w:marTop w:val="0"/>
      <w:marBottom w:val="0"/>
      <w:divBdr>
        <w:top w:val="none" w:sz="0" w:space="0" w:color="auto"/>
        <w:left w:val="none" w:sz="0" w:space="0" w:color="auto"/>
        <w:bottom w:val="none" w:sz="0" w:space="0" w:color="auto"/>
        <w:right w:val="none" w:sz="0" w:space="0" w:color="auto"/>
      </w:divBdr>
    </w:div>
    <w:div w:id="404181684">
      <w:bodyDiv w:val="1"/>
      <w:marLeft w:val="0"/>
      <w:marRight w:val="0"/>
      <w:marTop w:val="0"/>
      <w:marBottom w:val="0"/>
      <w:divBdr>
        <w:top w:val="none" w:sz="0" w:space="0" w:color="auto"/>
        <w:left w:val="none" w:sz="0" w:space="0" w:color="auto"/>
        <w:bottom w:val="none" w:sz="0" w:space="0" w:color="auto"/>
        <w:right w:val="none" w:sz="0" w:space="0" w:color="auto"/>
      </w:divBdr>
    </w:div>
    <w:div w:id="410199536">
      <w:bodyDiv w:val="1"/>
      <w:marLeft w:val="0"/>
      <w:marRight w:val="0"/>
      <w:marTop w:val="0"/>
      <w:marBottom w:val="0"/>
      <w:divBdr>
        <w:top w:val="none" w:sz="0" w:space="0" w:color="auto"/>
        <w:left w:val="none" w:sz="0" w:space="0" w:color="auto"/>
        <w:bottom w:val="none" w:sz="0" w:space="0" w:color="auto"/>
        <w:right w:val="none" w:sz="0" w:space="0" w:color="auto"/>
      </w:divBdr>
    </w:div>
    <w:div w:id="443233069">
      <w:bodyDiv w:val="1"/>
      <w:marLeft w:val="0"/>
      <w:marRight w:val="0"/>
      <w:marTop w:val="0"/>
      <w:marBottom w:val="0"/>
      <w:divBdr>
        <w:top w:val="none" w:sz="0" w:space="0" w:color="auto"/>
        <w:left w:val="none" w:sz="0" w:space="0" w:color="auto"/>
        <w:bottom w:val="none" w:sz="0" w:space="0" w:color="auto"/>
        <w:right w:val="none" w:sz="0" w:space="0" w:color="auto"/>
      </w:divBdr>
    </w:div>
    <w:div w:id="482935668">
      <w:bodyDiv w:val="1"/>
      <w:marLeft w:val="0"/>
      <w:marRight w:val="0"/>
      <w:marTop w:val="0"/>
      <w:marBottom w:val="0"/>
      <w:divBdr>
        <w:top w:val="none" w:sz="0" w:space="0" w:color="auto"/>
        <w:left w:val="none" w:sz="0" w:space="0" w:color="auto"/>
        <w:bottom w:val="none" w:sz="0" w:space="0" w:color="auto"/>
        <w:right w:val="none" w:sz="0" w:space="0" w:color="auto"/>
      </w:divBdr>
    </w:div>
    <w:div w:id="484664833">
      <w:bodyDiv w:val="1"/>
      <w:marLeft w:val="0"/>
      <w:marRight w:val="0"/>
      <w:marTop w:val="0"/>
      <w:marBottom w:val="0"/>
      <w:divBdr>
        <w:top w:val="none" w:sz="0" w:space="0" w:color="auto"/>
        <w:left w:val="none" w:sz="0" w:space="0" w:color="auto"/>
        <w:bottom w:val="none" w:sz="0" w:space="0" w:color="auto"/>
        <w:right w:val="none" w:sz="0" w:space="0" w:color="auto"/>
      </w:divBdr>
    </w:div>
    <w:div w:id="495731518">
      <w:bodyDiv w:val="1"/>
      <w:marLeft w:val="0"/>
      <w:marRight w:val="0"/>
      <w:marTop w:val="0"/>
      <w:marBottom w:val="0"/>
      <w:divBdr>
        <w:top w:val="none" w:sz="0" w:space="0" w:color="auto"/>
        <w:left w:val="none" w:sz="0" w:space="0" w:color="auto"/>
        <w:bottom w:val="none" w:sz="0" w:space="0" w:color="auto"/>
        <w:right w:val="none" w:sz="0" w:space="0" w:color="auto"/>
      </w:divBdr>
    </w:div>
    <w:div w:id="705715377">
      <w:bodyDiv w:val="1"/>
      <w:marLeft w:val="0"/>
      <w:marRight w:val="0"/>
      <w:marTop w:val="0"/>
      <w:marBottom w:val="0"/>
      <w:divBdr>
        <w:top w:val="none" w:sz="0" w:space="0" w:color="auto"/>
        <w:left w:val="none" w:sz="0" w:space="0" w:color="auto"/>
        <w:bottom w:val="none" w:sz="0" w:space="0" w:color="auto"/>
        <w:right w:val="none" w:sz="0" w:space="0" w:color="auto"/>
      </w:divBdr>
    </w:div>
    <w:div w:id="723648668">
      <w:bodyDiv w:val="1"/>
      <w:marLeft w:val="0"/>
      <w:marRight w:val="0"/>
      <w:marTop w:val="0"/>
      <w:marBottom w:val="0"/>
      <w:divBdr>
        <w:top w:val="none" w:sz="0" w:space="0" w:color="auto"/>
        <w:left w:val="none" w:sz="0" w:space="0" w:color="auto"/>
        <w:bottom w:val="none" w:sz="0" w:space="0" w:color="auto"/>
        <w:right w:val="none" w:sz="0" w:space="0" w:color="auto"/>
      </w:divBdr>
    </w:div>
    <w:div w:id="730233598">
      <w:bodyDiv w:val="1"/>
      <w:marLeft w:val="0"/>
      <w:marRight w:val="0"/>
      <w:marTop w:val="0"/>
      <w:marBottom w:val="0"/>
      <w:divBdr>
        <w:top w:val="none" w:sz="0" w:space="0" w:color="auto"/>
        <w:left w:val="none" w:sz="0" w:space="0" w:color="auto"/>
        <w:bottom w:val="none" w:sz="0" w:space="0" w:color="auto"/>
        <w:right w:val="none" w:sz="0" w:space="0" w:color="auto"/>
      </w:divBdr>
    </w:div>
    <w:div w:id="783309303">
      <w:bodyDiv w:val="1"/>
      <w:marLeft w:val="0"/>
      <w:marRight w:val="0"/>
      <w:marTop w:val="0"/>
      <w:marBottom w:val="0"/>
      <w:divBdr>
        <w:top w:val="none" w:sz="0" w:space="0" w:color="auto"/>
        <w:left w:val="none" w:sz="0" w:space="0" w:color="auto"/>
        <w:bottom w:val="none" w:sz="0" w:space="0" w:color="auto"/>
        <w:right w:val="none" w:sz="0" w:space="0" w:color="auto"/>
      </w:divBdr>
    </w:div>
    <w:div w:id="792331121">
      <w:bodyDiv w:val="1"/>
      <w:marLeft w:val="0"/>
      <w:marRight w:val="0"/>
      <w:marTop w:val="0"/>
      <w:marBottom w:val="0"/>
      <w:divBdr>
        <w:top w:val="none" w:sz="0" w:space="0" w:color="auto"/>
        <w:left w:val="none" w:sz="0" w:space="0" w:color="auto"/>
        <w:bottom w:val="none" w:sz="0" w:space="0" w:color="auto"/>
        <w:right w:val="none" w:sz="0" w:space="0" w:color="auto"/>
      </w:divBdr>
    </w:div>
    <w:div w:id="815992586">
      <w:bodyDiv w:val="1"/>
      <w:marLeft w:val="0"/>
      <w:marRight w:val="0"/>
      <w:marTop w:val="0"/>
      <w:marBottom w:val="0"/>
      <w:divBdr>
        <w:top w:val="none" w:sz="0" w:space="0" w:color="auto"/>
        <w:left w:val="none" w:sz="0" w:space="0" w:color="auto"/>
        <w:bottom w:val="none" w:sz="0" w:space="0" w:color="auto"/>
        <w:right w:val="none" w:sz="0" w:space="0" w:color="auto"/>
      </w:divBdr>
    </w:div>
    <w:div w:id="831063933">
      <w:bodyDiv w:val="1"/>
      <w:marLeft w:val="0"/>
      <w:marRight w:val="0"/>
      <w:marTop w:val="0"/>
      <w:marBottom w:val="0"/>
      <w:divBdr>
        <w:top w:val="none" w:sz="0" w:space="0" w:color="auto"/>
        <w:left w:val="none" w:sz="0" w:space="0" w:color="auto"/>
        <w:bottom w:val="none" w:sz="0" w:space="0" w:color="auto"/>
        <w:right w:val="none" w:sz="0" w:space="0" w:color="auto"/>
      </w:divBdr>
    </w:div>
    <w:div w:id="857162910">
      <w:bodyDiv w:val="1"/>
      <w:marLeft w:val="0"/>
      <w:marRight w:val="0"/>
      <w:marTop w:val="0"/>
      <w:marBottom w:val="0"/>
      <w:divBdr>
        <w:top w:val="none" w:sz="0" w:space="0" w:color="auto"/>
        <w:left w:val="none" w:sz="0" w:space="0" w:color="auto"/>
        <w:bottom w:val="none" w:sz="0" w:space="0" w:color="auto"/>
        <w:right w:val="none" w:sz="0" w:space="0" w:color="auto"/>
      </w:divBdr>
    </w:div>
    <w:div w:id="927428315">
      <w:bodyDiv w:val="1"/>
      <w:marLeft w:val="0"/>
      <w:marRight w:val="0"/>
      <w:marTop w:val="0"/>
      <w:marBottom w:val="0"/>
      <w:divBdr>
        <w:top w:val="none" w:sz="0" w:space="0" w:color="auto"/>
        <w:left w:val="none" w:sz="0" w:space="0" w:color="auto"/>
        <w:bottom w:val="none" w:sz="0" w:space="0" w:color="auto"/>
        <w:right w:val="none" w:sz="0" w:space="0" w:color="auto"/>
      </w:divBdr>
    </w:div>
    <w:div w:id="972292101">
      <w:bodyDiv w:val="1"/>
      <w:marLeft w:val="0"/>
      <w:marRight w:val="0"/>
      <w:marTop w:val="0"/>
      <w:marBottom w:val="0"/>
      <w:divBdr>
        <w:top w:val="none" w:sz="0" w:space="0" w:color="auto"/>
        <w:left w:val="none" w:sz="0" w:space="0" w:color="auto"/>
        <w:bottom w:val="none" w:sz="0" w:space="0" w:color="auto"/>
        <w:right w:val="none" w:sz="0" w:space="0" w:color="auto"/>
      </w:divBdr>
    </w:div>
    <w:div w:id="989165874">
      <w:bodyDiv w:val="1"/>
      <w:marLeft w:val="0"/>
      <w:marRight w:val="0"/>
      <w:marTop w:val="0"/>
      <w:marBottom w:val="0"/>
      <w:divBdr>
        <w:top w:val="none" w:sz="0" w:space="0" w:color="auto"/>
        <w:left w:val="none" w:sz="0" w:space="0" w:color="auto"/>
        <w:bottom w:val="none" w:sz="0" w:space="0" w:color="auto"/>
        <w:right w:val="none" w:sz="0" w:space="0" w:color="auto"/>
      </w:divBdr>
    </w:div>
    <w:div w:id="990329865">
      <w:bodyDiv w:val="1"/>
      <w:marLeft w:val="0"/>
      <w:marRight w:val="0"/>
      <w:marTop w:val="0"/>
      <w:marBottom w:val="0"/>
      <w:divBdr>
        <w:top w:val="none" w:sz="0" w:space="0" w:color="auto"/>
        <w:left w:val="none" w:sz="0" w:space="0" w:color="auto"/>
        <w:bottom w:val="none" w:sz="0" w:space="0" w:color="auto"/>
        <w:right w:val="none" w:sz="0" w:space="0" w:color="auto"/>
      </w:divBdr>
    </w:div>
    <w:div w:id="996883358">
      <w:bodyDiv w:val="1"/>
      <w:marLeft w:val="0"/>
      <w:marRight w:val="0"/>
      <w:marTop w:val="0"/>
      <w:marBottom w:val="0"/>
      <w:divBdr>
        <w:top w:val="none" w:sz="0" w:space="0" w:color="auto"/>
        <w:left w:val="none" w:sz="0" w:space="0" w:color="auto"/>
        <w:bottom w:val="none" w:sz="0" w:space="0" w:color="auto"/>
        <w:right w:val="none" w:sz="0" w:space="0" w:color="auto"/>
      </w:divBdr>
    </w:div>
    <w:div w:id="1056469968">
      <w:bodyDiv w:val="1"/>
      <w:marLeft w:val="0"/>
      <w:marRight w:val="0"/>
      <w:marTop w:val="0"/>
      <w:marBottom w:val="0"/>
      <w:divBdr>
        <w:top w:val="none" w:sz="0" w:space="0" w:color="auto"/>
        <w:left w:val="none" w:sz="0" w:space="0" w:color="auto"/>
        <w:bottom w:val="none" w:sz="0" w:space="0" w:color="auto"/>
        <w:right w:val="none" w:sz="0" w:space="0" w:color="auto"/>
      </w:divBdr>
    </w:div>
    <w:div w:id="1073234952">
      <w:bodyDiv w:val="1"/>
      <w:marLeft w:val="0"/>
      <w:marRight w:val="0"/>
      <w:marTop w:val="0"/>
      <w:marBottom w:val="0"/>
      <w:divBdr>
        <w:top w:val="none" w:sz="0" w:space="0" w:color="auto"/>
        <w:left w:val="none" w:sz="0" w:space="0" w:color="auto"/>
        <w:bottom w:val="none" w:sz="0" w:space="0" w:color="auto"/>
        <w:right w:val="none" w:sz="0" w:space="0" w:color="auto"/>
      </w:divBdr>
    </w:div>
    <w:div w:id="1080980350">
      <w:bodyDiv w:val="1"/>
      <w:marLeft w:val="0"/>
      <w:marRight w:val="0"/>
      <w:marTop w:val="0"/>
      <w:marBottom w:val="0"/>
      <w:divBdr>
        <w:top w:val="none" w:sz="0" w:space="0" w:color="auto"/>
        <w:left w:val="none" w:sz="0" w:space="0" w:color="auto"/>
        <w:bottom w:val="none" w:sz="0" w:space="0" w:color="auto"/>
        <w:right w:val="none" w:sz="0" w:space="0" w:color="auto"/>
      </w:divBdr>
    </w:div>
    <w:div w:id="1092820704">
      <w:bodyDiv w:val="1"/>
      <w:marLeft w:val="0"/>
      <w:marRight w:val="0"/>
      <w:marTop w:val="0"/>
      <w:marBottom w:val="0"/>
      <w:divBdr>
        <w:top w:val="none" w:sz="0" w:space="0" w:color="auto"/>
        <w:left w:val="none" w:sz="0" w:space="0" w:color="auto"/>
        <w:bottom w:val="none" w:sz="0" w:space="0" w:color="auto"/>
        <w:right w:val="none" w:sz="0" w:space="0" w:color="auto"/>
      </w:divBdr>
      <w:divsChild>
        <w:div w:id="780150041">
          <w:marLeft w:val="0"/>
          <w:marRight w:val="0"/>
          <w:marTop w:val="0"/>
          <w:marBottom w:val="0"/>
          <w:divBdr>
            <w:top w:val="none" w:sz="0" w:space="0" w:color="auto"/>
            <w:left w:val="none" w:sz="0" w:space="0" w:color="auto"/>
            <w:bottom w:val="none" w:sz="0" w:space="0" w:color="auto"/>
            <w:right w:val="none" w:sz="0" w:space="0" w:color="auto"/>
          </w:divBdr>
          <w:divsChild>
            <w:div w:id="1070153930">
              <w:marLeft w:val="0"/>
              <w:marRight w:val="0"/>
              <w:marTop w:val="0"/>
              <w:marBottom w:val="0"/>
              <w:divBdr>
                <w:top w:val="none" w:sz="0" w:space="0" w:color="auto"/>
                <w:left w:val="none" w:sz="0" w:space="0" w:color="auto"/>
                <w:bottom w:val="none" w:sz="0" w:space="0" w:color="auto"/>
                <w:right w:val="none" w:sz="0" w:space="0" w:color="auto"/>
              </w:divBdr>
              <w:divsChild>
                <w:div w:id="502093438">
                  <w:marLeft w:val="0"/>
                  <w:marRight w:val="0"/>
                  <w:marTop w:val="0"/>
                  <w:marBottom w:val="0"/>
                  <w:divBdr>
                    <w:top w:val="none" w:sz="0" w:space="0" w:color="auto"/>
                    <w:left w:val="none" w:sz="0" w:space="0" w:color="auto"/>
                    <w:bottom w:val="none" w:sz="0" w:space="0" w:color="auto"/>
                    <w:right w:val="none" w:sz="0" w:space="0" w:color="auto"/>
                  </w:divBdr>
                  <w:divsChild>
                    <w:div w:id="1773091208">
                      <w:marLeft w:val="0"/>
                      <w:marRight w:val="0"/>
                      <w:marTop w:val="0"/>
                      <w:marBottom w:val="0"/>
                      <w:divBdr>
                        <w:top w:val="none" w:sz="0" w:space="0" w:color="auto"/>
                        <w:left w:val="none" w:sz="0" w:space="0" w:color="auto"/>
                        <w:bottom w:val="none" w:sz="0" w:space="0" w:color="auto"/>
                        <w:right w:val="none" w:sz="0" w:space="0" w:color="auto"/>
                      </w:divBdr>
                      <w:divsChild>
                        <w:div w:id="98189116">
                          <w:marLeft w:val="2325"/>
                          <w:marRight w:val="0"/>
                          <w:marTop w:val="0"/>
                          <w:marBottom w:val="0"/>
                          <w:divBdr>
                            <w:top w:val="none" w:sz="0" w:space="0" w:color="auto"/>
                            <w:left w:val="none" w:sz="0" w:space="0" w:color="auto"/>
                            <w:bottom w:val="none" w:sz="0" w:space="0" w:color="auto"/>
                            <w:right w:val="none" w:sz="0" w:space="0" w:color="auto"/>
                          </w:divBdr>
                          <w:divsChild>
                            <w:div w:id="1828941235">
                              <w:marLeft w:val="0"/>
                              <w:marRight w:val="0"/>
                              <w:marTop w:val="0"/>
                              <w:marBottom w:val="0"/>
                              <w:divBdr>
                                <w:top w:val="none" w:sz="0" w:space="0" w:color="auto"/>
                                <w:left w:val="none" w:sz="0" w:space="0" w:color="auto"/>
                                <w:bottom w:val="none" w:sz="0" w:space="0" w:color="auto"/>
                                <w:right w:val="none" w:sz="0" w:space="0" w:color="auto"/>
                              </w:divBdr>
                              <w:divsChild>
                                <w:div w:id="667681368">
                                  <w:marLeft w:val="0"/>
                                  <w:marRight w:val="0"/>
                                  <w:marTop w:val="0"/>
                                  <w:marBottom w:val="0"/>
                                  <w:divBdr>
                                    <w:top w:val="none" w:sz="0" w:space="0" w:color="auto"/>
                                    <w:left w:val="none" w:sz="0" w:space="0" w:color="auto"/>
                                    <w:bottom w:val="none" w:sz="0" w:space="0" w:color="auto"/>
                                    <w:right w:val="none" w:sz="0" w:space="0" w:color="auto"/>
                                  </w:divBdr>
                                  <w:divsChild>
                                    <w:div w:id="1563099394">
                                      <w:marLeft w:val="0"/>
                                      <w:marRight w:val="0"/>
                                      <w:marTop w:val="0"/>
                                      <w:marBottom w:val="0"/>
                                      <w:divBdr>
                                        <w:top w:val="none" w:sz="0" w:space="0" w:color="auto"/>
                                        <w:left w:val="none" w:sz="0" w:space="0" w:color="auto"/>
                                        <w:bottom w:val="none" w:sz="0" w:space="0" w:color="auto"/>
                                        <w:right w:val="none" w:sz="0" w:space="0" w:color="auto"/>
                                      </w:divBdr>
                                      <w:divsChild>
                                        <w:div w:id="1527525308">
                                          <w:marLeft w:val="0"/>
                                          <w:marRight w:val="0"/>
                                          <w:marTop w:val="0"/>
                                          <w:marBottom w:val="0"/>
                                          <w:divBdr>
                                            <w:top w:val="none" w:sz="0" w:space="0" w:color="auto"/>
                                            <w:left w:val="none" w:sz="0" w:space="0" w:color="auto"/>
                                            <w:bottom w:val="none" w:sz="0" w:space="0" w:color="auto"/>
                                            <w:right w:val="none" w:sz="0" w:space="0" w:color="auto"/>
                                          </w:divBdr>
                                          <w:divsChild>
                                            <w:div w:id="1286160652">
                                              <w:marLeft w:val="0"/>
                                              <w:marRight w:val="0"/>
                                              <w:marTop w:val="0"/>
                                              <w:marBottom w:val="0"/>
                                              <w:divBdr>
                                                <w:top w:val="none" w:sz="0" w:space="0" w:color="auto"/>
                                                <w:left w:val="none" w:sz="0" w:space="0" w:color="auto"/>
                                                <w:bottom w:val="none" w:sz="0" w:space="0" w:color="auto"/>
                                                <w:right w:val="none" w:sz="0" w:space="0" w:color="auto"/>
                                              </w:divBdr>
                                              <w:divsChild>
                                                <w:div w:id="1675256982">
                                                  <w:marLeft w:val="0"/>
                                                  <w:marRight w:val="0"/>
                                                  <w:marTop w:val="0"/>
                                                  <w:marBottom w:val="0"/>
                                                  <w:divBdr>
                                                    <w:top w:val="none" w:sz="0" w:space="0" w:color="auto"/>
                                                    <w:left w:val="none" w:sz="0" w:space="0" w:color="auto"/>
                                                    <w:bottom w:val="none" w:sz="0" w:space="0" w:color="auto"/>
                                                    <w:right w:val="none" w:sz="0" w:space="0" w:color="auto"/>
                                                  </w:divBdr>
                                                  <w:divsChild>
                                                    <w:div w:id="1231959597">
                                                      <w:marLeft w:val="0"/>
                                                      <w:marRight w:val="0"/>
                                                      <w:marTop w:val="0"/>
                                                      <w:marBottom w:val="0"/>
                                                      <w:divBdr>
                                                        <w:top w:val="none" w:sz="0" w:space="0" w:color="auto"/>
                                                        <w:left w:val="none" w:sz="0" w:space="0" w:color="auto"/>
                                                        <w:bottom w:val="none" w:sz="0" w:space="0" w:color="auto"/>
                                                        <w:right w:val="none" w:sz="0" w:space="0" w:color="auto"/>
                                                      </w:divBdr>
                                                      <w:divsChild>
                                                        <w:div w:id="865361962">
                                                          <w:marLeft w:val="0"/>
                                                          <w:marRight w:val="0"/>
                                                          <w:marTop w:val="0"/>
                                                          <w:marBottom w:val="0"/>
                                                          <w:divBdr>
                                                            <w:top w:val="none" w:sz="0" w:space="0" w:color="auto"/>
                                                            <w:left w:val="none" w:sz="0" w:space="0" w:color="auto"/>
                                                            <w:bottom w:val="none" w:sz="0" w:space="0" w:color="auto"/>
                                                            <w:right w:val="none" w:sz="0" w:space="0" w:color="auto"/>
                                                          </w:divBdr>
                                                          <w:divsChild>
                                                            <w:div w:id="345179181">
                                                              <w:marLeft w:val="0"/>
                                                              <w:marRight w:val="0"/>
                                                              <w:marTop w:val="0"/>
                                                              <w:marBottom w:val="0"/>
                                                              <w:divBdr>
                                                                <w:top w:val="none" w:sz="0" w:space="0" w:color="auto"/>
                                                                <w:left w:val="none" w:sz="0" w:space="0" w:color="auto"/>
                                                                <w:bottom w:val="none" w:sz="0" w:space="0" w:color="auto"/>
                                                                <w:right w:val="none" w:sz="0" w:space="0" w:color="auto"/>
                                                              </w:divBdr>
                                                              <w:divsChild>
                                                                <w:div w:id="3992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5922347">
      <w:bodyDiv w:val="1"/>
      <w:marLeft w:val="0"/>
      <w:marRight w:val="0"/>
      <w:marTop w:val="0"/>
      <w:marBottom w:val="0"/>
      <w:divBdr>
        <w:top w:val="none" w:sz="0" w:space="0" w:color="auto"/>
        <w:left w:val="none" w:sz="0" w:space="0" w:color="auto"/>
        <w:bottom w:val="none" w:sz="0" w:space="0" w:color="auto"/>
        <w:right w:val="none" w:sz="0" w:space="0" w:color="auto"/>
      </w:divBdr>
    </w:div>
    <w:div w:id="1542549799">
      <w:bodyDiv w:val="1"/>
      <w:marLeft w:val="0"/>
      <w:marRight w:val="0"/>
      <w:marTop w:val="0"/>
      <w:marBottom w:val="0"/>
      <w:divBdr>
        <w:top w:val="none" w:sz="0" w:space="0" w:color="auto"/>
        <w:left w:val="none" w:sz="0" w:space="0" w:color="auto"/>
        <w:bottom w:val="none" w:sz="0" w:space="0" w:color="auto"/>
        <w:right w:val="none" w:sz="0" w:space="0" w:color="auto"/>
      </w:divBdr>
    </w:div>
    <w:div w:id="1608923485">
      <w:bodyDiv w:val="1"/>
      <w:marLeft w:val="0"/>
      <w:marRight w:val="0"/>
      <w:marTop w:val="0"/>
      <w:marBottom w:val="0"/>
      <w:divBdr>
        <w:top w:val="none" w:sz="0" w:space="0" w:color="auto"/>
        <w:left w:val="none" w:sz="0" w:space="0" w:color="auto"/>
        <w:bottom w:val="none" w:sz="0" w:space="0" w:color="auto"/>
        <w:right w:val="none" w:sz="0" w:space="0" w:color="auto"/>
      </w:divBdr>
    </w:div>
    <w:div w:id="1627003818">
      <w:bodyDiv w:val="1"/>
      <w:marLeft w:val="0"/>
      <w:marRight w:val="0"/>
      <w:marTop w:val="0"/>
      <w:marBottom w:val="0"/>
      <w:divBdr>
        <w:top w:val="none" w:sz="0" w:space="0" w:color="auto"/>
        <w:left w:val="none" w:sz="0" w:space="0" w:color="auto"/>
        <w:bottom w:val="none" w:sz="0" w:space="0" w:color="auto"/>
        <w:right w:val="none" w:sz="0" w:space="0" w:color="auto"/>
      </w:divBdr>
    </w:div>
    <w:div w:id="1703508195">
      <w:bodyDiv w:val="1"/>
      <w:marLeft w:val="0"/>
      <w:marRight w:val="0"/>
      <w:marTop w:val="0"/>
      <w:marBottom w:val="0"/>
      <w:divBdr>
        <w:top w:val="none" w:sz="0" w:space="0" w:color="auto"/>
        <w:left w:val="none" w:sz="0" w:space="0" w:color="auto"/>
        <w:bottom w:val="none" w:sz="0" w:space="0" w:color="auto"/>
        <w:right w:val="none" w:sz="0" w:space="0" w:color="auto"/>
      </w:divBdr>
    </w:div>
    <w:div w:id="1786847474">
      <w:bodyDiv w:val="1"/>
      <w:marLeft w:val="0"/>
      <w:marRight w:val="0"/>
      <w:marTop w:val="0"/>
      <w:marBottom w:val="0"/>
      <w:divBdr>
        <w:top w:val="none" w:sz="0" w:space="0" w:color="auto"/>
        <w:left w:val="none" w:sz="0" w:space="0" w:color="auto"/>
        <w:bottom w:val="none" w:sz="0" w:space="0" w:color="auto"/>
        <w:right w:val="none" w:sz="0" w:space="0" w:color="auto"/>
      </w:divBdr>
    </w:div>
    <w:div w:id="1804809405">
      <w:bodyDiv w:val="1"/>
      <w:marLeft w:val="0"/>
      <w:marRight w:val="0"/>
      <w:marTop w:val="0"/>
      <w:marBottom w:val="0"/>
      <w:divBdr>
        <w:top w:val="none" w:sz="0" w:space="0" w:color="auto"/>
        <w:left w:val="none" w:sz="0" w:space="0" w:color="auto"/>
        <w:bottom w:val="none" w:sz="0" w:space="0" w:color="auto"/>
        <w:right w:val="none" w:sz="0" w:space="0" w:color="auto"/>
      </w:divBdr>
    </w:div>
    <w:div w:id="1902324425">
      <w:bodyDiv w:val="1"/>
      <w:marLeft w:val="0"/>
      <w:marRight w:val="0"/>
      <w:marTop w:val="0"/>
      <w:marBottom w:val="0"/>
      <w:divBdr>
        <w:top w:val="none" w:sz="0" w:space="0" w:color="auto"/>
        <w:left w:val="none" w:sz="0" w:space="0" w:color="auto"/>
        <w:bottom w:val="none" w:sz="0" w:space="0" w:color="auto"/>
        <w:right w:val="none" w:sz="0" w:space="0" w:color="auto"/>
      </w:divBdr>
    </w:div>
    <w:div w:id="1945723471">
      <w:bodyDiv w:val="1"/>
      <w:marLeft w:val="0"/>
      <w:marRight w:val="0"/>
      <w:marTop w:val="0"/>
      <w:marBottom w:val="0"/>
      <w:divBdr>
        <w:top w:val="none" w:sz="0" w:space="0" w:color="auto"/>
        <w:left w:val="none" w:sz="0" w:space="0" w:color="auto"/>
        <w:bottom w:val="none" w:sz="0" w:space="0" w:color="auto"/>
        <w:right w:val="none" w:sz="0" w:space="0" w:color="auto"/>
      </w:divBdr>
    </w:div>
    <w:div w:id="1971588844">
      <w:bodyDiv w:val="1"/>
      <w:marLeft w:val="0"/>
      <w:marRight w:val="0"/>
      <w:marTop w:val="0"/>
      <w:marBottom w:val="0"/>
      <w:divBdr>
        <w:top w:val="none" w:sz="0" w:space="0" w:color="auto"/>
        <w:left w:val="none" w:sz="0" w:space="0" w:color="auto"/>
        <w:bottom w:val="none" w:sz="0" w:space="0" w:color="auto"/>
        <w:right w:val="none" w:sz="0" w:space="0" w:color="auto"/>
      </w:divBdr>
    </w:div>
    <w:div w:id="1977026250">
      <w:bodyDiv w:val="1"/>
      <w:marLeft w:val="0"/>
      <w:marRight w:val="0"/>
      <w:marTop w:val="0"/>
      <w:marBottom w:val="0"/>
      <w:divBdr>
        <w:top w:val="none" w:sz="0" w:space="0" w:color="auto"/>
        <w:left w:val="none" w:sz="0" w:space="0" w:color="auto"/>
        <w:bottom w:val="none" w:sz="0" w:space="0" w:color="auto"/>
        <w:right w:val="none" w:sz="0" w:space="0" w:color="auto"/>
      </w:divBdr>
    </w:div>
    <w:div w:id="1982037987">
      <w:bodyDiv w:val="1"/>
      <w:marLeft w:val="0"/>
      <w:marRight w:val="0"/>
      <w:marTop w:val="0"/>
      <w:marBottom w:val="0"/>
      <w:divBdr>
        <w:top w:val="none" w:sz="0" w:space="0" w:color="auto"/>
        <w:left w:val="none" w:sz="0" w:space="0" w:color="auto"/>
        <w:bottom w:val="none" w:sz="0" w:space="0" w:color="auto"/>
        <w:right w:val="none" w:sz="0" w:space="0" w:color="auto"/>
      </w:divBdr>
    </w:div>
    <w:div w:id="1992909210">
      <w:bodyDiv w:val="1"/>
      <w:marLeft w:val="0"/>
      <w:marRight w:val="0"/>
      <w:marTop w:val="0"/>
      <w:marBottom w:val="0"/>
      <w:divBdr>
        <w:top w:val="none" w:sz="0" w:space="0" w:color="auto"/>
        <w:left w:val="none" w:sz="0" w:space="0" w:color="auto"/>
        <w:bottom w:val="none" w:sz="0" w:space="0" w:color="auto"/>
        <w:right w:val="none" w:sz="0" w:space="0" w:color="auto"/>
      </w:divBdr>
    </w:div>
    <w:div w:id="1993212270">
      <w:bodyDiv w:val="1"/>
      <w:marLeft w:val="0"/>
      <w:marRight w:val="0"/>
      <w:marTop w:val="0"/>
      <w:marBottom w:val="0"/>
      <w:divBdr>
        <w:top w:val="none" w:sz="0" w:space="0" w:color="auto"/>
        <w:left w:val="none" w:sz="0" w:space="0" w:color="auto"/>
        <w:bottom w:val="none" w:sz="0" w:space="0" w:color="auto"/>
        <w:right w:val="none" w:sz="0" w:space="0" w:color="auto"/>
      </w:divBdr>
    </w:div>
    <w:div w:id="2013607353">
      <w:bodyDiv w:val="1"/>
      <w:marLeft w:val="0"/>
      <w:marRight w:val="0"/>
      <w:marTop w:val="0"/>
      <w:marBottom w:val="0"/>
      <w:divBdr>
        <w:top w:val="none" w:sz="0" w:space="0" w:color="auto"/>
        <w:left w:val="none" w:sz="0" w:space="0" w:color="auto"/>
        <w:bottom w:val="none" w:sz="0" w:space="0" w:color="auto"/>
        <w:right w:val="none" w:sz="0" w:space="0" w:color="auto"/>
      </w:divBdr>
    </w:div>
    <w:div w:id="2064056358">
      <w:bodyDiv w:val="1"/>
      <w:marLeft w:val="0"/>
      <w:marRight w:val="0"/>
      <w:marTop w:val="0"/>
      <w:marBottom w:val="0"/>
      <w:divBdr>
        <w:top w:val="none" w:sz="0" w:space="0" w:color="auto"/>
        <w:left w:val="none" w:sz="0" w:space="0" w:color="auto"/>
        <w:bottom w:val="none" w:sz="0" w:space="0" w:color="auto"/>
        <w:right w:val="none" w:sz="0" w:space="0" w:color="auto"/>
      </w:divBdr>
    </w:div>
    <w:div w:id="211150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brown@reproright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ohchr.org/EN/NewsEvents/Pages/DisplayNews.aspx?NewsID=22761&amp;LangID=E" TargetMode="External"/><Relationship Id="rId2" Type="http://schemas.openxmlformats.org/officeDocument/2006/relationships/hyperlink" Target="https://www.hrw.org/sites/default/files/supporting_resources/our_rights_are_fundamental_to_peace.pdf" TargetMode="External"/><Relationship Id="rId1" Type="http://schemas.openxmlformats.org/officeDocument/2006/relationships/hyperlink" Target="https://www.unicef.org/mena/press-releases/concern-over-child-marriage-in-jordan" TargetMode="External"/><Relationship Id="rId6" Type="http://schemas.openxmlformats.org/officeDocument/2006/relationships/hyperlink" Target="mailto:pdaher@reprorights.org" TargetMode="External"/><Relationship Id="rId5" Type="http://schemas.openxmlformats.org/officeDocument/2006/relationships/image" Target="media/image1.png"/><Relationship Id="rId4" Type="http://schemas.openxmlformats.org/officeDocument/2006/relationships/hyperlink" Target="http://www.ohchr.org/Documents/Issues/ESCR/E-2015-5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8A88-8609-485F-9E1A-2D1F6355C0D9}"/>
</file>

<file path=customXml/itemProps2.xml><?xml version="1.0" encoding="utf-8"?>
<ds:datastoreItem xmlns:ds="http://schemas.openxmlformats.org/officeDocument/2006/customXml" ds:itemID="{E4B5772D-3DEA-4500-A959-9DFCC078A71A}">
  <ds:schemaRefs>
    <ds:schemaRef ds:uri="http://schemas.microsoft.com/sharepoint/v3/contenttype/forms"/>
  </ds:schemaRefs>
</ds:datastoreItem>
</file>

<file path=customXml/itemProps3.xml><?xml version="1.0" encoding="utf-8"?>
<ds:datastoreItem xmlns:ds="http://schemas.openxmlformats.org/officeDocument/2006/customXml" ds:itemID="{692EC7C7-BE72-4144-A765-49E41454880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A207822-BD06-4DA2-BE97-C84FE1BB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Myers</dc:creator>
  <dc:description/>
  <cp:lastModifiedBy>WHRGS</cp:lastModifiedBy>
  <cp:revision>3</cp:revision>
  <cp:lastPrinted>2018-09-11T14:03:00Z</cp:lastPrinted>
  <dcterms:created xsi:type="dcterms:W3CDTF">2018-09-12T15:14:00Z</dcterms:created>
  <dcterms:modified xsi:type="dcterms:W3CDTF">2018-09-12T15:15:00Z</dcterms:modified>
  <dc:language>en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