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A2793" w14:textId="09195673" w:rsidR="00697606" w:rsidRPr="00DE12F5" w:rsidRDefault="00AD1CDD" w:rsidP="007B1C02">
      <w:pPr>
        <w:tabs>
          <w:tab w:val="left" w:pos="680"/>
          <w:tab w:val="left" w:pos="1359"/>
          <w:tab w:val="left" w:pos="1983"/>
          <w:tab w:val="left" w:pos="6349"/>
          <w:tab w:val="left" w:pos="6915"/>
          <w:tab w:val="left" w:pos="9356"/>
        </w:tabs>
        <w:spacing w:line="240" w:lineRule="auto"/>
        <w:ind w:right="532"/>
        <w:jc w:val="center"/>
        <w:rPr>
          <w:rFonts w:eastAsia="Times New Roman" w:cs="Arial"/>
          <w:b/>
          <w:color w:val="4A442A" w:themeColor="background2" w:themeShade="40"/>
          <w:sz w:val="20"/>
          <w:szCs w:val="20"/>
        </w:rPr>
      </w:pPr>
      <w:r w:rsidRPr="00DE12F5">
        <w:rPr>
          <w:rFonts w:cs="Arial"/>
          <w:b/>
          <w:i/>
          <w:color w:val="4A442A" w:themeColor="background2" w:themeShade="40"/>
          <w:sz w:val="20"/>
          <w:szCs w:val="20"/>
        </w:rPr>
        <w:t xml:space="preserve">Together for Girls </w:t>
      </w:r>
      <w:r w:rsidR="00B72C1A" w:rsidRPr="00DE12F5">
        <w:rPr>
          <w:rFonts w:cs="Arial"/>
          <w:b/>
          <w:i/>
          <w:color w:val="4A442A" w:themeColor="background2" w:themeShade="40"/>
          <w:sz w:val="20"/>
          <w:szCs w:val="20"/>
        </w:rPr>
        <w:t>Submission</w:t>
      </w:r>
      <w:r w:rsidR="00EB43C4" w:rsidRPr="00DE12F5">
        <w:rPr>
          <w:rFonts w:cs="Arial"/>
          <w:b/>
          <w:color w:val="4A442A" w:themeColor="background2" w:themeShade="40"/>
          <w:sz w:val="20"/>
          <w:szCs w:val="20"/>
        </w:rPr>
        <w:t xml:space="preserve">: </w:t>
      </w:r>
      <w:r w:rsidR="006353CC" w:rsidRPr="00DE12F5">
        <w:rPr>
          <w:rFonts w:eastAsia="Times New Roman" w:cs="Arial"/>
          <w:b/>
          <w:color w:val="4A442A" w:themeColor="background2" w:themeShade="40"/>
          <w:sz w:val="20"/>
          <w:szCs w:val="20"/>
        </w:rPr>
        <w:t>OHCHR</w:t>
      </w:r>
      <w:r w:rsidR="00697606" w:rsidRPr="00DE12F5">
        <w:rPr>
          <w:rFonts w:eastAsia="Times New Roman" w:cs="Arial"/>
          <w:b/>
          <w:color w:val="4A442A" w:themeColor="background2" w:themeShade="40"/>
          <w:sz w:val="20"/>
          <w:szCs w:val="20"/>
        </w:rPr>
        <w:t xml:space="preserve"> call for submissions on </w:t>
      </w:r>
      <w:r w:rsidR="00697606" w:rsidRPr="00DE12F5">
        <w:rPr>
          <w:rFonts w:cs="Arial"/>
          <w:b/>
          <w:bCs/>
          <w:color w:val="4A442A" w:themeColor="background2" w:themeShade="40"/>
          <w:sz w:val="20"/>
          <w:szCs w:val="20"/>
          <w:lang w:val="en-US"/>
        </w:rPr>
        <w:t>engaging men and boys in preventing and responding to violence against all women and girls</w:t>
      </w:r>
    </w:p>
    <w:p w14:paraId="239BFB69" w14:textId="67836A21" w:rsidR="00543627" w:rsidRPr="00DE12F5" w:rsidRDefault="00BA1FF0" w:rsidP="007C7E59">
      <w:pPr>
        <w:spacing w:line="240" w:lineRule="auto"/>
        <w:rPr>
          <w:rFonts w:cs="Times New Roman"/>
          <w:color w:val="4A442A" w:themeColor="background2" w:themeShade="40"/>
          <w:sz w:val="20"/>
          <w:szCs w:val="20"/>
        </w:rPr>
      </w:pPr>
      <w:r w:rsidRPr="00DE12F5">
        <w:rPr>
          <w:color w:val="4A442A" w:themeColor="background2" w:themeShade="40"/>
          <w:sz w:val="20"/>
          <w:szCs w:val="20"/>
        </w:rPr>
        <w:t xml:space="preserve">Together for Girls (TfG) is a partnership </w:t>
      </w:r>
      <w:r w:rsidR="00543627" w:rsidRPr="00DE12F5">
        <w:rPr>
          <w:color w:val="4A442A" w:themeColor="background2" w:themeShade="40"/>
          <w:sz w:val="20"/>
          <w:szCs w:val="20"/>
        </w:rPr>
        <w:t xml:space="preserve">between </w:t>
      </w:r>
      <w:r w:rsidRPr="00DE12F5">
        <w:rPr>
          <w:color w:val="4A442A" w:themeColor="background2" w:themeShade="40"/>
          <w:sz w:val="20"/>
          <w:szCs w:val="20"/>
        </w:rPr>
        <w:t>national governments, UN agencies and private sector organizations, working at the intersection of violence against children</w:t>
      </w:r>
      <w:r w:rsidR="007C7E59" w:rsidRPr="00DE12F5">
        <w:rPr>
          <w:color w:val="4A442A" w:themeColor="background2" w:themeShade="40"/>
          <w:sz w:val="20"/>
          <w:szCs w:val="20"/>
        </w:rPr>
        <w:t xml:space="preserve"> (VAC)</w:t>
      </w:r>
      <w:r w:rsidRPr="00DE12F5">
        <w:rPr>
          <w:color w:val="4A442A" w:themeColor="background2" w:themeShade="40"/>
          <w:sz w:val="20"/>
          <w:szCs w:val="20"/>
        </w:rPr>
        <w:t xml:space="preserve"> and violence against women, </w:t>
      </w:r>
      <w:r w:rsidRPr="00DE12F5">
        <w:rPr>
          <w:rFonts w:cs="Arial"/>
          <w:color w:val="4A442A" w:themeColor="background2" w:themeShade="40"/>
          <w:sz w:val="20"/>
          <w:szCs w:val="20"/>
        </w:rPr>
        <w:t xml:space="preserve">with special attention to sexual violence against girls. </w:t>
      </w:r>
      <w:r w:rsidR="00E572FC" w:rsidRPr="00DE12F5">
        <w:rPr>
          <w:rFonts w:cs="Times New Roman"/>
          <w:color w:val="4A442A" w:themeColor="background2" w:themeShade="40"/>
          <w:sz w:val="20"/>
          <w:szCs w:val="20"/>
        </w:rPr>
        <w:t xml:space="preserve">TfG works across three pillars </w:t>
      </w:r>
      <w:r w:rsidR="00F563CA" w:rsidRPr="00DE12F5">
        <w:rPr>
          <w:rFonts w:cs="Times New Roman"/>
          <w:color w:val="4A442A" w:themeColor="background2" w:themeShade="40"/>
          <w:sz w:val="20"/>
          <w:szCs w:val="20"/>
        </w:rPr>
        <w:t>of action</w:t>
      </w:r>
      <w:r w:rsidR="00E572FC" w:rsidRPr="00DE12F5">
        <w:rPr>
          <w:rFonts w:cs="Times New Roman"/>
          <w:color w:val="4A442A" w:themeColor="background2" w:themeShade="40"/>
          <w:sz w:val="20"/>
          <w:szCs w:val="20"/>
        </w:rPr>
        <w:t xml:space="preserve">: </w:t>
      </w:r>
    </w:p>
    <w:p w14:paraId="1F7429E9" w14:textId="0EEE2FBC" w:rsidR="00543627" w:rsidRPr="00DE12F5" w:rsidRDefault="00543627" w:rsidP="00A92DA7">
      <w:pPr>
        <w:pStyle w:val="ListParagraph"/>
        <w:numPr>
          <w:ilvl w:val="0"/>
          <w:numId w:val="9"/>
        </w:numPr>
        <w:spacing w:line="240" w:lineRule="auto"/>
        <w:rPr>
          <w:rFonts w:cs="Times New Roman"/>
          <w:color w:val="4A442A" w:themeColor="background2" w:themeShade="40"/>
          <w:sz w:val="20"/>
          <w:szCs w:val="20"/>
        </w:rPr>
      </w:pPr>
      <w:r w:rsidRPr="00DE12F5">
        <w:rPr>
          <w:rFonts w:cs="Times New Roman"/>
          <w:color w:val="4A442A" w:themeColor="background2" w:themeShade="40"/>
          <w:sz w:val="20"/>
          <w:szCs w:val="20"/>
        </w:rPr>
        <w:t>N</w:t>
      </w:r>
      <w:r w:rsidR="00F563CA" w:rsidRPr="00DE12F5">
        <w:rPr>
          <w:rFonts w:cs="Times New Roman"/>
          <w:color w:val="4A442A" w:themeColor="background2" w:themeShade="40"/>
          <w:sz w:val="20"/>
          <w:szCs w:val="20"/>
        </w:rPr>
        <w:t>ationally representative</w:t>
      </w:r>
      <w:r w:rsidR="00E572FC" w:rsidRPr="00DE12F5">
        <w:rPr>
          <w:rFonts w:cs="Times New Roman"/>
          <w:color w:val="4A442A" w:themeColor="background2" w:themeShade="40"/>
          <w:sz w:val="20"/>
          <w:szCs w:val="20"/>
        </w:rPr>
        <w:t xml:space="preserve"> Violence Against Children Surveys (VACS</w:t>
      </w:r>
      <w:r w:rsidR="009A519F" w:rsidRPr="00DE12F5">
        <w:rPr>
          <w:rFonts w:cs="Times New Roman"/>
          <w:color w:val="4A442A" w:themeColor="background2" w:themeShade="40"/>
          <w:sz w:val="20"/>
          <w:szCs w:val="20"/>
        </w:rPr>
        <w:t>)</w:t>
      </w:r>
      <w:r w:rsidR="007C7E59" w:rsidRPr="00DE12F5">
        <w:rPr>
          <w:rFonts w:cs="Times New Roman"/>
          <w:color w:val="4A442A" w:themeColor="background2" w:themeShade="40"/>
          <w:sz w:val="20"/>
          <w:szCs w:val="20"/>
        </w:rPr>
        <w:t xml:space="preserve"> and </w:t>
      </w:r>
      <w:r w:rsidRPr="00DE12F5">
        <w:rPr>
          <w:rFonts w:cs="Times New Roman"/>
          <w:color w:val="4A442A" w:themeColor="background2" w:themeShade="40"/>
          <w:sz w:val="20"/>
          <w:szCs w:val="20"/>
        </w:rPr>
        <w:t xml:space="preserve">other relevant </w:t>
      </w:r>
      <w:r w:rsidR="007C7E59" w:rsidRPr="00DE12F5">
        <w:rPr>
          <w:rFonts w:cs="Times New Roman"/>
          <w:color w:val="4A442A" w:themeColor="background2" w:themeShade="40"/>
          <w:sz w:val="20"/>
          <w:szCs w:val="20"/>
        </w:rPr>
        <w:t>data</w:t>
      </w:r>
      <w:r w:rsidR="00E572FC" w:rsidRPr="00DE12F5">
        <w:rPr>
          <w:rFonts w:cs="Times New Roman"/>
          <w:color w:val="4A442A" w:themeColor="background2" w:themeShade="40"/>
          <w:sz w:val="20"/>
          <w:szCs w:val="20"/>
        </w:rPr>
        <w:t xml:space="preserve">; </w:t>
      </w:r>
    </w:p>
    <w:p w14:paraId="38605E5A" w14:textId="43FF6DA7" w:rsidR="00543627" w:rsidRPr="00DE12F5" w:rsidRDefault="00543627" w:rsidP="00A92DA7">
      <w:pPr>
        <w:pStyle w:val="ListParagraph"/>
        <w:numPr>
          <w:ilvl w:val="0"/>
          <w:numId w:val="9"/>
        </w:numPr>
        <w:spacing w:line="240" w:lineRule="auto"/>
        <w:rPr>
          <w:rFonts w:cs="Times New Roman"/>
          <w:color w:val="4A442A" w:themeColor="background2" w:themeShade="40"/>
          <w:sz w:val="20"/>
          <w:szCs w:val="20"/>
        </w:rPr>
      </w:pPr>
      <w:r w:rsidRPr="00DE12F5">
        <w:rPr>
          <w:rFonts w:cs="Times New Roman"/>
          <w:color w:val="4A442A" w:themeColor="background2" w:themeShade="40"/>
          <w:sz w:val="20"/>
          <w:szCs w:val="20"/>
        </w:rPr>
        <w:t>N</w:t>
      </w:r>
      <w:r w:rsidR="00E572FC" w:rsidRPr="00DE12F5">
        <w:rPr>
          <w:rFonts w:cs="Times New Roman"/>
          <w:color w:val="4A442A" w:themeColor="background2" w:themeShade="40"/>
          <w:sz w:val="20"/>
          <w:szCs w:val="20"/>
        </w:rPr>
        <w:t xml:space="preserve">ationally-led multi-sectoral VAC prevention and response; </w:t>
      </w:r>
    </w:p>
    <w:p w14:paraId="7D37131D" w14:textId="2C0C6CE2" w:rsidR="00543627" w:rsidRPr="00DE12F5" w:rsidRDefault="00543627" w:rsidP="00A92DA7">
      <w:pPr>
        <w:pStyle w:val="ListParagraph"/>
        <w:numPr>
          <w:ilvl w:val="0"/>
          <w:numId w:val="9"/>
        </w:numPr>
        <w:spacing w:line="240" w:lineRule="auto"/>
        <w:rPr>
          <w:rFonts w:cs="Times New Roman"/>
          <w:color w:val="4A442A" w:themeColor="background2" w:themeShade="40"/>
          <w:sz w:val="20"/>
          <w:szCs w:val="20"/>
        </w:rPr>
      </w:pPr>
      <w:r w:rsidRPr="00DE12F5">
        <w:rPr>
          <w:rFonts w:cs="Times New Roman"/>
          <w:color w:val="4A442A" w:themeColor="background2" w:themeShade="40"/>
          <w:sz w:val="20"/>
          <w:szCs w:val="20"/>
        </w:rPr>
        <w:t>G</w:t>
      </w:r>
      <w:r w:rsidR="00DD6E87" w:rsidRPr="00DE12F5">
        <w:rPr>
          <w:rFonts w:cs="Times New Roman"/>
          <w:color w:val="4A442A" w:themeColor="background2" w:themeShade="40"/>
          <w:sz w:val="20"/>
          <w:szCs w:val="20"/>
        </w:rPr>
        <w:t xml:space="preserve">lobal </w:t>
      </w:r>
      <w:r w:rsidR="00E572FC" w:rsidRPr="00DE12F5">
        <w:rPr>
          <w:rFonts w:cs="Times New Roman"/>
          <w:color w:val="4A442A" w:themeColor="background2" w:themeShade="40"/>
          <w:sz w:val="20"/>
          <w:szCs w:val="20"/>
        </w:rPr>
        <w:t>advocacy</w:t>
      </w:r>
      <w:r w:rsidR="00F563CA" w:rsidRPr="00DE12F5">
        <w:rPr>
          <w:rFonts w:cs="Times New Roman"/>
          <w:color w:val="4A442A" w:themeColor="background2" w:themeShade="40"/>
          <w:sz w:val="20"/>
          <w:szCs w:val="20"/>
        </w:rPr>
        <w:t xml:space="preserve"> and awareness-raising</w:t>
      </w:r>
      <w:r w:rsidR="00E572FC" w:rsidRPr="00DE12F5">
        <w:rPr>
          <w:rFonts w:cs="Times New Roman"/>
          <w:color w:val="4A442A" w:themeColor="background2" w:themeShade="40"/>
          <w:sz w:val="20"/>
          <w:szCs w:val="20"/>
        </w:rPr>
        <w:t>.</w:t>
      </w:r>
      <w:r w:rsidR="00BC2F2A" w:rsidRPr="00DE12F5">
        <w:rPr>
          <w:rFonts w:cs="Times New Roman"/>
          <w:color w:val="4A442A" w:themeColor="background2" w:themeShade="40"/>
          <w:sz w:val="20"/>
          <w:szCs w:val="20"/>
        </w:rPr>
        <w:t xml:space="preserve"> </w:t>
      </w:r>
    </w:p>
    <w:p w14:paraId="516D1096" w14:textId="44E533D3" w:rsidR="00E572FC" w:rsidRPr="00DE12F5" w:rsidRDefault="00BC2F2A" w:rsidP="00543627">
      <w:pPr>
        <w:spacing w:line="240" w:lineRule="auto"/>
        <w:rPr>
          <w:rFonts w:cs="Times New Roman"/>
          <w:color w:val="4A442A" w:themeColor="background2" w:themeShade="40"/>
          <w:sz w:val="20"/>
          <w:szCs w:val="20"/>
        </w:rPr>
      </w:pPr>
      <w:r w:rsidRPr="00DE12F5">
        <w:rPr>
          <w:color w:val="4A442A" w:themeColor="background2" w:themeShade="40"/>
          <w:sz w:val="20"/>
          <w:szCs w:val="20"/>
        </w:rPr>
        <w:t xml:space="preserve">We apply a gender and life-course perspective to our work and seek to identify the specific needs and vulnerabilities of both girls and boys. We pay particular attention to adolescent girls because they often remain invisible or fall through the cracks in the development of policies and programs to end </w:t>
      </w:r>
      <w:r w:rsidR="007C7E59" w:rsidRPr="00DE12F5">
        <w:rPr>
          <w:color w:val="4A442A" w:themeColor="background2" w:themeShade="40"/>
          <w:sz w:val="20"/>
          <w:szCs w:val="20"/>
        </w:rPr>
        <w:t>VAC</w:t>
      </w:r>
      <w:r w:rsidRPr="00DE12F5">
        <w:rPr>
          <w:color w:val="4A442A" w:themeColor="background2" w:themeShade="40"/>
          <w:sz w:val="20"/>
          <w:szCs w:val="20"/>
        </w:rPr>
        <w:t xml:space="preserve"> and violence against women and girls (VAWG). We also recognize that boys experience violence, and that focusing on them is essential—both because their rights and well-being are equally important and because they play an important role in breaking cycles of violence.</w:t>
      </w:r>
    </w:p>
    <w:p w14:paraId="19A1F29E" w14:textId="27D9982E" w:rsidR="00492830" w:rsidRPr="00DE12F5" w:rsidRDefault="00492830" w:rsidP="00492830">
      <w:pPr>
        <w:spacing w:line="240" w:lineRule="auto"/>
        <w:rPr>
          <w:rFonts w:cs="Times New Roman"/>
          <w:color w:val="4A442A" w:themeColor="background2" w:themeShade="40"/>
          <w:sz w:val="20"/>
          <w:szCs w:val="20"/>
        </w:rPr>
      </w:pPr>
      <w:r w:rsidRPr="00DE12F5">
        <w:rPr>
          <w:rFonts w:cs="Times New Roman"/>
          <w:b/>
          <w:color w:val="4A442A" w:themeColor="background2" w:themeShade="40"/>
          <w:sz w:val="20"/>
          <w:szCs w:val="20"/>
        </w:rPr>
        <w:t>Examples, promising practices and lessons learned for engaging men and boys in VAWG work</w:t>
      </w:r>
      <w:r w:rsidRPr="00DE12F5">
        <w:rPr>
          <w:rFonts w:cs="Times New Roman"/>
          <w:color w:val="4A442A" w:themeColor="background2" w:themeShade="40"/>
          <w:sz w:val="20"/>
          <w:szCs w:val="20"/>
        </w:rPr>
        <w:t xml:space="preserve">: </w:t>
      </w:r>
    </w:p>
    <w:p w14:paraId="602230B1" w14:textId="5F93E308" w:rsidR="00697606" w:rsidRPr="00DE12F5" w:rsidRDefault="00492830" w:rsidP="007C7E59">
      <w:pPr>
        <w:spacing w:line="240" w:lineRule="auto"/>
        <w:rPr>
          <w:rFonts w:cs="Times New Roman"/>
          <w:color w:val="4A442A" w:themeColor="background2" w:themeShade="40"/>
          <w:sz w:val="20"/>
          <w:szCs w:val="20"/>
        </w:rPr>
      </w:pPr>
      <w:r w:rsidRPr="00DE12F5">
        <w:rPr>
          <w:rFonts w:cs="Times New Roman"/>
          <w:b/>
          <w:color w:val="4A442A" w:themeColor="background2" w:themeShade="40"/>
          <w:sz w:val="20"/>
          <w:szCs w:val="20"/>
        </w:rPr>
        <w:t xml:space="preserve">VACS: </w:t>
      </w:r>
      <w:r w:rsidR="009A519F" w:rsidRPr="00DE12F5">
        <w:rPr>
          <w:rFonts w:cs="Times New Roman"/>
          <w:color w:val="4A442A" w:themeColor="background2" w:themeShade="40"/>
          <w:sz w:val="20"/>
          <w:szCs w:val="20"/>
        </w:rPr>
        <w:t xml:space="preserve">The VACS, led by CDC through the TfG partnership, </w:t>
      </w:r>
      <w:r w:rsidR="0002547D" w:rsidRPr="00DE12F5">
        <w:rPr>
          <w:rFonts w:cs="Times New Roman"/>
          <w:color w:val="4A442A" w:themeColor="background2" w:themeShade="40"/>
          <w:sz w:val="20"/>
          <w:szCs w:val="20"/>
        </w:rPr>
        <w:t>collect</w:t>
      </w:r>
      <w:r w:rsidR="00E572FC" w:rsidRPr="00DE12F5">
        <w:rPr>
          <w:rFonts w:cs="Times New Roman"/>
          <w:color w:val="4A442A" w:themeColor="background2" w:themeShade="40"/>
          <w:sz w:val="20"/>
          <w:szCs w:val="20"/>
        </w:rPr>
        <w:t xml:space="preserve"> nationally-representative data on emotional, physical and sexual violence against girls and boys, including prevalence data </w:t>
      </w:r>
      <w:r w:rsidR="00F563CA" w:rsidRPr="00DE12F5">
        <w:rPr>
          <w:rFonts w:cs="Times New Roman"/>
          <w:color w:val="4A442A" w:themeColor="background2" w:themeShade="40"/>
          <w:sz w:val="20"/>
          <w:szCs w:val="20"/>
        </w:rPr>
        <w:t xml:space="preserve">on violence before age 18 </w:t>
      </w:r>
      <w:r w:rsidR="00E572FC" w:rsidRPr="00DE12F5">
        <w:rPr>
          <w:rFonts w:cs="Times New Roman"/>
          <w:color w:val="4A442A" w:themeColor="background2" w:themeShade="40"/>
          <w:sz w:val="20"/>
          <w:szCs w:val="20"/>
        </w:rPr>
        <w:t xml:space="preserve">(among 18-14 year olds) and 12-month incidence data (among 13-17 year olds), as well </w:t>
      </w:r>
      <w:r w:rsidR="008B4E36" w:rsidRPr="00DE12F5">
        <w:rPr>
          <w:rFonts w:cs="Times New Roman"/>
          <w:color w:val="4A442A" w:themeColor="background2" w:themeShade="40"/>
          <w:sz w:val="20"/>
          <w:szCs w:val="20"/>
        </w:rPr>
        <w:t xml:space="preserve">as </w:t>
      </w:r>
      <w:r w:rsidR="00F563CA" w:rsidRPr="00DE12F5">
        <w:rPr>
          <w:rFonts w:cs="Times New Roman"/>
          <w:color w:val="4A442A" w:themeColor="background2" w:themeShade="40"/>
          <w:sz w:val="20"/>
          <w:szCs w:val="20"/>
        </w:rPr>
        <w:t xml:space="preserve">on the circumstances </w:t>
      </w:r>
      <w:r w:rsidR="008B4E36" w:rsidRPr="00DE12F5">
        <w:rPr>
          <w:rFonts w:cs="Times New Roman"/>
          <w:color w:val="4A442A" w:themeColor="background2" w:themeShade="40"/>
          <w:sz w:val="20"/>
          <w:szCs w:val="20"/>
        </w:rPr>
        <w:t>and perpetrators of</w:t>
      </w:r>
      <w:r w:rsidR="00644965" w:rsidRPr="00DE12F5">
        <w:rPr>
          <w:rFonts w:cs="Times New Roman"/>
          <w:color w:val="4A442A" w:themeColor="background2" w:themeShade="40"/>
          <w:sz w:val="20"/>
          <w:szCs w:val="20"/>
        </w:rPr>
        <w:t xml:space="preserve"> violence, reporting a</w:t>
      </w:r>
      <w:r w:rsidR="006B560A" w:rsidRPr="00DE12F5">
        <w:rPr>
          <w:rFonts w:cs="Times New Roman"/>
          <w:color w:val="4A442A" w:themeColor="background2" w:themeShade="40"/>
          <w:sz w:val="20"/>
          <w:szCs w:val="20"/>
        </w:rPr>
        <w:t xml:space="preserve">nd service use, </w:t>
      </w:r>
      <w:r w:rsidR="00644965" w:rsidRPr="00DE12F5">
        <w:rPr>
          <w:rFonts w:cs="Times New Roman"/>
          <w:color w:val="4A442A" w:themeColor="background2" w:themeShade="40"/>
          <w:sz w:val="20"/>
          <w:szCs w:val="20"/>
        </w:rPr>
        <w:t xml:space="preserve">and health and well-being outcomes. </w:t>
      </w:r>
      <w:r w:rsidR="009C516A" w:rsidRPr="00DE12F5">
        <w:rPr>
          <w:rFonts w:cs="Times New Roman"/>
          <w:color w:val="4A442A" w:themeColor="background2" w:themeShade="40"/>
          <w:sz w:val="20"/>
          <w:szCs w:val="20"/>
        </w:rPr>
        <w:t>The process is</w:t>
      </w:r>
      <w:r w:rsidR="00697606" w:rsidRPr="00DE12F5">
        <w:rPr>
          <w:rFonts w:cs="Times New Roman"/>
          <w:color w:val="4A442A" w:themeColor="background2" w:themeShade="40"/>
          <w:sz w:val="20"/>
          <w:szCs w:val="20"/>
        </w:rPr>
        <w:t xml:space="preserve"> </w:t>
      </w:r>
      <w:r w:rsidR="009C516A" w:rsidRPr="00DE12F5">
        <w:rPr>
          <w:rFonts w:cs="Times New Roman"/>
          <w:color w:val="4A442A" w:themeColor="background2" w:themeShade="40"/>
          <w:sz w:val="20"/>
          <w:szCs w:val="20"/>
        </w:rPr>
        <w:t xml:space="preserve">led </w:t>
      </w:r>
      <w:r w:rsidR="00697606" w:rsidRPr="00DE12F5">
        <w:rPr>
          <w:rFonts w:cs="Times New Roman"/>
          <w:color w:val="4A442A" w:themeColor="background2" w:themeShade="40"/>
          <w:sz w:val="20"/>
          <w:szCs w:val="20"/>
        </w:rPr>
        <w:t xml:space="preserve">by a multi-sectoral task force of government ministries, civil society and Together for Girls partners, and the data informs and leads into long-term violence prevention and response policy and program implementation. </w:t>
      </w:r>
      <w:r w:rsidR="00BC2F2A" w:rsidRPr="00DE12F5">
        <w:rPr>
          <w:rFonts w:cs="Times New Roman"/>
          <w:color w:val="4A442A" w:themeColor="background2" w:themeShade="40"/>
          <w:sz w:val="20"/>
          <w:szCs w:val="20"/>
        </w:rPr>
        <w:t xml:space="preserve">Governments and civil society lead long-term policy and program response across sectors to reduce violence in childhood and </w:t>
      </w:r>
      <w:r w:rsidR="00543627" w:rsidRPr="00DE12F5">
        <w:rPr>
          <w:rFonts w:cs="Times New Roman"/>
          <w:color w:val="4A442A" w:themeColor="background2" w:themeShade="40"/>
          <w:sz w:val="20"/>
          <w:szCs w:val="20"/>
        </w:rPr>
        <w:t xml:space="preserve">increase </w:t>
      </w:r>
      <w:r w:rsidR="00BC2F2A" w:rsidRPr="00DE12F5">
        <w:rPr>
          <w:rFonts w:cs="Times New Roman"/>
          <w:color w:val="4A442A" w:themeColor="background2" w:themeShade="40"/>
          <w:sz w:val="20"/>
          <w:szCs w:val="20"/>
        </w:rPr>
        <w:t xml:space="preserve">gender inequality, and respond to violence when it occurs. </w:t>
      </w:r>
    </w:p>
    <w:p w14:paraId="5D431492" w14:textId="2F0D4B3F" w:rsidR="00931F3D" w:rsidRPr="00DE12F5" w:rsidRDefault="00644965" w:rsidP="007C7E59">
      <w:pPr>
        <w:spacing w:line="240" w:lineRule="auto"/>
        <w:rPr>
          <w:rFonts w:cs="Times New Roman"/>
          <w:color w:val="4A442A" w:themeColor="background2" w:themeShade="40"/>
          <w:sz w:val="20"/>
          <w:szCs w:val="20"/>
        </w:rPr>
      </w:pPr>
      <w:r w:rsidRPr="00DE12F5">
        <w:rPr>
          <w:rFonts w:cs="Times New Roman"/>
          <w:color w:val="4A442A" w:themeColor="background2" w:themeShade="40"/>
          <w:sz w:val="20"/>
          <w:szCs w:val="20"/>
        </w:rPr>
        <w:t xml:space="preserve">Previous to the VACS there was limited data on </w:t>
      </w:r>
      <w:r w:rsidR="00F563CA" w:rsidRPr="00DE12F5">
        <w:rPr>
          <w:rFonts w:cs="Times New Roman"/>
          <w:color w:val="4A442A" w:themeColor="background2" w:themeShade="40"/>
          <w:sz w:val="20"/>
          <w:szCs w:val="20"/>
        </w:rPr>
        <w:t>VAC</w:t>
      </w:r>
      <w:r w:rsidRPr="00DE12F5">
        <w:rPr>
          <w:rFonts w:cs="Times New Roman"/>
          <w:color w:val="4A442A" w:themeColor="background2" w:themeShade="40"/>
          <w:sz w:val="20"/>
          <w:szCs w:val="20"/>
        </w:rPr>
        <w:t xml:space="preserve"> in most countries</w:t>
      </w:r>
      <w:r w:rsidR="006A586E" w:rsidRPr="00DE12F5">
        <w:rPr>
          <w:rFonts w:cs="Times New Roman"/>
          <w:color w:val="4A442A" w:themeColor="background2" w:themeShade="40"/>
          <w:sz w:val="20"/>
          <w:szCs w:val="20"/>
        </w:rPr>
        <w:t>, and w</w:t>
      </w:r>
      <w:r w:rsidRPr="00DE12F5">
        <w:rPr>
          <w:rFonts w:cs="Times New Roman"/>
          <w:color w:val="4A442A" w:themeColor="background2" w:themeShade="40"/>
          <w:sz w:val="20"/>
          <w:szCs w:val="20"/>
        </w:rPr>
        <w:t>here it is existed it was often not nationally representative</w:t>
      </w:r>
      <w:r w:rsidR="008B4E36" w:rsidRPr="00DE12F5">
        <w:rPr>
          <w:rFonts w:cs="Times New Roman"/>
          <w:color w:val="4A442A" w:themeColor="background2" w:themeShade="40"/>
          <w:sz w:val="20"/>
          <w:szCs w:val="20"/>
        </w:rPr>
        <w:t>,</w:t>
      </w:r>
      <w:r w:rsidRPr="00DE12F5">
        <w:rPr>
          <w:rFonts w:cs="Times New Roman"/>
          <w:color w:val="4A442A" w:themeColor="background2" w:themeShade="40"/>
          <w:sz w:val="20"/>
          <w:szCs w:val="20"/>
        </w:rPr>
        <w:t xml:space="preserve"> </w:t>
      </w:r>
      <w:r w:rsidR="00F563CA" w:rsidRPr="00DE12F5">
        <w:rPr>
          <w:rFonts w:cs="Times New Roman"/>
          <w:color w:val="4A442A" w:themeColor="background2" w:themeShade="40"/>
          <w:sz w:val="20"/>
          <w:szCs w:val="20"/>
        </w:rPr>
        <w:t>not com</w:t>
      </w:r>
      <w:r w:rsidR="006B560A" w:rsidRPr="00DE12F5">
        <w:rPr>
          <w:rFonts w:cs="Times New Roman"/>
          <w:color w:val="4A442A" w:themeColor="background2" w:themeShade="40"/>
          <w:sz w:val="20"/>
          <w:szCs w:val="20"/>
        </w:rPr>
        <w:t>parable across countries</w:t>
      </w:r>
      <w:r w:rsidR="008B4E36" w:rsidRPr="00DE12F5">
        <w:rPr>
          <w:rFonts w:cs="Times New Roman"/>
          <w:color w:val="4A442A" w:themeColor="background2" w:themeShade="40"/>
          <w:sz w:val="20"/>
          <w:szCs w:val="20"/>
        </w:rPr>
        <w:t>,</w:t>
      </w:r>
      <w:r w:rsidR="006B560A" w:rsidRPr="00DE12F5">
        <w:rPr>
          <w:rFonts w:cs="Times New Roman"/>
          <w:color w:val="4A442A" w:themeColor="background2" w:themeShade="40"/>
          <w:sz w:val="20"/>
          <w:szCs w:val="20"/>
        </w:rPr>
        <w:t xml:space="preserve"> or limited in scope and inclusiveness </w:t>
      </w:r>
      <w:r w:rsidR="00F563CA" w:rsidRPr="00DE12F5">
        <w:rPr>
          <w:rFonts w:cs="Times New Roman"/>
          <w:color w:val="4A442A" w:themeColor="background2" w:themeShade="40"/>
          <w:sz w:val="20"/>
          <w:szCs w:val="20"/>
        </w:rPr>
        <w:t xml:space="preserve">(e.g. </w:t>
      </w:r>
      <w:r w:rsidR="008B4E36" w:rsidRPr="00DE12F5">
        <w:rPr>
          <w:rFonts w:cs="Times New Roman"/>
          <w:color w:val="4A442A" w:themeColor="background2" w:themeShade="40"/>
          <w:sz w:val="20"/>
          <w:szCs w:val="20"/>
        </w:rPr>
        <w:t xml:space="preserve">only represented </w:t>
      </w:r>
      <w:r w:rsidRPr="00DE12F5">
        <w:rPr>
          <w:rFonts w:cs="Times New Roman"/>
          <w:color w:val="4A442A" w:themeColor="background2" w:themeShade="40"/>
          <w:sz w:val="20"/>
          <w:szCs w:val="20"/>
        </w:rPr>
        <w:t>older adolescents</w:t>
      </w:r>
      <w:r w:rsidR="00F563CA" w:rsidRPr="00DE12F5">
        <w:rPr>
          <w:rFonts w:cs="Times New Roman"/>
          <w:color w:val="4A442A" w:themeColor="background2" w:themeShade="40"/>
          <w:sz w:val="20"/>
          <w:szCs w:val="20"/>
        </w:rPr>
        <w:t xml:space="preserve">, only </w:t>
      </w:r>
      <w:r w:rsidR="008B4E36" w:rsidRPr="00DE12F5">
        <w:rPr>
          <w:rFonts w:cs="Times New Roman"/>
          <w:color w:val="4A442A" w:themeColor="background2" w:themeShade="40"/>
          <w:sz w:val="20"/>
          <w:szCs w:val="20"/>
        </w:rPr>
        <w:t xml:space="preserve">included </w:t>
      </w:r>
      <w:r w:rsidR="00F563CA" w:rsidRPr="00DE12F5">
        <w:rPr>
          <w:rFonts w:cs="Times New Roman"/>
          <w:color w:val="4A442A" w:themeColor="background2" w:themeShade="40"/>
          <w:sz w:val="20"/>
          <w:szCs w:val="20"/>
        </w:rPr>
        <w:t>females)</w:t>
      </w:r>
      <w:r w:rsidRPr="00DE12F5">
        <w:rPr>
          <w:rFonts w:cs="Times New Roman"/>
          <w:color w:val="4A442A" w:themeColor="background2" w:themeShade="40"/>
          <w:sz w:val="20"/>
          <w:szCs w:val="20"/>
        </w:rPr>
        <w:t>. T</w:t>
      </w:r>
      <w:r w:rsidR="00F563CA" w:rsidRPr="00DE12F5">
        <w:rPr>
          <w:rFonts w:cs="Times New Roman"/>
          <w:color w:val="4A442A" w:themeColor="background2" w:themeShade="40"/>
          <w:sz w:val="20"/>
          <w:szCs w:val="20"/>
        </w:rPr>
        <w:t xml:space="preserve">o date 10 countries have launched </w:t>
      </w:r>
      <w:r w:rsidRPr="00DE12F5">
        <w:rPr>
          <w:rFonts w:cs="Times New Roman"/>
          <w:color w:val="4A442A" w:themeColor="background2" w:themeShade="40"/>
          <w:sz w:val="20"/>
          <w:szCs w:val="20"/>
        </w:rPr>
        <w:t xml:space="preserve">VACS </w:t>
      </w:r>
      <w:r w:rsidR="00F563CA" w:rsidRPr="00DE12F5">
        <w:rPr>
          <w:rFonts w:cs="Times New Roman"/>
          <w:color w:val="4A442A" w:themeColor="background2" w:themeShade="40"/>
          <w:sz w:val="20"/>
          <w:szCs w:val="20"/>
        </w:rPr>
        <w:t>findings</w:t>
      </w:r>
      <w:r w:rsidR="00F563CA" w:rsidRPr="00DE12F5">
        <w:rPr>
          <w:rStyle w:val="FootnoteReference"/>
          <w:rFonts w:cs="Times New Roman"/>
          <w:color w:val="4A442A" w:themeColor="background2" w:themeShade="40"/>
          <w:sz w:val="20"/>
          <w:szCs w:val="20"/>
        </w:rPr>
        <w:footnoteReference w:id="1"/>
      </w:r>
      <w:r w:rsidRPr="00DE12F5">
        <w:rPr>
          <w:rFonts w:cs="Times New Roman"/>
          <w:color w:val="4A442A" w:themeColor="background2" w:themeShade="40"/>
          <w:sz w:val="20"/>
          <w:szCs w:val="20"/>
        </w:rPr>
        <w:t xml:space="preserve">, with </w:t>
      </w:r>
      <w:r w:rsidR="00EB4885" w:rsidRPr="00DE12F5">
        <w:rPr>
          <w:rFonts w:cs="Times New Roman"/>
          <w:color w:val="4A442A" w:themeColor="background2" w:themeShade="40"/>
          <w:sz w:val="20"/>
          <w:szCs w:val="20"/>
        </w:rPr>
        <w:t>more</w:t>
      </w:r>
      <w:r w:rsidR="00382ABB" w:rsidRPr="00DE12F5">
        <w:rPr>
          <w:rFonts w:cs="Times New Roman"/>
          <w:color w:val="4A442A" w:themeColor="background2" w:themeShade="40"/>
          <w:sz w:val="20"/>
          <w:szCs w:val="20"/>
        </w:rPr>
        <w:t xml:space="preserve"> surveys</w:t>
      </w:r>
      <w:r w:rsidR="00EB4885" w:rsidRPr="00DE12F5">
        <w:rPr>
          <w:rFonts w:cs="Times New Roman"/>
          <w:color w:val="4A442A" w:themeColor="background2" w:themeShade="40"/>
          <w:sz w:val="20"/>
          <w:szCs w:val="20"/>
        </w:rPr>
        <w:t xml:space="preserve"> in planning, process or analyses.</w:t>
      </w:r>
      <w:r w:rsidR="009C6569" w:rsidRPr="00DE12F5">
        <w:rPr>
          <w:rStyle w:val="FootnoteReference"/>
          <w:rFonts w:cs="Times New Roman"/>
          <w:color w:val="4A442A" w:themeColor="background2" w:themeShade="40"/>
          <w:sz w:val="20"/>
          <w:szCs w:val="20"/>
        </w:rPr>
        <w:footnoteReference w:id="2"/>
      </w:r>
      <w:r w:rsidR="00EB4885" w:rsidRPr="00DE12F5">
        <w:rPr>
          <w:rFonts w:cs="Times New Roman"/>
          <w:color w:val="4A442A" w:themeColor="background2" w:themeShade="40"/>
          <w:sz w:val="20"/>
          <w:szCs w:val="20"/>
        </w:rPr>
        <w:t xml:space="preserve"> </w:t>
      </w:r>
      <w:r w:rsidR="00F563CA" w:rsidRPr="00DE12F5">
        <w:rPr>
          <w:rFonts w:cs="Times New Roman"/>
          <w:color w:val="4A442A" w:themeColor="background2" w:themeShade="40"/>
          <w:sz w:val="20"/>
          <w:szCs w:val="20"/>
        </w:rPr>
        <w:t>With growing coverage, for the first time</w:t>
      </w:r>
      <w:r w:rsidR="0002547D" w:rsidRPr="00DE12F5">
        <w:rPr>
          <w:rFonts w:cs="Times New Roman"/>
          <w:color w:val="4A442A" w:themeColor="background2" w:themeShade="40"/>
          <w:sz w:val="20"/>
          <w:szCs w:val="20"/>
        </w:rPr>
        <w:t xml:space="preserve"> </w:t>
      </w:r>
      <w:r w:rsidR="009C516A" w:rsidRPr="00DE12F5">
        <w:rPr>
          <w:rFonts w:cs="Times New Roman"/>
          <w:color w:val="4A442A" w:themeColor="background2" w:themeShade="40"/>
          <w:sz w:val="20"/>
          <w:szCs w:val="20"/>
        </w:rPr>
        <w:t xml:space="preserve">the </w:t>
      </w:r>
      <w:r w:rsidR="0002547D" w:rsidRPr="00DE12F5">
        <w:rPr>
          <w:rFonts w:cs="Times New Roman"/>
          <w:color w:val="4A442A" w:themeColor="background2" w:themeShade="40"/>
          <w:sz w:val="20"/>
          <w:szCs w:val="20"/>
        </w:rPr>
        <w:t>VACS provide</w:t>
      </w:r>
      <w:r w:rsidR="00EB4885" w:rsidRPr="00DE12F5">
        <w:rPr>
          <w:rFonts w:cs="Times New Roman"/>
          <w:color w:val="4A442A" w:themeColor="background2" w:themeShade="40"/>
          <w:sz w:val="20"/>
          <w:szCs w:val="20"/>
        </w:rPr>
        <w:t xml:space="preserve"> a baseline </w:t>
      </w:r>
      <w:r w:rsidR="0002547D" w:rsidRPr="00DE12F5">
        <w:rPr>
          <w:rFonts w:cs="Times New Roman"/>
          <w:color w:val="4A442A" w:themeColor="background2" w:themeShade="40"/>
          <w:sz w:val="20"/>
          <w:szCs w:val="20"/>
        </w:rPr>
        <w:t>for</w:t>
      </w:r>
      <w:r w:rsidR="00EB4885" w:rsidRPr="00DE12F5">
        <w:rPr>
          <w:rFonts w:cs="Times New Roman"/>
          <w:color w:val="4A442A" w:themeColor="background2" w:themeShade="40"/>
          <w:sz w:val="20"/>
          <w:szCs w:val="20"/>
        </w:rPr>
        <w:t xml:space="preserve"> rates of </w:t>
      </w:r>
      <w:r w:rsidR="00382ABB" w:rsidRPr="00DE12F5">
        <w:rPr>
          <w:rFonts w:cs="Times New Roman"/>
          <w:color w:val="4A442A" w:themeColor="background2" w:themeShade="40"/>
          <w:sz w:val="20"/>
          <w:szCs w:val="20"/>
        </w:rPr>
        <w:t>VAC</w:t>
      </w:r>
      <w:r w:rsidR="006B560A" w:rsidRPr="00DE12F5">
        <w:rPr>
          <w:rFonts w:cs="Times New Roman"/>
          <w:color w:val="4A442A" w:themeColor="background2" w:themeShade="40"/>
          <w:sz w:val="20"/>
          <w:szCs w:val="20"/>
        </w:rPr>
        <w:t xml:space="preserve"> within and across countries</w:t>
      </w:r>
      <w:r w:rsidR="00EB4885" w:rsidRPr="00DE12F5">
        <w:rPr>
          <w:rFonts w:cs="Times New Roman"/>
          <w:color w:val="4A442A" w:themeColor="background2" w:themeShade="40"/>
          <w:sz w:val="20"/>
          <w:szCs w:val="20"/>
        </w:rPr>
        <w:t>, along with nuance on variations</w:t>
      </w:r>
      <w:r w:rsidR="0035695D" w:rsidRPr="00DE12F5">
        <w:rPr>
          <w:rFonts w:cs="Times New Roman"/>
          <w:color w:val="4A442A" w:themeColor="background2" w:themeShade="40"/>
          <w:sz w:val="20"/>
          <w:szCs w:val="20"/>
        </w:rPr>
        <w:t xml:space="preserve"> </w:t>
      </w:r>
      <w:r w:rsidR="006B560A" w:rsidRPr="00DE12F5">
        <w:rPr>
          <w:rFonts w:cs="Times New Roman"/>
          <w:color w:val="4A442A" w:themeColor="background2" w:themeShade="40"/>
          <w:sz w:val="20"/>
          <w:szCs w:val="20"/>
        </w:rPr>
        <w:t>among</w:t>
      </w:r>
      <w:r w:rsidR="0035695D" w:rsidRPr="00DE12F5">
        <w:rPr>
          <w:rFonts w:cs="Times New Roman"/>
          <w:color w:val="4A442A" w:themeColor="background2" w:themeShade="40"/>
          <w:sz w:val="20"/>
          <w:szCs w:val="20"/>
        </w:rPr>
        <w:t xml:space="preserve"> genders and age groups</w:t>
      </w:r>
      <w:r w:rsidR="00492830" w:rsidRPr="00DE12F5">
        <w:rPr>
          <w:rFonts w:cs="Times New Roman"/>
          <w:color w:val="4A442A" w:themeColor="background2" w:themeShade="40"/>
          <w:sz w:val="20"/>
          <w:szCs w:val="20"/>
        </w:rPr>
        <w:t>.</w:t>
      </w:r>
      <w:r w:rsidR="00931F3D" w:rsidRPr="00DE12F5">
        <w:rPr>
          <w:rFonts w:cs="Times New Roman"/>
          <w:color w:val="4A442A" w:themeColor="background2" w:themeShade="40"/>
          <w:sz w:val="20"/>
          <w:szCs w:val="20"/>
        </w:rPr>
        <w:t xml:space="preserve"> </w:t>
      </w:r>
      <w:r w:rsidR="00BA7996" w:rsidRPr="00DE12F5">
        <w:rPr>
          <w:rFonts w:cs="Times New Roman"/>
          <w:color w:val="4A442A" w:themeColor="background2" w:themeShade="40"/>
          <w:sz w:val="20"/>
          <w:szCs w:val="20"/>
        </w:rPr>
        <w:t xml:space="preserve">In most </w:t>
      </w:r>
      <w:r w:rsidR="000938FE" w:rsidRPr="00DE12F5">
        <w:rPr>
          <w:rFonts w:cs="Times New Roman"/>
          <w:color w:val="4A442A" w:themeColor="background2" w:themeShade="40"/>
          <w:sz w:val="20"/>
          <w:szCs w:val="20"/>
        </w:rPr>
        <w:t>settings,</w:t>
      </w:r>
      <w:r w:rsidR="00BA7996" w:rsidRPr="00DE12F5">
        <w:rPr>
          <w:rFonts w:cs="Times New Roman"/>
          <w:color w:val="4A442A" w:themeColor="background2" w:themeShade="40"/>
          <w:sz w:val="20"/>
          <w:szCs w:val="20"/>
        </w:rPr>
        <w:t xml:space="preserve"> t</w:t>
      </w:r>
      <w:r w:rsidR="00931F3D" w:rsidRPr="00DE12F5">
        <w:rPr>
          <w:rFonts w:cs="Times New Roman"/>
          <w:color w:val="4A442A" w:themeColor="background2" w:themeShade="40"/>
          <w:sz w:val="20"/>
          <w:szCs w:val="20"/>
        </w:rPr>
        <w:t xml:space="preserve">he VACS represents the first comprehensive national data on </w:t>
      </w:r>
      <w:r w:rsidR="0002547D" w:rsidRPr="00DE12F5">
        <w:rPr>
          <w:rFonts w:cs="Times New Roman"/>
          <w:color w:val="4A442A" w:themeColor="background2" w:themeShade="40"/>
          <w:sz w:val="20"/>
          <w:szCs w:val="20"/>
        </w:rPr>
        <w:t>VAC</w:t>
      </w:r>
      <w:r w:rsidR="00BA7996" w:rsidRPr="00DE12F5">
        <w:rPr>
          <w:rFonts w:cs="Times New Roman"/>
          <w:color w:val="4A442A" w:themeColor="background2" w:themeShade="40"/>
          <w:sz w:val="20"/>
          <w:szCs w:val="20"/>
        </w:rPr>
        <w:t>. The same questions are asked of both males and females, and as a result VACS results feature nuanced data for both boys and girls on violence in childhood (see Graphs 1-3 for examples), particularly adolescence; perpetrators, reporting and service seeking (Graph 4). Recent</w:t>
      </w:r>
      <w:r w:rsidR="00DE12F5">
        <w:rPr>
          <w:rFonts w:cs="Times New Roman"/>
          <w:color w:val="4A442A" w:themeColor="background2" w:themeShade="40"/>
          <w:sz w:val="20"/>
          <w:szCs w:val="20"/>
        </w:rPr>
        <w:t>ly launched</w:t>
      </w:r>
      <w:r w:rsidR="00BA7996" w:rsidRPr="00DE12F5">
        <w:rPr>
          <w:rFonts w:cs="Times New Roman"/>
          <w:color w:val="4A442A" w:themeColor="background2" w:themeShade="40"/>
          <w:sz w:val="20"/>
          <w:szCs w:val="20"/>
        </w:rPr>
        <w:t xml:space="preserve"> VACS (Malawi and Nigeria</w:t>
      </w:r>
      <w:r w:rsidR="001F08E0" w:rsidRPr="00DE12F5">
        <w:rPr>
          <w:rFonts w:cs="Times New Roman"/>
          <w:color w:val="4A442A" w:themeColor="background2" w:themeShade="40"/>
          <w:sz w:val="20"/>
          <w:szCs w:val="20"/>
        </w:rPr>
        <w:t>, with additional countries to launch results soon</w:t>
      </w:r>
      <w:r w:rsidR="00BA7996" w:rsidRPr="00DE12F5">
        <w:rPr>
          <w:rFonts w:cs="Times New Roman"/>
          <w:color w:val="4A442A" w:themeColor="background2" w:themeShade="40"/>
          <w:sz w:val="20"/>
          <w:szCs w:val="20"/>
        </w:rPr>
        <w:t>) included questions on perpetration as well, allowing for the analysis of the relationship between childhood violence and intimate partner violence perpetration in adulthood.</w:t>
      </w:r>
      <w:r w:rsidR="00C54FDE" w:rsidRPr="00DE12F5">
        <w:rPr>
          <w:rFonts w:cs="Times New Roman"/>
          <w:color w:val="4A442A" w:themeColor="background2" w:themeShade="40"/>
          <w:sz w:val="20"/>
          <w:szCs w:val="20"/>
        </w:rPr>
        <w:t xml:space="preserve">  These data illustrate the relationship of VAC </w:t>
      </w:r>
      <w:r w:rsidR="00492830" w:rsidRPr="00DE12F5">
        <w:rPr>
          <w:rFonts w:cs="Times New Roman"/>
          <w:color w:val="4A442A" w:themeColor="background2" w:themeShade="40"/>
          <w:sz w:val="20"/>
          <w:szCs w:val="20"/>
        </w:rPr>
        <w:t>and VAWG</w:t>
      </w:r>
      <w:r w:rsidR="00C54FDE" w:rsidRPr="00DE12F5">
        <w:rPr>
          <w:rFonts w:cs="Times New Roman"/>
          <w:color w:val="4A442A" w:themeColor="background2" w:themeShade="40"/>
          <w:sz w:val="20"/>
          <w:szCs w:val="20"/>
        </w:rPr>
        <w:t xml:space="preserve"> at it evolves through adolescence; and the importance of understanding violence in adolescence to contribute to monitoring and tracking progress against the SDGs.</w:t>
      </w:r>
      <w:r w:rsidR="00644079" w:rsidRPr="00DE12F5">
        <w:rPr>
          <w:rFonts w:cs="Times New Roman"/>
          <w:color w:val="4A442A" w:themeColor="background2" w:themeShade="40"/>
          <w:sz w:val="20"/>
          <w:szCs w:val="20"/>
        </w:rPr>
        <w:t xml:space="preserve"> The updated VACS core questionnaire includes </w:t>
      </w:r>
      <w:r w:rsidR="00DD6E87" w:rsidRPr="00DE12F5">
        <w:rPr>
          <w:rFonts w:cs="Times New Roman"/>
          <w:color w:val="4A442A" w:themeColor="background2" w:themeShade="40"/>
          <w:sz w:val="20"/>
          <w:szCs w:val="20"/>
        </w:rPr>
        <w:t xml:space="preserve">updated questions </w:t>
      </w:r>
      <w:r w:rsidR="00644079" w:rsidRPr="00DE12F5">
        <w:rPr>
          <w:rFonts w:cs="Times New Roman"/>
          <w:color w:val="4A442A" w:themeColor="background2" w:themeShade="40"/>
          <w:sz w:val="20"/>
          <w:szCs w:val="20"/>
        </w:rPr>
        <w:t>on intimate partner violence, marriage</w:t>
      </w:r>
      <w:r w:rsidR="00DD6E87" w:rsidRPr="00DE12F5">
        <w:rPr>
          <w:rFonts w:cs="Times New Roman"/>
          <w:color w:val="4A442A" w:themeColor="background2" w:themeShade="40"/>
          <w:sz w:val="20"/>
          <w:szCs w:val="20"/>
        </w:rPr>
        <w:t xml:space="preserve"> and cohabitation</w:t>
      </w:r>
      <w:r w:rsidR="00644079" w:rsidRPr="00DE12F5">
        <w:rPr>
          <w:rFonts w:cs="Times New Roman"/>
          <w:color w:val="4A442A" w:themeColor="background2" w:themeShade="40"/>
          <w:sz w:val="20"/>
          <w:szCs w:val="20"/>
        </w:rPr>
        <w:t xml:space="preserve">, and other areas related to gender and violence </w:t>
      </w:r>
      <w:r w:rsidR="00DD6E87" w:rsidRPr="00DE12F5">
        <w:rPr>
          <w:rFonts w:cs="Times New Roman"/>
          <w:color w:val="4A442A" w:themeColor="background2" w:themeShade="40"/>
          <w:sz w:val="20"/>
          <w:szCs w:val="20"/>
        </w:rPr>
        <w:t xml:space="preserve">that increase </w:t>
      </w:r>
      <w:r w:rsidR="00644079" w:rsidRPr="00DE12F5">
        <w:rPr>
          <w:rFonts w:cs="Times New Roman"/>
          <w:color w:val="4A442A" w:themeColor="background2" w:themeShade="40"/>
          <w:sz w:val="20"/>
          <w:szCs w:val="20"/>
        </w:rPr>
        <w:t>alignment with surveys from the VAWG sector</w:t>
      </w:r>
      <w:r w:rsidR="00DD6E87" w:rsidRPr="00DE12F5">
        <w:rPr>
          <w:rFonts w:cs="Times New Roman"/>
          <w:color w:val="4A442A" w:themeColor="background2" w:themeShade="40"/>
          <w:sz w:val="20"/>
          <w:szCs w:val="20"/>
        </w:rPr>
        <w:t>,</w:t>
      </w:r>
      <w:r w:rsidR="00644079" w:rsidRPr="00DE12F5">
        <w:rPr>
          <w:rFonts w:cs="Times New Roman"/>
          <w:color w:val="4A442A" w:themeColor="background2" w:themeShade="40"/>
          <w:sz w:val="20"/>
          <w:szCs w:val="20"/>
        </w:rPr>
        <w:t xml:space="preserve"> and will enhance comparability of data.</w:t>
      </w:r>
    </w:p>
    <w:p w14:paraId="71790AB7" w14:textId="7BC6C033" w:rsidR="00931F3D" w:rsidRPr="00DE12F5" w:rsidRDefault="00BA7996" w:rsidP="007C7E59">
      <w:pPr>
        <w:spacing w:line="240" w:lineRule="auto"/>
        <w:rPr>
          <w:rFonts w:cs="Times New Roman"/>
          <w:color w:val="4A442A" w:themeColor="background2" w:themeShade="40"/>
          <w:sz w:val="20"/>
          <w:szCs w:val="20"/>
        </w:rPr>
      </w:pPr>
      <w:r w:rsidRPr="00DE12F5">
        <w:rPr>
          <w:rFonts w:cs="Times New Roman"/>
          <w:color w:val="4A442A" w:themeColor="background2" w:themeShade="40"/>
          <w:sz w:val="20"/>
          <w:szCs w:val="20"/>
        </w:rPr>
        <w:t xml:space="preserve">The data on boys is included in all reports, and used by national partners to plan the transition from data to action, resulting in national action plans that are comprehensive, cross-sectoral, and </w:t>
      </w:r>
      <w:r w:rsidR="00C54FDE" w:rsidRPr="00DE12F5">
        <w:rPr>
          <w:rFonts w:cs="Times New Roman"/>
          <w:color w:val="4A442A" w:themeColor="background2" w:themeShade="40"/>
          <w:sz w:val="20"/>
          <w:szCs w:val="20"/>
        </w:rPr>
        <w:t>long-term. As the first comprehensive data available on violence, the VACS can be used as a baseline to track p</w:t>
      </w:r>
      <w:r w:rsidR="00497159" w:rsidRPr="00DE12F5">
        <w:rPr>
          <w:rFonts w:cs="Times New Roman"/>
          <w:color w:val="4A442A" w:themeColor="background2" w:themeShade="40"/>
          <w:sz w:val="20"/>
          <w:szCs w:val="20"/>
        </w:rPr>
        <w:t>rogress</w:t>
      </w:r>
      <w:r w:rsidR="0030441B" w:rsidRPr="00DE12F5">
        <w:rPr>
          <w:rFonts w:cs="Times New Roman"/>
          <w:color w:val="4A442A" w:themeColor="background2" w:themeShade="40"/>
          <w:sz w:val="20"/>
          <w:szCs w:val="20"/>
        </w:rPr>
        <w:t>.</w:t>
      </w:r>
      <w:r w:rsidR="00C54FDE" w:rsidRPr="00DE12F5">
        <w:rPr>
          <w:rFonts w:cs="Times New Roman"/>
          <w:color w:val="4A442A" w:themeColor="background2" w:themeShade="40"/>
          <w:sz w:val="20"/>
          <w:szCs w:val="20"/>
        </w:rPr>
        <w:t xml:space="preserve"> Results</w:t>
      </w:r>
      <w:r w:rsidR="00260F88" w:rsidRPr="00DE12F5">
        <w:rPr>
          <w:rFonts w:cs="Times New Roman"/>
          <w:color w:val="4A442A" w:themeColor="background2" w:themeShade="40"/>
          <w:sz w:val="20"/>
          <w:szCs w:val="20"/>
        </w:rPr>
        <w:t xml:space="preserve"> </w:t>
      </w:r>
      <w:r w:rsidR="00C54FDE" w:rsidRPr="00DE12F5">
        <w:rPr>
          <w:rFonts w:cs="Times New Roman"/>
          <w:color w:val="4A442A" w:themeColor="background2" w:themeShade="40"/>
          <w:sz w:val="20"/>
          <w:szCs w:val="20"/>
        </w:rPr>
        <w:t xml:space="preserve">provide detailed information </w:t>
      </w:r>
      <w:r w:rsidR="00260F88" w:rsidRPr="00DE12F5">
        <w:rPr>
          <w:rFonts w:cs="Times New Roman"/>
          <w:color w:val="4A442A" w:themeColor="background2" w:themeShade="40"/>
          <w:sz w:val="20"/>
          <w:szCs w:val="20"/>
        </w:rPr>
        <w:t xml:space="preserve">on </w:t>
      </w:r>
      <w:r w:rsidR="00C54FDE" w:rsidRPr="00DE12F5">
        <w:rPr>
          <w:rFonts w:cs="Times New Roman"/>
          <w:color w:val="4A442A" w:themeColor="background2" w:themeShade="40"/>
          <w:sz w:val="20"/>
          <w:szCs w:val="20"/>
        </w:rPr>
        <w:t>how violence evolves across, and intersects</w:t>
      </w:r>
      <w:r w:rsidR="00260F88" w:rsidRPr="00DE12F5">
        <w:rPr>
          <w:rFonts w:cs="Times New Roman"/>
          <w:color w:val="4A442A" w:themeColor="background2" w:themeShade="40"/>
          <w:sz w:val="20"/>
          <w:szCs w:val="20"/>
        </w:rPr>
        <w:t xml:space="preserve"> with</w:t>
      </w:r>
      <w:r w:rsidR="00C54FDE" w:rsidRPr="00DE12F5">
        <w:rPr>
          <w:rFonts w:cs="Times New Roman"/>
          <w:color w:val="4A442A" w:themeColor="background2" w:themeShade="40"/>
          <w:sz w:val="20"/>
          <w:szCs w:val="20"/>
        </w:rPr>
        <w:t xml:space="preserve">, the lives of girls and boys, and in doing so provides a guide to how to engage males in the important work of ending violence and </w:t>
      </w:r>
      <w:r w:rsidR="00DD6E87" w:rsidRPr="00DE12F5">
        <w:rPr>
          <w:rFonts w:cs="Times New Roman"/>
          <w:color w:val="4A442A" w:themeColor="background2" w:themeShade="40"/>
          <w:sz w:val="20"/>
          <w:szCs w:val="20"/>
        </w:rPr>
        <w:t xml:space="preserve">building </w:t>
      </w:r>
      <w:r w:rsidR="00C54FDE" w:rsidRPr="00DE12F5">
        <w:rPr>
          <w:rFonts w:cs="Times New Roman"/>
          <w:color w:val="4A442A" w:themeColor="background2" w:themeShade="40"/>
          <w:sz w:val="20"/>
          <w:szCs w:val="20"/>
        </w:rPr>
        <w:t>gender</w:t>
      </w:r>
      <w:r w:rsidR="00DD6E87" w:rsidRPr="00DE12F5">
        <w:rPr>
          <w:rFonts w:cs="Times New Roman"/>
          <w:color w:val="4A442A" w:themeColor="background2" w:themeShade="40"/>
          <w:sz w:val="20"/>
          <w:szCs w:val="20"/>
        </w:rPr>
        <w:t xml:space="preserve"> </w:t>
      </w:r>
      <w:r w:rsidR="00C54FDE" w:rsidRPr="00DE12F5">
        <w:rPr>
          <w:rFonts w:cs="Times New Roman"/>
          <w:color w:val="4A442A" w:themeColor="background2" w:themeShade="40"/>
          <w:sz w:val="20"/>
          <w:szCs w:val="20"/>
        </w:rPr>
        <w:t xml:space="preserve">equality. Under this model, the data </w:t>
      </w:r>
      <w:r w:rsidR="00C52BF9" w:rsidRPr="00DE12F5">
        <w:rPr>
          <w:rFonts w:cs="Times New Roman"/>
          <w:color w:val="4A442A" w:themeColor="background2" w:themeShade="40"/>
          <w:sz w:val="20"/>
          <w:szCs w:val="20"/>
        </w:rPr>
        <w:t xml:space="preserve">and evidence-based response </w:t>
      </w:r>
      <w:r w:rsidR="00C54FDE" w:rsidRPr="00DE12F5">
        <w:rPr>
          <w:rFonts w:cs="Times New Roman"/>
          <w:color w:val="4A442A" w:themeColor="background2" w:themeShade="40"/>
          <w:sz w:val="20"/>
          <w:szCs w:val="20"/>
        </w:rPr>
        <w:t xml:space="preserve">guides </w:t>
      </w:r>
      <w:r w:rsidR="00DB7A86" w:rsidRPr="00DE12F5">
        <w:rPr>
          <w:rFonts w:cs="Times New Roman"/>
          <w:color w:val="4A442A" w:themeColor="background2" w:themeShade="40"/>
          <w:sz w:val="20"/>
          <w:szCs w:val="20"/>
        </w:rPr>
        <w:t>countries, regions and global advocates and organizers</w:t>
      </w:r>
      <w:r w:rsidR="00C54FDE" w:rsidRPr="00DE12F5">
        <w:rPr>
          <w:rFonts w:cs="Times New Roman"/>
          <w:color w:val="4A442A" w:themeColor="background2" w:themeShade="40"/>
          <w:sz w:val="20"/>
          <w:szCs w:val="20"/>
        </w:rPr>
        <w:t xml:space="preserve"> to engage m</w:t>
      </w:r>
      <w:r w:rsidR="00DB7A86" w:rsidRPr="00DE12F5">
        <w:rPr>
          <w:rFonts w:cs="Times New Roman"/>
          <w:color w:val="4A442A" w:themeColor="background2" w:themeShade="40"/>
          <w:sz w:val="20"/>
          <w:szCs w:val="20"/>
        </w:rPr>
        <w:t>ales</w:t>
      </w:r>
      <w:r w:rsidR="00C54FDE" w:rsidRPr="00DE12F5">
        <w:rPr>
          <w:rFonts w:cs="Times New Roman"/>
          <w:color w:val="4A442A" w:themeColor="background2" w:themeShade="40"/>
          <w:sz w:val="20"/>
          <w:szCs w:val="20"/>
        </w:rPr>
        <w:t xml:space="preserve"> on a nu</w:t>
      </w:r>
      <w:bookmarkStart w:id="0" w:name="_GoBack"/>
      <w:bookmarkEnd w:id="0"/>
      <w:r w:rsidR="00C54FDE" w:rsidRPr="00DE12F5">
        <w:rPr>
          <w:rFonts w:cs="Times New Roman"/>
          <w:color w:val="4A442A" w:themeColor="background2" w:themeShade="40"/>
          <w:sz w:val="20"/>
          <w:szCs w:val="20"/>
        </w:rPr>
        <w:t>mber of levels:</w:t>
      </w:r>
      <w:r w:rsidR="0031605E" w:rsidRPr="00DE12F5">
        <w:rPr>
          <w:rFonts w:cs="Times New Roman"/>
          <w:color w:val="4A442A" w:themeColor="background2" w:themeShade="40"/>
          <w:sz w:val="20"/>
          <w:szCs w:val="20"/>
        </w:rPr>
        <w:t xml:space="preserve"> as vulnerable parties themselves, needing tailored prevention and response efforts; as allies and champions in ending VAWG; and as vital to engage to </w:t>
      </w:r>
      <w:r w:rsidR="0031605E" w:rsidRPr="00DE12F5">
        <w:rPr>
          <w:rFonts w:cs="Times New Roman"/>
          <w:color w:val="4A442A" w:themeColor="background2" w:themeShade="40"/>
          <w:sz w:val="20"/>
          <w:szCs w:val="20"/>
        </w:rPr>
        <w:lastRenderedPageBreak/>
        <w:t>prevent IPV and VAWG perpetration and end cycles of violence both within and across generations.</w:t>
      </w:r>
      <w:r w:rsidR="00D33226" w:rsidRPr="00DE12F5">
        <w:rPr>
          <w:rStyle w:val="FootnoteReference"/>
          <w:rFonts w:cs="Times New Roman"/>
          <w:color w:val="4A442A" w:themeColor="background2" w:themeShade="40"/>
          <w:sz w:val="20"/>
          <w:szCs w:val="20"/>
        </w:rPr>
        <w:footnoteReference w:id="3"/>
      </w:r>
      <w:r w:rsidR="0031605E" w:rsidRPr="00DE12F5">
        <w:rPr>
          <w:rFonts w:cs="Times New Roman"/>
          <w:color w:val="4A442A" w:themeColor="background2" w:themeShade="40"/>
          <w:sz w:val="20"/>
          <w:szCs w:val="20"/>
        </w:rPr>
        <w:t xml:space="preserve"> </w:t>
      </w:r>
      <w:r w:rsidR="00644079" w:rsidRPr="00DE12F5">
        <w:rPr>
          <w:rFonts w:cs="Times New Roman"/>
          <w:color w:val="4A442A" w:themeColor="background2" w:themeShade="40"/>
          <w:sz w:val="20"/>
          <w:szCs w:val="20"/>
        </w:rPr>
        <w:t>At a global level, Together for Girls promotes understanding of how violence impacts girls and boys, particularly in adolescence, through events, graphics, blogs</w:t>
      </w:r>
      <w:r w:rsidR="000938FE" w:rsidRPr="00DE12F5">
        <w:rPr>
          <w:rFonts w:cs="Times New Roman"/>
          <w:color w:val="4A442A" w:themeColor="background2" w:themeShade="40"/>
          <w:sz w:val="20"/>
          <w:szCs w:val="20"/>
        </w:rPr>
        <w:t xml:space="preserve">, the TfG </w:t>
      </w:r>
      <w:hyperlink r:id="rId9" w:history="1">
        <w:r w:rsidR="000938FE" w:rsidRPr="00DE12F5">
          <w:rPr>
            <w:rStyle w:val="Hyperlink"/>
            <w:rFonts w:cs="Times New Roman"/>
            <w:color w:val="4A442A" w:themeColor="background2" w:themeShade="40"/>
            <w:sz w:val="20"/>
            <w:szCs w:val="20"/>
          </w:rPr>
          <w:t>website</w:t>
        </w:r>
      </w:hyperlink>
      <w:r w:rsidR="000938FE" w:rsidRPr="00DE12F5">
        <w:rPr>
          <w:rFonts w:cs="Times New Roman"/>
          <w:color w:val="4A442A" w:themeColor="background2" w:themeShade="40"/>
          <w:sz w:val="20"/>
          <w:szCs w:val="20"/>
        </w:rPr>
        <w:t>,</w:t>
      </w:r>
      <w:r w:rsidR="00644079" w:rsidRPr="00DE12F5">
        <w:rPr>
          <w:rFonts w:cs="Times New Roman"/>
          <w:color w:val="4A442A" w:themeColor="background2" w:themeShade="40"/>
          <w:sz w:val="20"/>
          <w:szCs w:val="20"/>
        </w:rPr>
        <w:t xml:space="preserve"> and other communications and advocacy platforms that use data and stories to raise awareness about the issue</w:t>
      </w:r>
      <w:r w:rsidR="000938FE" w:rsidRPr="00DE12F5">
        <w:rPr>
          <w:rFonts w:cs="Times New Roman"/>
          <w:color w:val="4A442A" w:themeColor="background2" w:themeShade="40"/>
          <w:sz w:val="20"/>
          <w:szCs w:val="20"/>
        </w:rPr>
        <w:t xml:space="preserve"> and showcase </w:t>
      </w:r>
      <w:r w:rsidR="000938FE" w:rsidRPr="00DE12F5">
        <w:rPr>
          <w:color w:val="4A442A" w:themeColor="background2" w:themeShade="40"/>
        </w:rPr>
        <w:t>stories of male survivors, champions and advocates</w:t>
      </w:r>
      <w:r w:rsidR="00644079" w:rsidRPr="00DE12F5">
        <w:rPr>
          <w:rFonts w:cs="Times New Roman"/>
          <w:color w:val="4A442A" w:themeColor="background2" w:themeShade="40"/>
          <w:sz w:val="20"/>
          <w:szCs w:val="20"/>
        </w:rPr>
        <w:t>; and works with partners to undertake additional analyses of publicly available VACS datasets to better understand how violence progresses across adolescence and young adulthood for females and males.</w:t>
      </w:r>
      <w:r w:rsidR="000938FE" w:rsidRPr="00DE12F5">
        <w:rPr>
          <w:rFonts w:cs="Times New Roman"/>
          <w:color w:val="4A442A" w:themeColor="background2" w:themeShade="40"/>
          <w:sz w:val="20"/>
          <w:szCs w:val="20"/>
        </w:rPr>
        <w:t xml:space="preserve"> Our advocacy promotes work with men and boys while highlighting the importance of data, and the importance of a nuanced discussion on violence that continues to </w:t>
      </w:r>
      <w:r w:rsidR="00BF4E2D" w:rsidRPr="00DE12F5">
        <w:rPr>
          <w:rFonts w:cs="Times New Roman"/>
          <w:color w:val="4A442A" w:themeColor="background2" w:themeShade="40"/>
          <w:sz w:val="20"/>
          <w:szCs w:val="20"/>
        </w:rPr>
        <w:t>center gendered vulnerability.</w:t>
      </w:r>
    </w:p>
    <w:p w14:paraId="40B9ABF0" w14:textId="4AE5215C" w:rsidR="0099450E" w:rsidRPr="00DE12F5" w:rsidRDefault="0031605E" w:rsidP="007C7E59">
      <w:pPr>
        <w:spacing w:line="240" w:lineRule="auto"/>
        <w:rPr>
          <w:rFonts w:cs="Times New Roman"/>
          <w:color w:val="4A442A" w:themeColor="background2" w:themeShade="40"/>
          <w:sz w:val="20"/>
          <w:szCs w:val="20"/>
        </w:rPr>
      </w:pPr>
      <w:r w:rsidRPr="00DE12F5">
        <w:rPr>
          <w:rFonts w:cs="Times New Roman"/>
          <w:b/>
          <w:color w:val="4A442A" w:themeColor="background2" w:themeShade="40"/>
          <w:sz w:val="20"/>
          <w:szCs w:val="20"/>
        </w:rPr>
        <w:t xml:space="preserve">Coordinated action: </w:t>
      </w:r>
      <w:r w:rsidR="0099450E" w:rsidRPr="00DE12F5">
        <w:rPr>
          <w:rFonts w:cs="Times New Roman"/>
          <w:color w:val="4A442A" w:themeColor="background2" w:themeShade="40"/>
          <w:sz w:val="20"/>
          <w:szCs w:val="20"/>
        </w:rPr>
        <w:t>T</w:t>
      </w:r>
      <w:r w:rsidR="001F08E0" w:rsidRPr="00DE12F5">
        <w:rPr>
          <w:rFonts w:cs="Times New Roman"/>
          <w:color w:val="4A442A" w:themeColor="background2" w:themeShade="40"/>
          <w:sz w:val="20"/>
          <w:szCs w:val="20"/>
        </w:rPr>
        <w:t>he T</w:t>
      </w:r>
      <w:r w:rsidR="0099450E" w:rsidRPr="00DE12F5">
        <w:rPr>
          <w:rFonts w:cs="Times New Roman"/>
          <w:color w:val="4A442A" w:themeColor="background2" w:themeShade="40"/>
          <w:sz w:val="20"/>
          <w:szCs w:val="20"/>
        </w:rPr>
        <w:t>ogether for Girls</w:t>
      </w:r>
      <w:r w:rsidR="001F08E0" w:rsidRPr="00DE12F5">
        <w:rPr>
          <w:rFonts w:cs="Times New Roman"/>
          <w:color w:val="4A442A" w:themeColor="background2" w:themeShade="40"/>
          <w:sz w:val="20"/>
          <w:szCs w:val="20"/>
        </w:rPr>
        <w:t xml:space="preserve"> partnership</w:t>
      </w:r>
      <w:r w:rsidR="0099450E" w:rsidRPr="00DE12F5">
        <w:rPr>
          <w:rFonts w:cs="Times New Roman"/>
          <w:color w:val="4A442A" w:themeColor="background2" w:themeShade="40"/>
          <w:sz w:val="20"/>
          <w:szCs w:val="20"/>
        </w:rPr>
        <w:t xml:space="preserve"> promotes a holistic model that engages sectors across social welfare, legal/justice/policing, health, education, gender and others to intervene across the individual, family, community and political/social contexts for social norms change. </w:t>
      </w:r>
      <w:r w:rsidR="0099450E" w:rsidRPr="00DE12F5">
        <w:rPr>
          <w:color w:val="4A442A" w:themeColor="background2" w:themeShade="40"/>
          <w:sz w:val="20"/>
          <w:szCs w:val="20"/>
        </w:rPr>
        <w:t>With strong data to guide the way, under the leadership of national governments, with overall coordination and technical support led by UNICEF</w:t>
      </w:r>
      <w:r w:rsidR="00111EE1" w:rsidRPr="00DE12F5">
        <w:rPr>
          <w:color w:val="4A442A" w:themeColor="background2" w:themeShade="40"/>
          <w:sz w:val="20"/>
          <w:szCs w:val="20"/>
        </w:rPr>
        <w:t>,</w:t>
      </w:r>
      <w:r w:rsidR="00111EE1" w:rsidRPr="00DE12F5">
        <w:rPr>
          <w:rStyle w:val="FootnoteReference"/>
          <w:color w:val="4A442A" w:themeColor="background2" w:themeShade="40"/>
          <w:sz w:val="20"/>
          <w:szCs w:val="20"/>
        </w:rPr>
        <w:footnoteReference w:id="4"/>
      </w:r>
      <w:r w:rsidR="0099450E" w:rsidRPr="00DE12F5">
        <w:rPr>
          <w:color w:val="4A442A" w:themeColor="background2" w:themeShade="40"/>
          <w:sz w:val="20"/>
          <w:szCs w:val="20"/>
        </w:rPr>
        <w:t xml:space="preserve"> and significant financial investments from PEFPAR, USAID and the Government of Canada, we work to develop, strengthen and expand comprehensive, evidence-based national actions. We focus on both violence prevention and response. </w:t>
      </w:r>
      <w:r w:rsidR="0099450E" w:rsidRPr="00DE12F5">
        <w:rPr>
          <w:rFonts w:cs="Times New Roman"/>
          <w:color w:val="4A442A" w:themeColor="background2" w:themeShade="40"/>
          <w:sz w:val="20"/>
          <w:szCs w:val="20"/>
        </w:rPr>
        <w:t>The success of the model is illustrated by Tanzania, which conducted the VACS in 2009.</w:t>
      </w:r>
      <w:r w:rsidR="0099450E" w:rsidRPr="00DE12F5">
        <w:rPr>
          <w:rFonts w:cs="Times New Roman"/>
          <w:b/>
          <w:color w:val="4A442A" w:themeColor="background2" w:themeShade="40"/>
          <w:sz w:val="20"/>
          <w:szCs w:val="20"/>
        </w:rPr>
        <w:t xml:space="preserve"> </w:t>
      </w:r>
      <w:r w:rsidR="0099450E" w:rsidRPr="00DE12F5">
        <w:rPr>
          <w:rFonts w:cs="Times New Roman"/>
          <w:color w:val="4A442A" w:themeColor="background2" w:themeShade="40"/>
          <w:sz w:val="20"/>
          <w:szCs w:val="20"/>
        </w:rPr>
        <w:t xml:space="preserve">Following the launch of its VACS report in 2011, the government implemented a 1-year, costed multi-sectoral plan that bridged to a 3-year </w:t>
      </w:r>
      <w:hyperlink r:id="rId10" w:history="1">
        <w:r w:rsidR="0099450E" w:rsidRPr="00DE12F5">
          <w:rPr>
            <w:rStyle w:val="Hyperlink"/>
            <w:rFonts w:cs="Times New Roman"/>
            <w:color w:val="4A442A" w:themeColor="background2" w:themeShade="40"/>
            <w:sz w:val="20"/>
            <w:szCs w:val="20"/>
          </w:rPr>
          <w:t>National Plan of Action to Prevent and Respond to VAC</w:t>
        </w:r>
      </w:hyperlink>
      <w:r w:rsidR="0099450E" w:rsidRPr="00DE12F5">
        <w:rPr>
          <w:rFonts w:cs="Times New Roman"/>
          <w:color w:val="4A442A" w:themeColor="background2" w:themeShade="40"/>
          <w:sz w:val="20"/>
          <w:szCs w:val="20"/>
        </w:rPr>
        <w:t xml:space="preserve">. The plan focussed on scale-up of district level child protection systems and investments in capacity development, and included accountability mechanisms for tracking progress and expenditures against the plan. Achievements include expansion of child protection teams to 47 local government authority areas; reaching 700,000 </w:t>
      </w:r>
      <w:r w:rsidR="00AA4B6F" w:rsidRPr="00DE12F5">
        <w:rPr>
          <w:rFonts w:cs="Times New Roman"/>
          <w:color w:val="4A442A" w:themeColor="background2" w:themeShade="40"/>
          <w:sz w:val="20"/>
          <w:szCs w:val="20"/>
        </w:rPr>
        <w:t>boys and girls</w:t>
      </w:r>
      <w:r w:rsidR="0099450E" w:rsidRPr="00DE12F5">
        <w:rPr>
          <w:rFonts w:cs="Times New Roman"/>
          <w:color w:val="4A442A" w:themeColor="background2" w:themeShade="40"/>
          <w:sz w:val="20"/>
          <w:szCs w:val="20"/>
        </w:rPr>
        <w:t xml:space="preserve">; </w:t>
      </w:r>
      <w:r w:rsidR="0099450E" w:rsidRPr="00DE12F5">
        <w:rPr>
          <w:rFonts w:cs="Times New Roman"/>
          <w:bCs/>
          <w:color w:val="4A442A" w:themeColor="background2" w:themeShade="40"/>
          <w:sz w:val="20"/>
          <w:szCs w:val="20"/>
          <w:lang w:val="en-US"/>
        </w:rPr>
        <w:t xml:space="preserve">1,151 workers trained </w:t>
      </w:r>
      <w:r w:rsidR="0099450E" w:rsidRPr="00DE12F5">
        <w:rPr>
          <w:rFonts w:cs="Times New Roman"/>
          <w:color w:val="4A442A" w:themeColor="background2" w:themeShade="40"/>
          <w:sz w:val="20"/>
          <w:szCs w:val="20"/>
          <w:lang w:val="en-US"/>
        </w:rPr>
        <w:t xml:space="preserve">in </w:t>
      </w:r>
      <w:r w:rsidR="0099450E" w:rsidRPr="00DE12F5">
        <w:rPr>
          <w:rFonts w:cs="Times New Roman"/>
          <w:bCs/>
          <w:color w:val="4A442A" w:themeColor="background2" w:themeShade="40"/>
          <w:sz w:val="20"/>
          <w:szCs w:val="20"/>
          <w:lang w:val="en-US"/>
        </w:rPr>
        <w:t>498 health facilities</w:t>
      </w:r>
      <w:r w:rsidR="0099450E" w:rsidRPr="00DE12F5">
        <w:rPr>
          <w:rFonts w:cs="Times New Roman"/>
          <w:color w:val="4A442A" w:themeColor="background2" w:themeShade="40"/>
          <w:sz w:val="20"/>
          <w:szCs w:val="20"/>
          <w:lang w:val="en-US"/>
        </w:rPr>
        <w:t>; training of police, social welfare, magistrates; and</w:t>
      </w:r>
      <w:r w:rsidR="0099450E" w:rsidRPr="00DE12F5">
        <w:rPr>
          <w:rFonts w:cs="Times New Roman"/>
          <w:color w:val="4A442A" w:themeColor="background2" w:themeShade="40"/>
          <w:sz w:val="20"/>
          <w:szCs w:val="20"/>
        </w:rPr>
        <w:t xml:space="preserve"> national hotlines and campaigns. In 2016 Tanzania completed and evaluated the plan, linking to the launch of a new combined </w:t>
      </w:r>
      <w:hyperlink r:id="rId11" w:history="1">
        <w:r w:rsidR="0099450E" w:rsidRPr="00DE12F5">
          <w:rPr>
            <w:rStyle w:val="Hyperlink"/>
            <w:rFonts w:cs="Times New Roman"/>
            <w:color w:val="4A442A" w:themeColor="background2" w:themeShade="40"/>
            <w:sz w:val="20"/>
            <w:szCs w:val="20"/>
          </w:rPr>
          <w:t>National Plan of Action to Prevent and Respond to Violence Against Women and Children in Tanzania</w:t>
        </w:r>
      </w:hyperlink>
      <w:r w:rsidR="0099450E" w:rsidRPr="00DE12F5">
        <w:rPr>
          <w:rFonts w:cs="Times New Roman"/>
          <w:color w:val="4A442A" w:themeColor="background2" w:themeShade="40"/>
          <w:sz w:val="20"/>
          <w:szCs w:val="20"/>
        </w:rPr>
        <w:t xml:space="preserve">, expansion to new regions in 2017 and 2018 and commitment to further reduce violence through work as a Global Partnership to End Violence Pathfinder </w:t>
      </w:r>
      <w:r w:rsidR="00DE12F5" w:rsidRPr="00DE12F5">
        <w:rPr>
          <w:rFonts w:cs="Times New Roman"/>
          <w:color w:val="4A442A" w:themeColor="background2" w:themeShade="40"/>
          <w:sz w:val="20"/>
          <w:szCs w:val="20"/>
        </w:rPr>
        <w:t>c</w:t>
      </w:r>
      <w:r w:rsidR="0099450E" w:rsidRPr="00DE12F5">
        <w:rPr>
          <w:rFonts w:cs="Times New Roman"/>
          <w:color w:val="4A442A" w:themeColor="background2" w:themeShade="40"/>
          <w:sz w:val="20"/>
          <w:szCs w:val="20"/>
        </w:rPr>
        <w:t>ountry.</w:t>
      </w:r>
    </w:p>
    <w:p w14:paraId="452E12C7" w14:textId="360B2D2E" w:rsidR="0031605E" w:rsidRPr="00DE12F5" w:rsidRDefault="0099450E" w:rsidP="007C7E59">
      <w:pPr>
        <w:spacing w:line="240" w:lineRule="auto"/>
        <w:rPr>
          <w:rFonts w:cs="Times New Roman"/>
          <w:color w:val="4A442A" w:themeColor="background2" w:themeShade="40"/>
          <w:sz w:val="20"/>
          <w:szCs w:val="20"/>
        </w:rPr>
      </w:pPr>
      <w:r w:rsidRPr="00DE12F5">
        <w:rPr>
          <w:rFonts w:cs="Times New Roman"/>
          <w:b/>
          <w:color w:val="4A442A" w:themeColor="background2" w:themeShade="40"/>
          <w:sz w:val="20"/>
          <w:szCs w:val="20"/>
        </w:rPr>
        <w:t xml:space="preserve">Promoting evidence-based action: </w:t>
      </w:r>
      <w:r w:rsidR="00356ACB" w:rsidRPr="00DE12F5">
        <w:rPr>
          <w:rFonts w:cs="Times New Roman"/>
          <w:color w:val="4A442A" w:themeColor="background2" w:themeShade="40"/>
          <w:sz w:val="20"/>
          <w:szCs w:val="20"/>
        </w:rPr>
        <w:t>I</w:t>
      </w:r>
      <w:r w:rsidR="00D97229" w:rsidRPr="00DE12F5">
        <w:rPr>
          <w:rFonts w:cs="Times New Roman"/>
          <w:color w:val="4A442A" w:themeColor="background2" w:themeShade="40"/>
          <w:sz w:val="20"/>
          <w:szCs w:val="20"/>
        </w:rPr>
        <w:t>ncreasing evidence demonstrates the impact of girls’ empowerment on violence</w:t>
      </w:r>
      <w:r w:rsidR="00AA4B6F" w:rsidRPr="00DE12F5">
        <w:rPr>
          <w:rFonts w:cs="Times New Roman"/>
          <w:color w:val="4A442A" w:themeColor="background2" w:themeShade="40"/>
          <w:sz w:val="20"/>
          <w:szCs w:val="20"/>
        </w:rPr>
        <w:t>--b</w:t>
      </w:r>
      <w:r w:rsidR="00D97229" w:rsidRPr="00DE12F5">
        <w:rPr>
          <w:rFonts w:cs="Times New Roman"/>
          <w:color w:val="4A442A" w:themeColor="background2" w:themeShade="40"/>
          <w:sz w:val="20"/>
          <w:szCs w:val="20"/>
        </w:rPr>
        <w:t xml:space="preserve">ut without male engagement and interventions that </w:t>
      </w:r>
      <w:r w:rsidR="0031605E" w:rsidRPr="00DE12F5">
        <w:rPr>
          <w:rFonts w:cs="Times New Roman"/>
          <w:color w:val="4A442A" w:themeColor="background2" w:themeShade="40"/>
          <w:sz w:val="20"/>
          <w:szCs w:val="20"/>
        </w:rPr>
        <w:t>promote positive</w:t>
      </w:r>
      <w:r w:rsidR="00D97229" w:rsidRPr="00DE12F5">
        <w:rPr>
          <w:rFonts w:cs="Times New Roman"/>
          <w:color w:val="4A442A" w:themeColor="background2" w:themeShade="40"/>
          <w:sz w:val="20"/>
          <w:szCs w:val="20"/>
        </w:rPr>
        <w:t xml:space="preserve"> masculinit</w:t>
      </w:r>
      <w:r w:rsidR="0031605E" w:rsidRPr="00DE12F5">
        <w:rPr>
          <w:rFonts w:cs="Times New Roman"/>
          <w:color w:val="4A442A" w:themeColor="background2" w:themeShade="40"/>
          <w:sz w:val="20"/>
          <w:szCs w:val="20"/>
        </w:rPr>
        <w:t>ies and change harmful gender and violence norms</w:t>
      </w:r>
      <w:r w:rsidR="00D97229" w:rsidRPr="00DE12F5">
        <w:rPr>
          <w:rFonts w:cs="Times New Roman"/>
          <w:color w:val="4A442A" w:themeColor="background2" w:themeShade="40"/>
          <w:sz w:val="20"/>
          <w:szCs w:val="20"/>
        </w:rPr>
        <w:t xml:space="preserve">, </w:t>
      </w:r>
      <w:r w:rsidR="0031605E" w:rsidRPr="00DE12F5">
        <w:rPr>
          <w:rFonts w:cs="Times New Roman"/>
          <w:color w:val="4A442A" w:themeColor="background2" w:themeShade="40"/>
          <w:sz w:val="20"/>
          <w:szCs w:val="20"/>
        </w:rPr>
        <w:t>prevention of VAWG will not be possible</w:t>
      </w:r>
      <w:r w:rsidR="00D97229" w:rsidRPr="00DE12F5">
        <w:rPr>
          <w:rFonts w:cs="Times New Roman"/>
          <w:color w:val="4A442A" w:themeColor="background2" w:themeShade="40"/>
          <w:sz w:val="20"/>
          <w:szCs w:val="20"/>
        </w:rPr>
        <w:t xml:space="preserve">. </w:t>
      </w:r>
      <w:r w:rsidR="0031605E" w:rsidRPr="00DE12F5">
        <w:rPr>
          <w:rFonts w:cs="Times New Roman"/>
          <w:color w:val="4A442A" w:themeColor="background2" w:themeShade="40"/>
          <w:sz w:val="20"/>
          <w:szCs w:val="20"/>
        </w:rPr>
        <w:t xml:space="preserve">Examples include: </w:t>
      </w:r>
    </w:p>
    <w:p w14:paraId="60552342" w14:textId="22279440" w:rsidR="006E2D6C" w:rsidRPr="00DE12F5" w:rsidRDefault="00D97229" w:rsidP="007C7E59">
      <w:pPr>
        <w:pStyle w:val="ListParagraph"/>
        <w:numPr>
          <w:ilvl w:val="0"/>
          <w:numId w:val="7"/>
        </w:numPr>
        <w:spacing w:line="240" w:lineRule="auto"/>
        <w:rPr>
          <w:rFonts w:cs="Times New Roman"/>
          <w:color w:val="4A442A" w:themeColor="background2" w:themeShade="40"/>
          <w:sz w:val="20"/>
          <w:szCs w:val="20"/>
        </w:rPr>
      </w:pPr>
      <w:r w:rsidRPr="00DE12F5">
        <w:rPr>
          <w:rFonts w:cs="Times New Roman"/>
          <w:color w:val="4A442A" w:themeColor="background2" w:themeShade="40"/>
          <w:sz w:val="20"/>
          <w:szCs w:val="20"/>
        </w:rPr>
        <w:t xml:space="preserve">Led by WHO, Together for Girls worked with partners from TfG and the Global Partnership to End VAC to develop and launch the </w:t>
      </w:r>
      <w:hyperlink r:id="rId12" w:history="1">
        <w:r w:rsidRPr="00DE12F5">
          <w:rPr>
            <w:rStyle w:val="Hyperlink"/>
            <w:rFonts w:cs="Times New Roman"/>
            <w:color w:val="4A442A" w:themeColor="background2" w:themeShade="40"/>
            <w:sz w:val="20"/>
            <w:szCs w:val="20"/>
          </w:rPr>
          <w:t>INSPIRE strategic package</w:t>
        </w:r>
      </w:hyperlink>
      <w:r w:rsidR="007B1C02" w:rsidRPr="00DE12F5">
        <w:rPr>
          <w:rFonts w:cs="Times New Roman"/>
          <w:color w:val="4A442A" w:themeColor="background2" w:themeShade="40"/>
          <w:sz w:val="20"/>
          <w:szCs w:val="20"/>
        </w:rPr>
        <w:t xml:space="preserve">. Across </w:t>
      </w:r>
      <w:r w:rsidRPr="00DE12F5">
        <w:rPr>
          <w:rFonts w:cs="Times New Roman"/>
          <w:color w:val="4A442A" w:themeColor="background2" w:themeShade="40"/>
          <w:sz w:val="20"/>
          <w:szCs w:val="20"/>
        </w:rPr>
        <w:t>seven strategic area</w:t>
      </w:r>
      <w:r w:rsidR="00356ACB" w:rsidRPr="00DE12F5">
        <w:rPr>
          <w:rFonts w:cs="Times New Roman"/>
          <w:color w:val="4A442A" w:themeColor="background2" w:themeShade="40"/>
          <w:sz w:val="20"/>
          <w:szCs w:val="20"/>
        </w:rPr>
        <w:t>s</w:t>
      </w:r>
      <w:r w:rsidRPr="00DE12F5">
        <w:rPr>
          <w:rFonts w:cs="Times New Roman"/>
          <w:color w:val="4A442A" w:themeColor="background2" w:themeShade="40"/>
          <w:sz w:val="20"/>
          <w:szCs w:val="20"/>
        </w:rPr>
        <w:t>, the package recommends evaluated programs to reduce VAC, including numerous</w:t>
      </w:r>
      <w:r w:rsidR="00260F88" w:rsidRPr="00DE12F5">
        <w:rPr>
          <w:rFonts w:cs="Times New Roman"/>
          <w:color w:val="4A442A" w:themeColor="background2" w:themeShade="40"/>
          <w:sz w:val="20"/>
          <w:szCs w:val="20"/>
        </w:rPr>
        <w:t xml:space="preserve"> interventions emphasizing male engagement to end VAWG, as well as to end violence against both boys and girls.</w:t>
      </w:r>
      <w:r w:rsidRPr="00DE12F5">
        <w:rPr>
          <w:rFonts w:cs="Times New Roman"/>
          <w:color w:val="4A442A" w:themeColor="background2" w:themeShade="40"/>
          <w:sz w:val="20"/>
          <w:szCs w:val="20"/>
        </w:rPr>
        <w:t xml:space="preserve"> </w:t>
      </w:r>
      <w:r w:rsidR="006E2D6C" w:rsidRPr="00DE12F5">
        <w:rPr>
          <w:rFonts w:cs="Times New Roman"/>
          <w:color w:val="4A442A" w:themeColor="background2" w:themeShade="40"/>
          <w:sz w:val="20"/>
          <w:szCs w:val="20"/>
        </w:rPr>
        <w:t xml:space="preserve">Together for Girls promotes the interventions in INSPIRE and other proven, promising and prudent practices </w:t>
      </w:r>
      <w:r w:rsidR="00425D98" w:rsidRPr="00DE12F5">
        <w:rPr>
          <w:rFonts w:cs="Times New Roman"/>
          <w:color w:val="4A442A" w:themeColor="background2" w:themeShade="40"/>
          <w:sz w:val="20"/>
          <w:szCs w:val="20"/>
        </w:rPr>
        <w:t>for engaging men and boys in work to reduce VAWG</w:t>
      </w:r>
      <w:r w:rsidR="00D33226" w:rsidRPr="00DE12F5">
        <w:rPr>
          <w:rFonts w:cs="Times New Roman"/>
          <w:color w:val="4A442A" w:themeColor="background2" w:themeShade="40"/>
          <w:sz w:val="20"/>
          <w:szCs w:val="20"/>
        </w:rPr>
        <w:t>, and promoting the important work of Promundo and other organizations working to build the evidence base on engaging men and boys in VAWG prevention</w:t>
      </w:r>
      <w:r w:rsidR="00425D98" w:rsidRPr="00DE12F5">
        <w:rPr>
          <w:rFonts w:cs="Times New Roman"/>
          <w:color w:val="4A442A" w:themeColor="background2" w:themeShade="40"/>
          <w:sz w:val="20"/>
          <w:szCs w:val="20"/>
        </w:rPr>
        <w:t xml:space="preserve">: </w:t>
      </w:r>
      <w:r w:rsidR="00260F88" w:rsidRPr="00DE12F5">
        <w:rPr>
          <w:rFonts w:cs="Times New Roman"/>
          <w:color w:val="4A442A" w:themeColor="background2" w:themeShade="40"/>
          <w:sz w:val="20"/>
          <w:szCs w:val="20"/>
        </w:rPr>
        <w:t>These include</w:t>
      </w:r>
      <w:r w:rsidR="006E2D6C" w:rsidRPr="00DE12F5">
        <w:rPr>
          <w:rFonts w:cs="Times New Roman"/>
          <w:color w:val="4A442A" w:themeColor="background2" w:themeShade="40"/>
          <w:sz w:val="20"/>
          <w:szCs w:val="20"/>
        </w:rPr>
        <w:t>:</w:t>
      </w:r>
    </w:p>
    <w:p w14:paraId="3D367E08" w14:textId="103A8313" w:rsidR="00425D98" w:rsidRPr="00DE12F5" w:rsidRDefault="006E2D6C" w:rsidP="007C7E59">
      <w:pPr>
        <w:pStyle w:val="ListParagraph"/>
        <w:numPr>
          <w:ilvl w:val="0"/>
          <w:numId w:val="4"/>
        </w:numPr>
        <w:spacing w:line="240" w:lineRule="auto"/>
        <w:rPr>
          <w:rFonts w:cs="Times New Roman"/>
          <w:color w:val="4A442A" w:themeColor="background2" w:themeShade="40"/>
          <w:sz w:val="20"/>
          <w:szCs w:val="20"/>
        </w:rPr>
      </w:pPr>
      <w:r w:rsidRPr="00DE12F5">
        <w:rPr>
          <w:rFonts w:cs="Times New Roman"/>
          <w:b/>
          <w:color w:val="4A442A" w:themeColor="background2" w:themeShade="40"/>
          <w:sz w:val="20"/>
          <w:szCs w:val="20"/>
        </w:rPr>
        <w:t>Improving social norms around violence and gender</w:t>
      </w:r>
      <w:r w:rsidRPr="00DE12F5">
        <w:rPr>
          <w:rFonts w:cs="Times New Roman"/>
          <w:color w:val="4A442A" w:themeColor="background2" w:themeShade="40"/>
          <w:sz w:val="20"/>
          <w:szCs w:val="20"/>
        </w:rPr>
        <w:t>:</w:t>
      </w:r>
      <w:r w:rsidR="00D97229" w:rsidRPr="00DE12F5">
        <w:rPr>
          <w:rFonts w:cs="Times New Roman"/>
          <w:color w:val="4A442A" w:themeColor="background2" w:themeShade="40"/>
          <w:sz w:val="20"/>
          <w:szCs w:val="20"/>
        </w:rPr>
        <w:t xml:space="preserve"> </w:t>
      </w:r>
      <w:hyperlink r:id="rId13" w:history="1">
        <w:r w:rsidR="00D97229" w:rsidRPr="00DE12F5">
          <w:rPr>
            <w:rStyle w:val="Hyperlink"/>
            <w:rFonts w:cs="Times New Roman"/>
            <w:color w:val="4A442A" w:themeColor="background2" w:themeShade="40"/>
            <w:sz w:val="20"/>
            <w:szCs w:val="20"/>
          </w:rPr>
          <w:t>SASA!</w:t>
        </w:r>
      </w:hyperlink>
      <w:r w:rsidR="00D97229" w:rsidRPr="00DE12F5">
        <w:rPr>
          <w:rFonts w:cs="Times New Roman"/>
          <w:color w:val="4A442A" w:themeColor="background2" w:themeShade="40"/>
          <w:sz w:val="20"/>
          <w:szCs w:val="20"/>
        </w:rPr>
        <w:t xml:space="preserve"> (</w:t>
      </w:r>
      <w:r w:rsidR="00260F88" w:rsidRPr="00DE12F5">
        <w:rPr>
          <w:rFonts w:cs="Times New Roman"/>
          <w:color w:val="4A442A" w:themeColor="background2" w:themeShade="40"/>
          <w:sz w:val="20"/>
          <w:szCs w:val="20"/>
        </w:rPr>
        <w:t xml:space="preserve">demonstrated </w:t>
      </w:r>
      <w:hyperlink r:id="rId14" w:history="1">
        <w:r w:rsidR="00D97229" w:rsidRPr="00DE12F5">
          <w:rPr>
            <w:rStyle w:val="Hyperlink"/>
            <w:rFonts w:cs="Times New Roman"/>
            <w:color w:val="4A442A" w:themeColor="background2" w:themeShade="40"/>
            <w:sz w:val="20"/>
            <w:szCs w:val="20"/>
          </w:rPr>
          <w:t>reduction</w:t>
        </w:r>
        <w:r w:rsidR="00260F88" w:rsidRPr="00DE12F5">
          <w:rPr>
            <w:rStyle w:val="Hyperlink"/>
            <w:rFonts w:cs="Times New Roman"/>
            <w:color w:val="4A442A" w:themeColor="background2" w:themeShade="40"/>
            <w:sz w:val="20"/>
            <w:szCs w:val="20"/>
          </w:rPr>
          <w:t>s</w:t>
        </w:r>
        <w:r w:rsidR="00D97229" w:rsidRPr="00DE12F5">
          <w:rPr>
            <w:rStyle w:val="Hyperlink"/>
            <w:rFonts w:cs="Times New Roman"/>
            <w:color w:val="4A442A" w:themeColor="background2" w:themeShade="40"/>
            <w:sz w:val="20"/>
            <w:szCs w:val="20"/>
          </w:rPr>
          <w:t xml:space="preserve"> in IPV</w:t>
        </w:r>
      </w:hyperlink>
      <w:r w:rsidR="00D97229" w:rsidRPr="00DE12F5">
        <w:rPr>
          <w:rFonts w:cs="Times New Roman"/>
          <w:color w:val="4A442A" w:themeColor="background2" w:themeShade="40"/>
          <w:sz w:val="20"/>
          <w:szCs w:val="20"/>
        </w:rPr>
        <w:t xml:space="preserve">), </w:t>
      </w:r>
      <w:hyperlink r:id="rId15" w:history="1">
        <w:r w:rsidR="00D97229" w:rsidRPr="00DE12F5">
          <w:rPr>
            <w:rStyle w:val="Hyperlink"/>
            <w:rFonts w:cs="Times New Roman"/>
            <w:color w:val="4A442A" w:themeColor="background2" w:themeShade="40"/>
            <w:sz w:val="20"/>
            <w:szCs w:val="20"/>
          </w:rPr>
          <w:t>Stepping Stones</w:t>
        </w:r>
      </w:hyperlink>
      <w:r w:rsidR="00D97229" w:rsidRPr="00DE12F5">
        <w:rPr>
          <w:rFonts w:cs="Times New Roman"/>
          <w:color w:val="4A442A" w:themeColor="background2" w:themeShade="40"/>
          <w:sz w:val="20"/>
          <w:szCs w:val="20"/>
        </w:rPr>
        <w:t xml:space="preserve">, </w:t>
      </w:r>
      <w:hyperlink r:id="rId16" w:history="1">
        <w:r w:rsidRPr="00DE12F5">
          <w:rPr>
            <w:rStyle w:val="Hyperlink"/>
            <w:rFonts w:cs="Times New Roman"/>
            <w:color w:val="4A442A" w:themeColor="background2" w:themeShade="40"/>
            <w:sz w:val="20"/>
            <w:szCs w:val="20"/>
          </w:rPr>
          <w:t>Coaching Men into Boys</w:t>
        </w:r>
      </w:hyperlink>
      <w:r w:rsidR="00D97229" w:rsidRPr="00DE12F5">
        <w:rPr>
          <w:rFonts w:cs="Times New Roman"/>
          <w:color w:val="4A442A" w:themeColor="background2" w:themeShade="40"/>
          <w:sz w:val="20"/>
          <w:szCs w:val="20"/>
        </w:rPr>
        <w:t xml:space="preserve">; </w:t>
      </w:r>
      <w:hyperlink r:id="rId17" w:history="1">
        <w:r w:rsidR="00D33226" w:rsidRPr="00DE12F5">
          <w:rPr>
            <w:rStyle w:val="Hyperlink"/>
            <w:rFonts w:cs="Times New Roman"/>
            <w:color w:val="4A442A" w:themeColor="background2" w:themeShade="40"/>
            <w:sz w:val="20"/>
            <w:szCs w:val="20"/>
          </w:rPr>
          <w:t>Yari-Dosti</w:t>
        </w:r>
      </w:hyperlink>
      <w:r w:rsidR="00D33226" w:rsidRPr="00DE12F5">
        <w:rPr>
          <w:rFonts w:cs="Times New Roman"/>
          <w:color w:val="4A442A" w:themeColor="background2" w:themeShade="40"/>
          <w:sz w:val="20"/>
          <w:szCs w:val="20"/>
        </w:rPr>
        <w:t xml:space="preserve">; </w:t>
      </w:r>
      <w:r w:rsidR="00425D98" w:rsidRPr="00DE12F5">
        <w:rPr>
          <w:rFonts w:cs="Times New Roman"/>
          <w:color w:val="4A442A" w:themeColor="background2" w:themeShade="40"/>
          <w:sz w:val="20"/>
          <w:szCs w:val="20"/>
        </w:rPr>
        <w:t>and others</w:t>
      </w:r>
    </w:p>
    <w:p w14:paraId="6E8DD7B0" w14:textId="77777777" w:rsidR="00425D98" w:rsidRPr="00DE12F5" w:rsidRDefault="00425D98" w:rsidP="007C7E59">
      <w:pPr>
        <w:pStyle w:val="ListParagraph"/>
        <w:numPr>
          <w:ilvl w:val="0"/>
          <w:numId w:val="4"/>
        </w:numPr>
        <w:spacing w:line="240" w:lineRule="auto"/>
        <w:rPr>
          <w:rFonts w:cs="Times New Roman"/>
          <w:color w:val="4A442A" w:themeColor="background2" w:themeShade="40"/>
          <w:sz w:val="20"/>
          <w:szCs w:val="20"/>
        </w:rPr>
      </w:pPr>
      <w:r w:rsidRPr="00DE12F5">
        <w:rPr>
          <w:rFonts w:cs="Times New Roman"/>
          <w:color w:val="4A442A" w:themeColor="background2" w:themeShade="40"/>
          <w:sz w:val="20"/>
          <w:szCs w:val="20"/>
        </w:rPr>
        <w:t xml:space="preserve">The </w:t>
      </w:r>
      <w:hyperlink r:id="rId18" w:history="1">
        <w:r w:rsidR="00D97229" w:rsidRPr="00DE12F5">
          <w:rPr>
            <w:rStyle w:val="Hyperlink"/>
            <w:rFonts w:cs="Times New Roman"/>
            <w:color w:val="4A442A" w:themeColor="background2" w:themeShade="40"/>
            <w:sz w:val="20"/>
            <w:szCs w:val="20"/>
          </w:rPr>
          <w:t>Good School Toolkit</w:t>
        </w:r>
      </w:hyperlink>
      <w:r w:rsidRPr="00DE12F5">
        <w:rPr>
          <w:rFonts w:cs="Times New Roman"/>
          <w:color w:val="4A442A" w:themeColor="background2" w:themeShade="40"/>
          <w:sz w:val="20"/>
          <w:szCs w:val="20"/>
        </w:rPr>
        <w:t xml:space="preserve"> reduced violence at school for both boys and girls, using a whole school approach</w:t>
      </w:r>
    </w:p>
    <w:p w14:paraId="6E05FB68" w14:textId="7032290B" w:rsidR="00AA4B6F" w:rsidRPr="00DE12F5" w:rsidRDefault="00AA4B6F" w:rsidP="007C7E59">
      <w:pPr>
        <w:pStyle w:val="ListParagraph"/>
        <w:numPr>
          <w:ilvl w:val="0"/>
          <w:numId w:val="4"/>
        </w:numPr>
        <w:spacing w:line="240" w:lineRule="auto"/>
        <w:rPr>
          <w:rFonts w:cs="Times New Roman"/>
          <w:color w:val="4A442A" w:themeColor="background2" w:themeShade="40"/>
          <w:sz w:val="20"/>
          <w:szCs w:val="20"/>
        </w:rPr>
      </w:pPr>
      <w:r w:rsidRPr="00DE12F5">
        <w:rPr>
          <w:rFonts w:cs="Times New Roman"/>
          <w:b/>
          <w:color w:val="4A442A" w:themeColor="background2" w:themeShade="40"/>
          <w:sz w:val="20"/>
          <w:szCs w:val="20"/>
        </w:rPr>
        <w:t>Self-</w:t>
      </w:r>
      <w:r w:rsidR="000938FE" w:rsidRPr="00DE12F5">
        <w:rPr>
          <w:rFonts w:cs="Times New Roman"/>
          <w:b/>
          <w:color w:val="4A442A" w:themeColor="background2" w:themeShade="40"/>
          <w:sz w:val="20"/>
          <w:szCs w:val="20"/>
        </w:rPr>
        <w:t>defence</w:t>
      </w:r>
      <w:r w:rsidR="005C51D9" w:rsidRPr="00DE12F5">
        <w:rPr>
          <w:rFonts w:cs="Times New Roman"/>
          <w:b/>
          <w:color w:val="4A442A" w:themeColor="background2" w:themeShade="40"/>
          <w:sz w:val="20"/>
          <w:szCs w:val="20"/>
        </w:rPr>
        <w:t xml:space="preserve"> and empowerment</w:t>
      </w:r>
      <w:r w:rsidRPr="00DE12F5">
        <w:rPr>
          <w:rFonts w:cs="Times New Roman"/>
          <w:b/>
          <w:color w:val="4A442A" w:themeColor="background2" w:themeShade="40"/>
          <w:sz w:val="20"/>
          <w:szCs w:val="20"/>
        </w:rPr>
        <w:t xml:space="preserve">: </w:t>
      </w:r>
      <w:r w:rsidR="005C51D9" w:rsidRPr="00DE12F5">
        <w:rPr>
          <w:rFonts w:cs="Times New Roman"/>
          <w:color w:val="4A442A" w:themeColor="background2" w:themeShade="40"/>
          <w:sz w:val="20"/>
          <w:szCs w:val="20"/>
        </w:rPr>
        <w:t>No Means No Worldwide</w:t>
      </w:r>
      <w:r w:rsidRPr="00DE12F5">
        <w:rPr>
          <w:rFonts w:cs="Times New Roman"/>
          <w:color w:val="4A442A" w:themeColor="background2" w:themeShade="40"/>
          <w:sz w:val="20"/>
          <w:szCs w:val="20"/>
        </w:rPr>
        <w:t xml:space="preserve"> studies in Malawi and Kenya show</w:t>
      </w:r>
      <w:r w:rsidR="005C51D9" w:rsidRPr="00DE12F5">
        <w:rPr>
          <w:rFonts w:cs="Times New Roman"/>
          <w:color w:val="4A442A" w:themeColor="background2" w:themeShade="40"/>
          <w:sz w:val="20"/>
          <w:szCs w:val="20"/>
        </w:rPr>
        <w:t xml:space="preserve">ed </w:t>
      </w:r>
      <w:r w:rsidRPr="00DE12F5">
        <w:rPr>
          <w:rFonts w:cs="Times New Roman"/>
          <w:color w:val="4A442A" w:themeColor="background2" w:themeShade="40"/>
          <w:sz w:val="20"/>
          <w:szCs w:val="20"/>
        </w:rPr>
        <w:t xml:space="preserve">that </w:t>
      </w:r>
      <w:r w:rsidR="005C51D9" w:rsidRPr="00DE12F5">
        <w:rPr>
          <w:rFonts w:cs="Times New Roman"/>
          <w:color w:val="4A442A" w:themeColor="background2" w:themeShade="40"/>
          <w:sz w:val="20"/>
          <w:szCs w:val="20"/>
        </w:rPr>
        <w:t xml:space="preserve">girls’ </w:t>
      </w:r>
      <w:r w:rsidR="000938FE" w:rsidRPr="00DE12F5">
        <w:rPr>
          <w:rFonts w:cs="Times New Roman"/>
          <w:color w:val="4A442A" w:themeColor="background2" w:themeShade="40"/>
          <w:sz w:val="20"/>
          <w:szCs w:val="20"/>
        </w:rPr>
        <w:t>self-defence</w:t>
      </w:r>
      <w:r w:rsidRPr="00DE12F5">
        <w:rPr>
          <w:rFonts w:cs="Times New Roman"/>
          <w:color w:val="4A442A" w:themeColor="background2" w:themeShade="40"/>
          <w:sz w:val="20"/>
          <w:szCs w:val="20"/>
        </w:rPr>
        <w:t xml:space="preserve"> and empowerment courses can decrease rape by 50</w:t>
      </w:r>
      <w:r w:rsidR="005C51D9" w:rsidRPr="00DE12F5">
        <w:rPr>
          <w:rFonts w:cs="Times New Roman"/>
          <w:color w:val="4A442A" w:themeColor="background2" w:themeShade="40"/>
          <w:sz w:val="20"/>
          <w:szCs w:val="20"/>
        </w:rPr>
        <w:t>%. The programs included male engagement components focussed on changing norms around masculinity and consent.</w:t>
      </w:r>
    </w:p>
    <w:p w14:paraId="52987286" w14:textId="2985D172" w:rsidR="00425D98" w:rsidRPr="00DE12F5" w:rsidRDefault="00425D98" w:rsidP="007C7E59">
      <w:pPr>
        <w:pStyle w:val="ListParagraph"/>
        <w:numPr>
          <w:ilvl w:val="0"/>
          <w:numId w:val="4"/>
        </w:numPr>
        <w:spacing w:line="240" w:lineRule="auto"/>
        <w:rPr>
          <w:rFonts w:cs="Times New Roman"/>
          <w:color w:val="4A442A" w:themeColor="background2" w:themeShade="40"/>
          <w:sz w:val="20"/>
          <w:szCs w:val="20"/>
        </w:rPr>
      </w:pPr>
      <w:r w:rsidRPr="00DE12F5">
        <w:rPr>
          <w:rFonts w:cs="Times New Roman"/>
          <w:b/>
          <w:color w:val="4A442A" w:themeColor="background2" w:themeShade="40"/>
          <w:sz w:val="20"/>
          <w:szCs w:val="20"/>
        </w:rPr>
        <w:t>Systems improvement</w:t>
      </w:r>
      <w:r w:rsidRPr="00DE12F5">
        <w:rPr>
          <w:rFonts w:cs="Times New Roman"/>
          <w:color w:val="4A442A" w:themeColor="background2" w:themeShade="40"/>
          <w:sz w:val="20"/>
          <w:szCs w:val="20"/>
        </w:rPr>
        <w:t xml:space="preserve">: </w:t>
      </w:r>
      <w:r w:rsidR="00111EE1" w:rsidRPr="00DE12F5">
        <w:rPr>
          <w:rFonts w:cs="Times New Roman"/>
          <w:color w:val="4A442A" w:themeColor="background2" w:themeShade="40"/>
          <w:sz w:val="20"/>
          <w:szCs w:val="20"/>
        </w:rPr>
        <w:t>T</w:t>
      </w:r>
      <w:r w:rsidRPr="00DE12F5">
        <w:rPr>
          <w:rFonts w:cs="Times New Roman"/>
          <w:color w:val="4A442A" w:themeColor="background2" w:themeShade="40"/>
          <w:sz w:val="20"/>
          <w:szCs w:val="20"/>
        </w:rPr>
        <w:t xml:space="preserve">raining providers in the social welfare, health and justice sector to provide age and gender-sensitive care to survivors of violence. This includes the creation of gender- and child-desks to receive survivors of violence reporting to the police; one stop centers where children who experience violence can receive all services from trained providers; child friendly courts; and scaling up adolescent-friendly services. In ensuring these services are effective, </w:t>
      </w:r>
      <w:r w:rsidR="00D33226" w:rsidRPr="00DE12F5">
        <w:rPr>
          <w:rFonts w:cs="Times New Roman"/>
          <w:color w:val="4A442A" w:themeColor="background2" w:themeShade="40"/>
          <w:sz w:val="20"/>
          <w:szCs w:val="20"/>
        </w:rPr>
        <w:t>service providers</w:t>
      </w:r>
      <w:r w:rsidRPr="00DE12F5">
        <w:rPr>
          <w:rFonts w:cs="Times New Roman"/>
          <w:color w:val="4A442A" w:themeColor="background2" w:themeShade="40"/>
          <w:sz w:val="20"/>
          <w:szCs w:val="20"/>
        </w:rPr>
        <w:t xml:space="preserve"> must </w:t>
      </w:r>
      <w:r w:rsidR="005C51D9" w:rsidRPr="00DE12F5">
        <w:rPr>
          <w:rFonts w:cs="Times New Roman"/>
          <w:color w:val="4A442A" w:themeColor="background2" w:themeShade="40"/>
          <w:sz w:val="20"/>
          <w:szCs w:val="20"/>
        </w:rPr>
        <w:t>have access to guidance and training on serving the specific needs of boys and girls;</w:t>
      </w:r>
      <w:r w:rsidRPr="00DE12F5">
        <w:rPr>
          <w:rFonts w:cs="Times New Roman"/>
          <w:color w:val="4A442A" w:themeColor="background2" w:themeShade="40"/>
          <w:sz w:val="20"/>
          <w:szCs w:val="20"/>
        </w:rPr>
        <w:t xml:space="preserve"> they must also understand how gender inequality and norms around violence shape experiences of violence, </w:t>
      </w:r>
      <w:r w:rsidRPr="00DE12F5">
        <w:rPr>
          <w:rFonts w:cs="Times New Roman"/>
          <w:color w:val="4A442A" w:themeColor="background2" w:themeShade="40"/>
          <w:sz w:val="20"/>
          <w:szCs w:val="20"/>
        </w:rPr>
        <w:lastRenderedPageBreak/>
        <w:t>services, and their own thinking, in order to provide survivor-centered services</w:t>
      </w:r>
      <w:r w:rsidR="00D97229" w:rsidRPr="00DE12F5">
        <w:rPr>
          <w:rFonts w:cs="Times New Roman"/>
          <w:color w:val="4A442A" w:themeColor="background2" w:themeShade="40"/>
          <w:sz w:val="20"/>
          <w:szCs w:val="20"/>
        </w:rPr>
        <w:t xml:space="preserve">. </w:t>
      </w:r>
      <w:r w:rsidR="005C51D9" w:rsidRPr="00DE12F5">
        <w:rPr>
          <w:rFonts w:cs="Times New Roman"/>
          <w:color w:val="4A442A" w:themeColor="background2" w:themeShade="40"/>
          <w:sz w:val="20"/>
          <w:szCs w:val="20"/>
        </w:rPr>
        <w:t xml:space="preserve">TfG promotes development of technical guidance and best practices; for </w:t>
      </w:r>
      <w:r w:rsidR="000938FE" w:rsidRPr="00DE12F5">
        <w:rPr>
          <w:rFonts w:cs="Times New Roman"/>
          <w:color w:val="4A442A" w:themeColor="background2" w:themeShade="40"/>
          <w:sz w:val="20"/>
          <w:szCs w:val="20"/>
        </w:rPr>
        <w:t>example,</w:t>
      </w:r>
      <w:r w:rsidR="005C51D9" w:rsidRPr="00DE12F5">
        <w:rPr>
          <w:rFonts w:cs="Times New Roman"/>
          <w:color w:val="4A442A" w:themeColor="background2" w:themeShade="40"/>
          <w:sz w:val="20"/>
          <w:szCs w:val="20"/>
        </w:rPr>
        <w:t xml:space="preserve"> the recently launched</w:t>
      </w:r>
      <w:r w:rsidR="000938FE" w:rsidRPr="00DE12F5">
        <w:rPr>
          <w:rFonts w:cs="Times New Roman"/>
          <w:color w:val="4A442A" w:themeColor="background2" w:themeShade="40"/>
          <w:sz w:val="20"/>
          <w:szCs w:val="20"/>
        </w:rPr>
        <w:t xml:space="preserve"> WHO Guidelines for </w:t>
      </w:r>
      <w:hyperlink r:id="rId19" w:history="1">
        <w:r w:rsidR="000938FE" w:rsidRPr="00DE12F5">
          <w:rPr>
            <w:rStyle w:val="Hyperlink"/>
            <w:rFonts w:cs="Times New Roman"/>
            <w:color w:val="4A442A" w:themeColor="background2" w:themeShade="40"/>
            <w:sz w:val="20"/>
            <w:szCs w:val="20"/>
          </w:rPr>
          <w:t>Responding to Children and Adolescents Who Have Been Sexually Abused</w:t>
        </w:r>
      </w:hyperlink>
      <w:r w:rsidR="000938FE" w:rsidRPr="00DE12F5">
        <w:rPr>
          <w:rFonts w:cs="Times New Roman"/>
          <w:color w:val="4A442A" w:themeColor="background2" w:themeShade="40"/>
          <w:sz w:val="20"/>
          <w:szCs w:val="20"/>
        </w:rPr>
        <w:t>.</w:t>
      </w:r>
    </w:p>
    <w:p w14:paraId="3E4C14E2" w14:textId="34E453B4" w:rsidR="007B1C02" w:rsidRPr="00DE12F5" w:rsidRDefault="00D33226" w:rsidP="000938FE">
      <w:pPr>
        <w:spacing w:line="240" w:lineRule="auto"/>
        <w:rPr>
          <w:rFonts w:cs="Times New Roman"/>
          <w:b/>
          <w:color w:val="4A442A" w:themeColor="background2" w:themeShade="40"/>
          <w:sz w:val="19"/>
          <w:szCs w:val="19"/>
        </w:rPr>
      </w:pPr>
      <w:r w:rsidRPr="00DE12F5">
        <w:rPr>
          <w:color w:val="4A442A" w:themeColor="background2" w:themeShade="40"/>
          <w:sz w:val="20"/>
          <w:szCs w:val="20"/>
        </w:rPr>
        <w:t>A clear lesson-learned from the first years of TfG is the importance of coordinated, multi-sector national actions, whether as multi-year plans, strategies, agendas or in other forms. These plans have high-level government commitment, clear divisions of labor, concrete accountability measures and are gender-responsive. As a partnership, we prioritize investments in coordination to fully develop, implement, monitor and evaluate these plans. Investment in the coordination function at the lead government ministry with support, generally from UNICEF, is essential.</w:t>
      </w:r>
      <w:r w:rsidRPr="00DE12F5">
        <w:rPr>
          <w:rFonts w:cs="Arial"/>
          <w:noProof/>
          <w:color w:val="4A442A" w:themeColor="background2" w:themeShade="40"/>
          <w:sz w:val="20"/>
          <w:szCs w:val="20"/>
        </w:rPr>
        <w:t xml:space="preserve"> </w:t>
      </w:r>
      <w:r w:rsidR="007B1C02" w:rsidRPr="00DE12F5">
        <w:rPr>
          <w:rFonts w:cs="Arial"/>
          <w:noProof/>
          <w:color w:val="4A442A" w:themeColor="background2" w:themeShade="40"/>
          <w:sz w:val="20"/>
          <w:szCs w:val="20"/>
        </w:rPr>
        <w:t xml:space="preserve">To measure the impact of the partnership at the global, regional and national level, </w:t>
      </w:r>
      <w:r w:rsidR="00425D98" w:rsidRPr="00DE12F5">
        <w:rPr>
          <w:rFonts w:cs="Times New Roman"/>
          <w:color w:val="4A442A" w:themeColor="background2" w:themeShade="40"/>
          <w:sz w:val="20"/>
          <w:szCs w:val="20"/>
        </w:rPr>
        <w:t xml:space="preserve">TfG developed an internal </w:t>
      </w:r>
      <w:hyperlink r:id="rId20" w:history="1">
        <w:r w:rsidR="00425D98" w:rsidRPr="00DE12F5">
          <w:rPr>
            <w:rStyle w:val="Hyperlink"/>
            <w:rFonts w:cs="Times New Roman"/>
            <w:color w:val="4A442A" w:themeColor="background2" w:themeShade="40"/>
            <w:sz w:val="20"/>
            <w:szCs w:val="20"/>
          </w:rPr>
          <w:t>results framework</w:t>
        </w:r>
      </w:hyperlink>
      <w:r w:rsidR="00425D98" w:rsidRPr="00DE12F5">
        <w:rPr>
          <w:rFonts w:cs="Times New Roman"/>
          <w:color w:val="4A442A" w:themeColor="background2" w:themeShade="40"/>
          <w:sz w:val="20"/>
          <w:szCs w:val="20"/>
        </w:rPr>
        <w:t xml:space="preserve"> that measures progress</w:t>
      </w:r>
      <w:r w:rsidR="001F08E0" w:rsidRPr="00DE12F5">
        <w:rPr>
          <w:rFonts w:cs="Times New Roman"/>
          <w:color w:val="4A442A" w:themeColor="background2" w:themeShade="40"/>
          <w:sz w:val="20"/>
          <w:szCs w:val="20"/>
        </w:rPr>
        <w:t xml:space="preserve"> for the partnership</w:t>
      </w:r>
      <w:r w:rsidR="00425D98" w:rsidRPr="00DE12F5">
        <w:rPr>
          <w:rFonts w:cs="Times New Roman"/>
          <w:color w:val="4A442A" w:themeColor="background2" w:themeShade="40"/>
          <w:sz w:val="20"/>
          <w:szCs w:val="20"/>
        </w:rPr>
        <w:t xml:space="preserve"> at the national and global levels in researching, preventing and advocating on VAC, which is gender-sensitive and where possible age- and sex-disaggregated</w:t>
      </w:r>
      <w:r w:rsidR="000938FE" w:rsidRPr="00DE12F5">
        <w:rPr>
          <w:rFonts w:cs="Times New Roman"/>
          <w:color w:val="4A442A" w:themeColor="background2" w:themeShade="40"/>
          <w:sz w:val="20"/>
          <w:szCs w:val="20"/>
        </w:rPr>
        <w:t>.</w:t>
      </w:r>
    </w:p>
    <w:p w14:paraId="3987E411" w14:textId="50A1542E" w:rsidR="00497159" w:rsidRPr="00DE12F5" w:rsidRDefault="00E928E9" w:rsidP="007B1C02">
      <w:pPr>
        <w:spacing w:line="240" w:lineRule="auto"/>
        <w:rPr>
          <w:rFonts w:cs="Times New Roman"/>
          <w:b/>
          <w:color w:val="4A442A" w:themeColor="background2" w:themeShade="40"/>
          <w:sz w:val="19"/>
          <w:szCs w:val="19"/>
        </w:rPr>
      </w:pPr>
      <w:r w:rsidRPr="00DE12F5">
        <w:rPr>
          <w:rFonts w:cs="Times New Roman"/>
          <w:b/>
          <w:color w:val="4A442A" w:themeColor="background2" w:themeShade="40"/>
          <w:sz w:val="19"/>
          <w:szCs w:val="19"/>
        </w:rPr>
        <w:t>Annex: VACS Data Graphs</w:t>
      </w:r>
    </w:p>
    <w:p w14:paraId="2D452F14" w14:textId="77777777" w:rsidR="001D0B65" w:rsidRPr="00DE12F5" w:rsidRDefault="007A3DBE" w:rsidP="000938FE">
      <w:pPr>
        <w:spacing w:line="240" w:lineRule="auto"/>
        <w:rPr>
          <w:rFonts w:cs="Times New Roman"/>
          <w:b/>
          <w:color w:val="4A442A" w:themeColor="background2" w:themeShade="40"/>
          <w:sz w:val="19"/>
          <w:szCs w:val="19"/>
        </w:rPr>
      </w:pPr>
      <w:r w:rsidRPr="00DE12F5">
        <w:rPr>
          <w:rFonts w:cs="Times New Roman"/>
          <w:b/>
          <w:color w:val="4A442A" w:themeColor="background2" w:themeShade="40"/>
          <w:sz w:val="19"/>
          <w:szCs w:val="19"/>
        </w:rPr>
        <w:t>Graph</w:t>
      </w:r>
      <w:r w:rsidR="00E928E9" w:rsidRPr="00DE12F5">
        <w:rPr>
          <w:rFonts w:cs="Times New Roman"/>
          <w:b/>
          <w:color w:val="4A442A" w:themeColor="background2" w:themeShade="40"/>
          <w:sz w:val="19"/>
          <w:szCs w:val="19"/>
        </w:rPr>
        <w:t xml:space="preserve"> 1: </w:t>
      </w:r>
      <w:r w:rsidR="006353CC" w:rsidRPr="00DE12F5">
        <w:rPr>
          <w:rFonts w:cs="Times New Roman"/>
          <w:b/>
          <w:color w:val="4A442A" w:themeColor="background2" w:themeShade="40"/>
          <w:sz w:val="19"/>
          <w:szCs w:val="19"/>
        </w:rPr>
        <w:t>Sexual violence prevalence in childhood</w:t>
      </w:r>
    </w:p>
    <w:p w14:paraId="522BD001" w14:textId="335D70FB" w:rsidR="001D0B65" w:rsidRPr="00DE12F5" w:rsidRDefault="00111EE1" w:rsidP="000938FE">
      <w:pPr>
        <w:spacing w:line="240" w:lineRule="auto"/>
        <w:rPr>
          <w:rFonts w:cs="Times New Roman"/>
          <w:b/>
          <w:color w:val="4A442A" w:themeColor="background2" w:themeShade="40"/>
          <w:sz w:val="19"/>
          <w:szCs w:val="19"/>
        </w:rPr>
      </w:pPr>
      <w:r w:rsidRPr="00DE12F5">
        <w:rPr>
          <w:rFonts w:cs="Times New Roman"/>
          <w:b/>
          <w:noProof/>
          <w:color w:val="4A442A" w:themeColor="background2" w:themeShade="40"/>
          <w:sz w:val="19"/>
          <w:szCs w:val="19"/>
          <w:lang w:eastAsia="en-GB"/>
        </w:rPr>
        <w:drawing>
          <wp:inline distT="0" distB="0" distL="0" distR="0" wp14:anchorId="22C42321" wp14:editId="283F6F18">
            <wp:extent cx="3730171" cy="2797629"/>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734969" cy="2801228"/>
                    </a:xfrm>
                    <a:prstGeom prst="rect">
                      <a:avLst/>
                    </a:prstGeom>
                  </pic:spPr>
                </pic:pic>
              </a:graphicData>
            </a:graphic>
          </wp:inline>
        </w:drawing>
      </w:r>
    </w:p>
    <w:p w14:paraId="75D7A9FA" w14:textId="77777777" w:rsidR="00E928E9" w:rsidRPr="00DE12F5" w:rsidRDefault="001D0B65" w:rsidP="000938FE">
      <w:pPr>
        <w:spacing w:line="240" w:lineRule="auto"/>
        <w:rPr>
          <w:rFonts w:cs="Times New Roman"/>
          <w:b/>
          <w:color w:val="4A442A" w:themeColor="background2" w:themeShade="40"/>
          <w:sz w:val="19"/>
          <w:szCs w:val="19"/>
        </w:rPr>
      </w:pPr>
      <w:r w:rsidRPr="00DE12F5">
        <w:rPr>
          <w:rFonts w:cs="Times New Roman"/>
          <w:b/>
          <w:color w:val="4A442A" w:themeColor="background2" w:themeShade="40"/>
          <w:sz w:val="19"/>
          <w:szCs w:val="19"/>
        </w:rPr>
        <w:t xml:space="preserve">Graph 2: </w:t>
      </w:r>
      <w:r w:rsidR="006353CC" w:rsidRPr="00DE12F5">
        <w:rPr>
          <w:rFonts w:cs="Times New Roman"/>
          <w:b/>
          <w:color w:val="4A442A" w:themeColor="background2" w:themeShade="40"/>
          <w:sz w:val="19"/>
          <w:szCs w:val="19"/>
        </w:rPr>
        <w:t>Physical violence</w:t>
      </w:r>
      <w:r w:rsidR="00E928E9" w:rsidRPr="00DE12F5">
        <w:rPr>
          <w:rFonts w:cs="Times New Roman"/>
          <w:b/>
          <w:color w:val="4A442A" w:themeColor="background2" w:themeShade="40"/>
          <w:sz w:val="19"/>
          <w:szCs w:val="19"/>
        </w:rPr>
        <w:t xml:space="preserve"> prevalence</w:t>
      </w:r>
      <w:r w:rsidR="00730A49" w:rsidRPr="00DE12F5">
        <w:rPr>
          <w:rFonts w:cs="Times New Roman"/>
          <w:b/>
          <w:color w:val="4A442A" w:themeColor="background2" w:themeShade="40"/>
          <w:sz w:val="19"/>
          <w:szCs w:val="19"/>
        </w:rPr>
        <w:t xml:space="preserve"> in childhood</w:t>
      </w:r>
    </w:p>
    <w:p w14:paraId="6DA0C012" w14:textId="73A7962E" w:rsidR="00E928E9" w:rsidRPr="00DE12F5" w:rsidRDefault="00111EE1" w:rsidP="000938FE">
      <w:pPr>
        <w:spacing w:line="240" w:lineRule="auto"/>
        <w:rPr>
          <w:rFonts w:cs="Times New Roman"/>
          <w:b/>
          <w:color w:val="4A442A" w:themeColor="background2" w:themeShade="40"/>
          <w:sz w:val="19"/>
          <w:szCs w:val="19"/>
        </w:rPr>
      </w:pPr>
      <w:r w:rsidRPr="00DE12F5">
        <w:rPr>
          <w:rFonts w:cs="Times New Roman"/>
          <w:b/>
          <w:noProof/>
          <w:color w:val="4A442A" w:themeColor="background2" w:themeShade="40"/>
          <w:sz w:val="19"/>
          <w:szCs w:val="19"/>
          <w:lang w:eastAsia="en-GB"/>
        </w:rPr>
        <w:drawing>
          <wp:inline distT="0" distB="0" distL="0" distR="0" wp14:anchorId="7F39568C" wp14:editId="0BE82657">
            <wp:extent cx="3606800"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607303" cy="2705477"/>
                    </a:xfrm>
                    <a:prstGeom prst="rect">
                      <a:avLst/>
                    </a:prstGeom>
                  </pic:spPr>
                </pic:pic>
              </a:graphicData>
            </a:graphic>
          </wp:inline>
        </w:drawing>
      </w:r>
    </w:p>
    <w:p w14:paraId="2495A0EB" w14:textId="77777777" w:rsidR="00603463" w:rsidRPr="00DE12F5" w:rsidRDefault="00603463" w:rsidP="007B1C02">
      <w:pPr>
        <w:spacing w:line="240" w:lineRule="auto"/>
        <w:rPr>
          <w:rFonts w:cs="Times New Roman"/>
          <w:b/>
          <w:color w:val="4A442A" w:themeColor="background2" w:themeShade="40"/>
          <w:sz w:val="19"/>
          <w:szCs w:val="19"/>
        </w:rPr>
      </w:pPr>
    </w:p>
    <w:p w14:paraId="4579322F" w14:textId="77777777" w:rsidR="006353CC" w:rsidRPr="00DE12F5" w:rsidRDefault="006353CC" w:rsidP="007B1C02">
      <w:pPr>
        <w:spacing w:line="240" w:lineRule="auto"/>
        <w:rPr>
          <w:rFonts w:cs="Times New Roman"/>
          <w:b/>
          <w:color w:val="4A442A" w:themeColor="background2" w:themeShade="40"/>
          <w:sz w:val="19"/>
          <w:szCs w:val="19"/>
        </w:rPr>
      </w:pPr>
      <w:r w:rsidRPr="00DE12F5">
        <w:rPr>
          <w:rFonts w:cs="Times New Roman"/>
          <w:b/>
          <w:color w:val="4A442A" w:themeColor="background2" w:themeShade="40"/>
          <w:sz w:val="19"/>
          <w:szCs w:val="19"/>
        </w:rPr>
        <w:lastRenderedPageBreak/>
        <w:t>Graph 3: Past-year sexual violence among 13-17 year olds</w:t>
      </w:r>
    </w:p>
    <w:p w14:paraId="55870FBD" w14:textId="3D485679" w:rsidR="006353CC" w:rsidRPr="00DE12F5" w:rsidRDefault="00603463" w:rsidP="000938FE">
      <w:pPr>
        <w:spacing w:line="240" w:lineRule="auto"/>
        <w:rPr>
          <w:rFonts w:cs="Times New Roman"/>
          <w:b/>
          <w:color w:val="4A442A" w:themeColor="background2" w:themeShade="40"/>
          <w:sz w:val="19"/>
          <w:szCs w:val="19"/>
        </w:rPr>
      </w:pPr>
      <w:r w:rsidRPr="00DE12F5">
        <w:rPr>
          <w:rFonts w:cs="Times New Roman"/>
          <w:b/>
          <w:color w:val="4A442A" w:themeColor="background2" w:themeShade="40"/>
          <w:sz w:val="19"/>
          <w:szCs w:val="19"/>
        </w:rPr>
        <w:drawing>
          <wp:inline distT="0" distB="0" distL="0" distR="0" wp14:anchorId="1B2A2AAA" wp14:editId="00032CA0">
            <wp:extent cx="4034971" cy="3026228"/>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035534" cy="3026650"/>
                    </a:xfrm>
                    <a:prstGeom prst="rect">
                      <a:avLst/>
                    </a:prstGeom>
                  </pic:spPr>
                </pic:pic>
              </a:graphicData>
            </a:graphic>
          </wp:inline>
        </w:drawing>
      </w:r>
    </w:p>
    <w:p w14:paraId="39739742" w14:textId="77777777" w:rsidR="006353CC" w:rsidRPr="00DE12F5" w:rsidRDefault="006353CC" w:rsidP="000938FE">
      <w:pPr>
        <w:spacing w:line="240" w:lineRule="auto"/>
        <w:rPr>
          <w:rFonts w:cs="Times New Roman"/>
          <w:b/>
          <w:color w:val="4A442A" w:themeColor="background2" w:themeShade="40"/>
          <w:sz w:val="19"/>
          <w:szCs w:val="19"/>
        </w:rPr>
      </w:pPr>
      <w:r w:rsidRPr="00DE12F5">
        <w:rPr>
          <w:rFonts w:cs="Times New Roman"/>
          <w:b/>
          <w:color w:val="4A442A" w:themeColor="background2" w:themeShade="40"/>
          <w:sz w:val="19"/>
          <w:szCs w:val="19"/>
        </w:rPr>
        <w:t>Graph 4: Reporting, service seeking and access</w:t>
      </w:r>
    </w:p>
    <w:p w14:paraId="227E9166" w14:textId="09DE828F" w:rsidR="006353CC" w:rsidRPr="00DE12F5" w:rsidRDefault="00111EE1" w:rsidP="000938FE">
      <w:pPr>
        <w:spacing w:line="240" w:lineRule="auto"/>
        <w:rPr>
          <w:rFonts w:cs="Times New Roman"/>
          <w:b/>
          <w:color w:val="4A442A" w:themeColor="background2" w:themeShade="40"/>
          <w:sz w:val="19"/>
          <w:szCs w:val="19"/>
        </w:rPr>
      </w:pPr>
      <w:r w:rsidRPr="00DE12F5">
        <w:rPr>
          <w:rFonts w:cs="Times New Roman"/>
          <w:b/>
          <w:noProof/>
          <w:color w:val="4A442A" w:themeColor="background2" w:themeShade="40"/>
          <w:sz w:val="19"/>
          <w:szCs w:val="19"/>
          <w:lang w:eastAsia="en-GB"/>
        </w:rPr>
        <w:drawing>
          <wp:inline distT="0" distB="0" distL="0" distR="0" wp14:anchorId="38434FA9" wp14:editId="4B899C3D">
            <wp:extent cx="4334933" cy="3251200"/>
            <wp:effectExtent l="0" t="0" r="889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335538" cy="3251654"/>
                    </a:xfrm>
                    <a:prstGeom prst="rect">
                      <a:avLst/>
                    </a:prstGeom>
                  </pic:spPr>
                </pic:pic>
              </a:graphicData>
            </a:graphic>
          </wp:inline>
        </w:drawing>
      </w:r>
    </w:p>
    <w:p w14:paraId="6C9CC866" w14:textId="77777777" w:rsidR="001D0B65" w:rsidRPr="00DE12F5" w:rsidRDefault="001D0B65" w:rsidP="000938FE">
      <w:pPr>
        <w:spacing w:line="240" w:lineRule="auto"/>
        <w:rPr>
          <w:rFonts w:cs="Times New Roman"/>
          <w:b/>
          <w:color w:val="4A442A" w:themeColor="background2" w:themeShade="40"/>
          <w:sz w:val="19"/>
          <w:szCs w:val="19"/>
        </w:rPr>
      </w:pPr>
      <w:r w:rsidRPr="00DE12F5">
        <w:rPr>
          <w:rFonts w:cs="Times New Roman"/>
          <w:b/>
          <w:color w:val="4A442A" w:themeColor="background2" w:themeShade="40"/>
          <w:sz w:val="19"/>
          <w:szCs w:val="19"/>
        </w:rPr>
        <w:br w:type="page"/>
      </w:r>
    </w:p>
    <w:p w14:paraId="55C0E2CB" w14:textId="77777777" w:rsidR="007A3DBE" w:rsidRPr="00DE12F5" w:rsidRDefault="007A3DBE" w:rsidP="007B1C02">
      <w:pPr>
        <w:spacing w:line="240" w:lineRule="auto"/>
        <w:rPr>
          <w:rFonts w:cs="Times New Roman"/>
          <w:b/>
          <w:color w:val="4A442A" w:themeColor="background2" w:themeShade="40"/>
          <w:sz w:val="19"/>
          <w:szCs w:val="19"/>
          <w:u w:val="single"/>
        </w:rPr>
      </w:pPr>
      <w:r w:rsidRPr="00DE12F5">
        <w:rPr>
          <w:rFonts w:cs="Times New Roman"/>
          <w:b/>
          <w:color w:val="4A442A" w:themeColor="background2" w:themeShade="40"/>
          <w:sz w:val="19"/>
          <w:szCs w:val="19"/>
          <w:u w:val="single"/>
        </w:rPr>
        <w:lastRenderedPageBreak/>
        <w:t xml:space="preserve">Sources: </w:t>
      </w:r>
    </w:p>
    <w:p w14:paraId="63C97BC2" w14:textId="77777777" w:rsidR="00A21509" w:rsidRPr="00DE12F5" w:rsidRDefault="00A21509" w:rsidP="000938FE">
      <w:pPr>
        <w:spacing w:after="0" w:line="240" w:lineRule="auto"/>
        <w:rPr>
          <w:rFonts w:cs="Times New Roman"/>
          <w:color w:val="4A442A" w:themeColor="background2" w:themeShade="40"/>
          <w:sz w:val="19"/>
          <w:szCs w:val="19"/>
        </w:rPr>
      </w:pPr>
      <w:proofErr w:type="gramStart"/>
      <w:r w:rsidRPr="00DE12F5">
        <w:rPr>
          <w:rFonts w:cs="Times New Roman"/>
          <w:color w:val="4A442A" w:themeColor="background2" w:themeShade="40"/>
          <w:sz w:val="19"/>
          <w:szCs w:val="19"/>
          <w:lang w:val="en-US"/>
        </w:rPr>
        <w:t xml:space="preserve">CDC, Interuniversity Institute for Research and Development, </w:t>
      </w:r>
      <w:proofErr w:type="spellStart"/>
      <w:r w:rsidRPr="00DE12F5">
        <w:rPr>
          <w:rFonts w:cs="Times New Roman"/>
          <w:color w:val="4A442A" w:themeColor="background2" w:themeShade="40"/>
          <w:sz w:val="19"/>
          <w:szCs w:val="19"/>
          <w:lang w:val="en-US"/>
        </w:rPr>
        <w:t>Comité</w:t>
      </w:r>
      <w:proofErr w:type="spellEnd"/>
      <w:r w:rsidRPr="00DE12F5">
        <w:rPr>
          <w:rFonts w:cs="Times New Roman"/>
          <w:color w:val="4A442A" w:themeColor="background2" w:themeShade="40"/>
          <w:sz w:val="19"/>
          <w:szCs w:val="19"/>
          <w:lang w:val="en-US"/>
        </w:rPr>
        <w:t xml:space="preserve"> de Coordination.</w:t>
      </w:r>
      <w:proofErr w:type="gramEnd"/>
      <w:r w:rsidRPr="00DE12F5">
        <w:rPr>
          <w:rFonts w:cs="Times New Roman"/>
          <w:color w:val="4A442A" w:themeColor="background2" w:themeShade="40"/>
          <w:sz w:val="19"/>
          <w:szCs w:val="19"/>
          <w:lang w:val="en-US"/>
        </w:rPr>
        <w:t xml:space="preserve">  </w:t>
      </w:r>
      <w:r w:rsidRPr="00DE12F5">
        <w:rPr>
          <w:rFonts w:cs="Times New Roman"/>
          <w:i/>
          <w:color w:val="4A442A" w:themeColor="background2" w:themeShade="40"/>
          <w:sz w:val="19"/>
          <w:szCs w:val="19"/>
          <w:lang w:val="en-US"/>
        </w:rPr>
        <w:t>Violence against Children in Haiti: Findings from a National Survey, 2012.</w:t>
      </w:r>
      <w:r w:rsidRPr="00DE12F5">
        <w:rPr>
          <w:rFonts w:cs="Times New Roman"/>
          <w:color w:val="4A442A" w:themeColor="background2" w:themeShade="40"/>
          <w:sz w:val="19"/>
          <w:szCs w:val="19"/>
          <w:lang w:val="en-US"/>
        </w:rPr>
        <w:t xml:space="preserve"> Port-au-Prince, Haiti: Centers for Disease Control and Prevention, 2013</w:t>
      </w:r>
    </w:p>
    <w:p w14:paraId="439D9E8A" w14:textId="77777777" w:rsidR="00A21509" w:rsidRPr="00DE12F5" w:rsidRDefault="00A21509" w:rsidP="000938FE">
      <w:pPr>
        <w:spacing w:after="0" w:line="240" w:lineRule="auto"/>
        <w:rPr>
          <w:rFonts w:cs="Times New Roman"/>
          <w:color w:val="4A442A" w:themeColor="background2" w:themeShade="40"/>
          <w:sz w:val="19"/>
          <w:szCs w:val="19"/>
          <w:lang w:val="en-US"/>
        </w:rPr>
      </w:pPr>
    </w:p>
    <w:p w14:paraId="10D7DE8A" w14:textId="77777777" w:rsidR="0030441B" w:rsidRPr="00DE12F5" w:rsidRDefault="0030441B" w:rsidP="000938FE">
      <w:pPr>
        <w:autoSpaceDE w:val="0"/>
        <w:autoSpaceDN w:val="0"/>
        <w:adjustRightInd w:val="0"/>
        <w:spacing w:after="0" w:line="240" w:lineRule="auto"/>
        <w:rPr>
          <w:rFonts w:cs="AdvOT0231c847"/>
          <w:color w:val="4A442A" w:themeColor="background2" w:themeShade="40"/>
          <w:sz w:val="19"/>
          <w:szCs w:val="19"/>
        </w:rPr>
      </w:pPr>
      <w:r w:rsidRPr="00DE12F5">
        <w:rPr>
          <w:rFonts w:cs="AdvOT0231c847"/>
          <w:color w:val="4A442A" w:themeColor="background2" w:themeShade="40"/>
          <w:sz w:val="19"/>
          <w:szCs w:val="19"/>
        </w:rPr>
        <w:t xml:space="preserve">Chiang LF, Kress H, Sumner SA, </w:t>
      </w:r>
      <w:r w:rsidRPr="00DE12F5">
        <w:rPr>
          <w:rFonts w:cs="AdvOTbe4cb9cb"/>
          <w:color w:val="4A442A" w:themeColor="background2" w:themeShade="40"/>
          <w:sz w:val="19"/>
          <w:szCs w:val="19"/>
        </w:rPr>
        <w:t>et al</w:t>
      </w:r>
      <w:r w:rsidRPr="00DE12F5">
        <w:rPr>
          <w:rFonts w:cs="AdvOT0231c847"/>
          <w:color w:val="4A442A" w:themeColor="background2" w:themeShade="40"/>
          <w:sz w:val="19"/>
          <w:szCs w:val="19"/>
        </w:rPr>
        <w:t xml:space="preserve">. </w:t>
      </w:r>
      <w:r w:rsidRPr="00DE12F5">
        <w:rPr>
          <w:rFonts w:cs="AdvOTbe4cb9cb"/>
          <w:color w:val="4A442A" w:themeColor="background2" w:themeShade="40"/>
          <w:sz w:val="19"/>
          <w:szCs w:val="19"/>
        </w:rPr>
        <w:t>Injury Prevention</w:t>
      </w:r>
      <w:r w:rsidRPr="00DE12F5">
        <w:rPr>
          <w:rFonts w:cs="AdvOT0231c847"/>
          <w:color w:val="4A442A" w:themeColor="background2" w:themeShade="40"/>
          <w:sz w:val="19"/>
          <w:szCs w:val="19"/>
        </w:rPr>
        <w:t xml:space="preserve"> 2016</w:t>
      </w:r>
      <w:proofErr w:type="gramStart"/>
      <w:r w:rsidRPr="00DE12F5">
        <w:rPr>
          <w:rFonts w:cs="AdvOT0231c847"/>
          <w:color w:val="4A442A" w:themeColor="background2" w:themeShade="40"/>
          <w:sz w:val="19"/>
          <w:szCs w:val="19"/>
        </w:rPr>
        <w:t>;</w:t>
      </w:r>
      <w:r w:rsidRPr="00DE12F5">
        <w:rPr>
          <w:rFonts w:cs="AdvOTc9c0ed35.B"/>
          <w:color w:val="4A442A" w:themeColor="background2" w:themeShade="40"/>
          <w:sz w:val="19"/>
          <w:szCs w:val="19"/>
        </w:rPr>
        <w:t>22</w:t>
      </w:r>
      <w:r w:rsidRPr="00DE12F5">
        <w:rPr>
          <w:rFonts w:cs="AdvOT0231c847"/>
          <w:color w:val="4A442A" w:themeColor="background2" w:themeShade="40"/>
          <w:sz w:val="19"/>
          <w:szCs w:val="19"/>
        </w:rPr>
        <w:t>:i17</w:t>
      </w:r>
      <w:proofErr w:type="gramEnd"/>
      <w:r w:rsidRPr="00DE12F5">
        <w:rPr>
          <w:rFonts w:cs="AdvOT0231c847+20"/>
          <w:color w:val="4A442A" w:themeColor="background2" w:themeShade="40"/>
          <w:sz w:val="19"/>
          <w:szCs w:val="19"/>
        </w:rPr>
        <w:t>–</w:t>
      </w:r>
      <w:r w:rsidRPr="00DE12F5">
        <w:rPr>
          <w:rFonts w:cs="AdvOT0231c847"/>
          <w:color w:val="4A442A" w:themeColor="background2" w:themeShade="40"/>
          <w:sz w:val="19"/>
          <w:szCs w:val="19"/>
        </w:rPr>
        <w:t>i22.</w:t>
      </w:r>
    </w:p>
    <w:p w14:paraId="448115C5" w14:textId="77777777" w:rsidR="0030441B" w:rsidRPr="00DE12F5" w:rsidRDefault="0030441B" w:rsidP="000938FE">
      <w:pPr>
        <w:autoSpaceDE w:val="0"/>
        <w:autoSpaceDN w:val="0"/>
        <w:adjustRightInd w:val="0"/>
        <w:spacing w:after="0" w:line="240" w:lineRule="auto"/>
        <w:rPr>
          <w:rFonts w:cs="AdvOT0231c847"/>
          <w:color w:val="4A442A" w:themeColor="background2" w:themeShade="40"/>
          <w:sz w:val="19"/>
          <w:szCs w:val="19"/>
        </w:rPr>
      </w:pPr>
    </w:p>
    <w:p w14:paraId="272D04E7" w14:textId="77777777" w:rsidR="00A21509" w:rsidRPr="00DE12F5" w:rsidRDefault="00A21509" w:rsidP="000938FE">
      <w:pPr>
        <w:spacing w:after="0" w:line="240" w:lineRule="auto"/>
        <w:rPr>
          <w:rFonts w:cs="Times New Roman"/>
          <w:color w:val="4A442A" w:themeColor="background2" w:themeShade="40"/>
          <w:sz w:val="19"/>
          <w:szCs w:val="19"/>
          <w:lang w:val="en-US"/>
        </w:rPr>
      </w:pPr>
      <w:r w:rsidRPr="00DE12F5">
        <w:rPr>
          <w:rFonts w:cs="Times New Roman"/>
          <w:color w:val="4A442A" w:themeColor="background2" w:themeShade="40"/>
          <w:sz w:val="19"/>
          <w:szCs w:val="19"/>
          <w:lang w:val="en-US"/>
        </w:rPr>
        <w:t xml:space="preserve">Ministry of Women’s Affairs, UNICEF Cambodia, US Centers for Disease Control and Prevention. </w:t>
      </w:r>
      <w:r w:rsidR="0010758F" w:rsidRPr="00DE12F5">
        <w:rPr>
          <w:rFonts w:cs="Times New Roman"/>
          <w:i/>
          <w:color w:val="4A442A" w:themeColor="background2" w:themeShade="40"/>
          <w:sz w:val="19"/>
          <w:szCs w:val="19"/>
          <w:lang w:val="en-US"/>
        </w:rPr>
        <w:t xml:space="preserve">Findings from </w:t>
      </w:r>
      <w:r w:rsidRPr="00DE12F5">
        <w:rPr>
          <w:rFonts w:cs="Times New Roman"/>
          <w:i/>
          <w:color w:val="4A442A" w:themeColor="background2" w:themeShade="40"/>
          <w:sz w:val="19"/>
          <w:szCs w:val="19"/>
          <w:lang w:val="en-US"/>
        </w:rPr>
        <w:t xml:space="preserve">Cambodia’s Violence </w:t>
      </w:r>
      <w:proofErr w:type="gramStart"/>
      <w:r w:rsidRPr="00DE12F5">
        <w:rPr>
          <w:rFonts w:cs="Times New Roman"/>
          <w:i/>
          <w:color w:val="4A442A" w:themeColor="background2" w:themeShade="40"/>
          <w:sz w:val="19"/>
          <w:szCs w:val="19"/>
          <w:lang w:val="en-US"/>
        </w:rPr>
        <w:t>Against</w:t>
      </w:r>
      <w:proofErr w:type="gramEnd"/>
      <w:r w:rsidRPr="00DE12F5">
        <w:rPr>
          <w:rFonts w:cs="Times New Roman"/>
          <w:i/>
          <w:color w:val="4A442A" w:themeColor="background2" w:themeShade="40"/>
          <w:sz w:val="19"/>
          <w:szCs w:val="19"/>
          <w:lang w:val="en-US"/>
        </w:rPr>
        <w:t xml:space="preserve"> Children Survey 2013.</w:t>
      </w:r>
      <w:r w:rsidRPr="00DE12F5">
        <w:rPr>
          <w:rFonts w:cs="Times New Roman"/>
          <w:color w:val="4A442A" w:themeColor="background2" w:themeShade="40"/>
          <w:sz w:val="19"/>
          <w:szCs w:val="19"/>
          <w:lang w:val="en-US"/>
        </w:rPr>
        <w:t xml:space="preserve"> Cambodia: Ministry of Women’s Affairs, 2014.</w:t>
      </w:r>
    </w:p>
    <w:p w14:paraId="0521DFB3" w14:textId="77777777" w:rsidR="00A21509" w:rsidRPr="00DE12F5" w:rsidRDefault="00A21509" w:rsidP="000938FE">
      <w:pPr>
        <w:spacing w:after="0" w:line="240" w:lineRule="auto"/>
        <w:rPr>
          <w:rFonts w:cs="Times New Roman"/>
          <w:color w:val="4A442A" w:themeColor="background2" w:themeShade="40"/>
          <w:sz w:val="19"/>
          <w:szCs w:val="19"/>
        </w:rPr>
      </w:pPr>
    </w:p>
    <w:p w14:paraId="7F8F77F7" w14:textId="1F038534" w:rsidR="00A21509" w:rsidRPr="00DE12F5" w:rsidRDefault="00A21509" w:rsidP="000938FE">
      <w:pPr>
        <w:spacing w:after="0" w:line="240" w:lineRule="auto"/>
        <w:rPr>
          <w:rFonts w:cs="Times New Roman"/>
          <w:color w:val="4A442A" w:themeColor="background2" w:themeShade="40"/>
          <w:sz w:val="19"/>
          <w:szCs w:val="19"/>
          <w:lang w:val="en-US"/>
        </w:rPr>
      </w:pPr>
      <w:r w:rsidRPr="00DE12F5">
        <w:rPr>
          <w:rFonts w:cs="Times New Roman"/>
          <w:color w:val="4A442A" w:themeColor="background2" w:themeShade="40"/>
          <w:sz w:val="19"/>
          <w:szCs w:val="19"/>
          <w:lang w:val="en-US"/>
        </w:rPr>
        <w:t xml:space="preserve">Ministry of Gender, Children, Disability and Social Welfare of the Republic of Malawi, </w:t>
      </w:r>
      <w:r w:rsidR="00506A54" w:rsidRPr="00DE12F5">
        <w:rPr>
          <w:rFonts w:cs="Times New Roman"/>
          <w:color w:val="4A442A" w:themeColor="background2" w:themeShade="40"/>
          <w:sz w:val="19"/>
          <w:szCs w:val="19"/>
          <w:lang w:val="en-US"/>
        </w:rPr>
        <w:t>United Nations C</w:t>
      </w:r>
      <w:r w:rsidRPr="00DE12F5">
        <w:rPr>
          <w:rFonts w:cs="Times New Roman"/>
          <w:color w:val="4A442A" w:themeColor="background2" w:themeShade="40"/>
          <w:sz w:val="19"/>
          <w:szCs w:val="19"/>
          <w:lang w:val="en-US"/>
        </w:rPr>
        <w:t xml:space="preserve">hildren’s Fund, the Center for Social Research at the University of Malawi, and the Centers for Disease Control and Prevention. </w:t>
      </w:r>
      <w:r w:rsidRPr="00DE12F5">
        <w:rPr>
          <w:rFonts w:cs="Times New Roman"/>
          <w:i/>
          <w:color w:val="4A442A" w:themeColor="background2" w:themeShade="40"/>
          <w:sz w:val="19"/>
          <w:szCs w:val="19"/>
          <w:lang w:val="en-US"/>
        </w:rPr>
        <w:t xml:space="preserve">Violence </w:t>
      </w:r>
      <w:proofErr w:type="gramStart"/>
      <w:r w:rsidRPr="00DE12F5">
        <w:rPr>
          <w:rFonts w:cs="Times New Roman"/>
          <w:i/>
          <w:color w:val="4A442A" w:themeColor="background2" w:themeShade="40"/>
          <w:sz w:val="19"/>
          <w:szCs w:val="19"/>
          <w:lang w:val="en-US"/>
        </w:rPr>
        <w:t>Against</w:t>
      </w:r>
      <w:proofErr w:type="gramEnd"/>
      <w:r w:rsidRPr="00DE12F5">
        <w:rPr>
          <w:rFonts w:cs="Times New Roman"/>
          <w:i/>
          <w:color w:val="4A442A" w:themeColor="background2" w:themeShade="40"/>
          <w:sz w:val="19"/>
          <w:szCs w:val="19"/>
          <w:lang w:val="en-US"/>
        </w:rPr>
        <w:t xml:space="preserve"> Children and Young Women in Malawi: Findings from a National Survey, 2013.</w:t>
      </w:r>
      <w:r w:rsidRPr="00DE12F5">
        <w:rPr>
          <w:rFonts w:cs="Times New Roman"/>
          <w:color w:val="4A442A" w:themeColor="background2" w:themeShade="40"/>
          <w:sz w:val="19"/>
          <w:szCs w:val="19"/>
          <w:lang w:val="en-US"/>
        </w:rPr>
        <w:t xml:space="preserve"> Lilongwe, Malawi: Government of Malawi, 2014.</w:t>
      </w:r>
    </w:p>
    <w:p w14:paraId="3DFA49CC" w14:textId="77777777" w:rsidR="00A21509" w:rsidRPr="00DE12F5" w:rsidRDefault="00A21509" w:rsidP="000938FE">
      <w:pPr>
        <w:spacing w:after="0" w:line="240" w:lineRule="auto"/>
        <w:rPr>
          <w:rFonts w:cs="Times New Roman"/>
          <w:color w:val="4A442A" w:themeColor="background2" w:themeShade="40"/>
          <w:sz w:val="19"/>
          <w:szCs w:val="19"/>
        </w:rPr>
      </w:pPr>
    </w:p>
    <w:p w14:paraId="45EDF5BE" w14:textId="77777777" w:rsidR="00A21509" w:rsidRPr="00DE12F5" w:rsidRDefault="00A21509" w:rsidP="000938FE">
      <w:pPr>
        <w:spacing w:after="0" w:line="240" w:lineRule="auto"/>
        <w:rPr>
          <w:color w:val="4A442A" w:themeColor="background2" w:themeShade="40"/>
          <w:sz w:val="19"/>
          <w:szCs w:val="19"/>
        </w:rPr>
      </w:pPr>
      <w:proofErr w:type="gramStart"/>
      <w:r w:rsidRPr="00DE12F5">
        <w:rPr>
          <w:color w:val="4A442A" w:themeColor="background2" w:themeShade="40"/>
          <w:sz w:val="19"/>
          <w:szCs w:val="19"/>
        </w:rPr>
        <w:t>National Commission for Mothers and Children, Lao Statistics Bureau and UNICEF Lao PDR.</w:t>
      </w:r>
      <w:proofErr w:type="gramEnd"/>
      <w:r w:rsidRPr="00DE12F5">
        <w:rPr>
          <w:color w:val="4A442A" w:themeColor="background2" w:themeShade="40"/>
          <w:sz w:val="19"/>
          <w:szCs w:val="19"/>
        </w:rPr>
        <w:t xml:space="preserve"> </w:t>
      </w:r>
      <w:proofErr w:type="gramStart"/>
      <w:r w:rsidRPr="00DE12F5">
        <w:rPr>
          <w:i/>
          <w:color w:val="4A442A" w:themeColor="background2" w:themeShade="40"/>
          <w:sz w:val="19"/>
          <w:szCs w:val="19"/>
        </w:rPr>
        <w:t>National Violence against Children Survey in Lao PDR.</w:t>
      </w:r>
      <w:proofErr w:type="gramEnd"/>
      <w:r w:rsidRPr="00DE12F5">
        <w:rPr>
          <w:i/>
          <w:color w:val="4A442A" w:themeColor="background2" w:themeShade="40"/>
          <w:sz w:val="19"/>
          <w:szCs w:val="19"/>
        </w:rPr>
        <w:t xml:space="preserve"> </w:t>
      </w:r>
      <w:proofErr w:type="gramStart"/>
      <w:r w:rsidRPr="00DE12F5">
        <w:rPr>
          <w:i/>
          <w:color w:val="4A442A" w:themeColor="background2" w:themeShade="40"/>
          <w:sz w:val="19"/>
          <w:szCs w:val="19"/>
        </w:rPr>
        <w:t>Preliminary Report.</w:t>
      </w:r>
      <w:proofErr w:type="gramEnd"/>
      <w:r w:rsidRPr="00DE12F5">
        <w:rPr>
          <w:color w:val="4A442A" w:themeColor="background2" w:themeShade="40"/>
          <w:sz w:val="19"/>
          <w:szCs w:val="19"/>
        </w:rPr>
        <w:t xml:space="preserve"> Lao PDR: National Commission for Mothers and Children, 2016.</w:t>
      </w:r>
    </w:p>
    <w:p w14:paraId="54F963AC" w14:textId="77777777" w:rsidR="00A21509" w:rsidRPr="00DE12F5" w:rsidRDefault="00A21509" w:rsidP="000938FE">
      <w:pPr>
        <w:spacing w:after="0" w:line="240" w:lineRule="auto"/>
        <w:rPr>
          <w:rFonts w:cs="Times New Roman"/>
          <w:color w:val="4A442A" w:themeColor="background2" w:themeShade="40"/>
          <w:sz w:val="19"/>
          <w:szCs w:val="19"/>
        </w:rPr>
      </w:pPr>
    </w:p>
    <w:p w14:paraId="7E719BAA" w14:textId="77777777" w:rsidR="00A21509" w:rsidRPr="00DE12F5" w:rsidRDefault="00A21509" w:rsidP="000938FE">
      <w:pPr>
        <w:spacing w:after="0" w:line="240" w:lineRule="auto"/>
        <w:rPr>
          <w:rFonts w:cs="Times New Roman"/>
          <w:color w:val="4A442A" w:themeColor="background2" w:themeShade="40"/>
          <w:sz w:val="19"/>
          <w:szCs w:val="19"/>
        </w:rPr>
      </w:pPr>
      <w:proofErr w:type="gramStart"/>
      <w:r w:rsidRPr="00DE12F5">
        <w:rPr>
          <w:rFonts w:cs="Times New Roman"/>
          <w:color w:val="4A442A" w:themeColor="background2" w:themeShade="40"/>
          <w:sz w:val="19"/>
          <w:szCs w:val="19"/>
          <w:lang w:val="en-US"/>
        </w:rPr>
        <w:t>National Population Commission of Nigeria, UNICEF Nigeria, and the U.S. Centers for Disease Control</w:t>
      </w:r>
      <w:r w:rsidR="0010758F" w:rsidRPr="00DE12F5">
        <w:rPr>
          <w:rFonts w:cs="Times New Roman"/>
          <w:color w:val="4A442A" w:themeColor="background2" w:themeShade="40"/>
          <w:sz w:val="19"/>
          <w:szCs w:val="19"/>
        </w:rPr>
        <w:t xml:space="preserve"> </w:t>
      </w:r>
      <w:r w:rsidR="0010758F" w:rsidRPr="00DE12F5">
        <w:rPr>
          <w:rFonts w:cs="Times New Roman"/>
          <w:color w:val="4A442A" w:themeColor="background2" w:themeShade="40"/>
          <w:sz w:val="19"/>
          <w:szCs w:val="19"/>
          <w:lang w:val="en-US"/>
        </w:rPr>
        <w:t xml:space="preserve">and </w:t>
      </w:r>
      <w:r w:rsidRPr="00DE12F5">
        <w:rPr>
          <w:rFonts w:cs="Times New Roman"/>
          <w:color w:val="4A442A" w:themeColor="background2" w:themeShade="40"/>
          <w:sz w:val="19"/>
          <w:szCs w:val="19"/>
          <w:lang w:val="en-US"/>
        </w:rPr>
        <w:t>Prevention.</w:t>
      </w:r>
      <w:proofErr w:type="gramEnd"/>
      <w:r w:rsidRPr="00DE12F5">
        <w:rPr>
          <w:rFonts w:cs="Times New Roman"/>
          <w:color w:val="4A442A" w:themeColor="background2" w:themeShade="40"/>
          <w:sz w:val="19"/>
          <w:szCs w:val="19"/>
          <w:lang w:val="en-US"/>
        </w:rPr>
        <w:t xml:space="preserve"> </w:t>
      </w:r>
      <w:r w:rsidRPr="00DE12F5">
        <w:rPr>
          <w:rFonts w:cs="Times New Roman"/>
          <w:i/>
          <w:color w:val="4A442A" w:themeColor="background2" w:themeShade="40"/>
          <w:sz w:val="19"/>
          <w:szCs w:val="19"/>
          <w:lang w:val="en-US"/>
        </w:rPr>
        <w:t xml:space="preserve">Violence </w:t>
      </w:r>
      <w:proofErr w:type="gramStart"/>
      <w:r w:rsidRPr="00DE12F5">
        <w:rPr>
          <w:rFonts w:cs="Times New Roman"/>
          <w:i/>
          <w:color w:val="4A442A" w:themeColor="background2" w:themeShade="40"/>
          <w:sz w:val="19"/>
          <w:szCs w:val="19"/>
          <w:lang w:val="en-US"/>
        </w:rPr>
        <w:t>Against</w:t>
      </w:r>
      <w:proofErr w:type="gramEnd"/>
      <w:r w:rsidRPr="00DE12F5">
        <w:rPr>
          <w:rFonts w:cs="Times New Roman"/>
          <w:i/>
          <w:color w:val="4A442A" w:themeColor="background2" w:themeShade="40"/>
          <w:sz w:val="19"/>
          <w:szCs w:val="19"/>
          <w:lang w:val="en-US"/>
        </w:rPr>
        <w:t xml:space="preserve"> Children in Nigeria: Findings from a National Survey, 2014. </w:t>
      </w:r>
      <w:r w:rsidRPr="00DE12F5">
        <w:rPr>
          <w:rFonts w:cs="Times New Roman"/>
          <w:color w:val="4A442A" w:themeColor="background2" w:themeShade="40"/>
          <w:sz w:val="19"/>
          <w:szCs w:val="19"/>
          <w:lang w:val="en-US"/>
        </w:rPr>
        <w:t>Abuja,</w:t>
      </w:r>
    </w:p>
    <w:p w14:paraId="676DD552" w14:textId="77777777" w:rsidR="00A21509" w:rsidRPr="00DE12F5" w:rsidRDefault="00A21509" w:rsidP="000938FE">
      <w:pPr>
        <w:spacing w:after="0" w:line="240" w:lineRule="auto"/>
        <w:rPr>
          <w:rFonts w:cs="Times New Roman"/>
          <w:color w:val="4A442A" w:themeColor="background2" w:themeShade="40"/>
          <w:sz w:val="19"/>
          <w:szCs w:val="19"/>
        </w:rPr>
      </w:pPr>
      <w:r w:rsidRPr="00DE12F5">
        <w:rPr>
          <w:rFonts w:cs="Times New Roman"/>
          <w:color w:val="4A442A" w:themeColor="background2" w:themeShade="40"/>
          <w:sz w:val="19"/>
          <w:szCs w:val="19"/>
        </w:rPr>
        <w:t>Nigeria: UNICEF, 2016.</w:t>
      </w:r>
    </w:p>
    <w:p w14:paraId="7B9DA1B2" w14:textId="77777777" w:rsidR="00A21509" w:rsidRPr="00DE12F5" w:rsidRDefault="00A21509" w:rsidP="000938FE">
      <w:pPr>
        <w:spacing w:after="0" w:line="240" w:lineRule="auto"/>
        <w:rPr>
          <w:rFonts w:cs="Times New Roman"/>
          <w:color w:val="4A442A" w:themeColor="background2" w:themeShade="40"/>
          <w:sz w:val="19"/>
          <w:szCs w:val="19"/>
        </w:rPr>
      </w:pPr>
    </w:p>
    <w:p w14:paraId="695133FB" w14:textId="77777777" w:rsidR="00A21509" w:rsidRPr="00DE12F5" w:rsidRDefault="00A21509" w:rsidP="000938FE">
      <w:pPr>
        <w:spacing w:after="0" w:line="240" w:lineRule="auto"/>
        <w:rPr>
          <w:rFonts w:cs="Times New Roman"/>
          <w:color w:val="4A442A" w:themeColor="background2" w:themeShade="40"/>
          <w:sz w:val="19"/>
          <w:szCs w:val="19"/>
        </w:rPr>
      </w:pPr>
      <w:proofErr w:type="gramStart"/>
      <w:r w:rsidRPr="00DE12F5">
        <w:rPr>
          <w:rFonts w:cs="Times New Roman"/>
          <w:color w:val="4A442A" w:themeColor="background2" w:themeShade="40"/>
          <w:sz w:val="19"/>
          <w:szCs w:val="19"/>
        </w:rPr>
        <w:t>Republic of Zambia.</w:t>
      </w:r>
      <w:proofErr w:type="gramEnd"/>
      <w:r w:rsidRPr="00DE12F5">
        <w:rPr>
          <w:rFonts w:cs="Times New Roman"/>
          <w:color w:val="4A442A" w:themeColor="background2" w:themeShade="40"/>
          <w:sz w:val="19"/>
          <w:szCs w:val="19"/>
        </w:rPr>
        <w:t xml:space="preserve"> Policy Brief: Zambia Health and Wellbeing (H-WELL) Survey 2014. 2016.</w:t>
      </w:r>
    </w:p>
    <w:p w14:paraId="6B440A02" w14:textId="77777777" w:rsidR="00A21509" w:rsidRPr="00DE12F5" w:rsidRDefault="00A21509" w:rsidP="000938FE">
      <w:pPr>
        <w:spacing w:after="0" w:line="240" w:lineRule="auto"/>
        <w:rPr>
          <w:rFonts w:cs="Times New Roman"/>
          <w:color w:val="4A442A" w:themeColor="background2" w:themeShade="40"/>
          <w:sz w:val="19"/>
          <w:szCs w:val="19"/>
        </w:rPr>
      </w:pPr>
    </w:p>
    <w:p w14:paraId="2C40E929" w14:textId="77777777" w:rsidR="007A3DBE" w:rsidRPr="00DE12F5" w:rsidRDefault="007A3DBE" w:rsidP="000938FE">
      <w:pPr>
        <w:spacing w:after="0" w:line="240" w:lineRule="auto"/>
        <w:rPr>
          <w:rFonts w:cs="Times New Roman"/>
          <w:color w:val="4A442A" w:themeColor="background2" w:themeShade="40"/>
          <w:sz w:val="19"/>
          <w:szCs w:val="19"/>
          <w:lang w:val="en-US"/>
        </w:rPr>
      </w:pPr>
      <w:proofErr w:type="gramStart"/>
      <w:r w:rsidRPr="00DE12F5">
        <w:rPr>
          <w:rFonts w:cs="Times New Roman"/>
          <w:color w:val="4A442A" w:themeColor="background2" w:themeShade="40"/>
          <w:sz w:val="19"/>
          <w:szCs w:val="19"/>
          <w:lang w:val="en-US"/>
        </w:rPr>
        <w:t>UNICEF Swaziland and CDC</w:t>
      </w:r>
      <w:r w:rsidRPr="00DE12F5">
        <w:rPr>
          <w:rFonts w:cs="Times New Roman"/>
          <w:i/>
          <w:color w:val="4A442A" w:themeColor="background2" w:themeShade="40"/>
          <w:sz w:val="19"/>
          <w:szCs w:val="19"/>
          <w:lang w:val="en-US"/>
        </w:rPr>
        <w:t>.</w:t>
      </w:r>
      <w:proofErr w:type="gramEnd"/>
      <w:r w:rsidRPr="00DE12F5">
        <w:rPr>
          <w:rFonts w:cs="Times New Roman"/>
          <w:i/>
          <w:color w:val="4A442A" w:themeColor="background2" w:themeShade="40"/>
          <w:sz w:val="19"/>
          <w:szCs w:val="19"/>
          <w:lang w:val="en-US"/>
        </w:rPr>
        <w:t xml:space="preserve"> Findings from a National Survey on Violence </w:t>
      </w:r>
      <w:proofErr w:type="gramStart"/>
      <w:r w:rsidRPr="00DE12F5">
        <w:rPr>
          <w:rFonts w:cs="Times New Roman"/>
          <w:i/>
          <w:color w:val="4A442A" w:themeColor="background2" w:themeShade="40"/>
          <w:sz w:val="19"/>
          <w:szCs w:val="19"/>
          <w:lang w:val="en-US"/>
        </w:rPr>
        <w:t>Against</w:t>
      </w:r>
      <w:proofErr w:type="gramEnd"/>
      <w:r w:rsidRPr="00DE12F5">
        <w:rPr>
          <w:rFonts w:cs="Times New Roman"/>
          <w:i/>
          <w:color w:val="4A442A" w:themeColor="background2" w:themeShade="40"/>
          <w:sz w:val="19"/>
          <w:szCs w:val="19"/>
          <w:lang w:val="en-US"/>
        </w:rPr>
        <w:t xml:space="preserve"> Children in Swaziland</w:t>
      </w:r>
      <w:r w:rsidRPr="00DE12F5">
        <w:rPr>
          <w:rFonts w:cs="Times New Roman"/>
          <w:color w:val="4A442A" w:themeColor="background2" w:themeShade="40"/>
          <w:sz w:val="19"/>
          <w:szCs w:val="19"/>
          <w:lang w:val="en-US"/>
        </w:rPr>
        <w:t>. CDC, Atlanta. 2007.</w:t>
      </w:r>
    </w:p>
    <w:p w14:paraId="513D9C3D" w14:textId="77777777" w:rsidR="007A3DBE" w:rsidRPr="00DE12F5" w:rsidRDefault="007A3DBE" w:rsidP="000938FE">
      <w:pPr>
        <w:spacing w:after="0" w:line="240" w:lineRule="auto"/>
        <w:rPr>
          <w:rFonts w:cs="Times New Roman"/>
          <w:color w:val="4A442A" w:themeColor="background2" w:themeShade="40"/>
          <w:sz w:val="19"/>
          <w:szCs w:val="19"/>
        </w:rPr>
      </w:pPr>
    </w:p>
    <w:p w14:paraId="439FC1E7" w14:textId="77777777" w:rsidR="007A3DBE" w:rsidRPr="00DE12F5" w:rsidRDefault="007A3DBE" w:rsidP="000938FE">
      <w:pPr>
        <w:spacing w:after="0" w:line="240" w:lineRule="auto"/>
        <w:rPr>
          <w:rFonts w:cs="Times New Roman"/>
          <w:color w:val="4A442A" w:themeColor="background2" w:themeShade="40"/>
          <w:sz w:val="19"/>
          <w:szCs w:val="19"/>
          <w:lang w:val="en-US"/>
        </w:rPr>
      </w:pPr>
      <w:proofErr w:type="gramStart"/>
      <w:r w:rsidRPr="00DE12F5">
        <w:rPr>
          <w:rFonts w:cs="Times New Roman"/>
          <w:color w:val="4A442A" w:themeColor="background2" w:themeShade="40"/>
          <w:sz w:val="19"/>
          <w:szCs w:val="19"/>
          <w:lang w:val="en-US"/>
        </w:rPr>
        <w:t xml:space="preserve">UNICEF Tanzania, CDC, and </w:t>
      </w:r>
      <w:proofErr w:type="spellStart"/>
      <w:r w:rsidRPr="00DE12F5">
        <w:rPr>
          <w:rFonts w:cs="Times New Roman"/>
          <w:color w:val="4A442A" w:themeColor="background2" w:themeShade="40"/>
          <w:sz w:val="19"/>
          <w:szCs w:val="19"/>
          <w:lang w:val="en-US"/>
        </w:rPr>
        <w:t>Muhimbili</w:t>
      </w:r>
      <w:proofErr w:type="spellEnd"/>
      <w:r w:rsidRPr="00DE12F5">
        <w:rPr>
          <w:rFonts w:cs="Times New Roman"/>
          <w:color w:val="4A442A" w:themeColor="background2" w:themeShade="40"/>
          <w:sz w:val="19"/>
          <w:szCs w:val="19"/>
          <w:lang w:val="en-US"/>
        </w:rPr>
        <w:t xml:space="preserve"> University of Health and Allied Sciences.</w:t>
      </w:r>
      <w:proofErr w:type="gramEnd"/>
      <w:r w:rsidRPr="00DE12F5">
        <w:rPr>
          <w:rFonts w:cs="Times New Roman"/>
          <w:color w:val="4A442A" w:themeColor="background2" w:themeShade="40"/>
          <w:sz w:val="19"/>
          <w:szCs w:val="19"/>
          <w:lang w:val="en-US"/>
        </w:rPr>
        <w:t xml:space="preserve"> </w:t>
      </w:r>
      <w:r w:rsidRPr="00DE12F5">
        <w:rPr>
          <w:rFonts w:cs="Times New Roman"/>
          <w:i/>
          <w:color w:val="4A442A" w:themeColor="background2" w:themeShade="40"/>
          <w:sz w:val="19"/>
          <w:szCs w:val="19"/>
          <w:lang w:val="en-US"/>
        </w:rPr>
        <w:t>Violence against Children in Tanzania: Findings from a National Survey 2009.</w:t>
      </w:r>
      <w:r w:rsidRPr="00DE12F5">
        <w:rPr>
          <w:rFonts w:cs="Times New Roman"/>
          <w:color w:val="4A442A" w:themeColor="background2" w:themeShade="40"/>
          <w:sz w:val="19"/>
          <w:szCs w:val="19"/>
          <w:lang w:val="en-US"/>
        </w:rPr>
        <w:t xml:space="preserve"> Dar </w:t>
      </w:r>
      <w:proofErr w:type="spellStart"/>
      <w:r w:rsidRPr="00DE12F5">
        <w:rPr>
          <w:rFonts w:cs="Times New Roman"/>
          <w:color w:val="4A442A" w:themeColor="background2" w:themeShade="40"/>
          <w:sz w:val="19"/>
          <w:szCs w:val="19"/>
          <w:lang w:val="en-US"/>
        </w:rPr>
        <w:t>es</w:t>
      </w:r>
      <w:proofErr w:type="spellEnd"/>
      <w:r w:rsidRPr="00DE12F5">
        <w:rPr>
          <w:rFonts w:cs="Times New Roman"/>
          <w:color w:val="4A442A" w:themeColor="background2" w:themeShade="40"/>
          <w:sz w:val="19"/>
          <w:szCs w:val="19"/>
          <w:lang w:val="en-US"/>
        </w:rPr>
        <w:t xml:space="preserve"> Salaam, Tanzania. 2011.</w:t>
      </w:r>
    </w:p>
    <w:p w14:paraId="62DE8A6A" w14:textId="77777777" w:rsidR="007A3DBE" w:rsidRPr="00DE12F5" w:rsidRDefault="007A3DBE" w:rsidP="000938FE">
      <w:pPr>
        <w:spacing w:after="0" w:line="240" w:lineRule="auto"/>
        <w:rPr>
          <w:rFonts w:cs="Times New Roman"/>
          <w:color w:val="4A442A" w:themeColor="background2" w:themeShade="40"/>
          <w:sz w:val="19"/>
          <w:szCs w:val="19"/>
        </w:rPr>
      </w:pPr>
    </w:p>
    <w:p w14:paraId="0E70FA00" w14:textId="77777777" w:rsidR="007A3DBE" w:rsidRPr="00DE12F5" w:rsidRDefault="007A3DBE" w:rsidP="000938FE">
      <w:pPr>
        <w:spacing w:after="0" w:line="240" w:lineRule="auto"/>
        <w:rPr>
          <w:rFonts w:cs="Times New Roman"/>
          <w:color w:val="4A442A" w:themeColor="background2" w:themeShade="40"/>
          <w:sz w:val="19"/>
          <w:szCs w:val="19"/>
          <w:lang w:val="en-US"/>
        </w:rPr>
      </w:pPr>
      <w:proofErr w:type="gramStart"/>
      <w:r w:rsidRPr="00DE12F5">
        <w:rPr>
          <w:rFonts w:cs="Times New Roman"/>
          <w:color w:val="4A442A" w:themeColor="background2" w:themeShade="40"/>
          <w:sz w:val="19"/>
          <w:szCs w:val="19"/>
          <w:lang w:val="en-US"/>
        </w:rPr>
        <w:t>UNICEF Kenya, CDC, and Kenya National Bureau of Statistics.</w:t>
      </w:r>
      <w:proofErr w:type="gramEnd"/>
      <w:r w:rsidRPr="00DE12F5">
        <w:rPr>
          <w:rFonts w:cs="Times New Roman"/>
          <w:color w:val="4A442A" w:themeColor="background2" w:themeShade="40"/>
          <w:sz w:val="19"/>
          <w:szCs w:val="19"/>
          <w:lang w:val="en-US"/>
        </w:rPr>
        <w:t xml:space="preserve"> </w:t>
      </w:r>
      <w:r w:rsidRPr="00DE12F5">
        <w:rPr>
          <w:rFonts w:cs="Times New Roman"/>
          <w:i/>
          <w:color w:val="4A442A" w:themeColor="background2" w:themeShade="40"/>
          <w:sz w:val="19"/>
          <w:szCs w:val="19"/>
          <w:lang w:val="en-US"/>
        </w:rPr>
        <w:t>Violence against Childr</w:t>
      </w:r>
      <w:r w:rsidR="0010758F" w:rsidRPr="00DE12F5">
        <w:rPr>
          <w:rFonts w:cs="Times New Roman"/>
          <w:i/>
          <w:color w:val="4A442A" w:themeColor="background2" w:themeShade="40"/>
          <w:sz w:val="19"/>
          <w:szCs w:val="19"/>
          <w:lang w:val="en-US"/>
        </w:rPr>
        <w:t xml:space="preserve">en in Kenya: Findings from a </w:t>
      </w:r>
      <w:r w:rsidRPr="00DE12F5">
        <w:rPr>
          <w:rFonts w:cs="Times New Roman"/>
          <w:i/>
          <w:color w:val="4A442A" w:themeColor="background2" w:themeShade="40"/>
          <w:sz w:val="19"/>
          <w:szCs w:val="19"/>
          <w:lang w:val="en-US"/>
        </w:rPr>
        <w:t>2010 National Survey.</w:t>
      </w:r>
      <w:r w:rsidRPr="00DE12F5">
        <w:rPr>
          <w:rFonts w:cs="Times New Roman"/>
          <w:color w:val="4A442A" w:themeColor="background2" w:themeShade="40"/>
          <w:sz w:val="19"/>
          <w:szCs w:val="19"/>
          <w:lang w:val="en-US"/>
        </w:rPr>
        <w:t xml:space="preserve"> Nairobi, Kenya. 2012.</w:t>
      </w:r>
    </w:p>
    <w:p w14:paraId="1F337E49" w14:textId="77777777" w:rsidR="007A3DBE" w:rsidRPr="00DE12F5" w:rsidRDefault="007A3DBE" w:rsidP="000938FE">
      <w:pPr>
        <w:spacing w:after="0" w:line="240" w:lineRule="auto"/>
        <w:rPr>
          <w:rFonts w:cs="Times New Roman"/>
          <w:color w:val="4A442A" w:themeColor="background2" w:themeShade="40"/>
          <w:sz w:val="19"/>
          <w:szCs w:val="19"/>
        </w:rPr>
      </w:pPr>
    </w:p>
    <w:p w14:paraId="15807769" w14:textId="77777777" w:rsidR="007A3DBE" w:rsidRPr="00DE12F5" w:rsidRDefault="007A3DBE" w:rsidP="000938FE">
      <w:pPr>
        <w:spacing w:after="0" w:line="240" w:lineRule="auto"/>
        <w:rPr>
          <w:rFonts w:cs="Times New Roman"/>
          <w:color w:val="4A442A" w:themeColor="background2" w:themeShade="40"/>
          <w:sz w:val="19"/>
          <w:szCs w:val="19"/>
          <w:lang w:val="en-US"/>
        </w:rPr>
      </w:pPr>
      <w:proofErr w:type="gramStart"/>
      <w:r w:rsidRPr="00DE12F5">
        <w:rPr>
          <w:rFonts w:cs="Times New Roman"/>
          <w:color w:val="4A442A" w:themeColor="background2" w:themeShade="40"/>
          <w:sz w:val="19"/>
          <w:szCs w:val="19"/>
          <w:lang w:val="en-US"/>
        </w:rPr>
        <w:t>Zimbabwe National Statistics Agency.</w:t>
      </w:r>
      <w:proofErr w:type="gramEnd"/>
      <w:r w:rsidRPr="00DE12F5">
        <w:rPr>
          <w:rFonts w:cs="Times New Roman"/>
          <w:color w:val="4A442A" w:themeColor="background2" w:themeShade="40"/>
          <w:sz w:val="19"/>
          <w:szCs w:val="19"/>
          <w:lang w:val="en-US"/>
        </w:rPr>
        <w:t xml:space="preserve"> </w:t>
      </w:r>
      <w:proofErr w:type="gramStart"/>
      <w:r w:rsidRPr="00DE12F5">
        <w:rPr>
          <w:rFonts w:cs="Times New Roman"/>
          <w:i/>
          <w:color w:val="4A442A" w:themeColor="background2" w:themeShade="40"/>
          <w:sz w:val="19"/>
          <w:szCs w:val="19"/>
          <w:lang w:val="en-US"/>
        </w:rPr>
        <w:t>National Baseline Survey on Life Experiences of Adolescents in Zimbabwe 2011.</w:t>
      </w:r>
      <w:proofErr w:type="gramEnd"/>
      <w:r w:rsidR="0010758F" w:rsidRPr="00DE12F5">
        <w:rPr>
          <w:rFonts w:cs="Times New Roman"/>
          <w:color w:val="4A442A" w:themeColor="background2" w:themeShade="40"/>
          <w:sz w:val="19"/>
          <w:szCs w:val="19"/>
          <w:lang w:val="en-US"/>
        </w:rPr>
        <w:t xml:space="preserve"> </w:t>
      </w:r>
      <w:proofErr w:type="gramStart"/>
      <w:r w:rsidRPr="00DE12F5">
        <w:rPr>
          <w:rFonts w:cs="Times New Roman"/>
          <w:color w:val="4A442A" w:themeColor="background2" w:themeShade="40"/>
          <w:sz w:val="19"/>
          <w:szCs w:val="19"/>
          <w:lang w:val="en-US"/>
        </w:rPr>
        <w:t>Preliminary Report.</w:t>
      </w:r>
      <w:proofErr w:type="gramEnd"/>
      <w:r w:rsidRPr="00DE12F5">
        <w:rPr>
          <w:rFonts w:cs="Times New Roman"/>
          <w:color w:val="4A442A" w:themeColor="background2" w:themeShade="40"/>
          <w:sz w:val="19"/>
          <w:szCs w:val="19"/>
          <w:lang w:val="en-US"/>
        </w:rPr>
        <w:t xml:space="preserve"> 2012.</w:t>
      </w:r>
    </w:p>
    <w:p w14:paraId="7C71B628" w14:textId="77777777" w:rsidR="00A21509" w:rsidRPr="00DE12F5" w:rsidRDefault="00A21509" w:rsidP="000938FE">
      <w:pPr>
        <w:spacing w:after="0" w:line="240" w:lineRule="auto"/>
        <w:rPr>
          <w:rFonts w:cs="Times New Roman"/>
          <w:color w:val="4A442A" w:themeColor="background2" w:themeShade="40"/>
          <w:sz w:val="19"/>
          <w:szCs w:val="19"/>
        </w:rPr>
      </w:pPr>
    </w:p>
    <w:sectPr w:rsidR="00A21509" w:rsidRPr="00DE12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7AE31" w14:textId="77777777" w:rsidR="006B094F" w:rsidRDefault="006B094F" w:rsidP="00F563CA">
      <w:pPr>
        <w:spacing w:after="0" w:line="240" w:lineRule="auto"/>
      </w:pPr>
      <w:r>
        <w:separator/>
      </w:r>
    </w:p>
  </w:endnote>
  <w:endnote w:type="continuationSeparator" w:id="0">
    <w:p w14:paraId="253C1BE4" w14:textId="77777777" w:rsidR="006B094F" w:rsidRDefault="006B094F" w:rsidP="00F5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OT0231c847">
    <w:panose1 w:val="00000000000000000000"/>
    <w:charset w:val="00"/>
    <w:family w:val="swiss"/>
    <w:notTrueType/>
    <w:pitch w:val="default"/>
    <w:sig w:usb0="00000003" w:usb1="00000000" w:usb2="00000000" w:usb3="00000000" w:csb0="00000001" w:csb1="00000000"/>
  </w:font>
  <w:font w:name="AdvOTbe4cb9cb">
    <w:panose1 w:val="00000000000000000000"/>
    <w:charset w:val="00"/>
    <w:family w:val="swiss"/>
    <w:notTrueType/>
    <w:pitch w:val="default"/>
    <w:sig w:usb0="00000003" w:usb1="00000000" w:usb2="00000000" w:usb3="00000000" w:csb0="00000001" w:csb1="00000000"/>
  </w:font>
  <w:font w:name="AdvOTc9c0ed35.B">
    <w:panose1 w:val="00000000000000000000"/>
    <w:charset w:val="00"/>
    <w:family w:val="swiss"/>
    <w:notTrueType/>
    <w:pitch w:val="default"/>
    <w:sig w:usb0="00000003" w:usb1="00000000" w:usb2="00000000" w:usb3="00000000" w:csb0="00000001" w:csb1="00000000"/>
  </w:font>
  <w:font w:name="AdvOT0231c847+2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2B538" w14:textId="77777777" w:rsidR="006B094F" w:rsidRDefault="006B094F" w:rsidP="00F563CA">
      <w:pPr>
        <w:spacing w:after="0" w:line="240" w:lineRule="auto"/>
      </w:pPr>
      <w:r>
        <w:separator/>
      </w:r>
    </w:p>
  </w:footnote>
  <w:footnote w:type="continuationSeparator" w:id="0">
    <w:p w14:paraId="3162564E" w14:textId="77777777" w:rsidR="006B094F" w:rsidRDefault="006B094F" w:rsidP="00F563CA">
      <w:pPr>
        <w:spacing w:after="0" w:line="240" w:lineRule="auto"/>
      </w:pPr>
      <w:r>
        <w:continuationSeparator/>
      </w:r>
    </w:p>
  </w:footnote>
  <w:footnote w:id="1">
    <w:p w14:paraId="127B9023" w14:textId="77777777" w:rsidR="00356ACB" w:rsidRPr="00233C9A" w:rsidRDefault="00356ACB">
      <w:pPr>
        <w:pStyle w:val="FootnoteText"/>
        <w:rPr>
          <w:color w:val="4A442A" w:themeColor="background2" w:themeShade="40"/>
          <w:sz w:val="16"/>
          <w:szCs w:val="16"/>
          <w:lang w:val="en-US"/>
        </w:rPr>
      </w:pPr>
      <w:r w:rsidRPr="00233C9A">
        <w:rPr>
          <w:rStyle w:val="FootnoteReference"/>
          <w:color w:val="4A442A" w:themeColor="background2" w:themeShade="40"/>
          <w:sz w:val="16"/>
          <w:szCs w:val="16"/>
        </w:rPr>
        <w:footnoteRef/>
      </w:r>
      <w:r w:rsidRPr="00233C9A">
        <w:rPr>
          <w:color w:val="4A442A" w:themeColor="background2" w:themeShade="40"/>
          <w:sz w:val="16"/>
          <w:szCs w:val="16"/>
        </w:rPr>
        <w:t xml:space="preserve"> </w:t>
      </w:r>
      <w:r w:rsidRPr="00233C9A">
        <w:rPr>
          <w:color w:val="4A442A" w:themeColor="background2" w:themeShade="40"/>
          <w:sz w:val="16"/>
          <w:szCs w:val="16"/>
          <w:lang w:val="en-US"/>
        </w:rPr>
        <w:t>Swaziland (girls only), Tanzania, Kenya, Haiti, Cambodia, Malawi, Nigeria, Laos, Zimbabwe, Zambia</w:t>
      </w:r>
    </w:p>
  </w:footnote>
  <w:footnote w:id="2">
    <w:p w14:paraId="29554437" w14:textId="0DC0CA80" w:rsidR="00356ACB" w:rsidRPr="00A644D2" w:rsidRDefault="00356ACB" w:rsidP="009C6569">
      <w:pPr>
        <w:pStyle w:val="FootnoteText"/>
        <w:rPr>
          <w:lang w:val="es-CO"/>
        </w:rPr>
      </w:pPr>
      <w:r w:rsidRPr="00233C9A">
        <w:rPr>
          <w:rStyle w:val="FootnoteReference"/>
          <w:color w:val="4A442A" w:themeColor="background2" w:themeShade="40"/>
          <w:sz w:val="16"/>
          <w:szCs w:val="16"/>
        </w:rPr>
        <w:footnoteRef/>
      </w:r>
      <w:r w:rsidRPr="00233C9A">
        <w:rPr>
          <w:color w:val="4A442A" w:themeColor="background2" w:themeShade="40"/>
          <w:sz w:val="16"/>
          <w:szCs w:val="16"/>
          <w:lang w:val="es-CO"/>
        </w:rPr>
        <w:t xml:space="preserve"> </w:t>
      </w:r>
      <w:proofErr w:type="spellStart"/>
      <w:r w:rsidRPr="00233C9A">
        <w:rPr>
          <w:color w:val="4A442A" w:themeColor="background2" w:themeShade="40"/>
          <w:sz w:val="16"/>
          <w:szCs w:val="16"/>
          <w:lang w:val="es-CO"/>
        </w:rPr>
        <w:t>Botswana</w:t>
      </w:r>
      <w:proofErr w:type="spellEnd"/>
      <w:r w:rsidRPr="00233C9A">
        <w:rPr>
          <w:color w:val="4A442A" w:themeColor="background2" w:themeShade="40"/>
          <w:sz w:val="16"/>
          <w:szCs w:val="16"/>
          <w:lang w:val="es-CO"/>
        </w:rPr>
        <w:t xml:space="preserve">, </w:t>
      </w:r>
      <w:proofErr w:type="spellStart"/>
      <w:r w:rsidRPr="00233C9A">
        <w:rPr>
          <w:color w:val="4A442A" w:themeColor="background2" w:themeShade="40"/>
          <w:sz w:val="16"/>
          <w:szCs w:val="16"/>
          <w:lang w:val="es-CO"/>
        </w:rPr>
        <w:t>Rwanda</w:t>
      </w:r>
      <w:proofErr w:type="spellEnd"/>
      <w:r w:rsidRPr="00233C9A">
        <w:rPr>
          <w:color w:val="4A442A" w:themeColor="background2" w:themeShade="40"/>
          <w:sz w:val="16"/>
          <w:szCs w:val="16"/>
          <w:lang w:val="es-CO"/>
        </w:rPr>
        <w:t xml:space="preserve">, Uganda, Honduras, Guatemala, El Salvador, Colombia, Mozambique, Cote </w:t>
      </w:r>
      <w:proofErr w:type="spellStart"/>
      <w:r w:rsidRPr="00233C9A">
        <w:rPr>
          <w:color w:val="4A442A" w:themeColor="background2" w:themeShade="40"/>
          <w:sz w:val="16"/>
          <w:szCs w:val="16"/>
          <w:lang w:val="es-CO"/>
        </w:rPr>
        <w:t>d’Ivoire</w:t>
      </w:r>
      <w:proofErr w:type="spellEnd"/>
      <w:r w:rsidRPr="00233C9A">
        <w:rPr>
          <w:color w:val="4A442A" w:themeColor="background2" w:themeShade="40"/>
          <w:sz w:val="16"/>
          <w:szCs w:val="16"/>
          <w:lang w:val="es-CO"/>
        </w:rPr>
        <w:t xml:space="preserve">, Namibia, </w:t>
      </w:r>
      <w:proofErr w:type="spellStart"/>
      <w:r w:rsidRPr="00233C9A">
        <w:rPr>
          <w:color w:val="4A442A" w:themeColor="background2" w:themeShade="40"/>
          <w:sz w:val="16"/>
          <w:szCs w:val="16"/>
          <w:lang w:val="es-CO"/>
        </w:rPr>
        <w:t>Lesotho</w:t>
      </w:r>
      <w:proofErr w:type="spellEnd"/>
      <w:r w:rsidRPr="00233C9A">
        <w:rPr>
          <w:color w:val="4A442A" w:themeColor="background2" w:themeShade="40"/>
          <w:sz w:val="16"/>
          <w:szCs w:val="16"/>
          <w:lang w:val="es-CO"/>
        </w:rPr>
        <w:t xml:space="preserve">, </w:t>
      </w:r>
      <w:proofErr w:type="spellStart"/>
      <w:r w:rsidRPr="00233C9A">
        <w:rPr>
          <w:color w:val="4A442A" w:themeColor="background2" w:themeShade="40"/>
          <w:sz w:val="16"/>
          <w:szCs w:val="16"/>
          <w:lang w:val="es-CO"/>
        </w:rPr>
        <w:t>Moldova</w:t>
      </w:r>
      <w:proofErr w:type="spellEnd"/>
    </w:p>
  </w:footnote>
  <w:footnote w:id="3">
    <w:p w14:paraId="1B5955DB" w14:textId="3EAF687A" w:rsidR="00D33226" w:rsidRPr="00233C9A" w:rsidRDefault="00D33226">
      <w:pPr>
        <w:pStyle w:val="FootnoteText"/>
        <w:rPr>
          <w:color w:val="4A442A" w:themeColor="background2" w:themeShade="40"/>
          <w:sz w:val="16"/>
          <w:szCs w:val="16"/>
          <w:lang w:val="en-US"/>
        </w:rPr>
      </w:pPr>
      <w:r w:rsidRPr="00233C9A">
        <w:rPr>
          <w:rStyle w:val="FootnoteReference"/>
          <w:color w:val="4A442A" w:themeColor="background2" w:themeShade="40"/>
          <w:sz w:val="16"/>
          <w:szCs w:val="16"/>
        </w:rPr>
        <w:footnoteRef/>
      </w:r>
      <w:r w:rsidRPr="00233C9A">
        <w:rPr>
          <w:color w:val="4A442A" w:themeColor="background2" w:themeShade="40"/>
          <w:sz w:val="16"/>
          <w:szCs w:val="16"/>
        </w:rPr>
        <w:t xml:space="preserve"> </w:t>
      </w:r>
      <w:r w:rsidRPr="00233C9A">
        <w:rPr>
          <w:rFonts w:cs="Times New Roman"/>
          <w:color w:val="4A442A" w:themeColor="background2" w:themeShade="40"/>
          <w:sz w:val="16"/>
          <w:szCs w:val="16"/>
        </w:rPr>
        <w:t xml:space="preserve">The VACS in Nigeria and Malawi demonstrated significant associations between experiences of VAC and perpetration of physical and sexual IPV by males; similar links have shown up in numerous studies across </w:t>
      </w:r>
      <w:r w:rsidR="000938FE" w:rsidRPr="00233C9A">
        <w:rPr>
          <w:rFonts w:cs="Times New Roman"/>
          <w:color w:val="4A442A" w:themeColor="background2" w:themeShade="40"/>
          <w:sz w:val="16"/>
          <w:szCs w:val="16"/>
        </w:rPr>
        <w:t>Sub-Saharan</w:t>
      </w:r>
      <w:r w:rsidRPr="00233C9A">
        <w:rPr>
          <w:rFonts w:cs="Times New Roman"/>
          <w:color w:val="4A442A" w:themeColor="background2" w:themeShade="40"/>
          <w:sz w:val="16"/>
          <w:szCs w:val="16"/>
        </w:rPr>
        <w:t xml:space="preserve"> Africa, Asia-Pacific and LAC.</w:t>
      </w:r>
    </w:p>
  </w:footnote>
  <w:footnote w:id="4">
    <w:p w14:paraId="40682A8A" w14:textId="53DCE870" w:rsidR="00111EE1" w:rsidRPr="00233C9A" w:rsidRDefault="00111EE1">
      <w:pPr>
        <w:pStyle w:val="FootnoteText"/>
        <w:rPr>
          <w:color w:val="4A442A" w:themeColor="background2" w:themeShade="40"/>
          <w:sz w:val="16"/>
          <w:szCs w:val="16"/>
          <w:lang w:val="en-US"/>
        </w:rPr>
      </w:pPr>
      <w:r w:rsidRPr="00233C9A">
        <w:rPr>
          <w:rStyle w:val="FootnoteReference"/>
          <w:color w:val="4A442A" w:themeColor="background2" w:themeShade="40"/>
          <w:sz w:val="16"/>
          <w:szCs w:val="16"/>
        </w:rPr>
        <w:footnoteRef/>
      </w:r>
      <w:r w:rsidRPr="00233C9A">
        <w:rPr>
          <w:color w:val="4A442A" w:themeColor="background2" w:themeShade="40"/>
          <w:sz w:val="16"/>
          <w:szCs w:val="16"/>
        </w:rPr>
        <w:t xml:space="preserve"> </w:t>
      </w:r>
      <w:r w:rsidRPr="00233C9A">
        <w:rPr>
          <w:color w:val="4A442A" w:themeColor="background2" w:themeShade="40"/>
          <w:sz w:val="16"/>
          <w:szCs w:val="16"/>
          <w:lang w:val="en-US"/>
        </w:rPr>
        <w:t>In Latin America and Moldova, the International Organization for Migration is playing this role.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0ED1"/>
    <w:multiLevelType w:val="hybridMultilevel"/>
    <w:tmpl w:val="271CE032"/>
    <w:lvl w:ilvl="0" w:tplc="7E62EB0C">
      <w:start w:val="1"/>
      <w:numFmt w:val="bullet"/>
      <w:lvlText w:val="•"/>
      <w:lvlJc w:val="left"/>
      <w:pPr>
        <w:tabs>
          <w:tab w:val="num" w:pos="720"/>
        </w:tabs>
        <w:ind w:left="720" w:hanging="360"/>
      </w:pPr>
      <w:rPr>
        <w:rFonts w:ascii="Arial" w:hAnsi="Arial" w:hint="default"/>
      </w:rPr>
    </w:lvl>
    <w:lvl w:ilvl="1" w:tplc="CA70CAC0">
      <w:start w:val="1"/>
      <w:numFmt w:val="bullet"/>
      <w:lvlText w:val="•"/>
      <w:lvlJc w:val="left"/>
      <w:pPr>
        <w:tabs>
          <w:tab w:val="num" w:pos="1440"/>
        </w:tabs>
        <w:ind w:left="1440" w:hanging="360"/>
      </w:pPr>
      <w:rPr>
        <w:rFonts w:ascii="Arial" w:hAnsi="Arial" w:hint="default"/>
      </w:rPr>
    </w:lvl>
    <w:lvl w:ilvl="2" w:tplc="B6765EA4" w:tentative="1">
      <w:start w:val="1"/>
      <w:numFmt w:val="bullet"/>
      <w:lvlText w:val="•"/>
      <w:lvlJc w:val="left"/>
      <w:pPr>
        <w:tabs>
          <w:tab w:val="num" w:pos="2160"/>
        </w:tabs>
        <w:ind w:left="2160" w:hanging="360"/>
      </w:pPr>
      <w:rPr>
        <w:rFonts w:ascii="Arial" w:hAnsi="Arial" w:hint="default"/>
      </w:rPr>
    </w:lvl>
    <w:lvl w:ilvl="3" w:tplc="4AB8E364" w:tentative="1">
      <w:start w:val="1"/>
      <w:numFmt w:val="bullet"/>
      <w:lvlText w:val="•"/>
      <w:lvlJc w:val="left"/>
      <w:pPr>
        <w:tabs>
          <w:tab w:val="num" w:pos="2880"/>
        </w:tabs>
        <w:ind w:left="2880" w:hanging="360"/>
      </w:pPr>
      <w:rPr>
        <w:rFonts w:ascii="Arial" w:hAnsi="Arial" w:hint="default"/>
      </w:rPr>
    </w:lvl>
    <w:lvl w:ilvl="4" w:tplc="F1E45A9A" w:tentative="1">
      <w:start w:val="1"/>
      <w:numFmt w:val="bullet"/>
      <w:lvlText w:val="•"/>
      <w:lvlJc w:val="left"/>
      <w:pPr>
        <w:tabs>
          <w:tab w:val="num" w:pos="3600"/>
        </w:tabs>
        <w:ind w:left="3600" w:hanging="360"/>
      </w:pPr>
      <w:rPr>
        <w:rFonts w:ascii="Arial" w:hAnsi="Arial" w:hint="default"/>
      </w:rPr>
    </w:lvl>
    <w:lvl w:ilvl="5" w:tplc="43E649D8" w:tentative="1">
      <w:start w:val="1"/>
      <w:numFmt w:val="bullet"/>
      <w:lvlText w:val="•"/>
      <w:lvlJc w:val="left"/>
      <w:pPr>
        <w:tabs>
          <w:tab w:val="num" w:pos="4320"/>
        </w:tabs>
        <w:ind w:left="4320" w:hanging="360"/>
      </w:pPr>
      <w:rPr>
        <w:rFonts w:ascii="Arial" w:hAnsi="Arial" w:hint="default"/>
      </w:rPr>
    </w:lvl>
    <w:lvl w:ilvl="6" w:tplc="6C3A6D1E" w:tentative="1">
      <w:start w:val="1"/>
      <w:numFmt w:val="bullet"/>
      <w:lvlText w:val="•"/>
      <w:lvlJc w:val="left"/>
      <w:pPr>
        <w:tabs>
          <w:tab w:val="num" w:pos="5040"/>
        </w:tabs>
        <w:ind w:left="5040" w:hanging="360"/>
      </w:pPr>
      <w:rPr>
        <w:rFonts w:ascii="Arial" w:hAnsi="Arial" w:hint="default"/>
      </w:rPr>
    </w:lvl>
    <w:lvl w:ilvl="7" w:tplc="815072F6" w:tentative="1">
      <w:start w:val="1"/>
      <w:numFmt w:val="bullet"/>
      <w:lvlText w:val="•"/>
      <w:lvlJc w:val="left"/>
      <w:pPr>
        <w:tabs>
          <w:tab w:val="num" w:pos="5760"/>
        </w:tabs>
        <w:ind w:left="5760" w:hanging="360"/>
      </w:pPr>
      <w:rPr>
        <w:rFonts w:ascii="Arial" w:hAnsi="Arial" w:hint="default"/>
      </w:rPr>
    </w:lvl>
    <w:lvl w:ilvl="8" w:tplc="A7E69998" w:tentative="1">
      <w:start w:val="1"/>
      <w:numFmt w:val="bullet"/>
      <w:lvlText w:val="•"/>
      <w:lvlJc w:val="left"/>
      <w:pPr>
        <w:tabs>
          <w:tab w:val="num" w:pos="6480"/>
        </w:tabs>
        <w:ind w:left="6480" w:hanging="360"/>
      </w:pPr>
      <w:rPr>
        <w:rFonts w:ascii="Arial" w:hAnsi="Arial" w:hint="default"/>
      </w:rPr>
    </w:lvl>
  </w:abstractNum>
  <w:abstractNum w:abstractNumId="1">
    <w:nsid w:val="0FB000D0"/>
    <w:multiLevelType w:val="hybridMultilevel"/>
    <w:tmpl w:val="93281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7255A2"/>
    <w:multiLevelType w:val="hybridMultilevel"/>
    <w:tmpl w:val="F1A881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3124D4C"/>
    <w:multiLevelType w:val="hybridMultilevel"/>
    <w:tmpl w:val="284C6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76DB9"/>
    <w:multiLevelType w:val="hybridMultilevel"/>
    <w:tmpl w:val="0A2C7824"/>
    <w:lvl w:ilvl="0" w:tplc="3A02C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3D2DA9"/>
    <w:multiLevelType w:val="hybridMultilevel"/>
    <w:tmpl w:val="E73EE7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E5B151C"/>
    <w:multiLevelType w:val="hybridMultilevel"/>
    <w:tmpl w:val="190886CE"/>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nsid w:val="6D0F2C70"/>
    <w:multiLevelType w:val="hybridMultilevel"/>
    <w:tmpl w:val="E69A4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A779C9"/>
    <w:multiLevelType w:val="hybridMultilevel"/>
    <w:tmpl w:val="A934C80A"/>
    <w:lvl w:ilvl="0" w:tplc="D436D49E">
      <w:start w:val="1"/>
      <w:numFmt w:val="bullet"/>
      <w:lvlText w:val="•"/>
      <w:lvlJc w:val="left"/>
      <w:pPr>
        <w:tabs>
          <w:tab w:val="num" w:pos="720"/>
        </w:tabs>
        <w:ind w:left="720" w:hanging="360"/>
      </w:pPr>
      <w:rPr>
        <w:rFonts w:ascii="Arial" w:hAnsi="Arial" w:hint="default"/>
      </w:rPr>
    </w:lvl>
    <w:lvl w:ilvl="1" w:tplc="6044746C" w:tentative="1">
      <w:start w:val="1"/>
      <w:numFmt w:val="bullet"/>
      <w:lvlText w:val="•"/>
      <w:lvlJc w:val="left"/>
      <w:pPr>
        <w:tabs>
          <w:tab w:val="num" w:pos="1440"/>
        </w:tabs>
        <w:ind w:left="1440" w:hanging="360"/>
      </w:pPr>
      <w:rPr>
        <w:rFonts w:ascii="Arial" w:hAnsi="Arial" w:hint="default"/>
      </w:rPr>
    </w:lvl>
    <w:lvl w:ilvl="2" w:tplc="B1B038D6" w:tentative="1">
      <w:start w:val="1"/>
      <w:numFmt w:val="bullet"/>
      <w:lvlText w:val="•"/>
      <w:lvlJc w:val="left"/>
      <w:pPr>
        <w:tabs>
          <w:tab w:val="num" w:pos="2160"/>
        </w:tabs>
        <w:ind w:left="2160" w:hanging="360"/>
      </w:pPr>
      <w:rPr>
        <w:rFonts w:ascii="Arial" w:hAnsi="Arial" w:hint="default"/>
      </w:rPr>
    </w:lvl>
    <w:lvl w:ilvl="3" w:tplc="EFC60FE0" w:tentative="1">
      <w:start w:val="1"/>
      <w:numFmt w:val="bullet"/>
      <w:lvlText w:val="•"/>
      <w:lvlJc w:val="left"/>
      <w:pPr>
        <w:tabs>
          <w:tab w:val="num" w:pos="2880"/>
        </w:tabs>
        <w:ind w:left="2880" w:hanging="360"/>
      </w:pPr>
      <w:rPr>
        <w:rFonts w:ascii="Arial" w:hAnsi="Arial" w:hint="default"/>
      </w:rPr>
    </w:lvl>
    <w:lvl w:ilvl="4" w:tplc="76C876DA" w:tentative="1">
      <w:start w:val="1"/>
      <w:numFmt w:val="bullet"/>
      <w:lvlText w:val="•"/>
      <w:lvlJc w:val="left"/>
      <w:pPr>
        <w:tabs>
          <w:tab w:val="num" w:pos="3600"/>
        </w:tabs>
        <w:ind w:left="3600" w:hanging="360"/>
      </w:pPr>
      <w:rPr>
        <w:rFonts w:ascii="Arial" w:hAnsi="Arial" w:hint="default"/>
      </w:rPr>
    </w:lvl>
    <w:lvl w:ilvl="5" w:tplc="FA3C70F6" w:tentative="1">
      <w:start w:val="1"/>
      <w:numFmt w:val="bullet"/>
      <w:lvlText w:val="•"/>
      <w:lvlJc w:val="left"/>
      <w:pPr>
        <w:tabs>
          <w:tab w:val="num" w:pos="4320"/>
        </w:tabs>
        <w:ind w:left="4320" w:hanging="360"/>
      </w:pPr>
      <w:rPr>
        <w:rFonts w:ascii="Arial" w:hAnsi="Arial" w:hint="default"/>
      </w:rPr>
    </w:lvl>
    <w:lvl w:ilvl="6" w:tplc="ED54592C" w:tentative="1">
      <w:start w:val="1"/>
      <w:numFmt w:val="bullet"/>
      <w:lvlText w:val="•"/>
      <w:lvlJc w:val="left"/>
      <w:pPr>
        <w:tabs>
          <w:tab w:val="num" w:pos="5040"/>
        </w:tabs>
        <w:ind w:left="5040" w:hanging="360"/>
      </w:pPr>
      <w:rPr>
        <w:rFonts w:ascii="Arial" w:hAnsi="Arial" w:hint="default"/>
      </w:rPr>
    </w:lvl>
    <w:lvl w:ilvl="7" w:tplc="79CE5D94" w:tentative="1">
      <w:start w:val="1"/>
      <w:numFmt w:val="bullet"/>
      <w:lvlText w:val="•"/>
      <w:lvlJc w:val="left"/>
      <w:pPr>
        <w:tabs>
          <w:tab w:val="num" w:pos="5760"/>
        </w:tabs>
        <w:ind w:left="5760" w:hanging="360"/>
      </w:pPr>
      <w:rPr>
        <w:rFonts w:ascii="Arial" w:hAnsi="Arial" w:hint="default"/>
      </w:rPr>
    </w:lvl>
    <w:lvl w:ilvl="8" w:tplc="74764BD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0"/>
  </w:num>
  <w:num w:numId="3">
    <w:abstractNumId w:val="8"/>
  </w:num>
  <w:num w:numId="4">
    <w:abstractNumId w:val="7"/>
  </w:num>
  <w:num w:numId="5">
    <w:abstractNumId w:val="2"/>
  </w:num>
  <w:num w:numId="6">
    <w:abstractNumId w:val="5"/>
  </w:num>
  <w:num w:numId="7">
    <w:abstractNumId w:val="1"/>
  </w:num>
  <w:num w:numId="8">
    <w:abstractNumId w:val="3"/>
  </w:num>
  <w:num w:numId="9">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FC"/>
    <w:rsid w:val="0002547D"/>
    <w:rsid w:val="00033383"/>
    <w:rsid w:val="000938FE"/>
    <w:rsid w:val="000C5F38"/>
    <w:rsid w:val="000D2319"/>
    <w:rsid w:val="001068FC"/>
    <w:rsid w:val="0010758F"/>
    <w:rsid w:val="00107998"/>
    <w:rsid w:val="00111EE1"/>
    <w:rsid w:val="001D0B65"/>
    <w:rsid w:val="001F08E0"/>
    <w:rsid w:val="00233C9A"/>
    <w:rsid w:val="002412CF"/>
    <w:rsid w:val="00260F88"/>
    <w:rsid w:val="00277364"/>
    <w:rsid w:val="002C2DC5"/>
    <w:rsid w:val="002D3D13"/>
    <w:rsid w:val="0030441B"/>
    <w:rsid w:val="00305322"/>
    <w:rsid w:val="0031605E"/>
    <w:rsid w:val="00333FEF"/>
    <w:rsid w:val="0035695D"/>
    <w:rsid w:val="00356ACB"/>
    <w:rsid w:val="00382ABB"/>
    <w:rsid w:val="00425D98"/>
    <w:rsid w:val="00492830"/>
    <w:rsid w:val="00497159"/>
    <w:rsid w:val="004A6177"/>
    <w:rsid w:val="004C61DF"/>
    <w:rsid w:val="004F6827"/>
    <w:rsid w:val="00506A54"/>
    <w:rsid w:val="00517864"/>
    <w:rsid w:val="00530EC3"/>
    <w:rsid w:val="00543627"/>
    <w:rsid w:val="00557E7D"/>
    <w:rsid w:val="005906CB"/>
    <w:rsid w:val="005C51D9"/>
    <w:rsid w:val="00603463"/>
    <w:rsid w:val="0060726C"/>
    <w:rsid w:val="00610217"/>
    <w:rsid w:val="006353CC"/>
    <w:rsid w:val="00644079"/>
    <w:rsid w:val="00644965"/>
    <w:rsid w:val="00697606"/>
    <w:rsid w:val="006A586E"/>
    <w:rsid w:val="006B094F"/>
    <w:rsid w:val="006B560A"/>
    <w:rsid w:val="006E2D6C"/>
    <w:rsid w:val="00730A49"/>
    <w:rsid w:val="0075190E"/>
    <w:rsid w:val="00771CC4"/>
    <w:rsid w:val="007A3DBE"/>
    <w:rsid w:val="007B1C02"/>
    <w:rsid w:val="007C0EC8"/>
    <w:rsid w:val="007C7E59"/>
    <w:rsid w:val="007D135E"/>
    <w:rsid w:val="007E31E9"/>
    <w:rsid w:val="00812161"/>
    <w:rsid w:val="008237BE"/>
    <w:rsid w:val="00844EC0"/>
    <w:rsid w:val="008B4E36"/>
    <w:rsid w:val="008E292F"/>
    <w:rsid w:val="00931F3D"/>
    <w:rsid w:val="0099450E"/>
    <w:rsid w:val="009A44A8"/>
    <w:rsid w:val="009A519F"/>
    <w:rsid w:val="009C516A"/>
    <w:rsid w:val="009C6569"/>
    <w:rsid w:val="00A21509"/>
    <w:rsid w:val="00A33ACD"/>
    <w:rsid w:val="00A644D2"/>
    <w:rsid w:val="00A91A00"/>
    <w:rsid w:val="00A92DA7"/>
    <w:rsid w:val="00AA4B6F"/>
    <w:rsid w:val="00AD1CDD"/>
    <w:rsid w:val="00AE7824"/>
    <w:rsid w:val="00AF0D95"/>
    <w:rsid w:val="00B1636F"/>
    <w:rsid w:val="00B23FCF"/>
    <w:rsid w:val="00B40857"/>
    <w:rsid w:val="00B47C6D"/>
    <w:rsid w:val="00B72828"/>
    <w:rsid w:val="00B72C1A"/>
    <w:rsid w:val="00BA1FF0"/>
    <w:rsid w:val="00BA7996"/>
    <w:rsid w:val="00BC2F2A"/>
    <w:rsid w:val="00BF4E2D"/>
    <w:rsid w:val="00C15A6B"/>
    <w:rsid w:val="00C32AB3"/>
    <w:rsid w:val="00C52BF9"/>
    <w:rsid w:val="00C54FDE"/>
    <w:rsid w:val="00CA5896"/>
    <w:rsid w:val="00D33226"/>
    <w:rsid w:val="00D44186"/>
    <w:rsid w:val="00D44891"/>
    <w:rsid w:val="00D97229"/>
    <w:rsid w:val="00D97A0B"/>
    <w:rsid w:val="00DB7A86"/>
    <w:rsid w:val="00DD6E87"/>
    <w:rsid w:val="00DE12F5"/>
    <w:rsid w:val="00E02FBC"/>
    <w:rsid w:val="00E03535"/>
    <w:rsid w:val="00E572FC"/>
    <w:rsid w:val="00E86DEE"/>
    <w:rsid w:val="00E928E9"/>
    <w:rsid w:val="00EA372E"/>
    <w:rsid w:val="00EB43C4"/>
    <w:rsid w:val="00EB4885"/>
    <w:rsid w:val="00ED1322"/>
    <w:rsid w:val="00EF3757"/>
    <w:rsid w:val="00F31882"/>
    <w:rsid w:val="00F53FB4"/>
    <w:rsid w:val="00F56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D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4965"/>
    <w:rPr>
      <w:sz w:val="16"/>
      <w:szCs w:val="16"/>
    </w:rPr>
  </w:style>
  <w:style w:type="paragraph" w:styleId="CommentText">
    <w:name w:val="annotation text"/>
    <w:basedOn w:val="Normal"/>
    <w:link w:val="CommentTextChar"/>
    <w:uiPriority w:val="99"/>
    <w:semiHidden/>
    <w:unhideWhenUsed/>
    <w:rsid w:val="00644965"/>
    <w:pPr>
      <w:spacing w:line="240" w:lineRule="auto"/>
    </w:pPr>
    <w:rPr>
      <w:sz w:val="20"/>
      <w:szCs w:val="20"/>
    </w:rPr>
  </w:style>
  <w:style w:type="character" w:customStyle="1" w:styleId="CommentTextChar">
    <w:name w:val="Comment Text Char"/>
    <w:basedOn w:val="DefaultParagraphFont"/>
    <w:link w:val="CommentText"/>
    <w:uiPriority w:val="99"/>
    <w:semiHidden/>
    <w:rsid w:val="00644965"/>
    <w:rPr>
      <w:sz w:val="20"/>
      <w:szCs w:val="20"/>
    </w:rPr>
  </w:style>
  <w:style w:type="paragraph" w:styleId="CommentSubject">
    <w:name w:val="annotation subject"/>
    <w:basedOn w:val="CommentText"/>
    <w:next w:val="CommentText"/>
    <w:link w:val="CommentSubjectChar"/>
    <w:uiPriority w:val="99"/>
    <w:semiHidden/>
    <w:unhideWhenUsed/>
    <w:rsid w:val="00644965"/>
    <w:rPr>
      <w:b/>
      <w:bCs/>
    </w:rPr>
  </w:style>
  <w:style w:type="character" w:customStyle="1" w:styleId="CommentSubjectChar">
    <w:name w:val="Comment Subject Char"/>
    <w:basedOn w:val="CommentTextChar"/>
    <w:link w:val="CommentSubject"/>
    <w:uiPriority w:val="99"/>
    <w:semiHidden/>
    <w:rsid w:val="00644965"/>
    <w:rPr>
      <w:b/>
      <w:bCs/>
      <w:sz w:val="20"/>
      <w:szCs w:val="20"/>
    </w:rPr>
  </w:style>
  <w:style w:type="paragraph" w:styleId="BalloonText">
    <w:name w:val="Balloon Text"/>
    <w:basedOn w:val="Normal"/>
    <w:link w:val="BalloonTextChar"/>
    <w:uiPriority w:val="99"/>
    <w:semiHidden/>
    <w:unhideWhenUsed/>
    <w:rsid w:val="00644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965"/>
    <w:rPr>
      <w:rFonts w:ascii="Tahoma" w:hAnsi="Tahoma" w:cs="Tahoma"/>
      <w:sz w:val="16"/>
      <w:szCs w:val="16"/>
    </w:rPr>
  </w:style>
  <w:style w:type="character" w:styleId="Hyperlink">
    <w:name w:val="Hyperlink"/>
    <w:basedOn w:val="DefaultParagraphFont"/>
    <w:uiPriority w:val="99"/>
    <w:unhideWhenUsed/>
    <w:rsid w:val="00E02FBC"/>
    <w:rPr>
      <w:color w:val="0000FF" w:themeColor="hyperlink"/>
      <w:u w:val="single"/>
    </w:rPr>
  </w:style>
  <w:style w:type="paragraph" w:styleId="ListParagraph">
    <w:name w:val="List Paragraph"/>
    <w:basedOn w:val="Normal"/>
    <w:uiPriority w:val="34"/>
    <w:qFormat/>
    <w:rsid w:val="00497159"/>
    <w:pPr>
      <w:ind w:left="720"/>
      <w:contextualSpacing/>
    </w:pPr>
  </w:style>
  <w:style w:type="paragraph" w:styleId="FootnoteText">
    <w:name w:val="footnote text"/>
    <w:basedOn w:val="Normal"/>
    <w:link w:val="FootnoteTextChar"/>
    <w:uiPriority w:val="99"/>
    <w:unhideWhenUsed/>
    <w:rsid w:val="00F563CA"/>
    <w:pPr>
      <w:spacing w:after="0" w:line="240" w:lineRule="auto"/>
    </w:pPr>
    <w:rPr>
      <w:sz w:val="20"/>
      <w:szCs w:val="20"/>
    </w:rPr>
  </w:style>
  <w:style w:type="character" w:customStyle="1" w:styleId="FootnoteTextChar">
    <w:name w:val="Footnote Text Char"/>
    <w:basedOn w:val="DefaultParagraphFont"/>
    <w:link w:val="FootnoteText"/>
    <w:uiPriority w:val="99"/>
    <w:rsid w:val="00F563CA"/>
    <w:rPr>
      <w:sz w:val="20"/>
      <w:szCs w:val="20"/>
    </w:rPr>
  </w:style>
  <w:style w:type="character" w:styleId="FootnoteReference">
    <w:name w:val="footnote reference"/>
    <w:basedOn w:val="DefaultParagraphFont"/>
    <w:uiPriority w:val="99"/>
    <w:unhideWhenUsed/>
    <w:rsid w:val="00F563CA"/>
    <w:rPr>
      <w:vertAlign w:val="superscript"/>
    </w:rPr>
  </w:style>
  <w:style w:type="paragraph" w:styleId="Header">
    <w:name w:val="header"/>
    <w:basedOn w:val="Normal"/>
    <w:link w:val="HeaderChar"/>
    <w:uiPriority w:val="99"/>
    <w:unhideWhenUsed/>
    <w:rsid w:val="00AD1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CDD"/>
  </w:style>
  <w:style w:type="paragraph" w:styleId="Footer">
    <w:name w:val="footer"/>
    <w:basedOn w:val="Normal"/>
    <w:link w:val="FooterChar"/>
    <w:uiPriority w:val="99"/>
    <w:unhideWhenUsed/>
    <w:rsid w:val="00AD1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CDD"/>
  </w:style>
  <w:style w:type="character" w:customStyle="1" w:styleId="apple-converted-space">
    <w:name w:val="apple-converted-space"/>
    <w:basedOn w:val="DefaultParagraphFont"/>
    <w:rsid w:val="006A586E"/>
  </w:style>
  <w:style w:type="paragraph" w:styleId="NoSpacing">
    <w:name w:val="No Spacing"/>
    <w:link w:val="NoSpacingChar"/>
    <w:uiPriority w:val="1"/>
    <w:qFormat/>
    <w:rsid w:val="00D33226"/>
    <w:pPr>
      <w:spacing w:after="0" w:line="240" w:lineRule="auto"/>
    </w:pPr>
    <w:rPr>
      <w:lang w:val="en-US"/>
    </w:rPr>
  </w:style>
  <w:style w:type="character" w:customStyle="1" w:styleId="NoSpacingChar">
    <w:name w:val="No Spacing Char"/>
    <w:basedOn w:val="DefaultParagraphFont"/>
    <w:link w:val="NoSpacing"/>
    <w:uiPriority w:val="1"/>
    <w:rsid w:val="00D3322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4965"/>
    <w:rPr>
      <w:sz w:val="16"/>
      <w:szCs w:val="16"/>
    </w:rPr>
  </w:style>
  <w:style w:type="paragraph" w:styleId="CommentText">
    <w:name w:val="annotation text"/>
    <w:basedOn w:val="Normal"/>
    <w:link w:val="CommentTextChar"/>
    <w:uiPriority w:val="99"/>
    <w:semiHidden/>
    <w:unhideWhenUsed/>
    <w:rsid w:val="00644965"/>
    <w:pPr>
      <w:spacing w:line="240" w:lineRule="auto"/>
    </w:pPr>
    <w:rPr>
      <w:sz w:val="20"/>
      <w:szCs w:val="20"/>
    </w:rPr>
  </w:style>
  <w:style w:type="character" w:customStyle="1" w:styleId="CommentTextChar">
    <w:name w:val="Comment Text Char"/>
    <w:basedOn w:val="DefaultParagraphFont"/>
    <w:link w:val="CommentText"/>
    <w:uiPriority w:val="99"/>
    <w:semiHidden/>
    <w:rsid w:val="00644965"/>
    <w:rPr>
      <w:sz w:val="20"/>
      <w:szCs w:val="20"/>
    </w:rPr>
  </w:style>
  <w:style w:type="paragraph" w:styleId="CommentSubject">
    <w:name w:val="annotation subject"/>
    <w:basedOn w:val="CommentText"/>
    <w:next w:val="CommentText"/>
    <w:link w:val="CommentSubjectChar"/>
    <w:uiPriority w:val="99"/>
    <w:semiHidden/>
    <w:unhideWhenUsed/>
    <w:rsid w:val="00644965"/>
    <w:rPr>
      <w:b/>
      <w:bCs/>
    </w:rPr>
  </w:style>
  <w:style w:type="character" w:customStyle="1" w:styleId="CommentSubjectChar">
    <w:name w:val="Comment Subject Char"/>
    <w:basedOn w:val="CommentTextChar"/>
    <w:link w:val="CommentSubject"/>
    <w:uiPriority w:val="99"/>
    <w:semiHidden/>
    <w:rsid w:val="00644965"/>
    <w:rPr>
      <w:b/>
      <w:bCs/>
      <w:sz w:val="20"/>
      <w:szCs w:val="20"/>
    </w:rPr>
  </w:style>
  <w:style w:type="paragraph" w:styleId="BalloonText">
    <w:name w:val="Balloon Text"/>
    <w:basedOn w:val="Normal"/>
    <w:link w:val="BalloonTextChar"/>
    <w:uiPriority w:val="99"/>
    <w:semiHidden/>
    <w:unhideWhenUsed/>
    <w:rsid w:val="00644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965"/>
    <w:rPr>
      <w:rFonts w:ascii="Tahoma" w:hAnsi="Tahoma" w:cs="Tahoma"/>
      <w:sz w:val="16"/>
      <w:szCs w:val="16"/>
    </w:rPr>
  </w:style>
  <w:style w:type="character" w:styleId="Hyperlink">
    <w:name w:val="Hyperlink"/>
    <w:basedOn w:val="DefaultParagraphFont"/>
    <w:uiPriority w:val="99"/>
    <w:unhideWhenUsed/>
    <w:rsid w:val="00E02FBC"/>
    <w:rPr>
      <w:color w:val="0000FF" w:themeColor="hyperlink"/>
      <w:u w:val="single"/>
    </w:rPr>
  </w:style>
  <w:style w:type="paragraph" w:styleId="ListParagraph">
    <w:name w:val="List Paragraph"/>
    <w:basedOn w:val="Normal"/>
    <w:uiPriority w:val="34"/>
    <w:qFormat/>
    <w:rsid w:val="00497159"/>
    <w:pPr>
      <w:ind w:left="720"/>
      <w:contextualSpacing/>
    </w:pPr>
  </w:style>
  <w:style w:type="paragraph" w:styleId="FootnoteText">
    <w:name w:val="footnote text"/>
    <w:basedOn w:val="Normal"/>
    <w:link w:val="FootnoteTextChar"/>
    <w:uiPriority w:val="99"/>
    <w:unhideWhenUsed/>
    <w:rsid w:val="00F563CA"/>
    <w:pPr>
      <w:spacing w:after="0" w:line="240" w:lineRule="auto"/>
    </w:pPr>
    <w:rPr>
      <w:sz w:val="20"/>
      <w:szCs w:val="20"/>
    </w:rPr>
  </w:style>
  <w:style w:type="character" w:customStyle="1" w:styleId="FootnoteTextChar">
    <w:name w:val="Footnote Text Char"/>
    <w:basedOn w:val="DefaultParagraphFont"/>
    <w:link w:val="FootnoteText"/>
    <w:uiPriority w:val="99"/>
    <w:rsid w:val="00F563CA"/>
    <w:rPr>
      <w:sz w:val="20"/>
      <w:szCs w:val="20"/>
    </w:rPr>
  </w:style>
  <w:style w:type="character" w:styleId="FootnoteReference">
    <w:name w:val="footnote reference"/>
    <w:basedOn w:val="DefaultParagraphFont"/>
    <w:uiPriority w:val="99"/>
    <w:unhideWhenUsed/>
    <w:rsid w:val="00F563CA"/>
    <w:rPr>
      <w:vertAlign w:val="superscript"/>
    </w:rPr>
  </w:style>
  <w:style w:type="paragraph" w:styleId="Header">
    <w:name w:val="header"/>
    <w:basedOn w:val="Normal"/>
    <w:link w:val="HeaderChar"/>
    <w:uiPriority w:val="99"/>
    <w:unhideWhenUsed/>
    <w:rsid w:val="00AD1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CDD"/>
  </w:style>
  <w:style w:type="paragraph" w:styleId="Footer">
    <w:name w:val="footer"/>
    <w:basedOn w:val="Normal"/>
    <w:link w:val="FooterChar"/>
    <w:uiPriority w:val="99"/>
    <w:unhideWhenUsed/>
    <w:rsid w:val="00AD1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CDD"/>
  </w:style>
  <w:style w:type="character" w:customStyle="1" w:styleId="apple-converted-space">
    <w:name w:val="apple-converted-space"/>
    <w:basedOn w:val="DefaultParagraphFont"/>
    <w:rsid w:val="006A586E"/>
  </w:style>
  <w:style w:type="paragraph" w:styleId="NoSpacing">
    <w:name w:val="No Spacing"/>
    <w:link w:val="NoSpacingChar"/>
    <w:uiPriority w:val="1"/>
    <w:qFormat/>
    <w:rsid w:val="00D33226"/>
    <w:pPr>
      <w:spacing w:after="0" w:line="240" w:lineRule="auto"/>
    </w:pPr>
    <w:rPr>
      <w:lang w:val="en-US"/>
    </w:rPr>
  </w:style>
  <w:style w:type="character" w:customStyle="1" w:styleId="NoSpacingChar">
    <w:name w:val="No Spacing Char"/>
    <w:basedOn w:val="DefaultParagraphFont"/>
    <w:link w:val="NoSpacing"/>
    <w:uiPriority w:val="1"/>
    <w:rsid w:val="00D3322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29664">
      <w:bodyDiv w:val="1"/>
      <w:marLeft w:val="0"/>
      <w:marRight w:val="0"/>
      <w:marTop w:val="0"/>
      <w:marBottom w:val="0"/>
      <w:divBdr>
        <w:top w:val="none" w:sz="0" w:space="0" w:color="auto"/>
        <w:left w:val="none" w:sz="0" w:space="0" w:color="auto"/>
        <w:bottom w:val="none" w:sz="0" w:space="0" w:color="auto"/>
        <w:right w:val="none" w:sz="0" w:space="0" w:color="auto"/>
      </w:divBdr>
    </w:div>
    <w:div w:id="439885225">
      <w:bodyDiv w:val="1"/>
      <w:marLeft w:val="0"/>
      <w:marRight w:val="0"/>
      <w:marTop w:val="0"/>
      <w:marBottom w:val="0"/>
      <w:divBdr>
        <w:top w:val="none" w:sz="0" w:space="0" w:color="auto"/>
        <w:left w:val="none" w:sz="0" w:space="0" w:color="auto"/>
        <w:bottom w:val="none" w:sz="0" w:space="0" w:color="auto"/>
        <w:right w:val="none" w:sz="0" w:space="0" w:color="auto"/>
      </w:divBdr>
      <w:divsChild>
        <w:div w:id="922840769">
          <w:marLeft w:val="187"/>
          <w:marRight w:val="0"/>
          <w:marTop w:val="120"/>
          <w:marBottom w:val="0"/>
          <w:divBdr>
            <w:top w:val="none" w:sz="0" w:space="0" w:color="auto"/>
            <w:left w:val="none" w:sz="0" w:space="0" w:color="auto"/>
            <w:bottom w:val="none" w:sz="0" w:space="0" w:color="auto"/>
            <w:right w:val="none" w:sz="0" w:space="0" w:color="auto"/>
          </w:divBdr>
        </w:div>
      </w:divsChild>
    </w:div>
    <w:div w:id="588582673">
      <w:bodyDiv w:val="1"/>
      <w:marLeft w:val="0"/>
      <w:marRight w:val="0"/>
      <w:marTop w:val="0"/>
      <w:marBottom w:val="0"/>
      <w:divBdr>
        <w:top w:val="none" w:sz="0" w:space="0" w:color="auto"/>
        <w:left w:val="none" w:sz="0" w:space="0" w:color="auto"/>
        <w:bottom w:val="none" w:sz="0" w:space="0" w:color="auto"/>
        <w:right w:val="none" w:sz="0" w:space="0" w:color="auto"/>
      </w:divBdr>
    </w:div>
    <w:div w:id="749159858">
      <w:bodyDiv w:val="1"/>
      <w:marLeft w:val="0"/>
      <w:marRight w:val="0"/>
      <w:marTop w:val="0"/>
      <w:marBottom w:val="0"/>
      <w:divBdr>
        <w:top w:val="none" w:sz="0" w:space="0" w:color="auto"/>
        <w:left w:val="none" w:sz="0" w:space="0" w:color="auto"/>
        <w:bottom w:val="none" w:sz="0" w:space="0" w:color="auto"/>
        <w:right w:val="none" w:sz="0" w:space="0" w:color="auto"/>
      </w:divBdr>
    </w:div>
    <w:div w:id="1041515347">
      <w:bodyDiv w:val="1"/>
      <w:marLeft w:val="0"/>
      <w:marRight w:val="0"/>
      <w:marTop w:val="0"/>
      <w:marBottom w:val="0"/>
      <w:divBdr>
        <w:top w:val="none" w:sz="0" w:space="0" w:color="auto"/>
        <w:left w:val="none" w:sz="0" w:space="0" w:color="auto"/>
        <w:bottom w:val="none" w:sz="0" w:space="0" w:color="auto"/>
        <w:right w:val="none" w:sz="0" w:space="0" w:color="auto"/>
      </w:divBdr>
      <w:divsChild>
        <w:div w:id="406853157">
          <w:marLeft w:val="187"/>
          <w:marRight w:val="0"/>
          <w:marTop w:val="120"/>
          <w:marBottom w:val="0"/>
          <w:divBdr>
            <w:top w:val="none" w:sz="0" w:space="0" w:color="auto"/>
            <w:left w:val="none" w:sz="0" w:space="0" w:color="auto"/>
            <w:bottom w:val="none" w:sz="0" w:space="0" w:color="auto"/>
            <w:right w:val="none" w:sz="0" w:space="0" w:color="auto"/>
          </w:divBdr>
        </w:div>
        <w:div w:id="1848641428">
          <w:marLeft w:val="187"/>
          <w:marRight w:val="0"/>
          <w:marTop w:val="120"/>
          <w:marBottom w:val="0"/>
          <w:divBdr>
            <w:top w:val="none" w:sz="0" w:space="0" w:color="auto"/>
            <w:left w:val="none" w:sz="0" w:space="0" w:color="auto"/>
            <w:bottom w:val="none" w:sz="0" w:space="0" w:color="auto"/>
            <w:right w:val="none" w:sz="0" w:space="0" w:color="auto"/>
          </w:divBdr>
        </w:div>
        <w:div w:id="1338463880">
          <w:marLeft w:val="187"/>
          <w:marRight w:val="0"/>
          <w:marTop w:val="120"/>
          <w:marBottom w:val="0"/>
          <w:divBdr>
            <w:top w:val="none" w:sz="0" w:space="0" w:color="auto"/>
            <w:left w:val="none" w:sz="0" w:space="0" w:color="auto"/>
            <w:bottom w:val="none" w:sz="0" w:space="0" w:color="auto"/>
            <w:right w:val="none" w:sz="0" w:space="0" w:color="auto"/>
          </w:divBdr>
        </w:div>
        <w:div w:id="1592618055">
          <w:marLeft w:val="187"/>
          <w:marRight w:val="0"/>
          <w:marTop w:val="120"/>
          <w:marBottom w:val="0"/>
          <w:divBdr>
            <w:top w:val="none" w:sz="0" w:space="0" w:color="auto"/>
            <w:left w:val="none" w:sz="0" w:space="0" w:color="auto"/>
            <w:bottom w:val="none" w:sz="0" w:space="0" w:color="auto"/>
            <w:right w:val="none" w:sz="0" w:space="0" w:color="auto"/>
          </w:divBdr>
        </w:div>
        <w:div w:id="1153568363">
          <w:marLeft w:val="187"/>
          <w:marRight w:val="0"/>
          <w:marTop w:val="120"/>
          <w:marBottom w:val="0"/>
          <w:divBdr>
            <w:top w:val="none" w:sz="0" w:space="0" w:color="auto"/>
            <w:left w:val="none" w:sz="0" w:space="0" w:color="auto"/>
            <w:bottom w:val="none" w:sz="0" w:space="0" w:color="auto"/>
            <w:right w:val="none" w:sz="0" w:space="0" w:color="auto"/>
          </w:divBdr>
        </w:div>
      </w:divsChild>
    </w:div>
    <w:div w:id="1254319486">
      <w:bodyDiv w:val="1"/>
      <w:marLeft w:val="0"/>
      <w:marRight w:val="0"/>
      <w:marTop w:val="0"/>
      <w:marBottom w:val="0"/>
      <w:divBdr>
        <w:top w:val="none" w:sz="0" w:space="0" w:color="auto"/>
        <w:left w:val="none" w:sz="0" w:space="0" w:color="auto"/>
        <w:bottom w:val="none" w:sz="0" w:space="0" w:color="auto"/>
        <w:right w:val="none" w:sz="0" w:space="0" w:color="auto"/>
      </w:divBdr>
      <w:divsChild>
        <w:div w:id="1042366851">
          <w:marLeft w:val="0"/>
          <w:marRight w:val="0"/>
          <w:marTop w:val="0"/>
          <w:marBottom w:val="0"/>
          <w:divBdr>
            <w:top w:val="none" w:sz="0" w:space="0" w:color="auto"/>
            <w:left w:val="none" w:sz="0" w:space="0" w:color="auto"/>
            <w:bottom w:val="none" w:sz="0" w:space="0" w:color="auto"/>
            <w:right w:val="none" w:sz="0" w:space="0" w:color="auto"/>
          </w:divBdr>
          <w:divsChild>
            <w:div w:id="1803691162">
              <w:marLeft w:val="0"/>
              <w:marRight w:val="0"/>
              <w:marTop w:val="0"/>
              <w:marBottom w:val="0"/>
              <w:divBdr>
                <w:top w:val="none" w:sz="0" w:space="0" w:color="auto"/>
                <w:left w:val="none" w:sz="0" w:space="0" w:color="auto"/>
                <w:bottom w:val="none" w:sz="0" w:space="0" w:color="auto"/>
                <w:right w:val="none" w:sz="0" w:space="0" w:color="auto"/>
              </w:divBdr>
              <w:divsChild>
                <w:div w:id="216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aisingvoices.org/sasa/" TargetMode="External"/><Relationship Id="rId18" Type="http://schemas.openxmlformats.org/officeDocument/2006/relationships/hyperlink" Target="http://raisingvoices.org/good-schoo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www.who.int/violence_injury_prevention/violence/inspire/en/" TargetMode="External"/><Relationship Id="rId17" Type="http://schemas.openxmlformats.org/officeDocument/2006/relationships/hyperlink" Target="http://www.popcouncil.org/uploads/pdfs/horizons/yaaridostieng.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achescorner.org/" TargetMode="External"/><Relationship Id="rId20" Type="http://schemas.openxmlformats.org/officeDocument/2006/relationships/hyperlink" Target="http://www.togetherforgirls.org/wp-content/uploads/2017/10/TfG_Results_Framework_July2015.pdf"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cdgc.go.tz/data/NPA_VAWC.pdf"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www.mrc.ac.za/policybriefs/steppingstones.pdf" TargetMode="External"/><Relationship Id="rId23" Type="http://schemas.openxmlformats.org/officeDocument/2006/relationships/image" Target="media/image3.png"/><Relationship Id="rId28" Type="http://schemas.openxmlformats.org/officeDocument/2006/relationships/customXml" Target="../customXml/item2.xml"/><Relationship Id="rId10" Type="http://schemas.openxmlformats.org/officeDocument/2006/relationships/hyperlink" Target="http://www.togetherforgirls.org/wp-content/uploads/Tanzania_FINAL3_year_national_plan.pdf" TargetMode="External"/><Relationship Id="rId19" Type="http://schemas.openxmlformats.org/officeDocument/2006/relationships/hyperlink" Target="file:///C:/Users/GordonR/Downloads/Responding%20to%20children%20and%20adolescents%20who%20have%20been%20sexually%20abused" TargetMode="External"/><Relationship Id="rId4" Type="http://schemas.microsoft.com/office/2007/relationships/stylesWithEffects" Target="stylesWithEffects.xml"/><Relationship Id="rId9" Type="http://schemas.openxmlformats.org/officeDocument/2006/relationships/hyperlink" Target="http://www.togetherforgirls.org/" TargetMode="External"/><Relationship Id="rId14" Type="http://schemas.openxmlformats.org/officeDocument/2006/relationships/hyperlink" Target="https://bmcmedicine.biomedcentral.com/articles/10.1186/s12916-014-0122-5" TargetMode="External"/><Relationship Id="rId22" Type="http://schemas.openxmlformats.org/officeDocument/2006/relationships/image" Target="media/image2.png"/><Relationship Id="rId27" Type="http://schemas.microsoft.com/office/2011/relationships/people" Target="people.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8C418C-1268-4815-A29E-B7AD7C79B2B3}">
  <ds:schemaRefs>
    <ds:schemaRef ds:uri="http://schemas.openxmlformats.org/officeDocument/2006/bibliography"/>
  </ds:schemaRefs>
</ds:datastoreItem>
</file>

<file path=customXml/itemProps2.xml><?xml version="1.0" encoding="utf-8"?>
<ds:datastoreItem xmlns:ds="http://schemas.openxmlformats.org/officeDocument/2006/customXml" ds:itemID="{3421C533-6DBE-4BE9-902B-50A2ADBE54BB}"/>
</file>

<file path=customXml/itemProps3.xml><?xml version="1.0" encoding="utf-8"?>
<ds:datastoreItem xmlns:ds="http://schemas.openxmlformats.org/officeDocument/2006/customXml" ds:itemID="{12351D0C-5917-4AFB-9FC6-5ADFD88CD7CA}"/>
</file>

<file path=customXml/itemProps4.xml><?xml version="1.0" encoding="utf-8"?>
<ds:datastoreItem xmlns:ds="http://schemas.openxmlformats.org/officeDocument/2006/customXml" ds:itemID="{2F59C5E3-0950-4ED9-B973-A8EE420C9ABC}"/>
</file>

<file path=docProps/app.xml><?xml version="1.0" encoding="utf-8"?>
<Properties xmlns="http://schemas.openxmlformats.org/officeDocument/2006/extended-properties" xmlns:vt="http://schemas.openxmlformats.org/officeDocument/2006/docPropsVTypes">
  <Template>Normal.dotm</Template>
  <TotalTime>55</TotalTime>
  <Pages>5</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Gordon</dc:creator>
  <cp:lastModifiedBy>Rebecca Gordon</cp:lastModifiedBy>
  <cp:revision>5</cp:revision>
  <dcterms:created xsi:type="dcterms:W3CDTF">2018-04-05T17:42:00Z</dcterms:created>
  <dcterms:modified xsi:type="dcterms:W3CDTF">2018-04-05T21:41:00Z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