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73D51" w14:textId="0C2096D0" w:rsidR="005B0D77" w:rsidRDefault="005B0D77" w:rsidP="00602ECC">
      <w:pPr>
        <w:pStyle w:val="BodyText1"/>
        <w:shd w:val="clear" w:color="auto" w:fill="auto"/>
        <w:tabs>
          <w:tab w:val="left" w:pos="301"/>
        </w:tabs>
        <w:spacing w:before="0" w:after="0" w:line="276" w:lineRule="auto"/>
        <w:ind w:right="80" w:firstLine="0"/>
        <w:jc w:val="center"/>
        <w:rPr>
          <w:rFonts w:eastAsia="Arial Unicode MS"/>
          <w:b/>
          <w:color w:val="000000"/>
          <w:sz w:val="24"/>
          <w:szCs w:val="24"/>
        </w:rPr>
      </w:pPr>
      <w:r w:rsidRPr="00602ECC">
        <w:rPr>
          <w:rFonts w:eastAsia="Arial Unicode MS"/>
          <w:b/>
          <w:color w:val="000000"/>
          <w:sz w:val="24"/>
          <w:szCs w:val="24"/>
        </w:rPr>
        <w:t>SUBMISSION</w:t>
      </w:r>
    </w:p>
    <w:p w14:paraId="79B45E99" w14:textId="02495EB1" w:rsidR="007A1BC3" w:rsidRPr="00602ECC" w:rsidRDefault="007A1BC3" w:rsidP="007A1BC3">
      <w:pPr>
        <w:pStyle w:val="BodyText1"/>
        <w:tabs>
          <w:tab w:val="left" w:pos="301"/>
        </w:tabs>
        <w:spacing w:line="276" w:lineRule="auto"/>
        <w:ind w:right="80"/>
        <w:jc w:val="center"/>
        <w:rPr>
          <w:rFonts w:eastAsia="Arial Unicode MS"/>
          <w:b/>
          <w:color w:val="000000"/>
          <w:sz w:val="24"/>
          <w:szCs w:val="24"/>
        </w:rPr>
      </w:pPr>
      <w:r>
        <w:rPr>
          <w:rFonts w:eastAsia="Arial Unicode MS"/>
          <w:b/>
          <w:color w:val="000000"/>
          <w:sz w:val="24"/>
          <w:szCs w:val="24"/>
        </w:rPr>
        <w:t xml:space="preserve">By </w:t>
      </w:r>
      <w:r w:rsidRPr="007A1BC3">
        <w:rPr>
          <w:rFonts w:eastAsia="Arial Unicode MS"/>
          <w:b/>
          <w:color w:val="000000"/>
          <w:sz w:val="24"/>
          <w:szCs w:val="24"/>
        </w:rPr>
        <w:t>Human Rights Defender's Office</w:t>
      </w:r>
      <w:r>
        <w:rPr>
          <w:rFonts w:eastAsia="Arial Unicode MS"/>
          <w:b/>
          <w:color w:val="000000"/>
          <w:sz w:val="24"/>
          <w:szCs w:val="24"/>
        </w:rPr>
        <w:t xml:space="preserve">, </w:t>
      </w:r>
      <w:r w:rsidRPr="007A1BC3">
        <w:rPr>
          <w:rFonts w:eastAsia="Arial Unicode MS"/>
          <w:b/>
          <w:color w:val="000000"/>
          <w:sz w:val="24"/>
          <w:szCs w:val="24"/>
        </w:rPr>
        <w:t>Republic of Armenia</w:t>
      </w:r>
    </w:p>
    <w:p w14:paraId="03422CC8" w14:textId="77777777" w:rsidR="005B0D77" w:rsidRPr="00602ECC" w:rsidRDefault="005B0D77" w:rsidP="00602ECC">
      <w:pPr>
        <w:pStyle w:val="BodyText1"/>
        <w:shd w:val="clear" w:color="auto" w:fill="auto"/>
        <w:tabs>
          <w:tab w:val="left" w:pos="301"/>
        </w:tabs>
        <w:spacing w:before="0" w:after="0" w:line="276" w:lineRule="auto"/>
        <w:ind w:right="80" w:firstLine="0"/>
        <w:jc w:val="both"/>
        <w:rPr>
          <w:rFonts w:eastAsia="Arial Unicode MS"/>
          <w:color w:val="000000"/>
          <w:sz w:val="24"/>
          <w:szCs w:val="24"/>
        </w:rPr>
      </w:pPr>
    </w:p>
    <w:p w14:paraId="04F5B44D" w14:textId="2518BD98" w:rsidR="004120A2" w:rsidRPr="00602ECC" w:rsidRDefault="004120A2" w:rsidP="00602ECC">
      <w:pPr>
        <w:spacing w:line="276" w:lineRule="auto"/>
        <w:jc w:val="both"/>
        <w:rPr>
          <w:rFonts w:ascii="Times New Roman" w:hAnsi="Times New Roman" w:cs="Times New Roman"/>
        </w:rPr>
      </w:pPr>
      <w:r w:rsidRPr="00602ECC">
        <w:rPr>
          <w:rFonts w:ascii="Times New Roman" w:hAnsi="Times New Roman" w:cs="Times New Roman"/>
        </w:rPr>
        <w:t>Article 30 of the RA Constitution states the principle of equality between women and men, which suggests that women should have equal conditions and guarantees for the realization of their political, social, economic, cultural and other rights. Although the RA legislation clearly states the principle of equality between women and men, cases of violation of women's rights and discrimination against them continue. To date, there are cases of domestic violence, hor</w:t>
      </w:r>
      <w:bookmarkStart w:id="0" w:name="_GoBack"/>
      <w:bookmarkEnd w:id="0"/>
      <w:r w:rsidRPr="00602ECC">
        <w:rPr>
          <w:rFonts w:ascii="Times New Roman" w:hAnsi="Times New Roman" w:cs="Times New Roman"/>
        </w:rPr>
        <w:t>izontal and vertical segregation against women in the workplace, lack of women in senior management, inaccessibility of medical services and other cases of discrimination against women.</w:t>
      </w:r>
      <w:r w:rsidR="00CB0ACB" w:rsidRPr="00602ECC">
        <w:rPr>
          <w:rFonts w:ascii="Times New Roman" w:hAnsi="Times New Roman" w:cs="Times New Roman"/>
        </w:rPr>
        <w:t xml:space="preserve"> </w:t>
      </w:r>
      <w:r w:rsidRPr="00602ECC">
        <w:rPr>
          <w:rFonts w:ascii="Times New Roman" w:hAnsi="Times New Roman" w:cs="Times New Roman"/>
        </w:rPr>
        <w:t>The existence of such cases is evidence of the need for continuous and coordinated action aimed at protecting women’s rights in order to change the stereotypes regarding women’s role in the society, women’s abilities to reveal their educational, economic, social and political potential.</w:t>
      </w:r>
    </w:p>
    <w:p w14:paraId="6112966F" w14:textId="77777777" w:rsidR="004120A2" w:rsidRPr="00602ECC" w:rsidRDefault="004120A2" w:rsidP="00602ECC">
      <w:pPr>
        <w:spacing w:line="276" w:lineRule="auto"/>
        <w:jc w:val="both"/>
        <w:rPr>
          <w:rFonts w:ascii="Times New Roman" w:hAnsi="Times New Roman" w:cs="Times New Roman"/>
        </w:rPr>
      </w:pPr>
    </w:p>
    <w:p w14:paraId="2121FD76" w14:textId="5E856951" w:rsidR="00892A41" w:rsidRPr="00602ECC" w:rsidRDefault="00A66939" w:rsidP="00602ECC">
      <w:pPr>
        <w:spacing w:line="276" w:lineRule="auto"/>
        <w:jc w:val="both"/>
        <w:rPr>
          <w:rFonts w:ascii="Times New Roman" w:hAnsi="Times New Roman" w:cs="Times New Roman"/>
        </w:rPr>
      </w:pPr>
      <w:r w:rsidRPr="00602ECC">
        <w:rPr>
          <w:rFonts w:ascii="Times New Roman" w:hAnsi="Times New Roman" w:cs="Times New Roman"/>
        </w:rPr>
        <w:t xml:space="preserve">1. </w:t>
      </w:r>
      <w:r w:rsidR="004120A2" w:rsidRPr="00602ECC">
        <w:rPr>
          <w:rFonts w:ascii="Times New Roman" w:hAnsi="Times New Roman" w:cs="Times New Roman"/>
        </w:rPr>
        <w:t xml:space="preserve">With regards to the protection of the women’s right in general it should be noted that they are under key consideration of the </w:t>
      </w:r>
      <w:r w:rsidR="00DC21F2" w:rsidRPr="00602ECC">
        <w:rPr>
          <w:rFonts w:ascii="Times New Roman" w:hAnsi="Times New Roman" w:cs="Times New Roman"/>
        </w:rPr>
        <w:t>Ombudsman</w:t>
      </w:r>
      <w:r w:rsidR="004120A2" w:rsidRPr="00602ECC">
        <w:rPr>
          <w:rFonts w:ascii="Times New Roman" w:hAnsi="Times New Roman" w:cs="Times New Roman"/>
        </w:rPr>
        <w:t>. The evidence of which are severa</w:t>
      </w:r>
      <w:r w:rsidR="00892A41" w:rsidRPr="00602ECC">
        <w:rPr>
          <w:rFonts w:ascii="Times New Roman" w:hAnsi="Times New Roman" w:cs="Times New Roman"/>
        </w:rPr>
        <w:t>l projects dedicated to the elimination of all kinds of women’s rights violation as well as daily crucial measures undertaken to tackle diverse issues regarding women rights’ infringement.</w:t>
      </w:r>
    </w:p>
    <w:p w14:paraId="3005693E" w14:textId="77777777" w:rsidR="00892A41" w:rsidRPr="00602ECC" w:rsidRDefault="00892A41" w:rsidP="00602ECC">
      <w:pPr>
        <w:spacing w:line="276" w:lineRule="auto"/>
        <w:jc w:val="both"/>
        <w:rPr>
          <w:rFonts w:ascii="Times New Roman" w:hAnsi="Times New Roman" w:cs="Times New Roman"/>
        </w:rPr>
      </w:pPr>
    </w:p>
    <w:p w14:paraId="6EC0BBFA" w14:textId="77777777" w:rsidR="00DC21F2" w:rsidRPr="00602ECC" w:rsidRDefault="004120A2" w:rsidP="00602ECC">
      <w:pPr>
        <w:spacing w:line="276" w:lineRule="auto"/>
        <w:jc w:val="both"/>
        <w:rPr>
          <w:rFonts w:ascii="Times New Roman" w:hAnsi="Times New Roman" w:cs="Times New Roman"/>
        </w:rPr>
      </w:pPr>
      <w:r w:rsidRPr="00602ECC">
        <w:rPr>
          <w:rFonts w:ascii="Times New Roman" w:hAnsi="Times New Roman" w:cs="Times New Roman"/>
        </w:rPr>
        <w:t xml:space="preserve">In 2016 the </w:t>
      </w:r>
      <w:r w:rsidR="00DC21F2" w:rsidRPr="00602ECC">
        <w:rPr>
          <w:rFonts w:ascii="Times New Roman" w:hAnsi="Times New Roman" w:cs="Times New Roman"/>
        </w:rPr>
        <w:t>Ombudsman</w:t>
      </w:r>
      <w:r w:rsidRPr="00602ECC">
        <w:rPr>
          <w:rFonts w:ascii="Times New Roman" w:hAnsi="Times New Roman" w:cs="Times New Roman"/>
        </w:rPr>
        <w:t xml:space="preserve"> </w:t>
      </w:r>
      <w:r w:rsidRPr="00602ECC">
        <w:rPr>
          <w:rFonts w:ascii="Times New Roman" w:hAnsi="Times New Roman" w:cs="Times New Roman"/>
          <w:lang w:val="hy-AM"/>
        </w:rPr>
        <w:t>initiat</w:t>
      </w:r>
      <w:r w:rsidRPr="00602ECC">
        <w:rPr>
          <w:rFonts w:ascii="Times New Roman" w:hAnsi="Times New Roman" w:cs="Times New Roman"/>
        </w:rPr>
        <w:t>ed the “Preventing violence against women” project with assistance of the Council of Europe (CoE), which came into life as a result of cooperation with Directorate General of Democracy CoE.  During 2016 a number of events were organized in cooperation with CoE.</w:t>
      </w:r>
      <w:r w:rsidR="00CB0ACB" w:rsidRPr="00602ECC">
        <w:rPr>
          <w:rFonts w:ascii="Times New Roman" w:hAnsi="Times New Roman" w:cs="Times New Roman"/>
        </w:rPr>
        <w:t xml:space="preserve"> </w:t>
      </w:r>
      <w:r w:rsidRPr="00602ECC">
        <w:rPr>
          <w:rFonts w:ascii="Times New Roman" w:hAnsi="Times New Roman" w:cs="Times New Roman"/>
        </w:rPr>
        <w:t xml:space="preserve">Namely in order to develop and enhance capacities of the staff of the Human Rights Defender exchange of experience with the Georgian Public Defender’s office was organized in Georgia. Staff members of both of these institutions shared their legislation and practical issues, as well as their jurisdiction and experience in combating and preventing violence against women and domestic violence. </w:t>
      </w:r>
    </w:p>
    <w:p w14:paraId="3D74B11A" w14:textId="77777777" w:rsidR="00DC21F2" w:rsidRPr="00602ECC" w:rsidRDefault="00DC21F2" w:rsidP="00602ECC">
      <w:pPr>
        <w:spacing w:line="276" w:lineRule="auto"/>
        <w:jc w:val="both"/>
        <w:rPr>
          <w:rFonts w:ascii="Times New Roman" w:hAnsi="Times New Roman" w:cs="Times New Roman"/>
        </w:rPr>
      </w:pPr>
    </w:p>
    <w:p w14:paraId="1AC99D25" w14:textId="6FD479EB" w:rsidR="00892A41" w:rsidRPr="00602ECC" w:rsidRDefault="004120A2" w:rsidP="00602ECC">
      <w:pPr>
        <w:spacing w:line="276" w:lineRule="auto"/>
        <w:jc w:val="both"/>
        <w:rPr>
          <w:rFonts w:ascii="Times New Roman" w:hAnsi="Times New Roman" w:cs="Times New Roman"/>
        </w:rPr>
      </w:pPr>
      <w:r w:rsidRPr="00602ECC">
        <w:rPr>
          <w:rFonts w:ascii="Times New Roman" w:hAnsi="Times New Roman" w:cs="Times New Roman"/>
        </w:rPr>
        <w:t>Special training was organized in the end of 2016 for the</w:t>
      </w:r>
      <w:r w:rsidR="00DC21F2" w:rsidRPr="00602ECC">
        <w:rPr>
          <w:rFonts w:ascii="Times New Roman" w:hAnsi="Times New Roman" w:cs="Times New Roman"/>
        </w:rPr>
        <w:t xml:space="preserve"> staff of the Ombudsman</w:t>
      </w:r>
      <w:r w:rsidRPr="00602ECC">
        <w:rPr>
          <w:rFonts w:ascii="Times New Roman" w:hAnsi="Times New Roman" w:cs="Times New Roman"/>
        </w:rPr>
        <w:t xml:space="preserve">. International best practices and psychological aspect in working with victims of domestic violence were presented by the international expert followed by group work and interactive participation of the staff members. Armenian NGO representatives were amongst trainers, who shared their experience in working with victims of violence and shared their practical knowledge in this sphere. </w:t>
      </w:r>
    </w:p>
    <w:p w14:paraId="45561186" w14:textId="77777777" w:rsidR="00A66939" w:rsidRPr="00602ECC" w:rsidRDefault="00A66939" w:rsidP="00602ECC">
      <w:pPr>
        <w:spacing w:line="276" w:lineRule="auto"/>
        <w:jc w:val="both"/>
        <w:rPr>
          <w:rFonts w:ascii="Times New Roman" w:hAnsi="Times New Roman" w:cs="Times New Roman"/>
        </w:rPr>
      </w:pPr>
    </w:p>
    <w:p w14:paraId="2E0E07F2" w14:textId="0FB90CC6" w:rsidR="004120A2" w:rsidRPr="00602ECC" w:rsidRDefault="00A66939" w:rsidP="00602ECC">
      <w:pPr>
        <w:pStyle w:val="BodyText2"/>
        <w:shd w:val="clear" w:color="auto" w:fill="auto"/>
        <w:tabs>
          <w:tab w:val="left" w:pos="720"/>
          <w:tab w:val="left" w:pos="810"/>
          <w:tab w:val="left" w:pos="10080"/>
        </w:tabs>
        <w:spacing w:before="0" w:after="0" w:line="276" w:lineRule="auto"/>
        <w:ind w:firstLine="0"/>
        <w:rPr>
          <w:rFonts w:ascii="Times New Roman" w:hAnsi="Times New Roman" w:cs="Times New Roman"/>
          <w:sz w:val="24"/>
          <w:szCs w:val="24"/>
        </w:rPr>
      </w:pPr>
      <w:r w:rsidRPr="00602ECC">
        <w:rPr>
          <w:rFonts w:ascii="Times New Roman" w:hAnsi="Times New Roman" w:cs="Times New Roman"/>
          <w:sz w:val="24"/>
          <w:szCs w:val="24"/>
        </w:rPr>
        <w:t>Analysis was conducted in 2017</w:t>
      </w:r>
      <w:r w:rsidR="004120A2" w:rsidRPr="00602ECC">
        <w:rPr>
          <w:rFonts w:ascii="Times New Roman" w:hAnsi="Times New Roman" w:cs="Times New Roman"/>
          <w:sz w:val="24"/>
          <w:szCs w:val="24"/>
        </w:rPr>
        <w:t xml:space="preserve"> comparing Armenian criminal legislation to the Council of Europe Convention on preventing and combating violence against women and domestic violence aiming at facilitation of the ratification of </w:t>
      </w:r>
      <w:r w:rsidR="00E607D8" w:rsidRPr="00E607D8">
        <w:rPr>
          <w:rFonts w:ascii="Times New Roman" w:hAnsi="Times New Roman" w:cs="Times New Roman"/>
          <w:sz w:val="24"/>
          <w:szCs w:val="24"/>
        </w:rPr>
        <w:t>the given convention</w:t>
      </w:r>
      <w:r w:rsidR="004120A2" w:rsidRPr="00602ECC">
        <w:rPr>
          <w:rFonts w:ascii="Times New Roman" w:hAnsi="Times New Roman" w:cs="Times New Roman"/>
          <w:sz w:val="24"/>
          <w:szCs w:val="24"/>
        </w:rPr>
        <w:t xml:space="preserve">. In order to have a greater understanding of the criminal legislation and the implementation, as well as about its gaps, an international expert with assistance of one of the representatives of the </w:t>
      </w:r>
      <w:r w:rsidR="00DC21F2" w:rsidRPr="00602ECC">
        <w:rPr>
          <w:rFonts w:ascii="Times New Roman" w:hAnsi="Times New Roman" w:cs="Times New Roman"/>
          <w:sz w:val="24"/>
          <w:szCs w:val="24"/>
        </w:rPr>
        <w:t>Ombudsman</w:t>
      </w:r>
      <w:r w:rsidR="004120A2" w:rsidRPr="00602ECC">
        <w:rPr>
          <w:rFonts w:ascii="Times New Roman" w:hAnsi="Times New Roman" w:cs="Times New Roman"/>
          <w:sz w:val="24"/>
          <w:szCs w:val="24"/>
        </w:rPr>
        <w:t xml:space="preserve">’s staff conducted meetings with police representatives, prosecutors, judges and NGO’s. As a result, a report has been drafted which analyses all the relative legal acts and international best practice. </w:t>
      </w:r>
    </w:p>
    <w:p w14:paraId="6B539019" w14:textId="77777777" w:rsidR="00892A41" w:rsidRPr="00602ECC" w:rsidRDefault="004120A2" w:rsidP="00602ECC">
      <w:pPr>
        <w:pStyle w:val="BodyText2"/>
        <w:shd w:val="clear" w:color="auto" w:fill="auto"/>
        <w:tabs>
          <w:tab w:val="left" w:pos="720"/>
          <w:tab w:val="left" w:pos="810"/>
          <w:tab w:val="left" w:pos="10080"/>
        </w:tabs>
        <w:spacing w:before="0" w:after="0" w:line="276" w:lineRule="auto"/>
        <w:ind w:firstLine="0"/>
        <w:rPr>
          <w:rFonts w:ascii="Times New Roman" w:hAnsi="Times New Roman" w:cs="Times New Roman"/>
          <w:sz w:val="24"/>
          <w:szCs w:val="24"/>
        </w:rPr>
      </w:pPr>
      <w:r w:rsidRPr="00602ECC">
        <w:rPr>
          <w:rFonts w:ascii="Times New Roman" w:hAnsi="Times New Roman" w:cs="Times New Roman"/>
          <w:sz w:val="24"/>
          <w:szCs w:val="24"/>
        </w:rPr>
        <w:tab/>
      </w:r>
    </w:p>
    <w:p w14:paraId="529B7374" w14:textId="4B66E9AD" w:rsidR="004120A2" w:rsidRPr="00602ECC" w:rsidRDefault="004120A2" w:rsidP="00602ECC">
      <w:pPr>
        <w:pStyle w:val="BodyText2"/>
        <w:shd w:val="clear" w:color="auto" w:fill="auto"/>
        <w:tabs>
          <w:tab w:val="left" w:pos="720"/>
          <w:tab w:val="left" w:pos="810"/>
          <w:tab w:val="left" w:pos="10080"/>
        </w:tabs>
        <w:spacing w:before="0" w:after="0" w:line="276" w:lineRule="auto"/>
        <w:ind w:firstLine="0"/>
        <w:rPr>
          <w:rFonts w:ascii="Times New Roman" w:hAnsi="Times New Roman" w:cs="Times New Roman"/>
          <w:sz w:val="24"/>
          <w:szCs w:val="24"/>
        </w:rPr>
      </w:pPr>
      <w:r w:rsidRPr="00E607D8">
        <w:rPr>
          <w:rFonts w:ascii="Times New Roman" w:hAnsi="Times New Roman" w:cs="Times New Roman"/>
          <w:sz w:val="24"/>
          <w:szCs w:val="24"/>
        </w:rPr>
        <w:t>In January 2017 an awareness raising seminar was organised through partnership with the Council of Europe and the UNF</w:t>
      </w:r>
      <w:r w:rsidR="00A66939" w:rsidRPr="00E607D8">
        <w:rPr>
          <w:rFonts w:ascii="Times New Roman" w:hAnsi="Times New Roman" w:cs="Times New Roman"/>
          <w:sz w:val="24"/>
          <w:szCs w:val="24"/>
        </w:rPr>
        <w:t>PA Armenia. The seminar provided</w:t>
      </w:r>
      <w:r w:rsidRPr="00E607D8">
        <w:rPr>
          <w:rFonts w:ascii="Times New Roman" w:hAnsi="Times New Roman" w:cs="Times New Roman"/>
          <w:sz w:val="24"/>
          <w:szCs w:val="24"/>
        </w:rPr>
        <w:t xml:space="preserve"> a platform for the exchange of experience and networking among the participants at national and international level.</w:t>
      </w:r>
      <w:r w:rsidRPr="00602ECC">
        <w:rPr>
          <w:rFonts w:ascii="Times New Roman" w:hAnsi="Times New Roman" w:cs="Times New Roman"/>
          <w:sz w:val="24"/>
          <w:szCs w:val="24"/>
        </w:rPr>
        <w:t xml:space="preserve"> </w:t>
      </w:r>
    </w:p>
    <w:p w14:paraId="0D800AAB" w14:textId="62206B3D" w:rsidR="002B3E7B" w:rsidRPr="00602ECC" w:rsidRDefault="00D67B5C" w:rsidP="00602ECC">
      <w:pPr>
        <w:pStyle w:val="ListParagraph"/>
        <w:tabs>
          <w:tab w:val="left" w:pos="360"/>
        </w:tabs>
        <w:spacing w:after="0" w:line="276" w:lineRule="auto"/>
        <w:ind w:left="0"/>
        <w:jc w:val="both"/>
        <w:rPr>
          <w:rFonts w:ascii="Times New Roman" w:hAnsi="Times New Roman" w:cs="Times New Roman"/>
          <w:sz w:val="24"/>
          <w:szCs w:val="24"/>
        </w:rPr>
      </w:pPr>
      <w:r w:rsidRPr="00602ECC">
        <w:rPr>
          <w:rFonts w:ascii="Times New Roman" w:hAnsi="Times New Roman" w:cs="Times New Roman"/>
          <w:sz w:val="24"/>
          <w:szCs w:val="24"/>
        </w:rPr>
        <w:lastRenderedPageBreak/>
        <w:t xml:space="preserve">The </w:t>
      </w:r>
      <w:r w:rsidR="00DC21F2" w:rsidRPr="00602ECC">
        <w:rPr>
          <w:rFonts w:ascii="Times New Roman" w:hAnsi="Times New Roman" w:cs="Times New Roman"/>
          <w:sz w:val="24"/>
          <w:szCs w:val="24"/>
        </w:rPr>
        <w:t>Ombudsman</w:t>
      </w:r>
      <w:r w:rsidRPr="00602ECC">
        <w:rPr>
          <w:rFonts w:ascii="Times New Roman" w:hAnsi="Times New Roman" w:cs="Times New Roman"/>
          <w:sz w:val="24"/>
          <w:szCs w:val="24"/>
        </w:rPr>
        <w:t xml:space="preserve"> analyses individual complains in all aspects of human rights, simultaneously</w:t>
      </w:r>
      <w:r w:rsidR="00234338" w:rsidRPr="00602ECC">
        <w:rPr>
          <w:rFonts w:ascii="Times New Roman" w:hAnsi="Times New Roman" w:cs="Times New Roman"/>
          <w:sz w:val="24"/>
          <w:szCs w:val="24"/>
        </w:rPr>
        <w:t>,</w:t>
      </w:r>
      <w:r w:rsidRPr="00602ECC">
        <w:rPr>
          <w:rFonts w:ascii="Times New Roman" w:hAnsi="Times New Roman" w:cs="Times New Roman"/>
          <w:sz w:val="24"/>
          <w:szCs w:val="24"/>
        </w:rPr>
        <w:t xml:space="preserve"> it should be highlighted that the </w:t>
      </w:r>
      <w:r w:rsidR="004D3849" w:rsidRPr="00602ECC">
        <w:rPr>
          <w:rFonts w:ascii="Times New Roman" w:hAnsi="Times New Roman" w:cs="Times New Roman"/>
          <w:sz w:val="24"/>
          <w:szCs w:val="24"/>
        </w:rPr>
        <w:t xml:space="preserve">protection and the promotion </w:t>
      </w:r>
      <w:r w:rsidRPr="00602ECC">
        <w:rPr>
          <w:rFonts w:ascii="Times New Roman" w:hAnsi="Times New Roman" w:cs="Times New Roman"/>
          <w:sz w:val="24"/>
          <w:szCs w:val="24"/>
        </w:rPr>
        <w:t xml:space="preserve">of the </w:t>
      </w:r>
      <w:r w:rsidR="004D3849" w:rsidRPr="00602ECC">
        <w:rPr>
          <w:rFonts w:ascii="Times New Roman" w:hAnsi="Times New Roman" w:cs="Times New Roman"/>
          <w:sz w:val="24"/>
          <w:szCs w:val="24"/>
        </w:rPr>
        <w:t xml:space="preserve">women’s </w:t>
      </w:r>
      <w:r w:rsidRPr="00602ECC">
        <w:rPr>
          <w:rFonts w:ascii="Times New Roman" w:hAnsi="Times New Roman" w:cs="Times New Roman"/>
          <w:sz w:val="24"/>
          <w:szCs w:val="24"/>
        </w:rPr>
        <w:t xml:space="preserve">rights always under </w:t>
      </w:r>
      <w:r w:rsidR="002D0F13" w:rsidRPr="00602ECC">
        <w:rPr>
          <w:rFonts w:ascii="Times New Roman" w:hAnsi="Times New Roman" w:cs="Times New Roman"/>
          <w:sz w:val="24"/>
          <w:szCs w:val="24"/>
        </w:rPr>
        <w:t>due</w:t>
      </w:r>
      <w:r w:rsidRPr="00602ECC">
        <w:rPr>
          <w:rFonts w:ascii="Times New Roman" w:hAnsi="Times New Roman" w:cs="Times New Roman"/>
          <w:sz w:val="24"/>
          <w:szCs w:val="24"/>
        </w:rPr>
        <w:t xml:space="preserve"> </w:t>
      </w:r>
      <w:r w:rsidR="006A2BDC" w:rsidRPr="00602ECC">
        <w:rPr>
          <w:rFonts w:ascii="Times New Roman" w:hAnsi="Times New Roman" w:cs="Times New Roman"/>
          <w:sz w:val="24"/>
          <w:szCs w:val="24"/>
        </w:rPr>
        <w:t xml:space="preserve">consideration of the </w:t>
      </w:r>
      <w:r w:rsidR="00DC21F2" w:rsidRPr="00602ECC">
        <w:rPr>
          <w:rFonts w:ascii="Times New Roman" w:hAnsi="Times New Roman" w:cs="Times New Roman"/>
          <w:sz w:val="24"/>
          <w:szCs w:val="24"/>
        </w:rPr>
        <w:t>Ombudsman</w:t>
      </w:r>
      <w:r w:rsidR="00756C30" w:rsidRPr="00602ECC">
        <w:rPr>
          <w:rFonts w:ascii="Times New Roman" w:hAnsi="Times New Roman" w:cs="Times New Roman"/>
          <w:sz w:val="24"/>
          <w:szCs w:val="24"/>
        </w:rPr>
        <w:t xml:space="preserve"> </w:t>
      </w:r>
      <w:r w:rsidR="00CA6ED9" w:rsidRPr="00602ECC">
        <w:rPr>
          <w:rFonts w:ascii="Times New Roman" w:hAnsi="Times New Roman" w:cs="Times New Roman"/>
          <w:sz w:val="24"/>
          <w:szCs w:val="24"/>
        </w:rPr>
        <w:t xml:space="preserve">as well. A number of cases have </w:t>
      </w:r>
      <w:r w:rsidR="006A2BDC" w:rsidRPr="00602ECC">
        <w:rPr>
          <w:rFonts w:ascii="Times New Roman" w:hAnsi="Times New Roman" w:cs="Times New Roman"/>
          <w:sz w:val="24"/>
          <w:szCs w:val="24"/>
        </w:rPr>
        <w:t xml:space="preserve">been investigated on the infringement of the </w:t>
      </w:r>
      <w:r w:rsidR="00914C81" w:rsidRPr="00602ECC">
        <w:rPr>
          <w:rFonts w:ascii="Times New Roman" w:hAnsi="Times New Roman" w:cs="Times New Roman"/>
          <w:sz w:val="24"/>
          <w:szCs w:val="24"/>
        </w:rPr>
        <w:t xml:space="preserve">women’s </w:t>
      </w:r>
      <w:r w:rsidR="006A2BDC" w:rsidRPr="00602ECC">
        <w:rPr>
          <w:rFonts w:ascii="Times New Roman" w:hAnsi="Times New Roman" w:cs="Times New Roman"/>
          <w:sz w:val="24"/>
          <w:szCs w:val="24"/>
        </w:rPr>
        <w:t>rights during recent years with regards to which all the immediate measures were undertaken to tackle the</w:t>
      </w:r>
      <w:r w:rsidR="00234338" w:rsidRPr="00602ECC">
        <w:rPr>
          <w:rFonts w:ascii="Times New Roman" w:hAnsi="Times New Roman" w:cs="Times New Roman"/>
          <w:sz w:val="24"/>
          <w:szCs w:val="24"/>
        </w:rPr>
        <w:t xml:space="preserve"> raised</w:t>
      </w:r>
      <w:r w:rsidR="006A2BDC" w:rsidRPr="00602ECC">
        <w:rPr>
          <w:rFonts w:ascii="Times New Roman" w:hAnsi="Times New Roman" w:cs="Times New Roman"/>
          <w:sz w:val="24"/>
          <w:szCs w:val="24"/>
        </w:rPr>
        <w:t xml:space="preserve"> issues. </w:t>
      </w:r>
      <w:r w:rsidR="000D66FE" w:rsidRPr="00602ECC">
        <w:rPr>
          <w:rFonts w:ascii="Times New Roman" w:hAnsi="Times New Roman" w:cs="Times New Roman"/>
          <w:sz w:val="24"/>
          <w:szCs w:val="24"/>
        </w:rPr>
        <w:t>Furthermore, all these cases on the infringement of the</w:t>
      </w:r>
      <w:r w:rsidR="00914C81" w:rsidRPr="00602ECC">
        <w:rPr>
          <w:rFonts w:ascii="Times New Roman" w:hAnsi="Times New Roman" w:cs="Times New Roman"/>
          <w:sz w:val="24"/>
          <w:szCs w:val="24"/>
        </w:rPr>
        <w:t xml:space="preserve"> women’s rights as well as different issues related to the protection and promotion of their rights are addressed in the </w:t>
      </w:r>
      <w:r w:rsidR="000D66FE" w:rsidRPr="00602ECC">
        <w:rPr>
          <w:rFonts w:ascii="Times New Roman" w:hAnsi="Times New Roman" w:cs="Times New Roman"/>
          <w:sz w:val="24"/>
          <w:szCs w:val="24"/>
        </w:rPr>
        <w:t>annual report</w:t>
      </w:r>
      <w:r w:rsidR="00914C81" w:rsidRPr="00602ECC">
        <w:rPr>
          <w:rFonts w:ascii="Times New Roman" w:hAnsi="Times New Roman" w:cs="Times New Roman"/>
          <w:sz w:val="24"/>
          <w:szCs w:val="24"/>
        </w:rPr>
        <w:t>s</w:t>
      </w:r>
      <w:r w:rsidR="000D66FE" w:rsidRPr="00602ECC">
        <w:rPr>
          <w:rFonts w:ascii="Times New Roman" w:hAnsi="Times New Roman" w:cs="Times New Roman"/>
          <w:sz w:val="24"/>
          <w:szCs w:val="24"/>
        </w:rPr>
        <w:t xml:space="preserve"> of the </w:t>
      </w:r>
      <w:r w:rsidR="00DC21F2" w:rsidRPr="00602ECC">
        <w:rPr>
          <w:rFonts w:ascii="Times New Roman" w:hAnsi="Times New Roman" w:cs="Times New Roman"/>
          <w:sz w:val="24"/>
          <w:szCs w:val="24"/>
        </w:rPr>
        <w:t>Ombudsman</w:t>
      </w:r>
      <w:r w:rsidR="000D66FE" w:rsidRPr="00602ECC">
        <w:rPr>
          <w:rFonts w:ascii="Times New Roman" w:hAnsi="Times New Roman" w:cs="Times New Roman"/>
          <w:sz w:val="24"/>
          <w:szCs w:val="24"/>
        </w:rPr>
        <w:t>.</w:t>
      </w:r>
    </w:p>
    <w:p w14:paraId="2930FAA0" w14:textId="64292E89" w:rsidR="001925D8" w:rsidRPr="00602ECC" w:rsidRDefault="001925D8" w:rsidP="00602ECC">
      <w:pPr>
        <w:pStyle w:val="ListParagraph"/>
        <w:tabs>
          <w:tab w:val="left" w:pos="360"/>
        </w:tabs>
        <w:spacing w:after="0" w:line="276" w:lineRule="auto"/>
        <w:ind w:left="0"/>
        <w:jc w:val="both"/>
        <w:rPr>
          <w:rFonts w:ascii="Times New Roman" w:hAnsi="Times New Roman" w:cs="Times New Roman"/>
          <w:sz w:val="24"/>
          <w:szCs w:val="24"/>
        </w:rPr>
      </w:pPr>
    </w:p>
    <w:p w14:paraId="76C9440D" w14:textId="6D079A94" w:rsidR="005E1247" w:rsidRPr="00602ECC" w:rsidRDefault="00B51D1E" w:rsidP="00602ECC">
      <w:pPr>
        <w:spacing w:line="276" w:lineRule="auto"/>
        <w:jc w:val="both"/>
        <w:rPr>
          <w:rFonts w:ascii="Times New Roman" w:hAnsi="Times New Roman" w:cs="Times New Roman"/>
          <w:color w:val="auto"/>
        </w:rPr>
      </w:pPr>
      <w:r w:rsidRPr="00602ECC">
        <w:rPr>
          <w:rFonts w:ascii="Times New Roman" w:hAnsi="Times New Roman" w:cs="Times New Roman"/>
        </w:rPr>
        <w:t xml:space="preserve">Following the 2015 Constitutional Amendments a new Constitutional Law on Human Rights Defender of the Republic of Armenia (Constitutional Law) has been adopted in 2016. In pursuance to the new Constitutional Law the mandate of the HRD has been expanded. In line with a number of other capacities </w:t>
      </w:r>
      <w:r w:rsidRPr="00602ECC">
        <w:rPr>
          <w:rFonts w:ascii="Times New Roman" w:hAnsi="Times New Roman" w:cs="Times New Roman"/>
          <w:color w:val="auto"/>
        </w:rPr>
        <w:t>powers of the Defender with regard to improving normative legal acts was enshrined in the Constitutional Law. Acco</w:t>
      </w:r>
      <w:r w:rsidR="00192EF3" w:rsidRPr="00602ECC">
        <w:rPr>
          <w:rFonts w:ascii="Times New Roman" w:hAnsi="Times New Roman" w:cs="Times New Roman"/>
          <w:color w:val="auto"/>
        </w:rPr>
        <w:t>r</w:t>
      </w:r>
      <w:r w:rsidRPr="00602ECC">
        <w:rPr>
          <w:rFonts w:ascii="Times New Roman" w:hAnsi="Times New Roman" w:cs="Times New Roman"/>
          <w:color w:val="auto"/>
        </w:rPr>
        <w:t xml:space="preserve">ding to Article </w:t>
      </w:r>
      <w:r w:rsidR="00192EF3" w:rsidRPr="00602ECC">
        <w:rPr>
          <w:rFonts w:ascii="Times New Roman" w:hAnsi="Times New Roman" w:cs="Times New Roman"/>
          <w:color w:val="auto"/>
        </w:rPr>
        <w:t>29 of the Constitutional Law t</w:t>
      </w:r>
      <w:r w:rsidRPr="00602ECC">
        <w:rPr>
          <w:rFonts w:ascii="Times New Roman" w:hAnsi="Times New Roman" w:cs="Times New Roman"/>
          <w:color w:val="auto"/>
        </w:rPr>
        <w:t>he Defender has the right to submit a written opinion on draft normative legal acts regarding human rights and freedoms prior to their</w:t>
      </w:r>
      <w:r w:rsidR="00192EF3" w:rsidRPr="00602ECC">
        <w:rPr>
          <w:rFonts w:ascii="Times New Roman" w:hAnsi="Times New Roman" w:cs="Times New Roman"/>
          <w:color w:val="auto"/>
        </w:rPr>
        <w:t xml:space="preserve"> adoption to the relevant body. Further, in</w:t>
      </w:r>
      <w:r w:rsidRPr="00602ECC">
        <w:rPr>
          <w:rFonts w:ascii="Times New Roman" w:hAnsi="Times New Roman" w:cs="Times New Roman"/>
          <w:color w:val="auto"/>
        </w:rPr>
        <w:t xml:space="preserve"> all the cases, during his or her activities where the Defender reveals during his or her activities that issues relating to the human rights and freedoms are not regulated by law or any other legal act or are not fully regulated, the Defender may submit to the body adopting the legal act a relevant recommendation, indicating the necessity and the extent of making amendments or supplements to the legal act.</w:t>
      </w:r>
      <w:r w:rsidR="006918EF" w:rsidRPr="00602ECC">
        <w:rPr>
          <w:rFonts w:ascii="Times New Roman" w:hAnsi="Times New Roman" w:cs="Times New Roman"/>
          <w:color w:val="auto"/>
        </w:rPr>
        <w:t xml:space="preserve"> </w:t>
      </w:r>
      <w:r w:rsidR="005E1247" w:rsidRPr="00602ECC">
        <w:rPr>
          <w:rFonts w:ascii="Times New Roman" w:hAnsi="Times New Roman" w:cs="Times New Roman"/>
          <w:color w:val="auto"/>
        </w:rPr>
        <w:t xml:space="preserve">A special opinion on a state strategic and action plan on ‘Equal rights and opportunities between men and women of 2017-2021’ as well as an opinion on recent draft law on ‘Protection and prevention of domestic violence’ has been submitted. </w:t>
      </w:r>
      <w:r w:rsidR="00422B42" w:rsidRPr="00602ECC">
        <w:rPr>
          <w:rFonts w:ascii="Times New Roman" w:hAnsi="Times New Roman" w:cs="Times New Roman"/>
          <w:color w:val="auto"/>
        </w:rPr>
        <w:t>It should be mentioned that in the protection and promotion of women rights the Defender not only submits special opinion on different legal acts that specifically target women right but also other normative legal acts are reviewed with a specific</w:t>
      </w:r>
      <w:r w:rsidR="006918EF" w:rsidRPr="00602ECC">
        <w:rPr>
          <w:rFonts w:ascii="Times New Roman" w:hAnsi="Times New Roman" w:cs="Times New Roman"/>
          <w:color w:val="auto"/>
        </w:rPr>
        <w:t xml:space="preserve"> consideration of the rights of special groups.  </w:t>
      </w:r>
      <w:r w:rsidR="00422B42" w:rsidRPr="00602ECC">
        <w:rPr>
          <w:rFonts w:ascii="Times New Roman" w:hAnsi="Times New Roman" w:cs="Times New Roman"/>
          <w:color w:val="auto"/>
        </w:rPr>
        <w:t xml:space="preserve"> </w:t>
      </w:r>
    </w:p>
    <w:p w14:paraId="24DA08A2" w14:textId="712EC708" w:rsidR="00192EF3" w:rsidRPr="00602ECC" w:rsidRDefault="00192EF3" w:rsidP="00602ECC">
      <w:pPr>
        <w:spacing w:line="276" w:lineRule="auto"/>
        <w:jc w:val="both"/>
        <w:rPr>
          <w:rFonts w:ascii="Times New Roman" w:hAnsi="Times New Roman" w:cs="Times New Roman"/>
          <w:color w:val="auto"/>
        </w:rPr>
      </w:pPr>
    </w:p>
    <w:p w14:paraId="5E847A10" w14:textId="77777777" w:rsidR="00514273" w:rsidRPr="00602ECC" w:rsidRDefault="006918EF" w:rsidP="00602ECC">
      <w:pPr>
        <w:spacing w:line="276" w:lineRule="auto"/>
        <w:jc w:val="both"/>
        <w:rPr>
          <w:rFonts w:ascii="Times New Roman" w:hAnsi="Times New Roman" w:cs="Times New Roman"/>
        </w:rPr>
      </w:pPr>
      <w:r w:rsidRPr="00602ECC">
        <w:rPr>
          <w:rFonts w:ascii="Times New Roman" w:hAnsi="Times New Roman" w:cs="Times New Roman"/>
        </w:rPr>
        <w:t>Generally speaking, the Ombudsman submits annual communications as well as ad hoc reports. Article 31 of the Constitutional law states that during the first quarter of each year, the Defender shall present to the National Assembly of the Republic of Armenia the annual communication on the activities thereof during the previous year, as well as on the state of protection of human rights and freedoms. Annual report documents the state of the human rights in Armenia during a year, where major human rights concerns, grave abuses of human rights that has been taken place during a year, as well as research findings conducted on different human ri</w:t>
      </w:r>
      <w:r w:rsidR="00514273" w:rsidRPr="00602ECC">
        <w:rPr>
          <w:rFonts w:ascii="Times New Roman" w:hAnsi="Times New Roman" w:cs="Times New Roman"/>
        </w:rPr>
        <w:t>ghts themes are encompassed, a separate chapter of which is related to women rights.</w:t>
      </w:r>
    </w:p>
    <w:p w14:paraId="20D93CCC" w14:textId="77777777" w:rsidR="00514273" w:rsidRPr="00602ECC" w:rsidRDefault="00514273" w:rsidP="00602ECC">
      <w:pPr>
        <w:spacing w:line="276" w:lineRule="auto"/>
        <w:jc w:val="both"/>
        <w:rPr>
          <w:rFonts w:ascii="Times New Roman" w:hAnsi="Times New Roman" w:cs="Times New Roman"/>
        </w:rPr>
      </w:pPr>
    </w:p>
    <w:p w14:paraId="3AFC44B7" w14:textId="2D4E7D90" w:rsidR="00514273" w:rsidRPr="00602ECC" w:rsidRDefault="00514273" w:rsidP="00602ECC">
      <w:pPr>
        <w:spacing w:line="276" w:lineRule="auto"/>
        <w:jc w:val="both"/>
        <w:rPr>
          <w:rFonts w:ascii="Times New Roman" w:hAnsi="Times New Roman" w:cs="Times New Roman"/>
        </w:rPr>
      </w:pPr>
      <w:r w:rsidRPr="00602ECC">
        <w:rPr>
          <w:rFonts w:ascii="Times New Roman" w:hAnsi="Times New Roman" w:cs="Times New Roman"/>
        </w:rPr>
        <w:t xml:space="preserve">2. As a main challenge that occurs during the protection and prevention of discrimination in general is a lack of domestic legislation. The Republic of Armenia has not yet adopted one unified law on combating discrimination in general. Irrespective of the fact that overall different laws within national legislation does not </w:t>
      </w:r>
      <w:r w:rsidR="00124A8D" w:rsidRPr="00602ECC">
        <w:rPr>
          <w:rFonts w:ascii="Times New Roman" w:hAnsi="Times New Roman" w:cs="Times New Roman"/>
        </w:rPr>
        <w:t>contain discriminatory norms, however our</w:t>
      </w:r>
      <w:r w:rsidRPr="00602ECC">
        <w:rPr>
          <w:rFonts w:ascii="Times New Roman" w:hAnsi="Times New Roman" w:cs="Times New Roman"/>
        </w:rPr>
        <w:t xml:space="preserve"> national legislation lacks a law on combating discrimination</w:t>
      </w:r>
      <w:r w:rsidR="00124A8D" w:rsidRPr="00602ECC">
        <w:rPr>
          <w:rFonts w:ascii="Times New Roman" w:hAnsi="Times New Roman" w:cs="Times New Roman"/>
        </w:rPr>
        <w:t>.</w:t>
      </w:r>
      <w:r w:rsidRPr="00602ECC">
        <w:rPr>
          <w:rFonts w:ascii="Times New Roman" w:hAnsi="Times New Roman" w:cs="Times New Roman"/>
        </w:rPr>
        <w:t xml:space="preserve"> </w:t>
      </w:r>
    </w:p>
    <w:p w14:paraId="5376AEBB" w14:textId="13486296" w:rsidR="006918EF" w:rsidRPr="00602ECC" w:rsidRDefault="00514273" w:rsidP="00602ECC">
      <w:pPr>
        <w:pStyle w:val="ListParagraph"/>
        <w:tabs>
          <w:tab w:val="left" w:pos="360"/>
        </w:tabs>
        <w:spacing w:after="0" w:line="276" w:lineRule="auto"/>
        <w:ind w:left="0"/>
        <w:jc w:val="both"/>
        <w:rPr>
          <w:rFonts w:ascii="Times New Roman" w:hAnsi="Times New Roman" w:cs="Times New Roman"/>
          <w:sz w:val="24"/>
          <w:szCs w:val="24"/>
        </w:rPr>
      </w:pPr>
      <w:r w:rsidRPr="00602ECC">
        <w:rPr>
          <w:rFonts w:ascii="Times New Roman" w:hAnsi="Times New Roman" w:cs="Times New Roman"/>
          <w:sz w:val="24"/>
          <w:szCs w:val="24"/>
        </w:rPr>
        <w:t xml:space="preserve">Irrespective of the fact that a sufficient ground of international documents exists, as well as some national laws and codes contain norms to tackle </w:t>
      </w:r>
      <w:r w:rsidR="00124A8D" w:rsidRPr="00602ECC">
        <w:rPr>
          <w:rFonts w:ascii="Times New Roman" w:hAnsi="Times New Roman" w:cs="Times New Roman"/>
          <w:sz w:val="24"/>
          <w:szCs w:val="24"/>
        </w:rPr>
        <w:t xml:space="preserve">various </w:t>
      </w:r>
      <w:r w:rsidRPr="00602ECC">
        <w:rPr>
          <w:rFonts w:ascii="Times New Roman" w:hAnsi="Times New Roman" w:cs="Times New Roman"/>
          <w:sz w:val="24"/>
          <w:szCs w:val="24"/>
        </w:rPr>
        <w:t>issue</w:t>
      </w:r>
      <w:r w:rsidR="00124A8D" w:rsidRPr="00602ECC">
        <w:rPr>
          <w:rFonts w:ascii="Times New Roman" w:hAnsi="Times New Roman" w:cs="Times New Roman"/>
          <w:sz w:val="24"/>
          <w:szCs w:val="24"/>
        </w:rPr>
        <w:t xml:space="preserve"> on women rights</w:t>
      </w:r>
      <w:r w:rsidRPr="00602ECC">
        <w:rPr>
          <w:rFonts w:ascii="Times New Roman" w:hAnsi="Times New Roman" w:cs="Times New Roman"/>
          <w:sz w:val="24"/>
          <w:szCs w:val="24"/>
        </w:rPr>
        <w:t>, nevertheless there is huge gap in current domestic legislation.</w:t>
      </w:r>
      <w:r w:rsidR="00124A8D" w:rsidRPr="00602ECC">
        <w:rPr>
          <w:rFonts w:ascii="Times New Roman" w:hAnsi="Times New Roman" w:cs="Times New Roman"/>
          <w:sz w:val="24"/>
          <w:szCs w:val="24"/>
        </w:rPr>
        <w:t xml:space="preserve"> For instance, our legislation </w:t>
      </w:r>
      <w:r w:rsidR="00E607D8" w:rsidRPr="00602ECC">
        <w:rPr>
          <w:rFonts w:ascii="Times New Roman" w:hAnsi="Times New Roman" w:cs="Times New Roman"/>
          <w:sz w:val="24"/>
          <w:szCs w:val="24"/>
        </w:rPr>
        <w:t>misses</w:t>
      </w:r>
      <w:r w:rsidR="00124A8D" w:rsidRPr="00602ECC">
        <w:rPr>
          <w:rFonts w:ascii="Times New Roman" w:hAnsi="Times New Roman" w:cs="Times New Roman"/>
          <w:sz w:val="24"/>
          <w:szCs w:val="24"/>
        </w:rPr>
        <w:t xml:space="preserve"> a law ‘on preventing and combating domestic violence’.</w:t>
      </w:r>
      <w:r w:rsidRPr="00602ECC">
        <w:rPr>
          <w:rFonts w:ascii="Times New Roman" w:hAnsi="Times New Roman" w:cs="Times New Roman"/>
          <w:sz w:val="24"/>
          <w:szCs w:val="24"/>
        </w:rPr>
        <w:t xml:space="preserve"> The point is current legislative regulations, where there is no national law on </w:t>
      </w:r>
      <w:r w:rsidR="00124A8D" w:rsidRPr="00602ECC">
        <w:rPr>
          <w:rFonts w:ascii="Times New Roman" w:hAnsi="Times New Roman" w:cs="Times New Roman"/>
          <w:sz w:val="24"/>
          <w:szCs w:val="24"/>
        </w:rPr>
        <w:t>combating domestic violence</w:t>
      </w:r>
      <w:r w:rsidRPr="00602ECC">
        <w:rPr>
          <w:rFonts w:ascii="Times New Roman" w:hAnsi="Times New Roman" w:cs="Times New Roman"/>
          <w:sz w:val="24"/>
          <w:szCs w:val="24"/>
        </w:rPr>
        <w:t xml:space="preserve"> lead different law-enforcement bodies</w:t>
      </w:r>
      <w:r w:rsidR="00124A8D" w:rsidRPr="00602ECC">
        <w:rPr>
          <w:rFonts w:ascii="Times New Roman" w:hAnsi="Times New Roman" w:cs="Times New Roman"/>
          <w:sz w:val="24"/>
          <w:szCs w:val="24"/>
        </w:rPr>
        <w:t>,</w:t>
      </w:r>
      <w:r w:rsidRPr="00602ECC">
        <w:rPr>
          <w:rFonts w:ascii="Times New Roman" w:hAnsi="Times New Roman" w:cs="Times New Roman"/>
          <w:sz w:val="24"/>
          <w:szCs w:val="24"/>
        </w:rPr>
        <w:t xml:space="preserve"> a</w:t>
      </w:r>
      <w:r w:rsidR="00124A8D" w:rsidRPr="00602ECC">
        <w:rPr>
          <w:rFonts w:ascii="Times New Roman" w:hAnsi="Times New Roman" w:cs="Times New Roman"/>
          <w:sz w:val="24"/>
          <w:szCs w:val="24"/>
        </w:rPr>
        <w:t xml:space="preserve">nd accordingly the Defender </w:t>
      </w:r>
      <w:r w:rsidRPr="00602ECC">
        <w:rPr>
          <w:rFonts w:ascii="Times New Roman" w:hAnsi="Times New Roman" w:cs="Times New Roman"/>
          <w:sz w:val="24"/>
          <w:szCs w:val="24"/>
        </w:rPr>
        <w:t xml:space="preserve">to position where according to international norms an issue is spotted, however, it cannot be effectively and comprehensively </w:t>
      </w:r>
      <w:r w:rsidRPr="00602ECC">
        <w:rPr>
          <w:rFonts w:ascii="Times New Roman" w:hAnsi="Times New Roman" w:cs="Times New Roman"/>
          <w:sz w:val="24"/>
          <w:szCs w:val="24"/>
        </w:rPr>
        <w:lastRenderedPageBreak/>
        <w:t xml:space="preserve">targeted due to the lack of regulations and remedies. The latter hinders the HRD’s capabilities in </w:t>
      </w:r>
      <w:r w:rsidR="00124A8D" w:rsidRPr="00602ECC">
        <w:rPr>
          <w:rFonts w:ascii="Times New Roman" w:hAnsi="Times New Roman" w:cs="Times New Roman"/>
          <w:sz w:val="24"/>
          <w:szCs w:val="24"/>
        </w:rPr>
        <w:t xml:space="preserve">preventing and combating violence against women and fighting against </w:t>
      </w:r>
      <w:r w:rsidRPr="00602ECC">
        <w:rPr>
          <w:rFonts w:ascii="Times New Roman" w:hAnsi="Times New Roman" w:cs="Times New Roman"/>
          <w:sz w:val="24"/>
          <w:szCs w:val="24"/>
        </w:rPr>
        <w:t>the discrimin</w:t>
      </w:r>
      <w:r w:rsidR="00124A8D" w:rsidRPr="00602ECC">
        <w:rPr>
          <w:rFonts w:ascii="Times New Roman" w:hAnsi="Times New Roman" w:cs="Times New Roman"/>
          <w:sz w:val="24"/>
          <w:szCs w:val="24"/>
        </w:rPr>
        <w:t>ation in all aspects of their</w:t>
      </w:r>
      <w:r w:rsidRPr="00602ECC">
        <w:rPr>
          <w:rFonts w:ascii="Times New Roman" w:hAnsi="Times New Roman" w:cs="Times New Roman"/>
          <w:sz w:val="24"/>
          <w:szCs w:val="24"/>
        </w:rPr>
        <w:t xml:space="preserve"> life. </w:t>
      </w:r>
      <w:r w:rsidR="006918EF" w:rsidRPr="00602ECC">
        <w:rPr>
          <w:rFonts w:ascii="Times New Roman" w:hAnsi="Times New Roman" w:cs="Times New Roman"/>
          <w:sz w:val="24"/>
          <w:szCs w:val="24"/>
        </w:rPr>
        <w:t xml:space="preserve"> </w:t>
      </w:r>
    </w:p>
    <w:p w14:paraId="3CC220C6" w14:textId="7B39D21A" w:rsidR="00124A8D" w:rsidRPr="00602ECC" w:rsidRDefault="00124A8D" w:rsidP="00602ECC">
      <w:pPr>
        <w:pStyle w:val="ListParagraph"/>
        <w:tabs>
          <w:tab w:val="left" w:pos="360"/>
        </w:tabs>
        <w:spacing w:after="0" w:line="276" w:lineRule="auto"/>
        <w:ind w:left="0"/>
        <w:jc w:val="both"/>
        <w:rPr>
          <w:rFonts w:ascii="Times New Roman" w:hAnsi="Times New Roman" w:cs="Times New Roman"/>
          <w:sz w:val="24"/>
          <w:szCs w:val="24"/>
        </w:rPr>
      </w:pPr>
    </w:p>
    <w:p w14:paraId="3B2E78C7" w14:textId="697F34C5" w:rsidR="00124A8D" w:rsidRPr="00602ECC" w:rsidRDefault="00124A8D" w:rsidP="00602ECC">
      <w:pPr>
        <w:tabs>
          <w:tab w:val="left" w:pos="360"/>
        </w:tabs>
        <w:spacing w:line="276" w:lineRule="auto"/>
        <w:jc w:val="both"/>
        <w:rPr>
          <w:rFonts w:ascii="Times New Roman" w:hAnsi="Times New Roman" w:cs="Times New Roman"/>
        </w:rPr>
      </w:pPr>
      <w:r w:rsidRPr="00602ECC">
        <w:rPr>
          <w:rFonts w:ascii="Times New Roman" w:hAnsi="Times New Roman" w:cs="Times New Roman"/>
        </w:rPr>
        <w:t xml:space="preserve">Further, it should be </w:t>
      </w:r>
      <w:r w:rsidR="00C923EE" w:rsidRPr="00602ECC">
        <w:rPr>
          <w:rFonts w:ascii="Times New Roman" w:hAnsi="Times New Roman" w:cs="Times New Roman"/>
        </w:rPr>
        <w:t>emphasized</w:t>
      </w:r>
      <w:r w:rsidRPr="00602ECC">
        <w:rPr>
          <w:rFonts w:ascii="Times New Roman" w:hAnsi="Times New Roman" w:cs="Times New Roman"/>
        </w:rPr>
        <w:t xml:space="preserve"> that having laws covering wide range of aspects is one issue, having them comprehended and implemented precisely to the latter of law is yet another issue. One of the main challenges that occurs during the protection and prevention of persons’ rights infringements by the competent state or local self-government body officials upon whose decision or action (inaction) the human rights and freedoms have been violated is a lack of knowledge of a particular area of issue and professional capacities.  </w:t>
      </w:r>
    </w:p>
    <w:p w14:paraId="69B43ACD" w14:textId="77777777" w:rsidR="00124A8D" w:rsidRPr="00602ECC" w:rsidRDefault="00124A8D" w:rsidP="00602ECC">
      <w:pPr>
        <w:pStyle w:val="ListParagraph"/>
        <w:tabs>
          <w:tab w:val="left" w:pos="360"/>
        </w:tabs>
        <w:spacing w:after="0" w:line="276" w:lineRule="auto"/>
        <w:ind w:left="0"/>
        <w:jc w:val="both"/>
        <w:rPr>
          <w:rFonts w:ascii="Times New Roman" w:hAnsi="Times New Roman" w:cs="Times New Roman"/>
          <w:sz w:val="24"/>
          <w:szCs w:val="24"/>
        </w:rPr>
      </w:pPr>
    </w:p>
    <w:p w14:paraId="743E3650" w14:textId="56FFE521" w:rsidR="00124A8D" w:rsidRPr="00602ECC" w:rsidRDefault="008008D7" w:rsidP="00602ECC">
      <w:pPr>
        <w:pStyle w:val="ListParagraph"/>
        <w:tabs>
          <w:tab w:val="left" w:pos="360"/>
        </w:tabs>
        <w:spacing w:after="0" w:line="276" w:lineRule="auto"/>
        <w:ind w:left="0"/>
        <w:jc w:val="both"/>
        <w:rPr>
          <w:rFonts w:ascii="Times New Roman" w:hAnsi="Times New Roman" w:cs="Times New Roman"/>
          <w:sz w:val="24"/>
          <w:szCs w:val="24"/>
        </w:rPr>
      </w:pPr>
      <w:r w:rsidRPr="00602ECC">
        <w:rPr>
          <w:rFonts w:ascii="Times New Roman" w:hAnsi="Times New Roman" w:cs="Times New Roman"/>
          <w:sz w:val="24"/>
          <w:szCs w:val="24"/>
        </w:rPr>
        <w:t xml:space="preserve">Following the adaptation of the Constitutional Law on Human Rights Defender of the Republic of Armenia in 2016, the mandate of the HRD has been expanded. In line with a number of other capacities the Ombudsman may organise training for the staff thereto as well as for beneficiary bodies and organisations on issues related to human rights and freedoms, according the article 29 of the named Constitutional Law. A special separate unite within the HRDO, the Human Rights Education and Research Centre, which in line with many other duties conducts in-depth analysis of domestic and international legislation, highlights gaps and points that pose issues and hinder individuals to enjoy their rights, based on thorough studies the Centre provides special opinion on various draft laws, as well as it manages training of the HRD staff and other stakeholders on various topics on human rights. </w:t>
      </w:r>
      <w:r w:rsidR="00124A8D" w:rsidRPr="00602ECC">
        <w:rPr>
          <w:rFonts w:ascii="Times New Roman" w:hAnsi="Times New Roman" w:cs="Times New Roman"/>
          <w:sz w:val="24"/>
          <w:szCs w:val="24"/>
        </w:rPr>
        <w:t xml:space="preserve">To improve understanding of the determinants of human rights violations and to aid the development of violence-prevention efforts the goal is to provide professional studies on various specific topics to different state officials, civil society representatives and other beneficiaries. Obtaining a great deal of knowledge, professional capabilities by sharing best practices on human rights protection </w:t>
      </w:r>
      <w:r w:rsidRPr="00602ECC">
        <w:rPr>
          <w:rFonts w:ascii="Times New Roman" w:hAnsi="Times New Roman" w:cs="Times New Roman"/>
          <w:sz w:val="24"/>
          <w:szCs w:val="24"/>
        </w:rPr>
        <w:t>not o</w:t>
      </w:r>
      <w:r w:rsidR="00124A8D" w:rsidRPr="00602ECC">
        <w:rPr>
          <w:rFonts w:ascii="Times New Roman" w:hAnsi="Times New Roman" w:cs="Times New Roman"/>
          <w:sz w:val="24"/>
          <w:szCs w:val="24"/>
        </w:rPr>
        <w:t>nly tremendously assist</w:t>
      </w:r>
      <w:r w:rsidRPr="00602ECC">
        <w:rPr>
          <w:rFonts w:ascii="Times New Roman" w:hAnsi="Times New Roman" w:cs="Times New Roman"/>
          <w:sz w:val="24"/>
          <w:szCs w:val="24"/>
        </w:rPr>
        <w:t>s</w:t>
      </w:r>
      <w:r w:rsidR="00124A8D" w:rsidRPr="00602ECC">
        <w:rPr>
          <w:rFonts w:ascii="Times New Roman" w:hAnsi="Times New Roman" w:cs="Times New Roman"/>
          <w:sz w:val="24"/>
          <w:szCs w:val="24"/>
        </w:rPr>
        <w:t xml:space="preserve"> the human rights situation in the country, the whole processes of preventive and protective measures, legislative amendments frameworks but the enhanced professional capabilities will definitely shape better understanding of the human rights issues, ability to apply appropriate legal measures in case of human rights violations and to find solutions to the problems, which will lead to the elimination of infringements existing in our society.</w:t>
      </w:r>
    </w:p>
    <w:p w14:paraId="2125EAB3" w14:textId="79A6BDEA" w:rsidR="00D66927" w:rsidRPr="00602ECC" w:rsidRDefault="00D66927" w:rsidP="00602ECC">
      <w:pPr>
        <w:pStyle w:val="ListParagraph"/>
        <w:tabs>
          <w:tab w:val="left" w:pos="360"/>
        </w:tabs>
        <w:spacing w:after="0" w:line="276" w:lineRule="auto"/>
        <w:ind w:left="0"/>
        <w:jc w:val="both"/>
        <w:rPr>
          <w:rFonts w:ascii="Times New Roman" w:hAnsi="Times New Roman" w:cs="Times New Roman"/>
          <w:sz w:val="24"/>
          <w:szCs w:val="24"/>
        </w:rPr>
      </w:pPr>
    </w:p>
    <w:p w14:paraId="18177018" w14:textId="4E95A391" w:rsidR="00D66927" w:rsidRPr="00602ECC" w:rsidRDefault="00D66927" w:rsidP="008C7B72">
      <w:pPr>
        <w:pStyle w:val="ListParagraph"/>
        <w:tabs>
          <w:tab w:val="left" w:pos="360"/>
        </w:tabs>
        <w:spacing w:after="0" w:line="276" w:lineRule="auto"/>
        <w:ind w:left="0"/>
        <w:jc w:val="both"/>
        <w:rPr>
          <w:rFonts w:ascii="Times New Roman" w:hAnsi="Times New Roman" w:cs="Times New Roman"/>
          <w:sz w:val="24"/>
          <w:szCs w:val="24"/>
          <w:lang w:val="en-GB"/>
        </w:rPr>
      </w:pPr>
      <w:r w:rsidRPr="00602ECC">
        <w:rPr>
          <w:rFonts w:ascii="Times New Roman" w:hAnsi="Times New Roman" w:cs="Times New Roman"/>
          <w:sz w:val="24"/>
          <w:szCs w:val="24"/>
        </w:rPr>
        <w:t>3. Being a National Human Rights Institution the HRD has cooperation with both state institutions and civil society and mass media representatives. Moreover, HRD has adjunct councils where members of NGOs are represented, which also makes it a great platform for cooperation with different stakeholders. This kind of wide cooperation with all the actors in the society is unique, hence the HRD plays a key role in enhancing protective and promoting measures.</w:t>
      </w:r>
      <w:r w:rsidR="007769A2" w:rsidRPr="00602ECC">
        <w:rPr>
          <w:rFonts w:ascii="Times New Roman" w:hAnsi="Times New Roman" w:cs="Times New Roman"/>
          <w:sz w:val="24"/>
          <w:szCs w:val="24"/>
        </w:rPr>
        <w:t xml:space="preserve"> </w:t>
      </w:r>
      <w:r w:rsidRPr="00602ECC">
        <w:rPr>
          <w:rFonts w:ascii="Times New Roman" w:hAnsi="Times New Roman" w:cs="Times New Roman"/>
          <w:sz w:val="24"/>
          <w:szCs w:val="24"/>
          <w:lang w:val="en-GB"/>
        </w:rPr>
        <w:t xml:space="preserve">Collaboration between the Ombudsman and national as well as international organisations is one of the key aspects of the Defender’s initiatives. Undoubtedly, tight cooperation with different NGOs and partner organizations is aimed to facilitate the promotion and protection of human rights and fundamental freedoms. We strongly emphasize the importance of such collaboration, as women support centres and other NGOs promoting and protecting women rights </w:t>
      </w:r>
      <w:r w:rsidR="007769A2" w:rsidRPr="00602ECC">
        <w:rPr>
          <w:rFonts w:ascii="Times New Roman" w:hAnsi="Times New Roman" w:cs="Times New Roman"/>
          <w:sz w:val="24"/>
          <w:szCs w:val="24"/>
          <w:lang w:val="en-GB"/>
        </w:rPr>
        <w:t>are organisations of first instance where different beneficiaries apply initially and frequently many activities that are undertaken in cohesion with such organisation lead to successful protection of women rights.</w:t>
      </w:r>
      <w:r w:rsidRPr="00602ECC">
        <w:rPr>
          <w:rFonts w:ascii="Times New Roman" w:hAnsi="Times New Roman" w:cs="Times New Roman"/>
          <w:sz w:val="24"/>
          <w:szCs w:val="24"/>
          <w:lang w:val="en-GB"/>
        </w:rPr>
        <w:t xml:space="preserve"> </w:t>
      </w:r>
    </w:p>
    <w:p w14:paraId="6EF2869A" w14:textId="36305D7A" w:rsidR="007769A2" w:rsidRPr="00602ECC" w:rsidRDefault="007769A2" w:rsidP="00602ECC">
      <w:pPr>
        <w:spacing w:line="276" w:lineRule="auto"/>
        <w:jc w:val="both"/>
        <w:rPr>
          <w:rFonts w:ascii="Times New Roman" w:hAnsi="Times New Roman" w:cs="Times New Roman"/>
          <w:lang w:val="en-GB"/>
        </w:rPr>
      </w:pPr>
    </w:p>
    <w:p w14:paraId="077054BC" w14:textId="53E913B6" w:rsidR="00D66927" w:rsidRPr="00602ECC" w:rsidRDefault="007769A2" w:rsidP="00602ECC">
      <w:pPr>
        <w:spacing w:line="276" w:lineRule="auto"/>
        <w:jc w:val="both"/>
        <w:rPr>
          <w:rFonts w:ascii="Times New Roman" w:hAnsi="Times New Roman" w:cs="Times New Roman"/>
          <w:lang w:val="en-GB"/>
        </w:rPr>
      </w:pPr>
      <w:r w:rsidRPr="00602ECC">
        <w:rPr>
          <w:rFonts w:ascii="Times New Roman" w:hAnsi="Times New Roman" w:cs="Times New Roman"/>
          <w:lang w:val="en-GB"/>
        </w:rPr>
        <w:t>It should be highlighted that there is a special focal point in the office</w:t>
      </w:r>
      <w:r w:rsidR="00602ECC">
        <w:rPr>
          <w:rFonts w:ascii="Times New Roman" w:hAnsi="Times New Roman" w:cs="Times New Roman"/>
          <w:lang w:val="en-GB"/>
        </w:rPr>
        <w:t>,</w:t>
      </w:r>
      <w:r w:rsidRPr="00602ECC">
        <w:rPr>
          <w:rFonts w:ascii="Times New Roman" w:hAnsi="Times New Roman" w:cs="Times New Roman"/>
          <w:lang w:val="en-GB"/>
        </w:rPr>
        <w:t xml:space="preserve"> who is responsible for the protection of women’s rights and works in cohesion with women’s rights organisations providing assistance to individuals. This cooperation </w:t>
      </w:r>
      <w:r w:rsidR="004D3AA7" w:rsidRPr="00602ECC">
        <w:rPr>
          <w:rFonts w:ascii="Times New Roman" w:hAnsi="Times New Roman" w:cs="Times New Roman"/>
          <w:lang w:val="en-GB"/>
        </w:rPr>
        <w:t xml:space="preserve">in analysing individual cases </w:t>
      </w:r>
      <w:r w:rsidRPr="00602ECC">
        <w:rPr>
          <w:rFonts w:ascii="Times New Roman" w:hAnsi="Times New Roman" w:cs="Times New Roman"/>
          <w:lang w:val="en-GB"/>
        </w:rPr>
        <w:t>extends to</w:t>
      </w:r>
      <w:r w:rsidR="004D3AA7" w:rsidRPr="00602ECC">
        <w:rPr>
          <w:rFonts w:ascii="Times New Roman" w:hAnsi="Times New Roman" w:cs="Times New Roman"/>
          <w:lang w:val="en-GB"/>
        </w:rPr>
        <w:t xml:space="preserve"> collaboration in different discussions and seminars hat are organised by the named organisations as well as by the HRDO.</w:t>
      </w:r>
      <w:r w:rsidR="00602ECC">
        <w:rPr>
          <w:rFonts w:ascii="Times New Roman" w:hAnsi="Times New Roman" w:cs="Times New Roman"/>
          <w:lang w:val="en-GB"/>
        </w:rPr>
        <w:t xml:space="preserve"> </w:t>
      </w:r>
      <w:r w:rsidR="004D3AA7" w:rsidRPr="00602ECC">
        <w:rPr>
          <w:rFonts w:ascii="Times New Roman" w:hAnsi="Times New Roman" w:cs="Times New Roman"/>
          <w:lang w:val="en-GB"/>
        </w:rPr>
        <w:t xml:space="preserve">A successful example of recent cooperation between the HRDO and the women’s rights organisation is a visit to one of the regions of Armenia. The </w:t>
      </w:r>
      <w:r w:rsidR="00602ECC" w:rsidRPr="00602ECC">
        <w:rPr>
          <w:rFonts w:ascii="Times New Roman" w:hAnsi="Times New Roman" w:cs="Times New Roman"/>
          <w:lang w:val="en-GB"/>
        </w:rPr>
        <w:t>aim of this collaboration is to presented the named organisation’s goals and objectives as well as shared their best practice. A number of meeting were organised with representatives of different local NGOs and indigenous women who have great interest in taking initiatives and strong social position, which hugely enhanced local women’s willingness to take initiatives and have impact on shaping different aspects and tackling various local issues. This project of initiating local women’ rights organisation that will assist local women and facilitate their economic stability is aimed to enhance women empowerment and target various issues in the region.</w:t>
      </w:r>
    </w:p>
    <w:p w14:paraId="65FEB001" w14:textId="18C4BF40" w:rsidR="00D67B5C" w:rsidRPr="00602ECC" w:rsidRDefault="00D67B5C" w:rsidP="00602ECC">
      <w:pPr>
        <w:pStyle w:val="Default"/>
        <w:spacing w:line="276" w:lineRule="auto"/>
        <w:rPr>
          <w:rFonts w:ascii="Times New Roman" w:hAnsi="Times New Roman" w:cs="Times New Roman"/>
          <w:color w:val="auto"/>
        </w:rPr>
      </w:pPr>
    </w:p>
    <w:p w14:paraId="4EE9BE49" w14:textId="73EB8B31" w:rsidR="004D3849" w:rsidRPr="00602ECC" w:rsidRDefault="00B51D1E" w:rsidP="00602ECC">
      <w:pPr>
        <w:pStyle w:val="Default"/>
        <w:spacing w:line="276" w:lineRule="auto"/>
        <w:rPr>
          <w:rFonts w:ascii="Times New Roman" w:hAnsi="Times New Roman" w:cs="Times New Roman"/>
          <w:color w:val="auto"/>
        </w:rPr>
      </w:pPr>
      <w:r w:rsidRPr="00602ECC">
        <w:rPr>
          <w:rFonts w:ascii="Times New Roman" w:hAnsi="Times New Roman" w:cs="Times New Roman"/>
          <w:color w:val="auto"/>
        </w:rPr>
        <w:tab/>
      </w:r>
    </w:p>
    <w:sectPr w:rsidR="004D3849" w:rsidRPr="00602ECC" w:rsidSect="00A6339B">
      <w:footerReference w:type="default" r:id="rId7"/>
      <w:pgSz w:w="12240" w:h="15840"/>
      <w:pgMar w:top="1134" w:right="850" w:bottom="1134" w:left="9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B4457" w14:textId="77777777" w:rsidR="00E94C0E" w:rsidRDefault="00E94C0E" w:rsidP="00720C33">
      <w:r>
        <w:separator/>
      </w:r>
    </w:p>
  </w:endnote>
  <w:endnote w:type="continuationSeparator" w:id="0">
    <w:p w14:paraId="294162D9" w14:textId="77777777" w:rsidR="00E94C0E" w:rsidRDefault="00E94C0E" w:rsidP="0072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TarumianIshx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285639"/>
      <w:docPartObj>
        <w:docPartGallery w:val="Page Numbers (Bottom of Page)"/>
        <w:docPartUnique/>
      </w:docPartObj>
    </w:sdtPr>
    <w:sdtEndPr>
      <w:rPr>
        <w:noProof/>
      </w:rPr>
    </w:sdtEndPr>
    <w:sdtContent>
      <w:p w14:paraId="79174FC0" w14:textId="528EC5EF" w:rsidR="00A66193" w:rsidRDefault="00A66193">
        <w:pPr>
          <w:pStyle w:val="Footer"/>
          <w:jc w:val="center"/>
        </w:pPr>
        <w:r>
          <w:fldChar w:fldCharType="begin"/>
        </w:r>
        <w:r>
          <w:instrText xml:space="preserve"> PAGE   \* MERGEFORMAT </w:instrText>
        </w:r>
        <w:r>
          <w:fldChar w:fldCharType="separate"/>
        </w:r>
        <w:r w:rsidR="007A1BC3">
          <w:rPr>
            <w:noProof/>
          </w:rPr>
          <w:t>4</w:t>
        </w:r>
        <w:r>
          <w:rPr>
            <w:noProof/>
          </w:rPr>
          <w:fldChar w:fldCharType="end"/>
        </w:r>
      </w:p>
    </w:sdtContent>
  </w:sdt>
  <w:p w14:paraId="1AC189AF" w14:textId="77777777" w:rsidR="00A66193" w:rsidRDefault="00A66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F4646" w14:textId="77777777" w:rsidR="00E94C0E" w:rsidRDefault="00E94C0E" w:rsidP="00720C33">
      <w:r>
        <w:separator/>
      </w:r>
    </w:p>
  </w:footnote>
  <w:footnote w:type="continuationSeparator" w:id="0">
    <w:p w14:paraId="1D0448B0" w14:textId="77777777" w:rsidR="00E94C0E" w:rsidRDefault="00E94C0E" w:rsidP="00720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183"/>
    <w:multiLevelType w:val="hybridMultilevel"/>
    <w:tmpl w:val="FF00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E778B"/>
    <w:multiLevelType w:val="multilevel"/>
    <w:tmpl w:val="BAF4D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F2"/>
    <w:rsid w:val="000C59F2"/>
    <w:rsid w:val="000D66FE"/>
    <w:rsid w:val="00124A8D"/>
    <w:rsid w:val="001925D8"/>
    <w:rsid w:val="00192EF3"/>
    <w:rsid w:val="001970FB"/>
    <w:rsid w:val="00234338"/>
    <w:rsid w:val="00237C51"/>
    <w:rsid w:val="002676D0"/>
    <w:rsid w:val="002A45AF"/>
    <w:rsid w:val="002B3E7B"/>
    <w:rsid w:val="002D0F13"/>
    <w:rsid w:val="004120A2"/>
    <w:rsid w:val="00420577"/>
    <w:rsid w:val="00422B42"/>
    <w:rsid w:val="004A56CA"/>
    <w:rsid w:val="004D3849"/>
    <w:rsid w:val="004D3AA7"/>
    <w:rsid w:val="00514273"/>
    <w:rsid w:val="005B0D77"/>
    <w:rsid w:val="005E1247"/>
    <w:rsid w:val="00602ECC"/>
    <w:rsid w:val="006918EF"/>
    <w:rsid w:val="006957F0"/>
    <w:rsid w:val="006A2BDC"/>
    <w:rsid w:val="00711533"/>
    <w:rsid w:val="00720C33"/>
    <w:rsid w:val="00756C30"/>
    <w:rsid w:val="007769A2"/>
    <w:rsid w:val="007A1BC3"/>
    <w:rsid w:val="008008D7"/>
    <w:rsid w:val="00845B22"/>
    <w:rsid w:val="00887E07"/>
    <w:rsid w:val="00892A41"/>
    <w:rsid w:val="008976B6"/>
    <w:rsid w:val="008C7B72"/>
    <w:rsid w:val="008E06C8"/>
    <w:rsid w:val="00914C81"/>
    <w:rsid w:val="009C6FCF"/>
    <w:rsid w:val="009F609F"/>
    <w:rsid w:val="00A2755A"/>
    <w:rsid w:val="00A6339B"/>
    <w:rsid w:val="00A66193"/>
    <w:rsid w:val="00A66939"/>
    <w:rsid w:val="00B0643D"/>
    <w:rsid w:val="00B51D1E"/>
    <w:rsid w:val="00B87440"/>
    <w:rsid w:val="00C37B3A"/>
    <w:rsid w:val="00C5750F"/>
    <w:rsid w:val="00C923EE"/>
    <w:rsid w:val="00CA6ED9"/>
    <w:rsid w:val="00CB0ACB"/>
    <w:rsid w:val="00D062C0"/>
    <w:rsid w:val="00D66927"/>
    <w:rsid w:val="00D67B5C"/>
    <w:rsid w:val="00DC21F2"/>
    <w:rsid w:val="00E607D8"/>
    <w:rsid w:val="00E94C0E"/>
    <w:rsid w:val="00ED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C9FFF"/>
  <w15:chartTrackingRefBased/>
  <w15:docId w15:val="{3FF05C56-1A02-4BA8-8667-FF894463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7C51"/>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237C51"/>
    <w:rPr>
      <w:rFonts w:ascii="Times New Roman" w:eastAsia="Times New Roman" w:hAnsi="Times New Roman" w:cs="Times New Roman"/>
      <w:sz w:val="18"/>
      <w:szCs w:val="18"/>
      <w:shd w:val="clear" w:color="auto" w:fill="FFFFFF"/>
    </w:rPr>
  </w:style>
  <w:style w:type="character" w:customStyle="1" w:styleId="Heading1">
    <w:name w:val="Heading #1_"/>
    <w:basedOn w:val="DefaultParagraphFont"/>
    <w:link w:val="Heading10"/>
    <w:rsid w:val="00237C51"/>
    <w:rPr>
      <w:rFonts w:ascii="Times New Roman" w:eastAsia="Times New Roman" w:hAnsi="Times New Roman" w:cs="Times New Roman"/>
      <w:sz w:val="18"/>
      <w:szCs w:val="18"/>
      <w:shd w:val="clear" w:color="auto" w:fill="FFFFFF"/>
    </w:rPr>
  </w:style>
  <w:style w:type="paragraph" w:customStyle="1" w:styleId="BodyText1">
    <w:name w:val="Body Text1"/>
    <w:basedOn w:val="Normal"/>
    <w:link w:val="Bodytext"/>
    <w:rsid w:val="00237C51"/>
    <w:pPr>
      <w:shd w:val="clear" w:color="auto" w:fill="FFFFFF"/>
      <w:spacing w:before="480" w:after="240" w:line="0" w:lineRule="atLeast"/>
      <w:ind w:hanging="500"/>
    </w:pPr>
    <w:rPr>
      <w:rFonts w:ascii="Times New Roman" w:eastAsia="Times New Roman" w:hAnsi="Times New Roman" w:cs="Times New Roman"/>
      <w:color w:val="auto"/>
      <w:sz w:val="18"/>
      <w:szCs w:val="18"/>
    </w:rPr>
  </w:style>
  <w:style w:type="paragraph" w:customStyle="1" w:styleId="Heading10">
    <w:name w:val="Heading #1"/>
    <w:basedOn w:val="Normal"/>
    <w:link w:val="Heading1"/>
    <w:rsid w:val="00237C51"/>
    <w:pPr>
      <w:shd w:val="clear" w:color="auto" w:fill="FFFFFF"/>
      <w:spacing w:after="60" w:line="0" w:lineRule="atLeast"/>
      <w:jc w:val="center"/>
      <w:outlineLvl w:val="0"/>
    </w:pPr>
    <w:rPr>
      <w:rFonts w:ascii="Times New Roman" w:eastAsia="Times New Roman" w:hAnsi="Times New Roman" w:cs="Times New Roman"/>
      <w:color w:val="auto"/>
      <w:sz w:val="18"/>
      <w:szCs w:val="18"/>
    </w:rPr>
  </w:style>
  <w:style w:type="paragraph" w:customStyle="1" w:styleId="Default">
    <w:name w:val="Default"/>
    <w:rsid w:val="004120A2"/>
    <w:pPr>
      <w:autoSpaceDE w:val="0"/>
      <w:autoSpaceDN w:val="0"/>
      <w:adjustRightInd w:val="0"/>
      <w:spacing w:after="0" w:line="240" w:lineRule="auto"/>
    </w:pPr>
    <w:rPr>
      <w:rFonts w:ascii="ArTarumianIshxan" w:hAnsi="ArTarumianIshxan" w:cs="ArTarumianIshxan"/>
      <w:color w:val="000000"/>
      <w:sz w:val="24"/>
      <w:szCs w:val="24"/>
    </w:rPr>
  </w:style>
  <w:style w:type="paragraph" w:customStyle="1" w:styleId="BodyText2">
    <w:name w:val="Body Text2"/>
    <w:basedOn w:val="Normal"/>
    <w:rsid w:val="004120A2"/>
    <w:pPr>
      <w:shd w:val="clear" w:color="auto" w:fill="FFFFFF"/>
      <w:spacing w:before="300" w:after="180" w:line="317" w:lineRule="exact"/>
      <w:ind w:hanging="340"/>
      <w:jc w:val="both"/>
    </w:pPr>
    <w:rPr>
      <w:rFonts w:asciiTheme="minorHAnsi" w:eastAsiaTheme="minorHAnsi" w:hAnsiTheme="minorHAnsi" w:cstheme="minorBidi"/>
      <w:color w:val="auto"/>
      <w:sz w:val="23"/>
      <w:szCs w:val="23"/>
    </w:rPr>
  </w:style>
  <w:style w:type="paragraph" w:styleId="FootnoteText">
    <w:name w:val="footnote text"/>
    <w:basedOn w:val="Normal"/>
    <w:link w:val="FootnoteTextChar"/>
    <w:uiPriority w:val="99"/>
    <w:semiHidden/>
    <w:unhideWhenUsed/>
    <w:rsid w:val="00720C33"/>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720C33"/>
    <w:rPr>
      <w:sz w:val="20"/>
      <w:szCs w:val="20"/>
    </w:rPr>
  </w:style>
  <w:style w:type="character" w:styleId="FootnoteReference">
    <w:name w:val="footnote reference"/>
    <w:basedOn w:val="DefaultParagraphFont"/>
    <w:uiPriority w:val="99"/>
    <w:semiHidden/>
    <w:unhideWhenUsed/>
    <w:rsid w:val="00720C33"/>
    <w:rPr>
      <w:vertAlign w:val="superscript"/>
    </w:rPr>
  </w:style>
  <w:style w:type="paragraph" w:styleId="ListParagraph">
    <w:name w:val="List Paragraph"/>
    <w:basedOn w:val="Normal"/>
    <w:uiPriority w:val="34"/>
    <w:qFormat/>
    <w:rsid w:val="00720C33"/>
    <w:pPr>
      <w:spacing w:after="160" w:line="259"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D67B5C"/>
    <w:rPr>
      <w:sz w:val="16"/>
      <w:szCs w:val="16"/>
    </w:rPr>
  </w:style>
  <w:style w:type="paragraph" w:styleId="CommentText">
    <w:name w:val="annotation text"/>
    <w:basedOn w:val="Normal"/>
    <w:link w:val="CommentTextChar"/>
    <w:uiPriority w:val="99"/>
    <w:semiHidden/>
    <w:unhideWhenUsed/>
    <w:rsid w:val="00D67B5C"/>
    <w:rPr>
      <w:sz w:val="20"/>
      <w:szCs w:val="20"/>
    </w:rPr>
  </w:style>
  <w:style w:type="character" w:customStyle="1" w:styleId="CommentTextChar">
    <w:name w:val="Comment Text Char"/>
    <w:basedOn w:val="DefaultParagraphFont"/>
    <w:link w:val="CommentText"/>
    <w:uiPriority w:val="99"/>
    <w:semiHidden/>
    <w:rsid w:val="00D67B5C"/>
    <w:rPr>
      <w:rFonts w:ascii="Arial Unicode MS" w:eastAsia="Arial Unicode MS" w:hAnsi="Arial Unicode MS" w:cs="Arial Unicode MS"/>
      <w:color w:val="000000"/>
      <w:sz w:val="20"/>
      <w:szCs w:val="20"/>
    </w:rPr>
  </w:style>
  <w:style w:type="paragraph" w:styleId="CommentSubject">
    <w:name w:val="annotation subject"/>
    <w:basedOn w:val="CommentText"/>
    <w:next w:val="CommentText"/>
    <w:link w:val="CommentSubjectChar"/>
    <w:uiPriority w:val="99"/>
    <w:semiHidden/>
    <w:unhideWhenUsed/>
    <w:rsid w:val="00D67B5C"/>
    <w:rPr>
      <w:b/>
      <w:bCs/>
    </w:rPr>
  </w:style>
  <w:style w:type="character" w:customStyle="1" w:styleId="CommentSubjectChar">
    <w:name w:val="Comment Subject Char"/>
    <w:basedOn w:val="CommentTextChar"/>
    <w:link w:val="CommentSubject"/>
    <w:uiPriority w:val="99"/>
    <w:semiHidden/>
    <w:rsid w:val="00D67B5C"/>
    <w:rPr>
      <w:rFonts w:ascii="Arial Unicode MS" w:eastAsia="Arial Unicode MS" w:hAnsi="Arial Unicode MS" w:cs="Arial Unicode MS"/>
      <w:b/>
      <w:bCs/>
      <w:color w:val="000000"/>
      <w:sz w:val="20"/>
      <w:szCs w:val="20"/>
    </w:rPr>
  </w:style>
  <w:style w:type="paragraph" w:styleId="BalloonText">
    <w:name w:val="Balloon Text"/>
    <w:basedOn w:val="Normal"/>
    <w:link w:val="BalloonTextChar"/>
    <w:uiPriority w:val="99"/>
    <w:semiHidden/>
    <w:unhideWhenUsed/>
    <w:rsid w:val="00D67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5C"/>
    <w:rPr>
      <w:rFonts w:ascii="Segoe UI" w:eastAsia="Arial Unicode MS" w:hAnsi="Segoe UI" w:cs="Segoe UI"/>
      <w:color w:val="000000"/>
      <w:sz w:val="18"/>
      <w:szCs w:val="18"/>
    </w:rPr>
  </w:style>
  <w:style w:type="paragraph" w:styleId="Header">
    <w:name w:val="header"/>
    <w:basedOn w:val="Normal"/>
    <w:link w:val="HeaderChar"/>
    <w:uiPriority w:val="99"/>
    <w:unhideWhenUsed/>
    <w:rsid w:val="00A66193"/>
    <w:pPr>
      <w:tabs>
        <w:tab w:val="center" w:pos="4680"/>
        <w:tab w:val="right" w:pos="9360"/>
      </w:tabs>
    </w:pPr>
  </w:style>
  <w:style w:type="character" w:customStyle="1" w:styleId="HeaderChar">
    <w:name w:val="Header Char"/>
    <w:basedOn w:val="DefaultParagraphFont"/>
    <w:link w:val="Header"/>
    <w:uiPriority w:val="99"/>
    <w:rsid w:val="00A66193"/>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A66193"/>
    <w:pPr>
      <w:tabs>
        <w:tab w:val="center" w:pos="4680"/>
        <w:tab w:val="right" w:pos="9360"/>
      </w:tabs>
    </w:pPr>
  </w:style>
  <w:style w:type="character" w:customStyle="1" w:styleId="FooterChar">
    <w:name w:val="Footer Char"/>
    <w:basedOn w:val="DefaultParagraphFont"/>
    <w:link w:val="Footer"/>
    <w:uiPriority w:val="99"/>
    <w:rsid w:val="00A66193"/>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3BB463-5664-486B-AFB1-FEEC06F0274A}"/>
</file>

<file path=customXml/itemProps2.xml><?xml version="1.0" encoding="utf-8"?>
<ds:datastoreItem xmlns:ds="http://schemas.openxmlformats.org/officeDocument/2006/customXml" ds:itemID="{8BFAC5E7-E6AC-4D64-88A3-DFCF552A77E5}"/>
</file>

<file path=customXml/itemProps3.xml><?xml version="1.0" encoding="utf-8"?>
<ds:datastoreItem xmlns:ds="http://schemas.openxmlformats.org/officeDocument/2006/customXml" ds:itemID="{FDDF144E-F039-4414-AC4E-82589A875927}"/>
</file>

<file path=docProps/app.xml><?xml version="1.0" encoding="utf-8"?>
<Properties xmlns="http://schemas.openxmlformats.org/officeDocument/2006/extended-properties" xmlns:vt="http://schemas.openxmlformats.org/officeDocument/2006/docPropsVTypes">
  <Template>Normal.dotm</Template>
  <TotalTime>12</TotalTime>
  <Pages>4</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Shushanik Khurshudyan</dc:creator>
  <cp:keywords/>
  <dc:description/>
  <cp:lastModifiedBy>Asako Hattori</cp:lastModifiedBy>
  <cp:revision>3</cp:revision>
  <dcterms:created xsi:type="dcterms:W3CDTF">2017-11-08T12:45:00Z</dcterms:created>
  <dcterms:modified xsi:type="dcterms:W3CDTF">2018-03-28T14:50:00Z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