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DAD" w:rsidRDefault="00445DAD" w:rsidP="00445DAD">
      <w:pPr>
        <w:spacing w:after="0"/>
        <w:jc w:val="center"/>
        <w:rPr>
          <w:rFonts w:ascii="Times New Roman" w:hAnsi="Times New Roman" w:cs="Times New Roman"/>
        </w:rPr>
      </w:pPr>
      <w:r w:rsidRPr="00B77991">
        <w:rPr>
          <w:noProof/>
          <w:sz w:val="28"/>
          <w:szCs w:val="28"/>
          <w:lang w:eastAsia="fr-FR"/>
        </w:rPr>
        <w:drawing>
          <wp:inline distT="0" distB="0" distL="0" distR="0" wp14:anchorId="6DB14C05" wp14:editId="45BE4192">
            <wp:extent cx="1601619" cy="902524"/>
            <wp:effectExtent l="0" t="0" r="0" b="0"/>
            <wp:docPr id="1" name="Image 1" descr="T:\Communication\Identité visuelle\LOGO\Def\LogoDef_CNCDH-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T:\Communication\Identité visuelle\LOGO\Def\LogoDef_CNCDH-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6326" cy="910812"/>
                    </a:xfrm>
                    <a:prstGeom prst="rect">
                      <a:avLst/>
                    </a:prstGeom>
                    <a:noFill/>
                    <a:ln>
                      <a:noFill/>
                    </a:ln>
                  </pic:spPr>
                </pic:pic>
              </a:graphicData>
            </a:graphic>
          </wp:inline>
        </w:drawing>
      </w:r>
    </w:p>
    <w:p w:rsidR="00445DAD" w:rsidRDefault="00445DAD" w:rsidP="00445DAD">
      <w:pPr>
        <w:spacing w:after="0"/>
        <w:jc w:val="both"/>
        <w:rPr>
          <w:rFonts w:ascii="Times New Roman" w:hAnsi="Times New Roman" w:cs="Times New Roman"/>
        </w:rPr>
      </w:pPr>
    </w:p>
    <w:p w:rsidR="00445DAD" w:rsidRPr="00C97E74" w:rsidRDefault="00445DAD" w:rsidP="00445DAD">
      <w:pPr>
        <w:spacing w:after="0"/>
        <w:jc w:val="both"/>
        <w:rPr>
          <w:rFonts w:ascii="Times New Roman" w:hAnsi="Times New Roman" w:cs="Times New Roman"/>
          <w:b/>
          <w:u w:val="single"/>
        </w:rPr>
      </w:pPr>
      <w:r w:rsidRPr="00C97E74">
        <w:rPr>
          <w:rFonts w:ascii="Times New Roman" w:hAnsi="Times New Roman" w:cs="Times New Roman"/>
          <w:b/>
          <w:u w:val="single"/>
        </w:rPr>
        <w:t xml:space="preserve">Présentation de l’institution </w:t>
      </w:r>
    </w:p>
    <w:p w:rsidR="00445DAD" w:rsidRDefault="00445DAD" w:rsidP="00445DAD">
      <w:pPr>
        <w:spacing w:after="0"/>
        <w:jc w:val="both"/>
        <w:rPr>
          <w:rFonts w:ascii="Times New Roman" w:hAnsi="Times New Roman" w:cs="Times New Roman"/>
        </w:rPr>
      </w:pPr>
    </w:p>
    <w:p w:rsidR="00445DAD" w:rsidRDefault="00445DAD" w:rsidP="00445DAD">
      <w:pPr>
        <w:spacing w:after="0"/>
        <w:jc w:val="both"/>
        <w:rPr>
          <w:rFonts w:ascii="Times New Roman" w:hAnsi="Times New Roman" w:cs="Times New Roman"/>
        </w:rPr>
      </w:pPr>
      <w:r>
        <w:rPr>
          <w:rFonts w:ascii="Times New Roman" w:hAnsi="Times New Roman" w:cs="Times New Roman"/>
        </w:rPr>
        <w:t>La Commission nationale consultative des droits de l’homme (CNCDH) est l’institution française de promotion et de protection des droits de l’homme, établie conformément aux Principes de Paris et accréditée de statut A auprès des Nations unies</w:t>
      </w:r>
      <w:r>
        <w:rPr>
          <w:rStyle w:val="Appelnotedebasdep"/>
          <w:rFonts w:ascii="Times New Roman" w:hAnsi="Times New Roman" w:cs="Times New Roman"/>
        </w:rPr>
        <w:footnoteReference w:id="1"/>
      </w:r>
      <w:r>
        <w:rPr>
          <w:rFonts w:ascii="Times New Roman" w:hAnsi="Times New Roman" w:cs="Times New Roman"/>
        </w:rPr>
        <w:t xml:space="preserve">. </w:t>
      </w:r>
    </w:p>
    <w:p w:rsidR="00445DAD" w:rsidRDefault="00445DAD" w:rsidP="00445DAD">
      <w:pPr>
        <w:spacing w:after="0"/>
        <w:jc w:val="both"/>
        <w:rPr>
          <w:rFonts w:ascii="Times New Roman" w:hAnsi="Times New Roman" w:cs="Times New Roman"/>
        </w:rPr>
      </w:pPr>
      <w:r>
        <w:rPr>
          <w:rFonts w:ascii="Times New Roman" w:hAnsi="Times New Roman" w:cs="Times New Roman"/>
        </w:rPr>
        <w:t xml:space="preserve">Créée en 1947, la CNCDH a un rôle de vigilance, de proposition, de suivi et de sensibilisation auprès du Gouvernement et du Parlement sur tous les sujets touchant aux droits de l’homme et au droit international humanitaire. Elle est dotée de plusieurs mandats, à savoir : le mandat de rapporteur national sur la lutte contre le racisme, l’antisémitisme et la xénophobie ; le mandat de rapporteur national sur la lutte contre la traite et l’exploitation des êtres humains ; et le mandat d’évaluateur national des populations publiques en matière d’entreprises et de droits de l’homme.  </w:t>
      </w:r>
    </w:p>
    <w:p w:rsidR="00445DAD" w:rsidRDefault="00445DAD" w:rsidP="00445DAD">
      <w:pPr>
        <w:spacing w:after="0"/>
        <w:jc w:val="both"/>
        <w:rPr>
          <w:rFonts w:ascii="Times New Roman" w:hAnsi="Times New Roman" w:cs="Times New Roman"/>
        </w:rPr>
      </w:pPr>
    </w:p>
    <w:p w:rsidR="00445DAD" w:rsidRDefault="00445DAD" w:rsidP="00445DAD">
      <w:pPr>
        <w:spacing w:after="0"/>
        <w:jc w:val="both"/>
        <w:rPr>
          <w:rFonts w:ascii="Times New Roman" w:hAnsi="Times New Roman" w:cs="Times New Roman"/>
        </w:rPr>
      </w:pPr>
      <w:r>
        <w:rPr>
          <w:rFonts w:ascii="Times New Roman" w:hAnsi="Times New Roman" w:cs="Times New Roman"/>
        </w:rPr>
        <w:t>Depuis 2007</w:t>
      </w:r>
      <w:r>
        <w:rPr>
          <w:rStyle w:val="Appelnotedebasdep"/>
          <w:rFonts w:ascii="Times New Roman" w:hAnsi="Times New Roman" w:cs="Times New Roman"/>
        </w:rPr>
        <w:footnoteReference w:id="2"/>
      </w:r>
      <w:r>
        <w:rPr>
          <w:rFonts w:ascii="Times New Roman" w:hAnsi="Times New Roman" w:cs="Times New Roman"/>
        </w:rPr>
        <w:t xml:space="preserve">, la Commission est composée de 64 membres, représentants des principales organisations non gouvernementales œuvrant dans le domaine des droits de l’homme et du droit international humanitaire, mais également des membres des principales confédérations syndicales, représentants des religions et personnes choisies en raison de leur compétence reconnue dans ce domaine ou siégeant en qualité d’experts indépendants dans les instances internationales des droits de l’homme. Grâce à cette composition pluraliste et à son fonctionnement collégial, l’institution remplit sa mission en toute indépendance. </w:t>
      </w:r>
    </w:p>
    <w:p w:rsidR="00445DAD" w:rsidRDefault="00445DAD" w:rsidP="00445DAD">
      <w:pPr>
        <w:spacing w:after="0"/>
        <w:jc w:val="both"/>
        <w:rPr>
          <w:rFonts w:ascii="Times New Roman" w:hAnsi="Times New Roman" w:cs="Times New Roman"/>
        </w:rPr>
      </w:pPr>
    </w:p>
    <w:p w:rsidR="00445DAD" w:rsidRDefault="00445DAD" w:rsidP="00445DAD">
      <w:pPr>
        <w:spacing w:after="0"/>
        <w:jc w:val="both"/>
        <w:rPr>
          <w:rFonts w:ascii="Times New Roman" w:hAnsi="Times New Roman" w:cs="Times New Roman"/>
        </w:rPr>
      </w:pPr>
      <w:r>
        <w:rPr>
          <w:rFonts w:ascii="Times New Roman" w:hAnsi="Times New Roman" w:cs="Times New Roman"/>
        </w:rPr>
        <w:t>La Commission peut être saisie par le Gouvernement ou s’autosaisir sur toute question de portée générale relevant de son champ de compétence tant de portée nationale qu’internationale. Elle rend compte de ses positions à travers des avis, rapports, études et évaluations</w:t>
      </w:r>
    </w:p>
    <w:p w:rsidR="00445DAD" w:rsidRDefault="00445DAD" w:rsidP="00445DAD">
      <w:pPr>
        <w:spacing w:after="0"/>
        <w:jc w:val="both"/>
        <w:rPr>
          <w:rFonts w:ascii="Times New Roman" w:hAnsi="Times New Roman" w:cs="Times New Roman"/>
        </w:rPr>
      </w:pPr>
      <w:r>
        <w:rPr>
          <w:rFonts w:ascii="Times New Roman" w:hAnsi="Times New Roman" w:cs="Times New Roman"/>
        </w:rPr>
        <w:t xml:space="preserve">Sur sa mandature actuelle (2015-2017), 32 avis ont été rendus. Ont été publiés deux rapports annuels sur la lutte contre le racisme, l’antisémitisme et la xénophobie, deux rapports sur les regards portés par les instances internationales sur les droits de l’homme en France ainsi qu’un rapport sur la lutte contre la traite et l’exploitation des êtres humains. </w:t>
      </w:r>
    </w:p>
    <w:p w:rsidR="00445DAD" w:rsidRDefault="00445DAD" w:rsidP="00445DAD">
      <w:pPr>
        <w:spacing w:after="0"/>
        <w:jc w:val="both"/>
        <w:rPr>
          <w:rFonts w:ascii="Times New Roman" w:hAnsi="Times New Roman" w:cs="Times New Roman"/>
        </w:rPr>
      </w:pPr>
    </w:p>
    <w:p w:rsidR="00445DAD" w:rsidRDefault="00445DAD" w:rsidP="00445DAD">
      <w:pPr>
        <w:spacing w:after="0"/>
        <w:jc w:val="both"/>
        <w:rPr>
          <w:rFonts w:ascii="Times New Roman" w:hAnsi="Times New Roman" w:cs="Times New Roman"/>
        </w:rPr>
      </w:pPr>
      <w:r>
        <w:rPr>
          <w:rFonts w:ascii="Times New Roman" w:hAnsi="Times New Roman" w:cs="Times New Roman"/>
        </w:rPr>
        <w:t xml:space="preserve">Dans le cadre de son mandat international, la CNCDH interagit avec l’ensemble des organes des traités des Nations unies, concourant ainsi au contrôle des engagements internationaux de la France en matière de droits de l’homme. Elle agit par le biais de contributions écrites, d’auditions et de rencontres avec les experts des organes des traités. </w:t>
      </w:r>
    </w:p>
    <w:p w:rsidR="00445DAD" w:rsidRDefault="00445DAD" w:rsidP="00445DAD">
      <w:pPr>
        <w:rPr>
          <w:rFonts w:ascii="Times New Roman" w:hAnsi="Times New Roman" w:cs="Times New Roman"/>
        </w:rPr>
      </w:pPr>
      <w:r>
        <w:rPr>
          <w:rFonts w:ascii="Times New Roman" w:hAnsi="Times New Roman" w:cs="Times New Roman"/>
        </w:rPr>
        <w:br w:type="page"/>
      </w:r>
    </w:p>
    <w:p w:rsidR="00D60498" w:rsidRDefault="00445DAD" w:rsidP="00510DC8">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rPr>
      </w:pPr>
      <w:r w:rsidRPr="00445DAD">
        <w:rPr>
          <w:rFonts w:ascii="Times New Roman" w:hAnsi="Times New Roman" w:cs="Times New Roman"/>
          <w:b/>
        </w:rPr>
        <w:lastRenderedPageBreak/>
        <w:t>Contribution de la CNCDH au Rapport du Haut-Commissariat des Nations unies aux droits de l’homme sur « Associer les hommes et les garçons à la prévention de violence contre toutes les femmes et toutes les filles, et à la lutte contre cette violence, suivant la résolution 35/10 du Conseil des droits de l’homme</w:t>
      </w:r>
    </w:p>
    <w:p w:rsidR="00510DC8" w:rsidRPr="00445DAD" w:rsidRDefault="00510DC8" w:rsidP="00510DC8">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rPr>
      </w:pPr>
    </w:p>
    <w:p w:rsidR="00445DAD" w:rsidRPr="00445DAD" w:rsidRDefault="00C95FC4" w:rsidP="00510DC8">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i/>
        </w:rPr>
      </w:pPr>
      <w:r>
        <w:rPr>
          <w:rFonts w:ascii="Times New Roman" w:hAnsi="Times New Roman" w:cs="Times New Roman"/>
          <w:b/>
          <w:i/>
        </w:rPr>
        <w:t>Mardi 31 octobre</w:t>
      </w:r>
      <w:r w:rsidR="00445DAD" w:rsidRPr="00445DAD">
        <w:rPr>
          <w:rFonts w:ascii="Times New Roman" w:hAnsi="Times New Roman" w:cs="Times New Roman"/>
          <w:b/>
          <w:i/>
        </w:rPr>
        <w:t xml:space="preserve"> 2017</w:t>
      </w:r>
    </w:p>
    <w:p w:rsidR="00445DAD" w:rsidRDefault="00445DAD" w:rsidP="00445DAD">
      <w:pPr>
        <w:spacing w:after="0"/>
        <w:jc w:val="both"/>
        <w:rPr>
          <w:rFonts w:ascii="Times New Roman" w:hAnsi="Times New Roman" w:cs="Times New Roman"/>
        </w:rPr>
      </w:pPr>
    </w:p>
    <w:p w:rsidR="00445DAD" w:rsidRDefault="00445DAD" w:rsidP="00445DAD">
      <w:pPr>
        <w:spacing w:after="0"/>
        <w:jc w:val="both"/>
        <w:rPr>
          <w:rFonts w:ascii="Times New Roman" w:hAnsi="Times New Roman" w:cs="Times New Roman"/>
        </w:rPr>
      </w:pPr>
      <w:r>
        <w:rPr>
          <w:rFonts w:ascii="Times New Roman" w:hAnsi="Times New Roman" w:cs="Times New Roman"/>
          <w:i/>
        </w:rPr>
        <w:t>Suivant l’ordre des questions</w:t>
      </w:r>
    </w:p>
    <w:p w:rsidR="00445DAD" w:rsidRDefault="00445DAD" w:rsidP="00445DAD">
      <w:pPr>
        <w:spacing w:after="0"/>
        <w:jc w:val="both"/>
        <w:rPr>
          <w:rFonts w:ascii="Times New Roman" w:hAnsi="Times New Roman" w:cs="Times New Roman"/>
        </w:rPr>
      </w:pPr>
    </w:p>
    <w:p w:rsidR="00445DAD" w:rsidRPr="002A0960" w:rsidRDefault="00445DAD" w:rsidP="00445DAD">
      <w:pPr>
        <w:pStyle w:val="Paragraphedeliste"/>
        <w:numPr>
          <w:ilvl w:val="0"/>
          <w:numId w:val="1"/>
        </w:numPr>
        <w:spacing w:after="0"/>
        <w:jc w:val="both"/>
        <w:rPr>
          <w:rFonts w:ascii="Times New Roman" w:hAnsi="Times New Roman" w:cs="Times New Roman"/>
          <w:b/>
        </w:rPr>
      </w:pPr>
      <w:r w:rsidRPr="002A0960">
        <w:rPr>
          <w:rFonts w:ascii="Times New Roman" w:hAnsi="Times New Roman" w:cs="Times New Roman"/>
          <w:b/>
        </w:rPr>
        <w:t xml:space="preserve">Quelles mesures concrètes ont été prises par votre gouvernement ou votre organisation aux niveaux normatif, institutionnel et programmatique, pour associer les hommes et les garçons à la promotion et à la réalisation de l’égalité des sexes et combattre les stéréotypes liés au sexe, les normes </w:t>
      </w:r>
      <w:r w:rsidR="002A0960" w:rsidRPr="002A0960">
        <w:rPr>
          <w:rFonts w:ascii="Times New Roman" w:hAnsi="Times New Roman" w:cs="Times New Roman"/>
          <w:b/>
        </w:rPr>
        <w:t>sociales, attitudes et comportements négatifs qui sous-tendent et perpétuent la violence à l’égard des femmes et des filles ?</w:t>
      </w:r>
    </w:p>
    <w:p w:rsidR="002A0960" w:rsidRDefault="002A0960" w:rsidP="002A0960">
      <w:pPr>
        <w:spacing w:after="0"/>
        <w:jc w:val="both"/>
        <w:rPr>
          <w:rFonts w:ascii="Times New Roman" w:hAnsi="Times New Roman" w:cs="Times New Roman"/>
        </w:rPr>
      </w:pPr>
    </w:p>
    <w:p w:rsidR="002A0960" w:rsidRPr="002A0960" w:rsidRDefault="002A0960" w:rsidP="002A0960">
      <w:pPr>
        <w:pStyle w:val="Paragraphedeliste"/>
        <w:numPr>
          <w:ilvl w:val="0"/>
          <w:numId w:val="2"/>
        </w:numPr>
        <w:spacing w:after="0"/>
        <w:jc w:val="both"/>
        <w:rPr>
          <w:rFonts w:ascii="Times New Roman" w:hAnsi="Times New Roman" w:cs="Times New Roman"/>
          <w:i/>
        </w:rPr>
      </w:pPr>
      <w:r w:rsidRPr="002A0960">
        <w:rPr>
          <w:rFonts w:ascii="Times New Roman" w:hAnsi="Times New Roman" w:cs="Times New Roman"/>
          <w:i/>
        </w:rPr>
        <w:t>Les mesures prises par le Gouvernement français</w:t>
      </w:r>
    </w:p>
    <w:p w:rsidR="002A0960" w:rsidRDefault="002A0960" w:rsidP="002A0960">
      <w:pPr>
        <w:spacing w:after="0"/>
        <w:jc w:val="both"/>
        <w:rPr>
          <w:rFonts w:ascii="Times New Roman" w:hAnsi="Times New Roman" w:cs="Times New Roman"/>
        </w:rPr>
      </w:pPr>
    </w:p>
    <w:p w:rsidR="002A0960" w:rsidRDefault="002A0960" w:rsidP="002A0960">
      <w:pPr>
        <w:spacing w:after="0"/>
        <w:jc w:val="both"/>
        <w:rPr>
          <w:rFonts w:ascii="Times New Roman" w:hAnsi="Times New Roman" w:cs="Times New Roman"/>
        </w:rPr>
      </w:pPr>
      <w:r>
        <w:rPr>
          <w:rFonts w:ascii="Times New Roman" w:hAnsi="Times New Roman" w:cs="Times New Roman"/>
        </w:rPr>
        <w:t>La France s’est dotée d’un arsenal législatif et juridique conséquent en matière d’égalité entre les femmes et les hommes. La récente loi du 4 mars 2014 pour l’</w:t>
      </w:r>
      <w:bookmarkStart w:id="0" w:name="_GoBack"/>
      <w:bookmarkEnd w:id="0"/>
      <w:r>
        <w:rPr>
          <w:rFonts w:ascii="Times New Roman" w:hAnsi="Times New Roman" w:cs="Times New Roman"/>
        </w:rPr>
        <w:t>égalité réelle entre les femmes et les hommes en est un exemple probant. Toutefois, aucune de ce</w:t>
      </w:r>
      <w:r w:rsidR="00770E2D">
        <w:rPr>
          <w:rFonts w:ascii="Times New Roman" w:hAnsi="Times New Roman" w:cs="Times New Roman"/>
        </w:rPr>
        <w:t>s lois ne comprennent de</w:t>
      </w:r>
      <w:r>
        <w:rPr>
          <w:rFonts w:ascii="Times New Roman" w:hAnsi="Times New Roman" w:cs="Times New Roman"/>
        </w:rPr>
        <w:t xml:space="preserve"> dispositions visant à associer les hommes et les garçons dans la promotion de l’égalité des sexes. </w:t>
      </w:r>
    </w:p>
    <w:p w:rsidR="002A0960" w:rsidRDefault="002A0960" w:rsidP="002A0960">
      <w:pPr>
        <w:spacing w:after="0"/>
        <w:jc w:val="both"/>
        <w:rPr>
          <w:rFonts w:ascii="Times New Roman" w:hAnsi="Times New Roman" w:cs="Times New Roman"/>
        </w:rPr>
      </w:pPr>
    </w:p>
    <w:p w:rsidR="002A0960" w:rsidRDefault="002A0960" w:rsidP="002A0960">
      <w:pPr>
        <w:spacing w:after="0"/>
        <w:jc w:val="both"/>
        <w:rPr>
          <w:rFonts w:ascii="Times New Roman" w:hAnsi="Times New Roman" w:cs="Times New Roman"/>
        </w:rPr>
      </w:pPr>
      <w:r>
        <w:rPr>
          <w:rFonts w:ascii="Times New Roman" w:hAnsi="Times New Roman" w:cs="Times New Roman"/>
        </w:rPr>
        <w:t xml:space="preserve">On peut cependant relever quelques mesures visant spécifiquement les hommes et les garçons, dont la CNCDH fera état ici. </w:t>
      </w:r>
    </w:p>
    <w:p w:rsidR="002A0960" w:rsidRDefault="002A0960" w:rsidP="002A0960">
      <w:pPr>
        <w:spacing w:after="0"/>
        <w:jc w:val="both"/>
        <w:rPr>
          <w:rFonts w:ascii="Times New Roman" w:hAnsi="Times New Roman" w:cs="Times New Roman"/>
        </w:rPr>
      </w:pPr>
    </w:p>
    <w:p w:rsidR="002A0960" w:rsidRDefault="002A0960" w:rsidP="002A0960">
      <w:pPr>
        <w:spacing w:after="0"/>
        <w:jc w:val="both"/>
        <w:rPr>
          <w:rFonts w:ascii="Times New Roman" w:hAnsi="Times New Roman" w:cs="Times New Roman"/>
        </w:rPr>
      </w:pPr>
      <w:r>
        <w:rPr>
          <w:rFonts w:ascii="Times New Roman" w:hAnsi="Times New Roman" w:cs="Times New Roman"/>
        </w:rPr>
        <w:t xml:space="preserve">La plus pertinente d’entre elles est l’instauration du congé paternité qui, depuis 2002, permet au père de prendre un congé indemnisé de onze jours dans les quatre mois suivant la naissance de l’enfant. Cette mesure remplit ainsi l’exigence posée au paragraphe 9.c) de la résolution 35/10 qui vise à transformer les normes socioculturelles </w:t>
      </w:r>
      <w:r w:rsidR="007827A7">
        <w:rPr>
          <w:rFonts w:ascii="Times New Roman" w:hAnsi="Times New Roman" w:cs="Times New Roman"/>
        </w:rPr>
        <w:t xml:space="preserve">et les pratiques traditionnelles ainsi que d’assurer le partage équitable des responsabilités entre les hommes et les femmes pour ce qui est des activités non rémunérées. </w:t>
      </w:r>
    </w:p>
    <w:p w:rsidR="007827A7" w:rsidRDefault="007827A7" w:rsidP="002A0960">
      <w:pPr>
        <w:spacing w:after="0"/>
        <w:jc w:val="both"/>
        <w:rPr>
          <w:rFonts w:ascii="Times New Roman" w:hAnsi="Times New Roman" w:cs="Times New Roman"/>
        </w:rPr>
      </w:pPr>
      <w:r>
        <w:rPr>
          <w:rFonts w:ascii="Times New Roman" w:hAnsi="Times New Roman" w:cs="Times New Roman"/>
        </w:rPr>
        <w:t xml:space="preserve">Ce dispositif permet alors, dans une certaine mesure, de rééquilibrer l’attribution des devoirs dans le ménage et d’assoir davantage les obligations parentales des pères. Le congé paternité présente des résultats plutôt satisfaisants en ce que sept pères sur dix y recourent. </w:t>
      </w:r>
    </w:p>
    <w:p w:rsidR="007827A7" w:rsidRDefault="007827A7" w:rsidP="002A0960">
      <w:pPr>
        <w:spacing w:after="0"/>
        <w:jc w:val="both"/>
        <w:rPr>
          <w:rFonts w:ascii="Times New Roman" w:hAnsi="Times New Roman" w:cs="Times New Roman"/>
        </w:rPr>
      </w:pPr>
    </w:p>
    <w:p w:rsidR="007827A7" w:rsidRDefault="007827A7" w:rsidP="002A0960">
      <w:pPr>
        <w:spacing w:after="0"/>
        <w:jc w:val="both"/>
        <w:rPr>
          <w:rFonts w:ascii="Times New Roman" w:hAnsi="Times New Roman" w:cs="Times New Roman"/>
        </w:rPr>
      </w:pPr>
      <w:r>
        <w:rPr>
          <w:rFonts w:ascii="Times New Roman" w:hAnsi="Times New Roman" w:cs="Times New Roman"/>
        </w:rPr>
        <w:t xml:space="preserve">De manière plus précise, l’association des hommes et des garçons peut également se concrétiser par le biais de l’élaboration et du financement des campagnes de sensibilisation. A titre d’exemple, en 2009, le Conseil régional de Seine-Saint-Denis (département de l’Ile-de-France) a lancé une campagne dénonçant les violences faites aux femmes qui avait la particularité de mettre en scène des hommes s’adressant à d’autres hommes afin de dénoncer certains comportements inacceptables. </w:t>
      </w:r>
      <w:r w:rsidR="00F24293">
        <w:rPr>
          <w:rFonts w:ascii="Times New Roman" w:hAnsi="Times New Roman" w:cs="Times New Roman"/>
        </w:rPr>
        <w:t xml:space="preserve">Cette campagne est un exemple de bonne pratique répondant aux exigences du paragraphe 9.h) de la résolution 35/10 qui encourage à mettre en œuvre des campagnes de sensibilisation destinées à promouvoir des relations empreintes de respect et de fournir des modèles d’identification encourageant les hommes à se considérer comme des acteurs de l’élimination de toutes les formes de discriminations et de violence à l’égard des femmes. </w:t>
      </w:r>
    </w:p>
    <w:p w:rsidR="00F24293" w:rsidRDefault="00F24293" w:rsidP="002A0960">
      <w:pPr>
        <w:spacing w:after="0"/>
        <w:jc w:val="both"/>
        <w:rPr>
          <w:rFonts w:ascii="Times New Roman" w:hAnsi="Times New Roman" w:cs="Times New Roman"/>
        </w:rPr>
      </w:pPr>
    </w:p>
    <w:p w:rsidR="00F24293" w:rsidRDefault="00F24293" w:rsidP="002A0960">
      <w:pPr>
        <w:spacing w:after="0"/>
        <w:jc w:val="both"/>
        <w:rPr>
          <w:rFonts w:ascii="Times New Roman" w:hAnsi="Times New Roman" w:cs="Times New Roman"/>
        </w:rPr>
      </w:pPr>
      <w:r>
        <w:rPr>
          <w:rFonts w:ascii="Times New Roman" w:hAnsi="Times New Roman" w:cs="Times New Roman"/>
        </w:rPr>
        <w:t xml:space="preserve">Dans une autre mesure, en 2012, le Secrétariat d’Etat chargé de la Famille a mandaté l’Observatoire de la Parentalité en Entreprise afin que ce dernier répertorie les bonnes pratiques impliquant les hommes </w:t>
      </w:r>
      <w:r>
        <w:rPr>
          <w:rFonts w:ascii="Times New Roman" w:hAnsi="Times New Roman" w:cs="Times New Roman"/>
        </w:rPr>
        <w:lastRenderedPageBreak/>
        <w:t>dans la promotion de l’égalité professionnelle et qu’il suggère des pistes d’action favorisant un partage équilibré des responsabilités professionnelles et familiales au sein de l’entreprise. Ce rapport, intitulé « </w:t>
      </w:r>
      <w:r w:rsidRPr="00F24293">
        <w:rPr>
          <w:rFonts w:ascii="Times New Roman" w:hAnsi="Times New Roman" w:cs="Times New Roman"/>
          <w:i/>
        </w:rPr>
        <w:t>Parentalité et égalité professionnelle hommes-femmes : Comment impliquer les hommes ?</w:t>
      </w:r>
      <w:r>
        <w:rPr>
          <w:rFonts w:ascii="Times New Roman" w:hAnsi="Times New Roman" w:cs="Times New Roman"/>
        </w:rPr>
        <w:t> »</w:t>
      </w:r>
      <w:r>
        <w:rPr>
          <w:rStyle w:val="Appelnotedebasdep"/>
          <w:rFonts w:ascii="Times New Roman" w:hAnsi="Times New Roman" w:cs="Times New Roman"/>
        </w:rPr>
        <w:footnoteReference w:id="3"/>
      </w:r>
      <w:r>
        <w:rPr>
          <w:rFonts w:ascii="Times New Roman" w:hAnsi="Times New Roman" w:cs="Times New Roman"/>
        </w:rPr>
        <w:t xml:space="preserve"> </w:t>
      </w:r>
      <w:r w:rsidR="00286C06">
        <w:rPr>
          <w:rFonts w:ascii="Times New Roman" w:hAnsi="Times New Roman" w:cs="Times New Roman"/>
        </w:rPr>
        <w:t xml:space="preserve">aboutit à plusieurs constats. Pour l’Observatoire, la transformation culturelle, organisationnelle et managériale des entreprises, nécessaire pour que les femmes puissent, à salaire égal, trouver leur place au sein de ces dernières et franchir le « plafond de verre », ne pourra se produire que si les hommes sont convaincus de la pertinence de cette transformation et y jouent un rôle de premier plan. </w:t>
      </w:r>
    </w:p>
    <w:p w:rsidR="00286C06" w:rsidRDefault="00286C06" w:rsidP="002A0960">
      <w:pPr>
        <w:spacing w:after="0"/>
        <w:jc w:val="both"/>
        <w:rPr>
          <w:rFonts w:ascii="Times New Roman" w:hAnsi="Times New Roman" w:cs="Times New Roman"/>
        </w:rPr>
      </w:pPr>
      <w:r>
        <w:rPr>
          <w:rFonts w:ascii="Times New Roman" w:hAnsi="Times New Roman" w:cs="Times New Roman"/>
        </w:rPr>
        <w:t xml:space="preserve">Pour ce faire, le rapport recommande d’encourager, de valoriser et d’accompagner les hommes qui recourent, par exemple, au télétravail, au temps partiel ou à des modulations d’horaires pour s’investir davantage familialement, afin que les femmes disposent d’une égale capacité à s’investir dans la sphère professionnelle. </w:t>
      </w:r>
    </w:p>
    <w:p w:rsidR="00286C06" w:rsidRDefault="00286C06" w:rsidP="002A0960">
      <w:pPr>
        <w:spacing w:after="0"/>
        <w:jc w:val="both"/>
        <w:rPr>
          <w:rFonts w:ascii="Times New Roman" w:hAnsi="Times New Roman" w:cs="Times New Roman"/>
        </w:rPr>
      </w:pPr>
      <w:r>
        <w:rPr>
          <w:rFonts w:ascii="Times New Roman" w:hAnsi="Times New Roman" w:cs="Times New Roman"/>
        </w:rPr>
        <w:t xml:space="preserve">Le rapport met en avant dix bonnes pratiques qui devraient être généralisées en France pour guider la transformation culturelle, organisationnelle et managériale des entreprises, et </w:t>
      </w:r>
      <w:r w:rsidR="00F27579">
        <w:rPr>
          <w:rFonts w:ascii="Times New Roman" w:hAnsi="Times New Roman" w:cs="Times New Roman"/>
        </w:rPr>
        <w:t xml:space="preserve">présente dix leviers permettant de favoriser la mise en œuvre de ces bonnes pratiques. </w:t>
      </w:r>
    </w:p>
    <w:p w:rsidR="00F27579" w:rsidRDefault="00F27579" w:rsidP="002A0960">
      <w:pPr>
        <w:spacing w:after="0"/>
        <w:jc w:val="both"/>
        <w:rPr>
          <w:rFonts w:ascii="Times New Roman" w:hAnsi="Times New Roman" w:cs="Times New Roman"/>
        </w:rPr>
      </w:pPr>
    </w:p>
    <w:p w:rsidR="00F27579" w:rsidRDefault="00F27579" w:rsidP="002A0960">
      <w:pPr>
        <w:spacing w:after="0"/>
        <w:jc w:val="both"/>
        <w:rPr>
          <w:rFonts w:ascii="Times New Roman" w:hAnsi="Times New Roman" w:cs="Times New Roman"/>
        </w:rPr>
      </w:pPr>
      <w:r>
        <w:rPr>
          <w:rFonts w:ascii="Times New Roman" w:hAnsi="Times New Roman" w:cs="Times New Roman"/>
        </w:rPr>
        <w:t xml:space="preserve">Enfin, l’une des mesures les plus progressistes en la matière réside dans les « ABCD de l’égalité », dispositif </w:t>
      </w:r>
      <w:r w:rsidR="003C34D3">
        <w:rPr>
          <w:rFonts w:ascii="Times New Roman" w:hAnsi="Times New Roman" w:cs="Times New Roman"/>
        </w:rPr>
        <w:t xml:space="preserve">d’enseignement introduit de </w:t>
      </w:r>
      <w:r w:rsidR="003C34D3" w:rsidRPr="003C34D3">
        <w:rPr>
          <w:rFonts w:ascii="Times New Roman" w:hAnsi="Times New Roman" w:cs="Times New Roman"/>
        </w:rPr>
        <w:t>manière expérimentale à partir de la rentrée 2013</w:t>
      </w:r>
      <w:r w:rsidR="003C34D3">
        <w:rPr>
          <w:rFonts w:ascii="Times New Roman" w:hAnsi="Times New Roman" w:cs="Times New Roman"/>
        </w:rPr>
        <w:t xml:space="preserve"> </w:t>
      </w:r>
      <w:r w:rsidR="003C34D3" w:rsidRPr="003C34D3">
        <w:rPr>
          <w:rFonts w:ascii="Times New Roman" w:hAnsi="Times New Roman" w:cs="Times New Roman"/>
        </w:rPr>
        <w:t xml:space="preserve">dans quelque six cents classes </w:t>
      </w:r>
      <w:hyperlink r:id="rId10" w:tooltip="École maternelle en France" w:history="1">
        <w:r w:rsidR="003C34D3" w:rsidRPr="003C34D3">
          <w:rPr>
            <w:rFonts w:ascii="Times New Roman" w:hAnsi="Times New Roman" w:cs="Times New Roman"/>
          </w:rPr>
          <w:t>maternelles</w:t>
        </w:r>
      </w:hyperlink>
      <w:r w:rsidR="003C34D3" w:rsidRPr="003C34D3">
        <w:rPr>
          <w:rFonts w:ascii="Times New Roman" w:hAnsi="Times New Roman" w:cs="Times New Roman"/>
        </w:rPr>
        <w:t xml:space="preserve"> et </w:t>
      </w:r>
      <w:hyperlink r:id="rId11" w:tooltip="École élémentaire en France" w:history="1">
        <w:r w:rsidR="003C34D3" w:rsidRPr="003C34D3">
          <w:rPr>
            <w:rFonts w:ascii="Times New Roman" w:hAnsi="Times New Roman" w:cs="Times New Roman"/>
          </w:rPr>
          <w:t>élémentaires</w:t>
        </w:r>
      </w:hyperlink>
      <w:r w:rsidR="003C34D3">
        <w:rPr>
          <w:rFonts w:ascii="Times New Roman" w:hAnsi="Times New Roman" w:cs="Times New Roman"/>
        </w:rPr>
        <w:t xml:space="preserve">, mais </w:t>
      </w:r>
      <w:r>
        <w:rPr>
          <w:rFonts w:ascii="Times New Roman" w:hAnsi="Times New Roman" w:cs="Times New Roman"/>
        </w:rPr>
        <w:t>qui a été abandonné</w:t>
      </w:r>
      <w:r w:rsidR="003C34D3">
        <w:rPr>
          <w:rFonts w:ascii="Times New Roman" w:hAnsi="Times New Roman" w:cs="Times New Roman"/>
        </w:rPr>
        <w:t xml:space="preserve"> en 2014</w:t>
      </w:r>
      <w:r>
        <w:rPr>
          <w:rFonts w:ascii="Times New Roman" w:hAnsi="Times New Roman" w:cs="Times New Roman"/>
        </w:rPr>
        <w:t xml:space="preserve">. Ce programme d’enseignement avait pour objectif de lutter contre le sexisme et les stéréotypes de genre. Cette mesure répondait aux exigences du paragraphe 9.j) de la résolution 35/10 qui prévoit la participation des hommes et des garçons à la prévention de la violence à l’égard des femmes et des filles au sein des programmes d’éducation de la petite enfance. </w:t>
      </w:r>
    </w:p>
    <w:p w:rsidR="00D41CB3" w:rsidRDefault="00D41CB3" w:rsidP="002A0960">
      <w:pPr>
        <w:spacing w:after="0"/>
        <w:jc w:val="both"/>
        <w:rPr>
          <w:rFonts w:ascii="Times New Roman" w:hAnsi="Times New Roman" w:cs="Times New Roman"/>
        </w:rPr>
      </w:pPr>
      <w:r>
        <w:rPr>
          <w:rFonts w:ascii="Times New Roman" w:hAnsi="Times New Roman" w:cs="Times New Roman"/>
        </w:rPr>
        <w:t xml:space="preserve">À l’issue de cette expérience un rapport a été rendu par le Commissariat général à la stratégie et à la prospective qui comporte notamment une partie relative à la nécessité d’une implication croissante des pères dans la prise en charge des jeunes enfants. Ainsi, plusieurs recommandations vont dans le sens d’une association des hommes et des garçons à la promotion de l’égalité femmes-hommes. </w:t>
      </w:r>
      <w:r w:rsidR="00702312">
        <w:rPr>
          <w:rFonts w:ascii="Times New Roman" w:hAnsi="Times New Roman" w:cs="Times New Roman"/>
        </w:rPr>
        <w:t xml:space="preserve">L’abandon de ce dispositif est donc à regretter. </w:t>
      </w:r>
    </w:p>
    <w:p w:rsidR="00702312" w:rsidRDefault="00702312" w:rsidP="002A0960">
      <w:pPr>
        <w:spacing w:after="0"/>
        <w:jc w:val="both"/>
        <w:rPr>
          <w:rFonts w:ascii="Times New Roman" w:hAnsi="Times New Roman" w:cs="Times New Roman"/>
        </w:rPr>
      </w:pPr>
    </w:p>
    <w:p w:rsidR="00702312" w:rsidRDefault="00702312" w:rsidP="002A0960">
      <w:pPr>
        <w:spacing w:after="0"/>
        <w:jc w:val="both"/>
        <w:rPr>
          <w:rFonts w:ascii="Times New Roman" w:hAnsi="Times New Roman" w:cs="Times New Roman"/>
        </w:rPr>
      </w:pPr>
      <w:r>
        <w:rPr>
          <w:rFonts w:ascii="Times New Roman" w:hAnsi="Times New Roman" w:cs="Times New Roman"/>
        </w:rPr>
        <w:t xml:space="preserve">On constate donc que les bonnes pratiques françaises visant spécifiquement le rôle des hommes et des garçons dans la lutte et la prévention de la violence contre les femmes sont éparses et peu nombreuses. </w:t>
      </w:r>
    </w:p>
    <w:p w:rsidR="00702312" w:rsidRDefault="00702312" w:rsidP="002A0960">
      <w:pPr>
        <w:spacing w:after="0"/>
        <w:jc w:val="both"/>
        <w:rPr>
          <w:rFonts w:ascii="Times New Roman" w:hAnsi="Times New Roman" w:cs="Times New Roman"/>
        </w:rPr>
      </w:pPr>
    </w:p>
    <w:p w:rsidR="00702312" w:rsidRPr="00702312" w:rsidRDefault="00702312" w:rsidP="00702312">
      <w:pPr>
        <w:pStyle w:val="Paragraphedeliste"/>
        <w:numPr>
          <w:ilvl w:val="0"/>
          <w:numId w:val="2"/>
        </w:numPr>
        <w:spacing w:after="0"/>
        <w:jc w:val="both"/>
        <w:rPr>
          <w:rFonts w:ascii="Times New Roman" w:hAnsi="Times New Roman" w:cs="Times New Roman"/>
          <w:i/>
        </w:rPr>
      </w:pPr>
      <w:r w:rsidRPr="00702312">
        <w:rPr>
          <w:rFonts w:ascii="Times New Roman" w:hAnsi="Times New Roman" w:cs="Times New Roman"/>
          <w:i/>
        </w:rPr>
        <w:t>Les actions de la CNCDH</w:t>
      </w:r>
    </w:p>
    <w:p w:rsidR="00702312" w:rsidRDefault="00702312" w:rsidP="00702312">
      <w:pPr>
        <w:spacing w:after="0"/>
        <w:jc w:val="both"/>
        <w:rPr>
          <w:rFonts w:ascii="Times New Roman" w:hAnsi="Times New Roman" w:cs="Times New Roman"/>
        </w:rPr>
      </w:pPr>
    </w:p>
    <w:p w:rsidR="00702312" w:rsidRDefault="00702312" w:rsidP="00702312">
      <w:pPr>
        <w:spacing w:after="0"/>
        <w:jc w:val="both"/>
        <w:rPr>
          <w:rFonts w:ascii="Times New Roman" w:hAnsi="Times New Roman" w:cs="Times New Roman"/>
        </w:rPr>
      </w:pPr>
      <w:r>
        <w:rPr>
          <w:rFonts w:ascii="Times New Roman" w:hAnsi="Times New Roman" w:cs="Times New Roman"/>
        </w:rPr>
        <w:t xml:space="preserve">La CNCDH s’est à de nombreuses reprises </w:t>
      </w:r>
      <w:proofErr w:type="gramStart"/>
      <w:r>
        <w:rPr>
          <w:rFonts w:ascii="Times New Roman" w:hAnsi="Times New Roman" w:cs="Times New Roman"/>
        </w:rPr>
        <w:t>exprimée</w:t>
      </w:r>
      <w:proofErr w:type="gramEnd"/>
      <w:r>
        <w:rPr>
          <w:rFonts w:ascii="Times New Roman" w:hAnsi="Times New Roman" w:cs="Times New Roman"/>
        </w:rPr>
        <w:t xml:space="preserve"> sur la promotion de l’égalité entre les femmes et les hommes et sur la lutte contre les violences faites aux femmes. Par exemple, dans un avis de 2012</w:t>
      </w:r>
      <w:r>
        <w:rPr>
          <w:rStyle w:val="Appelnotedebasdep"/>
          <w:rFonts w:ascii="Times New Roman" w:hAnsi="Times New Roman" w:cs="Times New Roman"/>
        </w:rPr>
        <w:footnoteReference w:id="4"/>
      </w:r>
      <w:r>
        <w:rPr>
          <w:rFonts w:ascii="Times New Roman" w:hAnsi="Times New Roman" w:cs="Times New Roman"/>
        </w:rPr>
        <w:t xml:space="preserve">, </w:t>
      </w:r>
      <w:r w:rsidR="00ED38BB">
        <w:rPr>
          <w:rFonts w:ascii="Times New Roman" w:hAnsi="Times New Roman" w:cs="Times New Roman"/>
        </w:rPr>
        <w:t>elle soulignait que « </w:t>
      </w:r>
      <w:r w:rsidR="00ED38BB">
        <w:rPr>
          <w:rFonts w:ascii="Times New Roman" w:hAnsi="Times New Roman" w:cs="Times New Roman"/>
          <w:i/>
        </w:rPr>
        <w:t>le genre est aujourd’hui un instrument de lecture et d’analyse opérationnel, reconnu et consacré dans le champ des droits de l’homme, soit directement par recours au concept lui-même, soit indirectement par une modernisation du principe d’égalité qui ne se résume plus à l’égalité formelle mais prend en compte le contexte politique, économique, social, historique et culturel pour lutter contre les stéréotypes sociaux associés au sexe et à leurs effets discriminatoires</w:t>
      </w:r>
      <w:r w:rsidR="00ED38BB">
        <w:rPr>
          <w:rFonts w:ascii="Times New Roman" w:hAnsi="Times New Roman" w:cs="Times New Roman"/>
        </w:rPr>
        <w:t xml:space="preserve"> ». </w:t>
      </w:r>
      <w:r w:rsidR="00336B06">
        <w:rPr>
          <w:rFonts w:ascii="Times New Roman" w:hAnsi="Times New Roman" w:cs="Times New Roman"/>
        </w:rPr>
        <w:t xml:space="preserve">Avec cette position, la CNCDH incite à une implication et à une participation des deux sexes sur la question. </w:t>
      </w:r>
    </w:p>
    <w:p w:rsidR="00ED38BB" w:rsidRDefault="00ED38BB" w:rsidP="00702312">
      <w:pPr>
        <w:spacing w:after="0"/>
        <w:jc w:val="both"/>
        <w:rPr>
          <w:rFonts w:ascii="Times New Roman" w:hAnsi="Times New Roman" w:cs="Times New Roman"/>
        </w:rPr>
      </w:pPr>
    </w:p>
    <w:p w:rsidR="00ED38BB" w:rsidRDefault="003C34D3" w:rsidP="00702312">
      <w:pPr>
        <w:spacing w:after="0"/>
        <w:jc w:val="both"/>
        <w:rPr>
          <w:rFonts w:ascii="Times New Roman" w:hAnsi="Times New Roman" w:cs="Times New Roman"/>
        </w:rPr>
      </w:pPr>
      <w:r>
        <w:rPr>
          <w:rFonts w:ascii="Times New Roman" w:hAnsi="Times New Roman" w:cs="Times New Roman"/>
        </w:rPr>
        <w:t>L</w:t>
      </w:r>
      <w:r w:rsidR="00ED38BB">
        <w:rPr>
          <w:rFonts w:ascii="Times New Roman" w:hAnsi="Times New Roman" w:cs="Times New Roman"/>
        </w:rPr>
        <w:t xml:space="preserve">a CNCDH adopte une approche </w:t>
      </w:r>
      <w:proofErr w:type="spellStart"/>
      <w:r w:rsidR="00ED38BB">
        <w:rPr>
          <w:rFonts w:ascii="Times New Roman" w:hAnsi="Times New Roman" w:cs="Times New Roman"/>
        </w:rPr>
        <w:t>sexospécifique</w:t>
      </w:r>
      <w:proofErr w:type="spellEnd"/>
      <w:r w:rsidR="00ED38BB">
        <w:rPr>
          <w:rFonts w:ascii="Times New Roman" w:hAnsi="Times New Roman" w:cs="Times New Roman"/>
        </w:rPr>
        <w:t xml:space="preserve"> dans l’ensemble de ses travaux, ce qui permet d’identifier des problématiques propres aux femmes et aux filles dans chacun des sujets qu’elle traite. </w:t>
      </w:r>
    </w:p>
    <w:p w:rsidR="00ED38BB" w:rsidRDefault="00ED38BB" w:rsidP="00702312">
      <w:pPr>
        <w:spacing w:after="0"/>
        <w:jc w:val="both"/>
        <w:rPr>
          <w:rFonts w:ascii="Times New Roman" w:hAnsi="Times New Roman" w:cs="Times New Roman"/>
        </w:rPr>
      </w:pPr>
      <w:r>
        <w:rPr>
          <w:rFonts w:ascii="Times New Roman" w:hAnsi="Times New Roman" w:cs="Times New Roman"/>
        </w:rPr>
        <w:lastRenderedPageBreak/>
        <w:t>De plus, de par sa compos</w:t>
      </w:r>
      <w:r w:rsidR="00336B06">
        <w:rPr>
          <w:rFonts w:ascii="Times New Roman" w:hAnsi="Times New Roman" w:cs="Times New Roman"/>
        </w:rPr>
        <w:t xml:space="preserve">ition pluraliste, par nature, la CNCDH associe autant les hommes que les femmes à la promotion et de l’égalité entre les sexes et à la lutte contre les violences faites aux femmes. </w:t>
      </w:r>
    </w:p>
    <w:p w:rsidR="00336B06" w:rsidRDefault="00336B06" w:rsidP="00702312">
      <w:pPr>
        <w:spacing w:after="0"/>
        <w:jc w:val="both"/>
        <w:rPr>
          <w:rFonts w:ascii="Times New Roman" w:hAnsi="Times New Roman" w:cs="Times New Roman"/>
        </w:rPr>
      </w:pPr>
    </w:p>
    <w:p w:rsidR="00336B06" w:rsidRPr="00336B06" w:rsidRDefault="00336B06" w:rsidP="00336B06">
      <w:pPr>
        <w:pStyle w:val="Paragraphedeliste"/>
        <w:numPr>
          <w:ilvl w:val="0"/>
          <w:numId w:val="1"/>
        </w:numPr>
        <w:spacing w:after="0"/>
        <w:jc w:val="both"/>
        <w:rPr>
          <w:rFonts w:ascii="Times New Roman" w:hAnsi="Times New Roman" w:cs="Times New Roman"/>
          <w:b/>
        </w:rPr>
      </w:pPr>
      <w:r w:rsidRPr="00336B06">
        <w:rPr>
          <w:rFonts w:ascii="Times New Roman" w:hAnsi="Times New Roman" w:cs="Times New Roman"/>
          <w:b/>
        </w:rPr>
        <w:t xml:space="preserve">Quels défis rencontre votre gouvernement ou votre organisation aux niveaux normatif, institutionnel et programmatique, pour associer les hommes et les garçons à la promotion et à la réalisation de l’égalité des sexes et combattre les stéréotypes liés au sexe, les normes sociales, attitudes et comportements négatifs qui sous-tendent et perpétuent la violence à l’égard des femmes et des filles ? </w:t>
      </w:r>
    </w:p>
    <w:p w:rsidR="00510DC8" w:rsidRDefault="00510DC8" w:rsidP="00336B06">
      <w:pPr>
        <w:spacing w:after="0"/>
        <w:jc w:val="both"/>
        <w:rPr>
          <w:rFonts w:ascii="Times New Roman" w:hAnsi="Times New Roman" w:cs="Times New Roman"/>
        </w:rPr>
      </w:pPr>
    </w:p>
    <w:p w:rsidR="00336B06" w:rsidRDefault="00510DC8" w:rsidP="00336B06">
      <w:pPr>
        <w:spacing w:after="0"/>
        <w:jc w:val="both"/>
        <w:rPr>
          <w:rFonts w:ascii="Times New Roman" w:hAnsi="Times New Roman" w:cs="Times New Roman"/>
        </w:rPr>
      </w:pPr>
      <w:r>
        <w:rPr>
          <w:rFonts w:ascii="Times New Roman" w:hAnsi="Times New Roman" w:cs="Times New Roman"/>
        </w:rPr>
        <w:t xml:space="preserve">Le Gouvernement peut être confronté à une certaine résistance et opposition lorsqu’il adopte des mesures associant les hommes et les garçons à l’égalité femmes-hommes notamment lorsque ces mesures touchent à la question du genre. </w:t>
      </w:r>
      <w:r w:rsidR="00E77A5F">
        <w:rPr>
          <w:rFonts w:ascii="Times New Roman" w:hAnsi="Times New Roman" w:cs="Times New Roman"/>
        </w:rPr>
        <w:t xml:space="preserve">Les contestations qui ont suivi l’expérimentation des « ABCD de l’égalité » en sont une illustration parfaite. En effet, ce programme a donné lieu à de vives oppositions conduisant à des « journées de retrait des élèves » </w:t>
      </w:r>
      <w:r w:rsidR="00E06F51">
        <w:rPr>
          <w:rFonts w:ascii="Times New Roman" w:hAnsi="Times New Roman" w:cs="Times New Roman"/>
        </w:rPr>
        <w:t>par les parents. Ces réactions ont</w:t>
      </w:r>
      <w:r w:rsidR="00E77A5F">
        <w:rPr>
          <w:rFonts w:ascii="Times New Roman" w:hAnsi="Times New Roman" w:cs="Times New Roman"/>
        </w:rPr>
        <w:t xml:space="preserve"> alerté le personnel académique</w:t>
      </w:r>
      <w:r w:rsidR="00E06F51">
        <w:rPr>
          <w:rFonts w:ascii="Times New Roman" w:hAnsi="Times New Roman" w:cs="Times New Roman"/>
        </w:rPr>
        <w:t xml:space="preserve"> qui a alors constaté la fragilisation du lien avec les parents. </w:t>
      </w:r>
    </w:p>
    <w:p w:rsidR="00E06F51" w:rsidRDefault="00E06F51" w:rsidP="00336B06">
      <w:pPr>
        <w:spacing w:after="0"/>
        <w:jc w:val="both"/>
        <w:rPr>
          <w:rFonts w:ascii="Times New Roman" w:hAnsi="Times New Roman" w:cs="Times New Roman"/>
        </w:rPr>
      </w:pPr>
      <w:r>
        <w:rPr>
          <w:rFonts w:ascii="Times New Roman" w:hAnsi="Times New Roman" w:cs="Times New Roman"/>
        </w:rPr>
        <w:t xml:space="preserve">L’origine de cette constatation a été analysée dans le rapport susmentionné. Elle ressort essentiellement des maladresses de communication et à l’utilisation de termes clivant tels que « genre ». L’opposition repose également sur le manque d’information des parents d’élèves à propos de l’expérimentation. </w:t>
      </w:r>
    </w:p>
    <w:p w:rsidR="00E06F51" w:rsidRDefault="00E06F51" w:rsidP="00336B06">
      <w:pPr>
        <w:spacing w:after="0"/>
        <w:jc w:val="both"/>
        <w:rPr>
          <w:rFonts w:ascii="Times New Roman" w:hAnsi="Times New Roman" w:cs="Times New Roman"/>
        </w:rPr>
      </w:pPr>
    </w:p>
    <w:p w:rsidR="00E06F51" w:rsidRPr="00B50D4D" w:rsidRDefault="00E06F51" w:rsidP="00E06F51">
      <w:pPr>
        <w:pStyle w:val="Paragraphedeliste"/>
        <w:numPr>
          <w:ilvl w:val="0"/>
          <w:numId w:val="1"/>
        </w:numPr>
        <w:spacing w:after="0"/>
        <w:jc w:val="both"/>
        <w:rPr>
          <w:rFonts w:ascii="Times New Roman" w:hAnsi="Times New Roman" w:cs="Times New Roman"/>
          <w:b/>
        </w:rPr>
      </w:pPr>
      <w:r w:rsidRPr="00B50D4D">
        <w:rPr>
          <w:rFonts w:ascii="Times New Roman" w:hAnsi="Times New Roman" w:cs="Times New Roman"/>
          <w:b/>
        </w:rPr>
        <w:t xml:space="preserve">Les femmes et les filles, y compris les organisations de femmes, sont-elles impliquées dans les efforts du gouvernement ou de votre organisation pour associer les hommes et les garçons à la promotion et à la réalisation de l’égalité des sexes et combattre </w:t>
      </w:r>
      <w:r w:rsidR="00B50D4D" w:rsidRPr="00B50D4D">
        <w:rPr>
          <w:rFonts w:ascii="Times New Roman" w:hAnsi="Times New Roman" w:cs="Times New Roman"/>
          <w:b/>
        </w:rPr>
        <w:t>les stéréotypes liés au sexe, les normes sociales, attitudes et comportements négatifs qui sous-tendent et perpétuent la violence à l’égard des femmes et des filles ?</w:t>
      </w:r>
    </w:p>
    <w:p w:rsidR="00B50D4D" w:rsidRDefault="00B50D4D" w:rsidP="00B50D4D">
      <w:pPr>
        <w:spacing w:after="0"/>
        <w:jc w:val="both"/>
        <w:rPr>
          <w:rFonts w:ascii="Times New Roman" w:hAnsi="Times New Roman" w:cs="Times New Roman"/>
        </w:rPr>
      </w:pPr>
    </w:p>
    <w:p w:rsidR="00B50D4D" w:rsidRDefault="00B50D4D" w:rsidP="00B50D4D">
      <w:pPr>
        <w:spacing w:after="0"/>
        <w:jc w:val="both"/>
        <w:rPr>
          <w:rFonts w:ascii="Times New Roman" w:hAnsi="Times New Roman" w:cs="Times New Roman"/>
        </w:rPr>
      </w:pPr>
      <w:r>
        <w:rPr>
          <w:rFonts w:ascii="Times New Roman" w:hAnsi="Times New Roman" w:cs="Times New Roman"/>
        </w:rPr>
        <w:t xml:space="preserve">Au niveau national, et indirectement, il y a un soutien financier apporté à certaines associations qui promeuvent l’association des hommes à la promotion et à la réalisation </w:t>
      </w:r>
      <w:r w:rsidR="00114C60">
        <w:rPr>
          <w:rFonts w:ascii="Times New Roman" w:hAnsi="Times New Roman" w:cs="Times New Roman"/>
        </w:rPr>
        <w:t xml:space="preserve">de l’égalité entre les femmes et les hommes. </w:t>
      </w:r>
    </w:p>
    <w:p w:rsidR="00114C60" w:rsidRDefault="00114C60" w:rsidP="00B50D4D">
      <w:pPr>
        <w:spacing w:after="0"/>
        <w:jc w:val="both"/>
        <w:rPr>
          <w:rFonts w:ascii="Times New Roman" w:hAnsi="Times New Roman" w:cs="Times New Roman"/>
        </w:rPr>
      </w:pPr>
      <w:r>
        <w:rPr>
          <w:rFonts w:ascii="Times New Roman" w:hAnsi="Times New Roman" w:cs="Times New Roman"/>
        </w:rPr>
        <w:t>Par exemple, l’association Adéquations qui a publié un rapport intitulé « Vers l’égalité des femmes et des hommes : questionner les masculinités »</w:t>
      </w:r>
      <w:r>
        <w:rPr>
          <w:rStyle w:val="Appelnotedebasdep"/>
          <w:rFonts w:ascii="Times New Roman" w:hAnsi="Times New Roman" w:cs="Times New Roman"/>
        </w:rPr>
        <w:footnoteReference w:id="5"/>
      </w:r>
      <w:r>
        <w:rPr>
          <w:rFonts w:ascii="Times New Roman" w:hAnsi="Times New Roman" w:cs="Times New Roman"/>
        </w:rPr>
        <w:t xml:space="preserve"> a reçu le soutien de la Région Ile-de-France pour l’élaboration de ce document traitant de la participation des hommes à l’égalité entre les femmes et les hommes. </w:t>
      </w:r>
    </w:p>
    <w:p w:rsidR="00114C60" w:rsidRDefault="00114C60" w:rsidP="00B50D4D">
      <w:pPr>
        <w:spacing w:after="0"/>
        <w:jc w:val="both"/>
        <w:rPr>
          <w:rFonts w:ascii="Times New Roman" w:hAnsi="Times New Roman" w:cs="Times New Roman"/>
        </w:rPr>
      </w:pPr>
    </w:p>
    <w:p w:rsidR="00114C60" w:rsidRPr="00B50D4D" w:rsidRDefault="00114C60" w:rsidP="00B50D4D">
      <w:pPr>
        <w:spacing w:after="0"/>
        <w:jc w:val="both"/>
        <w:rPr>
          <w:rFonts w:ascii="Times New Roman" w:hAnsi="Times New Roman" w:cs="Times New Roman"/>
        </w:rPr>
      </w:pPr>
      <w:r>
        <w:rPr>
          <w:rFonts w:ascii="Times New Roman" w:hAnsi="Times New Roman" w:cs="Times New Roman"/>
        </w:rPr>
        <w:t xml:space="preserve">La CNCDH est composé de 64 membres, dont pour moitié des associations qui œuvre pour le respect des droits de l’homme, y compris le respect des droits des femmes, en France, dont le Lobby européen des femmes (CLEF). Les femmes, les filles, et les organisations de femmes sont donc impliquées au sein de la CNCDH pour tout travail futur qui viserait à s’interroger sur la participation des hommes et des garçons à la promotion et à la réalisation des droits des femmes. </w:t>
      </w:r>
    </w:p>
    <w:sectPr w:rsidR="00114C60" w:rsidRPr="00B50D4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DAD" w:rsidRDefault="00445DAD" w:rsidP="00445DAD">
      <w:pPr>
        <w:spacing w:after="0" w:line="240" w:lineRule="auto"/>
      </w:pPr>
      <w:r>
        <w:separator/>
      </w:r>
    </w:p>
  </w:endnote>
  <w:endnote w:type="continuationSeparator" w:id="0">
    <w:p w:rsidR="00445DAD" w:rsidRDefault="00445DAD" w:rsidP="00445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DAD" w:rsidRDefault="00445DAD" w:rsidP="00445DAD">
      <w:pPr>
        <w:spacing w:after="0" w:line="240" w:lineRule="auto"/>
      </w:pPr>
      <w:r>
        <w:separator/>
      </w:r>
    </w:p>
  </w:footnote>
  <w:footnote w:type="continuationSeparator" w:id="0">
    <w:p w:rsidR="00445DAD" w:rsidRDefault="00445DAD" w:rsidP="00445DAD">
      <w:pPr>
        <w:spacing w:after="0" w:line="240" w:lineRule="auto"/>
      </w:pPr>
      <w:r>
        <w:continuationSeparator/>
      </w:r>
    </w:p>
  </w:footnote>
  <w:footnote w:id="1">
    <w:p w:rsidR="00445DAD" w:rsidRPr="00C97E74" w:rsidRDefault="00445DAD" w:rsidP="00445DAD">
      <w:pPr>
        <w:pStyle w:val="Notedebasdepage"/>
        <w:jc w:val="both"/>
        <w:rPr>
          <w:rFonts w:ascii="Times New Roman" w:hAnsi="Times New Roman" w:cs="Times New Roman"/>
          <w:sz w:val="18"/>
          <w:szCs w:val="18"/>
        </w:rPr>
      </w:pPr>
      <w:r w:rsidRPr="00C97E74">
        <w:rPr>
          <w:rStyle w:val="Appelnotedebasdep"/>
          <w:rFonts w:ascii="Times New Roman" w:hAnsi="Times New Roman" w:cs="Times New Roman"/>
          <w:sz w:val="18"/>
          <w:szCs w:val="18"/>
        </w:rPr>
        <w:footnoteRef/>
      </w:r>
      <w:r w:rsidRPr="00C97E74">
        <w:rPr>
          <w:rFonts w:ascii="Times New Roman" w:hAnsi="Times New Roman" w:cs="Times New Roman"/>
          <w:sz w:val="18"/>
          <w:szCs w:val="18"/>
        </w:rPr>
        <w:t xml:space="preserve"> Cette accréditation atteste de la conformité de la CNCDH aux Principes de Paris. Ces Principes sont relatifs au statut et au fonctionnement des institutions nationales de promotion et de protection des droits de l’homme, consacrés par la Résolution n°48/134 de l’Assemblée générale des Nations unies (20 décembre 1993). </w:t>
      </w:r>
    </w:p>
  </w:footnote>
  <w:footnote w:id="2">
    <w:p w:rsidR="00445DAD" w:rsidRPr="004E6699" w:rsidRDefault="00445DAD" w:rsidP="00445DAD">
      <w:pPr>
        <w:pStyle w:val="Notedebasdepage"/>
        <w:jc w:val="both"/>
        <w:rPr>
          <w:rFonts w:ascii="Times New Roman" w:hAnsi="Times New Roman" w:cs="Times New Roman"/>
          <w:sz w:val="18"/>
          <w:szCs w:val="18"/>
        </w:rPr>
      </w:pPr>
      <w:r w:rsidRPr="004E6699">
        <w:rPr>
          <w:rStyle w:val="Appelnotedebasdep"/>
          <w:rFonts w:ascii="Times New Roman" w:hAnsi="Times New Roman" w:cs="Times New Roman"/>
          <w:sz w:val="18"/>
          <w:szCs w:val="18"/>
        </w:rPr>
        <w:footnoteRef/>
      </w:r>
      <w:r w:rsidRPr="004E6699">
        <w:rPr>
          <w:rFonts w:ascii="Times New Roman" w:hAnsi="Times New Roman" w:cs="Times New Roman"/>
          <w:sz w:val="18"/>
          <w:szCs w:val="18"/>
        </w:rPr>
        <w:t xml:space="preserve"> </w:t>
      </w:r>
      <w:hyperlink r:id="rId1" w:history="1">
        <w:r w:rsidRPr="004E6699">
          <w:rPr>
            <w:rStyle w:val="Lienhypertexte"/>
            <w:rFonts w:ascii="Times New Roman" w:hAnsi="Times New Roman" w:cs="Times New Roman"/>
            <w:sz w:val="18"/>
            <w:szCs w:val="18"/>
          </w:rPr>
          <w:t>Loi n°2007-292 du 5 mars 2007</w:t>
        </w:r>
      </w:hyperlink>
      <w:r w:rsidRPr="004E6699">
        <w:rPr>
          <w:rFonts w:ascii="Times New Roman" w:hAnsi="Times New Roman" w:cs="Times New Roman"/>
          <w:sz w:val="18"/>
          <w:szCs w:val="18"/>
        </w:rPr>
        <w:t xml:space="preserve"> relative à la Commission nationale consultative des droits de l'homme et </w:t>
      </w:r>
      <w:hyperlink r:id="rId2" w:history="1">
        <w:r w:rsidRPr="004E6699">
          <w:rPr>
            <w:rStyle w:val="Lienhypertexte"/>
            <w:rFonts w:ascii="Times New Roman" w:hAnsi="Times New Roman" w:cs="Times New Roman"/>
            <w:sz w:val="18"/>
            <w:szCs w:val="18"/>
          </w:rPr>
          <w:t>décret n°2007-1137 du 26 juillet 2007</w:t>
        </w:r>
      </w:hyperlink>
      <w:r w:rsidRPr="004E6699">
        <w:rPr>
          <w:rFonts w:ascii="Times New Roman" w:hAnsi="Times New Roman" w:cs="Times New Roman"/>
          <w:sz w:val="18"/>
          <w:szCs w:val="18"/>
        </w:rPr>
        <w:t xml:space="preserve"> relatif à la composition et au fonctionnement de la Commission nationale consultative des droits de l'homme.</w:t>
      </w:r>
    </w:p>
  </w:footnote>
  <w:footnote w:id="3">
    <w:p w:rsidR="00F24293" w:rsidRPr="00286C06" w:rsidRDefault="00F24293" w:rsidP="00286C06">
      <w:pPr>
        <w:pStyle w:val="Notedebasdepage"/>
        <w:jc w:val="both"/>
        <w:rPr>
          <w:rFonts w:ascii="Times New Roman" w:hAnsi="Times New Roman" w:cs="Times New Roman"/>
          <w:sz w:val="18"/>
          <w:szCs w:val="18"/>
        </w:rPr>
      </w:pPr>
      <w:r w:rsidRPr="00286C06">
        <w:rPr>
          <w:rStyle w:val="Appelnotedebasdep"/>
          <w:rFonts w:ascii="Times New Roman" w:hAnsi="Times New Roman" w:cs="Times New Roman"/>
          <w:sz w:val="18"/>
          <w:szCs w:val="18"/>
        </w:rPr>
        <w:footnoteRef/>
      </w:r>
      <w:r w:rsidRPr="00286C06">
        <w:rPr>
          <w:rFonts w:ascii="Times New Roman" w:hAnsi="Times New Roman" w:cs="Times New Roman"/>
          <w:sz w:val="18"/>
          <w:szCs w:val="18"/>
        </w:rPr>
        <w:t xml:space="preserve"> </w:t>
      </w:r>
      <w:r w:rsidR="00286C06" w:rsidRPr="00286C06">
        <w:rPr>
          <w:rFonts w:ascii="Times New Roman" w:hAnsi="Times New Roman" w:cs="Times New Roman"/>
          <w:sz w:val="18"/>
          <w:szCs w:val="18"/>
        </w:rPr>
        <w:t xml:space="preserve">Ministère des solidarités et de la cohésion sociale, « Parentalité et égalité professionnelle hommes-femmes : comment impliquer les hommes ? », 2012 </w:t>
      </w:r>
      <w:hyperlink r:id="rId3" w:history="1">
        <w:r w:rsidR="00286C06" w:rsidRPr="00286C06">
          <w:rPr>
            <w:rStyle w:val="Lienhypertexte"/>
            <w:rFonts w:ascii="Times New Roman" w:hAnsi="Times New Roman" w:cs="Times New Roman"/>
            <w:sz w:val="18"/>
            <w:szCs w:val="18"/>
          </w:rPr>
          <w:t>http://www.ladocumentationfrancaise.fr/rapports-publics/124000064/index.shtml</w:t>
        </w:r>
      </w:hyperlink>
      <w:r w:rsidR="00286C06" w:rsidRPr="00286C06">
        <w:rPr>
          <w:rFonts w:ascii="Times New Roman" w:hAnsi="Times New Roman" w:cs="Times New Roman"/>
          <w:sz w:val="18"/>
          <w:szCs w:val="18"/>
        </w:rPr>
        <w:t xml:space="preserve">. </w:t>
      </w:r>
    </w:p>
  </w:footnote>
  <w:footnote w:id="4">
    <w:p w:rsidR="00702312" w:rsidRPr="00510DC8" w:rsidRDefault="00702312" w:rsidP="00702312">
      <w:pPr>
        <w:pStyle w:val="Notedebasdepage"/>
        <w:jc w:val="both"/>
        <w:rPr>
          <w:rFonts w:ascii="Times New Roman" w:hAnsi="Times New Roman" w:cs="Times New Roman"/>
          <w:sz w:val="18"/>
          <w:szCs w:val="18"/>
        </w:rPr>
      </w:pPr>
      <w:r w:rsidRPr="00510DC8">
        <w:rPr>
          <w:rStyle w:val="Appelnotedebasdep"/>
          <w:rFonts w:ascii="Times New Roman" w:hAnsi="Times New Roman" w:cs="Times New Roman"/>
          <w:sz w:val="18"/>
          <w:szCs w:val="18"/>
        </w:rPr>
        <w:footnoteRef/>
      </w:r>
      <w:r w:rsidRPr="00510DC8">
        <w:rPr>
          <w:rFonts w:ascii="Times New Roman" w:hAnsi="Times New Roman" w:cs="Times New Roman"/>
          <w:sz w:val="18"/>
          <w:szCs w:val="18"/>
        </w:rPr>
        <w:t xml:space="preserve"> CNCDH, Avis sur la perspective de genre, Assemblée plénière du 22 mars 2012. </w:t>
      </w:r>
    </w:p>
  </w:footnote>
  <w:footnote w:id="5">
    <w:p w:rsidR="00114C60" w:rsidRPr="00114C60" w:rsidRDefault="00114C60" w:rsidP="00114C60">
      <w:pPr>
        <w:pStyle w:val="Notedebasdepage"/>
        <w:jc w:val="both"/>
        <w:rPr>
          <w:rFonts w:ascii="Times New Roman" w:hAnsi="Times New Roman" w:cs="Times New Roman"/>
          <w:sz w:val="18"/>
          <w:szCs w:val="18"/>
        </w:rPr>
      </w:pPr>
      <w:r w:rsidRPr="00114C60">
        <w:rPr>
          <w:rStyle w:val="Appelnotedebasdep"/>
          <w:rFonts w:ascii="Times New Roman" w:hAnsi="Times New Roman" w:cs="Times New Roman"/>
          <w:sz w:val="18"/>
          <w:szCs w:val="18"/>
        </w:rPr>
        <w:footnoteRef/>
      </w:r>
      <w:r w:rsidRPr="00114C60">
        <w:rPr>
          <w:rFonts w:ascii="Times New Roman" w:hAnsi="Times New Roman" w:cs="Times New Roman"/>
          <w:sz w:val="18"/>
          <w:szCs w:val="18"/>
        </w:rPr>
        <w:t xml:space="preserve"> Adéquations, Vers l’égalité des femmes et des hommes : questionner les masculinités, 2016 </w:t>
      </w:r>
      <w:hyperlink r:id="rId4" w:anchor="outil_sommaire_4" w:history="1">
        <w:r w:rsidRPr="00114C60">
          <w:rPr>
            <w:rStyle w:val="Lienhypertexte"/>
            <w:rFonts w:ascii="Times New Roman" w:hAnsi="Times New Roman" w:cs="Times New Roman"/>
            <w:sz w:val="18"/>
            <w:szCs w:val="18"/>
          </w:rPr>
          <w:t>http://www.adequations.org/spip.php?article283#outil_sommaire_4</w:t>
        </w:r>
      </w:hyperlink>
      <w:r w:rsidRPr="00114C60">
        <w:rPr>
          <w:rFonts w:ascii="Times New Roman" w:hAnsi="Times New Roman" w:cs="Times New Roman"/>
          <w:sz w:val="18"/>
          <w:szCs w:val="18"/>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C5299"/>
    <w:multiLevelType w:val="hybridMultilevel"/>
    <w:tmpl w:val="EBCC998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7A66BA7"/>
    <w:multiLevelType w:val="hybridMultilevel"/>
    <w:tmpl w:val="4C34DE6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C9B04A1"/>
    <w:multiLevelType w:val="hybridMultilevel"/>
    <w:tmpl w:val="580EAC8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DAD"/>
    <w:rsid w:val="00114C60"/>
    <w:rsid w:val="00286C06"/>
    <w:rsid w:val="002A0960"/>
    <w:rsid w:val="00336B06"/>
    <w:rsid w:val="003C34D3"/>
    <w:rsid w:val="00445DAD"/>
    <w:rsid w:val="00510DC8"/>
    <w:rsid w:val="005C69A4"/>
    <w:rsid w:val="00702312"/>
    <w:rsid w:val="00770E2D"/>
    <w:rsid w:val="007827A7"/>
    <w:rsid w:val="00B50D4D"/>
    <w:rsid w:val="00C95FC4"/>
    <w:rsid w:val="00D41CB3"/>
    <w:rsid w:val="00D60498"/>
    <w:rsid w:val="00E06F51"/>
    <w:rsid w:val="00E77A5F"/>
    <w:rsid w:val="00ED38BB"/>
    <w:rsid w:val="00F24293"/>
    <w:rsid w:val="00F275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DA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aliases w:val=" Car, Car Char, Car Car Car Car, Car Car Car,Note de bas de page Car Car Car Car,Note de bas de page Car Car Car Car Car Car Car,Note de bas de page Car Car Car Car Car Car,Note de bas de page Car Car Car ,5_G,Car,Car Char, Carácter"/>
    <w:basedOn w:val="Normal"/>
    <w:link w:val="NotedebasdepageCar"/>
    <w:uiPriority w:val="99"/>
    <w:unhideWhenUsed/>
    <w:qFormat/>
    <w:rsid w:val="00445DAD"/>
    <w:pPr>
      <w:spacing w:after="0" w:line="240" w:lineRule="auto"/>
    </w:pPr>
    <w:rPr>
      <w:sz w:val="20"/>
      <w:szCs w:val="20"/>
    </w:rPr>
  </w:style>
  <w:style w:type="character" w:customStyle="1" w:styleId="NotedebasdepageCar">
    <w:name w:val="Note de bas de page Car"/>
    <w:aliases w:val=" Car Car, Car Char Car, Car Car Car Car Car, Car Car Car Car1,Note de bas de page Car Car Car Car Car,Note de bas de page Car Car Car Car Car Car Car Car,Note de bas de page Car Car Car Car Car Car Car1,5_G Car,Car Car"/>
    <w:basedOn w:val="Policepardfaut"/>
    <w:link w:val="Notedebasdepage"/>
    <w:uiPriority w:val="99"/>
    <w:rsid w:val="00445DAD"/>
    <w:rPr>
      <w:sz w:val="20"/>
      <w:szCs w:val="20"/>
    </w:rPr>
  </w:style>
  <w:style w:type="character" w:styleId="Appelnotedebasdep">
    <w:name w:val="footnote reference"/>
    <w:aliases w:val="Footnote Refernece,Car Char Car Char Car Char Char Char Char Char Char Char,Footnote Refernece Char Char,Footnote Refernece Char,Car Char Car Char Car Char Char Char Char Char Char Char Char,Footnote Refernece Char Char Char Char"/>
    <w:basedOn w:val="Policepardfaut"/>
    <w:uiPriority w:val="99"/>
    <w:unhideWhenUsed/>
    <w:rsid w:val="00445DAD"/>
    <w:rPr>
      <w:vertAlign w:val="superscript"/>
    </w:rPr>
  </w:style>
  <w:style w:type="character" w:styleId="Lienhypertexte">
    <w:name w:val="Hyperlink"/>
    <w:basedOn w:val="Policepardfaut"/>
    <w:uiPriority w:val="99"/>
    <w:unhideWhenUsed/>
    <w:rsid w:val="00445DAD"/>
    <w:rPr>
      <w:color w:val="0000FF" w:themeColor="hyperlink"/>
      <w:u w:val="single"/>
    </w:rPr>
  </w:style>
  <w:style w:type="paragraph" w:styleId="Textedebulles">
    <w:name w:val="Balloon Text"/>
    <w:basedOn w:val="Normal"/>
    <w:link w:val="TextedebullesCar"/>
    <w:uiPriority w:val="99"/>
    <w:semiHidden/>
    <w:unhideWhenUsed/>
    <w:rsid w:val="00445DA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45DAD"/>
    <w:rPr>
      <w:rFonts w:ascii="Tahoma" w:hAnsi="Tahoma" w:cs="Tahoma"/>
      <w:sz w:val="16"/>
      <w:szCs w:val="16"/>
    </w:rPr>
  </w:style>
  <w:style w:type="paragraph" w:styleId="Paragraphedeliste">
    <w:name w:val="List Paragraph"/>
    <w:basedOn w:val="Normal"/>
    <w:uiPriority w:val="34"/>
    <w:qFormat/>
    <w:rsid w:val="00445D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DA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aliases w:val=" Car, Car Char, Car Car Car Car, Car Car Car,Note de bas de page Car Car Car Car,Note de bas de page Car Car Car Car Car Car Car,Note de bas de page Car Car Car Car Car Car,Note de bas de page Car Car Car ,5_G,Car,Car Char, Carácter"/>
    <w:basedOn w:val="Normal"/>
    <w:link w:val="NotedebasdepageCar"/>
    <w:uiPriority w:val="99"/>
    <w:unhideWhenUsed/>
    <w:qFormat/>
    <w:rsid w:val="00445DAD"/>
    <w:pPr>
      <w:spacing w:after="0" w:line="240" w:lineRule="auto"/>
    </w:pPr>
    <w:rPr>
      <w:sz w:val="20"/>
      <w:szCs w:val="20"/>
    </w:rPr>
  </w:style>
  <w:style w:type="character" w:customStyle="1" w:styleId="NotedebasdepageCar">
    <w:name w:val="Note de bas de page Car"/>
    <w:aliases w:val=" Car Car, Car Char Car, Car Car Car Car Car, Car Car Car Car1,Note de bas de page Car Car Car Car Car,Note de bas de page Car Car Car Car Car Car Car Car,Note de bas de page Car Car Car Car Car Car Car1,5_G Car,Car Car"/>
    <w:basedOn w:val="Policepardfaut"/>
    <w:link w:val="Notedebasdepage"/>
    <w:uiPriority w:val="99"/>
    <w:rsid w:val="00445DAD"/>
    <w:rPr>
      <w:sz w:val="20"/>
      <w:szCs w:val="20"/>
    </w:rPr>
  </w:style>
  <w:style w:type="character" w:styleId="Appelnotedebasdep">
    <w:name w:val="footnote reference"/>
    <w:aliases w:val="Footnote Refernece,Car Char Car Char Car Char Char Char Char Char Char Char,Footnote Refernece Char Char,Footnote Refernece Char,Car Char Car Char Car Char Char Char Char Char Char Char Char,Footnote Refernece Char Char Char Char"/>
    <w:basedOn w:val="Policepardfaut"/>
    <w:uiPriority w:val="99"/>
    <w:unhideWhenUsed/>
    <w:rsid w:val="00445DAD"/>
    <w:rPr>
      <w:vertAlign w:val="superscript"/>
    </w:rPr>
  </w:style>
  <w:style w:type="character" w:styleId="Lienhypertexte">
    <w:name w:val="Hyperlink"/>
    <w:basedOn w:val="Policepardfaut"/>
    <w:uiPriority w:val="99"/>
    <w:unhideWhenUsed/>
    <w:rsid w:val="00445DAD"/>
    <w:rPr>
      <w:color w:val="0000FF" w:themeColor="hyperlink"/>
      <w:u w:val="single"/>
    </w:rPr>
  </w:style>
  <w:style w:type="paragraph" w:styleId="Textedebulles">
    <w:name w:val="Balloon Text"/>
    <w:basedOn w:val="Normal"/>
    <w:link w:val="TextedebullesCar"/>
    <w:uiPriority w:val="99"/>
    <w:semiHidden/>
    <w:unhideWhenUsed/>
    <w:rsid w:val="00445DA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45DAD"/>
    <w:rPr>
      <w:rFonts w:ascii="Tahoma" w:hAnsi="Tahoma" w:cs="Tahoma"/>
      <w:sz w:val="16"/>
      <w:szCs w:val="16"/>
    </w:rPr>
  </w:style>
  <w:style w:type="paragraph" w:styleId="Paragraphedeliste">
    <w:name w:val="List Paragraph"/>
    <w:basedOn w:val="Normal"/>
    <w:uiPriority w:val="34"/>
    <w:qFormat/>
    <w:rsid w:val="00445D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r.wikipedia.org/wiki/%C3%89cole_%C3%A9l%C3%A9mentaire_en_France" TargetMode="Externa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s://fr.wikipedia.org/wiki/%C3%89cole_maternelle_en_Franc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3" Type="http://schemas.openxmlformats.org/officeDocument/2006/relationships/hyperlink" Target="http://www.ladocumentationfrancaise.fr/rapports-publics/124000064/index.shtml" TargetMode="External"/><Relationship Id="rId2" Type="http://schemas.openxmlformats.org/officeDocument/2006/relationships/hyperlink" Target="https://www.legifrance.gouv.fr/affichTexte.do?cidTexte=JORFTEXT000000791293&amp;dateTexte=20120620" TargetMode="External"/><Relationship Id="rId1" Type="http://schemas.openxmlformats.org/officeDocument/2006/relationships/hyperlink" Target="https://www.legifrance.gouv.fr/affichTexte.do?cidTexte=JORFTEXT000000646724&amp;dateTexte=&amp;categorieLien=id" TargetMode="External"/><Relationship Id="rId4" Type="http://schemas.openxmlformats.org/officeDocument/2006/relationships/hyperlink" Target="http://www.adequations.org/spip.php?article283"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28639F2-9DDA-4718-92EB-FF97588FA13A}">
  <ds:schemaRefs>
    <ds:schemaRef ds:uri="http://schemas.openxmlformats.org/officeDocument/2006/bibliography"/>
  </ds:schemaRefs>
</ds:datastoreItem>
</file>

<file path=customXml/itemProps2.xml><?xml version="1.0" encoding="utf-8"?>
<ds:datastoreItem xmlns:ds="http://schemas.openxmlformats.org/officeDocument/2006/customXml" ds:itemID="{18041864-F4E4-4A1D-B540-18BB55B2E805}"/>
</file>

<file path=customXml/itemProps3.xml><?xml version="1.0" encoding="utf-8"?>
<ds:datastoreItem xmlns:ds="http://schemas.openxmlformats.org/officeDocument/2006/customXml" ds:itemID="{2386F115-ABE2-46D1-B929-98D759BAFE33}"/>
</file>

<file path=customXml/itemProps4.xml><?xml version="1.0" encoding="utf-8"?>
<ds:datastoreItem xmlns:ds="http://schemas.openxmlformats.org/officeDocument/2006/customXml" ds:itemID="{C7B980E0-9AA2-42CF-8121-69A4070EF975}"/>
</file>

<file path=docProps/app.xml><?xml version="1.0" encoding="utf-8"?>
<Properties xmlns="http://schemas.openxmlformats.org/officeDocument/2006/extended-properties" xmlns:vt="http://schemas.openxmlformats.org/officeDocument/2006/docPropsVTypes">
  <Template>DC70E192</Template>
  <TotalTime>0</TotalTime>
  <Pages>4</Pages>
  <Words>1924</Words>
  <Characters>10588</Characters>
  <Application>Microsoft Office Word</Application>
  <DocSecurity>4</DocSecurity>
  <Lines>88</Lines>
  <Paragraphs>24</Paragraphs>
  <ScaleCrop>false</ScaleCrop>
  <HeadingPairs>
    <vt:vector size="2" baseType="variant">
      <vt:variant>
        <vt:lpstr>Titre</vt:lpstr>
      </vt:variant>
      <vt:variant>
        <vt:i4>1</vt:i4>
      </vt:variant>
    </vt:vector>
  </HeadingPairs>
  <TitlesOfParts>
    <vt:vector size="1" baseType="lpstr">
      <vt:lpstr/>
    </vt:vector>
  </TitlesOfParts>
  <Company>SPM</Company>
  <LinksUpToDate>false</LinksUpToDate>
  <CharactersWithSpaces>12488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SPM</dc:creator>
  <cp:lastModifiedBy>SPM</cp:lastModifiedBy>
  <cp:revision>2</cp:revision>
  <dcterms:created xsi:type="dcterms:W3CDTF">2017-10-31T12:16:00Z</dcterms:created>
  <dcterms:modified xsi:type="dcterms:W3CDTF">2017-10-31T12:16:00Z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