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7D57" w14:textId="6E95049E" w:rsidR="00C07D78" w:rsidRDefault="00C07D78" w:rsidP="00EE6BE9">
      <w:pPr>
        <w:jc w:val="both"/>
        <w:rPr>
          <w:rFonts w:ascii="Times New Roman" w:hAnsi="Times New Roman" w:cs="Times New Roman"/>
          <w:sz w:val="24"/>
          <w:szCs w:val="24"/>
        </w:rPr>
      </w:pPr>
    </w:p>
    <w:p w14:paraId="65DF24D2" w14:textId="48A19D36" w:rsidR="009750EE" w:rsidRDefault="009750EE" w:rsidP="00EE6BE9">
      <w:pPr>
        <w:jc w:val="both"/>
        <w:rPr>
          <w:rFonts w:ascii="Times New Roman" w:hAnsi="Times New Roman" w:cs="Times New Roman"/>
          <w:sz w:val="24"/>
          <w:szCs w:val="24"/>
        </w:rPr>
      </w:pPr>
      <w:r>
        <w:rPr>
          <w:noProof/>
        </w:rPr>
        <w:drawing>
          <wp:inline distT="0" distB="0" distL="0" distR="0" wp14:anchorId="6F0161B8" wp14:editId="48751016">
            <wp:extent cx="1563993" cy="1041400"/>
            <wp:effectExtent l="0" t="0" r="0" b="6350"/>
            <wp:docPr id="1" name="Picture 1" descr="C:\Users\nsun\AppData\Local\Microsoft\Windows\INetCache\Content.Word\download (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un\AppData\Local\Microsoft\Windows\INetCache\Content.Word\download (1)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872" cy="1060629"/>
                    </a:xfrm>
                    <a:prstGeom prst="rect">
                      <a:avLst/>
                    </a:prstGeom>
                    <a:noFill/>
                    <a:ln>
                      <a:noFill/>
                    </a:ln>
                  </pic:spPr>
                </pic:pic>
              </a:graphicData>
            </a:graphic>
          </wp:inline>
        </w:drawing>
      </w:r>
    </w:p>
    <w:p w14:paraId="32221124" w14:textId="77777777" w:rsidR="009750EE" w:rsidRPr="00F30F68" w:rsidRDefault="009750EE" w:rsidP="00EE6BE9">
      <w:pPr>
        <w:jc w:val="both"/>
        <w:rPr>
          <w:rFonts w:ascii="Times New Roman" w:hAnsi="Times New Roman" w:cs="Times New Roman"/>
          <w:sz w:val="24"/>
          <w:szCs w:val="24"/>
        </w:rPr>
      </w:pPr>
    </w:p>
    <w:p w14:paraId="191B8BF3" w14:textId="2BE77909" w:rsidR="007756ED" w:rsidRPr="00E40483" w:rsidRDefault="007756ED" w:rsidP="007756ED">
      <w:pPr>
        <w:jc w:val="center"/>
        <w:rPr>
          <w:rFonts w:ascii="Times New Roman" w:hAnsi="Times New Roman" w:cs="Times New Roman"/>
          <w:b/>
        </w:rPr>
      </w:pPr>
      <w:r w:rsidRPr="00E40483">
        <w:rPr>
          <w:rFonts w:ascii="Times New Roman" w:hAnsi="Times New Roman" w:cs="Times New Roman"/>
          <w:b/>
        </w:rPr>
        <w:t xml:space="preserve">Comments from the Center for Reproductive Rights in response to the call for submissions from the Office of the High Commissioner for Human Rights </w:t>
      </w:r>
      <w:r w:rsidR="00100713">
        <w:rPr>
          <w:rFonts w:ascii="Times New Roman" w:hAnsi="Times New Roman" w:cs="Times New Roman"/>
          <w:b/>
        </w:rPr>
        <w:t>study on youth and human rights</w:t>
      </w:r>
    </w:p>
    <w:p w14:paraId="50D49A5B" w14:textId="5B65E5AB" w:rsidR="007756ED" w:rsidRPr="00E40483" w:rsidRDefault="00100713" w:rsidP="007756ED">
      <w:pPr>
        <w:jc w:val="center"/>
        <w:rPr>
          <w:rFonts w:ascii="Times New Roman" w:hAnsi="Times New Roman" w:cs="Times New Roman"/>
          <w:b/>
        </w:rPr>
      </w:pPr>
      <w:r>
        <w:rPr>
          <w:rFonts w:ascii="Times New Roman" w:hAnsi="Times New Roman" w:cs="Times New Roman"/>
          <w:b/>
        </w:rPr>
        <w:t>December 20</w:t>
      </w:r>
      <w:r w:rsidR="007756ED" w:rsidRPr="00E40483">
        <w:rPr>
          <w:rFonts w:ascii="Times New Roman" w:hAnsi="Times New Roman" w:cs="Times New Roman"/>
          <w:b/>
        </w:rPr>
        <w:t>, 2017</w:t>
      </w:r>
    </w:p>
    <w:p w14:paraId="1F51C55C" w14:textId="77777777" w:rsidR="007756ED" w:rsidRDefault="007756ED" w:rsidP="00EE6BE9">
      <w:pPr>
        <w:jc w:val="both"/>
        <w:rPr>
          <w:rFonts w:ascii="Times New Roman" w:hAnsi="Times New Roman" w:cs="Times New Roman"/>
          <w:b/>
          <w:bCs/>
          <w:color w:val="000000"/>
          <w:sz w:val="24"/>
          <w:szCs w:val="24"/>
          <w:u w:val="single"/>
        </w:rPr>
      </w:pPr>
    </w:p>
    <w:p w14:paraId="671E174C" w14:textId="762A8005" w:rsidR="00377D9C" w:rsidRPr="00F30F68" w:rsidRDefault="00377D9C" w:rsidP="00EE6BE9">
      <w:pPr>
        <w:pStyle w:val="ListParagraph"/>
        <w:numPr>
          <w:ilvl w:val="0"/>
          <w:numId w:val="2"/>
        </w:numPr>
        <w:spacing w:before="240"/>
        <w:jc w:val="both"/>
        <w:rPr>
          <w:rFonts w:ascii="Times New Roman" w:hAnsi="Times New Roman" w:cs="Times New Roman"/>
          <w:b/>
          <w:sz w:val="24"/>
          <w:szCs w:val="24"/>
        </w:rPr>
      </w:pPr>
      <w:r w:rsidRPr="00F30F68">
        <w:rPr>
          <w:rFonts w:ascii="Times New Roman" w:hAnsi="Times New Roman" w:cs="Times New Roman"/>
          <w:b/>
          <w:sz w:val="24"/>
          <w:szCs w:val="24"/>
        </w:rPr>
        <w:t>Introduction</w:t>
      </w:r>
      <w:bookmarkStart w:id="0" w:name="_GoBack"/>
      <w:bookmarkEnd w:id="0"/>
    </w:p>
    <w:p w14:paraId="04A210DD" w14:textId="63B76C82" w:rsidR="00377D9C" w:rsidRPr="00F30F68" w:rsidRDefault="00377D9C" w:rsidP="00EE6BE9">
      <w:pPr>
        <w:autoSpaceDE w:val="0"/>
        <w:autoSpaceDN w:val="0"/>
        <w:adjustRightInd w:val="0"/>
        <w:jc w:val="both"/>
        <w:rPr>
          <w:rFonts w:ascii="Times New Roman" w:hAnsi="Times New Roman" w:cs="Times New Roman"/>
          <w:bCs/>
          <w:sz w:val="24"/>
          <w:szCs w:val="24"/>
        </w:rPr>
      </w:pPr>
      <w:r w:rsidRPr="00F30F68">
        <w:rPr>
          <w:rFonts w:ascii="Times New Roman" w:hAnsi="Times New Roman" w:cs="Times New Roman"/>
          <w:bCs/>
          <w:sz w:val="24"/>
          <w:szCs w:val="24"/>
        </w:rPr>
        <w:t xml:space="preserve">The Center for Reproductive Rights (the Center)—an international non-profit legal advocacy organization headquartered in New York City, with regional offices in Nairobi, Bogotá, Kathmandu, Geneva, and Washington, D.C.—uses the law to advance reproductive freedom as a fundamental human right that all governments are legally obligated to respect, protect, and fulfill. Since its inception twenty-five years ago, the Center has advocated for the realization of women and girls’ human rights on a broad range of issues, including on the right to access sexual and reproductive health services; preventing and addressing sexual violence; and the eradication of harmful traditional practices, including female genital mutilation and child marriage. We are pleased to provide this submission to the Office of the High Commissioner for Human Rights on </w:t>
      </w:r>
      <w:r w:rsidR="000B6A2D" w:rsidRPr="00F30F68">
        <w:rPr>
          <w:rFonts w:ascii="Times New Roman" w:hAnsi="Times New Roman" w:cs="Times New Roman"/>
          <w:bCs/>
          <w:sz w:val="24"/>
          <w:szCs w:val="24"/>
        </w:rPr>
        <w:t>youth and human rights</w:t>
      </w:r>
      <w:r w:rsidRPr="00F30F68">
        <w:rPr>
          <w:rFonts w:ascii="Times New Roman" w:hAnsi="Times New Roman" w:cs="Times New Roman"/>
          <w:bCs/>
          <w:sz w:val="24"/>
          <w:szCs w:val="24"/>
        </w:rPr>
        <w:t xml:space="preserve">. </w:t>
      </w:r>
    </w:p>
    <w:p w14:paraId="2BB850EE" w14:textId="77777777" w:rsidR="00967002" w:rsidRPr="00F30F68" w:rsidRDefault="00967002" w:rsidP="00EE6BE9">
      <w:pPr>
        <w:tabs>
          <w:tab w:val="left" w:pos="2340"/>
        </w:tabs>
        <w:jc w:val="both"/>
        <w:rPr>
          <w:rFonts w:ascii="Times New Roman" w:hAnsi="Times New Roman" w:cs="Times New Roman"/>
          <w:sz w:val="24"/>
          <w:szCs w:val="24"/>
        </w:rPr>
      </w:pPr>
    </w:p>
    <w:p w14:paraId="64CDF83B" w14:textId="6669E61D" w:rsidR="0090276C" w:rsidRPr="00F30F68" w:rsidRDefault="0090276C"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This </w:t>
      </w:r>
      <w:r w:rsidR="00933BA8" w:rsidRPr="00F30F68">
        <w:rPr>
          <w:rFonts w:ascii="Times New Roman" w:hAnsi="Times New Roman" w:cs="Times New Roman"/>
          <w:sz w:val="24"/>
          <w:szCs w:val="24"/>
        </w:rPr>
        <w:t>submission</w:t>
      </w:r>
      <w:r w:rsidRPr="00F30F68">
        <w:rPr>
          <w:rFonts w:ascii="Times New Roman" w:hAnsi="Times New Roman" w:cs="Times New Roman"/>
          <w:sz w:val="24"/>
          <w:szCs w:val="24"/>
        </w:rPr>
        <w:t xml:space="preserve"> sets forth the barriers adolescents face in realizing their sexual and </w:t>
      </w:r>
      <w:r w:rsidR="00944E34" w:rsidRPr="00F30F68">
        <w:rPr>
          <w:rFonts w:ascii="Times New Roman" w:hAnsi="Times New Roman" w:cs="Times New Roman"/>
          <w:sz w:val="24"/>
          <w:szCs w:val="24"/>
        </w:rPr>
        <w:t>reproductive health and rights</w:t>
      </w:r>
      <w:r w:rsidR="003E4B31" w:rsidRPr="00F30F68">
        <w:rPr>
          <w:rFonts w:ascii="Times New Roman" w:hAnsi="Times New Roman" w:cs="Times New Roman"/>
          <w:sz w:val="24"/>
          <w:szCs w:val="24"/>
        </w:rPr>
        <w:t xml:space="preserve"> (SRHR)</w:t>
      </w:r>
      <w:r w:rsidR="00944E34" w:rsidRPr="00F30F68">
        <w:rPr>
          <w:rFonts w:ascii="Times New Roman" w:hAnsi="Times New Roman" w:cs="Times New Roman"/>
          <w:sz w:val="24"/>
          <w:szCs w:val="24"/>
        </w:rPr>
        <w:t xml:space="preserve">. It </w:t>
      </w:r>
      <w:r w:rsidRPr="00F30F68">
        <w:rPr>
          <w:rFonts w:ascii="Times New Roman" w:hAnsi="Times New Roman" w:cs="Times New Roman"/>
          <w:sz w:val="24"/>
          <w:szCs w:val="24"/>
        </w:rPr>
        <w:t>discusses recent critical developments in the human rights frame</w:t>
      </w:r>
      <w:r w:rsidR="00944E34" w:rsidRPr="00F30F68">
        <w:rPr>
          <w:rFonts w:ascii="Times New Roman" w:hAnsi="Times New Roman" w:cs="Times New Roman"/>
          <w:sz w:val="24"/>
          <w:szCs w:val="24"/>
        </w:rPr>
        <w:t>work und</w:t>
      </w:r>
      <w:r w:rsidR="001A3CED" w:rsidRPr="00F30F68">
        <w:rPr>
          <w:rFonts w:ascii="Times New Roman" w:hAnsi="Times New Roman" w:cs="Times New Roman"/>
          <w:sz w:val="24"/>
          <w:szCs w:val="24"/>
        </w:rPr>
        <w:t xml:space="preserve">erpinning these rights. It outlines </w:t>
      </w:r>
      <w:r w:rsidR="00944E34" w:rsidRPr="00F30F68">
        <w:rPr>
          <w:rFonts w:ascii="Times New Roman" w:hAnsi="Times New Roman" w:cs="Times New Roman"/>
          <w:sz w:val="24"/>
          <w:szCs w:val="24"/>
        </w:rPr>
        <w:t>how the international community can assist states with</w:t>
      </w:r>
      <w:r w:rsidRPr="00F30F68">
        <w:rPr>
          <w:rFonts w:ascii="Times New Roman" w:hAnsi="Times New Roman" w:cs="Times New Roman"/>
          <w:sz w:val="24"/>
          <w:szCs w:val="24"/>
        </w:rPr>
        <w:t xml:space="preserve"> guaranteeing all adolescents the full exercise of their sexual and</w:t>
      </w:r>
      <w:r w:rsidR="00944E34" w:rsidRPr="00F30F68">
        <w:rPr>
          <w:rFonts w:ascii="Times New Roman" w:hAnsi="Times New Roman" w:cs="Times New Roman"/>
          <w:sz w:val="24"/>
          <w:szCs w:val="24"/>
        </w:rPr>
        <w:t xml:space="preserve"> reproductive health and rights</w:t>
      </w:r>
      <w:r w:rsidRPr="00F30F68">
        <w:rPr>
          <w:rFonts w:ascii="Times New Roman" w:hAnsi="Times New Roman" w:cs="Times New Roman"/>
          <w:sz w:val="24"/>
          <w:szCs w:val="24"/>
        </w:rPr>
        <w:t>.</w:t>
      </w:r>
      <w:r w:rsidR="005D1D0E">
        <w:rPr>
          <w:rStyle w:val="EndnoteReference"/>
          <w:rFonts w:ascii="Times New Roman" w:hAnsi="Times New Roman" w:cs="Times New Roman"/>
          <w:sz w:val="24"/>
          <w:szCs w:val="24"/>
        </w:rPr>
        <w:endnoteReference w:id="1"/>
      </w:r>
      <w:r w:rsidRPr="00F30F68">
        <w:rPr>
          <w:rFonts w:ascii="Times New Roman" w:hAnsi="Times New Roman" w:cs="Times New Roman"/>
          <w:sz w:val="24"/>
          <w:szCs w:val="24"/>
        </w:rPr>
        <w:t xml:space="preserve"> </w:t>
      </w:r>
    </w:p>
    <w:p w14:paraId="19E90EAC" w14:textId="77777777" w:rsidR="00944E34" w:rsidRPr="00F30F68" w:rsidRDefault="00944E34" w:rsidP="00EE6BE9">
      <w:pPr>
        <w:jc w:val="both"/>
        <w:rPr>
          <w:rFonts w:ascii="Times New Roman" w:hAnsi="Times New Roman" w:cs="Times New Roman"/>
          <w:sz w:val="24"/>
          <w:szCs w:val="24"/>
        </w:rPr>
      </w:pPr>
    </w:p>
    <w:p w14:paraId="6A3A8E21" w14:textId="4D22753B" w:rsidR="00EB49AB" w:rsidRPr="00F30F68" w:rsidRDefault="006466A0" w:rsidP="00EE6BE9">
      <w:pPr>
        <w:pStyle w:val="ListParagraph"/>
        <w:numPr>
          <w:ilvl w:val="0"/>
          <w:numId w:val="2"/>
        </w:numPr>
        <w:jc w:val="both"/>
        <w:rPr>
          <w:rFonts w:ascii="Times New Roman" w:hAnsi="Times New Roman" w:cs="Times New Roman"/>
          <w:b/>
          <w:sz w:val="24"/>
          <w:szCs w:val="24"/>
        </w:rPr>
      </w:pPr>
      <w:r w:rsidRPr="00F30F68">
        <w:rPr>
          <w:rFonts w:ascii="Times New Roman" w:hAnsi="Times New Roman" w:cs="Times New Roman"/>
          <w:b/>
          <w:sz w:val="24"/>
          <w:szCs w:val="24"/>
        </w:rPr>
        <w:t>Challenges faced by</w:t>
      </w:r>
      <w:r w:rsidR="00FC5AFA" w:rsidRPr="00F30F68">
        <w:rPr>
          <w:rFonts w:ascii="Times New Roman" w:hAnsi="Times New Roman" w:cs="Times New Roman"/>
          <w:b/>
          <w:sz w:val="24"/>
          <w:szCs w:val="24"/>
        </w:rPr>
        <w:t xml:space="preserve"> </w:t>
      </w:r>
      <w:r w:rsidRPr="00F30F68">
        <w:rPr>
          <w:rFonts w:ascii="Times New Roman" w:hAnsi="Times New Roman" w:cs="Times New Roman"/>
          <w:b/>
          <w:sz w:val="24"/>
          <w:szCs w:val="24"/>
        </w:rPr>
        <w:t>a</w:t>
      </w:r>
      <w:r w:rsidR="00FC5AFA" w:rsidRPr="00F30F68">
        <w:rPr>
          <w:rFonts w:ascii="Times New Roman" w:hAnsi="Times New Roman" w:cs="Times New Roman"/>
          <w:b/>
          <w:sz w:val="24"/>
          <w:szCs w:val="24"/>
        </w:rPr>
        <w:t>dolescents</w:t>
      </w:r>
      <w:r w:rsidRPr="00F30F68">
        <w:rPr>
          <w:rFonts w:ascii="Times New Roman" w:hAnsi="Times New Roman" w:cs="Times New Roman"/>
          <w:b/>
          <w:sz w:val="24"/>
          <w:szCs w:val="24"/>
        </w:rPr>
        <w:t xml:space="preserve"> trying to exercise their right to reproductive health </w:t>
      </w:r>
      <w:r w:rsidR="0032355F" w:rsidRPr="00F30F68">
        <w:rPr>
          <w:rFonts w:ascii="Times New Roman" w:hAnsi="Times New Roman" w:cs="Times New Roman"/>
          <w:b/>
          <w:sz w:val="24"/>
          <w:szCs w:val="24"/>
        </w:rPr>
        <w:t xml:space="preserve">and </w:t>
      </w:r>
      <w:r w:rsidRPr="00F30F68">
        <w:rPr>
          <w:rFonts w:ascii="Times New Roman" w:hAnsi="Times New Roman" w:cs="Times New Roman"/>
          <w:b/>
          <w:sz w:val="24"/>
          <w:szCs w:val="24"/>
        </w:rPr>
        <w:t>s</w:t>
      </w:r>
      <w:r w:rsidR="005849E5" w:rsidRPr="00F30F68">
        <w:rPr>
          <w:rFonts w:ascii="Times New Roman" w:hAnsi="Times New Roman" w:cs="Times New Roman"/>
          <w:b/>
          <w:sz w:val="24"/>
          <w:szCs w:val="24"/>
        </w:rPr>
        <w:t>ervices</w:t>
      </w:r>
    </w:p>
    <w:p w14:paraId="7C3CFE6D" w14:textId="00E0973E" w:rsidR="00E5117B" w:rsidRPr="00F30F68" w:rsidRDefault="00E5117B" w:rsidP="00EE6BE9">
      <w:pPr>
        <w:jc w:val="both"/>
        <w:rPr>
          <w:rFonts w:ascii="Times New Roman" w:hAnsi="Times New Roman" w:cs="Times New Roman"/>
          <w:sz w:val="24"/>
          <w:szCs w:val="24"/>
        </w:rPr>
      </w:pPr>
      <w:r w:rsidRPr="00F30F68">
        <w:rPr>
          <w:rFonts w:ascii="Times New Roman" w:hAnsi="Times New Roman" w:cs="Times New Roman"/>
          <w:sz w:val="24"/>
          <w:szCs w:val="24"/>
        </w:rPr>
        <w:t>With adolescents and youth constituting a quarter of the global population – for a total of 1.8 billion people – it has never been more critical that their human rights be fully recognized and realized within global arenas and at the regional, national, and community level</w:t>
      </w:r>
      <w:r w:rsidR="00876FC2" w:rsidRPr="00F30F68">
        <w:rPr>
          <w:rFonts w:ascii="Times New Roman" w:hAnsi="Times New Roman" w:cs="Times New Roman"/>
          <w:sz w:val="24"/>
          <w:szCs w:val="24"/>
        </w:rPr>
        <w:t>s</w:t>
      </w:r>
      <w:r w:rsidRPr="00F30F68">
        <w:rPr>
          <w:rFonts w:ascii="Times New Roman" w:hAnsi="Times New Roman" w:cs="Times New Roman"/>
          <w:sz w:val="24"/>
          <w:szCs w:val="24"/>
        </w:rPr>
        <w:t xml:space="preserve">. </w:t>
      </w:r>
      <w:r w:rsidR="009407A2" w:rsidRPr="00F30F68">
        <w:rPr>
          <w:rFonts w:ascii="Times New Roman" w:hAnsi="Times New Roman" w:cs="Times New Roman"/>
          <w:sz w:val="24"/>
          <w:szCs w:val="24"/>
        </w:rPr>
        <w:t xml:space="preserve">Despite increased attention to this issue over the past </w:t>
      </w:r>
      <w:r w:rsidR="009E08D3">
        <w:rPr>
          <w:rFonts w:ascii="Times New Roman" w:hAnsi="Times New Roman" w:cs="Times New Roman"/>
          <w:sz w:val="24"/>
          <w:szCs w:val="24"/>
        </w:rPr>
        <w:t>decade</w:t>
      </w:r>
      <w:r w:rsidR="009407A2" w:rsidRPr="00F30F68">
        <w:rPr>
          <w:rFonts w:ascii="Times New Roman" w:hAnsi="Times New Roman" w:cs="Times New Roman"/>
          <w:sz w:val="24"/>
          <w:szCs w:val="24"/>
        </w:rPr>
        <w:t>, signiﬁcant gaps remain in adolescents’ knowledge about their sexual and reproductive health and rights and ability to access essential sexual and reproductive health services.</w:t>
      </w:r>
    </w:p>
    <w:p w14:paraId="4AF99308" w14:textId="3A6B3292" w:rsidR="00E5117B" w:rsidRPr="00F30F68" w:rsidRDefault="00E5117B" w:rsidP="00EE6BE9">
      <w:pPr>
        <w:jc w:val="both"/>
        <w:rPr>
          <w:rFonts w:ascii="Times New Roman" w:hAnsi="Times New Roman" w:cs="Times New Roman"/>
          <w:sz w:val="24"/>
          <w:szCs w:val="24"/>
        </w:rPr>
      </w:pPr>
    </w:p>
    <w:p w14:paraId="4B86B5F5" w14:textId="7787159F" w:rsidR="008D0E7D" w:rsidRPr="00F30F68" w:rsidRDefault="008D0E7D" w:rsidP="00EE6BE9">
      <w:pPr>
        <w:pStyle w:val="ListParagraph"/>
        <w:numPr>
          <w:ilvl w:val="0"/>
          <w:numId w:val="3"/>
        </w:numPr>
        <w:jc w:val="both"/>
        <w:rPr>
          <w:rFonts w:ascii="Times New Roman" w:hAnsi="Times New Roman" w:cs="Times New Roman"/>
          <w:sz w:val="24"/>
          <w:szCs w:val="24"/>
        </w:rPr>
      </w:pPr>
      <w:r w:rsidRPr="00F30F68">
        <w:rPr>
          <w:rFonts w:ascii="Times New Roman" w:hAnsi="Times New Roman" w:cs="Times New Roman"/>
          <w:sz w:val="24"/>
          <w:szCs w:val="24"/>
        </w:rPr>
        <w:t>Restrictive legal and policy frameworks</w:t>
      </w:r>
    </w:p>
    <w:p w14:paraId="0CB3B5F6" w14:textId="0D990FFA" w:rsidR="00995A79" w:rsidRPr="00F30F68" w:rsidRDefault="00E5117B" w:rsidP="00EE6BE9">
      <w:pPr>
        <w:jc w:val="both"/>
        <w:rPr>
          <w:rFonts w:ascii="Times New Roman" w:eastAsia="Calibri" w:hAnsi="Times New Roman" w:cs="Times New Roman"/>
          <w:sz w:val="24"/>
          <w:szCs w:val="24"/>
        </w:rPr>
      </w:pPr>
      <w:r w:rsidRPr="00F30F68">
        <w:rPr>
          <w:rFonts w:ascii="Times New Roman" w:hAnsi="Times New Roman" w:cs="Times New Roman"/>
          <w:sz w:val="24"/>
          <w:szCs w:val="24"/>
        </w:rPr>
        <w:t xml:space="preserve">In many contexts, the laws and policies, or lack thereof, on sexual and reproductive health services for adolescents act as barriers to accessing services. </w:t>
      </w:r>
      <w:r w:rsidR="00383F04" w:rsidRPr="00F30F68">
        <w:rPr>
          <w:rFonts w:ascii="Times New Roman" w:hAnsi="Times New Roman" w:cs="Times New Roman"/>
          <w:sz w:val="24"/>
          <w:szCs w:val="24"/>
        </w:rPr>
        <w:t>Such laws may restrict adolescents’</w:t>
      </w:r>
      <w:r w:rsidR="00961168" w:rsidRPr="00F30F68">
        <w:rPr>
          <w:rFonts w:ascii="Times New Roman" w:hAnsi="Times New Roman" w:cs="Times New Roman"/>
          <w:sz w:val="24"/>
          <w:szCs w:val="24"/>
        </w:rPr>
        <w:t xml:space="preserve"> independent access to </w:t>
      </w:r>
      <w:r w:rsidR="00A535AA" w:rsidRPr="00F30F68">
        <w:rPr>
          <w:rFonts w:ascii="Times New Roman" w:hAnsi="Times New Roman" w:cs="Times New Roman"/>
          <w:sz w:val="24"/>
          <w:szCs w:val="24"/>
        </w:rPr>
        <w:t>health</w:t>
      </w:r>
      <w:r w:rsidR="00961168" w:rsidRPr="00F30F68">
        <w:rPr>
          <w:rFonts w:ascii="Times New Roman" w:hAnsi="Times New Roman" w:cs="Times New Roman"/>
          <w:sz w:val="24"/>
          <w:szCs w:val="24"/>
        </w:rPr>
        <w:t xml:space="preserve"> services. For instance</w:t>
      </w:r>
      <w:r w:rsidR="00DC41EF" w:rsidRPr="00F30F68">
        <w:rPr>
          <w:rFonts w:ascii="Times New Roman" w:hAnsi="Times New Roman" w:cs="Times New Roman"/>
          <w:sz w:val="24"/>
          <w:szCs w:val="24"/>
        </w:rPr>
        <w:t>,</w:t>
      </w:r>
      <w:r w:rsidR="00961168" w:rsidRPr="00F30F68">
        <w:rPr>
          <w:rFonts w:ascii="Times New Roman" w:hAnsi="Times New Roman" w:cs="Times New Roman"/>
          <w:sz w:val="24"/>
          <w:szCs w:val="24"/>
        </w:rPr>
        <w:t xml:space="preserve"> s</w:t>
      </w:r>
      <w:r w:rsidR="00995A79" w:rsidRPr="00F30F68">
        <w:rPr>
          <w:rFonts w:ascii="Times New Roman" w:hAnsi="Times New Roman" w:cs="Times New Roman"/>
          <w:sz w:val="24"/>
          <w:szCs w:val="24"/>
        </w:rPr>
        <w:t>ome states have laws that require parental notification or authorization</w:t>
      </w:r>
      <w:r w:rsidR="00895BFA" w:rsidRPr="00F30F68">
        <w:rPr>
          <w:rFonts w:ascii="Times New Roman" w:hAnsi="Times New Roman" w:cs="Times New Roman"/>
          <w:sz w:val="24"/>
          <w:szCs w:val="24"/>
        </w:rPr>
        <w:t xml:space="preserve"> for service access</w:t>
      </w:r>
      <w:r w:rsidR="00995A79" w:rsidRPr="00F30F68">
        <w:rPr>
          <w:rFonts w:ascii="Times New Roman" w:hAnsi="Times New Roman" w:cs="Times New Roman"/>
          <w:sz w:val="24"/>
          <w:szCs w:val="24"/>
        </w:rPr>
        <w:t>.</w:t>
      </w:r>
      <w:bookmarkStart w:id="1" w:name="_Ref501464787"/>
      <w:r w:rsidR="00995A79" w:rsidRPr="00F30F68">
        <w:rPr>
          <w:rFonts w:ascii="Times New Roman" w:hAnsi="Times New Roman" w:cs="Times New Roman"/>
          <w:sz w:val="24"/>
          <w:szCs w:val="24"/>
          <w:vertAlign w:val="superscript"/>
        </w:rPr>
        <w:endnoteReference w:id="2"/>
      </w:r>
      <w:bookmarkEnd w:id="1"/>
      <w:r w:rsidR="00995A79" w:rsidRPr="00F30F68">
        <w:rPr>
          <w:rFonts w:ascii="Times New Roman" w:hAnsi="Times New Roman" w:cs="Times New Roman"/>
          <w:sz w:val="24"/>
          <w:szCs w:val="24"/>
        </w:rPr>
        <w:t xml:space="preserve"> Such restrictions may apply to all minors or </w:t>
      </w:r>
      <w:r w:rsidR="000F628A">
        <w:rPr>
          <w:rFonts w:ascii="Times New Roman" w:hAnsi="Times New Roman" w:cs="Times New Roman"/>
          <w:sz w:val="24"/>
          <w:szCs w:val="24"/>
        </w:rPr>
        <w:t>specifically to</w:t>
      </w:r>
      <w:r w:rsidR="000F628A" w:rsidRPr="00F30F68">
        <w:rPr>
          <w:rFonts w:ascii="Times New Roman" w:hAnsi="Times New Roman" w:cs="Times New Roman"/>
          <w:sz w:val="24"/>
          <w:szCs w:val="24"/>
        </w:rPr>
        <w:t xml:space="preserve"> </w:t>
      </w:r>
      <w:r w:rsidR="00995A79" w:rsidRPr="00F30F68">
        <w:rPr>
          <w:rFonts w:ascii="Times New Roman" w:hAnsi="Times New Roman" w:cs="Times New Roman"/>
          <w:sz w:val="24"/>
          <w:szCs w:val="24"/>
        </w:rPr>
        <w:t>those under a c</w:t>
      </w:r>
      <w:r w:rsidR="00202670" w:rsidRPr="00F30F68">
        <w:rPr>
          <w:rFonts w:ascii="Times New Roman" w:hAnsi="Times New Roman" w:cs="Times New Roman"/>
          <w:sz w:val="24"/>
          <w:szCs w:val="24"/>
        </w:rPr>
        <w:t xml:space="preserve">ertain minimum age. For example, parental consent is required for before a young person can access contraceptive goods and services in </w:t>
      </w:r>
      <w:r w:rsidR="00A4388B" w:rsidRPr="00F30F68">
        <w:rPr>
          <w:rFonts w:ascii="Times New Roman" w:hAnsi="Times New Roman" w:cs="Times New Roman"/>
          <w:sz w:val="24"/>
          <w:szCs w:val="24"/>
        </w:rPr>
        <w:t>Argentina (under 14)</w:t>
      </w:r>
      <w:r w:rsidR="00A4388B">
        <w:rPr>
          <w:rFonts w:ascii="Times New Roman" w:hAnsi="Times New Roman" w:cs="Times New Roman"/>
          <w:sz w:val="24"/>
          <w:szCs w:val="24"/>
        </w:rPr>
        <w:t xml:space="preserve">, </w:t>
      </w:r>
      <w:r w:rsidR="00202670" w:rsidRPr="00F30F68">
        <w:rPr>
          <w:rFonts w:ascii="Times New Roman" w:hAnsi="Times New Roman" w:cs="Times New Roman"/>
          <w:sz w:val="24"/>
          <w:szCs w:val="24"/>
        </w:rPr>
        <w:t xml:space="preserve">Lithuania (under 16), </w:t>
      </w:r>
      <w:r w:rsidR="00A4388B" w:rsidRPr="00F30F68">
        <w:rPr>
          <w:rFonts w:ascii="Times New Roman" w:hAnsi="Times New Roman" w:cs="Times New Roman"/>
          <w:sz w:val="24"/>
          <w:szCs w:val="24"/>
        </w:rPr>
        <w:t>Peru (under 18)</w:t>
      </w:r>
      <w:r w:rsidR="00A4388B">
        <w:rPr>
          <w:rFonts w:ascii="Times New Roman" w:hAnsi="Times New Roman" w:cs="Times New Roman"/>
          <w:sz w:val="24"/>
          <w:szCs w:val="24"/>
        </w:rPr>
        <w:t xml:space="preserve">, </w:t>
      </w:r>
      <w:r w:rsidR="00202670" w:rsidRPr="00F30F68">
        <w:rPr>
          <w:rFonts w:ascii="Times New Roman" w:hAnsi="Times New Roman" w:cs="Times New Roman"/>
          <w:sz w:val="24"/>
          <w:szCs w:val="24"/>
        </w:rPr>
        <w:t>Poland (</w:t>
      </w:r>
      <w:r w:rsidR="00A4388B">
        <w:rPr>
          <w:rFonts w:ascii="Times New Roman" w:hAnsi="Times New Roman" w:cs="Times New Roman"/>
          <w:sz w:val="24"/>
          <w:szCs w:val="24"/>
        </w:rPr>
        <w:t>under 18), and Slovakia (under 15)</w:t>
      </w:r>
      <w:r w:rsidR="00202670" w:rsidRPr="00F30F68">
        <w:rPr>
          <w:rFonts w:ascii="Times New Roman" w:hAnsi="Times New Roman" w:cs="Times New Roman"/>
          <w:sz w:val="24"/>
          <w:szCs w:val="24"/>
        </w:rPr>
        <w:t>.</w:t>
      </w:r>
      <w:r w:rsidR="00995A79" w:rsidRPr="00F30F68">
        <w:rPr>
          <w:rFonts w:ascii="Times New Roman" w:hAnsi="Times New Roman" w:cs="Times New Roman"/>
          <w:sz w:val="24"/>
          <w:szCs w:val="24"/>
          <w:vertAlign w:val="superscript"/>
        </w:rPr>
        <w:endnoteReference w:id="3"/>
      </w:r>
      <w:r w:rsidR="00995A79" w:rsidRPr="00F30F68">
        <w:rPr>
          <w:rFonts w:ascii="Times New Roman" w:hAnsi="Times New Roman" w:cs="Times New Roman"/>
          <w:sz w:val="24"/>
          <w:szCs w:val="24"/>
        </w:rPr>
        <w:t xml:space="preserve"> </w:t>
      </w:r>
      <w:r w:rsidRPr="00F30F68">
        <w:rPr>
          <w:rFonts w:ascii="Times New Roman" w:hAnsi="Times New Roman" w:cs="Times New Roman"/>
          <w:sz w:val="24"/>
          <w:szCs w:val="24"/>
        </w:rPr>
        <w:t xml:space="preserve">Studies demonstrate that where adolescents are required to receive parental authorization for sexual and reproductive health services, they may opt to forgo such services, although they will </w:t>
      </w:r>
      <w:r w:rsidR="00515AC3" w:rsidRPr="00F30F68">
        <w:rPr>
          <w:rFonts w:ascii="Times New Roman" w:hAnsi="Times New Roman" w:cs="Times New Roman"/>
          <w:sz w:val="24"/>
          <w:szCs w:val="24"/>
        </w:rPr>
        <w:t>still engage in sexual activity.</w:t>
      </w:r>
      <w:bookmarkStart w:id="2" w:name="_Ref501464843"/>
      <w:r w:rsidR="00515AC3" w:rsidRPr="00F30F68">
        <w:rPr>
          <w:rFonts w:ascii="Times New Roman" w:hAnsi="Times New Roman" w:cs="Times New Roman"/>
          <w:sz w:val="24"/>
          <w:szCs w:val="24"/>
          <w:vertAlign w:val="superscript"/>
        </w:rPr>
        <w:endnoteReference w:id="4"/>
      </w:r>
      <w:bookmarkEnd w:id="2"/>
      <w:r w:rsidR="00515AC3" w:rsidRPr="00F30F68">
        <w:rPr>
          <w:rFonts w:ascii="Times New Roman" w:hAnsi="Times New Roman" w:cs="Times New Roman"/>
          <w:sz w:val="24"/>
          <w:szCs w:val="24"/>
        </w:rPr>
        <w:t xml:space="preserve"> </w:t>
      </w:r>
      <w:r w:rsidRPr="00F30F68">
        <w:rPr>
          <w:rFonts w:ascii="Times New Roman" w:eastAsia="Calibri" w:hAnsi="Times New Roman" w:cs="Times New Roman"/>
          <w:sz w:val="24"/>
          <w:szCs w:val="24"/>
        </w:rPr>
        <w:t xml:space="preserve"> Stigma surrounding adolescent sexuality may make them fearful of a negative parental response, particularly for girls, who generally face greater stigma and discrimination surrounding their sexuality.</w:t>
      </w:r>
      <w:r w:rsidRPr="00F30F68">
        <w:rPr>
          <w:rFonts w:ascii="Times New Roman" w:eastAsia="Calibri" w:hAnsi="Times New Roman" w:cs="Times New Roman"/>
          <w:sz w:val="24"/>
          <w:szCs w:val="24"/>
          <w:vertAlign w:val="superscript"/>
        </w:rPr>
        <w:endnoteReference w:id="5"/>
      </w:r>
      <w:r w:rsidRPr="00F30F68">
        <w:rPr>
          <w:rFonts w:ascii="Times New Roman" w:eastAsia="Calibri" w:hAnsi="Times New Roman" w:cs="Times New Roman"/>
          <w:sz w:val="24"/>
          <w:szCs w:val="24"/>
        </w:rPr>
        <w:t xml:space="preserve"> </w:t>
      </w:r>
    </w:p>
    <w:p w14:paraId="0A314729" w14:textId="77777777" w:rsidR="00995A79" w:rsidRPr="00F30F68" w:rsidRDefault="00995A79" w:rsidP="00EE6BE9">
      <w:pPr>
        <w:jc w:val="both"/>
        <w:rPr>
          <w:rFonts w:ascii="Times New Roman" w:eastAsia="Calibri" w:hAnsi="Times New Roman" w:cs="Times New Roman"/>
          <w:sz w:val="24"/>
          <w:szCs w:val="24"/>
        </w:rPr>
      </w:pPr>
    </w:p>
    <w:p w14:paraId="26B14FA1" w14:textId="07798E74" w:rsidR="00E5117B" w:rsidRPr="00F30F68" w:rsidRDefault="00E5117B"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In some instances, in lieu of parental authorization, judicial authorization </w:t>
      </w:r>
      <w:r w:rsidR="00917779" w:rsidRPr="00F30F68">
        <w:rPr>
          <w:rFonts w:ascii="Times New Roman" w:hAnsi="Times New Roman" w:cs="Times New Roman"/>
          <w:sz w:val="24"/>
          <w:szCs w:val="24"/>
        </w:rPr>
        <w:t xml:space="preserve">may be required </w:t>
      </w:r>
      <w:r w:rsidRPr="00F30F68">
        <w:rPr>
          <w:rFonts w:ascii="Times New Roman" w:hAnsi="Times New Roman" w:cs="Times New Roman"/>
          <w:sz w:val="24"/>
          <w:szCs w:val="24"/>
        </w:rPr>
        <w:t>to access</w:t>
      </w:r>
      <w:r w:rsidR="006E46C5" w:rsidRPr="00F30F68">
        <w:rPr>
          <w:rFonts w:ascii="Times New Roman" w:hAnsi="Times New Roman" w:cs="Times New Roman"/>
          <w:sz w:val="24"/>
          <w:szCs w:val="24"/>
        </w:rPr>
        <w:t xml:space="preserve"> specific</w:t>
      </w:r>
      <w:r w:rsidRPr="00F30F68">
        <w:rPr>
          <w:rFonts w:ascii="Times New Roman" w:hAnsi="Times New Roman" w:cs="Times New Roman"/>
          <w:sz w:val="24"/>
          <w:szCs w:val="24"/>
        </w:rPr>
        <w:t xml:space="preserve"> </w:t>
      </w:r>
      <w:r w:rsidR="006E46C5" w:rsidRPr="00F30F68">
        <w:rPr>
          <w:rFonts w:ascii="Times New Roman" w:hAnsi="Times New Roman" w:cs="Times New Roman"/>
          <w:sz w:val="24"/>
          <w:szCs w:val="24"/>
        </w:rPr>
        <w:t>sexual</w:t>
      </w:r>
      <w:r w:rsidRPr="00F30F68">
        <w:rPr>
          <w:rFonts w:ascii="Times New Roman" w:hAnsi="Times New Roman" w:cs="Times New Roman"/>
          <w:sz w:val="24"/>
          <w:szCs w:val="24"/>
        </w:rPr>
        <w:t xml:space="preserve"> and reproductive health services</w:t>
      </w:r>
      <w:r w:rsidR="00917779" w:rsidRPr="00F30F68">
        <w:rPr>
          <w:rFonts w:ascii="Times New Roman" w:hAnsi="Times New Roman" w:cs="Times New Roman"/>
          <w:sz w:val="24"/>
          <w:szCs w:val="24"/>
        </w:rPr>
        <w:t>. Judicial authorization requires an adolescent to</w:t>
      </w:r>
      <w:r w:rsidRPr="00F30F68">
        <w:rPr>
          <w:rFonts w:ascii="Times New Roman" w:hAnsi="Times New Roman" w:cs="Times New Roman"/>
          <w:sz w:val="24"/>
          <w:szCs w:val="24"/>
        </w:rPr>
        <w:t xml:space="preserve"> fil</w:t>
      </w:r>
      <w:r w:rsidR="00917779" w:rsidRPr="00F30F68">
        <w:rPr>
          <w:rFonts w:ascii="Times New Roman" w:hAnsi="Times New Roman" w:cs="Times New Roman"/>
          <w:sz w:val="24"/>
          <w:szCs w:val="24"/>
        </w:rPr>
        <w:t>e</w:t>
      </w:r>
      <w:r w:rsidRPr="00F30F68">
        <w:rPr>
          <w:rFonts w:ascii="Times New Roman" w:hAnsi="Times New Roman" w:cs="Times New Roman"/>
          <w:sz w:val="24"/>
          <w:szCs w:val="24"/>
        </w:rPr>
        <w:t xml:space="preserve"> a petition and appear before a judge.</w:t>
      </w:r>
      <w:r w:rsidRPr="00F30F68">
        <w:rPr>
          <w:rFonts w:ascii="Times New Roman" w:hAnsi="Times New Roman" w:cs="Times New Roman"/>
          <w:sz w:val="24"/>
          <w:szCs w:val="24"/>
          <w:vertAlign w:val="superscript"/>
        </w:rPr>
        <w:endnoteReference w:id="6"/>
      </w:r>
      <w:r w:rsidRPr="00F30F68">
        <w:rPr>
          <w:rFonts w:ascii="Times New Roman" w:hAnsi="Times New Roman" w:cs="Times New Roman"/>
          <w:sz w:val="24"/>
          <w:szCs w:val="24"/>
        </w:rPr>
        <w:t xml:space="preserve"> Judicial authorization requirements are</w:t>
      </w:r>
      <w:r w:rsidR="00A4388B">
        <w:rPr>
          <w:rFonts w:ascii="Times New Roman" w:hAnsi="Times New Roman" w:cs="Times New Roman"/>
          <w:sz w:val="24"/>
          <w:szCs w:val="24"/>
        </w:rPr>
        <w:t xml:space="preserve"> problematic overall</w:t>
      </w:r>
      <w:r w:rsidR="00F24F7C" w:rsidRPr="00F30F68">
        <w:rPr>
          <w:rStyle w:val="EndnoteReference"/>
          <w:rFonts w:ascii="Times New Roman" w:hAnsi="Times New Roman" w:cs="Times New Roman"/>
          <w:sz w:val="24"/>
          <w:szCs w:val="24"/>
        </w:rPr>
        <w:endnoteReference w:id="7"/>
      </w:r>
      <w:r w:rsidR="00A41050" w:rsidRPr="00F30F68">
        <w:rPr>
          <w:rFonts w:ascii="Times New Roman" w:hAnsi="Times New Roman" w:cs="Times New Roman"/>
          <w:sz w:val="24"/>
          <w:szCs w:val="24"/>
        </w:rPr>
        <w:t xml:space="preserve"> and are</w:t>
      </w:r>
      <w:r w:rsidRPr="00F30F68">
        <w:rPr>
          <w:rFonts w:ascii="Times New Roman" w:hAnsi="Times New Roman" w:cs="Times New Roman"/>
          <w:sz w:val="24"/>
          <w:szCs w:val="24"/>
        </w:rPr>
        <w:t xml:space="preserve"> particularly </w:t>
      </w:r>
      <w:r w:rsidR="00B7465F" w:rsidRPr="00F30F68">
        <w:rPr>
          <w:rFonts w:ascii="Times New Roman" w:hAnsi="Times New Roman" w:cs="Times New Roman"/>
          <w:sz w:val="24"/>
          <w:szCs w:val="24"/>
        </w:rPr>
        <w:t>challenging</w:t>
      </w:r>
      <w:r w:rsidRPr="00F30F68">
        <w:rPr>
          <w:rFonts w:ascii="Times New Roman" w:hAnsi="Times New Roman" w:cs="Times New Roman"/>
          <w:sz w:val="24"/>
          <w:szCs w:val="24"/>
        </w:rPr>
        <w:t xml:space="preserve"> for adolescents</w:t>
      </w:r>
      <w:r w:rsidR="00A4388B">
        <w:rPr>
          <w:rFonts w:ascii="Times New Roman" w:hAnsi="Times New Roman" w:cs="Times New Roman"/>
          <w:sz w:val="24"/>
          <w:szCs w:val="24"/>
        </w:rPr>
        <w:t>,</w:t>
      </w:r>
      <w:r w:rsidRPr="00F30F68">
        <w:rPr>
          <w:rFonts w:ascii="Times New Roman" w:hAnsi="Times New Roman" w:cs="Times New Roman"/>
          <w:sz w:val="24"/>
          <w:szCs w:val="24"/>
        </w:rPr>
        <w:t xml:space="preserve"> due to the range of barriers they face in accessing formal judicial mechanisms and the stigma surrounding </w:t>
      </w:r>
      <w:r w:rsidR="00F23C36">
        <w:rPr>
          <w:rFonts w:ascii="Times New Roman" w:hAnsi="Times New Roman" w:cs="Times New Roman"/>
          <w:sz w:val="24"/>
          <w:szCs w:val="24"/>
        </w:rPr>
        <w:t xml:space="preserve">adolescent access to </w:t>
      </w:r>
      <w:r w:rsidRPr="00F30F68">
        <w:rPr>
          <w:rFonts w:ascii="Times New Roman" w:hAnsi="Times New Roman" w:cs="Times New Roman"/>
          <w:sz w:val="24"/>
          <w:szCs w:val="24"/>
        </w:rPr>
        <w:t>sexual and reproductive health services.</w:t>
      </w:r>
      <w:r w:rsidRPr="00F30F68">
        <w:rPr>
          <w:rStyle w:val="EndnoteReference"/>
          <w:rFonts w:ascii="Times New Roman" w:hAnsi="Times New Roman" w:cs="Times New Roman"/>
          <w:sz w:val="24"/>
          <w:szCs w:val="24"/>
        </w:rPr>
        <w:endnoteReference w:id="8"/>
      </w:r>
    </w:p>
    <w:p w14:paraId="6672CEE8" w14:textId="5D789563" w:rsidR="0057479F" w:rsidRPr="00F30F68" w:rsidRDefault="0057479F" w:rsidP="00EE6BE9">
      <w:pPr>
        <w:jc w:val="both"/>
        <w:rPr>
          <w:rFonts w:ascii="Times New Roman" w:hAnsi="Times New Roman" w:cs="Times New Roman"/>
          <w:sz w:val="24"/>
          <w:szCs w:val="24"/>
        </w:rPr>
      </w:pPr>
    </w:p>
    <w:p w14:paraId="41055031" w14:textId="4406A9A9" w:rsidR="00F97106" w:rsidRPr="00F30F68" w:rsidRDefault="00023970" w:rsidP="00EE6BE9">
      <w:pPr>
        <w:jc w:val="both"/>
        <w:rPr>
          <w:rFonts w:ascii="Times New Roman" w:hAnsi="Times New Roman" w:cs="Times New Roman"/>
          <w:sz w:val="24"/>
          <w:szCs w:val="24"/>
        </w:rPr>
      </w:pPr>
      <w:r w:rsidRPr="00F30F68">
        <w:rPr>
          <w:rFonts w:ascii="Times New Roman" w:hAnsi="Times New Roman" w:cs="Times New Roman"/>
          <w:sz w:val="24"/>
          <w:szCs w:val="24"/>
        </w:rPr>
        <w:t>E</w:t>
      </w:r>
      <w:r w:rsidR="0057479F" w:rsidRPr="00F30F68">
        <w:rPr>
          <w:rFonts w:ascii="Times New Roman" w:hAnsi="Times New Roman" w:cs="Times New Roman"/>
          <w:sz w:val="24"/>
          <w:szCs w:val="24"/>
        </w:rPr>
        <w:t xml:space="preserve">ven when there are clear laws </w:t>
      </w:r>
      <w:r w:rsidRPr="00F30F68">
        <w:rPr>
          <w:rFonts w:ascii="Times New Roman" w:hAnsi="Times New Roman" w:cs="Times New Roman"/>
          <w:sz w:val="24"/>
          <w:szCs w:val="24"/>
        </w:rPr>
        <w:t>that allow adolescents to independently access sexual and reproductive health services</w:t>
      </w:r>
      <w:r w:rsidR="0057479F" w:rsidRPr="00F30F68">
        <w:rPr>
          <w:rFonts w:ascii="Times New Roman" w:hAnsi="Times New Roman" w:cs="Times New Roman"/>
          <w:sz w:val="24"/>
          <w:szCs w:val="24"/>
        </w:rPr>
        <w:t xml:space="preserve">, </w:t>
      </w:r>
      <w:r w:rsidR="00D754F5" w:rsidRPr="00F30F68">
        <w:rPr>
          <w:rFonts w:ascii="Times New Roman" w:hAnsi="Times New Roman" w:cs="Times New Roman"/>
          <w:sz w:val="24"/>
          <w:szCs w:val="24"/>
        </w:rPr>
        <w:t>service providers</w:t>
      </w:r>
      <w:r w:rsidR="0057479F" w:rsidRPr="00F30F68">
        <w:rPr>
          <w:rFonts w:ascii="Times New Roman" w:hAnsi="Times New Roman" w:cs="Times New Roman"/>
          <w:sz w:val="24"/>
          <w:szCs w:val="24"/>
        </w:rPr>
        <w:t xml:space="preserve"> may simply choose to ignore them.</w:t>
      </w:r>
      <w:r w:rsidR="006E46C5" w:rsidRPr="00F30F68">
        <w:rPr>
          <w:rFonts w:ascii="Times New Roman" w:hAnsi="Times New Roman" w:cs="Times New Roman"/>
          <w:sz w:val="24"/>
          <w:szCs w:val="24"/>
        </w:rPr>
        <w:t xml:space="preserve"> </w:t>
      </w:r>
      <w:r w:rsidR="00073419" w:rsidRPr="00F30F68">
        <w:rPr>
          <w:rFonts w:ascii="Times New Roman" w:hAnsi="Times New Roman" w:cs="Times New Roman"/>
          <w:sz w:val="24"/>
          <w:szCs w:val="24"/>
        </w:rPr>
        <w:t xml:space="preserve">Consider </w:t>
      </w:r>
      <w:r w:rsidR="00482187" w:rsidRPr="00F30F68">
        <w:rPr>
          <w:rFonts w:ascii="Times New Roman" w:hAnsi="Times New Roman" w:cs="Times New Roman"/>
          <w:sz w:val="24"/>
          <w:szCs w:val="24"/>
        </w:rPr>
        <w:t xml:space="preserve">the story of P, who was nearly prevented from having an abortion after </w:t>
      </w:r>
      <w:r w:rsidR="00073419" w:rsidRPr="00F30F68">
        <w:rPr>
          <w:rFonts w:ascii="Times New Roman" w:hAnsi="Times New Roman" w:cs="Times New Roman"/>
          <w:sz w:val="24"/>
          <w:szCs w:val="24"/>
        </w:rPr>
        <w:t>Polish hospitals failed to provi</w:t>
      </w:r>
      <w:r w:rsidR="00482187" w:rsidRPr="00F30F68">
        <w:rPr>
          <w:rFonts w:ascii="Times New Roman" w:hAnsi="Times New Roman" w:cs="Times New Roman"/>
          <w:sz w:val="24"/>
          <w:szCs w:val="24"/>
        </w:rPr>
        <w:t>de P with the services</w:t>
      </w:r>
      <w:r w:rsidR="00F23C36">
        <w:rPr>
          <w:rFonts w:ascii="Times New Roman" w:hAnsi="Times New Roman" w:cs="Times New Roman"/>
          <w:sz w:val="24"/>
          <w:szCs w:val="24"/>
        </w:rPr>
        <w:t xml:space="preserve"> to which</w:t>
      </w:r>
      <w:r w:rsidR="00482187" w:rsidRPr="00F30F68">
        <w:rPr>
          <w:rFonts w:ascii="Times New Roman" w:hAnsi="Times New Roman" w:cs="Times New Roman"/>
          <w:sz w:val="24"/>
          <w:szCs w:val="24"/>
        </w:rPr>
        <w:t xml:space="preserve"> she wa</w:t>
      </w:r>
      <w:r w:rsidR="00073419" w:rsidRPr="00F30F68">
        <w:rPr>
          <w:rFonts w:ascii="Times New Roman" w:hAnsi="Times New Roman" w:cs="Times New Roman"/>
          <w:sz w:val="24"/>
          <w:szCs w:val="24"/>
        </w:rPr>
        <w:t>s legally entitled. When P w</w:t>
      </w:r>
      <w:r w:rsidR="006E46C5" w:rsidRPr="00F30F68">
        <w:rPr>
          <w:rFonts w:ascii="Times New Roman" w:hAnsi="Times New Roman" w:cs="Times New Roman"/>
          <w:sz w:val="24"/>
          <w:szCs w:val="24"/>
        </w:rPr>
        <w:t>as 14</w:t>
      </w:r>
      <w:r w:rsidR="00073419" w:rsidRPr="00F30F68">
        <w:rPr>
          <w:rFonts w:ascii="Times New Roman" w:hAnsi="Times New Roman" w:cs="Times New Roman"/>
          <w:sz w:val="24"/>
          <w:szCs w:val="24"/>
        </w:rPr>
        <w:t>,</w:t>
      </w:r>
      <w:r w:rsidR="006E46C5" w:rsidRPr="00F30F68">
        <w:rPr>
          <w:rFonts w:ascii="Times New Roman" w:hAnsi="Times New Roman" w:cs="Times New Roman"/>
          <w:sz w:val="24"/>
          <w:szCs w:val="24"/>
        </w:rPr>
        <w:t xml:space="preserve"> s</w:t>
      </w:r>
      <w:r w:rsidR="00C3233E" w:rsidRPr="00F30F68">
        <w:rPr>
          <w:rFonts w:ascii="Times New Roman" w:hAnsi="Times New Roman" w:cs="Times New Roman"/>
          <w:sz w:val="24"/>
          <w:szCs w:val="24"/>
        </w:rPr>
        <w:t xml:space="preserve">he became pregnant after she was sexually </w:t>
      </w:r>
      <w:r w:rsidR="0057479F" w:rsidRPr="00F30F68">
        <w:rPr>
          <w:rFonts w:ascii="Times New Roman" w:hAnsi="Times New Roman" w:cs="Times New Roman"/>
          <w:sz w:val="24"/>
          <w:szCs w:val="24"/>
        </w:rPr>
        <w:t xml:space="preserve">assaulted by a classmate. </w:t>
      </w:r>
      <w:r w:rsidR="00482187" w:rsidRPr="00F30F68">
        <w:rPr>
          <w:rFonts w:ascii="Times New Roman" w:hAnsi="Times New Roman" w:cs="Times New Roman"/>
          <w:sz w:val="24"/>
          <w:szCs w:val="24"/>
        </w:rPr>
        <w:t xml:space="preserve">With the support of her mother, </w:t>
      </w:r>
      <w:r w:rsidR="00C3233E" w:rsidRPr="00F30F68">
        <w:rPr>
          <w:rFonts w:ascii="Times New Roman" w:hAnsi="Times New Roman" w:cs="Times New Roman"/>
          <w:sz w:val="24"/>
          <w:szCs w:val="24"/>
        </w:rPr>
        <w:t xml:space="preserve">P </w:t>
      </w:r>
      <w:r w:rsidR="0057479F" w:rsidRPr="00F30F68">
        <w:rPr>
          <w:rFonts w:ascii="Times New Roman" w:hAnsi="Times New Roman" w:cs="Times New Roman"/>
          <w:sz w:val="24"/>
          <w:szCs w:val="24"/>
        </w:rPr>
        <w:t>obtain</w:t>
      </w:r>
      <w:r w:rsidR="00C3233E" w:rsidRPr="00F30F68">
        <w:rPr>
          <w:rFonts w:ascii="Times New Roman" w:hAnsi="Times New Roman" w:cs="Times New Roman"/>
          <w:sz w:val="24"/>
          <w:szCs w:val="24"/>
        </w:rPr>
        <w:t>ed</w:t>
      </w:r>
      <w:r w:rsidR="0057479F" w:rsidRPr="00F30F68">
        <w:rPr>
          <w:rFonts w:ascii="Times New Roman" w:hAnsi="Times New Roman" w:cs="Times New Roman"/>
          <w:sz w:val="24"/>
          <w:szCs w:val="24"/>
        </w:rPr>
        <w:t xml:space="preserve"> a certificate from a prose</w:t>
      </w:r>
      <w:r w:rsidR="00C3233E" w:rsidRPr="00F30F68">
        <w:rPr>
          <w:rFonts w:ascii="Times New Roman" w:hAnsi="Times New Roman" w:cs="Times New Roman"/>
          <w:sz w:val="24"/>
          <w:szCs w:val="24"/>
        </w:rPr>
        <w:t>cu</w:t>
      </w:r>
      <w:r w:rsidR="00482187" w:rsidRPr="00F30F68">
        <w:rPr>
          <w:rFonts w:ascii="Times New Roman" w:hAnsi="Times New Roman" w:cs="Times New Roman"/>
          <w:sz w:val="24"/>
          <w:szCs w:val="24"/>
        </w:rPr>
        <w:t>tor, which is required for abortions in the case of rape</w:t>
      </w:r>
      <w:r w:rsidR="0057479F" w:rsidRPr="00F30F68">
        <w:rPr>
          <w:rFonts w:ascii="Times New Roman" w:hAnsi="Times New Roman" w:cs="Times New Roman"/>
          <w:sz w:val="24"/>
          <w:szCs w:val="24"/>
        </w:rPr>
        <w:t>.</w:t>
      </w:r>
      <w:r w:rsidR="00C3233E" w:rsidRPr="00F30F68">
        <w:rPr>
          <w:rFonts w:ascii="Times New Roman" w:hAnsi="Times New Roman" w:cs="Times New Roman"/>
          <w:sz w:val="24"/>
          <w:szCs w:val="24"/>
        </w:rPr>
        <w:t xml:space="preserve"> </w:t>
      </w:r>
      <w:r w:rsidR="00482187" w:rsidRPr="00F30F68">
        <w:rPr>
          <w:rFonts w:ascii="Times New Roman" w:hAnsi="Times New Roman" w:cs="Times New Roman"/>
          <w:sz w:val="24"/>
          <w:szCs w:val="24"/>
        </w:rPr>
        <w:t xml:space="preserve">Despite that P had the support of her mother and was able to obtain the certificate from the prosecutor, three hospitals gave P </w:t>
      </w:r>
      <w:r w:rsidR="00F97106" w:rsidRPr="00F30F68">
        <w:rPr>
          <w:rFonts w:ascii="Times New Roman" w:hAnsi="Times New Roman" w:cs="Times New Roman"/>
          <w:sz w:val="24"/>
          <w:szCs w:val="24"/>
        </w:rPr>
        <w:t>distorted</w:t>
      </w:r>
      <w:r w:rsidR="00C3233E" w:rsidRPr="00F30F68">
        <w:rPr>
          <w:rFonts w:ascii="Times New Roman" w:hAnsi="Times New Roman" w:cs="Times New Roman"/>
          <w:sz w:val="24"/>
          <w:szCs w:val="24"/>
        </w:rPr>
        <w:t xml:space="preserve"> informatio</w:t>
      </w:r>
      <w:r w:rsidR="00F97106" w:rsidRPr="00F30F68">
        <w:rPr>
          <w:rFonts w:ascii="Times New Roman" w:hAnsi="Times New Roman" w:cs="Times New Roman"/>
          <w:sz w:val="24"/>
          <w:szCs w:val="24"/>
        </w:rPr>
        <w:t>n</w:t>
      </w:r>
      <w:r w:rsidR="00B06404">
        <w:rPr>
          <w:rFonts w:ascii="Times New Roman" w:hAnsi="Times New Roman" w:cs="Times New Roman"/>
          <w:sz w:val="24"/>
          <w:szCs w:val="24"/>
        </w:rPr>
        <w:t xml:space="preserve">, which </w:t>
      </w:r>
      <w:r w:rsidR="00B071B6" w:rsidRPr="00F30F68">
        <w:rPr>
          <w:rFonts w:ascii="Times New Roman" w:hAnsi="Times New Roman" w:cs="Times New Roman"/>
          <w:sz w:val="24"/>
          <w:szCs w:val="24"/>
        </w:rPr>
        <w:t xml:space="preserve">nearly prevented her </w:t>
      </w:r>
      <w:r w:rsidR="00F97106" w:rsidRPr="00F30F68">
        <w:rPr>
          <w:rFonts w:ascii="Times New Roman" w:hAnsi="Times New Roman" w:cs="Times New Roman"/>
          <w:sz w:val="24"/>
          <w:szCs w:val="24"/>
        </w:rPr>
        <w:t>from having an abortion before reaching the 12-week gestational limit for abortion in cases of rape.</w:t>
      </w:r>
      <w:r w:rsidR="00073419" w:rsidRPr="00F30F68">
        <w:rPr>
          <w:rFonts w:ascii="Times New Roman" w:hAnsi="Times New Roman" w:cs="Times New Roman"/>
          <w:sz w:val="24"/>
          <w:szCs w:val="24"/>
        </w:rPr>
        <w:t xml:space="preserve"> Only after the Ministry of Health intervened was P able to obtain an abortion a few days before the limit.</w:t>
      </w:r>
      <w:r w:rsidR="00073419" w:rsidRPr="00F30F68">
        <w:rPr>
          <w:rStyle w:val="EndnoteReference"/>
          <w:rFonts w:ascii="Times New Roman" w:hAnsi="Times New Roman" w:cs="Times New Roman"/>
          <w:sz w:val="24"/>
          <w:szCs w:val="24"/>
        </w:rPr>
        <w:endnoteReference w:id="9"/>
      </w:r>
    </w:p>
    <w:p w14:paraId="3C92A21B" w14:textId="23ACC1E8" w:rsidR="0057479F" w:rsidRPr="00F30F68" w:rsidRDefault="0057479F" w:rsidP="00EE6BE9">
      <w:pPr>
        <w:jc w:val="both"/>
        <w:rPr>
          <w:rFonts w:ascii="Times New Roman" w:hAnsi="Times New Roman" w:cs="Times New Roman"/>
          <w:sz w:val="24"/>
          <w:szCs w:val="24"/>
        </w:rPr>
      </w:pPr>
    </w:p>
    <w:p w14:paraId="30190C23" w14:textId="77777777" w:rsidR="008D0E7D" w:rsidRPr="00F30F68" w:rsidRDefault="008D0E7D" w:rsidP="00EE6BE9">
      <w:pPr>
        <w:pStyle w:val="ListParagraph"/>
        <w:numPr>
          <w:ilvl w:val="0"/>
          <w:numId w:val="3"/>
        </w:numPr>
        <w:jc w:val="both"/>
        <w:rPr>
          <w:rFonts w:ascii="Times New Roman" w:hAnsi="Times New Roman" w:cs="Times New Roman"/>
          <w:sz w:val="24"/>
          <w:szCs w:val="24"/>
        </w:rPr>
      </w:pPr>
      <w:r w:rsidRPr="00F30F68">
        <w:rPr>
          <w:rFonts w:ascii="Times New Roman" w:hAnsi="Times New Roman" w:cs="Times New Roman"/>
          <w:sz w:val="24"/>
          <w:szCs w:val="24"/>
        </w:rPr>
        <w:t>Practical barriers</w:t>
      </w:r>
    </w:p>
    <w:p w14:paraId="74DE52BE" w14:textId="4A284A44" w:rsidR="00E5117B" w:rsidRPr="00F30F68" w:rsidRDefault="00D03652" w:rsidP="00EE6BE9">
      <w:pPr>
        <w:jc w:val="both"/>
        <w:rPr>
          <w:rFonts w:ascii="Times New Roman" w:hAnsi="Times New Roman" w:cs="Times New Roman"/>
          <w:sz w:val="24"/>
          <w:szCs w:val="24"/>
        </w:rPr>
      </w:pPr>
      <w:r>
        <w:rPr>
          <w:rFonts w:ascii="Times New Roman" w:hAnsi="Times New Roman" w:cs="Times New Roman"/>
          <w:sz w:val="24"/>
          <w:szCs w:val="24"/>
        </w:rPr>
        <w:t>In addition</w:t>
      </w:r>
      <w:r w:rsidR="0054080A" w:rsidRPr="00F30F68">
        <w:rPr>
          <w:rFonts w:ascii="Times New Roman" w:hAnsi="Times New Roman" w:cs="Times New Roman"/>
          <w:sz w:val="24"/>
          <w:szCs w:val="24"/>
        </w:rPr>
        <w:t xml:space="preserve"> to legal obstacles, </w:t>
      </w:r>
      <w:r w:rsidR="0011118D" w:rsidRPr="00F30F68">
        <w:rPr>
          <w:rFonts w:ascii="Times New Roman" w:hAnsi="Times New Roman" w:cs="Times New Roman"/>
          <w:sz w:val="24"/>
          <w:szCs w:val="24"/>
        </w:rPr>
        <w:t xml:space="preserve">there are a number of practical barriers that can prevent adolescents from seeking </w:t>
      </w:r>
      <w:r w:rsidR="00476536" w:rsidRPr="00F30F68">
        <w:rPr>
          <w:rFonts w:ascii="Times New Roman" w:hAnsi="Times New Roman" w:cs="Times New Roman"/>
          <w:sz w:val="24"/>
          <w:szCs w:val="24"/>
        </w:rPr>
        <w:t>sexual and reproductive health</w:t>
      </w:r>
      <w:r w:rsidR="0011118D" w:rsidRPr="00F30F68">
        <w:rPr>
          <w:rFonts w:ascii="Times New Roman" w:hAnsi="Times New Roman" w:cs="Times New Roman"/>
          <w:sz w:val="24"/>
          <w:szCs w:val="24"/>
        </w:rPr>
        <w:t xml:space="preserve"> information and services. </w:t>
      </w:r>
      <w:r w:rsidR="004A6A53" w:rsidRPr="00F30F68">
        <w:rPr>
          <w:rFonts w:ascii="Times New Roman" w:hAnsi="Times New Roman" w:cs="Times New Roman"/>
          <w:sz w:val="24"/>
          <w:szCs w:val="24"/>
        </w:rPr>
        <w:t>One significant barrier is</w:t>
      </w:r>
      <w:r w:rsidR="0011118D" w:rsidRPr="00F30F68">
        <w:rPr>
          <w:rFonts w:ascii="Times New Roman" w:hAnsi="Times New Roman" w:cs="Times New Roman"/>
          <w:sz w:val="24"/>
          <w:szCs w:val="24"/>
        </w:rPr>
        <w:t xml:space="preserve"> </w:t>
      </w:r>
      <w:r w:rsidR="0054080A" w:rsidRPr="00F30F68">
        <w:rPr>
          <w:rFonts w:ascii="Times New Roman" w:hAnsi="Times New Roman" w:cs="Times New Roman"/>
          <w:sz w:val="24"/>
          <w:szCs w:val="24"/>
        </w:rPr>
        <w:t>t</w:t>
      </w:r>
      <w:r w:rsidR="00E5117B" w:rsidRPr="00F30F68">
        <w:rPr>
          <w:rFonts w:ascii="Times New Roman" w:hAnsi="Times New Roman" w:cs="Times New Roman"/>
          <w:sz w:val="24"/>
          <w:szCs w:val="24"/>
        </w:rPr>
        <w:t>he stigma s</w:t>
      </w:r>
      <w:r w:rsidR="004A6A53" w:rsidRPr="00F30F68">
        <w:rPr>
          <w:rFonts w:ascii="Times New Roman" w:hAnsi="Times New Roman" w:cs="Times New Roman"/>
          <w:sz w:val="24"/>
          <w:szCs w:val="24"/>
        </w:rPr>
        <w:t>urrounding adolescent sexuality, which can</w:t>
      </w:r>
      <w:r w:rsidR="00E5117B" w:rsidRPr="00F30F68">
        <w:rPr>
          <w:rFonts w:ascii="Times New Roman" w:hAnsi="Times New Roman" w:cs="Times New Roman"/>
          <w:sz w:val="24"/>
          <w:szCs w:val="24"/>
        </w:rPr>
        <w:t xml:space="preserve"> prevent adolescents from seeking information about their sexual and reproductive health, discussing their sexual and reproductive health needs, and accessing sexual and reproductive health services.</w:t>
      </w:r>
      <w:bookmarkStart w:id="4" w:name="_Ref501465022"/>
      <w:r w:rsidR="00E5117B" w:rsidRPr="00F30F68">
        <w:rPr>
          <w:rFonts w:ascii="Times New Roman" w:hAnsi="Times New Roman" w:cs="Times New Roman"/>
          <w:sz w:val="24"/>
          <w:szCs w:val="24"/>
          <w:vertAlign w:val="superscript"/>
        </w:rPr>
        <w:endnoteReference w:id="10"/>
      </w:r>
      <w:bookmarkEnd w:id="4"/>
      <w:r w:rsidR="00E5117B" w:rsidRPr="00F30F68">
        <w:rPr>
          <w:rFonts w:ascii="Times New Roman" w:hAnsi="Times New Roman" w:cs="Times New Roman"/>
          <w:sz w:val="24"/>
          <w:szCs w:val="24"/>
        </w:rPr>
        <w:t xml:space="preserve"> This stigma can stem from the belief that adolescents and/or unmarried persons should not be sexually active or the prejudicial stereotype that adolescents lack the requisite maturity, capacity, or responsibility to consent to and engage in sexual activity. The development of adolescent sexuality is also inherently linked with puberty, which can be embarrassing or uncomfortable for adolescents to discuss while they are experiencing these emotional and physiological changes.   </w:t>
      </w:r>
    </w:p>
    <w:p w14:paraId="7BB8DB0D" w14:textId="77777777" w:rsidR="00E5117B" w:rsidRPr="00F30F68" w:rsidRDefault="00E5117B" w:rsidP="00EE6BE9">
      <w:pPr>
        <w:jc w:val="both"/>
        <w:rPr>
          <w:rFonts w:ascii="Times New Roman" w:hAnsi="Times New Roman" w:cs="Times New Roman"/>
          <w:sz w:val="24"/>
          <w:szCs w:val="24"/>
        </w:rPr>
      </w:pPr>
    </w:p>
    <w:p w14:paraId="32DB156A" w14:textId="5A0FCBAF" w:rsidR="004B4F0D" w:rsidRPr="00F30F68" w:rsidRDefault="00A90317" w:rsidP="00EE6BE9">
      <w:pPr>
        <w:jc w:val="both"/>
        <w:rPr>
          <w:rFonts w:ascii="Times New Roman" w:hAnsi="Times New Roman" w:cs="Times New Roman"/>
          <w:color w:val="000000"/>
          <w:sz w:val="24"/>
          <w:szCs w:val="24"/>
        </w:rPr>
      </w:pPr>
      <w:r w:rsidRPr="00F30F68">
        <w:rPr>
          <w:rFonts w:ascii="Times New Roman" w:hAnsi="Times New Roman" w:cs="Times New Roman"/>
          <w:sz w:val="24"/>
          <w:szCs w:val="24"/>
        </w:rPr>
        <w:t>O</w:t>
      </w:r>
      <w:r w:rsidR="00B26750" w:rsidRPr="00F30F68">
        <w:rPr>
          <w:rFonts w:ascii="Times New Roman" w:hAnsi="Times New Roman" w:cs="Times New Roman"/>
          <w:sz w:val="24"/>
          <w:szCs w:val="24"/>
        </w:rPr>
        <w:t>ther barrier</w:t>
      </w:r>
      <w:r w:rsidRPr="00F30F68">
        <w:rPr>
          <w:rFonts w:ascii="Times New Roman" w:hAnsi="Times New Roman" w:cs="Times New Roman"/>
          <w:sz w:val="24"/>
          <w:szCs w:val="24"/>
        </w:rPr>
        <w:t>s</w:t>
      </w:r>
      <w:r w:rsidR="00B26750" w:rsidRPr="00F30F68">
        <w:rPr>
          <w:rFonts w:ascii="Times New Roman" w:hAnsi="Times New Roman" w:cs="Times New Roman"/>
          <w:sz w:val="24"/>
          <w:szCs w:val="24"/>
        </w:rPr>
        <w:t xml:space="preserve"> exist where adolescents do not understand their sexual and reproductive health needs, and they are unable to take measures to prevent unwanted pregnancy or sexually transmitted infections or disease. </w:t>
      </w:r>
      <w:r w:rsidR="00513ECC" w:rsidRPr="00F30F68">
        <w:rPr>
          <w:rFonts w:ascii="Times New Roman" w:hAnsi="Times New Roman" w:cs="Times New Roman"/>
          <w:sz w:val="24"/>
          <w:szCs w:val="24"/>
        </w:rPr>
        <w:t>This may be due to</w:t>
      </w:r>
      <w:r w:rsidR="0022246F" w:rsidRPr="00F30F68">
        <w:rPr>
          <w:rFonts w:ascii="Times New Roman" w:hAnsi="Times New Roman" w:cs="Times New Roman"/>
          <w:sz w:val="24"/>
          <w:szCs w:val="24"/>
        </w:rPr>
        <w:t xml:space="preserve"> difficultly</w:t>
      </w:r>
      <w:r w:rsidR="00513ECC" w:rsidRPr="00F30F68">
        <w:rPr>
          <w:rFonts w:ascii="Times New Roman" w:hAnsi="Times New Roman" w:cs="Times New Roman"/>
          <w:sz w:val="24"/>
          <w:szCs w:val="24"/>
        </w:rPr>
        <w:t xml:space="preserve"> in</w:t>
      </w:r>
      <w:r w:rsidR="0022246F" w:rsidRPr="00F30F68">
        <w:rPr>
          <w:rFonts w:ascii="Times New Roman" w:hAnsi="Times New Roman" w:cs="Times New Roman"/>
          <w:sz w:val="24"/>
          <w:szCs w:val="24"/>
        </w:rPr>
        <w:t xml:space="preserve"> accessing comprehensive sexuality education or information on sexual and reproductive health.</w:t>
      </w:r>
      <w:r w:rsidR="007C5DA2">
        <w:rPr>
          <w:rStyle w:val="EndnoteReference"/>
          <w:rFonts w:ascii="Times New Roman" w:hAnsi="Times New Roman" w:cs="Times New Roman"/>
          <w:sz w:val="24"/>
          <w:szCs w:val="24"/>
        </w:rPr>
        <w:endnoteReference w:id="11"/>
      </w:r>
      <w:r w:rsidR="0022246F" w:rsidRPr="00F30F68">
        <w:rPr>
          <w:rFonts w:ascii="Times New Roman" w:hAnsi="Times New Roman" w:cs="Times New Roman"/>
          <w:sz w:val="24"/>
          <w:szCs w:val="24"/>
        </w:rPr>
        <w:t xml:space="preserve"> </w:t>
      </w:r>
      <w:r w:rsidR="00D77041" w:rsidRPr="00F30F68">
        <w:rPr>
          <w:rFonts w:ascii="Times New Roman" w:hAnsi="Times New Roman" w:cs="Times New Roman"/>
          <w:sz w:val="24"/>
          <w:szCs w:val="24"/>
        </w:rPr>
        <w:t xml:space="preserve">Often, it is a combination of obstacles that prevent girls from receiving appropriate reproductive health care. </w:t>
      </w:r>
      <w:r w:rsidR="0022246F" w:rsidRPr="00F30F68">
        <w:rPr>
          <w:rFonts w:ascii="Times New Roman" w:hAnsi="Times New Roman" w:cs="Times New Roman"/>
          <w:sz w:val="24"/>
          <w:szCs w:val="24"/>
        </w:rPr>
        <w:t xml:space="preserve">For example, </w:t>
      </w:r>
      <w:r w:rsidR="001E7E83" w:rsidRPr="00F30F68">
        <w:rPr>
          <w:rFonts w:ascii="Times New Roman" w:hAnsi="Times New Roman" w:cs="Times New Roman"/>
          <w:sz w:val="24"/>
          <w:szCs w:val="24"/>
        </w:rPr>
        <w:t>if adolescents do not know how to prevent unintended pregnancies, such situations</w:t>
      </w:r>
      <w:r w:rsidR="00C43013" w:rsidRPr="00F30F68">
        <w:rPr>
          <w:rFonts w:ascii="Times New Roman" w:hAnsi="Times New Roman" w:cs="Times New Roman"/>
          <w:sz w:val="24"/>
          <w:szCs w:val="24"/>
        </w:rPr>
        <w:t>, combined with stigma related to adolescent sexuality,</w:t>
      </w:r>
      <w:r w:rsidR="001E7E83" w:rsidRPr="00F30F68">
        <w:rPr>
          <w:rFonts w:ascii="Times New Roman" w:hAnsi="Times New Roman" w:cs="Times New Roman"/>
          <w:sz w:val="24"/>
          <w:szCs w:val="24"/>
        </w:rPr>
        <w:t xml:space="preserve"> can be disastrous </w:t>
      </w:r>
      <w:r w:rsidR="00C43013" w:rsidRPr="00F30F68">
        <w:rPr>
          <w:rFonts w:ascii="Times New Roman" w:hAnsi="Times New Roman" w:cs="Times New Roman"/>
          <w:sz w:val="24"/>
          <w:szCs w:val="24"/>
        </w:rPr>
        <w:t>for</w:t>
      </w:r>
      <w:r w:rsidR="001E7E83" w:rsidRPr="00F30F68">
        <w:rPr>
          <w:rFonts w:ascii="Times New Roman" w:hAnsi="Times New Roman" w:cs="Times New Roman"/>
          <w:sz w:val="24"/>
          <w:szCs w:val="24"/>
        </w:rPr>
        <w:t xml:space="preserve"> their futures. Consider the story of</w:t>
      </w:r>
      <w:r w:rsidR="001E7E83" w:rsidRPr="00F30F68">
        <w:rPr>
          <w:rFonts w:ascii="Times New Roman" w:hAnsi="Times New Roman" w:cs="Times New Roman"/>
          <w:color w:val="000000"/>
          <w:sz w:val="24"/>
          <w:szCs w:val="24"/>
        </w:rPr>
        <w:t xml:space="preserve"> </w:t>
      </w:r>
      <w:r w:rsidR="004B4F0D" w:rsidRPr="00F30F68">
        <w:rPr>
          <w:rFonts w:ascii="Times New Roman" w:hAnsi="Times New Roman" w:cs="Times New Roman"/>
          <w:color w:val="000000"/>
          <w:sz w:val="24"/>
          <w:szCs w:val="24"/>
        </w:rPr>
        <w:t>Rahema</w:t>
      </w:r>
      <w:r w:rsidR="001E7E83" w:rsidRPr="00F30F68">
        <w:rPr>
          <w:rFonts w:ascii="Times New Roman" w:hAnsi="Times New Roman" w:cs="Times New Roman"/>
          <w:color w:val="000000"/>
          <w:sz w:val="24"/>
          <w:szCs w:val="24"/>
        </w:rPr>
        <w:t>, who did not receive any sexuality education</w:t>
      </w:r>
      <w:r w:rsidR="00E10E56" w:rsidRPr="00F30F68">
        <w:rPr>
          <w:rFonts w:ascii="Times New Roman" w:hAnsi="Times New Roman" w:cs="Times New Roman"/>
          <w:color w:val="000000"/>
          <w:sz w:val="24"/>
          <w:szCs w:val="24"/>
        </w:rPr>
        <w:t>, including pregnancy prevention,</w:t>
      </w:r>
      <w:r w:rsidR="001E7E83" w:rsidRPr="00F30F68">
        <w:rPr>
          <w:rFonts w:ascii="Times New Roman" w:hAnsi="Times New Roman" w:cs="Times New Roman"/>
          <w:color w:val="000000"/>
          <w:sz w:val="24"/>
          <w:szCs w:val="24"/>
        </w:rPr>
        <w:t xml:space="preserve"> when she</w:t>
      </w:r>
      <w:r w:rsidR="004B4F0D" w:rsidRPr="00F30F68">
        <w:rPr>
          <w:rFonts w:ascii="Times New Roman" w:hAnsi="Times New Roman" w:cs="Times New Roman"/>
          <w:color w:val="000000"/>
          <w:sz w:val="24"/>
          <w:szCs w:val="24"/>
        </w:rPr>
        <w:t xml:space="preserve"> was growing up in Tanzania. As a result, her entire life was interrupted when she became pregnant at age 16. Formal expulsion of pregnant schoolgirls is rampant throughout Tanzania, </w:t>
      </w:r>
      <w:r w:rsidR="00381CBA" w:rsidRPr="00F30F68">
        <w:rPr>
          <w:rFonts w:ascii="Times New Roman" w:hAnsi="Times New Roman" w:cs="Times New Roman"/>
          <w:color w:val="000000"/>
          <w:sz w:val="24"/>
          <w:szCs w:val="24"/>
        </w:rPr>
        <w:t>and thus</w:t>
      </w:r>
      <w:r w:rsidR="004B4F0D" w:rsidRPr="00F30F68">
        <w:rPr>
          <w:rFonts w:ascii="Times New Roman" w:hAnsi="Times New Roman" w:cs="Times New Roman"/>
          <w:color w:val="000000"/>
          <w:sz w:val="24"/>
          <w:szCs w:val="24"/>
        </w:rPr>
        <w:t xml:space="preserve"> Rahema was pressured to drop out </w:t>
      </w:r>
      <w:r w:rsidR="00381CBA" w:rsidRPr="00F30F68">
        <w:rPr>
          <w:rFonts w:ascii="Times New Roman" w:hAnsi="Times New Roman" w:cs="Times New Roman"/>
          <w:color w:val="000000"/>
          <w:sz w:val="24"/>
          <w:szCs w:val="24"/>
        </w:rPr>
        <w:t xml:space="preserve">of school. </w:t>
      </w:r>
      <w:r w:rsidR="004B4F0D" w:rsidRPr="00F30F68">
        <w:rPr>
          <w:rFonts w:ascii="Times New Roman" w:hAnsi="Times New Roman" w:cs="Times New Roman"/>
          <w:color w:val="000000"/>
          <w:sz w:val="24"/>
          <w:szCs w:val="24"/>
        </w:rPr>
        <w:t xml:space="preserve">Although Rahema considered terminating the pregnancy, Tanzania’s highly restrictive abortion law would have meant undergoing an unsafe procedure, which would have put her life and health at risk.  </w:t>
      </w:r>
      <w:r w:rsidR="001A19FB">
        <w:rPr>
          <w:rFonts w:ascii="Times New Roman" w:hAnsi="Times New Roman" w:cs="Times New Roman"/>
          <w:color w:val="000000"/>
          <w:sz w:val="24"/>
          <w:szCs w:val="24"/>
        </w:rPr>
        <w:t>Rahema indeed dropped out of school and even though she wanted to go back a</w:t>
      </w:r>
      <w:r w:rsidR="004B4F0D" w:rsidRPr="00F30F68">
        <w:rPr>
          <w:rFonts w:ascii="Times New Roman" w:hAnsi="Times New Roman" w:cs="Times New Roman"/>
          <w:color w:val="000000"/>
          <w:sz w:val="24"/>
          <w:szCs w:val="24"/>
        </w:rPr>
        <w:t xml:space="preserve">fter giving birth, she </w:t>
      </w:r>
      <w:r w:rsidR="009D184C" w:rsidRPr="00F30F68">
        <w:rPr>
          <w:rFonts w:ascii="Times New Roman" w:hAnsi="Times New Roman" w:cs="Times New Roman"/>
          <w:color w:val="000000"/>
          <w:sz w:val="24"/>
          <w:szCs w:val="24"/>
        </w:rPr>
        <w:t>was unable</w:t>
      </w:r>
      <w:r w:rsidR="004B4F0D" w:rsidRPr="00F30F68">
        <w:rPr>
          <w:rFonts w:ascii="Times New Roman" w:hAnsi="Times New Roman" w:cs="Times New Roman"/>
          <w:color w:val="000000"/>
          <w:sz w:val="24"/>
          <w:szCs w:val="24"/>
        </w:rPr>
        <w:t xml:space="preserve"> to do so. Rahema </w:t>
      </w:r>
      <w:r w:rsidR="001A19FB">
        <w:rPr>
          <w:rFonts w:ascii="Times New Roman" w:hAnsi="Times New Roman" w:cs="Times New Roman"/>
          <w:color w:val="000000"/>
          <w:sz w:val="24"/>
          <w:szCs w:val="24"/>
        </w:rPr>
        <w:t xml:space="preserve">currently </w:t>
      </w:r>
      <w:r w:rsidR="004B4F0D" w:rsidRPr="00F30F68">
        <w:rPr>
          <w:rFonts w:ascii="Times New Roman" w:hAnsi="Times New Roman" w:cs="Times New Roman"/>
          <w:color w:val="000000"/>
          <w:sz w:val="24"/>
          <w:szCs w:val="24"/>
        </w:rPr>
        <w:t>lives with her parents and works part-time as a cook.</w:t>
      </w:r>
    </w:p>
    <w:p w14:paraId="0F2B1EFF" w14:textId="0450C507" w:rsidR="00100611" w:rsidRPr="00F30F68" w:rsidRDefault="00100611" w:rsidP="00EE6BE9">
      <w:pPr>
        <w:jc w:val="both"/>
        <w:rPr>
          <w:rFonts w:ascii="Times New Roman" w:hAnsi="Times New Roman" w:cs="Times New Roman"/>
          <w:color w:val="000000"/>
          <w:sz w:val="24"/>
          <w:szCs w:val="24"/>
        </w:rPr>
      </w:pPr>
    </w:p>
    <w:p w14:paraId="11FD8085" w14:textId="3537AB79" w:rsidR="00E5117B" w:rsidRDefault="002E23D6"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Other practical barriers to </w:t>
      </w:r>
      <w:r w:rsidR="00E5117B" w:rsidRPr="00F30F68">
        <w:rPr>
          <w:rFonts w:ascii="Times New Roman" w:hAnsi="Times New Roman" w:cs="Times New Roman"/>
          <w:sz w:val="24"/>
          <w:szCs w:val="24"/>
        </w:rPr>
        <w:t>sexual a</w:t>
      </w:r>
      <w:r w:rsidR="0033319A">
        <w:rPr>
          <w:rFonts w:ascii="Times New Roman" w:hAnsi="Times New Roman" w:cs="Times New Roman"/>
          <w:sz w:val="24"/>
          <w:szCs w:val="24"/>
        </w:rPr>
        <w:t>nd reproductive health services</w:t>
      </w:r>
      <w:r w:rsidR="00E5117B" w:rsidRPr="00F30F68">
        <w:rPr>
          <w:rFonts w:ascii="Times New Roman" w:hAnsi="Times New Roman" w:cs="Times New Roman"/>
          <w:sz w:val="24"/>
          <w:szCs w:val="24"/>
        </w:rPr>
        <w:t xml:space="preserve"> </w:t>
      </w:r>
      <w:r w:rsidRPr="00F30F68">
        <w:rPr>
          <w:rFonts w:ascii="Times New Roman" w:hAnsi="Times New Roman" w:cs="Times New Roman"/>
          <w:sz w:val="24"/>
          <w:szCs w:val="24"/>
        </w:rPr>
        <w:t xml:space="preserve">further prevent adolescents from obtaining these services. </w:t>
      </w:r>
      <w:r w:rsidR="0033319A">
        <w:rPr>
          <w:rFonts w:ascii="Times New Roman" w:hAnsi="Times New Roman" w:cs="Times New Roman"/>
          <w:sz w:val="24"/>
          <w:szCs w:val="24"/>
        </w:rPr>
        <w:t>For instance, w</w:t>
      </w:r>
      <w:r w:rsidR="00E5117B" w:rsidRPr="00F30F68">
        <w:rPr>
          <w:rFonts w:ascii="Times New Roman" w:hAnsi="Times New Roman" w:cs="Times New Roman"/>
          <w:sz w:val="24"/>
          <w:szCs w:val="24"/>
        </w:rPr>
        <w:t xml:space="preserve">here </w:t>
      </w:r>
      <w:r w:rsidR="00B26750" w:rsidRPr="00F30F68">
        <w:rPr>
          <w:rFonts w:ascii="Times New Roman" w:hAnsi="Times New Roman" w:cs="Times New Roman"/>
          <w:sz w:val="24"/>
          <w:szCs w:val="24"/>
        </w:rPr>
        <w:t>sexual</w:t>
      </w:r>
      <w:r w:rsidR="00E5117B" w:rsidRPr="00F30F68">
        <w:rPr>
          <w:rFonts w:ascii="Times New Roman" w:hAnsi="Times New Roman" w:cs="Times New Roman"/>
          <w:sz w:val="24"/>
          <w:szCs w:val="24"/>
        </w:rPr>
        <w:t xml:space="preserve"> and reproductive health services are too fa</w:t>
      </w:r>
      <w:r w:rsidRPr="00F30F68">
        <w:rPr>
          <w:rFonts w:ascii="Times New Roman" w:hAnsi="Times New Roman" w:cs="Times New Roman"/>
          <w:sz w:val="24"/>
          <w:szCs w:val="24"/>
        </w:rPr>
        <w:t>r away, adolescents may be unabl</w:t>
      </w:r>
      <w:r w:rsidR="00E5117B" w:rsidRPr="00F30F68">
        <w:rPr>
          <w:rFonts w:ascii="Times New Roman" w:hAnsi="Times New Roman" w:cs="Times New Roman"/>
          <w:sz w:val="24"/>
          <w:szCs w:val="24"/>
        </w:rPr>
        <w:t>e to access or afford the required transportation</w:t>
      </w:r>
      <w:r w:rsidR="004E7B3F" w:rsidRPr="00F30F68">
        <w:rPr>
          <w:rFonts w:ascii="Times New Roman" w:hAnsi="Times New Roman" w:cs="Times New Roman"/>
          <w:sz w:val="24"/>
          <w:szCs w:val="24"/>
        </w:rPr>
        <w:t>.</w:t>
      </w:r>
      <w:r w:rsidR="00A36083" w:rsidRPr="00F30F68">
        <w:rPr>
          <w:rStyle w:val="EndnoteReference"/>
          <w:rFonts w:ascii="Times New Roman" w:hAnsi="Times New Roman" w:cs="Times New Roman"/>
          <w:sz w:val="24"/>
          <w:szCs w:val="24"/>
        </w:rPr>
        <w:endnoteReference w:id="12"/>
      </w:r>
      <w:r w:rsidR="004A6A53" w:rsidRPr="00F30F68">
        <w:rPr>
          <w:rFonts w:ascii="Times New Roman" w:hAnsi="Times New Roman" w:cs="Times New Roman"/>
          <w:sz w:val="24"/>
          <w:szCs w:val="24"/>
        </w:rPr>
        <w:t xml:space="preserve"> </w:t>
      </w:r>
      <w:r w:rsidR="00E93268" w:rsidRPr="00F30F68">
        <w:rPr>
          <w:rFonts w:ascii="Times New Roman" w:hAnsi="Times New Roman" w:cs="Times New Roman"/>
          <w:sz w:val="24"/>
          <w:szCs w:val="24"/>
        </w:rPr>
        <w:t>Moreover</w:t>
      </w:r>
      <w:r w:rsidR="004A6A53" w:rsidRPr="00F30F68">
        <w:rPr>
          <w:rFonts w:ascii="Times New Roman" w:hAnsi="Times New Roman" w:cs="Times New Roman"/>
          <w:sz w:val="24"/>
          <w:szCs w:val="24"/>
        </w:rPr>
        <w:t>,</w:t>
      </w:r>
      <w:r w:rsidRPr="00F30F68">
        <w:rPr>
          <w:rFonts w:ascii="Times New Roman" w:hAnsi="Times New Roman" w:cs="Times New Roman"/>
          <w:sz w:val="24"/>
          <w:szCs w:val="24"/>
        </w:rPr>
        <w:t xml:space="preserve"> </w:t>
      </w:r>
      <w:r w:rsidR="00497762" w:rsidRPr="00F30F68">
        <w:rPr>
          <w:rFonts w:ascii="Times New Roman" w:hAnsi="Times New Roman" w:cs="Times New Roman"/>
          <w:sz w:val="24"/>
          <w:szCs w:val="24"/>
        </w:rPr>
        <w:t>adolescents may also decide not to obtain services because they are</w:t>
      </w:r>
      <w:r w:rsidRPr="00F30F68">
        <w:rPr>
          <w:rFonts w:ascii="Times New Roman" w:hAnsi="Times New Roman" w:cs="Times New Roman"/>
          <w:sz w:val="24"/>
          <w:szCs w:val="24"/>
        </w:rPr>
        <w:t xml:space="preserve"> uncomfortable with how the services are provided</w:t>
      </w:r>
      <w:r w:rsidR="00EC1F1B">
        <w:rPr>
          <w:rFonts w:ascii="Times New Roman" w:hAnsi="Times New Roman" w:cs="Times New Roman"/>
          <w:sz w:val="24"/>
          <w:szCs w:val="24"/>
        </w:rPr>
        <w:t xml:space="preserve">, </w:t>
      </w:r>
      <w:r w:rsidR="00E93268">
        <w:rPr>
          <w:rFonts w:ascii="Times New Roman" w:hAnsi="Times New Roman" w:cs="Times New Roman"/>
          <w:sz w:val="24"/>
          <w:szCs w:val="24"/>
        </w:rPr>
        <w:t>especially when services are not provided</w:t>
      </w:r>
      <w:r w:rsidR="00EC1F1B">
        <w:rPr>
          <w:rFonts w:ascii="Times New Roman" w:hAnsi="Times New Roman" w:cs="Times New Roman"/>
          <w:sz w:val="24"/>
          <w:szCs w:val="24"/>
        </w:rPr>
        <w:t xml:space="preserve"> in an adolescent friendly way</w:t>
      </w:r>
      <w:r w:rsidRPr="00F30F68">
        <w:rPr>
          <w:rFonts w:ascii="Times New Roman" w:hAnsi="Times New Roman" w:cs="Times New Roman"/>
          <w:sz w:val="24"/>
          <w:szCs w:val="24"/>
        </w:rPr>
        <w:t>.</w:t>
      </w:r>
      <w:r w:rsidRPr="00F30F68">
        <w:rPr>
          <w:rStyle w:val="EndnoteReference"/>
          <w:rFonts w:ascii="Times New Roman" w:hAnsi="Times New Roman" w:cs="Times New Roman"/>
          <w:sz w:val="24"/>
          <w:szCs w:val="24"/>
        </w:rPr>
        <w:endnoteReference w:id="13"/>
      </w:r>
      <w:r w:rsidR="00497762" w:rsidRPr="00F30F68">
        <w:rPr>
          <w:rFonts w:ascii="Times New Roman" w:hAnsi="Times New Roman" w:cs="Times New Roman"/>
          <w:sz w:val="24"/>
          <w:szCs w:val="24"/>
        </w:rPr>
        <w:t xml:space="preserve"> </w:t>
      </w:r>
      <w:r w:rsidR="00EC1F1B">
        <w:rPr>
          <w:rFonts w:ascii="Times New Roman" w:hAnsi="Times New Roman" w:cs="Times New Roman"/>
          <w:sz w:val="24"/>
          <w:szCs w:val="24"/>
        </w:rPr>
        <w:t>This may also occur</w:t>
      </w:r>
      <w:r w:rsidR="00497762" w:rsidRPr="00F30F68">
        <w:rPr>
          <w:rFonts w:ascii="Times New Roman" w:hAnsi="Times New Roman" w:cs="Times New Roman"/>
          <w:sz w:val="24"/>
          <w:szCs w:val="24"/>
        </w:rPr>
        <w:t xml:space="preserve"> w</w:t>
      </w:r>
      <w:r w:rsidR="00E5117B" w:rsidRPr="00F30F68">
        <w:rPr>
          <w:rFonts w:ascii="Times New Roman" w:hAnsi="Times New Roman" w:cs="Times New Roman"/>
          <w:sz w:val="24"/>
          <w:szCs w:val="24"/>
        </w:rPr>
        <w:t>here adolescents do not believe that their right to confidentiality will be maintained, they may forego sexual and reproductive health services.</w:t>
      </w:r>
      <w:r w:rsidR="00E5117B" w:rsidRPr="00F30F68">
        <w:rPr>
          <w:rFonts w:ascii="Times New Roman" w:hAnsi="Times New Roman" w:cs="Times New Roman"/>
          <w:sz w:val="24"/>
          <w:szCs w:val="24"/>
          <w:vertAlign w:val="superscript"/>
        </w:rPr>
        <w:endnoteReference w:id="14"/>
      </w:r>
      <w:r w:rsidR="009B3356">
        <w:rPr>
          <w:rFonts w:ascii="Times New Roman" w:hAnsi="Times New Roman" w:cs="Times New Roman"/>
          <w:sz w:val="24"/>
          <w:szCs w:val="24"/>
        </w:rPr>
        <w:t xml:space="preserve"> Even if adolescents are able to obtain the services, adolescents may not be able to afford the services or products.</w:t>
      </w:r>
      <w:r w:rsidR="00A440AA">
        <w:rPr>
          <w:rStyle w:val="EndnoteReference"/>
          <w:rFonts w:ascii="Times New Roman" w:hAnsi="Times New Roman" w:cs="Times New Roman"/>
          <w:sz w:val="24"/>
          <w:szCs w:val="24"/>
        </w:rPr>
        <w:endnoteReference w:id="15"/>
      </w:r>
    </w:p>
    <w:p w14:paraId="60DE087B" w14:textId="77777777" w:rsidR="00E5117B" w:rsidRPr="00F30F68" w:rsidRDefault="00E5117B" w:rsidP="00EE6BE9">
      <w:pPr>
        <w:jc w:val="both"/>
        <w:rPr>
          <w:rFonts w:ascii="Times New Roman" w:hAnsi="Times New Roman" w:cs="Times New Roman"/>
          <w:sz w:val="24"/>
          <w:szCs w:val="24"/>
        </w:rPr>
      </w:pPr>
    </w:p>
    <w:p w14:paraId="3C4089D3" w14:textId="594FF0FF" w:rsidR="009A6921" w:rsidRPr="00F30F68" w:rsidRDefault="003D4C16" w:rsidP="00EE6BE9">
      <w:pPr>
        <w:pStyle w:val="ListParagraph"/>
        <w:numPr>
          <w:ilvl w:val="0"/>
          <w:numId w:val="3"/>
        </w:numPr>
        <w:jc w:val="both"/>
        <w:rPr>
          <w:rFonts w:ascii="Times New Roman" w:hAnsi="Times New Roman" w:cs="Times New Roman"/>
          <w:sz w:val="24"/>
          <w:szCs w:val="24"/>
        </w:rPr>
      </w:pPr>
      <w:r w:rsidRPr="00F30F68">
        <w:rPr>
          <w:rFonts w:ascii="Times New Roman" w:hAnsi="Times New Roman" w:cs="Times New Roman"/>
          <w:sz w:val="24"/>
          <w:szCs w:val="24"/>
        </w:rPr>
        <w:t xml:space="preserve">Cultural practices </w:t>
      </w:r>
      <w:r w:rsidR="006D76D7" w:rsidRPr="00F30F68">
        <w:rPr>
          <w:rFonts w:ascii="Times New Roman" w:hAnsi="Times New Roman" w:cs="Times New Roman"/>
          <w:sz w:val="24"/>
          <w:szCs w:val="24"/>
        </w:rPr>
        <w:t>- c</w:t>
      </w:r>
      <w:r w:rsidR="00225393" w:rsidRPr="00F30F68">
        <w:rPr>
          <w:rFonts w:ascii="Times New Roman" w:hAnsi="Times New Roman" w:cs="Times New Roman"/>
          <w:sz w:val="24"/>
          <w:szCs w:val="24"/>
        </w:rPr>
        <w:t>hild marriage</w:t>
      </w:r>
    </w:p>
    <w:p w14:paraId="001B044F" w14:textId="77AE8095" w:rsidR="00BE07CE" w:rsidRPr="00F30F68" w:rsidRDefault="003D4C16"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Cultural practices </w:t>
      </w:r>
      <w:r w:rsidR="00100611" w:rsidRPr="00F30F68">
        <w:rPr>
          <w:rFonts w:ascii="Times New Roman" w:hAnsi="Times New Roman" w:cs="Times New Roman"/>
          <w:sz w:val="24"/>
          <w:szCs w:val="24"/>
        </w:rPr>
        <w:t xml:space="preserve">can also </w:t>
      </w:r>
      <w:r w:rsidRPr="00F30F68">
        <w:rPr>
          <w:rFonts w:ascii="Times New Roman" w:hAnsi="Times New Roman" w:cs="Times New Roman"/>
          <w:sz w:val="24"/>
          <w:szCs w:val="24"/>
        </w:rPr>
        <w:t xml:space="preserve">hinder girls’ ability to access sexual and reproductive rights and services. </w:t>
      </w:r>
      <w:r w:rsidR="00996E07" w:rsidRPr="00F30F68">
        <w:rPr>
          <w:rFonts w:ascii="Times New Roman" w:hAnsi="Times New Roman" w:cs="Times New Roman"/>
          <w:sz w:val="24"/>
          <w:szCs w:val="24"/>
        </w:rPr>
        <w:t>Child marriage is one such practice. Though child marriage is criminalized in many countries, the practice remains widespread through certain regions.</w:t>
      </w:r>
      <w:r w:rsidR="00996E07" w:rsidRPr="00F30F68">
        <w:rPr>
          <w:rStyle w:val="EndnoteReference"/>
          <w:rFonts w:ascii="Times New Roman" w:hAnsi="Times New Roman" w:cs="Times New Roman"/>
          <w:sz w:val="24"/>
          <w:szCs w:val="24"/>
        </w:rPr>
        <w:endnoteReference w:id="16"/>
      </w:r>
      <w:r w:rsidR="00080F7C" w:rsidRPr="00F30F68">
        <w:rPr>
          <w:rFonts w:ascii="Times New Roman" w:hAnsi="Times New Roman" w:cs="Times New Roman"/>
          <w:sz w:val="24"/>
          <w:szCs w:val="24"/>
        </w:rPr>
        <w:t xml:space="preserve"> Child marriage affects both boys and the girls, however, it disproportionately affects girls’ ability to enjoy their rights and freedoms, especially due to the serious risks of sexual and reproductive harms associated with this practice. </w:t>
      </w:r>
    </w:p>
    <w:p w14:paraId="17ACF82A" w14:textId="77777777" w:rsidR="00BE07CE" w:rsidRPr="00F30F68" w:rsidRDefault="00BE07CE" w:rsidP="00EE6BE9">
      <w:pPr>
        <w:jc w:val="both"/>
        <w:rPr>
          <w:rFonts w:ascii="Times New Roman" w:hAnsi="Times New Roman" w:cs="Times New Roman"/>
          <w:sz w:val="24"/>
          <w:szCs w:val="24"/>
        </w:rPr>
      </w:pPr>
    </w:p>
    <w:p w14:paraId="5EC9B83B" w14:textId="0A72BE27" w:rsidR="00637FAF" w:rsidRPr="00F30F68" w:rsidRDefault="00080F7C"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Child marriage triggers a continuum of reproductive and sexual harms and violations by exposing girls to forced initiation into sex and unprotected sex, as well as early, unplanned, and frequent pregnancies. </w:t>
      </w:r>
      <w:r w:rsidR="003F527A" w:rsidRPr="00F30F68">
        <w:rPr>
          <w:rFonts w:ascii="Times New Roman" w:hAnsi="Times New Roman" w:cs="Times New Roman"/>
          <w:sz w:val="24"/>
          <w:szCs w:val="24"/>
        </w:rPr>
        <w:t>G</w:t>
      </w:r>
      <w:r w:rsidRPr="00F30F68">
        <w:rPr>
          <w:rFonts w:ascii="Times New Roman" w:hAnsi="Times New Roman" w:cs="Times New Roman"/>
          <w:sz w:val="24"/>
          <w:szCs w:val="24"/>
        </w:rPr>
        <w:t>irls subject</w:t>
      </w:r>
      <w:r w:rsidR="00AB71D9">
        <w:rPr>
          <w:rFonts w:ascii="Times New Roman" w:hAnsi="Times New Roman" w:cs="Times New Roman"/>
          <w:sz w:val="24"/>
          <w:szCs w:val="24"/>
        </w:rPr>
        <w:t>ed</w:t>
      </w:r>
      <w:r w:rsidRPr="00F30F68">
        <w:rPr>
          <w:rFonts w:ascii="Times New Roman" w:hAnsi="Times New Roman" w:cs="Times New Roman"/>
          <w:sz w:val="24"/>
          <w:szCs w:val="24"/>
        </w:rPr>
        <w:t xml:space="preserve"> to child marriage are likely to face slavery-like practices such as servile marriage, sexual slavery, child servitude, child trafficking, and forced labor.</w:t>
      </w:r>
      <w:r w:rsidRPr="00F30F68">
        <w:rPr>
          <w:rStyle w:val="EndnoteReference"/>
          <w:rFonts w:ascii="Times New Roman" w:hAnsi="Times New Roman" w:cs="Times New Roman"/>
          <w:sz w:val="24"/>
          <w:szCs w:val="24"/>
        </w:rPr>
        <w:endnoteReference w:id="17"/>
      </w:r>
      <w:r w:rsidRPr="00F30F68">
        <w:rPr>
          <w:rFonts w:ascii="Times New Roman" w:hAnsi="Times New Roman" w:cs="Times New Roman"/>
          <w:sz w:val="24"/>
          <w:szCs w:val="24"/>
        </w:rPr>
        <w:t xml:space="preserve"> </w:t>
      </w:r>
      <w:r w:rsidR="003F527A" w:rsidRPr="00F30F68">
        <w:rPr>
          <w:rFonts w:ascii="Times New Roman" w:hAnsi="Times New Roman" w:cs="Times New Roman"/>
          <w:sz w:val="24"/>
          <w:szCs w:val="24"/>
        </w:rPr>
        <w:t>G</w:t>
      </w:r>
      <w:r w:rsidRPr="00F30F68">
        <w:rPr>
          <w:rFonts w:ascii="Times New Roman" w:hAnsi="Times New Roman" w:cs="Times New Roman"/>
          <w:sz w:val="24"/>
          <w:szCs w:val="24"/>
        </w:rPr>
        <w:t>irls married as childre</w:t>
      </w:r>
      <w:r w:rsidR="004E557F" w:rsidRPr="00F30F68">
        <w:rPr>
          <w:rFonts w:ascii="Times New Roman" w:hAnsi="Times New Roman" w:cs="Times New Roman"/>
          <w:sz w:val="24"/>
          <w:szCs w:val="24"/>
        </w:rPr>
        <w:t>n are often denied educational</w:t>
      </w:r>
      <w:r w:rsidR="004E557F" w:rsidRPr="00F30F68">
        <w:rPr>
          <w:rStyle w:val="EndnoteReference"/>
          <w:rFonts w:ascii="Times New Roman" w:hAnsi="Times New Roman" w:cs="Times New Roman"/>
          <w:sz w:val="24"/>
          <w:szCs w:val="24"/>
        </w:rPr>
        <w:endnoteReference w:id="18"/>
      </w:r>
      <w:r w:rsidRPr="00F30F68">
        <w:rPr>
          <w:rFonts w:ascii="Times New Roman" w:hAnsi="Times New Roman" w:cs="Times New Roman"/>
          <w:sz w:val="24"/>
          <w:szCs w:val="24"/>
        </w:rPr>
        <w:t xml:space="preserve"> and employment opportunities, which undermines their self-development and negatively impacts their lives, leaving them economically dependent, vulnerable, and di</w:t>
      </w:r>
      <w:r w:rsidR="00392806" w:rsidRPr="00F30F68">
        <w:rPr>
          <w:rFonts w:ascii="Times New Roman" w:hAnsi="Times New Roman" w:cs="Times New Roman"/>
          <w:sz w:val="24"/>
          <w:szCs w:val="24"/>
        </w:rPr>
        <w:t>sempowered.</w:t>
      </w:r>
      <w:bookmarkStart w:id="5" w:name="_Ref501465665"/>
      <w:r w:rsidR="00392806" w:rsidRPr="00F30F68">
        <w:rPr>
          <w:rStyle w:val="EndnoteReference"/>
          <w:rFonts w:ascii="Times New Roman" w:hAnsi="Times New Roman" w:cs="Times New Roman"/>
          <w:sz w:val="24"/>
          <w:szCs w:val="24"/>
        </w:rPr>
        <w:endnoteReference w:id="19"/>
      </w:r>
      <w:bookmarkEnd w:id="5"/>
      <w:r w:rsidRPr="00F30F68">
        <w:rPr>
          <w:rFonts w:ascii="Times New Roman" w:hAnsi="Times New Roman" w:cs="Times New Roman"/>
          <w:sz w:val="24"/>
          <w:szCs w:val="24"/>
        </w:rPr>
        <w:t xml:space="preserve"> The harmful consequences of child marriage are exacerbated by married girls’ lack of access to reproductive health information and ser</w:t>
      </w:r>
      <w:r w:rsidR="00392806" w:rsidRPr="00F30F68">
        <w:rPr>
          <w:rFonts w:ascii="Times New Roman" w:hAnsi="Times New Roman" w:cs="Times New Roman"/>
          <w:sz w:val="24"/>
          <w:szCs w:val="24"/>
        </w:rPr>
        <w:t>vices, including contraception</w:t>
      </w:r>
      <w:r w:rsidR="00392806" w:rsidRPr="00F30F68">
        <w:rPr>
          <w:rStyle w:val="EndnoteReference"/>
          <w:rFonts w:ascii="Times New Roman" w:hAnsi="Times New Roman" w:cs="Times New Roman"/>
          <w:sz w:val="24"/>
          <w:szCs w:val="24"/>
        </w:rPr>
        <w:endnoteReference w:id="20"/>
      </w:r>
      <w:r w:rsidR="00392806" w:rsidRPr="00F30F68">
        <w:rPr>
          <w:rFonts w:ascii="Times New Roman" w:hAnsi="Times New Roman" w:cs="Times New Roman"/>
          <w:sz w:val="24"/>
          <w:szCs w:val="24"/>
        </w:rPr>
        <w:t xml:space="preserve"> and safe abortion services.</w:t>
      </w:r>
      <w:r w:rsidR="00392806" w:rsidRPr="00F30F68">
        <w:rPr>
          <w:rStyle w:val="EndnoteReference"/>
          <w:rFonts w:ascii="Times New Roman" w:hAnsi="Times New Roman" w:cs="Times New Roman"/>
          <w:sz w:val="24"/>
          <w:szCs w:val="24"/>
        </w:rPr>
        <w:endnoteReference w:id="21"/>
      </w:r>
      <w:r w:rsidRPr="00F30F68">
        <w:rPr>
          <w:rFonts w:ascii="Times New Roman" w:hAnsi="Times New Roman" w:cs="Times New Roman"/>
          <w:sz w:val="24"/>
          <w:szCs w:val="24"/>
        </w:rPr>
        <w:t xml:space="preserve"> Patriarchal norms and unequal power dynamics further limit their ability to negotiate safe sex and contraceptive use. The compromised ability to determine the number and spacing of their children places them at a heightened risk of e</w:t>
      </w:r>
      <w:r w:rsidR="00392806" w:rsidRPr="00F30F68">
        <w:rPr>
          <w:rFonts w:ascii="Times New Roman" w:hAnsi="Times New Roman" w:cs="Times New Roman"/>
          <w:sz w:val="24"/>
          <w:szCs w:val="24"/>
        </w:rPr>
        <w:t>arly and frequent pregnancies,</w:t>
      </w:r>
      <w:r w:rsidR="00392806" w:rsidRPr="00F30F68">
        <w:rPr>
          <w:rStyle w:val="EndnoteReference"/>
          <w:rFonts w:ascii="Times New Roman" w:hAnsi="Times New Roman" w:cs="Times New Roman"/>
          <w:sz w:val="24"/>
          <w:szCs w:val="24"/>
        </w:rPr>
        <w:endnoteReference w:id="22"/>
      </w:r>
      <w:r w:rsidRPr="00F30F68">
        <w:rPr>
          <w:rFonts w:ascii="Times New Roman" w:hAnsi="Times New Roman" w:cs="Times New Roman"/>
          <w:sz w:val="24"/>
          <w:szCs w:val="24"/>
        </w:rPr>
        <w:t xml:space="preserve"> resulting in high rates of maternal</w:t>
      </w:r>
      <w:r w:rsidR="00392806" w:rsidRPr="00F30F68">
        <w:rPr>
          <w:rFonts w:ascii="Times New Roman" w:hAnsi="Times New Roman" w:cs="Times New Roman"/>
          <w:sz w:val="24"/>
          <w:szCs w:val="24"/>
        </w:rPr>
        <w:t xml:space="preserve"> mortality</w:t>
      </w:r>
      <w:r w:rsidR="00392806" w:rsidRPr="00F30F68">
        <w:rPr>
          <w:rStyle w:val="EndnoteReference"/>
          <w:rFonts w:ascii="Times New Roman" w:hAnsi="Times New Roman" w:cs="Times New Roman"/>
          <w:sz w:val="24"/>
          <w:szCs w:val="24"/>
        </w:rPr>
        <w:endnoteReference w:id="23"/>
      </w:r>
      <w:r w:rsidR="00392806" w:rsidRPr="00F30F68">
        <w:rPr>
          <w:rFonts w:ascii="Times New Roman" w:hAnsi="Times New Roman" w:cs="Times New Roman"/>
          <w:sz w:val="24"/>
          <w:szCs w:val="24"/>
        </w:rPr>
        <w:t xml:space="preserve"> and morbidity,</w:t>
      </w:r>
      <w:r w:rsidR="00392806" w:rsidRPr="00F30F68">
        <w:rPr>
          <w:rStyle w:val="EndnoteReference"/>
          <w:rFonts w:ascii="Times New Roman" w:hAnsi="Times New Roman" w:cs="Times New Roman"/>
          <w:sz w:val="24"/>
          <w:szCs w:val="24"/>
        </w:rPr>
        <w:endnoteReference w:id="24"/>
      </w:r>
      <w:r w:rsidRPr="00F30F68">
        <w:rPr>
          <w:rFonts w:ascii="Times New Roman" w:hAnsi="Times New Roman" w:cs="Times New Roman"/>
          <w:sz w:val="24"/>
          <w:szCs w:val="24"/>
        </w:rPr>
        <w:t xml:space="preserve"> and increases their exposure to sexually trans</w:t>
      </w:r>
      <w:r w:rsidR="00392806" w:rsidRPr="00F30F68">
        <w:rPr>
          <w:rFonts w:ascii="Times New Roman" w:hAnsi="Times New Roman" w:cs="Times New Roman"/>
          <w:sz w:val="24"/>
          <w:szCs w:val="24"/>
        </w:rPr>
        <w:t>mitted infections such as HIV.</w:t>
      </w:r>
      <w:r w:rsidR="00392806" w:rsidRPr="00F30F68">
        <w:rPr>
          <w:rStyle w:val="EndnoteReference"/>
          <w:rFonts w:ascii="Times New Roman" w:hAnsi="Times New Roman" w:cs="Times New Roman"/>
          <w:sz w:val="24"/>
          <w:szCs w:val="24"/>
        </w:rPr>
        <w:endnoteReference w:id="25"/>
      </w:r>
      <w:r w:rsidR="00637FAF" w:rsidRPr="00F30F68">
        <w:rPr>
          <w:rFonts w:ascii="Times New Roman" w:hAnsi="Times New Roman" w:cs="Times New Roman"/>
          <w:sz w:val="24"/>
          <w:szCs w:val="24"/>
        </w:rPr>
        <w:t xml:space="preserve"> </w:t>
      </w:r>
    </w:p>
    <w:p w14:paraId="69EFA646" w14:textId="29CAAEC9" w:rsidR="00637FAF" w:rsidRPr="00F30F68" w:rsidRDefault="00637FAF" w:rsidP="00EE6BE9">
      <w:pPr>
        <w:jc w:val="both"/>
        <w:rPr>
          <w:rFonts w:ascii="Times New Roman" w:hAnsi="Times New Roman" w:cs="Times New Roman"/>
          <w:sz w:val="24"/>
          <w:szCs w:val="24"/>
        </w:rPr>
      </w:pPr>
    </w:p>
    <w:p w14:paraId="2EECCEA4" w14:textId="7BBF0E95" w:rsidR="00637FAF" w:rsidRDefault="00626ABF"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States are taking a variety of means to address the issue of child marriage. Nepal is one such country. </w:t>
      </w:r>
      <w:r w:rsidRPr="00F30F68">
        <w:rPr>
          <w:rStyle w:val="None"/>
          <w:rFonts w:ascii="Times New Roman" w:hAnsi="Times New Roman" w:cs="Times New Roman"/>
          <w:sz w:val="24"/>
          <w:szCs w:val="24"/>
        </w:rPr>
        <w:t>The</w:t>
      </w:r>
      <w:r w:rsidR="00AB71D9">
        <w:rPr>
          <w:rStyle w:val="None"/>
          <w:rFonts w:ascii="Times New Roman" w:hAnsi="Times New Roman" w:cs="Times New Roman"/>
          <w:sz w:val="24"/>
          <w:szCs w:val="24"/>
        </w:rPr>
        <w:t xml:space="preserve"> 2015</w:t>
      </w:r>
      <w:r w:rsidRPr="00F30F68">
        <w:rPr>
          <w:rStyle w:val="None"/>
          <w:rFonts w:ascii="Times New Roman" w:hAnsi="Times New Roman" w:cs="Times New Roman"/>
          <w:sz w:val="24"/>
          <w:szCs w:val="24"/>
        </w:rPr>
        <w:t xml:space="preserve"> </w:t>
      </w:r>
      <w:r w:rsidRPr="00F30F68">
        <w:rPr>
          <w:rStyle w:val="None"/>
          <w:rFonts w:ascii="Times New Roman" w:hAnsi="Times New Roman" w:cs="Times New Roman"/>
          <w:bCs/>
          <w:sz w:val="24"/>
          <w:szCs w:val="24"/>
        </w:rPr>
        <w:t>Constitution of Nepal</w:t>
      </w:r>
      <w:r w:rsidR="00AB71D9">
        <w:rPr>
          <w:rStyle w:val="None"/>
          <w:rFonts w:ascii="Times New Roman" w:hAnsi="Times New Roman" w:cs="Times New Roman"/>
          <w:bCs/>
          <w:sz w:val="24"/>
          <w:szCs w:val="24"/>
        </w:rPr>
        <w:t xml:space="preserve"> </w:t>
      </w:r>
      <w:r w:rsidRPr="00F30F68">
        <w:rPr>
          <w:rStyle w:val="None"/>
          <w:rFonts w:ascii="Times New Roman" w:hAnsi="Times New Roman" w:cs="Times New Roman"/>
          <w:sz w:val="24"/>
          <w:szCs w:val="24"/>
        </w:rPr>
        <w:t>explicitly prohibits child marriage</w:t>
      </w:r>
      <w:r w:rsidRPr="00F30F68">
        <w:rPr>
          <w:rStyle w:val="None"/>
          <w:rFonts w:ascii="Times New Roman" w:eastAsia="Times New Roman" w:hAnsi="Times New Roman" w:cs="Times New Roman"/>
          <w:sz w:val="24"/>
          <w:szCs w:val="24"/>
          <w:vertAlign w:val="superscript"/>
        </w:rPr>
        <w:endnoteReference w:id="26"/>
      </w:r>
      <w:r w:rsidRPr="00F30F68">
        <w:rPr>
          <w:rStyle w:val="None"/>
          <w:rFonts w:ascii="Times New Roman" w:hAnsi="Times New Roman" w:cs="Times New Roman"/>
          <w:sz w:val="24"/>
          <w:szCs w:val="24"/>
        </w:rPr>
        <w:t xml:space="preserve"> as a punishable offence and establishes the right to compensation for violations from the perpetrator.</w:t>
      </w:r>
      <w:r w:rsidRPr="00F30F68">
        <w:rPr>
          <w:rStyle w:val="None"/>
          <w:rFonts w:ascii="Times New Roman" w:eastAsia="Times New Roman" w:hAnsi="Times New Roman" w:cs="Times New Roman"/>
          <w:sz w:val="24"/>
          <w:szCs w:val="24"/>
          <w:vertAlign w:val="superscript"/>
        </w:rPr>
        <w:endnoteReference w:id="27"/>
      </w:r>
      <w:r w:rsidRPr="00F30F68">
        <w:rPr>
          <w:rStyle w:val="None"/>
          <w:rFonts w:ascii="Times New Roman" w:hAnsi="Times New Roman" w:cs="Times New Roman"/>
          <w:sz w:val="24"/>
          <w:szCs w:val="24"/>
        </w:rPr>
        <w:t xml:space="preserve"> The Government of Nepal also adopted a National Strategy to End Child Marriage in Nepal, 2016, which provides an overarching policy framework to combat child marriage and promote legal accountability. It aims to end child marriage in Nepal by 2030.</w:t>
      </w:r>
      <w:r w:rsidRPr="00F30F68">
        <w:rPr>
          <w:rStyle w:val="EndnoteReference"/>
          <w:rFonts w:ascii="Times New Roman" w:hAnsi="Times New Roman" w:cs="Times New Roman"/>
          <w:sz w:val="24"/>
          <w:szCs w:val="24"/>
        </w:rPr>
        <w:endnoteReference w:id="28"/>
      </w:r>
      <w:r w:rsidRPr="00F30F68">
        <w:rPr>
          <w:rStyle w:val="None"/>
          <w:rFonts w:ascii="Times New Roman" w:hAnsi="Times New Roman" w:cs="Times New Roman"/>
          <w:sz w:val="24"/>
          <w:szCs w:val="24"/>
        </w:rPr>
        <w:t xml:space="preserve"> The Strategy calls for revising laws and policies related to child marriage to be in line with constitutional and international human rights standards, and harmonizing child marriage laws with other areas of law including property rights, gender-based violence, divorce, annulment, marital rape, dowry, birth registration, and citizenship.</w:t>
      </w:r>
      <w:r w:rsidRPr="00F30F68">
        <w:rPr>
          <w:rStyle w:val="EndnoteReference"/>
          <w:rFonts w:ascii="Times New Roman" w:hAnsi="Times New Roman" w:cs="Times New Roman"/>
          <w:sz w:val="24"/>
          <w:szCs w:val="24"/>
        </w:rPr>
        <w:endnoteReference w:id="29"/>
      </w:r>
      <w:r w:rsidRPr="00F30F68">
        <w:rPr>
          <w:rStyle w:val="None"/>
          <w:rFonts w:ascii="Times New Roman" w:hAnsi="Times New Roman" w:cs="Times New Roman"/>
          <w:sz w:val="24"/>
          <w:szCs w:val="24"/>
        </w:rPr>
        <w:t xml:space="preserve"> </w:t>
      </w:r>
      <w:r>
        <w:rPr>
          <w:rStyle w:val="None"/>
          <w:rFonts w:ascii="Times New Roman" w:hAnsi="Times New Roman" w:cs="Times New Roman"/>
          <w:sz w:val="24"/>
          <w:szCs w:val="24"/>
        </w:rPr>
        <w:t xml:space="preserve">Initiatives such as those taken by Nepal could help reduce child marriage, which will also eliminate some of the obstacles to sexual and reproductive health care created by child marriage. </w:t>
      </w:r>
    </w:p>
    <w:p w14:paraId="644FD2BE" w14:textId="77777777" w:rsidR="00751F33" w:rsidRPr="00F30F68" w:rsidRDefault="00751F33" w:rsidP="00EE6BE9">
      <w:pPr>
        <w:jc w:val="both"/>
        <w:rPr>
          <w:rFonts w:ascii="Times New Roman" w:hAnsi="Times New Roman" w:cs="Times New Roman"/>
          <w:sz w:val="24"/>
          <w:szCs w:val="24"/>
        </w:rPr>
      </w:pPr>
    </w:p>
    <w:p w14:paraId="7A0FAF21" w14:textId="77777777" w:rsidR="0038042F" w:rsidRPr="00F30F68" w:rsidRDefault="0032355F" w:rsidP="00EE6BE9">
      <w:pPr>
        <w:pStyle w:val="ListParagraph"/>
        <w:numPr>
          <w:ilvl w:val="0"/>
          <w:numId w:val="2"/>
        </w:numPr>
        <w:jc w:val="both"/>
        <w:rPr>
          <w:rFonts w:ascii="Times New Roman" w:hAnsi="Times New Roman" w:cs="Times New Roman"/>
          <w:b/>
          <w:sz w:val="24"/>
          <w:szCs w:val="24"/>
        </w:rPr>
      </w:pPr>
      <w:r w:rsidRPr="00F30F68">
        <w:rPr>
          <w:rFonts w:ascii="Times New Roman" w:hAnsi="Times New Roman" w:cs="Times New Roman"/>
          <w:b/>
          <w:sz w:val="24"/>
          <w:szCs w:val="24"/>
        </w:rPr>
        <w:t xml:space="preserve">International Human Rights Standards </w:t>
      </w:r>
    </w:p>
    <w:p w14:paraId="46BE6F16" w14:textId="77777777" w:rsidR="0038042F" w:rsidRPr="00F30F68" w:rsidRDefault="0038042F" w:rsidP="00EE6BE9">
      <w:pPr>
        <w:pStyle w:val="ListParagraph"/>
        <w:ind w:left="1440"/>
        <w:jc w:val="both"/>
        <w:rPr>
          <w:rFonts w:ascii="Times New Roman" w:hAnsi="Times New Roman" w:cs="Times New Roman"/>
          <w:b/>
          <w:sz w:val="24"/>
          <w:szCs w:val="24"/>
        </w:rPr>
      </w:pPr>
    </w:p>
    <w:p w14:paraId="12B880A0" w14:textId="3B58824A" w:rsidR="00732BD4" w:rsidRPr="00F30F68" w:rsidRDefault="00D85EB2" w:rsidP="00EE6BE9">
      <w:pPr>
        <w:pStyle w:val="ListParagraph"/>
        <w:numPr>
          <w:ilvl w:val="1"/>
          <w:numId w:val="2"/>
        </w:numPr>
        <w:jc w:val="both"/>
        <w:rPr>
          <w:rFonts w:ascii="Times New Roman" w:hAnsi="Times New Roman" w:cs="Times New Roman"/>
          <w:b/>
          <w:sz w:val="24"/>
          <w:szCs w:val="24"/>
        </w:rPr>
      </w:pPr>
      <w:r w:rsidRPr="00F30F68">
        <w:rPr>
          <w:rFonts w:ascii="Times New Roman" w:hAnsi="Times New Roman" w:cs="Times New Roman"/>
          <w:sz w:val="24"/>
          <w:szCs w:val="24"/>
        </w:rPr>
        <w:t>Adolescents’ r</w:t>
      </w:r>
      <w:r w:rsidR="00EA4033" w:rsidRPr="00F30F68">
        <w:rPr>
          <w:rFonts w:ascii="Times New Roman" w:hAnsi="Times New Roman" w:cs="Times New Roman"/>
          <w:sz w:val="24"/>
          <w:szCs w:val="24"/>
        </w:rPr>
        <w:t xml:space="preserve">ight to </w:t>
      </w:r>
      <w:r w:rsidR="004337E3">
        <w:rPr>
          <w:rFonts w:ascii="Times New Roman" w:hAnsi="Times New Roman" w:cs="Times New Roman"/>
          <w:sz w:val="24"/>
          <w:szCs w:val="24"/>
        </w:rPr>
        <w:t>s</w:t>
      </w:r>
      <w:r w:rsidR="00EA4033" w:rsidRPr="00F30F68">
        <w:rPr>
          <w:rFonts w:ascii="Times New Roman" w:hAnsi="Times New Roman" w:cs="Times New Roman"/>
          <w:sz w:val="24"/>
          <w:szCs w:val="24"/>
        </w:rPr>
        <w:t xml:space="preserve">exual and </w:t>
      </w:r>
      <w:r w:rsidR="004337E3">
        <w:rPr>
          <w:rFonts w:ascii="Times New Roman" w:hAnsi="Times New Roman" w:cs="Times New Roman"/>
          <w:sz w:val="24"/>
          <w:szCs w:val="24"/>
        </w:rPr>
        <w:t>r</w:t>
      </w:r>
      <w:r w:rsidR="00EA4033" w:rsidRPr="00F30F68">
        <w:rPr>
          <w:rFonts w:ascii="Times New Roman" w:hAnsi="Times New Roman" w:cs="Times New Roman"/>
          <w:sz w:val="24"/>
          <w:szCs w:val="24"/>
        </w:rPr>
        <w:t xml:space="preserve">eproductive </w:t>
      </w:r>
      <w:r w:rsidR="004337E3">
        <w:rPr>
          <w:rFonts w:ascii="Times New Roman" w:hAnsi="Times New Roman" w:cs="Times New Roman"/>
          <w:sz w:val="24"/>
          <w:szCs w:val="24"/>
        </w:rPr>
        <w:t>h</w:t>
      </w:r>
      <w:r w:rsidR="00EA4033" w:rsidRPr="00F30F68">
        <w:rPr>
          <w:rFonts w:ascii="Times New Roman" w:hAnsi="Times New Roman" w:cs="Times New Roman"/>
          <w:sz w:val="24"/>
          <w:szCs w:val="24"/>
        </w:rPr>
        <w:t xml:space="preserve">ealth </w:t>
      </w:r>
      <w:r w:rsidR="004337E3">
        <w:rPr>
          <w:rFonts w:ascii="Times New Roman" w:hAnsi="Times New Roman" w:cs="Times New Roman"/>
          <w:sz w:val="24"/>
          <w:szCs w:val="24"/>
        </w:rPr>
        <w:t>s</w:t>
      </w:r>
      <w:r w:rsidR="00EA4033" w:rsidRPr="00F30F68">
        <w:rPr>
          <w:rFonts w:ascii="Times New Roman" w:hAnsi="Times New Roman" w:cs="Times New Roman"/>
          <w:sz w:val="24"/>
          <w:szCs w:val="24"/>
        </w:rPr>
        <w:t>e</w:t>
      </w:r>
      <w:r w:rsidR="00732BD4" w:rsidRPr="00F30F68">
        <w:rPr>
          <w:rFonts w:ascii="Times New Roman" w:hAnsi="Times New Roman" w:cs="Times New Roman"/>
          <w:sz w:val="24"/>
          <w:szCs w:val="24"/>
        </w:rPr>
        <w:t>rvices.</w:t>
      </w:r>
    </w:p>
    <w:p w14:paraId="7BAAF356" w14:textId="04B7C04F" w:rsidR="0090276C" w:rsidRPr="00F30F68" w:rsidRDefault="004049C1" w:rsidP="00EE6BE9">
      <w:pPr>
        <w:jc w:val="both"/>
        <w:rPr>
          <w:rFonts w:ascii="Times New Roman" w:hAnsi="Times New Roman" w:cs="Times New Roman"/>
          <w:sz w:val="24"/>
          <w:szCs w:val="24"/>
        </w:rPr>
      </w:pPr>
      <w:r w:rsidRPr="00F30F68">
        <w:rPr>
          <w:rFonts w:ascii="Times New Roman" w:hAnsi="Times New Roman" w:cs="Times New Roman"/>
          <w:sz w:val="24"/>
          <w:szCs w:val="24"/>
        </w:rPr>
        <w:t>International law affirms</w:t>
      </w:r>
      <w:r w:rsidR="0090276C" w:rsidRPr="00F30F68">
        <w:rPr>
          <w:rFonts w:ascii="Times New Roman" w:hAnsi="Times New Roman" w:cs="Times New Roman"/>
          <w:sz w:val="24"/>
          <w:szCs w:val="24"/>
        </w:rPr>
        <w:t xml:space="preserve"> the importance of providing adolescents access to sexual and reproductive health services</w:t>
      </w:r>
      <w:r w:rsidR="00BB04F4" w:rsidRPr="00F30F68">
        <w:rPr>
          <w:rFonts w:ascii="Times New Roman" w:hAnsi="Times New Roman" w:cs="Times New Roman"/>
          <w:sz w:val="24"/>
          <w:szCs w:val="24"/>
        </w:rPr>
        <w:t>.</w:t>
      </w:r>
      <w:bookmarkStart w:id="6" w:name="_Ref495590964"/>
      <w:r w:rsidR="00D62478" w:rsidRPr="0062200F">
        <w:rPr>
          <w:rStyle w:val="EndnoteReference"/>
          <w:rFonts w:ascii="Times New Roman" w:hAnsi="Times New Roman" w:cs="Times New Roman"/>
          <w:lang w:val="en-GB"/>
        </w:rPr>
        <w:endnoteReference w:id="30"/>
      </w:r>
      <w:bookmarkEnd w:id="6"/>
      <w:r w:rsidR="00F95D48" w:rsidRPr="00F30F68">
        <w:rPr>
          <w:rFonts w:ascii="Times New Roman" w:hAnsi="Times New Roman" w:cs="Times New Roman"/>
          <w:sz w:val="24"/>
          <w:szCs w:val="24"/>
        </w:rPr>
        <w:t xml:space="preserve"> The</w:t>
      </w:r>
      <w:r w:rsidR="0090276C" w:rsidRPr="00F30F68">
        <w:rPr>
          <w:rFonts w:ascii="Times New Roman" w:hAnsi="Times New Roman" w:cs="Times New Roman"/>
          <w:sz w:val="24"/>
          <w:szCs w:val="24"/>
        </w:rPr>
        <w:t xml:space="preserve"> </w:t>
      </w:r>
      <w:r w:rsidR="0031604F">
        <w:rPr>
          <w:rFonts w:ascii="Times New Roman" w:hAnsi="Times New Roman" w:cs="Times New Roman"/>
          <w:sz w:val="24"/>
          <w:szCs w:val="24"/>
        </w:rPr>
        <w:t xml:space="preserve">Committee </w:t>
      </w:r>
      <w:r w:rsidR="0090276C" w:rsidRPr="00F30F68">
        <w:rPr>
          <w:rFonts w:ascii="Times New Roman" w:hAnsi="Times New Roman" w:cs="Times New Roman"/>
          <w:sz w:val="24"/>
          <w:szCs w:val="24"/>
        </w:rPr>
        <w:t>on the Rights of the Child</w:t>
      </w:r>
      <w:r w:rsidR="0031604F">
        <w:rPr>
          <w:rFonts w:ascii="Times New Roman" w:hAnsi="Times New Roman" w:cs="Times New Roman"/>
          <w:sz w:val="24"/>
          <w:szCs w:val="24"/>
        </w:rPr>
        <w:t xml:space="preserve"> </w:t>
      </w:r>
      <w:r w:rsidR="0090276C" w:rsidRPr="00F30F68">
        <w:rPr>
          <w:rFonts w:ascii="Times New Roman" w:hAnsi="Times New Roman" w:cs="Times New Roman"/>
          <w:sz w:val="24"/>
          <w:szCs w:val="24"/>
        </w:rPr>
        <w:t>(CRC</w:t>
      </w:r>
      <w:r w:rsidR="00EE3058">
        <w:rPr>
          <w:rFonts w:ascii="Times New Roman" w:hAnsi="Times New Roman" w:cs="Times New Roman"/>
          <w:sz w:val="24"/>
          <w:szCs w:val="24"/>
        </w:rPr>
        <w:t xml:space="preserve"> Committee</w:t>
      </w:r>
      <w:r w:rsidR="0090276C" w:rsidRPr="00F30F68">
        <w:rPr>
          <w:rFonts w:ascii="Times New Roman" w:hAnsi="Times New Roman" w:cs="Times New Roman"/>
          <w:sz w:val="24"/>
          <w:szCs w:val="24"/>
        </w:rPr>
        <w:t xml:space="preserve">) has been at the forefront of establishing these international human rights norms. </w:t>
      </w:r>
      <w:r w:rsidR="0090276C" w:rsidRPr="00F30F68">
        <w:rPr>
          <w:rFonts w:ascii="Times New Roman" w:eastAsia="Batang" w:hAnsi="Times New Roman" w:cs="Times New Roman"/>
          <w:sz w:val="24"/>
          <w:szCs w:val="24"/>
          <w:lang w:eastAsia="ko-KR"/>
        </w:rPr>
        <w:t xml:space="preserve">The CRC </w:t>
      </w:r>
      <w:r w:rsidR="00EE3058">
        <w:rPr>
          <w:rFonts w:ascii="Times New Roman" w:eastAsia="Batang" w:hAnsi="Times New Roman" w:cs="Times New Roman"/>
          <w:sz w:val="24"/>
          <w:szCs w:val="24"/>
          <w:lang w:eastAsia="ko-KR"/>
        </w:rPr>
        <w:t xml:space="preserve">Committee </w:t>
      </w:r>
      <w:r w:rsidR="0090276C" w:rsidRPr="00F30F68">
        <w:rPr>
          <w:rFonts w:ascii="Times New Roman" w:eastAsia="Batang" w:hAnsi="Times New Roman" w:cs="Times New Roman"/>
          <w:sz w:val="24"/>
          <w:szCs w:val="24"/>
          <w:lang w:eastAsia="ko-KR"/>
        </w:rPr>
        <w:t>has urged states to “ensure that health systems and services are able to meet the specific sexual and reproductive health needs of adolescents.”</w:t>
      </w:r>
      <w:bookmarkStart w:id="7" w:name="_Ref501466056"/>
      <w:r w:rsidR="0090276C" w:rsidRPr="00F30F68">
        <w:rPr>
          <w:rFonts w:ascii="Times New Roman" w:eastAsia="Batang" w:hAnsi="Times New Roman" w:cs="Times New Roman"/>
          <w:sz w:val="24"/>
          <w:szCs w:val="24"/>
          <w:vertAlign w:val="superscript"/>
          <w:lang w:eastAsia="ko-KR"/>
        </w:rPr>
        <w:endnoteReference w:id="31"/>
      </w:r>
      <w:bookmarkEnd w:id="7"/>
      <w:r w:rsidR="0090276C" w:rsidRPr="00F30F68">
        <w:rPr>
          <w:rFonts w:ascii="Times New Roman" w:eastAsia="Batang" w:hAnsi="Times New Roman" w:cs="Times New Roman"/>
          <w:sz w:val="24"/>
          <w:szCs w:val="24"/>
          <w:lang w:eastAsia="ko-KR"/>
        </w:rPr>
        <w:t xml:space="preserve"> In this regard, the CRC</w:t>
      </w:r>
      <w:r w:rsidR="00EE3058">
        <w:rPr>
          <w:rFonts w:ascii="Times New Roman" w:eastAsia="Batang" w:hAnsi="Times New Roman" w:cs="Times New Roman"/>
          <w:sz w:val="24"/>
          <w:szCs w:val="24"/>
          <w:lang w:eastAsia="ko-KR"/>
        </w:rPr>
        <w:t xml:space="preserve"> Committee</w:t>
      </w:r>
      <w:r w:rsidR="0090276C" w:rsidRPr="00F30F68">
        <w:rPr>
          <w:rFonts w:ascii="Times New Roman" w:eastAsia="Batang" w:hAnsi="Times New Roman" w:cs="Times New Roman"/>
          <w:sz w:val="24"/>
          <w:szCs w:val="24"/>
          <w:lang w:eastAsia="ko-KR"/>
        </w:rPr>
        <w:t xml:space="preserve"> has made clear that </w:t>
      </w:r>
      <w:r w:rsidR="0090276C" w:rsidRPr="00F30F68">
        <w:rPr>
          <w:rFonts w:ascii="Times New Roman" w:hAnsi="Times New Roman" w:cs="Times New Roman"/>
          <w:sz w:val="24"/>
          <w:szCs w:val="24"/>
        </w:rPr>
        <w:t>adolescents should have access to the full range of sexual and reproductive health services,</w:t>
      </w:r>
      <w:r w:rsidR="0090276C" w:rsidRPr="00F30F68">
        <w:rPr>
          <w:rFonts w:ascii="Times New Roman" w:hAnsi="Times New Roman" w:cs="Times New Roman"/>
          <w:sz w:val="24"/>
          <w:szCs w:val="24"/>
          <w:vertAlign w:val="superscript"/>
        </w:rPr>
        <w:endnoteReference w:id="32"/>
      </w:r>
      <w:r w:rsidR="0090276C" w:rsidRPr="00F30F68">
        <w:rPr>
          <w:rFonts w:ascii="Times New Roman" w:hAnsi="Times New Roman" w:cs="Times New Roman"/>
          <w:sz w:val="24"/>
          <w:szCs w:val="24"/>
        </w:rPr>
        <w:t xml:space="preserve"> including maternal health care; contrac</w:t>
      </w:r>
      <w:r w:rsidR="009E4AA3">
        <w:rPr>
          <w:rFonts w:ascii="Times New Roman" w:hAnsi="Times New Roman" w:cs="Times New Roman"/>
          <w:sz w:val="24"/>
          <w:szCs w:val="24"/>
        </w:rPr>
        <w:t>eptive information and services</w:t>
      </w:r>
      <w:r w:rsidR="0090276C" w:rsidRPr="00F30F68">
        <w:rPr>
          <w:rFonts w:ascii="Times New Roman" w:hAnsi="Times New Roman" w:cs="Times New Roman"/>
          <w:sz w:val="24"/>
          <w:szCs w:val="24"/>
        </w:rPr>
        <w:t>; safe abortion services and post-abortion care; and information and services to prevent and address sexually transmitted infections.</w:t>
      </w:r>
      <w:r w:rsidR="0090276C" w:rsidRPr="00F30F68">
        <w:rPr>
          <w:rFonts w:ascii="Times New Roman" w:hAnsi="Times New Roman" w:cs="Times New Roman"/>
          <w:sz w:val="24"/>
          <w:szCs w:val="24"/>
          <w:vertAlign w:val="superscript"/>
        </w:rPr>
        <w:endnoteReference w:id="33"/>
      </w:r>
      <w:r w:rsidR="0090276C" w:rsidRPr="00F30F68">
        <w:rPr>
          <w:rFonts w:ascii="Times New Roman" w:hAnsi="Times New Roman" w:cs="Times New Roman"/>
          <w:sz w:val="24"/>
          <w:szCs w:val="24"/>
        </w:rPr>
        <w:t xml:space="preserve"> Further, the CRC</w:t>
      </w:r>
      <w:r w:rsidR="00EE3058">
        <w:rPr>
          <w:rFonts w:ascii="Times New Roman" w:hAnsi="Times New Roman" w:cs="Times New Roman"/>
          <w:sz w:val="24"/>
          <w:szCs w:val="24"/>
        </w:rPr>
        <w:t xml:space="preserve"> </w:t>
      </w:r>
      <w:r w:rsidR="00EE3058">
        <w:rPr>
          <w:rFonts w:ascii="Times New Roman" w:eastAsia="Batang" w:hAnsi="Times New Roman" w:cs="Times New Roman"/>
          <w:sz w:val="24"/>
          <w:szCs w:val="24"/>
          <w:lang w:eastAsia="ko-KR"/>
        </w:rPr>
        <w:t>Committee</w:t>
      </w:r>
      <w:r w:rsidR="0090276C" w:rsidRPr="00F30F68">
        <w:rPr>
          <w:rFonts w:ascii="Times New Roman" w:hAnsi="Times New Roman" w:cs="Times New Roman"/>
          <w:sz w:val="24"/>
          <w:szCs w:val="24"/>
        </w:rPr>
        <w:t xml:space="preserve"> has urged state to “decriminalize abortion to ensure that girls have access to safe abortion and post-abortion services.”</w:t>
      </w:r>
      <w:bookmarkStart w:id="8" w:name="_Ref501465944"/>
      <w:r w:rsidR="0090276C" w:rsidRPr="00F30F68">
        <w:rPr>
          <w:rStyle w:val="EndnoteReference"/>
          <w:rFonts w:ascii="Times New Roman" w:hAnsi="Times New Roman" w:cs="Times New Roman"/>
          <w:sz w:val="24"/>
          <w:szCs w:val="24"/>
        </w:rPr>
        <w:endnoteReference w:id="34"/>
      </w:r>
      <w:bookmarkEnd w:id="8"/>
    </w:p>
    <w:p w14:paraId="68462B91" w14:textId="77777777" w:rsidR="0090276C" w:rsidRPr="00F30F68" w:rsidRDefault="0090276C" w:rsidP="00EE6BE9">
      <w:pPr>
        <w:jc w:val="both"/>
        <w:rPr>
          <w:rFonts w:ascii="Times New Roman" w:hAnsi="Times New Roman" w:cs="Times New Roman"/>
          <w:sz w:val="24"/>
          <w:szCs w:val="24"/>
        </w:rPr>
      </w:pPr>
    </w:p>
    <w:p w14:paraId="73430F53" w14:textId="77777777" w:rsidR="00A440AA" w:rsidRDefault="002F71EA" w:rsidP="00EE6BE9">
      <w:pPr>
        <w:jc w:val="both"/>
        <w:rPr>
          <w:rFonts w:ascii="Times New Roman" w:hAnsi="Times New Roman" w:cs="Times New Roman"/>
          <w:sz w:val="24"/>
          <w:szCs w:val="24"/>
        </w:rPr>
      </w:pPr>
      <w:r w:rsidRPr="00F30F68">
        <w:rPr>
          <w:rFonts w:ascii="Times New Roman" w:hAnsi="Times New Roman" w:cs="Times New Roman"/>
          <w:sz w:val="24"/>
          <w:szCs w:val="24"/>
        </w:rPr>
        <w:t>Moreover</w:t>
      </w:r>
      <w:r w:rsidR="0090276C" w:rsidRPr="00F30F68">
        <w:rPr>
          <w:rFonts w:ascii="Times New Roman" w:hAnsi="Times New Roman" w:cs="Times New Roman"/>
          <w:sz w:val="24"/>
          <w:szCs w:val="24"/>
        </w:rPr>
        <w:t xml:space="preserve">, the CRC </w:t>
      </w:r>
      <w:r w:rsidR="00EE3058">
        <w:rPr>
          <w:rFonts w:ascii="Times New Roman" w:eastAsia="Batang" w:hAnsi="Times New Roman" w:cs="Times New Roman"/>
          <w:sz w:val="24"/>
          <w:szCs w:val="24"/>
          <w:lang w:eastAsia="ko-KR"/>
        </w:rPr>
        <w:t>Committee</w:t>
      </w:r>
      <w:r w:rsidR="00EE3058" w:rsidRPr="00F30F68">
        <w:rPr>
          <w:rFonts w:ascii="Times New Roman" w:eastAsia="Batang" w:hAnsi="Times New Roman" w:cs="Times New Roman"/>
          <w:sz w:val="24"/>
          <w:szCs w:val="24"/>
          <w:lang w:eastAsia="ko-KR"/>
        </w:rPr>
        <w:t xml:space="preserve"> </w:t>
      </w:r>
      <w:r w:rsidR="0090276C" w:rsidRPr="00F30F68">
        <w:rPr>
          <w:rFonts w:ascii="Times New Roman" w:hAnsi="Times New Roman" w:cs="Times New Roman"/>
          <w:sz w:val="24"/>
          <w:szCs w:val="24"/>
        </w:rPr>
        <w:t>recognizes that there should not be any “barriers to commodities, information and counselling on sexual and reproductive health and rights, such as requirements for third-party consent or authorization.”</w:t>
      </w:r>
      <w:r w:rsidR="0090276C" w:rsidRPr="00F30F68">
        <w:rPr>
          <w:rStyle w:val="EndnoteReference"/>
          <w:rFonts w:ascii="Times New Roman" w:hAnsi="Times New Roman" w:cs="Times New Roman"/>
          <w:sz w:val="24"/>
          <w:szCs w:val="24"/>
        </w:rPr>
        <w:endnoteReference w:id="35"/>
      </w:r>
      <w:r w:rsidR="0090276C" w:rsidRPr="00F30F68">
        <w:rPr>
          <w:rFonts w:ascii="Times New Roman" w:hAnsi="Times New Roman" w:cs="Times New Roman"/>
          <w:sz w:val="24"/>
          <w:szCs w:val="24"/>
        </w:rPr>
        <w:t xml:space="preserve"> The Special Rapporteur on the Right to Health further recognizes parental consent and notification requirements as a barrier to health services for adolescents, as they “make adolescents reluctant to access needed services so as to avoid seeking parental consent, which may result in rejection, stigmatization, hostility or even violence.”</w:t>
      </w:r>
      <w:bookmarkStart w:id="9" w:name="_Ref501465977"/>
      <w:r w:rsidR="0090276C" w:rsidRPr="00F30F68">
        <w:rPr>
          <w:rStyle w:val="EndnoteReference"/>
          <w:rFonts w:ascii="Times New Roman" w:hAnsi="Times New Roman" w:cs="Times New Roman"/>
          <w:sz w:val="24"/>
          <w:szCs w:val="24"/>
        </w:rPr>
        <w:endnoteReference w:id="36"/>
      </w:r>
      <w:bookmarkEnd w:id="9"/>
      <w:r w:rsidR="0090276C" w:rsidRPr="00F30F68">
        <w:rPr>
          <w:rFonts w:ascii="Times New Roman" w:hAnsi="Times New Roman" w:cs="Times New Roman"/>
          <w:sz w:val="24"/>
          <w:szCs w:val="24"/>
        </w:rPr>
        <w:t xml:space="preserve"> </w:t>
      </w:r>
    </w:p>
    <w:p w14:paraId="16958512" w14:textId="5275FFF5" w:rsidR="0090276C" w:rsidRPr="005D1D0E" w:rsidRDefault="00A440AA" w:rsidP="005D1D0E">
      <w:pPr>
        <w:rPr>
          <w:rFonts w:ascii="Times New Roman" w:hAnsi="Times New Roman" w:cs="Times New Roman"/>
          <w:sz w:val="24"/>
          <w:szCs w:val="24"/>
        </w:rPr>
      </w:pPr>
      <w:r w:rsidRPr="005D1D0E">
        <w:rPr>
          <w:rFonts w:ascii="Times New Roman" w:hAnsi="Times New Roman" w:cs="Times New Roman"/>
          <w:sz w:val="24"/>
          <w:szCs w:val="24"/>
        </w:rPr>
        <w:t xml:space="preserve">The CRC Committee and the Special Rapporteur </w:t>
      </w:r>
      <w:r w:rsidR="005D1D0E" w:rsidRPr="005D1D0E">
        <w:rPr>
          <w:rFonts w:ascii="Times New Roman" w:hAnsi="Times New Roman" w:cs="Times New Roman"/>
          <w:sz w:val="24"/>
          <w:szCs w:val="24"/>
        </w:rPr>
        <w:t>emphasize</w:t>
      </w:r>
      <w:r w:rsidRPr="005D1D0E">
        <w:rPr>
          <w:rFonts w:ascii="Times New Roman" w:hAnsi="Times New Roman" w:cs="Times New Roman"/>
          <w:sz w:val="24"/>
          <w:szCs w:val="24"/>
        </w:rPr>
        <w:t xml:space="preserve"> that all adolescents have the right to access confidential, adolescent-responsive sexual and reproductive health information, irrespective of age and without the consent of a parent or guardian.</w:t>
      </w:r>
      <w:r w:rsidRPr="005D1D0E">
        <w:rPr>
          <w:rStyle w:val="EndnoteReference"/>
          <w:rFonts w:ascii="Times New Roman" w:hAnsi="Times New Roman" w:cs="Times New Roman"/>
          <w:sz w:val="24"/>
          <w:szCs w:val="24"/>
        </w:rPr>
        <w:endnoteReference w:id="37"/>
      </w:r>
      <w:r w:rsidRPr="005D1D0E">
        <w:rPr>
          <w:rFonts w:ascii="Times New Roman" w:hAnsi="Times New Roman" w:cs="Times New Roman"/>
          <w:sz w:val="24"/>
          <w:szCs w:val="24"/>
        </w:rPr>
        <w:t xml:space="preserve"> </w:t>
      </w:r>
      <w:r w:rsidR="0090276C" w:rsidRPr="005D1D0E">
        <w:rPr>
          <w:rFonts w:ascii="Times New Roman" w:hAnsi="Times New Roman" w:cs="Times New Roman"/>
          <w:sz w:val="24"/>
          <w:szCs w:val="24"/>
        </w:rPr>
        <w:t xml:space="preserve">These normative developments reinforce the </w:t>
      </w:r>
      <w:r w:rsidR="0031604F" w:rsidRPr="005D1D0E">
        <w:rPr>
          <w:rFonts w:ascii="Times New Roman" w:hAnsi="Times New Roman" w:cs="Times New Roman"/>
          <w:sz w:val="24"/>
          <w:szCs w:val="24"/>
        </w:rPr>
        <w:t>Committee</w:t>
      </w:r>
      <w:r w:rsidR="00A37C78" w:rsidRPr="005D1D0E">
        <w:rPr>
          <w:rFonts w:ascii="Times New Roman" w:hAnsi="Times New Roman" w:cs="Times New Roman"/>
          <w:sz w:val="24"/>
          <w:szCs w:val="24"/>
        </w:rPr>
        <w:t xml:space="preserve"> on the Elimination of Disc</w:t>
      </w:r>
      <w:r w:rsidR="00C87B37" w:rsidRPr="005D1D0E">
        <w:rPr>
          <w:rFonts w:ascii="Times New Roman" w:hAnsi="Times New Roman" w:cs="Times New Roman"/>
          <w:sz w:val="24"/>
          <w:szCs w:val="24"/>
        </w:rPr>
        <w:t>rimination Against Women</w:t>
      </w:r>
      <w:r w:rsidR="0031604F" w:rsidRPr="005D1D0E">
        <w:rPr>
          <w:rFonts w:ascii="Times New Roman" w:hAnsi="Times New Roman" w:cs="Times New Roman"/>
          <w:sz w:val="24"/>
          <w:szCs w:val="24"/>
        </w:rPr>
        <w:t>’s</w:t>
      </w:r>
      <w:r w:rsidR="00C87B37" w:rsidRPr="005D1D0E">
        <w:rPr>
          <w:rFonts w:ascii="Times New Roman" w:hAnsi="Times New Roman" w:cs="Times New Roman"/>
          <w:sz w:val="24"/>
          <w:szCs w:val="24"/>
        </w:rPr>
        <w:t xml:space="preserve"> (CEDAW</w:t>
      </w:r>
      <w:r w:rsidR="0031604F" w:rsidRPr="005D1D0E">
        <w:rPr>
          <w:rFonts w:ascii="Times New Roman" w:hAnsi="Times New Roman" w:cs="Times New Roman"/>
          <w:sz w:val="24"/>
          <w:szCs w:val="24"/>
        </w:rPr>
        <w:t xml:space="preserve"> Committee</w:t>
      </w:r>
      <w:r w:rsidR="00C87B37" w:rsidRPr="005D1D0E">
        <w:rPr>
          <w:rFonts w:ascii="Times New Roman" w:hAnsi="Times New Roman" w:cs="Times New Roman"/>
          <w:sz w:val="24"/>
          <w:szCs w:val="24"/>
        </w:rPr>
        <w:t xml:space="preserve">) </w:t>
      </w:r>
      <w:r w:rsidR="0090276C" w:rsidRPr="005D1D0E">
        <w:rPr>
          <w:rFonts w:ascii="Times New Roman" w:hAnsi="Times New Roman" w:cs="Times New Roman"/>
          <w:sz w:val="24"/>
          <w:szCs w:val="24"/>
        </w:rPr>
        <w:t>recognition that parental authorization requirements constitute a barrier to health services.</w:t>
      </w:r>
      <w:r w:rsidR="0090276C" w:rsidRPr="005D1D0E">
        <w:rPr>
          <w:rStyle w:val="EndnoteReference"/>
          <w:rFonts w:ascii="Times New Roman" w:hAnsi="Times New Roman" w:cs="Times New Roman"/>
          <w:sz w:val="24"/>
          <w:szCs w:val="24"/>
        </w:rPr>
        <w:endnoteReference w:id="38"/>
      </w:r>
      <w:r w:rsidR="0090276C" w:rsidRPr="005D1D0E">
        <w:rPr>
          <w:rFonts w:ascii="Times New Roman" w:hAnsi="Times New Roman" w:cs="Times New Roman"/>
          <w:sz w:val="24"/>
          <w:szCs w:val="24"/>
        </w:rPr>
        <w:t xml:space="preserve"> </w:t>
      </w:r>
    </w:p>
    <w:p w14:paraId="314583E7" w14:textId="77777777" w:rsidR="002F71EA" w:rsidRPr="00F30F68" w:rsidRDefault="002F71EA" w:rsidP="00EE6BE9">
      <w:pPr>
        <w:jc w:val="both"/>
        <w:rPr>
          <w:rFonts w:ascii="Times New Roman" w:hAnsi="Times New Roman" w:cs="Times New Roman"/>
          <w:b/>
          <w:i/>
          <w:sz w:val="24"/>
          <w:szCs w:val="24"/>
        </w:rPr>
      </w:pPr>
    </w:p>
    <w:p w14:paraId="5DF35F17" w14:textId="4D8B1CB6" w:rsidR="00B27272" w:rsidRPr="00F30F68" w:rsidRDefault="0090276C" w:rsidP="00EE6BE9">
      <w:pPr>
        <w:jc w:val="both"/>
        <w:rPr>
          <w:rFonts w:ascii="Times New Roman" w:hAnsi="Times New Roman" w:cs="Times New Roman"/>
          <w:sz w:val="24"/>
          <w:szCs w:val="24"/>
        </w:rPr>
      </w:pPr>
      <w:r w:rsidRPr="00F30F68">
        <w:rPr>
          <w:rFonts w:ascii="Times New Roman" w:eastAsia="Batang" w:hAnsi="Times New Roman" w:cs="Times New Roman"/>
          <w:sz w:val="24"/>
          <w:szCs w:val="24"/>
          <w:lang w:eastAsia="ko-KR"/>
        </w:rPr>
        <w:t>In the CRC</w:t>
      </w:r>
      <w:r w:rsidR="00EE3058">
        <w:rPr>
          <w:rFonts w:ascii="Times New Roman" w:eastAsia="Batang" w:hAnsi="Times New Roman" w:cs="Times New Roman"/>
          <w:sz w:val="24"/>
          <w:szCs w:val="24"/>
          <w:lang w:eastAsia="ko-KR"/>
        </w:rPr>
        <w:t xml:space="preserve"> Committee</w:t>
      </w:r>
      <w:r w:rsidRPr="00F30F68">
        <w:rPr>
          <w:rFonts w:ascii="Times New Roman" w:eastAsia="Batang" w:hAnsi="Times New Roman" w:cs="Times New Roman"/>
          <w:sz w:val="24"/>
          <w:szCs w:val="24"/>
          <w:lang w:eastAsia="ko-KR"/>
        </w:rPr>
        <w:t xml:space="preserve">’s </w:t>
      </w:r>
      <w:r w:rsidR="00881116" w:rsidRPr="00F30F68">
        <w:rPr>
          <w:rFonts w:ascii="Times New Roman" w:eastAsia="Batang" w:hAnsi="Times New Roman" w:cs="Times New Roman"/>
          <w:sz w:val="24"/>
          <w:szCs w:val="24"/>
          <w:lang w:eastAsia="ko-KR"/>
        </w:rPr>
        <w:t>g</w:t>
      </w:r>
      <w:r w:rsidRPr="00F30F68">
        <w:rPr>
          <w:rFonts w:ascii="Times New Roman" w:eastAsia="Batang" w:hAnsi="Times New Roman" w:cs="Times New Roman"/>
          <w:sz w:val="24"/>
          <w:szCs w:val="24"/>
          <w:lang w:eastAsia="ko-KR"/>
        </w:rPr>
        <w:t xml:space="preserve">eneral </w:t>
      </w:r>
      <w:r w:rsidR="00881116" w:rsidRPr="00F30F68">
        <w:rPr>
          <w:rFonts w:ascii="Times New Roman" w:eastAsia="Batang" w:hAnsi="Times New Roman" w:cs="Times New Roman"/>
          <w:sz w:val="24"/>
          <w:szCs w:val="24"/>
          <w:lang w:eastAsia="ko-KR"/>
        </w:rPr>
        <w:t>c</w:t>
      </w:r>
      <w:r w:rsidRPr="00F30F68">
        <w:rPr>
          <w:rFonts w:ascii="Times New Roman" w:eastAsia="Batang" w:hAnsi="Times New Roman" w:cs="Times New Roman"/>
          <w:sz w:val="24"/>
          <w:szCs w:val="24"/>
          <w:lang w:eastAsia="ko-KR"/>
        </w:rPr>
        <w:t>omment</w:t>
      </w:r>
      <w:r w:rsidR="002F71EA" w:rsidRPr="00F30F68">
        <w:rPr>
          <w:rFonts w:ascii="Times New Roman" w:eastAsia="Batang" w:hAnsi="Times New Roman" w:cs="Times New Roman"/>
          <w:sz w:val="24"/>
          <w:szCs w:val="24"/>
          <w:lang w:eastAsia="ko-KR"/>
        </w:rPr>
        <w:t xml:space="preserve"> on </w:t>
      </w:r>
      <w:r w:rsidR="00881116" w:rsidRPr="00F30F68">
        <w:rPr>
          <w:rFonts w:ascii="Times New Roman" w:eastAsia="Batang" w:hAnsi="Times New Roman" w:cs="Times New Roman"/>
          <w:sz w:val="24"/>
          <w:szCs w:val="24"/>
          <w:lang w:eastAsia="ko-KR"/>
        </w:rPr>
        <w:t>rights of the child during a</w:t>
      </w:r>
      <w:r w:rsidR="002F71EA" w:rsidRPr="00F30F68">
        <w:rPr>
          <w:rFonts w:ascii="Times New Roman" w:eastAsia="Batang" w:hAnsi="Times New Roman" w:cs="Times New Roman"/>
          <w:sz w:val="24"/>
          <w:szCs w:val="24"/>
          <w:lang w:eastAsia="ko-KR"/>
        </w:rPr>
        <w:t>dolescen</w:t>
      </w:r>
      <w:r w:rsidR="00881116" w:rsidRPr="00F30F68">
        <w:rPr>
          <w:rFonts w:ascii="Times New Roman" w:eastAsia="Batang" w:hAnsi="Times New Roman" w:cs="Times New Roman"/>
          <w:sz w:val="24"/>
          <w:szCs w:val="24"/>
          <w:lang w:eastAsia="ko-KR"/>
        </w:rPr>
        <w:t>ce</w:t>
      </w:r>
      <w:r w:rsidRPr="00F30F68">
        <w:rPr>
          <w:rFonts w:ascii="Times New Roman" w:eastAsia="Batang" w:hAnsi="Times New Roman" w:cs="Times New Roman"/>
          <w:sz w:val="24"/>
          <w:szCs w:val="24"/>
          <w:lang w:eastAsia="ko-KR"/>
        </w:rPr>
        <w:t xml:space="preserve">, for the first time, the </w:t>
      </w:r>
      <w:r w:rsidR="00EE3058">
        <w:rPr>
          <w:rFonts w:ascii="Times New Roman" w:eastAsia="Batang" w:hAnsi="Times New Roman" w:cs="Times New Roman"/>
          <w:sz w:val="24"/>
          <w:szCs w:val="24"/>
          <w:lang w:eastAsia="ko-KR"/>
        </w:rPr>
        <w:t>Committee</w:t>
      </w:r>
      <w:r w:rsidRPr="00F30F68">
        <w:rPr>
          <w:rFonts w:ascii="Times New Roman" w:eastAsia="Batang" w:hAnsi="Times New Roman" w:cs="Times New Roman"/>
          <w:sz w:val="24"/>
          <w:szCs w:val="24"/>
          <w:lang w:eastAsia="ko-KR"/>
        </w:rPr>
        <w:t xml:space="preserve"> has </w:t>
      </w:r>
      <w:r w:rsidRPr="00F30F68">
        <w:rPr>
          <w:rFonts w:ascii="Times New Roman" w:hAnsi="Times New Roman" w:cs="Times New Roman"/>
          <w:sz w:val="24"/>
          <w:szCs w:val="24"/>
        </w:rPr>
        <w:t>called on states to consider introducing a “legal presumption that adolescents are competent to seek and have access to preventive or time-sensitive sexual and reproductive health commodities and services.”</w:t>
      </w:r>
      <w:r w:rsidRPr="00F30F68">
        <w:rPr>
          <w:rStyle w:val="EndnoteReference"/>
          <w:rFonts w:ascii="Times New Roman" w:hAnsi="Times New Roman" w:cs="Times New Roman"/>
          <w:sz w:val="24"/>
          <w:szCs w:val="24"/>
        </w:rPr>
        <w:endnoteReference w:id="39"/>
      </w:r>
      <w:r w:rsidRPr="00F30F68">
        <w:rPr>
          <w:rFonts w:ascii="Times New Roman" w:hAnsi="Times New Roman" w:cs="Times New Roman"/>
          <w:sz w:val="24"/>
          <w:szCs w:val="24"/>
        </w:rPr>
        <w:t xml:space="preserve"> This approach is endorsed by the Special Rapporteur on Health.</w:t>
      </w:r>
      <w:r w:rsidRPr="00F30F68">
        <w:rPr>
          <w:rStyle w:val="EndnoteReference"/>
          <w:rFonts w:ascii="Times New Roman" w:hAnsi="Times New Roman" w:cs="Times New Roman"/>
          <w:sz w:val="24"/>
          <w:szCs w:val="24"/>
        </w:rPr>
        <w:endnoteReference w:id="40"/>
      </w:r>
      <w:r w:rsidRPr="00F30F68">
        <w:rPr>
          <w:rFonts w:ascii="Times New Roman" w:hAnsi="Times New Roman" w:cs="Times New Roman"/>
          <w:sz w:val="24"/>
          <w:szCs w:val="24"/>
        </w:rPr>
        <w:t xml:space="preserve"> </w:t>
      </w:r>
      <w:r w:rsidR="00B27272" w:rsidRPr="00F30F68">
        <w:rPr>
          <w:rFonts w:ascii="Times New Roman" w:hAnsi="Times New Roman" w:cs="Times New Roman"/>
          <w:sz w:val="24"/>
          <w:szCs w:val="24"/>
        </w:rPr>
        <w:t>Adolescents’ right to sexual and reproductive health services also includes their right not to have such services forced upon them.</w:t>
      </w:r>
      <w:r w:rsidR="00B27272" w:rsidRPr="00F30F68">
        <w:rPr>
          <w:rFonts w:ascii="Times New Roman" w:hAnsi="Times New Roman" w:cs="Times New Roman"/>
          <w:sz w:val="24"/>
          <w:szCs w:val="24"/>
          <w:vertAlign w:val="superscript"/>
        </w:rPr>
        <w:endnoteReference w:id="41"/>
      </w:r>
      <w:r w:rsidR="00B27272" w:rsidRPr="00F30F68">
        <w:rPr>
          <w:rFonts w:ascii="Times New Roman" w:hAnsi="Times New Roman" w:cs="Times New Roman"/>
          <w:sz w:val="24"/>
          <w:szCs w:val="24"/>
        </w:rPr>
        <w:t xml:space="preserve"> The CRC </w:t>
      </w:r>
      <w:r w:rsidR="00EE3058">
        <w:rPr>
          <w:rFonts w:ascii="Times New Roman" w:eastAsia="Batang" w:hAnsi="Times New Roman" w:cs="Times New Roman"/>
          <w:sz w:val="24"/>
          <w:szCs w:val="24"/>
          <w:lang w:eastAsia="ko-KR"/>
        </w:rPr>
        <w:t>Committee</w:t>
      </w:r>
      <w:r w:rsidR="00EE3058" w:rsidRPr="00F30F68">
        <w:rPr>
          <w:rFonts w:ascii="Times New Roman" w:eastAsia="Batang" w:hAnsi="Times New Roman" w:cs="Times New Roman"/>
          <w:sz w:val="24"/>
          <w:szCs w:val="24"/>
          <w:lang w:eastAsia="ko-KR"/>
        </w:rPr>
        <w:t xml:space="preserve"> </w:t>
      </w:r>
      <w:r w:rsidR="00B27272" w:rsidRPr="00F30F68">
        <w:rPr>
          <w:rFonts w:ascii="Times New Roman" w:hAnsi="Times New Roman" w:cs="Times New Roman"/>
          <w:sz w:val="24"/>
          <w:szCs w:val="24"/>
        </w:rPr>
        <w:t xml:space="preserve">recognizes that </w:t>
      </w:r>
      <w:r w:rsidR="00B27272" w:rsidRPr="00F30F68">
        <w:rPr>
          <w:rFonts w:ascii="Times New Roman" w:eastAsia="Batang" w:hAnsi="Times New Roman" w:cs="Times New Roman"/>
          <w:sz w:val="24"/>
          <w:szCs w:val="24"/>
          <w:lang w:eastAsia="ko-KR"/>
        </w:rPr>
        <w:t>children who are particularly vulnerable to discrimination are often less able to exercise their right to make autonomous decisions related to their health,</w:t>
      </w:r>
      <w:r w:rsidR="00B27272" w:rsidRPr="00F30F68">
        <w:rPr>
          <w:rFonts w:ascii="Times New Roman" w:eastAsia="Batang" w:hAnsi="Times New Roman" w:cs="Times New Roman"/>
          <w:sz w:val="24"/>
          <w:szCs w:val="24"/>
          <w:vertAlign w:val="superscript"/>
          <w:lang w:eastAsia="ko-KR"/>
        </w:rPr>
        <w:endnoteReference w:id="42"/>
      </w:r>
      <w:r w:rsidR="00B27272" w:rsidRPr="00F30F68">
        <w:rPr>
          <w:rFonts w:ascii="Times New Roman" w:eastAsia="Batang" w:hAnsi="Times New Roman" w:cs="Times New Roman"/>
          <w:sz w:val="24"/>
          <w:szCs w:val="24"/>
          <w:lang w:eastAsia="ko-KR"/>
        </w:rPr>
        <w:t xml:space="preserve"> and has called on states to ensure that the voluntary and informed consent of adolescents for all medical treatments and procedures.</w:t>
      </w:r>
      <w:r w:rsidR="00B27272" w:rsidRPr="00F30F68">
        <w:rPr>
          <w:rStyle w:val="EndnoteReference"/>
          <w:rFonts w:ascii="Times New Roman" w:eastAsia="Batang" w:hAnsi="Times New Roman" w:cs="Times New Roman"/>
          <w:sz w:val="24"/>
          <w:szCs w:val="24"/>
          <w:lang w:eastAsia="ko-KR"/>
        </w:rPr>
        <w:endnoteReference w:id="43"/>
      </w:r>
    </w:p>
    <w:p w14:paraId="567CF147" w14:textId="11692078" w:rsidR="0090276C" w:rsidRPr="00F30F68" w:rsidRDefault="0090276C" w:rsidP="00EE6BE9">
      <w:pPr>
        <w:jc w:val="both"/>
        <w:rPr>
          <w:rFonts w:ascii="Times New Roman" w:hAnsi="Times New Roman" w:cs="Times New Roman"/>
          <w:b/>
          <w:sz w:val="24"/>
          <w:szCs w:val="24"/>
        </w:rPr>
      </w:pPr>
    </w:p>
    <w:p w14:paraId="0154540D" w14:textId="64ADD553" w:rsidR="002F71EA" w:rsidRPr="00F30F68" w:rsidRDefault="002F71EA"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These standards have been reinforced by other treaty monitoring bodies, such as the </w:t>
      </w:r>
      <w:r w:rsidR="00C87B37" w:rsidRPr="00F30F68">
        <w:rPr>
          <w:rFonts w:ascii="Times New Roman" w:hAnsi="Times New Roman" w:cs="Times New Roman"/>
          <w:sz w:val="24"/>
          <w:szCs w:val="24"/>
        </w:rPr>
        <w:t>CEDAW Committee</w:t>
      </w:r>
      <w:r w:rsidRPr="00F30F68">
        <w:rPr>
          <w:rFonts w:ascii="Times New Roman" w:hAnsi="Times New Roman" w:cs="Times New Roman"/>
          <w:sz w:val="24"/>
          <w:szCs w:val="24"/>
        </w:rPr>
        <w:t>, the Committee on Economic, Social and Cultural Rights (ESCR Committee), and the Human Rights Committee.</w:t>
      </w:r>
      <w:r w:rsidRPr="00F30F68">
        <w:rPr>
          <w:rStyle w:val="EndnoteReference"/>
          <w:rFonts w:ascii="Times New Roman" w:hAnsi="Times New Roman" w:cs="Times New Roman"/>
          <w:sz w:val="24"/>
          <w:szCs w:val="24"/>
        </w:rPr>
        <w:endnoteReference w:id="44"/>
      </w:r>
      <w:r w:rsidRPr="00F30F68">
        <w:rPr>
          <w:rFonts w:ascii="Times New Roman" w:hAnsi="Times New Roman" w:cs="Times New Roman"/>
          <w:sz w:val="24"/>
          <w:szCs w:val="24"/>
        </w:rPr>
        <w:t xml:space="preserve"> For example, these bodies have called on states to ensure girls access to safe abortion services;</w:t>
      </w:r>
      <w:r w:rsidRPr="00F30F68">
        <w:rPr>
          <w:rStyle w:val="EndnoteReference"/>
          <w:rFonts w:ascii="Times New Roman" w:hAnsi="Times New Roman" w:cs="Times New Roman"/>
          <w:sz w:val="24"/>
          <w:szCs w:val="24"/>
        </w:rPr>
        <w:endnoteReference w:id="45"/>
      </w:r>
      <w:r w:rsidRPr="00F30F68">
        <w:rPr>
          <w:rFonts w:ascii="Times New Roman" w:hAnsi="Times New Roman" w:cs="Times New Roman"/>
          <w:sz w:val="24"/>
          <w:szCs w:val="24"/>
        </w:rPr>
        <w:t xml:space="preserve"> affordable modern contraception, including emergency contraception;</w:t>
      </w:r>
      <w:r w:rsidRPr="00F30F68">
        <w:rPr>
          <w:rStyle w:val="EndnoteReference"/>
          <w:rFonts w:ascii="Times New Roman" w:hAnsi="Times New Roman" w:cs="Times New Roman"/>
          <w:sz w:val="24"/>
          <w:szCs w:val="24"/>
        </w:rPr>
        <w:endnoteReference w:id="46"/>
      </w:r>
      <w:r w:rsidRPr="00F30F68">
        <w:rPr>
          <w:rFonts w:ascii="Times New Roman" w:hAnsi="Times New Roman" w:cs="Times New Roman"/>
          <w:sz w:val="24"/>
          <w:szCs w:val="24"/>
        </w:rPr>
        <w:t xml:space="preserve"> and proper care during pregnancy and childbirth.</w:t>
      </w:r>
      <w:r w:rsidRPr="00F30F68">
        <w:rPr>
          <w:rStyle w:val="EndnoteReference"/>
          <w:rFonts w:ascii="Times New Roman" w:hAnsi="Times New Roman" w:cs="Times New Roman"/>
          <w:sz w:val="24"/>
          <w:szCs w:val="24"/>
        </w:rPr>
        <w:endnoteReference w:id="47"/>
      </w:r>
      <w:r w:rsidRPr="00F30F68">
        <w:rPr>
          <w:rFonts w:ascii="Times New Roman" w:hAnsi="Times New Roman" w:cs="Times New Roman"/>
          <w:sz w:val="24"/>
          <w:szCs w:val="24"/>
        </w:rPr>
        <w:t xml:space="preserve">  </w:t>
      </w:r>
    </w:p>
    <w:p w14:paraId="599DAA5D" w14:textId="12703FA3" w:rsidR="0090276C" w:rsidRPr="00F30F68" w:rsidRDefault="0090276C" w:rsidP="00EE6BE9">
      <w:pPr>
        <w:jc w:val="both"/>
        <w:rPr>
          <w:rFonts w:ascii="Times New Roman" w:hAnsi="Times New Roman" w:cs="Times New Roman"/>
          <w:b/>
          <w:sz w:val="24"/>
          <w:szCs w:val="24"/>
        </w:rPr>
      </w:pPr>
    </w:p>
    <w:p w14:paraId="24BEBA8A" w14:textId="092EF4E5" w:rsidR="00501C35" w:rsidRPr="00F30F68" w:rsidRDefault="00501C35" w:rsidP="00EE6BE9">
      <w:pPr>
        <w:numPr>
          <w:ilvl w:val="1"/>
          <w:numId w:val="2"/>
        </w:numPr>
        <w:spacing w:after="160" w:line="259" w:lineRule="auto"/>
        <w:contextualSpacing/>
        <w:jc w:val="both"/>
        <w:rPr>
          <w:rFonts w:ascii="Times New Roman" w:hAnsi="Times New Roman" w:cs="Times New Roman"/>
          <w:b/>
          <w:sz w:val="24"/>
          <w:szCs w:val="24"/>
          <w:lang w:val="en-GB"/>
        </w:rPr>
      </w:pPr>
      <w:r w:rsidRPr="00F30F68">
        <w:rPr>
          <w:rFonts w:ascii="Times New Roman" w:hAnsi="Times New Roman" w:cs="Times New Roman"/>
          <w:sz w:val="24"/>
          <w:szCs w:val="24"/>
          <w:lang w:val="en-GB"/>
        </w:rPr>
        <w:t>Adolescents’ right to make decisions about their sexual and reproductive health and rights</w:t>
      </w:r>
    </w:p>
    <w:p w14:paraId="3299BCCF" w14:textId="56AED073" w:rsidR="0090276C" w:rsidRPr="00F30F68" w:rsidRDefault="0090276C" w:rsidP="00EE6BE9">
      <w:pPr>
        <w:jc w:val="both"/>
        <w:rPr>
          <w:rFonts w:ascii="Times New Roman" w:hAnsi="Times New Roman" w:cs="Times New Roman"/>
          <w:b/>
          <w:sz w:val="24"/>
          <w:szCs w:val="24"/>
        </w:rPr>
      </w:pPr>
    </w:p>
    <w:p w14:paraId="135565AF" w14:textId="79DDC1ED" w:rsidR="00C33615" w:rsidRPr="00F30F68" w:rsidRDefault="0090276C" w:rsidP="00EE6BE9">
      <w:pPr>
        <w:jc w:val="both"/>
        <w:rPr>
          <w:rFonts w:ascii="Times New Roman" w:hAnsi="Times New Roman" w:cs="Times New Roman"/>
          <w:sz w:val="24"/>
          <w:szCs w:val="24"/>
        </w:rPr>
      </w:pPr>
      <w:r w:rsidRPr="00F30F68">
        <w:rPr>
          <w:rFonts w:ascii="Times New Roman" w:hAnsi="Times New Roman" w:cs="Times New Roman"/>
          <w:sz w:val="24"/>
          <w:szCs w:val="24"/>
        </w:rPr>
        <w:t>In addition to being a human right in itself, adolescents’ right to make decisions about their sexual and reproductive health and rights is critical for reinforcing and realizing a br</w:t>
      </w:r>
      <w:r w:rsidR="000003C6" w:rsidRPr="00F30F68">
        <w:rPr>
          <w:rFonts w:ascii="Times New Roman" w:hAnsi="Times New Roman" w:cs="Times New Roman"/>
          <w:sz w:val="24"/>
          <w:szCs w:val="24"/>
        </w:rPr>
        <w:t>oad range of their human rights, including: the right to life, survival, and development; the right to equality and non-discrimination; and the right to be free from all forms of violence and cruel, inhuman, and degrading treatment.</w:t>
      </w:r>
      <w:r w:rsidR="007C787C" w:rsidRPr="00F30F68">
        <w:rPr>
          <w:rFonts w:ascii="Times New Roman" w:hAnsi="Times New Roman" w:cs="Times New Roman"/>
          <w:sz w:val="24"/>
          <w:szCs w:val="24"/>
        </w:rPr>
        <w:t xml:space="preserve"> The denial of any of these rights can </w:t>
      </w:r>
      <w:r w:rsidRPr="00F30F68">
        <w:rPr>
          <w:rFonts w:ascii="Times New Roman" w:hAnsi="Times New Roman" w:cs="Times New Roman"/>
          <w:sz w:val="24"/>
          <w:szCs w:val="24"/>
        </w:rPr>
        <w:t xml:space="preserve">constitute a human rights violation. </w:t>
      </w:r>
    </w:p>
    <w:p w14:paraId="7B26F30D" w14:textId="297F9E05" w:rsidR="00AD5337" w:rsidRPr="00F30F68" w:rsidRDefault="00AD5337" w:rsidP="00EE6BE9">
      <w:pPr>
        <w:jc w:val="both"/>
        <w:rPr>
          <w:rFonts w:ascii="Times New Roman" w:hAnsi="Times New Roman" w:cs="Times New Roman"/>
          <w:color w:val="000000"/>
          <w:sz w:val="24"/>
          <w:szCs w:val="24"/>
          <w:shd w:val="clear" w:color="auto" w:fill="FFFFFF"/>
        </w:rPr>
      </w:pPr>
    </w:p>
    <w:p w14:paraId="61EAE8E9" w14:textId="77E8C07B" w:rsidR="0022791E" w:rsidRPr="00F30F68" w:rsidRDefault="006C231E" w:rsidP="00EE6BE9">
      <w:pPr>
        <w:jc w:val="both"/>
        <w:rPr>
          <w:rFonts w:ascii="Times New Roman" w:hAnsi="Times New Roman" w:cs="Times New Roman"/>
          <w:color w:val="000000"/>
          <w:sz w:val="24"/>
          <w:szCs w:val="24"/>
          <w:shd w:val="clear" w:color="auto" w:fill="FFFFFF"/>
        </w:rPr>
      </w:pPr>
      <w:r w:rsidRPr="00F30F68">
        <w:rPr>
          <w:rFonts w:ascii="Times New Roman" w:hAnsi="Times New Roman" w:cs="Times New Roman"/>
          <w:color w:val="000000"/>
          <w:sz w:val="24"/>
          <w:szCs w:val="24"/>
          <w:shd w:val="clear" w:color="auto" w:fill="FFFFFF"/>
        </w:rPr>
        <w:t xml:space="preserve">The treaty monitoring bodies have </w:t>
      </w:r>
      <w:r w:rsidR="006F72F2">
        <w:rPr>
          <w:rFonts w:ascii="Times New Roman" w:hAnsi="Times New Roman" w:cs="Times New Roman"/>
          <w:color w:val="000000"/>
          <w:sz w:val="24"/>
          <w:szCs w:val="24"/>
          <w:shd w:val="clear" w:color="auto" w:fill="FFFFFF"/>
        </w:rPr>
        <w:t>long affirmed</w:t>
      </w:r>
      <w:r w:rsidRPr="00F30F68">
        <w:rPr>
          <w:rFonts w:ascii="Times New Roman" w:hAnsi="Times New Roman" w:cs="Times New Roman"/>
          <w:color w:val="000000"/>
          <w:sz w:val="24"/>
          <w:szCs w:val="24"/>
          <w:shd w:val="clear" w:color="auto" w:fill="FFFFFF"/>
        </w:rPr>
        <w:t xml:space="preserve"> </w:t>
      </w:r>
      <w:r w:rsidR="006C3FB4">
        <w:rPr>
          <w:rFonts w:ascii="Times New Roman" w:hAnsi="Times New Roman" w:cs="Times New Roman"/>
          <w:color w:val="000000"/>
          <w:sz w:val="24"/>
          <w:szCs w:val="24"/>
          <w:shd w:val="clear" w:color="auto" w:fill="FFFFFF"/>
        </w:rPr>
        <w:t xml:space="preserve">the interdependence of </w:t>
      </w:r>
      <w:r w:rsidRPr="00F30F68">
        <w:rPr>
          <w:rFonts w:ascii="Times New Roman" w:hAnsi="Times New Roman" w:cs="Times New Roman"/>
          <w:color w:val="000000"/>
          <w:sz w:val="24"/>
          <w:szCs w:val="24"/>
          <w:shd w:val="clear" w:color="auto" w:fill="FFFFFF"/>
        </w:rPr>
        <w:t>these rights.</w:t>
      </w:r>
      <w:bookmarkStart w:id="10" w:name="_Ref501466238"/>
      <w:r w:rsidR="00ED06E4">
        <w:rPr>
          <w:rStyle w:val="EndnoteReference"/>
          <w:rFonts w:ascii="Times New Roman" w:hAnsi="Times New Roman" w:cs="Times New Roman"/>
          <w:color w:val="000000"/>
          <w:sz w:val="24"/>
          <w:szCs w:val="24"/>
          <w:shd w:val="clear" w:color="auto" w:fill="FFFFFF"/>
        </w:rPr>
        <w:endnoteReference w:id="48"/>
      </w:r>
      <w:bookmarkEnd w:id="10"/>
      <w:r w:rsidR="006F72F2">
        <w:rPr>
          <w:rFonts w:ascii="Times New Roman" w:hAnsi="Times New Roman" w:cs="Times New Roman"/>
          <w:color w:val="000000"/>
          <w:sz w:val="24"/>
          <w:szCs w:val="24"/>
          <w:shd w:val="clear" w:color="auto" w:fill="FFFFFF"/>
        </w:rPr>
        <w:t xml:space="preserve"> Consider KL’s story, which was</w:t>
      </w:r>
      <w:r w:rsidR="00DF011D">
        <w:rPr>
          <w:rFonts w:ascii="Times New Roman" w:hAnsi="Times New Roman" w:cs="Times New Roman"/>
          <w:color w:val="000000"/>
          <w:sz w:val="24"/>
          <w:szCs w:val="24"/>
          <w:shd w:val="clear" w:color="auto" w:fill="FFFFFF"/>
        </w:rPr>
        <w:t xml:space="preserve"> a case that was</w:t>
      </w:r>
      <w:r w:rsidR="006F72F2">
        <w:rPr>
          <w:rFonts w:ascii="Times New Roman" w:hAnsi="Times New Roman" w:cs="Times New Roman"/>
          <w:color w:val="000000"/>
          <w:sz w:val="24"/>
          <w:szCs w:val="24"/>
          <w:shd w:val="clear" w:color="auto" w:fill="FFFFFF"/>
        </w:rPr>
        <w:t xml:space="preserve"> heard by the Human Rights Committee. </w:t>
      </w:r>
      <w:r w:rsidR="00B617D5" w:rsidRPr="00F30F68">
        <w:rPr>
          <w:rFonts w:ascii="Times New Roman" w:hAnsi="Times New Roman" w:cs="Times New Roman"/>
          <w:color w:val="000000"/>
          <w:sz w:val="24"/>
          <w:szCs w:val="24"/>
          <w:shd w:val="clear" w:color="auto" w:fill="FFFFFF"/>
        </w:rPr>
        <w:t>A</w:t>
      </w:r>
      <w:r w:rsidR="00086EC6" w:rsidRPr="00F30F68">
        <w:rPr>
          <w:rFonts w:ascii="Times New Roman" w:hAnsi="Times New Roman" w:cs="Times New Roman"/>
          <w:sz w:val="24"/>
          <w:szCs w:val="24"/>
        </w:rPr>
        <w:t xml:space="preserve">t age 17, KL discovered she was pregnant with an anencephalic fetus – meaning that the fetus was developing without parts of its brain or skull and had no chance of survival after birth. As the prospect of carrying a non-viable pregnancy to term exposed KL to severe mental suffering, emotional instability, and symptoms of depression, she sought to terminate the pregnancy. Although Peru’s law permits abortion where pregnancy poses a risk to the person’s life or health, the hospital staff refused to administer abortion services to KL and the Ministry of Health refused to intervene on her behalf.  KL was compelled to carry the pregnancy to term and breastfeed the baby over the course of the two days it survived, ultimately leaving her in a deep state of depression. </w:t>
      </w:r>
      <w:r w:rsidR="00225ABE" w:rsidRPr="00F30F68">
        <w:rPr>
          <w:rFonts w:ascii="Times New Roman" w:hAnsi="Times New Roman" w:cs="Times New Roman"/>
          <w:sz w:val="24"/>
          <w:szCs w:val="24"/>
        </w:rPr>
        <w:t xml:space="preserve">In hearing the case, the Human Rights Committee </w:t>
      </w:r>
      <w:r w:rsidR="00086EC6" w:rsidRPr="00F30F68">
        <w:rPr>
          <w:rFonts w:ascii="Times New Roman" w:hAnsi="Times New Roman" w:cs="Times New Roman"/>
          <w:sz w:val="24"/>
          <w:szCs w:val="24"/>
        </w:rPr>
        <w:t>found that Peru violated her right to private life, by arbitrarily intervening in her decision to terminate a pregnancy, and her right be free from cruel, inhuman and degrading treatment, by exposing her to mental suffering by failing to provide her abortion services</w:t>
      </w:r>
      <w:r w:rsidR="0022791E" w:rsidRPr="00F30F68">
        <w:rPr>
          <w:rFonts w:ascii="Times New Roman" w:hAnsi="Times New Roman" w:cs="Times New Roman"/>
          <w:sz w:val="24"/>
          <w:szCs w:val="24"/>
        </w:rPr>
        <w:t>.</w:t>
      </w:r>
      <w:r w:rsidR="0022791E" w:rsidRPr="00F30F68">
        <w:rPr>
          <w:rFonts w:ascii="Times New Roman" w:hAnsi="Times New Roman" w:cs="Times New Roman"/>
          <w:color w:val="000000"/>
          <w:sz w:val="24"/>
          <w:szCs w:val="24"/>
          <w:shd w:val="clear" w:color="auto" w:fill="FFFFFF"/>
          <w:vertAlign w:val="superscript"/>
        </w:rPr>
        <w:endnoteReference w:id="49"/>
      </w:r>
      <w:r w:rsidR="0022791E" w:rsidRPr="00F30F68">
        <w:rPr>
          <w:rFonts w:ascii="Times New Roman" w:hAnsi="Times New Roman" w:cs="Times New Roman"/>
          <w:color w:val="000000"/>
          <w:sz w:val="24"/>
          <w:szCs w:val="24"/>
          <w:shd w:val="clear" w:color="auto" w:fill="FFFFFF"/>
        </w:rPr>
        <w:t xml:space="preserve">  </w:t>
      </w:r>
    </w:p>
    <w:p w14:paraId="1095B643" w14:textId="77777777" w:rsidR="0090276C" w:rsidRPr="00F30F68" w:rsidRDefault="0090276C" w:rsidP="00EE6BE9">
      <w:pPr>
        <w:jc w:val="both"/>
        <w:rPr>
          <w:rFonts w:ascii="Times New Roman" w:hAnsi="Times New Roman" w:cs="Times New Roman"/>
          <w:sz w:val="24"/>
          <w:szCs w:val="24"/>
        </w:rPr>
      </w:pPr>
    </w:p>
    <w:p w14:paraId="349596AF" w14:textId="769CF9D6" w:rsidR="00ED4394" w:rsidRPr="00F30F68" w:rsidRDefault="004D2495" w:rsidP="00EE6BE9">
      <w:pPr>
        <w:pStyle w:val="ListParagraph"/>
        <w:numPr>
          <w:ilvl w:val="0"/>
          <w:numId w:val="2"/>
        </w:numPr>
        <w:jc w:val="both"/>
        <w:rPr>
          <w:rFonts w:ascii="Times New Roman" w:hAnsi="Times New Roman" w:cs="Times New Roman"/>
          <w:b/>
          <w:sz w:val="24"/>
          <w:szCs w:val="24"/>
        </w:rPr>
      </w:pPr>
      <w:r w:rsidRPr="00F30F68">
        <w:rPr>
          <w:rFonts w:ascii="Times New Roman" w:hAnsi="Times New Roman" w:cs="Times New Roman"/>
          <w:b/>
          <w:sz w:val="24"/>
          <w:szCs w:val="24"/>
        </w:rPr>
        <w:t>Facilitating and S</w:t>
      </w:r>
      <w:r w:rsidR="00480B16" w:rsidRPr="00F30F68">
        <w:rPr>
          <w:rFonts w:ascii="Times New Roman" w:hAnsi="Times New Roman" w:cs="Times New Roman"/>
          <w:b/>
          <w:sz w:val="24"/>
          <w:szCs w:val="24"/>
        </w:rPr>
        <w:t>upporting</w:t>
      </w:r>
      <w:r w:rsidR="0032355F" w:rsidRPr="00F30F68">
        <w:rPr>
          <w:rFonts w:ascii="Times New Roman" w:hAnsi="Times New Roman" w:cs="Times New Roman"/>
          <w:b/>
          <w:sz w:val="24"/>
          <w:szCs w:val="24"/>
        </w:rPr>
        <w:t xml:space="preserve"> Adolescent-Friendly Sexual and Reproductive Health Se</w:t>
      </w:r>
      <w:r w:rsidR="00F02B0F" w:rsidRPr="00F30F68">
        <w:rPr>
          <w:rFonts w:ascii="Times New Roman" w:hAnsi="Times New Roman" w:cs="Times New Roman"/>
          <w:b/>
          <w:sz w:val="24"/>
          <w:szCs w:val="24"/>
        </w:rPr>
        <w:t>rvices</w:t>
      </w:r>
    </w:p>
    <w:p w14:paraId="7F296F57" w14:textId="19B334E7" w:rsidR="00ED4394" w:rsidRPr="00F30F68" w:rsidRDefault="00100611" w:rsidP="00EE6BE9">
      <w:pPr>
        <w:jc w:val="both"/>
        <w:rPr>
          <w:rFonts w:ascii="Times New Roman" w:hAnsi="Times New Roman" w:cs="Times New Roman"/>
          <w:sz w:val="24"/>
          <w:szCs w:val="24"/>
        </w:rPr>
      </w:pPr>
      <w:r w:rsidRPr="00F30F68">
        <w:rPr>
          <w:rFonts w:ascii="Times New Roman" w:hAnsi="Times New Roman" w:cs="Times New Roman"/>
          <w:sz w:val="24"/>
          <w:szCs w:val="24"/>
        </w:rPr>
        <w:t>T</w:t>
      </w:r>
      <w:r w:rsidR="00AF23A1" w:rsidRPr="00F30F68">
        <w:rPr>
          <w:rFonts w:ascii="Times New Roman" w:hAnsi="Times New Roman" w:cs="Times New Roman"/>
          <w:sz w:val="24"/>
          <w:szCs w:val="24"/>
        </w:rPr>
        <w:t>he primary</w:t>
      </w:r>
      <w:r w:rsidR="00C35052" w:rsidRPr="00F30F68">
        <w:rPr>
          <w:rFonts w:ascii="Times New Roman" w:hAnsi="Times New Roman" w:cs="Times New Roman"/>
          <w:sz w:val="24"/>
          <w:szCs w:val="24"/>
        </w:rPr>
        <w:t xml:space="preserve"> responsibility </w:t>
      </w:r>
      <w:r w:rsidR="00AF23A1" w:rsidRPr="00F30F68">
        <w:rPr>
          <w:rFonts w:ascii="Times New Roman" w:hAnsi="Times New Roman" w:cs="Times New Roman"/>
          <w:sz w:val="24"/>
          <w:szCs w:val="24"/>
        </w:rPr>
        <w:t>to facilitate</w:t>
      </w:r>
      <w:r w:rsidR="00C35052" w:rsidRPr="00F30F68">
        <w:rPr>
          <w:rFonts w:ascii="Times New Roman" w:hAnsi="Times New Roman" w:cs="Times New Roman"/>
          <w:sz w:val="24"/>
          <w:szCs w:val="24"/>
        </w:rPr>
        <w:t xml:space="preserve"> and support adolescent-friendly sexual and reproductive health services</w:t>
      </w:r>
      <w:r w:rsidRPr="00F30F68">
        <w:rPr>
          <w:rFonts w:ascii="Times New Roman" w:hAnsi="Times New Roman" w:cs="Times New Roman"/>
          <w:sz w:val="24"/>
          <w:szCs w:val="24"/>
        </w:rPr>
        <w:t xml:space="preserve"> belongs to states</w:t>
      </w:r>
      <w:r w:rsidR="00C35052" w:rsidRPr="00F30F68">
        <w:rPr>
          <w:rFonts w:ascii="Times New Roman" w:hAnsi="Times New Roman" w:cs="Times New Roman"/>
          <w:sz w:val="24"/>
          <w:szCs w:val="24"/>
        </w:rPr>
        <w:t xml:space="preserve">. </w:t>
      </w:r>
      <w:r w:rsidR="00AF23A1" w:rsidRPr="00F30F68">
        <w:rPr>
          <w:rFonts w:ascii="Times New Roman" w:hAnsi="Times New Roman" w:cs="Times New Roman"/>
          <w:sz w:val="24"/>
          <w:szCs w:val="24"/>
        </w:rPr>
        <w:t xml:space="preserve">The international community </w:t>
      </w:r>
      <w:r w:rsidR="008F45F0" w:rsidRPr="00F30F68">
        <w:rPr>
          <w:rFonts w:ascii="Times New Roman" w:hAnsi="Times New Roman" w:cs="Times New Roman"/>
          <w:sz w:val="24"/>
          <w:szCs w:val="24"/>
        </w:rPr>
        <w:t>must call on</w:t>
      </w:r>
      <w:r w:rsidR="00E15E3D">
        <w:rPr>
          <w:rFonts w:ascii="Times New Roman" w:hAnsi="Times New Roman" w:cs="Times New Roman"/>
          <w:sz w:val="24"/>
          <w:szCs w:val="24"/>
        </w:rPr>
        <w:t xml:space="preserve"> and support</w:t>
      </w:r>
      <w:r w:rsidR="008F45F0" w:rsidRPr="00F30F68">
        <w:rPr>
          <w:rFonts w:ascii="Times New Roman" w:hAnsi="Times New Roman" w:cs="Times New Roman"/>
          <w:sz w:val="24"/>
          <w:szCs w:val="24"/>
        </w:rPr>
        <w:t xml:space="preserve"> states </w:t>
      </w:r>
      <w:r w:rsidR="00E15E3D">
        <w:rPr>
          <w:rFonts w:ascii="Times New Roman" w:hAnsi="Times New Roman" w:cs="Times New Roman"/>
          <w:sz w:val="24"/>
          <w:szCs w:val="24"/>
        </w:rPr>
        <w:t>in</w:t>
      </w:r>
      <w:r w:rsidR="008F45F0" w:rsidRPr="00F30F68">
        <w:rPr>
          <w:rFonts w:ascii="Times New Roman" w:hAnsi="Times New Roman" w:cs="Times New Roman"/>
          <w:sz w:val="24"/>
          <w:szCs w:val="24"/>
        </w:rPr>
        <w:t xml:space="preserve"> </w:t>
      </w:r>
      <w:r w:rsidR="00E15E3D" w:rsidRPr="00F30F68">
        <w:rPr>
          <w:rFonts w:ascii="Times New Roman" w:hAnsi="Times New Roman" w:cs="Times New Roman"/>
          <w:sz w:val="24"/>
          <w:szCs w:val="24"/>
        </w:rPr>
        <w:t>fulfil</w:t>
      </w:r>
      <w:r w:rsidR="00E15E3D">
        <w:rPr>
          <w:rFonts w:ascii="Times New Roman" w:hAnsi="Times New Roman" w:cs="Times New Roman"/>
          <w:sz w:val="24"/>
          <w:szCs w:val="24"/>
        </w:rPr>
        <w:t>ling</w:t>
      </w:r>
      <w:r w:rsidR="008F45F0" w:rsidRPr="00F30F68">
        <w:rPr>
          <w:rFonts w:ascii="Times New Roman" w:hAnsi="Times New Roman" w:cs="Times New Roman"/>
          <w:sz w:val="24"/>
          <w:szCs w:val="24"/>
        </w:rPr>
        <w:t xml:space="preserve"> their obligations under the </w:t>
      </w:r>
      <w:r w:rsidR="00E15E3D">
        <w:rPr>
          <w:rFonts w:ascii="Times New Roman" w:hAnsi="Times New Roman" w:cs="Times New Roman"/>
          <w:sz w:val="24"/>
          <w:szCs w:val="24"/>
        </w:rPr>
        <w:t>human rights</w:t>
      </w:r>
      <w:r w:rsidR="008F45F0" w:rsidRPr="00F30F68">
        <w:rPr>
          <w:rFonts w:ascii="Times New Roman" w:hAnsi="Times New Roman" w:cs="Times New Roman"/>
          <w:sz w:val="24"/>
          <w:szCs w:val="24"/>
        </w:rPr>
        <w:t xml:space="preserve"> conventions. </w:t>
      </w:r>
    </w:p>
    <w:p w14:paraId="2E1CEF59" w14:textId="77777777" w:rsidR="00C35052" w:rsidRPr="00F30F68" w:rsidRDefault="00C35052" w:rsidP="00EE6BE9">
      <w:pPr>
        <w:jc w:val="both"/>
        <w:rPr>
          <w:rFonts w:ascii="Times New Roman" w:hAnsi="Times New Roman" w:cs="Times New Roman"/>
          <w:sz w:val="24"/>
          <w:szCs w:val="24"/>
        </w:rPr>
      </w:pPr>
    </w:p>
    <w:p w14:paraId="4B72F30C" w14:textId="7CFB1111" w:rsidR="00C35052" w:rsidRPr="00F30F68" w:rsidRDefault="00DA317D" w:rsidP="00EE6BE9">
      <w:pPr>
        <w:pStyle w:val="ListParagraph"/>
        <w:numPr>
          <w:ilvl w:val="1"/>
          <w:numId w:val="2"/>
        </w:numPr>
        <w:jc w:val="both"/>
        <w:rPr>
          <w:rFonts w:ascii="Times New Roman" w:hAnsi="Times New Roman" w:cs="Times New Roman"/>
          <w:sz w:val="24"/>
          <w:szCs w:val="24"/>
        </w:rPr>
      </w:pPr>
      <w:r w:rsidRPr="00F30F68">
        <w:rPr>
          <w:rFonts w:ascii="Times New Roman" w:hAnsi="Times New Roman" w:cs="Times New Roman"/>
          <w:sz w:val="24"/>
          <w:szCs w:val="24"/>
        </w:rPr>
        <w:t xml:space="preserve">Ensuring accessibility of health </w:t>
      </w:r>
      <w:r w:rsidR="002A1D81" w:rsidRPr="00F30F68">
        <w:rPr>
          <w:rFonts w:ascii="Times New Roman" w:hAnsi="Times New Roman" w:cs="Times New Roman"/>
          <w:sz w:val="24"/>
          <w:szCs w:val="24"/>
        </w:rPr>
        <w:t>services</w:t>
      </w:r>
      <w:r w:rsidR="001F5BC1" w:rsidRPr="00F30F68">
        <w:rPr>
          <w:rFonts w:ascii="Times New Roman" w:hAnsi="Times New Roman" w:cs="Times New Roman"/>
          <w:sz w:val="24"/>
          <w:szCs w:val="24"/>
        </w:rPr>
        <w:t xml:space="preserve"> and information</w:t>
      </w:r>
    </w:p>
    <w:p w14:paraId="5EC584AD" w14:textId="77777777" w:rsidR="008F45F0" w:rsidRPr="00F30F68" w:rsidRDefault="00DA317D"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In accordance with international human rights norms, </w:t>
      </w:r>
      <w:r w:rsidR="008F45F0" w:rsidRPr="00F30F68">
        <w:rPr>
          <w:rFonts w:ascii="Times New Roman" w:hAnsi="Times New Roman" w:cs="Times New Roman"/>
          <w:sz w:val="24"/>
          <w:szCs w:val="24"/>
        </w:rPr>
        <w:t xml:space="preserve">treaty monitoring bodies must help states ensure that </w:t>
      </w:r>
      <w:r w:rsidRPr="00F30F68">
        <w:rPr>
          <w:rFonts w:ascii="Times New Roman" w:hAnsi="Times New Roman" w:cs="Times New Roman"/>
          <w:sz w:val="24"/>
          <w:szCs w:val="24"/>
        </w:rPr>
        <w:t xml:space="preserve">sexual and reproductive health services for minors </w:t>
      </w:r>
      <w:r w:rsidR="008F45F0" w:rsidRPr="00F30F68">
        <w:rPr>
          <w:rFonts w:ascii="Times New Roman" w:hAnsi="Times New Roman" w:cs="Times New Roman"/>
          <w:sz w:val="24"/>
          <w:szCs w:val="24"/>
        </w:rPr>
        <w:t>are</w:t>
      </w:r>
      <w:r w:rsidRPr="00F30F68">
        <w:rPr>
          <w:rFonts w:ascii="Times New Roman" w:hAnsi="Times New Roman" w:cs="Times New Roman"/>
          <w:sz w:val="24"/>
          <w:szCs w:val="24"/>
        </w:rPr>
        <w:t xml:space="preserve"> youth-friendly,</w:t>
      </w:r>
      <w:r w:rsidRPr="00F30F68">
        <w:rPr>
          <w:rFonts w:ascii="Times New Roman" w:hAnsi="Times New Roman" w:cs="Times New Roman"/>
          <w:sz w:val="24"/>
          <w:szCs w:val="24"/>
          <w:vertAlign w:val="superscript"/>
        </w:rPr>
        <w:endnoteReference w:id="50"/>
      </w:r>
      <w:r w:rsidRPr="00F30F68">
        <w:rPr>
          <w:rFonts w:ascii="Times New Roman" w:hAnsi="Times New Roman" w:cs="Times New Roman"/>
          <w:sz w:val="24"/>
          <w:szCs w:val="24"/>
        </w:rPr>
        <w:t xml:space="preserve"> meaning that they are designed to meet the unique needs of adolescents and address the barriers they face in accessing health services. In designing and implementing youth-friendly health services, states should recognize and address how adolescents’ access to services differs from that of adults. </w:t>
      </w:r>
    </w:p>
    <w:p w14:paraId="743A804D" w14:textId="77777777" w:rsidR="008F45F0" w:rsidRPr="00F30F68" w:rsidRDefault="008F45F0" w:rsidP="00EE6BE9">
      <w:pPr>
        <w:jc w:val="both"/>
        <w:rPr>
          <w:rFonts w:ascii="Times New Roman" w:hAnsi="Times New Roman" w:cs="Times New Roman"/>
          <w:sz w:val="24"/>
          <w:szCs w:val="24"/>
        </w:rPr>
      </w:pPr>
    </w:p>
    <w:p w14:paraId="2D0DFBDB" w14:textId="3BF532B5" w:rsidR="00DA317D" w:rsidRPr="00F30F68" w:rsidRDefault="00DA317D"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For example, </w:t>
      </w:r>
      <w:r w:rsidR="008F45F0" w:rsidRPr="00F30F68">
        <w:rPr>
          <w:rFonts w:ascii="Times New Roman" w:hAnsi="Times New Roman" w:cs="Times New Roman"/>
          <w:sz w:val="24"/>
          <w:szCs w:val="24"/>
        </w:rPr>
        <w:t>states should be encouraged to enable adolescents</w:t>
      </w:r>
      <w:r w:rsidR="008F45F0" w:rsidRPr="00F30F68" w:rsidDel="002930FA">
        <w:rPr>
          <w:rFonts w:ascii="Times New Roman" w:hAnsi="Times New Roman" w:cs="Times New Roman"/>
          <w:sz w:val="24"/>
          <w:szCs w:val="24"/>
        </w:rPr>
        <w:t xml:space="preserve"> </w:t>
      </w:r>
      <w:r w:rsidR="008F45F0" w:rsidRPr="00F30F68">
        <w:rPr>
          <w:rFonts w:ascii="Times New Roman" w:hAnsi="Times New Roman" w:cs="Times New Roman"/>
          <w:sz w:val="24"/>
          <w:szCs w:val="24"/>
        </w:rPr>
        <w:t>to access sexual and reproductive health services.</w:t>
      </w:r>
      <w:r w:rsidR="008F45F0" w:rsidRPr="00F30F68">
        <w:rPr>
          <w:rFonts w:ascii="Times New Roman" w:hAnsi="Times New Roman" w:cs="Times New Roman"/>
          <w:sz w:val="24"/>
          <w:szCs w:val="24"/>
          <w:vertAlign w:val="superscript"/>
        </w:rPr>
        <w:endnoteReference w:id="51"/>
      </w:r>
      <w:r w:rsidR="008F45F0" w:rsidRPr="00F30F68">
        <w:rPr>
          <w:rFonts w:ascii="Times New Roman" w:hAnsi="Times New Roman" w:cs="Times New Roman"/>
          <w:sz w:val="24"/>
          <w:szCs w:val="24"/>
        </w:rPr>
        <w:t xml:space="preserve"> Where adolescents</w:t>
      </w:r>
      <w:r w:rsidR="008F45F0" w:rsidRPr="00F30F68" w:rsidDel="002930FA">
        <w:rPr>
          <w:rFonts w:ascii="Times New Roman" w:hAnsi="Times New Roman" w:cs="Times New Roman"/>
          <w:sz w:val="24"/>
          <w:szCs w:val="24"/>
        </w:rPr>
        <w:t xml:space="preserve"> </w:t>
      </w:r>
      <w:r w:rsidR="008F45F0" w:rsidRPr="00F30F68">
        <w:rPr>
          <w:rFonts w:ascii="Times New Roman" w:hAnsi="Times New Roman" w:cs="Times New Roman"/>
          <w:sz w:val="24"/>
          <w:szCs w:val="24"/>
        </w:rPr>
        <w:t xml:space="preserve">are unable to autonomously access </w:t>
      </w:r>
      <w:r w:rsidR="00851BA4">
        <w:rPr>
          <w:rFonts w:ascii="Times New Roman" w:hAnsi="Times New Roman" w:cs="Times New Roman"/>
          <w:sz w:val="24"/>
          <w:szCs w:val="24"/>
        </w:rPr>
        <w:t>these</w:t>
      </w:r>
      <w:r w:rsidR="008F45F0" w:rsidRPr="00F30F68">
        <w:rPr>
          <w:rFonts w:ascii="Times New Roman" w:hAnsi="Times New Roman" w:cs="Times New Roman"/>
          <w:sz w:val="24"/>
          <w:szCs w:val="24"/>
        </w:rPr>
        <w:t xml:space="preserve"> services, they may resort to unsafe methods to try to prevent pregnancy or to terminate an unwanted pregnancy, posing serious threats to their lives.</w:t>
      </w:r>
      <w:r w:rsidR="008F45F0" w:rsidRPr="00F30F68">
        <w:rPr>
          <w:rFonts w:ascii="Times New Roman" w:hAnsi="Times New Roman" w:cs="Times New Roman"/>
          <w:sz w:val="24"/>
          <w:szCs w:val="24"/>
          <w:vertAlign w:val="superscript"/>
        </w:rPr>
        <w:endnoteReference w:id="52"/>
      </w:r>
      <w:r w:rsidR="008F45F0" w:rsidRPr="00F30F68">
        <w:rPr>
          <w:rFonts w:ascii="Times New Roman" w:hAnsi="Times New Roman" w:cs="Times New Roman"/>
          <w:sz w:val="24"/>
          <w:szCs w:val="24"/>
        </w:rPr>
        <w:t xml:space="preserve"> Accordingly, states should ensure that reproductive health services </w:t>
      </w:r>
      <w:r w:rsidR="00851BA4" w:rsidRPr="00F30F68">
        <w:rPr>
          <w:rFonts w:ascii="Times New Roman" w:hAnsi="Times New Roman" w:cs="Times New Roman"/>
          <w:sz w:val="24"/>
          <w:szCs w:val="24"/>
        </w:rPr>
        <w:t>are geographically</w:t>
      </w:r>
      <w:r w:rsidR="008F45F0" w:rsidRPr="00F30F68">
        <w:rPr>
          <w:rFonts w:ascii="Times New Roman" w:hAnsi="Times New Roman" w:cs="Times New Roman"/>
          <w:sz w:val="24"/>
          <w:szCs w:val="24"/>
        </w:rPr>
        <w:t xml:space="preserve"> accessible and are</w:t>
      </w:r>
      <w:r w:rsidRPr="00F30F68">
        <w:rPr>
          <w:rFonts w:ascii="Times New Roman" w:hAnsi="Times New Roman" w:cs="Times New Roman"/>
          <w:sz w:val="24"/>
          <w:szCs w:val="24"/>
        </w:rPr>
        <w:t xml:space="preserve"> open during convenient hours for adolescents</w:t>
      </w:r>
      <w:r w:rsidR="004F44FB" w:rsidRPr="00F30F68">
        <w:rPr>
          <w:rFonts w:ascii="Times New Roman" w:hAnsi="Times New Roman" w:cs="Times New Roman"/>
          <w:sz w:val="24"/>
          <w:szCs w:val="24"/>
        </w:rPr>
        <w:t xml:space="preserve">. </w:t>
      </w:r>
      <w:r w:rsidR="00C4312B" w:rsidRPr="00F30F68">
        <w:rPr>
          <w:rFonts w:ascii="Times New Roman" w:hAnsi="Times New Roman" w:cs="Times New Roman"/>
          <w:sz w:val="24"/>
          <w:szCs w:val="24"/>
        </w:rPr>
        <w:t>S</w:t>
      </w:r>
      <w:r w:rsidRPr="00F30F68">
        <w:rPr>
          <w:rFonts w:ascii="Times New Roman" w:hAnsi="Times New Roman" w:cs="Times New Roman"/>
          <w:sz w:val="24"/>
          <w:szCs w:val="24"/>
        </w:rPr>
        <w:t xml:space="preserve">tates </w:t>
      </w:r>
      <w:r w:rsidR="00C4312B" w:rsidRPr="00F30F68">
        <w:rPr>
          <w:rFonts w:ascii="Times New Roman" w:hAnsi="Times New Roman" w:cs="Times New Roman"/>
          <w:sz w:val="24"/>
          <w:szCs w:val="24"/>
        </w:rPr>
        <w:t xml:space="preserve">should </w:t>
      </w:r>
      <w:r w:rsidR="006C231E" w:rsidRPr="00F30F68">
        <w:rPr>
          <w:rFonts w:ascii="Times New Roman" w:hAnsi="Times New Roman" w:cs="Times New Roman"/>
          <w:sz w:val="24"/>
          <w:szCs w:val="24"/>
        </w:rPr>
        <w:t>also develop</w:t>
      </w:r>
      <w:r w:rsidRPr="00F30F68">
        <w:rPr>
          <w:rFonts w:ascii="Times New Roman" w:hAnsi="Times New Roman" w:cs="Times New Roman"/>
          <w:sz w:val="24"/>
          <w:szCs w:val="24"/>
        </w:rPr>
        <w:t xml:space="preserve"> a core package of interventions, including sexual and reproductive health services, that will be available free of charge.</w:t>
      </w:r>
      <w:r w:rsidRPr="00F30F68">
        <w:rPr>
          <w:rStyle w:val="EndnoteReference"/>
          <w:rFonts w:ascii="Times New Roman" w:hAnsi="Times New Roman" w:cs="Times New Roman"/>
          <w:sz w:val="24"/>
          <w:szCs w:val="24"/>
        </w:rPr>
        <w:endnoteReference w:id="53"/>
      </w:r>
      <w:r w:rsidRPr="00F30F68">
        <w:rPr>
          <w:rFonts w:ascii="Times New Roman" w:hAnsi="Times New Roman" w:cs="Times New Roman"/>
          <w:sz w:val="24"/>
          <w:szCs w:val="24"/>
        </w:rPr>
        <w:t xml:space="preserve"> </w:t>
      </w:r>
    </w:p>
    <w:p w14:paraId="46FDE061" w14:textId="1495CA33" w:rsidR="001F5BC1" w:rsidRPr="00F30F68" w:rsidRDefault="001F5BC1" w:rsidP="00EE6BE9">
      <w:pPr>
        <w:jc w:val="both"/>
        <w:rPr>
          <w:rFonts w:ascii="Times New Roman" w:hAnsi="Times New Roman" w:cs="Times New Roman"/>
          <w:sz w:val="24"/>
          <w:szCs w:val="24"/>
        </w:rPr>
      </w:pPr>
    </w:p>
    <w:p w14:paraId="5AACB23E" w14:textId="56EF5C43" w:rsidR="00CB1E4E" w:rsidRPr="00F30F68" w:rsidRDefault="00CB1E4E" w:rsidP="00EE6BE9">
      <w:pPr>
        <w:pStyle w:val="ListParagraph"/>
        <w:numPr>
          <w:ilvl w:val="1"/>
          <w:numId w:val="2"/>
        </w:numPr>
        <w:jc w:val="both"/>
        <w:rPr>
          <w:rFonts w:ascii="Times New Roman" w:hAnsi="Times New Roman" w:cs="Times New Roman"/>
          <w:sz w:val="24"/>
          <w:szCs w:val="24"/>
        </w:rPr>
      </w:pPr>
      <w:r w:rsidRPr="00F30F68">
        <w:rPr>
          <w:rFonts w:ascii="Times New Roman" w:hAnsi="Times New Roman" w:cs="Times New Roman"/>
          <w:sz w:val="24"/>
          <w:szCs w:val="24"/>
        </w:rPr>
        <w:t>Role of healthcare workers</w:t>
      </w:r>
    </w:p>
    <w:p w14:paraId="22FC9632" w14:textId="5466938B" w:rsidR="00DA317D" w:rsidRPr="00F30F68" w:rsidRDefault="00DA317D"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Healthcare workers often play a critical role in enabling adolescents to access sexual and reproductive health services, but proper training is essential to ensure they fulfill adolescents’ rights. </w:t>
      </w:r>
      <w:r w:rsidR="00851BA4">
        <w:rPr>
          <w:rFonts w:ascii="Times New Roman" w:hAnsi="Times New Roman" w:cs="Times New Roman"/>
          <w:sz w:val="24"/>
          <w:szCs w:val="24"/>
        </w:rPr>
        <w:t>Specifically</w:t>
      </w:r>
      <w:r w:rsidR="004F15FF" w:rsidRPr="00F30F68">
        <w:rPr>
          <w:rFonts w:ascii="Times New Roman" w:hAnsi="Times New Roman" w:cs="Times New Roman"/>
          <w:sz w:val="24"/>
          <w:szCs w:val="24"/>
        </w:rPr>
        <w:t>, s</w:t>
      </w:r>
      <w:r w:rsidR="00630965" w:rsidRPr="00F30F68">
        <w:rPr>
          <w:rFonts w:ascii="Times New Roman" w:hAnsi="Times New Roman" w:cs="Times New Roman"/>
          <w:sz w:val="24"/>
          <w:szCs w:val="24"/>
        </w:rPr>
        <w:t xml:space="preserve">tates </w:t>
      </w:r>
      <w:r w:rsidR="004F15FF" w:rsidRPr="00F30F68">
        <w:rPr>
          <w:rFonts w:ascii="Times New Roman" w:hAnsi="Times New Roman" w:cs="Times New Roman"/>
          <w:sz w:val="24"/>
          <w:szCs w:val="24"/>
        </w:rPr>
        <w:t>must</w:t>
      </w:r>
      <w:r w:rsidR="00630965" w:rsidRPr="00F30F68">
        <w:rPr>
          <w:rFonts w:ascii="Times New Roman" w:hAnsi="Times New Roman" w:cs="Times New Roman"/>
          <w:sz w:val="24"/>
          <w:szCs w:val="24"/>
        </w:rPr>
        <w:t xml:space="preserve"> ensure that providers have accurate information on adolescents’ right to access sexual and reproductive health services.</w:t>
      </w:r>
      <w:r w:rsidR="004F15FF" w:rsidRPr="00F30F68">
        <w:rPr>
          <w:rFonts w:ascii="Times New Roman" w:hAnsi="Times New Roman" w:cs="Times New Roman"/>
          <w:sz w:val="24"/>
          <w:szCs w:val="24"/>
        </w:rPr>
        <w:t xml:space="preserve"> </w:t>
      </w:r>
      <w:r w:rsidR="00851BA4">
        <w:rPr>
          <w:rFonts w:ascii="Times New Roman" w:hAnsi="Times New Roman" w:cs="Times New Roman"/>
          <w:sz w:val="24"/>
          <w:szCs w:val="24"/>
        </w:rPr>
        <w:t>Furthermore, s</w:t>
      </w:r>
      <w:r w:rsidRPr="00F30F68">
        <w:rPr>
          <w:rFonts w:ascii="Times New Roman" w:hAnsi="Times New Roman" w:cs="Times New Roman"/>
          <w:sz w:val="24"/>
          <w:szCs w:val="24"/>
        </w:rPr>
        <w:t>tates should ensure that health care workers:</w:t>
      </w:r>
    </w:p>
    <w:p w14:paraId="4F1AB8B5" w14:textId="77777777" w:rsidR="00DA317D" w:rsidRPr="00F30F68" w:rsidRDefault="00DA317D" w:rsidP="00EE6BE9">
      <w:pPr>
        <w:pStyle w:val="ListParagraph"/>
        <w:numPr>
          <w:ilvl w:val="0"/>
          <w:numId w:val="10"/>
        </w:numPr>
        <w:spacing w:after="0" w:line="240" w:lineRule="auto"/>
        <w:jc w:val="both"/>
        <w:rPr>
          <w:rFonts w:ascii="Times New Roman" w:hAnsi="Times New Roman" w:cs="Times New Roman"/>
          <w:sz w:val="24"/>
          <w:szCs w:val="24"/>
        </w:rPr>
      </w:pPr>
      <w:r w:rsidRPr="00F30F68">
        <w:rPr>
          <w:rFonts w:ascii="Times New Roman" w:hAnsi="Times New Roman" w:cs="Times New Roman"/>
          <w:sz w:val="24"/>
          <w:szCs w:val="24"/>
        </w:rPr>
        <w:t>do not discriminate against adolescents, including on the basis of age, sex, or social status, among others.</w:t>
      </w:r>
      <w:r w:rsidRPr="00F30F68">
        <w:rPr>
          <w:rFonts w:ascii="Times New Roman" w:hAnsi="Times New Roman" w:cs="Times New Roman"/>
          <w:sz w:val="24"/>
          <w:szCs w:val="24"/>
          <w:vertAlign w:val="superscript"/>
        </w:rPr>
        <w:endnoteReference w:id="54"/>
      </w:r>
      <w:r w:rsidRPr="00F30F68">
        <w:rPr>
          <w:rFonts w:ascii="Times New Roman" w:hAnsi="Times New Roman" w:cs="Times New Roman"/>
          <w:sz w:val="24"/>
          <w:szCs w:val="24"/>
        </w:rPr>
        <w:t xml:space="preserve"> This includes overcoming prejudices against adolescent girls’ sexuality;</w:t>
      </w:r>
      <w:r w:rsidRPr="00F30F68">
        <w:rPr>
          <w:rFonts w:ascii="Times New Roman" w:hAnsi="Times New Roman" w:cs="Times New Roman"/>
          <w:sz w:val="24"/>
          <w:szCs w:val="24"/>
          <w:vertAlign w:val="superscript"/>
        </w:rPr>
        <w:endnoteReference w:id="55"/>
      </w:r>
    </w:p>
    <w:p w14:paraId="4F2CC89A" w14:textId="6D6B5175" w:rsidR="00DA317D" w:rsidRPr="00F30F68" w:rsidRDefault="00DA317D" w:rsidP="00EE6BE9">
      <w:pPr>
        <w:pStyle w:val="ListParagraph"/>
        <w:numPr>
          <w:ilvl w:val="0"/>
          <w:numId w:val="10"/>
        </w:numPr>
        <w:spacing w:after="0" w:line="240" w:lineRule="auto"/>
        <w:jc w:val="both"/>
        <w:rPr>
          <w:rFonts w:ascii="Times New Roman" w:hAnsi="Times New Roman" w:cs="Times New Roman"/>
          <w:sz w:val="24"/>
          <w:szCs w:val="24"/>
        </w:rPr>
      </w:pPr>
      <w:r w:rsidRPr="00F30F68">
        <w:rPr>
          <w:rFonts w:ascii="Times New Roman" w:hAnsi="Times New Roman" w:cs="Times New Roman"/>
          <w:sz w:val="24"/>
          <w:szCs w:val="24"/>
        </w:rPr>
        <w:t>are respectful of adolescents, meaning that they be non</w:t>
      </w:r>
      <w:r w:rsidR="00DA1A19" w:rsidRPr="00F30F68">
        <w:rPr>
          <w:rFonts w:ascii="Times New Roman" w:hAnsi="Times New Roman" w:cs="Times New Roman"/>
          <w:sz w:val="24"/>
          <w:szCs w:val="24"/>
        </w:rPr>
        <w:t>-</w:t>
      </w:r>
      <w:r w:rsidRPr="00F30F68">
        <w:rPr>
          <w:rFonts w:ascii="Times New Roman" w:hAnsi="Times New Roman" w:cs="Times New Roman"/>
          <w:sz w:val="24"/>
          <w:szCs w:val="24"/>
        </w:rPr>
        <w:t>judgmental, friendly and considerate of their needs, and do not criticize them;</w:t>
      </w:r>
      <w:r w:rsidRPr="00F30F68">
        <w:rPr>
          <w:rFonts w:ascii="Times New Roman" w:hAnsi="Times New Roman" w:cs="Times New Roman"/>
          <w:sz w:val="24"/>
          <w:szCs w:val="24"/>
          <w:vertAlign w:val="superscript"/>
        </w:rPr>
        <w:endnoteReference w:id="56"/>
      </w:r>
    </w:p>
    <w:p w14:paraId="0418956A" w14:textId="77777777" w:rsidR="00DA317D" w:rsidRPr="00F30F68" w:rsidRDefault="00DA317D" w:rsidP="00EE6BE9">
      <w:pPr>
        <w:pStyle w:val="ListParagraph"/>
        <w:numPr>
          <w:ilvl w:val="0"/>
          <w:numId w:val="10"/>
        </w:numPr>
        <w:spacing w:after="0" w:line="240" w:lineRule="auto"/>
        <w:jc w:val="both"/>
        <w:rPr>
          <w:rFonts w:ascii="Times New Roman" w:hAnsi="Times New Roman" w:cs="Times New Roman"/>
          <w:sz w:val="24"/>
          <w:szCs w:val="24"/>
        </w:rPr>
      </w:pPr>
      <w:r w:rsidRPr="00F30F68">
        <w:rPr>
          <w:rFonts w:ascii="Times New Roman" w:hAnsi="Times New Roman" w:cs="Times New Roman"/>
          <w:sz w:val="24"/>
          <w:szCs w:val="24"/>
        </w:rPr>
        <w:t>administer adolescent-friendly sexual and reproductive health services, including on client privacy, confidentiality and respecting minors’ needs;</w:t>
      </w:r>
      <w:bookmarkStart w:id="11" w:name="_Ref501466456"/>
      <w:r w:rsidRPr="00F30F68">
        <w:rPr>
          <w:rFonts w:ascii="Times New Roman" w:hAnsi="Times New Roman" w:cs="Times New Roman"/>
          <w:sz w:val="24"/>
          <w:szCs w:val="24"/>
          <w:vertAlign w:val="superscript"/>
        </w:rPr>
        <w:endnoteReference w:id="57"/>
      </w:r>
      <w:bookmarkEnd w:id="11"/>
      <w:r w:rsidRPr="00F30F68">
        <w:rPr>
          <w:rFonts w:ascii="Times New Roman" w:hAnsi="Times New Roman" w:cs="Times New Roman"/>
          <w:sz w:val="24"/>
          <w:szCs w:val="24"/>
        </w:rPr>
        <w:t xml:space="preserve"> </w:t>
      </w:r>
    </w:p>
    <w:p w14:paraId="3E28B257" w14:textId="2629C3F3" w:rsidR="00DA317D" w:rsidRPr="00F30F68" w:rsidRDefault="00DA317D" w:rsidP="00EE6BE9">
      <w:pPr>
        <w:pStyle w:val="ListParagraph"/>
        <w:numPr>
          <w:ilvl w:val="0"/>
          <w:numId w:val="10"/>
        </w:numPr>
        <w:spacing w:after="0" w:line="240" w:lineRule="auto"/>
        <w:jc w:val="both"/>
        <w:rPr>
          <w:rFonts w:ascii="Times New Roman" w:hAnsi="Times New Roman" w:cs="Times New Roman"/>
          <w:sz w:val="24"/>
          <w:szCs w:val="24"/>
        </w:rPr>
      </w:pPr>
      <w:r w:rsidRPr="00F30F68">
        <w:rPr>
          <w:rFonts w:ascii="Times New Roman" w:hAnsi="Times New Roman" w:cs="Times New Roman"/>
          <w:sz w:val="24"/>
          <w:szCs w:val="24"/>
        </w:rPr>
        <w:t>provide scientifically-accurate and comprehensive information on adolescents’ sexual and</w:t>
      </w:r>
      <w:r w:rsidR="00851BA4">
        <w:rPr>
          <w:rFonts w:ascii="Times New Roman" w:hAnsi="Times New Roman" w:cs="Times New Roman"/>
          <w:sz w:val="24"/>
          <w:szCs w:val="24"/>
        </w:rPr>
        <w:t xml:space="preserve"> reproductive health and rights</w:t>
      </w:r>
      <w:r w:rsidRPr="00F30F68">
        <w:rPr>
          <w:rFonts w:ascii="Times New Roman" w:hAnsi="Times New Roman" w:cs="Times New Roman"/>
          <w:sz w:val="24"/>
          <w:szCs w:val="24"/>
        </w:rPr>
        <w:t>;</w:t>
      </w:r>
      <w:r w:rsidR="00851BA4" w:rsidRPr="0062200F">
        <w:rPr>
          <w:rStyle w:val="EndnoteReference"/>
          <w:rFonts w:ascii="Times New Roman" w:hAnsi="Times New Roman" w:cs="Times New Roman"/>
        </w:rPr>
        <w:endnoteReference w:id="58"/>
      </w:r>
      <w:r w:rsidR="00851BA4" w:rsidRPr="0062200F">
        <w:rPr>
          <w:rFonts w:ascii="Times New Roman" w:hAnsi="Times New Roman" w:cs="Times New Roman"/>
        </w:rPr>
        <w:t xml:space="preserve"> </w:t>
      </w:r>
      <w:r w:rsidRPr="00F30F68">
        <w:rPr>
          <w:rFonts w:ascii="Times New Roman" w:hAnsi="Times New Roman" w:cs="Times New Roman"/>
          <w:sz w:val="24"/>
          <w:szCs w:val="24"/>
        </w:rPr>
        <w:t>and</w:t>
      </w:r>
    </w:p>
    <w:p w14:paraId="3A4E7B3D" w14:textId="56D9E766" w:rsidR="00DA317D" w:rsidRPr="00F30F68" w:rsidRDefault="00DA317D" w:rsidP="00EE6BE9">
      <w:pPr>
        <w:pStyle w:val="ListParagraph"/>
        <w:numPr>
          <w:ilvl w:val="0"/>
          <w:numId w:val="10"/>
        </w:numPr>
        <w:spacing w:after="0" w:line="240" w:lineRule="auto"/>
        <w:jc w:val="both"/>
        <w:rPr>
          <w:rFonts w:ascii="Times New Roman" w:hAnsi="Times New Roman" w:cs="Times New Roman"/>
          <w:sz w:val="24"/>
          <w:szCs w:val="24"/>
        </w:rPr>
      </w:pPr>
      <w:r w:rsidRPr="00F30F68">
        <w:rPr>
          <w:rFonts w:ascii="Times New Roman" w:hAnsi="Times New Roman" w:cs="Times New Roman"/>
          <w:sz w:val="24"/>
          <w:szCs w:val="24"/>
        </w:rPr>
        <w:t>communicate effectively with adolescents to ensure they understand their sexua</w:t>
      </w:r>
      <w:r w:rsidR="00851BA4">
        <w:rPr>
          <w:rFonts w:ascii="Times New Roman" w:hAnsi="Times New Roman" w:cs="Times New Roman"/>
          <w:sz w:val="24"/>
          <w:szCs w:val="24"/>
        </w:rPr>
        <w:t>l and reproductive health needs</w:t>
      </w:r>
      <w:r w:rsidRPr="00F30F68">
        <w:rPr>
          <w:rFonts w:ascii="Times New Roman" w:hAnsi="Times New Roman" w:cs="Times New Roman"/>
          <w:sz w:val="24"/>
          <w:szCs w:val="24"/>
        </w:rPr>
        <w:t>.</w:t>
      </w:r>
      <w:r w:rsidRPr="00F30F68">
        <w:rPr>
          <w:rFonts w:ascii="Times New Roman" w:hAnsi="Times New Roman" w:cs="Times New Roman"/>
          <w:sz w:val="24"/>
          <w:szCs w:val="24"/>
          <w:vertAlign w:val="superscript"/>
        </w:rPr>
        <w:endnoteReference w:id="59"/>
      </w:r>
      <w:r w:rsidRPr="00F30F68">
        <w:rPr>
          <w:rFonts w:ascii="Times New Roman" w:hAnsi="Times New Roman" w:cs="Times New Roman"/>
          <w:sz w:val="24"/>
          <w:szCs w:val="24"/>
        </w:rPr>
        <w:t xml:space="preserve"> </w:t>
      </w:r>
    </w:p>
    <w:p w14:paraId="15F8F5B1" w14:textId="77777777" w:rsidR="00D9334B" w:rsidRPr="00F30F68" w:rsidRDefault="00D9334B" w:rsidP="00EE6BE9">
      <w:pPr>
        <w:jc w:val="both"/>
        <w:rPr>
          <w:rFonts w:ascii="Times New Roman" w:hAnsi="Times New Roman" w:cs="Times New Roman"/>
          <w:sz w:val="24"/>
          <w:szCs w:val="24"/>
        </w:rPr>
      </w:pPr>
    </w:p>
    <w:p w14:paraId="2E3EEAD6" w14:textId="278380C5" w:rsidR="00CB1E4E" w:rsidRPr="00F30F68" w:rsidRDefault="00CB1E4E" w:rsidP="00EE6BE9">
      <w:pPr>
        <w:pStyle w:val="ListParagraph"/>
        <w:numPr>
          <w:ilvl w:val="1"/>
          <w:numId w:val="2"/>
        </w:numPr>
        <w:jc w:val="both"/>
        <w:rPr>
          <w:rFonts w:ascii="Times New Roman" w:hAnsi="Times New Roman" w:cs="Times New Roman"/>
          <w:sz w:val="24"/>
          <w:szCs w:val="24"/>
        </w:rPr>
      </w:pPr>
      <w:r w:rsidRPr="00F30F68">
        <w:rPr>
          <w:rFonts w:ascii="Times New Roman" w:hAnsi="Times New Roman" w:cs="Times New Roman"/>
          <w:sz w:val="24"/>
          <w:szCs w:val="24"/>
        </w:rPr>
        <w:t>Meaningful participation of adolescents</w:t>
      </w:r>
    </w:p>
    <w:p w14:paraId="55649C53" w14:textId="653DF4FD" w:rsidR="00A73211" w:rsidRPr="00F30F68" w:rsidRDefault="00A73211" w:rsidP="00EE6BE9">
      <w:pPr>
        <w:jc w:val="both"/>
        <w:rPr>
          <w:rFonts w:ascii="Times New Roman" w:hAnsi="Times New Roman" w:cs="Times New Roman"/>
          <w:sz w:val="24"/>
          <w:szCs w:val="24"/>
        </w:rPr>
      </w:pPr>
      <w:r w:rsidRPr="00F30F68">
        <w:rPr>
          <w:rFonts w:ascii="Times New Roman" w:hAnsi="Times New Roman" w:cs="Times New Roman"/>
          <w:sz w:val="24"/>
          <w:szCs w:val="24"/>
        </w:rPr>
        <w:t>States must also guarantee adolescents meaningful participation in the design, implementation, monitoring</w:t>
      </w:r>
      <w:r w:rsidR="00FF171E" w:rsidRPr="00F30F68">
        <w:rPr>
          <w:rFonts w:ascii="Times New Roman" w:hAnsi="Times New Roman" w:cs="Times New Roman"/>
          <w:sz w:val="24"/>
          <w:szCs w:val="24"/>
        </w:rPr>
        <w:t>,</w:t>
      </w:r>
      <w:r w:rsidRPr="00F30F68">
        <w:rPr>
          <w:rFonts w:ascii="Times New Roman" w:hAnsi="Times New Roman" w:cs="Times New Roman"/>
          <w:sz w:val="24"/>
          <w:szCs w:val="24"/>
        </w:rPr>
        <w:t xml:space="preserve"> and evaluation of youth-friendly sexual and reproductive health programs.</w:t>
      </w:r>
      <w:r w:rsidRPr="00F30F68">
        <w:rPr>
          <w:rFonts w:ascii="Times New Roman" w:hAnsi="Times New Roman" w:cs="Times New Roman"/>
          <w:sz w:val="24"/>
          <w:szCs w:val="24"/>
          <w:vertAlign w:val="superscript"/>
        </w:rPr>
        <w:endnoteReference w:id="60"/>
      </w:r>
      <w:r w:rsidRPr="00F30F68">
        <w:rPr>
          <w:rFonts w:ascii="Times New Roman" w:hAnsi="Times New Roman" w:cs="Times New Roman"/>
          <w:sz w:val="24"/>
          <w:szCs w:val="24"/>
        </w:rPr>
        <w:t xml:space="preserve"> States should take special measures to ensure the meaningful representation of marginalized groups that may face additional barriers in access to sexual and reproductive health services. </w:t>
      </w:r>
    </w:p>
    <w:p w14:paraId="773C5AAB" w14:textId="403938E7" w:rsidR="00A73211" w:rsidRPr="00F30F68" w:rsidRDefault="00A73211" w:rsidP="00EE6BE9">
      <w:pPr>
        <w:jc w:val="both"/>
        <w:rPr>
          <w:rFonts w:ascii="Times New Roman" w:hAnsi="Times New Roman" w:cs="Times New Roman"/>
          <w:sz w:val="24"/>
          <w:szCs w:val="24"/>
        </w:rPr>
      </w:pPr>
    </w:p>
    <w:p w14:paraId="3EC3E650" w14:textId="77777777" w:rsidR="00CB1E4E" w:rsidRPr="00F30F68" w:rsidRDefault="00CB1E4E" w:rsidP="00EE6BE9">
      <w:pPr>
        <w:pStyle w:val="ListParagraph"/>
        <w:numPr>
          <w:ilvl w:val="1"/>
          <w:numId w:val="2"/>
        </w:numPr>
        <w:jc w:val="both"/>
        <w:rPr>
          <w:rFonts w:ascii="Times New Roman" w:hAnsi="Times New Roman" w:cs="Times New Roman"/>
          <w:sz w:val="24"/>
          <w:szCs w:val="24"/>
        </w:rPr>
      </w:pPr>
      <w:r w:rsidRPr="00F30F68">
        <w:rPr>
          <w:rFonts w:ascii="Times New Roman" w:hAnsi="Times New Roman" w:cs="Times New Roman"/>
          <w:sz w:val="24"/>
          <w:szCs w:val="24"/>
        </w:rPr>
        <w:t>Ensuring an effective remedy when their rights are violated</w:t>
      </w:r>
    </w:p>
    <w:p w14:paraId="71DDA53F" w14:textId="6C5B7A4A" w:rsidR="00ED4394" w:rsidRPr="00F30F68" w:rsidRDefault="006142A5"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Finally, both the international community and state governments must ensure that adolescents can </w:t>
      </w:r>
      <w:r w:rsidR="00536B1D" w:rsidRPr="00F30F68">
        <w:rPr>
          <w:rFonts w:ascii="Times New Roman" w:hAnsi="Times New Roman" w:cs="Times New Roman"/>
          <w:sz w:val="24"/>
          <w:szCs w:val="24"/>
        </w:rPr>
        <w:t>access</w:t>
      </w:r>
      <w:r w:rsidRPr="00F30F68">
        <w:rPr>
          <w:rFonts w:ascii="Times New Roman" w:hAnsi="Times New Roman" w:cs="Times New Roman"/>
          <w:sz w:val="24"/>
          <w:szCs w:val="24"/>
        </w:rPr>
        <w:t xml:space="preserve"> effective remed</w:t>
      </w:r>
      <w:r w:rsidR="00536B1D" w:rsidRPr="00F30F68">
        <w:rPr>
          <w:rFonts w:ascii="Times New Roman" w:hAnsi="Times New Roman" w:cs="Times New Roman"/>
          <w:sz w:val="24"/>
          <w:szCs w:val="24"/>
        </w:rPr>
        <w:t>ies</w:t>
      </w:r>
      <w:r w:rsidRPr="00F30F68">
        <w:rPr>
          <w:rFonts w:ascii="Times New Roman" w:hAnsi="Times New Roman" w:cs="Times New Roman"/>
          <w:sz w:val="24"/>
          <w:szCs w:val="24"/>
        </w:rPr>
        <w:t xml:space="preserve"> when their rights are violated</w:t>
      </w:r>
      <w:bookmarkStart w:id="12" w:name="_Ref501466511"/>
      <w:r w:rsidR="00ED4394" w:rsidRPr="00F30F68">
        <w:rPr>
          <w:rStyle w:val="EndnoteReference"/>
          <w:rFonts w:ascii="Times New Roman" w:hAnsi="Times New Roman" w:cs="Times New Roman"/>
          <w:sz w:val="24"/>
          <w:szCs w:val="24"/>
        </w:rPr>
        <w:endnoteReference w:id="61"/>
      </w:r>
      <w:bookmarkEnd w:id="12"/>
      <w:r w:rsidR="00ED4394" w:rsidRPr="00F30F68">
        <w:rPr>
          <w:rFonts w:ascii="Times New Roman" w:hAnsi="Times New Roman" w:cs="Times New Roman"/>
          <w:sz w:val="24"/>
          <w:szCs w:val="24"/>
        </w:rPr>
        <w:t xml:space="preserve"> The CRC</w:t>
      </w:r>
      <w:r w:rsidR="00AF0F3C">
        <w:rPr>
          <w:rFonts w:ascii="Times New Roman" w:hAnsi="Times New Roman" w:cs="Times New Roman"/>
          <w:sz w:val="24"/>
          <w:szCs w:val="24"/>
        </w:rPr>
        <w:t xml:space="preserve"> Committee</w:t>
      </w:r>
      <w:r w:rsidR="00ED4394" w:rsidRPr="00F30F68">
        <w:rPr>
          <w:rFonts w:ascii="Times New Roman" w:hAnsi="Times New Roman" w:cs="Times New Roman"/>
          <w:sz w:val="24"/>
          <w:szCs w:val="24"/>
        </w:rPr>
        <w:t xml:space="preserve"> has made clear that states must ensure that children have access to child-sensitive procedures to access an effective remedy,</w:t>
      </w:r>
      <w:r w:rsidR="00ED4394" w:rsidRPr="00F30F68">
        <w:rPr>
          <w:rStyle w:val="EndnoteReference"/>
          <w:rFonts w:ascii="Times New Roman" w:hAnsi="Times New Roman" w:cs="Times New Roman"/>
          <w:sz w:val="24"/>
          <w:szCs w:val="24"/>
        </w:rPr>
        <w:endnoteReference w:id="62"/>
      </w:r>
      <w:r w:rsidR="005762AD">
        <w:rPr>
          <w:rFonts w:ascii="Times New Roman" w:hAnsi="Times New Roman" w:cs="Times New Roman"/>
          <w:sz w:val="24"/>
          <w:szCs w:val="24"/>
        </w:rPr>
        <w:t xml:space="preserve"> including by providing “</w:t>
      </w:r>
      <w:r w:rsidR="00ED4394" w:rsidRPr="00F30F68">
        <w:rPr>
          <w:rFonts w:ascii="Times New Roman" w:hAnsi="Times New Roman" w:cs="Times New Roman"/>
          <w:sz w:val="24"/>
          <w:szCs w:val="24"/>
        </w:rPr>
        <w:t>child-sensitive information, advice, [and] advocacy, inclu</w:t>
      </w:r>
      <w:r w:rsidR="005762AD">
        <w:rPr>
          <w:rFonts w:ascii="Times New Roman" w:hAnsi="Times New Roman" w:cs="Times New Roman"/>
          <w:sz w:val="24"/>
          <w:szCs w:val="24"/>
        </w:rPr>
        <w:t>ding support for self-advocacy.”</w:t>
      </w:r>
      <w:r w:rsidR="00ED4394" w:rsidRPr="00F30F68">
        <w:rPr>
          <w:rStyle w:val="EndnoteReference"/>
          <w:rFonts w:ascii="Times New Roman" w:hAnsi="Times New Roman" w:cs="Times New Roman"/>
          <w:sz w:val="24"/>
          <w:szCs w:val="24"/>
        </w:rPr>
        <w:endnoteReference w:id="63"/>
      </w:r>
      <w:r w:rsidR="00ED4394" w:rsidRPr="00F30F68">
        <w:rPr>
          <w:rFonts w:ascii="Times New Roman" w:hAnsi="Times New Roman" w:cs="Times New Roman"/>
          <w:sz w:val="24"/>
          <w:szCs w:val="24"/>
        </w:rPr>
        <w:t xml:space="preserve"> </w:t>
      </w:r>
    </w:p>
    <w:p w14:paraId="5F19465D" w14:textId="77777777" w:rsidR="00ED4394" w:rsidRPr="00F30F68" w:rsidRDefault="00ED4394" w:rsidP="00EE6BE9">
      <w:pPr>
        <w:jc w:val="both"/>
        <w:rPr>
          <w:rFonts w:ascii="Times New Roman" w:hAnsi="Times New Roman" w:cs="Times New Roman"/>
          <w:sz w:val="24"/>
          <w:szCs w:val="24"/>
        </w:rPr>
      </w:pPr>
    </w:p>
    <w:p w14:paraId="1D3D9CEB" w14:textId="4EA8E4FC" w:rsidR="00ED4394" w:rsidRPr="00F30F68" w:rsidRDefault="00ED4394" w:rsidP="00EE6BE9">
      <w:pPr>
        <w:jc w:val="both"/>
        <w:rPr>
          <w:rFonts w:ascii="Times New Roman" w:hAnsi="Times New Roman" w:cs="Times New Roman"/>
          <w:sz w:val="24"/>
          <w:szCs w:val="24"/>
        </w:rPr>
      </w:pPr>
      <w:r w:rsidRPr="00F30F68">
        <w:rPr>
          <w:rFonts w:ascii="Times New Roman" w:hAnsi="Times New Roman" w:cs="Times New Roman"/>
          <w:sz w:val="24"/>
          <w:szCs w:val="24"/>
        </w:rPr>
        <w:t xml:space="preserve">For such mechanisms to be effective, adolescents must have information about their rights, </w:t>
      </w:r>
      <w:r w:rsidR="00EE6BE9" w:rsidRPr="00F30F68">
        <w:rPr>
          <w:rFonts w:ascii="Times New Roman" w:hAnsi="Times New Roman" w:cs="Times New Roman"/>
          <w:sz w:val="24"/>
          <w:szCs w:val="24"/>
        </w:rPr>
        <w:t>to</w:t>
      </w:r>
      <w:r w:rsidRPr="00F30F68">
        <w:rPr>
          <w:rFonts w:ascii="Times New Roman" w:hAnsi="Times New Roman" w:cs="Times New Roman"/>
          <w:sz w:val="24"/>
          <w:szCs w:val="24"/>
        </w:rPr>
        <w:t xml:space="preserve"> enable them to recognize human rights violations. </w:t>
      </w:r>
      <w:r w:rsidRPr="00EE6BE9">
        <w:rPr>
          <w:rFonts w:ascii="Times New Roman" w:hAnsi="Times New Roman" w:cs="Times New Roman"/>
          <w:sz w:val="24"/>
          <w:szCs w:val="24"/>
        </w:rPr>
        <w:t>For this reason, it is critical that states enshrine the right to access sexual and reproductive health services into laws and policies and disseminate information to adolescents about this right.</w:t>
      </w:r>
      <w:r w:rsidRPr="00F30F68">
        <w:rPr>
          <w:rStyle w:val="EndnoteReference"/>
          <w:rFonts w:ascii="Times New Roman" w:hAnsi="Times New Roman" w:cs="Times New Roman"/>
          <w:sz w:val="24"/>
          <w:szCs w:val="24"/>
        </w:rPr>
        <w:endnoteReference w:id="64"/>
      </w:r>
      <w:r w:rsidRPr="00EE6BE9">
        <w:rPr>
          <w:rFonts w:ascii="Times New Roman" w:hAnsi="Times New Roman" w:cs="Times New Roman"/>
          <w:sz w:val="24"/>
          <w:szCs w:val="24"/>
        </w:rPr>
        <w:t xml:space="preserve"> </w:t>
      </w:r>
      <w:r w:rsidRPr="00F30F68">
        <w:rPr>
          <w:rFonts w:ascii="Times New Roman" w:hAnsi="Times New Roman" w:cs="Times New Roman"/>
          <w:sz w:val="24"/>
          <w:szCs w:val="24"/>
        </w:rPr>
        <w:t>Adolescents must further have knowledge about their rights and available mechanisms of redress to access remedies for human rights violations and how to go about doing so.</w:t>
      </w:r>
      <w:r w:rsidRPr="00F30F68">
        <w:rPr>
          <w:rStyle w:val="EndnoteReference"/>
          <w:rFonts w:ascii="Times New Roman" w:hAnsi="Times New Roman" w:cs="Times New Roman"/>
          <w:sz w:val="24"/>
          <w:szCs w:val="24"/>
        </w:rPr>
        <w:endnoteReference w:id="65"/>
      </w:r>
      <w:r w:rsidRPr="00F30F68">
        <w:rPr>
          <w:rFonts w:ascii="Times New Roman" w:hAnsi="Times New Roman" w:cs="Times New Roman"/>
          <w:sz w:val="24"/>
          <w:szCs w:val="24"/>
        </w:rPr>
        <w:t xml:space="preserve"> Information about adolescents’ rights, including their right t</w:t>
      </w:r>
      <w:r w:rsidR="00F30F68">
        <w:rPr>
          <w:rFonts w:ascii="Times New Roman" w:hAnsi="Times New Roman" w:cs="Times New Roman"/>
          <w:sz w:val="24"/>
          <w:szCs w:val="24"/>
        </w:rPr>
        <w:t>o an effective remedy, must be “</w:t>
      </w:r>
      <w:r w:rsidRPr="00F30F68">
        <w:rPr>
          <w:rFonts w:ascii="Times New Roman" w:hAnsi="Times New Roman" w:cs="Times New Roman"/>
          <w:sz w:val="24"/>
          <w:szCs w:val="24"/>
        </w:rPr>
        <w:t>conveyed in language children are able to understand and which is gender- and culture-sensitive, and supported by child-sensitive mate</w:t>
      </w:r>
      <w:r w:rsidR="00F30F68">
        <w:rPr>
          <w:rFonts w:ascii="Times New Roman" w:hAnsi="Times New Roman" w:cs="Times New Roman"/>
          <w:sz w:val="24"/>
          <w:szCs w:val="24"/>
        </w:rPr>
        <w:t>rials and information services.”</w:t>
      </w:r>
      <w:r w:rsidRPr="00F30F68">
        <w:rPr>
          <w:rStyle w:val="EndnoteReference"/>
          <w:rFonts w:ascii="Times New Roman" w:hAnsi="Times New Roman" w:cs="Times New Roman"/>
          <w:sz w:val="24"/>
          <w:szCs w:val="24"/>
        </w:rPr>
        <w:endnoteReference w:id="66"/>
      </w:r>
      <w:r w:rsidRPr="00F30F68">
        <w:rPr>
          <w:rFonts w:ascii="Times New Roman" w:hAnsi="Times New Roman" w:cs="Times New Roman"/>
          <w:sz w:val="24"/>
          <w:szCs w:val="24"/>
        </w:rPr>
        <w:t xml:space="preserve">  </w:t>
      </w:r>
    </w:p>
    <w:p w14:paraId="5FB9AE39" w14:textId="77777777" w:rsidR="00ED4394" w:rsidRPr="00F30F68" w:rsidRDefault="00ED4394" w:rsidP="00EE6BE9">
      <w:pPr>
        <w:jc w:val="both"/>
        <w:rPr>
          <w:rFonts w:ascii="Times New Roman" w:hAnsi="Times New Roman" w:cs="Times New Roman"/>
          <w:sz w:val="24"/>
          <w:szCs w:val="24"/>
        </w:rPr>
      </w:pPr>
    </w:p>
    <w:p w14:paraId="715DAC27" w14:textId="021CE246" w:rsidR="00ED4394" w:rsidRPr="00F30F68" w:rsidRDefault="00ED4394" w:rsidP="00EE6BE9">
      <w:pPr>
        <w:jc w:val="both"/>
        <w:rPr>
          <w:rFonts w:ascii="Times New Roman" w:hAnsi="Times New Roman" w:cs="Times New Roman"/>
          <w:sz w:val="24"/>
          <w:szCs w:val="24"/>
        </w:rPr>
      </w:pPr>
      <w:r w:rsidRPr="00F30F68">
        <w:rPr>
          <w:rFonts w:ascii="Times New Roman" w:hAnsi="Times New Roman" w:cs="Times New Roman"/>
          <w:sz w:val="24"/>
          <w:szCs w:val="24"/>
        </w:rPr>
        <w:t>In addition to providing information on remedies to adolescents, legal systems must also have the authority to adjudicate claims from adolescents and filed on their behalf.</w:t>
      </w:r>
      <w:r w:rsidRPr="00F30F68">
        <w:rPr>
          <w:rStyle w:val="EndnoteReference"/>
          <w:rFonts w:ascii="Times New Roman" w:hAnsi="Times New Roman" w:cs="Times New Roman"/>
          <w:sz w:val="24"/>
          <w:szCs w:val="24"/>
        </w:rPr>
        <w:endnoteReference w:id="67"/>
      </w:r>
      <w:r w:rsidRPr="00F30F68">
        <w:rPr>
          <w:rFonts w:ascii="Times New Roman" w:hAnsi="Times New Roman" w:cs="Times New Roman"/>
          <w:sz w:val="24"/>
          <w:szCs w:val="24"/>
        </w:rPr>
        <w:t xml:space="preserve"> This is particularly critical for sexual and reproductive rights violations, as adolescents may be unwilling to seek assistance from a parent or other adult. </w:t>
      </w:r>
    </w:p>
    <w:p w14:paraId="066AB345" w14:textId="77777777" w:rsidR="003F527A" w:rsidRPr="00F30F68" w:rsidRDefault="003F527A" w:rsidP="00EE6BE9">
      <w:pPr>
        <w:jc w:val="both"/>
        <w:rPr>
          <w:rFonts w:ascii="Times New Roman" w:hAnsi="Times New Roman" w:cs="Times New Roman"/>
          <w:sz w:val="24"/>
          <w:szCs w:val="24"/>
        </w:rPr>
      </w:pPr>
    </w:p>
    <w:sectPr w:rsidR="003F527A" w:rsidRPr="00F30F6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5462" w14:textId="77777777" w:rsidR="00B94AE0" w:rsidRDefault="00B94AE0" w:rsidP="00EB49AB">
      <w:r>
        <w:separator/>
      </w:r>
    </w:p>
  </w:endnote>
  <w:endnote w:type="continuationSeparator" w:id="0">
    <w:p w14:paraId="5670B6E0" w14:textId="77777777" w:rsidR="00B94AE0" w:rsidRDefault="00B94AE0" w:rsidP="00EB49AB">
      <w:r>
        <w:continuationSeparator/>
      </w:r>
    </w:p>
  </w:endnote>
  <w:endnote w:id="1">
    <w:p w14:paraId="3E4C13D1" w14:textId="6443A2E7" w:rsidR="005D1D0E" w:rsidRDefault="005D1D0E">
      <w:pPr>
        <w:pStyle w:val="EndnoteText"/>
      </w:pPr>
      <w:r>
        <w:rPr>
          <w:rStyle w:val="EndnoteReference"/>
        </w:rPr>
        <w:endnoteRef/>
      </w:r>
      <w:r>
        <w:t xml:space="preserve"> In 2017, the Center published </w:t>
      </w:r>
      <w:r w:rsidRPr="00AD1648">
        <w:rPr>
          <w:i/>
        </w:rPr>
        <w:t>Capacity and Consent</w:t>
      </w:r>
      <w:r>
        <w:t xml:space="preserve">, </w:t>
      </w:r>
      <w:r w:rsidR="00AD1648">
        <w:t>which</w:t>
      </w:r>
      <w:r>
        <w:t xml:space="preserve"> details the reproductive rights of ado</w:t>
      </w:r>
      <w:r w:rsidR="00AD1648">
        <w:t xml:space="preserve">lescents. For additional details on the rights discussed in this submission, </w:t>
      </w:r>
      <w:r w:rsidR="00AD1648" w:rsidRPr="00AD1648">
        <w:rPr>
          <w:i/>
        </w:rPr>
        <w:t>see</w:t>
      </w:r>
      <w:r w:rsidR="00AD1648">
        <w:t xml:space="preserve"> </w:t>
      </w:r>
      <w:r w:rsidR="00AD1648" w:rsidRPr="00AD1648">
        <w:rPr>
          <w:smallCaps/>
        </w:rPr>
        <w:t>Center for Reproductive Rights, Capacity and Consent: Empowering Adolescents to Exercise their Reproductive Rights</w:t>
      </w:r>
      <w:r w:rsidR="00AD1648">
        <w:t xml:space="preserve"> (2017). </w:t>
      </w:r>
    </w:p>
  </w:endnote>
  <w:endnote w:id="2">
    <w:p w14:paraId="6DB34383" w14:textId="77777777" w:rsidR="00995A79" w:rsidRPr="00A7286F" w:rsidRDefault="00995A79" w:rsidP="00995A79">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For example, a number of countries’ abortion laws explicitly require parental authorization for minors seeking abortion services. </w:t>
      </w:r>
      <w:r w:rsidRPr="00A7286F">
        <w:rPr>
          <w:rFonts w:ascii="Times New Roman" w:hAnsi="Times New Roman" w:cs="Times New Roman"/>
          <w:i/>
        </w:rPr>
        <w:t>See</w:t>
      </w:r>
      <w:r w:rsidRPr="00A7286F">
        <w:rPr>
          <w:rFonts w:ascii="Times New Roman" w:hAnsi="Times New Roman" w:cs="Times New Roman"/>
        </w:rPr>
        <w:t xml:space="preserve"> Ministry of Health, Order No. 50 of 28 January 1994 on Procedures for Performing a Surgical Termination of Pregnancy, annex no. 1, art. 1.6 (Lithuania) (“The written consent of one of the parents, foster parents, guardians, caregivers, or persons actually raising the child is mandatory in cases of a termination of pregnancy to be performed on a minor girl under the age of 16”); Law of Jan. 7, 1993 on Family Planning, Human Embryo Protection, and Conditions of Legal Pregnancy Termination amended as of Dec. 23, 1997, art. 4a.4 (Pol.) (“In the case of a minor or fully incapacitated woman, the written consent of her legal representative is required”); Zákon č. 73/1986 Zb. o umelom prerušení tehotenstva v znení zákona č. 419/1991 Zb. [Act No. 73/1986 Coll. on Artificial Termination of Pregnancy as amended by the Act No. 419/1991 Coll.] (1986), sec. 6 (1-2) (Slvk.) (“(1) In the case of a woman who has not yet reached the age of 16, artificial interruption of pregnancy in accordance with Section 4 may be performed with the consent of her legal representative or of the person who has been assigned responsibility for raising her. (2) If artificial interruption of pregnancy in accordance with Section 4 has been performed on a woman between 16 and 18 years of age, the health facility shall notify her legal representative.</w:t>
      </w:r>
      <w:r w:rsidRPr="00A7286F">
        <w:rPr>
          <w:rFonts w:ascii="Times New Roman" w:hAnsi="Times New Roman" w:cs="Times New Roman"/>
          <w:bCs/>
        </w:rPr>
        <w:t xml:space="preserve">”); </w:t>
      </w:r>
      <w:r w:rsidRPr="00A7286F">
        <w:rPr>
          <w:rFonts w:ascii="Times New Roman" w:hAnsi="Times New Roman" w:cs="Times New Roman"/>
          <w:bCs/>
          <w:i/>
        </w:rPr>
        <w:t>see also</w:t>
      </w:r>
      <w:r w:rsidRPr="00A7286F">
        <w:rPr>
          <w:rFonts w:ascii="Times New Roman" w:hAnsi="Times New Roman" w:cs="Times New Roman"/>
          <w:bCs/>
        </w:rPr>
        <w:t xml:space="preserve"> </w:t>
      </w:r>
      <w:r w:rsidRPr="00A7286F">
        <w:rPr>
          <w:rFonts w:ascii="Times New Roman" w:hAnsi="Times New Roman" w:cs="Times New Roman"/>
          <w:smallCaps/>
        </w:rPr>
        <w:t xml:space="preserve">International Planned Parenthood Federation (IPPF), Qualitative research on legal barriers to young people’s access to sexual and reproductive health services </w:t>
      </w:r>
      <w:r w:rsidRPr="00A7286F">
        <w:rPr>
          <w:rFonts w:ascii="Times New Roman" w:hAnsi="Times New Roman" w:cs="Times New Roman"/>
        </w:rPr>
        <w:t>13 (June 2014) [hereinafter IPPF, Legal Barriers to Young People’s Access to SRH Services].</w:t>
      </w:r>
    </w:p>
  </w:endnote>
  <w:endnote w:id="3">
    <w:p w14:paraId="1131F20D" w14:textId="3594D0C8" w:rsidR="00995A79" w:rsidRPr="00A7286F" w:rsidRDefault="00995A79" w:rsidP="00995A79">
      <w:pPr>
        <w:pStyle w:val="EndnoteText"/>
        <w:rPr>
          <w:rFonts w:ascii="Times New Roman" w:hAnsi="Times New Roman" w:cs="Times New Roman"/>
        </w:rPr>
      </w:pPr>
      <w:r w:rsidRPr="00A7286F">
        <w:rPr>
          <w:rStyle w:val="EndnoteReference"/>
          <w:rFonts w:ascii="Times New Roman" w:hAnsi="Times New Roman" w:cs="Times New Roman"/>
        </w:rPr>
        <w:endnoteRef/>
      </w:r>
      <w:r w:rsidR="001938FF" w:rsidRPr="00A7286F">
        <w:rPr>
          <w:rFonts w:ascii="Times New Roman" w:hAnsi="Times New Roman" w:cs="Times New Roman"/>
        </w:rPr>
        <w:t xml:space="preserve"> </w:t>
      </w:r>
      <w:r w:rsidR="0019537A" w:rsidRPr="00A7286F">
        <w:rPr>
          <w:rFonts w:ascii="Times New Roman" w:hAnsi="Times New Roman" w:cs="Times New Roman"/>
          <w:i/>
        </w:rPr>
        <w:t>Id</w:t>
      </w:r>
      <w:r w:rsidR="0019537A" w:rsidRPr="00A7286F">
        <w:rPr>
          <w:rFonts w:ascii="Times New Roman" w:hAnsi="Times New Roman" w:cs="Times New Roman"/>
        </w:rPr>
        <w:t>. at</w:t>
      </w:r>
      <w:r w:rsidR="00202670" w:rsidRPr="00A7286F">
        <w:rPr>
          <w:rFonts w:ascii="Times New Roman" w:hAnsi="Times New Roman" w:cs="Times New Roman"/>
        </w:rPr>
        <w:t xml:space="preserve"> 9.</w:t>
      </w:r>
    </w:p>
  </w:endnote>
  <w:endnote w:id="4">
    <w:p w14:paraId="5DB01816" w14:textId="5E223863" w:rsidR="00515AC3" w:rsidRPr="00A7286F" w:rsidRDefault="00515AC3" w:rsidP="00515AC3">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Rachel K. Jones &amp; Heather Boonstra, </w:t>
      </w:r>
      <w:r w:rsidRPr="00A7286F">
        <w:rPr>
          <w:rFonts w:ascii="Times New Roman" w:hAnsi="Times New Roman" w:cs="Times New Roman"/>
          <w:i/>
        </w:rPr>
        <w:t>Confidential Reproductive Health Services for Minors: The Potential Impact of Mandated Parental Involvement for Contraception</w:t>
      </w:r>
      <w:r w:rsidRPr="00A7286F">
        <w:rPr>
          <w:rFonts w:ascii="Times New Roman" w:hAnsi="Times New Roman" w:cs="Times New Roman"/>
        </w:rPr>
        <w:t xml:space="preserve">, </w:t>
      </w:r>
      <w:r w:rsidRPr="00A7286F">
        <w:rPr>
          <w:rFonts w:ascii="Times New Roman" w:hAnsi="Times New Roman" w:cs="Times New Roman"/>
          <w:smallCaps/>
        </w:rPr>
        <w:t>Guttmacher Institute</w:t>
      </w:r>
      <w:r w:rsidRPr="00A7286F">
        <w:rPr>
          <w:rFonts w:ascii="Times New Roman" w:hAnsi="Times New Roman" w:cs="Times New Roman"/>
        </w:rPr>
        <w:t xml:space="preserve">, 36 </w:t>
      </w:r>
      <w:r w:rsidRPr="00A7286F">
        <w:rPr>
          <w:rFonts w:ascii="Times New Roman" w:hAnsi="Times New Roman" w:cs="Times New Roman"/>
          <w:smallCaps/>
        </w:rPr>
        <w:t>Perspectives on Sexual and Reproductive Health</w:t>
      </w:r>
      <w:r w:rsidRPr="00A7286F">
        <w:rPr>
          <w:rFonts w:ascii="Times New Roman" w:hAnsi="Times New Roman" w:cs="Times New Roman"/>
        </w:rPr>
        <w:t xml:space="preserve"> 5 (2004), </w:t>
      </w:r>
      <w:r w:rsidRPr="00A7286F">
        <w:rPr>
          <w:rFonts w:ascii="Times New Roman" w:hAnsi="Times New Roman" w:cs="Times New Roman"/>
          <w:i/>
        </w:rPr>
        <w:t>available at</w:t>
      </w:r>
      <w:r w:rsidRPr="00A7286F">
        <w:rPr>
          <w:rFonts w:ascii="Times New Roman" w:eastAsia="Times New Roman" w:hAnsi="Times New Roman" w:cs="Times New Roman"/>
        </w:rPr>
        <w:t xml:space="preserve"> http://www.guttmacher.org/pubs/journals/3618204.html [hereinafter Jones &amp; Boonstra, </w:t>
      </w:r>
      <w:r w:rsidRPr="00A7286F">
        <w:rPr>
          <w:rFonts w:ascii="Times New Roman" w:eastAsia="Times New Roman" w:hAnsi="Times New Roman" w:cs="Times New Roman"/>
          <w:i/>
        </w:rPr>
        <w:t>Confidential Reproductive Health Services for Minors</w:t>
      </w:r>
      <w:r w:rsidRPr="00A7286F">
        <w:rPr>
          <w:rFonts w:ascii="Times New Roman" w:eastAsia="Times New Roman" w:hAnsi="Times New Roman" w:cs="Times New Roman"/>
        </w:rPr>
        <w:t>].</w:t>
      </w:r>
    </w:p>
  </w:endnote>
  <w:endnote w:id="5">
    <w:p w14:paraId="78A14F89" w14:textId="305C5486" w:rsidR="00E5117B" w:rsidRPr="00A7286F" w:rsidRDefault="00E5117B" w:rsidP="00E5117B">
      <w:pPr>
        <w:shd w:val="clear" w:color="auto" w:fill="FFFFFF"/>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See</w:t>
      </w:r>
      <w:r w:rsidRPr="00A7286F">
        <w:rPr>
          <w:rFonts w:ascii="Times New Roman" w:hAnsi="Times New Roman" w:cs="Times New Roman"/>
          <w:sz w:val="20"/>
          <w:szCs w:val="20"/>
        </w:rPr>
        <w:t xml:space="preserve"> Melanie Zuch, Amanda J Mason-Jones, Catherine Mathews, &amp; Lesley Henley, </w:t>
      </w:r>
      <w:r w:rsidRPr="00A7286F">
        <w:rPr>
          <w:rFonts w:ascii="Times New Roman" w:hAnsi="Times New Roman" w:cs="Times New Roman"/>
          <w:i/>
          <w:sz w:val="20"/>
          <w:szCs w:val="20"/>
        </w:rPr>
        <w:t>Changes to the law on consent in South Africa: implications for school-based adolescent sexual and reproductive health research</w:t>
      </w:r>
      <w:r w:rsidRPr="00A7286F">
        <w:rPr>
          <w:rFonts w:ascii="Times New Roman" w:hAnsi="Times New Roman" w:cs="Times New Roman"/>
          <w:sz w:val="20"/>
          <w:szCs w:val="20"/>
        </w:rPr>
        <w:t xml:space="preserve">, </w:t>
      </w:r>
      <w:r w:rsidRPr="00A7286F">
        <w:rPr>
          <w:rFonts w:ascii="Times New Roman" w:hAnsi="Times New Roman" w:cs="Times New Roman"/>
          <w:smallCaps/>
          <w:sz w:val="20"/>
          <w:szCs w:val="20"/>
        </w:rPr>
        <w:t xml:space="preserve">BMC International Health &amp; Human Rights </w:t>
      </w:r>
      <w:r w:rsidRPr="00A7286F">
        <w:rPr>
          <w:rFonts w:ascii="Times New Roman" w:hAnsi="Times New Roman" w:cs="Times New Roman"/>
          <w:sz w:val="20"/>
          <w:szCs w:val="20"/>
        </w:rPr>
        <w:t xml:space="preserve">(April 10, 2012), </w:t>
      </w:r>
      <w:r w:rsidRPr="00A7286F">
        <w:rPr>
          <w:rFonts w:ascii="Times New Roman" w:hAnsi="Times New Roman" w:cs="Times New Roman"/>
          <w:i/>
          <w:sz w:val="20"/>
          <w:szCs w:val="20"/>
        </w:rPr>
        <w:t>available at</w:t>
      </w:r>
      <w:r w:rsidRPr="00A7286F">
        <w:rPr>
          <w:rFonts w:ascii="Times New Roman" w:hAnsi="Times New Roman" w:cs="Times New Roman"/>
          <w:sz w:val="20"/>
          <w:szCs w:val="20"/>
        </w:rPr>
        <w:t xml:space="preserve"> http://www.jstor.org/discover/10.2307/25593915?uid=3739832&amp;uid=2129&amp;uid=2&amp;uid=70&amp;uid=4&amp;uid=3739256&amp;sid=21102632486033 (noting that “discussions surrounding sexuality are often shrouded in stigma </w:t>
      </w:r>
      <w:bookmarkStart w:id="3" w:name="d18327e389"/>
      <w:bookmarkEnd w:id="3"/>
      <w:r w:rsidRPr="00A7286F">
        <w:rPr>
          <w:rFonts w:ascii="Times New Roman" w:hAnsi="Times New Roman" w:cs="Times New Roman"/>
          <w:sz w:val="20"/>
          <w:szCs w:val="20"/>
        </w:rPr>
        <w:t xml:space="preserve">and parent-child communication with regards to sex and sexuality is often limited. An adolescent therefore may not feel comfortable confronting a parent or guardian about participation in a sexual and reproductive health research study or may face disapproval if he or she chooses to do so”); </w:t>
      </w:r>
      <w:r w:rsidRPr="00A7286F">
        <w:rPr>
          <w:rFonts w:ascii="Times New Roman" w:hAnsi="Times New Roman" w:cs="Times New Roman"/>
          <w:i/>
          <w:sz w:val="20"/>
          <w:szCs w:val="20"/>
        </w:rPr>
        <w:t xml:space="preserve">see also </w:t>
      </w:r>
      <w:hyperlink r:id="rId1" w:history="1">
        <w:r w:rsidRPr="00A7286F">
          <w:rPr>
            <w:rStyle w:val="name"/>
            <w:rFonts w:ascii="Times New Roman" w:hAnsi="Times New Roman"/>
            <w:bCs/>
            <w:sz w:val="20"/>
            <w:szCs w:val="20"/>
          </w:rPr>
          <w:t>Derek A. Kreager</w:t>
        </w:r>
      </w:hyperlink>
      <w:r w:rsidRPr="00A7286F">
        <w:rPr>
          <w:rFonts w:ascii="Times New Roman" w:hAnsi="Times New Roman" w:cs="Times New Roman"/>
          <w:bCs/>
          <w:sz w:val="20"/>
          <w:szCs w:val="20"/>
        </w:rPr>
        <w:t xml:space="preserve"> and </w:t>
      </w:r>
      <w:hyperlink r:id="rId2" w:history="1">
        <w:r w:rsidRPr="00A7286F">
          <w:rPr>
            <w:rStyle w:val="name"/>
            <w:rFonts w:ascii="Times New Roman" w:hAnsi="Times New Roman"/>
            <w:bCs/>
            <w:sz w:val="20"/>
            <w:szCs w:val="20"/>
          </w:rPr>
          <w:t>Jeremy Staff</w:t>
        </w:r>
      </w:hyperlink>
      <w:r w:rsidRPr="00A7286F">
        <w:rPr>
          <w:rStyle w:val="name"/>
          <w:rFonts w:ascii="Times New Roman" w:hAnsi="Times New Roman"/>
          <w:bCs/>
          <w:sz w:val="20"/>
          <w:szCs w:val="20"/>
        </w:rPr>
        <w:t xml:space="preserve">, </w:t>
      </w:r>
      <w:r w:rsidRPr="00A7286F">
        <w:rPr>
          <w:rFonts w:ascii="Times New Roman" w:hAnsi="Times New Roman" w:cs="Times New Roman"/>
          <w:bCs/>
          <w:i/>
          <w:kern w:val="36"/>
          <w:sz w:val="20"/>
          <w:szCs w:val="20"/>
        </w:rPr>
        <w:t>The Sexual Double Standard and Adolescent Peer Acceptance</w:t>
      </w:r>
      <w:r w:rsidRPr="00A7286F">
        <w:rPr>
          <w:rFonts w:ascii="Times New Roman" w:hAnsi="Times New Roman" w:cs="Times New Roman"/>
          <w:bCs/>
          <w:kern w:val="36"/>
          <w:sz w:val="20"/>
          <w:szCs w:val="20"/>
        </w:rPr>
        <w:t xml:space="preserve">, 72 </w:t>
      </w:r>
      <w:r w:rsidRPr="00A7286F">
        <w:rPr>
          <w:rFonts w:ascii="Times New Roman" w:hAnsi="Times New Roman" w:cs="Times New Roman"/>
          <w:bCs/>
          <w:smallCaps/>
          <w:kern w:val="36"/>
          <w:sz w:val="20"/>
          <w:szCs w:val="20"/>
        </w:rPr>
        <w:t xml:space="preserve">Social Psychology Quarterly 2, 143 </w:t>
      </w:r>
      <w:r w:rsidR="0019537A" w:rsidRPr="00A7286F">
        <w:rPr>
          <w:rFonts w:ascii="Times New Roman" w:hAnsi="Times New Roman" w:cs="Times New Roman"/>
          <w:bCs/>
          <w:kern w:val="36"/>
          <w:sz w:val="20"/>
          <w:szCs w:val="20"/>
        </w:rPr>
        <w:t xml:space="preserve">(2009) </w:t>
      </w:r>
      <w:r w:rsidRPr="00A7286F">
        <w:rPr>
          <w:rFonts w:ascii="Times New Roman" w:hAnsi="Times New Roman" w:cs="Times New Roman"/>
          <w:sz w:val="20"/>
          <w:szCs w:val="20"/>
        </w:rPr>
        <w:t>(exploring the “sexual double standard” wherein boys are praised while girls are stigmatized for engaging in sexual activity).</w:t>
      </w:r>
    </w:p>
  </w:endnote>
  <w:endnote w:id="6">
    <w:p w14:paraId="2FF6CDAF" w14:textId="77777777" w:rsidR="00E5117B" w:rsidRPr="00A7286F" w:rsidRDefault="00E5117B" w:rsidP="00E5117B">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Judicial authorization requirements can also appear as a requirement imposed on both adults and minors to access abortion services where restrictive abortion laws are in place.</w:t>
      </w:r>
    </w:p>
  </w:endnote>
  <w:endnote w:id="7">
    <w:p w14:paraId="225CAB61" w14:textId="76373480" w:rsidR="00F24F7C" w:rsidRPr="000F62D1" w:rsidRDefault="00F24F7C" w:rsidP="00E748C0">
      <w:pPr>
        <w:pStyle w:val="Comment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564F9D" w:rsidRPr="00A7286F">
        <w:rPr>
          <w:rFonts w:ascii="Times New Roman" w:hAnsi="Times New Roman" w:cs="Times New Roman"/>
        </w:rPr>
        <w:t>Judicial bypass</w:t>
      </w:r>
      <w:r w:rsidRPr="00A7286F">
        <w:rPr>
          <w:rFonts w:ascii="Times New Roman" w:hAnsi="Times New Roman" w:cs="Times New Roman"/>
        </w:rPr>
        <w:t xml:space="preserve"> acts as a barrier for women to access services, particularly abortion. The process is overly burdensome, and by the time authorization is granted, the pregnancy is normally past the gestational limit. </w:t>
      </w:r>
      <w:r w:rsidR="00E748C0" w:rsidRPr="00A7286F">
        <w:rPr>
          <w:rFonts w:ascii="Times New Roman" w:hAnsi="Times New Roman" w:cs="Times New Roman"/>
          <w:i/>
        </w:rPr>
        <w:t>See</w:t>
      </w:r>
      <w:r w:rsidR="00E748C0" w:rsidRPr="00A7286F">
        <w:rPr>
          <w:rFonts w:ascii="Times New Roman" w:hAnsi="Times New Roman" w:cs="Times New Roman"/>
        </w:rPr>
        <w:t xml:space="preserve"> </w:t>
      </w:r>
      <w:r w:rsidR="008F70E9" w:rsidRPr="00A7286F">
        <w:rPr>
          <w:rFonts w:ascii="Times New Roman" w:hAnsi="Times New Roman" w:cs="Times New Roman"/>
        </w:rPr>
        <w:t xml:space="preserve">Center for Reproductive Rights, </w:t>
      </w:r>
      <w:r w:rsidR="008F70E9" w:rsidRPr="00A7286F">
        <w:rPr>
          <w:rFonts w:ascii="Times New Roman" w:hAnsi="Times New Roman" w:cs="Times New Roman"/>
          <w:i/>
        </w:rPr>
        <w:t>Supplementary information on Rwanda scheduled for review by the Committee on the Elimination of Discrimination against Women during the Pre-Session of the 66th Session</w:t>
      </w:r>
      <w:r w:rsidR="008F70E9" w:rsidRPr="00A7286F">
        <w:rPr>
          <w:rFonts w:ascii="Times New Roman" w:hAnsi="Times New Roman" w:cs="Times New Roman"/>
          <w:b/>
        </w:rPr>
        <w:t xml:space="preserve"> </w:t>
      </w:r>
      <w:r w:rsidR="008F70E9" w:rsidRPr="00A7286F">
        <w:rPr>
          <w:rFonts w:ascii="Times New Roman" w:hAnsi="Times New Roman" w:cs="Times New Roman"/>
        </w:rPr>
        <w:t xml:space="preserve">(June 10, 2016), </w:t>
      </w:r>
      <w:r w:rsidR="008F70E9" w:rsidRPr="00A7286F">
        <w:rPr>
          <w:rFonts w:ascii="Times New Roman" w:hAnsi="Times New Roman" w:cs="Times New Roman"/>
          <w:i/>
        </w:rPr>
        <w:t>available at</w:t>
      </w:r>
      <w:r w:rsidR="000F62D1">
        <w:rPr>
          <w:rFonts w:ascii="Times New Roman" w:hAnsi="Times New Roman" w:cs="Times New Roman"/>
        </w:rPr>
        <w:t xml:space="preserve"> </w:t>
      </w:r>
      <w:r w:rsidR="000F62D1" w:rsidRPr="000F62D1">
        <w:rPr>
          <w:rFonts w:ascii="Times New Roman" w:hAnsi="Times New Roman" w:cs="Times New Roman"/>
        </w:rPr>
        <w:t>http://tbinternet.ohchr.org/Treaties/CEDAW/Shared%20Documents/RWA/INT_CEDAW_NGO_RWA_24267_E.pdf</w:t>
      </w:r>
      <w:r w:rsidR="000F62D1">
        <w:rPr>
          <w:rFonts w:ascii="Times New Roman" w:hAnsi="Times New Roman" w:cs="Times New Roman"/>
        </w:rPr>
        <w:t>.</w:t>
      </w:r>
    </w:p>
  </w:endnote>
  <w:endnote w:id="8">
    <w:p w14:paraId="2A3D878B" w14:textId="6F0F72CE" w:rsidR="00E5117B" w:rsidRPr="00A7286F" w:rsidRDefault="00E5117B" w:rsidP="00E5117B">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IPPF, </w:t>
      </w:r>
      <w:r w:rsidRPr="00A7286F">
        <w:rPr>
          <w:rFonts w:ascii="Times New Roman" w:hAnsi="Times New Roman" w:cs="Times New Roman"/>
          <w:smallCaps/>
        </w:rPr>
        <w:t xml:space="preserve">Legal Barriers to Young People’s Access to SRH Services, </w:t>
      </w:r>
      <w:r w:rsidRPr="00A7286F">
        <w:rPr>
          <w:rFonts w:ascii="Times New Roman" w:hAnsi="Times New Roman" w:cs="Times New Roman"/>
          <w:i/>
        </w:rPr>
        <w:t xml:space="preserve">supra </w:t>
      </w:r>
      <w:r w:rsidR="0019537A" w:rsidRPr="00A7286F">
        <w:rPr>
          <w:rFonts w:ascii="Times New Roman" w:hAnsi="Times New Roman" w:cs="Times New Roman"/>
        </w:rPr>
        <w:t xml:space="preserve">note </w:t>
      </w:r>
      <w:r w:rsidR="0019537A" w:rsidRPr="00A7286F">
        <w:rPr>
          <w:rFonts w:ascii="Times New Roman" w:hAnsi="Times New Roman" w:cs="Times New Roman"/>
        </w:rPr>
        <w:fldChar w:fldCharType="begin"/>
      </w:r>
      <w:r w:rsidR="0019537A" w:rsidRPr="00A7286F">
        <w:rPr>
          <w:rFonts w:ascii="Times New Roman" w:hAnsi="Times New Roman" w:cs="Times New Roman"/>
        </w:rPr>
        <w:instrText xml:space="preserve"> NOTEREF _Ref501464787 \h  \* MERGEFORMAT </w:instrText>
      </w:r>
      <w:r w:rsidR="0019537A" w:rsidRPr="00A7286F">
        <w:rPr>
          <w:rFonts w:ascii="Times New Roman" w:hAnsi="Times New Roman" w:cs="Times New Roman"/>
        </w:rPr>
      </w:r>
      <w:r w:rsidR="0019537A" w:rsidRPr="00A7286F">
        <w:rPr>
          <w:rFonts w:ascii="Times New Roman" w:hAnsi="Times New Roman" w:cs="Times New Roman"/>
        </w:rPr>
        <w:fldChar w:fldCharType="separate"/>
      </w:r>
      <w:r w:rsidR="0019537A" w:rsidRPr="00A7286F">
        <w:rPr>
          <w:rFonts w:ascii="Times New Roman" w:hAnsi="Times New Roman" w:cs="Times New Roman"/>
        </w:rPr>
        <w:t>1</w:t>
      </w:r>
      <w:r w:rsidR="0019537A" w:rsidRPr="00A7286F">
        <w:rPr>
          <w:rFonts w:ascii="Times New Roman" w:hAnsi="Times New Roman" w:cs="Times New Roman"/>
        </w:rPr>
        <w:fldChar w:fldCharType="end"/>
      </w:r>
      <w:r w:rsidRPr="00A7286F">
        <w:rPr>
          <w:rFonts w:ascii="Times New Roman" w:hAnsi="Times New Roman" w:cs="Times New Roman"/>
          <w:smallCaps/>
        </w:rPr>
        <w:t xml:space="preserve">, </w:t>
      </w:r>
      <w:r w:rsidRPr="00A7286F">
        <w:rPr>
          <w:rFonts w:ascii="Times New Roman" w:hAnsi="Times New Roman" w:cs="Times New Roman"/>
        </w:rPr>
        <w:t>at 13.</w:t>
      </w:r>
    </w:p>
  </w:endnote>
  <w:endnote w:id="9">
    <w:p w14:paraId="0751B728" w14:textId="77777777" w:rsidR="00073419" w:rsidRPr="00A7286F" w:rsidRDefault="00073419" w:rsidP="00073419">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This case was taken to the European Court of Human Rights. In finding that P’s rights to respect for private and family life, liberty and freedom from ill treatment were violated, the Court emphasized that throughout the ordeal, there was not proper regard for her “vulnerability and young age and her own views and feelings.” Although P and her mother agreed about terminating the pregnancy, the Court further noted that “legal guardianship cannot be considered to automatically confer on the parents of a minor the right to take decisions concerning the minor’s reproductive choices, because proper regard must be had to the minor’s personal autonomy in this sphere.” P. and S. v. Poland, No 57375/08, paras. 166, 109, Eur. Ct. H. R. (2008). </w:t>
      </w:r>
    </w:p>
  </w:endnote>
  <w:endnote w:id="10">
    <w:p w14:paraId="10193F1C" w14:textId="696473EF" w:rsidR="00E5117B" w:rsidRPr="00A7286F" w:rsidRDefault="00E5117B" w:rsidP="00E5117B">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0019537A" w:rsidRPr="00A7286F">
        <w:rPr>
          <w:rFonts w:ascii="Times New Roman" w:hAnsi="Times New Roman" w:cs="Times New Roman"/>
          <w:i/>
        </w:rPr>
        <w:t xml:space="preserve"> </w:t>
      </w:r>
      <w:r w:rsidR="0019537A" w:rsidRPr="00A7286F">
        <w:rPr>
          <w:rFonts w:ascii="Times New Roman" w:eastAsia="Times New Roman" w:hAnsi="Times New Roman" w:cs="Times New Roman"/>
          <w:smallCaps/>
        </w:rPr>
        <w:t>United Nations Population Fund (UNFPA), Motherhood in Childhood: Facing the Challenge of Adolescent Pregnancy</w:t>
      </w:r>
      <w:r w:rsidR="0019537A" w:rsidRPr="00A7286F">
        <w:rPr>
          <w:rFonts w:ascii="Times New Roman" w:eastAsia="Times New Roman" w:hAnsi="Times New Roman" w:cs="Times New Roman"/>
        </w:rPr>
        <w:t xml:space="preserve"> 37 (2013) [hereinafter </w:t>
      </w:r>
      <w:r w:rsidR="0019537A" w:rsidRPr="00A7286F">
        <w:rPr>
          <w:rFonts w:ascii="Times New Roman" w:eastAsia="Times New Roman" w:hAnsi="Times New Roman" w:cs="Times New Roman"/>
          <w:smallCaps/>
        </w:rPr>
        <w:t>UNFPA, Motherhood in Childhood</w:t>
      </w:r>
      <w:r w:rsidR="0019537A" w:rsidRPr="00A7286F">
        <w:rPr>
          <w:rFonts w:ascii="Times New Roman" w:eastAsia="Times New Roman" w:hAnsi="Times New Roman" w:cs="Times New Roman"/>
        </w:rPr>
        <w:t>]</w:t>
      </w:r>
      <w:r w:rsidR="0019537A" w:rsidRPr="00A7286F">
        <w:rPr>
          <w:rFonts w:ascii="Times New Roman" w:hAnsi="Times New Roman" w:cs="Times New Roman"/>
        </w:rPr>
        <w:t>.</w:t>
      </w:r>
    </w:p>
  </w:endnote>
  <w:endnote w:id="11">
    <w:p w14:paraId="5A0B36F4" w14:textId="28408A27" w:rsidR="007C5DA2" w:rsidRPr="00A7286F" w:rsidRDefault="007C5DA2">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w:t>
      </w:r>
      <w:r w:rsidRPr="00A7286F">
        <w:rPr>
          <w:rFonts w:ascii="Times New Roman" w:hAnsi="Times New Roman" w:cs="Times New Roman"/>
          <w:smallCaps/>
        </w:rPr>
        <w:t>United Nations Educational, Scientific and Cultural Organization, Comprehensive Sexuality Education: The Challenges and Opportunities of Scaling UP 8</w:t>
      </w:r>
      <w:r w:rsidRPr="00A7286F">
        <w:rPr>
          <w:rFonts w:ascii="Times New Roman" w:hAnsi="Times New Roman" w:cs="Times New Roman"/>
        </w:rPr>
        <w:t xml:space="preserve"> (2014). </w:t>
      </w:r>
    </w:p>
  </w:endnote>
  <w:endnote w:id="12">
    <w:p w14:paraId="0C0D1BD7" w14:textId="54891F26" w:rsidR="00A36083" w:rsidRPr="00A7286F" w:rsidRDefault="00A36083">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w:t>
      </w:r>
      <w:r w:rsidR="004B4B46" w:rsidRPr="00A7286F">
        <w:rPr>
          <w:rFonts w:ascii="Times New Roman" w:hAnsi="Times New Roman" w:cs="Times New Roman"/>
          <w:smallCaps/>
        </w:rPr>
        <w:t>World Health Organization (WHO), Making health services adolescent friendly: Developing national quality standards for adolescent friendly health services</w:t>
      </w:r>
      <w:r w:rsidR="004B4B46" w:rsidRPr="00A7286F">
        <w:rPr>
          <w:rFonts w:ascii="Times New Roman" w:hAnsi="Times New Roman" w:cs="Times New Roman"/>
        </w:rPr>
        <w:t xml:space="preserve"> </w:t>
      </w:r>
      <w:r w:rsidR="002E23D6" w:rsidRPr="00A7286F">
        <w:rPr>
          <w:rFonts w:ascii="Times New Roman" w:hAnsi="Times New Roman" w:cs="Times New Roman"/>
        </w:rPr>
        <w:t xml:space="preserve">8 </w:t>
      </w:r>
      <w:r w:rsidR="004B4B46" w:rsidRPr="00A7286F">
        <w:rPr>
          <w:rFonts w:ascii="Times New Roman" w:hAnsi="Times New Roman" w:cs="Times New Roman"/>
        </w:rPr>
        <w:t xml:space="preserve">(2012). </w:t>
      </w:r>
    </w:p>
  </w:endnote>
  <w:endnote w:id="13">
    <w:p w14:paraId="2503AB90" w14:textId="566FCFBC" w:rsidR="002E23D6" w:rsidRPr="00A7286F" w:rsidRDefault="002E23D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xml:space="preserve">. </w:t>
      </w:r>
    </w:p>
  </w:endnote>
  <w:endnote w:id="14">
    <w:p w14:paraId="4538174D" w14:textId="471EB619" w:rsidR="00E5117B" w:rsidRPr="00A440AA" w:rsidRDefault="00E5117B" w:rsidP="00E5117B">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w:t>
      </w:r>
      <w:r w:rsidRPr="00A7286F">
        <w:rPr>
          <w:rFonts w:ascii="Times New Roman" w:eastAsia="Times New Roman" w:hAnsi="Times New Roman" w:cs="Times New Roman"/>
        </w:rPr>
        <w:t xml:space="preserve">Jones &amp; Boonstra, </w:t>
      </w:r>
      <w:r w:rsidRPr="00A7286F">
        <w:rPr>
          <w:rFonts w:ascii="Times New Roman" w:eastAsia="Times New Roman" w:hAnsi="Times New Roman" w:cs="Times New Roman"/>
          <w:i/>
        </w:rPr>
        <w:t xml:space="preserve">Confidential Reproductive Health Services for Minors, supra </w:t>
      </w:r>
      <w:r w:rsidR="0019537A" w:rsidRPr="00A7286F">
        <w:rPr>
          <w:rFonts w:ascii="Times New Roman" w:eastAsia="Times New Roman" w:hAnsi="Times New Roman" w:cs="Times New Roman"/>
        </w:rPr>
        <w:t xml:space="preserve">note </w:t>
      </w:r>
      <w:r w:rsidR="0019537A" w:rsidRPr="00A7286F">
        <w:rPr>
          <w:rFonts w:ascii="Times New Roman" w:eastAsia="Times New Roman" w:hAnsi="Times New Roman" w:cs="Times New Roman"/>
        </w:rPr>
        <w:fldChar w:fldCharType="begin"/>
      </w:r>
      <w:r w:rsidR="0019537A" w:rsidRPr="00A7286F">
        <w:rPr>
          <w:rFonts w:ascii="Times New Roman" w:eastAsia="Times New Roman" w:hAnsi="Times New Roman" w:cs="Times New Roman"/>
        </w:rPr>
        <w:instrText xml:space="preserve"> NOTEREF _Ref501464843 \h </w:instrText>
      </w:r>
      <w:r w:rsidR="0019537A" w:rsidRPr="00A7286F">
        <w:rPr>
          <w:rFonts w:ascii="Times New Roman" w:eastAsia="Times New Roman" w:hAnsi="Times New Roman" w:cs="Times New Roman"/>
        </w:rPr>
      </w:r>
      <w:r w:rsidR="0019537A" w:rsidRPr="00A7286F">
        <w:rPr>
          <w:rFonts w:ascii="Times New Roman" w:eastAsia="Times New Roman" w:hAnsi="Times New Roman" w:cs="Times New Roman"/>
        </w:rPr>
        <w:fldChar w:fldCharType="separate"/>
      </w:r>
      <w:r w:rsidR="0019537A" w:rsidRPr="00A7286F">
        <w:rPr>
          <w:rFonts w:ascii="Times New Roman" w:eastAsia="Times New Roman" w:hAnsi="Times New Roman" w:cs="Times New Roman"/>
        </w:rPr>
        <w:t>3</w:t>
      </w:r>
      <w:r w:rsidR="0019537A" w:rsidRPr="00A7286F">
        <w:rPr>
          <w:rFonts w:ascii="Times New Roman" w:eastAsia="Times New Roman" w:hAnsi="Times New Roman" w:cs="Times New Roman"/>
        </w:rPr>
        <w:fldChar w:fldCharType="end"/>
      </w:r>
      <w:r w:rsidRPr="00A7286F">
        <w:rPr>
          <w:rFonts w:ascii="Times New Roman" w:hAnsi="Times New Roman" w:cs="Times New Roman"/>
        </w:rPr>
        <w:t xml:space="preserve">; </w:t>
      </w:r>
      <w:r w:rsidRPr="00A7286F">
        <w:rPr>
          <w:rFonts w:ascii="Times New Roman" w:hAnsi="Times New Roman" w:cs="Times New Roman"/>
          <w:smallCaps/>
        </w:rPr>
        <w:t xml:space="preserve">WHO, Safe </w:t>
      </w:r>
      <w:r w:rsidRPr="00A440AA">
        <w:rPr>
          <w:rFonts w:ascii="Times New Roman" w:hAnsi="Times New Roman" w:cs="Times New Roman"/>
          <w:smallCaps/>
        </w:rPr>
        <w:t xml:space="preserve">Abortion: Technical and Policy Guidance for Health Systems </w:t>
      </w:r>
      <w:r w:rsidRPr="00A440AA">
        <w:rPr>
          <w:rFonts w:ascii="Times New Roman" w:hAnsi="Times New Roman" w:cs="Times New Roman"/>
        </w:rPr>
        <w:t>95 (2d ed. 2012).</w:t>
      </w:r>
    </w:p>
  </w:endnote>
  <w:endnote w:id="15">
    <w:p w14:paraId="33BA2058" w14:textId="7C988202" w:rsidR="00A440AA" w:rsidRPr="00A440AA" w:rsidRDefault="00A440AA" w:rsidP="00A440AA">
      <w:pPr>
        <w:jc w:val="both"/>
        <w:rPr>
          <w:rFonts w:ascii="Times New Roman" w:hAnsi="Times New Roman" w:cs="Times New Roman"/>
          <w:sz w:val="24"/>
          <w:szCs w:val="24"/>
        </w:rPr>
      </w:pPr>
      <w:r w:rsidRPr="00A440AA">
        <w:rPr>
          <w:rStyle w:val="EndnoteReference"/>
          <w:rFonts w:ascii="Times New Roman" w:hAnsi="Times New Roman" w:cs="Times New Roman"/>
          <w:sz w:val="20"/>
          <w:szCs w:val="20"/>
        </w:rPr>
        <w:endnoteRef/>
      </w:r>
      <w:r w:rsidRPr="00A440AA">
        <w:rPr>
          <w:rFonts w:ascii="Times New Roman" w:hAnsi="Times New Roman" w:cs="Times New Roman"/>
          <w:sz w:val="20"/>
          <w:szCs w:val="20"/>
        </w:rPr>
        <w:t xml:space="preserve"> </w:t>
      </w:r>
      <w:r>
        <w:rPr>
          <w:rFonts w:ascii="Times New Roman" w:hAnsi="Times New Roman" w:cs="Times New Roman"/>
          <w:sz w:val="20"/>
          <w:szCs w:val="20"/>
        </w:rPr>
        <w:t xml:space="preserve">Cost can be an especially large barrier for </w:t>
      </w:r>
      <w:r w:rsidRPr="00A440AA">
        <w:rPr>
          <w:rFonts w:ascii="Times New Roman" w:hAnsi="Times New Roman" w:cs="Times New Roman"/>
          <w:sz w:val="20"/>
          <w:szCs w:val="20"/>
        </w:rPr>
        <w:t>adolescents</w:t>
      </w:r>
      <w:r>
        <w:rPr>
          <w:rFonts w:ascii="Times New Roman" w:hAnsi="Times New Roman" w:cs="Times New Roman"/>
          <w:sz w:val="20"/>
          <w:szCs w:val="20"/>
        </w:rPr>
        <w:t>, as they</w:t>
      </w:r>
      <w:r w:rsidRPr="00A440AA">
        <w:rPr>
          <w:rFonts w:ascii="Times New Roman" w:hAnsi="Times New Roman" w:cs="Times New Roman"/>
          <w:sz w:val="20"/>
          <w:szCs w:val="20"/>
        </w:rPr>
        <w:t xml:space="preserve"> may not have an income stream or be independently insured to afford the services</w:t>
      </w:r>
      <w:r>
        <w:rPr>
          <w:rFonts w:ascii="Times New Roman" w:hAnsi="Times New Roman" w:cs="Times New Roman"/>
          <w:sz w:val="20"/>
          <w:szCs w:val="20"/>
        </w:rPr>
        <w:t>.</w:t>
      </w:r>
    </w:p>
  </w:endnote>
  <w:endnote w:id="16">
    <w:p w14:paraId="600C0963" w14:textId="37028DB9" w:rsidR="00996E07" w:rsidRPr="00A7286F" w:rsidRDefault="00996E07">
      <w:pPr>
        <w:pStyle w:val="EndnoteText"/>
        <w:contextualSpacing/>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For example, though child marriage is a criminal offense in Nepal, it has been practiced for generations. Nepal has one of the highest rates of child marriage in the world—37 percent of Nepali women ages 20 to 24 were first married by age 18 and 10 percent by age 15. The Muluki Ain (General Code), part 4, ch. 17, no. 2 (1963) (Nepal); UNICEF, EARLY MARRIAGE IN SOUTH ASIA: A DISCUSSION PAPER 2 (2009); </w:t>
      </w:r>
      <w:r w:rsidRPr="00A7286F">
        <w:rPr>
          <w:rStyle w:val="None"/>
          <w:rFonts w:ascii="Times New Roman" w:hAnsi="Times New Roman" w:cs="Times New Roman"/>
          <w:smallCaps/>
        </w:rPr>
        <w:t>UNICEF, State of the World’s Children</w:t>
      </w:r>
      <w:r w:rsidRPr="00A7286F">
        <w:rPr>
          <w:rStyle w:val="None"/>
          <w:rFonts w:ascii="Times New Roman" w:hAnsi="Times New Roman" w:cs="Times New Roman"/>
        </w:rPr>
        <w:t xml:space="preserve"> 151 (2016), </w:t>
      </w:r>
      <w:r w:rsidRPr="00A7286F">
        <w:rPr>
          <w:rFonts w:ascii="Times New Roman" w:hAnsi="Times New Roman" w:cs="Times New Roman"/>
          <w:i/>
        </w:rPr>
        <w:t>available at</w:t>
      </w:r>
      <w:r w:rsidRPr="00A7286F">
        <w:rPr>
          <w:rFonts w:ascii="Times New Roman" w:hAnsi="Times New Roman" w:cs="Times New Roman"/>
        </w:rPr>
        <w:t xml:space="preserve"> https://www.unicef.org/publications/files/UNICEF_SOWC_2016.pdf. </w:t>
      </w:r>
    </w:p>
  </w:endnote>
  <w:endnote w:id="17">
    <w:p w14:paraId="0D6E7E37" w14:textId="60128DAF" w:rsidR="00080F7C" w:rsidRPr="00A7286F" w:rsidRDefault="00080F7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Anti-Slavery International, Out of the Shadows: Child marriage and slavery</w:t>
      </w:r>
      <w:r w:rsidRPr="00A7286F">
        <w:rPr>
          <w:rFonts w:ascii="Times New Roman" w:hAnsi="Times New Roman" w:cs="Times New Roman"/>
        </w:rPr>
        <w:t xml:space="preserve"> 7, 28, 29 (2013). </w:t>
      </w:r>
    </w:p>
  </w:endnote>
  <w:endnote w:id="18">
    <w:p w14:paraId="79A00824" w14:textId="58320552" w:rsidR="004E557F" w:rsidRPr="00A7286F" w:rsidRDefault="004E557F" w:rsidP="00021A4C">
      <w:pPr>
        <w:pStyle w:val="EndnoteText"/>
        <w:ind w:left="180" w:hanging="180"/>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392806" w:rsidRPr="00A7286F">
        <w:rPr>
          <w:rFonts w:ascii="Times New Roman" w:hAnsi="Times New Roman" w:cs="Times New Roman"/>
        </w:rPr>
        <w:t xml:space="preserve">Govt. of Nepal, </w:t>
      </w:r>
      <w:r w:rsidR="00021A4C" w:rsidRPr="00A7286F">
        <w:rPr>
          <w:rStyle w:val="None"/>
          <w:rFonts w:ascii="Times New Roman" w:hAnsi="Times New Roman" w:cs="Times New Roman"/>
          <w:smallCaps/>
        </w:rPr>
        <w:t xml:space="preserve">Nepal Adolescents and Youth Survey </w:t>
      </w:r>
      <w:r w:rsidR="00021A4C" w:rsidRPr="00A7286F">
        <w:rPr>
          <w:rStyle w:val="None"/>
          <w:rFonts w:ascii="Times New Roman" w:hAnsi="Times New Roman" w:cs="Times New Roman"/>
        </w:rPr>
        <w:t xml:space="preserve">42 (2010/11), </w:t>
      </w:r>
      <w:r w:rsidR="00021A4C" w:rsidRPr="00A7286F">
        <w:rPr>
          <w:rStyle w:val="None"/>
          <w:rFonts w:ascii="Times New Roman" w:hAnsi="Times New Roman" w:cs="Times New Roman"/>
          <w:i/>
        </w:rPr>
        <w:t>available at</w:t>
      </w:r>
      <w:r w:rsidR="00021A4C" w:rsidRPr="00A7286F">
        <w:rPr>
          <w:rStyle w:val="None"/>
          <w:rFonts w:ascii="Times New Roman" w:hAnsi="Times New Roman" w:cs="Times New Roman"/>
        </w:rPr>
        <w:t xml:space="preserve"> http://nepal.unfpa.org/sites/default/files/pub-pdf/NepalAdolescentandYouthSurveyHighlights%282%29.pdf. </w:t>
      </w:r>
    </w:p>
  </w:endnote>
  <w:endnote w:id="19">
    <w:p w14:paraId="1D4BCEE6" w14:textId="6E6B2C7A"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97793D" w:rsidRPr="00A7286F">
        <w:rPr>
          <w:rFonts w:ascii="Times New Roman" w:hAnsi="Times New Roman" w:cs="Times New Roman"/>
          <w:smallCaps/>
        </w:rPr>
        <w:t>The Demographic and Health Surveys Program, Nepa</w:t>
      </w:r>
      <w:r w:rsidR="00D62478" w:rsidRPr="00A7286F">
        <w:rPr>
          <w:rFonts w:ascii="Times New Roman" w:hAnsi="Times New Roman" w:cs="Times New Roman"/>
          <w:smallCaps/>
        </w:rPr>
        <w:t>l Demographic and Health Survey</w:t>
      </w:r>
      <w:r w:rsidRPr="00A7286F">
        <w:rPr>
          <w:rFonts w:ascii="Times New Roman" w:hAnsi="Times New Roman" w:cs="Times New Roman"/>
          <w:smallCaps/>
        </w:rPr>
        <w:t xml:space="preserve"> </w:t>
      </w:r>
      <w:r w:rsidRPr="00A7286F">
        <w:rPr>
          <w:rFonts w:ascii="Times New Roman" w:hAnsi="Times New Roman" w:cs="Times New Roman"/>
        </w:rPr>
        <w:t>84</w:t>
      </w:r>
      <w:r w:rsidR="0097793D" w:rsidRPr="00A7286F">
        <w:rPr>
          <w:rFonts w:ascii="Times New Roman" w:hAnsi="Times New Roman" w:cs="Times New Roman"/>
        </w:rPr>
        <w:t xml:space="preserve"> (2011)</w:t>
      </w:r>
      <w:r w:rsidR="00D62478" w:rsidRPr="00A7286F">
        <w:rPr>
          <w:rFonts w:ascii="Times New Roman" w:hAnsi="Times New Roman" w:cs="Times New Roman"/>
        </w:rPr>
        <w:t xml:space="preserve"> [hereinafter NDHS 2011]</w:t>
      </w:r>
      <w:r w:rsidR="0097793D" w:rsidRPr="00A7286F">
        <w:rPr>
          <w:rFonts w:ascii="Times New Roman" w:hAnsi="Times New Roman" w:cs="Times New Roman"/>
        </w:rPr>
        <w:t>.</w:t>
      </w:r>
    </w:p>
  </w:endnote>
  <w:endnote w:id="20">
    <w:p w14:paraId="18C424FF" w14:textId="5AE69626"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at 104-105.</w:t>
      </w:r>
    </w:p>
  </w:endnote>
  <w:endnote w:id="21">
    <w:p w14:paraId="63ED67B8" w14:textId="31A23861"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at 137, 139.</w:t>
      </w:r>
    </w:p>
  </w:endnote>
  <w:endnote w:id="22">
    <w:p w14:paraId="1683B791" w14:textId="473F5AAD"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at 79.</w:t>
      </w:r>
    </w:p>
  </w:endnote>
  <w:endnote w:id="23">
    <w:p w14:paraId="5DDFDF5E" w14:textId="421E79B6"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Government of Nepal, Ministry of Health and Population, Department of Health Services, Family Health Division, Nepal Maternal Mortality and Morbidity Study: 2008/09 6</w:t>
      </w:r>
      <w:r w:rsidRPr="00A7286F">
        <w:rPr>
          <w:rFonts w:ascii="Times New Roman" w:hAnsi="Times New Roman" w:cs="Times New Roman"/>
        </w:rPr>
        <w:t xml:space="preserve"> (2009)</w:t>
      </w:r>
    </w:p>
  </w:endnote>
  <w:endnote w:id="24">
    <w:p w14:paraId="45B80EA9" w14:textId="49F5D5C7"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NDHS 2011, </w:t>
      </w:r>
      <w:r w:rsidRPr="00A7286F">
        <w:rPr>
          <w:rFonts w:ascii="Times New Roman" w:hAnsi="Times New Roman" w:cs="Times New Roman"/>
          <w:i/>
        </w:rPr>
        <w:t>supra</w:t>
      </w:r>
      <w:r w:rsidRPr="00A7286F">
        <w:rPr>
          <w:rFonts w:ascii="Times New Roman" w:hAnsi="Times New Roman" w:cs="Times New Roman"/>
        </w:rPr>
        <w:t xml:space="preserve"> note </w:t>
      </w:r>
      <w:r w:rsidR="00D62478" w:rsidRPr="00A7286F">
        <w:rPr>
          <w:rFonts w:ascii="Times New Roman" w:hAnsi="Times New Roman" w:cs="Times New Roman"/>
        </w:rPr>
        <w:fldChar w:fldCharType="begin"/>
      </w:r>
      <w:r w:rsidR="00D62478" w:rsidRPr="00A7286F">
        <w:rPr>
          <w:rFonts w:ascii="Times New Roman" w:hAnsi="Times New Roman" w:cs="Times New Roman"/>
        </w:rPr>
        <w:instrText xml:space="preserve"> NOTEREF _Ref501465665 \h </w:instrText>
      </w:r>
      <w:r w:rsidR="00D62478" w:rsidRPr="00A7286F">
        <w:rPr>
          <w:rFonts w:ascii="Times New Roman" w:hAnsi="Times New Roman" w:cs="Times New Roman"/>
        </w:rPr>
      </w:r>
      <w:r w:rsidR="00D62478" w:rsidRPr="00A7286F">
        <w:rPr>
          <w:rFonts w:ascii="Times New Roman" w:hAnsi="Times New Roman" w:cs="Times New Roman"/>
        </w:rPr>
        <w:fldChar w:fldCharType="separate"/>
      </w:r>
      <w:r w:rsidR="00D62478" w:rsidRPr="00A7286F">
        <w:rPr>
          <w:rFonts w:ascii="Times New Roman" w:hAnsi="Times New Roman" w:cs="Times New Roman"/>
        </w:rPr>
        <w:t>17</w:t>
      </w:r>
      <w:r w:rsidR="00D62478" w:rsidRPr="00A7286F">
        <w:rPr>
          <w:rFonts w:ascii="Times New Roman" w:hAnsi="Times New Roman" w:cs="Times New Roman"/>
        </w:rPr>
        <w:fldChar w:fldCharType="end"/>
      </w:r>
      <w:r w:rsidRPr="00A7286F">
        <w:rPr>
          <w:rFonts w:ascii="Times New Roman" w:hAnsi="Times New Roman" w:cs="Times New Roman"/>
        </w:rPr>
        <w:t>, at 143.</w:t>
      </w:r>
    </w:p>
  </w:endnote>
  <w:endnote w:id="25">
    <w:p w14:paraId="47F243A4" w14:textId="2CFB0861" w:rsidR="00392806" w:rsidRPr="00A7286F" w:rsidRDefault="00392806">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Office of the United Nations High Commissioner for Human Rights, </w:t>
      </w:r>
      <w:r w:rsidRPr="00A7286F">
        <w:rPr>
          <w:rFonts w:ascii="Times New Roman" w:hAnsi="Times New Roman" w:cs="Times New Roman"/>
          <w:i/>
        </w:rPr>
        <w:t>Preventing and eliminating child, early and forced marriage</w:t>
      </w:r>
      <w:r w:rsidRPr="00A7286F">
        <w:rPr>
          <w:rFonts w:ascii="Times New Roman" w:hAnsi="Times New Roman" w:cs="Times New Roman"/>
        </w:rPr>
        <w:t>, para. 23 U.N. Doc. A/HRC/26/22 (2014).</w:t>
      </w:r>
    </w:p>
  </w:endnote>
  <w:endnote w:id="26">
    <w:p w14:paraId="69824C81" w14:textId="77777777" w:rsidR="00626ABF" w:rsidRPr="00A7286F" w:rsidRDefault="00626ABF" w:rsidP="00626ABF">
      <w:pPr>
        <w:pStyle w:val="FootnoteText"/>
        <w:rPr>
          <w:rFonts w:ascii="Times New Roman" w:hAnsi="Times New Roman" w:cs="Times New Roman"/>
        </w:rPr>
      </w:pPr>
      <w:r w:rsidRPr="00A7286F">
        <w:rPr>
          <w:rStyle w:val="None"/>
          <w:rFonts w:ascii="Times New Roman" w:hAnsi="Times New Roman" w:cs="Times New Roman"/>
          <w:vertAlign w:val="superscript"/>
        </w:rPr>
        <w:endnoteRef/>
      </w:r>
      <w:r w:rsidRPr="00A7286F">
        <w:rPr>
          <w:rStyle w:val="None"/>
          <w:rFonts w:ascii="Times New Roman" w:hAnsi="Times New Roman" w:cs="Times New Roman"/>
        </w:rPr>
        <w:t xml:space="preserve"> </w:t>
      </w:r>
      <w:r w:rsidRPr="00A7286F">
        <w:rPr>
          <w:rFonts w:ascii="Times New Roman" w:hAnsi="Times New Roman" w:cs="Times New Roman"/>
          <w:smallCaps/>
        </w:rPr>
        <w:t>The Constitution of Nepal</w:t>
      </w:r>
      <w:r w:rsidRPr="00A7286F">
        <w:rPr>
          <w:rFonts w:ascii="Times New Roman" w:hAnsi="Times New Roman" w:cs="Times New Roman"/>
        </w:rPr>
        <w:t xml:space="preserve"> (2015), art. 39(5). </w:t>
      </w:r>
    </w:p>
  </w:endnote>
  <w:endnote w:id="27">
    <w:p w14:paraId="46BDE9CC" w14:textId="77777777" w:rsidR="00626ABF" w:rsidRPr="00A7286F" w:rsidRDefault="00626ABF" w:rsidP="00626ABF">
      <w:pPr>
        <w:pStyle w:val="EndnoteText"/>
        <w:rPr>
          <w:rFonts w:ascii="Times New Roman" w:hAnsi="Times New Roman" w:cs="Times New Roman"/>
        </w:rPr>
      </w:pPr>
      <w:r w:rsidRPr="00A7286F">
        <w:rPr>
          <w:rStyle w:val="None"/>
          <w:rFonts w:ascii="Times New Roman" w:hAnsi="Times New Roman" w:cs="Times New Roman"/>
          <w:vertAlign w:val="superscript"/>
        </w:rPr>
        <w:endnoteRef/>
      </w:r>
      <w:r w:rsidRPr="00A7286F">
        <w:rPr>
          <w:rStyle w:val="None"/>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xml:space="preserve">, art. 39(10).    </w:t>
      </w:r>
    </w:p>
  </w:endnote>
  <w:endnote w:id="28">
    <w:p w14:paraId="7EBF1764" w14:textId="77777777" w:rsidR="00626ABF" w:rsidRPr="00A7286F" w:rsidRDefault="00626ABF" w:rsidP="00626ABF">
      <w:pPr>
        <w:pStyle w:val="EndnoteText"/>
        <w:ind w:left="180" w:hanging="180"/>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Govt. of Nepal, Ministry of Women, Children and Social Welfare, National Strategy to End Child Marriage in Nepal 8 (2016).</w:t>
      </w:r>
    </w:p>
  </w:endnote>
  <w:endnote w:id="29">
    <w:p w14:paraId="03F140D5" w14:textId="77777777" w:rsidR="00626ABF" w:rsidRPr="00A7286F" w:rsidRDefault="00626ABF" w:rsidP="00626ABF">
      <w:pPr>
        <w:pStyle w:val="EndnoteText"/>
        <w:ind w:left="180" w:hanging="180"/>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xml:space="preserve">. at </w:t>
      </w:r>
      <w:r w:rsidRPr="00A7286F">
        <w:rPr>
          <w:rFonts w:ascii="Times New Roman" w:hAnsi="Times New Roman" w:cs="Times New Roman"/>
          <w:smallCaps/>
        </w:rPr>
        <w:t>13.</w:t>
      </w:r>
    </w:p>
  </w:endnote>
  <w:endnote w:id="30">
    <w:p w14:paraId="15820A94" w14:textId="4D348708" w:rsidR="00D62478" w:rsidRPr="00A7286F" w:rsidRDefault="00D62478" w:rsidP="00D62478">
      <w:pPr>
        <w:pStyle w:val="EndnoteText"/>
        <w:tabs>
          <w:tab w:val="left" w:pos="4590"/>
        </w:tabs>
        <w:contextualSpacing/>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CEDAW Committee, </w:t>
      </w:r>
      <w:r w:rsidRPr="00A7286F">
        <w:rPr>
          <w:rFonts w:ascii="Times New Roman" w:hAnsi="Times New Roman" w:cs="Times New Roman"/>
          <w:i/>
        </w:rPr>
        <w:t xml:space="preserve">Concluding Observations: Argentina, </w:t>
      </w:r>
      <w:r w:rsidRPr="00A7286F">
        <w:rPr>
          <w:rFonts w:ascii="Times New Roman" w:hAnsi="Times New Roman" w:cs="Times New Roman"/>
        </w:rPr>
        <w:t xml:space="preserve">paras. 34-35, U.N. Doc. CEDAW/C/ARG/CO/7 (2016); CEDAW Committee, </w:t>
      </w:r>
      <w:r w:rsidRPr="00A7286F">
        <w:rPr>
          <w:rFonts w:ascii="Times New Roman" w:hAnsi="Times New Roman" w:cs="Times New Roman"/>
          <w:i/>
        </w:rPr>
        <w:t xml:space="preserve">Concluding Observations: Thailand, </w:t>
      </w:r>
      <w:r w:rsidRPr="00A7286F">
        <w:rPr>
          <w:rFonts w:ascii="Times New Roman" w:hAnsi="Times New Roman" w:cs="Times New Roman"/>
        </w:rPr>
        <w:t xml:space="preserve">para. 39, U.N. Doc. CEDAW/C/THA/CO/6-7 (2017); CEDAW Committee, </w:t>
      </w:r>
      <w:r w:rsidRPr="00A7286F">
        <w:rPr>
          <w:rFonts w:ascii="Times New Roman" w:hAnsi="Times New Roman" w:cs="Times New Roman"/>
          <w:i/>
        </w:rPr>
        <w:t>Concluding Observations: Congo</w:t>
      </w:r>
      <w:r w:rsidRPr="00A7286F">
        <w:rPr>
          <w:rFonts w:ascii="Times New Roman" w:hAnsi="Times New Roman" w:cs="Times New Roman"/>
        </w:rPr>
        <w:t xml:space="preserve">, para. 36(f), U.N. Doc. CEDAW/C/COG/CO/6 (2012); CRC Committee, </w:t>
      </w:r>
      <w:r w:rsidRPr="00A7286F">
        <w:rPr>
          <w:rFonts w:ascii="Times New Roman" w:hAnsi="Times New Roman" w:cs="Times New Roman"/>
          <w:i/>
        </w:rPr>
        <w:t>Concluding Observations: Central African Republic</w:t>
      </w:r>
      <w:r w:rsidRPr="00A7286F">
        <w:rPr>
          <w:rFonts w:ascii="Times New Roman" w:hAnsi="Times New Roman" w:cs="Times New Roman"/>
        </w:rPr>
        <w:t xml:space="preserve">, para. 55, U.N. Doc. CRC/C/CAF/CO/2 (2017); CRC Committee, </w:t>
      </w:r>
      <w:r w:rsidRPr="00A7286F">
        <w:rPr>
          <w:rFonts w:ascii="Times New Roman" w:hAnsi="Times New Roman" w:cs="Times New Roman"/>
          <w:i/>
        </w:rPr>
        <w:t>Concluding Observations: Nigeria</w:t>
      </w:r>
      <w:r w:rsidRPr="00A7286F">
        <w:rPr>
          <w:rFonts w:ascii="Times New Roman" w:hAnsi="Times New Roman" w:cs="Times New Roman"/>
        </w:rPr>
        <w:t xml:space="preserve">, paras. 37-38, U.N. Doc. CEDAW/C/NGA/CO/7-8 (2017); ESCR Committee, </w:t>
      </w:r>
      <w:r w:rsidRPr="00A7286F">
        <w:rPr>
          <w:rFonts w:ascii="Times New Roman" w:hAnsi="Times New Roman" w:cs="Times New Roman"/>
          <w:i/>
        </w:rPr>
        <w:t>General Comment No. 16:</w:t>
      </w:r>
      <w:r w:rsidRPr="00A7286F">
        <w:rPr>
          <w:rFonts w:ascii="Times New Roman" w:hAnsi="Times New Roman" w:cs="Times New Roman"/>
        </w:rPr>
        <w:t xml:space="preserve"> </w:t>
      </w:r>
      <w:r w:rsidRPr="00A7286F">
        <w:rPr>
          <w:rFonts w:ascii="Times New Roman" w:hAnsi="Times New Roman" w:cs="Times New Roman"/>
          <w:i/>
        </w:rPr>
        <w:t>The equal right of men and women to the enjoyment of all economic, social and cultural rights (Art. 3)</w:t>
      </w:r>
      <w:r w:rsidRPr="00A7286F">
        <w:rPr>
          <w:rFonts w:ascii="Times New Roman" w:hAnsi="Times New Roman" w:cs="Times New Roman"/>
        </w:rPr>
        <w:t>, (34</w:t>
      </w:r>
      <w:r w:rsidRPr="00A7286F">
        <w:rPr>
          <w:rFonts w:ascii="Times New Roman" w:hAnsi="Times New Roman" w:cs="Times New Roman"/>
          <w:vertAlign w:val="superscript"/>
        </w:rPr>
        <w:t>th</w:t>
      </w:r>
      <w:r w:rsidRPr="00A7286F">
        <w:rPr>
          <w:rFonts w:ascii="Times New Roman" w:hAnsi="Times New Roman" w:cs="Times New Roman"/>
        </w:rPr>
        <w:t xml:space="preserve"> Sess., 2005), para. 29, U.N. Doc. E/C.12/2005/4 [hereinafter ESCR Committee</w:t>
      </w:r>
      <w:r w:rsidRPr="00A7286F">
        <w:rPr>
          <w:rFonts w:ascii="Times New Roman" w:hAnsi="Times New Roman" w:cs="Times New Roman"/>
          <w:i/>
        </w:rPr>
        <w:t>, Gen. Comment No. 16</w:t>
      </w:r>
      <w:r w:rsidRPr="00A7286F">
        <w:rPr>
          <w:rFonts w:ascii="Times New Roman" w:hAnsi="Times New Roman" w:cs="Times New Roman"/>
        </w:rPr>
        <w:t xml:space="preserve">]; ESCR Committee, </w:t>
      </w:r>
      <w:r w:rsidRPr="00A7286F">
        <w:rPr>
          <w:rFonts w:ascii="Times New Roman" w:hAnsi="Times New Roman" w:cs="Times New Roman"/>
          <w:i/>
        </w:rPr>
        <w:t>Concluding Observations: Namibia</w:t>
      </w:r>
      <w:r w:rsidRPr="00A7286F">
        <w:rPr>
          <w:rFonts w:ascii="Times New Roman" w:hAnsi="Times New Roman" w:cs="Times New Roman"/>
        </w:rPr>
        <w:t>, para. 65 (a), U.N. Doc. E/C.12/NAM/CO/1 (2016).</w:t>
      </w:r>
    </w:p>
  </w:endnote>
  <w:endnote w:id="31">
    <w:p w14:paraId="503E67B5" w14:textId="77777777"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CRC Committee, </w:t>
      </w:r>
      <w:r w:rsidRPr="00A7286F">
        <w:rPr>
          <w:rFonts w:ascii="Times New Roman" w:hAnsi="Times New Roman" w:cs="Times New Roman"/>
          <w:i/>
        </w:rPr>
        <w:t>General Comment 15: The right of the child to the enjoyment of the highest attainable standard of health</w:t>
      </w:r>
      <w:r w:rsidRPr="00A7286F">
        <w:rPr>
          <w:rFonts w:ascii="Times New Roman" w:hAnsi="Times New Roman" w:cs="Times New Roman"/>
        </w:rPr>
        <w:t>, (62</w:t>
      </w:r>
      <w:r w:rsidRPr="00A7286F">
        <w:rPr>
          <w:rFonts w:ascii="Times New Roman" w:hAnsi="Times New Roman" w:cs="Times New Roman"/>
          <w:vertAlign w:val="superscript"/>
        </w:rPr>
        <w:t>nd</w:t>
      </w:r>
      <w:r w:rsidRPr="00A7286F">
        <w:rPr>
          <w:rFonts w:ascii="Times New Roman" w:hAnsi="Times New Roman" w:cs="Times New Roman"/>
        </w:rPr>
        <w:t xml:space="preserve"> Sess.), para. 56, U.N. Doc. CRC/C/GC/15 (2013) [hereinafter CRC Committee, </w:t>
      </w:r>
      <w:r w:rsidRPr="00A7286F">
        <w:rPr>
          <w:rFonts w:ascii="Times New Roman" w:hAnsi="Times New Roman" w:cs="Times New Roman"/>
          <w:i/>
        </w:rPr>
        <w:t>Gen. Comment No. 15</w:t>
      </w:r>
      <w:r w:rsidRPr="00A7286F">
        <w:rPr>
          <w:rFonts w:ascii="Times New Roman" w:hAnsi="Times New Roman" w:cs="Times New Roman"/>
        </w:rPr>
        <w:t>].</w:t>
      </w:r>
    </w:p>
  </w:endnote>
  <w:endnote w:id="32">
    <w:p w14:paraId="051D5B15" w14:textId="77777777" w:rsidR="0090276C" w:rsidRPr="00A7286F" w:rsidRDefault="0090276C" w:rsidP="0090276C">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See, e.g,</w:t>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id.</w:t>
      </w:r>
      <w:r w:rsidRPr="00A7286F">
        <w:rPr>
          <w:rFonts w:ascii="Times New Roman" w:hAnsi="Times New Roman" w:cs="Times New Roman"/>
          <w:sz w:val="20"/>
          <w:szCs w:val="20"/>
        </w:rPr>
        <w:t xml:space="preserve">, </w:t>
      </w:r>
      <w:r w:rsidRPr="00A7286F">
        <w:rPr>
          <w:rFonts w:ascii="Times New Roman" w:hAnsi="Times New Roman" w:cs="Times New Roman"/>
          <w:iCs/>
          <w:sz w:val="20"/>
          <w:szCs w:val="20"/>
        </w:rPr>
        <w:t>paras. 56 &amp; 69-70.</w:t>
      </w:r>
    </w:p>
  </w:endnote>
  <w:endnote w:id="33">
    <w:p w14:paraId="523BDD50" w14:textId="77777777" w:rsidR="0090276C" w:rsidRPr="00A7286F" w:rsidRDefault="0090276C" w:rsidP="0090276C">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See generally</w:t>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id</w:t>
      </w:r>
      <w:r w:rsidRPr="00A7286F">
        <w:rPr>
          <w:rFonts w:ascii="Times New Roman" w:hAnsi="Times New Roman" w:cs="Times New Roman"/>
          <w:i/>
          <w:iCs/>
          <w:sz w:val="20"/>
          <w:szCs w:val="20"/>
        </w:rPr>
        <w:t>.</w:t>
      </w:r>
    </w:p>
  </w:endnote>
  <w:endnote w:id="34">
    <w:p w14:paraId="5DA6381A" w14:textId="3ED11F58"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912B7D" w:rsidRPr="00A7286F">
        <w:rPr>
          <w:rFonts w:ascii="Times New Roman" w:eastAsia="Times New Roman" w:hAnsi="Times New Roman" w:cs="Times New Roman"/>
        </w:rPr>
        <w:t xml:space="preserve">Committee on the Rights of the Child, </w:t>
      </w:r>
      <w:r w:rsidR="00912B7D" w:rsidRPr="00A7286F">
        <w:rPr>
          <w:rFonts w:ascii="Times New Roman" w:eastAsia="Times New Roman" w:hAnsi="Times New Roman" w:cs="Times New Roman"/>
          <w:i/>
        </w:rPr>
        <w:t>General Comment No. 20 on the implementation of the rights of the child during adolescence,</w:t>
      </w:r>
      <w:r w:rsidR="00912B7D" w:rsidRPr="00A7286F">
        <w:rPr>
          <w:rFonts w:ascii="Times New Roman" w:eastAsia="Times New Roman" w:hAnsi="Times New Roman" w:cs="Times New Roman"/>
        </w:rPr>
        <w:t xml:space="preserve"> para. 60, U.N. Doc. CRC/C/GC/20 (Dec. 2016) [hereinafter CRC Committee, </w:t>
      </w:r>
      <w:r w:rsidR="00912B7D" w:rsidRPr="00A7286F">
        <w:rPr>
          <w:rFonts w:ascii="Times New Roman" w:eastAsia="Times New Roman" w:hAnsi="Times New Roman" w:cs="Times New Roman"/>
          <w:i/>
        </w:rPr>
        <w:t>Gen. Comment No. 20</w:t>
      </w:r>
      <w:r w:rsidR="00912B7D" w:rsidRPr="00A7286F">
        <w:rPr>
          <w:rFonts w:ascii="Times New Roman" w:eastAsia="Times New Roman" w:hAnsi="Times New Roman" w:cs="Times New Roman"/>
        </w:rPr>
        <w:t>]</w:t>
      </w:r>
      <w:r w:rsidRPr="00A7286F">
        <w:rPr>
          <w:rFonts w:ascii="Times New Roman" w:eastAsia="Times New Roman" w:hAnsi="Times New Roman" w:cs="Times New Roman"/>
        </w:rPr>
        <w:t>.</w:t>
      </w:r>
    </w:p>
  </w:endnote>
  <w:endnote w:id="35">
    <w:p w14:paraId="3EA06C83" w14:textId="14928558"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912B7D" w:rsidRPr="00A7286F">
        <w:rPr>
          <w:rFonts w:ascii="Times New Roman" w:eastAsia="Times New Roman" w:hAnsi="Times New Roman" w:cs="Times New Roman"/>
          <w:i/>
        </w:rPr>
        <w:t>Id</w:t>
      </w:r>
      <w:r w:rsidRPr="00A7286F">
        <w:rPr>
          <w:rFonts w:ascii="Times New Roman" w:eastAsia="Times New Roman" w:hAnsi="Times New Roman" w:cs="Times New Roman"/>
        </w:rPr>
        <w:t>.</w:t>
      </w:r>
      <w:r w:rsidRPr="00A7286F">
        <w:rPr>
          <w:rFonts w:ascii="Times New Roman" w:hAnsi="Times New Roman" w:cs="Times New Roman"/>
        </w:rPr>
        <w:t xml:space="preserve"> </w:t>
      </w:r>
    </w:p>
  </w:endnote>
  <w:endnote w:id="36">
    <w:p w14:paraId="2B6FB196" w14:textId="1B685F7B"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912B7D" w:rsidRPr="00A7286F">
        <w:rPr>
          <w:rFonts w:ascii="Times New Roman" w:hAnsi="Times New Roman" w:cs="Times New Roman"/>
        </w:rPr>
        <w:t xml:space="preserve">Special Rapporteur on the right </w:t>
      </w:r>
      <w:r w:rsidR="00912B7D" w:rsidRPr="00A7286F">
        <w:rPr>
          <w:rFonts w:ascii="Times New Roman" w:hAnsi="Times New Roman" w:cs="Times New Roman"/>
          <w:bCs/>
        </w:rPr>
        <w:t xml:space="preserve">of everyone to the enjoyment of the highest attainable standard of physical and mental health, </w:t>
      </w:r>
      <w:r w:rsidR="00912B7D" w:rsidRPr="00A7286F">
        <w:rPr>
          <w:rFonts w:ascii="Times New Roman" w:hAnsi="Times New Roman" w:cs="Times New Roman"/>
          <w:i/>
        </w:rPr>
        <w:t>Rep. of the Special Rapporteur on the right of everyone to the enjoyment of the highest attainable standard of health, Dainius Puras</w:t>
      </w:r>
      <w:r w:rsidR="00912B7D" w:rsidRPr="00A7286F">
        <w:rPr>
          <w:rFonts w:ascii="Times New Roman" w:hAnsi="Times New Roman" w:cs="Times New Roman"/>
          <w:bCs/>
        </w:rPr>
        <w:t>,</w:t>
      </w:r>
      <w:r w:rsidR="00912B7D" w:rsidRPr="00A7286F">
        <w:rPr>
          <w:rFonts w:ascii="Times New Roman" w:hAnsi="Times New Roman" w:cs="Times New Roman"/>
          <w:bCs/>
          <w:i/>
        </w:rPr>
        <w:t xml:space="preserve"> </w:t>
      </w:r>
      <w:r w:rsidR="00912B7D" w:rsidRPr="00A7286F">
        <w:rPr>
          <w:rFonts w:ascii="Times New Roman" w:hAnsi="Times New Roman" w:cs="Times New Roman"/>
          <w:bCs/>
        </w:rPr>
        <w:t xml:space="preserve">para. 59, U.N. Doc. A/HRC/32/32 (2016) [hereinafter SR Health, </w:t>
      </w:r>
      <w:r w:rsidR="00912B7D" w:rsidRPr="00A7286F">
        <w:rPr>
          <w:rFonts w:ascii="Times New Roman" w:hAnsi="Times New Roman" w:cs="Times New Roman"/>
          <w:bCs/>
          <w:i/>
        </w:rPr>
        <w:t xml:space="preserve">Report on the health of adolescents </w:t>
      </w:r>
      <w:r w:rsidR="00912B7D" w:rsidRPr="00A7286F">
        <w:rPr>
          <w:rFonts w:ascii="Times New Roman" w:hAnsi="Times New Roman" w:cs="Times New Roman"/>
          <w:bCs/>
        </w:rPr>
        <w:t>(2016)]</w:t>
      </w:r>
      <w:r w:rsidRPr="00A7286F">
        <w:rPr>
          <w:rFonts w:ascii="Times New Roman" w:hAnsi="Times New Roman" w:cs="Times New Roman"/>
          <w:bCs/>
        </w:rPr>
        <w:t>.</w:t>
      </w:r>
    </w:p>
  </w:endnote>
  <w:endnote w:id="37">
    <w:p w14:paraId="3FCDACED" w14:textId="0B8E2607" w:rsidR="00A440AA" w:rsidRPr="002539DB" w:rsidRDefault="00A440AA" w:rsidP="00A440AA">
      <w:pPr>
        <w:pStyle w:val="EndnoteText"/>
        <w:rPr>
          <w:rFonts w:ascii="Times New Roman" w:hAnsi="Times New Roman" w:cs="Times New Roman"/>
        </w:rPr>
      </w:pPr>
      <w:r w:rsidRPr="002539DB">
        <w:rPr>
          <w:rStyle w:val="EndnoteReference"/>
          <w:rFonts w:ascii="Times New Roman" w:hAnsi="Times New Roman" w:cs="Times New Roman"/>
        </w:rPr>
        <w:endnoteRef/>
      </w:r>
      <w:r w:rsidRPr="002539DB">
        <w:rPr>
          <w:rFonts w:ascii="Times New Roman" w:hAnsi="Times New Roman" w:cs="Times New Roman"/>
        </w:rPr>
        <w:t xml:space="preserve"> </w:t>
      </w:r>
      <w:r w:rsidR="00CA3D42" w:rsidRPr="00CA3D42">
        <w:rPr>
          <w:rFonts w:ascii="Times New Roman" w:hAnsi="Times New Roman" w:cs="Times New Roman"/>
          <w:i/>
        </w:rPr>
        <w:t>Id</w:t>
      </w:r>
      <w:r w:rsidR="00CA3D42">
        <w:rPr>
          <w:rFonts w:ascii="Times New Roman" w:hAnsi="Times New Roman" w:cs="Times New Roman"/>
        </w:rPr>
        <w:t xml:space="preserve">. at para. 60; </w:t>
      </w:r>
      <w:r w:rsidRPr="002539DB">
        <w:rPr>
          <w:rFonts w:ascii="Times New Roman" w:hAnsi="Times New Roman" w:cs="Times New Roman"/>
        </w:rPr>
        <w:t xml:space="preserve">CRC Committee, </w:t>
      </w:r>
      <w:r w:rsidRPr="002539DB">
        <w:rPr>
          <w:rFonts w:ascii="Times New Roman" w:hAnsi="Times New Roman" w:cs="Times New Roman"/>
          <w:i/>
        </w:rPr>
        <w:t>Gen. Comment No. 20</w:t>
      </w:r>
      <w:r w:rsidRPr="002539DB">
        <w:rPr>
          <w:rFonts w:ascii="Times New Roman" w:hAnsi="Times New Roman" w:cs="Times New Roman"/>
        </w:rPr>
        <w:t xml:space="preserve">, </w:t>
      </w:r>
      <w:r w:rsidRPr="002539DB">
        <w:rPr>
          <w:rFonts w:ascii="Times New Roman" w:hAnsi="Times New Roman" w:cs="Times New Roman"/>
          <w:i/>
        </w:rPr>
        <w:t>supra</w:t>
      </w:r>
      <w:r w:rsidRPr="002539DB">
        <w:rPr>
          <w:rFonts w:ascii="Times New Roman" w:hAnsi="Times New Roman" w:cs="Times New Roman"/>
        </w:rPr>
        <w:t xml:space="preserve"> note </w:t>
      </w:r>
      <w:r w:rsidR="00CA3D42">
        <w:rPr>
          <w:rFonts w:ascii="Times New Roman" w:hAnsi="Times New Roman" w:cs="Times New Roman"/>
        </w:rPr>
        <w:fldChar w:fldCharType="begin"/>
      </w:r>
      <w:r w:rsidR="00CA3D42">
        <w:rPr>
          <w:rFonts w:ascii="Times New Roman" w:hAnsi="Times New Roman" w:cs="Times New Roman"/>
        </w:rPr>
        <w:instrText xml:space="preserve"> NOTEREF _Ref501465944 \h </w:instrText>
      </w:r>
      <w:r w:rsidR="00CA3D42">
        <w:rPr>
          <w:rFonts w:ascii="Times New Roman" w:hAnsi="Times New Roman" w:cs="Times New Roman"/>
        </w:rPr>
      </w:r>
      <w:r w:rsidR="00CA3D42">
        <w:rPr>
          <w:rFonts w:ascii="Times New Roman" w:hAnsi="Times New Roman" w:cs="Times New Roman"/>
        </w:rPr>
        <w:fldChar w:fldCharType="separate"/>
      </w:r>
      <w:r w:rsidR="00CA3D42">
        <w:rPr>
          <w:rFonts w:ascii="Times New Roman" w:hAnsi="Times New Roman" w:cs="Times New Roman"/>
        </w:rPr>
        <w:t>33</w:t>
      </w:r>
      <w:r w:rsidR="00CA3D42">
        <w:rPr>
          <w:rFonts w:ascii="Times New Roman" w:hAnsi="Times New Roman" w:cs="Times New Roman"/>
        </w:rPr>
        <w:fldChar w:fldCharType="end"/>
      </w:r>
      <w:r w:rsidR="00CA3D42">
        <w:rPr>
          <w:rFonts w:ascii="Times New Roman" w:hAnsi="Times New Roman" w:cs="Times New Roman"/>
        </w:rPr>
        <w:t>,</w:t>
      </w:r>
      <w:r w:rsidRPr="002539DB">
        <w:rPr>
          <w:rFonts w:ascii="Times New Roman" w:hAnsi="Times New Roman" w:cs="Times New Roman"/>
        </w:rPr>
        <w:t xml:space="preserve"> paras. 39, 59.</w:t>
      </w:r>
    </w:p>
  </w:endnote>
  <w:endnote w:id="38">
    <w:p w14:paraId="76FC92B8" w14:textId="046F0977"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eastAsia="Times New Roman" w:hAnsi="Times New Roman" w:cs="Times New Roman"/>
        </w:rPr>
        <w:t xml:space="preserve">CEDAW Committee, </w:t>
      </w:r>
      <w:r w:rsidRPr="00A7286F">
        <w:rPr>
          <w:rFonts w:ascii="Times New Roman" w:hAnsi="Times New Roman" w:cs="Times New Roman"/>
          <w:i/>
        </w:rPr>
        <w:t>General Recommendation No. 24: Article 12 of the Convention (women and health)</w:t>
      </w:r>
      <w:r w:rsidRPr="00A7286F">
        <w:rPr>
          <w:rFonts w:ascii="Times New Roman" w:hAnsi="Times New Roman" w:cs="Times New Roman"/>
        </w:rPr>
        <w:t>,</w:t>
      </w:r>
      <w:r w:rsidRPr="00A7286F">
        <w:rPr>
          <w:rFonts w:ascii="Times New Roman" w:hAnsi="Times New Roman" w:cs="Times New Roman"/>
          <w:i/>
        </w:rPr>
        <w:t xml:space="preserve"> </w:t>
      </w:r>
      <w:r w:rsidRPr="00A7286F">
        <w:rPr>
          <w:rFonts w:ascii="Times New Roman" w:hAnsi="Times New Roman" w:cs="Times New Roman"/>
        </w:rPr>
        <w:t>(20</w:t>
      </w:r>
      <w:r w:rsidRPr="00A7286F">
        <w:rPr>
          <w:rFonts w:ascii="Times New Roman" w:hAnsi="Times New Roman" w:cs="Times New Roman"/>
          <w:vertAlign w:val="superscript"/>
        </w:rPr>
        <w:t>th</w:t>
      </w:r>
      <w:r w:rsidRPr="00A7286F">
        <w:rPr>
          <w:rFonts w:ascii="Times New Roman" w:hAnsi="Times New Roman" w:cs="Times New Roman"/>
        </w:rPr>
        <w:t xml:space="preserve"> Sess., 1999), </w:t>
      </w:r>
      <w:r w:rsidRPr="00A7286F">
        <w:rPr>
          <w:rFonts w:ascii="Times New Roman" w:hAnsi="Times New Roman" w:cs="Times New Roman"/>
          <w:i/>
          <w:iCs/>
        </w:rPr>
        <w:t>in</w:t>
      </w:r>
      <w:r w:rsidRPr="00A7286F">
        <w:rPr>
          <w:rFonts w:ascii="Times New Roman" w:hAnsi="Times New Roman" w:cs="Times New Roman"/>
        </w:rPr>
        <w:t xml:space="preserve"> Compilation of General Comments and General Recommendations Adopted by Human Rights Treaty Bodies, at 358, para. 21, U.N. Doc. HRI/GEN/1/Rev.9 (Vol. II) (2008). </w:t>
      </w:r>
    </w:p>
  </w:endnote>
  <w:endnote w:id="39">
    <w:p w14:paraId="529584C5" w14:textId="7257D450"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eastAsia="Times New Roman" w:hAnsi="Times New Roman" w:cs="Times New Roman"/>
        </w:rPr>
        <w:t xml:space="preserve">CRC Committee, </w:t>
      </w:r>
      <w:r w:rsidRPr="00A7286F">
        <w:rPr>
          <w:rFonts w:ascii="Times New Roman" w:eastAsia="Times New Roman" w:hAnsi="Times New Roman" w:cs="Times New Roman"/>
          <w:i/>
        </w:rPr>
        <w:t>Gen. Comment No. 20</w:t>
      </w:r>
      <w:r w:rsidRPr="00A7286F">
        <w:rPr>
          <w:rFonts w:ascii="Times New Roman" w:eastAsia="Times New Roman" w:hAnsi="Times New Roman" w:cs="Times New Roman"/>
        </w:rPr>
        <w:t xml:space="preserve">, </w:t>
      </w:r>
      <w:r w:rsidRPr="00A7286F">
        <w:rPr>
          <w:rFonts w:ascii="Times New Roman" w:eastAsia="Times New Roman" w:hAnsi="Times New Roman" w:cs="Times New Roman"/>
          <w:i/>
        </w:rPr>
        <w:t xml:space="preserve">supra </w:t>
      </w:r>
      <w:r w:rsidR="00912B7D" w:rsidRPr="00A7286F">
        <w:rPr>
          <w:rFonts w:ascii="Times New Roman" w:eastAsia="Times New Roman" w:hAnsi="Times New Roman" w:cs="Times New Roman"/>
        </w:rPr>
        <w:t xml:space="preserve">note </w:t>
      </w:r>
      <w:r w:rsidR="00912B7D" w:rsidRPr="00A7286F">
        <w:rPr>
          <w:rFonts w:ascii="Times New Roman" w:eastAsia="Times New Roman" w:hAnsi="Times New Roman" w:cs="Times New Roman"/>
        </w:rPr>
        <w:fldChar w:fldCharType="begin"/>
      </w:r>
      <w:r w:rsidR="00912B7D" w:rsidRPr="00A7286F">
        <w:rPr>
          <w:rFonts w:ascii="Times New Roman" w:eastAsia="Times New Roman" w:hAnsi="Times New Roman" w:cs="Times New Roman"/>
        </w:rPr>
        <w:instrText xml:space="preserve"> NOTEREF _Ref501465944 \h </w:instrText>
      </w:r>
      <w:r w:rsidR="00912B7D" w:rsidRPr="00A7286F">
        <w:rPr>
          <w:rFonts w:ascii="Times New Roman" w:eastAsia="Times New Roman" w:hAnsi="Times New Roman" w:cs="Times New Roman"/>
        </w:rPr>
      </w:r>
      <w:r w:rsidR="00912B7D" w:rsidRPr="00A7286F">
        <w:rPr>
          <w:rFonts w:ascii="Times New Roman" w:eastAsia="Times New Roman" w:hAnsi="Times New Roman" w:cs="Times New Roman"/>
        </w:rPr>
        <w:fldChar w:fldCharType="separate"/>
      </w:r>
      <w:r w:rsidR="00912B7D" w:rsidRPr="00A7286F">
        <w:rPr>
          <w:rFonts w:ascii="Times New Roman" w:eastAsia="Times New Roman" w:hAnsi="Times New Roman" w:cs="Times New Roman"/>
        </w:rPr>
        <w:t>38</w:t>
      </w:r>
      <w:r w:rsidR="00912B7D" w:rsidRPr="00A7286F">
        <w:rPr>
          <w:rFonts w:ascii="Times New Roman" w:eastAsia="Times New Roman" w:hAnsi="Times New Roman" w:cs="Times New Roman"/>
        </w:rPr>
        <w:fldChar w:fldCharType="end"/>
      </w:r>
      <w:r w:rsidRPr="00A7286F">
        <w:rPr>
          <w:rFonts w:ascii="Times New Roman" w:eastAsia="Times New Roman" w:hAnsi="Times New Roman" w:cs="Times New Roman"/>
        </w:rPr>
        <w:t>, para. 39</w:t>
      </w:r>
      <w:r w:rsidRPr="00A7286F">
        <w:rPr>
          <w:rFonts w:ascii="Times New Roman" w:hAnsi="Times New Roman" w:cs="Times New Roman"/>
        </w:rPr>
        <w:t xml:space="preserve">. </w:t>
      </w:r>
    </w:p>
  </w:endnote>
  <w:endnote w:id="40">
    <w:p w14:paraId="4D135102" w14:textId="5BC9819D" w:rsidR="0090276C" w:rsidRPr="00A7286F" w:rsidRDefault="0090276C" w:rsidP="0090276C">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SR Health, </w:t>
      </w:r>
      <w:r w:rsidRPr="00A7286F">
        <w:rPr>
          <w:rFonts w:ascii="Times New Roman" w:hAnsi="Times New Roman" w:cs="Times New Roman"/>
          <w:i/>
        </w:rPr>
        <w:t xml:space="preserve">Report on the health of adolescents </w:t>
      </w:r>
      <w:r w:rsidRPr="00A7286F">
        <w:rPr>
          <w:rFonts w:ascii="Times New Roman" w:hAnsi="Times New Roman" w:cs="Times New Roman"/>
        </w:rPr>
        <w:t xml:space="preserve">(2016), </w:t>
      </w:r>
      <w:r w:rsidRPr="00A7286F">
        <w:rPr>
          <w:rFonts w:ascii="Times New Roman" w:hAnsi="Times New Roman" w:cs="Times New Roman"/>
          <w:i/>
        </w:rPr>
        <w:t xml:space="preserve">supra </w:t>
      </w:r>
      <w:r w:rsidR="00912B7D" w:rsidRPr="00A7286F">
        <w:rPr>
          <w:rFonts w:ascii="Times New Roman" w:hAnsi="Times New Roman" w:cs="Times New Roman"/>
        </w:rPr>
        <w:t xml:space="preserve">note </w:t>
      </w:r>
      <w:r w:rsidR="00912B7D" w:rsidRPr="00A7286F">
        <w:rPr>
          <w:rFonts w:ascii="Times New Roman" w:hAnsi="Times New Roman" w:cs="Times New Roman"/>
        </w:rPr>
        <w:fldChar w:fldCharType="begin"/>
      </w:r>
      <w:r w:rsidR="00912B7D" w:rsidRPr="00A7286F">
        <w:rPr>
          <w:rFonts w:ascii="Times New Roman" w:hAnsi="Times New Roman" w:cs="Times New Roman"/>
        </w:rPr>
        <w:instrText xml:space="preserve"> NOTEREF _Ref501465977 \h </w:instrText>
      </w:r>
      <w:r w:rsidR="00912B7D" w:rsidRPr="00A7286F">
        <w:rPr>
          <w:rFonts w:ascii="Times New Roman" w:hAnsi="Times New Roman" w:cs="Times New Roman"/>
        </w:rPr>
      </w:r>
      <w:r w:rsidR="00912B7D" w:rsidRPr="00A7286F">
        <w:rPr>
          <w:rFonts w:ascii="Times New Roman" w:hAnsi="Times New Roman" w:cs="Times New Roman"/>
        </w:rPr>
        <w:fldChar w:fldCharType="separate"/>
      </w:r>
      <w:r w:rsidR="00912B7D" w:rsidRPr="00A7286F">
        <w:rPr>
          <w:rFonts w:ascii="Times New Roman" w:hAnsi="Times New Roman" w:cs="Times New Roman"/>
        </w:rPr>
        <w:t>40</w:t>
      </w:r>
      <w:r w:rsidR="00912B7D" w:rsidRPr="00A7286F">
        <w:rPr>
          <w:rFonts w:ascii="Times New Roman" w:hAnsi="Times New Roman" w:cs="Times New Roman"/>
        </w:rPr>
        <w:fldChar w:fldCharType="end"/>
      </w:r>
      <w:r w:rsidRPr="00A7286F">
        <w:rPr>
          <w:rFonts w:ascii="Times New Roman" w:hAnsi="Times New Roman" w:cs="Times New Roman"/>
        </w:rPr>
        <w:t>, para. 60.</w:t>
      </w:r>
    </w:p>
  </w:endnote>
  <w:endnote w:id="41">
    <w:p w14:paraId="5C93DF87" w14:textId="77777777" w:rsidR="00B27272" w:rsidRPr="00A7286F" w:rsidRDefault="00B27272" w:rsidP="00B27272">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w:t>
      </w:r>
      <w:r w:rsidRPr="00A7286F">
        <w:rPr>
          <w:rFonts w:ascii="Times New Roman" w:hAnsi="Times New Roman" w:cs="Times New Roman"/>
          <w:i/>
          <w:sz w:val="20"/>
          <w:szCs w:val="20"/>
        </w:rPr>
        <w:t xml:space="preserve">See </w:t>
      </w:r>
      <w:r w:rsidRPr="00A7286F">
        <w:rPr>
          <w:rFonts w:ascii="Times New Roman" w:hAnsi="Times New Roman" w:cs="Times New Roman"/>
          <w:sz w:val="20"/>
          <w:szCs w:val="20"/>
        </w:rPr>
        <w:t xml:space="preserve">Committee on the Rights of the Child, </w:t>
      </w:r>
      <w:r w:rsidRPr="00A7286F">
        <w:rPr>
          <w:rFonts w:ascii="Times New Roman" w:hAnsi="Times New Roman" w:cs="Times New Roman"/>
          <w:i/>
          <w:sz w:val="20"/>
          <w:szCs w:val="20"/>
        </w:rPr>
        <w:t>General Comment No. 9: The rights of children with disabilities</w:t>
      </w:r>
      <w:r w:rsidRPr="00A7286F">
        <w:rPr>
          <w:rFonts w:ascii="Times New Roman" w:hAnsi="Times New Roman" w:cs="Times New Roman"/>
          <w:sz w:val="20"/>
          <w:szCs w:val="20"/>
        </w:rPr>
        <w:t>, (33</w:t>
      </w:r>
      <w:r w:rsidRPr="00A7286F">
        <w:rPr>
          <w:rFonts w:ascii="Times New Roman" w:hAnsi="Times New Roman" w:cs="Times New Roman"/>
          <w:sz w:val="20"/>
          <w:szCs w:val="20"/>
          <w:vertAlign w:val="superscript"/>
        </w:rPr>
        <w:t>rd</w:t>
      </w:r>
      <w:r w:rsidRPr="00A7286F">
        <w:rPr>
          <w:rFonts w:ascii="Times New Roman" w:hAnsi="Times New Roman" w:cs="Times New Roman"/>
          <w:sz w:val="20"/>
          <w:szCs w:val="20"/>
        </w:rPr>
        <w:t xml:space="preserve"> Sess., 2003), </w:t>
      </w:r>
      <w:r w:rsidRPr="00A7286F">
        <w:rPr>
          <w:rFonts w:ascii="Times New Roman" w:hAnsi="Times New Roman" w:cs="Times New Roman"/>
          <w:i/>
          <w:sz w:val="20"/>
          <w:szCs w:val="20"/>
        </w:rPr>
        <w:t>in</w:t>
      </w:r>
      <w:r w:rsidRPr="00A7286F">
        <w:rPr>
          <w:rFonts w:ascii="Times New Roman" w:hAnsi="Times New Roman" w:cs="Times New Roman"/>
          <w:sz w:val="20"/>
          <w:szCs w:val="20"/>
        </w:rPr>
        <w:t xml:space="preserve"> Compilation of General Comments and General Recommendations Adopted by Human Rights Treaty Bodies, at 497, para. 60, U.N. Doc. HRI/GEN/1/Rev.9 (Vol. II) (2008)</w:t>
      </w:r>
      <w:r w:rsidRPr="00A7286F" w:rsidDel="00FD5C0A">
        <w:rPr>
          <w:rFonts w:ascii="Times New Roman" w:eastAsia="Times New Roman" w:hAnsi="Times New Roman" w:cs="Times New Roman"/>
          <w:i/>
          <w:iCs/>
          <w:sz w:val="20"/>
          <w:szCs w:val="20"/>
        </w:rPr>
        <w:t xml:space="preserve"> </w:t>
      </w:r>
      <w:r w:rsidRPr="00A7286F">
        <w:rPr>
          <w:rFonts w:ascii="Times New Roman" w:hAnsi="Times New Roman" w:cs="Times New Roman"/>
          <w:sz w:val="20"/>
          <w:szCs w:val="20"/>
        </w:rPr>
        <w:t>(expressing concern about and urging states to prohibit the forced sterilization of children on the basis of disability).</w:t>
      </w:r>
    </w:p>
  </w:endnote>
  <w:endnote w:id="42">
    <w:p w14:paraId="2FF326A5" w14:textId="0570B983" w:rsidR="00B27272" w:rsidRPr="00A7286F" w:rsidRDefault="00B27272" w:rsidP="00B27272">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CRC Committee</w:t>
      </w:r>
      <w:r w:rsidRPr="00A7286F">
        <w:rPr>
          <w:rFonts w:ascii="Times New Roman" w:hAnsi="Times New Roman" w:cs="Times New Roman"/>
          <w:i/>
          <w:iCs/>
          <w:sz w:val="20"/>
          <w:szCs w:val="20"/>
        </w:rPr>
        <w:t xml:space="preserve">, Gen. Comment No. 15, supra </w:t>
      </w:r>
      <w:r w:rsidR="00912B7D" w:rsidRPr="00A7286F">
        <w:rPr>
          <w:rFonts w:ascii="Times New Roman" w:hAnsi="Times New Roman" w:cs="Times New Roman"/>
          <w:iCs/>
          <w:sz w:val="20"/>
          <w:szCs w:val="20"/>
        </w:rPr>
        <w:t xml:space="preserve">note </w:t>
      </w:r>
      <w:r w:rsidR="00912B7D" w:rsidRPr="00A7286F">
        <w:rPr>
          <w:rFonts w:ascii="Times New Roman" w:hAnsi="Times New Roman" w:cs="Times New Roman"/>
          <w:iCs/>
          <w:sz w:val="20"/>
          <w:szCs w:val="20"/>
        </w:rPr>
        <w:fldChar w:fldCharType="begin"/>
      </w:r>
      <w:r w:rsidR="00912B7D" w:rsidRPr="00A7286F">
        <w:rPr>
          <w:rFonts w:ascii="Times New Roman" w:hAnsi="Times New Roman" w:cs="Times New Roman"/>
          <w:iCs/>
          <w:sz w:val="20"/>
          <w:szCs w:val="20"/>
        </w:rPr>
        <w:instrText xml:space="preserve"> NOTEREF _Ref501466056 \h </w:instrText>
      </w:r>
      <w:r w:rsidR="00912B7D" w:rsidRPr="00A7286F">
        <w:rPr>
          <w:rFonts w:ascii="Times New Roman" w:hAnsi="Times New Roman" w:cs="Times New Roman"/>
          <w:iCs/>
          <w:sz w:val="20"/>
          <w:szCs w:val="20"/>
        </w:rPr>
      </w:r>
      <w:r w:rsidR="00912B7D" w:rsidRPr="00A7286F">
        <w:rPr>
          <w:rFonts w:ascii="Times New Roman" w:hAnsi="Times New Roman" w:cs="Times New Roman"/>
          <w:iCs/>
          <w:sz w:val="20"/>
          <w:szCs w:val="20"/>
        </w:rPr>
        <w:fldChar w:fldCharType="separate"/>
      </w:r>
      <w:r w:rsidR="00912B7D" w:rsidRPr="00A7286F">
        <w:rPr>
          <w:rFonts w:ascii="Times New Roman" w:hAnsi="Times New Roman" w:cs="Times New Roman"/>
          <w:iCs/>
          <w:sz w:val="20"/>
          <w:szCs w:val="20"/>
        </w:rPr>
        <w:t>35</w:t>
      </w:r>
      <w:r w:rsidR="00912B7D" w:rsidRPr="00A7286F">
        <w:rPr>
          <w:rFonts w:ascii="Times New Roman" w:hAnsi="Times New Roman" w:cs="Times New Roman"/>
          <w:iCs/>
          <w:sz w:val="20"/>
          <w:szCs w:val="20"/>
        </w:rPr>
        <w:fldChar w:fldCharType="end"/>
      </w:r>
      <w:r w:rsidR="00912B7D" w:rsidRPr="00A7286F">
        <w:rPr>
          <w:rFonts w:ascii="Times New Roman" w:hAnsi="Times New Roman" w:cs="Times New Roman"/>
          <w:iCs/>
          <w:sz w:val="20"/>
          <w:szCs w:val="20"/>
        </w:rPr>
        <w:t>,</w:t>
      </w:r>
      <w:r w:rsidRPr="00A7286F">
        <w:rPr>
          <w:rFonts w:ascii="Times New Roman" w:hAnsi="Times New Roman" w:cs="Times New Roman"/>
          <w:i/>
          <w:iCs/>
          <w:sz w:val="20"/>
          <w:szCs w:val="20"/>
        </w:rPr>
        <w:t xml:space="preserve"> </w:t>
      </w:r>
      <w:r w:rsidRPr="00A7286F">
        <w:rPr>
          <w:rFonts w:ascii="Times New Roman" w:hAnsi="Times New Roman" w:cs="Times New Roman"/>
          <w:iCs/>
          <w:sz w:val="20"/>
          <w:szCs w:val="20"/>
        </w:rPr>
        <w:t xml:space="preserve">para. 21. </w:t>
      </w:r>
    </w:p>
  </w:endnote>
  <w:endnote w:id="43">
    <w:p w14:paraId="1E1E514C" w14:textId="2C4C8CA9" w:rsidR="00B27272" w:rsidRPr="00A7286F" w:rsidRDefault="00B27272" w:rsidP="00B27272">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eastAsia="Times New Roman" w:hAnsi="Times New Roman" w:cs="Times New Roman"/>
        </w:rPr>
        <w:t xml:space="preserve">CRC Committee, </w:t>
      </w:r>
      <w:r w:rsidRPr="00A7286F">
        <w:rPr>
          <w:rFonts w:ascii="Times New Roman" w:eastAsia="Times New Roman" w:hAnsi="Times New Roman" w:cs="Times New Roman"/>
          <w:i/>
        </w:rPr>
        <w:t>Gen. Comment No. 20</w:t>
      </w:r>
      <w:r w:rsidRPr="00A7286F">
        <w:rPr>
          <w:rFonts w:ascii="Times New Roman" w:eastAsia="Times New Roman" w:hAnsi="Times New Roman" w:cs="Times New Roman"/>
        </w:rPr>
        <w:t xml:space="preserve">, </w:t>
      </w:r>
      <w:r w:rsidRPr="00A7286F">
        <w:rPr>
          <w:rFonts w:ascii="Times New Roman" w:eastAsia="Times New Roman" w:hAnsi="Times New Roman" w:cs="Times New Roman"/>
          <w:i/>
        </w:rPr>
        <w:t xml:space="preserve">supra </w:t>
      </w:r>
      <w:r w:rsidRPr="00A7286F">
        <w:rPr>
          <w:rFonts w:ascii="Times New Roman" w:eastAsia="Times New Roman" w:hAnsi="Times New Roman" w:cs="Times New Roman"/>
        </w:rPr>
        <w:t>note</w:t>
      </w:r>
      <w:r w:rsidR="00912B7D" w:rsidRPr="00A7286F">
        <w:rPr>
          <w:rFonts w:ascii="Times New Roman" w:eastAsia="Times New Roman" w:hAnsi="Times New Roman" w:cs="Times New Roman"/>
        </w:rPr>
        <w:t xml:space="preserve"> </w:t>
      </w:r>
      <w:r w:rsidR="00912B7D" w:rsidRPr="00A7286F">
        <w:rPr>
          <w:rFonts w:ascii="Times New Roman" w:eastAsia="Times New Roman" w:hAnsi="Times New Roman" w:cs="Times New Roman"/>
        </w:rPr>
        <w:fldChar w:fldCharType="begin"/>
      </w:r>
      <w:r w:rsidR="00912B7D" w:rsidRPr="00A7286F">
        <w:rPr>
          <w:rFonts w:ascii="Times New Roman" w:eastAsia="Times New Roman" w:hAnsi="Times New Roman" w:cs="Times New Roman"/>
        </w:rPr>
        <w:instrText xml:space="preserve"> NOTEREF _Ref501465944 \h </w:instrText>
      </w:r>
      <w:r w:rsidR="00912B7D" w:rsidRPr="00A7286F">
        <w:rPr>
          <w:rFonts w:ascii="Times New Roman" w:eastAsia="Times New Roman" w:hAnsi="Times New Roman" w:cs="Times New Roman"/>
        </w:rPr>
      </w:r>
      <w:r w:rsidR="00912B7D" w:rsidRPr="00A7286F">
        <w:rPr>
          <w:rFonts w:ascii="Times New Roman" w:eastAsia="Times New Roman" w:hAnsi="Times New Roman" w:cs="Times New Roman"/>
        </w:rPr>
        <w:fldChar w:fldCharType="separate"/>
      </w:r>
      <w:r w:rsidR="00912B7D" w:rsidRPr="00A7286F">
        <w:rPr>
          <w:rFonts w:ascii="Times New Roman" w:eastAsia="Times New Roman" w:hAnsi="Times New Roman" w:cs="Times New Roman"/>
        </w:rPr>
        <w:t>38</w:t>
      </w:r>
      <w:r w:rsidR="00912B7D" w:rsidRPr="00A7286F">
        <w:rPr>
          <w:rFonts w:ascii="Times New Roman" w:eastAsia="Times New Roman" w:hAnsi="Times New Roman" w:cs="Times New Roman"/>
        </w:rPr>
        <w:fldChar w:fldCharType="end"/>
      </w:r>
      <w:r w:rsidRPr="00A7286F">
        <w:rPr>
          <w:rFonts w:ascii="Times New Roman" w:eastAsia="Times New Roman" w:hAnsi="Times New Roman" w:cs="Times New Roman"/>
        </w:rPr>
        <w:t>, para. 39</w:t>
      </w:r>
      <w:r w:rsidRPr="00A7286F">
        <w:rPr>
          <w:rFonts w:ascii="Times New Roman" w:hAnsi="Times New Roman" w:cs="Times New Roman"/>
        </w:rPr>
        <w:t>.</w:t>
      </w:r>
    </w:p>
  </w:endnote>
  <w:endnote w:id="44">
    <w:p w14:paraId="1B293909" w14:textId="77777777" w:rsidR="002F71EA" w:rsidRPr="00A7286F" w:rsidRDefault="002F71EA" w:rsidP="002F71EA">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Human Rights Committee, </w:t>
      </w:r>
      <w:r w:rsidRPr="00A7286F">
        <w:rPr>
          <w:rFonts w:ascii="Times New Roman" w:hAnsi="Times New Roman" w:cs="Times New Roman"/>
          <w:i/>
        </w:rPr>
        <w:t>Concluding Observations: Paraguay</w:t>
      </w:r>
      <w:r w:rsidRPr="00A7286F">
        <w:rPr>
          <w:rFonts w:ascii="Times New Roman" w:hAnsi="Times New Roman" w:cs="Times New Roman"/>
        </w:rPr>
        <w:t>, para. 13, U.N. Doc. CCPR/C/PRY/CO/3 (2013)</w:t>
      </w:r>
      <w:r w:rsidRPr="00A7286F">
        <w:rPr>
          <w:rFonts w:ascii="Times New Roman" w:eastAsia="Times New Roman" w:hAnsi="Times New Roman" w:cs="Times New Roman"/>
        </w:rPr>
        <w:t xml:space="preserve">; CEDAW Committee, </w:t>
      </w:r>
      <w:r w:rsidRPr="00A7286F">
        <w:rPr>
          <w:rFonts w:ascii="Times New Roman" w:eastAsia="Times New Roman" w:hAnsi="Times New Roman" w:cs="Times New Roman"/>
          <w:i/>
        </w:rPr>
        <w:t>Concluding Observations: Bolivia</w:t>
      </w:r>
      <w:r w:rsidRPr="00A7286F">
        <w:rPr>
          <w:rFonts w:ascii="Times New Roman" w:eastAsia="Times New Roman" w:hAnsi="Times New Roman" w:cs="Times New Roman"/>
        </w:rPr>
        <w:t xml:space="preserve">, para. 29(b), U.N. Doc. CEDAW/C/BOL/CO/5-6 (2015); </w:t>
      </w:r>
      <w:r w:rsidRPr="00A7286F">
        <w:rPr>
          <w:rFonts w:ascii="Times New Roman" w:eastAsia="Times New Roman" w:hAnsi="Times New Roman" w:cs="Times New Roman"/>
          <w:i/>
        </w:rPr>
        <w:t xml:space="preserve">Poland, </w:t>
      </w:r>
      <w:r w:rsidRPr="00A7286F">
        <w:rPr>
          <w:rFonts w:ascii="Times New Roman" w:eastAsia="Times New Roman" w:hAnsi="Times New Roman" w:cs="Times New Roman"/>
        </w:rPr>
        <w:t xml:space="preserve">paras. 36, 37(e), U.N. Doc. CEDAW/C/POL/CO/7-8 (2014); ESCR Committee, </w:t>
      </w:r>
      <w:r w:rsidRPr="00A7286F">
        <w:rPr>
          <w:rFonts w:ascii="Times New Roman" w:eastAsia="Times New Roman" w:hAnsi="Times New Roman" w:cs="Times New Roman"/>
          <w:i/>
        </w:rPr>
        <w:t xml:space="preserve">Concluding Observations: Lithuania, </w:t>
      </w:r>
      <w:r w:rsidRPr="00A7286F">
        <w:rPr>
          <w:rFonts w:ascii="Times New Roman" w:eastAsia="Times New Roman" w:hAnsi="Times New Roman" w:cs="Times New Roman"/>
        </w:rPr>
        <w:t>para. 22, U.N. Doc. E/C.12/LTU/CO/2 (2014).</w:t>
      </w:r>
    </w:p>
  </w:endnote>
  <w:endnote w:id="45">
    <w:p w14:paraId="177DDE99" w14:textId="77777777" w:rsidR="002F71EA" w:rsidRPr="00A7286F" w:rsidRDefault="002F71EA" w:rsidP="002F71EA">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CEDAW Committee, </w:t>
      </w:r>
      <w:r w:rsidRPr="00A7286F">
        <w:rPr>
          <w:rFonts w:ascii="Times New Roman" w:hAnsi="Times New Roman" w:cs="Times New Roman"/>
          <w:i/>
        </w:rPr>
        <w:t>Concluding Observations:</w:t>
      </w:r>
      <w:r w:rsidRPr="00A7286F">
        <w:rPr>
          <w:rFonts w:ascii="Times New Roman" w:hAnsi="Times New Roman" w:cs="Times New Roman"/>
        </w:rPr>
        <w:t xml:space="preserve"> </w:t>
      </w:r>
      <w:r w:rsidRPr="00A7286F">
        <w:rPr>
          <w:rFonts w:ascii="Times New Roman" w:hAnsi="Times New Roman" w:cs="Times New Roman"/>
          <w:i/>
        </w:rPr>
        <w:t>Denmark</w:t>
      </w:r>
      <w:r w:rsidRPr="00A7286F">
        <w:rPr>
          <w:rFonts w:ascii="Times New Roman" w:hAnsi="Times New Roman" w:cs="Times New Roman"/>
        </w:rPr>
        <w:t xml:space="preserve">, para. 32, U.N. Doc. CEDAW/C/DNK/CO/8 (2015); ESCR Committee, </w:t>
      </w:r>
      <w:r w:rsidRPr="00A7286F">
        <w:rPr>
          <w:rFonts w:ascii="Times New Roman" w:hAnsi="Times New Roman" w:cs="Times New Roman"/>
          <w:i/>
        </w:rPr>
        <w:t xml:space="preserve">Concluding Observations: Romania, </w:t>
      </w:r>
      <w:r w:rsidRPr="00A7286F">
        <w:rPr>
          <w:rFonts w:ascii="Times New Roman" w:hAnsi="Times New Roman" w:cs="Times New Roman"/>
        </w:rPr>
        <w:t xml:space="preserve">para. 22, U.N. Doc. E/C.12/ROU/CO/3-5 (2014). </w:t>
      </w:r>
    </w:p>
  </w:endnote>
  <w:endnote w:id="46">
    <w:p w14:paraId="52D147C5" w14:textId="77777777" w:rsidR="002F71EA" w:rsidRPr="00A7286F" w:rsidRDefault="002F71EA" w:rsidP="002F71EA">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CEDAW Committee, </w:t>
      </w:r>
      <w:r w:rsidRPr="00A7286F">
        <w:rPr>
          <w:rFonts w:ascii="Times New Roman" w:hAnsi="Times New Roman" w:cs="Times New Roman"/>
          <w:i/>
        </w:rPr>
        <w:t>Concluding Observations:</w:t>
      </w:r>
      <w:r w:rsidRPr="00A7286F">
        <w:rPr>
          <w:rFonts w:ascii="Times New Roman" w:hAnsi="Times New Roman" w:cs="Times New Roman"/>
        </w:rPr>
        <w:t xml:space="preserve"> </w:t>
      </w:r>
      <w:r w:rsidRPr="00A7286F">
        <w:rPr>
          <w:rFonts w:ascii="Times New Roman" w:hAnsi="Times New Roman" w:cs="Times New Roman"/>
          <w:i/>
        </w:rPr>
        <w:t>Ecuador</w:t>
      </w:r>
      <w:r w:rsidRPr="00A7286F">
        <w:rPr>
          <w:rFonts w:ascii="Times New Roman" w:hAnsi="Times New Roman" w:cs="Times New Roman"/>
        </w:rPr>
        <w:t xml:space="preserve">, para. 33(d), U.N. Doc. CEDAW/C/ECU/CO/8-9 (2015); CEDAW Committee, </w:t>
      </w:r>
      <w:r w:rsidRPr="00A7286F">
        <w:rPr>
          <w:rFonts w:ascii="Times New Roman" w:hAnsi="Times New Roman" w:cs="Times New Roman"/>
          <w:i/>
        </w:rPr>
        <w:t>Concluding Observations</w:t>
      </w:r>
      <w:r w:rsidRPr="00A7286F">
        <w:rPr>
          <w:rFonts w:ascii="Times New Roman" w:hAnsi="Times New Roman" w:cs="Times New Roman"/>
        </w:rPr>
        <w:t xml:space="preserve">: </w:t>
      </w:r>
      <w:r w:rsidRPr="00A7286F">
        <w:rPr>
          <w:rFonts w:ascii="Times New Roman" w:hAnsi="Times New Roman" w:cs="Times New Roman"/>
          <w:i/>
        </w:rPr>
        <w:t>Eritrea</w:t>
      </w:r>
      <w:r w:rsidRPr="00A7286F">
        <w:rPr>
          <w:rFonts w:ascii="Times New Roman" w:hAnsi="Times New Roman" w:cs="Times New Roman"/>
        </w:rPr>
        <w:t xml:space="preserve">, para. 35(d), U.N. Doc. CEDAW/C/ERI/CO/5 (2015); CEDAW Committee, </w:t>
      </w:r>
      <w:r w:rsidRPr="00A7286F">
        <w:rPr>
          <w:rFonts w:ascii="Times New Roman" w:hAnsi="Times New Roman" w:cs="Times New Roman"/>
          <w:i/>
        </w:rPr>
        <w:t>Concluding Observations:</w:t>
      </w:r>
      <w:r w:rsidRPr="00A7286F">
        <w:rPr>
          <w:rFonts w:ascii="Times New Roman" w:hAnsi="Times New Roman" w:cs="Times New Roman"/>
        </w:rPr>
        <w:t xml:space="preserve"> </w:t>
      </w:r>
      <w:r w:rsidRPr="00A7286F">
        <w:rPr>
          <w:rFonts w:ascii="Times New Roman" w:hAnsi="Times New Roman" w:cs="Times New Roman"/>
          <w:i/>
        </w:rPr>
        <w:t>Gabon</w:t>
      </w:r>
      <w:r w:rsidRPr="00A7286F">
        <w:rPr>
          <w:rFonts w:ascii="Times New Roman" w:hAnsi="Times New Roman" w:cs="Times New Roman"/>
        </w:rPr>
        <w:t>, para. 35(c), U.N. Doc. CEDAW/C/GAB/CO/6 (2015).</w:t>
      </w:r>
    </w:p>
  </w:endnote>
  <w:endnote w:id="47">
    <w:p w14:paraId="41BB2AE5" w14:textId="77777777" w:rsidR="002F71EA" w:rsidRPr="00A7286F" w:rsidRDefault="002F71EA" w:rsidP="002F71EA">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eastAsia="Times New Roman" w:hAnsi="Times New Roman" w:cs="Times New Roman"/>
        </w:rPr>
        <w:t xml:space="preserve">CEDAW Committee, </w:t>
      </w:r>
      <w:r w:rsidRPr="00A7286F">
        <w:rPr>
          <w:rFonts w:ascii="Times New Roman" w:eastAsia="Times New Roman" w:hAnsi="Times New Roman" w:cs="Times New Roman"/>
          <w:i/>
        </w:rPr>
        <w:t>Concluding Observations: India</w:t>
      </w:r>
      <w:r w:rsidRPr="00A7286F">
        <w:rPr>
          <w:rFonts w:ascii="Times New Roman" w:eastAsia="Times New Roman" w:hAnsi="Times New Roman" w:cs="Times New Roman"/>
        </w:rPr>
        <w:t xml:space="preserve">, para. 31(a), U.N. Doc. CEDAW/C/IND/CO/4-5 (2014); </w:t>
      </w:r>
      <w:r w:rsidRPr="00A7286F">
        <w:rPr>
          <w:rFonts w:ascii="Times New Roman" w:eastAsia="Times New Roman" w:hAnsi="Times New Roman" w:cs="Times New Roman"/>
          <w:i/>
        </w:rPr>
        <w:t>Bangladesh</w:t>
      </w:r>
      <w:r w:rsidRPr="00A7286F">
        <w:rPr>
          <w:rFonts w:ascii="Times New Roman" w:eastAsia="Times New Roman" w:hAnsi="Times New Roman" w:cs="Times New Roman"/>
        </w:rPr>
        <w:t xml:space="preserve">, paras. 34-35, U.N. Doc. CEDAW/C/BGD/CO/8 (2016); ESCR Committee, </w:t>
      </w:r>
      <w:r w:rsidRPr="00A7286F">
        <w:rPr>
          <w:rFonts w:ascii="Times New Roman" w:eastAsia="Times New Roman" w:hAnsi="Times New Roman" w:cs="Times New Roman"/>
          <w:i/>
        </w:rPr>
        <w:t xml:space="preserve">Concluding Observations: Indonesia, </w:t>
      </w:r>
      <w:r w:rsidRPr="00A7286F">
        <w:rPr>
          <w:rFonts w:ascii="Times New Roman" w:eastAsia="Times New Roman" w:hAnsi="Times New Roman" w:cs="Times New Roman"/>
        </w:rPr>
        <w:t xml:space="preserve">para. 33, U.N. Doc. E/C.12/IDN/CO/1 (2014); Human Rights Committee, </w:t>
      </w:r>
      <w:r w:rsidRPr="00A7286F">
        <w:rPr>
          <w:rFonts w:ascii="Times New Roman" w:eastAsia="Times New Roman" w:hAnsi="Times New Roman" w:cs="Times New Roman"/>
          <w:i/>
        </w:rPr>
        <w:t>Concluding Observations: Peru</w:t>
      </w:r>
      <w:r w:rsidRPr="00A7286F">
        <w:rPr>
          <w:rFonts w:ascii="Times New Roman" w:eastAsia="Times New Roman" w:hAnsi="Times New Roman" w:cs="Times New Roman"/>
        </w:rPr>
        <w:t>, para. 14(b), U.N. Doc. CCPR/C/PER/CO/5 (2013).</w:t>
      </w:r>
    </w:p>
  </w:endnote>
  <w:endnote w:id="48">
    <w:p w14:paraId="70DEC09F" w14:textId="7EFA0EBC" w:rsidR="00ED06E4" w:rsidRPr="00A7286F" w:rsidRDefault="00ED06E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 e.g.,</w:t>
      </w:r>
      <w:r w:rsidRPr="00A7286F">
        <w:rPr>
          <w:rFonts w:ascii="Times New Roman" w:hAnsi="Times New Roman" w:cs="Times New Roman"/>
        </w:rPr>
        <w:t xml:space="preserve"> CRC Committee</w:t>
      </w:r>
      <w:r w:rsidRPr="00A7286F">
        <w:rPr>
          <w:rFonts w:ascii="Times New Roman" w:hAnsi="Times New Roman" w:cs="Times New Roman"/>
          <w:i/>
          <w:iCs/>
        </w:rPr>
        <w:t>, General Comment No. 5, General measures of implementation of the Convention on the Rights of the Child, (34</w:t>
      </w:r>
      <w:r w:rsidRPr="00A7286F">
        <w:rPr>
          <w:rFonts w:ascii="Times New Roman" w:hAnsi="Times New Roman" w:cs="Times New Roman"/>
          <w:i/>
          <w:iCs/>
          <w:vertAlign w:val="superscript"/>
        </w:rPr>
        <w:t>th</w:t>
      </w:r>
      <w:r w:rsidRPr="00A7286F">
        <w:rPr>
          <w:rFonts w:ascii="Times New Roman" w:hAnsi="Times New Roman" w:cs="Times New Roman"/>
          <w:i/>
          <w:iCs/>
        </w:rPr>
        <w:t xml:space="preserve"> Sess., 2003), </w:t>
      </w:r>
      <w:r w:rsidRPr="00A7286F">
        <w:rPr>
          <w:rFonts w:ascii="Times New Roman" w:hAnsi="Times New Roman" w:cs="Times New Roman"/>
          <w:iCs/>
        </w:rPr>
        <w:t xml:space="preserve">para. 12, U.N. Doc. CRC/GC/2003/5 [hereinafter CRC Committee, </w:t>
      </w:r>
      <w:r w:rsidRPr="00A7286F">
        <w:rPr>
          <w:rFonts w:ascii="Times New Roman" w:hAnsi="Times New Roman" w:cs="Times New Roman"/>
          <w:i/>
          <w:iCs/>
        </w:rPr>
        <w:t>Gen. Comment No. 5</w:t>
      </w:r>
      <w:r w:rsidRPr="00A7286F">
        <w:rPr>
          <w:rFonts w:ascii="Times New Roman" w:hAnsi="Times New Roman" w:cs="Times New Roman"/>
          <w:iCs/>
        </w:rPr>
        <w:t xml:space="preserve">]; </w:t>
      </w:r>
      <w:r w:rsidRPr="00A7286F">
        <w:rPr>
          <w:rFonts w:ascii="Times New Roman" w:hAnsi="Times New Roman" w:cs="Times New Roman"/>
        </w:rPr>
        <w:t xml:space="preserve">Human Rights Committee, </w:t>
      </w:r>
      <w:r w:rsidRPr="00A7286F">
        <w:rPr>
          <w:rFonts w:ascii="Times New Roman" w:hAnsi="Times New Roman" w:cs="Times New Roman"/>
          <w:i/>
        </w:rPr>
        <w:t>Concluding Observations: Peru</w:t>
      </w:r>
      <w:r w:rsidRPr="00A7286F">
        <w:rPr>
          <w:rFonts w:ascii="Times New Roman" w:hAnsi="Times New Roman" w:cs="Times New Roman"/>
        </w:rPr>
        <w:t xml:space="preserve">, para. 14, U.N. Doc. CCPR/C/PER/CO/5 (2013); CRC Committee, </w:t>
      </w:r>
      <w:r w:rsidRPr="00A7286F">
        <w:rPr>
          <w:rFonts w:ascii="Times New Roman" w:hAnsi="Times New Roman" w:cs="Times New Roman"/>
          <w:i/>
        </w:rPr>
        <w:t>Concluding Observations: Namibia,</w:t>
      </w:r>
      <w:r w:rsidRPr="00A7286F">
        <w:rPr>
          <w:rFonts w:ascii="Times New Roman" w:hAnsi="Times New Roman" w:cs="Times New Roman"/>
        </w:rPr>
        <w:t xml:space="preserve"> para. 57(a), U.N. Doc. CRC/C/NAM/CO/2-3 (2012); CAT Committee, </w:t>
      </w:r>
      <w:r w:rsidRPr="00A7286F">
        <w:rPr>
          <w:rFonts w:ascii="Times New Roman" w:hAnsi="Times New Roman" w:cs="Times New Roman"/>
          <w:i/>
          <w:iCs/>
        </w:rPr>
        <w:t>Concluding Observations: Kenya</w:t>
      </w:r>
      <w:r w:rsidRPr="00A7286F">
        <w:rPr>
          <w:rFonts w:ascii="Times New Roman" w:hAnsi="Times New Roman" w:cs="Times New Roman"/>
        </w:rPr>
        <w:t xml:space="preserve">, para. 28, U.N. Doc. CAT/C/KEN/CO/2 (2013). </w:t>
      </w:r>
    </w:p>
  </w:endnote>
  <w:endnote w:id="49">
    <w:p w14:paraId="7DCD4EBA" w14:textId="651BAFC8" w:rsidR="0022791E" w:rsidRPr="00A7286F" w:rsidRDefault="0022791E" w:rsidP="0022791E">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K.L. v. Peru</w:t>
      </w:r>
      <w:r w:rsidRPr="00A7286F">
        <w:rPr>
          <w:rFonts w:ascii="Times New Roman" w:hAnsi="Times New Roman" w:cs="Times New Roman"/>
          <w:i/>
          <w:iCs/>
          <w:sz w:val="20"/>
          <w:szCs w:val="20"/>
        </w:rPr>
        <w:t>, </w:t>
      </w:r>
      <w:r w:rsidRPr="00A7286F">
        <w:rPr>
          <w:rFonts w:ascii="Times New Roman" w:hAnsi="Times New Roman" w:cs="Times New Roman"/>
          <w:sz w:val="20"/>
          <w:szCs w:val="20"/>
        </w:rPr>
        <w:t>Human Rights Committee, Commc’n No. 1153/2003, paras. 6.4-6.5, U.N. Doc. CCPR/C/85/D/1153/2003 (2005). </w:t>
      </w:r>
    </w:p>
  </w:endnote>
  <w:endnote w:id="50">
    <w:p w14:paraId="0C83D395" w14:textId="47BFF5D5" w:rsidR="00DA317D" w:rsidRPr="00A7286F" w:rsidRDefault="00DA317D" w:rsidP="00DA317D">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 e.g.,</w:t>
      </w:r>
      <w:r w:rsidRPr="00A7286F">
        <w:rPr>
          <w:rFonts w:ascii="Times New Roman" w:hAnsi="Times New Roman" w:cs="Times New Roman"/>
        </w:rPr>
        <w:t xml:space="preserve"> CRC Committee, </w:t>
      </w:r>
      <w:r w:rsidRPr="00A7286F">
        <w:rPr>
          <w:rFonts w:ascii="Times New Roman" w:hAnsi="Times New Roman" w:cs="Times New Roman"/>
          <w:i/>
        </w:rPr>
        <w:t xml:space="preserve">Gen. Comment No. 15, supra </w:t>
      </w:r>
      <w:r w:rsidRPr="00A7286F">
        <w:rPr>
          <w:rFonts w:ascii="Times New Roman" w:hAnsi="Times New Roman" w:cs="Times New Roman"/>
        </w:rPr>
        <w:t>note</w:t>
      </w:r>
      <w:r w:rsidR="00912B7D" w:rsidRPr="00A7286F">
        <w:rPr>
          <w:rFonts w:ascii="Times New Roman" w:hAnsi="Times New Roman" w:cs="Times New Roman"/>
        </w:rPr>
        <w:t xml:space="preserve"> </w:t>
      </w:r>
      <w:r w:rsidR="00912B7D" w:rsidRPr="00A7286F">
        <w:rPr>
          <w:rFonts w:ascii="Times New Roman" w:hAnsi="Times New Roman" w:cs="Times New Roman"/>
          <w:iCs/>
        </w:rPr>
        <w:fldChar w:fldCharType="begin"/>
      </w:r>
      <w:r w:rsidR="00912B7D" w:rsidRPr="00A7286F">
        <w:rPr>
          <w:rFonts w:ascii="Times New Roman" w:hAnsi="Times New Roman" w:cs="Times New Roman"/>
          <w:iCs/>
        </w:rPr>
        <w:instrText xml:space="preserve"> NOTEREF _Ref501466056 \h </w:instrText>
      </w:r>
      <w:r w:rsidR="00912B7D" w:rsidRPr="00A7286F">
        <w:rPr>
          <w:rFonts w:ascii="Times New Roman" w:hAnsi="Times New Roman" w:cs="Times New Roman"/>
          <w:iCs/>
        </w:rPr>
      </w:r>
      <w:r w:rsidR="00912B7D" w:rsidRPr="00A7286F">
        <w:rPr>
          <w:rFonts w:ascii="Times New Roman" w:hAnsi="Times New Roman" w:cs="Times New Roman"/>
          <w:iCs/>
        </w:rPr>
        <w:fldChar w:fldCharType="separate"/>
      </w:r>
      <w:r w:rsidR="00912B7D" w:rsidRPr="00A7286F">
        <w:rPr>
          <w:rFonts w:ascii="Times New Roman" w:hAnsi="Times New Roman" w:cs="Times New Roman"/>
          <w:iCs/>
        </w:rPr>
        <w:t>35</w:t>
      </w:r>
      <w:r w:rsidR="00912B7D" w:rsidRPr="00A7286F">
        <w:rPr>
          <w:rFonts w:ascii="Times New Roman" w:hAnsi="Times New Roman" w:cs="Times New Roman"/>
          <w:iCs/>
        </w:rPr>
        <w:fldChar w:fldCharType="end"/>
      </w:r>
      <w:r w:rsidR="00912B7D" w:rsidRPr="00A7286F">
        <w:rPr>
          <w:rFonts w:ascii="Times New Roman" w:hAnsi="Times New Roman" w:cs="Times New Roman"/>
          <w:iCs/>
        </w:rPr>
        <w:t>,</w:t>
      </w:r>
      <w:r w:rsidRPr="00A7286F">
        <w:rPr>
          <w:rFonts w:ascii="Times New Roman" w:hAnsi="Times New Roman" w:cs="Times New Roman"/>
        </w:rPr>
        <w:t xml:space="preserve"> para. 52; CEDAW Committee, </w:t>
      </w:r>
      <w:r w:rsidRPr="00A7286F">
        <w:rPr>
          <w:rFonts w:ascii="Times New Roman" w:hAnsi="Times New Roman" w:cs="Times New Roman"/>
          <w:i/>
        </w:rPr>
        <w:t>Concluding Observations: Vanuatu</w:t>
      </w:r>
      <w:r w:rsidRPr="00A7286F">
        <w:rPr>
          <w:rFonts w:ascii="Times New Roman" w:hAnsi="Times New Roman" w:cs="Times New Roman"/>
        </w:rPr>
        <w:t xml:space="preserve">, paras. 35, 55, U.N. Doc. CEDAW/C/VUT/CO/3 (2007). </w:t>
      </w:r>
    </w:p>
  </w:endnote>
  <w:endnote w:id="51">
    <w:p w14:paraId="56E13530" w14:textId="37809CED" w:rsidR="008F45F0" w:rsidRPr="00A7286F" w:rsidRDefault="008F45F0" w:rsidP="008F45F0">
      <w:pPr>
        <w:pStyle w:val="NoSpacing"/>
        <w:rPr>
          <w:rFonts w:ascii="Times New Roman" w:hAnsi="Times New Roman" w:cs="Times New Roman"/>
          <w:sz w:val="20"/>
          <w:szCs w:val="20"/>
        </w:rPr>
      </w:pPr>
      <w:r w:rsidRPr="00A7286F">
        <w:rPr>
          <w:rStyle w:val="EndnoteReference"/>
          <w:rFonts w:ascii="Times New Roman" w:hAnsi="Times New Roman" w:cs="Times New Roman"/>
          <w:sz w:val="20"/>
          <w:szCs w:val="20"/>
        </w:rPr>
        <w:endnoteRef/>
      </w:r>
      <w:r w:rsidRPr="00A7286F">
        <w:rPr>
          <w:rFonts w:ascii="Times New Roman" w:hAnsi="Times New Roman" w:cs="Times New Roman"/>
          <w:sz w:val="20"/>
          <w:szCs w:val="20"/>
        </w:rPr>
        <w:t xml:space="preserve"> CRC Committee</w:t>
      </w:r>
      <w:r w:rsidRPr="00A7286F">
        <w:rPr>
          <w:rFonts w:ascii="Times New Roman" w:hAnsi="Times New Roman" w:cs="Times New Roman"/>
          <w:i/>
          <w:iCs/>
          <w:sz w:val="20"/>
          <w:szCs w:val="20"/>
        </w:rPr>
        <w:t xml:space="preserve">, Gen. Comment No. 15, supra </w:t>
      </w:r>
      <w:r w:rsidRPr="00A7286F">
        <w:rPr>
          <w:rFonts w:ascii="Times New Roman" w:hAnsi="Times New Roman" w:cs="Times New Roman"/>
          <w:iCs/>
          <w:sz w:val="20"/>
          <w:szCs w:val="20"/>
        </w:rPr>
        <w:t>note</w:t>
      </w:r>
      <w:r w:rsidR="00912B7D" w:rsidRPr="00A7286F">
        <w:rPr>
          <w:rFonts w:ascii="Times New Roman" w:hAnsi="Times New Roman" w:cs="Times New Roman"/>
          <w:iCs/>
          <w:sz w:val="20"/>
          <w:szCs w:val="20"/>
        </w:rPr>
        <w:fldChar w:fldCharType="begin"/>
      </w:r>
      <w:r w:rsidR="00912B7D" w:rsidRPr="00A7286F">
        <w:rPr>
          <w:rFonts w:ascii="Times New Roman" w:hAnsi="Times New Roman" w:cs="Times New Roman"/>
          <w:iCs/>
          <w:sz w:val="20"/>
          <w:szCs w:val="20"/>
        </w:rPr>
        <w:instrText xml:space="preserve"> NOTEREF _Ref501466056 \h </w:instrText>
      </w:r>
      <w:r w:rsidR="00912B7D" w:rsidRPr="00A7286F">
        <w:rPr>
          <w:rFonts w:ascii="Times New Roman" w:hAnsi="Times New Roman" w:cs="Times New Roman"/>
          <w:iCs/>
          <w:sz w:val="20"/>
          <w:szCs w:val="20"/>
        </w:rPr>
      </w:r>
      <w:r w:rsidR="00912B7D" w:rsidRPr="00A7286F">
        <w:rPr>
          <w:rFonts w:ascii="Times New Roman" w:hAnsi="Times New Roman" w:cs="Times New Roman"/>
          <w:iCs/>
          <w:sz w:val="20"/>
          <w:szCs w:val="20"/>
        </w:rPr>
        <w:fldChar w:fldCharType="separate"/>
      </w:r>
      <w:r w:rsidR="00912B7D" w:rsidRPr="00A7286F">
        <w:rPr>
          <w:rFonts w:ascii="Times New Roman" w:hAnsi="Times New Roman" w:cs="Times New Roman"/>
          <w:iCs/>
          <w:sz w:val="20"/>
          <w:szCs w:val="20"/>
        </w:rPr>
        <w:t>35</w:t>
      </w:r>
      <w:r w:rsidR="00912B7D" w:rsidRPr="00A7286F">
        <w:rPr>
          <w:rFonts w:ascii="Times New Roman" w:hAnsi="Times New Roman" w:cs="Times New Roman"/>
          <w:iCs/>
          <w:sz w:val="20"/>
          <w:szCs w:val="20"/>
        </w:rPr>
        <w:fldChar w:fldCharType="end"/>
      </w:r>
      <w:r w:rsidR="00912B7D" w:rsidRPr="00A7286F">
        <w:rPr>
          <w:rFonts w:ascii="Times New Roman" w:hAnsi="Times New Roman" w:cs="Times New Roman"/>
          <w:iCs/>
          <w:sz w:val="20"/>
          <w:szCs w:val="20"/>
        </w:rPr>
        <w:t>,</w:t>
      </w:r>
      <w:r w:rsidR="00912B7D" w:rsidRPr="00A7286F">
        <w:rPr>
          <w:rFonts w:ascii="Times New Roman" w:hAnsi="Times New Roman" w:cs="Times New Roman"/>
          <w:i/>
          <w:iCs/>
          <w:sz w:val="20"/>
          <w:szCs w:val="20"/>
        </w:rPr>
        <w:t xml:space="preserve"> </w:t>
      </w:r>
      <w:r w:rsidRPr="00A7286F">
        <w:rPr>
          <w:rFonts w:ascii="Times New Roman" w:hAnsi="Times New Roman" w:cs="Times New Roman"/>
          <w:iCs/>
          <w:sz w:val="20"/>
          <w:szCs w:val="20"/>
        </w:rPr>
        <w:t xml:space="preserve"> para. 56. </w:t>
      </w:r>
    </w:p>
  </w:endnote>
  <w:endnote w:id="52">
    <w:p w14:paraId="18C2581E" w14:textId="353A1E6B" w:rsidR="008F45F0" w:rsidRPr="00A7286F" w:rsidRDefault="008F45F0" w:rsidP="008F45F0">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UNFPA, Motherhood in Childhood,</w:t>
      </w:r>
      <w:r w:rsidRPr="00A7286F">
        <w:rPr>
          <w:rFonts w:ascii="Times New Roman" w:hAnsi="Times New Roman" w:cs="Times New Roman"/>
        </w:rPr>
        <w:t xml:space="preserve"> </w:t>
      </w:r>
      <w:r w:rsidR="0019537A" w:rsidRPr="00A7286F">
        <w:rPr>
          <w:rFonts w:ascii="Times New Roman" w:hAnsi="Times New Roman" w:cs="Times New Roman"/>
        </w:rPr>
        <w:t>su</w:t>
      </w:r>
      <w:r w:rsidR="00021A4C" w:rsidRPr="00A7286F">
        <w:rPr>
          <w:rFonts w:ascii="Times New Roman" w:hAnsi="Times New Roman" w:cs="Times New Roman"/>
        </w:rPr>
        <w:t>pra</w:t>
      </w:r>
      <w:r w:rsidR="0019537A" w:rsidRPr="00A7286F">
        <w:rPr>
          <w:rFonts w:ascii="Times New Roman" w:hAnsi="Times New Roman" w:cs="Times New Roman"/>
        </w:rPr>
        <w:t xml:space="preserve"> note </w:t>
      </w:r>
      <w:r w:rsidR="00021A4C" w:rsidRPr="00A7286F">
        <w:rPr>
          <w:rFonts w:ascii="Times New Roman" w:hAnsi="Times New Roman" w:cs="Times New Roman"/>
        </w:rPr>
        <w:fldChar w:fldCharType="begin"/>
      </w:r>
      <w:r w:rsidR="00021A4C" w:rsidRPr="00A7286F">
        <w:rPr>
          <w:rFonts w:ascii="Times New Roman" w:hAnsi="Times New Roman" w:cs="Times New Roman"/>
        </w:rPr>
        <w:instrText xml:space="preserve"> NOTEREF _Ref501465022 \h </w:instrText>
      </w:r>
      <w:r w:rsidR="00021A4C" w:rsidRPr="00A7286F">
        <w:rPr>
          <w:rFonts w:ascii="Times New Roman" w:hAnsi="Times New Roman" w:cs="Times New Roman"/>
        </w:rPr>
      </w:r>
      <w:r w:rsidR="00021A4C" w:rsidRPr="00A7286F">
        <w:rPr>
          <w:rFonts w:ascii="Times New Roman" w:hAnsi="Times New Roman" w:cs="Times New Roman"/>
        </w:rPr>
        <w:fldChar w:fldCharType="separate"/>
      </w:r>
      <w:r w:rsidR="00021A4C" w:rsidRPr="00A7286F">
        <w:rPr>
          <w:rFonts w:ascii="Times New Roman" w:hAnsi="Times New Roman" w:cs="Times New Roman"/>
        </w:rPr>
        <w:t>9</w:t>
      </w:r>
      <w:r w:rsidR="00021A4C" w:rsidRPr="00A7286F">
        <w:rPr>
          <w:rFonts w:ascii="Times New Roman" w:hAnsi="Times New Roman" w:cs="Times New Roman"/>
        </w:rPr>
        <w:fldChar w:fldCharType="end"/>
      </w:r>
      <w:r w:rsidR="0019537A" w:rsidRPr="00A7286F">
        <w:rPr>
          <w:rFonts w:ascii="Times New Roman" w:hAnsi="Times New Roman" w:cs="Times New Roman"/>
        </w:rPr>
        <w:t xml:space="preserve">, </w:t>
      </w:r>
      <w:r w:rsidRPr="00A7286F">
        <w:rPr>
          <w:rFonts w:ascii="Times New Roman" w:hAnsi="Times New Roman" w:cs="Times New Roman"/>
        </w:rPr>
        <w:t>at 26-28.</w:t>
      </w:r>
    </w:p>
  </w:endnote>
  <w:endnote w:id="53">
    <w:p w14:paraId="3858B87F" w14:textId="082667F5" w:rsidR="00DA317D" w:rsidRPr="00A7286F" w:rsidRDefault="00DA317D" w:rsidP="00DA317D">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SR Health, </w:t>
      </w:r>
      <w:r w:rsidRPr="00A7286F">
        <w:rPr>
          <w:rFonts w:ascii="Times New Roman" w:hAnsi="Times New Roman" w:cs="Times New Roman"/>
          <w:i/>
        </w:rPr>
        <w:t xml:space="preserve">Report on the health of adolescents </w:t>
      </w:r>
      <w:r w:rsidRPr="00A7286F">
        <w:rPr>
          <w:rFonts w:ascii="Times New Roman" w:hAnsi="Times New Roman" w:cs="Times New Roman"/>
        </w:rPr>
        <w:t xml:space="preserve">(2016), </w:t>
      </w:r>
      <w:r w:rsidRPr="00A7286F">
        <w:rPr>
          <w:rFonts w:ascii="Times New Roman" w:hAnsi="Times New Roman" w:cs="Times New Roman"/>
          <w:i/>
        </w:rPr>
        <w:t xml:space="preserve">supra </w:t>
      </w:r>
      <w:r w:rsidR="00A7286F" w:rsidRPr="00A7286F">
        <w:rPr>
          <w:rFonts w:ascii="Times New Roman" w:hAnsi="Times New Roman" w:cs="Times New Roman"/>
        </w:rPr>
        <w:t xml:space="preserve">note </w:t>
      </w:r>
      <w:r w:rsidR="00A7286F" w:rsidRPr="00A7286F">
        <w:rPr>
          <w:rFonts w:ascii="Times New Roman" w:hAnsi="Times New Roman" w:cs="Times New Roman"/>
        </w:rPr>
        <w:fldChar w:fldCharType="begin"/>
      </w:r>
      <w:r w:rsidR="00A7286F" w:rsidRPr="00A7286F">
        <w:rPr>
          <w:rFonts w:ascii="Times New Roman" w:hAnsi="Times New Roman" w:cs="Times New Roman"/>
        </w:rPr>
        <w:instrText xml:space="preserve"> NOTEREF _Ref501465977 \h </w:instrText>
      </w:r>
      <w:r w:rsidR="00A7286F" w:rsidRPr="00A7286F">
        <w:rPr>
          <w:rFonts w:ascii="Times New Roman" w:hAnsi="Times New Roman" w:cs="Times New Roman"/>
        </w:rPr>
      </w:r>
      <w:r w:rsidR="00A7286F" w:rsidRPr="00A7286F">
        <w:rPr>
          <w:rFonts w:ascii="Times New Roman" w:hAnsi="Times New Roman" w:cs="Times New Roman"/>
        </w:rPr>
        <w:fldChar w:fldCharType="separate"/>
      </w:r>
      <w:r w:rsidR="00A7286F" w:rsidRPr="00A7286F">
        <w:rPr>
          <w:rFonts w:ascii="Times New Roman" w:hAnsi="Times New Roman" w:cs="Times New Roman"/>
        </w:rPr>
        <w:t>40</w:t>
      </w:r>
      <w:r w:rsidR="00A7286F" w:rsidRPr="00A7286F">
        <w:rPr>
          <w:rFonts w:ascii="Times New Roman" w:hAnsi="Times New Roman" w:cs="Times New Roman"/>
        </w:rPr>
        <w:fldChar w:fldCharType="end"/>
      </w:r>
      <w:r w:rsidRPr="00A7286F">
        <w:rPr>
          <w:rFonts w:ascii="Times New Roman" w:hAnsi="Times New Roman" w:cs="Times New Roman"/>
        </w:rPr>
        <w:t xml:space="preserve">, para. 30. </w:t>
      </w:r>
    </w:p>
  </w:endnote>
  <w:endnote w:id="54">
    <w:p w14:paraId="23BCEDB5" w14:textId="77777777" w:rsidR="00DA317D" w:rsidRPr="00A7286F" w:rsidRDefault="00DA317D" w:rsidP="00DA317D">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xml:space="preserve">. </w:t>
      </w:r>
    </w:p>
  </w:endnote>
  <w:endnote w:id="55">
    <w:p w14:paraId="21F7F7D8" w14:textId="77777777" w:rsidR="00DA317D" w:rsidRPr="00A7286F" w:rsidRDefault="00DA317D" w:rsidP="00DA317D">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CEDAW Committee, </w:t>
      </w:r>
      <w:r w:rsidRPr="00A7286F">
        <w:rPr>
          <w:rFonts w:ascii="Times New Roman" w:hAnsi="Times New Roman" w:cs="Times New Roman"/>
          <w:i/>
        </w:rPr>
        <w:t>Concluding Observations</w:t>
      </w:r>
      <w:r w:rsidRPr="00A7286F">
        <w:rPr>
          <w:rFonts w:ascii="Times New Roman" w:hAnsi="Times New Roman" w:cs="Times New Roman"/>
        </w:rPr>
        <w:t>:</w:t>
      </w:r>
      <w:r w:rsidRPr="00A7286F">
        <w:rPr>
          <w:rFonts w:ascii="Times New Roman" w:hAnsi="Times New Roman" w:cs="Times New Roman"/>
          <w:i/>
        </w:rPr>
        <w:t xml:space="preserve"> Georgia, </w:t>
      </w:r>
      <w:r w:rsidRPr="00A7286F">
        <w:rPr>
          <w:rFonts w:ascii="Times New Roman" w:hAnsi="Times New Roman" w:cs="Times New Roman"/>
        </w:rPr>
        <w:t>paras. 30-31, U.N. Doc. CEDAW/C/GEO/CO/4-5 (2014).</w:t>
      </w:r>
    </w:p>
  </w:endnote>
  <w:endnote w:id="56">
    <w:p w14:paraId="40EBF10F" w14:textId="41E63D0E" w:rsidR="00DA317D" w:rsidRPr="00A7286F" w:rsidRDefault="00DA317D" w:rsidP="00DA317D">
      <w:pPr>
        <w:pStyle w:val="EndnoteText"/>
        <w:rPr>
          <w:rFonts w:ascii="Times New Roman" w:hAnsi="Times New Roman" w:cs="Times New Roman"/>
          <w:highlight w:val="yellow"/>
        </w:rPr>
      </w:pPr>
      <w:r w:rsidRPr="00A7286F">
        <w:rPr>
          <w:rStyle w:val="EndnoteReference"/>
          <w:rFonts w:ascii="Times New Roman" w:hAnsi="Times New Roman" w:cs="Times New Roman"/>
        </w:rPr>
        <w:endnoteRef/>
      </w:r>
      <w:r w:rsidR="00A7286F" w:rsidRPr="00A7286F">
        <w:rPr>
          <w:rFonts w:ascii="Times New Roman" w:hAnsi="Times New Roman" w:cs="Times New Roman"/>
          <w:smallCaps/>
        </w:rPr>
        <w:t xml:space="preserve"> WHO, Quality Assessment Guidebook: A Guide to Assessing Health Services for Adolescent Clients</w:t>
      </w:r>
      <w:r w:rsidR="00A7286F" w:rsidRPr="00A7286F">
        <w:rPr>
          <w:rFonts w:ascii="Times New Roman" w:hAnsi="Times New Roman" w:cs="Times New Roman"/>
        </w:rPr>
        <w:t xml:space="preserve"> 3 (2009), </w:t>
      </w:r>
      <w:r w:rsidR="00A7286F" w:rsidRPr="00A7286F">
        <w:rPr>
          <w:rFonts w:ascii="Times New Roman" w:hAnsi="Times New Roman" w:cs="Times New Roman"/>
          <w:i/>
        </w:rPr>
        <w:t xml:space="preserve">available at </w:t>
      </w:r>
      <w:r w:rsidR="00A7286F" w:rsidRPr="00A7286F">
        <w:rPr>
          <w:rFonts w:ascii="Times New Roman" w:hAnsi="Times New Roman" w:cs="Times New Roman"/>
        </w:rPr>
        <w:t>http://whqlibdoc.who.int/publications/2009/9789241598859_eng.pdf</w:t>
      </w:r>
      <w:r w:rsidRPr="00A7286F">
        <w:rPr>
          <w:rFonts w:ascii="Times New Roman" w:hAnsi="Times New Roman" w:cs="Times New Roman"/>
        </w:rPr>
        <w:t>.</w:t>
      </w:r>
    </w:p>
  </w:endnote>
  <w:endnote w:id="57">
    <w:p w14:paraId="368BB340" w14:textId="4BFFC38A" w:rsidR="00DA317D" w:rsidRPr="00A7286F" w:rsidRDefault="00DA317D" w:rsidP="00DA317D">
      <w:pPr>
        <w:pStyle w:val="EndnoteText"/>
        <w:rPr>
          <w:rFonts w:ascii="Times New Roman" w:hAnsi="Times New Roman" w:cs="Times New Roman"/>
          <w:highlight w:val="yellow"/>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00A7286F" w:rsidRPr="00A7286F">
        <w:rPr>
          <w:rFonts w:ascii="Times New Roman" w:hAnsi="Times New Roman" w:cs="Times New Roman"/>
          <w:smallCaps/>
        </w:rPr>
        <w:t xml:space="preserve">Save the Children and UNFPA, Adolescent Sexual and Reproductive Health Toolkit for Humanitarian Settings 76, </w:t>
      </w:r>
      <w:r w:rsidR="00A7286F" w:rsidRPr="00A7286F">
        <w:rPr>
          <w:rFonts w:ascii="Times New Roman" w:hAnsi="Times New Roman" w:cs="Times New Roman"/>
          <w:i/>
        </w:rPr>
        <w:t xml:space="preserve">available at </w:t>
      </w:r>
      <w:r w:rsidR="00A7286F" w:rsidRPr="00A7286F">
        <w:rPr>
          <w:rFonts w:ascii="Times New Roman" w:hAnsi="Times New Roman" w:cs="Times New Roman"/>
        </w:rPr>
        <w:t xml:space="preserve">http://www.unfpa.org/sites/default/files/pub-pdf/UNFPA_ASRHtoolkit_english.pdf [hereinafter </w:t>
      </w:r>
      <w:r w:rsidR="00A7286F" w:rsidRPr="00A7286F">
        <w:rPr>
          <w:rFonts w:ascii="Times New Roman" w:hAnsi="Times New Roman" w:cs="Times New Roman"/>
          <w:smallCaps/>
        </w:rPr>
        <w:t>Adolescent Toolkit</w:t>
      </w:r>
      <w:r w:rsidR="00A7286F" w:rsidRPr="00A7286F">
        <w:rPr>
          <w:rFonts w:ascii="Times New Roman" w:hAnsi="Times New Roman" w:cs="Times New Roman"/>
        </w:rPr>
        <w:t>]</w:t>
      </w:r>
      <w:r w:rsidRPr="00A7286F">
        <w:rPr>
          <w:rFonts w:ascii="Times New Roman" w:hAnsi="Times New Roman" w:cs="Times New Roman"/>
        </w:rPr>
        <w:t xml:space="preserve">; CRC Committee, </w:t>
      </w:r>
      <w:r w:rsidRPr="00A7286F">
        <w:rPr>
          <w:rFonts w:ascii="Times New Roman" w:hAnsi="Times New Roman" w:cs="Times New Roman"/>
          <w:i/>
        </w:rPr>
        <w:t xml:space="preserve">Gen. Comment No. 15, supra </w:t>
      </w:r>
      <w:r w:rsidRPr="00A7286F">
        <w:rPr>
          <w:rFonts w:ascii="Times New Roman" w:hAnsi="Times New Roman" w:cs="Times New Roman"/>
        </w:rPr>
        <w:t xml:space="preserve">note </w:t>
      </w:r>
      <w:r w:rsidR="00912B7D" w:rsidRPr="00A7286F">
        <w:rPr>
          <w:rFonts w:ascii="Times New Roman" w:hAnsi="Times New Roman" w:cs="Times New Roman"/>
          <w:iCs/>
        </w:rPr>
        <w:fldChar w:fldCharType="begin"/>
      </w:r>
      <w:r w:rsidR="00912B7D" w:rsidRPr="00A7286F">
        <w:rPr>
          <w:rFonts w:ascii="Times New Roman" w:hAnsi="Times New Roman" w:cs="Times New Roman"/>
          <w:iCs/>
        </w:rPr>
        <w:instrText xml:space="preserve"> NOTEREF _Ref501466056 \h </w:instrText>
      </w:r>
      <w:r w:rsidR="00912B7D" w:rsidRPr="00A7286F">
        <w:rPr>
          <w:rFonts w:ascii="Times New Roman" w:hAnsi="Times New Roman" w:cs="Times New Roman"/>
          <w:iCs/>
        </w:rPr>
      </w:r>
      <w:r w:rsidR="00912B7D" w:rsidRPr="00A7286F">
        <w:rPr>
          <w:rFonts w:ascii="Times New Roman" w:hAnsi="Times New Roman" w:cs="Times New Roman"/>
          <w:iCs/>
        </w:rPr>
        <w:fldChar w:fldCharType="separate"/>
      </w:r>
      <w:r w:rsidR="00912B7D" w:rsidRPr="00A7286F">
        <w:rPr>
          <w:rFonts w:ascii="Times New Roman" w:hAnsi="Times New Roman" w:cs="Times New Roman"/>
          <w:iCs/>
        </w:rPr>
        <w:t>35</w:t>
      </w:r>
      <w:r w:rsidR="00912B7D" w:rsidRPr="00A7286F">
        <w:rPr>
          <w:rFonts w:ascii="Times New Roman" w:hAnsi="Times New Roman" w:cs="Times New Roman"/>
          <w:iCs/>
        </w:rPr>
        <w:fldChar w:fldCharType="end"/>
      </w:r>
      <w:r w:rsidR="00912B7D" w:rsidRPr="00A7286F">
        <w:rPr>
          <w:rFonts w:ascii="Times New Roman" w:hAnsi="Times New Roman" w:cs="Times New Roman"/>
          <w:iCs/>
        </w:rPr>
        <w:t>,</w:t>
      </w:r>
      <w:r w:rsidRPr="00A7286F">
        <w:rPr>
          <w:rFonts w:ascii="Times New Roman" w:hAnsi="Times New Roman" w:cs="Times New Roman"/>
        </w:rPr>
        <w:t xml:space="preserve"> para. 52. </w:t>
      </w:r>
    </w:p>
  </w:endnote>
  <w:endnote w:id="58">
    <w:p w14:paraId="3227E43D" w14:textId="77777777" w:rsidR="00851BA4" w:rsidRPr="00A7286F" w:rsidRDefault="00851BA4" w:rsidP="00851BA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CEDAW Committee, </w:t>
      </w:r>
      <w:r w:rsidRPr="00A7286F">
        <w:rPr>
          <w:rFonts w:ascii="Times New Roman" w:hAnsi="Times New Roman" w:cs="Times New Roman"/>
          <w:i/>
        </w:rPr>
        <w:t>Concluding Observations: Italy</w:t>
      </w:r>
      <w:r w:rsidRPr="00A7286F">
        <w:rPr>
          <w:rFonts w:ascii="Times New Roman" w:hAnsi="Times New Roman" w:cs="Times New Roman"/>
        </w:rPr>
        <w:t xml:space="preserve">, para. 36, U.N. Doc. CEDAW/C/ITA/CO/7 (2017); </w:t>
      </w:r>
      <w:r w:rsidRPr="00A7286F">
        <w:rPr>
          <w:rFonts w:ascii="Times New Roman" w:hAnsi="Times New Roman" w:cs="Times New Roman"/>
          <w:i/>
        </w:rPr>
        <w:t xml:space="preserve">Nigeria, </w:t>
      </w:r>
      <w:r w:rsidRPr="00A7286F">
        <w:rPr>
          <w:rFonts w:ascii="Times New Roman" w:hAnsi="Times New Roman" w:cs="Times New Roman"/>
        </w:rPr>
        <w:t xml:space="preserve">paras. 33-34, U.N. Doc. CEDAW/C/NGA/CO/7-8 (2017); Ireland, para. 39 (c), U.N. Doc. CEDAW/C/IRL/CO/6-7 (2017); CRC Committee, </w:t>
      </w:r>
      <w:r w:rsidRPr="00A7286F">
        <w:rPr>
          <w:rFonts w:ascii="Times New Roman" w:hAnsi="Times New Roman" w:cs="Times New Roman"/>
          <w:i/>
        </w:rPr>
        <w:t>Concluding Observations: Antigua and Barbuda</w:t>
      </w:r>
      <w:r w:rsidRPr="00A7286F">
        <w:rPr>
          <w:rFonts w:ascii="Times New Roman" w:hAnsi="Times New Roman" w:cs="Times New Roman"/>
        </w:rPr>
        <w:t xml:space="preserve">, para. 45(a), U.N. Doc. CRC/C/ATG/CO/2-4 (2017); ESCR Committee, </w:t>
      </w:r>
      <w:r w:rsidRPr="00A7286F">
        <w:rPr>
          <w:rFonts w:ascii="Times New Roman" w:hAnsi="Times New Roman" w:cs="Times New Roman"/>
          <w:i/>
        </w:rPr>
        <w:t>Concluding Observations: Benin</w:t>
      </w:r>
      <w:r w:rsidRPr="00A7286F">
        <w:rPr>
          <w:rFonts w:ascii="Times New Roman" w:hAnsi="Times New Roman" w:cs="Times New Roman"/>
        </w:rPr>
        <w:t>, para. 42, U.N. Doc. E/C/12/1/Add.78 (2002)</w:t>
      </w:r>
      <w:r w:rsidRPr="00A7286F">
        <w:rPr>
          <w:rFonts w:ascii="Times New Roman" w:hAnsi="Times New Roman" w:cs="Times New Roman"/>
          <w:bCs/>
        </w:rPr>
        <w:t>.</w:t>
      </w:r>
    </w:p>
  </w:endnote>
  <w:endnote w:id="59">
    <w:p w14:paraId="2868802F" w14:textId="77777777" w:rsidR="00DA317D" w:rsidRPr="00A7286F" w:rsidRDefault="00DA317D" w:rsidP="00DA317D">
      <w:pPr>
        <w:pStyle w:val="EndnoteText"/>
        <w:rPr>
          <w:rFonts w:ascii="Times New Roman" w:hAnsi="Times New Roman" w:cs="Times New Roman"/>
          <w:highlight w:val="yellow"/>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WHO Europe, Youth-friendly Health Policies and Services in the European Region</w:t>
      </w:r>
      <w:r w:rsidRPr="00A7286F">
        <w:rPr>
          <w:rFonts w:ascii="Times New Roman" w:hAnsi="Times New Roman" w:cs="Times New Roman"/>
        </w:rPr>
        <w:t xml:space="preserve"> 24 (2010), </w:t>
      </w:r>
      <w:r w:rsidRPr="00A7286F">
        <w:rPr>
          <w:rFonts w:ascii="Times New Roman" w:hAnsi="Times New Roman" w:cs="Times New Roman"/>
          <w:i/>
        </w:rPr>
        <w:t xml:space="preserve">available at </w:t>
      </w:r>
      <w:hyperlink r:id="rId3" w:history="1">
        <w:r w:rsidRPr="00A7286F">
          <w:rPr>
            <w:rStyle w:val="Hyperlink"/>
            <w:rFonts w:ascii="Times New Roman" w:hAnsi="Times New Roman" w:cs="Times New Roman"/>
            <w:color w:val="auto"/>
          </w:rPr>
          <w:t>http://www.euro.who.int/__data/assets/pdf_file/0017/123128/E94322.pdf</w:t>
        </w:r>
      </w:hyperlink>
      <w:r w:rsidRPr="00A7286F">
        <w:rPr>
          <w:rFonts w:ascii="Times New Roman" w:hAnsi="Times New Roman" w:cs="Times New Roman"/>
        </w:rPr>
        <w:t>.</w:t>
      </w:r>
    </w:p>
  </w:endnote>
  <w:endnote w:id="60">
    <w:p w14:paraId="0FCDF58C" w14:textId="230EFF00" w:rsidR="00A73211" w:rsidRPr="00A7286F" w:rsidRDefault="00A73211" w:rsidP="00A73211">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smallCaps/>
        </w:rPr>
        <w:t xml:space="preserve">Adolescent Toolkit, </w:t>
      </w:r>
      <w:r w:rsidRPr="00A7286F">
        <w:rPr>
          <w:rFonts w:ascii="Times New Roman" w:hAnsi="Times New Roman" w:cs="Times New Roman"/>
          <w:i/>
        </w:rPr>
        <w:t xml:space="preserve">supra </w:t>
      </w:r>
      <w:r w:rsidRPr="00A7286F">
        <w:rPr>
          <w:rFonts w:ascii="Times New Roman" w:hAnsi="Times New Roman" w:cs="Times New Roman"/>
        </w:rPr>
        <w:t>note</w:t>
      </w:r>
      <w:r w:rsidR="00A7286F" w:rsidRPr="00A7286F">
        <w:rPr>
          <w:rFonts w:ascii="Times New Roman" w:hAnsi="Times New Roman" w:cs="Times New Roman"/>
        </w:rPr>
        <w:t xml:space="preserve"> </w:t>
      </w:r>
      <w:r w:rsidR="00A7286F" w:rsidRPr="00A7286F">
        <w:rPr>
          <w:rFonts w:ascii="Times New Roman" w:hAnsi="Times New Roman" w:cs="Times New Roman"/>
        </w:rPr>
        <w:fldChar w:fldCharType="begin"/>
      </w:r>
      <w:r w:rsidR="00A7286F" w:rsidRPr="00A7286F">
        <w:rPr>
          <w:rFonts w:ascii="Times New Roman" w:hAnsi="Times New Roman" w:cs="Times New Roman"/>
        </w:rPr>
        <w:instrText xml:space="preserve"> NOTEREF _Ref501466456 \h </w:instrText>
      </w:r>
      <w:r w:rsidR="00A7286F" w:rsidRPr="00A7286F">
        <w:rPr>
          <w:rFonts w:ascii="Times New Roman" w:hAnsi="Times New Roman" w:cs="Times New Roman"/>
        </w:rPr>
      </w:r>
      <w:r w:rsidR="00A7286F" w:rsidRPr="00A7286F">
        <w:rPr>
          <w:rFonts w:ascii="Times New Roman" w:hAnsi="Times New Roman" w:cs="Times New Roman"/>
        </w:rPr>
        <w:fldChar w:fldCharType="separate"/>
      </w:r>
      <w:r w:rsidR="00A7286F" w:rsidRPr="00A7286F">
        <w:rPr>
          <w:rFonts w:ascii="Times New Roman" w:hAnsi="Times New Roman" w:cs="Times New Roman"/>
        </w:rPr>
        <w:t>60</w:t>
      </w:r>
      <w:r w:rsidR="00A7286F" w:rsidRPr="00A7286F">
        <w:rPr>
          <w:rFonts w:ascii="Times New Roman" w:hAnsi="Times New Roman" w:cs="Times New Roman"/>
        </w:rPr>
        <w:fldChar w:fldCharType="end"/>
      </w:r>
      <w:r w:rsidRPr="00A7286F">
        <w:rPr>
          <w:rFonts w:ascii="Times New Roman" w:hAnsi="Times New Roman" w:cs="Times New Roman"/>
        </w:rPr>
        <w:t xml:space="preserve">, at 18. </w:t>
      </w:r>
    </w:p>
  </w:endnote>
  <w:endnote w:id="61">
    <w:p w14:paraId="6E05E055" w14:textId="5F6C01F8" w:rsidR="00ED4394" w:rsidRPr="00A7286F" w:rsidRDefault="00ED4394" w:rsidP="00ED4394">
      <w:pPr>
        <w:pStyle w:val="EndnoteText"/>
        <w:rPr>
          <w:rFonts w:ascii="Times New Roman" w:hAnsi="Times New Roman" w:cs="Times New Roman"/>
          <w:highlight w:val="yellow"/>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w:t>
      </w:r>
      <w:r w:rsidRPr="00A7286F">
        <w:rPr>
          <w:rFonts w:ascii="Times New Roman" w:eastAsia="Times New Roman" w:hAnsi="Times New Roman" w:cs="Times New Roman"/>
        </w:rPr>
        <w:t xml:space="preserve">Office of the High Commissioner for Human Rights (OHCHR), </w:t>
      </w:r>
      <w:r w:rsidRPr="00A7286F">
        <w:rPr>
          <w:rFonts w:ascii="Times New Roman" w:hAnsi="Times New Roman" w:cs="Times New Roman"/>
          <w:i/>
        </w:rPr>
        <w:t>Report of the United Nations High Commissioner for Human Rights, Access to Justice for Children,</w:t>
      </w:r>
      <w:r w:rsidRPr="00A7286F">
        <w:rPr>
          <w:rFonts w:ascii="Times New Roman" w:eastAsia="Times New Roman" w:hAnsi="Times New Roman" w:cs="Times New Roman"/>
        </w:rPr>
        <w:t xml:space="preserve"> para. 10, UN Doc. A/HRC/25/35 (2013) </w:t>
      </w:r>
      <w:r w:rsidRPr="00A7286F">
        <w:rPr>
          <w:rFonts w:ascii="Times New Roman" w:hAnsi="Times New Roman" w:cs="Times New Roman"/>
        </w:rPr>
        <w:t>(citing HRC, GC 31, para. 15)</w:t>
      </w:r>
      <w:r w:rsidRPr="00A7286F">
        <w:rPr>
          <w:rFonts w:ascii="Times New Roman" w:eastAsia="Times New Roman" w:hAnsi="Times New Roman" w:cs="Times New Roman"/>
        </w:rPr>
        <w:t xml:space="preserve"> [hereinafter OHCHR, </w:t>
      </w:r>
      <w:r w:rsidRPr="00A7286F">
        <w:rPr>
          <w:rFonts w:ascii="Times New Roman" w:eastAsia="Times New Roman" w:hAnsi="Times New Roman" w:cs="Times New Roman"/>
          <w:i/>
        </w:rPr>
        <w:t>Access to Justice for Children</w:t>
      </w:r>
      <w:r w:rsidRPr="00A7286F">
        <w:rPr>
          <w:rFonts w:ascii="Times New Roman" w:eastAsia="Times New Roman" w:hAnsi="Times New Roman" w:cs="Times New Roman"/>
        </w:rPr>
        <w:t xml:space="preserve">]; </w:t>
      </w:r>
      <w:r w:rsidRPr="00A7286F">
        <w:rPr>
          <w:rFonts w:ascii="Times New Roman" w:hAnsi="Times New Roman" w:cs="Times New Roman"/>
        </w:rPr>
        <w:t xml:space="preserve">Human Rights Committee, </w:t>
      </w:r>
      <w:r w:rsidRPr="00A7286F">
        <w:rPr>
          <w:rFonts w:ascii="Times New Roman" w:hAnsi="Times New Roman" w:cs="Times New Roman"/>
          <w:i/>
        </w:rPr>
        <w:t>General Comment No. 31: The Nature of the General Legal Obligation Imposed on State Parties to the Covenant,</w:t>
      </w:r>
      <w:r w:rsidRPr="00A7286F">
        <w:rPr>
          <w:rFonts w:ascii="Times New Roman" w:hAnsi="Times New Roman" w:cs="Times New Roman"/>
        </w:rPr>
        <w:t xml:space="preserve"> (44</w:t>
      </w:r>
      <w:r w:rsidRPr="00A7286F">
        <w:rPr>
          <w:rFonts w:ascii="Times New Roman" w:hAnsi="Times New Roman" w:cs="Times New Roman"/>
          <w:vertAlign w:val="superscript"/>
        </w:rPr>
        <w:t>th</w:t>
      </w:r>
      <w:r w:rsidRPr="00A7286F">
        <w:rPr>
          <w:rFonts w:ascii="Times New Roman" w:hAnsi="Times New Roman" w:cs="Times New Roman"/>
        </w:rPr>
        <w:t xml:space="preserve"> Sess., 1992), </w:t>
      </w:r>
      <w:r w:rsidRPr="00A7286F">
        <w:rPr>
          <w:rFonts w:ascii="Times New Roman" w:hAnsi="Times New Roman" w:cs="Times New Roman"/>
          <w:i/>
        </w:rPr>
        <w:t>in</w:t>
      </w:r>
      <w:r w:rsidRPr="00A7286F">
        <w:rPr>
          <w:rFonts w:ascii="Times New Roman" w:hAnsi="Times New Roman" w:cs="Times New Roman"/>
        </w:rPr>
        <w:t xml:space="preserve"> Compilation of General Comments and General Recommendations Adopted by Human Rights Treaty Bodies, at 243, para. 15, U.N. Doc. HRI/GEN/1/Rev.9 (Vol. I) (2008)</w:t>
      </w:r>
      <w:r w:rsidR="00D63593" w:rsidRPr="00A7286F">
        <w:rPr>
          <w:rFonts w:ascii="Times New Roman" w:eastAsia="Times New Roman" w:hAnsi="Times New Roman" w:cs="Times New Roman"/>
        </w:rPr>
        <w:t>;</w:t>
      </w:r>
      <w:r w:rsidRPr="00A7286F">
        <w:rPr>
          <w:rFonts w:ascii="Times New Roman" w:hAnsi="Times New Roman" w:cs="Times New Roman"/>
        </w:rPr>
        <w:t xml:space="preserve"> </w:t>
      </w:r>
      <w:r w:rsidRPr="00A7286F">
        <w:rPr>
          <w:rFonts w:ascii="Times New Roman" w:hAnsi="Times New Roman" w:cs="Times New Roman"/>
          <w:iCs/>
        </w:rPr>
        <w:t xml:space="preserve">CRC Committee, </w:t>
      </w:r>
      <w:r w:rsidRPr="00A7286F">
        <w:rPr>
          <w:rFonts w:ascii="Times New Roman" w:hAnsi="Times New Roman" w:cs="Times New Roman"/>
          <w:i/>
          <w:iCs/>
        </w:rPr>
        <w:t>Gen. Comment No. 5</w:t>
      </w:r>
      <w:r w:rsidRPr="00A7286F">
        <w:rPr>
          <w:rFonts w:ascii="Times New Roman" w:hAnsi="Times New Roman" w:cs="Times New Roman"/>
        </w:rPr>
        <w:t xml:space="preserve">, </w:t>
      </w:r>
      <w:r w:rsidRPr="00A7286F">
        <w:rPr>
          <w:rFonts w:ascii="Times New Roman" w:hAnsi="Times New Roman" w:cs="Times New Roman"/>
          <w:i/>
        </w:rPr>
        <w:t xml:space="preserve">supra </w:t>
      </w:r>
      <w:r w:rsidRPr="00A7286F">
        <w:rPr>
          <w:rFonts w:ascii="Times New Roman" w:hAnsi="Times New Roman" w:cs="Times New Roman"/>
        </w:rPr>
        <w:t>note</w:t>
      </w:r>
      <w:r w:rsidR="00D63593" w:rsidRPr="00A7286F">
        <w:rPr>
          <w:rFonts w:ascii="Times New Roman" w:hAnsi="Times New Roman" w:cs="Times New Roman"/>
        </w:rPr>
        <w:t xml:space="preserve"> </w:t>
      </w:r>
      <w:r w:rsidR="00D63593" w:rsidRPr="00A7286F">
        <w:rPr>
          <w:rFonts w:ascii="Times New Roman" w:hAnsi="Times New Roman" w:cs="Times New Roman"/>
        </w:rPr>
        <w:fldChar w:fldCharType="begin"/>
      </w:r>
      <w:r w:rsidR="00D63593" w:rsidRPr="00A7286F">
        <w:rPr>
          <w:rFonts w:ascii="Times New Roman" w:hAnsi="Times New Roman" w:cs="Times New Roman"/>
        </w:rPr>
        <w:instrText xml:space="preserve"> NOTEREF _Ref501466238 \h </w:instrText>
      </w:r>
      <w:r w:rsidR="00D63593" w:rsidRPr="00A7286F">
        <w:rPr>
          <w:rFonts w:ascii="Times New Roman" w:hAnsi="Times New Roman" w:cs="Times New Roman"/>
        </w:rPr>
      </w:r>
      <w:r w:rsidR="00D63593" w:rsidRPr="00A7286F">
        <w:rPr>
          <w:rFonts w:ascii="Times New Roman" w:hAnsi="Times New Roman" w:cs="Times New Roman"/>
        </w:rPr>
        <w:fldChar w:fldCharType="separate"/>
      </w:r>
      <w:r w:rsidR="00D63593" w:rsidRPr="00A7286F">
        <w:rPr>
          <w:rFonts w:ascii="Times New Roman" w:hAnsi="Times New Roman" w:cs="Times New Roman"/>
        </w:rPr>
        <w:t>51</w:t>
      </w:r>
      <w:r w:rsidR="00D63593" w:rsidRPr="00A7286F">
        <w:rPr>
          <w:rFonts w:ascii="Times New Roman" w:hAnsi="Times New Roman" w:cs="Times New Roman"/>
        </w:rPr>
        <w:fldChar w:fldCharType="end"/>
      </w:r>
      <w:r w:rsidRPr="00A7286F">
        <w:rPr>
          <w:rFonts w:ascii="Times New Roman" w:hAnsi="Times New Roman" w:cs="Times New Roman"/>
        </w:rPr>
        <w:t xml:space="preserve">, para. 24; Special Representative of the Secretary-General (SRGS) on Violence against Children, </w:t>
      </w:r>
      <w:r w:rsidRPr="00A7286F">
        <w:rPr>
          <w:rFonts w:ascii="Times New Roman" w:hAnsi="Times New Roman" w:cs="Times New Roman"/>
          <w:i/>
        </w:rPr>
        <w:t>Safe and child-sensitive counselling, complaint and reporting mechanisms to address violence against children</w:t>
      </w:r>
      <w:r w:rsidRPr="00A7286F">
        <w:rPr>
          <w:rFonts w:ascii="Times New Roman" w:hAnsi="Times New Roman" w:cs="Times New Roman"/>
        </w:rPr>
        <w:t xml:space="preserve"> (2012) [hereinafter SRSG report on violence against children].</w:t>
      </w:r>
    </w:p>
  </w:endnote>
  <w:endnote w:id="62">
    <w:p w14:paraId="727C1955" w14:textId="59E9C5D3"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Cs/>
        </w:rPr>
        <w:t xml:space="preserve">CRC Committee, </w:t>
      </w:r>
      <w:r w:rsidRPr="00A7286F">
        <w:rPr>
          <w:rFonts w:ascii="Times New Roman" w:hAnsi="Times New Roman" w:cs="Times New Roman"/>
          <w:i/>
          <w:iCs/>
        </w:rPr>
        <w:t>Gen. Comment No. 5</w:t>
      </w:r>
      <w:r w:rsidRPr="00A7286F">
        <w:rPr>
          <w:rFonts w:ascii="Times New Roman" w:hAnsi="Times New Roman" w:cs="Times New Roman"/>
        </w:rPr>
        <w:t xml:space="preserve">, </w:t>
      </w:r>
      <w:r w:rsidRPr="00A7286F">
        <w:rPr>
          <w:rFonts w:ascii="Times New Roman" w:hAnsi="Times New Roman" w:cs="Times New Roman"/>
          <w:i/>
        </w:rPr>
        <w:t xml:space="preserve">supra </w:t>
      </w:r>
      <w:r w:rsidRPr="00A7286F">
        <w:rPr>
          <w:rFonts w:ascii="Times New Roman" w:hAnsi="Times New Roman" w:cs="Times New Roman"/>
        </w:rPr>
        <w:t>note</w:t>
      </w:r>
      <w:r w:rsidR="00D63593" w:rsidRPr="00A7286F">
        <w:rPr>
          <w:rFonts w:ascii="Times New Roman" w:hAnsi="Times New Roman" w:cs="Times New Roman"/>
        </w:rPr>
        <w:t xml:space="preserve"> </w:t>
      </w:r>
      <w:r w:rsidR="00D63593" w:rsidRPr="00A7286F">
        <w:rPr>
          <w:rFonts w:ascii="Times New Roman" w:hAnsi="Times New Roman" w:cs="Times New Roman"/>
        </w:rPr>
        <w:fldChar w:fldCharType="begin"/>
      </w:r>
      <w:r w:rsidR="00D63593" w:rsidRPr="00A7286F">
        <w:rPr>
          <w:rFonts w:ascii="Times New Roman" w:hAnsi="Times New Roman" w:cs="Times New Roman"/>
        </w:rPr>
        <w:instrText xml:space="preserve"> NOTEREF _Ref501466238 \h </w:instrText>
      </w:r>
      <w:r w:rsidR="00D63593" w:rsidRPr="00A7286F">
        <w:rPr>
          <w:rFonts w:ascii="Times New Roman" w:hAnsi="Times New Roman" w:cs="Times New Roman"/>
        </w:rPr>
      </w:r>
      <w:r w:rsidR="00D63593" w:rsidRPr="00A7286F">
        <w:rPr>
          <w:rFonts w:ascii="Times New Roman" w:hAnsi="Times New Roman" w:cs="Times New Roman"/>
        </w:rPr>
        <w:fldChar w:fldCharType="separate"/>
      </w:r>
      <w:r w:rsidR="00D63593" w:rsidRPr="00A7286F">
        <w:rPr>
          <w:rFonts w:ascii="Times New Roman" w:hAnsi="Times New Roman" w:cs="Times New Roman"/>
        </w:rPr>
        <w:t>51</w:t>
      </w:r>
      <w:r w:rsidR="00D63593" w:rsidRPr="00A7286F">
        <w:rPr>
          <w:rFonts w:ascii="Times New Roman" w:hAnsi="Times New Roman" w:cs="Times New Roman"/>
        </w:rPr>
        <w:fldChar w:fldCharType="end"/>
      </w:r>
      <w:r w:rsidR="00D63593" w:rsidRPr="00A7286F">
        <w:rPr>
          <w:rFonts w:ascii="Times New Roman" w:hAnsi="Times New Roman" w:cs="Times New Roman"/>
        </w:rPr>
        <w:t xml:space="preserve">, </w:t>
      </w:r>
      <w:r w:rsidRPr="00A7286F">
        <w:rPr>
          <w:rFonts w:ascii="Times New Roman" w:hAnsi="Times New Roman" w:cs="Times New Roman"/>
        </w:rPr>
        <w:t>para. 24.</w:t>
      </w:r>
    </w:p>
  </w:endnote>
  <w:endnote w:id="63">
    <w:p w14:paraId="1DE4C6D8" w14:textId="77777777"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w:t>
      </w:r>
    </w:p>
  </w:endnote>
  <w:endnote w:id="64">
    <w:p w14:paraId="7ED863B1" w14:textId="14FD8CBF"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 xml:space="preserve">See id., </w:t>
      </w:r>
      <w:r w:rsidRPr="00A7286F">
        <w:rPr>
          <w:rFonts w:ascii="Times New Roman" w:eastAsia="Times New Roman" w:hAnsi="Times New Roman" w:cs="Times New Roman"/>
        </w:rPr>
        <w:t>para. 9</w:t>
      </w:r>
      <w:r w:rsidR="00A7286F" w:rsidRPr="00A7286F">
        <w:rPr>
          <w:rFonts w:ascii="Times New Roman" w:hAnsi="Times New Roman" w:cs="Times New Roman"/>
        </w:rPr>
        <w:t xml:space="preserve"> (noting that states must “</w:t>
      </w:r>
      <w:r w:rsidRPr="00A7286F">
        <w:rPr>
          <w:rFonts w:ascii="Times New Roman" w:hAnsi="Times New Roman" w:cs="Times New Roman"/>
        </w:rPr>
        <w:t>ensure that their domestic legal framework is consistent with the rights and obligations provided [under human rights treaties], including the adoption of appropriate and effective legislative and administrative procedures and other appropriate measures that provide fair, effectiv</w:t>
      </w:r>
      <w:r w:rsidR="00A7286F" w:rsidRPr="00A7286F">
        <w:rPr>
          <w:rFonts w:ascii="Times New Roman" w:hAnsi="Times New Roman" w:cs="Times New Roman"/>
        </w:rPr>
        <w:t>e and prompt access to justice.”</w:t>
      </w:r>
      <w:r w:rsidRPr="00A7286F">
        <w:rPr>
          <w:rFonts w:ascii="Times New Roman" w:hAnsi="Times New Roman" w:cs="Times New Roman"/>
        </w:rPr>
        <w:t>).</w:t>
      </w:r>
    </w:p>
  </w:endnote>
  <w:endnote w:id="65">
    <w:p w14:paraId="4E7581D9" w14:textId="70848954"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SRSG report on violence against children, </w:t>
      </w:r>
      <w:r w:rsidRPr="00A7286F">
        <w:rPr>
          <w:rFonts w:ascii="Times New Roman" w:hAnsi="Times New Roman" w:cs="Times New Roman"/>
          <w:i/>
        </w:rPr>
        <w:t xml:space="preserve">supra </w:t>
      </w:r>
      <w:r w:rsidRPr="00A7286F">
        <w:rPr>
          <w:rFonts w:ascii="Times New Roman" w:hAnsi="Times New Roman" w:cs="Times New Roman"/>
        </w:rPr>
        <w:t>note</w:t>
      </w:r>
      <w:r w:rsidR="00A7286F" w:rsidRPr="00A7286F">
        <w:rPr>
          <w:rFonts w:ascii="Times New Roman" w:hAnsi="Times New Roman" w:cs="Times New Roman"/>
        </w:rPr>
        <w:t xml:space="preserve"> </w:t>
      </w:r>
      <w:r w:rsidR="00A7286F" w:rsidRPr="00A7286F">
        <w:rPr>
          <w:rFonts w:ascii="Times New Roman" w:hAnsi="Times New Roman" w:cs="Times New Roman"/>
        </w:rPr>
        <w:fldChar w:fldCharType="begin"/>
      </w:r>
      <w:r w:rsidR="00A7286F" w:rsidRPr="00A7286F">
        <w:rPr>
          <w:rFonts w:ascii="Times New Roman" w:hAnsi="Times New Roman" w:cs="Times New Roman"/>
        </w:rPr>
        <w:instrText xml:space="preserve"> NOTEREF _Ref501466511 \h </w:instrText>
      </w:r>
      <w:r w:rsidR="00A7286F" w:rsidRPr="00A7286F">
        <w:rPr>
          <w:rFonts w:ascii="Times New Roman" w:hAnsi="Times New Roman" w:cs="Times New Roman"/>
        </w:rPr>
      </w:r>
      <w:r w:rsidR="00A7286F" w:rsidRPr="00A7286F">
        <w:rPr>
          <w:rFonts w:ascii="Times New Roman" w:hAnsi="Times New Roman" w:cs="Times New Roman"/>
        </w:rPr>
        <w:fldChar w:fldCharType="separate"/>
      </w:r>
      <w:r w:rsidR="00A7286F" w:rsidRPr="00A7286F">
        <w:rPr>
          <w:rFonts w:ascii="Times New Roman" w:hAnsi="Times New Roman" w:cs="Times New Roman"/>
        </w:rPr>
        <w:t>64</w:t>
      </w:r>
      <w:r w:rsidR="00A7286F" w:rsidRPr="00A7286F">
        <w:rPr>
          <w:rFonts w:ascii="Times New Roman" w:hAnsi="Times New Roman" w:cs="Times New Roman"/>
        </w:rPr>
        <w:fldChar w:fldCharType="end"/>
      </w:r>
      <w:r w:rsidRPr="00A7286F">
        <w:rPr>
          <w:rFonts w:ascii="Times New Roman" w:hAnsi="Times New Roman" w:cs="Times New Roman"/>
        </w:rPr>
        <w:t>, at 11.</w:t>
      </w:r>
    </w:p>
  </w:endnote>
  <w:endnote w:id="66">
    <w:p w14:paraId="0D03481D" w14:textId="0AC036E2"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OHCHR, </w:t>
      </w:r>
      <w:r w:rsidRPr="00A7286F">
        <w:rPr>
          <w:rFonts w:ascii="Times New Roman" w:hAnsi="Times New Roman" w:cs="Times New Roman"/>
          <w:i/>
        </w:rPr>
        <w:t>Access to Justice for Children</w:t>
      </w:r>
      <w:r w:rsidRPr="00A7286F">
        <w:rPr>
          <w:rFonts w:ascii="Times New Roman" w:hAnsi="Times New Roman" w:cs="Times New Roman"/>
        </w:rPr>
        <w:t xml:space="preserve">, </w:t>
      </w:r>
      <w:r w:rsidRPr="00A7286F">
        <w:rPr>
          <w:rFonts w:ascii="Times New Roman" w:hAnsi="Times New Roman" w:cs="Times New Roman"/>
          <w:i/>
        </w:rPr>
        <w:t xml:space="preserve">supra </w:t>
      </w:r>
      <w:r w:rsidRPr="00A7286F">
        <w:rPr>
          <w:rFonts w:ascii="Times New Roman" w:hAnsi="Times New Roman" w:cs="Times New Roman"/>
        </w:rPr>
        <w:t>note</w:t>
      </w:r>
      <w:r w:rsidR="00A7286F" w:rsidRPr="00A7286F">
        <w:rPr>
          <w:rFonts w:ascii="Times New Roman" w:hAnsi="Times New Roman" w:cs="Times New Roman"/>
        </w:rPr>
        <w:t xml:space="preserve"> </w:t>
      </w:r>
      <w:r w:rsidR="00A7286F" w:rsidRPr="00A7286F">
        <w:rPr>
          <w:rFonts w:ascii="Times New Roman" w:hAnsi="Times New Roman" w:cs="Times New Roman"/>
        </w:rPr>
        <w:fldChar w:fldCharType="begin"/>
      </w:r>
      <w:r w:rsidR="00A7286F" w:rsidRPr="00A7286F">
        <w:rPr>
          <w:rFonts w:ascii="Times New Roman" w:hAnsi="Times New Roman" w:cs="Times New Roman"/>
        </w:rPr>
        <w:instrText xml:space="preserve"> NOTEREF _Ref501466511 \h </w:instrText>
      </w:r>
      <w:r w:rsidR="00A7286F" w:rsidRPr="00A7286F">
        <w:rPr>
          <w:rFonts w:ascii="Times New Roman" w:hAnsi="Times New Roman" w:cs="Times New Roman"/>
        </w:rPr>
      </w:r>
      <w:r w:rsidR="00A7286F" w:rsidRPr="00A7286F">
        <w:rPr>
          <w:rFonts w:ascii="Times New Roman" w:hAnsi="Times New Roman" w:cs="Times New Roman"/>
        </w:rPr>
        <w:fldChar w:fldCharType="separate"/>
      </w:r>
      <w:r w:rsidR="00A7286F" w:rsidRPr="00A7286F">
        <w:rPr>
          <w:rFonts w:ascii="Times New Roman" w:hAnsi="Times New Roman" w:cs="Times New Roman"/>
        </w:rPr>
        <w:t>64</w:t>
      </w:r>
      <w:r w:rsidR="00A7286F" w:rsidRPr="00A7286F">
        <w:rPr>
          <w:rFonts w:ascii="Times New Roman" w:hAnsi="Times New Roman" w:cs="Times New Roman"/>
        </w:rPr>
        <w:fldChar w:fldCharType="end"/>
      </w:r>
      <w:r w:rsidRPr="00A7286F">
        <w:rPr>
          <w:rFonts w:ascii="Times New Roman" w:hAnsi="Times New Roman" w:cs="Times New Roman"/>
        </w:rPr>
        <w:t xml:space="preserve">, para. 19 (citing SRSG report on violence against children, </w:t>
      </w:r>
      <w:r w:rsidRPr="00A7286F">
        <w:rPr>
          <w:rFonts w:ascii="Times New Roman" w:hAnsi="Times New Roman" w:cs="Times New Roman"/>
          <w:i/>
        </w:rPr>
        <w:t xml:space="preserve">supra </w:t>
      </w:r>
      <w:r w:rsidRPr="00A7286F">
        <w:rPr>
          <w:rFonts w:ascii="Times New Roman" w:hAnsi="Times New Roman" w:cs="Times New Roman"/>
        </w:rPr>
        <w:t>note</w:t>
      </w:r>
      <w:r w:rsidR="00A7286F" w:rsidRPr="00A7286F">
        <w:rPr>
          <w:rFonts w:ascii="Times New Roman" w:hAnsi="Times New Roman" w:cs="Times New Roman"/>
        </w:rPr>
        <w:t xml:space="preserve"> </w:t>
      </w:r>
      <w:r w:rsidR="00A7286F" w:rsidRPr="00A7286F">
        <w:rPr>
          <w:rFonts w:ascii="Times New Roman" w:hAnsi="Times New Roman" w:cs="Times New Roman"/>
        </w:rPr>
        <w:fldChar w:fldCharType="begin"/>
      </w:r>
      <w:r w:rsidR="00A7286F" w:rsidRPr="00A7286F">
        <w:rPr>
          <w:rFonts w:ascii="Times New Roman" w:hAnsi="Times New Roman" w:cs="Times New Roman"/>
        </w:rPr>
        <w:instrText xml:space="preserve"> NOTEREF _Ref501466511 \h </w:instrText>
      </w:r>
      <w:r w:rsidR="00A7286F" w:rsidRPr="00A7286F">
        <w:rPr>
          <w:rFonts w:ascii="Times New Roman" w:hAnsi="Times New Roman" w:cs="Times New Roman"/>
        </w:rPr>
      </w:r>
      <w:r w:rsidR="00A7286F" w:rsidRPr="00A7286F">
        <w:rPr>
          <w:rFonts w:ascii="Times New Roman" w:hAnsi="Times New Roman" w:cs="Times New Roman"/>
        </w:rPr>
        <w:fldChar w:fldCharType="separate"/>
      </w:r>
      <w:r w:rsidR="00A7286F" w:rsidRPr="00A7286F">
        <w:rPr>
          <w:rFonts w:ascii="Times New Roman" w:hAnsi="Times New Roman" w:cs="Times New Roman"/>
        </w:rPr>
        <w:t>64</w:t>
      </w:r>
      <w:r w:rsidR="00A7286F" w:rsidRPr="00A7286F">
        <w:rPr>
          <w:rFonts w:ascii="Times New Roman" w:hAnsi="Times New Roman" w:cs="Times New Roman"/>
        </w:rPr>
        <w:fldChar w:fldCharType="end"/>
      </w:r>
      <w:r w:rsidRPr="00A7286F">
        <w:rPr>
          <w:rFonts w:ascii="Times New Roman" w:hAnsi="Times New Roman" w:cs="Times New Roman"/>
        </w:rPr>
        <w:t>, at 7).</w:t>
      </w:r>
    </w:p>
  </w:endnote>
  <w:endnote w:id="67">
    <w:p w14:paraId="51F231B0" w14:textId="77777777" w:rsidR="00ED4394" w:rsidRPr="00A7286F" w:rsidRDefault="00ED4394" w:rsidP="00ED4394">
      <w:pPr>
        <w:pStyle w:val="EndnoteText"/>
        <w:rPr>
          <w:rFonts w:ascii="Times New Roman" w:hAnsi="Times New Roman" w:cs="Times New Roman"/>
        </w:rPr>
      </w:pPr>
      <w:r w:rsidRPr="00A7286F">
        <w:rPr>
          <w:rStyle w:val="EndnoteReference"/>
          <w:rFonts w:ascii="Times New Roman" w:hAnsi="Times New Roman" w:cs="Times New Roman"/>
        </w:rPr>
        <w:endnoteRef/>
      </w:r>
      <w:r w:rsidRPr="00A7286F">
        <w:rPr>
          <w:rFonts w:ascii="Times New Roman" w:hAnsi="Times New Roman" w:cs="Times New Roman"/>
        </w:rPr>
        <w:t xml:space="preserve"> </w:t>
      </w:r>
      <w:r w:rsidRPr="00A7286F">
        <w:rPr>
          <w:rFonts w:ascii="Times New Roman" w:hAnsi="Times New Roman" w:cs="Times New Roman"/>
          <w:i/>
        </w:rPr>
        <w:t>See</w:t>
      </w:r>
      <w:r w:rsidRPr="00A7286F">
        <w:rPr>
          <w:rFonts w:ascii="Times New Roman" w:hAnsi="Times New Roman" w:cs="Times New Roman"/>
        </w:rPr>
        <w:t xml:space="preserve"> </w:t>
      </w:r>
      <w:r w:rsidRPr="00A7286F">
        <w:rPr>
          <w:rFonts w:ascii="Times New Roman" w:hAnsi="Times New Roman" w:cs="Times New Roman"/>
          <w:i/>
        </w:rPr>
        <w:t>id.</w:t>
      </w:r>
      <w:r w:rsidRPr="00A7286F">
        <w:rPr>
          <w:rFonts w:ascii="Times New Roman" w:hAnsi="Times New Roman" w:cs="Times New Roman"/>
        </w:rPr>
        <w:t>, para. 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62986"/>
      <w:docPartObj>
        <w:docPartGallery w:val="Page Numbers (Bottom of Page)"/>
        <w:docPartUnique/>
      </w:docPartObj>
    </w:sdtPr>
    <w:sdtEndPr>
      <w:rPr>
        <w:rFonts w:ascii="Times New Roman" w:hAnsi="Times New Roman" w:cs="Times New Roman"/>
        <w:noProof/>
        <w:sz w:val="20"/>
        <w:szCs w:val="20"/>
      </w:rPr>
    </w:sdtEndPr>
    <w:sdtContent>
      <w:p w14:paraId="09F4ACFD" w14:textId="39C65E30" w:rsidR="007756ED" w:rsidRPr="007756ED" w:rsidRDefault="007756ED">
        <w:pPr>
          <w:pStyle w:val="Footer"/>
          <w:jc w:val="center"/>
          <w:rPr>
            <w:rFonts w:ascii="Times New Roman" w:hAnsi="Times New Roman" w:cs="Times New Roman"/>
            <w:sz w:val="20"/>
            <w:szCs w:val="20"/>
          </w:rPr>
        </w:pPr>
        <w:r w:rsidRPr="007756ED">
          <w:rPr>
            <w:rFonts w:ascii="Times New Roman" w:hAnsi="Times New Roman" w:cs="Times New Roman"/>
            <w:sz w:val="20"/>
            <w:szCs w:val="20"/>
          </w:rPr>
          <w:fldChar w:fldCharType="begin"/>
        </w:r>
        <w:r w:rsidRPr="007756ED">
          <w:rPr>
            <w:rFonts w:ascii="Times New Roman" w:hAnsi="Times New Roman" w:cs="Times New Roman"/>
            <w:sz w:val="20"/>
            <w:szCs w:val="20"/>
          </w:rPr>
          <w:instrText xml:space="preserve"> PAGE   \* MERGEFORMAT </w:instrText>
        </w:r>
        <w:r w:rsidRPr="007756ED">
          <w:rPr>
            <w:rFonts w:ascii="Times New Roman" w:hAnsi="Times New Roman" w:cs="Times New Roman"/>
            <w:sz w:val="20"/>
            <w:szCs w:val="20"/>
          </w:rPr>
          <w:fldChar w:fldCharType="separate"/>
        </w:r>
        <w:r w:rsidR="009750EE">
          <w:rPr>
            <w:rFonts w:ascii="Times New Roman" w:hAnsi="Times New Roman" w:cs="Times New Roman"/>
            <w:noProof/>
            <w:sz w:val="20"/>
            <w:szCs w:val="20"/>
          </w:rPr>
          <w:t>10</w:t>
        </w:r>
        <w:r w:rsidRPr="007756ED">
          <w:rPr>
            <w:rFonts w:ascii="Times New Roman" w:hAnsi="Times New Roman" w:cs="Times New Roman"/>
            <w:noProof/>
            <w:sz w:val="20"/>
            <w:szCs w:val="20"/>
          </w:rPr>
          <w:fldChar w:fldCharType="end"/>
        </w:r>
      </w:p>
    </w:sdtContent>
  </w:sdt>
  <w:p w14:paraId="52CA5C8D" w14:textId="50B8BE62" w:rsidR="007756ED" w:rsidRDefault="0077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731E6" w14:textId="77777777" w:rsidR="00B94AE0" w:rsidRDefault="00B94AE0" w:rsidP="00EB49AB">
      <w:r>
        <w:separator/>
      </w:r>
    </w:p>
  </w:footnote>
  <w:footnote w:type="continuationSeparator" w:id="0">
    <w:p w14:paraId="476CF332" w14:textId="77777777" w:rsidR="00B94AE0" w:rsidRDefault="00B94AE0" w:rsidP="00EB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BE"/>
    <w:multiLevelType w:val="hybridMultilevel"/>
    <w:tmpl w:val="597C7970"/>
    <w:lvl w:ilvl="0" w:tplc="0F8CE49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332F"/>
    <w:multiLevelType w:val="hybridMultilevel"/>
    <w:tmpl w:val="621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4242"/>
    <w:multiLevelType w:val="hybridMultilevel"/>
    <w:tmpl w:val="370C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A2297"/>
    <w:multiLevelType w:val="hybridMultilevel"/>
    <w:tmpl w:val="71B4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535"/>
    <w:multiLevelType w:val="hybridMultilevel"/>
    <w:tmpl w:val="2A2A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F7301"/>
    <w:multiLevelType w:val="hybridMultilevel"/>
    <w:tmpl w:val="5FBE65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4D3E64"/>
    <w:multiLevelType w:val="hybridMultilevel"/>
    <w:tmpl w:val="7A8840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31649AE"/>
    <w:multiLevelType w:val="hybridMultilevel"/>
    <w:tmpl w:val="C1A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33CBA"/>
    <w:multiLevelType w:val="hybridMultilevel"/>
    <w:tmpl w:val="B21E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43E1D"/>
    <w:multiLevelType w:val="hybridMultilevel"/>
    <w:tmpl w:val="915638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9A2F9B"/>
    <w:multiLevelType w:val="hybridMultilevel"/>
    <w:tmpl w:val="FFC614A8"/>
    <w:lvl w:ilvl="0" w:tplc="0F8CE49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873"/>
    <w:multiLevelType w:val="hybridMultilevel"/>
    <w:tmpl w:val="5104A1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4065ECF"/>
    <w:multiLevelType w:val="hybridMultilevel"/>
    <w:tmpl w:val="C5B409E6"/>
    <w:lvl w:ilvl="0" w:tplc="D6AE7C9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30E05"/>
    <w:multiLevelType w:val="hybridMultilevel"/>
    <w:tmpl w:val="3BE65D1C"/>
    <w:lvl w:ilvl="0" w:tplc="6D3635E2">
      <w:start w:val="1"/>
      <w:numFmt w:val="upperRoman"/>
      <w:lvlText w:val="%1."/>
      <w:lvlJc w:val="left"/>
      <w:pPr>
        <w:ind w:left="1080" w:hanging="720"/>
      </w:pPr>
      <w:rPr>
        <w:rFonts w:hint="default"/>
      </w:rPr>
    </w:lvl>
    <w:lvl w:ilvl="1" w:tplc="D6AE7C9A">
      <w:start w:val="1"/>
      <w:numFmt w:val="lowerLetter"/>
      <w:lvlText w:val="%2."/>
      <w:lvlJc w:val="left"/>
      <w:pPr>
        <w:ind w:left="1440" w:hanging="360"/>
      </w:pPr>
      <w:rPr>
        <w:b w:val="0"/>
      </w:rPr>
    </w:lvl>
    <w:lvl w:ilvl="2" w:tplc="0F8CE496">
      <w:start w:val="1"/>
      <w:numFmt w:val="lowerRoman"/>
      <w:lvlText w:val="%3."/>
      <w:lvlJc w:val="right"/>
      <w:pPr>
        <w:ind w:left="2160" w:hanging="180"/>
      </w:pPr>
      <w:rPr>
        <w:b w:val="0"/>
      </w:rPr>
    </w:lvl>
    <w:lvl w:ilvl="3" w:tplc="6BAC213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E09AC"/>
    <w:multiLevelType w:val="hybridMultilevel"/>
    <w:tmpl w:val="76F2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E2BAC"/>
    <w:multiLevelType w:val="hybridMultilevel"/>
    <w:tmpl w:val="A3FA573C"/>
    <w:lvl w:ilvl="0" w:tplc="26667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11"/>
  </w:num>
  <w:num w:numId="5">
    <w:abstractNumId w:val="6"/>
  </w:num>
  <w:num w:numId="6">
    <w:abstractNumId w:val="1"/>
  </w:num>
  <w:num w:numId="7">
    <w:abstractNumId w:val="14"/>
  </w:num>
  <w:num w:numId="8">
    <w:abstractNumId w:val="15"/>
  </w:num>
  <w:num w:numId="9">
    <w:abstractNumId w:val="12"/>
  </w:num>
  <w:num w:numId="10">
    <w:abstractNumId w:val="3"/>
  </w:num>
  <w:num w:numId="11">
    <w:abstractNumId w:val="2"/>
  </w:num>
  <w:num w:numId="12">
    <w:abstractNumId w:val="7"/>
  </w:num>
  <w:num w:numId="13">
    <w:abstractNumId w:val="4"/>
  </w:num>
  <w:num w:numId="14">
    <w:abstractNumId w:val="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78"/>
    <w:rsid w:val="000003C6"/>
    <w:rsid w:val="000008A0"/>
    <w:rsid w:val="00003795"/>
    <w:rsid w:val="00021A4C"/>
    <w:rsid w:val="00023905"/>
    <w:rsid w:val="00023970"/>
    <w:rsid w:val="00024A0B"/>
    <w:rsid w:val="000337DC"/>
    <w:rsid w:val="0006311A"/>
    <w:rsid w:val="00071437"/>
    <w:rsid w:val="00073419"/>
    <w:rsid w:val="00073E99"/>
    <w:rsid w:val="000778F0"/>
    <w:rsid w:val="00080F7C"/>
    <w:rsid w:val="00086EC6"/>
    <w:rsid w:val="00087686"/>
    <w:rsid w:val="000B6A2D"/>
    <w:rsid w:val="000E1961"/>
    <w:rsid w:val="000F0A9A"/>
    <w:rsid w:val="000F628A"/>
    <w:rsid w:val="000F62D1"/>
    <w:rsid w:val="00100611"/>
    <w:rsid w:val="00100713"/>
    <w:rsid w:val="00102688"/>
    <w:rsid w:val="00110977"/>
    <w:rsid w:val="0011118D"/>
    <w:rsid w:val="00114D9B"/>
    <w:rsid w:val="001253B1"/>
    <w:rsid w:val="00135187"/>
    <w:rsid w:val="0015352B"/>
    <w:rsid w:val="00167FEC"/>
    <w:rsid w:val="001938FF"/>
    <w:rsid w:val="0019537A"/>
    <w:rsid w:val="001956B9"/>
    <w:rsid w:val="001A19FB"/>
    <w:rsid w:val="001A3CED"/>
    <w:rsid w:val="001A7745"/>
    <w:rsid w:val="001B0107"/>
    <w:rsid w:val="001B1F71"/>
    <w:rsid w:val="001B48F4"/>
    <w:rsid w:val="001E7E83"/>
    <w:rsid w:val="001F517A"/>
    <w:rsid w:val="001F5BC1"/>
    <w:rsid w:val="00202670"/>
    <w:rsid w:val="002028A6"/>
    <w:rsid w:val="00213479"/>
    <w:rsid w:val="0022246F"/>
    <w:rsid w:val="00225393"/>
    <w:rsid w:val="00225ABE"/>
    <w:rsid w:val="0022791E"/>
    <w:rsid w:val="00237DF5"/>
    <w:rsid w:val="00254ECF"/>
    <w:rsid w:val="00256421"/>
    <w:rsid w:val="00261755"/>
    <w:rsid w:val="0026681C"/>
    <w:rsid w:val="0027353C"/>
    <w:rsid w:val="0028760D"/>
    <w:rsid w:val="00294F01"/>
    <w:rsid w:val="002A1D81"/>
    <w:rsid w:val="002B19D8"/>
    <w:rsid w:val="002C5F93"/>
    <w:rsid w:val="002C68F0"/>
    <w:rsid w:val="002D1981"/>
    <w:rsid w:val="002D1F97"/>
    <w:rsid w:val="002E23D6"/>
    <w:rsid w:val="002E4338"/>
    <w:rsid w:val="002F5E1E"/>
    <w:rsid w:val="002F71EA"/>
    <w:rsid w:val="00307A72"/>
    <w:rsid w:val="0031604F"/>
    <w:rsid w:val="00316A1D"/>
    <w:rsid w:val="0032355F"/>
    <w:rsid w:val="0033282A"/>
    <w:rsid w:val="0033319A"/>
    <w:rsid w:val="00356EAC"/>
    <w:rsid w:val="00377D9C"/>
    <w:rsid w:val="0038042F"/>
    <w:rsid w:val="00381CBA"/>
    <w:rsid w:val="0038391E"/>
    <w:rsid w:val="003839A4"/>
    <w:rsid w:val="00383F04"/>
    <w:rsid w:val="00392806"/>
    <w:rsid w:val="003B42A1"/>
    <w:rsid w:val="003B4761"/>
    <w:rsid w:val="003D3B59"/>
    <w:rsid w:val="003D4770"/>
    <w:rsid w:val="003D4C16"/>
    <w:rsid w:val="003D50AD"/>
    <w:rsid w:val="003E33F6"/>
    <w:rsid w:val="003E4B31"/>
    <w:rsid w:val="003F527A"/>
    <w:rsid w:val="003F658A"/>
    <w:rsid w:val="004049C1"/>
    <w:rsid w:val="004129D3"/>
    <w:rsid w:val="00415326"/>
    <w:rsid w:val="004337E3"/>
    <w:rsid w:val="00450360"/>
    <w:rsid w:val="00457B8E"/>
    <w:rsid w:val="00476536"/>
    <w:rsid w:val="00480B16"/>
    <w:rsid w:val="00482187"/>
    <w:rsid w:val="00484583"/>
    <w:rsid w:val="00490073"/>
    <w:rsid w:val="004929EC"/>
    <w:rsid w:val="00497762"/>
    <w:rsid w:val="004A55B8"/>
    <w:rsid w:val="004A6A53"/>
    <w:rsid w:val="004B138D"/>
    <w:rsid w:val="004B4B46"/>
    <w:rsid w:val="004B4F0D"/>
    <w:rsid w:val="004C1F39"/>
    <w:rsid w:val="004C3555"/>
    <w:rsid w:val="004D2495"/>
    <w:rsid w:val="004D29A4"/>
    <w:rsid w:val="004E557F"/>
    <w:rsid w:val="004E7B3F"/>
    <w:rsid w:val="004F15FF"/>
    <w:rsid w:val="004F44FB"/>
    <w:rsid w:val="00501390"/>
    <w:rsid w:val="00501C35"/>
    <w:rsid w:val="00513ECC"/>
    <w:rsid w:val="00515AC3"/>
    <w:rsid w:val="005205AA"/>
    <w:rsid w:val="00536B1D"/>
    <w:rsid w:val="0054080A"/>
    <w:rsid w:val="00562BBE"/>
    <w:rsid w:val="00564F9D"/>
    <w:rsid w:val="0057479F"/>
    <w:rsid w:val="005762AD"/>
    <w:rsid w:val="005849E5"/>
    <w:rsid w:val="0059126A"/>
    <w:rsid w:val="005A1672"/>
    <w:rsid w:val="005D1D0E"/>
    <w:rsid w:val="006142A5"/>
    <w:rsid w:val="00623179"/>
    <w:rsid w:val="00626ABF"/>
    <w:rsid w:val="00630965"/>
    <w:rsid w:val="00631836"/>
    <w:rsid w:val="00637616"/>
    <w:rsid w:val="00637FAF"/>
    <w:rsid w:val="00643A42"/>
    <w:rsid w:val="006466A0"/>
    <w:rsid w:val="00652C0A"/>
    <w:rsid w:val="00653BCA"/>
    <w:rsid w:val="00656F7F"/>
    <w:rsid w:val="00657F22"/>
    <w:rsid w:val="0066339B"/>
    <w:rsid w:val="00665A6D"/>
    <w:rsid w:val="00665E36"/>
    <w:rsid w:val="006727B3"/>
    <w:rsid w:val="00677935"/>
    <w:rsid w:val="006874F0"/>
    <w:rsid w:val="006B1BDB"/>
    <w:rsid w:val="006C214F"/>
    <w:rsid w:val="006C231E"/>
    <w:rsid w:val="006C3FB4"/>
    <w:rsid w:val="006C7C8D"/>
    <w:rsid w:val="006D2013"/>
    <w:rsid w:val="006D58DE"/>
    <w:rsid w:val="006D7510"/>
    <w:rsid w:val="006D76D7"/>
    <w:rsid w:val="006E46C5"/>
    <w:rsid w:val="006F3253"/>
    <w:rsid w:val="006F72F2"/>
    <w:rsid w:val="00703A4F"/>
    <w:rsid w:val="0070477C"/>
    <w:rsid w:val="00704B10"/>
    <w:rsid w:val="007057C3"/>
    <w:rsid w:val="00705CDF"/>
    <w:rsid w:val="00710B5A"/>
    <w:rsid w:val="00732BD4"/>
    <w:rsid w:val="007465EA"/>
    <w:rsid w:val="00746615"/>
    <w:rsid w:val="00751445"/>
    <w:rsid w:val="00751F33"/>
    <w:rsid w:val="007731B8"/>
    <w:rsid w:val="007756ED"/>
    <w:rsid w:val="007768FE"/>
    <w:rsid w:val="00777CFE"/>
    <w:rsid w:val="00777FDD"/>
    <w:rsid w:val="007850AF"/>
    <w:rsid w:val="00786A33"/>
    <w:rsid w:val="007A1DD9"/>
    <w:rsid w:val="007C0133"/>
    <w:rsid w:val="007C0913"/>
    <w:rsid w:val="007C260D"/>
    <w:rsid w:val="007C2F6D"/>
    <w:rsid w:val="007C5DA2"/>
    <w:rsid w:val="007C787C"/>
    <w:rsid w:val="007E31BB"/>
    <w:rsid w:val="007F106B"/>
    <w:rsid w:val="00807373"/>
    <w:rsid w:val="00813E57"/>
    <w:rsid w:val="008168AE"/>
    <w:rsid w:val="0082276A"/>
    <w:rsid w:val="00823F5A"/>
    <w:rsid w:val="00830A02"/>
    <w:rsid w:val="00841501"/>
    <w:rsid w:val="00851BA4"/>
    <w:rsid w:val="00866057"/>
    <w:rsid w:val="0087462B"/>
    <w:rsid w:val="00876FC2"/>
    <w:rsid w:val="00881116"/>
    <w:rsid w:val="00882103"/>
    <w:rsid w:val="0089010F"/>
    <w:rsid w:val="0089148F"/>
    <w:rsid w:val="00893F75"/>
    <w:rsid w:val="00895BFA"/>
    <w:rsid w:val="008A575E"/>
    <w:rsid w:val="008A6D6A"/>
    <w:rsid w:val="008B3C37"/>
    <w:rsid w:val="008B73D7"/>
    <w:rsid w:val="008C030F"/>
    <w:rsid w:val="008D0E7D"/>
    <w:rsid w:val="008D389A"/>
    <w:rsid w:val="008E5F3E"/>
    <w:rsid w:val="008E7FB1"/>
    <w:rsid w:val="008F45F0"/>
    <w:rsid w:val="008F70E9"/>
    <w:rsid w:val="0090276C"/>
    <w:rsid w:val="00902EC0"/>
    <w:rsid w:val="009039A0"/>
    <w:rsid w:val="00912B7D"/>
    <w:rsid w:val="00917779"/>
    <w:rsid w:val="00933BA8"/>
    <w:rsid w:val="009377F2"/>
    <w:rsid w:val="009407A2"/>
    <w:rsid w:val="00944E34"/>
    <w:rsid w:val="00952A39"/>
    <w:rsid w:val="009539D3"/>
    <w:rsid w:val="00961168"/>
    <w:rsid w:val="00967002"/>
    <w:rsid w:val="009750EE"/>
    <w:rsid w:val="0097793D"/>
    <w:rsid w:val="00995A79"/>
    <w:rsid w:val="00996E07"/>
    <w:rsid w:val="009A6921"/>
    <w:rsid w:val="009B3356"/>
    <w:rsid w:val="009C3B99"/>
    <w:rsid w:val="009D0BF9"/>
    <w:rsid w:val="009D184C"/>
    <w:rsid w:val="009D2421"/>
    <w:rsid w:val="009D7149"/>
    <w:rsid w:val="009E08D3"/>
    <w:rsid w:val="009E4AA3"/>
    <w:rsid w:val="009E4C21"/>
    <w:rsid w:val="009E75A5"/>
    <w:rsid w:val="009F1E24"/>
    <w:rsid w:val="009F3D5A"/>
    <w:rsid w:val="00A02A6D"/>
    <w:rsid w:val="00A36083"/>
    <w:rsid w:val="00A37C78"/>
    <w:rsid w:val="00A41050"/>
    <w:rsid w:val="00A4388B"/>
    <w:rsid w:val="00A440AA"/>
    <w:rsid w:val="00A51BB6"/>
    <w:rsid w:val="00A535AA"/>
    <w:rsid w:val="00A550B8"/>
    <w:rsid w:val="00A7286F"/>
    <w:rsid w:val="00A73211"/>
    <w:rsid w:val="00A770CE"/>
    <w:rsid w:val="00A84679"/>
    <w:rsid w:val="00A866DC"/>
    <w:rsid w:val="00A90317"/>
    <w:rsid w:val="00AA7673"/>
    <w:rsid w:val="00AB306D"/>
    <w:rsid w:val="00AB5C92"/>
    <w:rsid w:val="00AB71D9"/>
    <w:rsid w:val="00AC6979"/>
    <w:rsid w:val="00AD1648"/>
    <w:rsid w:val="00AD49F0"/>
    <w:rsid w:val="00AD5337"/>
    <w:rsid w:val="00AD5B01"/>
    <w:rsid w:val="00AE67D4"/>
    <w:rsid w:val="00AF0496"/>
    <w:rsid w:val="00AF0F3C"/>
    <w:rsid w:val="00AF23A1"/>
    <w:rsid w:val="00AF6800"/>
    <w:rsid w:val="00AF6D5B"/>
    <w:rsid w:val="00B029CD"/>
    <w:rsid w:val="00B06001"/>
    <w:rsid w:val="00B06404"/>
    <w:rsid w:val="00B071B6"/>
    <w:rsid w:val="00B147C6"/>
    <w:rsid w:val="00B156AA"/>
    <w:rsid w:val="00B1683E"/>
    <w:rsid w:val="00B26750"/>
    <w:rsid w:val="00B27272"/>
    <w:rsid w:val="00B33D72"/>
    <w:rsid w:val="00B43D72"/>
    <w:rsid w:val="00B50B62"/>
    <w:rsid w:val="00B617D5"/>
    <w:rsid w:val="00B7465F"/>
    <w:rsid w:val="00B94AE0"/>
    <w:rsid w:val="00BA0777"/>
    <w:rsid w:val="00BB04F4"/>
    <w:rsid w:val="00BD2BD2"/>
    <w:rsid w:val="00BD2E6C"/>
    <w:rsid w:val="00BE07CE"/>
    <w:rsid w:val="00BF1B41"/>
    <w:rsid w:val="00BF4A98"/>
    <w:rsid w:val="00C0604A"/>
    <w:rsid w:val="00C06F52"/>
    <w:rsid w:val="00C07D78"/>
    <w:rsid w:val="00C12956"/>
    <w:rsid w:val="00C232A5"/>
    <w:rsid w:val="00C3233E"/>
    <w:rsid w:val="00C32554"/>
    <w:rsid w:val="00C33615"/>
    <w:rsid w:val="00C35052"/>
    <w:rsid w:val="00C43013"/>
    <w:rsid w:val="00C4312B"/>
    <w:rsid w:val="00C44BDB"/>
    <w:rsid w:val="00C56639"/>
    <w:rsid w:val="00C601EC"/>
    <w:rsid w:val="00C74655"/>
    <w:rsid w:val="00C86942"/>
    <w:rsid w:val="00C87B37"/>
    <w:rsid w:val="00CA05E3"/>
    <w:rsid w:val="00CA3D42"/>
    <w:rsid w:val="00CA5864"/>
    <w:rsid w:val="00CB1E4E"/>
    <w:rsid w:val="00CB77C7"/>
    <w:rsid w:val="00CC6444"/>
    <w:rsid w:val="00CD6D4B"/>
    <w:rsid w:val="00CE5311"/>
    <w:rsid w:val="00CF4DE7"/>
    <w:rsid w:val="00D03652"/>
    <w:rsid w:val="00D23132"/>
    <w:rsid w:val="00D3256B"/>
    <w:rsid w:val="00D45EA1"/>
    <w:rsid w:val="00D47D83"/>
    <w:rsid w:val="00D62478"/>
    <w:rsid w:val="00D63593"/>
    <w:rsid w:val="00D66C7C"/>
    <w:rsid w:val="00D72FDE"/>
    <w:rsid w:val="00D754F5"/>
    <w:rsid w:val="00D75D40"/>
    <w:rsid w:val="00D77041"/>
    <w:rsid w:val="00D85EB2"/>
    <w:rsid w:val="00D86D75"/>
    <w:rsid w:val="00D90F04"/>
    <w:rsid w:val="00D922C1"/>
    <w:rsid w:val="00D9334B"/>
    <w:rsid w:val="00D93834"/>
    <w:rsid w:val="00D96714"/>
    <w:rsid w:val="00D96AB4"/>
    <w:rsid w:val="00DA1A19"/>
    <w:rsid w:val="00DA317D"/>
    <w:rsid w:val="00DB2650"/>
    <w:rsid w:val="00DB4CCF"/>
    <w:rsid w:val="00DC41EF"/>
    <w:rsid w:val="00DC7FDA"/>
    <w:rsid w:val="00DD03E8"/>
    <w:rsid w:val="00DD782D"/>
    <w:rsid w:val="00DF011D"/>
    <w:rsid w:val="00DF16C5"/>
    <w:rsid w:val="00E10E56"/>
    <w:rsid w:val="00E15E3D"/>
    <w:rsid w:val="00E179E2"/>
    <w:rsid w:val="00E2492C"/>
    <w:rsid w:val="00E31FA3"/>
    <w:rsid w:val="00E50AF9"/>
    <w:rsid w:val="00E5117B"/>
    <w:rsid w:val="00E5256C"/>
    <w:rsid w:val="00E53AF5"/>
    <w:rsid w:val="00E55AFD"/>
    <w:rsid w:val="00E73EBE"/>
    <w:rsid w:val="00E748C0"/>
    <w:rsid w:val="00E80C4F"/>
    <w:rsid w:val="00E90E98"/>
    <w:rsid w:val="00E93268"/>
    <w:rsid w:val="00E96E6B"/>
    <w:rsid w:val="00E9706D"/>
    <w:rsid w:val="00EA4033"/>
    <w:rsid w:val="00EB2090"/>
    <w:rsid w:val="00EB49AB"/>
    <w:rsid w:val="00EB52B2"/>
    <w:rsid w:val="00EC1734"/>
    <w:rsid w:val="00EC1F1B"/>
    <w:rsid w:val="00EC33FD"/>
    <w:rsid w:val="00EC5918"/>
    <w:rsid w:val="00ED06E4"/>
    <w:rsid w:val="00ED1C1F"/>
    <w:rsid w:val="00ED1C87"/>
    <w:rsid w:val="00ED4394"/>
    <w:rsid w:val="00EE115F"/>
    <w:rsid w:val="00EE24A8"/>
    <w:rsid w:val="00EE2C7A"/>
    <w:rsid w:val="00EE3058"/>
    <w:rsid w:val="00EE4EF3"/>
    <w:rsid w:val="00EE6BE9"/>
    <w:rsid w:val="00EE75D6"/>
    <w:rsid w:val="00EF3B1B"/>
    <w:rsid w:val="00EF60B5"/>
    <w:rsid w:val="00F000B0"/>
    <w:rsid w:val="00F02B0F"/>
    <w:rsid w:val="00F03D98"/>
    <w:rsid w:val="00F167FE"/>
    <w:rsid w:val="00F1714A"/>
    <w:rsid w:val="00F23C36"/>
    <w:rsid w:val="00F24F7C"/>
    <w:rsid w:val="00F3049F"/>
    <w:rsid w:val="00F30F68"/>
    <w:rsid w:val="00F3168C"/>
    <w:rsid w:val="00F331B4"/>
    <w:rsid w:val="00F561AA"/>
    <w:rsid w:val="00F65DDC"/>
    <w:rsid w:val="00F728F9"/>
    <w:rsid w:val="00F95D48"/>
    <w:rsid w:val="00F95EAA"/>
    <w:rsid w:val="00F97106"/>
    <w:rsid w:val="00FA6FD8"/>
    <w:rsid w:val="00FC02C5"/>
    <w:rsid w:val="00FC4280"/>
    <w:rsid w:val="00FC5AFA"/>
    <w:rsid w:val="00FC6173"/>
    <w:rsid w:val="00FE4C66"/>
    <w:rsid w:val="00FF171E"/>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A2045"/>
  <w15:chartTrackingRefBased/>
  <w15:docId w15:val="{6C89E3F5-947F-4288-B9F2-5ECCB1F1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D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D78"/>
    <w:rPr>
      <w:color w:val="0000FF"/>
      <w:u w:val="single"/>
    </w:rPr>
  </w:style>
  <w:style w:type="character" w:styleId="FollowedHyperlink">
    <w:name w:val="FollowedHyperlink"/>
    <w:basedOn w:val="DefaultParagraphFont"/>
    <w:uiPriority w:val="99"/>
    <w:semiHidden/>
    <w:unhideWhenUsed/>
    <w:rsid w:val="00EF3B1B"/>
    <w:rPr>
      <w:color w:val="954F72" w:themeColor="followedHyperlink"/>
      <w:u w:val="single"/>
    </w:rPr>
  </w:style>
  <w:style w:type="paragraph" w:styleId="ListParagraph">
    <w:name w:val="List Paragraph"/>
    <w:basedOn w:val="Normal"/>
    <w:uiPriority w:val="34"/>
    <w:qFormat/>
    <w:rsid w:val="006727B3"/>
    <w:pPr>
      <w:spacing w:after="160" w:line="259" w:lineRule="auto"/>
      <w:ind w:left="720"/>
      <w:contextualSpacing/>
    </w:pPr>
    <w:rPr>
      <w:rFonts w:asciiTheme="minorHAnsi" w:hAnsiTheme="minorHAnsi" w:cstheme="minorBidi"/>
      <w:lang w:val="en-GB"/>
    </w:rPr>
  </w:style>
  <w:style w:type="paragraph" w:styleId="EndnoteText">
    <w:name w:val="endnote text"/>
    <w:aliases w:val="en"/>
    <w:basedOn w:val="Normal"/>
    <w:link w:val="EndnoteTextChar"/>
    <w:uiPriority w:val="99"/>
    <w:unhideWhenUsed/>
    <w:rsid w:val="00EB49AB"/>
    <w:rPr>
      <w:sz w:val="20"/>
      <w:szCs w:val="20"/>
    </w:rPr>
  </w:style>
  <w:style w:type="character" w:customStyle="1" w:styleId="EndnoteTextChar">
    <w:name w:val="Endnote Text Char"/>
    <w:aliases w:val="en Char"/>
    <w:basedOn w:val="DefaultParagraphFont"/>
    <w:link w:val="EndnoteText"/>
    <w:uiPriority w:val="99"/>
    <w:rsid w:val="00EB49AB"/>
    <w:rPr>
      <w:rFonts w:ascii="Calibri" w:hAnsi="Calibri" w:cs="Calibri"/>
      <w:sz w:val="20"/>
      <w:szCs w:val="20"/>
    </w:rPr>
  </w:style>
  <w:style w:type="character" w:styleId="EndnoteReference">
    <w:name w:val="endnote reference"/>
    <w:basedOn w:val="DefaultParagraphFont"/>
    <w:uiPriority w:val="99"/>
    <w:unhideWhenUsed/>
    <w:rsid w:val="00EB49AB"/>
    <w:rPr>
      <w:vertAlign w:val="superscript"/>
    </w:rPr>
  </w:style>
  <w:style w:type="character" w:styleId="CommentReference">
    <w:name w:val="annotation reference"/>
    <w:basedOn w:val="DefaultParagraphFont"/>
    <w:uiPriority w:val="99"/>
    <w:unhideWhenUsed/>
    <w:rsid w:val="00AD49F0"/>
    <w:rPr>
      <w:sz w:val="16"/>
      <w:szCs w:val="16"/>
    </w:rPr>
  </w:style>
  <w:style w:type="paragraph" w:styleId="CommentText">
    <w:name w:val="annotation text"/>
    <w:basedOn w:val="Normal"/>
    <w:link w:val="CommentTextChar"/>
    <w:uiPriority w:val="99"/>
    <w:unhideWhenUsed/>
    <w:rsid w:val="00AD49F0"/>
    <w:rPr>
      <w:sz w:val="20"/>
      <w:szCs w:val="20"/>
    </w:rPr>
  </w:style>
  <w:style w:type="character" w:customStyle="1" w:styleId="CommentTextChar">
    <w:name w:val="Comment Text Char"/>
    <w:basedOn w:val="DefaultParagraphFont"/>
    <w:link w:val="CommentText"/>
    <w:uiPriority w:val="99"/>
    <w:rsid w:val="00AD49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49F0"/>
    <w:rPr>
      <w:b/>
      <w:bCs/>
    </w:rPr>
  </w:style>
  <w:style w:type="character" w:customStyle="1" w:styleId="CommentSubjectChar">
    <w:name w:val="Comment Subject Char"/>
    <w:basedOn w:val="CommentTextChar"/>
    <w:link w:val="CommentSubject"/>
    <w:uiPriority w:val="99"/>
    <w:semiHidden/>
    <w:rsid w:val="00AD49F0"/>
    <w:rPr>
      <w:rFonts w:ascii="Calibri" w:hAnsi="Calibri" w:cs="Calibri"/>
      <w:b/>
      <w:bCs/>
      <w:sz w:val="20"/>
      <w:szCs w:val="20"/>
    </w:rPr>
  </w:style>
  <w:style w:type="paragraph" w:styleId="BalloonText">
    <w:name w:val="Balloon Text"/>
    <w:basedOn w:val="Normal"/>
    <w:link w:val="BalloonTextChar"/>
    <w:uiPriority w:val="99"/>
    <w:semiHidden/>
    <w:unhideWhenUsed/>
    <w:rsid w:val="00AD4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F0"/>
    <w:rPr>
      <w:rFonts w:ascii="Segoe UI" w:hAnsi="Segoe UI" w:cs="Segoe UI"/>
      <w:sz w:val="18"/>
      <w:szCs w:val="18"/>
    </w:rPr>
  </w:style>
  <w:style w:type="character" w:customStyle="1" w:styleId="name">
    <w:name w:val="name"/>
    <w:basedOn w:val="DefaultParagraphFont"/>
    <w:uiPriority w:val="99"/>
    <w:rsid w:val="00E5117B"/>
    <w:rPr>
      <w:rFonts w:cs="Times New Roman"/>
    </w:rPr>
  </w:style>
  <w:style w:type="paragraph" w:styleId="NoSpacing">
    <w:name w:val="No Spacing"/>
    <w:uiPriority w:val="1"/>
    <w:qFormat/>
    <w:rsid w:val="0090276C"/>
    <w:pPr>
      <w:spacing w:after="0" w:line="240" w:lineRule="auto"/>
    </w:pPr>
  </w:style>
  <w:style w:type="paragraph" w:customStyle="1" w:styleId="Default">
    <w:name w:val="Default"/>
    <w:rsid w:val="009027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51BB6"/>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F23A1"/>
    <w:pPr>
      <w:spacing w:after="0" w:line="240" w:lineRule="auto"/>
    </w:pPr>
    <w:rPr>
      <w:rFonts w:ascii="Calibri" w:hAnsi="Calibri" w:cs="Calibri"/>
    </w:rPr>
  </w:style>
  <w:style w:type="paragraph" w:styleId="FootnoteText">
    <w:name w:val="footnote text"/>
    <w:aliases w:val="5_G,ft,FOOTNOTES,fn,single space,FA Fu,FA Fußnotentext,Footnote reference, Char Char Char, Char Char,Char1,Char Char Char Char Char Char,Char Char Char Char,Footnote Text Char Char,Footnote Text Char Char Char Char,Char Char Char,Char Char"/>
    <w:basedOn w:val="Normal"/>
    <w:link w:val="FootnoteTextChar"/>
    <w:uiPriority w:val="99"/>
    <w:unhideWhenUsed/>
    <w:rsid w:val="00F3168C"/>
    <w:rPr>
      <w:sz w:val="20"/>
      <w:szCs w:val="20"/>
    </w:rPr>
  </w:style>
  <w:style w:type="character" w:customStyle="1" w:styleId="FootnoteTextChar">
    <w:name w:val="Footnote Text Char"/>
    <w:aliases w:val="5_G Char,ft Char,FOOTNOTES Char,fn Char,single space Char,FA Fu Char,FA Fußnotentext Char,Footnote reference Char, Char Char Char Char, Char Char Char1,Char1 Char,Char Char Char Char Char Char Char,Char Char Char Char Char"/>
    <w:basedOn w:val="DefaultParagraphFont"/>
    <w:link w:val="FootnoteText"/>
    <w:uiPriority w:val="99"/>
    <w:rsid w:val="00F3168C"/>
    <w:rPr>
      <w:rFonts w:ascii="Calibri" w:hAnsi="Calibri" w:cs="Calibri"/>
      <w:sz w:val="20"/>
      <w:szCs w:val="20"/>
    </w:rPr>
  </w:style>
  <w:style w:type="character" w:styleId="FootnoteReference">
    <w:name w:val="footnote reference"/>
    <w:basedOn w:val="DefaultParagraphFont"/>
    <w:uiPriority w:val="99"/>
    <w:semiHidden/>
    <w:unhideWhenUsed/>
    <w:rsid w:val="00F3168C"/>
    <w:rPr>
      <w:vertAlign w:val="superscript"/>
    </w:rPr>
  </w:style>
  <w:style w:type="character" w:customStyle="1" w:styleId="None">
    <w:name w:val="None"/>
    <w:rsid w:val="00996E07"/>
  </w:style>
  <w:style w:type="paragraph" w:customStyle="1" w:styleId="BodyA">
    <w:name w:val="Body A"/>
    <w:rsid w:val="00637FA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E15E3D"/>
    <w:pPr>
      <w:tabs>
        <w:tab w:val="center" w:pos="4680"/>
        <w:tab w:val="right" w:pos="9360"/>
      </w:tabs>
    </w:pPr>
  </w:style>
  <w:style w:type="character" w:customStyle="1" w:styleId="HeaderChar">
    <w:name w:val="Header Char"/>
    <w:basedOn w:val="DefaultParagraphFont"/>
    <w:link w:val="Header"/>
    <w:uiPriority w:val="99"/>
    <w:rsid w:val="00E15E3D"/>
    <w:rPr>
      <w:rFonts w:ascii="Calibri" w:hAnsi="Calibri" w:cs="Calibri"/>
    </w:rPr>
  </w:style>
  <w:style w:type="paragraph" w:styleId="Footer">
    <w:name w:val="footer"/>
    <w:basedOn w:val="Normal"/>
    <w:link w:val="FooterChar"/>
    <w:uiPriority w:val="99"/>
    <w:unhideWhenUsed/>
    <w:rsid w:val="00E15E3D"/>
    <w:pPr>
      <w:tabs>
        <w:tab w:val="center" w:pos="4680"/>
        <w:tab w:val="right" w:pos="9360"/>
      </w:tabs>
    </w:pPr>
  </w:style>
  <w:style w:type="character" w:customStyle="1" w:styleId="FooterChar">
    <w:name w:val="Footer Char"/>
    <w:basedOn w:val="DefaultParagraphFont"/>
    <w:link w:val="Footer"/>
    <w:uiPriority w:val="99"/>
    <w:rsid w:val="00E15E3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5989">
      <w:bodyDiv w:val="1"/>
      <w:marLeft w:val="0"/>
      <w:marRight w:val="0"/>
      <w:marTop w:val="0"/>
      <w:marBottom w:val="0"/>
      <w:divBdr>
        <w:top w:val="none" w:sz="0" w:space="0" w:color="auto"/>
        <w:left w:val="none" w:sz="0" w:space="0" w:color="auto"/>
        <w:bottom w:val="none" w:sz="0" w:space="0" w:color="auto"/>
        <w:right w:val="none" w:sz="0" w:space="0" w:color="auto"/>
      </w:divBdr>
    </w:div>
    <w:div w:id="510341457">
      <w:bodyDiv w:val="1"/>
      <w:marLeft w:val="0"/>
      <w:marRight w:val="0"/>
      <w:marTop w:val="0"/>
      <w:marBottom w:val="0"/>
      <w:divBdr>
        <w:top w:val="none" w:sz="0" w:space="0" w:color="auto"/>
        <w:left w:val="none" w:sz="0" w:space="0" w:color="auto"/>
        <w:bottom w:val="none" w:sz="0" w:space="0" w:color="auto"/>
        <w:right w:val="none" w:sz="0" w:space="0" w:color="auto"/>
      </w:divBdr>
    </w:div>
    <w:div w:id="1792430854">
      <w:bodyDiv w:val="1"/>
      <w:marLeft w:val="0"/>
      <w:marRight w:val="0"/>
      <w:marTop w:val="0"/>
      <w:marBottom w:val="0"/>
      <w:divBdr>
        <w:top w:val="none" w:sz="0" w:space="0" w:color="auto"/>
        <w:left w:val="none" w:sz="0" w:space="0" w:color="auto"/>
        <w:bottom w:val="none" w:sz="0" w:space="0" w:color="auto"/>
        <w:right w:val="none" w:sz="0" w:space="0" w:color="auto"/>
      </w:divBdr>
    </w:div>
    <w:div w:id="20344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www.euro.who.int/__data/assets/pdf_file/0017/123128/E94322.pdf" TargetMode="External"/><Relationship Id="rId2" Type="http://schemas.openxmlformats.org/officeDocument/2006/relationships/hyperlink" Target="http://spq.sagepub.com/search?author1=Jeremy+Staff&amp;sortspec=date&amp;submit=Submit" TargetMode="External"/><Relationship Id="rId1" Type="http://schemas.openxmlformats.org/officeDocument/2006/relationships/hyperlink" Target="http://spq.sagepub.com/search?author1=Derek+A.+Kreager&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8A4011-10E3-4156-A623-480E37904CF9}">
  <ds:schemaRefs>
    <ds:schemaRef ds:uri="http://schemas.openxmlformats.org/officeDocument/2006/bibliography"/>
  </ds:schemaRefs>
</ds:datastoreItem>
</file>

<file path=customXml/itemProps2.xml><?xml version="1.0" encoding="utf-8"?>
<ds:datastoreItem xmlns:ds="http://schemas.openxmlformats.org/officeDocument/2006/customXml" ds:itemID="{EB660AAC-1036-4EE7-92CE-5CFC1FF31F83}"/>
</file>

<file path=customXml/itemProps3.xml><?xml version="1.0" encoding="utf-8"?>
<ds:datastoreItem xmlns:ds="http://schemas.openxmlformats.org/officeDocument/2006/customXml" ds:itemID="{3E6BB95A-5F43-4CD3-884B-54A5F0B89345}"/>
</file>

<file path=customXml/itemProps4.xml><?xml version="1.0" encoding="utf-8"?>
<ds:datastoreItem xmlns:ds="http://schemas.openxmlformats.org/officeDocument/2006/customXml" ds:itemID="{5A734A9B-3A3F-488D-B214-DE60B46AC061}"/>
</file>

<file path=docProps/app.xml><?xml version="1.0" encoding="utf-8"?>
<Properties xmlns="http://schemas.openxmlformats.org/officeDocument/2006/extended-properties" xmlns:vt="http://schemas.openxmlformats.org/officeDocument/2006/docPropsVTypes">
  <Template>Normal</Template>
  <TotalTime>6</TotalTime>
  <Pages>10</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Reproductive Rights</dc:title>
  <dc:subject/>
  <dc:creator>Katrina Myers</dc:creator>
  <cp:keywords/>
  <dc:description/>
  <cp:lastModifiedBy>Nina Sun</cp:lastModifiedBy>
  <cp:revision>3</cp:revision>
  <cp:lastPrinted>2017-12-19T19:10:00Z</cp:lastPrinted>
  <dcterms:created xsi:type="dcterms:W3CDTF">2018-01-11T13:40:00Z</dcterms:created>
  <dcterms:modified xsi:type="dcterms:W3CDTF">2018-01-11T13:46:00Z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