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4428"/>
      </w:tblGrid>
      <w:tr w:rsidR="00916FF3" w:rsidRPr="00F922B1" w:rsidTr="00E33DF3">
        <w:trPr>
          <w:jc w:val="center"/>
        </w:trPr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6FF3" w:rsidRPr="00F922B1" w:rsidRDefault="00916FF3" w:rsidP="00E3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>
                  <wp:extent cx="603250" cy="679450"/>
                  <wp:effectExtent l="1905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FF3" w:rsidRPr="00F922B1" w:rsidTr="00E33DF3">
        <w:trPr>
          <w:jc w:val="center"/>
        </w:trPr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6FF3" w:rsidRPr="00F922B1" w:rsidRDefault="00916FF3" w:rsidP="00E33DF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ES_tradnl"/>
              </w:rPr>
            </w:pPr>
            <w:r w:rsidRPr="00F922B1">
              <w:rPr>
                <w:rFonts w:ascii="Arial Narrow" w:hAnsi="Arial Narrow" w:cs="Arial Narrow"/>
                <w:b/>
                <w:bCs/>
                <w:sz w:val="16"/>
                <w:szCs w:val="16"/>
                <w:lang w:val="es-ES_tradnl"/>
              </w:rPr>
              <w:t>REPUBLICA DE CUBA</w:t>
            </w:r>
          </w:p>
          <w:p w:rsidR="00916FF3" w:rsidRPr="00F922B1" w:rsidRDefault="00916FF3" w:rsidP="00E3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F922B1">
              <w:rPr>
                <w:rFonts w:ascii="Arial Narrow" w:hAnsi="Arial Narrow" w:cs="Arial Narrow"/>
                <w:b/>
                <w:bCs/>
                <w:sz w:val="16"/>
                <w:szCs w:val="16"/>
                <w:lang w:val="es-ES_tradnl"/>
              </w:rPr>
              <w:t>Misión Permanente ante la Oficina de las Naciones Unidas en Ginebra y los Organismos Internacionales con sede en Suiza</w:t>
            </w:r>
          </w:p>
        </w:tc>
      </w:tr>
    </w:tbl>
    <w:p w:rsidR="00916FF3" w:rsidRDefault="00FB26BA" w:rsidP="00916FF3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Nota No. 23</w:t>
      </w:r>
      <w:r w:rsidR="00916FF3" w:rsidRPr="00F922B1">
        <w:rPr>
          <w:rFonts w:ascii="Arial" w:hAnsi="Arial" w:cs="Arial"/>
          <w:b/>
        </w:rPr>
        <w:t>/2017</w:t>
      </w:r>
    </w:p>
    <w:p w:rsidR="00C574CE" w:rsidRPr="00916FF3" w:rsidRDefault="00916FF3" w:rsidP="00916FF3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A3662E">
        <w:rPr>
          <w:rFonts w:ascii="Arial" w:hAnsi="Arial" w:cs="Arial"/>
          <w:color w:val="000000"/>
          <w:sz w:val="24"/>
          <w:szCs w:val="24"/>
          <w:lang w:eastAsia="es-ES"/>
        </w:rPr>
        <w:t>La Misión Permanente de la República de Cuba ante la Oficina de las Naciones Unidas en Ginebra y los Organismos Internacionales con sede en Suiza saluda atentamente a la Oficina del Alto Comisionado de las Naciones Unidas para los Derechos Humanos y tiene el honor de</w:t>
      </w:r>
      <w:r w:rsidR="00A13884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referirse a la solicitud de</w:t>
      </w:r>
      <w:r w:rsidR="00894287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información </w:t>
      </w:r>
      <w:r w:rsidR="006C596D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en virtud de la resolución 35/14 del Consejo de Derechos Humanos sobre juventud y derechos humanos, contenida en la nota del</w:t>
      </w:r>
      <w:r w:rsidR="00A13884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14 de noviembre de 2017.</w:t>
      </w:r>
      <w:r w:rsidR="006C596D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Al respecto la Misión Permanente de Cuba tiene a bien trasladar los comentarios siguientes.</w:t>
      </w:r>
      <w:r w:rsidR="00A13884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</w:p>
    <w:p w:rsidR="004857BC" w:rsidRPr="00916FF3" w:rsidRDefault="004F44F1" w:rsidP="00916FF3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Según el Anuario Estadístico de Cuba 2015, la población juvenil en Cuba entre 15 y 29 años es de 2 226 275, lo que representa la quinta parte del tota</w:t>
      </w:r>
      <w:r w:rsidR="006C596D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l de la población del país (20,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1%).</w:t>
      </w:r>
    </w:p>
    <w:p w:rsidR="0037287E" w:rsidRPr="00916FF3" w:rsidRDefault="0037287E" w:rsidP="00916FF3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En Cuba existe el Código de la Niñez y la Juventud (Ley No.16 del 28 de junio de 1978), donde se recoge la legislación en materia de niñez, adolescencia y juventud. Esta Ley establece las normas y principios que guían la política del Estado y la sociedad cubana hacia los jóvenes menores de 30 años, sus derechos y deberes. Este documento se está considerado para su actualización.</w:t>
      </w:r>
    </w:p>
    <w:p w:rsidR="006C596D" w:rsidRDefault="006C596D" w:rsidP="00916FF3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La experiencia nacional en la atención a la juventud ha consagrado su accionar en garantizar el pleno ejercicio de los derechos </w:t>
      </w:r>
      <w:r w:rsidR="0037287E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de</w:t>
      </w:r>
      <w:r w:rsid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este grupo poblacional.</w:t>
      </w:r>
    </w:p>
    <w:p w:rsidR="00916FF3" w:rsidRDefault="00916FF3" w:rsidP="00916FF3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916FF3" w:rsidRDefault="00916FF3" w:rsidP="00916FF3">
      <w:pPr>
        <w:spacing w:after="0"/>
        <w:ind w:left="-42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Oficina del Alto Comisionado de las Naciones Unidas</w:t>
      </w:r>
    </w:p>
    <w:p w:rsidR="00916FF3" w:rsidRDefault="00916FF3" w:rsidP="00916FF3">
      <w:pPr>
        <w:spacing w:after="0"/>
        <w:ind w:left="-42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para los Derechos Humanos</w:t>
      </w:r>
    </w:p>
    <w:p w:rsidR="00916FF3" w:rsidRDefault="00916FF3" w:rsidP="00916FF3">
      <w:pPr>
        <w:spacing w:after="0" w:line="360" w:lineRule="auto"/>
        <w:ind w:left="-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Ginebra</w:t>
      </w:r>
    </w:p>
    <w:p w:rsidR="004857BC" w:rsidRPr="00916FF3" w:rsidRDefault="004F44F1" w:rsidP="00916FF3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lastRenderedPageBreak/>
        <w:t xml:space="preserve">Los esfuerzos por crear las condiciones necesarias para la formación e incorporación de las personas jóvenes en la vida social del país es una prioridad </w:t>
      </w:r>
      <w:r w:rsidR="001118AB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presente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desde el </w:t>
      </w:r>
      <w:r w:rsidR="00BD6D91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Triunfo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de la </w:t>
      </w:r>
      <w:r w:rsidR="0052058A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Revolución. A pesar de ser un país en desarrollo, v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arios resul</w:t>
      </w:r>
      <w:r w:rsidR="0052058A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tados ilustran estos esfuerzos. Por ejemplo, Cuba ocupa el lugar 11 en el “Índice de Desarrollo Juvenil”</w:t>
      </w:r>
      <w:r w:rsidR="004857BC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, </w:t>
      </w:r>
      <w:r w:rsidR="0052058A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que mide los adelantos del Programa de Acción Mundial en Juventud y que está conformado por cinco variables que tipifican la educación, la salud y el bienestar, la participación cívica, la participación política y el empleo de las poblaciones jóvenes.</w:t>
      </w:r>
      <w:r w:rsidR="004857BC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Los jóvenes cubanos poseen un alto nivel de instrucción, avalado por los estudios comparados regionales que reportan que el 87,2% de la población joven cubana ostenta niveles educativos alcanzados de enseñanza media superior y superior.</w:t>
      </w:r>
    </w:p>
    <w:p w:rsidR="00BD6D91" w:rsidRPr="00916FF3" w:rsidRDefault="00737256" w:rsidP="00916FF3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A través de la acción coordinada entre las diferentes entidades del gobierno</w:t>
      </w:r>
      <w:r w:rsidR="00134A17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y la sociedad civil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, la juventud dispone de </w:t>
      </w:r>
      <w:r w:rsidR="00795F26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espacios para su inclusión y participación activa en la vida económica, política y social del país. </w:t>
      </w:r>
    </w:p>
    <w:p w:rsidR="007862E1" w:rsidRPr="00916FF3" w:rsidRDefault="0037287E" w:rsidP="00916FF3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La </w:t>
      </w:r>
      <w:r w:rsidR="007862E1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Asamblea Nacional del Poder Popular cada año, pues como parte de su estructura 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cuenta con una “</w:t>
      </w:r>
      <w:r w:rsidR="007862E1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Comisión de Atención a la Niñez, la Juventud y la Igualdad de la Mujer”, que atiende el tema juventud, y ha posibilitado el debate y adopción de decretos y decretos - leyes, que forman parte de la política nacional de juventud sobre educación, salud, trabajo, cultura, deportes, recreación y familia.</w:t>
      </w:r>
    </w:p>
    <w:p w:rsidR="004F5AB2" w:rsidRPr="00916FF3" w:rsidRDefault="00666CDB" w:rsidP="00916FF3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Los jóvenes cubanos cuentan con organizaciones </w:t>
      </w:r>
      <w:r w:rsidR="00C26AC2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que pueden monitorear las políticas de juventud. Una de ellas es la Unión de Jóvenes Comunistas, organización política con competencias constitucionales en materia de juventud</w:t>
      </w:r>
      <w:r w:rsidR="004F5AB2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y que cuenta con el reconocimiento y el estímulo del Estado en su función primordial de promover la participación activa de las masas juveniles.</w:t>
      </w:r>
    </w:p>
    <w:p w:rsidR="006B3F18" w:rsidRPr="00916FF3" w:rsidRDefault="006B3F18" w:rsidP="00916FF3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Otras organizaci</w:t>
      </w:r>
      <w:r w:rsidR="001A009D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ones juveniles en el país son la 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Organización de Pioneros José Martí</w:t>
      </w:r>
      <w:r w:rsidR="001A009D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, la 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Federación de Estudiantes de la Enseñanza Media</w:t>
      </w:r>
      <w:r w:rsidR="00D379A0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, la 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Federación Estudiantil Universitaria</w:t>
      </w:r>
      <w:r w:rsidR="00D379A0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, Brigada de Instructores de Arte “José Martí”</w:t>
      </w:r>
      <w:r w:rsidR="000C10FA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, la Asociación Hermanos Saíz, las Brigadas Técnicas Juveniles y el Movimiento Juvenil Martiano</w:t>
      </w:r>
      <w:r w:rsidR="00D379A0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. Cada una de ellas</w:t>
      </w:r>
      <w:r w:rsidR="007A683D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, </w:t>
      </w:r>
      <w:r w:rsidR="00815937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agrupa a jóvenes </w:t>
      </w:r>
      <w:r w:rsidR="00DF2EDA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que se </w:t>
      </w:r>
      <w:r w:rsidR="00DF2EDA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lastRenderedPageBreak/>
        <w:t>afilian</w:t>
      </w:r>
      <w:r w:rsidR="00815937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de forma voluntaria y según sus intereses políticos, ideológicos y culturales en la sociedad. </w:t>
      </w:r>
    </w:p>
    <w:p w:rsidR="00762C4A" w:rsidRPr="00916FF3" w:rsidRDefault="00762C4A" w:rsidP="00916FF3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El Estado cubano también promueve la participación de los jóvenes en la conducción de los asuntos públicos y los destinos de la sociedad.</w:t>
      </w:r>
    </w:p>
    <w:p w:rsidR="00762C4A" w:rsidRPr="00916FF3" w:rsidRDefault="00762C4A" w:rsidP="00916FF3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Debe destacarse la presencia de los jóvenes en los espacios de discusiones más importantes para la toma de decisiones en el país. El 8,5% de los miembros del parlamento cubano (52) son jóvenes menores de 35 años de edad, con representatividad de estudiantes y jóvenes trabajadores de diversos sectores de la sociedad. Existen alrededor de 678 delegados de circunscripción y miembros de estructuras territoriales de gobierno que son jóvenes. En las elecciones municipales de 2015, el 15% de los 12 mil 589 delegados electos (concejales) son jóvenes de edades comprendidas entre 16 y 30 años. Las audiencias parlamentarias realizadas en secundarias básicas, preuniversitarios, institutos politécnicos y universitarios, propiciaron un fructífero intercambio entre los miembros del Parlamento y los jóvenes en temas como el sistema político cubano y las elecciones.</w:t>
      </w:r>
    </w:p>
    <w:p w:rsidR="0083648E" w:rsidRPr="00916FF3" w:rsidRDefault="00815937" w:rsidP="00916FF3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E</w:t>
      </w:r>
      <w:r w:rsidR="00BD6D91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n la actualidad, s</w:t>
      </w:r>
      <w:r w:rsidR="0083648E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 adoptan políticas </w:t>
      </w:r>
      <w:r w:rsidR="00621A03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de carácter universal</w:t>
      </w:r>
      <w:r w:rsidR="00F77F76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es</w:t>
      </w:r>
      <w:r w:rsidR="00621A03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y gratuitas </w:t>
      </w:r>
      <w:r w:rsidR="0083648E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para favorecer la ampliación de oportunidades</w:t>
      </w:r>
      <w:r w:rsidR="00AC7F44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, </w:t>
      </w:r>
      <w:r w:rsidR="00621A03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sin distinciones</w:t>
      </w:r>
      <w:r w:rsidR="00AC7F44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, </w:t>
      </w:r>
      <w:r w:rsidR="0083648E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para la incorporación de los jóvenes al empleo, contribuir a su estabilidad laboral, así como a su capacitación. En este sentido, destacamos que 1 </w:t>
      </w:r>
      <w:r w:rsidR="00311F0F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551 </w:t>
      </w:r>
      <w:r w:rsidR="0083648E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812 jóvenes integran la Población Económicamente Activa, lo que representa el 52,5% de la población joven total. El 95,2% de ellos está ocupado, la mayoría de ellos, al igual que en la población total, en formas estatales de gestión laboral</w:t>
      </w:r>
      <w:r w:rsidR="00BD6D91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.</w:t>
      </w:r>
      <w:r w:rsidR="00934D17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También se han ampliado y diversificado las opciones de empleo que disfrutan los jóvenes en el sector no estatal de la economía</w:t>
      </w:r>
      <w:r w:rsidR="00D03E35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.  </w:t>
      </w:r>
    </w:p>
    <w:p w:rsidR="00D6412B" w:rsidRPr="00916FF3" w:rsidRDefault="00D6412B" w:rsidP="00916FF3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Paralelamente, se implementa una estrategia de promoción e inclusión social de la juventud dirigida a favorecer la formación cultural, técnica y laboral de los jóvenes, a fin de promover un mayor desarrollo de todo su potencial.</w:t>
      </w:r>
    </w:p>
    <w:p w:rsidR="0039399F" w:rsidRPr="00916FF3" w:rsidRDefault="00D6412B" w:rsidP="00916FF3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En materia de asistencia médica, </w:t>
      </w:r>
      <w:r w:rsidR="00805378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Cuba tiene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programas destinados </w:t>
      </w:r>
      <w:r w:rsidR="004F68DF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a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los segmentos juveniles de la población, incluyendo aquellos en materia de enfermedades trasmisibles y salud sexual y reproductiva.</w:t>
      </w:r>
      <w:r w:rsidR="00805378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Los jóvenes cubanos </w:t>
      </w:r>
      <w:r w:rsidR="0039399F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lastRenderedPageBreak/>
        <w:t>también</w:t>
      </w:r>
      <w:r w:rsidR="00805378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son beneficiarios de las prestaciones </w:t>
      </w:r>
      <w:r w:rsidR="0039399F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del </w:t>
      </w:r>
      <w:r w:rsidR="00805378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sistema nacional de salud, la cual se caracteriza por su carácter gratuito, universal y de cal</w:t>
      </w:r>
      <w:r w:rsidR="0039399F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idad.</w:t>
      </w:r>
    </w:p>
    <w:p w:rsidR="00D6412B" w:rsidRPr="00916FF3" w:rsidRDefault="00D6412B" w:rsidP="00916FF3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El disfrute del derecho a la educación es una realidad en Cuba, de la que se benefician especialmente los jóvenes. El Estado garantiza servicios e instituciones educacionales de calidad a todos los niveles, cuyos costos son asumidos por el presupuesto público.</w:t>
      </w:r>
    </w:p>
    <w:p w:rsidR="00EA0386" w:rsidRPr="00916FF3" w:rsidRDefault="00E43E00" w:rsidP="00916FF3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Las lecciones aprendidas y las buenas prácticas sobre cómo canalizar los problemas que afectan a la juventud son pilares en la atención a la juventud</w:t>
      </w:r>
      <w:r w:rsidR="00704082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.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</w:p>
    <w:p w:rsidR="006B51EA" w:rsidRPr="00916FF3" w:rsidRDefault="00AD0047" w:rsidP="00916FF3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El mayor desafío que Cuba ha debido enfrentar para asegurar el desarrollo de su juventud ha sido el bloqueo económico, comercial y financiero impuesto por los Estados Unidos de América,</w:t>
      </w:r>
      <w:r w:rsidR="00EA0386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constituye una violación masiva, flagrante y sistemática de los derechos humanos de todo </w:t>
      </w:r>
      <w:r w:rsidR="00EA0386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el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pueblo.</w:t>
      </w:r>
      <w:r w:rsidR="00704082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="00FC366A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También nos afecta</w:t>
      </w:r>
      <w:r w:rsidR="0037287E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n</w:t>
      </w:r>
      <w:r w:rsidR="00FC366A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los consecuencias de la crisis e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conómica mundial, que ha repercutido en las políticas sociales, e impuesto una mayor racionalidad y eficiencia. </w:t>
      </w:r>
    </w:p>
    <w:p w:rsidR="005C4F9B" w:rsidRPr="00916FF3" w:rsidRDefault="0046402E" w:rsidP="00916FF3">
      <w:pPr>
        <w:spacing w:before="240" w:after="24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Los principales retos que enfrenta la juventud en Cuba están orientados a la satisfacción de sus expectativas en cuanto a los estudios que realizan en términos de conocimientos, reconocimiento social, ingresos sa</w:t>
      </w:r>
      <w:r w:rsidR="00A92676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lariales y ejercicio profesional</w:t>
      </w:r>
      <w:r w:rsidR="00906F1F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.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Para ello, el </w:t>
      </w:r>
      <w:r w:rsidR="001528AC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Estado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="001528AC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continúa</w:t>
      </w:r>
      <w:r w:rsidR="00A92676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en sus esfuerzos en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="00A92676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buscar soluciones</w:t>
      </w:r>
      <w:r w:rsidR="001528AC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,</w:t>
      </w:r>
      <w:r w:rsidR="00A92676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al incorporar sus </w:t>
      </w:r>
      <w:r w:rsidR="00906F1F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opiniones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="00934D17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al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="007279ED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proceso de actualización del modelo económico cubano</w:t>
      </w:r>
      <w:r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. </w:t>
      </w:r>
      <w:r w:rsidR="00C243C2" w:rsidRPr="00916FF3">
        <w:rPr>
          <w:rFonts w:ascii="Arial" w:eastAsia="Calibri" w:hAnsi="Arial" w:cs="Arial"/>
          <w:color w:val="000000"/>
          <w:sz w:val="24"/>
          <w:szCs w:val="24"/>
          <w:lang w:eastAsia="es-ES"/>
        </w:rPr>
        <w:t>La voluntad política constituye una fortaleza de nuestro sistema político y una gran garantía real con que cuentan los jóvenes para el reconocimiento, promoción, respeto y plena realización de todos sus derechos.</w:t>
      </w:r>
    </w:p>
    <w:p w:rsidR="00916FF3" w:rsidRPr="00A3662E" w:rsidRDefault="00916FF3" w:rsidP="00916FF3">
      <w:pPr>
        <w:spacing w:before="240" w:after="24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A3662E">
        <w:rPr>
          <w:rFonts w:ascii="Arial" w:hAnsi="Arial" w:cs="Arial"/>
          <w:color w:val="000000"/>
          <w:sz w:val="24"/>
          <w:szCs w:val="24"/>
          <w:lang w:eastAsia="es-ES"/>
        </w:rPr>
        <w:t>La Misión Permanente de la República de Cuba ante la Oficina de las Naciones Unidas en Ginebra y los Organismos Internacionales con sede en Suiza aprovecha la ocasión para reiterar a la Oficina del Alto Comisionado de las Naciones Unidas para los Derechos Humanos el testimonio de su consideración.</w:t>
      </w:r>
    </w:p>
    <w:p w:rsidR="005C4F9B" w:rsidRPr="00724952" w:rsidRDefault="005C4F9B" w:rsidP="005C4F9B">
      <w:pPr>
        <w:ind w:firstLine="709"/>
        <w:jc w:val="both"/>
        <w:rPr>
          <w:rFonts w:ascii="Arial" w:hAnsi="Arial" w:cs="Arial"/>
          <w:sz w:val="24"/>
          <w:szCs w:val="28"/>
        </w:rPr>
      </w:pPr>
    </w:p>
    <w:p w:rsidR="008E38FA" w:rsidRDefault="0037287E" w:rsidP="00916FF3">
      <w:pPr>
        <w:ind w:firstLine="709"/>
        <w:jc w:val="right"/>
        <w:rPr>
          <w:rFonts w:ascii="Arial" w:hAnsi="Arial" w:cs="Arial"/>
          <w:b/>
          <w:lang w:val="pt-BR"/>
        </w:rPr>
      </w:pPr>
      <w:r>
        <w:rPr>
          <w:rFonts w:ascii="Arial" w:hAnsi="Arial" w:cs="Arial"/>
          <w:sz w:val="24"/>
          <w:szCs w:val="28"/>
        </w:rPr>
        <w:t>Ginebra, 12 de</w:t>
      </w:r>
      <w:r w:rsidR="005C4F9B" w:rsidRPr="00724952">
        <w:rPr>
          <w:rFonts w:ascii="Arial" w:hAnsi="Arial" w:cs="Arial"/>
          <w:sz w:val="24"/>
          <w:szCs w:val="28"/>
        </w:rPr>
        <w:t xml:space="preserve"> enero de 2018</w:t>
      </w:r>
      <w:bookmarkStart w:id="0" w:name="_GoBack"/>
      <w:bookmarkEnd w:id="0"/>
    </w:p>
    <w:sectPr w:rsidR="008E38FA" w:rsidSect="00916FF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D0A" w:rsidRDefault="00ED2D0A" w:rsidP="00D11835">
      <w:pPr>
        <w:spacing w:after="0" w:line="240" w:lineRule="auto"/>
      </w:pPr>
      <w:r>
        <w:separator/>
      </w:r>
    </w:p>
  </w:endnote>
  <w:endnote w:type="continuationSeparator" w:id="1">
    <w:p w:rsidR="00ED2D0A" w:rsidRDefault="00ED2D0A" w:rsidP="00D1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D0A" w:rsidRDefault="00ED2D0A" w:rsidP="00D11835">
      <w:pPr>
        <w:spacing w:after="0" w:line="240" w:lineRule="auto"/>
      </w:pPr>
      <w:r>
        <w:separator/>
      </w:r>
    </w:p>
  </w:footnote>
  <w:footnote w:type="continuationSeparator" w:id="1">
    <w:p w:rsidR="00ED2D0A" w:rsidRDefault="00ED2D0A" w:rsidP="00D11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D6E"/>
    <w:multiLevelType w:val="hybridMultilevel"/>
    <w:tmpl w:val="DCB24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65275"/>
    <w:multiLevelType w:val="multilevel"/>
    <w:tmpl w:val="45A4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D6096"/>
    <w:multiLevelType w:val="hybridMultilevel"/>
    <w:tmpl w:val="660EA1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B043AE"/>
    <w:multiLevelType w:val="hybridMultilevel"/>
    <w:tmpl w:val="78E8ECCC"/>
    <w:lvl w:ilvl="0" w:tplc="E0DAC47A">
      <w:start w:val="1"/>
      <w:numFmt w:val="decimal"/>
      <w:lvlText w:val="%1."/>
      <w:lvlJc w:val="left"/>
      <w:pPr>
        <w:ind w:left="1919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DB33A3"/>
    <w:multiLevelType w:val="multilevel"/>
    <w:tmpl w:val="6590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E6059"/>
    <w:multiLevelType w:val="multilevel"/>
    <w:tmpl w:val="FF06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301ACB"/>
    <w:multiLevelType w:val="multilevel"/>
    <w:tmpl w:val="24A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B3D"/>
    <w:rsid w:val="0002589A"/>
    <w:rsid w:val="0003270E"/>
    <w:rsid w:val="00036215"/>
    <w:rsid w:val="00075B3D"/>
    <w:rsid w:val="00095621"/>
    <w:rsid w:val="000C10FA"/>
    <w:rsid w:val="001015F0"/>
    <w:rsid w:val="001118AB"/>
    <w:rsid w:val="00134A17"/>
    <w:rsid w:val="001528AC"/>
    <w:rsid w:val="001A009D"/>
    <w:rsid w:val="001D0B28"/>
    <w:rsid w:val="001F262A"/>
    <w:rsid w:val="0023365E"/>
    <w:rsid w:val="00304DB9"/>
    <w:rsid w:val="00311F0F"/>
    <w:rsid w:val="00313B81"/>
    <w:rsid w:val="00360747"/>
    <w:rsid w:val="0037287E"/>
    <w:rsid w:val="00373F19"/>
    <w:rsid w:val="0039399F"/>
    <w:rsid w:val="003C6DE9"/>
    <w:rsid w:val="0046402E"/>
    <w:rsid w:val="004857BC"/>
    <w:rsid w:val="00490EE3"/>
    <w:rsid w:val="0049475A"/>
    <w:rsid w:val="004D56E9"/>
    <w:rsid w:val="004F44F1"/>
    <w:rsid w:val="004F5AB2"/>
    <w:rsid w:val="004F68DF"/>
    <w:rsid w:val="0052058A"/>
    <w:rsid w:val="00590529"/>
    <w:rsid w:val="0059110E"/>
    <w:rsid w:val="005941AC"/>
    <w:rsid w:val="005C4F9B"/>
    <w:rsid w:val="00621A03"/>
    <w:rsid w:val="0065037F"/>
    <w:rsid w:val="0065521C"/>
    <w:rsid w:val="00666CDB"/>
    <w:rsid w:val="006B3F18"/>
    <w:rsid w:val="006B51EA"/>
    <w:rsid w:val="006C596D"/>
    <w:rsid w:val="006F301E"/>
    <w:rsid w:val="00704082"/>
    <w:rsid w:val="00724952"/>
    <w:rsid w:val="007279ED"/>
    <w:rsid w:val="00732630"/>
    <w:rsid w:val="00737256"/>
    <w:rsid w:val="00762C4A"/>
    <w:rsid w:val="00784629"/>
    <w:rsid w:val="007862E1"/>
    <w:rsid w:val="00795F26"/>
    <w:rsid w:val="007A683D"/>
    <w:rsid w:val="00802984"/>
    <w:rsid w:val="00805378"/>
    <w:rsid w:val="00815937"/>
    <w:rsid w:val="0083648E"/>
    <w:rsid w:val="00844E44"/>
    <w:rsid w:val="00846366"/>
    <w:rsid w:val="008847F5"/>
    <w:rsid w:val="00894287"/>
    <w:rsid w:val="008E38FA"/>
    <w:rsid w:val="0090641C"/>
    <w:rsid w:val="00906F1F"/>
    <w:rsid w:val="00913121"/>
    <w:rsid w:val="00913D24"/>
    <w:rsid w:val="00916FF3"/>
    <w:rsid w:val="00922E29"/>
    <w:rsid w:val="0092749A"/>
    <w:rsid w:val="00934D17"/>
    <w:rsid w:val="009461B2"/>
    <w:rsid w:val="009D1AC3"/>
    <w:rsid w:val="009F1ED9"/>
    <w:rsid w:val="00A13884"/>
    <w:rsid w:val="00A210CA"/>
    <w:rsid w:val="00A334A7"/>
    <w:rsid w:val="00A42601"/>
    <w:rsid w:val="00A66A88"/>
    <w:rsid w:val="00A92676"/>
    <w:rsid w:val="00AC181A"/>
    <w:rsid w:val="00AC26F4"/>
    <w:rsid w:val="00AC7F44"/>
    <w:rsid w:val="00AD0047"/>
    <w:rsid w:val="00B2783C"/>
    <w:rsid w:val="00B3256C"/>
    <w:rsid w:val="00BD6D91"/>
    <w:rsid w:val="00C243C2"/>
    <w:rsid w:val="00C26AC2"/>
    <w:rsid w:val="00C574CE"/>
    <w:rsid w:val="00C80A4A"/>
    <w:rsid w:val="00D006AC"/>
    <w:rsid w:val="00D03E35"/>
    <w:rsid w:val="00D11835"/>
    <w:rsid w:val="00D379A0"/>
    <w:rsid w:val="00D6412B"/>
    <w:rsid w:val="00D944CB"/>
    <w:rsid w:val="00DC3A45"/>
    <w:rsid w:val="00DF2EDA"/>
    <w:rsid w:val="00E17F37"/>
    <w:rsid w:val="00E4244A"/>
    <w:rsid w:val="00E430EF"/>
    <w:rsid w:val="00E43E00"/>
    <w:rsid w:val="00EA0386"/>
    <w:rsid w:val="00ED2D0A"/>
    <w:rsid w:val="00F00764"/>
    <w:rsid w:val="00F60FB5"/>
    <w:rsid w:val="00F675DF"/>
    <w:rsid w:val="00F7386F"/>
    <w:rsid w:val="00F77F76"/>
    <w:rsid w:val="00FB26BA"/>
    <w:rsid w:val="00FC366A"/>
    <w:rsid w:val="00FE4779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37F"/>
  </w:style>
  <w:style w:type="paragraph" w:styleId="Ttulo3">
    <w:name w:val="heading 3"/>
    <w:basedOn w:val="Normal"/>
    <w:link w:val="Ttulo3Car"/>
    <w:uiPriority w:val="9"/>
    <w:qFormat/>
    <w:rsid w:val="00F67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2E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unhideWhenUsed/>
    <w:rsid w:val="00D11835"/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11835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D11835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675D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675D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009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009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009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37F"/>
  </w:style>
  <w:style w:type="paragraph" w:styleId="Ttulo3">
    <w:name w:val="heading 3"/>
    <w:basedOn w:val="Normal"/>
    <w:link w:val="Ttulo3Car"/>
    <w:uiPriority w:val="9"/>
    <w:qFormat/>
    <w:rsid w:val="00F67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2E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unhideWhenUsed/>
    <w:rsid w:val="00D11835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1183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alfinal">
    <w:name w:val="endnote reference"/>
    <w:uiPriority w:val="99"/>
    <w:semiHidden/>
    <w:unhideWhenUsed/>
    <w:rsid w:val="00D11835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675D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675D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009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009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009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452A46-33B7-4AD1-A9C9-C922AD134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5C246D-7959-4121-8560-79684574689F}"/>
</file>

<file path=customXml/itemProps3.xml><?xml version="1.0" encoding="utf-8"?>
<ds:datastoreItem xmlns:ds="http://schemas.openxmlformats.org/officeDocument/2006/customXml" ds:itemID="{AC867370-5AA6-47A5-9F17-CF6D0A978FE4}"/>
</file>

<file path=customXml/itemProps4.xml><?xml version="1.0" encoding="utf-8"?>
<ds:datastoreItem xmlns:ds="http://schemas.openxmlformats.org/officeDocument/2006/customXml" ds:itemID="{B494F240-18E7-43C7-B348-FE79FFA33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Nourelys Elaine Serrano Sánchez</dc:creator>
  <cp:lastModifiedBy>m_permanente</cp:lastModifiedBy>
  <cp:revision>10</cp:revision>
  <cp:lastPrinted>2018-01-12T14:32:00Z</cp:lastPrinted>
  <dcterms:created xsi:type="dcterms:W3CDTF">2018-01-11T16:02:00Z</dcterms:created>
  <dcterms:modified xsi:type="dcterms:W3CDTF">2018-01-12T14:34:00Z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