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54" w:rsidRPr="0063656F" w:rsidRDefault="0063656F" w:rsidP="0063656F">
      <w:pPr>
        <w:jc w:val="both"/>
        <w:rPr>
          <w:rFonts w:ascii="Trebuchet MS" w:hAnsi="Trebuchet MS"/>
          <w:lang w:val="en-US"/>
        </w:rPr>
      </w:pPr>
      <w:r w:rsidRPr="0063656F">
        <w:rPr>
          <w:rFonts w:ascii="Trebuchet MS" w:hAnsi="Trebuchet MS"/>
          <w:lang w:val="en-US"/>
        </w:rPr>
        <w:t xml:space="preserve">As the Flemish Youth Council we would like to give you some inside information on the Belgian and more specific Flemish situation concerning youth rights. As a high developed region the standards for young people are rather good, with different ways young </w:t>
      </w:r>
      <w:r w:rsidRPr="0063656F">
        <w:rPr>
          <w:rFonts w:ascii="Trebuchet MS" w:hAnsi="Trebuchet MS"/>
          <w:lang w:val="en-US"/>
        </w:rPr>
        <w:t>people can participate in society. Nevertheless there are a multitude of societal problems having their effects on the development of young people and the implementation of youth rights in general.</w:t>
      </w:r>
    </w:p>
    <w:p w:rsidR="006B2D54" w:rsidRPr="0063656F" w:rsidRDefault="006B2D54" w:rsidP="0063656F">
      <w:pPr>
        <w:jc w:val="both"/>
        <w:rPr>
          <w:rFonts w:ascii="Trebuchet MS" w:hAnsi="Trebuchet MS"/>
          <w:b/>
          <w:lang w:val="en-US"/>
        </w:rPr>
      </w:pPr>
    </w:p>
    <w:p w:rsidR="006B2D54" w:rsidRPr="0063656F" w:rsidRDefault="0063656F" w:rsidP="0063656F">
      <w:pPr>
        <w:jc w:val="both"/>
        <w:rPr>
          <w:rFonts w:ascii="Trebuchet MS" w:hAnsi="Trebuchet MS"/>
          <w:b/>
          <w:color w:val="202020"/>
          <w:lang w:val="en-US"/>
        </w:rPr>
      </w:pPr>
      <w:r>
        <w:rPr>
          <w:rFonts w:ascii="Trebuchet MS" w:hAnsi="Trebuchet MS"/>
          <w:b/>
          <w:color w:val="202020"/>
          <w:lang w:val="en-US"/>
        </w:rPr>
        <w:t xml:space="preserve">1°Child poverty </w:t>
      </w:r>
    </w:p>
    <w:p w:rsidR="006B2D54" w:rsidRPr="0063656F" w:rsidRDefault="0063656F" w:rsidP="0063656F">
      <w:pPr>
        <w:jc w:val="both"/>
        <w:rPr>
          <w:rFonts w:ascii="Trebuchet MS" w:hAnsi="Trebuchet MS"/>
          <w:lang w:val="en-US"/>
        </w:rPr>
      </w:pPr>
      <w:r w:rsidRPr="0063656F">
        <w:rPr>
          <w:rFonts w:ascii="Trebuchet MS" w:hAnsi="Trebuchet MS"/>
          <w:lang w:val="en-US"/>
        </w:rPr>
        <w:t>The average poverty rate for th</w:t>
      </w:r>
      <w:r w:rsidRPr="0063656F">
        <w:rPr>
          <w:rFonts w:ascii="Trebuchet MS" w:hAnsi="Trebuchet MS"/>
          <w:lang w:val="en-US"/>
        </w:rPr>
        <w:t>e entire population in Belgium is 15.3%. While the poverty rate for young people under 25  is almost 19% (with strong regional differences: one in ten in Flanders, one in four in Wallonia, and four in ten in Brussels).</w:t>
      </w:r>
      <w:r w:rsidRPr="0063656F">
        <w:rPr>
          <w:rFonts w:ascii="Trebuchet MS" w:hAnsi="Trebuchet MS"/>
          <w:vertAlign w:val="superscript"/>
        </w:rPr>
        <w:footnoteReference w:id="1"/>
      </w:r>
      <w:r w:rsidRPr="0063656F">
        <w:rPr>
          <w:rFonts w:ascii="Trebuchet MS" w:hAnsi="Trebuchet MS"/>
          <w:lang w:val="en-US"/>
        </w:rPr>
        <w:t xml:space="preserve"> The poverty is notably related to a </w:t>
      </w:r>
      <w:r w:rsidRPr="0063656F">
        <w:rPr>
          <w:rFonts w:ascii="Trebuchet MS" w:hAnsi="Trebuchet MS"/>
          <w:lang w:val="en-US"/>
        </w:rPr>
        <w:t>growing divide between groups in society whereby low-skilled people, single parent households, persons living in very low work intensity households as well as persons with a migration background run the risk of falling behind. Poverty in early childhood an</w:t>
      </w:r>
      <w:r w:rsidRPr="0063656F">
        <w:rPr>
          <w:rFonts w:ascii="Trebuchet MS" w:hAnsi="Trebuchet MS"/>
          <w:lang w:val="en-US"/>
        </w:rPr>
        <w:t xml:space="preserve">d adolescence has especially devastating effects, often distorting children’s physical, cognitive </w:t>
      </w:r>
      <w:r w:rsidRPr="0063656F">
        <w:rPr>
          <w:rFonts w:ascii="Trebuchet MS" w:hAnsi="Trebuchet MS"/>
          <w:lang w:val="en-US"/>
        </w:rPr>
        <w:lastRenderedPageBreak/>
        <w:t>and social development so with 21% of households at risk of poverty or social exclusion, further attention is needed.</w:t>
      </w:r>
      <w:r w:rsidRPr="0063656F">
        <w:rPr>
          <w:rFonts w:ascii="Trebuchet MS" w:hAnsi="Trebuchet MS"/>
          <w:vertAlign w:val="superscript"/>
        </w:rPr>
        <w:footnoteReference w:id="2"/>
      </w:r>
    </w:p>
    <w:p w:rsidR="006B2D54" w:rsidRPr="0063656F" w:rsidRDefault="006B2D54" w:rsidP="0063656F">
      <w:pPr>
        <w:jc w:val="both"/>
        <w:rPr>
          <w:rFonts w:ascii="Trebuchet MS" w:hAnsi="Trebuchet MS"/>
          <w:b/>
          <w:lang w:val="en-US"/>
        </w:rPr>
      </w:pPr>
    </w:p>
    <w:p w:rsidR="006B2D54" w:rsidRPr="0063656F" w:rsidRDefault="0063656F" w:rsidP="0063656F">
      <w:pPr>
        <w:jc w:val="both"/>
        <w:rPr>
          <w:rFonts w:ascii="Trebuchet MS" w:hAnsi="Trebuchet MS"/>
          <w:b/>
          <w:lang w:val="en-US"/>
        </w:rPr>
      </w:pPr>
      <w:r w:rsidRPr="0063656F">
        <w:rPr>
          <w:rFonts w:ascii="Trebuchet MS" w:hAnsi="Trebuchet MS"/>
          <w:b/>
          <w:lang w:val="en-US"/>
        </w:rPr>
        <w:t>2° Underage migrants /unaccompanied mi</w:t>
      </w:r>
      <w:r w:rsidRPr="0063656F">
        <w:rPr>
          <w:rFonts w:ascii="Trebuchet MS" w:hAnsi="Trebuchet MS"/>
          <w:b/>
          <w:lang w:val="en-US"/>
        </w:rPr>
        <w:t xml:space="preserve">nors </w:t>
      </w:r>
    </w:p>
    <w:p w:rsidR="006B2D54" w:rsidRPr="0063656F" w:rsidRDefault="0063656F" w:rsidP="0063656F">
      <w:pPr>
        <w:spacing w:line="240" w:lineRule="auto"/>
        <w:jc w:val="both"/>
        <w:rPr>
          <w:rFonts w:ascii="Trebuchet MS" w:hAnsi="Trebuchet MS"/>
          <w:lang w:val="en-US"/>
        </w:rPr>
      </w:pPr>
      <w:r w:rsidRPr="0063656F">
        <w:rPr>
          <w:rFonts w:ascii="Trebuchet MS" w:hAnsi="Trebuchet MS"/>
          <w:lang w:val="en-US"/>
        </w:rPr>
        <w:t>In 2015 the Belgian foreign Affairs service registered 35 476 applies for asylum, in 2016, 18 710. Mostly from areas dominated by conflict like Syria, Iraq and Afghanistan. The last two years there are strikingly more unaccompanied minor re</w:t>
      </w:r>
      <w:r w:rsidRPr="0063656F">
        <w:rPr>
          <w:rFonts w:ascii="Trebuchet MS" w:hAnsi="Trebuchet MS"/>
          <w:lang w:val="en-US"/>
        </w:rPr>
        <w:t>fugees. In 2015 there were 3919 applies for asylum from this particular group.</w:t>
      </w:r>
      <w:r w:rsidRPr="0063656F">
        <w:rPr>
          <w:rFonts w:ascii="Trebuchet MS" w:hAnsi="Trebuchet MS"/>
          <w:vertAlign w:val="superscript"/>
        </w:rPr>
        <w:footnoteReference w:id="3"/>
      </w:r>
      <w:r w:rsidRPr="0063656F">
        <w:rPr>
          <w:rFonts w:ascii="Trebuchet MS" w:hAnsi="Trebuchet MS"/>
        </w:rPr>
        <w:fldChar w:fldCharType="begin"/>
      </w:r>
      <w:r w:rsidRPr="0063656F">
        <w:rPr>
          <w:rFonts w:ascii="Trebuchet MS" w:hAnsi="Trebuchet MS"/>
          <w:lang w:val="en-US"/>
        </w:rPr>
        <w:instrText xml:space="preserve"> HYPERLINK "http://www.cgvs.be/nl/cijfers" </w:instrText>
      </w:r>
      <w:r w:rsidRPr="0063656F">
        <w:rPr>
          <w:rFonts w:ascii="Trebuchet MS" w:hAnsi="Trebuchet MS"/>
        </w:rPr>
        <w:fldChar w:fldCharType="separate"/>
      </w:r>
    </w:p>
    <w:p w:rsidR="006B2D54" w:rsidRPr="0063656F" w:rsidRDefault="0063656F" w:rsidP="0063656F">
      <w:pPr>
        <w:jc w:val="both"/>
        <w:rPr>
          <w:rFonts w:ascii="Trebuchet MS" w:hAnsi="Trebuchet MS"/>
          <w:lang w:val="en-US"/>
        </w:rPr>
      </w:pPr>
      <w:r w:rsidRPr="0063656F">
        <w:rPr>
          <w:rFonts w:ascii="Trebuchet MS" w:hAnsi="Trebuchet MS"/>
        </w:rPr>
        <w:fldChar w:fldCharType="end"/>
      </w:r>
      <w:r w:rsidRPr="0063656F">
        <w:rPr>
          <w:rFonts w:ascii="Trebuchet MS" w:hAnsi="Trebuchet MS"/>
          <w:lang w:val="en-US"/>
        </w:rPr>
        <w:t xml:space="preserve">These young refugees are extremely vulnerable. They bare traumas, have difficult access to trustworthy information and often live </w:t>
      </w:r>
      <w:r w:rsidRPr="0063656F">
        <w:rPr>
          <w:rFonts w:ascii="Trebuchet MS" w:hAnsi="Trebuchet MS"/>
          <w:lang w:val="en-US"/>
        </w:rPr>
        <w:t xml:space="preserve">in great uncertainty about their future and about their family. They often lack the needed security and safety. Even when they enter school they face difficulties to accustom because of the big cultural differences. </w:t>
      </w:r>
    </w:p>
    <w:p w:rsidR="006B2D54" w:rsidRPr="0063656F" w:rsidRDefault="006B2D54" w:rsidP="0063656F">
      <w:pPr>
        <w:jc w:val="both"/>
        <w:rPr>
          <w:rFonts w:ascii="Trebuchet MS" w:hAnsi="Trebuchet MS"/>
          <w:lang w:val="en-US"/>
        </w:rPr>
      </w:pPr>
    </w:p>
    <w:p w:rsidR="006B2D54" w:rsidRPr="0063656F" w:rsidRDefault="0063656F" w:rsidP="0063656F">
      <w:pPr>
        <w:jc w:val="both"/>
        <w:rPr>
          <w:rFonts w:ascii="Trebuchet MS" w:hAnsi="Trebuchet MS"/>
          <w:b/>
          <w:lang w:val="en-US"/>
        </w:rPr>
      </w:pPr>
      <w:r w:rsidRPr="0063656F">
        <w:rPr>
          <w:rFonts w:ascii="Trebuchet MS" w:hAnsi="Trebuchet MS"/>
          <w:b/>
          <w:lang w:val="en-US"/>
        </w:rPr>
        <w:t xml:space="preserve">3° Inclusive education </w:t>
      </w:r>
    </w:p>
    <w:p w:rsidR="006B2D54" w:rsidRPr="0063656F" w:rsidRDefault="0063656F" w:rsidP="0063656F">
      <w:pPr>
        <w:jc w:val="both"/>
        <w:rPr>
          <w:rFonts w:ascii="Trebuchet MS" w:hAnsi="Trebuchet MS"/>
          <w:lang w:val="en-US"/>
        </w:rPr>
      </w:pPr>
      <w:r w:rsidRPr="0063656F">
        <w:rPr>
          <w:rFonts w:ascii="Trebuchet MS" w:hAnsi="Trebuchet MS"/>
          <w:lang w:val="en-US"/>
        </w:rPr>
        <w:t>While</w:t>
      </w:r>
      <w:r w:rsidRPr="0063656F">
        <w:rPr>
          <w:rFonts w:ascii="Trebuchet MS" w:hAnsi="Trebuchet MS"/>
          <w:lang w:val="en-US"/>
        </w:rPr>
        <w:t xml:space="preserve"> the level and the quality in education in Belgium is good, international figures demonstrate that our education system is not inclusive enough.</w:t>
      </w:r>
      <w:r w:rsidRPr="0063656F">
        <w:rPr>
          <w:rFonts w:ascii="Trebuchet MS" w:hAnsi="Trebuchet MS"/>
          <w:vertAlign w:val="superscript"/>
        </w:rPr>
        <w:footnoteReference w:id="4"/>
      </w:r>
      <w:r w:rsidRPr="0063656F">
        <w:rPr>
          <w:rFonts w:ascii="Trebuchet MS" w:hAnsi="Trebuchet MS"/>
          <w:lang w:val="en-US"/>
        </w:rPr>
        <w:t xml:space="preserve"> Education outcomes are still associated with the social status of parents and there is a big gap between the p</w:t>
      </w:r>
      <w:r w:rsidRPr="0063656F">
        <w:rPr>
          <w:rFonts w:ascii="Trebuchet MS" w:hAnsi="Trebuchet MS"/>
          <w:lang w:val="en-US"/>
        </w:rPr>
        <w:t>erformance of advantaged and disadvantaged students. Migrant students also perform  poorly compared to their native peers.</w:t>
      </w:r>
    </w:p>
    <w:p w:rsidR="006B2D54" w:rsidRPr="0063656F" w:rsidRDefault="006B2D54" w:rsidP="0063656F">
      <w:pPr>
        <w:jc w:val="both"/>
        <w:rPr>
          <w:rFonts w:ascii="Trebuchet MS" w:hAnsi="Trebuchet MS"/>
          <w:b/>
          <w:lang w:val="en-US"/>
        </w:rPr>
      </w:pPr>
    </w:p>
    <w:p w:rsidR="006B2D54" w:rsidRPr="0063656F" w:rsidRDefault="0063656F" w:rsidP="0063656F">
      <w:pPr>
        <w:jc w:val="both"/>
        <w:rPr>
          <w:rFonts w:ascii="Trebuchet MS" w:hAnsi="Trebuchet MS"/>
          <w:lang w:val="en-US"/>
        </w:rPr>
      </w:pPr>
      <w:r w:rsidRPr="0063656F">
        <w:rPr>
          <w:rFonts w:ascii="Trebuchet MS" w:hAnsi="Trebuchet MS"/>
          <w:b/>
          <w:lang w:val="en-US"/>
        </w:rPr>
        <w:t xml:space="preserve">4° Depression and wellbeing </w:t>
      </w:r>
    </w:p>
    <w:p w:rsidR="006B2D54" w:rsidRPr="0063656F" w:rsidRDefault="0063656F" w:rsidP="0063656F">
      <w:pPr>
        <w:jc w:val="both"/>
        <w:rPr>
          <w:rFonts w:ascii="Trebuchet MS" w:hAnsi="Trebuchet MS"/>
          <w:i/>
          <w:lang w:val="en-US"/>
        </w:rPr>
      </w:pPr>
      <w:r w:rsidRPr="0063656F">
        <w:rPr>
          <w:rFonts w:ascii="Trebuchet MS" w:hAnsi="Trebuchet MS"/>
          <w:lang w:val="en-US"/>
        </w:rPr>
        <w:t xml:space="preserve">Belgium in general has a relatively high depression rate. The figures concerning suicide are decreasing, but remain high, this is the same for young people. According to a survey we launched with 1200 respondents, one in three young people reports to have </w:t>
      </w:r>
      <w:r w:rsidRPr="0063656F">
        <w:rPr>
          <w:rFonts w:ascii="Trebuchet MS" w:hAnsi="Trebuchet MS"/>
          <w:lang w:val="en-US"/>
        </w:rPr>
        <w:t xml:space="preserve">psychological problems. Young people identify this as a major challenge for policymakers. Societal pressure and school-related anxiety are reported reasons for this </w:t>
      </w:r>
      <w:proofErr w:type="spellStart"/>
      <w:r w:rsidRPr="0063656F">
        <w:rPr>
          <w:rFonts w:ascii="Trebuchet MS" w:hAnsi="Trebuchet MS"/>
          <w:lang w:val="en-US"/>
        </w:rPr>
        <w:t>unwellbeing</w:t>
      </w:r>
      <w:proofErr w:type="spellEnd"/>
      <w:r w:rsidRPr="0063656F">
        <w:rPr>
          <w:rFonts w:ascii="Trebuchet MS" w:hAnsi="Trebuchet MS"/>
          <w:lang w:val="en-US"/>
        </w:rPr>
        <w:t xml:space="preserve">. The taboo on this problem is still very heavy and the mental health care does </w:t>
      </w:r>
      <w:r w:rsidRPr="0063656F">
        <w:rPr>
          <w:rFonts w:ascii="Trebuchet MS" w:hAnsi="Trebuchet MS"/>
          <w:lang w:val="en-US"/>
        </w:rPr>
        <w:t>not always fits young people's needs.</w:t>
      </w:r>
      <w:r w:rsidRPr="0063656F">
        <w:rPr>
          <w:rFonts w:ascii="Trebuchet MS" w:hAnsi="Trebuchet MS"/>
          <w:vertAlign w:val="superscript"/>
        </w:rPr>
        <w:footnoteReference w:id="5"/>
      </w:r>
      <w:r w:rsidRPr="0063656F">
        <w:rPr>
          <w:rFonts w:ascii="Trebuchet MS" w:hAnsi="Trebuchet MS"/>
          <w:lang w:val="en-US"/>
        </w:rPr>
        <w:t xml:space="preserve"> </w:t>
      </w:r>
    </w:p>
    <w:p w:rsidR="006B2D54" w:rsidRPr="0063656F" w:rsidRDefault="006B2D54" w:rsidP="0063656F">
      <w:pPr>
        <w:jc w:val="both"/>
        <w:rPr>
          <w:rFonts w:ascii="Trebuchet MS" w:hAnsi="Trebuchet MS"/>
          <w:i/>
          <w:lang w:val="en-US"/>
        </w:rPr>
      </w:pPr>
    </w:p>
    <w:p w:rsidR="006B2D54" w:rsidRPr="0063656F" w:rsidRDefault="0063656F" w:rsidP="0063656F">
      <w:pPr>
        <w:jc w:val="both"/>
        <w:rPr>
          <w:rFonts w:ascii="Trebuchet MS" w:hAnsi="Trebuchet MS"/>
          <w:b/>
          <w:lang w:val="en-US"/>
        </w:rPr>
      </w:pPr>
      <w:r w:rsidRPr="0063656F">
        <w:rPr>
          <w:rFonts w:ascii="Trebuchet MS" w:hAnsi="Trebuchet MS"/>
          <w:b/>
          <w:lang w:val="en-US"/>
        </w:rPr>
        <w:t>5° Online privacy for young people</w:t>
      </w:r>
    </w:p>
    <w:p w:rsidR="006B2D54" w:rsidRPr="0063656F" w:rsidRDefault="0063656F" w:rsidP="0063656F">
      <w:pPr>
        <w:spacing w:line="240" w:lineRule="auto"/>
        <w:jc w:val="both"/>
        <w:rPr>
          <w:rFonts w:ascii="Trebuchet MS" w:hAnsi="Trebuchet MS"/>
          <w:lang w:val="en-US"/>
        </w:rPr>
      </w:pPr>
      <w:r w:rsidRPr="0063656F">
        <w:rPr>
          <w:rFonts w:ascii="Trebuchet MS" w:hAnsi="Trebuchet MS"/>
          <w:lang w:val="en-US"/>
        </w:rPr>
        <w:t>For youth in particular the internet is a highly accessible, used and influential tool. They learn, play, give opinions and make contacts via the internet. Indeed, usage of the int</w:t>
      </w:r>
      <w:r w:rsidRPr="0063656F">
        <w:rPr>
          <w:rFonts w:ascii="Trebuchet MS" w:hAnsi="Trebuchet MS"/>
          <w:lang w:val="en-US"/>
        </w:rPr>
        <w:t>ernet provides youth with a plethora of advantages. Unfortunately however, many young individuals in Belgium are  unaware of their rights, rendering them particularly vulnerable concerning their online privacy and safety.. Within this context young individ</w:t>
      </w:r>
      <w:r w:rsidRPr="0063656F">
        <w:rPr>
          <w:rFonts w:ascii="Trebuchet MS" w:hAnsi="Trebuchet MS"/>
          <w:lang w:val="en-US"/>
        </w:rPr>
        <w:t>uals have become victims of violence, have access to unwanted information, are regarded as a consumer and have issues concerning the protection of their own data.</w:t>
      </w:r>
      <w:r w:rsidRPr="0063656F">
        <w:rPr>
          <w:rFonts w:ascii="Trebuchet MS" w:hAnsi="Trebuchet MS"/>
          <w:vertAlign w:val="superscript"/>
        </w:rPr>
        <w:footnoteReference w:id="6"/>
      </w:r>
      <w:r w:rsidRPr="0063656F">
        <w:rPr>
          <w:rFonts w:ascii="Trebuchet MS" w:hAnsi="Trebuchet MS"/>
          <w:lang w:val="en-US"/>
        </w:rPr>
        <w:t xml:space="preserve"> the Council of Europe developed a campaign for human rights online , to reduce the levels of</w:t>
      </w:r>
      <w:r w:rsidRPr="0063656F">
        <w:rPr>
          <w:rFonts w:ascii="Trebuchet MS" w:hAnsi="Trebuchet MS"/>
          <w:lang w:val="en-US"/>
        </w:rPr>
        <w:t xml:space="preserve"> acceptance of hate speech and develop online youth participation and citizenship, including in Internet governance processes. The Flemish government is one of the partners in this campaign.</w:t>
      </w:r>
      <w:r w:rsidRPr="0063656F">
        <w:rPr>
          <w:rFonts w:ascii="Trebuchet MS" w:hAnsi="Trebuchet MS"/>
          <w:vertAlign w:val="superscript"/>
        </w:rPr>
        <w:footnoteReference w:id="7"/>
      </w:r>
    </w:p>
    <w:p w:rsidR="006B2D54" w:rsidRPr="0063656F" w:rsidRDefault="006B2D54" w:rsidP="0063656F">
      <w:pPr>
        <w:jc w:val="both"/>
        <w:rPr>
          <w:rFonts w:ascii="Trebuchet MS" w:hAnsi="Trebuchet MS"/>
          <w:lang w:val="en-US"/>
        </w:rPr>
      </w:pPr>
    </w:p>
    <w:p w:rsidR="0063656F" w:rsidRDefault="0063656F" w:rsidP="0063656F">
      <w:pPr>
        <w:spacing w:line="240" w:lineRule="auto"/>
        <w:jc w:val="both"/>
        <w:rPr>
          <w:rFonts w:ascii="Trebuchet MS" w:hAnsi="Trebuchet MS"/>
          <w:b/>
          <w:lang w:val="en-US"/>
        </w:rPr>
      </w:pPr>
      <w:r w:rsidRPr="0063656F">
        <w:rPr>
          <w:rFonts w:ascii="Trebuchet MS" w:hAnsi="Trebuchet MS"/>
          <w:b/>
          <w:lang w:val="en-US"/>
        </w:rPr>
        <w:lastRenderedPageBreak/>
        <w:t>6° Young people and the environment</w:t>
      </w:r>
    </w:p>
    <w:p w:rsidR="006B2D54" w:rsidRPr="0063656F" w:rsidRDefault="0063656F" w:rsidP="0063656F">
      <w:pPr>
        <w:spacing w:line="240" w:lineRule="auto"/>
        <w:jc w:val="both"/>
        <w:rPr>
          <w:rFonts w:ascii="Trebuchet MS" w:hAnsi="Trebuchet MS"/>
          <w:lang w:val="en-US"/>
        </w:rPr>
      </w:pPr>
      <w:r w:rsidRPr="0063656F">
        <w:rPr>
          <w:rFonts w:ascii="Trebuchet MS" w:hAnsi="Trebuchet MS"/>
          <w:b/>
          <w:lang w:val="en-US"/>
        </w:rPr>
        <w:t xml:space="preserve"> </w:t>
      </w:r>
      <w:r w:rsidRPr="0063656F">
        <w:rPr>
          <w:rFonts w:ascii="Trebuchet MS" w:hAnsi="Trebuchet MS"/>
          <w:lang w:val="en-US"/>
        </w:rPr>
        <w:t>The open space is</w:t>
      </w:r>
      <w:r w:rsidRPr="0063656F">
        <w:rPr>
          <w:rFonts w:ascii="Trebuchet MS" w:hAnsi="Trebuchet MS"/>
          <w:lang w:val="en-US"/>
        </w:rPr>
        <w:t xml:space="preserve"> disappearing in Flanders (daily 6 hectares). The loss of forests, grassland and </w:t>
      </w:r>
      <w:r w:rsidRPr="0063656F">
        <w:rPr>
          <w:rFonts w:ascii="Trebuchet MS" w:hAnsi="Trebuchet MS"/>
          <w:highlight w:val="white"/>
          <w:lang w:val="en-US"/>
        </w:rPr>
        <w:t>meadow</w:t>
      </w:r>
      <w:r w:rsidRPr="0063656F">
        <w:rPr>
          <w:rFonts w:ascii="Trebuchet MS" w:hAnsi="Trebuchet MS"/>
          <w:lang w:val="en-US"/>
        </w:rPr>
        <w:t xml:space="preserve"> has negative consequences for the health and </w:t>
      </w:r>
      <w:proofErr w:type="spellStart"/>
      <w:r w:rsidRPr="0063656F">
        <w:rPr>
          <w:rFonts w:ascii="Trebuchet MS" w:hAnsi="Trebuchet MS"/>
          <w:lang w:val="en-US"/>
        </w:rPr>
        <w:t>playspace</w:t>
      </w:r>
      <w:proofErr w:type="spellEnd"/>
      <w:r w:rsidRPr="0063656F">
        <w:rPr>
          <w:rFonts w:ascii="Trebuchet MS" w:hAnsi="Trebuchet MS"/>
          <w:lang w:val="en-US"/>
        </w:rPr>
        <w:t xml:space="preserve"> for children. In addition, the use of public space is too regulated. Young people are often seen as troublemakers</w:t>
      </w:r>
      <w:r w:rsidRPr="0063656F">
        <w:rPr>
          <w:rFonts w:ascii="Trebuchet MS" w:hAnsi="Trebuchet MS"/>
          <w:lang w:val="en-US"/>
        </w:rPr>
        <w:t xml:space="preserve"> and they risk getting administrative sanctions.</w:t>
      </w:r>
      <w:r w:rsidRPr="0063656F">
        <w:rPr>
          <w:rFonts w:ascii="Trebuchet MS" w:hAnsi="Trebuchet MS"/>
          <w:vertAlign w:val="superscript"/>
        </w:rPr>
        <w:footnoteReference w:id="8"/>
      </w:r>
      <w:r w:rsidRPr="0063656F">
        <w:rPr>
          <w:rFonts w:ascii="Trebuchet MS" w:hAnsi="Trebuchet MS"/>
          <w:lang w:val="en-US"/>
        </w:rPr>
        <w:t xml:space="preserve"> </w:t>
      </w:r>
    </w:p>
    <w:p w:rsidR="006B2D54" w:rsidRPr="0063656F" w:rsidRDefault="0063656F" w:rsidP="0063656F">
      <w:pPr>
        <w:spacing w:line="240" w:lineRule="auto"/>
        <w:jc w:val="both"/>
        <w:rPr>
          <w:rFonts w:ascii="Trebuchet MS" w:hAnsi="Trebuchet MS"/>
          <w:lang w:val="en-US"/>
        </w:rPr>
      </w:pPr>
      <w:r w:rsidRPr="0063656F">
        <w:rPr>
          <w:rFonts w:ascii="Trebuchet MS" w:hAnsi="Trebuchet MS"/>
          <w:lang w:val="en-US"/>
        </w:rPr>
        <w:t>Moreover the air quality in the Flemish cities stays bad and the recommended values for fine particles of the world health organization are not met. This has a pernicious effect on children as they are ext</w:t>
      </w:r>
      <w:r w:rsidRPr="0063656F">
        <w:rPr>
          <w:rFonts w:ascii="Trebuchet MS" w:hAnsi="Trebuchet MS"/>
          <w:lang w:val="en-US"/>
        </w:rPr>
        <w:t>ra vulnerable to air pollution.</w:t>
      </w:r>
      <w:r w:rsidRPr="0063656F">
        <w:rPr>
          <w:rFonts w:ascii="Trebuchet MS" w:hAnsi="Trebuchet MS"/>
          <w:vertAlign w:val="superscript"/>
        </w:rPr>
        <w:footnoteReference w:id="9"/>
      </w:r>
      <w:r w:rsidRPr="0063656F">
        <w:rPr>
          <w:rFonts w:ascii="Trebuchet MS" w:hAnsi="Trebuchet MS"/>
          <w:lang w:val="en-US"/>
        </w:rPr>
        <w:t xml:space="preserve"> </w:t>
      </w:r>
    </w:p>
    <w:p w:rsidR="006B2D54" w:rsidRPr="0063656F" w:rsidRDefault="0063656F" w:rsidP="0063656F">
      <w:pPr>
        <w:spacing w:line="240" w:lineRule="auto"/>
        <w:jc w:val="both"/>
        <w:rPr>
          <w:rFonts w:ascii="Trebuchet MS" w:hAnsi="Trebuchet MS"/>
          <w:lang w:val="en-US"/>
        </w:rPr>
      </w:pPr>
      <w:r w:rsidRPr="0063656F">
        <w:rPr>
          <w:rFonts w:ascii="Trebuchet MS" w:hAnsi="Trebuchet MS"/>
          <w:lang w:val="en-US"/>
        </w:rPr>
        <w:t>Furthermore climate change is one of the major challenges of our time and is of extreme importance to our generation. Until now the government has not taken all the necessary steps to reach the goals set in the Paris agree</w:t>
      </w:r>
      <w:r w:rsidRPr="0063656F">
        <w:rPr>
          <w:rFonts w:ascii="Trebuchet MS" w:hAnsi="Trebuchet MS"/>
          <w:lang w:val="en-US"/>
        </w:rPr>
        <w:t xml:space="preserve">ment on time. </w:t>
      </w:r>
    </w:p>
    <w:p w:rsidR="006B2D54" w:rsidRPr="0063656F" w:rsidRDefault="006B2D54" w:rsidP="0063656F">
      <w:pPr>
        <w:spacing w:line="240" w:lineRule="auto"/>
        <w:jc w:val="both"/>
        <w:rPr>
          <w:rFonts w:ascii="Trebuchet MS" w:hAnsi="Trebuchet MS"/>
          <w:lang w:val="en-US"/>
        </w:rPr>
      </w:pPr>
    </w:p>
    <w:p w:rsidR="006B2D54" w:rsidRPr="0063656F" w:rsidRDefault="006B2D54" w:rsidP="0063656F">
      <w:pPr>
        <w:jc w:val="both"/>
        <w:rPr>
          <w:rFonts w:ascii="Trebuchet MS" w:hAnsi="Trebuchet MS"/>
          <w:lang w:val="en-US"/>
        </w:rPr>
      </w:pPr>
    </w:p>
    <w:p w:rsidR="006B2D54" w:rsidRPr="0063656F" w:rsidRDefault="0063656F" w:rsidP="0063656F">
      <w:pPr>
        <w:jc w:val="both"/>
        <w:rPr>
          <w:rFonts w:ascii="Trebuchet MS" w:hAnsi="Trebuchet MS"/>
          <w:b/>
          <w:lang w:val="en-US"/>
        </w:rPr>
      </w:pPr>
      <w:r w:rsidRPr="0063656F">
        <w:rPr>
          <w:rFonts w:ascii="Trebuchet MS" w:hAnsi="Trebuchet MS"/>
          <w:b/>
          <w:lang w:val="en-US"/>
        </w:rPr>
        <w:t>7</w:t>
      </w:r>
      <w:r w:rsidRPr="0063656F">
        <w:rPr>
          <w:rFonts w:ascii="Trebuchet MS" w:hAnsi="Trebuchet MS"/>
          <w:b/>
          <w:lang w:val="en-US"/>
        </w:rPr>
        <w:t xml:space="preserve">° Discrimination </w:t>
      </w:r>
      <w:r>
        <w:rPr>
          <w:rFonts w:ascii="Trebuchet MS" w:hAnsi="Trebuchet MS"/>
          <w:b/>
          <w:lang w:val="en-US"/>
        </w:rPr>
        <w:t xml:space="preserve">of youth on the housing market </w:t>
      </w:r>
    </w:p>
    <w:p w:rsidR="006B2D54" w:rsidRPr="0063656F" w:rsidRDefault="0063656F" w:rsidP="0063656F">
      <w:pPr>
        <w:jc w:val="both"/>
        <w:rPr>
          <w:rFonts w:ascii="Trebuchet MS" w:hAnsi="Trebuchet MS"/>
          <w:lang w:val="en-US"/>
        </w:rPr>
      </w:pPr>
      <w:r w:rsidRPr="0063656F">
        <w:rPr>
          <w:rFonts w:ascii="Trebuchet MS" w:hAnsi="Trebuchet MS"/>
          <w:lang w:val="en-US"/>
        </w:rPr>
        <w:t>Young people encounter difficulties finding housing.</w:t>
      </w:r>
    </w:p>
    <w:p w:rsidR="006B2D54" w:rsidRPr="0063656F" w:rsidRDefault="0063656F" w:rsidP="0063656F">
      <w:pPr>
        <w:jc w:val="both"/>
        <w:rPr>
          <w:rFonts w:ascii="Trebuchet MS" w:hAnsi="Trebuchet MS"/>
          <w:lang w:val="en-US"/>
        </w:rPr>
      </w:pPr>
      <w:r w:rsidRPr="0063656F">
        <w:rPr>
          <w:rFonts w:ascii="Trebuchet MS" w:hAnsi="Trebuchet MS"/>
          <w:lang w:val="en-US"/>
        </w:rPr>
        <w:t xml:space="preserve">Since last year regulation changed in Flanders concerning rental agreements. To rent a house it is mandatory now to pay a bail of three </w:t>
      </w:r>
      <w:proofErr w:type="spellStart"/>
      <w:r w:rsidRPr="0063656F">
        <w:rPr>
          <w:rFonts w:ascii="Trebuchet MS" w:hAnsi="Trebuchet MS"/>
          <w:lang w:val="en-US"/>
        </w:rPr>
        <w:t>months</w:t>
      </w:r>
      <w:proofErr w:type="spellEnd"/>
      <w:r w:rsidRPr="0063656F">
        <w:rPr>
          <w:rFonts w:ascii="Trebuchet MS" w:hAnsi="Trebuchet MS"/>
          <w:lang w:val="en-US"/>
        </w:rPr>
        <w:t xml:space="preserve"> rent, instead of two months as it used to be. For young people this is a problem, since they might not have earne</w:t>
      </w:r>
      <w:r w:rsidRPr="0063656F">
        <w:rPr>
          <w:rFonts w:ascii="Trebuchet MS" w:hAnsi="Trebuchet MS"/>
          <w:lang w:val="en-US"/>
        </w:rPr>
        <w:t xml:space="preserve">d enough or have enough savings to pay this amount of money. In addition, lots of young people are facing discrimination on the rental market based on </w:t>
      </w:r>
      <w:proofErr w:type="spellStart"/>
      <w:r w:rsidRPr="0063656F">
        <w:rPr>
          <w:rFonts w:ascii="Trebuchet MS" w:hAnsi="Trebuchet MS"/>
          <w:lang w:val="en-US"/>
        </w:rPr>
        <w:t>a</w:t>
      </w:r>
      <w:proofErr w:type="spellEnd"/>
      <w:r w:rsidRPr="0063656F">
        <w:rPr>
          <w:rFonts w:ascii="Trebuchet MS" w:hAnsi="Trebuchet MS"/>
          <w:lang w:val="en-US"/>
        </w:rPr>
        <w:t xml:space="preserve"> ethnic or cultural ground.</w:t>
      </w:r>
    </w:p>
    <w:p w:rsidR="006B2D54" w:rsidRPr="0063656F" w:rsidRDefault="0063656F" w:rsidP="0063656F">
      <w:pPr>
        <w:jc w:val="both"/>
        <w:rPr>
          <w:rFonts w:ascii="Trebuchet MS" w:hAnsi="Trebuchet MS"/>
          <w:lang w:val="en-US"/>
        </w:rPr>
      </w:pPr>
      <w:r w:rsidRPr="0063656F">
        <w:rPr>
          <w:rFonts w:ascii="Trebuchet MS" w:hAnsi="Trebuchet MS"/>
          <w:lang w:val="en-US"/>
        </w:rPr>
        <w:t>On the housing market we see a comparable problem. Less and less young peopl</w:t>
      </w:r>
      <w:r w:rsidRPr="0063656F">
        <w:rPr>
          <w:rFonts w:ascii="Trebuchet MS" w:hAnsi="Trebuchet MS"/>
          <w:lang w:val="en-US"/>
        </w:rPr>
        <w:t>e are able to buy their own house because banks are not willing to loan the hole amount of money, since the national bank changed guidelines on this topic. From 2007 to 2016, the average age for buying a house increased from 31.1 years old to 36.9 years ol</w:t>
      </w:r>
      <w:r w:rsidRPr="0063656F">
        <w:rPr>
          <w:rFonts w:ascii="Trebuchet MS" w:hAnsi="Trebuchet MS"/>
          <w:lang w:val="en-US"/>
        </w:rPr>
        <w:t>d.</w:t>
      </w:r>
      <w:r w:rsidRPr="0063656F">
        <w:rPr>
          <w:rFonts w:ascii="Trebuchet MS" w:hAnsi="Trebuchet MS"/>
          <w:vertAlign w:val="superscript"/>
        </w:rPr>
        <w:footnoteReference w:id="10"/>
      </w:r>
      <w:r w:rsidRPr="0063656F">
        <w:rPr>
          <w:rFonts w:ascii="Trebuchet MS" w:hAnsi="Trebuchet MS"/>
          <w:lang w:val="en-US"/>
        </w:rPr>
        <w:t xml:space="preserve"> </w:t>
      </w:r>
    </w:p>
    <w:p w:rsidR="006B2D54" w:rsidRPr="0063656F" w:rsidRDefault="006B2D54" w:rsidP="0063656F">
      <w:pPr>
        <w:jc w:val="both"/>
        <w:rPr>
          <w:rFonts w:ascii="Trebuchet MS" w:hAnsi="Trebuchet MS"/>
          <w:lang w:val="en-US"/>
        </w:rPr>
      </w:pPr>
    </w:p>
    <w:p w:rsidR="006B2D54" w:rsidRPr="0063656F" w:rsidRDefault="006B2D54" w:rsidP="0063656F">
      <w:pPr>
        <w:jc w:val="both"/>
        <w:rPr>
          <w:rFonts w:ascii="Trebuchet MS" w:hAnsi="Trebuchet MS"/>
          <w:lang w:val="en-US"/>
        </w:rPr>
      </w:pPr>
    </w:p>
    <w:p w:rsidR="006B2D54" w:rsidRPr="0063656F" w:rsidRDefault="0063656F" w:rsidP="0063656F">
      <w:pPr>
        <w:jc w:val="both"/>
        <w:rPr>
          <w:rFonts w:ascii="Trebuchet MS" w:hAnsi="Trebuchet MS"/>
          <w:b/>
          <w:highlight w:val="yellow"/>
          <w:lang w:val="en-US"/>
        </w:rPr>
      </w:pPr>
      <w:r w:rsidRPr="0063656F">
        <w:rPr>
          <w:rFonts w:ascii="Trebuchet MS" w:hAnsi="Trebuchet MS"/>
          <w:b/>
          <w:lang w:val="en-US"/>
        </w:rPr>
        <w:t>8</w:t>
      </w:r>
      <w:r w:rsidRPr="0063656F">
        <w:rPr>
          <w:rFonts w:ascii="Trebuchet MS" w:hAnsi="Trebuchet MS"/>
          <w:b/>
          <w:lang w:val="en-US"/>
        </w:rPr>
        <w:t xml:space="preserve">° Youth unemployment and NEET </w:t>
      </w:r>
    </w:p>
    <w:p w:rsidR="006B2D54" w:rsidRPr="0063656F" w:rsidRDefault="0063656F" w:rsidP="0063656F">
      <w:pPr>
        <w:jc w:val="both"/>
        <w:rPr>
          <w:rFonts w:ascii="Trebuchet MS" w:hAnsi="Trebuchet MS"/>
          <w:lang w:val="en-US"/>
        </w:rPr>
      </w:pPr>
      <w:r w:rsidRPr="0063656F">
        <w:rPr>
          <w:rFonts w:ascii="Trebuchet MS" w:hAnsi="Trebuchet MS"/>
          <w:lang w:val="en-US"/>
        </w:rPr>
        <w:t>According to the public employment service of Flanders, the youth unemployment rate in 2016 was 16,6%. However, in Brussels the youth unemployment rate was of 24,9%.</w:t>
      </w:r>
    </w:p>
    <w:p w:rsidR="006B2D54" w:rsidRPr="0063656F" w:rsidRDefault="0063656F" w:rsidP="0063656F">
      <w:pPr>
        <w:jc w:val="both"/>
        <w:rPr>
          <w:rFonts w:ascii="Trebuchet MS" w:hAnsi="Trebuchet MS"/>
          <w:lang w:val="en-US"/>
        </w:rPr>
      </w:pPr>
      <w:r w:rsidRPr="0063656F">
        <w:rPr>
          <w:rFonts w:ascii="Trebuchet MS" w:hAnsi="Trebuchet MS"/>
          <w:lang w:val="en-US"/>
        </w:rPr>
        <w:t xml:space="preserve">Many of the early school- leavers  are in </w:t>
      </w:r>
      <w:r w:rsidRPr="0063656F">
        <w:rPr>
          <w:rFonts w:ascii="Trebuchet MS" w:hAnsi="Trebuchet MS"/>
          <w:lang w:val="en-US"/>
        </w:rPr>
        <w:t xml:space="preserve">danger to find themselves disengaged from both education and the </w:t>
      </w:r>
      <w:proofErr w:type="spellStart"/>
      <w:r w:rsidRPr="0063656F">
        <w:rPr>
          <w:rFonts w:ascii="Trebuchet MS" w:hAnsi="Trebuchet MS"/>
          <w:lang w:val="en-US"/>
        </w:rPr>
        <w:t>labour</w:t>
      </w:r>
      <w:proofErr w:type="spellEnd"/>
      <w:r w:rsidRPr="0063656F">
        <w:rPr>
          <w:rFonts w:ascii="Trebuchet MS" w:hAnsi="Trebuchet MS"/>
          <w:lang w:val="en-US"/>
        </w:rPr>
        <w:t xml:space="preserve"> market and become NEET. Parameters having a severe effect on employment of young people are education level, socio economic background, ethnic cultural background and language skills.</w:t>
      </w:r>
      <w:r w:rsidRPr="0063656F">
        <w:rPr>
          <w:rFonts w:ascii="Trebuchet MS" w:hAnsi="Trebuchet MS"/>
          <w:vertAlign w:val="superscript"/>
        </w:rPr>
        <w:footnoteReference w:id="11"/>
      </w:r>
      <w:r w:rsidRPr="0063656F">
        <w:rPr>
          <w:rFonts w:ascii="Trebuchet MS" w:hAnsi="Trebuchet MS"/>
          <w:lang w:val="en-US"/>
        </w:rPr>
        <w:t xml:space="preserve"> Discrimination based on ethnic our cultural background is an important problem leading to less people with a migrant background on the </w:t>
      </w:r>
      <w:proofErr w:type="spellStart"/>
      <w:r w:rsidRPr="0063656F">
        <w:rPr>
          <w:rFonts w:ascii="Trebuchet MS" w:hAnsi="Trebuchet MS"/>
          <w:lang w:val="en-US"/>
        </w:rPr>
        <w:t>labour</w:t>
      </w:r>
      <w:proofErr w:type="spellEnd"/>
      <w:r w:rsidRPr="0063656F">
        <w:rPr>
          <w:rFonts w:ascii="Trebuchet MS" w:hAnsi="Trebuchet MS"/>
          <w:lang w:val="en-US"/>
        </w:rPr>
        <w:t xml:space="preserve"> market. The federal government recently launched different solutions to tackle this problem, as for example the l</w:t>
      </w:r>
      <w:r w:rsidRPr="0063656F">
        <w:rPr>
          <w:rFonts w:ascii="Trebuchet MS" w:hAnsi="Trebuchet MS"/>
          <w:lang w:val="en-US"/>
        </w:rPr>
        <w:t>egal ground to do mystery calling.</w:t>
      </w:r>
    </w:p>
    <w:p w:rsidR="006B2D54" w:rsidRPr="0063656F" w:rsidRDefault="006B2D54" w:rsidP="0063656F">
      <w:pPr>
        <w:jc w:val="both"/>
        <w:rPr>
          <w:rFonts w:ascii="Trebuchet MS" w:hAnsi="Trebuchet MS"/>
          <w:b/>
          <w:highlight w:val="yellow"/>
          <w:lang w:val="en-US"/>
        </w:rPr>
      </w:pPr>
    </w:p>
    <w:p w:rsidR="006B2D54" w:rsidRPr="0063656F" w:rsidRDefault="006B2D54" w:rsidP="0063656F">
      <w:pPr>
        <w:jc w:val="both"/>
        <w:rPr>
          <w:rFonts w:ascii="Trebuchet MS" w:hAnsi="Trebuchet MS"/>
          <w:lang w:val="en-US"/>
        </w:rPr>
      </w:pPr>
    </w:p>
    <w:p w:rsidR="006B2D54" w:rsidRPr="0063656F" w:rsidRDefault="0063656F" w:rsidP="0063656F">
      <w:pPr>
        <w:jc w:val="both"/>
        <w:rPr>
          <w:rFonts w:ascii="Trebuchet MS" w:hAnsi="Trebuchet MS"/>
          <w:b/>
          <w:highlight w:val="white"/>
          <w:lang w:val="en-US"/>
        </w:rPr>
      </w:pPr>
      <w:r w:rsidRPr="0063656F">
        <w:rPr>
          <w:rFonts w:ascii="Trebuchet MS" w:hAnsi="Trebuchet MS"/>
          <w:b/>
          <w:highlight w:val="white"/>
          <w:lang w:val="en-US"/>
        </w:rPr>
        <w:lastRenderedPageBreak/>
        <w:t>The Flemish Youth Council: Youth-led structure involved in developing implementing monitoring and evaluating policies and programs on youth.</w:t>
      </w:r>
    </w:p>
    <w:p w:rsidR="006B2D54" w:rsidRPr="0063656F" w:rsidRDefault="006B2D54" w:rsidP="0063656F">
      <w:pPr>
        <w:jc w:val="both"/>
        <w:rPr>
          <w:rFonts w:ascii="Trebuchet MS" w:hAnsi="Trebuchet MS"/>
          <w:b/>
          <w:highlight w:val="white"/>
          <w:lang w:val="en-US"/>
        </w:rPr>
      </w:pPr>
    </w:p>
    <w:p w:rsidR="006B2D54" w:rsidRPr="0063656F" w:rsidRDefault="0063656F" w:rsidP="0063656F">
      <w:pPr>
        <w:jc w:val="both"/>
        <w:rPr>
          <w:rFonts w:ascii="Trebuchet MS" w:hAnsi="Trebuchet MS"/>
          <w:b/>
          <w:lang w:val="en-US"/>
        </w:rPr>
      </w:pPr>
      <w:r w:rsidRPr="0063656F">
        <w:rPr>
          <w:rFonts w:ascii="Trebuchet MS" w:hAnsi="Trebuchet MS"/>
          <w:highlight w:val="white"/>
          <w:lang w:val="en-US"/>
        </w:rPr>
        <w:t>The Flemish Youth Council is the official advisory body of the Flemish Government on all matters concerning children and young people. This means that all Flemish Ministers have to ask the Flemish Youth Council for advice whenever they want to make a decis</w:t>
      </w:r>
      <w:r w:rsidRPr="0063656F">
        <w:rPr>
          <w:rFonts w:ascii="Trebuchet MS" w:hAnsi="Trebuchet MS"/>
          <w:highlight w:val="white"/>
          <w:lang w:val="en-US"/>
        </w:rPr>
        <w:t>ion that will have consequences for children and young people. It also means that the Flemish Youth Council may give advice of its own accord, if policy makers forget to ask for advice or when we deem it necessary.</w:t>
      </w:r>
    </w:p>
    <w:p w:rsidR="006B2D54" w:rsidRPr="0063656F" w:rsidRDefault="006B2D54" w:rsidP="0063656F">
      <w:pPr>
        <w:jc w:val="both"/>
        <w:rPr>
          <w:rFonts w:ascii="Trebuchet MS" w:hAnsi="Trebuchet MS"/>
          <w:b/>
          <w:lang w:val="en-US"/>
        </w:rPr>
      </w:pPr>
    </w:p>
    <w:p w:rsidR="006B2D54" w:rsidRPr="0063656F" w:rsidRDefault="006B2D54">
      <w:pPr>
        <w:jc w:val="both"/>
        <w:rPr>
          <w:b/>
          <w:lang w:val="en-US"/>
        </w:rPr>
      </w:pPr>
    </w:p>
    <w:p w:rsidR="006B2D54" w:rsidRPr="0063656F" w:rsidRDefault="006B2D54">
      <w:pPr>
        <w:jc w:val="both"/>
        <w:rPr>
          <w:b/>
          <w:lang w:val="en-US"/>
        </w:rPr>
      </w:pPr>
    </w:p>
    <w:p w:rsidR="006B2D54" w:rsidRPr="0063656F" w:rsidRDefault="006B2D54">
      <w:pPr>
        <w:spacing w:line="240" w:lineRule="auto"/>
        <w:jc w:val="both"/>
        <w:rPr>
          <w:b/>
          <w:lang w:val="en-US"/>
        </w:rPr>
      </w:pPr>
    </w:p>
    <w:p w:rsidR="006B2D54" w:rsidRPr="0063656F" w:rsidRDefault="006B2D54">
      <w:pPr>
        <w:jc w:val="both"/>
        <w:rPr>
          <w:lang w:val="en-US"/>
        </w:rPr>
      </w:pPr>
    </w:p>
    <w:p w:rsidR="006B2D54" w:rsidRPr="0063656F" w:rsidRDefault="006B2D54">
      <w:pPr>
        <w:rPr>
          <w:rFonts w:ascii="Calibri" w:eastAsia="Calibri" w:hAnsi="Calibri" w:cs="Calibri"/>
          <w:b/>
          <w:lang w:val="en-US"/>
        </w:rPr>
      </w:pPr>
    </w:p>
    <w:p w:rsidR="006B2D54" w:rsidRPr="0063656F" w:rsidRDefault="006B2D54">
      <w:pPr>
        <w:rPr>
          <w:rFonts w:ascii="Calibri" w:eastAsia="Calibri" w:hAnsi="Calibri" w:cs="Calibri"/>
          <w:b/>
          <w:lang w:val="en-US"/>
        </w:rPr>
      </w:pPr>
    </w:p>
    <w:sectPr w:rsidR="006B2D54" w:rsidRPr="0063656F">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656F">
      <w:pPr>
        <w:spacing w:line="240" w:lineRule="auto"/>
      </w:pPr>
      <w:r>
        <w:separator/>
      </w:r>
    </w:p>
  </w:endnote>
  <w:endnote w:type="continuationSeparator" w:id="0">
    <w:p w:rsidR="00000000" w:rsidRDefault="00636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656F">
      <w:pPr>
        <w:spacing w:line="240" w:lineRule="auto"/>
      </w:pPr>
      <w:r>
        <w:separator/>
      </w:r>
    </w:p>
  </w:footnote>
  <w:footnote w:type="continuationSeparator" w:id="0">
    <w:p w:rsidR="00000000" w:rsidRDefault="0063656F">
      <w:pPr>
        <w:spacing w:line="240" w:lineRule="auto"/>
      </w:pPr>
      <w:r>
        <w:continuationSeparator/>
      </w:r>
    </w:p>
  </w:footnote>
  <w:footnote w:id="1">
    <w:p w:rsidR="006B2D54" w:rsidRPr="0063656F" w:rsidRDefault="0063656F">
      <w:pPr>
        <w:spacing w:line="240" w:lineRule="auto"/>
        <w:rPr>
          <w:rFonts w:ascii="Trebuchet MS" w:hAnsi="Trebuchet MS"/>
          <w:sz w:val="20"/>
          <w:szCs w:val="20"/>
        </w:rPr>
      </w:pPr>
      <w:r w:rsidRPr="0063656F">
        <w:rPr>
          <w:rFonts w:ascii="Trebuchet MS" w:hAnsi="Trebuchet MS"/>
          <w:sz w:val="20"/>
          <w:szCs w:val="20"/>
          <w:vertAlign w:val="superscript"/>
        </w:rPr>
        <w:footnoteRef/>
      </w:r>
      <w:r w:rsidRPr="0063656F">
        <w:rPr>
          <w:rFonts w:ascii="Trebuchet MS" w:hAnsi="Trebuchet MS"/>
          <w:sz w:val="20"/>
          <w:szCs w:val="20"/>
        </w:rPr>
        <w:t xml:space="preserve"> </w:t>
      </w:r>
      <w:hyperlink r:id="rId1" w:history="1">
        <w:r w:rsidRPr="000C3145">
          <w:rPr>
            <w:rStyle w:val="Hyperlink"/>
            <w:rFonts w:ascii="Trebuchet MS" w:hAnsi="Trebuchet MS"/>
            <w:sz w:val="20"/>
            <w:szCs w:val="20"/>
          </w:rPr>
          <w:t>http://www.armoedebestrijding.be/cijfers_aantal_armen.htm</w:t>
        </w:r>
      </w:hyperlink>
      <w:r>
        <w:rPr>
          <w:rFonts w:ascii="Trebuchet MS" w:hAnsi="Trebuchet MS"/>
          <w:sz w:val="20"/>
          <w:szCs w:val="20"/>
        </w:rPr>
        <w:t xml:space="preserve"> </w:t>
      </w:r>
    </w:p>
  </w:footnote>
  <w:footnote w:id="2">
    <w:p w:rsidR="006B2D54" w:rsidRPr="0063656F" w:rsidRDefault="0063656F">
      <w:pPr>
        <w:spacing w:line="240" w:lineRule="auto"/>
        <w:rPr>
          <w:rFonts w:ascii="Trebuchet MS" w:eastAsia="Calibri" w:hAnsi="Trebuchet MS" w:cs="Calibri"/>
          <w:sz w:val="20"/>
          <w:szCs w:val="20"/>
          <w:lang w:val="en-US"/>
        </w:rPr>
      </w:pPr>
      <w:r w:rsidRPr="0063656F">
        <w:rPr>
          <w:rFonts w:ascii="Trebuchet MS" w:hAnsi="Trebuchet MS"/>
          <w:sz w:val="20"/>
          <w:szCs w:val="20"/>
          <w:vertAlign w:val="superscript"/>
        </w:rPr>
        <w:footnoteRef/>
      </w:r>
      <w:r>
        <w:rPr>
          <w:rFonts w:ascii="Trebuchet MS" w:eastAsia="Calibri" w:hAnsi="Trebuchet MS" w:cs="Calibri"/>
          <w:sz w:val="20"/>
          <w:szCs w:val="20"/>
          <w:lang w:val="en-US"/>
        </w:rPr>
        <w:t xml:space="preserve"> </w:t>
      </w:r>
      <w:hyperlink r:id="rId2" w:history="1">
        <w:r w:rsidRPr="000C3145">
          <w:rPr>
            <w:rStyle w:val="Hyperlink"/>
            <w:rFonts w:ascii="Trebuchet MS" w:eastAsia="Calibri" w:hAnsi="Trebuchet MS" w:cs="Calibri"/>
            <w:sz w:val="20"/>
            <w:szCs w:val="20"/>
            <w:lang w:val="en-US"/>
          </w:rPr>
          <w:t>https://vlaamsejeugdraad.be/handleiding-oog-voor-armoe</w:t>
        </w:r>
        <w:r w:rsidRPr="000C3145">
          <w:rPr>
            <w:rStyle w:val="Hyperlink"/>
            <w:rFonts w:ascii="Trebuchet MS" w:eastAsia="Calibri" w:hAnsi="Trebuchet MS" w:cs="Calibri"/>
            <w:sz w:val="20"/>
            <w:szCs w:val="20"/>
            <w:lang w:val="en-US"/>
          </w:rPr>
          <w:t>d</w:t>
        </w:r>
        <w:r w:rsidRPr="000C3145">
          <w:rPr>
            <w:rStyle w:val="Hyperlink"/>
            <w:rFonts w:ascii="Trebuchet MS" w:eastAsia="Calibri" w:hAnsi="Trebuchet MS" w:cs="Calibri"/>
            <w:sz w:val="20"/>
            <w:szCs w:val="20"/>
            <w:lang w:val="en-US"/>
          </w:rPr>
          <w:t>e</w:t>
        </w:r>
      </w:hyperlink>
      <w:r>
        <w:rPr>
          <w:rFonts w:ascii="Trebuchet MS" w:eastAsia="Calibri" w:hAnsi="Trebuchet MS" w:cs="Calibri"/>
          <w:sz w:val="20"/>
          <w:szCs w:val="20"/>
          <w:lang w:val="en-US"/>
        </w:rPr>
        <w:t xml:space="preserve"> </w:t>
      </w:r>
      <w:r w:rsidRPr="0063656F">
        <w:rPr>
          <w:rFonts w:ascii="Trebuchet MS" w:eastAsia="Calibri" w:hAnsi="Trebuchet MS" w:cs="Calibri"/>
          <w:sz w:val="20"/>
          <w:szCs w:val="20"/>
          <w:lang w:val="en-US"/>
        </w:rPr>
        <w:t xml:space="preserve"> and </w:t>
      </w:r>
      <w:hyperlink r:id="rId3">
        <w:r w:rsidRPr="0063656F">
          <w:rPr>
            <w:rFonts w:ascii="Trebuchet MS" w:eastAsia="Calibri" w:hAnsi="Trebuchet MS" w:cs="Calibri"/>
            <w:color w:val="1155CC"/>
            <w:sz w:val="20"/>
            <w:szCs w:val="20"/>
            <w:u w:val="single"/>
            <w:lang w:val="en-US"/>
          </w:rPr>
          <w:t>https://sustainabledevelopment.un.org/content/documents/15721Belgium_Rev.pdf</w:t>
        </w:r>
      </w:hyperlink>
      <w:r w:rsidRPr="0063656F">
        <w:rPr>
          <w:rFonts w:ascii="Trebuchet MS" w:eastAsia="Calibri" w:hAnsi="Trebuchet MS" w:cs="Calibri"/>
          <w:sz w:val="20"/>
          <w:szCs w:val="20"/>
          <w:lang w:val="en-US"/>
        </w:rPr>
        <w:t>.</w:t>
      </w:r>
    </w:p>
  </w:footnote>
  <w:footnote w:id="3">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w:t>
      </w:r>
      <w:hyperlink r:id="rId4">
        <w:r w:rsidRPr="0063656F">
          <w:rPr>
            <w:rFonts w:ascii="Trebuchet MS" w:eastAsia="Calibri" w:hAnsi="Trebuchet MS" w:cs="Calibri"/>
            <w:color w:val="1155CC"/>
            <w:sz w:val="20"/>
            <w:szCs w:val="20"/>
            <w:u w:val="single"/>
            <w:lang w:val="en-US"/>
          </w:rPr>
          <w:t>www.cgvs.be/nl/cijfers</w:t>
        </w:r>
      </w:hyperlink>
      <w:r w:rsidRPr="0063656F">
        <w:rPr>
          <w:rFonts w:ascii="Trebuchet MS" w:hAnsi="Trebuchet MS"/>
          <w:sz w:val="20"/>
          <w:szCs w:val="20"/>
          <w:lang w:val="en-US"/>
        </w:rPr>
        <w:t xml:space="preserve"> </w:t>
      </w:r>
    </w:p>
  </w:footnote>
  <w:footnote w:id="4">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w:t>
      </w:r>
      <w:hyperlink r:id="rId5" w:history="1">
        <w:r w:rsidRPr="000C3145">
          <w:rPr>
            <w:rStyle w:val="Hyperlink"/>
            <w:rFonts w:ascii="Trebuchet MS" w:hAnsi="Trebuchet MS"/>
            <w:sz w:val="20"/>
            <w:szCs w:val="20"/>
            <w:lang w:val="en-US"/>
          </w:rPr>
          <w:t>http://www.oecd.org/belgium/pisa-2015-belgium.htm</w:t>
        </w:r>
      </w:hyperlink>
      <w:r>
        <w:rPr>
          <w:rFonts w:ascii="Trebuchet MS" w:hAnsi="Trebuchet MS"/>
          <w:sz w:val="20"/>
          <w:szCs w:val="20"/>
          <w:lang w:val="en-US"/>
        </w:rPr>
        <w:t xml:space="preserve"> </w:t>
      </w:r>
    </w:p>
  </w:footnote>
  <w:footnote w:id="5">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w:t>
      </w:r>
      <w:hyperlink r:id="rId6">
        <w:r w:rsidRPr="0063656F">
          <w:rPr>
            <w:rFonts w:ascii="Trebuchet MS" w:hAnsi="Trebuchet MS"/>
            <w:i/>
            <w:color w:val="1155CC"/>
            <w:sz w:val="20"/>
            <w:szCs w:val="20"/>
            <w:u w:val="single"/>
            <w:lang w:val="en-US"/>
          </w:rPr>
          <w:t>https://vlaamsejeugdraad.be/advies/1706-advies-psychisch-welzijn</w:t>
        </w:r>
      </w:hyperlink>
      <w:r w:rsidRPr="0063656F">
        <w:rPr>
          <w:rFonts w:ascii="Trebuchet MS" w:hAnsi="Trebuchet MS"/>
          <w:sz w:val="20"/>
          <w:szCs w:val="20"/>
          <w:lang w:val="en-US"/>
        </w:rPr>
        <w:t xml:space="preserve"> </w:t>
      </w:r>
    </w:p>
  </w:footnote>
  <w:footnote w:id="6">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UNICEF, Children’s Rights i</w:t>
      </w:r>
      <w:r>
        <w:rPr>
          <w:rFonts w:ascii="Trebuchet MS" w:hAnsi="Trebuchet MS"/>
          <w:sz w:val="20"/>
          <w:szCs w:val="20"/>
          <w:lang w:val="en-US"/>
        </w:rPr>
        <w:t xml:space="preserve">n the Digital Age (2014), p. 6: </w:t>
      </w:r>
      <w:hyperlink r:id="rId7" w:history="1">
        <w:r w:rsidRPr="000C3145">
          <w:rPr>
            <w:rStyle w:val="Hyperlink"/>
            <w:rFonts w:ascii="Trebuchet MS" w:hAnsi="Trebuchet MS"/>
            <w:sz w:val="20"/>
            <w:szCs w:val="20"/>
            <w:lang w:val="en-US"/>
          </w:rPr>
          <w:t>http://www.unicef.org/publications/files/Childrens_Rights_in_the_Digital_Age_A_Download_from_Children_Around_the_World_FINAL.pdf</w:t>
        </w:r>
      </w:hyperlink>
      <w:r>
        <w:rPr>
          <w:rFonts w:ascii="Trebuchet MS" w:hAnsi="Trebuchet MS"/>
          <w:sz w:val="20"/>
          <w:szCs w:val="20"/>
          <w:lang w:val="en-US"/>
        </w:rPr>
        <w:t xml:space="preserve"> </w:t>
      </w:r>
      <w:r w:rsidRPr="0063656F">
        <w:rPr>
          <w:rFonts w:ascii="Trebuchet MS" w:hAnsi="Trebuchet MS"/>
          <w:sz w:val="20"/>
          <w:szCs w:val="20"/>
          <w:lang w:val="en-US"/>
        </w:rPr>
        <w:t xml:space="preserve"> </w:t>
      </w:r>
    </w:p>
  </w:footnote>
  <w:footnote w:id="7">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w:t>
      </w:r>
      <w:hyperlink r:id="rId8">
        <w:r w:rsidRPr="0063656F">
          <w:rPr>
            <w:rFonts w:ascii="Trebuchet MS" w:hAnsi="Trebuchet MS"/>
            <w:color w:val="1155CC"/>
            <w:sz w:val="20"/>
            <w:szCs w:val="20"/>
            <w:u w:val="single"/>
            <w:lang w:val="en-US"/>
          </w:rPr>
          <w:t>https://ww</w:t>
        </w:r>
        <w:r w:rsidRPr="0063656F">
          <w:rPr>
            <w:rFonts w:ascii="Trebuchet MS" w:hAnsi="Trebuchet MS"/>
            <w:color w:val="1155CC"/>
            <w:sz w:val="20"/>
            <w:szCs w:val="20"/>
            <w:u w:val="single"/>
            <w:lang w:val="en-US"/>
          </w:rPr>
          <w:t>w.nohatespeechmovement.org/</w:t>
        </w:r>
      </w:hyperlink>
      <w:r w:rsidRPr="0063656F">
        <w:rPr>
          <w:rFonts w:ascii="Trebuchet MS" w:hAnsi="Trebuchet MS"/>
          <w:sz w:val="20"/>
          <w:szCs w:val="20"/>
          <w:lang w:val="en-US"/>
        </w:rPr>
        <w:t xml:space="preserve"> </w:t>
      </w:r>
    </w:p>
  </w:footnote>
  <w:footnote w:id="8">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hyperlink r:id="rId9">
        <w:r w:rsidRPr="0063656F">
          <w:rPr>
            <w:rFonts w:ascii="Trebuchet MS" w:hAnsi="Trebuchet MS"/>
            <w:color w:val="1155CC"/>
            <w:sz w:val="20"/>
            <w:szCs w:val="20"/>
            <w:u w:val="single"/>
            <w:lang w:val="en-US"/>
          </w:rPr>
          <w:t>http://www.standaard.be/cnt/dmf20130124_055;http://deredactie.be/cm/vrtnieuws/politiek/1.1586648</w:t>
        </w:r>
      </w:hyperlink>
      <w:r w:rsidRPr="0063656F">
        <w:rPr>
          <w:rFonts w:ascii="Trebuchet MS" w:hAnsi="Trebuchet MS"/>
          <w:sz w:val="20"/>
          <w:szCs w:val="20"/>
          <w:lang w:val="en-US"/>
        </w:rPr>
        <w:t xml:space="preserve">; </w:t>
      </w:r>
      <w:hyperlink r:id="rId10">
        <w:r w:rsidRPr="0063656F">
          <w:rPr>
            <w:rFonts w:ascii="Trebuchet MS" w:hAnsi="Trebuchet MS"/>
            <w:color w:val="1155CC"/>
            <w:sz w:val="20"/>
            <w:szCs w:val="20"/>
            <w:u w:val="single"/>
            <w:lang w:val="en-US"/>
          </w:rPr>
          <w:t>http://www.knack.be/nieuws/belgie/top-100-van-de-absurdste-gas-boetes-een-klucht-zonder-weerga/article-opinion-120656.html</w:t>
        </w:r>
      </w:hyperlink>
      <w:r w:rsidRPr="0063656F">
        <w:rPr>
          <w:rFonts w:ascii="Trebuchet MS" w:hAnsi="Trebuchet MS"/>
          <w:sz w:val="20"/>
          <w:szCs w:val="20"/>
          <w:lang w:val="en-US"/>
        </w:rPr>
        <w:t xml:space="preserve">, </w:t>
      </w:r>
    </w:p>
  </w:footnote>
  <w:footnote w:id="9">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hyperlink r:id="rId11" w:history="1">
        <w:r w:rsidRPr="000C3145">
          <w:rPr>
            <w:rStyle w:val="Hyperlink"/>
            <w:rFonts w:ascii="Trebuchet MS" w:hAnsi="Trebuchet MS"/>
            <w:sz w:val="20"/>
            <w:szCs w:val="20"/>
            <w:lang w:val="en-US"/>
          </w:rPr>
          <w:t>https://vlaamsejeugdraad.be/sites/default/files/advies/1701_advies_witboek_beleidsplan_ruimte_vlaanderen.pdf</w:t>
        </w:r>
      </w:hyperlink>
      <w:r>
        <w:rPr>
          <w:rFonts w:ascii="Trebuchet MS" w:hAnsi="Trebuchet MS"/>
          <w:sz w:val="20"/>
          <w:szCs w:val="20"/>
          <w:lang w:val="en-US"/>
        </w:rPr>
        <w:t xml:space="preserve"> </w:t>
      </w:r>
      <w:bookmarkStart w:id="0" w:name="_GoBack"/>
      <w:bookmarkEnd w:id="0"/>
    </w:p>
  </w:footnote>
  <w:footnote w:id="10">
    <w:p w:rsidR="006B2D54" w:rsidRPr="0063656F" w:rsidRDefault="0063656F">
      <w:pPr>
        <w:spacing w:line="240" w:lineRule="auto"/>
        <w:rPr>
          <w:rFonts w:ascii="Trebuchet MS" w:hAnsi="Trebuchet MS"/>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Numbers from the consultancy firm </w:t>
      </w:r>
      <w:proofErr w:type="spellStart"/>
      <w:r w:rsidRPr="0063656F">
        <w:rPr>
          <w:rFonts w:ascii="Trebuchet MS" w:hAnsi="Trebuchet MS"/>
          <w:sz w:val="20"/>
          <w:szCs w:val="20"/>
          <w:lang w:val="en-US"/>
        </w:rPr>
        <w:t>Immotheker-Finotheker</w:t>
      </w:r>
      <w:proofErr w:type="spellEnd"/>
      <w:r w:rsidRPr="0063656F">
        <w:rPr>
          <w:rFonts w:ascii="Trebuchet MS" w:hAnsi="Trebuchet MS"/>
          <w:sz w:val="20"/>
          <w:szCs w:val="20"/>
          <w:lang w:val="en-US"/>
        </w:rPr>
        <w:t xml:space="preserve"> published in The newspaper D</w:t>
      </w:r>
      <w:r w:rsidRPr="0063656F">
        <w:rPr>
          <w:rFonts w:ascii="Trebuchet MS" w:hAnsi="Trebuchet MS"/>
          <w:sz w:val="20"/>
          <w:szCs w:val="20"/>
          <w:lang w:val="en-US"/>
        </w:rPr>
        <w:t xml:space="preserve">e </w:t>
      </w:r>
      <w:proofErr w:type="spellStart"/>
      <w:r w:rsidRPr="0063656F">
        <w:rPr>
          <w:rFonts w:ascii="Trebuchet MS" w:hAnsi="Trebuchet MS"/>
          <w:sz w:val="20"/>
          <w:szCs w:val="20"/>
          <w:lang w:val="en-US"/>
        </w:rPr>
        <w:t>Standaard</w:t>
      </w:r>
      <w:proofErr w:type="spellEnd"/>
      <w:r w:rsidRPr="0063656F">
        <w:rPr>
          <w:rFonts w:ascii="Trebuchet MS" w:hAnsi="Trebuchet MS"/>
          <w:sz w:val="20"/>
          <w:szCs w:val="20"/>
          <w:lang w:val="en-US"/>
        </w:rPr>
        <w:t xml:space="preserve"> on the 8th of January.</w:t>
      </w:r>
    </w:p>
  </w:footnote>
  <w:footnote w:id="11">
    <w:p w:rsidR="006B2D54" w:rsidRPr="0063656F" w:rsidRDefault="0063656F">
      <w:pPr>
        <w:spacing w:line="240" w:lineRule="auto"/>
        <w:rPr>
          <w:sz w:val="20"/>
          <w:szCs w:val="20"/>
          <w:lang w:val="en-US"/>
        </w:rPr>
      </w:pPr>
      <w:r w:rsidRPr="0063656F">
        <w:rPr>
          <w:rFonts w:ascii="Trebuchet MS" w:hAnsi="Trebuchet MS"/>
          <w:sz w:val="20"/>
          <w:szCs w:val="20"/>
          <w:vertAlign w:val="superscript"/>
        </w:rPr>
        <w:footnoteRef/>
      </w:r>
      <w:r w:rsidRPr="0063656F">
        <w:rPr>
          <w:rFonts w:ascii="Trebuchet MS" w:hAnsi="Trebuchet MS"/>
          <w:sz w:val="20"/>
          <w:szCs w:val="20"/>
          <w:lang w:val="en-US"/>
        </w:rPr>
        <w:t xml:space="preserve"> </w:t>
      </w:r>
      <w:hyperlink r:id="rId12" w:history="1">
        <w:r w:rsidRPr="000C3145">
          <w:rPr>
            <w:rStyle w:val="Hyperlink"/>
            <w:rFonts w:ascii="Trebuchet MS" w:hAnsi="Trebuchet MS"/>
            <w:sz w:val="20"/>
            <w:szCs w:val="20"/>
            <w:lang w:val="en-US"/>
          </w:rPr>
          <w:t>https://vlaamsejeugdraad.be/sites/default/files/nieuws/1702_-_advies_toegang_tot_werk.pdf</w:t>
        </w:r>
      </w:hyperlink>
      <w:r>
        <w:rPr>
          <w:rFonts w:ascii="Trebuchet MS" w:hAnsi="Trebuchet MS"/>
          <w:sz w:val="20"/>
          <w:szCs w:val="2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4"/>
    <w:rsid w:val="0063656F"/>
    <w:rsid w:val="006B2D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docId w15:val="{CCB83DA3-F8E0-42E7-A534-171D1CB5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 w:eastAsia="nl-B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character" w:styleId="Hyperlink">
    <w:name w:val="Hyperlink"/>
    <w:basedOn w:val="Standaardalinea-lettertype"/>
    <w:uiPriority w:val="99"/>
    <w:unhideWhenUsed/>
    <w:rsid w:val="0063656F"/>
    <w:rPr>
      <w:color w:val="0000FF" w:themeColor="hyperlink"/>
      <w:u w:val="single"/>
    </w:rPr>
  </w:style>
  <w:style w:type="character" w:styleId="GevolgdeHyperlink">
    <w:name w:val="FollowedHyperlink"/>
    <w:basedOn w:val="Standaardalinea-lettertype"/>
    <w:uiPriority w:val="99"/>
    <w:semiHidden/>
    <w:unhideWhenUsed/>
    <w:rsid w:val="00636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nohatespeechmovement.org/" TargetMode="External"/><Relationship Id="rId3" Type="http://schemas.openxmlformats.org/officeDocument/2006/relationships/hyperlink" Target="https://sustainabledevelopment.un.org/content/documents/15721Belgium_Rev.pdf" TargetMode="External"/><Relationship Id="rId7" Type="http://schemas.openxmlformats.org/officeDocument/2006/relationships/hyperlink" Target="http://www.unicef.org/publications/files/Childrens_Rights_in_the_Digital_Age_A_Download_from_Children_Around_the_World_FINAL.pdf" TargetMode="External"/><Relationship Id="rId12" Type="http://schemas.openxmlformats.org/officeDocument/2006/relationships/hyperlink" Target="https://vlaamsejeugdraad.be/sites/default/files/nieuws/1702_-_advies_toegang_tot_werk.pdf" TargetMode="External"/><Relationship Id="rId2" Type="http://schemas.openxmlformats.org/officeDocument/2006/relationships/hyperlink" Target="https://vlaamsejeugdraad.be/handleiding-oog-voor-armoede" TargetMode="External"/><Relationship Id="rId1" Type="http://schemas.openxmlformats.org/officeDocument/2006/relationships/hyperlink" Target="http://www.armoedebestrijding.be/cijfers_aantal_armen.htm" TargetMode="External"/><Relationship Id="rId6" Type="http://schemas.openxmlformats.org/officeDocument/2006/relationships/hyperlink" Target="https://vlaamsejeugdraad.be/advies/1706-advies-psychisch-welzijn" TargetMode="External"/><Relationship Id="rId11" Type="http://schemas.openxmlformats.org/officeDocument/2006/relationships/hyperlink" Target="https://vlaamsejeugdraad.be/sites/default/files/advies/1701_advies_witboek_beleidsplan_ruimte_vlaanderen.pdf" TargetMode="External"/><Relationship Id="rId5" Type="http://schemas.openxmlformats.org/officeDocument/2006/relationships/hyperlink" Target="http://www.oecd.org/belgium/pisa-2015-belgium.htm" TargetMode="External"/><Relationship Id="rId10" Type="http://schemas.openxmlformats.org/officeDocument/2006/relationships/hyperlink" Target="http://www.knack.be/nieuws/belgie/top-100-van-de-absurdste-gas-boetes-een-klucht-zonder-weerga/article-opinion-120656.html" TargetMode="External"/><Relationship Id="rId4" Type="http://schemas.openxmlformats.org/officeDocument/2006/relationships/hyperlink" Target="http://www.cgvs.be/nl/cijfers" TargetMode="External"/><Relationship Id="rId9" Type="http://schemas.openxmlformats.org/officeDocument/2006/relationships/hyperlink" Target="http://www.standaard.be/cnt/dmf20130124_055;http://deredactie.be/cm/vrtnieuws/politiek/1.1586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257EDC-FEF0-43D6-AA8C-613635B5C0B9}"/>
</file>

<file path=customXml/itemProps2.xml><?xml version="1.0" encoding="utf-8"?>
<ds:datastoreItem xmlns:ds="http://schemas.openxmlformats.org/officeDocument/2006/customXml" ds:itemID="{8ED44987-B8E5-45C9-B17B-1E29D1FCC14C}"/>
</file>

<file path=customXml/itemProps3.xml><?xml version="1.0" encoding="utf-8"?>
<ds:datastoreItem xmlns:ds="http://schemas.openxmlformats.org/officeDocument/2006/customXml" ds:itemID="{16BE2428-D81A-4479-8BFE-FA67C5F88C30}"/>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5947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De Ambrassade</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Flemish Youth Council in Word</dc:title>
  <dc:creator>Jasmien Schutz</dc:creator>
  <cp:lastModifiedBy>Jasmien Schutz</cp:lastModifiedBy>
  <cp:revision>2</cp:revision>
  <dcterms:created xsi:type="dcterms:W3CDTF">2018-01-12T12:59:00Z</dcterms:created>
  <dcterms:modified xsi:type="dcterms:W3CDTF">2018-01-12T12:59:00Z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