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042D1" w14:textId="77777777" w:rsidR="00785E98" w:rsidRPr="00E16948" w:rsidRDefault="00785E98" w:rsidP="00785E98">
      <w:pPr>
        <w:tabs>
          <w:tab w:val="center" w:pos="4513"/>
          <w:tab w:val="right" w:pos="9026"/>
        </w:tabs>
        <w:spacing w:line="360" w:lineRule="auto"/>
        <w:rPr>
          <w:rFonts w:ascii="Arial" w:hAnsi="Arial" w:cs="Arial"/>
          <w:color w:val="FFFFFF" w:themeColor="background1"/>
        </w:rPr>
      </w:pPr>
      <w:r w:rsidRPr="005F74B4">
        <w:rPr>
          <w:rFonts w:ascii="Arial" w:hAnsi="Arial" w:cs="Arial"/>
          <w:b/>
          <w:noProof/>
          <w:color w:val="FFFFFF" w:themeColor="background1"/>
          <w:sz w:val="36"/>
          <w:lang w:eastAsia="en-GB"/>
        </w:rPr>
        <mc:AlternateContent>
          <mc:Choice Requires="wps">
            <w:drawing>
              <wp:anchor distT="0" distB="0" distL="114300" distR="114300" simplePos="0" relativeHeight="251659264" behindDoc="1" locked="0" layoutInCell="1" allowOverlap="1" wp14:anchorId="1C595728" wp14:editId="2A716C07">
                <wp:simplePos x="0" y="0"/>
                <wp:positionH relativeFrom="page">
                  <wp:posOffset>18107</wp:posOffset>
                </wp:positionH>
                <wp:positionV relativeFrom="paragraph">
                  <wp:posOffset>-1104522</wp:posOffset>
                </wp:positionV>
                <wp:extent cx="8763308" cy="2000816"/>
                <wp:effectExtent l="0" t="0" r="0" b="6350"/>
                <wp:wrapNone/>
                <wp:docPr id="2" name="Rectangle 2"/>
                <wp:cNvGraphicFramePr/>
                <a:graphic xmlns:a="http://schemas.openxmlformats.org/drawingml/2006/main">
                  <a:graphicData uri="http://schemas.microsoft.com/office/word/2010/wordprocessingShape">
                    <wps:wsp>
                      <wps:cNvSpPr/>
                      <wps:spPr>
                        <a:xfrm>
                          <a:off x="0" y="0"/>
                          <a:ext cx="8763308" cy="2000816"/>
                        </a:xfrm>
                        <a:prstGeom prst="rect">
                          <a:avLst/>
                        </a:prstGeom>
                        <a:solidFill>
                          <a:srgbClr val="5693C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B60C2" w14:textId="77777777" w:rsidR="00785E98" w:rsidRDefault="00785E98" w:rsidP="00785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95728" id="Rectangle 2" o:spid="_x0000_s1026" style="position:absolute;margin-left:1.45pt;margin-top:-86.95pt;width:690pt;height:15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" fillcolor="#5693c9" stroked="f" strokeweight="1pt">
                <v:textbox>
                  <w:txbxContent>
                    <w:p w14:paraId="48CB60C2" w14:textId="77777777" w:rsidR="00785E98" w:rsidRDefault="00785E98" w:rsidP="00785E98">
                      <w:pPr>
                        <w:jc w:val="center"/>
                      </w:pPr>
                    </w:p>
                  </w:txbxContent>
                </v:textbox>
                <w10:wrap anchorx="page"/>
              </v:rect>
            </w:pict>
          </mc:Fallback>
        </mc:AlternateContent>
      </w:r>
      <w:r w:rsidRPr="00E16948">
        <w:rPr>
          <w:rFonts w:ascii="Arial" w:hAnsi="Arial" w:cs="Arial"/>
          <w:b/>
          <w:color w:val="FFFFFF" w:themeColor="background1"/>
          <w:sz w:val="36"/>
        </w:rPr>
        <w:tab/>
        <w:t>Intersessional Seminar on Youth</w:t>
      </w:r>
      <w:r>
        <w:rPr>
          <w:rFonts w:ascii="Arial" w:hAnsi="Arial" w:cs="Arial"/>
          <w:b/>
          <w:color w:val="FFFFFF" w:themeColor="background1"/>
          <w:sz w:val="36"/>
        </w:rPr>
        <w:t xml:space="preserve"> a</w:t>
      </w:r>
      <w:bookmarkStart w:id="0" w:name="_GoBack"/>
      <w:bookmarkEnd w:id="0"/>
      <w:r>
        <w:rPr>
          <w:rFonts w:ascii="Arial" w:hAnsi="Arial" w:cs="Arial"/>
          <w:b/>
          <w:color w:val="FFFFFF" w:themeColor="background1"/>
          <w:sz w:val="36"/>
        </w:rPr>
        <w:t>nd Human Rights</w:t>
      </w:r>
      <w:r w:rsidRPr="00E16948">
        <w:rPr>
          <w:rFonts w:ascii="Arial" w:hAnsi="Arial" w:cs="Arial"/>
          <w:b/>
          <w:color w:val="FFFFFF" w:themeColor="background1"/>
          <w:sz w:val="36"/>
        </w:rPr>
        <w:tab/>
      </w:r>
    </w:p>
    <w:p w14:paraId="6DF01A73" w14:textId="77777777" w:rsidR="00785E98" w:rsidRDefault="00785E98" w:rsidP="00785E98">
      <w:pPr>
        <w:spacing w:line="360" w:lineRule="auto"/>
        <w:jc w:val="center"/>
        <w:rPr>
          <w:rFonts w:ascii="Arial" w:hAnsi="Arial" w:cs="Arial"/>
          <w:color w:val="FFFFFF" w:themeColor="background1"/>
        </w:rPr>
      </w:pPr>
      <w:r>
        <w:rPr>
          <w:rFonts w:ascii="Arial" w:hAnsi="Arial" w:cs="Arial"/>
          <w:color w:val="FFFFFF" w:themeColor="background1"/>
        </w:rPr>
        <w:t>12 April 2021 | 10AM – 12PM &amp; 3PM – 5PM (CEST)</w:t>
      </w:r>
    </w:p>
    <w:p w14:paraId="2F339568" w14:textId="77777777" w:rsidR="00785E98" w:rsidRPr="009B6B9D" w:rsidRDefault="00785E98" w:rsidP="00785E98">
      <w:pPr>
        <w:spacing w:before="240" w:after="240" w:line="360" w:lineRule="auto"/>
        <w:jc w:val="both"/>
        <w:rPr>
          <w:rFonts w:ascii="Arial" w:hAnsi="Arial" w:cs="Arial"/>
        </w:rPr>
      </w:pPr>
    </w:p>
    <w:p w14:paraId="68F77259" w14:textId="77777777" w:rsidR="00785E98" w:rsidRPr="00785E98" w:rsidRDefault="00785E98" w:rsidP="00785E98">
      <w:pPr>
        <w:pBdr>
          <w:bottom w:val="single" w:sz="12" w:space="1" w:color="auto"/>
        </w:pBdr>
        <w:spacing w:before="240" w:after="240"/>
        <w:jc w:val="center"/>
        <w:rPr>
          <w:rFonts w:ascii="Arial" w:hAnsi="Arial" w:cs="Arial"/>
          <w:b/>
          <w:sz w:val="24"/>
          <w:szCs w:val="20"/>
          <w:u w:val="single"/>
        </w:rPr>
      </w:pPr>
      <w:r w:rsidRPr="00785E98">
        <w:rPr>
          <w:rFonts w:ascii="Arial" w:hAnsi="Arial" w:cs="Arial"/>
          <w:b/>
          <w:sz w:val="24"/>
          <w:szCs w:val="20"/>
          <w:u w:val="single"/>
        </w:rPr>
        <w:t>STATEMENT</w:t>
      </w:r>
    </w:p>
    <w:p w14:paraId="77EAA9AE" w14:textId="77777777" w:rsidR="00785E98" w:rsidRDefault="00785E98" w:rsidP="00785E98">
      <w:pPr>
        <w:pBdr>
          <w:bottom w:val="single" w:sz="12" w:space="1" w:color="auto"/>
        </w:pBdr>
        <w:spacing w:before="240" w:after="240"/>
        <w:jc w:val="center"/>
        <w:rPr>
          <w:rFonts w:ascii="Arial" w:hAnsi="Arial" w:cs="Arial"/>
          <w:i/>
          <w:sz w:val="21"/>
          <w:szCs w:val="20"/>
        </w:rPr>
      </w:pPr>
      <w:r w:rsidRPr="008856D6">
        <w:rPr>
          <w:rFonts w:ascii="Arial" w:hAnsi="Arial" w:cs="Arial"/>
          <w:i/>
          <w:sz w:val="21"/>
          <w:szCs w:val="20"/>
        </w:rPr>
        <w:t>(as of 30 March 2021)</w:t>
      </w:r>
    </w:p>
    <w:p w14:paraId="007C60E4" w14:textId="77777777" w:rsidR="00785E98" w:rsidRPr="008856D6" w:rsidRDefault="00785E98" w:rsidP="00785E98">
      <w:pPr>
        <w:pBdr>
          <w:bottom w:val="single" w:sz="12" w:space="1" w:color="auto"/>
        </w:pBdr>
        <w:spacing w:before="240" w:after="240"/>
        <w:jc w:val="center"/>
        <w:rPr>
          <w:rFonts w:ascii="Arial" w:hAnsi="Arial" w:cs="Arial"/>
          <w:i/>
          <w:sz w:val="21"/>
          <w:szCs w:val="20"/>
        </w:rPr>
      </w:pPr>
    </w:p>
    <w:p w14:paraId="3E9DB4DD" w14:textId="302A64A2" w:rsidR="00785E98" w:rsidRPr="00785E98" w:rsidRDefault="00785E98" w:rsidP="00785E98">
      <w:pPr>
        <w:pBdr>
          <w:bottom w:val="single" w:sz="12" w:space="1" w:color="auto"/>
        </w:pBdr>
        <w:spacing w:before="240" w:after="240"/>
        <w:jc w:val="center"/>
        <w:rPr>
          <w:rFonts w:ascii="Arial" w:hAnsi="Arial" w:cs="Arial"/>
          <w:b/>
          <w:sz w:val="24"/>
          <w:szCs w:val="20"/>
        </w:rPr>
      </w:pPr>
      <w:r w:rsidRPr="00785E98">
        <w:rPr>
          <w:rFonts w:ascii="Arial" w:hAnsi="Arial" w:cs="Arial"/>
          <w:b/>
          <w:sz w:val="24"/>
          <w:szCs w:val="20"/>
        </w:rPr>
        <w:t xml:space="preserve">PER: </w:t>
      </w:r>
      <w:r w:rsidRPr="00785E98">
        <w:rPr>
          <w:rFonts w:ascii="Arial" w:hAnsi="Arial" w:cs="Arial"/>
          <w:b/>
          <w:sz w:val="24"/>
          <w:szCs w:val="20"/>
        </w:rPr>
        <w:t>MELISSA ARAES</w:t>
      </w:r>
    </w:p>
    <w:p w14:paraId="4330584E" w14:textId="77777777" w:rsidR="00785E98" w:rsidRPr="00785E98" w:rsidRDefault="00785E98" w:rsidP="00785E98">
      <w:pPr>
        <w:pBdr>
          <w:bottom w:val="single" w:sz="12" w:space="1" w:color="auto"/>
        </w:pBdr>
        <w:spacing w:before="240" w:after="240"/>
        <w:jc w:val="center"/>
        <w:rPr>
          <w:rFonts w:ascii="Arial" w:hAnsi="Arial" w:cs="Arial"/>
          <w:b/>
          <w:sz w:val="24"/>
          <w:szCs w:val="20"/>
        </w:rPr>
      </w:pPr>
      <w:r w:rsidRPr="00785E98">
        <w:rPr>
          <w:rFonts w:ascii="Arial" w:hAnsi="Arial" w:cs="Arial"/>
          <w:b/>
          <w:sz w:val="24"/>
          <w:szCs w:val="20"/>
        </w:rPr>
        <w:t>INSTITUTION: NATIONAL YOUTH COUNCIL OF NAMIBIA</w:t>
      </w:r>
    </w:p>
    <w:p w14:paraId="30B87B5C" w14:textId="1281A965" w:rsidR="00785E98" w:rsidRPr="00785E98" w:rsidRDefault="00785E98" w:rsidP="00785E98">
      <w:pPr>
        <w:pBdr>
          <w:bottom w:val="single" w:sz="12" w:space="1" w:color="auto"/>
        </w:pBdr>
        <w:spacing w:before="240" w:after="240" w:line="360" w:lineRule="auto"/>
        <w:jc w:val="center"/>
        <w:rPr>
          <w:rFonts w:ascii="Arial" w:hAnsi="Arial" w:cs="Arial"/>
          <w:b/>
          <w:color w:val="00B0F0"/>
          <w:sz w:val="24"/>
          <w:szCs w:val="20"/>
        </w:rPr>
      </w:pPr>
      <w:r w:rsidRPr="00785E98">
        <w:rPr>
          <w:rFonts w:ascii="Arial" w:hAnsi="Arial" w:cs="Arial"/>
          <w:b/>
          <w:color w:val="00B0F0"/>
          <w:sz w:val="24"/>
          <w:szCs w:val="20"/>
        </w:rPr>
        <w:t>Challenges and Discrimination faced by Young people in the realization of their Rights</w:t>
      </w:r>
    </w:p>
    <w:p w14:paraId="306135CA" w14:textId="31875DAE" w:rsidR="00785E98" w:rsidRDefault="00785E98" w:rsidP="00785E98">
      <w:pPr>
        <w:spacing w:before="240" w:after="240" w:line="360" w:lineRule="auto"/>
        <w:ind w:left="360"/>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3D5317CB" w14:textId="221B67B1" w:rsidR="00785E98" w:rsidRDefault="00785E98" w:rsidP="00EC2B6B">
      <w:pPr>
        <w:spacing w:after="0" w:line="360" w:lineRule="auto"/>
        <w:jc w:val="both"/>
        <w:rPr>
          <w:rFonts w:ascii="Arial" w:hAnsi="Arial" w:cs="Arial"/>
          <w:b/>
          <w:sz w:val="24"/>
        </w:rPr>
      </w:pPr>
      <w:r w:rsidRPr="00785E98">
        <w:rPr>
          <w:rFonts w:ascii="Arial" w:hAnsi="Arial" w:cs="Arial"/>
          <w:b/>
          <w:sz w:val="24"/>
        </w:rPr>
        <w:t>Introduction</w:t>
      </w:r>
    </w:p>
    <w:p w14:paraId="1065AC6C" w14:textId="59DA85E4" w:rsidR="00785E98" w:rsidRPr="00785E98" w:rsidRDefault="0088083E" w:rsidP="00EC2B6B">
      <w:pPr>
        <w:spacing w:after="0" w:line="360" w:lineRule="auto"/>
        <w:jc w:val="both"/>
        <w:rPr>
          <w:rFonts w:ascii="Arial" w:hAnsi="Arial" w:cs="Arial"/>
          <w:sz w:val="24"/>
        </w:rPr>
      </w:pPr>
      <w:r>
        <w:rPr>
          <w:rFonts w:ascii="Arial" w:hAnsi="Arial" w:cs="Arial"/>
          <w:sz w:val="24"/>
        </w:rPr>
        <w:t>Young people make up a large segment of the population in most countries. Investing in the young generation is one of the key pillars for advancing a development process geared towards achieving the realization of their rights. Although the concept of youth is socially constructed depending on the historical context and does not necessarily refer to age, in this context it refers to the population aged between 18-35. Young people face many challenges and discrimination in the realization of their rights and only a selected few will be discussed.</w:t>
      </w:r>
    </w:p>
    <w:p w14:paraId="14B657F4" w14:textId="77777777" w:rsidR="00785E98" w:rsidRDefault="00785E98" w:rsidP="00EC2B6B">
      <w:pPr>
        <w:spacing w:after="0" w:line="360" w:lineRule="auto"/>
        <w:ind w:left="360"/>
        <w:jc w:val="both"/>
        <w:rPr>
          <w:rFonts w:ascii="Arial" w:hAnsi="Arial" w:cs="Arial"/>
        </w:rPr>
      </w:pPr>
    </w:p>
    <w:p w14:paraId="4AAD1AFB" w14:textId="77777777" w:rsidR="00D71392" w:rsidRPr="00785E98" w:rsidRDefault="00D71392" w:rsidP="00EC2B6B">
      <w:pPr>
        <w:spacing w:after="0" w:line="360" w:lineRule="auto"/>
        <w:jc w:val="both"/>
        <w:rPr>
          <w:rFonts w:ascii="Arial" w:hAnsi="Arial" w:cs="Arial"/>
          <w:b/>
          <w:sz w:val="24"/>
          <w:szCs w:val="24"/>
        </w:rPr>
      </w:pPr>
      <w:r w:rsidRPr="00785E98">
        <w:rPr>
          <w:rFonts w:ascii="Arial" w:hAnsi="Arial" w:cs="Arial"/>
          <w:b/>
          <w:sz w:val="24"/>
          <w:szCs w:val="24"/>
        </w:rPr>
        <w:t>Unemployment</w:t>
      </w:r>
    </w:p>
    <w:p w14:paraId="3C31B0CD" w14:textId="09B04533" w:rsidR="00785E98" w:rsidRDefault="00B252E9" w:rsidP="00EC2B6B">
      <w:pPr>
        <w:spacing w:after="0" w:line="360" w:lineRule="auto"/>
        <w:jc w:val="both"/>
        <w:rPr>
          <w:rFonts w:ascii="Arial" w:hAnsi="Arial" w:cs="Arial"/>
          <w:sz w:val="24"/>
          <w:szCs w:val="24"/>
        </w:rPr>
      </w:pPr>
      <w:r w:rsidRPr="00857B94">
        <w:rPr>
          <w:rFonts w:ascii="Arial" w:hAnsi="Arial" w:cs="Arial"/>
          <w:sz w:val="24"/>
          <w:szCs w:val="24"/>
        </w:rPr>
        <w:t xml:space="preserve">In 2020, the estimated youth unemployment rate </w:t>
      </w:r>
      <w:r>
        <w:rPr>
          <w:rFonts w:ascii="Arial" w:hAnsi="Arial" w:cs="Arial"/>
          <w:sz w:val="24"/>
          <w:szCs w:val="24"/>
        </w:rPr>
        <w:t>in Namibia was at 41.17 percent as opposed to 39.53% in 2019. This shows that the unemployment rate has drastically increased</w:t>
      </w:r>
      <w:r w:rsidR="00EC38FD">
        <w:rPr>
          <w:rFonts w:ascii="Arial" w:hAnsi="Arial" w:cs="Arial"/>
          <w:sz w:val="24"/>
          <w:szCs w:val="24"/>
        </w:rPr>
        <w:t xml:space="preserve"> </w:t>
      </w:r>
      <w:r w:rsidR="00146640">
        <w:rPr>
          <w:rFonts w:ascii="Arial" w:hAnsi="Arial" w:cs="Arial"/>
          <w:sz w:val="24"/>
          <w:szCs w:val="24"/>
        </w:rPr>
        <w:t xml:space="preserve">because of </w:t>
      </w:r>
      <w:r w:rsidR="003D1FC3" w:rsidRPr="00146640">
        <w:rPr>
          <w:rFonts w:ascii="Arial" w:hAnsi="Arial" w:cs="Arial"/>
          <w:sz w:val="24"/>
          <w:szCs w:val="24"/>
        </w:rPr>
        <w:t>the fi</w:t>
      </w:r>
      <w:r w:rsidR="00146640">
        <w:rPr>
          <w:rFonts w:ascii="Arial" w:hAnsi="Arial" w:cs="Arial"/>
          <w:sz w:val="24"/>
          <w:szCs w:val="24"/>
        </w:rPr>
        <w:t>nancial and economic crisis</w:t>
      </w:r>
      <w:r w:rsidR="003D1FC3" w:rsidRPr="003D1FC3">
        <w:rPr>
          <w:rFonts w:ascii="Arial" w:hAnsi="Arial" w:cs="Arial"/>
          <w:sz w:val="24"/>
          <w:szCs w:val="24"/>
        </w:rPr>
        <w:t>.</w:t>
      </w:r>
      <w:r w:rsidR="00146640">
        <w:rPr>
          <w:rFonts w:ascii="Arial" w:hAnsi="Arial" w:cs="Arial"/>
          <w:sz w:val="24"/>
          <w:szCs w:val="24"/>
        </w:rPr>
        <w:t xml:space="preserve"> Transition periods from education to the labour market has become longer and the lack of entry-level jobs has resulted in the widespread practice of </w:t>
      </w:r>
      <w:r w:rsidR="002709AF">
        <w:rPr>
          <w:rFonts w:ascii="Arial" w:hAnsi="Arial" w:cs="Arial"/>
          <w:sz w:val="24"/>
          <w:szCs w:val="24"/>
        </w:rPr>
        <w:t>accepting</w:t>
      </w:r>
      <w:r w:rsidR="00146640">
        <w:rPr>
          <w:rFonts w:ascii="Arial" w:hAnsi="Arial" w:cs="Arial"/>
          <w:sz w:val="24"/>
          <w:szCs w:val="24"/>
        </w:rPr>
        <w:t xml:space="preserve"> unpaid internships</w:t>
      </w:r>
      <w:r w:rsidR="00EC38FD">
        <w:rPr>
          <w:rFonts w:ascii="Arial" w:hAnsi="Arial" w:cs="Arial"/>
          <w:sz w:val="24"/>
          <w:szCs w:val="24"/>
        </w:rPr>
        <w:t xml:space="preserve"> which further </w:t>
      </w:r>
      <w:r w:rsidR="00146640">
        <w:rPr>
          <w:rFonts w:ascii="Arial" w:hAnsi="Arial" w:cs="Arial"/>
          <w:sz w:val="24"/>
          <w:szCs w:val="24"/>
        </w:rPr>
        <w:t xml:space="preserve">contributes to the difficulties young people experience </w:t>
      </w:r>
      <w:r w:rsidR="00146640" w:rsidRPr="00EC2B6B">
        <w:rPr>
          <w:rFonts w:ascii="Arial" w:hAnsi="Arial" w:cs="Arial"/>
          <w:sz w:val="24"/>
          <w:szCs w:val="24"/>
        </w:rPr>
        <w:t>towards autonomy</w:t>
      </w:r>
      <w:r w:rsidR="00146640">
        <w:rPr>
          <w:rFonts w:ascii="Arial" w:hAnsi="Arial" w:cs="Arial"/>
          <w:sz w:val="24"/>
          <w:szCs w:val="24"/>
        </w:rPr>
        <w:t xml:space="preserve">. Entering the labour market is </w:t>
      </w:r>
      <w:r w:rsidR="002709AF">
        <w:rPr>
          <w:rFonts w:ascii="Arial" w:hAnsi="Arial" w:cs="Arial"/>
          <w:sz w:val="24"/>
          <w:szCs w:val="24"/>
        </w:rPr>
        <w:lastRenderedPageBreak/>
        <w:t>therefore a nemesis</w:t>
      </w:r>
      <w:r w:rsidR="00146640">
        <w:rPr>
          <w:rFonts w:ascii="Arial" w:hAnsi="Arial" w:cs="Arial"/>
          <w:sz w:val="24"/>
          <w:szCs w:val="24"/>
        </w:rPr>
        <w:t xml:space="preserve"> and even more so for persons with disabilities by the</w:t>
      </w:r>
      <w:r w:rsidR="002709AF">
        <w:rPr>
          <w:rFonts w:ascii="Arial" w:hAnsi="Arial" w:cs="Arial"/>
          <w:sz w:val="24"/>
          <w:szCs w:val="24"/>
        </w:rPr>
        <w:t xml:space="preserve"> mere</w:t>
      </w:r>
      <w:r w:rsidR="00146640">
        <w:rPr>
          <w:rFonts w:ascii="Arial" w:hAnsi="Arial" w:cs="Arial"/>
          <w:sz w:val="24"/>
          <w:szCs w:val="24"/>
        </w:rPr>
        <w:t xml:space="preserve"> fact that there are not enough accessible workplaces</w:t>
      </w:r>
      <w:r w:rsidR="002709AF">
        <w:rPr>
          <w:rFonts w:ascii="Arial" w:hAnsi="Arial" w:cs="Arial"/>
          <w:sz w:val="24"/>
          <w:szCs w:val="24"/>
        </w:rPr>
        <w:t>.</w:t>
      </w:r>
      <w:r w:rsidR="00146640">
        <w:rPr>
          <w:rFonts w:ascii="Arial" w:hAnsi="Arial" w:cs="Arial"/>
          <w:sz w:val="24"/>
          <w:szCs w:val="24"/>
        </w:rPr>
        <w:t xml:space="preserve"> </w:t>
      </w:r>
      <w:r w:rsidR="002709AF">
        <w:rPr>
          <w:rFonts w:ascii="Arial" w:hAnsi="Arial" w:cs="Arial"/>
          <w:sz w:val="24"/>
          <w:szCs w:val="24"/>
        </w:rPr>
        <w:t>This</w:t>
      </w:r>
      <w:r w:rsidR="00146640">
        <w:rPr>
          <w:rFonts w:ascii="Arial" w:hAnsi="Arial" w:cs="Arial"/>
          <w:sz w:val="24"/>
          <w:szCs w:val="24"/>
        </w:rPr>
        <w:t xml:space="preserve"> </w:t>
      </w:r>
      <w:r w:rsidR="002709AF">
        <w:rPr>
          <w:rFonts w:ascii="Arial" w:hAnsi="Arial" w:cs="Arial"/>
          <w:sz w:val="24"/>
          <w:szCs w:val="24"/>
        </w:rPr>
        <w:t>entails</w:t>
      </w:r>
      <w:r w:rsidR="00146640">
        <w:rPr>
          <w:rFonts w:ascii="Arial" w:hAnsi="Arial" w:cs="Arial"/>
          <w:sz w:val="24"/>
          <w:szCs w:val="24"/>
        </w:rPr>
        <w:t xml:space="preserve"> that they cannot gain the </w:t>
      </w:r>
      <w:r w:rsidR="002709AF">
        <w:rPr>
          <w:rFonts w:ascii="Arial" w:hAnsi="Arial" w:cs="Arial"/>
          <w:sz w:val="24"/>
          <w:szCs w:val="24"/>
        </w:rPr>
        <w:t xml:space="preserve">necessary </w:t>
      </w:r>
      <w:r w:rsidR="00146640">
        <w:rPr>
          <w:rFonts w:ascii="Arial" w:hAnsi="Arial" w:cs="Arial"/>
          <w:sz w:val="24"/>
          <w:szCs w:val="24"/>
        </w:rPr>
        <w:t xml:space="preserve">experience required to get </w:t>
      </w:r>
      <w:r w:rsidR="002709AF">
        <w:rPr>
          <w:rFonts w:ascii="Arial" w:hAnsi="Arial" w:cs="Arial"/>
          <w:sz w:val="24"/>
          <w:szCs w:val="24"/>
        </w:rPr>
        <w:t>competitive</w:t>
      </w:r>
      <w:r w:rsidR="00146640">
        <w:rPr>
          <w:rFonts w:ascii="Arial" w:hAnsi="Arial" w:cs="Arial"/>
          <w:sz w:val="24"/>
          <w:szCs w:val="24"/>
        </w:rPr>
        <w:t xml:space="preserve"> </w:t>
      </w:r>
      <w:r w:rsidR="00EC38FD">
        <w:rPr>
          <w:rFonts w:ascii="Arial" w:hAnsi="Arial" w:cs="Arial"/>
          <w:sz w:val="24"/>
          <w:szCs w:val="24"/>
        </w:rPr>
        <w:t>jobs.</w:t>
      </w:r>
      <w:r w:rsidR="003D1FC3" w:rsidRPr="003D1FC3">
        <w:rPr>
          <w:rFonts w:ascii="Arial" w:hAnsi="Arial" w:cs="Arial"/>
          <w:sz w:val="24"/>
          <w:szCs w:val="24"/>
        </w:rPr>
        <w:t xml:space="preserve"> </w:t>
      </w:r>
    </w:p>
    <w:p w14:paraId="341BC245" w14:textId="77777777" w:rsidR="00785E98" w:rsidRDefault="00785E98" w:rsidP="00EC2B6B">
      <w:pPr>
        <w:spacing w:after="0" w:line="360" w:lineRule="auto"/>
        <w:jc w:val="both"/>
        <w:rPr>
          <w:rFonts w:ascii="Arial" w:hAnsi="Arial" w:cs="Arial"/>
          <w:sz w:val="24"/>
          <w:szCs w:val="24"/>
        </w:rPr>
      </w:pPr>
    </w:p>
    <w:p w14:paraId="50F6FC85" w14:textId="535E32BC" w:rsidR="00857B94" w:rsidRDefault="002709AF" w:rsidP="00EC2B6B">
      <w:pPr>
        <w:spacing w:after="0" w:line="360" w:lineRule="auto"/>
        <w:jc w:val="both"/>
        <w:rPr>
          <w:rFonts w:ascii="Arial" w:hAnsi="Arial" w:cs="Arial"/>
          <w:sz w:val="24"/>
          <w:szCs w:val="24"/>
        </w:rPr>
      </w:pPr>
      <w:r>
        <w:rPr>
          <w:rFonts w:ascii="Arial" w:hAnsi="Arial" w:cs="Arial"/>
          <w:sz w:val="24"/>
          <w:szCs w:val="24"/>
        </w:rPr>
        <w:t>Within the</w:t>
      </w:r>
      <w:r w:rsidR="00857B94" w:rsidRPr="00857B94">
        <w:rPr>
          <w:rFonts w:ascii="Arial" w:hAnsi="Arial" w:cs="Arial"/>
          <w:sz w:val="24"/>
          <w:szCs w:val="24"/>
        </w:rPr>
        <w:t xml:space="preserve"> Namibian </w:t>
      </w:r>
      <w:r>
        <w:rPr>
          <w:rFonts w:ascii="Arial" w:hAnsi="Arial" w:cs="Arial"/>
          <w:sz w:val="24"/>
          <w:szCs w:val="24"/>
        </w:rPr>
        <w:t xml:space="preserve">context, the </w:t>
      </w:r>
      <w:r w:rsidR="00857B94" w:rsidRPr="00857B94">
        <w:rPr>
          <w:rFonts w:ascii="Arial" w:hAnsi="Arial" w:cs="Arial"/>
          <w:sz w:val="24"/>
          <w:szCs w:val="24"/>
        </w:rPr>
        <w:t xml:space="preserve">government has prioritized unemployment as a socio-economic </w:t>
      </w:r>
      <w:r>
        <w:rPr>
          <w:rFonts w:ascii="Arial" w:hAnsi="Arial" w:cs="Arial"/>
          <w:sz w:val="24"/>
          <w:szCs w:val="24"/>
        </w:rPr>
        <w:t>concern</w:t>
      </w:r>
      <w:r w:rsidR="00857B94" w:rsidRPr="00857B94">
        <w:rPr>
          <w:rFonts w:ascii="Arial" w:hAnsi="Arial" w:cs="Arial"/>
          <w:sz w:val="24"/>
          <w:szCs w:val="24"/>
        </w:rPr>
        <w:t xml:space="preserve"> and has since </w:t>
      </w:r>
      <w:r>
        <w:rPr>
          <w:rFonts w:ascii="Arial" w:hAnsi="Arial" w:cs="Arial"/>
          <w:sz w:val="24"/>
          <w:szCs w:val="24"/>
        </w:rPr>
        <w:t>employed various avenues to address the issue</w:t>
      </w:r>
      <w:r w:rsidR="003420CD">
        <w:rPr>
          <w:rFonts w:ascii="Arial" w:hAnsi="Arial" w:cs="Arial"/>
          <w:sz w:val="24"/>
          <w:szCs w:val="24"/>
        </w:rPr>
        <w:t xml:space="preserve"> such as </w:t>
      </w:r>
      <w:r w:rsidR="00146640">
        <w:rPr>
          <w:rFonts w:ascii="Arial" w:hAnsi="Arial" w:cs="Arial"/>
          <w:sz w:val="24"/>
          <w:szCs w:val="24"/>
        </w:rPr>
        <w:t>the Targeted Intervention Program for Employment and Economic Growth (TIPEEG)</w:t>
      </w:r>
      <w:r w:rsidR="003420CD">
        <w:rPr>
          <w:rFonts w:ascii="Arial" w:hAnsi="Arial" w:cs="Arial"/>
          <w:sz w:val="24"/>
          <w:szCs w:val="24"/>
        </w:rPr>
        <w:t>.</w:t>
      </w:r>
      <w:r w:rsidR="00146640">
        <w:rPr>
          <w:rFonts w:ascii="Arial" w:hAnsi="Arial" w:cs="Arial"/>
          <w:sz w:val="24"/>
          <w:szCs w:val="24"/>
        </w:rPr>
        <w:t xml:space="preserve"> </w:t>
      </w:r>
      <w:r w:rsidR="003420CD">
        <w:rPr>
          <w:rFonts w:ascii="Arial" w:hAnsi="Arial" w:cs="Arial"/>
          <w:sz w:val="24"/>
          <w:szCs w:val="24"/>
        </w:rPr>
        <w:t>Despite these efforts,</w:t>
      </w:r>
      <w:r w:rsidR="00146640">
        <w:rPr>
          <w:rFonts w:ascii="Arial" w:hAnsi="Arial" w:cs="Arial"/>
          <w:sz w:val="24"/>
          <w:szCs w:val="24"/>
        </w:rPr>
        <w:t xml:space="preserve"> the high levels of un</w:t>
      </w:r>
      <w:r w:rsidR="00857B94" w:rsidRPr="00857B94">
        <w:rPr>
          <w:rFonts w:ascii="Arial" w:hAnsi="Arial" w:cs="Arial"/>
          <w:sz w:val="24"/>
          <w:szCs w:val="24"/>
        </w:rPr>
        <w:t xml:space="preserve">employment </w:t>
      </w:r>
      <w:r w:rsidR="003420CD">
        <w:rPr>
          <w:rFonts w:ascii="Arial" w:hAnsi="Arial" w:cs="Arial"/>
          <w:sz w:val="24"/>
          <w:szCs w:val="24"/>
        </w:rPr>
        <w:t>still remain unabated</w:t>
      </w:r>
      <w:r w:rsidR="00857B94" w:rsidRPr="00857B94">
        <w:rPr>
          <w:rFonts w:ascii="Arial" w:hAnsi="Arial" w:cs="Arial"/>
          <w:sz w:val="24"/>
          <w:szCs w:val="24"/>
        </w:rPr>
        <w:t>.</w:t>
      </w:r>
      <w:r w:rsidR="00EC38FD">
        <w:rPr>
          <w:rFonts w:ascii="Arial" w:hAnsi="Arial" w:cs="Arial"/>
          <w:sz w:val="24"/>
          <w:szCs w:val="24"/>
        </w:rPr>
        <w:t xml:space="preserve"> </w:t>
      </w:r>
      <w:r w:rsidR="003420CD">
        <w:rPr>
          <w:rFonts w:ascii="Arial" w:hAnsi="Arial" w:cs="Arial"/>
          <w:sz w:val="24"/>
          <w:szCs w:val="24"/>
        </w:rPr>
        <w:t>In addition, t</w:t>
      </w:r>
      <w:r w:rsidR="00EC38FD">
        <w:rPr>
          <w:rFonts w:ascii="Arial" w:hAnsi="Arial" w:cs="Arial"/>
          <w:sz w:val="24"/>
          <w:szCs w:val="24"/>
        </w:rPr>
        <w:t xml:space="preserve">he Namibian Constitution </w:t>
      </w:r>
      <w:r w:rsidR="003420CD">
        <w:rPr>
          <w:rFonts w:ascii="Arial" w:hAnsi="Arial" w:cs="Arial"/>
          <w:sz w:val="24"/>
          <w:szCs w:val="24"/>
        </w:rPr>
        <w:t xml:space="preserve">also </w:t>
      </w:r>
      <w:r w:rsidR="00EC38FD">
        <w:rPr>
          <w:rFonts w:ascii="Arial" w:hAnsi="Arial" w:cs="Arial"/>
          <w:sz w:val="24"/>
          <w:szCs w:val="24"/>
        </w:rPr>
        <w:t xml:space="preserve">provides for </w:t>
      </w:r>
      <w:r w:rsidR="003420CD">
        <w:rPr>
          <w:rFonts w:ascii="Arial" w:hAnsi="Arial" w:cs="Arial"/>
          <w:sz w:val="24"/>
          <w:szCs w:val="24"/>
        </w:rPr>
        <w:t>A</w:t>
      </w:r>
      <w:r w:rsidR="00EC38FD">
        <w:rPr>
          <w:rFonts w:ascii="Arial" w:hAnsi="Arial" w:cs="Arial"/>
          <w:sz w:val="24"/>
          <w:szCs w:val="24"/>
        </w:rPr>
        <w:t xml:space="preserve">ffirmative </w:t>
      </w:r>
      <w:r w:rsidR="003420CD">
        <w:rPr>
          <w:rFonts w:ascii="Arial" w:hAnsi="Arial" w:cs="Arial"/>
          <w:sz w:val="24"/>
          <w:szCs w:val="24"/>
        </w:rPr>
        <w:t>A</w:t>
      </w:r>
      <w:r w:rsidR="00EC38FD">
        <w:rPr>
          <w:rFonts w:ascii="Arial" w:hAnsi="Arial" w:cs="Arial"/>
          <w:sz w:val="24"/>
          <w:szCs w:val="24"/>
        </w:rPr>
        <w:t xml:space="preserve">ction in Article 23 </w:t>
      </w:r>
      <w:r w:rsidR="003420CD">
        <w:rPr>
          <w:rFonts w:ascii="Arial" w:hAnsi="Arial" w:cs="Arial"/>
          <w:sz w:val="24"/>
          <w:szCs w:val="24"/>
        </w:rPr>
        <w:t>which</w:t>
      </w:r>
      <w:r w:rsidR="00EC38FD">
        <w:rPr>
          <w:rFonts w:ascii="Arial" w:hAnsi="Arial" w:cs="Arial"/>
          <w:sz w:val="24"/>
          <w:szCs w:val="24"/>
        </w:rPr>
        <w:t xml:space="preserve"> is a </w:t>
      </w:r>
      <w:r w:rsidR="003420CD">
        <w:rPr>
          <w:rFonts w:ascii="Arial" w:hAnsi="Arial" w:cs="Arial"/>
          <w:sz w:val="24"/>
          <w:szCs w:val="24"/>
        </w:rPr>
        <w:t>progressive piece of legislation towards curbing the unemployment of previously disadvantaged persons.</w:t>
      </w:r>
    </w:p>
    <w:p w14:paraId="078DF14E" w14:textId="77777777" w:rsidR="00785E98" w:rsidRDefault="00785E98" w:rsidP="00EC2B6B">
      <w:pPr>
        <w:spacing w:after="0" w:line="360" w:lineRule="auto"/>
        <w:jc w:val="both"/>
        <w:rPr>
          <w:rFonts w:ascii="Arial" w:hAnsi="Arial" w:cs="Arial"/>
          <w:b/>
          <w:sz w:val="24"/>
          <w:szCs w:val="24"/>
        </w:rPr>
      </w:pPr>
    </w:p>
    <w:p w14:paraId="2E425941" w14:textId="0D9FD7AF" w:rsidR="00D71392" w:rsidRPr="00785E98" w:rsidRDefault="00D71392" w:rsidP="00EC2B6B">
      <w:pPr>
        <w:spacing w:after="0" w:line="360" w:lineRule="auto"/>
        <w:jc w:val="both"/>
        <w:rPr>
          <w:rFonts w:ascii="Arial" w:hAnsi="Arial" w:cs="Arial"/>
          <w:b/>
          <w:sz w:val="24"/>
          <w:szCs w:val="24"/>
        </w:rPr>
      </w:pPr>
      <w:r w:rsidRPr="00785E98">
        <w:rPr>
          <w:rFonts w:ascii="Arial" w:hAnsi="Arial" w:cs="Arial"/>
          <w:b/>
          <w:sz w:val="24"/>
          <w:szCs w:val="24"/>
        </w:rPr>
        <w:t xml:space="preserve">Access to </w:t>
      </w:r>
      <w:r w:rsidR="00785E98">
        <w:rPr>
          <w:rFonts w:ascii="Arial" w:hAnsi="Arial" w:cs="Arial"/>
          <w:b/>
          <w:sz w:val="24"/>
          <w:szCs w:val="24"/>
        </w:rPr>
        <w:t>H</w:t>
      </w:r>
      <w:r w:rsidRPr="00785E98">
        <w:rPr>
          <w:rFonts w:ascii="Arial" w:hAnsi="Arial" w:cs="Arial"/>
          <w:b/>
          <w:sz w:val="24"/>
          <w:szCs w:val="24"/>
        </w:rPr>
        <w:t xml:space="preserve">ealth </w:t>
      </w:r>
      <w:r w:rsidR="00785E98">
        <w:rPr>
          <w:rFonts w:ascii="Arial" w:hAnsi="Arial" w:cs="Arial"/>
          <w:b/>
          <w:sz w:val="24"/>
          <w:szCs w:val="24"/>
        </w:rPr>
        <w:t>C</w:t>
      </w:r>
      <w:r w:rsidRPr="00785E98">
        <w:rPr>
          <w:rFonts w:ascii="Arial" w:hAnsi="Arial" w:cs="Arial"/>
          <w:b/>
          <w:sz w:val="24"/>
          <w:szCs w:val="24"/>
        </w:rPr>
        <w:t>are</w:t>
      </w:r>
    </w:p>
    <w:p w14:paraId="2C756E2C" w14:textId="192DED38" w:rsidR="003D7689" w:rsidRDefault="003420CD" w:rsidP="00EC2B6B">
      <w:pPr>
        <w:spacing w:after="0" w:line="360" w:lineRule="auto"/>
        <w:jc w:val="both"/>
        <w:rPr>
          <w:rFonts w:ascii="Arial" w:hAnsi="Arial" w:cs="Arial"/>
          <w:sz w:val="24"/>
          <w:szCs w:val="24"/>
        </w:rPr>
      </w:pPr>
      <w:r>
        <w:rPr>
          <w:rFonts w:ascii="Arial" w:hAnsi="Arial" w:cs="Arial"/>
          <w:sz w:val="24"/>
          <w:szCs w:val="24"/>
        </w:rPr>
        <w:t>Pertaining the notion of access to health care,</w:t>
      </w:r>
      <w:r w:rsidR="00351F87">
        <w:rPr>
          <w:rFonts w:ascii="Arial" w:hAnsi="Arial" w:cs="Arial"/>
          <w:sz w:val="24"/>
          <w:szCs w:val="24"/>
        </w:rPr>
        <w:t xml:space="preserve"> p</w:t>
      </w:r>
      <w:r w:rsidR="003D1FC3" w:rsidRPr="003D1FC3">
        <w:rPr>
          <w:rFonts w:ascii="Arial" w:hAnsi="Arial" w:cs="Arial"/>
          <w:sz w:val="24"/>
          <w:szCs w:val="24"/>
        </w:rPr>
        <w:t>ublic spending on health is not perceived as a form of investment, therefore young people encounter obstacles in accessing health s</w:t>
      </w:r>
      <w:r w:rsidR="00B252E9">
        <w:rPr>
          <w:rFonts w:ascii="Arial" w:hAnsi="Arial" w:cs="Arial"/>
          <w:sz w:val="24"/>
          <w:szCs w:val="24"/>
        </w:rPr>
        <w:t>ervices, either because they</w:t>
      </w:r>
      <w:r w:rsidR="003D1FC3" w:rsidRPr="003D1FC3">
        <w:rPr>
          <w:rFonts w:ascii="Arial" w:hAnsi="Arial" w:cs="Arial"/>
          <w:sz w:val="24"/>
          <w:szCs w:val="24"/>
        </w:rPr>
        <w:t xml:space="preserve"> do not exist or because they are expensive, inaccessible, unaffordable, and/or </w:t>
      </w:r>
      <w:r>
        <w:rPr>
          <w:rFonts w:ascii="Arial" w:hAnsi="Arial" w:cs="Arial"/>
          <w:sz w:val="24"/>
          <w:szCs w:val="24"/>
        </w:rPr>
        <w:t>in</w:t>
      </w:r>
      <w:r w:rsidR="003D1FC3" w:rsidRPr="003D1FC3">
        <w:rPr>
          <w:rFonts w:ascii="Arial" w:hAnsi="Arial" w:cs="Arial"/>
          <w:sz w:val="24"/>
          <w:szCs w:val="24"/>
        </w:rPr>
        <w:t xml:space="preserve">sufficiently </w:t>
      </w:r>
      <w:r>
        <w:rPr>
          <w:rFonts w:ascii="Arial" w:hAnsi="Arial" w:cs="Arial"/>
          <w:sz w:val="24"/>
          <w:szCs w:val="24"/>
        </w:rPr>
        <w:t>marketed</w:t>
      </w:r>
      <w:r w:rsidR="003D1FC3" w:rsidRPr="003D1FC3">
        <w:rPr>
          <w:rFonts w:ascii="Arial" w:hAnsi="Arial" w:cs="Arial"/>
          <w:sz w:val="24"/>
          <w:szCs w:val="24"/>
        </w:rPr>
        <w:t>.</w:t>
      </w:r>
      <w:r w:rsidR="003D1FC3">
        <w:rPr>
          <w:rFonts w:ascii="Arial" w:hAnsi="Arial" w:cs="Arial"/>
          <w:sz w:val="24"/>
          <w:szCs w:val="24"/>
        </w:rPr>
        <w:t xml:space="preserve"> </w:t>
      </w:r>
      <w:r w:rsidR="00B252E9" w:rsidRPr="00B252E9">
        <w:rPr>
          <w:rFonts w:ascii="Arial" w:hAnsi="Arial" w:cs="Arial"/>
          <w:sz w:val="24"/>
          <w:szCs w:val="24"/>
        </w:rPr>
        <w:t xml:space="preserve">Despite </w:t>
      </w:r>
      <w:r>
        <w:rPr>
          <w:rFonts w:ascii="Arial" w:hAnsi="Arial" w:cs="Arial"/>
          <w:sz w:val="24"/>
          <w:szCs w:val="24"/>
        </w:rPr>
        <w:t>numerous</w:t>
      </w:r>
      <w:r w:rsidR="00B252E9" w:rsidRPr="00B252E9">
        <w:rPr>
          <w:rFonts w:ascii="Arial" w:hAnsi="Arial" w:cs="Arial"/>
          <w:sz w:val="24"/>
          <w:szCs w:val="24"/>
        </w:rPr>
        <w:t xml:space="preserve"> available health and social welfare </w:t>
      </w:r>
      <w:r>
        <w:rPr>
          <w:rFonts w:ascii="Arial" w:hAnsi="Arial" w:cs="Arial"/>
          <w:sz w:val="24"/>
          <w:szCs w:val="24"/>
        </w:rPr>
        <w:t>stations</w:t>
      </w:r>
      <w:r w:rsidR="00B252E9" w:rsidRPr="00B252E9">
        <w:rPr>
          <w:rFonts w:ascii="Arial" w:hAnsi="Arial" w:cs="Arial"/>
          <w:sz w:val="24"/>
          <w:szCs w:val="24"/>
        </w:rPr>
        <w:t xml:space="preserve">, access to health care is a concern for a large number of Namibians due to </w:t>
      </w:r>
      <w:r>
        <w:rPr>
          <w:rFonts w:ascii="Arial" w:hAnsi="Arial" w:cs="Arial"/>
          <w:sz w:val="24"/>
          <w:szCs w:val="24"/>
        </w:rPr>
        <w:t>their geographical locations and remoteness</w:t>
      </w:r>
      <w:r w:rsidR="00B252E9" w:rsidRPr="00B252E9">
        <w:rPr>
          <w:rFonts w:ascii="Arial" w:hAnsi="Arial" w:cs="Arial"/>
          <w:sz w:val="24"/>
          <w:szCs w:val="24"/>
        </w:rPr>
        <w:t xml:space="preserve">. Overall, there are three health workers per 1000 </w:t>
      </w:r>
      <w:r>
        <w:rPr>
          <w:rFonts w:ascii="Arial" w:hAnsi="Arial" w:cs="Arial"/>
          <w:sz w:val="24"/>
          <w:szCs w:val="24"/>
        </w:rPr>
        <w:t>people</w:t>
      </w:r>
      <w:r w:rsidR="00B252E9" w:rsidRPr="00B252E9">
        <w:rPr>
          <w:rFonts w:ascii="Arial" w:hAnsi="Arial" w:cs="Arial"/>
          <w:sz w:val="24"/>
          <w:szCs w:val="24"/>
        </w:rPr>
        <w:t>, slightly above the WHO recommendation.</w:t>
      </w:r>
      <w:r w:rsidR="00785E98">
        <w:rPr>
          <w:rFonts w:ascii="Arial" w:hAnsi="Arial" w:cs="Arial"/>
          <w:sz w:val="24"/>
          <w:szCs w:val="24"/>
        </w:rPr>
        <w:t xml:space="preserve"> </w:t>
      </w:r>
      <w:r>
        <w:rPr>
          <w:rFonts w:ascii="Arial" w:hAnsi="Arial" w:cs="Arial"/>
          <w:sz w:val="24"/>
          <w:szCs w:val="24"/>
        </w:rPr>
        <w:t>To illustrate the interconnected nature of the foregoing social challenges faced by the Youth in Namibia, it is self-evident that a</w:t>
      </w:r>
      <w:r w:rsidR="00B252E9">
        <w:rPr>
          <w:rFonts w:ascii="Arial" w:hAnsi="Arial" w:cs="Arial"/>
          <w:sz w:val="24"/>
          <w:szCs w:val="24"/>
        </w:rPr>
        <w:t>s a result of youth unemployment, the youth can</w:t>
      </w:r>
      <w:r>
        <w:rPr>
          <w:rFonts w:ascii="Arial" w:hAnsi="Arial" w:cs="Arial"/>
          <w:sz w:val="24"/>
          <w:szCs w:val="24"/>
        </w:rPr>
        <w:t>not</w:t>
      </w:r>
      <w:r w:rsidR="00B252E9">
        <w:rPr>
          <w:rFonts w:ascii="Arial" w:hAnsi="Arial" w:cs="Arial"/>
          <w:sz w:val="24"/>
          <w:szCs w:val="24"/>
        </w:rPr>
        <w:t xml:space="preserve"> afford medical aid or basic health care </w:t>
      </w:r>
      <w:r>
        <w:rPr>
          <w:rFonts w:ascii="Arial" w:hAnsi="Arial" w:cs="Arial"/>
          <w:sz w:val="24"/>
          <w:szCs w:val="24"/>
        </w:rPr>
        <w:t xml:space="preserve">services. </w:t>
      </w:r>
    </w:p>
    <w:p w14:paraId="2DAEB187" w14:textId="77777777" w:rsidR="00785E98" w:rsidRDefault="00785E98" w:rsidP="00EC2B6B">
      <w:pPr>
        <w:spacing w:after="0" w:line="360" w:lineRule="auto"/>
        <w:jc w:val="both"/>
        <w:rPr>
          <w:rFonts w:ascii="Arial" w:hAnsi="Arial" w:cs="Arial"/>
          <w:b/>
          <w:sz w:val="24"/>
          <w:szCs w:val="24"/>
        </w:rPr>
      </w:pPr>
    </w:p>
    <w:p w14:paraId="30105072" w14:textId="2F09FFFF" w:rsidR="003D1FC3" w:rsidRPr="00785E98" w:rsidRDefault="003D1FC3" w:rsidP="00EC2B6B">
      <w:pPr>
        <w:spacing w:after="0" w:line="360" w:lineRule="auto"/>
        <w:jc w:val="both"/>
        <w:rPr>
          <w:rFonts w:ascii="Arial" w:hAnsi="Arial" w:cs="Arial"/>
          <w:b/>
          <w:sz w:val="24"/>
          <w:szCs w:val="24"/>
        </w:rPr>
      </w:pPr>
      <w:r w:rsidRPr="00785E98">
        <w:rPr>
          <w:rFonts w:ascii="Arial" w:hAnsi="Arial" w:cs="Arial"/>
          <w:b/>
          <w:sz w:val="24"/>
          <w:szCs w:val="24"/>
        </w:rPr>
        <w:t>Right to Housing</w:t>
      </w:r>
    </w:p>
    <w:p w14:paraId="0BEBD1A8" w14:textId="42BBA03F" w:rsidR="00EC2B6B" w:rsidRPr="00EC2B6B" w:rsidRDefault="003420CD" w:rsidP="00EC2B6B">
      <w:pPr>
        <w:spacing w:after="0" w:line="360" w:lineRule="auto"/>
        <w:rPr>
          <w:rFonts w:ascii="Times New Roman" w:eastAsia="Times New Roman" w:hAnsi="Times New Roman" w:cs="Times New Roman"/>
          <w:sz w:val="24"/>
          <w:szCs w:val="24"/>
        </w:rPr>
      </w:pPr>
      <w:r>
        <w:rPr>
          <w:rFonts w:ascii="Arial" w:hAnsi="Arial" w:cs="Arial"/>
          <w:sz w:val="24"/>
          <w:szCs w:val="24"/>
        </w:rPr>
        <w:t xml:space="preserve">The excessive commercialization of housing as a fundamental human right in Namibia means that the </w:t>
      </w:r>
      <w:r w:rsidR="00351F87">
        <w:rPr>
          <w:rFonts w:ascii="Arial" w:hAnsi="Arial" w:cs="Arial"/>
          <w:sz w:val="24"/>
          <w:szCs w:val="24"/>
        </w:rPr>
        <w:t xml:space="preserve">average </w:t>
      </w:r>
      <w:r>
        <w:rPr>
          <w:rFonts w:ascii="Arial" w:hAnsi="Arial" w:cs="Arial"/>
          <w:sz w:val="24"/>
          <w:szCs w:val="24"/>
        </w:rPr>
        <w:t>Namibia</w:t>
      </w:r>
      <w:r w:rsidR="003B519E">
        <w:rPr>
          <w:rFonts w:ascii="Arial" w:hAnsi="Arial" w:cs="Arial"/>
          <w:sz w:val="24"/>
          <w:szCs w:val="24"/>
        </w:rPr>
        <w:t>n</w:t>
      </w:r>
      <w:r>
        <w:rPr>
          <w:rFonts w:ascii="Arial" w:hAnsi="Arial" w:cs="Arial"/>
          <w:sz w:val="24"/>
          <w:szCs w:val="24"/>
        </w:rPr>
        <w:t xml:space="preserve"> aged 18-35</w:t>
      </w:r>
      <w:r w:rsidR="00351F87">
        <w:rPr>
          <w:rFonts w:ascii="Arial" w:hAnsi="Arial" w:cs="Arial"/>
          <w:sz w:val="24"/>
          <w:szCs w:val="24"/>
        </w:rPr>
        <w:t xml:space="preserve"> </w:t>
      </w:r>
      <w:r w:rsidR="003B519E">
        <w:rPr>
          <w:rFonts w:ascii="Arial" w:hAnsi="Arial" w:cs="Arial"/>
          <w:sz w:val="24"/>
          <w:szCs w:val="24"/>
        </w:rPr>
        <w:t>cannot own a proper housing facility</w:t>
      </w:r>
      <w:r w:rsidR="00351F87">
        <w:rPr>
          <w:rFonts w:ascii="Arial" w:hAnsi="Arial" w:cs="Arial"/>
          <w:sz w:val="24"/>
          <w:szCs w:val="24"/>
        </w:rPr>
        <w:t>.</w:t>
      </w:r>
      <w:r w:rsidR="003B519E">
        <w:rPr>
          <w:rFonts w:ascii="Arial" w:hAnsi="Arial" w:cs="Arial"/>
          <w:sz w:val="24"/>
          <w:szCs w:val="24"/>
        </w:rPr>
        <w:t xml:space="preserve"> This is precedented in the fact that</w:t>
      </w:r>
      <w:r w:rsidR="00453A37">
        <w:rPr>
          <w:rFonts w:ascii="Arial" w:hAnsi="Arial" w:cs="Arial"/>
          <w:sz w:val="24"/>
          <w:szCs w:val="24"/>
        </w:rPr>
        <w:t xml:space="preserve"> </w:t>
      </w:r>
      <w:r w:rsidR="00EC2B6B">
        <w:rPr>
          <w:rFonts w:ascii="Arial" w:hAnsi="Arial" w:cs="Arial"/>
          <w:sz w:val="24"/>
          <w:szCs w:val="24"/>
        </w:rPr>
        <w:t xml:space="preserve">housing in </w:t>
      </w:r>
      <w:r w:rsidR="00EC2B6B" w:rsidRPr="00EC2B6B">
        <w:rPr>
          <w:rFonts w:ascii="Arial" w:hAnsi="Arial" w:cs="Arial"/>
          <w:sz w:val="24"/>
          <w:szCs w:val="24"/>
        </w:rPr>
        <w:t>Namibia r</w:t>
      </w:r>
      <w:r w:rsidR="00EC2B6B" w:rsidRPr="00EC2B6B">
        <w:rPr>
          <w:rFonts w:ascii="Arial" w:eastAsia="Times New Roman" w:hAnsi="Arial" w:cs="Arial"/>
          <w:sz w:val="24"/>
          <w:szCs w:val="24"/>
        </w:rPr>
        <w:t>ecorded the second highest house price growth in the world, second only to Dubai in 2014.</w:t>
      </w:r>
      <w:r w:rsidR="00EC2B6B" w:rsidRPr="00EC2B6B">
        <w:rPr>
          <w:rFonts w:ascii="Times New Roman" w:eastAsia="Times New Roman" w:hAnsi="Times New Roman" w:cs="Times New Roman"/>
          <w:sz w:val="24"/>
          <w:szCs w:val="24"/>
        </w:rPr>
        <w:t xml:space="preserve"> </w:t>
      </w:r>
    </w:p>
    <w:p w14:paraId="7CEB03AC" w14:textId="08567372" w:rsidR="00453A37" w:rsidRDefault="00453A37" w:rsidP="00EC2B6B">
      <w:pPr>
        <w:spacing w:after="0" w:line="360" w:lineRule="auto"/>
        <w:jc w:val="both"/>
        <w:rPr>
          <w:rFonts w:ascii="Arial" w:hAnsi="Arial" w:cs="Arial"/>
          <w:sz w:val="24"/>
          <w:szCs w:val="24"/>
        </w:rPr>
      </w:pPr>
    </w:p>
    <w:p w14:paraId="2A0FFC6A" w14:textId="77777777" w:rsidR="00785E98" w:rsidRDefault="00785E98" w:rsidP="00785E98">
      <w:pPr>
        <w:spacing w:after="0" w:line="360" w:lineRule="auto"/>
        <w:jc w:val="both"/>
        <w:rPr>
          <w:rFonts w:ascii="Arial" w:hAnsi="Arial" w:cs="Arial"/>
          <w:b/>
          <w:sz w:val="24"/>
          <w:szCs w:val="24"/>
        </w:rPr>
      </w:pPr>
    </w:p>
    <w:p w14:paraId="5EF8CAA7" w14:textId="09FC2B26" w:rsidR="003D1FC3" w:rsidRPr="00785E98" w:rsidRDefault="003D1FC3" w:rsidP="00785E98">
      <w:pPr>
        <w:spacing w:after="0" w:line="360" w:lineRule="auto"/>
        <w:jc w:val="both"/>
        <w:rPr>
          <w:rFonts w:ascii="Arial" w:hAnsi="Arial" w:cs="Arial"/>
          <w:b/>
          <w:sz w:val="24"/>
          <w:szCs w:val="24"/>
        </w:rPr>
      </w:pPr>
      <w:r w:rsidRPr="00785E98">
        <w:rPr>
          <w:rFonts w:ascii="Arial" w:hAnsi="Arial" w:cs="Arial"/>
          <w:b/>
          <w:sz w:val="24"/>
          <w:szCs w:val="24"/>
        </w:rPr>
        <w:lastRenderedPageBreak/>
        <w:t>Child Marriage</w:t>
      </w:r>
    </w:p>
    <w:p w14:paraId="0F5B5BB5" w14:textId="00DB49C5" w:rsidR="00AC629D" w:rsidRPr="00AC629D" w:rsidRDefault="00453A37" w:rsidP="00785E98">
      <w:pPr>
        <w:spacing w:after="0" w:line="360" w:lineRule="auto"/>
        <w:jc w:val="both"/>
        <w:rPr>
          <w:rFonts w:ascii="Arial" w:hAnsi="Arial" w:cs="Arial"/>
          <w:sz w:val="24"/>
          <w:szCs w:val="24"/>
        </w:rPr>
      </w:pPr>
      <w:r>
        <w:rPr>
          <w:rFonts w:ascii="Arial" w:hAnsi="Arial" w:cs="Arial"/>
          <w:sz w:val="24"/>
          <w:szCs w:val="24"/>
        </w:rPr>
        <w:t>According to the Child Marriage Report launched on the 29</w:t>
      </w:r>
      <w:r w:rsidRPr="00453A37">
        <w:rPr>
          <w:rFonts w:ascii="Arial" w:hAnsi="Arial" w:cs="Arial"/>
          <w:sz w:val="24"/>
          <w:szCs w:val="24"/>
          <w:vertAlign w:val="superscript"/>
        </w:rPr>
        <w:t>th</w:t>
      </w:r>
      <w:r>
        <w:rPr>
          <w:rFonts w:ascii="Arial" w:hAnsi="Arial" w:cs="Arial"/>
          <w:sz w:val="24"/>
          <w:szCs w:val="24"/>
        </w:rPr>
        <w:t xml:space="preserve"> of October 2020 by t</w:t>
      </w:r>
      <w:r w:rsidR="003D7689" w:rsidRPr="003D7689">
        <w:rPr>
          <w:rFonts w:ascii="Arial" w:hAnsi="Arial" w:cs="Arial"/>
          <w:sz w:val="24"/>
          <w:szCs w:val="24"/>
        </w:rPr>
        <w:t xml:space="preserve">he Ministry of Gender Equality, Poverty Eradication and Social Welfare </w:t>
      </w:r>
      <w:r>
        <w:rPr>
          <w:rFonts w:ascii="Arial" w:hAnsi="Arial" w:cs="Arial"/>
          <w:sz w:val="24"/>
          <w:szCs w:val="24"/>
        </w:rPr>
        <w:t xml:space="preserve">(MGEPESW), </w:t>
      </w:r>
      <w:r w:rsidR="003D7689" w:rsidRPr="003D7689">
        <w:rPr>
          <w:rFonts w:ascii="Arial" w:hAnsi="Arial" w:cs="Arial"/>
          <w:sz w:val="24"/>
          <w:szCs w:val="24"/>
        </w:rPr>
        <w:t>the United Nat</w:t>
      </w:r>
      <w:r w:rsidR="003D7689">
        <w:rPr>
          <w:rFonts w:ascii="Arial" w:hAnsi="Arial" w:cs="Arial"/>
          <w:sz w:val="24"/>
          <w:szCs w:val="24"/>
        </w:rPr>
        <w:t xml:space="preserve">ions Populations Fund (UNFPA), </w:t>
      </w:r>
      <w:r w:rsidR="003B519E">
        <w:rPr>
          <w:rFonts w:ascii="Arial" w:hAnsi="Arial" w:cs="Arial"/>
          <w:sz w:val="24"/>
          <w:szCs w:val="24"/>
        </w:rPr>
        <w:t xml:space="preserve">the </w:t>
      </w:r>
      <w:r w:rsidR="003D7689" w:rsidRPr="003D7689">
        <w:rPr>
          <w:rFonts w:ascii="Arial" w:hAnsi="Arial" w:cs="Arial"/>
          <w:sz w:val="24"/>
          <w:szCs w:val="24"/>
        </w:rPr>
        <w:t>United Nations Children’s Fun</w:t>
      </w:r>
      <w:r>
        <w:rPr>
          <w:rFonts w:ascii="Arial" w:hAnsi="Arial" w:cs="Arial"/>
          <w:sz w:val="24"/>
          <w:szCs w:val="24"/>
        </w:rPr>
        <w:t xml:space="preserve">d (UNICEF) and the Global Fund, </w:t>
      </w:r>
      <w:r w:rsidR="003D7689" w:rsidRPr="003D7689">
        <w:rPr>
          <w:rFonts w:ascii="Arial" w:hAnsi="Arial" w:cs="Arial"/>
          <w:sz w:val="24"/>
          <w:szCs w:val="24"/>
        </w:rPr>
        <w:t>the prevalence of child marriage among girls in Namibia is 18.4%, while</w:t>
      </w:r>
      <w:r w:rsidR="003B519E">
        <w:rPr>
          <w:rFonts w:ascii="Arial" w:hAnsi="Arial" w:cs="Arial"/>
          <w:sz w:val="24"/>
          <w:szCs w:val="24"/>
        </w:rPr>
        <w:t xml:space="preserve"> </w:t>
      </w:r>
      <w:r w:rsidR="003D7689" w:rsidRPr="003D7689">
        <w:rPr>
          <w:rFonts w:ascii="Arial" w:hAnsi="Arial" w:cs="Arial"/>
          <w:sz w:val="24"/>
          <w:szCs w:val="24"/>
        </w:rPr>
        <w:t>for boys it is considerably lower at 4.1%.</w:t>
      </w:r>
      <w:r>
        <w:rPr>
          <w:rFonts w:ascii="Arial" w:hAnsi="Arial" w:cs="Arial"/>
          <w:sz w:val="24"/>
          <w:szCs w:val="24"/>
        </w:rPr>
        <w:t xml:space="preserve"> The key drivers of child marriage in Namibia include</w:t>
      </w:r>
      <w:r w:rsidR="003B519E">
        <w:rPr>
          <w:rFonts w:ascii="Arial" w:hAnsi="Arial" w:cs="Arial"/>
          <w:sz w:val="24"/>
          <w:szCs w:val="24"/>
        </w:rPr>
        <w:t xml:space="preserve"> </w:t>
      </w:r>
      <w:r>
        <w:rPr>
          <w:rFonts w:ascii="Arial" w:hAnsi="Arial" w:cs="Arial"/>
          <w:sz w:val="24"/>
          <w:szCs w:val="24"/>
        </w:rPr>
        <w:t>poverty, cultur</w:t>
      </w:r>
      <w:r w:rsidR="003B519E">
        <w:rPr>
          <w:rFonts w:ascii="Arial" w:hAnsi="Arial" w:cs="Arial"/>
          <w:sz w:val="24"/>
          <w:szCs w:val="24"/>
        </w:rPr>
        <w:t>al</w:t>
      </w:r>
      <w:r>
        <w:rPr>
          <w:rFonts w:ascii="Arial" w:hAnsi="Arial" w:cs="Arial"/>
          <w:sz w:val="24"/>
          <w:szCs w:val="24"/>
        </w:rPr>
        <w:t xml:space="preserve"> </w:t>
      </w:r>
      <w:r w:rsidR="003B519E">
        <w:rPr>
          <w:rFonts w:ascii="Arial" w:hAnsi="Arial" w:cs="Arial"/>
          <w:sz w:val="24"/>
          <w:szCs w:val="24"/>
        </w:rPr>
        <w:t>norms</w:t>
      </w:r>
      <w:r>
        <w:rPr>
          <w:rFonts w:ascii="Arial" w:hAnsi="Arial" w:cs="Arial"/>
          <w:sz w:val="24"/>
          <w:szCs w:val="24"/>
        </w:rPr>
        <w:t>, teenage pregnancy and</w:t>
      </w:r>
      <w:r w:rsidR="003B519E">
        <w:rPr>
          <w:rFonts w:ascii="Arial" w:hAnsi="Arial" w:cs="Arial"/>
          <w:sz w:val="24"/>
          <w:szCs w:val="24"/>
        </w:rPr>
        <w:t xml:space="preserve"> the</w:t>
      </w:r>
      <w:r>
        <w:rPr>
          <w:rFonts w:ascii="Arial" w:hAnsi="Arial" w:cs="Arial"/>
          <w:sz w:val="24"/>
          <w:szCs w:val="24"/>
        </w:rPr>
        <w:t xml:space="preserve"> lack of educational opportunities. The estimated age for marriage or cohabitation is 11 years and the consequence </w:t>
      </w:r>
      <w:proofErr w:type="gramStart"/>
      <w:r>
        <w:rPr>
          <w:rFonts w:ascii="Arial" w:hAnsi="Arial" w:cs="Arial"/>
          <w:sz w:val="24"/>
          <w:szCs w:val="24"/>
        </w:rPr>
        <w:t>is</w:t>
      </w:r>
      <w:proofErr w:type="gramEnd"/>
      <w:r>
        <w:rPr>
          <w:rFonts w:ascii="Arial" w:hAnsi="Arial" w:cs="Arial"/>
          <w:sz w:val="24"/>
          <w:szCs w:val="24"/>
        </w:rPr>
        <w:t xml:space="preserve"> that it leads to an increase in gender-based violence (GBV), poor educational attainment</w:t>
      </w:r>
      <w:r w:rsidR="00267D05">
        <w:rPr>
          <w:rFonts w:ascii="Arial" w:hAnsi="Arial" w:cs="Arial"/>
          <w:sz w:val="24"/>
          <w:szCs w:val="24"/>
        </w:rPr>
        <w:t>,</w:t>
      </w:r>
      <w:r w:rsidR="003B519E">
        <w:rPr>
          <w:rFonts w:ascii="Arial" w:hAnsi="Arial" w:cs="Arial"/>
          <w:sz w:val="24"/>
          <w:szCs w:val="24"/>
        </w:rPr>
        <w:t xml:space="preserve"> </w:t>
      </w:r>
      <w:r w:rsidR="003D7689" w:rsidRPr="003D7689">
        <w:rPr>
          <w:rFonts w:ascii="Arial" w:hAnsi="Arial" w:cs="Arial"/>
          <w:sz w:val="24"/>
          <w:szCs w:val="24"/>
        </w:rPr>
        <w:t xml:space="preserve">poor sexual and reproductive health outcomes, physical, emotional and sexual abuse, deprivation of childhood experiences and </w:t>
      </w:r>
      <w:r w:rsidR="003B519E">
        <w:rPr>
          <w:rFonts w:ascii="Arial" w:hAnsi="Arial" w:cs="Arial"/>
          <w:sz w:val="24"/>
          <w:szCs w:val="24"/>
        </w:rPr>
        <w:t xml:space="preserve">the </w:t>
      </w:r>
      <w:r w:rsidR="003D7689" w:rsidRPr="003D7689">
        <w:rPr>
          <w:rFonts w:ascii="Arial" w:hAnsi="Arial" w:cs="Arial"/>
          <w:sz w:val="24"/>
          <w:szCs w:val="24"/>
        </w:rPr>
        <w:t>abandonment by husbands</w:t>
      </w:r>
      <w:r w:rsidR="003D7689">
        <w:rPr>
          <w:rFonts w:ascii="Arial" w:hAnsi="Arial" w:cs="Arial"/>
          <w:sz w:val="24"/>
          <w:szCs w:val="24"/>
        </w:rPr>
        <w:t>.</w:t>
      </w:r>
    </w:p>
    <w:p w14:paraId="059B638F" w14:textId="77777777" w:rsidR="00785E98" w:rsidRDefault="00785E98" w:rsidP="00785E98">
      <w:pPr>
        <w:spacing w:after="0" w:line="360" w:lineRule="auto"/>
        <w:jc w:val="both"/>
        <w:rPr>
          <w:rFonts w:ascii="Arial" w:hAnsi="Arial" w:cs="Arial"/>
          <w:b/>
          <w:sz w:val="24"/>
          <w:szCs w:val="24"/>
        </w:rPr>
      </w:pPr>
    </w:p>
    <w:p w14:paraId="3ED9E66D" w14:textId="265DB487" w:rsidR="00C771DB" w:rsidRDefault="00EC2B6B" w:rsidP="00785E98">
      <w:pPr>
        <w:spacing w:after="0" w:line="360" w:lineRule="auto"/>
        <w:jc w:val="both"/>
        <w:rPr>
          <w:rFonts w:ascii="Arial" w:hAnsi="Arial" w:cs="Arial"/>
          <w:b/>
          <w:sz w:val="24"/>
          <w:szCs w:val="24"/>
        </w:rPr>
      </w:pPr>
      <w:r>
        <w:rPr>
          <w:rFonts w:ascii="Arial" w:hAnsi="Arial" w:cs="Arial"/>
          <w:b/>
          <w:sz w:val="24"/>
          <w:szCs w:val="24"/>
        </w:rPr>
        <w:t xml:space="preserve">Conclusion and </w:t>
      </w:r>
      <w:r w:rsidR="00785E98">
        <w:rPr>
          <w:rFonts w:ascii="Arial" w:hAnsi="Arial" w:cs="Arial"/>
          <w:b/>
          <w:sz w:val="24"/>
          <w:szCs w:val="24"/>
        </w:rPr>
        <w:t>Recommendations at International level</w:t>
      </w:r>
    </w:p>
    <w:p w14:paraId="7A4ADA87" w14:textId="64419D74" w:rsidR="00A36162" w:rsidRDefault="00267D05" w:rsidP="00785E98">
      <w:pPr>
        <w:spacing w:after="0" w:line="360" w:lineRule="auto"/>
        <w:jc w:val="both"/>
        <w:rPr>
          <w:rFonts w:ascii="Arial" w:hAnsi="Arial" w:cs="Arial"/>
          <w:sz w:val="24"/>
          <w:szCs w:val="24"/>
        </w:rPr>
      </w:pPr>
      <w:r>
        <w:rPr>
          <w:rFonts w:ascii="Arial" w:hAnsi="Arial" w:cs="Arial"/>
          <w:sz w:val="24"/>
          <w:szCs w:val="24"/>
        </w:rPr>
        <w:t>The first step in the realisation of the right to work and social protection for the youth is ensuring well-resourced protection systems and strategies that will facilitate a smooth transition from education to employment.</w:t>
      </w:r>
      <w:r w:rsidR="00785E98">
        <w:rPr>
          <w:rFonts w:ascii="Arial" w:hAnsi="Arial" w:cs="Arial"/>
          <w:sz w:val="24"/>
          <w:szCs w:val="24"/>
        </w:rPr>
        <w:t xml:space="preserve"> </w:t>
      </w:r>
      <w:r w:rsidR="00C771DB" w:rsidRPr="00C771DB">
        <w:rPr>
          <w:rFonts w:ascii="Arial" w:hAnsi="Arial" w:cs="Arial"/>
          <w:sz w:val="24"/>
          <w:szCs w:val="24"/>
        </w:rPr>
        <w:t xml:space="preserve">The development and implementation of income support schemes targeting young people can help guarantee a decent standard </w:t>
      </w:r>
      <w:r w:rsidR="00146640">
        <w:rPr>
          <w:rFonts w:ascii="Arial" w:hAnsi="Arial" w:cs="Arial"/>
          <w:sz w:val="24"/>
          <w:szCs w:val="24"/>
        </w:rPr>
        <w:t>of living for youth</w:t>
      </w:r>
      <w:r w:rsidR="00C771DB" w:rsidRPr="00C771DB">
        <w:rPr>
          <w:rFonts w:ascii="Arial" w:hAnsi="Arial" w:cs="Arial"/>
          <w:sz w:val="24"/>
          <w:szCs w:val="24"/>
        </w:rPr>
        <w:t>.</w:t>
      </w:r>
      <w:r w:rsidR="00CF75E9">
        <w:rPr>
          <w:rFonts w:ascii="Arial" w:hAnsi="Arial" w:cs="Arial"/>
          <w:sz w:val="24"/>
          <w:szCs w:val="24"/>
        </w:rPr>
        <w:t xml:space="preserve"> </w:t>
      </w:r>
      <w:r w:rsidR="00E33054">
        <w:rPr>
          <w:rFonts w:ascii="Arial" w:hAnsi="Arial" w:cs="Arial"/>
          <w:sz w:val="24"/>
          <w:szCs w:val="24"/>
        </w:rPr>
        <w:t>Additionally</w:t>
      </w:r>
      <w:r w:rsidR="00C771DB" w:rsidRPr="00C771DB">
        <w:rPr>
          <w:rFonts w:ascii="Arial" w:hAnsi="Arial" w:cs="Arial"/>
          <w:sz w:val="24"/>
          <w:szCs w:val="24"/>
        </w:rPr>
        <w:t xml:space="preserve">, </w:t>
      </w:r>
      <w:r w:rsidR="00E33054">
        <w:rPr>
          <w:rFonts w:ascii="Arial" w:hAnsi="Arial" w:cs="Arial"/>
          <w:sz w:val="24"/>
          <w:szCs w:val="24"/>
        </w:rPr>
        <w:t>national governments</w:t>
      </w:r>
      <w:r w:rsidR="00C771DB" w:rsidRPr="00C771DB">
        <w:rPr>
          <w:rFonts w:ascii="Arial" w:hAnsi="Arial" w:cs="Arial"/>
          <w:sz w:val="24"/>
          <w:szCs w:val="24"/>
        </w:rPr>
        <w:t xml:space="preserve"> should </w:t>
      </w:r>
      <w:r w:rsidR="00E33054">
        <w:rPr>
          <w:rFonts w:ascii="Arial" w:hAnsi="Arial" w:cs="Arial"/>
          <w:sz w:val="24"/>
          <w:szCs w:val="24"/>
        </w:rPr>
        <w:t>promulgate laws on</w:t>
      </w:r>
      <w:r w:rsidR="00C771DB" w:rsidRPr="00C771DB">
        <w:rPr>
          <w:rFonts w:ascii="Arial" w:hAnsi="Arial" w:cs="Arial"/>
          <w:sz w:val="24"/>
          <w:szCs w:val="24"/>
        </w:rPr>
        <w:t xml:space="preserve"> the right to quality jobs through the regulation of non-standard and precarious forms of work, including through the prohibition of unpaid internships.</w:t>
      </w:r>
      <w:r w:rsidR="00AC629D">
        <w:rPr>
          <w:rFonts w:ascii="Arial" w:hAnsi="Arial" w:cs="Arial"/>
          <w:sz w:val="24"/>
          <w:szCs w:val="24"/>
        </w:rPr>
        <w:t xml:space="preserve"> </w:t>
      </w:r>
      <w:r w:rsidR="00E33054">
        <w:rPr>
          <w:rFonts w:ascii="Arial" w:hAnsi="Arial" w:cs="Arial"/>
          <w:sz w:val="24"/>
          <w:szCs w:val="24"/>
        </w:rPr>
        <w:t>National governments</w:t>
      </w:r>
      <w:r w:rsidR="00C771DB" w:rsidRPr="00C771DB">
        <w:rPr>
          <w:rFonts w:ascii="Arial" w:hAnsi="Arial" w:cs="Arial"/>
          <w:sz w:val="24"/>
          <w:szCs w:val="24"/>
        </w:rPr>
        <w:t xml:space="preserve"> should </w:t>
      </w:r>
      <w:r w:rsidR="00E33054">
        <w:rPr>
          <w:rFonts w:ascii="Arial" w:hAnsi="Arial" w:cs="Arial"/>
          <w:sz w:val="24"/>
          <w:szCs w:val="24"/>
        </w:rPr>
        <w:t xml:space="preserve">also </w:t>
      </w:r>
      <w:r w:rsidR="00C771DB" w:rsidRPr="00C771DB">
        <w:rPr>
          <w:rFonts w:ascii="Arial" w:hAnsi="Arial" w:cs="Arial"/>
          <w:sz w:val="24"/>
          <w:szCs w:val="24"/>
        </w:rPr>
        <w:t>invest in the development and provision of accessible health services targeting young people, including mental and sexual health services, with funds earmarked specifically for youth</w:t>
      </w:r>
      <w:r w:rsidR="00857B94" w:rsidRPr="00857B94">
        <w:rPr>
          <w:rFonts w:ascii="Arial" w:hAnsi="Arial" w:cs="Arial"/>
          <w:sz w:val="24"/>
          <w:szCs w:val="24"/>
        </w:rPr>
        <w:t>.</w:t>
      </w:r>
    </w:p>
    <w:p w14:paraId="2E076712" w14:textId="6D09DE20" w:rsidR="00785E98" w:rsidRDefault="00785E98" w:rsidP="00785E98">
      <w:pPr>
        <w:spacing w:after="0" w:line="360" w:lineRule="auto"/>
        <w:jc w:val="both"/>
        <w:rPr>
          <w:rFonts w:ascii="Arial" w:hAnsi="Arial" w:cs="Arial"/>
          <w:sz w:val="24"/>
          <w:szCs w:val="24"/>
        </w:rPr>
      </w:pPr>
    </w:p>
    <w:p w14:paraId="57A01F8F" w14:textId="77777777" w:rsidR="00EC2B6B" w:rsidRPr="00EC2B6B" w:rsidRDefault="00EC2B6B" w:rsidP="00785E98">
      <w:pPr>
        <w:spacing w:after="0" w:line="360" w:lineRule="auto"/>
        <w:jc w:val="both"/>
        <w:rPr>
          <w:rFonts w:ascii="Arial" w:hAnsi="Arial" w:cs="Arial"/>
          <w:b/>
          <w:sz w:val="24"/>
          <w:szCs w:val="24"/>
        </w:rPr>
      </w:pPr>
    </w:p>
    <w:sectPr w:rsidR="00EC2B6B" w:rsidRPr="00EC2B6B" w:rsidSect="00785E98">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64520" w14:textId="77777777" w:rsidR="000569E5" w:rsidRDefault="000569E5" w:rsidP="00785E98">
      <w:pPr>
        <w:spacing w:after="0" w:line="240" w:lineRule="auto"/>
      </w:pPr>
      <w:r>
        <w:separator/>
      </w:r>
    </w:p>
  </w:endnote>
  <w:endnote w:type="continuationSeparator" w:id="0">
    <w:p w14:paraId="4A1FAF1E" w14:textId="77777777" w:rsidR="000569E5" w:rsidRDefault="000569E5" w:rsidP="0078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57AC" w14:textId="77777777" w:rsidR="000569E5" w:rsidRDefault="000569E5" w:rsidP="00785E98">
      <w:pPr>
        <w:spacing w:after="0" w:line="240" w:lineRule="auto"/>
      </w:pPr>
      <w:r>
        <w:separator/>
      </w:r>
    </w:p>
  </w:footnote>
  <w:footnote w:type="continuationSeparator" w:id="0">
    <w:p w14:paraId="4C89155A" w14:textId="77777777" w:rsidR="000569E5" w:rsidRDefault="000569E5" w:rsidP="00785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5717211"/>
      <w:docPartObj>
        <w:docPartGallery w:val="Page Numbers (Top of Page)"/>
        <w:docPartUnique/>
      </w:docPartObj>
    </w:sdtPr>
    <w:sdtContent>
      <w:p w14:paraId="3064960C" w14:textId="464CDB03" w:rsidR="00785E98" w:rsidRDefault="00785E98" w:rsidP="000055D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8B655" w14:textId="77777777" w:rsidR="00785E98" w:rsidRDefault="00785E98" w:rsidP="00785E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036867"/>
      <w:docPartObj>
        <w:docPartGallery w:val="Page Numbers (Top of Page)"/>
        <w:docPartUnique/>
      </w:docPartObj>
    </w:sdtPr>
    <w:sdtContent>
      <w:p w14:paraId="64D8AA47" w14:textId="6F4F3FDD" w:rsidR="00785E98" w:rsidRDefault="00785E98" w:rsidP="000055D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9E906C" w14:textId="77777777" w:rsidR="00785E98" w:rsidRDefault="00785E98" w:rsidP="00785E9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E2906"/>
    <w:multiLevelType w:val="hybridMultilevel"/>
    <w:tmpl w:val="9692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62"/>
    <w:rsid w:val="000569E5"/>
    <w:rsid w:val="00097953"/>
    <w:rsid w:val="00146640"/>
    <w:rsid w:val="00267D05"/>
    <w:rsid w:val="002709AF"/>
    <w:rsid w:val="002A6F75"/>
    <w:rsid w:val="003420CD"/>
    <w:rsid w:val="00351F87"/>
    <w:rsid w:val="003B519E"/>
    <w:rsid w:val="003D1FC3"/>
    <w:rsid w:val="003D7689"/>
    <w:rsid w:val="00453A37"/>
    <w:rsid w:val="00753770"/>
    <w:rsid w:val="00785E98"/>
    <w:rsid w:val="007F00B0"/>
    <w:rsid w:val="008246D0"/>
    <w:rsid w:val="008478D2"/>
    <w:rsid w:val="00857B94"/>
    <w:rsid w:val="0088083E"/>
    <w:rsid w:val="008C625B"/>
    <w:rsid w:val="008F51A4"/>
    <w:rsid w:val="00A36162"/>
    <w:rsid w:val="00AC629D"/>
    <w:rsid w:val="00B11BAC"/>
    <w:rsid w:val="00B252E9"/>
    <w:rsid w:val="00BA2132"/>
    <w:rsid w:val="00C771DB"/>
    <w:rsid w:val="00CF75E9"/>
    <w:rsid w:val="00D71392"/>
    <w:rsid w:val="00E33054"/>
    <w:rsid w:val="00EC2B6B"/>
    <w:rsid w:val="00EC38FD"/>
    <w:rsid w:val="00F4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18CE"/>
  <w15:chartTrackingRefBased/>
  <w15:docId w15:val="{E76A7631-41FC-407B-AB3D-C33F4BB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392"/>
    <w:pPr>
      <w:ind w:left="720"/>
      <w:contextualSpacing/>
    </w:pPr>
  </w:style>
  <w:style w:type="paragraph" w:styleId="Header">
    <w:name w:val="header"/>
    <w:basedOn w:val="Normal"/>
    <w:link w:val="HeaderChar"/>
    <w:uiPriority w:val="99"/>
    <w:unhideWhenUsed/>
    <w:rsid w:val="00785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98"/>
  </w:style>
  <w:style w:type="paragraph" w:styleId="Footer">
    <w:name w:val="footer"/>
    <w:basedOn w:val="Normal"/>
    <w:link w:val="FooterChar"/>
    <w:uiPriority w:val="99"/>
    <w:unhideWhenUsed/>
    <w:rsid w:val="00785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98"/>
  </w:style>
  <w:style w:type="character" w:styleId="PageNumber">
    <w:name w:val="page number"/>
    <w:basedOn w:val="DefaultParagraphFont"/>
    <w:uiPriority w:val="99"/>
    <w:semiHidden/>
    <w:unhideWhenUsed/>
    <w:rsid w:val="00785E98"/>
  </w:style>
  <w:style w:type="character" w:styleId="CommentReference">
    <w:name w:val="annotation reference"/>
    <w:basedOn w:val="DefaultParagraphFont"/>
    <w:uiPriority w:val="99"/>
    <w:semiHidden/>
    <w:unhideWhenUsed/>
    <w:rsid w:val="003B519E"/>
    <w:rPr>
      <w:sz w:val="16"/>
      <w:szCs w:val="16"/>
    </w:rPr>
  </w:style>
  <w:style w:type="paragraph" w:styleId="CommentText">
    <w:name w:val="annotation text"/>
    <w:basedOn w:val="Normal"/>
    <w:link w:val="CommentTextChar"/>
    <w:uiPriority w:val="99"/>
    <w:semiHidden/>
    <w:unhideWhenUsed/>
    <w:rsid w:val="003B519E"/>
    <w:pPr>
      <w:spacing w:line="240" w:lineRule="auto"/>
    </w:pPr>
    <w:rPr>
      <w:sz w:val="20"/>
      <w:szCs w:val="20"/>
    </w:rPr>
  </w:style>
  <w:style w:type="character" w:customStyle="1" w:styleId="CommentTextChar">
    <w:name w:val="Comment Text Char"/>
    <w:basedOn w:val="DefaultParagraphFont"/>
    <w:link w:val="CommentText"/>
    <w:uiPriority w:val="99"/>
    <w:semiHidden/>
    <w:rsid w:val="003B519E"/>
    <w:rPr>
      <w:sz w:val="20"/>
      <w:szCs w:val="20"/>
    </w:rPr>
  </w:style>
  <w:style w:type="paragraph" w:styleId="CommentSubject">
    <w:name w:val="annotation subject"/>
    <w:basedOn w:val="CommentText"/>
    <w:next w:val="CommentText"/>
    <w:link w:val="CommentSubjectChar"/>
    <w:uiPriority w:val="99"/>
    <w:semiHidden/>
    <w:unhideWhenUsed/>
    <w:rsid w:val="003B519E"/>
    <w:rPr>
      <w:b/>
      <w:bCs/>
    </w:rPr>
  </w:style>
  <w:style w:type="character" w:customStyle="1" w:styleId="CommentSubjectChar">
    <w:name w:val="Comment Subject Char"/>
    <w:basedOn w:val="CommentTextChar"/>
    <w:link w:val="CommentSubject"/>
    <w:uiPriority w:val="99"/>
    <w:semiHidden/>
    <w:rsid w:val="003B519E"/>
    <w:rPr>
      <w:b/>
      <w:bCs/>
      <w:sz w:val="20"/>
      <w:szCs w:val="20"/>
    </w:rPr>
  </w:style>
  <w:style w:type="paragraph" w:styleId="BalloonText">
    <w:name w:val="Balloon Text"/>
    <w:basedOn w:val="Normal"/>
    <w:link w:val="BalloonTextChar"/>
    <w:uiPriority w:val="99"/>
    <w:semiHidden/>
    <w:unhideWhenUsed/>
    <w:rsid w:val="003B51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1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575F3C-10FF-4E4F-8AD4-97A5EB737EA9}"/>
</file>

<file path=customXml/itemProps2.xml><?xml version="1.0" encoding="utf-8"?>
<ds:datastoreItem xmlns:ds="http://schemas.openxmlformats.org/officeDocument/2006/customXml" ds:itemID="{3B711352-005A-4012-9191-9C931C83B56C}"/>
</file>

<file path=customXml/itemProps3.xml><?xml version="1.0" encoding="utf-8"?>
<ds:datastoreItem xmlns:ds="http://schemas.openxmlformats.org/officeDocument/2006/customXml" ds:itemID="{ABEF5322-E446-48EB-9812-DCA9EBA0F8A0}"/>
</file>

<file path=docProps/app.xml><?xml version="1.0" encoding="utf-8"?>
<Properties xmlns="http://schemas.openxmlformats.org/officeDocument/2006/extended-properties" xmlns:vt="http://schemas.openxmlformats.org/officeDocument/2006/docPropsVTypes">
  <Template>Normal.dotm</Template>
  <TotalTime>404</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gawas</dc:creator>
  <cp:keywords/>
  <dc:description/>
  <cp:lastModifiedBy>Wayne Rukero</cp:lastModifiedBy>
  <cp:revision>8</cp:revision>
  <dcterms:created xsi:type="dcterms:W3CDTF">2021-04-10T13:18:00Z</dcterms:created>
  <dcterms:modified xsi:type="dcterms:W3CDTF">2021-04-10T21:23:00Z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