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0A52" w14:textId="5B1C1494" w:rsidR="003915B4" w:rsidRDefault="003915B4">
      <w:pPr>
        <w:rPr>
          <w:b/>
          <w:bCs/>
          <w:lang w:val="en-US"/>
        </w:rPr>
      </w:pPr>
      <w:r w:rsidRPr="00BB744C">
        <w:rPr>
          <w:noProof/>
          <w:sz w:val="36"/>
          <w:szCs w:val="36"/>
          <w:lang w:val="en-US"/>
        </w:rPr>
        <w:drawing>
          <wp:inline distT="0" distB="0" distL="0" distR="0" wp14:anchorId="0791A5AA" wp14:editId="798D2AD1">
            <wp:extent cx="4033471" cy="473075"/>
            <wp:effectExtent l="0" t="0" r="5715" b="3175"/>
            <wp:docPr id="1" name="Picture 1" descr="United Nations Populat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d Nations Population F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1009" cy="538467"/>
                    </a:xfrm>
                    <a:prstGeom prst="rect">
                      <a:avLst/>
                    </a:prstGeom>
                    <a:noFill/>
                    <a:ln>
                      <a:noFill/>
                    </a:ln>
                  </pic:spPr>
                </pic:pic>
              </a:graphicData>
            </a:graphic>
          </wp:inline>
        </w:drawing>
      </w:r>
    </w:p>
    <w:p w14:paraId="7AB3FEE0" w14:textId="77777777" w:rsidR="003A193F" w:rsidRDefault="003A193F" w:rsidP="003915B4">
      <w:pPr>
        <w:jc w:val="center"/>
        <w:rPr>
          <w:b/>
          <w:bCs/>
          <w:sz w:val="24"/>
          <w:szCs w:val="24"/>
          <w:lang w:val="en-US"/>
        </w:rPr>
      </w:pPr>
    </w:p>
    <w:p w14:paraId="5FCC219C" w14:textId="1AC4606D" w:rsidR="006F1FA0" w:rsidRPr="003A193F" w:rsidRDefault="006F1FA0" w:rsidP="003915B4">
      <w:pPr>
        <w:jc w:val="center"/>
        <w:rPr>
          <w:b/>
          <w:bCs/>
          <w:sz w:val="24"/>
          <w:szCs w:val="24"/>
          <w:lang w:val="en-US"/>
        </w:rPr>
      </w:pPr>
      <w:r w:rsidRPr="003A193F">
        <w:rPr>
          <w:b/>
          <w:bCs/>
          <w:sz w:val="24"/>
          <w:szCs w:val="24"/>
          <w:lang w:val="en-US"/>
        </w:rPr>
        <w:t xml:space="preserve">Intersessional </w:t>
      </w:r>
      <w:r w:rsidR="003915B4" w:rsidRPr="003A193F">
        <w:rPr>
          <w:b/>
          <w:bCs/>
          <w:sz w:val="24"/>
          <w:szCs w:val="24"/>
          <w:lang w:val="en-US"/>
        </w:rPr>
        <w:t xml:space="preserve">Seminar </w:t>
      </w:r>
      <w:r w:rsidRPr="003A193F">
        <w:rPr>
          <w:b/>
          <w:bCs/>
          <w:sz w:val="24"/>
          <w:szCs w:val="24"/>
          <w:lang w:val="en-US"/>
        </w:rPr>
        <w:t>on youth</w:t>
      </w:r>
      <w:r w:rsidR="003915B4" w:rsidRPr="003A193F">
        <w:rPr>
          <w:b/>
          <w:bCs/>
          <w:sz w:val="24"/>
          <w:szCs w:val="24"/>
          <w:lang w:val="en-US"/>
        </w:rPr>
        <w:t xml:space="preserve"> and human</w:t>
      </w:r>
      <w:r w:rsidRPr="003A193F">
        <w:rPr>
          <w:b/>
          <w:bCs/>
          <w:sz w:val="24"/>
          <w:szCs w:val="24"/>
          <w:lang w:val="en-US"/>
        </w:rPr>
        <w:t xml:space="preserve"> rights- afternoon panel on youth rights mainstreaming</w:t>
      </w:r>
    </w:p>
    <w:p w14:paraId="23E35927" w14:textId="07EE3867" w:rsidR="003915B4" w:rsidRPr="003A193F" w:rsidRDefault="003915B4" w:rsidP="003915B4">
      <w:pPr>
        <w:jc w:val="center"/>
        <w:rPr>
          <w:b/>
          <w:bCs/>
          <w:sz w:val="24"/>
          <w:szCs w:val="24"/>
          <w:lang w:val="en-US"/>
        </w:rPr>
      </w:pPr>
      <w:r w:rsidRPr="003A193F">
        <w:rPr>
          <w:b/>
          <w:bCs/>
          <w:sz w:val="24"/>
          <w:szCs w:val="24"/>
          <w:lang w:val="en-US"/>
        </w:rPr>
        <w:t>12.04.2021</w:t>
      </w:r>
    </w:p>
    <w:p w14:paraId="6D43377D" w14:textId="77777777" w:rsidR="00532BA4" w:rsidRDefault="00532BA4">
      <w:pPr>
        <w:rPr>
          <w:lang w:val="en-US"/>
        </w:rPr>
      </w:pPr>
    </w:p>
    <w:p w14:paraId="5CC411AD" w14:textId="635FCCDD" w:rsidR="000C2340" w:rsidRDefault="006164B6">
      <w:pPr>
        <w:rPr>
          <w:lang w:val="en-US"/>
        </w:rPr>
      </w:pPr>
      <w:r>
        <w:rPr>
          <w:lang w:val="en-US"/>
        </w:rPr>
        <w:t>Thank you</w:t>
      </w:r>
      <w:r w:rsidR="003915B4">
        <w:rPr>
          <w:lang w:val="en-US"/>
        </w:rPr>
        <w:t>, Madame Moderator</w:t>
      </w:r>
      <w:r>
        <w:rPr>
          <w:lang w:val="en-US"/>
        </w:rPr>
        <w:t xml:space="preserve">, </w:t>
      </w:r>
    </w:p>
    <w:p w14:paraId="7C7FDE47" w14:textId="3D4BEB23" w:rsidR="006164B6" w:rsidRDefault="006164B6" w:rsidP="006164B6">
      <w:pPr>
        <w:pStyle w:val="ListParagraph"/>
        <w:numPr>
          <w:ilvl w:val="0"/>
          <w:numId w:val="1"/>
        </w:numPr>
        <w:rPr>
          <w:lang w:val="en-US"/>
        </w:rPr>
      </w:pPr>
      <w:r w:rsidRPr="006164B6">
        <w:rPr>
          <w:lang w:val="en-US"/>
        </w:rPr>
        <w:t xml:space="preserve">It is an honour to be invited to this panel to discuss the mainstreaming of youth rights in the work of human rights mechanisms. </w:t>
      </w:r>
    </w:p>
    <w:p w14:paraId="6DE6582C" w14:textId="5884D159" w:rsidR="006164B6" w:rsidRDefault="006164B6" w:rsidP="006164B6">
      <w:pPr>
        <w:pStyle w:val="ListParagraph"/>
        <w:numPr>
          <w:ilvl w:val="0"/>
          <w:numId w:val="1"/>
        </w:numPr>
        <w:rPr>
          <w:lang w:val="en-US"/>
        </w:rPr>
      </w:pPr>
      <w:r>
        <w:rPr>
          <w:lang w:val="en-US"/>
        </w:rPr>
        <w:t xml:space="preserve">The rights of youth are central to UNFPA’s vision and </w:t>
      </w:r>
      <w:r w:rsidR="00243F34">
        <w:rPr>
          <w:lang w:val="en-US"/>
        </w:rPr>
        <w:t xml:space="preserve">to </w:t>
      </w:r>
      <w:r w:rsidR="006D1E9D">
        <w:rPr>
          <w:lang w:val="en-US"/>
        </w:rPr>
        <w:t xml:space="preserve">the </w:t>
      </w:r>
      <w:r>
        <w:rPr>
          <w:lang w:val="en-US"/>
        </w:rPr>
        <w:t xml:space="preserve">mandate </w:t>
      </w:r>
      <w:r w:rsidR="006D1E9D">
        <w:rPr>
          <w:lang w:val="en-US"/>
        </w:rPr>
        <w:t>of</w:t>
      </w:r>
      <w:r w:rsidR="008E02F6">
        <w:rPr>
          <w:lang w:val="en-US"/>
        </w:rPr>
        <w:t xml:space="preserve"> </w:t>
      </w:r>
      <w:r>
        <w:rPr>
          <w:lang w:val="en-US"/>
        </w:rPr>
        <w:t>the International Conference on Population and Development</w:t>
      </w:r>
      <w:r w:rsidR="002D0462">
        <w:rPr>
          <w:lang w:val="en-US"/>
        </w:rPr>
        <w:t xml:space="preserve"> (ICPD)</w:t>
      </w:r>
      <w:r w:rsidR="00865942">
        <w:rPr>
          <w:lang w:val="en-US"/>
        </w:rPr>
        <w:t xml:space="preserve"> from 1994</w:t>
      </w:r>
      <w:r>
        <w:rPr>
          <w:lang w:val="en-US"/>
        </w:rPr>
        <w:t xml:space="preserve">. </w:t>
      </w:r>
      <w:r w:rsidR="00243F34">
        <w:rPr>
          <w:lang w:val="en-US"/>
        </w:rPr>
        <w:t>UNFPA</w:t>
      </w:r>
      <w:r>
        <w:rPr>
          <w:lang w:val="en-US"/>
        </w:rPr>
        <w:t xml:space="preserve"> work</w:t>
      </w:r>
      <w:r w:rsidR="00243F34">
        <w:rPr>
          <w:lang w:val="en-US"/>
        </w:rPr>
        <w:t>s</w:t>
      </w:r>
      <w:r>
        <w:rPr>
          <w:lang w:val="en-US"/>
        </w:rPr>
        <w:t xml:space="preserve"> to ensure that every pregnancy is wanted, every delivery is safe </w:t>
      </w:r>
      <w:r w:rsidRPr="00B91B6B">
        <w:rPr>
          <w:b/>
          <w:bCs/>
          <w:lang w:val="en-US"/>
        </w:rPr>
        <w:t>and every young people’s potential is fulfilled.</w:t>
      </w:r>
    </w:p>
    <w:p w14:paraId="6B1BDF21" w14:textId="230B5F79" w:rsidR="006164B6" w:rsidRDefault="00243F34" w:rsidP="006164B6">
      <w:pPr>
        <w:pStyle w:val="ListParagraph"/>
        <w:numPr>
          <w:ilvl w:val="0"/>
          <w:numId w:val="1"/>
        </w:numPr>
        <w:rPr>
          <w:lang w:val="en-US"/>
        </w:rPr>
      </w:pPr>
      <w:r>
        <w:rPr>
          <w:lang w:val="en-US"/>
        </w:rPr>
        <w:t>25 years after the ICPD, a</w:t>
      </w:r>
      <w:r w:rsidR="006164B6">
        <w:rPr>
          <w:lang w:val="en-US"/>
        </w:rPr>
        <w:t>t the Nairobi Summit</w:t>
      </w:r>
      <w:r>
        <w:rPr>
          <w:lang w:val="en-US"/>
        </w:rPr>
        <w:t xml:space="preserve">, </w:t>
      </w:r>
      <w:r w:rsidR="006164B6">
        <w:rPr>
          <w:lang w:val="en-US"/>
        </w:rPr>
        <w:t xml:space="preserve">the rights of youth were </w:t>
      </w:r>
      <w:r w:rsidR="00A8062B">
        <w:rPr>
          <w:lang w:val="en-US"/>
        </w:rPr>
        <w:t xml:space="preserve">a </w:t>
      </w:r>
      <w:r w:rsidR="006164B6">
        <w:rPr>
          <w:lang w:val="en-US"/>
        </w:rPr>
        <w:t>central</w:t>
      </w:r>
      <w:r w:rsidR="00A8062B">
        <w:rPr>
          <w:lang w:val="en-US"/>
        </w:rPr>
        <w:t xml:space="preserve"> topic</w:t>
      </w:r>
      <w:r w:rsidR="006164B6">
        <w:rPr>
          <w:lang w:val="en-US"/>
        </w:rPr>
        <w:t xml:space="preserve"> in reviewing global efforts to implement the ICPD agenda an</w:t>
      </w:r>
      <w:r w:rsidR="008E02F6">
        <w:rPr>
          <w:lang w:val="en-US"/>
        </w:rPr>
        <w:t>d</w:t>
      </w:r>
      <w:r w:rsidR="006164B6">
        <w:rPr>
          <w:lang w:val="en-US"/>
        </w:rPr>
        <w:t xml:space="preserve"> </w:t>
      </w:r>
      <w:r w:rsidR="00F22233">
        <w:rPr>
          <w:lang w:val="en-US"/>
        </w:rPr>
        <w:t xml:space="preserve">in </w:t>
      </w:r>
      <w:r w:rsidR="006D1E9D">
        <w:rPr>
          <w:lang w:val="en-US"/>
        </w:rPr>
        <w:t>charting a</w:t>
      </w:r>
      <w:r w:rsidR="006164B6">
        <w:rPr>
          <w:lang w:val="en-US"/>
        </w:rPr>
        <w:t xml:space="preserve"> way forward. Governments and other stakeholders made national commitments </w:t>
      </w:r>
      <w:r w:rsidR="00B46608">
        <w:rPr>
          <w:lang w:val="en-US"/>
        </w:rPr>
        <w:t>(at least 52% of government commitments) t</w:t>
      </w:r>
      <w:r w:rsidR="006D1E9D">
        <w:rPr>
          <w:lang w:val="en-US"/>
        </w:rPr>
        <w:t>o fulfill</w:t>
      </w:r>
      <w:r w:rsidR="006164B6">
        <w:rPr>
          <w:lang w:val="en-US"/>
        </w:rPr>
        <w:t xml:space="preserve"> youth rights</w:t>
      </w:r>
      <w:r w:rsidR="006D1E9D">
        <w:rPr>
          <w:lang w:val="en-US"/>
        </w:rPr>
        <w:t>, including measures in relation to the</w:t>
      </w:r>
      <w:r w:rsidR="00B34BAB">
        <w:rPr>
          <w:lang w:val="en-US"/>
        </w:rPr>
        <w:t xml:space="preserve"> </w:t>
      </w:r>
      <w:r w:rsidR="006164B6">
        <w:rPr>
          <w:lang w:val="en-US"/>
        </w:rPr>
        <w:t xml:space="preserve">right to health, SRHR, </w:t>
      </w:r>
      <w:r w:rsidR="00B34BAB">
        <w:rPr>
          <w:lang w:val="en-US"/>
        </w:rPr>
        <w:t xml:space="preserve">the right to education, the right to work and the right to free, active and informed participation in decisions affecting </w:t>
      </w:r>
      <w:r w:rsidR="006D1E9D">
        <w:rPr>
          <w:lang w:val="en-US"/>
        </w:rPr>
        <w:t>young people.</w:t>
      </w:r>
    </w:p>
    <w:p w14:paraId="6A50E148" w14:textId="4421B345" w:rsidR="00014284" w:rsidRPr="00380B51" w:rsidRDefault="00A8062B" w:rsidP="000C6672">
      <w:pPr>
        <w:pStyle w:val="ListParagraph"/>
        <w:numPr>
          <w:ilvl w:val="0"/>
          <w:numId w:val="1"/>
        </w:numPr>
        <w:shd w:val="clear" w:color="auto" w:fill="FFFFFF"/>
        <w:spacing w:after="360" w:line="330" w:lineRule="atLeast"/>
        <w:textAlignment w:val="baseline"/>
        <w:rPr>
          <w:rFonts w:cstheme="minorHAnsi"/>
          <w:spacing w:val="-4"/>
        </w:rPr>
      </w:pPr>
      <w:r w:rsidRPr="008E02F6">
        <w:rPr>
          <w:lang w:val="en-US"/>
        </w:rPr>
        <w:t xml:space="preserve">Aligned with the SGs strategy on youth, </w:t>
      </w:r>
      <w:r w:rsidR="006164B6" w:rsidRPr="008E02F6">
        <w:rPr>
          <w:lang w:val="en-US"/>
        </w:rPr>
        <w:t>UNFPA’ s youth strategy</w:t>
      </w:r>
      <w:r w:rsidR="006164B6" w:rsidRPr="008E02F6">
        <w:rPr>
          <w:i/>
          <w:iCs/>
          <w:lang w:val="en-US"/>
        </w:rPr>
        <w:t>, my body</w:t>
      </w:r>
      <w:r w:rsidR="00B34BAB" w:rsidRPr="008E02F6">
        <w:rPr>
          <w:i/>
          <w:iCs/>
          <w:lang w:val="en-US"/>
        </w:rPr>
        <w:t>, my life, my world</w:t>
      </w:r>
      <w:r w:rsidR="00B34BAB" w:rsidRPr="008E02F6">
        <w:rPr>
          <w:lang w:val="en-US"/>
        </w:rPr>
        <w:t xml:space="preserve">, </w:t>
      </w:r>
      <w:r w:rsidR="00B34BAB">
        <w:t>2019</w:t>
      </w:r>
      <w:r w:rsidR="00014284" w:rsidRPr="008E02F6">
        <w:rPr>
          <w:lang w:val="en-US"/>
        </w:rPr>
        <w:t>)</w:t>
      </w:r>
      <w:r w:rsidR="00B34BAB">
        <w:t xml:space="preserve"> </w:t>
      </w:r>
      <w:r w:rsidR="008E02F6">
        <w:rPr>
          <w:lang w:val="en-US"/>
        </w:rPr>
        <w:t>, promotes under the</w:t>
      </w:r>
      <w:r w:rsidR="00014284" w:rsidRPr="008E02F6">
        <w:rPr>
          <w:lang w:val="en-US"/>
        </w:rPr>
        <w:t xml:space="preserve"> ‘my world’ pillar, the meaningful participation of adolescents and young people in decision making and dialogue, including their engagement in social and political </w:t>
      </w:r>
      <w:r w:rsidR="00014284" w:rsidRPr="008E02F6">
        <w:rPr>
          <w:rFonts w:cstheme="minorHAnsi"/>
          <w:lang w:val="en-US"/>
        </w:rPr>
        <w:t>processes, humanitarian action, peace building and accountability mechanism.</w:t>
      </w:r>
    </w:p>
    <w:p w14:paraId="5BE74817" w14:textId="77777777" w:rsidR="00380B51" w:rsidRPr="008E02F6" w:rsidRDefault="00380B51" w:rsidP="00380B51">
      <w:pPr>
        <w:pStyle w:val="ListParagraph"/>
        <w:shd w:val="clear" w:color="auto" w:fill="FFFFFF"/>
        <w:spacing w:after="360" w:line="330" w:lineRule="atLeast"/>
        <w:ind w:left="360"/>
        <w:textAlignment w:val="baseline"/>
        <w:rPr>
          <w:rFonts w:cstheme="minorHAnsi"/>
          <w:spacing w:val="-4"/>
        </w:rPr>
      </w:pPr>
    </w:p>
    <w:p w14:paraId="4BFE7DE7" w14:textId="616E75FD" w:rsidR="00380B51" w:rsidRPr="00380B51" w:rsidRDefault="00801EA1" w:rsidP="00736A92">
      <w:pPr>
        <w:pStyle w:val="ListParagraph"/>
        <w:numPr>
          <w:ilvl w:val="0"/>
          <w:numId w:val="1"/>
        </w:numPr>
        <w:rPr>
          <w:rStyle w:val="col-xs-12"/>
          <w:lang w:val="en-GB"/>
        </w:rPr>
      </w:pPr>
      <w:r w:rsidRPr="00380B51">
        <w:rPr>
          <w:lang w:val="en-US"/>
        </w:rPr>
        <w:t>A recent study I developed for UNFPA’ research programme</w:t>
      </w:r>
      <w:r w:rsidR="00243F34" w:rsidRPr="00380B51">
        <w:rPr>
          <w:lang w:val="en-US"/>
        </w:rPr>
        <w:t xml:space="preserve">, </w:t>
      </w:r>
      <w:r w:rsidR="00014284" w:rsidRPr="00380B51">
        <w:rPr>
          <w:lang w:val="en-US"/>
        </w:rPr>
        <w:t>and soon to be published by the UN University for Peace</w:t>
      </w:r>
      <w:r w:rsidRPr="00380B51">
        <w:rPr>
          <w:lang w:val="en-US"/>
        </w:rPr>
        <w:t xml:space="preserve">, reveals that youth participation in human rights mechanisms is </w:t>
      </w:r>
      <w:r w:rsidR="00380B51" w:rsidRPr="00380B51">
        <w:rPr>
          <w:lang w:val="en-US"/>
        </w:rPr>
        <w:t xml:space="preserve">uneven; </w:t>
      </w:r>
      <w:r w:rsidR="00014284" w:rsidRPr="00380B51">
        <w:rPr>
          <w:lang w:val="en-US"/>
        </w:rPr>
        <w:t xml:space="preserve">as it is the low number of youth related recommendations issued by </w:t>
      </w:r>
      <w:r w:rsidR="008E02F6" w:rsidRPr="00380B51">
        <w:rPr>
          <w:lang w:val="en-US"/>
        </w:rPr>
        <w:t>these mechanisms</w:t>
      </w:r>
      <w:r w:rsidRPr="00380B51">
        <w:rPr>
          <w:lang w:val="en-US"/>
        </w:rPr>
        <w:t xml:space="preserve">. </w:t>
      </w:r>
    </w:p>
    <w:p w14:paraId="20349990" w14:textId="22AC5652" w:rsidR="006164B6" w:rsidRPr="00380B51" w:rsidRDefault="00243F34" w:rsidP="00380B51">
      <w:pPr>
        <w:pStyle w:val="ListParagraph"/>
        <w:numPr>
          <w:ilvl w:val="0"/>
          <w:numId w:val="1"/>
        </w:numPr>
        <w:rPr>
          <w:lang w:val="en-US"/>
        </w:rPr>
      </w:pPr>
      <w:r w:rsidRPr="00380B51">
        <w:rPr>
          <w:rStyle w:val="col-xs-12"/>
          <w:lang w:val="en-GB"/>
        </w:rPr>
        <w:t xml:space="preserve">In the period from 2007 to 2019, </w:t>
      </w:r>
      <w:r w:rsidR="00AF583F" w:rsidRPr="00380B51">
        <w:rPr>
          <w:lang w:val="en-US"/>
        </w:rPr>
        <w:t>human rights recommendations (UPR and TBs) addressing adolescent</w:t>
      </w:r>
      <w:r w:rsidR="008E02F6" w:rsidRPr="00380B51">
        <w:rPr>
          <w:lang w:val="en-US"/>
        </w:rPr>
        <w:t>s</w:t>
      </w:r>
      <w:r w:rsidR="00AF583F" w:rsidRPr="00380B51">
        <w:rPr>
          <w:lang w:val="en-US"/>
        </w:rPr>
        <w:t xml:space="preserve"> and you</w:t>
      </w:r>
      <w:r w:rsidR="008E02F6" w:rsidRPr="00380B51">
        <w:rPr>
          <w:lang w:val="en-US"/>
        </w:rPr>
        <w:t>th</w:t>
      </w:r>
      <w:r w:rsidR="00AF583F" w:rsidRPr="00380B51">
        <w:rPr>
          <w:lang w:val="en-US"/>
        </w:rPr>
        <w:t xml:space="preserve"> represented </w:t>
      </w:r>
      <w:r w:rsidR="00865942" w:rsidRPr="00380B51">
        <w:rPr>
          <w:lang w:val="en-US"/>
        </w:rPr>
        <w:t xml:space="preserve">only </w:t>
      </w:r>
      <w:r w:rsidR="00AF583F" w:rsidRPr="00380B51">
        <w:rPr>
          <w:lang w:val="en-US"/>
        </w:rPr>
        <w:t>a 1.8%</w:t>
      </w:r>
      <w:r w:rsidR="00865942" w:rsidRPr="00380B51">
        <w:rPr>
          <w:lang w:val="en-US"/>
        </w:rPr>
        <w:t xml:space="preserve"> of the total</w:t>
      </w:r>
      <w:r w:rsidRPr="00380B51">
        <w:rPr>
          <w:lang w:val="en-US"/>
        </w:rPr>
        <w:t>. Comparatively,</w:t>
      </w:r>
      <w:r w:rsidR="00014284" w:rsidRPr="00380B51">
        <w:rPr>
          <w:lang w:val="en-US"/>
        </w:rPr>
        <w:t xml:space="preserve"> </w:t>
      </w:r>
      <w:r w:rsidR="00AF583F" w:rsidRPr="00380B51">
        <w:rPr>
          <w:lang w:val="en-US"/>
        </w:rPr>
        <w:t>recommendations referring to women or children represented a 14%</w:t>
      </w:r>
      <w:r w:rsidRPr="00380B51">
        <w:rPr>
          <w:lang w:val="en-US"/>
        </w:rPr>
        <w:t>,</w:t>
      </w:r>
      <w:r w:rsidR="00AF583F" w:rsidRPr="00380B51">
        <w:rPr>
          <w:lang w:val="en-US"/>
        </w:rPr>
        <w:t xml:space="preserve"> each. </w:t>
      </w:r>
    </w:p>
    <w:p w14:paraId="294980AE" w14:textId="1D168A25" w:rsidR="00AF583F" w:rsidRPr="00380B51" w:rsidRDefault="00AF583F" w:rsidP="00AF583F">
      <w:pPr>
        <w:pStyle w:val="ListParagraph"/>
        <w:numPr>
          <w:ilvl w:val="0"/>
          <w:numId w:val="1"/>
        </w:numPr>
        <w:rPr>
          <w:lang w:val="en-US"/>
        </w:rPr>
      </w:pPr>
      <w:r w:rsidRPr="00EA5780">
        <w:rPr>
          <w:lang w:val="en-GB"/>
        </w:rPr>
        <w:t>Many reasons can be evoked to explain th</w:t>
      </w:r>
      <w:r w:rsidR="00014284">
        <w:rPr>
          <w:lang w:val="en-GB"/>
        </w:rPr>
        <w:t xml:space="preserve">is </w:t>
      </w:r>
      <w:r w:rsidRPr="00EA5780">
        <w:rPr>
          <w:lang w:val="en-GB"/>
        </w:rPr>
        <w:t xml:space="preserve">relative minor attention. One factor </w:t>
      </w:r>
      <w:r>
        <w:rPr>
          <w:lang w:val="en-GB"/>
        </w:rPr>
        <w:t>is</w:t>
      </w:r>
      <w:r w:rsidRPr="00EA5780">
        <w:rPr>
          <w:lang w:val="en-GB"/>
        </w:rPr>
        <w:t xml:space="preserve"> the absence of an international human rights instrument on the specific rights of youth, unlike the case with women (CEDAW) and children (CRC). Moreover, young people are often subsumed under women’s and children’s rights, which results in recommendations </w:t>
      </w:r>
      <w:r w:rsidR="00FB2C0D" w:rsidRPr="00EA5780">
        <w:rPr>
          <w:lang w:val="en-GB"/>
        </w:rPr>
        <w:t>lack</w:t>
      </w:r>
      <w:r w:rsidR="00FB2C0D">
        <w:rPr>
          <w:lang w:val="en-GB"/>
        </w:rPr>
        <w:t>ing</w:t>
      </w:r>
      <w:r w:rsidRPr="00EA5780">
        <w:rPr>
          <w:lang w:val="en-GB"/>
        </w:rPr>
        <w:t xml:space="preserve"> </w:t>
      </w:r>
      <w:r w:rsidR="00380B51">
        <w:rPr>
          <w:lang w:val="en-GB"/>
        </w:rPr>
        <w:t>detail</w:t>
      </w:r>
      <w:r w:rsidR="00865942">
        <w:rPr>
          <w:lang w:val="en-GB"/>
        </w:rPr>
        <w:t xml:space="preserve"> on</w:t>
      </w:r>
      <w:r w:rsidRPr="00EA5780">
        <w:rPr>
          <w:lang w:val="en-GB"/>
        </w:rPr>
        <w:t xml:space="preserve"> </w:t>
      </w:r>
      <w:r w:rsidR="008E02F6">
        <w:rPr>
          <w:lang w:val="en-GB"/>
        </w:rPr>
        <w:t>their specific</w:t>
      </w:r>
      <w:r w:rsidRPr="00EA5780">
        <w:rPr>
          <w:lang w:val="en-GB"/>
        </w:rPr>
        <w:t xml:space="preserve"> needs and aspiration</w:t>
      </w:r>
      <w:r w:rsidR="008E02F6">
        <w:rPr>
          <w:lang w:val="en-GB"/>
        </w:rPr>
        <w:t>s.</w:t>
      </w:r>
    </w:p>
    <w:p w14:paraId="0FA1A2A5" w14:textId="77777777" w:rsidR="00380B51" w:rsidRPr="00AF583F" w:rsidRDefault="00380B51" w:rsidP="00380B51">
      <w:pPr>
        <w:pStyle w:val="ListParagraph"/>
        <w:ind w:left="360"/>
        <w:rPr>
          <w:lang w:val="en-US"/>
        </w:rPr>
      </w:pPr>
    </w:p>
    <w:p w14:paraId="56A5B24C" w14:textId="3EE519F4" w:rsidR="006164B6" w:rsidRPr="00B91A7F" w:rsidRDefault="00D10720" w:rsidP="00D10720">
      <w:pPr>
        <w:pStyle w:val="ListParagraph"/>
        <w:numPr>
          <w:ilvl w:val="0"/>
          <w:numId w:val="1"/>
        </w:numPr>
        <w:rPr>
          <w:rStyle w:val="col-xs-12"/>
          <w:lang w:val="en-US"/>
        </w:rPr>
      </w:pPr>
      <w:r w:rsidRPr="00865942">
        <w:rPr>
          <w:rStyle w:val="col-xs-12"/>
          <w:b/>
          <w:bCs/>
          <w:lang w:val="en-GB"/>
        </w:rPr>
        <w:t>(Slide 1)</w:t>
      </w:r>
      <w:r>
        <w:rPr>
          <w:rStyle w:val="col-xs-12"/>
          <w:lang w:val="en-GB"/>
        </w:rPr>
        <w:t xml:space="preserve"> </w:t>
      </w:r>
      <w:r w:rsidR="008E02F6">
        <w:rPr>
          <w:rStyle w:val="col-xs-12"/>
          <w:lang w:val="en-GB"/>
        </w:rPr>
        <w:t>In terms of content, a</w:t>
      </w:r>
      <w:r w:rsidR="00AF583F" w:rsidRPr="00A8062B">
        <w:rPr>
          <w:rStyle w:val="col-xs-12"/>
          <w:lang w:val="en-GB"/>
        </w:rPr>
        <w:t xml:space="preserve"> close look at recommendations shows </w:t>
      </w:r>
      <w:r w:rsidR="00A8062B" w:rsidRPr="00A8062B">
        <w:rPr>
          <w:rStyle w:val="col-xs-12"/>
          <w:lang w:val="en-GB"/>
        </w:rPr>
        <w:t>a relative greater attention to</w:t>
      </w:r>
      <w:r w:rsidR="00AF583F" w:rsidRPr="00A8062B">
        <w:rPr>
          <w:rStyle w:val="col-xs-12"/>
          <w:lang w:val="en-GB"/>
        </w:rPr>
        <w:t>: Protection (1448 recommendations or 51% of the total), Education (1069 or 38%) and Health</w:t>
      </w:r>
      <w:r w:rsidR="008E02F6">
        <w:rPr>
          <w:rStyle w:val="col-xs-12"/>
          <w:lang w:val="en-GB"/>
        </w:rPr>
        <w:t xml:space="preserve"> issues</w:t>
      </w:r>
      <w:r w:rsidR="00AF583F" w:rsidRPr="00A8062B">
        <w:rPr>
          <w:rStyle w:val="col-xs-12"/>
          <w:lang w:val="en-GB"/>
        </w:rPr>
        <w:t xml:space="preserve"> (988 or 35%)</w:t>
      </w:r>
      <w:r w:rsidR="008E02F6">
        <w:rPr>
          <w:rStyle w:val="col-xs-12"/>
          <w:lang w:val="en-GB"/>
        </w:rPr>
        <w:t>.</w:t>
      </w:r>
      <w:r w:rsidR="00A8062B" w:rsidRPr="00A8062B">
        <w:rPr>
          <w:rStyle w:val="col-xs-12"/>
          <w:lang w:val="en-GB"/>
        </w:rPr>
        <w:t xml:space="preserve"> Much less attention has been given to </w:t>
      </w:r>
      <w:r w:rsidR="00AF583F" w:rsidRPr="00A8062B">
        <w:rPr>
          <w:rStyle w:val="col-xs-12"/>
          <w:lang w:val="en-GB"/>
        </w:rPr>
        <w:t>empowerment (370 or 13%) and employment</w:t>
      </w:r>
      <w:r w:rsidR="008E02F6">
        <w:rPr>
          <w:rStyle w:val="col-xs-12"/>
          <w:lang w:val="en-GB"/>
        </w:rPr>
        <w:t xml:space="preserve"> related measures</w:t>
      </w:r>
      <w:r w:rsidR="00AF583F" w:rsidRPr="00A8062B">
        <w:rPr>
          <w:rStyle w:val="col-xs-12"/>
          <w:lang w:val="en-GB"/>
        </w:rPr>
        <w:t xml:space="preserve"> (354 or 12%)</w:t>
      </w:r>
      <w:r w:rsidR="00A8062B">
        <w:rPr>
          <w:rStyle w:val="col-xs-12"/>
          <w:lang w:val="en-GB"/>
        </w:rPr>
        <w:t>.</w:t>
      </w:r>
    </w:p>
    <w:p w14:paraId="7D750B3E" w14:textId="77777777" w:rsidR="00B91A7F" w:rsidRPr="00B91A7F" w:rsidRDefault="00B91A7F" w:rsidP="00B91A7F">
      <w:pPr>
        <w:pStyle w:val="ListParagraph"/>
        <w:rPr>
          <w:lang w:val="en-US"/>
        </w:rPr>
      </w:pPr>
    </w:p>
    <w:p w14:paraId="76217AE8" w14:textId="3DD17D76" w:rsidR="00B91A7F" w:rsidRPr="00D10720" w:rsidRDefault="00B91A7F" w:rsidP="00B91A7F">
      <w:pPr>
        <w:pStyle w:val="ListParagraph"/>
        <w:ind w:left="360"/>
        <w:rPr>
          <w:lang w:val="en-US"/>
        </w:rPr>
      </w:pPr>
      <w:r w:rsidRPr="00EA5780">
        <w:rPr>
          <w:noProof/>
          <w:lang w:eastAsia="fr-CH"/>
        </w:rPr>
        <w:lastRenderedPageBreak/>
        <w:drawing>
          <wp:inline distT="0" distB="0" distL="0" distR="0" wp14:anchorId="28C6FA2D" wp14:editId="74784FCF">
            <wp:extent cx="4258102" cy="1678675"/>
            <wp:effectExtent l="0" t="0" r="9525"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0E368B" w14:textId="77777777" w:rsidR="00532BA4" w:rsidRPr="00532BA4" w:rsidRDefault="00532BA4" w:rsidP="00532BA4">
      <w:pPr>
        <w:pStyle w:val="ListParagraph"/>
        <w:ind w:left="360"/>
        <w:rPr>
          <w:rStyle w:val="col-xs-12"/>
          <w:lang w:val="en-US"/>
        </w:rPr>
      </w:pPr>
    </w:p>
    <w:p w14:paraId="0BB8D8DC" w14:textId="46B4A441" w:rsidR="00AF583F" w:rsidRPr="00380B51" w:rsidRDefault="00D10720" w:rsidP="00AF583F">
      <w:pPr>
        <w:pStyle w:val="ListParagraph"/>
        <w:numPr>
          <w:ilvl w:val="0"/>
          <w:numId w:val="2"/>
        </w:numPr>
        <w:rPr>
          <w:rStyle w:val="col-xs-12"/>
          <w:lang w:val="en-US"/>
        </w:rPr>
      </w:pPr>
      <w:r w:rsidRPr="00865942">
        <w:rPr>
          <w:rStyle w:val="col-xs-12"/>
          <w:b/>
          <w:bCs/>
          <w:lang w:val="en-GB"/>
        </w:rPr>
        <w:t>(slide 2)</w:t>
      </w:r>
      <w:r>
        <w:rPr>
          <w:rStyle w:val="col-xs-12"/>
          <w:lang w:val="en-GB"/>
        </w:rPr>
        <w:t xml:space="preserve"> </w:t>
      </w:r>
      <w:r w:rsidR="00AF583F">
        <w:rPr>
          <w:rStyle w:val="col-xs-12"/>
          <w:lang w:val="en-GB"/>
        </w:rPr>
        <w:t xml:space="preserve">Regarding </w:t>
      </w:r>
      <w:r w:rsidR="00AF583F" w:rsidRPr="00EA5780">
        <w:rPr>
          <w:rStyle w:val="col-xs-12"/>
          <w:lang w:val="en-GB"/>
        </w:rPr>
        <w:t>TBs</w:t>
      </w:r>
      <w:r w:rsidR="00AF583F">
        <w:rPr>
          <w:rStyle w:val="col-xs-12"/>
          <w:lang w:val="en-GB"/>
        </w:rPr>
        <w:t>, a</w:t>
      </w:r>
      <w:r w:rsidR="008E02F6">
        <w:rPr>
          <w:rStyle w:val="col-xs-12"/>
          <w:lang w:val="en-GB"/>
        </w:rPr>
        <w:t>n overwhelming</w:t>
      </w:r>
      <w:r w:rsidR="00AF583F">
        <w:rPr>
          <w:rStyle w:val="col-xs-12"/>
          <w:lang w:val="en-GB"/>
        </w:rPr>
        <w:t xml:space="preserve"> </w:t>
      </w:r>
      <w:r w:rsidR="00AF583F" w:rsidRPr="00EA5780">
        <w:rPr>
          <w:rStyle w:val="col-xs-12"/>
          <w:lang w:val="en-GB"/>
        </w:rPr>
        <w:t>majority of recommendations have been issued by CRC</w:t>
      </w:r>
      <w:r w:rsidR="008E02F6">
        <w:rPr>
          <w:rStyle w:val="col-xs-12"/>
          <w:lang w:val="en-GB"/>
        </w:rPr>
        <w:t xml:space="preserve"> (61%)</w:t>
      </w:r>
      <w:r w:rsidR="00AF583F" w:rsidRPr="00EA5780">
        <w:rPr>
          <w:rStyle w:val="col-xs-12"/>
          <w:lang w:val="en-GB"/>
        </w:rPr>
        <w:t xml:space="preserve">, which explains the predominant emphasis on child protection and education. CEDAW is second with 18% of recommendations. CESCR comes in third with 10% of recommendations, which is surprisingly low </w:t>
      </w:r>
      <w:r w:rsidR="00AF583F">
        <w:rPr>
          <w:rStyle w:val="col-xs-12"/>
          <w:lang w:val="en-GB"/>
        </w:rPr>
        <w:t xml:space="preserve">given the relevance of economic and social rights </w:t>
      </w:r>
      <w:r w:rsidR="00A8062B">
        <w:rPr>
          <w:rStyle w:val="col-xs-12"/>
          <w:lang w:val="en-GB"/>
        </w:rPr>
        <w:t>for</w:t>
      </w:r>
      <w:r w:rsidR="00AF583F">
        <w:rPr>
          <w:rStyle w:val="col-xs-12"/>
          <w:lang w:val="en-GB"/>
        </w:rPr>
        <w:t xml:space="preserve"> a successful transition from adolescence to adult life</w:t>
      </w:r>
      <w:r w:rsidR="00AF583F" w:rsidRPr="00EA5780">
        <w:rPr>
          <w:rStyle w:val="col-xs-12"/>
          <w:lang w:val="en-GB"/>
        </w:rPr>
        <w:t xml:space="preserve">. </w:t>
      </w:r>
      <w:r w:rsidR="00A8062B">
        <w:rPr>
          <w:rStyle w:val="col-xs-12"/>
          <w:lang w:val="en-GB"/>
        </w:rPr>
        <w:t xml:space="preserve">It is problematic that mechanisms directly concerned about youth empowerment and employment have issued very limited </w:t>
      </w:r>
      <w:r w:rsidR="00380B51">
        <w:rPr>
          <w:rStyle w:val="col-xs-12"/>
          <w:lang w:val="en-GB"/>
        </w:rPr>
        <w:t>r</w:t>
      </w:r>
      <w:r w:rsidR="00A8062B">
        <w:rPr>
          <w:rStyle w:val="col-xs-12"/>
          <w:lang w:val="en-GB"/>
        </w:rPr>
        <w:t xml:space="preserve">ecommendations </w:t>
      </w:r>
      <w:r w:rsidR="008E02F6">
        <w:rPr>
          <w:rStyle w:val="col-xs-12"/>
          <w:lang w:val="en-GB"/>
        </w:rPr>
        <w:t>on</w:t>
      </w:r>
      <w:r w:rsidR="00A8062B">
        <w:rPr>
          <w:rStyle w:val="col-xs-12"/>
          <w:lang w:val="en-GB"/>
        </w:rPr>
        <w:t xml:space="preserve"> these issues:  CCPR only 2 recommendations</w:t>
      </w:r>
      <w:r w:rsidR="008E02F6">
        <w:rPr>
          <w:rStyle w:val="col-xs-12"/>
          <w:lang w:val="en-GB"/>
        </w:rPr>
        <w:t xml:space="preserve"> </w:t>
      </w:r>
      <w:r w:rsidR="00B91B6B">
        <w:rPr>
          <w:rStyle w:val="col-xs-12"/>
          <w:lang w:val="en-GB"/>
        </w:rPr>
        <w:t>specifically related to the political rights o</w:t>
      </w:r>
      <w:r w:rsidR="00865942">
        <w:rPr>
          <w:rStyle w:val="col-xs-12"/>
          <w:lang w:val="en-GB"/>
        </w:rPr>
        <w:t>f</w:t>
      </w:r>
      <w:r w:rsidR="00B91B6B">
        <w:rPr>
          <w:rStyle w:val="col-xs-12"/>
          <w:lang w:val="en-GB"/>
        </w:rPr>
        <w:t xml:space="preserve"> youth</w:t>
      </w:r>
      <w:r w:rsidR="0065142B">
        <w:rPr>
          <w:rStyle w:val="col-xs-12"/>
          <w:lang w:val="en-GB"/>
        </w:rPr>
        <w:t>;</w:t>
      </w:r>
      <w:r w:rsidR="00A8062B">
        <w:rPr>
          <w:rStyle w:val="col-xs-12"/>
          <w:lang w:val="en-GB"/>
        </w:rPr>
        <w:t xml:space="preserve"> and CMW</w:t>
      </w:r>
      <w:r w:rsidR="00865942">
        <w:rPr>
          <w:rStyle w:val="col-xs-12"/>
          <w:lang w:val="en-GB"/>
        </w:rPr>
        <w:t xml:space="preserve"> has</w:t>
      </w:r>
      <w:r w:rsidR="00A8062B">
        <w:rPr>
          <w:rStyle w:val="col-xs-12"/>
          <w:lang w:val="en-GB"/>
        </w:rPr>
        <w:t xml:space="preserve"> no recommendations on </w:t>
      </w:r>
      <w:r w:rsidR="00B91B6B">
        <w:rPr>
          <w:rStyle w:val="col-xs-12"/>
          <w:lang w:val="en-GB"/>
        </w:rPr>
        <w:t xml:space="preserve">the </w:t>
      </w:r>
      <w:r w:rsidR="00A8062B">
        <w:rPr>
          <w:rStyle w:val="col-xs-12"/>
          <w:lang w:val="en-GB"/>
        </w:rPr>
        <w:t>employment</w:t>
      </w:r>
      <w:r w:rsidR="00B91B6B">
        <w:rPr>
          <w:rStyle w:val="col-xs-12"/>
          <w:lang w:val="en-GB"/>
        </w:rPr>
        <w:t xml:space="preserve"> of youth migrants</w:t>
      </w:r>
      <w:r w:rsidR="0065142B">
        <w:rPr>
          <w:rStyle w:val="col-xs-12"/>
          <w:lang w:val="en-GB"/>
        </w:rPr>
        <w:t>.</w:t>
      </w:r>
    </w:p>
    <w:p w14:paraId="7F8E4FE2" w14:textId="3E8DB7FC" w:rsidR="00380B51" w:rsidRDefault="00B91A7F" w:rsidP="00380B51">
      <w:pPr>
        <w:rPr>
          <w:rStyle w:val="col-xs-12"/>
          <w:lang w:val="en-US"/>
        </w:rPr>
      </w:pPr>
      <w:r w:rsidRPr="00EA5780">
        <w:rPr>
          <w:noProof/>
          <w:lang w:eastAsia="fr-CH"/>
        </w:rPr>
        <w:drawing>
          <wp:inline distT="0" distB="0" distL="0" distR="0" wp14:anchorId="5DD814F0" wp14:editId="45A82596">
            <wp:extent cx="4762500" cy="23050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173ADE" w14:textId="77777777" w:rsidR="00380B51" w:rsidRDefault="00380B51" w:rsidP="008E02F6">
      <w:pPr>
        <w:rPr>
          <w:rStyle w:val="col-xs-12"/>
          <w:b/>
          <w:bCs/>
          <w:lang w:val="en-US"/>
        </w:rPr>
      </w:pPr>
    </w:p>
    <w:p w14:paraId="11706BCD" w14:textId="65B14E57" w:rsidR="008E02F6" w:rsidRPr="008E02F6" w:rsidRDefault="008E02F6" w:rsidP="008E02F6">
      <w:pPr>
        <w:rPr>
          <w:rStyle w:val="col-xs-12"/>
          <w:lang w:val="en-US"/>
        </w:rPr>
      </w:pPr>
      <w:r w:rsidRPr="00014284">
        <w:rPr>
          <w:rStyle w:val="col-xs-12"/>
          <w:b/>
          <w:bCs/>
          <w:lang w:val="en-US"/>
        </w:rPr>
        <w:t>Concluding Recommendations:</w:t>
      </w:r>
    </w:p>
    <w:p w14:paraId="30B9BC6A" w14:textId="41225EAE" w:rsidR="0065142B" w:rsidRPr="0005777A" w:rsidRDefault="00A8062B" w:rsidP="004D084D">
      <w:pPr>
        <w:pStyle w:val="ListParagraph"/>
        <w:numPr>
          <w:ilvl w:val="0"/>
          <w:numId w:val="2"/>
        </w:numPr>
        <w:rPr>
          <w:rStyle w:val="col-xs-12"/>
          <w:lang w:val="en-US"/>
        </w:rPr>
      </w:pPr>
      <w:r w:rsidRPr="0005777A">
        <w:rPr>
          <w:rStyle w:val="col-xs-12"/>
          <w:lang w:val="en-GB"/>
        </w:rPr>
        <w:t xml:space="preserve">While the protection of adolescent and youth should continue to be a priority of the Human Rights system, the unbalanced representation of protection vs. empowerment sends the wrong message that </w:t>
      </w:r>
      <w:r w:rsidR="008E02F6" w:rsidRPr="0005777A">
        <w:rPr>
          <w:rStyle w:val="col-xs-12"/>
          <w:lang w:val="en-GB"/>
        </w:rPr>
        <w:t>they</w:t>
      </w:r>
      <w:r w:rsidRPr="0005777A">
        <w:rPr>
          <w:rStyle w:val="col-xs-12"/>
          <w:lang w:val="en-GB"/>
        </w:rPr>
        <w:t xml:space="preserve"> are either vulnerable or invisible as</w:t>
      </w:r>
      <w:r w:rsidR="008E02F6" w:rsidRPr="0005777A">
        <w:rPr>
          <w:rStyle w:val="col-xs-12"/>
          <w:lang w:val="en-GB"/>
        </w:rPr>
        <w:t xml:space="preserve"> change agents.</w:t>
      </w:r>
      <w:r w:rsidR="0005777A">
        <w:rPr>
          <w:rStyle w:val="col-xs-12"/>
          <w:lang w:val="en-GB"/>
        </w:rPr>
        <w:t xml:space="preserve"> Treaty Body members, S</w:t>
      </w:r>
      <w:r w:rsidR="008E02F6" w:rsidRPr="0005777A">
        <w:rPr>
          <w:rStyle w:val="col-xs-12"/>
          <w:lang w:val="en-GB"/>
        </w:rPr>
        <w:t>tates championing youth rights in the UPR process</w:t>
      </w:r>
      <w:r w:rsidR="00380B51">
        <w:rPr>
          <w:rStyle w:val="col-xs-12"/>
          <w:lang w:val="en-GB"/>
        </w:rPr>
        <w:t>,</w:t>
      </w:r>
      <w:r w:rsidR="008E02F6" w:rsidRPr="0005777A">
        <w:rPr>
          <w:rStyle w:val="col-xs-12"/>
          <w:lang w:val="en-GB"/>
        </w:rPr>
        <w:t xml:space="preserve"> and </w:t>
      </w:r>
      <w:r w:rsidR="00865942">
        <w:rPr>
          <w:rStyle w:val="col-xs-12"/>
          <w:lang w:val="en-GB"/>
        </w:rPr>
        <w:t>stakeholders</w:t>
      </w:r>
      <w:r w:rsidR="00E0731E" w:rsidRPr="0005777A">
        <w:rPr>
          <w:rStyle w:val="col-xs-12"/>
          <w:lang w:val="en-GB"/>
        </w:rPr>
        <w:t xml:space="preserve"> providing information to human rights mechanisms</w:t>
      </w:r>
      <w:r w:rsidR="0005777A">
        <w:rPr>
          <w:rStyle w:val="col-xs-12"/>
          <w:lang w:val="en-GB"/>
        </w:rPr>
        <w:t xml:space="preserve"> need to be mindful of these unbalances</w:t>
      </w:r>
      <w:r w:rsidR="00E0731E" w:rsidRPr="0005777A">
        <w:rPr>
          <w:rStyle w:val="col-xs-12"/>
          <w:lang w:val="en-GB"/>
        </w:rPr>
        <w:t xml:space="preserve">. </w:t>
      </w:r>
    </w:p>
    <w:p w14:paraId="29CAB5E4" w14:textId="7084E2B5" w:rsidR="008E02F6" w:rsidRPr="008E02F6" w:rsidRDefault="008E02F6" w:rsidP="00E0731E">
      <w:pPr>
        <w:pStyle w:val="ListParagraph"/>
        <w:numPr>
          <w:ilvl w:val="0"/>
          <w:numId w:val="2"/>
        </w:numPr>
        <w:rPr>
          <w:rStyle w:val="col-xs-12"/>
          <w:lang w:val="en-US"/>
        </w:rPr>
      </w:pPr>
      <w:r>
        <w:rPr>
          <w:rStyle w:val="col-xs-12"/>
          <w:lang w:val="en-GB"/>
        </w:rPr>
        <w:t>Y</w:t>
      </w:r>
      <w:r w:rsidR="00014284">
        <w:rPr>
          <w:rStyle w:val="col-xs-12"/>
          <w:lang w:val="en-GB"/>
        </w:rPr>
        <w:t>outh rights</w:t>
      </w:r>
      <w:r>
        <w:rPr>
          <w:rStyle w:val="col-xs-12"/>
          <w:lang w:val="en-GB"/>
        </w:rPr>
        <w:t xml:space="preserve"> need to be </w:t>
      </w:r>
      <w:r w:rsidR="00014284">
        <w:rPr>
          <w:rStyle w:val="col-xs-12"/>
          <w:lang w:val="en-GB"/>
        </w:rPr>
        <w:t xml:space="preserve">mainstreamed across the work of </w:t>
      </w:r>
      <w:r>
        <w:rPr>
          <w:rStyle w:val="col-xs-12"/>
          <w:lang w:val="en-GB"/>
        </w:rPr>
        <w:t xml:space="preserve">all </w:t>
      </w:r>
      <w:r w:rsidR="00014284">
        <w:rPr>
          <w:rStyle w:val="col-xs-12"/>
          <w:lang w:val="en-GB"/>
        </w:rPr>
        <w:t xml:space="preserve">TBs beyond CRC </w:t>
      </w:r>
      <w:r>
        <w:rPr>
          <w:rStyle w:val="col-xs-12"/>
          <w:lang w:val="en-GB"/>
        </w:rPr>
        <w:t>by:</w:t>
      </w:r>
    </w:p>
    <w:p w14:paraId="050BF596" w14:textId="185954DF" w:rsidR="008E02F6" w:rsidRPr="008E02F6" w:rsidRDefault="008E02F6" w:rsidP="008E02F6">
      <w:pPr>
        <w:pStyle w:val="ListParagraph"/>
        <w:numPr>
          <w:ilvl w:val="1"/>
          <w:numId w:val="2"/>
        </w:numPr>
        <w:rPr>
          <w:rStyle w:val="col-xs-12"/>
          <w:lang w:val="en-US"/>
        </w:rPr>
      </w:pPr>
      <w:r w:rsidRPr="00543BBE">
        <w:rPr>
          <w:lang w:val="en-GB"/>
        </w:rPr>
        <w:t>Broaden</w:t>
      </w:r>
      <w:r>
        <w:rPr>
          <w:lang w:val="en-GB"/>
        </w:rPr>
        <w:t xml:space="preserve">ing the </w:t>
      </w:r>
      <w:r w:rsidRPr="00543BBE">
        <w:rPr>
          <w:lang w:val="en-GB"/>
        </w:rPr>
        <w:t xml:space="preserve">engagement with youth organisations </w:t>
      </w:r>
      <w:r>
        <w:rPr>
          <w:lang w:val="en-GB"/>
        </w:rPr>
        <w:t xml:space="preserve">and reviewing </w:t>
      </w:r>
      <w:r w:rsidRPr="00543BBE">
        <w:rPr>
          <w:lang w:val="en-GB"/>
        </w:rPr>
        <w:t>working modalities</w:t>
      </w:r>
      <w:r>
        <w:rPr>
          <w:lang w:val="en-GB"/>
        </w:rPr>
        <w:t xml:space="preserve"> and processes to be more youth friendly</w:t>
      </w:r>
      <w:r w:rsidR="00FB2C0D">
        <w:rPr>
          <w:lang w:val="en-GB"/>
        </w:rPr>
        <w:t>;</w:t>
      </w:r>
    </w:p>
    <w:p w14:paraId="4DBEE689" w14:textId="2F3F3557" w:rsidR="00AF583F" w:rsidRPr="00E0731E" w:rsidRDefault="00014284" w:rsidP="008E02F6">
      <w:pPr>
        <w:pStyle w:val="ListParagraph"/>
        <w:numPr>
          <w:ilvl w:val="1"/>
          <w:numId w:val="2"/>
        </w:numPr>
        <w:rPr>
          <w:rStyle w:val="col-xs-12"/>
          <w:lang w:val="en-US"/>
        </w:rPr>
      </w:pPr>
      <w:r>
        <w:rPr>
          <w:rStyle w:val="col-xs-12"/>
          <w:lang w:val="en-GB"/>
        </w:rPr>
        <w:t xml:space="preserve"> </w:t>
      </w:r>
      <w:r w:rsidR="008E02F6">
        <w:rPr>
          <w:rStyle w:val="col-xs-12"/>
          <w:lang w:val="en-GB"/>
        </w:rPr>
        <w:t>In</w:t>
      </w:r>
      <w:r w:rsidR="00E0731E">
        <w:rPr>
          <w:rStyle w:val="col-xs-12"/>
          <w:lang w:val="en-GB"/>
        </w:rPr>
        <w:t>clu</w:t>
      </w:r>
      <w:r w:rsidR="008E02F6">
        <w:rPr>
          <w:rStyle w:val="col-xs-12"/>
          <w:lang w:val="en-GB"/>
        </w:rPr>
        <w:t>ding</w:t>
      </w:r>
      <w:r w:rsidR="00E0731E">
        <w:rPr>
          <w:rStyle w:val="col-xs-12"/>
          <w:lang w:val="en-GB"/>
        </w:rPr>
        <w:t xml:space="preserve"> youth rights-related questions in the formulation of the ‘Lists of Issues’ guid</w:t>
      </w:r>
      <w:r w:rsidR="00B91B6B">
        <w:rPr>
          <w:rStyle w:val="col-xs-12"/>
          <w:lang w:val="en-GB"/>
        </w:rPr>
        <w:t>ing</w:t>
      </w:r>
      <w:r w:rsidR="00E0731E">
        <w:rPr>
          <w:rStyle w:val="col-xs-12"/>
          <w:lang w:val="en-GB"/>
        </w:rPr>
        <w:t xml:space="preserve"> State parties’ reporting and reviews</w:t>
      </w:r>
      <w:r w:rsidR="0005777A">
        <w:rPr>
          <w:rStyle w:val="col-xs-12"/>
          <w:lang w:val="en-GB"/>
        </w:rPr>
        <w:t xml:space="preserve">; and </w:t>
      </w:r>
    </w:p>
    <w:p w14:paraId="3815EA17" w14:textId="79B81321" w:rsidR="00E0731E" w:rsidRDefault="0005777A" w:rsidP="00865942">
      <w:pPr>
        <w:pStyle w:val="ListParagraph"/>
        <w:numPr>
          <w:ilvl w:val="1"/>
          <w:numId w:val="2"/>
        </w:numPr>
        <w:spacing w:after="200" w:line="276" w:lineRule="auto"/>
        <w:rPr>
          <w:lang w:val="en-GB"/>
        </w:rPr>
      </w:pPr>
      <w:r>
        <w:rPr>
          <w:lang w:val="en-GB"/>
        </w:rPr>
        <w:t xml:space="preserve">Supporting </w:t>
      </w:r>
      <w:r w:rsidR="00E0731E" w:rsidRPr="00543BBE">
        <w:rPr>
          <w:lang w:val="en-GB"/>
        </w:rPr>
        <w:t>youth-led organisations and groups with information</w:t>
      </w:r>
      <w:r>
        <w:rPr>
          <w:lang w:val="en-GB"/>
        </w:rPr>
        <w:t xml:space="preserve"> on the work of human rights mechanisms as well as </w:t>
      </w:r>
      <w:r w:rsidR="00E0731E" w:rsidRPr="00543BBE">
        <w:rPr>
          <w:lang w:val="en-GB"/>
        </w:rPr>
        <w:t xml:space="preserve">resources </w:t>
      </w:r>
      <w:r>
        <w:rPr>
          <w:lang w:val="en-GB"/>
        </w:rPr>
        <w:t>and</w:t>
      </w:r>
      <w:r w:rsidR="00865942">
        <w:rPr>
          <w:lang w:val="en-GB"/>
        </w:rPr>
        <w:t xml:space="preserve"> </w:t>
      </w:r>
      <w:r>
        <w:rPr>
          <w:lang w:val="en-GB"/>
        </w:rPr>
        <w:t xml:space="preserve">capacities to enhance </w:t>
      </w:r>
      <w:r w:rsidR="00E0731E" w:rsidRPr="00543BBE">
        <w:rPr>
          <w:lang w:val="en-GB"/>
        </w:rPr>
        <w:t>their advocacy skills.</w:t>
      </w:r>
    </w:p>
    <w:p w14:paraId="16CEFA7E" w14:textId="72E2FF1B" w:rsidR="00E0731E" w:rsidRPr="0065142B" w:rsidRDefault="00E0731E" w:rsidP="00E0731E">
      <w:pPr>
        <w:pStyle w:val="ListParagraph"/>
        <w:numPr>
          <w:ilvl w:val="0"/>
          <w:numId w:val="2"/>
        </w:numPr>
        <w:rPr>
          <w:rStyle w:val="col-xs-12"/>
          <w:lang w:val="en-US"/>
        </w:rPr>
      </w:pPr>
      <w:r>
        <w:rPr>
          <w:rStyle w:val="col-xs-12"/>
          <w:lang w:val="en-GB"/>
        </w:rPr>
        <w:lastRenderedPageBreak/>
        <w:t xml:space="preserve">It is important to take into account the </w:t>
      </w:r>
      <w:r w:rsidRPr="00865942">
        <w:rPr>
          <w:rStyle w:val="col-xs-12"/>
          <w:b/>
          <w:bCs/>
          <w:lang w:val="en-GB"/>
        </w:rPr>
        <w:t>intersection between age and gender</w:t>
      </w:r>
      <w:r>
        <w:rPr>
          <w:rStyle w:val="col-xs-12"/>
          <w:lang w:val="en-GB"/>
        </w:rPr>
        <w:t>. Quite often the specific realities of young women and girls</w:t>
      </w:r>
      <w:r w:rsidR="00865942">
        <w:rPr>
          <w:rStyle w:val="col-xs-12"/>
          <w:lang w:val="en-GB"/>
        </w:rPr>
        <w:t>;</w:t>
      </w:r>
      <w:r>
        <w:rPr>
          <w:rStyle w:val="col-xs-12"/>
          <w:lang w:val="en-GB"/>
        </w:rPr>
        <w:t xml:space="preserve"> the barriers to participation they face</w:t>
      </w:r>
      <w:r w:rsidR="00865942">
        <w:rPr>
          <w:rStyle w:val="col-xs-12"/>
          <w:lang w:val="en-GB"/>
        </w:rPr>
        <w:t>;</w:t>
      </w:r>
      <w:r>
        <w:rPr>
          <w:rStyle w:val="col-xs-12"/>
          <w:lang w:val="en-GB"/>
        </w:rPr>
        <w:t xml:space="preserve"> and their concrete aspirations </w:t>
      </w:r>
      <w:r w:rsidR="00865942">
        <w:rPr>
          <w:rStyle w:val="col-xs-12"/>
          <w:lang w:val="en-GB"/>
        </w:rPr>
        <w:t>tend to</w:t>
      </w:r>
      <w:r>
        <w:rPr>
          <w:rStyle w:val="col-xs-12"/>
          <w:lang w:val="en-GB"/>
        </w:rPr>
        <w:t xml:space="preserve"> be </w:t>
      </w:r>
      <w:r w:rsidR="008E02F6">
        <w:rPr>
          <w:rStyle w:val="col-xs-12"/>
          <w:lang w:val="en-GB"/>
        </w:rPr>
        <w:t xml:space="preserve">less </w:t>
      </w:r>
      <w:r>
        <w:rPr>
          <w:rStyle w:val="col-xs-12"/>
          <w:lang w:val="en-GB"/>
        </w:rPr>
        <w:t xml:space="preserve">visible </w:t>
      </w:r>
      <w:r w:rsidR="00B91B6B">
        <w:rPr>
          <w:rStyle w:val="col-xs-12"/>
          <w:lang w:val="en-GB"/>
        </w:rPr>
        <w:t xml:space="preserve">within </w:t>
      </w:r>
      <w:r>
        <w:rPr>
          <w:rStyle w:val="col-xs-12"/>
          <w:lang w:val="en-GB"/>
        </w:rPr>
        <w:t>youth rights</w:t>
      </w:r>
      <w:r w:rsidR="008E02F6">
        <w:rPr>
          <w:rStyle w:val="col-xs-12"/>
          <w:lang w:val="en-GB"/>
        </w:rPr>
        <w:t>’</w:t>
      </w:r>
      <w:r>
        <w:rPr>
          <w:rStyle w:val="col-xs-12"/>
          <w:lang w:val="en-GB"/>
        </w:rPr>
        <w:t xml:space="preserve"> </w:t>
      </w:r>
      <w:r w:rsidR="00331D08">
        <w:rPr>
          <w:rStyle w:val="col-xs-12"/>
          <w:lang w:val="en-GB"/>
        </w:rPr>
        <w:t>agenda</w:t>
      </w:r>
      <w:r w:rsidR="008E02F6">
        <w:rPr>
          <w:rStyle w:val="col-xs-12"/>
          <w:lang w:val="en-GB"/>
        </w:rPr>
        <w:t>s and strategies</w:t>
      </w:r>
      <w:r>
        <w:rPr>
          <w:rStyle w:val="col-xs-12"/>
          <w:lang w:val="en-GB"/>
        </w:rPr>
        <w:t xml:space="preserve">.  </w:t>
      </w:r>
      <w:r w:rsidRPr="00EA5780">
        <w:rPr>
          <w:rStyle w:val="col-xs-12"/>
          <w:lang w:val="en-GB"/>
        </w:rPr>
        <w:t>CEDAW is well placed to infuse a strong gender perspective</w:t>
      </w:r>
      <w:r>
        <w:rPr>
          <w:rStyle w:val="col-xs-12"/>
          <w:lang w:val="en-GB"/>
        </w:rPr>
        <w:t>, but</w:t>
      </w:r>
      <w:r w:rsidR="0005777A">
        <w:rPr>
          <w:rStyle w:val="col-xs-12"/>
          <w:lang w:val="en-GB"/>
        </w:rPr>
        <w:t xml:space="preserve"> </w:t>
      </w:r>
      <w:r>
        <w:rPr>
          <w:rStyle w:val="col-xs-12"/>
          <w:lang w:val="en-GB"/>
        </w:rPr>
        <w:t xml:space="preserve">this </w:t>
      </w:r>
      <w:r w:rsidR="0005777A">
        <w:rPr>
          <w:rStyle w:val="col-xs-12"/>
          <w:lang w:val="en-GB"/>
        </w:rPr>
        <w:t xml:space="preserve">task should not be </w:t>
      </w:r>
      <w:r>
        <w:rPr>
          <w:rStyle w:val="col-xs-12"/>
          <w:lang w:val="en-GB"/>
        </w:rPr>
        <w:t xml:space="preserve">exclusive </w:t>
      </w:r>
      <w:r w:rsidR="008E02F6">
        <w:rPr>
          <w:rStyle w:val="col-xs-12"/>
          <w:lang w:val="en-GB"/>
        </w:rPr>
        <w:t>t</w:t>
      </w:r>
      <w:r w:rsidR="0005777A">
        <w:rPr>
          <w:rStyle w:val="col-xs-12"/>
          <w:lang w:val="en-GB"/>
        </w:rPr>
        <w:t>o CEDAW</w:t>
      </w:r>
      <w:r w:rsidR="00243F34">
        <w:rPr>
          <w:rStyle w:val="col-xs-12"/>
          <w:lang w:val="en-GB"/>
        </w:rPr>
        <w:t>.</w:t>
      </w:r>
      <w:r w:rsidR="00865942">
        <w:rPr>
          <w:rStyle w:val="col-xs-12"/>
          <w:lang w:val="en-GB"/>
        </w:rPr>
        <w:t xml:space="preserve"> other human rights mechanisms need to do their part</w:t>
      </w:r>
      <w:r>
        <w:rPr>
          <w:rStyle w:val="col-xs-12"/>
          <w:lang w:val="en-GB"/>
        </w:rPr>
        <w:t>.</w:t>
      </w:r>
      <w:r w:rsidR="00A8062B">
        <w:rPr>
          <w:rStyle w:val="col-xs-12"/>
          <w:lang w:val="en-GB"/>
        </w:rPr>
        <w:t xml:space="preserve"> Similarly, youth and women’s rights organizations should </w:t>
      </w:r>
      <w:r w:rsidR="0005777A">
        <w:rPr>
          <w:rStyle w:val="col-xs-12"/>
          <w:lang w:val="en-GB"/>
        </w:rPr>
        <w:t>expand their</w:t>
      </w:r>
      <w:r w:rsidR="00A8062B">
        <w:rPr>
          <w:rStyle w:val="col-xs-12"/>
          <w:lang w:val="en-GB"/>
        </w:rPr>
        <w:t xml:space="preserve"> engagement</w:t>
      </w:r>
      <w:r w:rsidR="0005777A">
        <w:rPr>
          <w:rStyle w:val="col-xs-12"/>
          <w:lang w:val="en-GB"/>
        </w:rPr>
        <w:t xml:space="preserve"> to other </w:t>
      </w:r>
      <w:r w:rsidR="00A8062B">
        <w:rPr>
          <w:rStyle w:val="col-xs-12"/>
          <w:lang w:val="en-GB"/>
        </w:rPr>
        <w:t xml:space="preserve">Human Rights mechanisms </w:t>
      </w:r>
      <w:r w:rsidR="0005777A">
        <w:rPr>
          <w:rStyle w:val="col-xs-12"/>
          <w:lang w:val="en-GB"/>
        </w:rPr>
        <w:t>beyond</w:t>
      </w:r>
      <w:r w:rsidR="00A8062B">
        <w:rPr>
          <w:rStyle w:val="col-xs-12"/>
          <w:lang w:val="en-GB"/>
        </w:rPr>
        <w:t xml:space="preserve"> CEDAW and CRC</w:t>
      </w:r>
      <w:r w:rsidR="0065142B">
        <w:rPr>
          <w:rStyle w:val="col-xs-12"/>
          <w:lang w:val="en-GB"/>
        </w:rPr>
        <w:t>.</w:t>
      </w:r>
    </w:p>
    <w:p w14:paraId="1307572C" w14:textId="45FD985B" w:rsidR="00865942" w:rsidRPr="006E08C0" w:rsidRDefault="0065142B" w:rsidP="00A179FB">
      <w:pPr>
        <w:pStyle w:val="ListParagraph"/>
        <w:numPr>
          <w:ilvl w:val="0"/>
          <w:numId w:val="2"/>
        </w:numPr>
        <w:rPr>
          <w:rStyle w:val="col-xs-12"/>
          <w:b/>
          <w:bCs/>
          <w:lang w:val="en-US"/>
        </w:rPr>
      </w:pPr>
      <w:r w:rsidRPr="006E08C0">
        <w:rPr>
          <w:rStyle w:val="col-xs-12"/>
          <w:lang w:val="en-GB"/>
        </w:rPr>
        <w:t xml:space="preserve">The large number of youth related commitments made by states and youth organizations at the Nairobi Summit on ICPD25 can serve as a useful resource to inform and guide UPR and TB reviews. </w:t>
      </w:r>
      <w:r w:rsidR="0005777A" w:rsidRPr="006E08C0">
        <w:rPr>
          <w:rStyle w:val="col-xs-12"/>
          <w:lang w:val="en-GB"/>
        </w:rPr>
        <w:t>S</w:t>
      </w:r>
      <w:r w:rsidR="006F1FA0" w:rsidRPr="006E08C0">
        <w:rPr>
          <w:rStyle w:val="col-xs-12"/>
          <w:lang w:val="en-GB"/>
        </w:rPr>
        <w:t>ince 2020</w:t>
      </w:r>
      <w:r w:rsidR="0005777A" w:rsidRPr="006E08C0">
        <w:rPr>
          <w:rStyle w:val="col-xs-12"/>
          <w:lang w:val="en-GB"/>
        </w:rPr>
        <w:t>, for instance</w:t>
      </w:r>
      <w:r w:rsidR="006F1FA0" w:rsidRPr="006E08C0">
        <w:rPr>
          <w:rStyle w:val="col-xs-12"/>
          <w:lang w:val="en-GB"/>
        </w:rPr>
        <w:t xml:space="preserve"> the UPR is issuing an increasing number of youth related recommendations inspired by</w:t>
      </w:r>
      <w:r w:rsidR="00331D08" w:rsidRPr="006E08C0">
        <w:rPr>
          <w:rStyle w:val="col-xs-12"/>
          <w:lang w:val="en-GB"/>
        </w:rPr>
        <w:t xml:space="preserve"> the</w:t>
      </w:r>
      <w:r w:rsidR="006F1FA0" w:rsidRPr="006E08C0">
        <w:rPr>
          <w:rStyle w:val="col-xs-12"/>
          <w:lang w:val="en-GB"/>
        </w:rPr>
        <w:t xml:space="preserve"> Nairobi Summit Commitments</w:t>
      </w:r>
      <w:r w:rsidR="0005777A" w:rsidRPr="006E08C0">
        <w:rPr>
          <w:rStyle w:val="col-xs-12"/>
          <w:lang w:val="en-GB"/>
        </w:rPr>
        <w:t>.</w:t>
      </w:r>
    </w:p>
    <w:p w14:paraId="2CCAB580" w14:textId="77777777" w:rsidR="006E08C0" w:rsidRPr="006E08C0" w:rsidRDefault="006E08C0" w:rsidP="006E08C0">
      <w:pPr>
        <w:pStyle w:val="ListParagraph"/>
        <w:ind w:left="360"/>
        <w:rPr>
          <w:b/>
          <w:bCs/>
          <w:lang w:val="en-US"/>
        </w:rPr>
      </w:pPr>
    </w:p>
    <w:p w14:paraId="5B279D2D" w14:textId="677250F6" w:rsidR="00A8062B" w:rsidRDefault="005833E4" w:rsidP="00A8062B">
      <w:pPr>
        <w:pStyle w:val="ListParagraph"/>
        <w:numPr>
          <w:ilvl w:val="0"/>
          <w:numId w:val="7"/>
        </w:numPr>
        <w:rPr>
          <w:lang w:val="en-US"/>
        </w:rPr>
      </w:pPr>
      <w:r>
        <w:rPr>
          <w:lang w:val="en-US"/>
        </w:rPr>
        <w:t xml:space="preserve">In terms of </w:t>
      </w:r>
      <w:r w:rsidRPr="00532BA4">
        <w:rPr>
          <w:b/>
          <w:bCs/>
          <w:lang w:val="en-US"/>
        </w:rPr>
        <w:t>intergovernmental processes</w:t>
      </w:r>
      <w:r>
        <w:rPr>
          <w:lang w:val="en-US"/>
        </w:rPr>
        <w:t>, m</w:t>
      </w:r>
      <w:r w:rsidR="00A8062B">
        <w:rPr>
          <w:lang w:val="en-US"/>
        </w:rPr>
        <w:t>ore efforts c</w:t>
      </w:r>
      <w:r w:rsidR="00D47468">
        <w:rPr>
          <w:lang w:val="en-US"/>
        </w:rPr>
        <w:t>ould</w:t>
      </w:r>
      <w:r w:rsidR="00A8062B">
        <w:rPr>
          <w:lang w:val="en-US"/>
        </w:rPr>
        <w:t xml:space="preserve"> be undertaken to mainstreaming the rights of youth in the work of the Human Rights Council. The resolution on the rights of youth is a critical step in keeping the Council seized on this important matter. In addition</w:t>
      </w:r>
      <w:r w:rsidR="00865942">
        <w:rPr>
          <w:lang w:val="en-US"/>
        </w:rPr>
        <w:t>,</w:t>
      </w:r>
      <w:r w:rsidR="00A8062B">
        <w:rPr>
          <w:lang w:val="en-US"/>
        </w:rPr>
        <w:t xml:space="preserve"> the rights of youth need to be mainstreamed across the entire </w:t>
      </w:r>
      <w:r w:rsidR="00331D08">
        <w:rPr>
          <w:lang w:val="en-US"/>
        </w:rPr>
        <w:t xml:space="preserve">HRC’s </w:t>
      </w:r>
      <w:r w:rsidR="00A8062B">
        <w:rPr>
          <w:lang w:val="en-US"/>
        </w:rPr>
        <w:t>work agenda</w:t>
      </w:r>
      <w:r w:rsidR="00331D08">
        <w:rPr>
          <w:lang w:val="en-US"/>
        </w:rPr>
        <w:t>,</w:t>
      </w:r>
      <w:r w:rsidR="00A8062B">
        <w:rPr>
          <w:lang w:val="en-US"/>
        </w:rPr>
        <w:t xml:space="preserve"> both </w:t>
      </w:r>
      <w:r w:rsidR="00D10720">
        <w:rPr>
          <w:lang w:val="en-US"/>
        </w:rPr>
        <w:t xml:space="preserve">on </w:t>
      </w:r>
      <w:r w:rsidR="00A8062B">
        <w:rPr>
          <w:lang w:val="en-US"/>
        </w:rPr>
        <w:t xml:space="preserve">thematic and country </w:t>
      </w:r>
      <w:r w:rsidR="00D10720">
        <w:rPr>
          <w:lang w:val="en-US"/>
        </w:rPr>
        <w:t>issues. S</w:t>
      </w:r>
      <w:r w:rsidR="00A8062B">
        <w:rPr>
          <w:lang w:val="en-US"/>
        </w:rPr>
        <w:t xml:space="preserve">ome possibilities could be considered by member states such as: </w:t>
      </w:r>
    </w:p>
    <w:p w14:paraId="1C1F62B6" w14:textId="2B13B4E7" w:rsidR="00A8062B" w:rsidRDefault="00A8062B" w:rsidP="00A8062B">
      <w:pPr>
        <w:pStyle w:val="ListParagraph"/>
        <w:numPr>
          <w:ilvl w:val="1"/>
          <w:numId w:val="7"/>
        </w:numPr>
        <w:rPr>
          <w:lang w:val="en-US"/>
        </w:rPr>
      </w:pPr>
      <w:r>
        <w:rPr>
          <w:lang w:val="en-US"/>
        </w:rPr>
        <w:t xml:space="preserve">The establishment of a youth forum similar to the one organized under the auspices of ECOSOC in New York with a view to promoting a youth perspective into the different topics covered by the </w:t>
      </w:r>
      <w:r w:rsidR="00331D08">
        <w:rPr>
          <w:lang w:val="en-US"/>
        </w:rPr>
        <w:t>H</w:t>
      </w:r>
      <w:r>
        <w:rPr>
          <w:lang w:val="en-US"/>
        </w:rPr>
        <w:t xml:space="preserve">uman </w:t>
      </w:r>
      <w:r w:rsidR="00331D08">
        <w:rPr>
          <w:lang w:val="en-US"/>
        </w:rPr>
        <w:t>R</w:t>
      </w:r>
      <w:r>
        <w:rPr>
          <w:lang w:val="en-US"/>
        </w:rPr>
        <w:t xml:space="preserve">ights </w:t>
      </w:r>
      <w:r w:rsidR="00331D08">
        <w:rPr>
          <w:lang w:val="en-US"/>
        </w:rPr>
        <w:t>C</w:t>
      </w:r>
      <w:r>
        <w:rPr>
          <w:lang w:val="en-US"/>
        </w:rPr>
        <w:t>ouncil</w:t>
      </w:r>
      <w:r w:rsidR="00865942">
        <w:rPr>
          <w:lang w:val="en-US"/>
        </w:rPr>
        <w:t>;</w:t>
      </w:r>
    </w:p>
    <w:p w14:paraId="47F093B6" w14:textId="6D46B9F1" w:rsidR="00A8062B" w:rsidRDefault="00A8062B" w:rsidP="00A8062B">
      <w:pPr>
        <w:pStyle w:val="ListParagraph"/>
        <w:numPr>
          <w:ilvl w:val="1"/>
          <w:numId w:val="7"/>
        </w:numPr>
        <w:rPr>
          <w:lang w:val="en-US"/>
        </w:rPr>
      </w:pPr>
      <w:r>
        <w:rPr>
          <w:lang w:val="en-US"/>
        </w:rPr>
        <w:t xml:space="preserve">The establishment of an annual dialogue on inter-generational inclusion and human rights to discuss normative and policy gaps, facilitating factors and opportunities to realize the rights of youth and the rights </w:t>
      </w:r>
      <w:r w:rsidR="003915B4">
        <w:rPr>
          <w:lang w:val="en-US"/>
        </w:rPr>
        <w:t xml:space="preserve">of </w:t>
      </w:r>
      <w:r>
        <w:rPr>
          <w:lang w:val="en-US"/>
        </w:rPr>
        <w:t>older persons</w:t>
      </w:r>
      <w:r w:rsidR="00865942">
        <w:rPr>
          <w:lang w:val="en-US"/>
        </w:rPr>
        <w:t>;</w:t>
      </w:r>
    </w:p>
    <w:p w14:paraId="654FFFB1" w14:textId="3C3A39A1" w:rsidR="00A8062B" w:rsidRDefault="0065142B" w:rsidP="00A8062B">
      <w:pPr>
        <w:pStyle w:val="ListParagraph"/>
        <w:numPr>
          <w:ilvl w:val="1"/>
          <w:numId w:val="7"/>
        </w:numPr>
        <w:rPr>
          <w:lang w:val="en-US"/>
        </w:rPr>
      </w:pPr>
      <w:r>
        <w:rPr>
          <w:lang w:val="en-US"/>
        </w:rPr>
        <w:t xml:space="preserve">The COVID 19 pandemic has created new challenges, but also new opportunities to support the virtual participation of youth, including of young women and girls, in the </w:t>
      </w:r>
      <w:r w:rsidR="00243F34">
        <w:rPr>
          <w:lang w:val="en-US"/>
        </w:rPr>
        <w:t xml:space="preserve">Human Rights </w:t>
      </w:r>
      <w:r>
        <w:rPr>
          <w:lang w:val="en-US"/>
        </w:rPr>
        <w:t>Council. However, many youth organizations and activi</w:t>
      </w:r>
      <w:r w:rsidR="00243F34">
        <w:rPr>
          <w:lang w:val="en-US"/>
        </w:rPr>
        <w:t>s</w:t>
      </w:r>
      <w:r>
        <w:rPr>
          <w:lang w:val="en-US"/>
        </w:rPr>
        <w:t xml:space="preserve">ts </w:t>
      </w:r>
      <w:r w:rsidR="00243F34">
        <w:rPr>
          <w:lang w:val="en-US"/>
        </w:rPr>
        <w:t>d</w:t>
      </w:r>
      <w:r>
        <w:rPr>
          <w:lang w:val="en-US"/>
        </w:rPr>
        <w:t>o not have accredited ECOSOC status. This is an opportunity for the Council to define work modalities by which th</w:t>
      </w:r>
      <w:r w:rsidR="00865942">
        <w:rPr>
          <w:lang w:val="en-US"/>
        </w:rPr>
        <w:t>eir</w:t>
      </w:r>
      <w:r>
        <w:rPr>
          <w:lang w:val="en-US"/>
        </w:rPr>
        <w:t xml:space="preserve"> voices can be taken into account. </w:t>
      </w:r>
    </w:p>
    <w:p w14:paraId="20C1AD4E" w14:textId="77777777" w:rsidR="00380B51" w:rsidRDefault="00380B51" w:rsidP="00380B51">
      <w:pPr>
        <w:pStyle w:val="ListParagraph"/>
        <w:ind w:left="1080"/>
        <w:rPr>
          <w:lang w:val="en-US"/>
        </w:rPr>
      </w:pPr>
    </w:p>
    <w:p w14:paraId="2219AA69" w14:textId="1564234C" w:rsidR="00E0731E" w:rsidRPr="00A8062B" w:rsidRDefault="006E08C0" w:rsidP="00A8062B">
      <w:pPr>
        <w:pStyle w:val="ListParagraph"/>
        <w:numPr>
          <w:ilvl w:val="0"/>
          <w:numId w:val="7"/>
        </w:numPr>
        <w:rPr>
          <w:lang w:val="en-US"/>
        </w:rPr>
      </w:pPr>
      <w:r>
        <w:rPr>
          <w:lang w:val="en-US"/>
        </w:rPr>
        <w:t>UNFPA stands ready to support youth engagement in human rights mechanisms to ensure that that their voice make a difference in the promotion and protection of human rights.</w:t>
      </w:r>
    </w:p>
    <w:sectPr w:rsidR="00E0731E" w:rsidRPr="00A8062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4B7E6" w14:textId="77777777" w:rsidR="00887ED9" w:rsidRDefault="00887ED9" w:rsidP="00AF583F">
      <w:pPr>
        <w:spacing w:after="0" w:line="240" w:lineRule="auto"/>
      </w:pPr>
      <w:r>
        <w:separator/>
      </w:r>
    </w:p>
  </w:endnote>
  <w:endnote w:type="continuationSeparator" w:id="0">
    <w:p w14:paraId="4C8C2405" w14:textId="77777777" w:rsidR="00887ED9" w:rsidRDefault="00887ED9" w:rsidP="00AF5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6FC7F" w14:textId="77777777" w:rsidR="00887ED9" w:rsidRDefault="00887ED9" w:rsidP="00AF583F">
      <w:pPr>
        <w:spacing w:after="0" w:line="240" w:lineRule="auto"/>
      </w:pPr>
      <w:r>
        <w:separator/>
      </w:r>
    </w:p>
  </w:footnote>
  <w:footnote w:type="continuationSeparator" w:id="0">
    <w:p w14:paraId="05548639" w14:textId="77777777" w:rsidR="00887ED9" w:rsidRDefault="00887ED9" w:rsidP="00AF58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E7A28"/>
    <w:multiLevelType w:val="hybridMultilevel"/>
    <w:tmpl w:val="F6B66BEE"/>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 w15:restartNumberingAfterBreak="0">
    <w:nsid w:val="0E6C00AD"/>
    <w:multiLevelType w:val="hybridMultilevel"/>
    <w:tmpl w:val="34BEEF72"/>
    <w:lvl w:ilvl="0" w:tplc="489047C0">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25D3B27"/>
    <w:multiLevelType w:val="hybridMultilevel"/>
    <w:tmpl w:val="24E00E4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14261D9A"/>
    <w:multiLevelType w:val="hybridMultilevel"/>
    <w:tmpl w:val="C3C858BA"/>
    <w:lvl w:ilvl="0" w:tplc="489047C0">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0FD3724"/>
    <w:multiLevelType w:val="hybridMultilevel"/>
    <w:tmpl w:val="42203EC6"/>
    <w:lvl w:ilvl="0" w:tplc="10000001">
      <w:start w:val="1"/>
      <w:numFmt w:val="bullet"/>
      <w:lvlText w:val=""/>
      <w:lvlJc w:val="left"/>
      <w:pPr>
        <w:ind w:left="360" w:hanging="360"/>
      </w:pPr>
      <w:rPr>
        <w:rFonts w:ascii="Symbol" w:hAnsi="Symbol" w:hint="default"/>
      </w:rPr>
    </w:lvl>
    <w:lvl w:ilvl="1" w:tplc="10000003">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5" w15:restartNumberingAfterBreak="0">
    <w:nsid w:val="23F95293"/>
    <w:multiLevelType w:val="hybridMultilevel"/>
    <w:tmpl w:val="06C29F00"/>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50562736"/>
    <w:multiLevelType w:val="hybridMultilevel"/>
    <w:tmpl w:val="FEF21D7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B6"/>
    <w:rsid w:val="00014284"/>
    <w:rsid w:val="0005777A"/>
    <w:rsid w:val="000C2340"/>
    <w:rsid w:val="000C7961"/>
    <w:rsid w:val="00125D3D"/>
    <w:rsid w:val="002307C9"/>
    <w:rsid w:val="00243F34"/>
    <w:rsid w:val="002D0462"/>
    <w:rsid w:val="00331D08"/>
    <w:rsid w:val="00380B51"/>
    <w:rsid w:val="003915B4"/>
    <w:rsid w:val="003A193F"/>
    <w:rsid w:val="004B5B4B"/>
    <w:rsid w:val="00532BA4"/>
    <w:rsid w:val="005833E4"/>
    <w:rsid w:val="0060421D"/>
    <w:rsid w:val="006164B6"/>
    <w:rsid w:val="0064155E"/>
    <w:rsid w:val="0065142B"/>
    <w:rsid w:val="0069532A"/>
    <w:rsid w:val="006D1E9D"/>
    <w:rsid w:val="006E08C0"/>
    <w:rsid w:val="006F1FA0"/>
    <w:rsid w:val="00801EA1"/>
    <w:rsid w:val="00865942"/>
    <w:rsid w:val="00887ED9"/>
    <w:rsid w:val="008E02F6"/>
    <w:rsid w:val="009227B6"/>
    <w:rsid w:val="00930A28"/>
    <w:rsid w:val="00951910"/>
    <w:rsid w:val="00976CCB"/>
    <w:rsid w:val="00A8062B"/>
    <w:rsid w:val="00AF583F"/>
    <w:rsid w:val="00B34BAB"/>
    <w:rsid w:val="00B46608"/>
    <w:rsid w:val="00B74966"/>
    <w:rsid w:val="00B91A7F"/>
    <w:rsid w:val="00B91B6B"/>
    <w:rsid w:val="00D10720"/>
    <w:rsid w:val="00D47468"/>
    <w:rsid w:val="00E0731E"/>
    <w:rsid w:val="00F218AF"/>
    <w:rsid w:val="00F22233"/>
    <w:rsid w:val="00FA3555"/>
    <w:rsid w:val="00FB2C0D"/>
    <w:rsid w:val="00FE618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B4BA"/>
  <w15:chartTrackingRefBased/>
  <w15:docId w15:val="{B924DE3D-D0DE-4FFF-8E9B-5D5E5A9C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4B6"/>
    <w:pPr>
      <w:ind w:left="720"/>
      <w:contextualSpacing/>
    </w:pPr>
  </w:style>
  <w:style w:type="character" w:styleId="Hyperlink">
    <w:name w:val="Hyperlink"/>
    <w:basedOn w:val="DefaultParagraphFont"/>
    <w:uiPriority w:val="99"/>
    <w:semiHidden/>
    <w:unhideWhenUsed/>
    <w:rsid w:val="00B34BAB"/>
    <w:rPr>
      <w:color w:val="0000FF"/>
      <w:u w:val="single"/>
    </w:rPr>
  </w:style>
  <w:style w:type="paragraph" w:styleId="NormalWeb">
    <w:name w:val="Normal (Web)"/>
    <w:basedOn w:val="Normal"/>
    <w:uiPriority w:val="99"/>
    <w:semiHidden/>
    <w:unhideWhenUsed/>
    <w:rsid w:val="00801EA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F583F"/>
    <w:pPr>
      <w:spacing w:after="0" w:line="240" w:lineRule="auto"/>
    </w:pPr>
    <w:rPr>
      <w:sz w:val="20"/>
      <w:szCs w:val="20"/>
      <w:lang w:val="fr-CH"/>
    </w:rPr>
  </w:style>
  <w:style w:type="character" w:customStyle="1" w:styleId="FootnoteTextChar">
    <w:name w:val="Footnote Text Char"/>
    <w:basedOn w:val="DefaultParagraphFont"/>
    <w:link w:val="FootnoteText"/>
    <w:uiPriority w:val="99"/>
    <w:rsid w:val="00AF583F"/>
    <w:rPr>
      <w:sz w:val="20"/>
      <w:szCs w:val="20"/>
      <w:lang w:val="fr-CH"/>
    </w:rPr>
  </w:style>
  <w:style w:type="character" w:styleId="FootnoteReference">
    <w:name w:val="footnote reference"/>
    <w:basedOn w:val="DefaultParagraphFont"/>
    <w:uiPriority w:val="99"/>
    <w:semiHidden/>
    <w:unhideWhenUsed/>
    <w:rsid w:val="00AF583F"/>
    <w:rPr>
      <w:vertAlign w:val="superscript"/>
    </w:rPr>
  </w:style>
  <w:style w:type="character" w:customStyle="1" w:styleId="col-xs-12">
    <w:name w:val="col-xs-12"/>
    <w:basedOn w:val="DefaultParagraphFont"/>
    <w:rsid w:val="00AF5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TB recommendations</c:v>
                </c:pt>
              </c:strCache>
            </c:strRef>
          </c:tx>
          <c:invertIfNegative val="0"/>
          <c:cat>
            <c:strRef>
              <c:f>Sheet1!$A$2:$A$7</c:f>
              <c:strCache>
                <c:ptCount val="6"/>
                <c:pt idx="0">
                  <c:v>Employment</c:v>
                </c:pt>
                <c:pt idx="1">
                  <c:v>Empowerment</c:v>
                </c:pt>
                <c:pt idx="2">
                  <c:v>Inclusion</c:v>
                </c:pt>
                <c:pt idx="3">
                  <c:v>Health</c:v>
                </c:pt>
                <c:pt idx="4">
                  <c:v>Education</c:v>
                </c:pt>
                <c:pt idx="5">
                  <c:v>Protection</c:v>
                </c:pt>
              </c:strCache>
            </c:strRef>
          </c:cat>
          <c:val>
            <c:numRef>
              <c:f>Sheet1!$B$2:$B$7</c:f>
              <c:numCache>
                <c:formatCode>General</c:formatCode>
                <c:ptCount val="6"/>
                <c:pt idx="0">
                  <c:v>216</c:v>
                </c:pt>
                <c:pt idx="1">
                  <c:v>293</c:v>
                </c:pt>
                <c:pt idx="2">
                  <c:v>401</c:v>
                </c:pt>
                <c:pt idx="3">
                  <c:v>786</c:v>
                </c:pt>
                <c:pt idx="4">
                  <c:v>872</c:v>
                </c:pt>
                <c:pt idx="5">
                  <c:v>956</c:v>
                </c:pt>
              </c:numCache>
            </c:numRef>
          </c:val>
          <c:extLst>
            <c:ext xmlns:c16="http://schemas.microsoft.com/office/drawing/2014/chart" uri="{C3380CC4-5D6E-409C-BE32-E72D297353CC}">
              <c16:uniqueId val="{00000000-8D19-4E64-A2A6-FB0EF1EF235C}"/>
            </c:ext>
          </c:extLst>
        </c:ser>
        <c:ser>
          <c:idx val="1"/>
          <c:order val="1"/>
          <c:tx>
            <c:strRef>
              <c:f>Sheet1!$C$1</c:f>
              <c:strCache>
                <c:ptCount val="1"/>
                <c:pt idx="0">
                  <c:v>UPR recommendations</c:v>
                </c:pt>
              </c:strCache>
            </c:strRef>
          </c:tx>
          <c:invertIfNegative val="0"/>
          <c:cat>
            <c:strRef>
              <c:f>Sheet1!$A$2:$A$7</c:f>
              <c:strCache>
                <c:ptCount val="6"/>
                <c:pt idx="0">
                  <c:v>Employment</c:v>
                </c:pt>
                <c:pt idx="1">
                  <c:v>Empowerment</c:v>
                </c:pt>
                <c:pt idx="2">
                  <c:v>Inclusion</c:v>
                </c:pt>
                <c:pt idx="3">
                  <c:v>Health</c:v>
                </c:pt>
                <c:pt idx="4">
                  <c:v>Education</c:v>
                </c:pt>
                <c:pt idx="5">
                  <c:v>Protection</c:v>
                </c:pt>
              </c:strCache>
            </c:strRef>
          </c:cat>
          <c:val>
            <c:numRef>
              <c:f>Sheet1!$C$2:$C$7</c:f>
              <c:numCache>
                <c:formatCode>General</c:formatCode>
                <c:ptCount val="6"/>
                <c:pt idx="0">
                  <c:v>138</c:v>
                </c:pt>
                <c:pt idx="1">
                  <c:v>77</c:v>
                </c:pt>
                <c:pt idx="2">
                  <c:v>77</c:v>
                </c:pt>
                <c:pt idx="3">
                  <c:v>202</c:v>
                </c:pt>
                <c:pt idx="4">
                  <c:v>197</c:v>
                </c:pt>
                <c:pt idx="5">
                  <c:v>489</c:v>
                </c:pt>
              </c:numCache>
            </c:numRef>
          </c:val>
          <c:extLst>
            <c:ext xmlns:c16="http://schemas.microsoft.com/office/drawing/2014/chart" uri="{C3380CC4-5D6E-409C-BE32-E72D297353CC}">
              <c16:uniqueId val="{00000001-8D19-4E64-A2A6-FB0EF1EF235C}"/>
            </c:ext>
          </c:extLst>
        </c:ser>
        <c:dLbls>
          <c:showLegendKey val="0"/>
          <c:showVal val="0"/>
          <c:showCatName val="0"/>
          <c:showSerName val="0"/>
          <c:showPercent val="0"/>
          <c:showBubbleSize val="0"/>
        </c:dLbls>
        <c:gapWidth val="150"/>
        <c:overlap val="100"/>
        <c:axId val="232363136"/>
        <c:axId val="232365056"/>
      </c:barChart>
      <c:catAx>
        <c:axId val="232363136"/>
        <c:scaling>
          <c:orientation val="minMax"/>
        </c:scaling>
        <c:delete val="0"/>
        <c:axPos val="b"/>
        <c:numFmt formatCode="General" sourceLinked="0"/>
        <c:majorTickMark val="out"/>
        <c:minorTickMark val="none"/>
        <c:tickLblPos val="nextTo"/>
        <c:crossAx val="232365056"/>
        <c:crosses val="autoZero"/>
        <c:auto val="1"/>
        <c:lblAlgn val="ctr"/>
        <c:lblOffset val="100"/>
        <c:noMultiLvlLbl val="0"/>
      </c:catAx>
      <c:valAx>
        <c:axId val="232365056"/>
        <c:scaling>
          <c:orientation val="minMax"/>
        </c:scaling>
        <c:delete val="0"/>
        <c:axPos val="l"/>
        <c:majorGridlines/>
        <c:numFmt formatCode="General" sourceLinked="1"/>
        <c:majorTickMark val="out"/>
        <c:minorTickMark val="none"/>
        <c:tickLblPos val="nextTo"/>
        <c:crossAx val="2323631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CH"/>
              <a:t>Percentage</a:t>
            </a:r>
            <a:r>
              <a:rPr lang="fr-CH" baseline="0"/>
              <a:t> of recommendaitions by </a:t>
            </a:r>
            <a:r>
              <a:rPr lang="fr-CH"/>
              <a:t>UN Treaty Body</a:t>
            </a:r>
          </a:p>
        </c:rich>
      </c:tx>
      <c:overlay val="0"/>
    </c:title>
    <c:autoTitleDeleted val="0"/>
    <c:plotArea>
      <c:layout/>
      <c:doughnutChart>
        <c:varyColors val="1"/>
        <c:ser>
          <c:idx val="0"/>
          <c:order val="0"/>
          <c:tx>
            <c:strRef>
              <c:f>Sheet1!$B$1</c:f>
              <c:strCache>
                <c:ptCount val="1"/>
                <c:pt idx="0">
                  <c:v>UN Treaty Bodies</c:v>
                </c:pt>
              </c:strCache>
            </c:strRef>
          </c:tx>
          <c:cat>
            <c:strRef>
              <c:f>Sheet1!$A$2:$A$9</c:f>
              <c:strCache>
                <c:ptCount val="8"/>
                <c:pt idx="0">
                  <c:v>CRC (61%)</c:v>
                </c:pt>
                <c:pt idx="1">
                  <c:v>CEDAW (18%)</c:v>
                </c:pt>
                <c:pt idx="2">
                  <c:v>CESCR (10%)</c:v>
                </c:pt>
                <c:pt idx="3">
                  <c:v>CAT (3.5%)</c:v>
                </c:pt>
                <c:pt idx="4">
                  <c:v>CCPR (3%)</c:v>
                </c:pt>
                <c:pt idx="5">
                  <c:v>CRPD (2%)</c:v>
                </c:pt>
                <c:pt idx="6">
                  <c:v>CERD (0.8%) </c:v>
                </c:pt>
                <c:pt idx="7">
                  <c:v>CMW (0.5%)</c:v>
                </c:pt>
              </c:strCache>
            </c:strRef>
          </c:cat>
          <c:val>
            <c:numRef>
              <c:f>Sheet1!$B$2:$B$9</c:f>
              <c:numCache>
                <c:formatCode>0%</c:formatCode>
                <c:ptCount val="8"/>
                <c:pt idx="0">
                  <c:v>0.61</c:v>
                </c:pt>
                <c:pt idx="1">
                  <c:v>0.18</c:v>
                </c:pt>
                <c:pt idx="2">
                  <c:v>0.1</c:v>
                </c:pt>
                <c:pt idx="3" formatCode="0.00%">
                  <c:v>3.5000000000000003E-2</c:v>
                </c:pt>
                <c:pt idx="4" formatCode="0.00%">
                  <c:v>3.2000000000000001E-2</c:v>
                </c:pt>
                <c:pt idx="5" formatCode="0.00%">
                  <c:v>1.9E-2</c:v>
                </c:pt>
                <c:pt idx="6" formatCode="0.00%">
                  <c:v>8.0000000000000002E-3</c:v>
                </c:pt>
                <c:pt idx="7" formatCode="0.00%">
                  <c:v>5.0000000000000001E-3</c:v>
                </c:pt>
              </c:numCache>
            </c:numRef>
          </c:val>
          <c:extLst>
            <c:ext xmlns:c16="http://schemas.microsoft.com/office/drawing/2014/chart" uri="{C3380CC4-5D6E-409C-BE32-E72D297353CC}">
              <c16:uniqueId val="{00000000-3FB4-479D-AD4E-DE1C5AAC034C}"/>
            </c:ext>
          </c:extLst>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230CDB-F738-478D-BF2A-3A8B766F57EA}"/>
</file>

<file path=customXml/itemProps2.xml><?xml version="1.0" encoding="utf-8"?>
<ds:datastoreItem xmlns:ds="http://schemas.openxmlformats.org/officeDocument/2006/customXml" ds:itemID="{EFA29061-320F-45BA-8788-FABE68ED45F3}"/>
</file>

<file path=customXml/itemProps3.xml><?xml version="1.0" encoding="utf-8"?>
<ds:datastoreItem xmlns:ds="http://schemas.openxmlformats.org/officeDocument/2006/customXml" ds:itemID="{9CF6846C-0B38-4E24-B184-D4B27BD5FD5F}"/>
</file>

<file path=docProps/app.xml><?xml version="1.0" encoding="utf-8"?>
<Properties xmlns="http://schemas.openxmlformats.org/officeDocument/2006/extended-properties" xmlns:vt="http://schemas.openxmlformats.org/officeDocument/2006/docPropsVTypes">
  <Template>Normal</Template>
  <TotalTime>406</TotalTime>
  <Pages>3</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Barragues</dc:creator>
  <cp:keywords/>
  <dc:description/>
  <cp:lastModifiedBy>Alfonso Barragues</cp:lastModifiedBy>
  <cp:revision>16</cp:revision>
  <cp:lastPrinted>2021-04-12T13:01:00Z</cp:lastPrinted>
  <dcterms:created xsi:type="dcterms:W3CDTF">2021-04-11T20:31:00Z</dcterms:created>
  <dcterms:modified xsi:type="dcterms:W3CDTF">2021-04-13T18:17:00Z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