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7ED80" w14:textId="3524AF4A" w:rsidR="00487519" w:rsidRPr="00487519" w:rsidRDefault="00487519" w:rsidP="00487519">
      <w:pPr>
        <w:jc w:val="center"/>
        <w:rPr>
          <w:rFonts w:ascii="Lato" w:eastAsia="Times New Roman" w:hAnsi="Lato" w:cs="Times New Roman"/>
          <w:b/>
          <w:bCs/>
          <w:color w:val="000000"/>
          <w:sz w:val="22"/>
          <w:szCs w:val="22"/>
          <w:u w:val="single"/>
          <w:lang w:val="en-GB" w:eastAsia="en-GB"/>
        </w:rPr>
      </w:pPr>
      <w:r w:rsidRPr="00487519">
        <w:rPr>
          <w:rFonts w:ascii="Lato" w:eastAsia="Times New Roman" w:hAnsi="Lato" w:cs="Times New Roman"/>
          <w:b/>
          <w:bCs/>
          <w:color w:val="000000"/>
          <w:sz w:val="22"/>
          <w:szCs w:val="22"/>
          <w:u w:val="single"/>
          <w:lang w:val="en-GB" w:eastAsia="en-GB"/>
        </w:rPr>
        <w:t>Intersessional Seminar on Youth and Human Right</w:t>
      </w:r>
      <w:r w:rsidRPr="00487519">
        <w:rPr>
          <w:rFonts w:ascii="Lato" w:eastAsia="Times New Roman" w:hAnsi="Lato" w:cs="Times New Roman"/>
          <w:b/>
          <w:bCs/>
          <w:color w:val="000000"/>
          <w:sz w:val="22"/>
          <w:szCs w:val="22"/>
          <w:u w:val="single"/>
          <w:lang w:val="en-GB" w:eastAsia="en-GB"/>
        </w:rPr>
        <w:t>s</w:t>
      </w:r>
    </w:p>
    <w:p w14:paraId="5B656FA4" w14:textId="651FCBF8" w:rsidR="00487519" w:rsidRPr="00487519" w:rsidRDefault="00487519" w:rsidP="00487519">
      <w:pPr>
        <w:jc w:val="center"/>
        <w:rPr>
          <w:rFonts w:ascii="Lato" w:eastAsia="Times New Roman" w:hAnsi="Lato" w:cs="Times New Roman"/>
          <w:b/>
          <w:bCs/>
          <w:color w:val="000000"/>
          <w:sz w:val="22"/>
          <w:szCs w:val="22"/>
          <w:lang w:val="en-GB" w:eastAsia="en-GB"/>
        </w:rPr>
      </w:pPr>
      <w:r w:rsidRPr="00487519">
        <w:rPr>
          <w:rFonts w:ascii="Lato" w:eastAsia="Times New Roman" w:hAnsi="Lato" w:cs="Times New Roman"/>
          <w:b/>
          <w:bCs/>
          <w:color w:val="000000"/>
          <w:sz w:val="22"/>
          <w:szCs w:val="22"/>
          <w:lang w:val="en-GB" w:eastAsia="en-GB"/>
        </w:rPr>
        <w:t xml:space="preserve">Session 2 </w:t>
      </w:r>
      <w:r w:rsidRPr="00487519">
        <w:rPr>
          <w:rFonts w:ascii="Lato" w:eastAsia="Times New Roman" w:hAnsi="Lato" w:cs="Times New Roman"/>
          <w:b/>
          <w:bCs/>
          <w:color w:val="000000"/>
          <w:sz w:val="22"/>
          <w:szCs w:val="22"/>
          <w:lang w:val="en-GB" w:eastAsia="en-GB"/>
        </w:rPr>
        <w:t>-</w:t>
      </w:r>
      <w:r w:rsidRPr="00487519">
        <w:rPr>
          <w:rFonts w:ascii="Lato" w:eastAsia="Times New Roman" w:hAnsi="Lato" w:cs="Times New Roman"/>
          <w:b/>
          <w:bCs/>
          <w:color w:val="000000"/>
          <w:sz w:val="22"/>
          <w:szCs w:val="22"/>
          <w:lang w:val="en-GB" w:eastAsia="en-GB"/>
        </w:rPr>
        <w:t xml:space="preserve"> Challenges and discrimination faced by young people in the realization of their rights</w:t>
      </w:r>
    </w:p>
    <w:p w14:paraId="6CB9333E" w14:textId="2812E234" w:rsidR="00487519" w:rsidRPr="00487519" w:rsidRDefault="00487519" w:rsidP="00487519">
      <w:pPr>
        <w:jc w:val="center"/>
        <w:rPr>
          <w:rFonts w:ascii="Lato" w:eastAsia="Times New Roman" w:hAnsi="Lato" w:cs="Times New Roman"/>
          <w:b/>
          <w:bCs/>
          <w:color w:val="000000"/>
          <w:sz w:val="22"/>
          <w:szCs w:val="22"/>
          <w:lang w:val="en-GB" w:eastAsia="en-GB"/>
        </w:rPr>
      </w:pPr>
      <w:r w:rsidRPr="00487519">
        <w:rPr>
          <w:rFonts w:ascii="Lato" w:eastAsia="Times New Roman" w:hAnsi="Lato" w:cs="Times New Roman"/>
          <w:b/>
          <w:bCs/>
          <w:color w:val="000000"/>
          <w:sz w:val="22"/>
          <w:szCs w:val="22"/>
          <w:lang w:val="en-GB" w:eastAsia="en-GB"/>
        </w:rPr>
        <w:t>12 April 2021</w:t>
      </w:r>
    </w:p>
    <w:p w14:paraId="777CB822" w14:textId="77777777" w:rsidR="00487519" w:rsidRPr="00487519" w:rsidRDefault="00487519" w:rsidP="00487519">
      <w:pPr>
        <w:jc w:val="center"/>
        <w:rPr>
          <w:rFonts w:ascii="Lato" w:eastAsia="Times New Roman" w:hAnsi="Lato" w:cs="Times New Roman"/>
          <w:b/>
          <w:bCs/>
          <w:color w:val="000000"/>
          <w:sz w:val="22"/>
          <w:szCs w:val="22"/>
          <w:lang w:val="en-GB" w:eastAsia="en-GB"/>
        </w:rPr>
      </w:pPr>
    </w:p>
    <w:p w14:paraId="68EF5518" w14:textId="77777777" w:rsidR="00487519" w:rsidRPr="00487519" w:rsidRDefault="00487519" w:rsidP="00487519">
      <w:pPr>
        <w:jc w:val="center"/>
        <w:rPr>
          <w:rFonts w:ascii="Lato" w:eastAsia="Times New Roman" w:hAnsi="Lato" w:cs="Times New Roman"/>
          <w:sz w:val="20"/>
          <w:szCs w:val="20"/>
          <w:lang w:eastAsia="en-GB"/>
        </w:rPr>
      </w:pPr>
      <w:r w:rsidRPr="00487519">
        <w:rPr>
          <w:rFonts w:ascii="Lato" w:eastAsia="Times New Roman" w:hAnsi="Lato" w:cs="Times New Roman"/>
          <w:b/>
          <w:bCs/>
          <w:color w:val="000000"/>
          <w:sz w:val="20"/>
          <w:szCs w:val="20"/>
          <w:lang w:eastAsia="en-GB"/>
        </w:rPr>
        <w:t>Statement by the International Lesbian and Gay Association</w:t>
      </w:r>
    </w:p>
    <w:p w14:paraId="40A065D7" w14:textId="77777777" w:rsidR="00487519" w:rsidRPr="00487519" w:rsidRDefault="00487519" w:rsidP="00487519">
      <w:pPr>
        <w:rPr>
          <w:rFonts w:ascii="Lato" w:eastAsia="Times New Roman" w:hAnsi="Lato" w:cs="Times New Roman"/>
          <w:sz w:val="22"/>
          <w:szCs w:val="22"/>
          <w:lang w:eastAsia="en-GB"/>
        </w:rPr>
      </w:pPr>
    </w:p>
    <w:p w14:paraId="6801E10B" w14:textId="77777777" w:rsidR="00487519" w:rsidRPr="00487519" w:rsidRDefault="00487519">
      <w:pPr>
        <w:rPr>
          <w:rFonts w:ascii="Lato" w:hAnsi="Lato"/>
          <w:sz w:val="22"/>
          <w:szCs w:val="22"/>
        </w:rPr>
      </w:pPr>
    </w:p>
    <w:p w14:paraId="3EBCCA8D" w14:textId="651B6BC2" w:rsidR="00451FA0" w:rsidRPr="00487519" w:rsidRDefault="005C179E">
      <w:pPr>
        <w:rPr>
          <w:rFonts w:ascii="Lato" w:hAnsi="Lato"/>
          <w:sz w:val="22"/>
          <w:szCs w:val="22"/>
          <w:lang w:val="en-US"/>
        </w:rPr>
      </w:pPr>
      <w:r w:rsidRPr="00487519">
        <w:rPr>
          <w:rFonts w:ascii="Lato" w:hAnsi="Lato"/>
          <w:sz w:val="22"/>
          <w:szCs w:val="22"/>
          <w:lang w:val="en-US"/>
        </w:rPr>
        <w:t>Madam Chair, distinguished Panelists,</w:t>
      </w:r>
    </w:p>
    <w:p w14:paraId="14F736E4" w14:textId="6B019660" w:rsidR="005C179E" w:rsidRPr="00487519" w:rsidRDefault="005C179E">
      <w:pPr>
        <w:rPr>
          <w:rFonts w:ascii="Lato" w:hAnsi="Lato"/>
          <w:sz w:val="22"/>
          <w:szCs w:val="22"/>
          <w:lang w:val="en-US"/>
        </w:rPr>
      </w:pPr>
    </w:p>
    <w:p w14:paraId="36F2E101" w14:textId="0E23F197" w:rsidR="005C179E" w:rsidRPr="00487519" w:rsidRDefault="005C179E">
      <w:pPr>
        <w:rPr>
          <w:rFonts w:ascii="Lato" w:hAnsi="Lato"/>
          <w:sz w:val="22"/>
          <w:szCs w:val="22"/>
          <w:lang w:val="en-US"/>
        </w:rPr>
      </w:pPr>
      <w:r w:rsidRPr="00487519">
        <w:rPr>
          <w:rFonts w:ascii="Lato" w:hAnsi="Lato"/>
          <w:sz w:val="22"/>
          <w:szCs w:val="22"/>
          <w:lang w:val="en-US"/>
        </w:rPr>
        <w:t>We welcome the realization of this Seminar, mandated by the Resolution 43/13 and of this session, shedding light in the important issue of challenges and discrimination faced by young people.</w:t>
      </w:r>
    </w:p>
    <w:p w14:paraId="70B29C80" w14:textId="0F2AE126" w:rsidR="005C179E" w:rsidRPr="00487519" w:rsidRDefault="005C179E">
      <w:pPr>
        <w:rPr>
          <w:rFonts w:ascii="Lato" w:hAnsi="Lato"/>
          <w:sz w:val="22"/>
          <w:szCs w:val="22"/>
          <w:lang w:val="en-US"/>
        </w:rPr>
      </w:pPr>
    </w:p>
    <w:p w14:paraId="0A8DA880" w14:textId="77777777" w:rsidR="005C179E" w:rsidRPr="00487519" w:rsidRDefault="005C179E" w:rsidP="0043360E">
      <w:pPr>
        <w:jc w:val="both"/>
        <w:rPr>
          <w:rFonts w:ascii="Lato" w:hAnsi="Lato"/>
          <w:sz w:val="22"/>
          <w:szCs w:val="22"/>
          <w:lang w:val="en-GB"/>
        </w:rPr>
      </w:pPr>
      <w:r w:rsidRPr="00487519">
        <w:rPr>
          <w:rFonts w:ascii="Lato" w:hAnsi="Lato"/>
          <w:sz w:val="22"/>
          <w:szCs w:val="22"/>
          <w:lang w:val="en-GB"/>
        </w:rPr>
        <w:t xml:space="preserve">We would like to draw the attention to the human rights violations faced by lesbian, gay, bisexual, trans, intersex and queer young people across the globe. </w:t>
      </w:r>
    </w:p>
    <w:p w14:paraId="7438C9FD" w14:textId="6085DD75" w:rsidR="005C179E" w:rsidRPr="00487519" w:rsidRDefault="005C179E">
      <w:pPr>
        <w:rPr>
          <w:rFonts w:ascii="Lato" w:hAnsi="Lato"/>
          <w:sz w:val="22"/>
          <w:szCs w:val="22"/>
          <w:lang w:val="en-GB"/>
        </w:rPr>
      </w:pPr>
      <w:r w:rsidRPr="00487519">
        <w:rPr>
          <w:rFonts w:ascii="Lato" w:hAnsi="Lato"/>
          <w:sz w:val="22"/>
          <w:szCs w:val="22"/>
          <w:lang w:val="en-GB"/>
        </w:rPr>
        <w:t xml:space="preserve"> </w:t>
      </w:r>
    </w:p>
    <w:p w14:paraId="726F714D" w14:textId="46E4DCA0" w:rsidR="005C179E" w:rsidRDefault="00B95BC8">
      <w:pPr>
        <w:rPr>
          <w:rFonts w:ascii="Lato" w:hAnsi="Lato"/>
          <w:sz w:val="22"/>
          <w:szCs w:val="22"/>
          <w:lang w:val="en-US"/>
        </w:rPr>
      </w:pPr>
      <w:r w:rsidRPr="00487519">
        <w:rPr>
          <w:rFonts w:ascii="Lato" w:hAnsi="Lato"/>
          <w:sz w:val="22"/>
          <w:szCs w:val="22"/>
          <w:lang w:val="en-US"/>
        </w:rPr>
        <w:t>Subjection to so-called “conversion therapies”</w:t>
      </w:r>
      <w:r w:rsidRPr="00487519">
        <w:rPr>
          <w:rFonts w:ascii="Lato" w:hAnsi="Lato"/>
          <w:color w:val="000000" w:themeColor="text1"/>
        </w:rPr>
        <w:t xml:space="preserve"> </w:t>
      </w:r>
      <w:r>
        <w:rPr>
          <w:rStyle w:val="FootnoteReference"/>
          <w:rFonts w:ascii="Lato" w:hAnsi="Lato"/>
          <w:color w:val="000000" w:themeColor="text1"/>
        </w:rPr>
        <w:footnoteReference w:id="1"/>
      </w:r>
      <w:r w:rsidRPr="00487519">
        <w:rPr>
          <w:rFonts w:ascii="Lato" w:hAnsi="Lato"/>
          <w:sz w:val="22"/>
          <w:szCs w:val="22"/>
          <w:lang w:val="en-US"/>
        </w:rPr>
        <w:t>, normalizing surgeries on intersex children</w:t>
      </w:r>
      <w:r>
        <w:rPr>
          <w:rStyle w:val="FootnoteReference"/>
          <w:rFonts w:ascii="Lato" w:hAnsi="Lato"/>
          <w:color w:val="000000" w:themeColor="text1"/>
        </w:rPr>
        <w:footnoteReference w:id="2"/>
      </w:r>
      <w:r w:rsidRPr="00487519">
        <w:rPr>
          <w:rFonts w:ascii="Lato" w:hAnsi="Lato"/>
          <w:sz w:val="22"/>
          <w:szCs w:val="22"/>
          <w:lang w:val="en-US"/>
        </w:rPr>
        <w:t>, lack of legal gender recognition and access to health for trans youth</w:t>
      </w:r>
      <w:r>
        <w:rPr>
          <w:rStyle w:val="FootnoteReference"/>
          <w:rFonts w:ascii="Lato" w:hAnsi="Lato"/>
          <w:color w:val="000000" w:themeColor="text1"/>
        </w:rPr>
        <w:footnoteReference w:id="3"/>
      </w:r>
      <w:r w:rsidRPr="00487519">
        <w:rPr>
          <w:rFonts w:ascii="Lato" w:hAnsi="Lato"/>
          <w:sz w:val="22"/>
          <w:szCs w:val="22"/>
          <w:lang w:val="en-US"/>
        </w:rPr>
        <w:t>, lack of protection of freedom of expression and peaceful assembly, persecution and killings of young human rights defenders</w:t>
      </w:r>
      <w:r>
        <w:rPr>
          <w:rStyle w:val="FootnoteReference"/>
          <w:rFonts w:ascii="Lato" w:hAnsi="Lato"/>
          <w:color w:val="000000" w:themeColor="text1"/>
        </w:rPr>
        <w:footnoteReference w:id="4"/>
      </w:r>
      <w:r w:rsidRPr="00487519">
        <w:rPr>
          <w:rFonts w:ascii="Lato" w:hAnsi="Lato"/>
          <w:sz w:val="22"/>
          <w:szCs w:val="22"/>
          <w:lang w:val="en-US"/>
        </w:rPr>
        <w:t>, bullying and harassment</w:t>
      </w:r>
      <w:r w:rsidRPr="7BEBE35E">
        <w:rPr>
          <w:rFonts w:ascii="Lato" w:hAnsi="Lato"/>
          <w:sz w:val="22"/>
          <w:szCs w:val="22"/>
          <w:lang w:val="en-US"/>
        </w:rPr>
        <w:t xml:space="preserve"> in schools and colleges</w:t>
      </w:r>
      <w:r>
        <w:rPr>
          <w:rStyle w:val="FootnoteReference"/>
          <w:rFonts w:ascii="Lato" w:hAnsi="Lato"/>
          <w:color w:val="000000" w:themeColor="text1"/>
        </w:rPr>
        <w:footnoteReference w:id="5"/>
      </w:r>
      <w:r w:rsidRPr="00487519">
        <w:rPr>
          <w:rFonts w:ascii="Lato" w:hAnsi="Lato"/>
          <w:sz w:val="22"/>
          <w:szCs w:val="22"/>
          <w:lang w:val="en-US"/>
        </w:rPr>
        <w:t>, homelessness</w:t>
      </w:r>
      <w:r>
        <w:rPr>
          <w:rStyle w:val="FootnoteReference"/>
          <w:rFonts w:ascii="Lato" w:hAnsi="Lato"/>
          <w:color w:val="000000" w:themeColor="text1"/>
        </w:rPr>
        <w:footnoteReference w:id="6"/>
      </w:r>
      <w:r w:rsidRPr="00487519">
        <w:rPr>
          <w:rFonts w:ascii="Lato" w:hAnsi="Lato"/>
          <w:sz w:val="22"/>
          <w:szCs w:val="22"/>
          <w:lang w:val="en-US"/>
        </w:rPr>
        <w:t>, social and economic exclusion</w:t>
      </w:r>
      <w:r>
        <w:rPr>
          <w:rStyle w:val="FootnoteReference"/>
          <w:rFonts w:ascii="Lato" w:hAnsi="Lato"/>
          <w:color w:val="000000" w:themeColor="text1"/>
        </w:rPr>
        <w:footnoteReference w:id="7"/>
      </w:r>
      <w:r w:rsidRPr="00487519">
        <w:rPr>
          <w:rFonts w:ascii="Lato" w:hAnsi="Lato"/>
          <w:sz w:val="22"/>
          <w:szCs w:val="22"/>
          <w:lang w:val="en-US"/>
        </w:rPr>
        <w:t xml:space="preserve">, lack of access </w:t>
      </w:r>
      <w:r w:rsidRPr="7BEBE35E">
        <w:rPr>
          <w:rFonts w:ascii="Lato" w:hAnsi="Lato"/>
          <w:sz w:val="22"/>
          <w:szCs w:val="22"/>
          <w:lang w:val="en-US"/>
        </w:rPr>
        <w:t>to</w:t>
      </w:r>
      <w:r w:rsidRPr="00487519">
        <w:rPr>
          <w:rFonts w:ascii="Lato" w:hAnsi="Lato"/>
          <w:sz w:val="22"/>
          <w:szCs w:val="22"/>
          <w:lang w:val="en-US"/>
        </w:rPr>
        <w:t xml:space="preserve"> age-appropriate sexual and reproductive health services and rights</w:t>
      </w:r>
      <w:r>
        <w:rPr>
          <w:rStyle w:val="FootnoteReference"/>
          <w:rFonts w:ascii="Lato" w:hAnsi="Lato"/>
          <w:sz w:val="22"/>
          <w:szCs w:val="22"/>
          <w:lang w:val="en-US"/>
        </w:rPr>
        <w:footnoteReference w:id="8"/>
      </w:r>
      <w:r w:rsidRPr="00487519">
        <w:rPr>
          <w:rFonts w:ascii="Lato" w:hAnsi="Lato"/>
          <w:sz w:val="22"/>
          <w:szCs w:val="22"/>
          <w:lang w:val="en-US"/>
        </w:rPr>
        <w:t>, are some of the many challenges faced by LGBTIQ youth</w:t>
      </w:r>
      <w:r>
        <w:rPr>
          <w:rFonts w:ascii="Lato" w:hAnsi="Lato"/>
          <w:sz w:val="22"/>
          <w:szCs w:val="22"/>
          <w:lang w:val="en-US"/>
        </w:rPr>
        <w:t>.</w:t>
      </w:r>
    </w:p>
    <w:p w14:paraId="54F0D039" w14:textId="77777777" w:rsidR="00B95BC8" w:rsidRPr="00487519" w:rsidRDefault="00B95BC8">
      <w:pPr>
        <w:rPr>
          <w:rFonts w:ascii="Lato" w:hAnsi="Lato"/>
          <w:sz w:val="22"/>
          <w:szCs w:val="22"/>
          <w:lang w:val="en-US"/>
        </w:rPr>
      </w:pPr>
    </w:p>
    <w:p w14:paraId="7B6260CD" w14:textId="7029E1E6" w:rsidR="0043360E" w:rsidRPr="00487519" w:rsidRDefault="00B95BC8">
      <w:pPr>
        <w:rPr>
          <w:rFonts w:ascii="Lato" w:hAnsi="Lato"/>
          <w:sz w:val="22"/>
          <w:szCs w:val="22"/>
          <w:lang w:val="en-US"/>
        </w:rPr>
      </w:pPr>
      <w:r w:rsidRPr="00487519">
        <w:rPr>
          <w:rFonts w:ascii="Lato" w:hAnsi="Lato"/>
          <w:sz w:val="22"/>
          <w:szCs w:val="22"/>
          <w:lang w:val="en-US"/>
        </w:rPr>
        <w:t xml:space="preserve">COVID-19 and the current global crisis have aggravated this situation. Young queer people rely on safe and inclusive youth </w:t>
      </w:r>
      <w:proofErr w:type="spellStart"/>
      <w:r w:rsidRPr="00487519">
        <w:rPr>
          <w:rFonts w:ascii="Lato" w:hAnsi="Lato"/>
          <w:sz w:val="22"/>
          <w:szCs w:val="22"/>
          <w:lang w:val="en-US"/>
        </w:rPr>
        <w:t>centres</w:t>
      </w:r>
      <w:proofErr w:type="spellEnd"/>
      <w:r w:rsidRPr="00487519">
        <w:rPr>
          <w:rFonts w:ascii="Lato" w:hAnsi="Lato"/>
          <w:sz w:val="22"/>
          <w:szCs w:val="22"/>
          <w:lang w:val="en-US"/>
        </w:rPr>
        <w:t xml:space="preserve">, groups and specialist support services that affirm their identities, where they can be their true selves, relate to others, and learn and socialize in a safe, non-judgmental space and environment. </w:t>
      </w:r>
      <w:r w:rsidR="004A6103">
        <w:rPr>
          <w:rFonts w:ascii="Lato" w:hAnsi="Lato"/>
          <w:sz w:val="22"/>
          <w:szCs w:val="22"/>
          <w:lang w:val="en-US"/>
        </w:rPr>
        <w:t xml:space="preserve">Many of these safe spaces and support services have been lost during the pandemic, </w:t>
      </w:r>
      <w:r w:rsidR="004A6103" w:rsidRPr="004A6103">
        <w:rPr>
          <w:rFonts w:ascii="Lato" w:hAnsi="Lato"/>
          <w:sz w:val="22"/>
          <w:szCs w:val="22"/>
          <w:lang w:val="en-US"/>
        </w:rPr>
        <w:t>further marginaliz</w:t>
      </w:r>
      <w:r w:rsidR="004A6103">
        <w:rPr>
          <w:rFonts w:ascii="Lato" w:hAnsi="Lato"/>
          <w:sz w:val="22"/>
          <w:szCs w:val="22"/>
          <w:lang w:val="en-US"/>
        </w:rPr>
        <w:t>ing this population</w:t>
      </w:r>
      <w:r w:rsidR="0043360E" w:rsidRPr="00487519">
        <w:rPr>
          <w:rStyle w:val="FootnoteReference"/>
          <w:rFonts w:ascii="Lato" w:hAnsi="Lato"/>
          <w:sz w:val="22"/>
          <w:szCs w:val="22"/>
          <w:lang w:val="en-US"/>
        </w:rPr>
        <w:footnoteReference w:id="9"/>
      </w:r>
      <w:r w:rsidR="0043360E" w:rsidRPr="00487519">
        <w:rPr>
          <w:rFonts w:ascii="Lato" w:hAnsi="Lato"/>
          <w:sz w:val="22"/>
          <w:szCs w:val="22"/>
          <w:lang w:val="en-US"/>
        </w:rPr>
        <w:t>.</w:t>
      </w:r>
    </w:p>
    <w:p w14:paraId="010F8D8C" w14:textId="77777777" w:rsidR="0043360E" w:rsidRPr="00487519" w:rsidRDefault="0043360E">
      <w:pPr>
        <w:rPr>
          <w:rFonts w:ascii="Lato" w:hAnsi="Lato"/>
          <w:sz w:val="22"/>
          <w:szCs w:val="22"/>
          <w:lang w:val="en-US"/>
        </w:rPr>
      </w:pPr>
    </w:p>
    <w:p w14:paraId="79A946FC" w14:textId="5FDE59DA" w:rsidR="0043360E" w:rsidRPr="00487519" w:rsidRDefault="0043360E">
      <w:pPr>
        <w:rPr>
          <w:rFonts w:ascii="Lato" w:hAnsi="Lato"/>
          <w:sz w:val="22"/>
          <w:szCs w:val="22"/>
          <w:lang w:val="en-US"/>
        </w:rPr>
      </w:pPr>
      <w:r w:rsidRPr="00487519">
        <w:rPr>
          <w:rFonts w:ascii="Lato" w:hAnsi="Lato"/>
          <w:sz w:val="22"/>
          <w:szCs w:val="22"/>
          <w:lang w:val="en-US"/>
        </w:rPr>
        <w:t xml:space="preserve">While different UN human rights mechanisms have been scaling up their efforts to protect the rights both of young people and of LGBTI persons, there is an urgent need to address the issues concerning those in the intersection of these two </w:t>
      </w:r>
      <w:r w:rsidR="00B95BC8">
        <w:rPr>
          <w:rFonts w:ascii="Lato" w:hAnsi="Lato"/>
          <w:sz w:val="22"/>
          <w:szCs w:val="22"/>
          <w:lang w:val="en-US"/>
        </w:rPr>
        <w:t>groups</w:t>
      </w:r>
      <w:r w:rsidRPr="00487519">
        <w:rPr>
          <w:rFonts w:ascii="Lato" w:hAnsi="Lato"/>
          <w:sz w:val="22"/>
          <w:szCs w:val="22"/>
          <w:lang w:val="en-US"/>
        </w:rPr>
        <w:t xml:space="preserve"> and, most of all, to properly hear their voices.</w:t>
      </w:r>
    </w:p>
    <w:p w14:paraId="584CE8DC" w14:textId="77777777" w:rsidR="0043360E" w:rsidRPr="00487519" w:rsidRDefault="0043360E">
      <w:pPr>
        <w:rPr>
          <w:rFonts w:ascii="Lato" w:hAnsi="Lato"/>
          <w:sz w:val="22"/>
          <w:szCs w:val="22"/>
          <w:lang w:val="en-US"/>
        </w:rPr>
      </w:pPr>
    </w:p>
    <w:p w14:paraId="0936AFCA" w14:textId="6BB294C6" w:rsidR="005C179E" w:rsidRPr="00487519" w:rsidRDefault="005C179E" w:rsidP="0043360E">
      <w:pPr>
        <w:jc w:val="both"/>
        <w:rPr>
          <w:rFonts w:ascii="Lato" w:hAnsi="Lato"/>
          <w:sz w:val="22"/>
          <w:szCs w:val="22"/>
          <w:lang w:val="en-US"/>
        </w:rPr>
      </w:pPr>
      <w:r w:rsidRPr="00487519">
        <w:rPr>
          <w:rFonts w:ascii="Lato" w:hAnsi="Lato"/>
          <w:sz w:val="22"/>
          <w:szCs w:val="22"/>
          <w:lang w:val="en-US"/>
        </w:rPr>
        <w:t xml:space="preserve">To address </w:t>
      </w:r>
      <w:r w:rsidR="0043360E" w:rsidRPr="00487519">
        <w:rPr>
          <w:rFonts w:ascii="Lato" w:hAnsi="Lato"/>
          <w:sz w:val="22"/>
          <w:szCs w:val="22"/>
          <w:lang w:val="en-US"/>
        </w:rPr>
        <w:t>these challenges</w:t>
      </w:r>
      <w:r w:rsidRPr="00487519">
        <w:rPr>
          <w:rFonts w:ascii="Lato" w:hAnsi="Lato"/>
          <w:sz w:val="22"/>
          <w:szCs w:val="22"/>
          <w:lang w:val="en-US"/>
        </w:rPr>
        <w:t>, there is a</w:t>
      </w:r>
      <w:r w:rsidR="0043360E" w:rsidRPr="00487519">
        <w:rPr>
          <w:rFonts w:ascii="Lato" w:hAnsi="Lato"/>
          <w:sz w:val="22"/>
          <w:szCs w:val="22"/>
          <w:lang w:val="en-US"/>
        </w:rPr>
        <w:t>n</w:t>
      </w:r>
      <w:r w:rsidRPr="00487519">
        <w:rPr>
          <w:rFonts w:ascii="Lato" w:hAnsi="Lato"/>
          <w:sz w:val="22"/>
          <w:szCs w:val="22"/>
          <w:lang w:val="en-US"/>
        </w:rPr>
        <w:t xml:space="preserve"> urgent need </w:t>
      </w:r>
      <w:r w:rsidR="00A23C14" w:rsidRPr="00487519">
        <w:rPr>
          <w:rFonts w:ascii="Lato" w:hAnsi="Lato"/>
          <w:sz w:val="22"/>
          <w:szCs w:val="22"/>
          <w:lang w:val="en-US"/>
        </w:rPr>
        <w:t xml:space="preserve">for the UN and member states </w:t>
      </w:r>
      <w:r w:rsidRPr="00487519">
        <w:rPr>
          <w:rFonts w:ascii="Lato" w:hAnsi="Lato"/>
          <w:sz w:val="22"/>
          <w:szCs w:val="22"/>
          <w:lang w:val="en-US"/>
        </w:rPr>
        <w:t xml:space="preserve">to include LGBTIQ youth human rights defenders and </w:t>
      </w:r>
      <w:r w:rsidR="00B95BC8" w:rsidRPr="00B95BC8">
        <w:rPr>
          <w:rFonts w:ascii="Lato" w:hAnsi="Lato"/>
          <w:sz w:val="22"/>
          <w:szCs w:val="22"/>
          <w:lang w:val="en-US"/>
        </w:rPr>
        <w:t>youth</w:t>
      </w:r>
      <w:r w:rsidR="00B95BC8" w:rsidRPr="00B95BC8">
        <w:rPr>
          <w:rFonts w:ascii="Lato" w:hAnsi="Lato"/>
          <w:sz w:val="22"/>
          <w:szCs w:val="22"/>
          <w:lang w:val="en-US"/>
        </w:rPr>
        <w:t xml:space="preserve">-led </w:t>
      </w:r>
      <w:r w:rsidRPr="00487519">
        <w:rPr>
          <w:rFonts w:ascii="Lato" w:hAnsi="Lato"/>
          <w:sz w:val="22"/>
          <w:szCs w:val="22"/>
          <w:lang w:val="en-US"/>
        </w:rPr>
        <w:t xml:space="preserve">civil society organizations in the </w:t>
      </w:r>
      <w:r w:rsidRPr="00487519">
        <w:rPr>
          <w:rFonts w:ascii="Lato" w:hAnsi="Lato"/>
          <w:sz w:val="22"/>
          <w:szCs w:val="22"/>
        </w:rPr>
        <w:t xml:space="preserve">creation, implementation and monitoring </w:t>
      </w:r>
      <w:r w:rsidRPr="00487519">
        <w:rPr>
          <w:rFonts w:ascii="Lato" w:hAnsi="Lato"/>
          <w:sz w:val="22"/>
          <w:szCs w:val="22"/>
          <w:lang w:val="en-US"/>
        </w:rPr>
        <w:t>of the standards concerning their human rights</w:t>
      </w:r>
      <w:r w:rsidR="0043360E" w:rsidRPr="00487519">
        <w:rPr>
          <w:rFonts w:ascii="Lato" w:hAnsi="Lato"/>
          <w:sz w:val="22"/>
          <w:szCs w:val="22"/>
          <w:lang w:val="en-US"/>
        </w:rPr>
        <w:t xml:space="preserve">, ensuring </w:t>
      </w:r>
      <w:r w:rsidR="0043360E" w:rsidRPr="00487519">
        <w:rPr>
          <w:rFonts w:ascii="Lato" w:hAnsi="Lato"/>
          <w:sz w:val="22"/>
          <w:szCs w:val="22"/>
          <w:lang w:val="en-US"/>
        </w:rPr>
        <w:t>an active part in the decision-making and conversations that will impact their lives</w:t>
      </w:r>
      <w:r w:rsidR="00A23C14" w:rsidRPr="00487519">
        <w:rPr>
          <w:rFonts w:ascii="Lato" w:hAnsi="Lato"/>
          <w:sz w:val="22"/>
          <w:szCs w:val="22"/>
          <w:lang w:val="en-US"/>
        </w:rPr>
        <w:t>, including in the responses to the current COVID19 crisis</w:t>
      </w:r>
      <w:r w:rsidR="0043360E" w:rsidRPr="00487519">
        <w:rPr>
          <w:rFonts w:ascii="Lato" w:hAnsi="Lato"/>
          <w:sz w:val="22"/>
          <w:szCs w:val="22"/>
          <w:lang w:val="en-US"/>
        </w:rPr>
        <w:t>.</w:t>
      </w:r>
      <w:r w:rsidR="00B95BC8" w:rsidRPr="00B95BC8">
        <w:rPr>
          <w:rFonts w:ascii="Lato" w:hAnsi="Lato"/>
          <w:color w:val="000000" w:themeColor="text1"/>
          <w:sz w:val="22"/>
          <w:szCs w:val="22"/>
          <w:lang w:val="en-US"/>
        </w:rPr>
        <w:t xml:space="preserve"> </w:t>
      </w:r>
      <w:r w:rsidR="00B95BC8" w:rsidRPr="00B95BC8">
        <w:rPr>
          <w:rFonts w:ascii="Lato" w:hAnsi="Lato"/>
          <w:color w:val="E7E6E6" w:themeColor="background2"/>
          <w:sz w:val="22"/>
          <w:szCs w:val="22"/>
          <w:lang w:val="en-US"/>
        </w:rPr>
        <w:t xml:space="preserve">We at ILGA World are ensuring that LGBTIQ youth </w:t>
      </w:r>
      <w:r w:rsidR="00B95BC8" w:rsidRPr="00B95BC8">
        <w:rPr>
          <w:rFonts w:ascii="Lato" w:hAnsi="Lato"/>
          <w:color w:val="E7E6E6" w:themeColor="background2"/>
          <w:sz w:val="22"/>
          <w:szCs w:val="22"/>
          <w:lang w:val="en-US"/>
        </w:rPr>
        <w:lastRenderedPageBreak/>
        <w:t>voices are central in any discussion about them, and our World Conference in LA Long Beach in May 2022 will specifically focus on empowering LGBTIQ Youth</w:t>
      </w:r>
      <w:r w:rsidR="00B95BC8" w:rsidRPr="00B95BC8">
        <w:rPr>
          <w:rFonts w:ascii="Lato" w:hAnsi="Lato"/>
          <w:color w:val="E7E6E6" w:themeColor="background2"/>
          <w:sz w:val="22"/>
          <w:szCs w:val="22"/>
          <w:lang w:val="en-US"/>
        </w:rPr>
        <w:t>.</w:t>
      </w:r>
    </w:p>
    <w:p w14:paraId="3A7063F9" w14:textId="04B822E0" w:rsidR="0043360E" w:rsidRPr="00487519" w:rsidRDefault="0043360E" w:rsidP="0043360E">
      <w:pPr>
        <w:jc w:val="both"/>
        <w:rPr>
          <w:rFonts w:ascii="Lato" w:hAnsi="Lato"/>
          <w:sz w:val="22"/>
          <w:szCs w:val="22"/>
          <w:lang w:val="en-US"/>
        </w:rPr>
      </w:pPr>
    </w:p>
    <w:p w14:paraId="271E8F91" w14:textId="02A6537C" w:rsidR="0043360E" w:rsidRPr="00487519" w:rsidRDefault="0043360E" w:rsidP="0043360E">
      <w:pPr>
        <w:jc w:val="both"/>
        <w:rPr>
          <w:rFonts w:ascii="Lato" w:hAnsi="Lato"/>
          <w:sz w:val="22"/>
          <w:szCs w:val="22"/>
          <w:lang w:val="en-US"/>
        </w:rPr>
      </w:pPr>
      <w:r w:rsidRPr="00487519">
        <w:rPr>
          <w:rFonts w:ascii="Lato" w:hAnsi="Lato"/>
          <w:sz w:val="22"/>
          <w:szCs w:val="22"/>
          <w:lang w:val="en-US"/>
        </w:rPr>
        <w:t xml:space="preserve">We would like to ask the </w:t>
      </w:r>
      <w:r w:rsidR="00B95BC8" w:rsidRPr="00487519">
        <w:rPr>
          <w:rFonts w:ascii="Lato" w:hAnsi="Lato"/>
          <w:sz w:val="22"/>
          <w:szCs w:val="22"/>
          <w:lang w:val="en-US"/>
        </w:rPr>
        <w:t>panelists:</w:t>
      </w:r>
      <w:r w:rsidRPr="00487519">
        <w:rPr>
          <w:rFonts w:ascii="Lato" w:hAnsi="Lato"/>
          <w:sz w:val="22"/>
          <w:szCs w:val="22"/>
          <w:lang w:val="en-US"/>
        </w:rPr>
        <w:t xml:space="preserve"> how can the UN human rights mechanisms </w:t>
      </w:r>
      <w:r w:rsidR="00B95BC8">
        <w:rPr>
          <w:rFonts w:ascii="Lato" w:hAnsi="Lato"/>
          <w:sz w:val="22"/>
          <w:szCs w:val="22"/>
          <w:lang w:val="en-US"/>
        </w:rPr>
        <w:t xml:space="preserve">also </w:t>
      </w:r>
      <w:r w:rsidRPr="00487519">
        <w:rPr>
          <w:rFonts w:ascii="Lato" w:hAnsi="Lato"/>
          <w:sz w:val="22"/>
          <w:szCs w:val="22"/>
          <w:lang w:val="en-US"/>
        </w:rPr>
        <w:t>ensure that LGBTIQ youth have their human rights properly addressed and ensure their participation in decision making?</w:t>
      </w:r>
    </w:p>
    <w:p w14:paraId="24F6691E" w14:textId="77777777" w:rsidR="005C179E" w:rsidRPr="00487519" w:rsidRDefault="005C179E" w:rsidP="005C179E">
      <w:pPr>
        <w:rPr>
          <w:rFonts w:ascii="Lato" w:hAnsi="Lato"/>
          <w:sz w:val="22"/>
          <w:szCs w:val="22"/>
          <w:lang w:val="en-US"/>
        </w:rPr>
      </w:pPr>
    </w:p>
    <w:p w14:paraId="050D7A9E" w14:textId="12029D52" w:rsidR="005C179E" w:rsidRPr="00487519" w:rsidRDefault="005C179E">
      <w:pPr>
        <w:rPr>
          <w:rFonts w:ascii="Lato" w:hAnsi="Lato"/>
          <w:sz w:val="22"/>
          <w:szCs w:val="22"/>
        </w:rPr>
      </w:pPr>
    </w:p>
    <w:sectPr w:rsidR="005C179E" w:rsidRPr="004875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04C16" w14:textId="77777777" w:rsidR="00EA0D17" w:rsidRDefault="00EA0D17" w:rsidP="0043360E">
      <w:r>
        <w:separator/>
      </w:r>
    </w:p>
  </w:endnote>
  <w:endnote w:type="continuationSeparator" w:id="0">
    <w:p w14:paraId="7A4310F0" w14:textId="77777777" w:rsidR="00EA0D17" w:rsidRDefault="00EA0D17" w:rsidP="0043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
    <w:panose1 w:val="020B0604020202020204"/>
    <w:charset w:val="4D"/>
    <w:family w:val="swiss"/>
    <w:pitch w:val="variable"/>
    <w:sig w:usb0="800000AF" w:usb1="40006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6BF55" w14:textId="77777777" w:rsidR="00EA0D17" w:rsidRDefault="00EA0D17" w:rsidP="0043360E">
      <w:r>
        <w:separator/>
      </w:r>
    </w:p>
  </w:footnote>
  <w:footnote w:type="continuationSeparator" w:id="0">
    <w:p w14:paraId="79170F6D" w14:textId="77777777" w:rsidR="00EA0D17" w:rsidRDefault="00EA0D17" w:rsidP="0043360E">
      <w:r>
        <w:continuationSeparator/>
      </w:r>
    </w:p>
  </w:footnote>
  <w:footnote w:id="1">
    <w:p w14:paraId="6A479C85" w14:textId="77777777" w:rsidR="00B95BC8" w:rsidRPr="00487519" w:rsidRDefault="00B95BC8" w:rsidP="00B95BC8">
      <w:pPr>
        <w:pStyle w:val="FootnoteText"/>
        <w:rPr>
          <w:rFonts w:ascii="Lato" w:hAnsi="Lato"/>
          <w:sz w:val="16"/>
          <w:szCs w:val="16"/>
          <w:lang w:val="en-US"/>
        </w:rPr>
      </w:pPr>
      <w:r w:rsidRPr="00487519">
        <w:rPr>
          <w:rStyle w:val="FootnoteReference"/>
          <w:rFonts w:ascii="Lato" w:hAnsi="Lato"/>
          <w:sz w:val="16"/>
          <w:szCs w:val="16"/>
        </w:rPr>
        <w:footnoteRef/>
      </w:r>
      <w:r w:rsidRPr="00487519">
        <w:rPr>
          <w:rFonts w:ascii="Lato" w:hAnsi="Lato"/>
          <w:sz w:val="16"/>
          <w:szCs w:val="16"/>
          <w:lang w:val="en-US"/>
        </w:rPr>
        <w:t xml:space="preserve"> </w:t>
      </w:r>
      <w:hyperlink r:id="rId1" w:history="1">
        <w:r w:rsidRPr="00487519">
          <w:rPr>
            <w:rStyle w:val="Hyperlink"/>
            <w:rFonts w:ascii="Lato" w:hAnsi="Lato"/>
            <w:sz w:val="16"/>
            <w:szCs w:val="16"/>
            <w:lang w:val="en-US"/>
          </w:rPr>
          <w:t>A/HRC/44/53</w:t>
        </w:r>
      </w:hyperlink>
      <w:r w:rsidRPr="00487519">
        <w:rPr>
          <w:rFonts w:ascii="Lato" w:hAnsi="Lato"/>
          <w:sz w:val="16"/>
          <w:szCs w:val="16"/>
          <w:lang w:val="en-US"/>
        </w:rPr>
        <w:t xml:space="preserve">, para. 36; ILGA World, </w:t>
      </w:r>
      <w:hyperlink r:id="rId2" w:history="1">
        <w:r w:rsidRPr="00487519">
          <w:rPr>
            <w:rStyle w:val="Hyperlink"/>
            <w:rFonts w:ascii="Lato" w:hAnsi="Lato"/>
            <w:sz w:val="16"/>
            <w:szCs w:val="16"/>
            <w:lang w:val="en-US"/>
          </w:rPr>
          <w:t>Curbing Deception</w:t>
        </w:r>
      </w:hyperlink>
      <w:r w:rsidRPr="00487519">
        <w:rPr>
          <w:rFonts w:ascii="Lato" w:hAnsi="Lato"/>
          <w:sz w:val="16"/>
          <w:szCs w:val="16"/>
          <w:lang w:val="en-US"/>
        </w:rPr>
        <w:t xml:space="preserve">; OHCHR, </w:t>
      </w:r>
      <w:hyperlink r:id="rId3" w:history="1">
        <w:r w:rsidRPr="00487519">
          <w:rPr>
            <w:rStyle w:val="Hyperlink"/>
            <w:rFonts w:ascii="Lato" w:hAnsi="Lato"/>
            <w:sz w:val="16"/>
            <w:szCs w:val="16"/>
            <w:lang w:val="en-US"/>
          </w:rPr>
          <w:t>Born Free and Equal</w:t>
        </w:r>
      </w:hyperlink>
      <w:r w:rsidRPr="00487519">
        <w:rPr>
          <w:rFonts w:ascii="Lato" w:hAnsi="Lato"/>
          <w:sz w:val="16"/>
          <w:szCs w:val="16"/>
          <w:lang w:val="en-US"/>
        </w:rPr>
        <w:t>.</w:t>
      </w:r>
    </w:p>
  </w:footnote>
  <w:footnote w:id="2">
    <w:p w14:paraId="584C8F5A" w14:textId="77777777" w:rsidR="00B95BC8" w:rsidRPr="00487519" w:rsidRDefault="00B95BC8" w:rsidP="00B95BC8">
      <w:pPr>
        <w:pStyle w:val="FootnoteText"/>
        <w:rPr>
          <w:rFonts w:ascii="Lato" w:hAnsi="Lato"/>
          <w:sz w:val="16"/>
          <w:szCs w:val="16"/>
          <w:lang w:val="en-US"/>
        </w:rPr>
      </w:pPr>
      <w:r w:rsidRPr="00487519">
        <w:rPr>
          <w:rStyle w:val="FootnoteReference"/>
          <w:rFonts w:ascii="Lato" w:hAnsi="Lato"/>
          <w:sz w:val="16"/>
          <w:szCs w:val="16"/>
        </w:rPr>
        <w:footnoteRef/>
      </w:r>
      <w:r w:rsidRPr="00487519">
        <w:rPr>
          <w:rFonts w:ascii="Lato" w:hAnsi="Lato"/>
          <w:sz w:val="16"/>
          <w:szCs w:val="16"/>
        </w:rPr>
        <w:t xml:space="preserve"> </w:t>
      </w:r>
      <w:hyperlink r:id="rId4" w:history="1">
        <w:r w:rsidRPr="00487519">
          <w:rPr>
            <w:rStyle w:val="Hyperlink"/>
            <w:rFonts w:ascii="Lato" w:hAnsi="Lato"/>
            <w:sz w:val="16"/>
            <w:szCs w:val="16"/>
            <w:lang w:val="en-US"/>
          </w:rPr>
          <w:t>A/73/152</w:t>
        </w:r>
      </w:hyperlink>
      <w:r w:rsidRPr="00487519">
        <w:rPr>
          <w:rFonts w:ascii="Lato" w:hAnsi="Lato"/>
          <w:sz w:val="16"/>
          <w:szCs w:val="16"/>
          <w:u w:val="single"/>
          <w:lang w:val="en-US"/>
        </w:rPr>
        <w:t xml:space="preserve">, </w:t>
      </w:r>
      <w:r w:rsidRPr="00487519">
        <w:rPr>
          <w:rFonts w:ascii="Lato" w:hAnsi="Lato"/>
          <w:sz w:val="16"/>
          <w:szCs w:val="16"/>
          <w:lang w:val="en-US"/>
        </w:rPr>
        <w:t>para. 33-35;</w:t>
      </w:r>
      <w:r w:rsidRPr="00487519">
        <w:rPr>
          <w:rFonts w:ascii="Lato" w:hAnsi="Lato"/>
          <w:sz w:val="16"/>
          <w:szCs w:val="16"/>
        </w:rPr>
        <w:t xml:space="preserve"> </w:t>
      </w:r>
      <w:r w:rsidRPr="00487519">
        <w:rPr>
          <w:rFonts w:ascii="Lato" w:hAnsi="Lato"/>
          <w:sz w:val="16"/>
          <w:szCs w:val="16"/>
          <w:lang w:val="en-US"/>
        </w:rPr>
        <w:t>Statement by human rights experts,</w:t>
      </w:r>
      <w:r w:rsidRPr="00487519">
        <w:rPr>
          <w:rFonts w:ascii="Lato" w:hAnsi="Lato"/>
          <w:sz w:val="16"/>
          <w:szCs w:val="16"/>
        </w:rPr>
        <w:t xml:space="preserve">, </w:t>
      </w:r>
      <w:hyperlink r:id="rId5" w:history="1">
        <w:r w:rsidRPr="00487519">
          <w:rPr>
            <w:rStyle w:val="Hyperlink"/>
            <w:rFonts w:ascii="Lato" w:hAnsi="Lato"/>
            <w:sz w:val="16"/>
            <w:szCs w:val="16"/>
          </w:rPr>
          <w:t>Background Note on Human Rights Violations against Intersex People</w:t>
        </w:r>
      </w:hyperlink>
      <w:r w:rsidRPr="00487519">
        <w:rPr>
          <w:rFonts w:ascii="Lato" w:hAnsi="Lato"/>
          <w:sz w:val="16"/>
          <w:szCs w:val="16"/>
        </w:rPr>
        <w:t xml:space="preserve">; IHRA, </w:t>
      </w:r>
      <w:hyperlink r:id="rId6" w:history="1">
        <w:r w:rsidRPr="00487519">
          <w:rPr>
            <w:rStyle w:val="Hyperlink"/>
            <w:rFonts w:ascii="Lato" w:hAnsi="Lato"/>
            <w:sz w:val="16"/>
            <w:szCs w:val="16"/>
          </w:rPr>
          <w:t>YOUTH &amp;I</w:t>
        </w:r>
      </w:hyperlink>
    </w:p>
  </w:footnote>
  <w:footnote w:id="3">
    <w:p w14:paraId="0C246543" w14:textId="77777777" w:rsidR="00B95BC8" w:rsidRPr="00487519" w:rsidRDefault="00B95BC8" w:rsidP="00B95BC8">
      <w:pPr>
        <w:pStyle w:val="FootnoteText"/>
        <w:rPr>
          <w:rFonts w:ascii="Lato" w:hAnsi="Lato"/>
          <w:sz w:val="16"/>
          <w:szCs w:val="16"/>
          <w:lang w:val="en-US"/>
        </w:rPr>
      </w:pPr>
      <w:r w:rsidRPr="00487519">
        <w:rPr>
          <w:rStyle w:val="FootnoteReference"/>
          <w:rFonts w:ascii="Lato" w:hAnsi="Lato"/>
          <w:sz w:val="16"/>
          <w:szCs w:val="16"/>
        </w:rPr>
        <w:footnoteRef/>
      </w:r>
      <w:r w:rsidRPr="00487519">
        <w:rPr>
          <w:rFonts w:ascii="Lato" w:hAnsi="Lato"/>
          <w:sz w:val="16"/>
          <w:szCs w:val="16"/>
        </w:rPr>
        <w:t xml:space="preserve"> </w:t>
      </w:r>
      <w:hyperlink r:id="rId7" w:history="1">
        <w:r w:rsidRPr="00487519">
          <w:rPr>
            <w:rStyle w:val="Hyperlink"/>
            <w:rFonts w:ascii="Lato" w:hAnsi="Lato"/>
            <w:sz w:val="16"/>
            <w:szCs w:val="16"/>
            <w:lang w:val="en-US"/>
          </w:rPr>
          <w:t>A/73/152</w:t>
        </w:r>
      </w:hyperlink>
      <w:r w:rsidRPr="00487519">
        <w:rPr>
          <w:rFonts w:ascii="Lato" w:hAnsi="Lato"/>
          <w:sz w:val="16"/>
          <w:szCs w:val="16"/>
          <w:u w:val="single"/>
          <w:lang w:val="en-US"/>
        </w:rPr>
        <w:t xml:space="preserve">, </w:t>
      </w:r>
      <w:r w:rsidRPr="00487519">
        <w:rPr>
          <w:rFonts w:ascii="Lato" w:hAnsi="Lato"/>
          <w:sz w:val="16"/>
          <w:szCs w:val="16"/>
          <w:lang w:val="en-US"/>
        </w:rPr>
        <w:t>para. 33-35;</w:t>
      </w:r>
      <w:r w:rsidRPr="00487519">
        <w:rPr>
          <w:rFonts w:ascii="Lato" w:hAnsi="Lato"/>
          <w:sz w:val="16"/>
          <w:szCs w:val="16"/>
        </w:rPr>
        <w:t xml:space="preserve"> </w:t>
      </w:r>
      <w:r w:rsidRPr="00487519">
        <w:rPr>
          <w:rFonts w:ascii="Lato" w:hAnsi="Lato"/>
          <w:sz w:val="16"/>
          <w:szCs w:val="16"/>
          <w:lang w:val="en-US"/>
        </w:rPr>
        <w:t>Statement by human rights experts</w:t>
      </w:r>
      <w:r w:rsidRPr="00487519">
        <w:rPr>
          <w:rFonts w:ascii="Lato" w:hAnsi="Lato"/>
          <w:sz w:val="16"/>
          <w:szCs w:val="16"/>
          <w:u w:val="single"/>
          <w:lang w:val="en-US"/>
        </w:rPr>
        <w:t xml:space="preserve">, </w:t>
      </w:r>
      <w:hyperlink r:id="rId8" w:history="1">
        <w:r w:rsidRPr="00487519">
          <w:rPr>
            <w:rStyle w:val="Hyperlink"/>
            <w:rFonts w:ascii="Lato" w:hAnsi="Lato"/>
            <w:sz w:val="16"/>
            <w:szCs w:val="16"/>
            <w:lang w:val="en-US"/>
          </w:rPr>
          <w:t>Embrace diversity and protect trans and gender diverse children and adolescents</w:t>
        </w:r>
      </w:hyperlink>
      <w:r w:rsidRPr="00487519">
        <w:rPr>
          <w:rFonts w:ascii="Lato" w:hAnsi="Lato"/>
          <w:sz w:val="16"/>
          <w:szCs w:val="16"/>
          <w:u w:val="single"/>
          <w:lang w:val="en-US"/>
        </w:rPr>
        <w:t>.</w:t>
      </w:r>
      <w:r w:rsidRPr="00487519">
        <w:rPr>
          <w:rFonts w:ascii="Lato" w:hAnsi="Lato"/>
          <w:sz w:val="16"/>
          <w:szCs w:val="16"/>
        </w:rPr>
        <w:t>.</w:t>
      </w:r>
    </w:p>
  </w:footnote>
  <w:footnote w:id="4">
    <w:p w14:paraId="6B4D6E97" w14:textId="2A478C5E" w:rsidR="00B95BC8" w:rsidRPr="00B95BC8" w:rsidRDefault="00B95BC8" w:rsidP="00B95BC8">
      <w:pPr>
        <w:pStyle w:val="FootnoteText"/>
        <w:rPr>
          <w:rFonts w:ascii="Lato" w:hAnsi="Lato"/>
          <w:sz w:val="16"/>
          <w:szCs w:val="16"/>
          <w:lang w:val="en-US"/>
        </w:rPr>
      </w:pPr>
      <w:r w:rsidRPr="00B95BC8">
        <w:rPr>
          <w:rStyle w:val="FootnoteReference"/>
          <w:rFonts w:ascii="Lato" w:hAnsi="Lato"/>
          <w:sz w:val="16"/>
          <w:szCs w:val="16"/>
        </w:rPr>
        <w:footnoteRef/>
      </w:r>
      <w:r w:rsidRPr="00B95BC8">
        <w:rPr>
          <w:rFonts w:ascii="Lato" w:hAnsi="Lato"/>
          <w:sz w:val="16"/>
          <w:szCs w:val="16"/>
          <w:lang w:val="en-US"/>
        </w:rPr>
        <w:t xml:space="preserve"> SR on human rights defenders. Final warning: death threats and killings of human rights defenders</w:t>
      </w:r>
      <w:r w:rsidRPr="00B95BC8">
        <w:rPr>
          <w:rFonts w:ascii="Lato" w:hAnsi="Lato"/>
          <w:sz w:val="16"/>
          <w:szCs w:val="16"/>
          <w:lang w:val="en-US"/>
        </w:rPr>
        <w:t xml:space="preserve"> (</w:t>
      </w:r>
      <w:hyperlink r:id="rId9" w:history="1">
        <w:r w:rsidRPr="00B95BC8">
          <w:rPr>
            <w:rStyle w:val="Hyperlink"/>
            <w:rFonts w:ascii="Lato" w:hAnsi="Lato"/>
            <w:sz w:val="16"/>
            <w:szCs w:val="16"/>
            <w:lang w:val="en-US"/>
          </w:rPr>
          <w:t>A/HRC/46/35</w:t>
        </w:r>
      </w:hyperlink>
      <w:r w:rsidRPr="00B95BC8">
        <w:rPr>
          <w:rStyle w:val="Hyperlink"/>
          <w:rFonts w:ascii="Lato" w:hAnsi="Lato"/>
          <w:sz w:val="16"/>
          <w:szCs w:val="16"/>
          <w:lang w:val="en-US"/>
        </w:rPr>
        <w:t>)</w:t>
      </w:r>
      <w:r w:rsidRPr="00B95BC8">
        <w:rPr>
          <w:rFonts w:ascii="Lato" w:hAnsi="Lato"/>
          <w:sz w:val="16"/>
          <w:szCs w:val="16"/>
          <w:lang w:val="en-US"/>
        </w:rPr>
        <w:t>, para. 41.</w:t>
      </w:r>
    </w:p>
  </w:footnote>
  <w:footnote w:id="5">
    <w:p w14:paraId="149879FD" w14:textId="77777777" w:rsidR="00B95BC8" w:rsidRPr="00487519" w:rsidRDefault="00B95BC8" w:rsidP="00B95BC8">
      <w:pPr>
        <w:pStyle w:val="FootnoteText"/>
        <w:rPr>
          <w:rFonts w:ascii="Lato" w:hAnsi="Lato"/>
          <w:sz w:val="16"/>
          <w:szCs w:val="16"/>
        </w:rPr>
      </w:pPr>
      <w:r w:rsidRPr="00487519">
        <w:rPr>
          <w:rStyle w:val="FootnoteReference"/>
          <w:rFonts w:ascii="Lato" w:hAnsi="Lato"/>
          <w:sz w:val="16"/>
          <w:szCs w:val="16"/>
        </w:rPr>
        <w:footnoteRef/>
      </w:r>
      <w:r w:rsidRPr="00487519">
        <w:rPr>
          <w:rFonts w:ascii="Lato" w:hAnsi="Lato"/>
          <w:sz w:val="16"/>
          <w:szCs w:val="16"/>
        </w:rPr>
        <w:t xml:space="preserve"> </w:t>
      </w:r>
      <w:r w:rsidRPr="00487519">
        <w:rPr>
          <w:rStyle w:val="Hyperlink"/>
          <w:rFonts w:ascii="Lato" w:hAnsi="Lato"/>
          <w:sz w:val="16"/>
          <w:szCs w:val="16"/>
          <w:lang w:val="en-US"/>
        </w:rPr>
        <w:t xml:space="preserve">IE SOGI &amp; SR Education, </w:t>
      </w:r>
      <w:hyperlink r:id="rId10" w:history="1">
        <w:r w:rsidRPr="00487519">
          <w:rPr>
            <w:rStyle w:val="Hyperlink"/>
            <w:rFonts w:ascii="Lato" w:hAnsi="Lato"/>
            <w:sz w:val="16"/>
            <w:szCs w:val="16"/>
            <w:lang w:val="en-US"/>
          </w:rPr>
          <w:t>The inclusion of LGBT people in education settings; of paramount importance to “leaving no one behind”</w:t>
        </w:r>
      </w:hyperlink>
      <w:r w:rsidRPr="00487519">
        <w:rPr>
          <w:rStyle w:val="Hyperlink"/>
          <w:rFonts w:ascii="Lato" w:hAnsi="Lato"/>
          <w:sz w:val="16"/>
          <w:szCs w:val="16"/>
          <w:lang w:val="en-US"/>
        </w:rPr>
        <w:t xml:space="preserve"> and related p</w:t>
      </w:r>
      <w:hyperlink r:id="rId11" w:history="1">
        <w:r w:rsidRPr="00487519">
          <w:rPr>
            <w:rStyle w:val="Hyperlink"/>
            <w:rFonts w:ascii="Lato" w:hAnsi="Lato"/>
            <w:sz w:val="16"/>
            <w:szCs w:val="16"/>
            <w:lang w:val="en-US"/>
          </w:rPr>
          <w:t>ress release: States must act to stop bullying of LGBT students</w:t>
        </w:r>
      </w:hyperlink>
    </w:p>
  </w:footnote>
  <w:footnote w:id="6">
    <w:p w14:paraId="388C9E60" w14:textId="77777777" w:rsidR="00B95BC8" w:rsidRPr="00487519" w:rsidRDefault="00B95BC8" w:rsidP="00B95BC8">
      <w:pPr>
        <w:pStyle w:val="FootnoteText"/>
        <w:rPr>
          <w:rFonts w:ascii="Lato" w:hAnsi="Lato"/>
          <w:sz w:val="16"/>
          <w:szCs w:val="16"/>
          <w:lang w:val="en-US"/>
        </w:rPr>
      </w:pPr>
      <w:r w:rsidRPr="00487519">
        <w:rPr>
          <w:rStyle w:val="FootnoteReference"/>
          <w:rFonts w:ascii="Lato" w:hAnsi="Lato"/>
          <w:sz w:val="16"/>
          <w:szCs w:val="16"/>
        </w:rPr>
        <w:footnoteRef/>
      </w:r>
      <w:r w:rsidRPr="00487519">
        <w:rPr>
          <w:rFonts w:ascii="Lato" w:hAnsi="Lato"/>
          <w:sz w:val="16"/>
          <w:szCs w:val="16"/>
        </w:rPr>
        <w:t xml:space="preserve"> </w:t>
      </w:r>
      <w:r w:rsidRPr="00487519">
        <w:rPr>
          <w:rFonts w:ascii="Lato" w:hAnsi="Lato"/>
          <w:sz w:val="16"/>
          <w:szCs w:val="16"/>
        </w:rPr>
        <w:t xml:space="preserve">IE SOGI &amp; SR Housing. </w:t>
      </w:r>
      <w:r w:rsidRPr="00487519">
        <w:fldChar w:fldCharType="begin"/>
      </w:r>
      <w:r w:rsidRPr="00487519">
        <w:rPr>
          <w:rFonts w:ascii="Lato" w:hAnsi="Lato"/>
          <w:sz w:val="16"/>
          <w:szCs w:val="16"/>
        </w:rPr>
        <w:instrText xml:space="preserve"> HYPERLINK "https://www.ohchr.org/en/NewsEvents/Pages/DisplayNews.aspx?NewsID=24877&amp;LangID=E" </w:instrText>
      </w:r>
      <w:r w:rsidRPr="00487519">
        <w:fldChar w:fldCharType="separate"/>
      </w:r>
      <w:r w:rsidRPr="00487519">
        <w:rPr>
          <w:rStyle w:val="Hyperlink"/>
          <w:rFonts w:ascii="Lato" w:hAnsi="Lato"/>
          <w:sz w:val="16"/>
          <w:szCs w:val="16"/>
        </w:rPr>
        <w:t>The right to housing of LGBT youth: an urgent task in the SDG agenda setting</w:t>
      </w:r>
      <w:r w:rsidRPr="00487519">
        <w:rPr>
          <w:rStyle w:val="Hyperlink"/>
          <w:rFonts w:ascii="Lato" w:hAnsi="Lato"/>
          <w:sz w:val="16"/>
          <w:szCs w:val="16"/>
        </w:rPr>
        <w:fldChar w:fldCharType="end"/>
      </w:r>
      <w:r w:rsidRPr="00487519">
        <w:rPr>
          <w:rStyle w:val="Hyperlink"/>
          <w:rFonts w:ascii="Lato" w:hAnsi="Lato"/>
          <w:sz w:val="16"/>
          <w:szCs w:val="16"/>
        </w:rPr>
        <w:t xml:space="preserve"> </w:t>
      </w:r>
      <w:r w:rsidRPr="00487519">
        <w:rPr>
          <w:rFonts w:ascii="Lato" w:hAnsi="Lato"/>
          <w:sz w:val="16"/>
          <w:szCs w:val="16"/>
        </w:rPr>
        <w:t xml:space="preserve">and related press release: </w:t>
      </w:r>
      <w:hyperlink r:id="rId12" w:history="1">
        <w:r w:rsidRPr="00487519">
          <w:rPr>
            <w:rStyle w:val="Hyperlink"/>
            <w:rFonts w:ascii="Lato" w:hAnsi="Lato"/>
            <w:sz w:val="16"/>
            <w:szCs w:val="16"/>
          </w:rPr>
          <w:t>Scourge of homelessness adds to hardships faced by LGBT youth</w:t>
        </w:r>
      </w:hyperlink>
      <w:r w:rsidRPr="00487519">
        <w:rPr>
          <w:rFonts w:ascii="Lato" w:hAnsi="Lato"/>
          <w:sz w:val="16"/>
          <w:szCs w:val="16"/>
        </w:rPr>
        <w:t>.</w:t>
      </w:r>
    </w:p>
  </w:footnote>
  <w:footnote w:id="7">
    <w:p w14:paraId="05A49CF3" w14:textId="77777777" w:rsidR="00B95BC8" w:rsidRPr="00487519" w:rsidRDefault="00B95BC8" w:rsidP="00B95BC8">
      <w:pPr>
        <w:pStyle w:val="FootnoteText"/>
        <w:rPr>
          <w:rFonts w:ascii="Lato" w:hAnsi="Lato"/>
          <w:sz w:val="16"/>
          <w:szCs w:val="16"/>
          <w:lang w:val="en-US"/>
        </w:rPr>
      </w:pPr>
      <w:r w:rsidRPr="00487519">
        <w:rPr>
          <w:rStyle w:val="FootnoteReference"/>
          <w:rFonts w:ascii="Lato" w:hAnsi="Lato"/>
          <w:sz w:val="16"/>
          <w:szCs w:val="16"/>
        </w:rPr>
        <w:footnoteRef/>
      </w:r>
      <w:r w:rsidRPr="00487519">
        <w:rPr>
          <w:rFonts w:ascii="Lato" w:hAnsi="Lato"/>
          <w:sz w:val="16"/>
          <w:szCs w:val="16"/>
        </w:rPr>
        <w:t xml:space="preserve"> </w:t>
      </w:r>
      <w:hyperlink r:id="rId13" w:history="1">
        <w:r w:rsidRPr="00487519">
          <w:rPr>
            <w:rStyle w:val="Hyperlink"/>
            <w:rFonts w:ascii="Lato" w:hAnsi="Lato"/>
            <w:sz w:val="16"/>
            <w:szCs w:val="16"/>
          </w:rPr>
          <w:t>A/74/181</w:t>
        </w:r>
      </w:hyperlink>
      <w:r w:rsidRPr="00487519">
        <w:rPr>
          <w:rFonts w:ascii="Lato" w:hAnsi="Lato"/>
          <w:sz w:val="16"/>
          <w:szCs w:val="16"/>
        </w:rPr>
        <w:t>, para. 42-45</w:t>
      </w:r>
    </w:p>
  </w:footnote>
  <w:footnote w:id="8">
    <w:p w14:paraId="1725C21D" w14:textId="77777777" w:rsidR="00B95BC8" w:rsidRPr="00487519" w:rsidRDefault="00B95BC8" w:rsidP="00B95BC8">
      <w:pPr>
        <w:pStyle w:val="FootnoteText"/>
        <w:rPr>
          <w:rFonts w:ascii="Lato" w:hAnsi="Lato"/>
          <w:sz w:val="16"/>
          <w:szCs w:val="16"/>
          <w:lang w:val="en-US"/>
        </w:rPr>
      </w:pPr>
      <w:r w:rsidRPr="00487519">
        <w:rPr>
          <w:rStyle w:val="FootnoteReference"/>
          <w:rFonts w:ascii="Lato" w:hAnsi="Lato"/>
          <w:sz w:val="16"/>
          <w:szCs w:val="16"/>
        </w:rPr>
        <w:footnoteRef/>
      </w:r>
      <w:r w:rsidRPr="00487519">
        <w:rPr>
          <w:rFonts w:ascii="Lato" w:hAnsi="Lato"/>
          <w:sz w:val="16"/>
          <w:szCs w:val="16"/>
        </w:rPr>
        <w:t xml:space="preserve"> </w:t>
      </w:r>
      <w:r w:rsidRPr="00487519">
        <w:rPr>
          <w:rFonts w:ascii="Lato" w:hAnsi="Lato"/>
          <w:sz w:val="16"/>
          <w:szCs w:val="16"/>
          <w:lang w:val="en-US"/>
        </w:rPr>
        <w:t xml:space="preserve">Choice for Youth </w:t>
      </w:r>
      <w:proofErr w:type="gramStart"/>
      <w:r w:rsidRPr="00487519">
        <w:rPr>
          <w:rFonts w:ascii="Lato" w:hAnsi="Lato"/>
          <w:sz w:val="16"/>
          <w:szCs w:val="16"/>
          <w:lang w:val="en-US"/>
        </w:rPr>
        <w:t>And</w:t>
      </w:r>
      <w:proofErr w:type="gramEnd"/>
      <w:r w:rsidRPr="00487519">
        <w:rPr>
          <w:rFonts w:ascii="Lato" w:hAnsi="Lato"/>
          <w:sz w:val="16"/>
          <w:szCs w:val="16"/>
          <w:lang w:val="en-US"/>
        </w:rPr>
        <w:t xml:space="preserve"> Sexuality. </w:t>
      </w:r>
      <w:hyperlink r:id="rId14" w:history="1">
        <w:r w:rsidRPr="00487519">
          <w:rPr>
            <w:rStyle w:val="Hyperlink"/>
            <w:rFonts w:ascii="Lato" w:hAnsi="Lato"/>
            <w:sz w:val="16"/>
            <w:szCs w:val="16"/>
            <w:lang w:val="en-US"/>
          </w:rPr>
          <w:t xml:space="preserve">Exploring Young People's Experience </w:t>
        </w:r>
        <w:proofErr w:type="gramStart"/>
        <w:r w:rsidRPr="00487519">
          <w:rPr>
            <w:rStyle w:val="Hyperlink"/>
            <w:rFonts w:ascii="Lato" w:hAnsi="Lato"/>
            <w:sz w:val="16"/>
            <w:szCs w:val="16"/>
            <w:lang w:val="en-US"/>
          </w:rPr>
          <w:t>With</w:t>
        </w:r>
        <w:proofErr w:type="gramEnd"/>
        <w:r w:rsidRPr="00487519">
          <w:rPr>
            <w:rStyle w:val="Hyperlink"/>
            <w:rFonts w:ascii="Lato" w:hAnsi="Lato"/>
            <w:sz w:val="16"/>
            <w:szCs w:val="16"/>
            <w:lang w:val="en-US"/>
          </w:rPr>
          <w:t xml:space="preserve"> SRH And HIV Services</w:t>
        </w:r>
      </w:hyperlink>
      <w:r w:rsidRPr="00487519">
        <w:rPr>
          <w:rFonts w:ascii="Lato" w:hAnsi="Lato"/>
          <w:sz w:val="16"/>
          <w:szCs w:val="16"/>
          <w:lang w:val="en-US"/>
        </w:rPr>
        <w:t>.</w:t>
      </w:r>
    </w:p>
  </w:footnote>
  <w:footnote w:id="9">
    <w:p w14:paraId="5D9B4B51" w14:textId="47CEDD73" w:rsidR="0043360E" w:rsidRPr="00487519" w:rsidRDefault="0043360E">
      <w:pPr>
        <w:pStyle w:val="FootnoteText"/>
        <w:rPr>
          <w:rFonts w:ascii="Lato" w:hAnsi="Lato"/>
          <w:sz w:val="16"/>
          <w:szCs w:val="16"/>
        </w:rPr>
      </w:pPr>
      <w:r w:rsidRPr="00487519">
        <w:rPr>
          <w:rStyle w:val="FootnoteReference"/>
          <w:rFonts w:ascii="Lato" w:hAnsi="Lato"/>
          <w:sz w:val="16"/>
          <w:szCs w:val="16"/>
        </w:rPr>
        <w:footnoteRef/>
      </w:r>
      <w:r w:rsidRPr="00487519">
        <w:rPr>
          <w:rFonts w:ascii="Lato" w:hAnsi="Lato"/>
          <w:sz w:val="16"/>
          <w:szCs w:val="16"/>
        </w:rPr>
        <w:t xml:space="preserve"> </w:t>
      </w:r>
      <w:r w:rsidR="00487519" w:rsidRPr="00487519">
        <w:rPr>
          <w:rFonts w:ascii="Lato" w:hAnsi="Lato"/>
          <w:sz w:val="16"/>
          <w:szCs w:val="16"/>
        </w:rPr>
        <w:t>Jayathma Wickramanayake Secretary-General’s Envoy on Youth, United Nations ILGA World Youth Steering Committee</w:t>
      </w:r>
      <w:r w:rsidR="00487519" w:rsidRPr="00487519">
        <w:rPr>
          <w:rFonts w:ascii="Lato" w:hAnsi="Lato"/>
          <w:sz w:val="16"/>
          <w:szCs w:val="16"/>
          <w:lang w:val="en-US"/>
        </w:rPr>
        <w:t xml:space="preserve">. </w:t>
      </w:r>
      <w:hyperlink r:id="rId15" w:history="1">
        <w:r w:rsidRPr="00487519">
          <w:rPr>
            <w:rStyle w:val="Hyperlink"/>
            <w:rFonts w:ascii="Lato" w:hAnsi="Lato"/>
            <w:sz w:val="16"/>
            <w:szCs w:val="16"/>
          </w:rPr>
          <w:t>Don't let the pandemic marginalize LGBTIQ people further</w:t>
        </w:r>
      </w:hyperlink>
      <w:r w:rsidR="00487519" w:rsidRPr="00B95BC8">
        <w:rPr>
          <w:rFonts w:ascii="Lato" w:hAnsi="Lato"/>
          <w:sz w:val="16"/>
          <w:szCs w:val="16"/>
          <w:lang w:val="en-US"/>
        </w:rPr>
        <w:t>.</w:t>
      </w:r>
      <w:r w:rsidRPr="00487519">
        <w:rPr>
          <w:rFonts w:ascii="Lato" w:hAnsi="Lato"/>
          <w:sz w:val="16"/>
          <w:szCs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9E"/>
    <w:rsid w:val="00082971"/>
    <w:rsid w:val="0043360E"/>
    <w:rsid w:val="00487519"/>
    <w:rsid w:val="004A6103"/>
    <w:rsid w:val="005226B2"/>
    <w:rsid w:val="005C179E"/>
    <w:rsid w:val="006B3DD0"/>
    <w:rsid w:val="00953FA5"/>
    <w:rsid w:val="00A23C14"/>
    <w:rsid w:val="00B95BC8"/>
    <w:rsid w:val="00EA0D17"/>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5D30C786"/>
  <w15:chartTrackingRefBased/>
  <w15:docId w15:val="{6B8A9EC1-E6F1-B748-B9F8-5AC515FF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3360E"/>
    <w:rPr>
      <w:sz w:val="20"/>
      <w:szCs w:val="20"/>
    </w:rPr>
  </w:style>
  <w:style w:type="character" w:customStyle="1" w:styleId="FootnoteTextChar">
    <w:name w:val="Footnote Text Char"/>
    <w:basedOn w:val="DefaultParagraphFont"/>
    <w:link w:val="FootnoteText"/>
    <w:uiPriority w:val="99"/>
    <w:semiHidden/>
    <w:rsid w:val="0043360E"/>
    <w:rPr>
      <w:sz w:val="20"/>
      <w:szCs w:val="20"/>
    </w:rPr>
  </w:style>
  <w:style w:type="character" w:styleId="FootnoteReference">
    <w:name w:val="footnote reference"/>
    <w:basedOn w:val="DefaultParagraphFont"/>
    <w:uiPriority w:val="99"/>
    <w:semiHidden/>
    <w:unhideWhenUsed/>
    <w:rsid w:val="0043360E"/>
    <w:rPr>
      <w:vertAlign w:val="superscript"/>
    </w:rPr>
  </w:style>
  <w:style w:type="paragraph" w:styleId="Header">
    <w:name w:val="header"/>
    <w:basedOn w:val="Normal"/>
    <w:link w:val="HeaderChar"/>
    <w:uiPriority w:val="99"/>
    <w:unhideWhenUsed/>
    <w:rsid w:val="00487519"/>
    <w:pPr>
      <w:tabs>
        <w:tab w:val="center" w:pos="4513"/>
        <w:tab w:val="right" w:pos="9026"/>
      </w:tabs>
    </w:pPr>
  </w:style>
  <w:style w:type="character" w:customStyle="1" w:styleId="HeaderChar">
    <w:name w:val="Header Char"/>
    <w:basedOn w:val="DefaultParagraphFont"/>
    <w:link w:val="Header"/>
    <w:uiPriority w:val="99"/>
    <w:rsid w:val="00487519"/>
  </w:style>
  <w:style w:type="paragraph" w:styleId="Footer">
    <w:name w:val="footer"/>
    <w:basedOn w:val="Normal"/>
    <w:link w:val="FooterChar"/>
    <w:uiPriority w:val="99"/>
    <w:unhideWhenUsed/>
    <w:rsid w:val="00487519"/>
    <w:pPr>
      <w:tabs>
        <w:tab w:val="center" w:pos="4513"/>
        <w:tab w:val="right" w:pos="9026"/>
      </w:tabs>
    </w:pPr>
  </w:style>
  <w:style w:type="character" w:customStyle="1" w:styleId="FooterChar">
    <w:name w:val="Footer Char"/>
    <w:basedOn w:val="DefaultParagraphFont"/>
    <w:link w:val="Footer"/>
    <w:uiPriority w:val="99"/>
    <w:rsid w:val="00487519"/>
  </w:style>
  <w:style w:type="paragraph" w:styleId="NormalWeb">
    <w:name w:val="Normal (Web)"/>
    <w:basedOn w:val="Normal"/>
    <w:uiPriority w:val="99"/>
    <w:semiHidden/>
    <w:unhideWhenUsed/>
    <w:rsid w:val="0048751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487519"/>
    <w:rPr>
      <w:color w:val="0563C1" w:themeColor="hyperlink"/>
      <w:u w:val="single"/>
    </w:rPr>
  </w:style>
  <w:style w:type="character" w:styleId="UnresolvedMention">
    <w:name w:val="Unresolved Mention"/>
    <w:basedOn w:val="DefaultParagraphFont"/>
    <w:uiPriority w:val="99"/>
    <w:semiHidden/>
    <w:unhideWhenUsed/>
    <w:rsid w:val="00487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597503">
      <w:bodyDiv w:val="1"/>
      <w:marLeft w:val="0"/>
      <w:marRight w:val="0"/>
      <w:marTop w:val="0"/>
      <w:marBottom w:val="0"/>
      <w:divBdr>
        <w:top w:val="none" w:sz="0" w:space="0" w:color="auto"/>
        <w:left w:val="none" w:sz="0" w:space="0" w:color="auto"/>
        <w:bottom w:val="none" w:sz="0" w:space="0" w:color="auto"/>
        <w:right w:val="none" w:sz="0" w:space="0" w:color="auto"/>
      </w:divBdr>
    </w:div>
    <w:div w:id="1123886844">
      <w:bodyDiv w:val="1"/>
      <w:marLeft w:val="0"/>
      <w:marRight w:val="0"/>
      <w:marTop w:val="0"/>
      <w:marBottom w:val="0"/>
      <w:divBdr>
        <w:top w:val="none" w:sz="0" w:space="0" w:color="auto"/>
        <w:left w:val="none" w:sz="0" w:space="0" w:color="auto"/>
        <w:bottom w:val="none" w:sz="0" w:space="0" w:color="auto"/>
        <w:right w:val="none" w:sz="0" w:space="0" w:color="auto"/>
      </w:divBdr>
    </w:div>
    <w:div w:id="1593195948">
      <w:bodyDiv w:val="1"/>
      <w:marLeft w:val="0"/>
      <w:marRight w:val="0"/>
      <w:marTop w:val="0"/>
      <w:marBottom w:val="0"/>
      <w:divBdr>
        <w:top w:val="none" w:sz="0" w:space="0" w:color="auto"/>
        <w:left w:val="none" w:sz="0" w:space="0" w:color="auto"/>
        <w:bottom w:val="none" w:sz="0" w:space="0" w:color="auto"/>
        <w:right w:val="none" w:sz="0" w:space="0" w:color="auto"/>
      </w:divBdr>
    </w:div>
    <w:div w:id="1631743852">
      <w:bodyDiv w:val="1"/>
      <w:marLeft w:val="0"/>
      <w:marRight w:val="0"/>
      <w:marTop w:val="0"/>
      <w:marBottom w:val="0"/>
      <w:divBdr>
        <w:top w:val="none" w:sz="0" w:space="0" w:color="auto"/>
        <w:left w:val="none" w:sz="0" w:space="0" w:color="auto"/>
        <w:bottom w:val="none" w:sz="0" w:space="0" w:color="auto"/>
        <w:right w:val="none" w:sz="0" w:space="0" w:color="auto"/>
      </w:divBdr>
    </w:div>
    <w:div w:id="1815097306">
      <w:bodyDiv w:val="1"/>
      <w:marLeft w:val="0"/>
      <w:marRight w:val="0"/>
      <w:marTop w:val="0"/>
      <w:marBottom w:val="0"/>
      <w:divBdr>
        <w:top w:val="none" w:sz="0" w:space="0" w:color="auto"/>
        <w:left w:val="none" w:sz="0" w:space="0" w:color="auto"/>
        <w:bottom w:val="none" w:sz="0" w:space="0" w:color="auto"/>
        <w:right w:val="none" w:sz="0" w:space="0" w:color="auto"/>
      </w:divBdr>
    </w:div>
    <w:div w:id="1966504765">
      <w:bodyDiv w:val="1"/>
      <w:marLeft w:val="0"/>
      <w:marRight w:val="0"/>
      <w:marTop w:val="0"/>
      <w:marBottom w:val="0"/>
      <w:divBdr>
        <w:top w:val="none" w:sz="0" w:space="0" w:color="auto"/>
        <w:left w:val="none" w:sz="0" w:space="0" w:color="auto"/>
        <w:bottom w:val="none" w:sz="0" w:space="0" w:color="auto"/>
        <w:right w:val="none" w:sz="0" w:space="0" w:color="auto"/>
      </w:divBdr>
    </w:div>
    <w:div w:id="198858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NewsEvents/Pages/DisplayNews.aspx?NewsID=21622" TargetMode="External"/><Relationship Id="rId13" Type="http://schemas.openxmlformats.org/officeDocument/2006/relationships/hyperlink" Target="https://undocs.org/A/74/181" TargetMode="External"/><Relationship Id="rId3" Type="http://schemas.openxmlformats.org/officeDocument/2006/relationships/hyperlink" Target="https://www.ohchr.org/Documents/Publications/Born_Free_and_Equal_WEB.pdf" TargetMode="External"/><Relationship Id="rId7" Type="http://schemas.openxmlformats.org/officeDocument/2006/relationships/hyperlink" Target="https://undocs.org/A/73/152" TargetMode="External"/><Relationship Id="rId12" Type="http://schemas.openxmlformats.org/officeDocument/2006/relationships/hyperlink" Target="https://www.ohchr.org/en/NewsEvents/Pages/DisplayNews.aspx?NewsID=24883&amp;LangID=E" TargetMode="External"/><Relationship Id="rId2" Type="http://schemas.openxmlformats.org/officeDocument/2006/relationships/hyperlink" Target="https://ilga.org/downloads/ILGA_World_Curbing_Deception_world_survey_legal_restrictions_conversion_therapy.pdf" TargetMode="External"/><Relationship Id="rId1" Type="http://schemas.openxmlformats.org/officeDocument/2006/relationships/hyperlink" Target="https://undocs.org/A/HRC/44/53" TargetMode="External"/><Relationship Id="rId6" Type="http://schemas.openxmlformats.org/officeDocument/2006/relationships/hyperlink" Target="https://darlington.org.au/wp-content/uploads/2019/10/YOUthAndI-Layout-Final-Web.pdf" TargetMode="External"/><Relationship Id="rId11" Type="http://schemas.openxmlformats.org/officeDocument/2006/relationships/hyperlink" Target="https://www.ohchr.org/en/NewsEvents/Pages/DisplayNews.aspx?NewsID=25105&amp;LangID=E" TargetMode="External"/><Relationship Id="rId5" Type="http://schemas.openxmlformats.org/officeDocument/2006/relationships/hyperlink" Target="https://www.ohchr.org/Documents/Issues/Discrimination/LGBT/BackgroundNoteHumanRightsViolationsagainstIntersexPeople.pdf" TargetMode="External"/><Relationship Id="rId15" Type="http://schemas.openxmlformats.org/officeDocument/2006/relationships/hyperlink" Target="https://www.weforum.org/agenda/2020/07/covid19-lgbtiq-youth-support-services" TargetMode="External"/><Relationship Id="rId10" Type="http://schemas.openxmlformats.org/officeDocument/2006/relationships/hyperlink" Target="https://www.ohchr.org/EN/NewsEvents/Pages/DisplayNews.aspx?NewsID=25094&amp;LangID=E" TargetMode="External"/><Relationship Id="rId4" Type="http://schemas.openxmlformats.org/officeDocument/2006/relationships/hyperlink" Target="https://undocs.org/A/73/152" TargetMode="External"/><Relationship Id="rId9" Type="http://schemas.openxmlformats.org/officeDocument/2006/relationships/hyperlink" Target="https://undocs.org/A/HRC/46/35" TargetMode="External"/><Relationship Id="rId14" Type="http://schemas.openxmlformats.org/officeDocument/2006/relationships/hyperlink" Target="https://www.choiceforyouth.org/news/youth-and-h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A8B808-632A-4D66-91A1-3845AFA147BD}"/>
</file>

<file path=customXml/itemProps2.xml><?xml version="1.0" encoding="utf-8"?>
<ds:datastoreItem xmlns:ds="http://schemas.openxmlformats.org/officeDocument/2006/customXml" ds:itemID="{59149D3E-8361-4EA9-B7D3-7E76B57FBF6D}"/>
</file>

<file path=customXml/itemProps3.xml><?xml version="1.0" encoding="utf-8"?>
<ds:datastoreItem xmlns:ds="http://schemas.openxmlformats.org/officeDocument/2006/customXml" ds:itemID="{C449AD74-884B-417E-A09B-6F7F67D02954}"/>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Galil</dc:creator>
  <cp:keywords/>
  <dc:description/>
  <cp:lastModifiedBy>Gabriel Galil</cp:lastModifiedBy>
  <cp:revision>2</cp:revision>
  <dcterms:created xsi:type="dcterms:W3CDTF">2021-04-09T11:07:00Z</dcterms:created>
  <dcterms:modified xsi:type="dcterms:W3CDTF">2021-04-09T11:07:00Z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