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851" w:rsidRPr="00123655" w:rsidRDefault="007F4851" w:rsidP="007F4851">
      <w:pPr>
        <w:spacing w:after="0" w:line="360" w:lineRule="auto"/>
        <w:jc w:val="both"/>
        <w:rPr>
          <w:rFonts w:ascii="Arial Narrow" w:eastAsia="Times New Roman" w:hAnsi="Arial Narrow" w:cs="Calibri"/>
          <w:b/>
          <w:sz w:val="26"/>
          <w:szCs w:val="26"/>
        </w:rPr>
      </w:pPr>
      <w:r w:rsidRPr="00DD336D">
        <w:rPr>
          <w:rFonts w:ascii="Arial Narrow" w:eastAsia="Times New Roman" w:hAnsi="Arial Narrow" w:cs="Calibri"/>
          <w:sz w:val="26"/>
          <w:szCs w:val="26"/>
        </w:rPr>
        <w:t>.</w:t>
      </w:r>
      <w:r w:rsidRPr="004F60F1">
        <w:rPr>
          <w:rFonts w:ascii="Bookman Old Style" w:eastAsia="Times New Roman" w:hAnsi="Bookman Old Style" w:cs="Calibri"/>
          <w:b/>
          <w:sz w:val="24"/>
          <w:szCs w:val="24"/>
          <w:lang w:eastAsia="fr-FR"/>
        </w:rPr>
        <w:t>REPUBLIQUE DU SENEGAL</w:t>
      </w:r>
      <w:r w:rsidRPr="00E04700">
        <w:rPr>
          <w:rFonts w:ascii="Bookman Old Style" w:eastAsia="Times New Roman" w:hAnsi="Bookman Old Style" w:cs="Calibri"/>
          <w:b/>
          <w:lang w:eastAsia="fr-FR"/>
        </w:rPr>
        <w:t xml:space="preserve">                            </w:t>
      </w:r>
    </w:p>
    <w:p w:rsidR="007F4851" w:rsidRPr="00E04700" w:rsidRDefault="007F4851" w:rsidP="007F4851">
      <w:pPr>
        <w:tabs>
          <w:tab w:val="left" w:pos="284"/>
        </w:tabs>
        <w:spacing w:after="0" w:line="240" w:lineRule="auto"/>
        <w:ind w:left="-426"/>
        <w:jc w:val="both"/>
        <w:rPr>
          <w:rFonts w:ascii="Bookman Old Style" w:eastAsia="Times New Roman" w:hAnsi="Bookman Old Style" w:cs="Calibri"/>
          <w:i/>
          <w:sz w:val="20"/>
          <w:szCs w:val="20"/>
          <w:lang w:eastAsia="fr-FR"/>
        </w:rPr>
      </w:pPr>
      <w:r w:rsidRPr="00E04700">
        <w:rPr>
          <w:rFonts w:ascii="Bookman Old Style" w:eastAsia="Times New Roman" w:hAnsi="Bookman Old Style" w:cs="Calibri"/>
          <w:i/>
          <w:sz w:val="25"/>
          <w:szCs w:val="25"/>
          <w:lang w:eastAsia="fr-FR"/>
        </w:rPr>
        <w:t xml:space="preserve">        </w:t>
      </w:r>
      <w:r w:rsidRPr="00E04700">
        <w:rPr>
          <w:rFonts w:ascii="Bookman Old Style" w:eastAsia="Times New Roman" w:hAnsi="Bookman Old Style" w:cs="Calibri"/>
          <w:i/>
          <w:sz w:val="20"/>
          <w:szCs w:val="20"/>
          <w:lang w:eastAsia="fr-FR"/>
        </w:rPr>
        <w:t>Un Peuple – Un But –Une Foi</w:t>
      </w:r>
    </w:p>
    <w:p w:rsidR="007F4851" w:rsidRPr="00E04700" w:rsidRDefault="007F4851" w:rsidP="007F4851">
      <w:pPr>
        <w:tabs>
          <w:tab w:val="left" w:pos="284"/>
        </w:tabs>
        <w:spacing w:after="0" w:line="240" w:lineRule="auto"/>
        <w:ind w:left="-426"/>
        <w:jc w:val="both"/>
        <w:rPr>
          <w:rFonts w:ascii="Bookman Old Style" w:eastAsia="Times New Roman" w:hAnsi="Bookman Old Style" w:cs="Calibri"/>
          <w:i/>
          <w:sz w:val="20"/>
          <w:szCs w:val="20"/>
          <w:lang w:eastAsia="fr-FR"/>
        </w:rPr>
      </w:pPr>
      <w:r w:rsidRPr="00E04700">
        <w:rPr>
          <w:rFonts w:ascii="Bookman Old Style" w:hAnsi="Bookman Old Style"/>
          <w:b/>
        </w:rPr>
        <w:t xml:space="preserve">   </w:t>
      </w:r>
      <w:r>
        <w:rPr>
          <w:rFonts w:ascii="Bookman Old Style" w:hAnsi="Bookman Old Style"/>
          <w:b/>
        </w:rPr>
        <w:t xml:space="preserve">     </w:t>
      </w:r>
      <w:r w:rsidRPr="00E04700">
        <w:rPr>
          <w:rFonts w:ascii="Bookman Old Style" w:hAnsi="Bookman Old Style"/>
          <w:b/>
        </w:rPr>
        <w:t>--------------------------------</w:t>
      </w:r>
    </w:p>
    <w:p w:rsidR="007F4851" w:rsidRPr="00425134" w:rsidRDefault="007F4851" w:rsidP="007F4851">
      <w:pPr>
        <w:spacing w:after="0" w:line="240" w:lineRule="auto"/>
        <w:ind w:hanging="426"/>
        <w:jc w:val="both"/>
        <w:rPr>
          <w:rFonts w:ascii="Bookman Old Style" w:eastAsia="Times New Roman" w:hAnsi="Bookman Old Style" w:cs="Calibri"/>
          <w:b/>
          <w:lang w:eastAsia="fr-FR"/>
        </w:rPr>
      </w:pPr>
      <w:r>
        <w:rPr>
          <w:rFonts w:ascii="Bookman Old Style" w:eastAsia="Times New Roman" w:hAnsi="Bookman Old Style" w:cs="Calibri"/>
          <w:b/>
          <w:lang w:eastAsia="fr-FR"/>
        </w:rPr>
        <w:t xml:space="preserve">   </w:t>
      </w:r>
      <w:r w:rsidRPr="00E04700">
        <w:rPr>
          <w:rFonts w:ascii="Bookman Old Style" w:eastAsia="Times New Roman" w:hAnsi="Bookman Old Style" w:cs="Calibri"/>
          <w:b/>
          <w:lang w:eastAsia="fr-FR"/>
        </w:rPr>
        <w:t xml:space="preserve">MINISTERE DE LA JEUNESSE, </w:t>
      </w:r>
      <w:r w:rsidRPr="00E04700">
        <w:rPr>
          <w:rFonts w:ascii="Bookman Old Style" w:eastAsia="Times New Roman" w:hAnsi="Bookman Old Style" w:cs="Times New Roman"/>
          <w:b/>
          <w:lang w:eastAsia="fr-FR"/>
        </w:rPr>
        <w:t xml:space="preserve">DE LA CONSTRUCTION </w:t>
      </w:r>
      <w:r w:rsidRPr="00E04700">
        <w:rPr>
          <w:rFonts w:ascii="Bookman Old Style" w:hAnsi="Bookman Old Style"/>
          <w:b/>
        </w:rPr>
        <w:t>CITOYENNE</w:t>
      </w:r>
      <w:r>
        <w:rPr>
          <w:rFonts w:ascii="Bookman Old Style" w:hAnsi="Bookman Old Style"/>
          <w:b/>
        </w:rPr>
        <w:t xml:space="preserve"> ET DE LA PROMOTION DU VOLONTARIAT</w:t>
      </w:r>
    </w:p>
    <w:p w:rsidR="007F4851" w:rsidRDefault="007F4851" w:rsidP="007F4851"/>
    <w:p w:rsidR="007F4851" w:rsidRPr="00C24B49" w:rsidRDefault="007F4851" w:rsidP="007F4851">
      <w:pPr>
        <w:pBdr>
          <w:top w:val="single" w:sz="4" w:space="1" w:color="auto"/>
          <w:left w:val="single" w:sz="4" w:space="4" w:color="auto"/>
          <w:bottom w:val="single" w:sz="4" w:space="1" w:color="auto"/>
          <w:right w:val="single" w:sz="4" w:space="4" w:color="auto"/>
        </w:pBdr>
        <w:rPr>
          <w:rFonts w:ascii="Arial Narrow" w:hAnsi="Arial Narrow"/>
          <w:b/>
          <w:sz w:val="24"/>
          <w:szCs w:val="24"/>
        </w:rPr>
      </w:pPr>
      <w:r>
        <w:rPr>
          <w:rFonts w:ascii="Arial Narrow" w:hAnsi="Arial Narrow"/>
          <w:b/>
          <w:sz w:val="24"/>
          <w:szCs w:val="24"/>
        </w:rPr>
        <w:t xml:space="preserve">                          </w:t>
      </w:r>
      <w:r w:rsidRPr="00425134">
        <w:rPr>
          <w:rFonts w:ascii="Arial Narrow" w:hAnsi="Arial Narrow"/>
          <w:b/>
          <w:sz w:val="24"/>
          <w:szCs w:val="24"/>
        </w:rPr>
        <w:t xml:space="preserve">CONTRIBUTION </w:t>
      </w:r>
      <w:r>
        <w:rPr>
          <w:rFonts w:ascii="Arial Narrow" w:hAnsi="Arial Narrow"/>
          <w:b/>
          <w:sz w:val="24"/>
          <w:szCs w:val="24"/>
        </w:rPr>
        <w:t>AU QUESTIONNAIRE DU HAUT COMMISSARIAT DES NATIONS UNIES AUX DROITS DE L’HOMME</w:t>
      </w:r>
    </w:p>
    <w:tbl>
      <w:tblPr>
        <w:tblStyle w:val="Grilledutableau"/>
        <w:tblW w:w="15559" w:type="dxa"/>
        <w:tblInd w:w="-772" w:type="dxa"/>
        <w:tblLook w:val="04A0" w:firstRow="1" w:lastRow="0" w:firstColumn="1" w:lastColumn="0" w:noHBand="0" w:noVBand="1"/>
      </w:tblPr>
      <w:tblGrid>
        <w:gridCol w:w="6062"/>
        <w:gridCol w:w="9497"/>
      </w:tblGrid>
      <w:tr w:rsidR="007F4851" w:rsidTr="007F4851">
        <w:tc>
          <w:tcPr>
            <w:tcW w:w="6062" w:type="dxa"/>
          </w:tcPr>
          <w:p w:rsidR="007F4851" w:rsidRPr="00C24B49" w:rsidRDefault="007F4851" w:rsidP="00A37D7C">
            <w:pPr>
              <w:rPr>
                <w:rFonts w:ascii="Arial Narrow" w:hAnsi="Arial Narrow"/>
                <w:b/>
                <w:sz w:val="24"/>
                <w:szCs w:val="24"/>
              </w:rPr>
            </w:pPr>
            <w:r>
              <w:rPr>
                <w:rFonts w:ascii="Arial Narrow" w:hAnsi="Arial Narrow"/>
                <w:b/>
                <w:sz w:val="24"/>
                <w:szCs w:val="24"/>
              </w:rPr>
              <w:t xml:space="preserve">Questions du </w:t>
            </w:r>
            <w:proofErr w:type="spellStart"/>
            <w:r>
              <w:rPr>
                <w:rFonts w:ascii="Arial Narrow" w:hAnsi="Arial Narrow"/>
                <w:b/>
                <w:sz w:val="24"/>
                <w:szCs w:val="24"/>
              </w:rPr>
              <w:t>Haut Commissariat</w:t>
            </w:r>
            <w:proofErr w:type="spellEnd"/>
            <w:r>
              <w:rPr>
                <w:rFonts w:ascii="Arial Narrow" w:hAnsi="Arial Narrow"/>
                <w:b/>
                <w:sz w:val="24"/>
                <w:szCs w:val="24"/>
              </w:rPr>
              <w:t xml:space="preserve"> aux Droits de l’Homme </w:t>
            </w:r>
            <w:r w:rsidRPr="00C24B49">
              <w:rPr>
                <w:rFonts w:ascii="Arial Narrow" w:hAnsi="Arial Narrow"/>
                <w:b/>
                <w:sz w:val="24"/>
                <w:szCs w:val="24"/>
              </w:rPr>
              <w:t>des Nations Unies</w:t>
            </w:r>
          </w:p>
        </w:tc>
        <w:tc>
          <w:tcPr>
            <w:tcW w:w="9497" w:type="dxa"/>
          </w:tcPr>
          <w:p w:rsidR="007F4851" w:rsidRPr="00C24B49" w:rsidRDefault="007F4851" w:rsidP="00A37D7C">
            <w:pPr>
              <w:rPr>
                <w:rFonts w:ascii="Arial Narrow" w:hAnsi="Arial Narrow"/>
                <w:b/>
                <w:sz w:val="24"/>
                <w:szCs w:val="24"/>
              </w:rPr>
            </w:pPr>
            <w:r>
              <w:rPr>
                <w:rFonts w:ascii="Arial Narrow" w:hAnsi="Arial Narrow"/>
                <w:b/>
                <w:sz w:val="24"/>
                <w:szCs w:val="24"/>
              </w:rPr>
              <w:t xml:space="preserve">                                                  </w:t>
            </w:r>
            <w:r w:rsidRPr="00C24B49">
              <w:rPr>
                <w:rFonts w:ascii="Arial Narrow" w:hAnsi="Arial Narrow"/>
                <w:b/>
                <w:sz w:val="24"/>
                <w:szCs w:val="24"/>
              </w:rPr>
              <w:t>Réponses de l’Etat du Sénégal</w:t>
            </w:r>
          </w:p>
        </w:tc>
      </w:tr>
      <w:tr w:rsidR="007F4851" w:rsidTr="007F4851">
        <w:tc>
          <w:tcPr>
            <w:tcW w:w="6062" w:type="dxa"/>
          </w:tcPr>
          <w:p w:rsidR="007F4851" w:rsidRPr="007F4851" w:rsidRDefault="007F4851" w:rsidP="007F4851">
            <w:pPr>
              <w:rPr>
                <w:rFonts w:ascii="Arial Narrow" w:hAnsi="Arial Narrow"/>
              </w:rPr>
            </w:pPr>
            <w:r>
              <w:rPr>
                <w:rFonts w:ascii="Arial Narrow" w:hAnsi="Arial Narrow"/>
              </w:rPr>
              <w:t>1-</w:t>
            </w:r>
            <w:r w:rsidRPr="007F4851">
              <w:rPr>
                <w:rFonts w:ascii="Arial Narrow" w:hAnsi="Arial Narrow"/>
              </w:rPr>
              <w:t>Existe-t-il une loi nationale sur la jeunesse dans votre pays ? Si oui, veuillez la décrire (y compris comment les jeunes sont définis dans la loi)</w:t>
            </w:r>
          </w:p>
        </w:tc>
        <w:tc>
          <w:tcPr>
            <w:tcW w:w="9497" w:type="dxa"/>
          </w:tcPr>
          <w:p w:rsidR="007F4851" w:rsidRDefault="00BA7444" w:rsidP="00A37D7C">
            <w:pPr>
              <w:rPr>
                <w:rFonts w:ascii="Arial Narrow" w:hAnsi="Arial Narrow"/>
              </w:rPr>
            </w:pPr>
            <w:r>
              <w:rPr>
                <w:rFonts w:ascii="Arial Narrow" w:hAnsi="Arial Narrow"/>
              </w:rPr>
              <w:t>Au Sénégal, le</w:t>
            </w:r>
            <w:r w:rsidR="007F4851">
              <w:rPr>
                <w:rFonts w:ascii="Arial Narrow" w:hAnsi="Arial Narrow"/>
              </w:rPr>
              <w:t xml:space="preserve"> </w:t>
            </w:r>
            <w:r>
              <w:rPr>
                <w:rFonts w:ascii="Arial Narrow" w:hAnsi="Arial Narrow"/>
              </w:rPr>
              <w:t>développement du Capital humain</w:t>
            </w:r>
            <w:r>
              <w:rPr>
                <w:rFonts w:ascii="Arial Narrow" w:hAnsi="Arial Narrow"/>
              </w:rPr>
              <w:t xml:space="preserve"> figure en bonne place dans le </w:t>
            </w:r>
            <w:r w:rsidR="007F4851">
              <w:rPr>
                <w:rFonts w:ascii="Arial Narrow" w:hAnsi="Arial Narrow"/>
              </w:rPr>
              <w:t>Plan Sénégal émergent (PSE) document de référence en matièr</w:t>
            </w:r>
            <w:r>
              <w:rPr>
                <w:rFonts w:ascii="Arial Narrow" w:hAnsi="Arial Narrow"/>
              </w:rPr>
              <w:t>e de planification stratégique</w:t>
            </w:r>
            <w:r w:rsidR="007F4851">
              <w:rPr>
                <w:rFonts w:ascii="Arial Narrow" w:hAnsi="Arial Narrow"/>
              </w:rPr>
              <w:t>, où les jeunes occupent une place centrale dans la mise en œuvre des politiques.</w:t>
            </w:r>
          </w:p>
          <w:p w:rsidR="007F4851" w:rsidRDefault="007F4851" w:rsidP="00A37D7C">
            <w:pPr>
              <w:rPr>
                <w:rFonts w:ascii="Arial Narrow" w:hAnsi="Arial Narrow"/>
              </w:rPr>
            </w:pPr>
            <w:r>
              <w:rPr>
                <w:rFonts w:ascii="Arial Narrow" w:hAnsi="Arial Narrow"/>
              </w:rPr>
              <w:t>-Au</w:t>
            </w:r>
            <w:r w:rsidR="00BA7444">
              <w:rPr>
                <w:rFonts w:ascii="Arial Narrow" w:hAnsi="Arial Narrow"/>
              </w:rPr>
              <w:t>x</w:t>
            </w:r>
            <w:r>
              <w:rPr>
                <w:rFonts w:ascii="Arial Narrow" w:hAnsi="Arial Narrow"/>
              </w:rPr>
              <w:t xml:space="preserve"> niveau</w:t>
            </w:r>
            <w:r w:rsidR="00BA7444">
              <w:rPr>
                <w:rFonts w:ascii="Arial Narrow" w:hAnsi="Arial Narrow"/>
              </w:rPr>
              <w:t>x</w:t>
            </w:r>
            <w:r>
              <w:rPr>
                <w:rFonts w:ascii="Arial Narrow" w:hAnsi="Arial Narrow"/>
              </w:rPr>
              <w:t xml:space="preserve"> sectoriel</w:t>
            </w:r>
            <w:r w:rsidR="005A2225">
              <w:rPr>
                <w:rFonts w:ascii="Arial Narrow" w:hAnsi="Arial Narrow"/>
              </w:rPr>
              <w:t>s, la loi</w:t>
            </w:r>
            <w:r w:rsidR="00BA7444">
              <w:rPr>
                <w:rFonts w:ascii="Arial Narrow" w:hAnsi="Arial Narrow"/>
              </w:rPr>
              <w:t xml:space="preserve"> d’orientation de l’Education et la loi d’orientation sociale, concernent les cibles les plus sensibles de la population notamment les enfants, les jeunes, les personnes âgées et les handicapés.</w:t>
            </w:r>
          </w:p>
          <w:p w:rsidR="007F4851" w:rsidRPr="00C24B49" w:rsidRDefault="007F4851" w:rsidP="00A37D7C">
            <w:pPr>
              <w:rPr>
                <w:rFonts w:ascii="Arial Narrow" w:hAnsi="Arial Narrow"/>
              </w:rPr>
            </w:pPr>
          </w:p>
        </w:tc>
      </w:tr>
      <w:tr w:rsidR="007F4851" w:rsidTr="007F4851">
        <w:tc>
          <w:tcPr>
            <w:tcW w:w="6062" w:type="dxa"/>
          </w:tcPr>
          <w:p w:rsidR="007F4851" w:rsidRPr="007F4851" w:rsidRDefault="007F4851" w:rsidP="007F4851">
            <w:pPr>
              <w:rPr>
                <w:rFonts w:ascii="Arial Narrow" w:hAnsi="Arial Narrow"/>
              </w:rPr>
            </w:pPr>
            <w:r>
              <w:rPr>
                <w:rFonts w:ascii="Arial Narrow" w:hAnsi="Arial Narrow"/>
              </w:rPr>
              <w:t>2-Quels sont les principaux défis auxquels les jeunes sont confrontés dans votre pays ?</w:t>
            </w:r>
          </w:p>
        </w:tc>
        <w:tc>
          <w:tcPr>
            <w:tcW w:w="9497" w:type="dxa"/>
          </w:tcPr>
          <w:p w:rsidR="007F4851" w:rsidRPr="00C24B49" w:rsidRDefault="007F4851" w:rsidP="005A2225">
            <w:pPr>
              <w:rPr>
                <w:rFonts w:ascii="Arial Narrow" w:hAnsi="Arial Narrow"/>
              </w:rPr>
            </w:pPr>
            <w:r>
              <w:rPr>
                <w:rFonts w:ascii="Arial Narrow" w:hAnsi="Arial Narrow"/>
              </w:rPr>
              <w:t>-</w:t>
            </w:r>
            <w:r w:rsidR="005A2225">
              <w:rPr>
                <w:rFonts w:ascii="Arial Narrow" w:hAnsi="Arial Narrow"/>
              </w:rPr>
              <w:t>Renforcement de l’éducation civique et citoyenne, développement du volontariat de développement, Formation adaptée aux besoins du marché de l’emploi, entreprenariat jeunes etc.</w:t>
            </w:r>
            <w:r w:rsidR="008E4BF0">
              <w:rPr>
                <w:rFonts w:ascii="Arial Narrow" w:hAnsi="Arial Narrow"/>
              </w:rPr>
              <w:t xml:space="preserve"> </w:t>
            </w:r>
          </w:p>
        </w:tc>
      </w:tr>
      <w:tr w:rsidR="007F4851" w:rsidTr="007F4851">
        <w:tc>
          <w:tcPr>
            <w:tcW w:w="6062" w:type="dxa"/>
          </w:tcPr>
          <w:p w:rsidR="007F4851" w:rsidRPr="00C24B49" w:rsidRDefault="007F4851" w:rsidP="00A37D7C">
            <w:pPr>
              <w:rPr>
                <w:rFonts w:ascii="Arial Narrow" w:hAnsi="Arial Narrow"/>
              </w:rPr>
            </w:pPr>
            <w:r>
              <w:rPr>
                <w:rFonts w:ascii="Arial Narrow" w:hAnsi="Arial Narrow"/>
              </w:rPr>
              <w:t>3-</w:t>
            </w:r>
            <w:r>
              <w:rPr>
                <w:rFonts w:ascii="Arial Narrow" w:hAnsi="Arial Narrow"/>
              </w:rPr>
              <w:t>Quelles mesures le Gouvernement prend-il pour garantir la jouissance pleine et effective des droits des jeunes (droits civils et politiques et droits économiques et sociaux) ?</w:t>
            </w:r>
          </w:p>
        </w:tc>
        <w:tc>
          <w:tcPr>
            <w:tcW w:w="9497" w:type="dxa"/>
          </w:tcPr>
          <w:p w:rsidR="00BA7444" w:rsidRDefault="007F4851" w:rsidP="00BA7444">
            <w:pPr>
              <w:rPr>
                <w:rFonts w:ascii="Arial Narrow" w:hAnsi="Arial Narrow"/>
              </w:rPr>
            </w:pPr>
            <w:r>
              <w:rPr>
                <w:rFonts w:ascii="Arial Narrow" w:hAnsi="Arial Narrow"/>
              </w:rPr>
              <w:t xml:space="preserve"> </w:t>
            </w:r>
            <w:r w:rsidR="00BA7444">
              <w:rPr>
                <w:rFonts w:ascii="Arial Narrow" w:hAnsi="Arial Narrow"/>
              </w:rPr>
              <w:t>-la création d’une agence nationale chargée de l’emploi des jeunes est t une stratégie pertinente pour améliorer la gouvernance du secteur Jeunesse/Emploi</w:t>
            </w:r>
            <w:r w:rsidR="008E4BF0">
              <w:rPr>
                <w:rFonts w:ascii="Arial Narrow" w:hAnsi="Arial Narrow"/>
              </w:rPr>
              <w:t>.</w:t>
            </w:r>
          </w:p>
          <w:p w:rsidR="008E4BF0" w:rsidRDefault="008E4BF0" w:rsidP="008E4BF0">
            <w:pPr>
              <w:rPr>
                <w:rFonts w:ascii="Arial Narrow" w:hAnsi="Arial Narrow"/>
              </w:rPr>
            </w:pPr>
            <w:r>
              <w:rPr>
                <w:rFonts w:ascii="Arial Narrow" w:hAnsi="Arial Narrow"/>
              </w:rPr>
              <w:t xml:space="preserve">- La création des Domaines agricoles communautaires est une </w:t>
            </w:r>
            <w:r w:rsidR="005A2225">
              <w:rPr>
                <w:rFonts w:ascii="Arial Narrow" w:hAnsi="Arial Narrow"/>
              </w:rPr>
              <w:t xml:space="preserve">également une </w:t>
            </w:r>
            <w:bookmarkStart w:id="0" w:name="_GoBack"/>
            <w:bookmarkEnd w:id="0"/>
            <w:r>
              <w:rPr>
                <w:rFonts w:ascii="Arial Narrow" w:hAnsi="Arial Narrow"/>
              </w:rPr>
              <w:t>réponse appropriée pour lutter contre le chômage et l’exode des jeunes ruraux souvent un peu marginalisés dans les politiques de promotion de l’emploi. C’est également un facteur de réduction de la migration irrégulière.</w:t>
            </w:r>
          </w:p>
          <w:p w:rsidR="008E4BF0" w:rsidRDefault="008E4BF0" w:rsidP="008E4BF0">
            <w:pPr>
              <w:rPr>
                <w:rFonts w:ascii="Arial Narrow" w:hAnsi="Arial Narrow"/>
              </w:rPr>
            </w:pPr>
            <w:r>
              <w:rPr>
                <w:rFonts w:ascii="Arial Narrow" w:hAnsi="Arial Narrow"/>
              </w:rPr>
              <w:t>Par ailleurs, la stratégie de protection sociale prend également en compte les couches les plus vulnérables</w:t>
            </w:r>
            <w:r>
              <w:rPr>
                <w:rFonts w:ascii="Arial Narrow" w:hAnsi="Arial Narrow"/>
              </w:rPr>
              <w:t>, parmi lesquelles les jeunes,</w:t>
            </w:r>
            <w:r>
              <w:rPr>
                <w:rFonts w:ascii="Arial Narrow" w:hAnsi="Arial Narrow"/>
              </w:rPr>
              <w:t xml:space="preserve"> à travers le développement de filets soc</w:t>
            </w:r>
            <w:r>
              <w:rPr>
                <w:rFonts w:ascii="Arial Narrow" w:hAnsi="Arial Narrow"/>
              </w:rPr>
              <w:t>iaux adaptés aux besoins de cette cible.</w:t>
            </w:r>
          </w:p>
          <w:p w:rsidR="008E4BF0" w:rsidRPr="00C24B49" w:rsidRDefault="008E4BF0" w:rsidP="00BA7444">
            <w:pPr>
              <w:rPr>
                <w:rFonts w:ascii="Arial Narrow" w:hAnsi="Arial Narrow"/>
              </w:rPr>
            </w:pPr>
          </w:p>
        </w:tc>
      </w:tr>
      <w:tr w:rsidR="007F4851" w:rsidTr="007F4851">
        <w:tc>
          <w:tcPr>
            <w:tcW w:w="6062" w:type="dxa"/>
          </w:tcPr>
          <w:p w:rsidR="007F4851" w:rsidRPr="00C24B49" w:rsidRDefault="00687411" w:rsidP="00A37D7C">
            <w:pPr>
              <w:rPr>
                <w:rFonts w:ascii="Arial Narrow" w:hAnsi="Arial Narrow"/>
              </w:rPr>
            </w:pPr>
            <w:r>
              <w:rPr>
                <w:rFonts w:ascii="Arial Narrow" w:hAnsi="Arial Narrow"/>
              </w:rPr>
              <w:t>4-Pourriez-vous donner des exemples de politiques et de programmes adoptés pour donner aux jeunes les moyens d’exercer leurs droits ?</w:t>
            </w:r>
          </w:p>
        </w:tc>
        <w:tc>
          <w:tcPr>
            <w:tcW w:w="9497" w:type="dxa"/>
          </w:tcPr>
          <w:p w:rsidR="007F4851" w:rsidRDefault="008E4BF0" w:rsidP="008E4BF0">
            <w:pPr>
              <w:rPr>
                <w:rFonts w:ascii="Arial Narrow" w:hAnsi="Arial Narrow"/>
              </w:rPr>
            </w:pPr>
            <w:r>
              <w:rPr>
                <w:rFonts w:ascii="Arial Narrow" w:hAnsi="Arial Narrow"/>
              </w:rPr>
              <w:t xml:space="preserve">La mise en place d’une plateforme dénommée « Carrefour des Associations d’utilité sociétale et Environnementale » offre la possibilité aux jeunes de développer des activités sur l’environnement, l’éducation citoyenne, </w:t>
            </w:r>
            <w:r w:rsidR="005A2225">
              <w:rPr>
                <w:rFonts w:ascii="Arial Narrow" w:hAnsi="Arial Narrow"/>
              </w:rPr>
              <w:t>la sensibilisation sur le</w:t>
            </w:r>
            <w:r>
              <w:rPr>
                <w:rFonts w:ascii="Arial Narrow" w:hAnsi="Arial Narrow"/>
              </w:rPr>
              <w:t xml:space="preserve"> droit à l’</w:t>
            </w:r>
            <w:r w:rsidR="005A2225">
              <w:rPr>
                <w:rFonts w:ascii="Arial Narrow" w:hAnsi="Arial Narrow"/>
              </w:rPr>
              <w:t>é</w:t>
            </w:r>
            <w:r>
              <w:rPr>
                <w:rFonts w:ascii="Arial Narrow" w:hAnsi="Arial Narrow"/>
              </w:rPr>
              <w:t>ducation</w:t>
            </w:r>
            <w:r w:rsidR="005A2225">
              <w:rPr>
                <w:rFonts w:ascii="Arial Narrow" w:hAnsi="Arial Narrow"/>
              </w:rPr>
              <w:t xml:space="preserve">, la lutte contre </w:t>
            </w:r>
            <w:proofErr w:type="gramStart"/>
            <w:r w:rsidR="005A2225">
              <w:rPr>
                <w:rFonts w:ascii="Arial Narrow" w:hAnsi="Arial Narrow"/>
              </w:rPr>
              <w:t>les stigmatisation</w:t>
            </w:r>
            <w:proofErr w:type="gramEnd"/>
            <w:r w:rsidR="005A2225">
              <w:rPr>
                <w:rFonts w:ascii="Arial Narrow" w:hAnsi="Arial Narrow"/>
              </w:rPr>
              <w:t xml:space="preserve"> et marginalisation (handicapés, jeunes touchés par le VIH/Sida, jeunes anciens détenus etc.)</w:t>
            </w:r>
          </w:p>
          <w:p w:rsidR="00BA7444" w:rsidRPr="00C24B49" w:rsidRDefault="00BA7444" w:rsidP="008E4BF0">
            <w:pPr>
              <w:rPr>
                <w:rFonts w:ascii="Arial Narrow" w:hAnsi="Arial Narrow"/>
              </w:rPr>
            </w:pPr>
          </w:p>
        </w:tc>
      </w:tr>
      <w:tr w:rsidR="007F4851" w:rsidTr="007F4851">
        <w:tc>
          <w:tcPr>
            <w:tcW w:w="6062" w:type="dxa"/>
          </w:tcPr>
          <w:p w:rsidR="007F4851" w:rsidRDefault="00687411" w:rsidP="00A37D7C">
            <w:pPr>
              <w:rPr>
                <w:rFonts w:ascii="Arial Narrow" w:hAnsi="Arial Narrow"/>
              </w:rPr>
            </w:pPr>
            <w:r>
              <w:rPr>
                <w:rFonts w:ascii="Arial Narrow" w:hAnsi="Arial Narrow"/>
              </w:rPr>
              <w:t>5- Comment les organisations de jeunesse ou les structures dirigées par des jeunes sont-elles impliquées dans l’élaboration, la mise en œuvre le suivi et/ou l’évaluation des politiques et programmes sur les jeunes dans votre pays ?</w:t>
            </w:r>
          </w:p>
        </w:tc>
        <w:tc>
          <w:tcPr>
            <w:tcW w:w="9497" w:type="dxa"/>
          </w:tcPr>
          <w:p w:rsidR="008E4BF0" w:rsidRDefault="008E4BF0" w:rsidP="008E4BF0">
            <w:pPr>
              <w:rPr>
                <w:rFonts w:ascii="Arial Narrow" w:hAnsi="Arial Narrow"/>
              </w:rPr>
            </w:pPr>
            <w:r>
              <w:rPr>
                <w:rFonts w:ascii="Arial Narrow" w:hAnsi="Arial Narrow"/>
              </w:rPr>
              <w:t>La Mise en place d’un Conseil national de la jeunesse et de ses démembrements dans les différentes collectivités permet aux jeunes d’être impliqués dans les politiques conçus au plan central comme au niveau décentralisé.</w:t>
            </w:r>
          </w:p>
          <w:p w:rsidR="008E4BF0" w:rsidRDefault="008E4BF0" w:rsidP="008E4BF0">
            <w:pPr>
              <w:rPr>
                <w:rFonts w:ascii="Arial Narrow" w:hAnsi="Arial Narrow"/>
              </w:rPr>
            </w:pPr>
            <w:r>
              <w:rPr>
                <w:rFonts w:ascii="Arial Narrow" w:hAnsi="Arial Narrow"/>
              </w:rPr>
              <w:t>Les jeunes sont également engagés dans les activités de la plateforme des acteurs non étatiques chargé d’exercer le contrôle citoyen de l’action publique.</w:t>
            </w:r>
          </w:p>
          <w:p w:rsidR="007F4851" w:rsidRPr="0056576E" w:rsidRDefault="007F4851" w:rsidP="008E4BF0">
            <w:pPr>
              <w:rPr>
                <w:rFonts w:ascii="Arial Narrow" w:hAnsi="Arial Narrow"/>
              </w:rPr>
            </w:pPr>
          </w:p>
        </w:tc>
      </w:tr>
    </w:tbl>
    <w:p w:rsidR="00917327" w:rsidRDefault="00917327"/>
    <w:sectPr w:rsidR="00917327" w:rsidSect="008E4BF0">
      <w:pgSz w:w="16838" w:h="11906" w:orient="landscape"/>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F4739"/>
    <w:multiLevelType w:val="hybridMultilevel"/>
    <w:tmpl w:val="BFFA6A68"/>
    <w:lvl w:ilvl="0" w:tplc="3E8E2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51"/>
    <w:rsid w:val="005A2225"/>
    <w:rsid w:val="00687411"/>
    <w:rsid w:val="007F4851"/>
    <w:rsid w:val="008E4BF0"/>
    <w:rsid w:val="00917327"/>
    <w:rsid w:val="00BA74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F4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F48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F4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F4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925C99-F0A0-4BF0-9CB7-348261C6D4D7}"/>
</file>

<file path=customXml/itemProps2.xml><?xml version="1.0" encoding="utf-8"?>
<ds:datastoreItem xmlns:ds="http://schemas.openxmlformats.org/officeDocument/2006/customXml" ds:itemID="{FA44F8B7-7BA7-4069-A8E4-D233C5DEDD85}"/>
</file>

<file path=customXml/itemProps3.xml><?xml version="1.0" encoding="utf-8"?>
<ds:datastoreItem xmlns:ds="http://schemas.openxmlformats.org/officeDocument/2006/customXml" ds:itemID="{1D1C33C9-B52A-4080-802E-D625BA507979}"/>
</file>

<file path=docProps/app.xml><?xml version="1.0" encoding="utf-8"?>
<Properties xmlns="http://schemas.openxmlformats.org/officeDocument/2006/extended-properties" xmlns:vt="http://schemas.openxmlformats.org/officeDocument/2006/docPropsVTypes">
  <Template>Normal</Template>
  <TotalTime>55</TotalTime>
  <Pages>1</Pages>
  <Words>519</Words>
  <Characters>2856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Senegal</dc:title>
  <dc:creator>samsung</dc:creator>
  <cp:lastModifiedBy>samsung</cp:lastModifiedBy>
  <cp:revision>2</cp:revision>
  <dcterms:created xsi:type="dcterms:W3CDTF">2018-01-11T10:35:00Z</dcterms:created>
  <dcterms:modified xsi:type="dcterms:W3CDTF">2018-01-11T11:30:00Z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