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3500CA">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3500CA" w:rsidP="003500CA">
            <w:pPr>
              <w:jc w:val="right"/>
            </w:pPr>
            <w:r w:rsidRPr="003500CA">
              <w:rPr>
                <w:sz w:val="40"/>
              </w:rPr>
              <w:t>A</w:t>
            </w:r>
            <w:r>
              <w:t>/HRC/28/37</w:t>
            </w:r>
          </w:p>
        </w:tc>
      </w:tr>
      <w:tr w:rsidR="002D5AAC" w:rsidTr="003500CA">
        <w:trPr>
          <w:trHeight w:hRule="exact" w:val="2835"/>
        </w:trPr>
        <w:tc>
          <w:tcPr>
            <w:tcW w:w="1280" w:type="dxa"/>
            <w:tcBorders>
              <w:top w:val="single" w:sz="4" w:space="0" w:color="auto"/>
              <w:bottom w:val="single" w:sz="12" w:space="0" w:color="auto"/>
            </w:tcBorders>
          </w:tcPr>
          <w:p w:rsidR="002D5AAC" w:rsidRDefault="00845FE5"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3500CA" w:rsidP="00712895">
            <w:pPr>
              <w:spacing w:before="240"/>
            </w:pPr>
            <w:r>
              <w:t>Distr. general</w:t>
            </w:r>
          </w:p>
          <w:p w:rsidR="003500CA" w:rsidRDefault="003500CA" w:rsidP="003500CA">
            <w:pPr>
              <w:spacing w:line="240" w:lineRule="exact"/>
            </w:pPr>
            <w:r>
              <w:t>12 de diciembre de 2014</w:t>
            </w:r>
          </w:p>
          <w:p w:rsidR="003500CA" w:rsidRDefault="003500CA" w:rsidP="003500CA">
            <w:pPr>
              <w:spacing w:line="240" w:lineRule="exact"/>
            </w:pPr>
            <w:r>
              <w:t>Español</w:t>
            </w:r>
          </w:p>
          <w:p w:rsidR="003500CA" w:rsidRDefault="003500CA" w:rsidP="003500CA">
            <w:pPr>
              <w:spacing w:line="240" w:lineRule="exact"/>
            </w:pPr>
            <w:r>
              <w:t>Original: inglés</w:t>
            </w:r>
          </w:p>
        </w:tc>
      </w:tr>
    </w:tbl>
    <w:p w:rsidR="003500CA" w:rsidRPr="003500CA" w:rsidRDefault="003500CA" w:rsidP="003500CA">
      <w:pPr>
        <w:pStyle w:val="SingleTxtG"/>
        <w:spacing w:before="120" w:after="0"/>
        <w:ind w:left="0"/>
        <w:rPr>
          <w:b/>
          <w:sz w:val="24"/>
          <w:szCs w:val="24"/>
        </w:rPr>
      </w:pPr>
      <w:r w:rsidRPr="003500CA">
        <w:rPr>
          <w:b/>
          <w:sz w:val="24"/>
          <w:szCs w:val="24"/>
        </w:rPr>
        <w:t>Consejo de Derechos Humanos</w:t>
      </w:r>
    </w:p>
    <w:p w:rsidR="003500CA" w:rsidRPr="003500CA" w:rsidRDefault="003500CA" w:rsidP="003500CA">
      <w:pPr>
        <w:pStyle w:val="SingleTxtG"/>
        <w:spacing w:after="0"/>
        <w:ind w:left="0"/>
        <w:rPr>
          <w:b/>
        </w:rPr>
      </w:pPr>
      <w:r w:rsidRPr="003500CA">
        <w:rPr>
          <w:b/>
        </w:rPr>
        <w:t>28º período de sesiones</w:t>
      </w:r>
    </w:p>
    <w:p w:rsidR="003500CA" w:rsidRPr="003500CA" w:rsidRDefault="003500CA" w:rsidP="00510F67">
      <w:pPr>
        <w:pStyle w:val="SingleTxtG"/>
        <w:ind w:left="0"/>
        <w:jc w:val="left"/>
        <w:rPr>
          <w:b/>
        </w:rPr>
      </w:pPr>
      <w:r w:rsidRPr="003500CA">
        <w:t>Temas 2 y 3 de la agenda</w:t>
      </w:r>
      <w:r w:rsidR="00510F67">
        <w:br/>
      </w:r>
      <w:r w:rsidRPr="003500CA">
        <w:rPr>
          <w:b/>
        </w:rPr>
        <w:t>Informe anual del Alto Com</w:t>
      </w:r>
      <w:r>
        <w:rPr>
          <w:b/>
        </w:rPr>
        <w:t>isionado de las Naciones Unidas</w:t>
      </w:r>
      <w:r>
        <w:rPr>
          <w:b/>
        </w:rPr>
        <w:br/>
      </w:r>
      <w:r w:rsidRPr="003500CA">
        <w:rPr>
          <w:b/>
        </w:rPr>
        <w:t>para los Derechos Humanos e informes de la Oficina del Alto</w:t>
      </w:r>
      <w:r>
        <w:rPr>
          <w:b/>
        </w:rPr>
        <w:br/>
      </w:r>
      <w:r w:rsidRPr="003500CA">
        <w:rPr>
          <w:b/>
        </w:rPr>
        <w:t>Comisionado y del Secretario General</w:t>
      </w:r>
    </w:p>
    <w:p w:rsidR="003500CA" w:rsidRPr="003500CA" w:rsidRDefault="003500CA" w:rsidP="003500CA">
      <w:pPr>
        <w:pStyle w:val="SingleTxtG"/>
        <w:spacing w:after="0"/>
        <w:ind w:left="0"/>
        <w:jc w:val="left"/>
        <w:rPr>
          <w:b/>
        </w:rPr>
      </w:pPr>
      <w:r w:rsidRPr="003500CA">
        <w:rPr>
          <w:b/>
        </w:rPr>
        <w:t>Promoción y protección</w:t>
      </w:r>
      <w:r>
        <w:rPr>
          <w:b/>
        </w:rPr>
        <w:t xml:space="preserve"> de todos los derechos humanos,</w:t>
      </w:r>
      <w:r>
        <w:rPr>
          <w:b/>
        </w:rPr>
        <w:br/>
      </w:r>
      <w:r w:rsidRPr="003500CA">
        <w:rPr>
          <w:b/>
        </w:rPr>
        <w:t xml:space="preserve">civiles, políticos, económicos, </w:t>
      </w:r>
      <w:r>
        <w:rPr>
          <w:b/>
        </w:rPr>
        <w:t>sociales y culturales, incluido</w:t>
      </w:r>
      <w:r>
        <w:rPr>
          <w:b/>
        </w:rPr>
        <w:br/>
      </w:r>
      <w:r w:rsidRPr="003500CA">
        <w:rPr>
          <w:b/>
        </w:rPr>
        <w:t>el derecho al desarrollo</w:t>
      </w:r>
    </w:p>
    <w:p w:rsidR="003500CA" w:rsidRDefault="003500CA" w:rsidP="003500CA">
      <w:pPr>
        <w:pStyle w:val="HChG"/>
      </w:pPr>
      <w:r>
        <w:tab/>
      </w:r>
      <w:r>
        <w:tab/>
        <w:t>Estudio temático sobre</w:t>
      </w:r>
      <w:r w:rsidR="006B7203">
        <w:t xml:space="preserve"> el derecho de las personas con </w:t>
      </w:r>
      <w:r>
        <w:t xml:space="preserve">discapacidad a vivir de forma </w:t>
      </w:r>
      <w:r w:rsidR="006B7203">
        <w:t xml:space="preserve">independiente </w:t>
      </w:r>
      <w:r w:rsidR="006B7203">
        <w:br/>
        <w:t>y a ser incluidas </w:t>
      </w:r>
      <w:r>
        <w:t>en la comunidad</w:t>
      </w:r>
    </w:p>
    <w:p w:rsidR="003500CA" w:rsidRDefault="003500CA" w:rsidP="003500CA">
      <w:pPr>
        <w:pStyle w:val="HChG"/>
      </w:pPr>
      <w:r>
        <w:tab/>
      </w:r>
      <w:r>
        <w:tab/>
        <w:t>Informe de la Oficina del A</w:t>
      </w:r>
      <w:r w:rsidR="006B7203">
        <w:t>lto Comisionado de las Naciones </w:t>
      </w:r>
      <w:r>
        <w:t>Unidas para los Derechos Humanos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3500CA" w:rsidTr="003500CA">
        <w:trPr>
          <w:jc w:val="center"/>
        </w:trPr>
        <w:tc>
          <w:tcPr>
            <w:tcW w:w="9637" w:type="dxa"/>
            <w:tcBorders>
              <w:bottom w:val="nil"/>
            </w:tcBorders>
          </w:tcPr>
          <w:p w:rsidR="003500CA" w:rsidRPr="003500CA" w:rsidRDefault="003500CA" w:rsidP="003500CA">
            <w:pPr>
              <w:tabs>
                <w:tab w:val="left" w:pos="255"/>
              </w:tabs>
              <w:spacing w:before="240" w:after="120"/>
              <w:rPr>
                <w:sz w:val="24"/>
              </w:rPr>
            </w:pPr>
            <w:r>
              <w:tab/>
            </w:r>
            <w:r>
              <w:rPr>
                <w:i/>
                <w:sz w:val="24"/>
              </w:rPr>
              <w:t>Resumen</w:t>
            </w:r>
          </w:p>
        </w:tc>
      </w:tr>
      <w:tr w:rsidR="003500CA" w:rsidTr="003500CA">
        <w:trPr>
          <w:jc w:val="center"/>
        </w:trPr>
        <w:tc>
          <w:tcPr>
            <w:tcW w:w="9637" w:type="dxa"/>
            <w:tcBorders>
              <w:top w:val="nil"/>
              <w:bottom w:val="nil"/>
            </w:tcBorders>
            <w:shd w:val="clear" w:color="auto" w:fill="auto"/>
          </w:tcPr>
          <w:p w:rsidR="003500CA" w:rsidRDefault="003500CA" w:rsidP="00F135A2">
            <w:pPr>
              <w:pStyle w:val="SingleTxtG"/>
            </w:pPr>
            <w:r>
              <w:tab/>
            </w:r>
            <w:r w:rsidR="00510F67">
              <w:t xml:space="preserve">El presente estudio, preparado en cumplimiento de la resolución 25/20 del Consejo de </w:t>
            </w:r>
            <w:r>
              <w:t xml:space="preserve">Derechos Humanos, se centra en el derecho a vivir de forma independiente y a ser incluido en la comunidad, y en el disfrute, la protección y la promoción de ese derecho como medio substantivo para hacer efectivo el ejercicio de otros derechos, condición para evitar el internamiento institucional y la segregación en contextos sanitarios y sociales, y requisito para el pleno desarrollo de las capacidades de las personas con discapacidad y su efectiva participación </w:t>
            </w:r>
            <w:r w:rsidR="00F135A2">
              <w:t xml:space="preserve">en </w:t>
            </w:r>
            <w:r>
              <w:t>la sociedad</w:t>
            </w:r>
            <w:r w:rsidR="00F135A2">
              <w:t xml:space="preserve"> y contribución a ella</w:t>
            </w:r>
            <w:r>
              <w:t>.</w:t>
            </w:r>
          </w:p>
        </w:tc>
      </w:tr>
      <w:tr w:rsidR="003500CA" w:rsidTr="003500CA">
        <w:trPr>
          <w:jc w:val="center"/>
        </w:trPr>
        <w:tc>
          <w:tcPr>
            <w:tcW w:w="9637" w:type="dxa"/>
            <w:tcBorders>
              <w:top w:val="nil"/>
            </w:tcBorders>
          </w:tcPr>
          <w:p w:rsidR="003500CA" w:rsidRDefault="003500CA" w:rsidP="003500CA"/>
        </w:tc>
      </w:tr>
    </w:tbl>
    <w:p w:rsidR="003500CA" w:rsidRDefault="003500CA" w:rsidP="003500CA"/>
    <w:p w:rsidR="003500CA" w:rsidRDefault="003500CA" w:rsidP="003500CA"/>
    <w:p w:rsidR="003500CA" w:rsidRDefault="003500CA" w:rsidP="003500CA"/>
    <w:p w:rsidR="003500CA" w:rsidRDefault="003500CA" w:rsidP="003500CA">
      <w:pPr>
        <w:spacing w:after="120"/>
        <w:rPr>
          <w:sz w:val="28"/>
        </w:rPr>
      </w:pPr>
      <w:r>
        <w:br w:type="page"/>
      </w:r>
      <w:r>
        <w:rPr>
          <w:sz w:val="28"/>
        </w:rPr>
        <w:lastRenderedPageBreak/>
        <w:t>Índice</w:t>
      </w:r>
    </w:p>
    <w:p w:rsidR="003500CA" w:rsidRDefault="003500CA" w:rsidP="003500CA">
      <w:pPr>
        <w:tabs>
          <w:tab w:val="right" w:pos="8929"/>
          <w:tab w:val="right" w:pos="9638"/>
        </w:tabs>
        <w:spacing w:after="120"/>
        <w:ind w:left="283"/>
        <w:rPr>
          <w:sz w:val="18"/>
        </w:rPr>
      </w:pPr>
      <w:r>
        <w:rPr>
          <w:i/>
          <w:sz w:val="18"/>
        </w:rPr>
        <w:tab/>
        <w:t>Párrafos</w:t>
      </w:r>
      <w:r>
        <w:rPr>
          <w:i/>
          <w:sz w:val="18"/>
        </w:rPr>
        <w:tab/>
        <w:t>Página</w:t>
      </w:r>
    </w:p>
    <w:p w:rsidR="003500CA" w:rsidRDefault="00075361" w:rsidP="003500CA">
      <w:pPr>
        <w:tabs>
          <w:tab w:val="right" w:pos="850"/>
          <w:tab w:val="left" w:pos="1134"/>
          <w:tab w:val="left" w:pos="1559"/>
          <w:tab w:val="left" w:pos="1984"/>
          <w:tab w:val="left" w:leader="dot" w:pos="7654"/>
          <w:tab w:val="right" w:pos="8929"/>
          <w:tab w:val="right" w:pos="9638"/>
        </w:tabs>
        <w:spacing w:after="120"/>
      </w:pPr>
      <w:r>
        <w:tab/>
        <w:t>I.</w:t>
      </w:r>
      <w:r>
        <w:tab/>
        <w:t>Introducción</w:t>
      </w:r>
      <w:r>
        <w:tab/>
      </w:r>
      <w:r>
        <w:tab/>
        <w:t>1–2</w:t>
      </w:r>
      <w:r>
        <w:tab/>
        <w:t>3</w:t>
      </w:r>
    </w:p>
    <w:p w:rsidR="00075361" w:rsidRDefault="00075361" w:rsidP="003500CA">
      <w:pPr>
        <w:tabs>
          <w:tab w:val="right" w:pos="850"/>
          <w:tab w:val="left" w:pos="1134"/>
          <w:tab w:val="left" w:pos="1559"/>
          <w:tab w:val="left" w:pos="1984"/>
          <w:tab w:val="left" w:leader="dot" w:pos="7654"/>
          <w:tab w:val="right" w:pos="8929"/>
          <w:tab w:val="right" w:pos="9638"/>
        </w:tabs>
        <w:spacing w:after="120"/>
      </w:pPr>
      <w:r>
        <w:tab/>
        <w:t>II.</w:t>
      </w:r>
      <w:r>
        <w:tab/>
        <w:t>El derecho a vivir de forma independiente y a ser incluido en la comunidad</w:t>
      </w:r>
      <w:r>
        <w:tab/>
      </w:r>
      <w:r>
        <w:tab/>
        <w:t>3–11</w:t>
      </w:r>
      <w:r>
        <w:tab/>
        <w:t>3</w:t>
      </w:r>
    </w:p>
    <w:p w:rsidR="00075361" w:rsidRDefault="00075361" w:rsidP="003500CA">
      <w:pPr>
        <w:tabs>
          <w:tab w:val="right" w:pos="850"/>
          <w:tab w:val="left" w:pos="1134"/>
          <w:tab w:val="left" w:pos="1559"/>
          <w:tab w:val="left" w:pos="1984"/>
          <w:tab w:val="left" w:leader="dot" w:pos="7654"/>
          <w:tab w:val="right" w:pos="8929"/>
          <w:tab w:val="right" w:pos="9638"/>
        </w:tabs>
        <w:spacing w:after="120"/>
      </w:pPr>
      <w:r>
        <w:tab/>
        <w:t>III.</w:t>
      </w:r>
      <w:r>
        <w:tab/>
        <w:t>Elementos del artículo 19: posibilidad de elegir, apoyo y disponibilidad de</w:t>
      </w:r>
      <w:r>
        <w:br/>
      </w:r>
      <w:r>
        <w:tab/>
      </w:r>
      <w:r>
        <w:tab/>
        <w:t>instalaciones y servicios comunitarios</w:t>
      </w:r>
      <w:r>
        <w:tab/>
      </w:r>
      <w:r>
        <w:tab/>
        <w:t>12–49</w:t>
      </w:r>
      <w:r>
        <w:tab/>
        <w:t>5</w:t>
      </w:r>
    </w:p>
    <w:p w:rsidR="00075361" w:rsidRDefault="00075361" w:rsidP="003500CA">
      <w:pPr>
        <w:tabs>
          <w:tab w:val="right" w:pos="850"/>
          <w:tab w:val="left" w:pos="1134"/>
          <w:tab w:val="left" w:pos="1559"/>
          <w:tab w:val="left" w:pos="1984"/>
          <w:tab w:val="left" w:leader="dot" w:pos="7654"/>
          <w:tab w:val="right" w:pos="8929"/>
          <w:tab w:val="right" w:pos="9638"/>
        </w:tabs>
        <w:spacing w:after="120"/>
      </w:pPr>
      <w:r>
        <w:tab/>
      </w:r>
      <w:r>
        <w:tab/>
        <w:t>A.</w:t>
      </w:r>
      <w:r>
        <w:tab/>
        <w:t>Posibilidad de elegir</w:t>
      </w:r>
      <w:r>
        <w:tab/>
      </w:r>
      <w:r>
        <w:tab/>
        <w:t>15–27</w:t>
      </w:r>
      <w:r>
        <w:tab/>
      </w:r>
      <w:r w:rsidR="00DD5E30">
        <w:t>6</w:t>
      </w:r>
    </w:p>
    <w:p w:rsidR="00075361" w:rsidRDefault="00075361" w:rsidP="003500CA">
      <w:pPr>
        <w:tabs>
          <w:tab w:val="right" w:pos="850"/>
          <w:tab w:val="left" w:pos="1134"/>
          <w:tab w:val="left" w:pos="1559"/>
          <w:tab w:val="left" w:pos="1984"/>
          <w:tab w:val="left" w:leader="dot" w:pos="7654"/>
          <w:tab w:val="right" w:pos="8929"/>
          <w:tab w:val="right" w:pos="9638"/>
        </w:tabs>
        <w:spacing w:after="120"/>
      </w:pPr>
      <w:r>
        <w:tab/>
      </w:r>
      <w:r>
        <w:tab/>
        <w:t>B.</w:t>
      </w:r>
      <w:r>
        <w:tab/>
        <w:t>Apoyo</w:t>
      </w:r>
      <w:r>
        <w:tab/>
      </w:r>
      <w:r>
        <w:tab/>
        <w:t>28–42</w:t>
      </w:r>
      <w:r>
        <w:tab/>
        <w:t>10</w:t>
      </w:r>
    </w:p>
    <w:p w:rsidR="00075361" w:rsidRDefault="00075361" w:rsidP="003500CA">
      <w:pPr>
        <w:tabs>
          <w:tab w:val="right" w:pos="850"/>
          <w:tab w:val="left" w:pos="1134"/>
          <w:tab w:val="left" w:pos="1559"/>
          <w:tab w:val="left" w:pos="1984"/>
          <w:tab w:val="left" w:leader="dot" w:pos="7654"/>
          <w:tab w:val="right" w:pos="8929"/>
          <w:tab w:val="right" w:pos="9638"/>
        </w:tabs>
        <w:spacing w:after="120"/>
        <w:rPr>
          <w:lang w:val="es-ES_tradnl"/>
        </w:rPr>
      </w:pPr>
      <w:r>
        <w:tab/>
      </w:r>
      <w:r>
        <w:tab/>
        <w:t>C.</w:t>
      </w:r>
      <w:r>
        <w:tab/>
      </w:r>
      <w:r w:rsidRPr="003D6281">
        <w:rPr>
          <w:lang w:val="es-ES_tradnl"/>
        </w:rPr>
        <w:t>Disponibilidad de instalaciones y servicios comunitarios</w:t>
      </w:r>
      <w:r>
        <w:rPr>
          <w:lang w:val="es-ES_tradnl"/>
        </w:rPr>
        <w:tab/>
      </w:r>
      <w:r>
        <w:rPr>
          <w:lang w:val="es-ES_tradnl"/>
        </w:rPr>
        <w:tab/>
        <w:t>43–49</w:t>
      </w:r>
      <w:r>
        <w:rPr>
          <w:lang w:val="es-ES_tradnl"/>
        </w:rPr>
        <w:tab/>
        <w:t>14</w:t>
      </w:r>
    </w:p>
    <w:p w:rsidR="00075361" w:rsidRDefault="00075361" w:rsidP="003500CA">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t>IV.</w:t>
      </w:r>
      <w:r>
        <w:rPr>
          <w:lang w:val="es-ES_tradnl"/>
        </w:rPr>
        <w:tab/>
      </w:r>
      <w:r w:rsidRPr="007479FA">
        <w:rPr>
          <w:lang w:val="es-ES_tradnl"/>
        </w:rPr>
        <w:t>Aplicación a nivel nacional</w:t>
      </w:r>
      <w:r>
        <w:rPr>
          <w:lang w:val="es-ES_tradnl"/>
        </w:rPr>
        <w:tab/>
      </w:r>
      <w:r>
        <w:rPr>
          <w:lang w:val="es-ES_tradnl"/>
        </w:rPr>
        <w:tab/>
      </w:r>
      <w:r w:rsidR="00504213">
        <w:rPr>
          <w:lang w:val="es-ES_tradnl"/>
        </w:rPr>
        <w:t>50–56</w:t>
      </w:r>
      <w:r w:rsidR="00504213">
        <w:rPr>
          <w:lang w:val="es-ES_tradnl"/>
        </w:rPr>
        <w:tab/>
      </w:r>
      <w:r>
        <w:rPr>
          <w:lang w:val="es-ES_tradnl"/>
        </w:rPr>
        <w:t>16</w:t>
      </w:r>
    </w:p>
    <w:p w:rsidR="00504213" w:rsidRDefault="00504213" w:rsidP="003500CA">
      <w:pPr>
        <w:tabs>
          <w:tab w:val="right" w:pos="850"/>
          <w:tab w:val="left" w:pos="1134"/>
          <w:tab w:val="left" w:pos="1559"/>
          <w:tab w:val="left" w:pos="1984"/>
          <w:tab w:val="left" w:leader="dot" w:pos="7654"/>
          <w:tab w:val="right" w:pos="8929"/>
          <w:tab w:val="right" w:pos="9638"/>
        </w:tabs>
        <w:spacing w:after="120"/>
        <w:rPr>
          <w:lang w:val="es-ES_tradnl"/>
        </w:rPr>
      </w:pPr>
      <w:r>
        <w:rPr>
          <w:lang w:val="es-ES_tradnl"/>
        </w:rPr>
        <w:tab/>
        <w:t>V.</w:t>
      </w:r>
      <w:r>
        <w:rPr>
          <w:lang w:val="es-ES_tradnl"/>
        </w:rPr>
        <w:tab/>
      </w:r>
      <w:r w:rsidRPr="00946BC1">
        <w:rPr>
          <w:lang w:val="es-ES_tradnl"/>
        </w:rPr>
        <w:t>Cooperación internacional</w:t>
      </w:r>
      <w:r>
        <w:rPr>
          <w:lang w:val="es-ES_tradnl"/>
        </w:rPr>
        <w:tab/>
      </w:r>
      <w:r>
        <w:rPr>
          <w:lang w:val="es-ES_tradnl"/>
        </w:rPr>
        <w:tab/>
        <w:t>57</w:t>
      </w:r>
      <w:r>
        <w:rPr>
          <w:lang w:val="es-ES_tradnl"/>
        </w:rPr>
        <w:tab/>
        <w:t>18</w:t>
      </w:r>
    </w:p>
    <w:p w:rsidR="00504213" w:rsidRPr="003500CA" w:rsidRDefault="00504213" w:rsidP="003500CA">
      <w:pPr>
        <w:tabs>
          <w:tab w:val="right" w:pos="850"/>
          <w:tab w:val="left" w:pos="1134"/>
          <w:tab w:val="left" w:pos="1559"/>
          <w:tab w:val="left" w:pos="1984"/>
          <w:tab w:val="left" w:leader="dot" w:pos="7654"/>
          <w:tab w:val="right" w:pos="8929"/>
          <w:tab w:val="right" w:pos="9638"/>
        </w:tabs>
        <w:spacing w:after="120"/>
      </w:pPr>
      <w:r>
        <w:rPr>
          <w:lang w:val="es-ES_tradnl"/>
        </w:rPr>
        <w:tab/>
        <w:t>VI.</w:t>
      </w:r>
      <w:r>
        <w:rPr>
          <w:lang w:val="es-ES_tradnl"/>
        </w:rPr>
        <w:tab/>
      </w:r>
      <w:r w:rsidRPr="00443F23">
        <w:rPr>
          <w:lang w:val="es-ES_tradnl"/>
        </w:rPr>
        <w:t>Conclusiones</w:t>
      </w:r>
      <w:r>
        <w:rPr>
          <w:lang w:val="es-ES_tradnl"/>
        </w:rPr>
        <w:tab/>
      </w:r>
      <w:r>
        <w:rPr>
          <w:lang w:val="es-ES_tradnl"/>
        </w:rPr>
        <w:tab/>
        <w:t>58–66</w:t>
      </w:r>
      <w:r>
        <w:rPr>
          <w:lang w:val="es-ES_tradnl"/>
        </w:rPr>
        <w:tab/>
        <w:t>18</w:t>
      </w:r>
    </w:p>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 w:rsidR="003500CA" w:rsidRDefault="003500CA" w:rsidP="003500CA">
      <w:pPr>
        <w:pStyle w:val="HChG"/>
      </w:pPr>
      <w:r>
        <w:br w:type="page"/>
      </w:r>
      <w:r>
        <w:lastRenderedPageBreak/>
        <w:tab/>
        <w:t>I.</w:t>
      </w:r>
      <w:r>
        <w:tab/>
        <w:t>Introducción</w:t>
      </w:r>
    </w:p>
    <w:p w:rsidR="003500CA" w:rsidRDefault="003500CA" w:rsidP="003500CA">
      <w:pPr>
        <w:pStyle w:val="SingleTxtG"/>
      </w:pPr>
      <w:r>
        <w:t>1.</w:t>
      </w:r>
      <w:r>
        <w:tab/>
        <w:t>En su resolución 25/20, el Consejo de Derechos Humanos solicitó a la Oficina del Alto Comisionado de las Naciones Unidas para los Derechos Humanos (ACNUDH) que</w:t>
      </w:r>
      <w:r w:rsidR="00F135A2">
        <w:t>,</w:t>
      </w:r>
      <w:r>
        <w:t xml:space="preserve"> </w:t>
      </w:r>
      <w:r w:rsidR="00F135A2">
        <w:t xml:space="preserve">en consulta con los Estados y otros interesados pertinentes, las organizaciones regionales, el Relator Especial de la Comisión de Desarrollo Social encargado de la situación de la discapacidad, las organizaciones de la sociedad civil, incluidas las organizaciones de personas con discapacidad, y las instituciones nacionales de derechos humanos, </w:t>
      </w:r>
      <w:r>
        <w:t>preparara un estudio sobre el derecho de las personas con discapacidad a vivir de forma independiente y a</w:t>
      </w:r>
      <w:r w:rsidR="00F135A2">
        <w:t xml:space="preserve"> ser incluidas en la comunidad. </w:t>
      </w:r>
      <w:r>
        <w:t>El Consejo solicitó que el estudio se publicase en un formato accesible en el sitio web del ACNUDH antes del 28º período de sesiones del Consejo.</w:t>
      </w:r>
    </w:p>
    <w:p w:rsidR="003500CA" w:rsidRDefault="003500CA" w:rsidP="003500CA">
      <w:pPr>
        <w:pStyle w:val="SingleTxtG"/>
      </w:pPr>
      <w:r>
        <w:t>2.</w:t>
      </w:r>
      <w:r>
        <w:tab/>
        <w:t xml:space="preserve">El ACNUDH </w:t>
      </w:r>
      <w:r w:rsidR="00F135A2">
        <w:t>pidi</w:t>
      </w:r>
      <w:r w:rsidR="00CB7D56">
        <w:t>ó a los Estados M</w:t>
      </w:r>
      <w:r>
        <w:t xml:space="preserve">iembros, las organizaciones regionales, las organizaciones de la sociedad civil y las organizaciones de personas con discapacidad, el Relator Especial de la Comisión de Desarrollo Social encargado de la situación de la discapacidad y las instituciones nacionales de derechos humanos </w:t>
      </w:r>
      <w:r w:rsidR="00CB7D56">
        <w:t xml:space="preserve">a </w:t>
      </w:r>
      <w:r w:rsidR="00F135A2">
        <w:t>que hicieran</w:t>
      </w:r>
      <w:r>
        <w:t xml:space="preserve"> aportaciones, solicitando </w:t>
      </w:r>
      <w:r w:rsidR="00F135A2">
        <w:t>las que respondieran</w:t>
      </w:r>
      <w:r>
        <w:t xml:space="preserve"> a una serie de preguntas sobre la legislación y las políticas vigentes destinadas a posibilitar que las personas con discapacidad vivan de forma independiente y sean incluidas en la comunidad. El ACNUDH recibió 27 respuestas de Estados, 12 de instituciones nacionales de derechos humanos y 16 de organizaciones de la sociedad civil y otros interesados. El texto íntegro de todas las aportaciones recibidas </w:t>
      </w:r>
      <w:r w:rsidR="00F135A2">
        <w:t>pueden consultar</w:t>
      </w:r>
      <w:r w:rsidR="00CB7D56">
        <w:t>se</w:t>
      </w:r>
      <w:r w:rsidR="00F135A2">
        <w:t xml:space="preserve"> </w:t>
      </w:r>
      <w:r>
        <w:t>en el sitio web del ACNUDH</w:t>
      </w:r>
      <w:r w:rsidR="00A42409">
        <w:rPr>
          <w:rStyle w:val="Refdenotaalpie"/>
        </w:rPr>
        <w:footnoteReference w:id="1"/>
      </w:r>
      <w:r>
        <w:t>.</w:t>
      </w:r>
    </w:p>
    <w:p w:rsidR="003500CA" w:rsidRDefault="003500CA" w:rsidP="003500CA">
      <w:pPr>
        <w:pStyle w:val="HChG"/>
      </w:pPr>
      <w:r>
        <w:tab/>
        <w:t>II.</w:t>
      </w:r>
      <w:r>
        <w:tab/>
        <w:t>El derecho a vivir de forma</w:t>
      </w:r>
      <w:r w:rsidR="006B7203">
        <w:t xml:space="preserve"> independiente y a ser incluido </w:t>
      </w:r>
      <w:r>
        <w:t>en la comunidad</w:t>
      </w:r>
    </w:p>
    <w:p w:rsidR="003500CA" w:rsidRDefault="003500CA" w:rsidP="003500CA">
      <w:pPr>
        <w:pStyle w:val="SingleTxtG"/>
      </w:pPr>
      <w:r>
        <w:t>3.</w:t>
      </w:r>
      <w:r>
        <w:tab/>
        <w:t xml:space="preserve">Se suele dar por supuesto que las personas con discapacidad no pueden vivir de forma independiente. Esta presunción se basa en ideas </w:t>
      </w:r>
      <w:r w:rsidR="00F135A2">
        <w:t>fals</w:t>
      </w:r>
      <w:r>
        <w:t xml:space="preserve">as, como que las personas con discapacidad no pueden adoptar decisiones acertadas por sí mismas y que, por consiguiente, necesitan que la sociedad las proteja. Este </w:t>
      </w:r>
      <w:r w:rsidR="00F135A2">
        <w:t>planteamiento</w:t>
      </w:r>
      <w:r>
        <w:t xml:space="preserve">, </w:t>
      </w:r>
      <w:r w:rsidR="00F135A2">
        <w:t>seguido</w:t>
      </w:r>
      <w:r>
        <w:t xml:space="preserve"> en </w:t>
      </w:r>
      <w:r w:rsidR="00F135A2">
        <w:t>numeros</w:t>
      </w:r>
      <w:r>
        <w:t xml:space="preserve">os países desde hace mucho tiempo, ha privado a las personas con discapacidad de la posibilidad de elegir dónde y con quién vivir y </w:t>
      </w:r>
      <w:r w:rsidR="00F135A2">
        <w:t xml:space="preserve">de </w:t>
      </w:r>
      <w:r>
        <w:t>decidir su propio futuro.</w:t>
      </w:r>
    </w:p>
    <w:p w:rsidR="003500CA" w:rsidRDefault="003500CA" w:rsidP="003500CA">
      <w:pPr>
        <w:pStyle w:val="SingleTxtG"/>
      </w:pPr>
      <w:r>
        <w:t>4.</w:t>
      </w:r>
      <w:r>
        <w:tab/>
        <w:t xml:space="preserve">En el artículo 19 de la Convención sobre los Derechos de las Personas con Discapacidad, los Estados partes en la Convención reconocieron el derecho </w:t>
      </w:r>
      <w:r w:rsidR="00F135A2">
        <w:t xml:space="preserve">en igualdad </w:t>
      </w:r>
      <w:r>
        <w:t xml:space="preserve">de </w:t>
      </w:r>
      <w:r w:rsidR="00F135A2">
        <w:t xml:space="preserve">condiciones de </w:t>
      </w:r>
      <w:r>
        <w:t xml:space="preserve">todas las personas con discapacidad a vivir de forma independiente y a ser incluidas en la comunidad, con opciones iguales a las de las demás. Este derecho se basa en el principio fundamental de derechos humanos de que todos los seres humanos nacen iguales en dignidad y en derechos y que todas las vidas tienen el mismo valor. </w:t>
      </w:r>
      <w:r w:rsidR="00F135A2">
        <w:t>Apoyándose en esos argumentos</w:t>
      </w:r>
      <w:r>
        <w:t xml:space="preserve">, las personas con discapacidad </w:t>
      </w:r>
      <w:r w:rsidR="00F135A2">
        <w:t xml:space="preserve">han </w:t>
      </w:r>
      <w:r>
        <w:t>reivindica</w:t>
      </w:r>
      <w:r w:rsidR="00F135A2">
        <w:t>do</w:t>
      </w:r>
      <w:r>
        <w:t xml:space="preserve"> el derecho </w:t>
      </w:r>
      <w:r w:rsidR="00F135A2">
        <w:t>a</w:t>
      </w:r>
      <w:r>
        <w:t xml:space="preserve"> participar en todas las esferas de la vida </w:t>
      </w:r>
      <w:r w:rsidR="00F135A2">
        <w:t>comunitaria general</w:t>
      </w:r>
      <w:r>
        <w:t xml:space="preserve">, sosteniendo que se debe reconocer y </w:t>
      </w:r>
      <w:r w:rsidR="00F135A2">
        <w:t>posibilitar</w:t>
      </w:r>
      <w:r>
        <w:t xml:space="preserve"> la capacidad de toda</w:t>
      </w:r>
      <w:r w:rsidR="00F135A2">
        <w:t>s</w:t>
      </w:r>
      <w:r>
        <w:t xml:space="preserve"> </w:t>
      </w:r>
      <w:r w:rsidR="00F135A2">
        <w:t xml:space="preserve">las </w:t>
      </w:r>
      <w:r>
        <w:t>persona</w:t>
      </w:r>
      <w:r w:rsidR="00F135A2">
        <w:t>s</w:t>
      </w:r>
      <w:r>
        <w:t xml:space="preserve"> </w:t>
      </w:r>
      <w:r w:rsidR="00F135A2">
        <w:t>para</w:t>
      </w:r>
      <w:r>
        <w:t xml:space="preserve"> hacer elecciones </w:t>
      </w:r>
      <w:r w:rsidR="00F135A2">
        <w:t>al respecto</w:t>
      </w:r>
      <w:r>
        <w:t xml:space="preserve">. </w:t>
      </w:r>
      <w:r w:rsidR="001D19F8">
        <w:t xml:space="preserve">Las personas con discapacidad, que son las que mejor conocen sus propias necesidades han </w:t>
      </w:r>
      <w:r>
        <w:t>procura</w:t>
      </w:r>
      <w:r w:rsidR="001D19F8">
        <w:t>do</w:t>
      </w:r>
      <w:r>
        <w:t xml:space="preserve"> controlar sus opciones</w:t>
      </w:r>
      <w:r w:rsidR="001D19F8">
        <w:t xml:space="preserve"> y han </w:t>
      </w:r>
      <w:r>
        <w:t>p</w:t>
      </w:r>
      <w:r w:rsidR="001D19F8">
        <w:t>e</w:t>
      </w:r>
      <w:r>
        <w:t xml:space="preserve">dido que se les dé acceso a los servicios comunitarios en igualdad de condiciones con las demás personas. Este </w:t>
      </w:r>
      <w:r w:rsidR="001D19F8">
        <w:t>enfoque</w:t>
      </w:r>
      <w:r>
        <w:t xml:space="preserve"> se ha </w:t>
      </w:r>
      <w:r w:rsidR="001D19F8">
        <w:t xml:space="preserve">ido </w:t>
      </w:r>
      <w:r>
        <w:t>introduci</w:t>
      </w:r>
      <w:r w:rsidR="001D19F8">
        <w:t>endo gradualmente en la</w:t>
      </w:r>
      <w:r>
        <w:t xml:space="preserve"> </w:t>
      </w:r>
      <w:r w:rsidR="001D19F8">
        <w:t>legislación</w:t>
      </w:r>
      <w:r>
        <w:t xml:space="preserve"> y las políticas de algunos países.</w:t>
      </w:r>
    </w:p>
    <w:p w:rsidR="003500CA" w:rsidRDefault="003500CA" w:rsidP="003500CA">
      <w:pPr>
        <w:pStyle w:val="SingleTxtG"/>
      </w:pPr>
      <w:r>
        <w:t>5.</w:t>
      </w:r>
      <w:r w:rsidR="001D19F8">
        <w:tab/>
      </w:r>
      <w:r>
        <w:t xml:space="preserve">Ese cambio de </w:t>
      </w:r>
      <w:r w:rsidR="001D19F8">
        <w:t>enfoque</w:t>
      </w:r>
      <w:r>
        <w:t xml:space="preserve"> es a la vez causa y consecuencia de la transición de un enfoque de la discapacidad basado en criterios de tipo médico y caritativo, en el que se ve a </w:t>
      </w:r>
      <w:r>
        <w:lastRenderedPageBreak/>
        <w:t xml:space="preserve">las personas con discapacidad como objetos pasivos de </w:t>
      </w:r>
      <w:r w:rsidR="001D19F8">
        <w:t>atención</w:t>
      </w:r>
      <w:r>
        <w:t xml:space="preserve">, hacia un enfoque basado en los derechos humanos. Según este último, la sociedad es </w:t>
      </w:r>
      <w:r w:rsidR="001D19F8">
        <w:t>la que</w:t>
      </w:r>
      <w:r>
        <w:t xml:space="preserve"> debe tener en cuenta la diversidad humana y </w:t>
      </w:r>
      <w:r w:rsidR="001D19F8">
        <w:t>posibilitar</w:t>
      </w:r>
      <w:r>
        <w:t xml:space="preserve"> </w:t>
      </w:r>
      <w:r w:rsidR="001D19F8">
        <w:t>que</w:t>
      </w:r>
      <w:r>
        <w:t xml:space="preserve"> las personas con discapacidad, entre otras, </w:t>
      </w:r>
      <w:r w:rsidR="001D19F8">
        <w:t>sean parte activa de ella</w:t>
      </w:r>
      <w:r>
        <w:t>. Un hito importante en ese proceso fue la aprobación, en 2006, de la Convención sobre los Derechos de las Personas con Discapacidad, que establec</w:t>
      </w:r>
      <w:r w:rsidR="001D19F8">
        <w:t>ía</w:t>
      </w:r>
      <w:r>
        <w:t xml:space="preserve"> la obligación de los Estados partes de adoptar medidas efectivas y pertinentes para la plena inclusión y participación de las personas con discapacidad en la comunidad.</w:t>
      </w:r>
    </w:p>
    <w:p w:rsidR="003500CA" w:rsidRDefault="001D19F8" w:rsidP="003500CA">
      <w:pPr>
        <w:pStyle w:val="SingleTxtG"/>
      </w:pPr>
      <w:r>
        <w:t>6.</w:t>
      </w:r>
      <w:r>
        <w:tab/>
      </w:r>
      <w:r w:rsidR="003500CA">
        <w:t xml:space="preserve">El artículo 19 refleja la esencia de la Convención, que </w:t>
      </w:r>
      <w:r>
        <w:t xml:space="preserve">contempla a </w:t>
      </w:r>
      <w:r w:rsidR="003500CA">
        <w:t xml:space="preserve">las personas con discapacidad </w:t>
      </w:r>
      <w:r>
        <w:t>sujetos</w:t>
      </w:r>
      <w:r w:rsidR="003500CA">
        <w:t xml:space="preserve"> de derechos. El artículo tiene por objeto prevenir el abandono, el internamiento en instituciones y la segregación en el contexto doméstico mediante la promoción de entornos propicios e inclusivos para todos y la supresión de las disp</w:t>
      </w:r>
      <w:r w:rsidR="00C757E6">
        <w:t>osiciones legislativas que prive</w:t>
      </w:r>
      <w:r w:rsidR="003500CA">
        <w:t>n a las personas con discapacidad de su facultad de elegir forzándolas a vivir en instituciones u otros entornos segregados. El cumplimiento de las obligaciones establecidas en el artículo 19 también crea las condiciones para el pleno desarrollo de la personalidad y las capacidades de las personas con discapacidad.</w:t>
      </w:r>
    </w:p>
    <w:p w:rsidR="003500CA" w:rsidRDefault="003500CA" w:rsidP="003500CA">
      <w:pPr>
        <w:pStyle w:val="SingleTxtG"/>
      </w:pPr>
      <w:r>
        <w:t>7.</w:t>
      </w:r>
      <w:r>
        <w:tab/>
        <w:t xml:space="preserve">El fundamento de una vida independiente e inclusiva en la comunidad para las personas con discapacidad </w:t>
      </w:r>
      <w:r w:rsidR="00865263">
        <w:t>se encuentra</w:t>
      </w:r>
      <w:r>
        <w:t xml:space="preserve"> en los principios g</w:t>
      </w:r>
      <w:r w:rsidR="00A42409">
        <w:t>enerales de la Convención (art. </w:t>
      </w:r>
      <w:r>
        <w:t xml:space="preserve">3), en particular los principios relativos a su participación e inclusión plenas y efectivas en la sociedad y el respeto de la dignidad inherente, la autonomía y la independencia de las personas. El pleno ejercicio del derecho a vivir de forma independiente en la comunidad es a la vez resultado y condición de la lucha contra los estereotipos y prejuicios relativos a las personas con discapacidad y </w:t>
      </w:r>
      <w:r w:rsidR="00865263">
        <w:t xml:space="preserve">la promoción de </w:t>
      </w:r>
      <w:r>
        <w:t xml:space="preserve">la toma de conciencia respecto de sus capacidades y aportaciones a la sociedad (art. 8). La no discriminación (art. 5) y la accesibilidad (art. 9) son esenciales para que las instalaciones y los servicios comunitarios para la población en general estén a disposición, en igualdad de condiciones, de las personas con discapacidad y tengan en cuenta sus necesidades. Es </w:t>
      </w:r>
      <w:r w:rsidR="00CB7D56">
        <w:t>preciso</w:t>
      </w:r>
      <w:r>
        <w:t xml:space="preserve"> adoptar medidas </w:t>
      </w:r>
      <w:r w:rsidR="00865263">
        <w:t>para</w:t>
      </w:r>
      <w:r>
        <w:t xml:space="preserve"> prevenir la discriminación múltiple a </w:t>
      </w:r>
      <w:r w:rsidR="00865263">
        <w:t xml:space="preserve">fin de </w:t>
      </w:r>
      <w:r>
        <w:t xml:space="preserve">garantizar a las mujeres con discapacidad el pleno disfrute, en igualdad de condiciones, del derecho a vivir de forma independiente en la comunidad (art. 6). Las barreras específicas </w:t>
      </w:r>
      <w:r w:rsidR="00865263">
        <w:t xml:space="preserve">con </w:t>
      </w:r>
      <w:r>
        <w:t xml:space="preserve">que </w:t>
      </w:r>
      <w:r w:rsidR="00865263">
        <w:t>se encuentran</w:t>
      </w:r>
      <w:r>
        <w:t xml:space="preserve"> los niños</w:t>
      </w:r>
      <w:r w:rsidR="00865263">
        <w:t xml:space="preserve"> con discapacidad para disfrutar de ese derecho</w:t>
      </w:r>
      <w:r>
        <w:t>, incluido el derecho a que se tenga en cuenta su opinión, en igualdad de condicione</w:t>
      </w:r>
      <w:r w:rsidR="00865263">
        <w:t>s con los demás niños, se debe</w:t>
      </w:r>
      <w:r>
        <w:t>n tener debidamente en cuenta a</w:t>
      </w:r>
      <w:r w:rsidR="00865263">
        <w:t xml:space="preserve"> </w:t>
      </w:r>
      <w:r>
        <w:t>l</w:t>
      </w:r>
      <w:r w:rsidR="00865263">
        <w:t xml:space="preserve">a hora de </w:t>
      </w:r>
      <w:r>
        <w:t>determinar el interés superior del niño respecto de cuestiones relacionadas con el artículo 19 (art. 7).</w:t>
      </w:r>
    </w:p>
    <w:p w:rsidR="003500CA" w:rsidRDefault="003500CA" w:rsidP="003500CA">
      <w:pPr>
        <w:pStyle w:val="SingleTxtG"/>
      </w:pPr>
      <w:r>
        <w:t>8.</w:t>
      </w:r>
      <w:r>
        <w:tab/>
        <w:t>La Convención establece que las personas con discapacidad tienen derecho al reconocimiento de su capacidad jurídica, en igualdad de condiciones con las demás personas (art. 12). El disfrute de este derecho es esencial para el ejercicio efectivo del derecho a vivir de forma independiente en la comunidad, a hacer elecciones y a tener control sobre la propia vida diaria, en igualdad de condiciones con los demás</w:t>
      </w:r>
      <w:r w:rsidR="00865263">
        <w:rPr>
          <w:rStyle w:val="Refdenotaalpie"/>
        </w:rPr>
        <w:footnoteReference w:id="2"/>
      </w:r>
      <w:r>
        <w:t>. De igual manera, el respeto del derecho a la libertad y a la seguridad de la persona (art. 14) supone que se ponga fin a todas las formas de privación de libertad basadas en la existencia de una deficiencia.</w:t>
      </w:r>
    </w:p>
    <w:p w:rsidR="003500CA" w:rsidRDefault="00A42409" w:rsidP="003500CA">
      <w:pPr>
        <w:pStyle w:val="SingleTxtG"/>
      </w:pPr>
      <w:r>
        <w:t>9.</w:t>
      </w:r>
      <w:r>
        <w:tab/>
      </w:r>
      <w:r w:rsidR="003500CA">
        <w:t xml:space="preserve">Para que las personas con discapacidad disfruten de </w:t>
      </w:r>
      <w:r>
        <w:t>un nivel de vida adecuado (art. </w:t>
      </w:r>
      <w:r w:rsidR="003500CA">
        <w:t xml:space="preserve">28) es preciso, entre otras cosas, </w:t>
      </w:r>
      <w:r>
        <w:t>proporcionar</w:t>
      </w:r>
      <w:r w:rsidR="003500CA">
        <w:t xml:space="preserve"> servicios de apoyo que faciliten su autonomía en la vida diaria</w:t>
      </w:r>
      <w:r>
        <w:rPr>
          <w:rStyle w:val="Refdenotaalpie"/>
        </w:rPr>
        <w:footnoteReference w:id="3"/>
      </w:r>
      <w:r w:rsidR="003500CA">
        <w:t xml:space="preserve">. Para ello los Estados partes tienen la obligación de </w:t>
      </w:r>
      <w:r>
        <w:t>asegura</w:t>
      </w:r>
      <w:r w:rsidR="003500CA">
        <w:t xml:space="preserve">r el acceso a servicios, dispositivos y asistencia </w:t>
      </w:r>
      <w:r>
        <w:t xml:space="preserve">de otro tipo adecuados </w:t>
      </w:r>
      <w:r w:rsidR="003500CA">
        <w:t xml:space="preserve">y a precios asequibles para atender las necesidades relacionadas con sus deficiencias, en particular para las </w:t>
      </w:r>
      <w:r w:rsidR="003500CA">
        <w:lastRenderedPageBreak/>
        <w:t>personas con discapacidad que viven en la pobreza. También es preciso que las personas con discapacidad tengan acceso a programas de vivienda pública. Los sistemas de educación inclusiva, la accesibilidad de servicios de atención de la salud generales y específicos, la disponibilidad de programas de habilitación y rehabilitación, y la igualdad de oportunidades en el mercado de trabajo abierto son otros ejemplos de derechos inter</w:t>
      </w:r>
      <w:r>
        <w:t>relacionados</w:t>
      </w:r>
      <w:r w:rsidR="003500CA">
        <w:t xml:space="preserve"> que contribuyen </w:t>
      </w:r>
      <w:r>
        <w:t>de manera significativa</w:t>
      </w:r>
      <w:r w:rsidR="003500CA">
        <w:t xml:space="preserve"> a que las personas </w:t>
      </w:r>
      <w:r>
        <w:t>vivan</w:t>
      </w:r>
      <w:r w:rsidR="003500CA">
        <w:t xml:space="preserve"> de forma independiente en la comunidad (arts. 24 a 27).</w:t>
      </w:r>
    </w:p>
    <w:p w:rsidR="003500CA" w:rsidRDefault="003500CA" w:rsidP="003500CA">
      <w:pPr>
        <w:pStyle w:val="SingleTxtG"/>
      </w:pPr>
      <w:r>
        <w:t>10.</w:t>
      </w:r>
      <w:r w:rsidR="00A42409">
        <w:tab/>
      </w:r>
      <w:r>
        <w:t>El artículo 19 está estrechamente conectado con las disposiciones de otros tratados de derechos humanos, como el Pacto Internacional de Derechos Civiles y Políticos</w:t>
      </w:r>
      <w:r w:rsidR="00A42409">
        <w:rPr>
          <w:rStyle w:val="Refdenotaalpie"/>
        </w:rPr>
        <w:footnoteReference w:id="4"/>
      </w:r>
      <w:r>
        <w:t>, el Pacto Internacional de Derechos Económicos, Sociales y Culturales</w:t>
      </w:r>
      <w:r w:rsidR="00A42409">
        <w:rPr>
          <w:rStyle w:val="Refdenotaalpie"/>
        </w:rPr>
        <w:footnoteReference w:id="5"/>
      </w:r>
      <w:r>
        <w:t xml:space="preserve"> y la Convención sobre los Derechos del Niño</w:t>
      </w:r>
      <w:r w:rsidR="00A42409">
        <w:rPr>
          <w:rStyle w:val="Refdenotaalpie"/>
        </w:rPr>
        <w:footnoteReference w:id="6"/>
      </w:r>
      <w:r>
        <w:t>. El derecho a vivir de forma independiente y a ser incluido en la comunidad también se ha reconocido en instrumentos regionales de derechos humanos como la Carta Social Europea (art. 15) y la Convención Interamericana para la Eliminación de todas las Formas de Discriminación contra las Personas co</w:t>
      </w:r>
      <w:r w:rsidR="00A42409">
        <w:t>n Discapacidad (art. 4, párr. 2 </w:t>
      </w:r>
      <w:r>
        <w:t>b)).</w:t>
      </w:r>
    </w:p>
    <w:p w:rsidR="003500CA" w:rsidRDefault="00A42409" w:rsidP="003500CA">
      <w:pPr>
        <w:pStyle w:val="SingleTxtG"/>
      </w:pPr>
      <w:r>
        <w:t>11.</w:t>
      </w:r>
      <w:r>
        <w:tab/>
      </w:r>
      <w:r w:rsidR="003500CA">
        <w:t xml:space="preserve">Varios órganos de las Naciones Unidas creados en virtud de instrumentos de derechos humanos y otros mecanismos, incluidos los procedimientos especiales </w:t>
      </w:r>
      <w:r>
        <w:t>del Consejo de Derechos Humanos</w:t>
      </w:r>
      <w:r>
        <w:rPr>
          <w:rStyle w:val="Refdenotaalpie"/>
        </w:rPr>
        <w:footnoteReference w:id="7"/>
      </w:r>
      <w:r w:rsidR="003500CA">
        <w:t>, han contribuido a desarrollar los diversos elementos del derecho de las personas con discapacidad a vivir de forma independiente y a ser incluidas en la comunidad. El Comité de Derechos Económicos, Sociales y Culturales, por ejemplo, considera este derecho desde la perspectiva de la no discriminación, mientras que el Comité de los Derechos del Niño hace hincapié en q</w:t>
      </w:r>
      <w:r>
        <w:t>ue la discapacidad nunca debe</w:t>
      </w:r>
      <w:r w:rsidR="003500CA">
        <w:t xml:space="preserve"> ser </w:t>
      </w:r>
      <w:r>
        <w:t xml:space="preserve">un </w:t>
      </w:r>
      <w:r w:rsidR="003500CA">
        <w:t xml:space="preserve">motivo </w:t>
      </w:r>
      <w:r>
        <w:t>para</w:t>
      </w:r>
      <w:r w:rsidR="003500CA">
        <w:t xml:space="preserve"> interna</w:t>
      </w:r>
      <w:r>
        <w:t>r</w:t>
      </w:r>
      <w:r w:rsidR="003500CA">
        <w:t xml:space="preserve"> </w:t>
      </w:r>
      <w:r>
        <w:t>a</w:t>
      </w:r>
      <w:r w:rsidR="003500CA">
        <w:t xml:space="preserve"> los niños en instituciones</w:t>
      </w:r>
      <w:r>
        <w:rPr>
          <w:rStyle w:val="Refdenotaalpie"/>
        </w:rPr>
        <w:footnoteReference w:id="8"/>
      </w:r>
      <w:r w:rsidR="003500CA">
        <w:t>. El Comité sobre los Derechos de las Personas con Discapacidad ha abordado sistemáticamente esta cuestión en su diálogo con los Estados partes, así como en comunicaciones individuales</w:t>
      </w:r>
      <w:r w:rsidR="00A86266">
        <w:rPr>
          <w:rStyle w:val="Refdenotaalpie"/>
        </w:rPr>
        <w:footnoteReference w:id="9"/>
      </w:r>
      <w:r w:rsidR="003500CA">
        <w:t>.</w:t>
      </w:r>
    </w:p>
    <w:p w:rsidR="003500CA" w:rsidRDefault="00A42409" w:rsidP="00A42409">
      <w:pPr>
        <w:pStyle w:val="HChG"/>
      </w:pPr>
      <w:r>
        <w:tab/>
      </w:r>
      <w:r w:rsidR="003500CA">
        <w:t>III.</w:t>
      </w:r>
      <w:r>
        <w:tab/>
      </w:r>
      <w:r w:rsidR="003500CA">
        <w:t>Elementos del artículo 19: posibilidad de elegir, apoyo y disponibilidad de instalaciones y servicios comunitarios</w:t>
      </w:r>
    </w:p>
    <w:p w:rsidR="003500CA" w:rsidRDefault="00A42409" w:rsidP="003500CA">
      <w:pPr>
        <w:pStyle w:val="SingleTxtG"/>
      </w:pPr>
      <w:r>
        <w:t>12.</w:t>
      </w:r>
      <w:r w:rsidR="00A86266">
        <w:tab/>
      </w:r>
      <w:r w:rsidR="003500CA">
        <w:t>El artículo 19 refleja la diversidad de enfoques culturales analizados durante las negociaciones sobre la Convención sobre los Derechos de las Personas con Discapacidad, durante las cuales se tuvo cuidado de que el derecho a que se refiere el artículo no se limitara a la prestación de los servicios disponibles en los países des</w:t>
      </w:r>
      <w:r w:rsidR="00A86266">
        <w:t>arrollados. Se ofrece una</w:t>
      </w:r>
      <w:r w:rsidR="003500CA">
        <w:t xml:space="preserve"> gama de opciones a los Estados partes, con tal de que respeten los principios de que las </w:t>
      </w:r>
      <w:r w:rsidR="003500CA">
        <w:lastRenderedPageBreak/>
        <w:t xml:space="preserve">personas con discapacidad deben controlar su propia vida y no deben </w:t>
      </w:r>
      <w:r w:rsidR="00A86266">
        <w:t>ser segregadas de la comunidad</w:t>
      </w:r>
      <w:r w:rsidR="00A86266">
        <w:rPr>
          <w:rStyle w:val="Refdenotaalpie"/>
        </w:rPr>
        <w:footnoteReference w:id="10"/>
      </w:r>
      <w:r w:rsidR="003500CA">
        <w:t>.</w:t>
      </w:r>
    </w:p>
    <w:p w:rsidR="003500CA" w:rsidRDefault="00A86266" w:rsidP="003500CA">
      <w:pPr>
        <w:pStyle w:val="SingleTxtG"/>
      </w:pPr>
      <w:r>
        <w:t>13.</w:t>
      </w:r>
      <w:r>
        <w:tab/>
      </w:r>
      <w:r w:rsidR="003500CA">
        <w:t xml:space="preserve">Vivir de forma independiente no significa </w:t>
      </w:r>
      <w:r>
        <w:t>vivir solo</w:t>
      </w:r>
      <w:r w:rsidR="003500CA">
        <w:t xml:space="preserve"> o </w:t>
      </w:r>
      <w:r>
        <w:t>en aislamiento</w:t>
      </w:r>
      <w:r>
        <w:rPr>
          <w:rStyle w:val="Refdenotaalpie"/>
        </w:rPr>
        <w:footnoteReference w:id="11"/>
      </w:r>
      <w:r w:rsidR="003500CA">
        <w:t xml:space="preserve">. </w:t>
      </w:r>
      <w:r>
        <w:t>S</w:t>
      </w:r>
      <w:r w:rsidR="003500CA">
        <w:t>ignifica</w:t>
      </w:r>
      <w:r>
        <w:t xml:space="preserve">, más bien, </w:t>
      </w:r>
      <w:r w:rsidR="003500CA">
        <w:t xml:space="preserve">tener libertad de elección y control sobre las decisiones que afectan </w:t>
      </w:r>
      <w:r>
        <w:t xml:space="preserve">a </w:t>
      </w:r>
      <w:r w:rsidR="003500CA">
        <w:t>la propia vida, con el mismo grado de independencia e interdependencia en el seno de la sociedad que las demás personas. Así pues, el artículo 19 se refiere al derecho a "vivir de forma independiente y a ser incluido en la comunidad" como un solo</w:t>
      </w:r>
      <w:r>
        <w:t xml:space="preserve"> derecho</w:t>
      </w:r>
      <w:r w:rsidR="003500CA">
        <w:t xml:space="preserve">, en que la autonomía y la inclusión se refuerzan mutuamente y se </w:t>
      </w:r>
      <w:r>
        <w:t>aún</w:t>
      </w:r>
      <w:r w:rsidR="003500CA">
        <w:t>an para evitar la segregación</w:t>
      </w:r>
      <w:r>
        <w:rPr>
          <w:rStyle w:val="Refdenotaalpie"/>
        </w:rPr>
        <w:footnoteReference w:id="12"/>
      </w:r>
      <w:r w:rsidR="003500CA">
        <w:t>.</w:t>
      </w:r>
    </w:p>
    <w:p w:rsidR="003500CA" w:rsidRDefault="003500CA" w:rsidP="003500CA">
      <w:pPr>
        <w:pStyle w:val="SingleTxtG"/>
      </w:pPr>
      <w:r>
        <w:t>14.</w:t>
      </w:r>
      <w:r w:rsidR="00A86266">
        <w:tab/>
      </w:r>
      <w:r w:rsidR="00E136D2">
        <w:t>E</w:t>
      </w:r>
      <w:r>
        <w:t xml:space="preserve">l artículo 19 </w:t>
      </w:r>
      <w:r w:rsidR="00E136D2">
        <w:t>presenta</w:t>
      </w:r>
      <w:r>
        <w:t xml:space="preserve"> una hoja de ruta para lograr la participación e inclusión plenas y efectivas en la sociedad de todas las personas con discapacidad (art. 3 c)). En este enfoque son igualmente importantes la disponibilidad y accesibilidad para todos de los servicios generales, la prestación de apoyo individualizado para </w:t>
      </w:r>
      <w:r w:rsidR="00E136D2">
        <w:t>posibilit</w:t>
      </w:r>
      <w:r>
        <w:t>ar la inclusión de cada persona y la posibilidad de que cada persona elija el tipo de servicios y la modalidad de su prestación.</w:t>
      </w:r>
    </w:p>
    <w:p w:rsidR="003500CA" w:rsidRDefault="00A86266" w:rsidP="00A86266">
      <w:pPr>
        <w:pStyle w:val="H1G"/>
      </w:pPr>
      <w:r>
        <w:tab/>
      </w:r>
      <w:r w:rsidR="003500CA">
        <w:t>A.</w:t>
      </w:r>
      <w:r>
        <w:tab/>
      </w:r>
      <w:r w:rsidR="003500CA">
        <w:t>Posibilidad de elegir</w:t>
      </w:r>
    </w:p>
    <w:p w:rsidR="003500CA" w:rsidRDefault="00A86266" w:rsidP="00A86266">
      <w:pPr>
        <w:pStyle w:val="H23G"/>
      </w:pPr>
      <w:r>
        <w:tab/>
      </w:r>
      <w:r w:rsidR="003500CA">
        <w:t>1.</w:t>
      </w:r>
      <w:r>
        <w:tab/>
      </w:r>
      <w:r w:rsidR="003500CA">
        <w:t>Capacidad jurídica y adopción de decisiones</w:t>
      </w:r>
    </w:p>
    <w:p w:rsidR="003500CA" w:rsidRDefault="00E136D2" w:rsidP="003500CA">
      <w:pPr>
        <w:pStyle w:val="SingleTxtG"/>
      </w:pPr>
      <w:r>
        <w:t>15.</w:t>
      </w:r>
      <w:r>
        <w:tab/>
      </w:r>
      <w:r w:rsidR="003500CA">
        <w:t xml:space="preserve">El artículo 19 exige que los Estados partes </w:t>
      </w:r>
      <w:r>
        <w:t>aseguren</w:t>
      </w:r>
      <w:r w:rsidR="003500CA">
        <w:t xml:space="preserve"> que las personas con discapacidad tengan la oportunidad de elegir su lugar de residencia y dónde y con quién vivir, en igualdad de condiciones con las demás, y no se vean obligadas a vivir con arreglo a un sistema de vida específico. Esto entraña la posibilidad de elegir </w:t>
      </w:r>
      <w:r>
        <w:t>a partir de</w:t>
      </w:r>
      <w:r w:rsidR="003500CA">
        <w:t xml:space="preserve"> la misma gama de opciones que los demás miembros de la sociedad</w:t>
      </w:r>
      <w:r>
        <w:t>,</w:t>
      </w:r>
      <w:r w:rsidR="003500CA">
        <w:t xml:space="preserve"> o de rechazar esas opciones.</w:t>
      </w:r>
    </w:p>
    <w:p w:rsidR="003500CA" w:rsidRDefault="00E136D2" w:rsidP="003500CA">
      <w:pPr>
        <w:pStyle w:val="SingleTxtG"/>
      </w:pPr>
      <w:r>
        <w:t>16.</w:t>
      </w:r>
      <w:r>
        <w:tab/>
      </w:r>
      <w:r w:rsidR="003500CA">
        <w:t xml:space="preserve">El derecho al igual reconocimiento ante la ley de las personas con discapacidad, que </w:t>
      </w:r>
      <w:r>
        <w:t>gozarán</w:t>
      </w:r>
      <w:r w:rsidR="003500CA">
        <w:t xml:space="preserve"> de capacidad jurídica en igualdad de condiciones con las demás en todos los aspectos de la vida (art. 12), es </w:t>
      </w:r>
      <w:r>
        <w:t xml:space="preserve">la base </w:t>
      </w:r>
      <w:r w:rsidR="003500CA">
        <w:t>del derecho a vivir de forma independiente en la comunidad. La capacidad jurídica consta de dos elementos inseparables: el reconocimiento como persona jurídica ante la ley y el ejercicio, en calidad de persona jurídica, de los derechos establecidos por la ley</w:t>
      </w:r>
      <w:r>
        <w:rPr>
          <w:rStyle w:val="Refdenotaalpie"/>
        </w:rPr>
        <w:footnoteReference w:id="13"/>
      </w:r>
      <w:r w:rsidR="003500CA">
        <w:t xml:space="preserve">. El ejercicio de la capacidad jurídica </w:t>
      </w:r>
      <w:r>
        <w:t xml:space="preserve">reconocido en </w:t>
      </w:r>
      <w:r w:rsidR="003500CA">
        <w:t xml:space="preserve">la Convención sobre los Derechos de las Personas con Discapacidad </w:t>
      </w:r>
      <w:r>
        <w:t>requiere</w:t>
      </w:r>
      <w:r w:rsidR="003500CA">
        <w:t xml:space="preserve"> que se respeten la voluntad y las preferencias de la persona</w:t>
      </w:r>
      <w:r>
        <w:t>,</w:t>
      </w:r>
      <w:r w:rsidR="003500CA">
        <w:t xml:space="preserve"> y </w:t>
      </w:r>
      <w:r>
        <w:t>permite el ejercicio del</w:t>
      </w:r>
      <w:r w:rsidR="003500CA">
        <w:t xml:space="preserve"> consentimiento libre e informado. Ello a su vez se aplica, entre otras cosas, a la aceptación o el rechazo de tratamiento médico, el internamiento en una institución o cualquier otra intervención que </w:t>
      </w:r>
      <w:r w:rsidR="009F4497">
        <w:t xml:space="preserve">afecte a </w:t>
      </w:r>
      <w:r w:rsidR="003500CA">
        <w:t xml:space="preserve">la vida de la persona. Recientemente varios Estados han reformado su marco jurídico para ponerlo en consonancia con el artículo 12. En el Perú, por ejemplo, el Gobierno ha reconocido la plena capacidad jurídica de las personas con discapacidad en su </w:t>
      </w:r>
      <w:r w:rsidR="003500CA">
        <w:lastRenderedPageBreak/>
        <w:t xml:space="preserve">Ley General de la Persona con Discapacidad, de 2012, en la que además dispone que se revise el Código Civil. Las </w:t>
      </w:r>
      <w:r w:rsidR="009F4497">
        <w:t>aporta</w:t>
      </w:r>
      <w:r w:rsidR="003500CA">
        <w:t xml:space="preserve">ciones recibidas para el presente estudio mencionan otras reformas propuestas o </w:t>
      </w:r>
      <w:r w:rsidR="009F4497">
        <w:t>en curso</w:t>
      </w:r>
      <w:r w:rsidR="003500CA">
        <w:t xml:space="preserve">. Es esencial </w:t>
      </w:r>
      <w:r w:rsidR="009F4497">
        <w:t>señalar</w:t>
      </w:r>
      <w:r w:rsidR="003500CA">
        <w:t xml:space="preserve"> que en todo proceso de reforma jurídica los Estados deben mantener consultas y colaborar activamente con las personas con discapacidad y las organizaciones que las representan.</w:t>
      </w:r>
    </w:p>
    <w:p w:rsidR="003500CA" w:rsidRDefault="009F4497" w:rsidP="003500CA">
      <w:pPr>
        <w:pStyle w:val="SingleTxtG"/>
      </w:pPr>
      <w:r>
        <w:t>17.</w:t>
      </w:r>
      <w:r>
        <w:tab/>
      </w:r>
      <w:r w:rsidR="003500CA">
        <w:t xml:space="preserve">Los Estados deben reemplazar los regímenes que prevén la sustitución en la adopción de decisiones por </w:t>
      </w:r>
      <w:r>
        <w:t>el apoyo en la adopción de d</w:t>
      </w:r>
      <w:r w:rsidR="003500CA">
        <w:t xml:space="preserve">ecisiones </w:t>
      </w:r>
      <w:r>
        <w:t>al objeto de acabar con</w:t>
      </w:r>
      <w:r w:rsidR="003500CA">
        <w:t xml:space="preserve"> la discriminación y la negación de la capacidad jurídica a las personas con discapacidad. El nuevo régimen jurídico ha de </w:t>
      </w:r>
      <w:r>
        <w:t xml:space="preserve">contar con otros </w:t>
      </w:r>
      <w:r w:rsidR="002C3E7A">
        <w:t>elementos definitorios</w:t>
      </w:r>
      <w:r w:rsidR="002C3E7A">
        <w:rPr>
          <w:rStyle w:val="Refdenotaalpie"/>
        </w:rPr>
        <w:footnoteReference w:id="14"/>
      </w:r>
      <w:r w:rsidR="003500CA">
        <w:t xml:space="preserve">. En el caso de los niños con discapacidad, </w:t>
      </w:r>
      <w:r w:rsidR="0083539F">
        <w:t xml:space="preserve">es preciso atender </w:t>
      </w:r>
      <w:r w:rsidR="003500CA">
        <w:t>ante todo al interés superior del niño, incluido el derecho del niño a expresar su opinión a la hora de determinar su interés superior</w:t>
      </w:r>
      <w:r w:rsidR="00207483">
        <w:rPr>
          <w:rStyle w:val="Refdenotaalpie"/>
        </w:rPr>
        <w:footnoteReference w:id="15"/>
      </w:r>
      <w:r w:rsidR="003500CA">
        <w:t>.</w:t>
      </w:r>
    </w:p>
    <w:p w:rsidR="003500CA" w:rsidRDefault="002C3E7A" w:rsidP="003500CA">
      <w:pPr>
        <w:pStyle w:val="SingleTxtG"/>
      </w:pPr>
      <w:r>
        <w:t>18.</w:t>
      </w:r>
      <w:r>
        <w:tab/>
      </w:r>
      <w:r w:rsidR="003500CA">
        <w:t xml:space="preserve">En algunos países existen </w:t>
      </w:r>
      <w:r>
        <w:t>vari</w:t>
      </w:r>
      <w:r w:rsidR="003500CA">
        <w:t xml:space="preserve">as formas de </w:t>
      </w:r>
      <w:r>
        <w:t xml:space="preserve">apoyo en la </w:t>
      </w:r>
      <w:r w:rsidR="003500CA">
        <w:t xml:space="preserve">adopción de decisiones, mientras que en otros se están examinando distintas modalidades de </w:t>
      </w:r>
      <w:r>
        <w:t>apoyo en la adopción de decisiones</w:t>
      </w:r>
      <w:r w:rsidR="003500CA">
        <w:t xml:space="preserve">. El Código Civil aprobado recientemente en la Argentina prevé la posibilidad de prestar </w:t>
      </w:r>
      <w:r>
        <w:t>apoyo</w:t>
      </w:r>
      <w:r w:rsidR="003500CA">
        <w:t xml:space="preserve"> en los procesos de adopción de decisiones. El proyecto de Ley de A</w:t>
      </w:r>
      <w:r>
        <w:t>poyo</w:t>
      </w:r>
      <w:r w:rsidR="003500CA">
        <w:t xml:space="preserve"> </w:t>
      </w:r>
      <w:r>
        <w:t>en</w:t>
      </w:r>
      <w:r w:rsidR="003500CA">
        <w:t xml:space="preserve"> la Adopción de Decisiones (Capacidad) que se está examinando en Irlanda constituiría un marco normativo para maximizar la autonomía individual y establecería una "oficina del tutor público" encargada de supervisar a quienes preste dich</w:t>
      </w:r>
      <w:r>
        <w:t>o</w:t>
      </w:r>
      <w:r w:rsidR="003500CA">
        <w:t xml:space="preserve"> </w:t>
      </w:r>
      <w:r>
        <w:t>apoyo</w:t>
      </w:r>
      <w:r w:rsidR="003500CA">
        <w:t>.</w:t>
      </w:r>
    </w:p>
    <w:p w:rsidR="003500CA" w:rsidRDefault="002C3E7A" w:rsidP="003500CA">
      <w:pPr>
        <w:pStyle w:val="SingleTxtG"/>
      </w:pPr>
      <w:r>
        <w:t>19.</w:t>
      </w:r>
      <w:r>
        <w:tab/>
      </w:r>
      <w:r w:rsidR="003500CA">
        <w:t xml:space="preserve">De las </w:t>
      </w:r>
      <w:r>
        <w:t>aportaciones</w:t>
      </w:r>
      <w:r w:rsidR="003500CA">
        <w:t xml:space="preserve"> recibidas para el presente informe se desprende que, en general, en todas las regiones del mundo existen leyes o prácticas que privan a las personas con discapacidad de su capacidad jurídica. A menudo se confiere a terceros el derecho de adoptar decisiones en su nombre. Son frecuentes los regímenes de tutela, la imposibilidad de apelar contra la tutela impuesta</w:t>
      </w:r>
      <w:r>
        <w:t>,</w:t>
      </w:r>
      <w:r w:rsidR="003500CA">
        <w:t xml:space="preserve"> y el tratamiento médico forzoso. La sustitución en la adopción de decisiones es contraria a lo dispuesto en el artículo 19, pues tras</w:t>
      </w:r>
      <w:r>
        <w:t>l</w:t>
      </w:r>
      <w:r w:rsidR="003500CA">
        <w:t>a</w:t>
      </w:r>
      <w:r>
        <w:t>d</w:t>
      </w:r>
      <w:r w:rsidR="003500CA">
        <w:t>a de la persona interesada a su tutor la facultad de adoptar decisiones sobre su</w:t>
      </w:r>
      <w:r>
        <w:t>s</w:t>
      </w:r>
      <w:r w:rsidR="003500CA">
        <w:t xml:space="preserve"> </w:t>
      </w:r>
      <w:r>
        <w:t>sistemas</w:t>
      </w:r>
      <w:r w:rsidR="003500CA">
        <w:t xml:space="preserve"> de vida, por ejemplo, sobre la conveniencia y el momento de abandonar una institución para vivir en la comunidad. Aunque la sustitución en la adopción de decisiones puede afectar a una amplia gama de personas con discapacidad, en muchos casos la negación de la capacidad jurídica se deriva de la legislación sobre la salud mental, </w:t>
      </w:r>
      <w:r>
        <w:t xml:space="preserve">que da lugar a </w:t>
      </w:r>
      <w:r w:rsidR="003500CA">
        <w:t xml:space="preserve">que las personas con </w:t>
      </w:r>
      <w:r>
        <w:t>una discapacidad</w:t>
      </w:r>
      <w:r w:rsidR="003500CA">
        <w:t xml:space="preserve"> psicosocial</w:t>
      </w:r>
      <w:r>
        <w:t xml:space="preserve"> o intelectual</w:t>
      </w:r>
      <w:r w:rsidR="003500CA">
        <w:t xml:space="preserve"> ten</w:t>
      </w:r>
      <w:r>
        <w:t>ga</w:t>
      </w:r>
      <w:r w:rsidR="003500CA">
        <w:t>n m</w:t>
      </w:r>
      <w:r>
        <w:t>ás</w:t>
      </w:r>
      <w:r w:rsidR="003500CA">
        <w:t xml:space="preserve"> probabilidades de que se les niegue el derecho a elegir su</w:t>
      </w:r>
      <w:r>
        <w:t>s</w:t>
      </w:r>
      <w:r w:rsidR="003500CA">
        <w:t xml:space="preserve"> </w:t>
      </w:r>
      <w:r>
        <w:t xml:space="preserve">sistemas </w:t>
      </w:r>
      <w:r w:rsidR="003500CA">
        <w:t>de vida.</w:t>
      </w:r>
    </w:p>
    <w:p w:rsidR="003500CA" w:rsidRDefault="002C3E7A" w:rsidP="002C3E7A">
      <w:pPr>
        <w:pStyle w:val="H23G"/>
      </w:pPr>
      <w:r>
        <w:tab/>
      </w:r>
      <w:r w:rsidR="003500CA">
        <w:t>2.</w:t>
      </w:r>
      <w:r>
        <w:tab/>
      </w:r>
      <w:r w:rsidR="003500CA">
        <w:t xml:space="preserve">Prohibición del internamiento forzoso </w:t>
      </w:r>
    </w:p>
    <w:p w:rsidR="003500CA" w:rsidRDefault="00492891" w:rsidP="003500CA">
      <w:pPr>
        <w:pStyle w:val="SingleTxtG"/>
      </w:pPr>
      <w:r>
        <w:t>20.</w:t>
      </w:r>
      <w:r>
        <w:tab/>
      </w:r>
      <w:r w:rsidR="003500CA">
        <w:t xml:space="preserve">El artículo 19, leído conjuntamente con los artículos 12 y 14, prohíbe el internamiento forzoso y la privación de libertad </w:t>
      </w:r>
      <w:r>
        <w:t xml:space="preserve">en razón </w:t>
      </w:r>
      <w:r w:rsidR="003500CA">
        <w:t>de la existencia de una deficiencia. En particular, el artículo 14 no admite excepciones en virtud de las cuales pueda privarse a una persona de su libertad a causa de su discapacidad real o percibida, incluidas</w:t>
      </w:r>
      <w:r>
        <w:t xml:space="preserve"> la percepción de que represente</w:t>
      </w:r>
      <w:r w:rsidR="003500CA">
        <w:t xml:space="preserve"> un peligro para sí misma o para terceros o su </w:t>
      </w:r>
      <w:r w:rsidR="00207483">
        <w:t>falta de aptitud para afrontar un juicio</w:t>
      </w:r>
      <w:r w:rsidR="00207483">
        <w:rPr>
          <w:rStyle w:val="Refdenotaalpie"/>
        </w:rPr>
        <w:footnoteReference w:id="16"/>
      </w:r>
      <w:r w:rsidR="003500CA">
        <w:t xml:space="preserve">. Sin embargo, a pesar de dichas prohibiciones, </w:t>
      </w:r>
      <w:r w:rsidR="00207483">
        <w:t>aportaciones recibidas</w:t>
      </w:r>
      <w:r w:rsidR="003500CA">
        <w:t xml:space="preserve"> de todas las regiones indicaron que el internamiento forzoso sigue siendo una práctica </w:t>
      </w:r>
      <w:r w:rsidR="00207483">
        <w:t>generalizada</w:t>
      </w:r>
      <w:r w:rsidR="003500CA">
        <w:t xml:space="preserve">. </w:t>
      </w:r>
      <w:r w:rsidR="00207483">
        <w:t>L</w:t>
      </w:r>
      <w:r w:rsidR="003500CA">
        <w:t xml:space="preserve">a legislación sobre salud mental </w:t>
      </w:r>
      <w:r w:rsidR="00207483">
        <w:t>suele servir de base al</w:t>
      </w:r>
      <w:r w:rsidR="003500CA">
        <w:t xml:space="preserve"> internamiento </w:t>
      </w:r>
      <w:r w:rsidR="00207483">
        <w:t>sin consentimiento</w:t>
      </w:r>
      <w:r w:rsidR="003500CA">
        <w:t xml:space="preserve"> (</w:t>
      </w:r>
      <w:r w:rsidR="00207483">
        <w:t xml:space="preserve">decidido por </w:t>
      </w:r>
      <w:r w:rsidR="003500CA">
        <w:t>una autoridad judicial o administrativa</w:t>
      </w:r>
      <w:r w:rsidR="00207483">
        <w:t>,</w:t>
      </w:r>
      <w:r w:rsidR="003500CA">
        <w:t xml:space="preserve"> o </w:t>
      </w:r>
      <w:r w:rsidR="00207483">
        <w:t xml:space="preserve">por </w:t>
      </w:r>
      <w:r w:rsidR="003500CA">
        <w:t xml:space="preserve">un tutor) y </w:t>
      </w:r>
      <w:r w:rsidR="00207483">
        <w:t>a las medidas médica</w:t>
      </w:r>
      <w:r w:rsidR="003500CA">
        <w:t>s obligatori</w:t>
      </w:r>
      <w:r w:rsidR="00207483">
        <w:t>a</w:t>
      </w:r>
      <w:r w:rsidR="003500CA">
        <w:t>s. En muchos casos la presunción de que una persona representa un peligro para sí misma o para los demás es motivo de internamiento forzoso.</w:t>
      </w:r>
    </w:p>
    <w:p w:rsidR="003500CA" w:rsidRDefault="00207483" w:rsidP="003500CA">
      <w:pPr>
        <w:pStyle w:val="SingleTxtG"/>
      </w:pPr>
      <w:r>
        <w:lastRenderedPageBreak/>
        <w:t>21.</w:t>
      </w:r>
      <w:r>
        <w:tab/>
      </w:r>
      <w:r w:rsidR="003500CA">
        <w:t xml:space="preserve">Aunque </w:t>
      </w:r>
      <w:r>
        <w:t>el internamiento puede</w:t>
      </w:r>
      <w:r w:rsidR="003500CA">
        <w:t xml:space="preserve"> variar de un contexto a otro, hay ciertos elementos comunes que lo definen: el aislamiento y la se</w:t>
      </w:r>
      <w:r>
        <w:t>greg</w:t>
      </w:r>
      <w:r w:rsidR="003500CA">
        <w:t>ación de la vida comunitaria; la falta de control sobre decisiones que afectan a la vida co</w:t>
      </w:r>
      <w:r>
        <w:t>tidiana; la rigidez de la rutina</w:t>
      </w:r>
      <w:r w:rsidR="003500CA">
        <w:t xml:space="preserve">, sin </w:t>
      </w:r>
      <w:r>
        <w:t xml:space="preserve">tener en cuenta </w:t>
      </w:r>
      <w:r w:rsidR="003500CA">
        <w:t xml:space="preserve">preferencias o necesidades personales; la realización de actividades idénticas en el mismo lugar </w:t>
      </w:r>
      <w:r>
        <w:t>organizadas para</w:t>
      </w:r>
      <w:r w:rsidR="003500CA">
        <w:t xml:space="preserve"> un grupo de personas </w:t>
      </w:r>
      <w:r>
        <w:t>bajo</w:t>
      </w:r>
      <w:r w:rsidR="003500CA">
        <w:t xml:space="preserve"> una autoridad central; un </w:t>
      </w:r>
      <w:r>
        <w:t>enfoque</w:t>
      </w:r>
      <w:r w:rsidR="003500CA">
        <w:t xml:space="preserve"> paternalista en la prestación de servicios; la supervisión de </w:t>
      </w:r>
      <w:r w:rsidR="008D5A50">
        <w:t>los sistemas de vida</w:t>
      </w:r>
      <w:r w:rsidR="003500CA">
        <w:t xml:space="preserve"> sin consentimiento; y el número desproporcionado de personas con discapacidad que viven en el mismo </w:t>
      </w:r>
      <w:r w:rsidR="001C64D0">
        <w:t>entorno</w:t>
      </w:r>
      <w:r w:rsidR="003500CA">
        <w:t xml:space="preserve">. </w:t>
      </w:r>
      <w:r w:rsidR="001C64D0">
        <w:t>Así pues,</w:t>
      </w:r>
      <w:r w:rsidR="003500CA">
        <w:t xml:space="preserve"> el internamiento no solo </w:t>
      </w:r>
      <w:r w:rsidR="001C64D0">
        <w:t xml:space="preserve">tiene que ver con </w:t>
      </w:r>
      <w:r w:rsidR="003500CA">
        <w:t xml:space="preserve">vivir en un entorno determinado; </w:t>
      </w:r>
      <w:r w:rsidR="001C64D0">
        <w:t>es</w:t>
      </w:r>
      <w:r w:rsidR="003500CA">
        <w:t xml:space="preserve">, </w:t>
      </w:r>
      <w:r w:rsidR="001C64D0">
        <w:t>sobre</w:t>
      </w:r>
      <w:r w:rsidR="003500CA">
        <w:t xml:space="preserve"> todo, la pérdida de control </w:t>
      </w:r>
      <w:r w:rsidR="001C64D0">
        <w:t>como</w:t>
      </w:r>
      <w:r w:rsidR="003500CA">
        <w:t xml:space="preserve"> consecuencia de la imposició</w:t>
      </w:r>
      <w:r w:rsidR="001C64D0">
        <w:t>n de un</w:t>
      </w:r>
      <w:r w:rsidR="003500CA">
        <w:t xml:space="preserve"> </w:t>
      </w:r>
      <w:r w:rsidR="001C64D0">
        <w:t>sistema</w:t>
      </w:r>
      <w:r w:rsidR="003500CA">
        <w:t xml:space="preserve"> de vida determinad</w:t>
      </w:r>
      <w:r w:rsidR="001C64D0">
        <w:t>o</w:t>
      </w:r>
      <w:r w:rsidR="003500CA">
        <w:t xml:space="preserve">. En ese sentido, los entornos pequeños, como </w:t>
      </w:r>
      <w:r w:rsidR="001C64D0">
        <w:t>los hogares para grupos</w:t>
      </w:r>
      <w:r w:rsidR="003500CA">
        <w:t xml:space="preserve">, no son necesariamente mejores que las instituciones grandes si el control general </w:t>
      </w:r>
      <w:r w:rsidR="001C64D0">
        <w:t>lo siguen teniendo</w:t>
      </w:r>
      <w:r w:rsidR="003500CA">
        <w:t xml:space="preserve"> los supervisores. </w:t>
      </w:r>
    </w:p>
    <w:p w:rsidR="003500CA" w:rsidRDefault="001C64D0" w:rsidP="003500CA">
      <w:pPr>
        <w:pStyle w:val="SingleTxtG"/>
      </w:pPr>
      <w:r>
        <w:t>22.</w:t>
      </w:r>
      <w:r>
        <w:tab/>
      </w:r>
      <w:r w:rsidR="00F456DA">
        <w:t>Lo</w:t>
      </w:r>
      <w:r w:rsidR="003500CA">
        <w:t xml:space="preserve">s </w:t>
      </w:r>
      <w:r w:rsidR="00F456DA">
        <w:t>arreglos de vida deben</w:t>
      </w:r>
      <w:r w:rsidR="003500CA">
        <w:t xml:space="preserve"> evaluarse teniendo en cuenta </w:t>
      </w:r>
      <w:r w:rsidR="00F456DA">
        <w:t>cuestiones</w:t>
      </w:r>
      <w:r w:rsidR="003500CA">
        <w:t xml:space="preserve"> como la elección de compañeros de vivienda, quién decide cuándo pueden entrar o salir los residentes, quién está autorizado a entrar en la vivienda de una persona, quién decide los horarios de las actividades diarias, quién decide qué se come y qué se compra y quién corre con los gastos. Dejar esas elecciones bajo el control de </w:t>
      </w:r>
      <w:r w:rsidR="00F456DA">
        <w:t>decisi</w:t>
      </w:r>
      <w:r w:rsidR="003500CA">
        <w:t xml:space="preserve">ones, cualesquiera que sean su tamaño y su nombre, </w:t>
      </w:r>
      <w:r w:rsidR="00F456DA">
        <w:t>no se ajusta a</w:t>
      </w:r>
      <w:r w:rsidR="003500CA">
        <w:t xml:space="preserve"> la Convención sobre los Derechos de las Personas con Discapacidad y el internamiento en esas instituciones constituye una privación de libertad. La falta de una comprensión cabal de lo que </w:t>
      </w:r>
      <w:r w:rsidR="00F456DA">
        <w:t>constituye</w:t>
      </w:r>
      <w:r w:rsidR="003500CA">
        <w:t xml:space="preserve"> el internamiento en una institución para las personas con discapacidad puede llevar a promover formas </w:t>
      </w:r>
      <w:r w:rsidR="00F456DA">
        <w:t xml:space="preserve">nuevas </w:t>
      </w:r>
      <w:r w:rsidR="003500CA">
        <w:t>de instituciones que en realidad solo han sufrido cambios superficiales. Por ejemplo, dividir instituciones grandes en otras más pequeñas con el único fin de reducir el número de personas que viven en ellas no es más que la sustitución de un tipo de institución por otro.</w:t>
      </w:r>
    </w:p>
    <w:p w:rsidR="003500CA" w:rsidRDefault="00F456DA" w:rsidP="003500CA">
      <w:pPr>
        <w:pStyle w:val="SingleTxtG"/>
      </w:pPr>
      <w:r>
        <w:t>23.</w:t>
      </w:r>
      <w:r>
        <w:tab/>
      </w:r>
      <w:r w:rsidR="003500CA">
        <w:t xml:space="preserve">A menudo se considera que la segregación y el internamiento en una institución son las únicas opciones disponibles. Sin embargo, como </w:t>
      </w:r>
      <w:r w:rsidR="00D55CF9">
        <w:t xml:space="preserve">ha </w:t>
      </w:r>
      <w:r w:rsidR="003500CA">
        <w:t>estableci</w:t>
      </w:r>
      <w:r w:rsidR="00D55CF9">
        <w:t>do</w:t>
      </w:r>
      <w:r w:rsidR="003500CA">
        <w:t xml:space="preserve"> claramente el Comité sobre los Derechos de las Personas con Discapacidad, el internamiento en una institución es incompatible con el artículo 19, por lo que los Estados partes tienen la obligación de ofrecer alternativas </w:t>
      </w:r>
      <w:r w:rsidR="00D55CF9">
        <w:rPr>
          <w:rStyle w:val="Refdenotaalpie"/>
        </w:rPr>
        <w:footnoteReference w:id="17"/>
      </w:r>
      <w:r w:rsidR="00E25C34">
        <w:t>.</w:t>
      </w:r>
      <w:r w:rsidR="003500CA">
        <w:t xml:space="preserve"> Otros factores que llevan a internar a las personas con discapacidad en una institución son el hecho de que los responsables de las políticas no tengan los conocimientos adecuados, los intereses creados de los proveedores de servicios de atención institucional, la reducción de los presupuestos de servicios sociales y atención de la salud, la carencia de recursos alternativos de </w:t>
      </w:r>
      <w:r w:rsidR="00D55CF9">
        <w:t>algunas</w:t>
      </w:r>
      <w:r w:rsidR="003500CA">
        <w:t xml:space="preserve"> personas con discapacidad, la inexistencia de servicios comunitarios y el hecho de que la prestación de apoyo esté supeditada a </w:t>
      </w:r>
      <w:r w:rsidR="00D55CF9">
        <w:t>ciertos sistemas de</w:t>
      </w:r>
      <w:r w:rsidR="003500CA">
        <w:t xml:space="preserve"> </w:t>
      </w:r>
      <w:r w:rsidR="00D55CF9">
        <w:t>vida</w:t>
      </w:r>
      <w:r w:rsidR="003500CA">
        <w:t xml:space="preserve">. En el caso de las personas </w:t>
      </w:r>
      <w:r w:rsidR="00D55CF9">
        <w:t>de edad</w:t>
      </w:r>
      <w:r w:rsidR="003500CA">
        <w:t xml:space="preserve"> con discapacidad, su edad y su deficiencia, juntas o por separado, pueden aumentar su vulnerabilidad al i</w:t>
      </w:r>
      <w:r w:rsidR="00D55CF9">
        <w:t>nternamiento en una institución</w:t>
      </w:r>
      <w:r w:rsidR="00D55CF9">
        <w:rPr>
          <w:rStyle w:val="Refdenotaalpie"/>
        </w:rPr>
        <w:footnoteReference w:id="18"/>
      </w:r>
      <w:r w:rsidR="003500CA">
        <w:t>.</w:t>
      </w:r>
    </w:p>
    <w:p w:rsidR="003500CA" w:rsidRDefault="00D55CF9" w:rsidP="003500CA">
      <w:pPr>
        <w:pStyle w:val="SingleTxtG"/>
      </w:pPr>
      <w:r>
        <w:t>24.</w:t>
      </w:r>
      <w:r>
        <w:tab/>
      </w:r>
      <w:r w:rsidR="003500CA">
        <w:t>El internamiento de una persona con discapacidad en una institución priv</w:t>
      </w:r>
      <w:r>
        <w:t>ándola</w:t>
      </w:r>
      <w:r w:rsidR="003500CA">
        <w:t xml:space="preserve"> de su familia, sus amigos, la educación y el empleo </w:t>
      </w:r>
      <w:r w:rsidR="00BC1E65">
        <w:t xml:space="preserve">da lugar a </w:t>
      </w:r>
      <w:r w:rsidR="003500CA">
        <w:t>la exclu</w:t>
      </w:r>
      <w:r w:rsidR="00BC1E65">
        <w:t>sión</w:t>
      </w:r>
      <w:r w:rsidR="003500CA">
        <w:t xml:space="preserve"> soci</w:t>
      </w:r>
      <w:r w:rsidR="00BC1E65">
        <w:t>al</w:t>
      </w:r>
      <w:r w:rsidR="003500CA">
        <w:t xml:space="preserve">, crea barreras </w:t>
      </w:r>
      <w:r w:rsidR="00BC1E65">
        <w:t>para</w:t>
      </w:r>
      <w:r w:rsidR="003500CA">
        <w:t xml:space="preserve"> su inclusión en la comunidad y reduce o niega </w:t>
      </w:r>
      <w:r w:rsidR="00BC1E65">
        <w:t>la</w:t>
      </w:r>
      <w:r w:rsidR="003500CA">
        <w:t xml:space="preserve"> capacidad de </w:t>
      </w:r>
      <w:r w:rsidR="00BC1E65">
        <w:t xml:space="preserve">las personas con discapacidad para </w:t>
      </w:r>
      <w:r w:rsidR="003500CA">
        <w:t xml:space="preserve">elegir y planificar su vida. Ello coarta su autonomía al fomentar su dependencia, lo que impide que las personas con discapacidad puedan alcanzar el máximo de sus posibilidades en </w:t>
      </w:r>
      <w:r w:rsidR="00BC1E65">
        <w:t>lo que se refiere a</w:t>
      </w:r>
      <w:r w:rsidR="003500CA">
        <w:t xml:space="preserve"> independencia y participación social. Además, </w:t>
      </w:r>
      <w:r w:rsidR="00BC1E65">
        <w:t xml:space="preserve">se ha </w:t>
      </w:r>
      <w:r w:rsidR="003500CA">
        <w:t xml:space="preserve">documentado </w:t>
      </w:r>
      <w:r w:rsidR="00BC1E65">
        <w:t xml:space="preserve">ampliamente </w:t>
      </w:r>
      <w:r w:rsidR="003500CA">
        <w:t xml:space="preserve">que el internamiento en una institución puede hacer que las personas sean vulnerables a la violencia y </w:t>
      </w:r>
      <w:r w:rsidR="00BC1E65">
        <w:t>los abusos</w:t>
      </w:r>
      <w:r w:rsidR="003500CA">
        <w:t xml:space="preserve">, estando las mujeres con discapacidad particularmente expuestas a ese peligro. Ese riesgo de </w:t>
      </w:r>
      <w:r w:rsidR="00BC1E65">
        <w:t>abusos</w:t>
      </w:r>
      <w:r w:rsidR="003500CA">
        <w:t xml:space="preserve"> se ve exacerbado por la </w:t>
      </w:r>
      <w:r w:rsidR="003500CA">
        <w:lastRenderedPageBreak/>
        <w:t xml:space="preserve">ausencia de control público, la falta de acceso a vías de recurso, el miedo de denunciar los </w:t>
      </w:r>
      <w:r w:rsidR="00BC1E65">
        <w:t>abus</w:t>
      </w:r>
      <w:r w:rsidR="003500CA">
        <w:t xml:space="preserve">os y las barreras </w:t>
      </w:r>
      <w:r w:rsidR="00BC1E65">
        <w:t>de</w:t>
      </w:r>
      <w:r w:rsidR="003500CA">
        <w:t xml:space="preserve"> comunicación </w:t>
      </w:r>
      <w:r w:rsidR="002C6269">
        <w:t>relacionadas con la discapacidad</w:t>
      </w:r>
      <w:r w:rsidR="002C6269">
        <w:rPr>
          <w:rStyle w:val="Refdenotaalpie"/>
        </w:rPr>
        <w:footnoteReference w:id="19"/>
      </w:r>
      <w:r w:rsidR="003500CA">
        <w:t xml:space="preserve">. Los casos de </w:t>
      </w:r>
      <w:r w:rsidR="00CB7D56">
        <w:t>abuso</w:t>
      </w:r>
      <w:r w:rsidR="003500CA">
        <w:t xml:space="preserve"> están en contradicción directa con la obligación del Estado de proteger a las personas con discapacidad contra todas las formas de explotación, violencia y abuso, incluidos los aspectos relacionados con el género (art. 16).</w:t>
      </w:r>
    </w:p>
    <w:p w:rsidR="003500CA" w:rsidRDefault="002C6269" w:rsidP="002C6269">
      <w:pPr>
        <w:pStyle w:val="H23G"/>
      </w:pPr>
      <w:r>
        <w:tab/>
        <w:t>3.</w:t>
      </w:r>
      <w:r>
        <w:tab/>
      </w:r>
      <w:r w:rsidR="003500CA">
        <w:t>Desinstitucionalización</w:t>
      </w:r>
    </w:p>
    <w:p w:rsidR="003500CA" w:rsidRDefault="002C6269" w:rsidP="003500CA">
      <w:pPr>
        <w:pStyle w:val="SingleTxtG"/>
      </w:pPr>
      <w:r>
        <w:t>25.</w:t>
      </w:r>
      <w:r>
        <w:tab/>
      </w:r>
      <w:r w:rsidR="003500CA">
        <w:t xml:space="preserve">El Comité sobre los Derechos de las Personas con Discapacidad insta reiteradamente a los Estados partes a que adopten estrategias de desinstitucionalización </w:t>
      </w:r>
      <w:r>
        <w:t>con</w:t>
      </w:r>
      <w:r w:rsidR="003500CA">
        <w:t xml:space="preserve"> financiación y plazos e indicadores de progreso claros, en cooperación con las organizacion</w:t>
      </w:r>
      <w:r>
        <w:t>es de personas con discapacidad</w:t>
      </w:r>
      <w:r>
        <w:rPr>
          <w:rStyle w:val="Refdenotaalpie"/>
        </w:rPr>
        <w:footnoteReference w:id="20"/>
      </w:r>
      <w:r w:rsidR="003500CA">
        <w:t xml:space="preserve">. La desinstitucionalización es un proceso por el que se cambia </w:t>
      </w:r>
      <w:r>
        <w:t>el sistema</w:t>
      </w:r>
      <w:r w:rsidR="003500CA">
        <w:t xml:space="preserve"> de vida de las personas con discapacidad, que pasan de estar interna</w:t>
      </w:r>
      <w:r>
        <w:t>da</w:t>
      </w:r>
      <w:r w:rsidR="003500CA">
        <w:t xml:space="preserve">s en instituciones u otros </w:t>
      </w:r>
      <w:r>
        <w:t>entorn</w:t>
      </w:r>
      <w:r w:rsidR="003500CA">
        <w:t xml:space="preserve">os segregados a un sistema </w:t>
      </w:r>
      <w:r>
        <w:t xml:space="preserve">que posibilita </w:t>
      </w:r>
      <w:r w:rsidR="003500CA">
        <w:t xml:space="preserve">la participación social en que los servicios se prestan en </w:t>
      </w:r>
      <w:r>
        <w:t>la</w:t>
      </w:r>
      <w:r w:rsidR="003500CA">
        <w:t xml:space="preserve"> comuni</w:t>
      </w:r>
      <w:r>
        <w:t>dad</w:t>
      </w:r>
      <w:r w:rsidR="003500CA">
        <w:t xml:space="preserve"> </w:t>
      </w:r>
      <w:r>
        <w:t xml:space="preserve">con arreglo a </w:t>
      </w:r>
      <w:r w:rsidR="003500CA">
        <w:t>la v</w:t>
      </w:r>
      <w:r>
        <w:t>oluntad y las preferencias de la</w:t>
      </w:r>
      <w:r w:rsidR="003500CA">
        <w:t xml:space="preserve"> </w:t>
      </w:r>
      <w:r>
        <w:t>persona</w:t>
      </w:r>
      <w:r w:rsidR="003500CA">
        <w:t xml:space="preserve">. Tal cambio supone recobrar el control de la propia vida y exige que se presten servicios de apoyo individualizados a las personas con </w:t>
      </w:r>
      <w:r>
        <w:t>dis</w:t>
      </w:r>
      <w:r w:rsidR="003500CA">
        <w:t xml:space="preserve">capacidad (art. 19 b)) y que estas tengan a su disposición instalaciones y servicios destinados a la población en general </w:t>
      </w:r>
      <w:r w:rsidR="009F0B95">
        <w:t>y pued</w:t>
      </w:r>
      <w:r w:rsidR="00CB7D56">
        <w:t>a</w:t>
      </w:r>
      <w:r w:rsidR="009F0B95">
        <w:t xml:space="preserve">n acceder a ellos </w:t>
      </w:r>
      <w:r w:rsidR="003500CA">
        <w:t xml:space="preserve">(art. 19 c)). Una desinstitucionalización efectiva </w:t>
      </w:r>
      <w:r w:rsidR="009F0B95">
        <w:t>requiere</w:t>
      </w:r>
      <w:r w:rsidR="003500CA">
        <w:t xml:space="preserve"> un enfoque sistémico, en el que la transformación de los servicios institucionales residenciales es </w:t>
      </w:r>
      <w:r w:rsidR="009F0B95">
        <w:t>tan solo</w:t>
      </w:r>
      <w:r w:rsidR="003500CA">
        <w:t xml:space="preserve"> uno de los componentes de un cambio más amplio en esferas como la atención de la salud, la rehabilitación, los servicios de apoyo, la educación y el empleo, así como en la percepció</w:t>
      </w:r>
      <w:r w:rsidR="009F0B95">
        <w:t>n social de la discapacidad. La</w:t>
      </w:r>
      <w:r w:rsidR="003500CA">
        <w:t xml:space="preserve"> </w:t>
      </w:r>
      <w:r w:rsidR="009F0B95">
        <w:t>evidencia indica</w:t>
      </w:r>
      <w:r w:rsidR="003500CA">
        <w:t xml:space="preserve"> que la desinstitucionalización y </w:t>
      </w:r>
      <w:r w:rsidR="009F0B95">
        <w:t>el</w:t>
      </w:r>
      <w:r w:rsidR="003500CA">
        <w:t xml:space="preserve"> apoyo adecuado elevan la calidad de vida y mejoran las aptitudes funcionales individuales d</w:t>
      </w:r>
      <w:r w:rsidR="009F0B95">
        <w:t>e las personas con discapacidad</w:t>
      </w:r>
      <w:r w:rsidR="009F0B95">
        <w:rPr>
          <w:rStyle w:val="Refdenotaalpie"/>
        </w:rPr>
        <w:footnoteReference w:id="21"/>
      </w:r>
      <w:r w:rsidR="003500CA">
        <w:t xml:space="preserve">. El proceso </w:t>
      </w:r>
      <w:r w:rsidR="009F0B95">
        <w:t xml:space="preserve">de desinstitucionalización debe incluir también </w:t>
      </w:r>
      <w:r w:rsidR="003500CA">
        <w:t>a los niños con discapacidad</w:t>
      </w:r>
      <w:r w:rsidR="009F0B95">
        <w:t>;</w:t>
      </w:r>
      <w:r w:rsidR="003500CA">
        <w:t xml:space="preserve"> </w:t>
      </w:r>
      <w:r w:rsidR="009F0B95">
        <w:t xml:space="preserve">en estos casos </w:t>
      </w:r>
      <w:r w:rsidR="003500CA">
        <w:t xml:space="preserve">las instituciones </w:t>
      </w:r>
      <w:r w:rsidR="009F0B95">
        <w:t>deben sustituirse por la</w:t>
      </w:r>
      <w:r w:rsidR="003500CA">
        <w:t xml:space="preserve">s familias, </w:t>
      </w:r>
      <w:r w:rsidR="009F0B95">
        <w:t xml:space="preserve">las </w:t>
      </w:r>
      <w:r w:rsidR="003500CA">
        <w:t>familias ampliadas o sistema</w:t>
      </w:r>
      <w:r w:rsidR="009F0B95">
        <w:t>s</w:t>
      </w:r>
      <w:r w:rsidR="003500CA">
        <w:t xml:space="preserve"> de </w:t>
      </w:r>
      <w:r w:rsidR="009F0B95">
        <w:t>acogimiento</w:t>
      </w:r>
      <w:r w:rsidR="003500CA">
        <w:t xml:space="preserve">. </w:t>
      </w:r>
      <w:r w:rsidR="009F0B95">
        <w:t xml:space="preserve">Deben adoptarse </w:t>
      </w:r>
      <w:r w:rsidR="003500CA">
        <w:t xml:space="preserve">medidas </w:t>
      </w:r>
      <w:r w:rsidR="009F0B95">
        <w:t>específica</w:t>
      </w:r>
      <w:r w:rsidR="003500CA">
        <w:t xml:space="preserve">s para evitar </w:t>
      </w:r>
      <w:r w:rsidR="009F0B95">
        <w:t xml:space="preserve">un </w:t>
      </w:r>
      <w:r w:rsidR="00CB7D56">
        <w:t>nuevo</w:t>
      </w:r>
      <w:r w:rsidR="003500CA">
        <w:t xml:space="preserve"> internamiento </w:t>
      </w:r>
      <w:r w:rsidR="009F0B95">
        <w:t xml:space="preserve">en instituciones </w:t>
      </w:r>
      <w:r w:rsidR="003500CA">
        <w:t xml:space="preserve">en </w:t>
      </w:r>
      <w:r w:rsidR="009F0B95">
        <w:t>la</w:t>
      </w:r>
      <w:r w:rsidR="003500CA">
        <w:t xml:space="preserve"> transición entre la </w:t>
      </w:r>
      <w:r w:rsidR="009F0B95">
        <w:t>atenc</w:t>
      </w:r>
      <w:r w:rsidR="003500CA">
        <w:t xml:space="preserve">ión y la </w:t>
      </w:r>
      <w:r w:rsidR="009F0B95">
        <w:t>etapa posterior a esta</w:t>
      </w:r>
      <w:r w:rsidR="009F0B95">
        <w:rPr>
          <w:rStyle w:val="Refdenotaalpie"/>
        </w:rPr>
        <w:footnoteReference w:id="22"/>
      </w:r>
      <w:r w:rsidR="003500CA">
        <w:t>.</w:t>
      </w:r>
    </w:p>
    <w:p w:rsidR="003500CA" w:rsidRDefault="009F0B95" w:rsidP="003500CA">
      <w:pPr>
        <w:pStyle w:val="SingleTxtG"/>
      </w:pPr>
      <w:r>
        <w:t>26.</w:t>
      </w:r>
      <w:r>
        <w:tab/>
      </w:r>
      <w:r w:rsidR="003500CA">
        <w:t xml:space="preserve">La desinstitucionalización debe </w:t>
      </w:r>
      <w:r>
        <w:t>incluir a</w:t>
      </w:r>
      <w:r w:rsidR="003500CA">
        <w:t xml:space="preserve"> las instituciones públicas y las privadas, para evitar transferencias de un sector a otro, y aplicarse a todas las personas con discapacidad, sin excepción. Es </w:t>
      </w:r>
      <w:r>
        <w:t>necesario</w:t>
      </w:r>
      <w:r w:rsidR="003500CA">
        <w:t xml:space="preserve"> ofrecer verdaderas </w:t>
      </w:r>
      <w:r>
        <w:t xml:space="preserve">opciones </w:t>
      </w:r>
      <w:r w:rsidR="003500CA">
        <w:t xml:space="preserve">a las personas </w:t>
      </w:r>
      <w:r>
        <w:t>que salen de una institución: lo</w:t>
      </w:r>
      <w:r w:rsidR="003500CA">
        <w:t xml:space="preserve">s </w:t>
      </w:r>
      <w:r>
        <w:t>sistemas de</w:t>
      </w:r>
      <w:r w:rsidR="003500CA">
        <w:t xml:space="preserve"> vida co</w:t>
      </w:r>
      <w:r>
        <w:t>munit</w:t>
      </w:r>
      <w:r w:rsidR="003500CA">
        <w:t>a</w:t>
      </w:r>
      <w:r>
        <w:t>rios no debe</w:t>
      </w:r>
      <w:r w:rsidR="00762EF9">
        <w:t>n</w:t>
      </w:r>
      <w:r w:rsidR="003500CA">
        <w:t xml:space="preserve"> </w:t>
      </w:r>
      <w:r>
        <w:t>ser establecido</w:t>
      </w:r>
      <w:r w:rsidR="00762EF9">
        <w:t>s</w:t>
      </w:r>
      <w:r>
        <w:t xml:space="preserve"> ni supervisado</w:t>
      </w:r>
      <w:r w:rsidR="00762EF9">
        <w:t>s</w:t>
      </w:r>
      <w:r>
        <w:t xml:space="preserve"> por</w:t>
      </w:r>
      <w:r w:rsidR="003500CA">
        <w:t xml:space="preserve"> la propia institución. El Gobierno de Finlandia </w:t>
      </w:r>
      <w:r>
        <w:t xml:space="preserve">está implementando </w:t>
      </w:r>
      <w:r w:rsidR="003500CA">
        <w:t xml:space="preserve">programas que </w:t>
      </w:r>
      <w:r>
        <w:t>ofrecen</w:t>
      </w:r>
      <w:r w:rsidR="003500CA">
        <w:t xml:space="preserve"> la asignación de viviendas individuales y servicios comunitarios a personas con discapa</w:t>
      </w:r>
      <w:r>
        <w:t>cidad intelectual</w:t>
      </w:r>
      <w:r w:rsidR="003500CA">
        <w:t xml:space="preserve">, con el objetivo de lograr </w:t>
      </w:r>
      <w:r>
        <w:t>la</w:t>
      </w:r>
      <w:r w:rsidR="003500CA">
        <w:t xml:space="preserve"> desinstitucionalización completa para 2020. El apoyo es particularmente importante en la transición del internamiento en instituciones a la vida en la comunidad y debe incluir una evaluación individualizada, información, asesoramiento y asistencia en materia de vivienda e ingresos. </w:t>
      </w:r>
      <w:r w:rsidR="003500CA">
        <w:lastRenderedPageBreak/>
        <w:t xml:space="preserve">Ese apoyo debe basarse en una coordinación eficaz entre </w:t>
      </w:r>
      <w:r w:rsidR="00684AED">
        <w:t>quienes prestan</w:t>
      </w:r>
      <w:r w:rsidR="003500CA">
        <w:t xml:space="preserve"> atención sanitaria y servicios sociales y el sector de la vivienda. En Croacia, el programa "Yo como tú" ofre</w:t>
      </w:r>
      <w:r w:rsidR="00684AED">
        <w:t>ce a personas con discapacidad</w:t>
      </w:r>
      <w:r w:rsidR="003500CA">
        <w:t xml:space="preserve"> intelectual y psicosocial interna</w:t>
      </w:r>
      <w:r w:rsidR="00684AED">
        <w:t>da</w:t>
      </w:r>
      <w:r w:rsidR="003500CA">
        <w:t xml:space="preserve">s en instituciones </w:t>
      </w:r>
      <w:r w:rsidR="00684AED">
        <w:t>capacitación sobre</w:t>
      </w:r>
      <w:r w:rsidR="003500CA">
        <w:t xml:space="preserve"> planificación individual y desarroll</w:t>
      </w:r>
      <w:r w:rsidR="00684AED">
        <w:t>o</w:t>
      </w:r>
      <w:r w:rsidR="003500CA">
        <w:t xml:space="preserve"> </w:t>
      </w:r>
      <w:r w:rsidR="00684AED">
        <w:t>de habilidades</w:t>
      </w:r>
      <w:r w:rsidR="003500CA">
        <w:t xml:space="preserve"> </w:t>
      </w:r>
      <w:r w:rsidR="00684AED">
        <w:t xml:space="preserve">como </w:t>
      </w:r>
      <w:r w:rsidR="003500CA">
        <w:t xml:space="preserve">preparación para la vida en la comunidad. Se sigue prestando apoyo </w:t>
      </w:r>
      <w:r w:rsidR="000661E0">
        <w:t>a</w:t>
      </w:r>
      <w:r w:rsidR="003500CA">
        <w:t xml:space="preserve"> los beneficiarios del proyecto </w:t>
      </w:r>
      <w:r w:rsidR="00684AED">
        <w:t>incluso después de haberse trasladado al sistema comunitario</w:t>
      </w:r>
      <w:r w:rsidR="003500CA">
        <w:t xml:space="preserve">. En la República de Corea, algunas autoridades locales ofrecen prestaciones </w:t>
      </w:r>
      <w:r w:rsidR="00684AED">
        <w:t>para</w:t>
      </w:r>
      <w:r w:rsidR="003500CA">
        <w:t xml:space="preserve"> reasentamiento </w:t>
      </w:r>
      <w:r w:rsidR="00684AED">
        <w:t xml:space="preserve">con objeto de </w:t>
      </w:r>
      <w:r w:rsidR="003500CA">
        <w:t xml:space="preserve">ayudar a </w:t>
      </w:r>
      <w:r w:rsidR="00684AED">
        <w:t xml:space="preserve">que </w:t>
      </w:r>
      <w:r w:rsidR="003500CA">
        <w:t>las personas con discapacidad dadas d</w:t>
      </w:r>
      <w:r w:rsidR="00684AED">
        <w:t>e alta</w:t>
      </w:r>
      <w:r w:rsidR="003500CA">
        <w:t xml:space="preserve"> </w:t>
      </w:r>
      <w:r w:rsidR="00684AED">
        <w:t>de</w:t>
      </w:r>
      <w:r w:rsidR="003500CA">
        <w:t xml:space="preserve"> instituciones viv</w:t>
      </w:r>
      <w:r w:rsidR="00684AED">
        <w:t>an</w:t>
      </w:r>
      <w:r w:rsidR="003500CA">
        <w:t xml:space="preserve"> de forma independiente en comunidades locales.</w:t>
      </w:r>
    </w:p>
    <w:p w:rsidR="003500CA" w:rsidRDefault="002C6269" w:rsidP="003500CA">
      <w:pPr>
        <w:pStyle w:val="SingleTxtG"/>
      </w:pPr>
      <w:r>
        <w:t>27.</w:t>
      </w:r>
      <w:r>
        <w:tab/>
      </w:r>
      <w:r w:rsidR="003500CA">
        <w:t xml:space="preserve">Para sufragar el costo de la desinstitucionalización se han de reasignar los recursos, lo cual </w:t>
      </w:r>
      <w:r w:rsidR="00684AED">
        <w:t>puede requerir</w:t>
      </w:r>
      <w:r w:rsidR="003500CA">
        <w:t xml:space="preserve"> inversiones específicas, en particular en la fase inicial, asociaci</w:t>
      </w:r>
      <w:r w:rsidR="00684AED">
        <w:t>o</w:t>
      </w:r>
      <w:r w:rsidR="003500CA">
        <w:t>n</w:t>
      </w:r>
      <w:r w:rsidR="00684AED">
        <w:t>es efectiva</w:t>
      </w:r>
      <w:r w:rsidR="003500CA">
        <w:t xml:space="preserve">s y </w:t>
      </w:r>
      <w:r w:rsidR="00684AED">
        <w:t>determinación</w:t>
      </w:r>
      <w:r w:rsidR="003500CA">
        <w:t xml:space="preserve"> de prioridades. Es preciso disponer de recursos </w:t>
      </w:r>
      <w:r w:rsidR="00684AED">
        <w:t>adecuados</w:t>
      </w:r>
      <w:r w:rsidR="003500CA">
        <w:t xml:space="preserve"> para construir la n</w:t>
      </w:r>
      <w:r w:rsidR="00684AED">
        <w:t>ueva infraestructura de apoyo —tanto</w:t>
      </w:r>
      <w:r w:rsidR="003500CA">
        <w:t xml:space="preserve"> servicios comunitarios convencionales accesibles </w:t>
      </w:r>
      <w:r w:rsidR="00684AED">
        <w:t>como</w:t>
      </w:r>
      <w:r w:rsidR="003500CA">
        <w:t xml:space="preserve"> servicios de apoyo </w:t>
      </w:r>
      <w:r w:rsidR="00684AED">
        <w:t>específicos—</w:t>
      </w:r>
      <w:r w:rsidR="003500CA">
        <w:t xml:space="preserve"> antes de alterar el equilibrio </w:t>
      </w:r>
      <w:r w:rsidR="00E25C34">
        <w:t>de</w:t>
      </w:r>
      <w:r w:rsidR="00684AED">
        <w:t xml:space="preserve"> la </w:t>
      </w:r>
      <w:r w:rsidR="003500CA">
        <w:t>presta</w:t>
      </w:r>
      <w:r w:rsidR="00684AED">
        <w:t>ción</w:t>
      </w:r>
      <w:r w:rsidR="003500CA">
        <w:t xml:space="preserve"> de servicios. Las oportunidades de financiación deben </w:t>
      </w:r>
      <w:r w:rsidR="00684AED">
        <w:t>dirigir</w:t>
      </w:r>
      <w:r w:rsidR="003500CA">
        <w:t xml:space="preserve">se a la sustentación de reformas sistémicas. Por ejemplo, en la nueva normativa sobre los fondos estructurales de la Unión Europea para 2014-2020, la disponibilidad de la financiación está estrechamente ligada a la desinstitucionalización </w:t>
      </w:r>
      <w:r w:rsidR="00684AED">
        <w:t>mediante</w:t>
      </w:r>
      <w:r w:rsidR="003500CA">
        <w:t xml:space="preserve"> una serie de condiciones </w:t>
      </w:r>
      <w:r w:rsidR="00684AED">
        <w:t>previas</w:t>
      </w:r>
      <w:r w:rsidR="003500CA">
        <w:t xml:space="preserve">. </w:t>
      </w:r>
      <w:r w:rsidR="00684AED">
        <w:t>Durante</w:t>
      </w:r>
      <w:r w:rsidR="003500CA">
        <w:t xml:space="preserve"> la fase de transición los servicios comuni</w:t>
      </w:r>
      <w:r w:rsidR="00684AED">
        <w:t>tarios</w:t>
      </w:r>
      <w:r w:rsidR="003500CA">
        <w:t xml:space="preserve"> </w:t>
      </w:r>
      <w:r w:rsidR="00684AED">
        <w:t xml:space="preserve">deben </w:t>
      </w:r>
      <w:r w:rsidR="003500CA">
        <w:t xml:space="preserve">coexistir con las instituciones, </w:t>
      </w:r>
      <w:r w:rsidR="00684AED">
        <w:t>lo que requiere</w:t>
      </w:r>
      <w:r w:rsidR="003500CA">
        <w:t xml:space="preserve"> doble financiación. </w:t>
      </w:r>
      <w:r w:rsidR="0085284A">
        <w:t>Se</w:t>
      </w:r>
      <w:r w:rsidR="003500CA">
        <w:t xml:space="preserve"> ha demostrado </w:t>
      </w:r>
      <w:r w:rsidR="0085284A">
        <w:t xml:space="preserve">en estudios </w:t>
      </w:r>
      <w:r w:rsidR="003500CA">
        <w:t>que</w:t>
      </w:r>
      <w:r w:rsidR="0085284A">
        <w:t>,</w:t>
      </w:r>
      <w:r w:rsidR="003500CA">
        <w:t xml:space="preserve"> después de la fase inicial, los servicios comunitarios no resultan necesariamente más caros que los servicios institucionales; por el contrario, son más </w:t>
      </w:r>
      <w:r w:rsidR="00711F0E">
        <w:t>efectivos en función de los costos y de mejor calidad</w:t>
      </w:r>
      <w:r w:rsidR="00711F0E">
        <w:rPr>
          <w:rStyle w:val="Refdenotaalpie"/>
        </w:rPr>
        <w:footnoteReference w:id="23"/>
      </w:r>
      <w:r w:rsidR="003500CA">
        <w:t xml:space="preserve">. La comparación de costos </w:t>
      </w:r>
      <w:r w:rsidR="00711F0E">
        <w:t>de</w:t>
      </w:r>
      <w:r w:rsidR="003500CA">
        <w:t xml:space="preserve"> la atención institucional y </w:t>
      </w:r>
      <w:r w:rsidR="00E25C34">
        <w:t>los</w:t>
      </w:r>
      <w:r w:rsidR="00711F0E">
        <w:t xml:space="preserve"> de </w:t>
      </w:r>
      <w:r w:rsidR="003500CA">
        <w:t>los servicios comunitarios también de</w:t>
      </w:r>
      <w:r w:rsidR="00711F0E">
        <w:t>be</w:t>
      </w:r>
      <w:r w:rsidR="003500CA">
        <w:t xml:space="preserve"> tener en cuenta los efectos a largo plazo de la desinstitucionalización, incluidas las implicaciones fiscales de la incorporación de un mayor número de personas con discapacidad a la población activa y su contribución a</w:t>
      </w:r>
      <w:r w:rsidR="00711F0E">
        <w:t xml:space="preserve"> </w:t>
      </w:r>
      <w:r w:rsidR="003500CA">
        <w:t>l</w:t>
      </w:r>
      <w:r w:rsidR="00711F0E">
        <w:t>os</w:t>
      </w:r>
      <w:r w:rsidR="003500CA">
        <w:t xml:space="preserve"> ingreso</w:t>
      </w:r>
      <w:r w:rsidR="00711F0E">
        <w:t>s</w:t>
      </w:r>
      <w:r w:rsidR="003500CA">
        <w:t xml:space="preserve"> familiar</w:t>
      </w:r>
      <w:r w:rsidR="00711F0E">
        <w:t>es</w:t>
      </w:r>
      <w:r w:rsidR="00711F0E">
        <w:rPr>
          <w:rStyle w:val="Refdenotaalpie"/>
        </w:rPr>
        <w:footnoteReference w:id="24"/>
      </w:r>
      <w:r w:rsidR="003500CA">
        <w:t>.</w:t>
      </w:r>
    </w:p>
    <w:p w:rsidR="003500CA" w:rsidRDefault="00711F0E" w:rsidP="00711F0E">
      <w:pPr>
        <w:pStyle w:val="H1G"/>
      </w:pPr>
      <w:r>
        <w:tab/>
      </w:r>
      <w:r w:rsidR="003500CA">
        <w:t>B.</w:t>
      </w:r>
      <w:r>
        <w:tab/>
      </w:r>
      <w:r w:rsidR="003500CA">
        <w:t>Apoyo</w:t>
      </w:r>
    </w:p>
    <w:p w:rsidR="003500CA" w:rsidRDefault="00711F0E" w:rsidP="00711F0E">
      <w:pPr>
        <w:pStyle w:val="H23G"/>
      </w:pPr>
      <w:r>
        <w:tab/>
        <w:t>1.</w:t>
      </w:r>
      <w:r>
        <w:tab/>
      </w:r>
      <w:r w:rsidR="003500CA">
        <w:t>Servicios de apoyo de la comunidad</w:t>
      </w:r>
    </w:p>
    <w:p w:rsidR="003500CA" w:rsidRDefault="00711F0E" w:rsidP="003500CA">
      <w:pPr>
        <w:pStyle w:val="SingleTxtG"/>
      </w:pPr>
      <w:r>
        <w:t>28.</w:t>
      </w:r>
      <w:r>
        <w:tab/>
      </w:r>
      <w:r w:rsidR="003500CA">
        <w:t>Los servicios de apoyo son esenciales para que las personas con discapacidad puedan vivir de forma independiente y sean incluidas en la comunidad; los servicios de apoyo son también un elemento indispensable de la desinstitucionalización. El artícu</w:t>
      </w:r>
      <w:r w:rsidR="00214DAA">
        <w:t>lo 19 </w:t>
      </w:r>
      <w:r w:rsidR="003500CA">
        <w:t xml:space="preserve">b) de la Convención sobre los Derechos de las Personas con Discapacidad exige a los Estados partes que velen por que las personas con discapacidad tengan acceso a una variedad de servicios de asistencia domiciliaria, residencial y otros servicios de apoyo de la comunidad, incluida la asistencia personal que sea necesaria para facilitar su existencia y su inclusión en la comunidad y para evitar </w:t>
      </w:r>
      <w:r w:rsidR="00214DAA">
        <w:t>su aislamiento o separación de e</w:t>
      </w:r>
      <w:r w:rsidR="003500CA">
        <w:t xml:space="preserve">sta. Por consiguiente, la prestación de apoyo en entornos segregados </w:t>
      </w:r>
      <w:r>
        <w:t xml:space="preserve">para continuar </w:t>
      </w:r>
      <w:r w:rsidR="000661E0">
        <w:t xml:space="preserve">manteniendo </w:t>
      </w:r>
      <w:r>
        <w:t xml:space="preserve">la institucionalización no se ajusta a </w:t>
      </w:r>
      <w:r w:rsidR="003500CA">
        <w:t>la Convención.</w:t>
      </w:r>
    </w:p>
    <w:p w:rsidR="003500CA" w:rsidRDefault="00711F0E" w:rsidP="003500CA">
      <w:pPr>
        <w:pStyle w:val="SingleTxtG"/>
      </w:pPr>
      <w:r>
        <w:t>29.</w:t>
      </w:r>
      <w:r>
        <w:tab/>
      </w:r>
      <w:r w:rsidR="003500CA">
        <w:t xml:space="preserve">No existe una </w:t>
      </w:r>
      <w:r>
        <w:t xml:space="preserve">única </w:t>
      </w:r>
      <w:r w:rsidR="003500CA">
        <w:t xml:space="preserve">modalidad de apoyo adecuada para todos los contextos. Por </w:t>
      </w:r>
      <w:r>
        <w:t>ello</w:t>
      </w:r>
      <w:r w:rsidR="003500CA">
        <w:t xml:space="preserve">, el artículo 19 b) </w:t>
      </w:r>
      <w:r>
        <w:t>incluye</w:t>
      </w:r>
      <w:r w:rsidR="003500CA">
        <w:t xml:space="preserve"> una variedad de servicios que pueden ser prestados por proveedores distintos. Existen, sin embargo, ciertos criterios que se han de respetar, sobre </w:t>
      </w:r>
      <w:r w:rsidR="003500CA">
        <w:lastRenderedPageBreak/>
        <w:t xml:space="preserve">la base del principio de que el apoyo en el sentido del artículo 19 implica </w:t>
      </w:r>
      <w:r>
        <w:t xml:space="preserve">un cambio de "la </w:t>
      </w:r>
      <w:r w:rsidR="003500CA">
        <w:t>atención" a " los derechos". Todas las personas con discapacidad deben tener igualdad de acceso</w:t>
      </w:r>
      <w:r>
        <w:t xml:space="preserve"> y de elección, y control en relación con </w:t>
      </w:r>
      <w:r w:rsidR="003500CA">
        <w:t xml:space="preserve">servicios de apoyo que respeten su dignidad inherente y su autonomía individual </w:t>
      </w:r>
      <w:r>
        <w:t>y tengan por objeto</w:t>
      </w:r>
      <w:r w:rsidR="003500CA">
        <w:t xml:space="preserve"> lograr su participación e inc</w:t>
      </w:r>
      <w:r>
        <w:t>lusión efectivas en la sociedad</w:t>
      </w:r>
      <w:r w:rsidR="003500CA">
        <w:t xml:space="preserve">. La promoción de la participación y la autosuficiencia como </w:t>
      </w:r>
      <w:r>
        <w:t xml:space="preserve">meta </w:t>
      </w:r>
      <w:r w:rsidR="003500CA">
        <w:t xml:space="preserve">del apoyo también </w:t>
      </w:r>
      <w:r>
        <w:t>debe</w:t>
      </w:r>
      <w:r w:rsidR="003500CA">
        <w:t xml:space="preserve"> hacerse extensiva a los niños con discapacidad, cuya inclusión en la sociedad es </w:t>
      </w:r>
      <w:r>
        <w:t xml:space="preserve">un aspecto esencial </w:t>
      </w:r>
      <w:r w:rsidR="003500CA">
        <w:t xml:space="preserve">del artículo 23 de la Convención sobre los Derechos del Niño y </w:t>
      </w:r>
      <w:r>
        <w:t>d</w:t>
      </w:r>
      <w:r w:rsidR="003500CA">
        <w:t>el artículo 7 de la Convención sobre los Derechos d</w:t>
      </w:r>
      <w:r>
        <w:t>e las Personas con Discapacidad</w:t>
      </w:r>
      <w:r>
        <w:rPr>
          <w:rStyle w:val="Refdenotaalpie"/>
        </w:rPr>
        <w:footnoteReference w:id="25"/>
      </w:r>
      <w:r w:rsidR="003500CA">
        <w:t>.</w:t>
      </w:r>
    </w:p>
    <w:p w:rsidR="00762EF9" w:rsidRPr="00924383" w:rsidRDefault="00762EF9" w:rsidP="00762EF9">
      <w:pPr>
        <w:pStyle w:val="SingleTxtG"/>
        <w:rPr>
          <w:lang w:val="es-ES_tradnl"/>
        </w:rPr>
      </w:pPr>
      <w:r w:rsidRPr="00924383">
        <w:rPr>
          <w:lang w:val="es-ES_tradnl"/>
        </w:rPr>
        <w:t>3</w:t>
      </w:r>
      <w:r>
        <w:rPr>
          <w:lang w:val="es-ES_tradnl"/>
        </w:rPr>
        <w:t>0.</w:t>
      </w:r>
      <w:r>
        <w:rPr>
          <w:lang w:val="es-ES_tradnl"/>
        </w:rPr>
        <w:tab/>
      </w:r>
      <w:r w:rsidRPr="00924383">
        <w:rPr>
          <w:lang w:val="es-ES_tradnl"/>
        </w:rPr>
        <w:t xml:space="preserve">Los servicios de apoyo </w:t>
      </w:r>
      <w:r>
        <w:rPr>
          <w:lang w:val="es-ES_tradnl"/>
        </w:rPr>
        <w:t>domiciliario</w:t>
      </w:r>
      <w:r w:rsidRPr="00924383">
        <w:rPr>
          <w:lang w:val="es-ES_tradnl"/>
        </w:rPr>
        <w:t xml:space="preserve"> </w:t>
      </w:r>
      <w:r>
        <w:rPr>
          <w:lang w:val="es-ES_tradnl"/>
        </w:rPr>
        <w:t>incluy</w:t>
      </w:r>
      <w:r w:rsidRPr="00924383">
        <w:rPr>
          <w:lang w:val="es-ES_tradnl"/>
        </w:rPr>
        <w:t>en asistencia para el cuidado personal y las tareas de la casa. En Cuba, por ejemplo, las personas con discapacidad que viven de forma independiente pueden tener acceso a</w:t>
      </w:r>
      <w:r>
        <w:rPr>
          <w:lang w:val="es-ES_tradnl"/>
        </w:rPr>
        <w:t xml:space="preserve"> un</w:t>
      </w:r>
      <w:r w:rsidRPr="00924383">
        <w:rPr>
          <w:lang w:val="es-ES_tradnl"/>
        </w:rPr>
        <w:t xml:space="preserve"> servicio </w:t>
      </w:r>
      <w:r>
        <w:rPr>
          <w:lang w:val="es-ES_tradnl"/>
        </w:rPr>
        <w:t xml:space="preserve">público </w:t>
      </w:r>
      <w:r w:rsidRPr="00924383">
        <w:rPr>
          <w:lang w:val="es-ES_tradnl"/>
        </w:rPr>
        <w:t xml:space="preserve">de </w:t>
      </w:r>
      <w:r>
        <w:rPr>
          <w:lang w:val="es-ES_tradnl"/>
        </w:rPr>
        <w:t xml:space="preserve">asistencia social doméstica, que presta </w:t>
      </w:r>
      <w:r w:rsidRPr="00924383">
        <w:rPr>
          <w:lang w:val="es-ES_tradnl"/>
        </w:rPr>
        <w:t xml:space="preserve">apoyo personal y doméstico. En todo caso, el apoyo a domicilio </w:t>
      </w:r>
      <w:r>
        <w:rPr>
          <w:lang w:val="es-ES_tradnl"/>
        </w:rPr>
        <w:t xml:space="preserve">ha de </w:t>
      </w:r>
      <w:r w:rsidRPr="00924383">
        <w:rPr>
          <w:lang w:val="es-ES_tradnl"/>
        </w:rPr>
        <w:t>contribuir a promover la inclusión y pre</w:t>
      </w:r>
      <w:r>
        <w:rPr>
          <w:lang w:val="es-ES_tradnl"/>
        </w:rPr>
        <w:t>venir la segregación. No debe</w:t>
      </w:r>
      <w:r w:rsidRPr="00924383">
        <w:rPr>
          <w:lang w:val="es-ES_tradnl"/>
        </w:rPr>
        <w:t xml:space="preserve"> impedi</w:t>
      </w:r>
      <w:r>
        <w:rPr>
          <w:lang w:val="es-ES_tradnl"/>
        </w:rPr>
        <w:t>r que una persona salga de su ho</w:t>
      </w:r>
      <w:r w:rsidRPr="00924383">
        <w:rPr>
          <w:lang w:val="es-ES_tradnl"/>
        </w:rPr>
        <w:t>gar cuando lo desee y debe</w:t>
      </w:r>
      <w:r>
        <w:rPr>
          <w:lang w:val="es-ES_tradnl"/>
        </w:rPr>
        <w:t xml:space="preserve"> complementarse</w:t>
      </w:r>
      <w:r w:rsidRPr="00924383">
        <w:rPr>
          <w:lang w:val="es-ES_tradnl"/>
        </w:rPr>
        <w:t xml:space="preserve">, </w:t>
      </w:r>
      <w:r>
        <w:rPr>
          <w:lang w:val="es-ES_tradnl"/>
        </w:rPr>
        <w:t xml:space="preserve">cuando </w:t>
      </w:r>
      <w:r w:rsidRPr="00924383">
        <w:rPr>
          <w:lang w:val="es-ES_tradnl"/>
        </w:rPr>
        <w:t xml:space="preserve">sea necesario, </w:t>
      </w:r>
      <w:r>
        <w:rPr>
          <w:lang w:val="es-ES_tradnl"/>
        </w:rPr>
        <w:t xml:space="preserve">con </w:t>
      </w:r>
      <w:r w:rsidRPr="00924383">
        <w:rPr>
          <w:lang w:val="es-ES_tradnl"/>
        </w:rPr>
        <w:t>otros servicios comunitarios.</w:t>
      </w:r>
    </w:p>
    <w:p w:rsidR="00762EF9" w:rsidRPr="00545CFF" w:rsidRDefault="00762EF9" w:rsidP="00762EF9">
      <w:pPr>
        <w:pStyle w:val="SingleTxtG"/>
        <w:rPr>
          <w:lang w:val="es-ES_tradnl"/>
        </w:rPr>
      </w:pPr>
      <w:r>
        <w:rPr>
          <w:lang w:val="es-ES_tradnl"/>
        </w:rPr>
        <w:t>31.</w:t>
      </w:r>
      <w:r>
        <w:rPr>
          <w:lang w:val="es-ES_tradnl"/>
        </w:rPr>
        <w:tab/>
      </w:r>
      <w:r w:rsidRPr="00545CFF">
        <w:rPr>
          <w:lang w:val="es-ES_tradnl"/>
        </w:rPr>
        <w:t xml:space="preserve">Los Estados han </w:t>
      </w:r>
      <w:r>
        <w:rPr>
          <w:lang w:val="es-ES_tradnl"/>
        </w:rPr>
        <w:t>establec</w:t>
      </w:r>
      <w:r w:rsidRPr="00545CFF">
        <w:rPr>
          <w:lang w:val="es-ES_tradnl"/>
        </w:rPr>
        <w:t xml:space="preserve">ido </w:t>
      </w:r>
      <w:r>
        <w:rPr>
          <w:lang w:val="es-ES_tradnl"/>
        </w:rPr>
        <w:t>vari</w:t>
      </w:r>
      <w:r w:rsidR="00DD5E30">
        <w:rPr>
          <w:lang w:val="es-ES_tradnl"/>
        </w:rPr>
        <w:t>a</w:t>
      </w:r>
      <w:r>
        <w:rPr>
          <w:lang w:val="es-ES_tradnl"/>
        </w:rPr>
        <w:t xml:space="preserve">s formas </w:t>
      </w:r>
      <w:r w:rsidRPr="00545CFF">
        <w:rPr>
          <w:lang w:val="es-ES_tradnl"/>
        </w:rPr>
        <w:t xml:space="preserve">de apoyo </w:t>
      </w:r>
      <w:r>
        <w:rPr>
          <w:lang w:val="es-ES_tradnl"/>
        </w:rPr>
        <w:t xml:space="preserve">residencial </w:t>
      </w:r>
      <w:r w:rsidRPr="00545CFF">
        <w:rPr>
          <w:lang w:val="es-ES_tradnl"/>
        </w:rPr>
        <w:t xml:space="preserve">y alojamiento en </w:t>
      </w:r>
      <w:r>
        <w:rPr>
          <w:lang w:val="es-ES_tradnl"/>
        </w:rPr>
        <w:t>hogares de vida independiente</w:t>
      </w:r>
      <w:r w:rsidRPr="00545CFF">
        <w:rPr>
          <w:lang w:val="es-ES_tradnl"/>
        </w:rPr>
        <w:t xml:space="preserve">. El apoyo </w:t>
      </w:r>
      <w:r>
        <w:rPr>
          <w:lang w:val="es-ES_tradnl"/>
        </w:rPr>
        <w:t xml:space="preserve">residencial </w:t>
      </w:r>
      <w:r w:rsidRPr="00545CFF">
        <w:rPr>
          <w:lang w:val="es-ES_tradnl"/>
        </w:rPr>
        <w:t>debe respeta</w:t>
      </w:r>
      <w:r>
        <w:rPr>
          <w:lang w:val="es-ES_tradnl"/>
        </w:rPr>
        <w:t xml:space="preserve">r la </w:t>
      </w:r>
      <w:r w:rsidRPr="00545CFF">
        <w:rPr>
          <w:lang w:val="es-ES_tradnl"/>
        </w:rPr>
        <w:t>elecci</w:t>
      </w:r>
      <w:r>
        <w:rPr>
          <w:lang w:val="es-ES_tradnl"/>
        </w:rPr>
        <w:t xml:space="preserve">ón </w:t>
      </w:r>
      <w:r w:rsidRPr="00545CFF">
        <w:rPr>
          <w:lang w:val="es-ES_tradnl"/>
        </w:rPr>
        <w:t xml:space="preserve">del beneficiario </w:t>
      </w:r>
      <w:r>
        <w:rPr>
          <w:lang w:val="es-ES_tradnl"/>
        </w:rPr>
        <w:t xml:space="preserve">de </w:t>
      </w:r>
      <w:r w:rsidRPr="00545CFF">
        <w:rPr>
          <w:lang w:val="es-ES_tradnl"/>
        </w:rPr>
        <w:t>evitar formas de internamiento</w:t>
      </w:r>
      <w:r>
        <w:rPr>
          <w:lang w:val="es-ES_tradnl"/>
        </w:rPr>
        <w:t xml:space="preserve"> en instituciones</w:t>
      </w:r>
      <w:r w:rsidRPr="00545CFF">
        <w:rPr>
          <w:lang w:val="es-ES_tradnl"/>
        </w:rPr>
        <w:t xml:space="preserve">. Los centros de atención de día también pueden </w:t>
      </w:r>
      <w:r>
        <w:rPr>
          <w:lang w:val="es-ES_tradnl"/>
        </w:rPr>
        <w:t xml:space="preserve">dar lugar al </w:t>
      </w:r>
      <w:r w:rsidRPr="00545CFF">
        <w:rPr>
          <w:lang w:val="es-ES_tradnl"/>
        </w:rPr>
        <w:t xml:space="preserve">aislamiento y </w:t>
      </w:r>
      <w:r>
        <w:rPr>
          <w:lang w:val="es-ES_tradnl"/>
        </w:rPr>
        <w:t xml:space="preserve">a la </w:t>
      </w:r>
      <w:r w:rsidRPr="00545CFF">
        <w:rPr>
          <w:lang w:val="es-ES_tradnl"/>
        </w:rPr>
        <w:t>estigmatización si se utilizan para mantener a las personas con discapacidad separadas de la comunidad</w:t>
      </w:r>
      <w:r w:rsidRPr="00554163">
        <w:rPr>
          <w:rStyle w:val="Refdenotaalpie"/>
          <w:szCs w:val="18"/>
          <w:lang w:val="es-ES_tradnl"/>
        </w:rPr>
        <w:footnoteReference w:id="26"/>
      </w:r>
      <w:r w:rsidRPr="00545CFF">
        <w:rPr>
          <w:lang w:val="es-ES_tradnl"/>
        </w:rPr>
        <w:t>.</w:t>
      </w:r>
    </w:p>
    <w:p w:rsidR="00762EF9" w:rsidRPr="00F56EB7" w:rsidRDefault="00762EF9" w:rsidP="00762EF9">
      <w:pPr>
        <w:pStyle w:val="SingleTxtG"/>
        <w:rPr>
          <w:lang w:val="es-ES_tradnl"/>
        </w:rPr>
      </w:pPr>
      <w:r>
        <w:rPr>
          <w:lang w:val="es-ES_tradnl"/>
        </w:rPr>
        <w:t>32.</w:t>
      </w:r>
      <w:r>
        <w:rPr>
          <w:lang w:val="es-ES_tradnl"/>
        </w:rPr>
        <w:tab/>
      </w:r>
      <w:r w:rsidRPr="00F56EB7">
        <w:rPr>
          <w:lang w:val="es-ES_tradnl"/>
        </w:rPr>
        <w:t xml:space="preserve">Las </w:t>
      </w:r>
      <w:r>
        <w:rPr>
          <w:lang w:val="es-ES_tradnl"/>
        </w:rPr>
        <w:t>aport</w:t>
      </w:r>
      <w:r w:rsidRPr="00F56EB7">
        <w:rPr>
          <w:lang w:val="es-ES_tradnl"/>
        </w:rPr>
        <w:t>aciones</w:t>
      </w:r>
      <w:r>
        <w:rPr>
          <w:lang w:val="es-ES_tradnl"/>
        </w:rPr>
        <w:t xml:space="preserve"> recibidas contenían referencias</w:t>
      </w:r>
      <w:r w:rsidRPr="00F56EB7">
        <w:rPr>
          <w:lang w:val="es-ES_tradnl"/>
        </w:rPr>
        <w:t xml:space="preserve"> a una amplia gama de servicios de apoyo comunitarios</w:t>
      </w:r>
      <w:r>
        <w:rPr>
          <w:lang w:val="es-ES_tradnl"/>
        </w:rPr>
        <w:t xml:space="preserve"> de otro tipo</w:t>
      </w:r>
      <w:r w:rsidRPr="00F56EB7">
        <w:rPr>
          <w:lang w:val="es-ES_tradnl"/>
        </w:rPr>
        <w:t xml:space="preserve">, a menudo </w:t>
      </w:r>
      <w:r>
        <w:rPr>
          <w:lang w:val="es-ES_tradnl"/>
        </w:rPr>
        <w:t xml:space="preserve">denominados </w:t>
      </w:r>
      <w:r w:rsidRPr="00F56EB7">
        <w:rPr>
          <w:lang w:val="es-ES_tradnl"/>
        </w:rPr>
        <w:t xml:space="preserve">centros </w:t>
      </w:r>
      <w:r>
        <w:rPr>
          <w:lang w:val="es-ES_tradnl"/>
        </w:rPr>
        <w:t>de apoyo a</w:t>
      </w:r>
      <w:r w:rsidRPr="00F56EB7">
        <w:rPr>
          <w:lang w:val="es-ES_tradnl"/>
        </w:rPr>
        <w:t xml:space="preserve"> la vida independiente. El apoyo prestado en esos casos consiste en información y asesoramiento, auto</w:t>
      </w:r>
      <w:r>
        <w:rPr>
          <w:lang w:val="es-ES_tradnl"/>
        </w:rPr>
        <w:t xml:space="preserve">apoyo </w:t>
      </w:r>
      <w:r w:rsidRPr="00F56EB7">
        <w:rPr>
          <w:lang w:val="es-ES_tradnl"/>
        </w:rPr>
        <w:t>y a</w:t>
      </w:r>
      <w:r>
        <w:rPr>
          <w:lang w:val="es-ES_tradnl"/>
        </w:rPr>
        <w:t xml:space="preserve">poyo </w:t>
      </w:r>
      <w:r w:rsidRPr="00F56EB7">
        <w:rPr>
          <w:lang w:val="es-ES_tradnl"/>
        </w:rPr>
        <w:t>entre pares, protección de derechos e intereses, albergues, servicios de vivienda, capacitación para la vida independiente, ayuda para la adopción de decisiones y asistencia personal</w:t>
      </w:r>
      <w:r w:rsidRPr="00554163">
        <w:rPr>
          <w:sz w:val="18"/>
          <w:szCs w:val="18"/>
          <w:vertAlign w:val="superscript"/>
          <w:lang w:val="es-ES_tradnl"/>
        </w:rPr>
        <w:footnoteReference w:id="27"/>
      </w:r>
      <w:r w:rsidRPr="00F56EB7">
        <w:rPr>
          <w:lang w:val="es-ES_tradnl"/>
        </w:rPr>
        <w:t xml:space="preserve">. Los Estados </w:t>
      </w:r>
      <w:r>
        <w:rPr>
          <w:lang w:val="es-ES_tradnl"/>
        </w:rPr>
        <w:t xml:space="preserve">mencionaron el </w:t>
      </w:r>
      <w:r w:rsidRPr="00F56EB7">
        <w:rPr>
          <w:lang w:val="es-ES_tradnl"/>
        </w:rPr>
        <w:t xml:space="preserve">apoyo </w:t>
      </w:r>
      <w:r>
        <w:rPr>
          <w:lang w:val="es-ES_tradnl"/>
        </w:rPr>
        <w:t xml:space="preserve">prestado </w:t>
      </w:r>
      <w:r w:rsidRPr="00F56EB7">
        <w:rPr>
          <w:lang w:val="es-ES_tradnl"/>
        </w:rPr>
        <w:t xml:space="preserve">en materia de transporte y comunicación, como la </w:t>
      </w:r>
      <w:r>
        <w:rPr>
          <w:lang w:val="es-ES_tradnl"/>
        </w:rPr>
        <w:t>facili</w:t>
      </w:r>
      <w:r w:rsidRPr="00F56EB7">
        <w:rPr>
          <w:lang w:val="es-ES_tradnl"/>
        </w:rPr>
        <w:t xml:space="preserve">tación de un intérprete de lengua de señas. Se mencionó también </w:t>
      </w:r>
      <w:r>
        <w:rPr>
          <w:lang w:val="es-ES_tradnl"/>
        </w:rPr>
        <w:t xml:space="preserve">la prestación de </w:t>
      </w:r>
      <w:r w:rsidRPr="00F56EB7">
        <w:rPr>
          <w:lang w:val="es-ES_tradnl"/>
        </w:rPr>
        <w:t xml:space="preserve">apoyo comunitario </w:t>
      </w:r>
      <w:r>
        <w:rPr>
          <w:lang w:val="es-ES_tradnl"/>
        </w:rPr>
        <w:t xml:space="preserve">a las familias </w:t>
      </w:r>
      <w:r w:rsidRPr="00F56EB7">
        <w:rPr>
          <w:lang w:val="es-ES_tradnl"/>
        </w:rPr>
        <w:t xml:space="preserve">en forma de </w:t>
      </w:r>
      <w:r>
        <w:rPr>
          <w:lang w:val="es-ES_tradnl"/>
        </w:rPr>
        <w:t xml:space="preserve">servicios de </w:t>
      </w:r>
      <w:r w:rsidRPr="00F56EB7">
        <w:rPr>
          <w:lang w:val="es-ES_tradnl"/>
        </w:rPr>
        <w:t xml:space="preserve">evaluación profesional de necesidades individuales o de </w:t>
      </w:r>
      <w:r>
        <w:rPr>
          <w:lang w:val="es-ES_tradnl"/>
        </w:rPr>
        <w:t>crisis familiar</w:t>
      </w:r>
      <w:r w:rsidRPr="00F56EB7">
        <w:rPr>
          <w:lang w:val="es-ES_tradnl"/>
        </w:rPr>
        <w:t xml:space="preserve">, como </w:t>
      </w:r>
      <w:r>
        <w:rPr>
          <w:lang w:val="es-ES_tradnl"/>
        </w:rPr>
        <w:t>mediación y</w:t>
      </w:r>
      <w:r w:rsidRPr="00F56EB7">
        <w:rPr>
          <w:lang w:val="es-ES_tradnl"/>
        </w:rPr>
        <w:t xml:space="preserve"> apoyo en casos de violencia. En este caso, el concepto de comunidad no se de</w:t>
      </w:r>
      <w:r>
        <w:rPr>
          <w:lang w:val="es-ES_tradnl"/>
        </w:rPr>
        <w:t>be</w:t>
      </w:r>
      <w:r w:rsidRPr="00F56EB7">
        <w:rPr>
          <w:lang w:val="es-ES_tradnl"/>
        </w:rPr>
        <w:t xml:space="preserve"> circunscribir necesar</w:t>
      </w:r>
      <w:r>
        <w:rPr>
          <w:lang w:val="es-ES_tradnl"/>
        </w:rPr>
        <w:t>i</w:t>
      </w:r>
      <w:r w:rsidRPr="00F56EB7">
        <w:rPr>
          <w:lang w:val="es-ES_tradnl"/>
        </w:rPr>
        <w:t xml:space="preserve">amente a </w:t>
      </w:r>
      <w:r>
        <w:rPr>
          <w:lang w:val="es-ES_tradnl"/>
        </w:rPr>
        <w:t xml:space="preserve">un lugar </w:t>
      </w:r>
      <w:r w:rsidRPr="00F56EB7">
        <w:rPr>
          <w:lang w:val="es-ES_tradnl"/>
        </w:rPr>
        <w:t>geográfico o físico: algunas personas con autismo han con</w:t>
      </w:r>
      <w:r>
        <w:rPr>
          <w:lang w:val="es-ES_tradnl"/>
        </w:rPr>
        <w:t>sider</w:t>
      </w:r>
      <w:r w:rsidRPr="00F56EB7">
        <w:rPr>
          <w:lang w:val="es-ES_tradnl"/>
        </w:rPr>
        <w:t>ado que el apoyo prestado por Internet puede ser más ef</w:t>
      </w:r>
      <w:r>
        <w:rPr>
          <w:lang w:val="es-ES_tradnl"/>
        </w:rPr>
        <w:t>ectivo</w:t>
      </w:r>
      <w:r w:rsidRPr="00F56EB7">
        <w:rPr>
          <w:lang w:val="es-ES_tradnl"/>
        </w:rPr>
        <w:t xml:space="preserve">, en ciertos casos, que el apoyo </w:t>
      </w:r>
      <w:r>
        <w:rPr>
          <w:lang w:val="es-ES_tradnl"/>
        </w:rPr>
        <w:t xml:space="preserve">recibido en </w:t>
      </w:r>
      <w:r w:rsidRPr="00F56EB7">
        <w:rPr>
          <w:lang w:val="es-ES_tradnl"/>
        </w:rPr>
        <w:t>persona</w:t>
      </w:r>
      <w:r w:rsidRPr="00554163">
        <w:rPr>
          <w:sz w:val="18"/>
          <w:szCs w:val="18"/>
          <w:vertAlign w:val="superscript"/>
          <w:lang w:val="es-ES_tradnl"/>
        </w:rPr>
        <w:footnoteReference w:id="28"/>
      </w:r>
      <w:r w:rsidRPr="00F56EB7">
        <w:rPr>
          <w:lang w:val="es-ES_tradnl"/>
        </w:rPr>
        <w:t>.</w:t>
      </w:r>
    </w:p>
    <w:p w:rsidR="00762EF9" w:rsidRPr="00285D9C" w:rsidRDefault="00762EF9" w:rsidP="00762EF9">
      <w:pPr>
        <w:pStyle w:val="H23G"/>
        <w:rPr>
          <w:lang w:val="es-ES_tradnl"/>
        </w:rPr>
      </w:pPr>
      <w:r>
        <w:rPr>
          <w:lang w:val="es-ES_tradnl"/>
        </w:rPr>
        <w:tab/>
        <w:t>2.</w:t>
      </w:r>
      <w:r>
        <w:rPr>
          <w:lang w:val="es-ES_tradnl"/>
        </w:rPr>
        <w:tab/>
      </w:r>
      <w:r w:rsidRPr="00285D9C">
        <w:rPr>
          <w:lang w:val="es-ES_tradnl"/>
        </w:rPr>
        <w:t>Asistencia personal</w:t>
      </w:r>
    </w:p>
    <w:p w:rsidR="00762EF9" w:rsidRPr="005E601A" w:rsidRDefault="00762EF9" w:rsidP="00762EF9">
      <w:pPr>
        <w:pStyle w:val="SingleTxtG"/>
        <w:rPr>
          <w:lang w:val="es-ES_tradnl"/>
        </w:rPr>
      </w:pPr>
      <w:r>
        <w:rPr>
          <w:lang w:val="es-ES_tradnl"/>
        </w:rPr>
        <w:t>33.</w:t>
      </w:r>
      <w:r>
        <w:rPr>
          <w:lang w:val="es-ES_tradnl"/>
        </w:rPr>
        <w:tab/>
      </w:r>
      <w:r w:rsidRPr="005E601A">
        <w:rPr>
          <w:lang w:val="es-ES_tradnl"/>
        </w:rPr>
        <w:t xml:space="preserve">La asistencia personal fomenta la inclusión ayudando a las personas con discapacidad a participar plenamente en la vida de la comunidad. Por ejemplo, en Suecia, de conformidad con la Ley de Apoyo y Servicios a las Personas con </w:t>
      </w:r>
      <w:r>
        <w:rPr>
          <w:lang w:val="es-ES_tradnl"/>
        </w:rPr>
        <w:t>C</w:t>
      </w:r>
      <w:r w:rsidRPr="005E601A">
        <w:rPr>
          <w:lang w:val="es-ES_tradnl"/>
        </w:rPr>
        <w:t xml:space="preserve">iertas Deficiencias Funcionales, la asistencia personal puede incluir apoyo </w:t>
      </w:r>
      <w:r>
        <w:rPr>
          <w:lang w:val="es-ES_tradnl"/>
        </w:rPr>
        <w:t xml:space="preserve">específico </w:t>
      </w:r>
      <w:r w:rsidRPr="005E601A">
        <w:rPr>
          <w:lang w:val="es-ES_tradnl"/>
        </w:rPr>
        <w:t xml:space="preserve">individualizado </w:t>
      </w:r>
      <w:r>
        <w:rPr>
          <w:lang w:val="es-ES_tradnl"/>
        </w:rPr>
        <w:t xml:space="preserve">para la </w:t>
      </w:r>
      <w:r w:rsidRPr="005E601A">
        <w:rPr>
          <w:lang w:val="es-ES_tradnl"/>
        </w:rPr>
        <w:t>higiene personal</w:t>
      </w:r>
      <w:r>
        <w:rPr>
          <w:lang w:val="es-ES_tradnl"/>
        </w:rPr>
        <w:t xml:space="preserve">, las </w:t>
      </w:r>
      <w:r w:rsidRPr="005E601A">
        <w:rPr>
          <w:lang w:val="es-ES_tradnl"/>
        </w:rPr>
        <w:t xml:space="preserve">comidas, vestirse, desplazarse y comunicarse con otras personas. En Tailandia, las personas que necesitan más apoyo pueden solicitar los servicios de un asistente personal por un máximo de </w:t>
      </w:r>
      <w:r>
        <w:rPr>
          <w:lang w:val="es-ES_tradnl"/>
        </w:rPr>
        <w:t>6</w:t>
      </w:r>
      <w:r w:rsidRPr="005E601A">
        <w:rPr>
          <w:lang w:val="es-ES_tradnl"/>
        </w:rPr>
        <w:t xml:space="preserve"> horas al día o 180 horas al mes. En la República de </w:t>
      </w:r>
      <w:r w:rsidRPr="005E601A">
        <w:rPr>
          <w:lang w:val="es-ES_tradnl"/>
        </w:rPr>
        <w:lastRenderedPageBreak/>
        <w:t>Corea</w:t>
      </w:r>
      <w:r>
        <w:rPr>
          <w:lang w:val="es-ES_tradnl"/>
        </w:rPr>
        <w:t xml:space="preserve">, a enero de 2013, </w:t>
      </w:r>
      <w:r w:rsidRPr="005E601A">
        <w:rPr>
          <w:lang w:val="es-ES_tradnl"/>
        </w:rPr>
        <w:t xml:space="preserve">unas 50.000 personas con discapacidad habían </w:t>
      </w:r>
      <w:r>
        <w:rPr>
          <w:lang w:val="es-ES_tradnl"/>
        </w:rPr>
        <w:t>recib</w:t>
      </w:r>
      <w:r w:rsidRPr="005E601A">
        <w:rPr>
          <w:lang w:val="es-ES_tradnl"/>
        </w:rPr>
        <w:t>ido servicios de asistencia personal.</w:t>
      </w:r>
    </w:p>
    <w:p w:rsidR="00762EF9" w:rsidRDefault="00762EF9" w:rsidP="00762EF9">
      <w:pPr>
        <w:pStyle w:val="SingleTxtG"/>
        <w:rPr>
          <w:lang w:val="es-ES_tradnl"/>
        </w:rPr>
      </w:pPr>
      <w:r>
        <w:rPr>
          <w:lang w:val="es-ES_tradnl"/>
        </w:rPr>
        <w:t>34.</w:t>
      </w:r>
      <w:r>
        <w:rPr>
          <w:lang w:val="es-ES_tradnl"/>
        </w:rPr>
        <w:tab/>
        <w:t>La asistencia personal debe estar a disposición de t</w:t>
      </w:r>
      <w:r w:rsidRPr="00865481">
        <w:rPr>
          <w:lang w:val="es-ES_tradnl"/>
        </w:rPr>
        <w:t xml:space="preserve">odas las personas con discapacidad. </w:t>
      </w:r>
      <w:r>
        <w:rPr>
          <w:lang w:val="es-ES_tradnl"/>
        </w:rPr>
        <w:t>No obstante</w:t>
      </w:r>
      <w:r w:rsidR="00DD5E30">
        <w:rPr>
          <w:lang w:val="es-ES_tradnl"/>
        </w:rPr>
        <w:t xml:space="preserve">, en muchos países solo </w:t>
      </w:r>
      <w:r w:rsidRPr="00865481">
        <w:rPr>
          <w:lang w:val="es-ES_tradnl"/>
        </w:rPr>
        <w:t xml:space="preserve">pueden </w:t>
      </w:r>
      <w:r>
        <w:rPr>
          <w:lang w:val="es-ES_tradnl"/>
        </w:rPr>
        <w:t xml:space="preserve">tenerla </w:t>
      </w:r>
      <w:r w:rsidRPr="00865481">
        <w:rPr>
          <w:lang w:val="es-ES_tradnl"/>
        </w:rPr>
        <w:t xml:space="preserve">las personas </w:t>
      </w:r>
      <w:r>
        <w:rPr>
          <w:lang w:val="es-ES_tradnl"/>
        </w:rPr>
        <w:t xml:space="preserve">con </w:t>
      </w:r>
      <w:r w:rsidRPr="00865481">
        <w:rPr>
          <w:lang w:val="es-ES_tradnl"/>
        </w:rPr>
        <w:t>determinadas deficiencias. El Comité sobre los Derechos de las Personas con Discapacidad ha manifestado su preocupación por esas limitaciones en su diálogo con los Estados partes</w:t>
      </w:r>
      <w:r w:rsidRPr="00554163">
        <w:rPr>
          <w:sz w:val="18"/>
          <w:szCs w:val="18"/>
          <w:vertAlign w:val="superscript"/>
          <w:lang w:val="es-ES_tradnl"/>
        </w:rPr>
        <w:footnoteReference w:id="29"/>
      </w:r>
      <w:r w:rsidRPr="00865481">
        <w:rPr>
          <w:lang w:val="es-ES_tradnl"/>
        </w:rPr>
        <w:t xml:space="preserve">. Una gama de </w:t>
      </w:r>
      <w:r>
        <w:rPr>
          <w:lang w:val="es-ES_tradnl"/>
        </w:rPr>
        <w:t xml:space="preserve">enfoques </w:t>
      </w:r>
      <w:r w:rsidRPr="00865481">
        <w:rPr>
          <w:lang w:val="es-ES_tradnl"/>
        </w:rPr>
        <w:t xml:space="preserve">de asistencia personal como el apoyo y </w:t>
      </w:r>
      <w:r>
        <w:rPr>
          <w:lang w:val="es-ES_tradnl"/>
        </w:rPr>
        <w:t xml:space="preserve">el respaldo </w:t>
      </w:r>
      <w:r w:rsidRPr="00865481">
        <w:rPr>
          <w:lang w:val="es-ES_tradnl"/>
        </w:rPr>
        <w:t xml:space="preserve">entre pares, </w:t>
      </w:r>
      <w:r>
        <w:rPr>
          <w:lang w:val="es-ES_tradnl"/>
        </w:rPr>
        <w:t xml:space="preserve">el respiro </w:t>
      </w:r>
      <w:r w:rsidRPr="00865481">
        <w:rPr>
          <w:lang w:val="es-ES_tradnl"/>
        </w:rPr>
        <w:t>y la planificación</w:t>
      </w:r>
      <w:r>
        <w:rPr>
          <w:lang w:val="es-ES_tradnl"/>
        </w:rPr>
        <w:t xml:space="preserve"> para las crisis</w:t>
      </w:r>
      <w:r w:rsidRPr="00865481">
        <w:rPr>
          <w:lang w:val="es-ES_tradnl"/>
        </w:rPr>
        <w:t xml:space="preserve">, el apoyo no médico para hacer frente a las alteraciones de la percepción, la asistencia para atender las necesidades prácticas de la vida diaria, </w:t>
      </w:r>
      <w:r>
        <w:rPr>
          <w:lang w:val="es-ES_tradnl"/>
        </w:rPr>
        <w:t>la promoción d</w:t>
      </w:r>
      <w:r w:rsidRPr="00865481">
        <w:rPr>
          <w:lang w:val="es-ES_tradnl"/>
        </w:rPr>
        <w:t>el apoyo en la toma de decisiones y las redes de apoyo para la vida cotidiana que ayudan a establecer lazos con la comunidad, han resultado ser especialmente beneficiosas para</w:t>
      </w:r>
      <w:r>
        <w:rPr>
          <w:lang w:val="es-ES_tradnl"/>
        </w:rPr>
        <w:t xml:space="preserve"> las personas con discapacidad psicosocial o intelectual</w:t>
      </w:r>
      <w:r w:rsidRPr="00865481">
        <w:rPr>
          <w:lang w:val="es-ES_tradnl"/>
        </w:rPr>
        <w:t xml:space="preserve">. </w:t>
      </w:r>
      <w:r>
        <w:rPr>
          <w:lang w:val="es-ES_tradnl"/>
        </w:rPr>
        <w:t xml:space="preserve">La facilitación a las personas con discapacidad intelectual y psicosocial de acceso a asistentes personales es esencial para pasar </w:t>
      </w:r>
      <w:r w:rsidRPr="00865481">
        <w:rPr>
          <w:lang w:val="es-ES_tradnl"/>
        </w:rPr>
        <w:t xml:space="preserve">de un enfoque médico a un enfoque social de las cuestiones de salud mental </w:t>
      </w:r>
      <w:r>
        <w:rPr>
          <w:lang w:val="es-ES_tradnl"/>
        </w:rPr>
        <w:t xml:space="preserve">en lo que se refiere </w:t>
      </w:r>
      <w:r w:rsidRPr="00865481">
        <w:rPr>
          <w:lang w:val="es-ES_tradnl"/>
        </w:rPr>
        <w:t>a la autonomía personal.</w:t>
      </w:r>
    </w:p>
    <w:p w:rsidR="00762EF9" w:rsidRPr="00C73590" w:rsidRDefault="00762EF9" w:rsidP="00762EF9">
      <w:pPr>
        <w:pStyle w:val="H23G"/>
        <w:rPr>
          <w:lang w:val="es-ES_tradnl"/>
        </w:rPr>
      </w:pPr>
      <w:r>
        <w:rPr>
          <w:lang w:val="es-ES_tradnl"/>
        </w:rPr>
        <w:tab/>
        <w:t>3.</w:t>
      </w:r>
      <w:r>
        <w:rPr>
          <w:lang w:val="es-ES_tradnl"/>
        </w:rPr>
        <w:tab/>
      </w:r>
      <w:r w:rsidRPr="00C73590">
        <w:rPr>
          <w:lang w:val="es-ES_tradnl"/>
        </w:rPr>
        <w:t xml:space="preserve">Apoyo que se da de forma natural en la comunidad </w:t>
      </w:r>
    </w:p>
    <w:p w:rsidR="00762EF9" w:rsidRPr="00C73590" w:rsidRDefault="00762EF9" w:rsidP="00762EF9">
      <w:pPr>
        <w:pStyle w:val="SingleTxtG"/>
        <w:rPr>
          <w:lang w:val="es-ES_tradnl"/>
        </w:rPr>
      </w:pPr>
      <w:r>
        <w:rPr>
          <w:lang w:val="es-ES_tradnl"/>
        </w:rPr>
        <w:t>35.</w:t>
      </w:r>
      <w:r>
        <w:rPr>
          <w:lang w:val="es-ES_tradnl"/>
        </w:rPr>
        <w:tab/>
        <w:t>Junto a</w:t>
      </w:r>
      <w:r w:rsidRPr="00C73590">
        <w:rPr>
          <w:lang w:val="es-ES_tradnl"/>
        </w:rPr>
        <w:t xml:space="preserve"> los diversos servicios mencionados, las personas con discapacidad reciben </w:t>
      </w:r>
      <w:r>
        <w:rPr>
          <w:lang w:val="es-ES_tradnl"/>
        </w:rPr>
        <w:t xml:space="preserve">informalmente </w:t>
      </w:r>
      <w:r w:rsidRPr="00C73590">
        <w:rPr>
          <w:lang w:val="es-ES_tradnl"/>
        </w:rPr>
        <w:t xml:space="preserve">el apoyo </w:t>
      </w:r>
      <w:r>
        <w:rPr>
          <w:lang w:val="es-ES_tradnl"/>
        </w:rPr>
        <w:t xml:space="preserve">de su </w:t>
      </w:r>
      <w:r w:rsidRPr="00C73590">
        <w:rPr>
          <w:lang w:val="es-ES_tradnl"/>
        </w:rPr>
        <w:t xml:space="preserve">familia, </w:t>
      </w:r>
      <w:r>
        <w:rPr>
          <w:lang w:val="es-ES_tradnl"/>
        </w:rPr>
        <w:t xml:space="preserve">sus </w:t>
      </w:r>
      <w:r w:rsidRPr="00C73590">
        <w:rPr>
          <w:lang w:val="es-ES_tradnl"/>
        </w:rPr>
        <w:t xml:space="preserve">amigos </w:t>
      </w:r>
      <w:r>
        <w:rPr>
          <w:lang w:val="es-ES_tradnl"/>
        </w:rPr>
        <w:t>u</w:t>
      </w:r>
      <w:r w:rsidRPr="00C73590">
        <w:rPr>
          <w:lang w:val="es-ES_tradnl"/>
        </w:rPr>
        <w:t xml:space="preserve"> otros miembros de la comunidad. En algunos países </w:t>
      </w:r>
      <w:r>
        <w:rPr>
          <w:lang w:val="es-ES_tradnl"/>
        </w:rPr>
        <w:t xml:space="preserve">hay </w:t>
      </w:r>
      <w:r w:rsidRPr="00C73590">
        <w:rPr>
          <w:lang w:val="es-ES_tradnl"/>
        </w:rPr>
        <w:t>norma</w:t>
      </w:r>
      <w:r>
        <w:rPr>
          <w:lang w:val="es-ES_tradnl"/>
        </w:rPr>
        <w:t>tiva que estipula</w:t>
      </w:r>
      <w:r w:rsidRPr="00C73590">
        <w:rPr>
          <w:lang w:val="es-ES_tradnl"/>
        </w:rPr>
        <w:t xml:space="preserve"> que la responsabilidad de asistir a las personas con discapacidad </w:t>
      </w:r>
      <w:r>
        <w:rPr>
          <w:lang w:val="es-ES_tradnl"/>
        </w:rPr>
        <w:t xml:space="preserve">recae en la </w:t>
      </w:r>
      <w:r w:rsidRPr="00C73590">
        <w:rPr>
          <w:lang w:val="es-ES_tradnl"/>
        </w:rPr>
        <w:t xml:space="preserve">familia. A veces se </w:t>
      </w:r>
      <w:r>
        <w:rPr>
          <w:lang w:val="es-ES_tradnl"/>
        </w:rPr>
        <w:t xml:space="preserve">alienta ese enfoque </w:t>
      </w:r>
      <w:r w:rsidRPr="00C73590">
        <w:rPr>
          <w:lang w:val="es-ES_tradnl"/>
        </w:rPr>
        <w:t xml:space="preserve">mediante incentivos como prestaciones de </w:t>
      </w:r>
      <w:r>
        <w:rPr>
          <w:lang w:val="es-ES_tradnl"/>
        </w:rPr>
        <w:t>la seguridad</w:t>
      </w:r>
      <w:r w:rsidRPr="00C73590">
        <w:rPr>
          <w:lang w:val="es-ES_tradnl"/>
        </w:rPr>
        <w:t xml:space="preserve"> social, subsidios y planes de pensi</w:t>
      </w:r>
      <w:r>
        <w:rPr>
          <w:lang w:val="es-ES_tradnl"/>
        </w:rPr>
        <w:t xml:space="preserve">ones o la determinación de </w:t>
      </w:r>
      <w:r w:rsidRPr="00C73590">
        <w:rPr>
          <w:lang w:val="es-ES_tradnl"/>
        </w:rPr>
        <w:t xml:space="preserve">criterios de idoneidad para </w:t>
      </w:r>
      <w:r>
        <w:rPr>
          <w:lang w:val="es-ES_tradnl"/>
        </w:rPr>
        <w:t xml:space="preserve">convertirse en </w:t>
      </w:r>
      <w:r w:rsidRPr="00C73590">
        <w:rPr>
          <w:lang w:val="es-ES_tradnl"/>
        </w:rPr>
        <w:t>proveedor</w:t>
      </w:r>
      <w:r>
        <w:rPr>
          <w:lang w:val="es-ES_tradnl"/>
        </w:rPr>
        <w:t>es</w:t>
      </w:r>
      <w:r w:rsidRPr="00C73590">
        <w:rPr>
          <w:lang w:val="es-ES_tradnl"/>
        </w:rPr>
        <w:t xml:space="preserve"> de servicio</w:t>
      </w:r>
      <w:r>
        <w:rPr>
          <w:lang w:val="es-ES_tradnl"/>
        </w:rPr>
        <w:t>s</w:t>
      </w:r>
      <w:r w:rsidRPr="00C73590">
        <w:rPr>
          <w:lang w:val="es-ES_tradnl"/>
        </w:rPr>
        <w:t>.</w:t>
      </w:r>
    </w:p>
    <w:p w:rsidR="00762EF9" w:rsidRDefault="00762EF9" w:rsidP="00762EF9">
      <w:pPr>
        <w:pStyle w:val="SingleTxtG"/>
        <w:rPr>
          <w:lang w:val="es-ES_tradnl"/>
        </w:rPr>
      </w:pPr>
      <w:r>
        <w:rPr>
          <w:lang w:val="es-ES_tradnl"/>
        </w:rPr>
        <w:t>36.</w:t>
      </w:r>
      <w:r>
        <w:rPr>
          <w:lang w:val="es-ES_tradnl"/>
        </w:rPr>
        <w:tab/>
      </w:r>
      <w:r w:rsidRPr="00C73590">
        <w:rPr>
          <w:lang w:val="es-ES_tradnl"/>
        </w:rPr>
        <w:t xml:space="preserve">El apoyo prestado por la familia, los amigos y la comunidad en general es sumamente importante y debe alentarse para promover sociedades inclusivas y respetuosas; en muchas situaciones ese es el único apoyo disponible. </w:t>
      </w:r>
      <w:r>
        <w:rPr>
          <w:lang w:val="es-ES_tradnl"/>
        </w:rPr>
        <w:t>No obstante</w:t>
      </w:r>
      <w:r w:rsidRPr="00C73590">
        <w:rPr>
          <w:lang w:val="es-ES_tradnl"/>
        </w:rPr>
        <w:t xml:space="preserve">, </w:t>
      </w:r>
      <w:r>
        <w:rPr>
          <w:lang w:val="es-ES_tradnl"/>
        </w:rPr>
        <w:t xml:space="preserve">la </w:t>
      </w:r>
      <w:r w:rsidRPr="00C73590">
        <w:rPr>
          <w:lang w:val="es-ES_tradnl"/>
        </w:rPr>
        <w:t>dependencia exclusiva de</w:t>
      </w:r>
      <w:r>
        <w:rPr>
          <w:lang w:val="es-ES_tradnl"/>
        </w:rPr>
        <w:t xml:space="preserve"> </w:t>
      </w:r>
      <w:r w:rsidRPr="00C73590">
        <w:rPr>
          <w:lang w:val="es-ES_tradnl"/>
        </w:rPr>
        <w:t xml:space="preserve">apoyo informal puede tener consecuencias negativas, entre otras la de reforzar los estereotipos de género de la mujer </w:t>
      </w:r>
      <w:r>
        <w:rPr>
          <w:lang w:val="es-ES_tradnl"/>
        </w:rPr>
        <w:t xml:space="preserve">como </w:t>
      </w:r>
      <w:r w:rsidRPr="00C73590">
        <w:rPr>
          <w:lang w:val="es-ES_tradnl"/>
        </w:rPr>
        <w:t>cuida</w:t>
      </w:r>
      <w:r>
        <w:rPr>
          <w:lang w:val="es-ES_tradnl"/>
        </w:rPr>
        <w:t>do</w:t>
      </w:r>
      <w:r w:rsidRPr="00C73590">
        <w:rPr>
          <w:lang w:val="es-ES_tradnl"/>
        </w:rPr>
        <w:t>r</w:t>
      </w:r>
      <w:r>
        <w:rPr>
          <w:lang w:val="es-ES_tradnl"/>
        </w:rPr>
        <w:t>a</w:t>
      </w:r>
      <w:r w:rsidRPr="00C73590">
        <w:rPr>
          <w:lang w:val="es-ES_tradnl"/>
        </w:rPr>
        <w:t>. Cuando las mujeres son las principales cuida</w:t>
      </w:r>
      <w:r>
        <w:rPr>
          <w:lang w:val="es-ES_tradnl"/>
        </w:rPr>
        <w:t>do</w:t>
      </w:r>
      <w:r w:rsidRPr="00C73590">
        <w:rPr>
          <w:lang w:val="es-ES_tradnl"/>
        </w:rPr>
        <w:t>r</w:t>
      </w:r>
      <w:r>
        <w:rPr>
          <w:lang w:val="es-ES_tradnl"/>
        </w:rPr>
        <w:t>as</w:t>
      </w:r>
      <w:r w:rsidRPr="00C73590">
        <w:rPr>
          <w:lang w:val="es-ES_tradnl"/>
        </w:rPr>
        <w:t xml:space="preserve"> en </w:t>
      </w:r>
      <w:r>
        <w:rPr>
          <w:lang w:val="es-ES_tradnl"/>
        </w:rPr>
        <w:t>l</w:t>
      </w:r>
      <w:r w:rsidRPr="00C73590">
        <w:rPr>
          <w:lang w:val="es-ES_tradnl"/>
        </w:rPr>
        <w:t>a</w:t>
      </w:r>
      <w:r>
        <w:rPr>
          <w:lang w:val="es-ES_tradnl"/>
        </w:rPr>
        <w:t>s</w:t>
      </w:r>
      <w:r w:rsidRPr="00C73590">
        <w:rPr>
          <w:lang w:val="es-ES_tradnl"/>
        </w:rPr>
        <w:t xml:space="preserve"> familia</w:t>
      </w:r>
      <w:r>
        <w:rPr>
          <w:lang w:val="es-ES_tradnl"/>
        </w:rPr>
        <w:t>s</w:t>
      </w:r>
      <w:r w:rsidRPr="00C73590">
        <w:rPr>
          <w:lang w:val="es-ES_tradnl"/>
        </w:rPr>
        <w:t xml:space="preserve">, </w:t>
      </w:r>
      <w:r>
        <w:rPr>
          <w:lang w:val="es-ES_tradnl"/>
        </w:rPr>
        <w:t xml:space="preserve">como </w:t>
      </w:r>
      <w:r w:rsidRPr="00C73590">
        <w:rPr>
          <w:lang w:val="es-ES_tradnl"/>
        </w:rPr>
        <w:t xml:space="preserve">madres suelen verse expuestas a niveles </w:t>
      </w:r>
      <w:r>
        <w:rPr>
          <w:lang w:val="es-ES_tradnl"/>
        </w:rPr>
        <w:t xml:space="preserve">más altos </w:t>
      </w:r>
      <w:r w:rsidRPr="00C73590">
        <w:rPr>
          <w:lang w:val="es-ES_tradnl"/>
        </w:rPr>
        <w:t>de estrés y fatiga</w:t>
      </w:r>
      <w:r>
        <w:rPr>
          <w:lang w:val="es-ES_tradnl"/>
        </w:rPr>
        <w:t>,</w:t>
      </w:r>
      <w:r w:rsidRPr="00C73590">
        <w:rPr>
          <w:lang w:val="es-ES_tradnl"/>
        </w:rPr>
        <w:t xml:space="preserve"> y </w:t>
      </w:r>
      <w:r>
        <w:rPr>
          <w:lang w:val="es-ES_tradnl"/>
        </w:rPr>
        <w:t xml:space="preserve">como </w:t>
      </w:r>
      <w:r w:rsidRPr="00C73590">
        <w:rPr>
          <w:lang w:val="es-ES_tradnl"/>
        </w:rPr>
        <w:t>hermanas dejan pasar oportunidades educativas. El apoyo familiar también puede afectar a la elección y el control que las personas con discapacidad ejercen en el tipo de apoyo requer</w:t>
      </w:r>
      <w:r>
        <w:rPr>
          <w:lang w:val="es-ES_tradnl"/>
        </w:rPr>
        <w:t>ido</w:t>
      </w:r>
      <w:r w:rsidRPr="00C73590">
        <w:rPr>
          <w:lang w:val="es-ES_tradnl"/>
        </w:rPr>
        <w:t xml:space="preserve">, en particular cuando el apoyo </w:t>
      </w:r>
      <w:r>
        <w:rPr>
          <w:lang w:val="es-ES_tradnl"/>
        </w:rPr>
        <w:t>se ve alen</w:t>
      </w:r>
      <w:r w:rsidRPr="00C73590">
        <w:rPr>
          <w:lang w:val="es-ES_tradnl"/>
        </w:rPr>
        <w:t xml:space="preserve">tado </w:t>
      </w:r>
      <w:r>
        <w:rPr>
          <w:lang w:val="es-ES_tradnl"/>
        </w:rPr>
        <w:t xml:space="preserve">con </w:t>
      </w:r>
      <w:r w:rsidRPr="00C73590">
        <w:rPr>
          <w:lang w:val="es-ES_tradnl"/>
        </w:rPr>
        <w:t>prestaciones del Estado. Las mujeres con discapacidad también pueden estar expuestas a riesgos más elevados de segregación, violencia y malos tratos. La presta</w:t>
      </w:r>
      <w:r>
        <w:rPr>
          <w:lang w:val="es-ES_tradnl"/>
        </w:rPr>
        <w:t xml:space="preserve">ción de </w:t>
      </w:r>
      <w:r w:rsidRPr="00C73590">
        <w:rPr>
          <w:lang w:val="es-ES_tradnl"/>
        </w:rPr>
        <w:t xml:space="preserve">apoyo informal puede significar una reducción del número de miembros de la familia que trabajan, lo que puede tener </w:t>
      </w:r>
      <w:r>
        <w:rPr>
          <w:lang w:val="es-ES_tradnl"/>
        </w:rPr>
        <w:t xml:space="preserve">una repercusión </w:t>
      </w:r>
      <w:r w:rsidRPr="00C73590">
        <w:rPr>
          <w:lang w:val="es-ES_tradnl"/>
        </w:rPr>
        <w:t>direc</w:t>
      </w:r>
      <w:r>
        <w:rPr>
          <w:lang w:val="es-ES_tradnl"/>
        </w:rPr>
        <w:t>ta</w:t>
      </w:r>
      <w:r w:rsidRPr="00C73590">
        <w:rPr>
          <w:lang w:val="es-ES_tradnl"/>
        </w:rPr>
        <w:t xml:space="preserve"> en </w:t>
      </w:r>
      <w:r>
        <w:rPr>
          <w:lang w:val="es-ES_tradnl"/>
        </w:rPr>
        <w:t>los</w:t>
      </w:r>
      <w:r w:rsidRPr="00C73590">
        <w:rPr>
          <w:lang w:val="es-ES_tradnl"/>
        </w:rPr>
        <w:t xml:space="preserve"> ingreso</w:t>
      </w:r>
      <w:r>
        <w:rPr>
          <w:lang w:val="es-ES_tradnl"/>
        </w:rPr>
        <w:t>s</w:t>
      </w:r>
      <w:r w:rsidRPr="00C73590">
        <w:rPr>
          <w:lang w:val="es-ES_tradnl"/>
        </w:rPr>
        <w:t xml:space="preserve"> del hogar y el producto interno bruto. Por último, </w:t>
      </w:r>
      <w:r>
        <w:rPr>
          <w:lang w:val="es-ES_tradnl"/>
        </w:rPr>
        <w:t>la dependencia de</w:t>
      </w:r>
      <w:r w:rsidRPr="00C73590">
        <w:rPr>
          <w:lang w:val="es-ES_tradnl"/>
        </w:rPr>
        <w:t xml:space="preserve"> apoyo informal puede no ser </w:t>
      </w:r>
      <w:r>
        <w:rPr>
          <w:lang w:val="es-ES_tradnl"/>
        </w:rPr>
        <w:t xml:space="preserve">sostenible, ya </w:t>
      </w:r>
      <w:r w:rsidRPr="00C73590">
        <w:rPr>
          <w:lang w:val="es-ES_tradnl"/>
        </w:rPr>
        <w:t xml:space="preserve">que los miembros de la familia </w:t>
      </w:r>
      <w:r>
        <w:rPr>
          <w:lang w:val="es-ES_tradnl"/>
        </w:rPr>
        <w:t xml:space="preserve">tal vez </w:t>
      </w:r>
      <w:r w:rsidRPr="00C73590">
        <w:rPr>
          <w:lang w:val="es-ES_tradnl"/>
        </w:rPr>
        <w:t xml:space="preserve">no puedan prestar ese apoyo </w:t>
      </w:r>
      <w:r>
        <w:rPr>
          <w:lang w:val="es-ES_tradnl"/>
        </w:rPr>
        <w:t>cuando se hagan mayores o caigan enfermos</w:t>
      </w:r>
      <w:r w:rsidRPr="00554163">
        <w:rPr>
          <w:sz w:val="18"/>
          <w:szCs w:val="18"/>
          <w:vertAlign w:val="superscript"/>
          <w:lang w:val="es-ES_tradnl"/>
        </w:rPr>
        <w:footnoteReference w:id="30"/>
      </w:r>
      <w:r w:rsidRPr="00C73590">
        <w:rPr>
          <w:lang w:val="es-ES_tradnl"/>
        </w:rPr>
        <w:t>.</w:t>
      </w:r>
      <w:r>
        <w:rPr>
          <w:lang w:val="es-ES_tradnl"/>
        </w:rPr>
        <w:t xml:space="preserve"> </w:t>
      </w:r>
    </w:p>
    <w:p w:rsidR="00762EF9" w:rsidRPr="0077009F" w:rsidRDefault="00762EF9" w:rsidP="00762EF9">
      <w:pPr>
        <w:pStyle w:val="H23G"/>
        <w:rPr>
          <w:lang w:val="es-ES_tradnl"/>
        </w:rPr>
      </w:pPr>
      <w:r>
        <w:rPr>
          <w:lang w:val="es-ES_tradnl"/>
        </w:rPr>
        <w:tab/>
        <w:t>4.</w:t>
      </w:r>
      <w:r>
        <w:rPr>
          <w:lang w:val="es-ES_tradnl"/>
        </w:rPr>
        <w:tab/>
      </w:r>
      <w:r w:rsidRPr="0077009F">
        <w:rPr>
          <w:lang w:val="es-ES_tradnl"/>
        </w:rPr>
        <w:t>Requisitos para un apoyo adecuado</w:t>
      </w:r>
    </w:p>
    <w:p w:rsidR="00762EF9" w:rsidRPr="006434FF" w:rsidRDefault="00762EF9" w:rsidP="00762EF9">
      <w:pPr>
        <w:pStyle w:val="SingleTxtG"/>
        <w:rPr>
          <w:lang w:val="es-ES_tradnl"/>
        </w:rPr>
      </w:pPr>
      <w:r>
        <w:rPr>
          <w:lang w:val="es-ES_tradnl"/>
        </w:rPr>
        <w:t>37.</w:t>
      </w:r>
      <w:r>
        <w:rPr>
          <w:lang w:val="es-ES_tradnl"/>
        </w:rPr>
        <w:tab/>
      </w:r>
      <w:r w:rsidRPr="00C927E3">
        <w:rPr>
          <w:spacing w:val="-2"/>
          <w:lang w:val="es-ES_tradnl"/>
        </w:rPr>
        <w:t>En ciertos contextos la capacitación es esencial para que el apoyo se ajuste a los criterios de la Convención sobre los Derechos de las Personas con Discapacidad, responda a las</w:t>
      </w:r>
      <w:r w:rsidRPr="006434FF">
        <w:rPr>
          <w:lang w:val="es-ES_tradnl"/>
        </w:rPr>
        <w:t xml:space="preserve"> necesidades y respete </w:t>
      </w:r>
      <w:r>
        <w:rPr>
          <w:lang w:val="es-ES_tradnl"/>
        </w:rPr>
        <w:t>la</w:t>
      </w:r>
      <w:r w:rsidRPr="006434FF">
        <w:rPr>
          <w:lang w:val="es-ES_tradnl"/>
        </w:rPr>
        <w:t xml:space="preserve"> voluntad</w:t>
      </w:r>
      <w:r>
        <w:rPr>
          <w:lang w:val="es-ES_tradnl"/>
        </w:rPr>
        <w:t xml:space="preserve"> de la persona</w:t>
      </w:r>
      <w:r w:rsidRPr="006434FF">
        <w:rPr>
          <w:lang w:val="es-ES_tradnl"/>
        </w:rPr>
        <w:t xml:space="preserve">. En Trinidad y Tabago, por ejemplo, el </w:t>
      </w:r>
      <w:r w:rsidRPr="00C927E3">
        <w:rPr>
          <w:spacing w:val="-2"/>
          <w:lang w:val="es-ES_tradnl"/>
        </w:rPr>
        <w:t xml:space="preserve">Programa de Capacitación para Asistentes Personales incluye formación académica y práctica, así como un período de 15 meses de capacitación en el empleo. La certificación y la evaluación son igualmente importantes. Se debe impartir formación específica a los </w:t>
      </w:r>
      <w:r w:rsidRPr="00C927E3">
        <w:rPr>
          <w:spacing w:val="-2"/>
          <w:lang w:val="es-ES_tradnl"/>
        </w:rPr>
        <w:lastRenderedPageBreak/>
        <w:t>profesionales que trabajan o han trabajado en instituciones residenciales para que contribuyan activamente a la</w:t>
      </w:r>
      <w:r w:rsidRPr="006434FF">
        <w:rPr>
          <w:lang w:val="es-ES_tradnl"/>
        </w:rPr>
        <w:t xml:space="preserve"> transformación y complementen el proceso de desinstitucionalización.</w:t>
      </w:r>
    </w:p>
    <w:p w:rsidR="00762EF9" w:rsidRPr="000C2B1B" w:rsidRDefault="00762EF9" w:rsidP="00762EF9">
      <w:pPr>
        <w:pStyle w:val="SingleTxtG"/>
        <w:rPr>
          <w:lang w:val="es-ES_tradnl"/>
        </w:rPr>
      </w:pPr>
      <w:r>
        <w:rPr>
          <w:lang w:val="es-ES_tradnl"/>
        </w:rPr>
        <w:t>38.</w:t>
      </w:r>
      <w:r>
        <w:rPr>
          <w:lang w:val="es-ES_tradnl"/>
        </w:rPr>
        <w:tab/>
      </w:r>
      <w:r w:rsidRPr="000C2B1B">
        <w:rPr>
          <w:lang w:val="es-ES_tradnl"/>
        </w:rPr>
        <w:t xml:space="preserve">Las personas con discapacidad deben tener control sobre el apoyo que se les presta y </w:t>
      </w:r>
      <w:r>
        <w:rPr>
          <w:lang w:val="es-ES_tradnl"/>
        </w:rPr>
        <w:t xml:space="preserve">ellas </w:t>
      </w:r>
      <w:r w:rsidRPr="000C2B1B">
        <w:rPr>
          <w:lang w:val="es-ES_tradnl"/>
        </w:rPr>
        <w:t xml:space="preserve">deben ser quienes contraten, empleen, supervisen, evalúen y despidan a sus asistentes. La posibilidad de elegir entre diferentes proveedores es una forma de </w:t>
      </w:r>
      <w:r>
        <w:rPr>
          <w:lang w:val="es-ES_tradnl"/>
        </w:rPr>
        <w:t>asegur</w:t>
      </w:r>
      <w:r w:rsidRPr="000C2B1B">
        <w:rPr>
          <w:lang w:val="es-ES_tradnl"/>
        </w:rPr>
        <w:t xml:space="preserve">ar </w:t>
      </w:r>
      <w:r>
        <w:rPr>
          <w:lang w:val="es-ES_tradnl"/>
        </w:rPr>
        <w:t xml:space="preserve">una mayor rendición de </w:t>
      </w:r>
      <w:r w:rsidRPr="000C2B1B">
        <w:rPr>
          <w:lang w:val="es-ES_tradnl"/>
        </w:rPr>
        <w:t xml:space="preserve">cuentas por los servicios, darle mayor control al usuario y </w:t>
      </w:r>
      <w:r>
        <w:rPr>
          <w:lang w:val="es-ES_tradnl"/>
        </w:rPr>
        <w:t xml:space="preserve">ofrecer </w:t>
      </w:r>
      <w:r w:rsidRPr="000C2B1B">
        <w:rPr>
          <w:lang w:val="es-ES_tradnl"/>
        </w:rPr>
        <w:t xml:space="preserve">protección contra el riesgo de maltrato. Los proveedores pueden ser de muy diversa índole e incluir al Estado y a </w:t>
      </w:r>
      <w:r>
        <w:rPr>
          <w:lang w:val="es-ES_tradnl"/>
        </w:rPr>
        <w:t>entidades privadas</w:t>
      </w:r>
      <w:r w:rsidRPr="000C2B1B">
        <w:rPr>
          <w:lang w:val="es-ES_tradnl"/>
        </w:rPr>
        <w:t xml:space="preserve"> y </w:t>
      </w:r>
      <w:r>
        <w:rPr>
          <w:lang w:val="es-ES_tradnl"/>
        </w:rPr>
        <w:t>sin ánimo de lucro</w:t>
      </w:r>
      <w:r w:rsidRPr="000C2B1B">
        <w:rPr>
          <w:lang w:val="es-ES_tradnl"/>
        </w:rPr>
        <w:t xml:space="preserve">, aunque en la práctica las posibilidades de elección pueden verse limitadas por el tipo de deficiencia o </w:t>
      </w:r>
      <w:r>
        <w:rPr>
          <w:lang w:val="es-ES_tradnl"/>
        </w:rPr>
        <w:t xml:space="preserve">las alternativas disponibles en materia de servicios. </w:t>
      </w:r>
      <w:r w:rsidRPr="000C2B1B">
        <w:rPr>
          <w:lang w:val="es-ES_tradnl"/>
        </w:rPr>
        <w:t xml:space="preserve">Al pagar a los usuarios y no directamente a los proveedores se contribuye a que el apoyo esté centrado en </w:t>
      </w:r>
      <w:r>
        <w:rPr>
          <w:lang w:val="es-ES_tradnl"/>
        </w:rPr>
        <w:t xml:space="preserve">la persona </w:t>
      </w:r>
      <w:r w:rsidRPr="000C2B1B">
        <w:rPr>
          <w:lang w:val="es-ES_tradnl"/>
        </w:rPr>
        <w:t>y respete las preferencias de la</w:t>
      </w:r>
      <w:r>
        <w:rPr>
          <w:lang w:val="es-ES_tradnl"/>
        </w:rPr>
        <w:t>s</w:t>
      </w:r>
      <w:r w:rsidRPr="000C2B1B">
        <w:rPr>
          <w:lang w:val="es-ES_tradnl"/>
        </w:rPr>
        <w:t xml:space="preserve"> personas con discapacidad. En varios países, se ha sustituido la prestación de servicios en especie por pagos directos, a menudo en forma de un presupuesto personal que se asigna </w:t>
      </w:r>
      <w:r>
        <w:rPr>
          <w:lang w:val="es-ES_tradnl"/>
        </w:rPr>
        <w:t>a las personas que reúnan los requisitos para ello.</w:t>
      </w:r>
      <w:r w:rsidRPr="000C2B1B">
        <w:rPr>
          <w:lang w:val="es-ES_tradnl"/>
        </w:rPr>
        <w:t xml:space="preserve"> En Alemania, </w:t>
      </w:r>
      <w:r>
        <w:rPr>
          <w:lang w:val="es-ES_tradnl"/>
        </w:rPr>
        <w:t xml:space="preserve">para </w:t>
      </w:r>
      <w:r w:rsidRPr="000C2B1B">
        <w:rPr>
          <w:lang w:val="es-ES_tradnl"/>
        </w:rPr>
        <w:t>2009 unos 10.000 beneficiarios, de los cuales el 31% correspondía a personas con</w:t>
      </w:r>
      <w:r>
        <w:rPr>
          <w:lang w:val="es-ES_tradnl"/>
        </w:rPr>
        <w:t xml:space="preserve"> discapacidad intelec</w:t>
      </w:r>
      <w:r w:rsidRPr="000C2B1B">
        <w:rPr>
          <w:lang w:val="es-ES_tradnl"/>
        </w:rPr>
        <w:t>t</w:t>
      </w:r>
      <w:r>
        <w:rPr>
          <w:lang w:val="es-ES_tradnl"/>
        </w:rPr>
        <w:t>u</w:t>
      </w:r>
      <w:r w:rsidRPr="000C2B1B">
        <w:rPr>
          <w:lang w:val="es-ES_tradnl"/>
        </w:rPr>
        <w:t xml:space="preserve">al, habían optado por recibir </w:t>
      </w:r>
      <w:r>
        <w:rPr>
          <w:lang w:val="es-ES_tradnl"/>
        </w:rPr>
        <w:t>cupones</w:t>
      </w:r>
      <w:r w:rsidRPr="000C2B1B">
        <w:rPr>
          <w:lang w:val="es-ES_tradnl"/>
        </w:rPr>
        <w:t>. Puede</w:t>
      </w:r>
      <w:r>
        <w:rPr>
          <w:lang w:val="es-ES_tradnl"/>
        </w:rPr>
        <w:t>n</w:t>
      </w:r>
      <w:r w:rsidRPr="000C2B1B">
        <w:rPr>
          <w:lang w:val="es-ES_tradnl"/>
        </w:rPr>
        <w:t xml:space="preserve"> </w:t>
      </w:r>
      <w:r>
        <w:rPr>
          <w:lang w:val="es-ES_tradnl"/>
        </w:rPr>
        <w:t xml:space="preserve">requerirse apoyo a la planificación independiente y servicios de facilitación </w:t>
      </w:r>
      <w:r w:rsidRPr="000C2B1B">
        <w:rPr>
          <w:lang w:val="es-ES_tradnl"/>
        </w:rPr>
        <w:t xml:space="preserve">para ayudar a la persona a decidir cómo utilizar </w:t>
      </w:r>
      <w:r>
        <w:rPr>
          <w:lang w:val="es-ES_tradnl"/>
        </w:rPr>
        <w:t>el</w:t>
      </w:r>
      <w:r w:rsidRPr="000C2B1B">
        <w:rPr>
          <w:lang w:val="es-ES_tradnl"/>
        </w:rPr>
        <w:t xml:space="preserve"> presupuesto personal. En Australia, el Plan Nacional de Seguro de Discapacidad, actualmente implan</w:t>
      </w:r>
      <w:r>
        <w:rPr>
          <w:lang w:val="es-ES_tradnl"/>
        </w:rPr>
        <w:t xml:space="preserve">tado a título experimental, </w:t>
      </w:r>
      <w:r w:rsidRPr="000C2B1B">
        <w:rPr>
          <w:lang w:val="es-ES_tradnl"/>
        </w:rPr>
        <w:t xml:space="preserve">dará a las personas con discapacidad apoyo </w:t>
      </w:r>
      <w:r>
        <w:rPr>
          <w:lang w:val="es-ES_tradnl"/>
        </w:rPr>
        <w:t>individu</w:t>
      </w:r>
      <w:r w:rsidRPr="000C2B1B">
        <w:rPr>
          <w:lang w:val="es-ES_tradnl"/>
        </w:rPr>
        <w:t xml:space="preserve">alizado para la planificación </w:t>
      </w:r>
      <w:r>
        <w:rPr>
          <w:lang w:val="es-ES_tradnl"/>
        </w:rPr>
        <w:t xml:space="preserve">a fin de </w:t>
      </w:r>
      <w:r w:rsidRPr="000C2B1B">
        <w:rPr>
          <w:lang w:val="es-ES_tradnl"/>
        </w:rPr>
        <w:t xml:space="preserve">que </w:t>
      </w:r>
      <w:r>
        <w:rPr>
          <w:lang w:val="es-ES_tradnl"/>
        </w:rPr>
        <w:t xml:space="preserve">identifiquen </w:t>
      </w:r>
      <w:r w:rsidRPr="000C2B1B">
        <w:rPr>
          <w:lang w:val="es-ES_tradnl"/>
        </w:rPr>
        <w:t>servi</w:t>
      </w:r>
      <w:r>
        <w:rPr>
          <w:lang w:val="es-ES_tradnl"/>
        </w:rPr>
        <w:t xml:space="preserve">cios adecuados y necesarios, sobre la base de </w:t>
      </w:r>
      <w:r w:rsidRPr="000C2B1B">
        <w:rPr>
          <w:lang w:val="es-ES_tradnl"/>
        </w:rPr>
        <w:t xml:space="preserve">sus necesidades funcionales y no </w:t>
      </w:r>
      <w:r>
        <w:rPr>
          <w:lang w:val="es-ES_tradnl"/>
        </w:rPr>
        <w:t xml:space="preserve">en función de </w:t>
      </w:r>
      <w:r w:rsidRPr="000C2B1B">
        <w:rPr>
          <w:lang w:val="es-ES_tradnl"/>
        </w:rPr>
        <w:t>un diagnóstico.</w:t>
      </w:r>
    </w:p>
    <w:p w:rsidR="00762EF9" w:rsidRPr="00112E18" w:rsidRDefault="00762EF9" w:rsidP="00762EF9">
      <w:pPr>
        <w:pStyle w:val="SingleTxtG"/>
        <w:rPr>
          <w:lang w:val="es-ES_tradnl"/>
        </w:rPr>
      </w:pPr>
      <w:r>
        <w:rPr>
          <w:lang w:val="es-ES_tradnl"/>
        </w:rPr>
        <w:t>39.</w:t>
      </w:r>
      <w:r>
        <w:rPr>
          <w:lang w:val="es-ES_tradnl"/>
        </w:rPr>
        <w:tab/>
      </w:r>
      <w:r w:rsidRPr="00112E18">
        <w:rPr>
          <w:lang w:val="es-ES_tradnl"/>
        </w:rPr>
        <w:t>La falta de recursos humanos adecuados, la deficiente coordinación de los servicios, las disparidades de acceso entre entornos urbanos y rurales y las condiciones a las que está supeditada la prestación de apoyo (por ejemplo cuando depende de un</w:t>
      </w:r>
      <w:r>
        <w:rPr>
          <w:lang w:val="es-ES_tradnl"/>
        </w:rPr>
        <w:t xml:space="preserve"> sistema </w:t>
      </w:r>
      <w:r w:rsidRPr="00112E18">
        <w:rPr>
          <w:lang w:val="es-ES_tradnl"/>
        </w:rPr>
        <w:t xml:space="preserve">de </w:t>
      </w:r>
      <w:r>
        <w:rPr>
          <w:lang w:val="es-ES_tradnl"/>
        </w:rPr>
        <w:t>vida específico</w:t>
      </w:r>
      <w:r w:rsidRPr="00112E18">
        <w:rPr>
          <w:lang w:val="es-ES_tradnl"/>
        </w:rPr>
        <w:t xml:space="preserve">) son algunas de las barreras </w:t>
      </w:r>
      <w:r>
        <w:rPr>
          <w:lang w:val="es-ES_tradnl"/>
        </w:rPr>
        <w:t>c</w:t>
      </w:r>
      <w:r w:rsidRPr="00112E18">
        <w:rPr>
          <w:lang w:val="es-ES_tradnl"/>
        </w:rPr>
        <w:t xml:space="preserve">omunes </w:t>
      </w:r>
      <w:r>
        <w:rPr>
          <w:lang w:val="es-ES_tradnl"/>
        </w:rPr>
        <w:t>para que haya</w:t>
      </w:r>
      <w:r w:rsidRPr="00112E18">
        <w:rPr>
          <w:lang w:val="es-ES_tradnl"/>
        </w:rPr>
        <w:t xml:space="preserve"> servicios de apoyo </w:t>
      </w:r>
      <w:r>
        <w:rPr>
          <w:lang w:val="es-ES_tradnl"/>
        </w:rPr>
        <w:t>comunitarios adecuados</w:t>
      </w:r>
      <w:r w:rsidRPr="00112E18">
        <w:rPr>
          <w:lang w:val="es-ES_tradnl"/>
        </w:rPr>
        <w:t xml:space="preserve">. La falta de información y </w:t>
      </w:r>
      <w:r>
        <w:rPr>
          <w:lang w:val="es-ES_tradnl"/>
        </w:rPr>
        <w:t xml:space="preserve">de sensibilización son a menudo otro </w:t>
      </w:r>
      <w:r w:rsidRPr="00112E18">
        <w:rPr>
          <w:lang w:val="es-ES_tradnl"/>
        </w:rPr>
        <w:t xml:space="preserve">motivo de exclusión de las personas con discapacidad. La </w:t>
      </w:r>
      <w:r>
        <w:rPr>
          <w:lang w:val="es-ES_tradnl"/>
        </w:rPr>
        <w:t xml:space="preserve">existencia </w:t>
      </w:r>
      <w:r w:rsidRPr="00112E18">
        <w:rPr>
          <w:lang w:val="es-ES_tradnl"/>
        </w:rPr>
        <w:t>de marcos normativos e institucionales</w:t>
      </w:r>
      <w:r>
        <w:rPr>
          <w:lang w:val="es-ES_tradnl"/>
        </w:rPr>
        <w:t xml:space="preserve"> inapropiados</w:t>
      </w:r>
      <w:r w:rsidRPr="00112E18">
        <w:rPr>
          <w:lang w:val="es-ES_tradnl"/>
        </w:rPr>
        <w:t xml:space="preserve">, así como la falta de conocimiento de los responsables de las políticas y los proveedores de servicios, a menudo se traducen en </w:t>
      </w:r>
      <w:r>
        <w:rPr>
          <w:lang w:val="es-ES_tradnl"/>
        </w:rPr>
        <w:t>un</w:t>
      </w:r>
      <w:r w:rsidRPr="00112E18">
        <w:rPr>
          <w:lang w:val="es-ES_tradnl"/>
        </w:rPr>
        <w:t xml:space="preserve">a </w:t>
      </w:r>
      <w:r>
        <w:rPr>
          <w:lang w:val="es-ES_tradnl"/>
        </w:rPr>
        <w:t xml:space="preserve">baja </w:t>
      </w:r>
      <w:r w:rsidRPr="00112E18">
        <w:rPr>
          <w:lang w:val="es-ES_tradnl"/>
        </w:rPr>
        <w:t>calidad del apoyo,</w:t>
      </w:r>
      <w:r>
        <w:rPr>
          <w:lang w:val="es-ES_tradnl"/>
        </w:rPr>
        <w:t xml:space="preserve"> orientado sistemáticamente hacia enfoques </w:t>
      </w:r>
      <w:r w:rsidRPr="00112E18">
        <w:rPr>
          <w:lang w:val="es-ES_tradnl"/>
        </w:rPr>
        <w:t xml:space="preserve">médicos o caritativos. Ha habido casos en que se ha utilizado indebidamente la asistencia personal. A nivel </w:t>
      </w:r>
      <w:r>
        <w:rPr>
          <w:lang w:val="es-ES_tradnl"/>
        </w:rPr>
        <w:t>de las políticas</w:t>
      </w:r>
      <w:r w:rsidRPr="00112E18">
        <w:rPr>
          <w:lang w:val="es-ES_tradnl"/>
        </w:rPr>
        <w:t xml:space="preserve">, </w:t>
      </w:r>
      <w:r>
        <w:rPr>
          <w:lang w:val="es-ES_tradnl"/>
        </w:rPr>
        <w:t xml:space="preserve">las normativas </w:t>
      </w:r>
      <w:r w:rsidRPr="00112E18">
        <w:rPr>
          <w:lang w:val="es-ES_tradnl"/>
        </w:rPr>
        <w:t xml:space="preserve">no </w:t>
      </w:r>
      <w:r>
        <w:rPr>
          <w:lang w:val="es-ES_tradnl"/>
        </w:rPr>
        <w:t xml:space="preserve">han establecido </w:t>
      </w:r>
      <w:r w:rsidRPr="00112E18">
        <w:rPr>
          <w:lang w:val="es-ES_tradnl"/>
        </w:rPr>
        <w:t xml:space="preserve">garantías </w:t>
      </w:r>
      <w:r>
        <w:rPr>
          <w:lang w:val="es-ES_tradnl"/>
        </w:rPr>
        <w:t xml:space="preserve">para </w:t>
      </w:r>
      <w:r w:rsidRPr="00112E18">
        <w:rPr>
          <w:lang w:val="es-ES_tradnl"/>
        </w:rPr>
        <w:t xml:space="preserve">que el usuario </w:t>
      </w:r>
      <w:r>
        <w:rPr>
          <w:lang w:val="es-ES_tradnl"/>
        </w:rPr>
        <w:t xml:space="preserve">pueda </w:t>
      </w:r>
      <w:r w:rsidRPr="00112E18">
        <w:rPr>
          <w:lang w:val="es-ES_tradnl"/>
        </w:rPr>
        <w:t xml:space="preserve">ejercer un control sobre el presupuesto y los servicios. A nivel práctico, </w:t>
      </w:r>
      <w:r>
        <w:rPr>
          <w:lang w:val="es-ES_tradnl"/>
        </w:rPr>
        <w:t xml:space="preserve">los </w:t>
      </w:r>
      <w:r w:rsidRPr="00112E18">
        <w:rPr>
          <w:lang w:val="es-ES_tradnl"/>
        </w:rPr>
        <w:t xml:space="preserve">proveedores de servicios </w:t>
      </w:r>
      <w:r>
        <w:rPr>
          <w:lang w:val="es-ES_tradnl"/>
        </w:rPr>
        <w:t xml:space="preserve">han absorbido </w:t>
      </w:r>
      <w:r w:rsidRPr="00112E18">
        <w:rPr>
          <w:lang w:val="es-ES_tradnl"/>
        </w:rPr>
        <w:t>los presupuestos para sufragar gastos generales, en vez de prestar servicios individualizados</w:t>
      </w:r>
      <w:r>
        <w:rPr>
          <w:lang w:val="es-ES_tradnl"/>
        </w:rPr>
        <w:t xml:space="preserve">, o los </w:t>
      </w:r>
      <w:r w:rsidRPr="00112E18">
        <w:rPr>
          <w:lang w:val="es-ES_tradnl"/>
        </w:rPr>
        <w:t xml:space="preserve">asistentes personales </w:t>
      </w:r>
      <w:r>
        <w:rPr>
          <w:lang w:val="es-ES_tradnl"/>
        </w:rPr>
        <w:t xml:space="preserve">han impuesto </w:t>
      </w:r>
      <w:r w:rsidRPr="00112E18">
        <w:rPr>
          <w:lang w:val="es-ES_tradnl"/>
        </w:rPr>
        <w:t xml:space="preserve">decisiones o </w:t>
      </w:r>
      <w:r>
        <w:rPr>
          <w:lang w:val="es-ES_tradnl"/>
        </w:rPr>
        <w:t xml:space="preserve">medidas </w:t>
      </w:r>
      <w:r w:rsidRPr="00112E18">
        <w:rPr>
          <w:lang w:val="es-ES_tradnl"/>
        </w:rPr>
        <w:t>a los usuarios. Para evitar es</w:t>
      </w:r>
      <w:r>
        <w:rPr>
          <w:lang w:val="es-ES_tradnl"/>
        </w:rPr>
        <w:t xml:space="preserve">os </w:t>
      </w:r>
      <w:r w:rsidRPr="00112E18">
        <w:rPr>
          <w:lang w:val="es-ES_tradnl"/>
        </w:rPr>
        <w:t xml:space="preserve">abusos y </w:t>
      </w:r>
      <w:r>
        <w:rPr>
          <w:lang w:val="es-ES_tradnl"/>
        </w:rPr>
        <w:t xml:space="preserve">asegurar </w:t>
      </w:r>
      <w:r w:rsidRPr="00112E18">
        <w:rPr>
          <w:lang w:val="es-ES_tradnl"/>
        </w:rPr>
        <w:t xml:space="preserve">que el usuario </w:t>
      </w:r>
      <w:r>
        <w:rPr>
          <w:lang w:val="es-ES_tradnl"/>
        </w:rPr>
        <w:t xml:space="preserve">tenga </w:t>
      </w:r>
      <w:r w:rsidRPr="00112E18">
        <w:rPr>
          <w:lang w:val="es-ES_tradnl"/>
        </w:rPr>
        <w:t xml:space="preserve">control </w:t>
      </w:r>
      <w:r>
        <w:rPr>
          <w:lang w:val="es-ES_tradnl"/>
        </w:rPr>
        <w:t>d</w:t>
      </w:r>
      <w:r w:rsidRPr="00112E18">
        <w:rPr>
          <w:lang w:val="es-ES_tradnl"/>
        </w:rPr>
        <w:t xml:space="preserve">el presupuesto y </w:t>
      </w:r>
      <w:r>
        <w:rPr>
          <w:lang w:val="es-ES_tradnl"/>
        </w:rPr>
        <w:t xml:space="preserve">de la </w:t>
      </w:r>
      <w:r w:rsidRPr="00112E18">
        <w:rPr>
          <w:lang w:val="es-ES_tradnl"/>
        </w:rPr>
        <w:t>supervis</w:t>
      </w:r>
      <w:r>
        <w:rPr>
          <w:lang w:val="es-ES_tradnl"/>
        </w:rPr>
        <w:t xml:space="preserve">ión del </w:t>
      </w:r>
      <w:r w:rsidRPr="00112E18">
        <w:rPr>
          <w:lang w:val="es-ES_tradnl"/>
        </w:rPr>
        <w:t>asistente personal, es esencial entender correctamente el concepto de asistencia personal</w:t>
      </w:r>
      <w:r w:rsidRPr="00554163">
        <w:rPr>
          <w:sz w:val="18"/>
          <w:szCs w:val="18"/>
          <w:vertAlign w:val="superscript"/>
          <w:lang w:val="es-ES_tradnl"/>
        </w:rPr>
        <w:footnoteReference w:id="31"/>
      </w:r>
      <w:r w:rsidRPr="00112E18">
        <w:rPr>
          <w:lang w:val="es-ES_tradnl"/>
        </w:rPr>
        <w:t xml:space="preserve">. Esto también es necesario para que los usuarios tengan acceso a reparación y recursos efectivos. </w:t>
      </w:r>
    </w:p>
    <w:p w:rsidR="00762EF9" w:rsidRPr="008D2DAB" w:rsidRDefault="00762EF9" w:rsidP="00762EF9">
      <w:pPr>
        <w:pStyle w:val="SingleTxtG"/>
        <w:rPr>
          <w:lang w:val="es-ES_tradnl"/>
        </w:rPr>
      </w:pPr>
      <w:r>
        <w:rPr>
          <w:lang w:val="es-ES_tradnl"/>
        </w:rPr>
        <w:t>40.</w:t>
      </w:r>
      <w:r>
        <w:rPr>
          <w:lang w:val="es-ES_tradnl"/>
        </w:rPr>
        <w:tab/>
      </w:r>
      <w:r w:rsidRPr="008D2DAB">
        <w:rPr>
          <w:lang w:val="es-ES_tradnl"/>
        </w:rPr>
        <w:t xml:space="preserve">Es preciso que los criterios de idoneidad para </w:t>
      </w:r>
      <w:r>
        <w:rPr>
          <w:lang w:val="es-ES_tradnl"/>
        </w:rPr>
        <w:t xml:space="preserve">acceder </w:t>
      </w:r>
      <w:r w:rsidRPr="008D2DAB">
        <w:rPr>
          <w:lang w:val="es-ES_tradnl"/>
        </w:rPr>
        <w:t xml:space="preserve">a los servicios de apoyo estén definidos en forma no discriminatoria. En particular, la evaluación debe </w:t>
      </w:r>
      <w:r>
        <w:rPr>
          <w:lang w:val="es-ES_tradnl"/>
        </w:rPr>
        <w:t>pasar de</w:t>
      </w:r>
      <w:r w:rsidRPr="008D2DAB">
        <w:rPr>
          <w:lang w:val="es-ES_tradnl"/>
        </w:rPr>
        <w:t xml:space="preserve"> un enfoque </w:t>
      </w:r>
      <w:r>
        <w:rPr>
          <w:lang w:val="es-ES_tradnl"/>
        </w:rPr>
        <w:t xml:space="preserve">médico </w:t>
      </w:r>
      <w:r w:rsidRPr="008D2DAB">
        <w:rPr>
          <w:lang w:val="es-ES_tradnl"/>
        </w:rPr>
        <w:t xml:space="preserve">de la discapacidad </w:t>
      </w:r>
      <w:r>
        <w:rPr>
          <w:lang w:val="es-ES_tradnl"/>
        </w:rPr>
        <w:t xml:space="preserve">a un enfoque </w:t>
      </w:r>
      <w:r w:rsidRPr="008D2DAB">
        <w:rPr>
          <w:lang w:val="es-ES_tradnl"/>
        </w:rPr>
        <w:t>basado en los derechos humanos</w:t>
      </w:r>
      <w:r>
        <w:rPr>
          <w:lang w:val="es-ES_tradnl"/>
        </w:rPr>
        <w:t xml:space="preserve">, </w:t>
      </w:r>
      <w:r w:rsidRPr="008D2DAB">
        <w:rPr>
          <w:lang w:val="es-ES_tradnl"/>
        </w:rPr>
        <w:t>centra</w:t>
      </w:r>
      <w:r>
        <w:rPr>
          <w:lang w:val="es-ES_tradnl"/>
        </w:rPr>
        <w:t>rse</w:t>
      </w:r>
      <w:r w:rsidRPr="008D2DAB">
        <w:rPr>
          <w:lang w:val="es-ES_tradnl"/>
        </w:rPr>
        <w:t xml:space="preserve"> en las necesidades de la persona y no en </w:t>
      </w:r>
      <w:r>
        <w:rPr>
          <w:lang w:val="es-ES_tradnl"/>
        </w:rPr>
        <w:t>la</w:t>
      </w:r>
      <w:r w:rsidRPr="008D2DAB">
        <w:rPr>
          <w:lang w:val="es-ES_tradnl"/>
        </w:rPr>
        <w:t xml:space="preserve"> deficiencia</w:t>
      </w:r>
      <w:r w:rsidRPr="00554163">
        <w:rPr>
          <w:sz w:val="18"/>
          <w:szCs w:val="18"/>
          <w:vertAlign w:val="superscript"/>
          <w:lang w:val="es-ES_tradnl"/>
        </w:rPr>
        <w:footnoteReference w:id="32"/>
      </w:r>
      <w:r>
        <w:rPr>
          <w:lang w:val="es-ES_tradnl"/>
        </w:rPr>
        <w:t>,</w:t>
      </w:r>
      <w:r w:rsidRPr="008D2DAB">
        <w:rPr>
          <w:lang w:val="es-ES_tradnl"/>
        </w:rPr>
        <w:t xml:space="preserve"> y respetar las elecc</w:t>
      </w:r>
      <w:r>
        <w:rPr>
          <w:lang w:val="es-ES_tradnl"/>
        </w:rPr>
        <w:t xml:space="preserve">iones y preferencias individuales, asegurando la participación de </w:t>
      </w:r>
      <w:r w:rsidRPr="008D2DAB">
        <w:rPr>
          <w:lang w:val="es-ES_tradnl"/>
        </w:rPr>
        <w:t xml:space="preserve">las personas con discapacidad en el proceso de adopción de decisiones. Al definir los criterios, también es importante </w:t>
      </w:r>
      <w:r>
        <w:rPr>
          <w:lang w:val="es-ES_tradnl"/>
        </w:rPr>
        <w:t>asegur</w:t>
      </w:r>
      <w:r w:rsidRPr="008D2DAB">
        <w:rPr>
          <w:lang w:val="es-ES_tradnl"/>
        </w:rPr>
        <w:t xml:space="preserve">ar que las personas con discapacidad tengan igualdad de acceso al apoyo. Para ello, </w:t>
      </w:r>
      <w:r w:rsidRPr="008D2DAB">
        <w:rPr>
          <w:lang w:val="es-ES_tradnl"/>
        </w:rPr>
        <w:lastRenderedPageBreak/>
        <w:t xml:space="preserve">la adopción de un concepto abierto de la discapacidad, </w:t>
      </w:r>
      <w:r>
        <w:rPr>
          <w:lang w:val="es-ES_tradnl"/>
        </w:rPr>
        <w:t xml:space="preserve">que se ajuste </w:t>
      </w:r>
      <w:r w:rsidRPr="008D2DAB">
        <w:rPr>
          <w:lang w:val="es-ES_tradnl"/>
        </w:rPr>
        <w:t>a la Convención sobre los Derechos de las Personas con Discapacidad (art. 1, segundo párrafo) es un</w:t>
      </w:r>
      <w:r>
        <w:rPr>
          <w:lang w:val="es-ES_tradnl"/>
        </w:rPr>
        <w:t xml:space="preserve"> paso </w:t>
      </w:r>
      <w:r w:rsidRPr="008D2DAB">
        <w:rPr>
          <w:lang w:val="es-ES_tradnl"/>
        </w:rPr>
        <w:t>esencial.</w:t>
      </w:r>
    </w:p>
    <w:p w:rsidR="00762EF9" w:rsidRPr="008D2DAB" w:rsidRDefault="00762EF9" w:rsidP="00762EF9">
      <w:pPr>
        <w:pStyle w:val="SingleTxtG"/>
        <w:rPr>
          <w:lang w:val="es-ES_tradnl"/>
        </w:rPr>
      </w:pPr>
      <w:r>
        <w:rPr>
          <w:lang w:val="es-ES_tradnl"/>
        </w:rPr>
        <w:t>41.</w:t>
      </w:r>
      <w:r>
        <w:rPr>
          <w:lang w:val="es-ES_tradnl"/>
        </w:rPr>
        <w:tab/>
        <w:t xml:space="preserve">Hay </w:t>
      </w:r>
      <w:r w:rsidRPr="008D2DAB">
        <w:rPr>
          <w:lang w:val="es-ES_tradnl"/>
        </w:rPr>
        <w:t xml:space="preserve">varias opciones para </w:t>
      </w:r>
      <w:r>
        <w:rPr>
          <w:lang w:val="es-ES_tradnl"/>
        </w:rPr>
        <w:t xml:space="preserve">cubrir </w:t>
      </w:r>
      <w:r w:rsidRPr="008D2DAB">
        <w:rPr>
          <w:lang w:val="es-ES_tradnl"/>
        </w:rPr>
        <w:t xml:space="preserve">los costos de los servicios de apoyo. Algunos Estados asumen </w:t>
      </w:r>
      <w:r>
        <w:rPr>
          <w:lang w:val="es-ES_tradnl"/>
        </w:rPr>
        <w:t xml:space="preserve">todo el costo de </w:t>
      </w:r>
      <w:r w:rsidRPr="008D2DAB">
        <w:rPr>
          <w:lang w:val="es-ES_tradnl"/>
        </w:rPr>
        <w:t xml:space="preserve">la oferta y la prestación de servicios, mientras que otros comparten los costos con los beneficiarios. A veces </w:t>
      </w:r>
      <w:r>
        <w:rPr>
          <w:lang w:val="es-ES_tradnl"/>
        </w:rPr>
        <w:t xml:space="preserve">los </w:t>
      </w:r>
      <w:r w:rsidRPr="008D2DAB">
        <w:rPr>
          <w:lang w:val="es-ES_tradnl"/>
        </w:rPr>
        <w:t xml:space="preserve">servicios </w:t>
      </w:r>
      <w:r>
        <w:rPr>
          <w:lang w:val="es-ES_tradnl"/>
        </w:rPr>
        <w:t xml:space="preserve">son prestados directamente por </w:t>
      </w:r>
      <w:r w:rsidRPr="008D2DAB">
        <w:rPr>
          <w:lang w:val="es-ES_tradnl"/>
        </w:rPr>
        <w:t xml:space="preserve">organizaciones de personas con discapacidad, que pueden recibir una cofinanciación del Estado o de la administración local, o pueden </w:t>
      </w:r>
      <w:r>
        <w:rPr>
          <w:lang w:val="es-ES_tradnl"/>
        </w:rPr>
        <w:t>recaudar sus propios fondos</w:t>
      </w:r>
      <w:r w:rsidRPr="008D2DAB">
        <w:rPr>
          <w:lang w:val="es-ES_tradnl"/>
        </w:rPr>
        <w:t>. El Comité sobre los Derechos de las Personas con Discapacidad exhorta reiteradamente a los Es</w:t>
      </w:r>
      <w:r>
        <w:rPr>
          <w:lang w:val="es-ES_tradnl"/>
        </w:rPr>
        <w:t>t</w:t>
      </w:r>
      <w:r w:rsidRPr="008D2DAB">
        <w:rPr>
          <w:lang w:val="es-ES_tradnl"/>
        </w:rPr>
        <w:t xml:space="preserve">ados a que asignen recursos suficientes </w:t>
      </w:r>
      <w:r>
        <w:rPr>
          <w:lang w:val="es-ES_tradnl"/>
        </w:rPr>
        <w:t>para</w:t>
      </w:r>
      <w:r w:rsidRPr="008D2DAB">
        <w:rPr>
          <w:lang w:val="es-ES_tradnl"/>
        </w:rPr>
        <w:t xml:space="preserve"> servicios de apoyo que permitan </w:t>
      </w:r>
      <w:r>
        <w:rPr>
          <w:lang w:val="es-ES_tradnl"/>
        </w:rPr>
        <w:t>a</w:t>
      </w:r>
      <w:r w:rsidRPr="008D2DAB">
        <w:rPr>
          <w:lang w:val="es-ES_tradnl"/>
        </w:rPr>
        <w:t xml:space="preserve"> las personas con discapacidad viv</w:t>
      </w:r>
      <w:r>
        <w:rPr>
          <w:lang w:val="es-ES_tradnl"/>
        </w:rPr>
        <w:t>ir</w:t>
      </w:r>
      <w:r w:rsidRPr="008D2DAB">
        <w:rPr>
          <w:lang w:val="es-ES_tradnl"/>
        </w:rPr>
        <w:t xml:space="preserve"> en su comunidad</w:t>
      </w:r>
      <w:r w:rsidRPr="00554163">
        <w:rPr>
          <w:sz w:val="18"/>
          <w:szCs w:val="18"/>
          <w:vertAlign w:val="superscript"/>
          <w:lang w:val="es-ES_tradnl"/>
        </w:rPr>
        <w:footnoteReference w:id="33"/>
      </w:r>
      <w:r w:rsidRPr="008D2DAB">
        <w:rPr>
          <w:lang w:val="es-ES_tradnl"/>
        </w:rPr>
        <w:t>.</w:t>
      </w:r>
    </w:p>
    <w:p w:rsidR="00762EF9" w:rsidRPr="00D775A7" w:rsidRDefault="00762EF9" w:rsidP="00762EF9">
      <w:pPr>
        <w:pStyle w:val="SingleTxtG"/>
        <w:rPr>
          <w:lang w:val="es-ES_tradnl"/>
        </w:rPr>
      </w:pPr>
      <w:r>
        <w:rPr>
          <w:lang w:val="es-ES_tradnl"/>
        </w:rPr>
        <w:t>42.</w:t>
      </w:r>
      <w:r>
        <w:rPr>
          <w:lang w:val="es-ES_tradnl"/>
        </w:rPr>
        <w:tab/>
      </w:r>
      <w:r w:rsidRPr="00D775A7">
        <w:rPr>
          <w:lang w:val="es-ES_tradnl"/>
        </w:rPr>
        <w:t xml:space="preserve">Las medidas de austeridad han tenido </w:t>
      </w:r>
      <w:r>
        <w:rPr>
          <w:lang w:val="es-ES_tradnl"/>
        </w:rPr>
        <w:t>una repercusión negativa</w:t>
      </w:r>
      <w:r w:rsidRPr="00D775A7">
        <w:rPr>
          <w:lang w:val="es-ES_tradnl"/>
        </w:rPr>
        <w:t xml:space="preserve"> considerable en la financiación y la prestación de </w:t>
      </w:r>
      <w:r>
        <w:rPr>
          <w:lang w:val="es-ES_tradnl"/>
        </w:rPr>
        <w:t>apoyo en muchos países. L</w:t>
      </w:r>
      <w:r w:rsidRPr="00D775A7">
        <w:rPr>
          <w:lang w:val="es-ES_tradnl"/>
        </w:rPr>
        <w:t xml:space="preserve">as medidas </w:t>
      </w:r>
      <w:r>
        <w:rPr>
          <w:lang w:val="es-ES_tradnl"/>
        </w:rPr>
        <w:t xml:space="preserve">han incluido </w:t>
      </w:r>
      <w:r w:rsidRPr="00D775A7">
        <w:rPr>
          <w:lang w:val="es-ES_tradnl"/>
        </w:rPr>
        <w:t>recortes presupuestarios directos, supresión y fusión de servicios, prestación de servicios más estandarizados o servicios institucionales, re</w:t>
      </w:r>
      <w:r>
        <w:rPr>
          <w:lang w:val="es-ES_tradnl"/>
        </w:rPr>
        <w:t xml:space="preserve">cortes </w:t>
      </w:r>
      <w:r w:rsidRPr="00D775A7">
        <w:rPr>
          <w:lang w:val="es-ES_tradnl"/>
        </w:rPr>
        <w:t xml:space="preserve">de personal y </w:t>
      </w:r>
      <w:r>
        <w:rPr>
          <w:lang w:val="es-ES_tradnl"/>
        </w:rPr>
        <w:t>de las condiciones</w:t>
      </w:r>
      <w:r w:rsidRPr="00D775A7">
        <w:rPr>
          <w:lang w:val="es-ES_tradnl"/>
        </w:rPr>
        <w:t>, recortes al apoyo para vi</w:t>
      </w:r>
      <w:r>
        <w:rPr>
          <w:lang w:val="es-ES_tradnl"/>
        </w:rPr>
        <w:t>vir de forma</w:t>
      </w:r>
      <w:r w:rsidRPr="00D775A7">
        <w:rPr>
          <w:lang w:val="es-ES_tradnl"/>
        </w:rPr>
        <w:t xml:space="preserve"> independiente, retrasos en </w:t>
      </w:r>
      <w:r>
        <w:rPr>
          <w:lang w:val="es-ES_tradnl"/>
        </w:rPr>
        <w:t xml:space="preserve">los </w:t>
      </w:r>
      <w:r w:rsidRPr="00D775A7">
        <w:rPr>
          <w:lang w:val="es-ES_tradnl"/>
        </w:rPr>
        <w:t>pagos del sector público a</w:t>
      </w:r>
      <w:r>
        <w:rPr>
          <w:lang w:val="es-ES_tradnl"/>
        </w:rPr>
        <w:t xml:space="preserve"> </w:t>
      </w:r>
      <w:r w:rsidRPr="00D775A7">
        <w:rPr>
          <w:lang w:val="es-ES_tradnl"/>
        </w:rPr>
        <w:t>l</w:t>
      </w:r>
      <w:r>
        <w:rPr>
          <w:lang w:val="es-ES_tradnl"/>
        </w:rPr>
        <w:t>as</w:t>
      </w:r>
      <w:r w:rsidRPr="00D775A7">
        <w:rPr>
          <w:lang w:val="es-ES_tradnl"/>
        </w:rPr>
        <w:t xml:space="preserve"> </w:t>
      </w:r>
      <w:r>
        <w:rPr>
          <w:lang w:val="es-ES_tradnl"/>
        </w:rPr>
        <w:t xml:space="preserve">entidades sin ánimo de </w:t>
      </w:r>
      <w:r w:rsidRPr="00D775A7">
        <w:rPr>
          <w:lang w:val="es-ES_tradnl"/>
        </w:rPr>
        <w:t>lucr</w:t>
      </w:r>
      <w:r>
        <w:rPr>
          <w:lang w:val="es-ES_tradnl"/>
        </w:rPr>
        <w:t>o</w:t>
      </w:r>
      <w:r w:rsidRPr="00D775A7">
        <w:rPr>
          <w:lang w:val="es-ES_tradnl"/>
        </w:rPr>
        <w:t xml:space="preserve">, aplazamiento de las reformas, alargamiento de las listas de espera y </w:t>
      </w:r>
      <w:r>
        <w:rPr>
          <w:lang w:val="es-ES_tradnl"/>
        </w:rPr>
        <w:t xml:space="preserve">aumento de la </w:t>
      </w:r>
      <w:r w:rsidRPr="00D775A7">
        <w:rPr>
          <w:lang w:val="es-ES_tradnl"/>
        </w:rPr>
        <w:t>privatización de los servicios</w:t>
      </w:r>
      <w:r w:rsidRPr="00554163">
        <w:rPr>
          <w:sz w:val="18"/>
          <w:szCs w:val="18"/>
          <w:vertAlign w:val="superscript"/>
          <w:lang w:val="es-ES_tradnl"/>
        </w:rPr>
        <w:footnoteReference w:id="34"/>
      </w:r>
      <w:r w:rsidRPr="00D775A7">
        <w:rPr>
          <w:lang w:val="es-ES_tradnl"/>
        </w:rPr>
        <w:t xml:space="preserve">. En algunos casos, se ha </w:t>
      </w:r>
      <w:r>
        <w:rPr>
          <w:lang w:val="es-ES_tradnl"/>
        </w:rPr>
        <w:t xml:space="preserve">cerrado </w:t>
      </w:r>
      <w:r w:rsidRPr="00D775A7">
        <w:rPr>
          <w:lang w:val="es-ES_tradnl"/>
        </w:rPr>
        <w:t xml:space="preserve">por completo el acceso de nuevos solicitantes a los fondos </w:t>
      </w:r>
      <w:r>
        <w:rPr>
          <w:lang w:val="es-ES_tradnl"/>
        </w:rPr>
        <w:t xml:space="preserve">para </w:t>
      </w:r>
      <w:r w:rsidRPr="00D775A7">
        <w:rPr>
          <w:lang w:val="es-ES_tradnl"/>
        </w:rPr>
        <w:t>vi</w:t>
      </w:r>
      <w:r>
        <w:rPr>
          <w:lang w:val="es-ES_tradnl"/>
        </w:rPr>
        <w:t xml:space="preserve">vir de forma </w:t>
      </w:r>
      <w:r w:rsidRPr="00D775A7">
        <w:rPr>
          <w:lang w:val="es-ES_tradnl"/>
        </w:rPr>
        <w:t xml:space="preserve">independiente, lo que ha reducido drásticamente el número de beneficiarios de presupuestos personales. Las medidas de austeridad </w:t>
      </w:r>
      <w:r>
        <w:rPr>
          <w:lang w:val="es-ES_tradnl"/>
        </w:rPr>
        <w:t xml:space="preserve">dan lugar a </w:t>
      </w:r>
      <w:r w:rsidRPr="00D775A7">
        <w:rPr>
          <w:lang w:val="es-ES_tradnl"/>
        </w:rPr>
        <w:t xml:space="preserve">grandes preocupaciones en relación </w:t>
      </w:r>
      <w:r>
        <w:rPr>
          <w:lang w:val="es-ES_tradnl"/>
        </w:rPr>
        <w:t>con</w:t>
      </w:r>
      <w:r w:rsidRPr="00D775A7">
        <w:rPr>
          <w:lang w:val="es-ES_tradnl"/>
        </w:rPr>
        <w:t xml:space="preserve"> las obligaciones de</w:t>
      </w:r>
      <w:r>
        <w:rPr>
          <w:lang w:val="es-ES_tradnl"/>
        </w:rPr>
        <w:t xml:space="preserve"> </w:t>
      </w:r>
      <w:r w:rsidRPr="00D775A7">
        <w:rPr>
          <w:lang w:val="es-ES_tradnl"/>
        </w:rPr>
        <w:t>l</w:t>
      </w:r>
      <w:r>
        <w:rPr>
          <w:lang w:val="es-ES_tradnl"/>
        </w:rPr>
        <w:t>os</w:t>
      </w:r>
      <w:r w:rsidRPr="00D775A7">
        <w:rPr>
          <w:lang w:val="es-ES_tradnl"/>
        </w:rPr>
        <w:t xml:space="preserve"> Estado</w:t>
      </w:r>
      <w:r>
        <w:rPr>
          <w:lang w:val="es-ES_tradnl"/>
        </w:rPr>
        <w:t>s</w:t>
      </w:r>
      <w:r w:rsidRPr="00D775A7">
        <w:rPr>
          <w:lang w:val="es-ES_tradnl"/>
        </w:rPr>
        <w:t xml:space="preserve"> de no regresión</w:t>
      </w:r>
      <w:r w:rsidRPr="0089580E">
        <w:rPr>
          <w:sz w:val="18"/>
          <w:szCs w:val="18"/>
          <w:vertAlign w:val="superscript"/>
          <w:lang w:val="es-ES_tradnl"/>
        </w:rPr>
        <w:footnoteReference w:id="35"/>
      </w:r>
      <w:r w:rsidRPr="00D775A7">
        <w:rPr>
          <w:lang w:val="es-ES_tradnl"/>
        </w:rPr>
        <w:t>, no discriminación y cumplimiento de las obligaciones básicas mínimas.</w:t>
      </w:r>
    </w:p>
    <w:p w:rsidR="00762EF9" w:rsidRPr="003D6281" w:rsidRDefault="00762EF9" w:rsidP="00762EF9">
      <w:pPr>
        <w:pStyle w:val="H1G"/>
        <w:rPr>
          <w:lang w:val="es-ES_tradnl"/>
        </w:rPr>
      </w:pPr>
      <w:r>
        <w:rPr>
          <w:lang w:val="es-ES_tradnl"/>
        </w:rPr>
        <w:tab/>
        <w:t>C.</w:t>
      </w:r>
      <w:r>
        <w:rPr>
          <w:lang w:val="es-ES_tradnl"/>
        </w:rPr>
        <w:tab/>
      </w:r>
      <w:r w:rsidRPr="003D6281">
        <w:rPr>
          <w:lang w:val="es-ES_tradnl"/>
        </w:rPr>
        <w:t>Disponibilidad de instalaciones y servicios comunitarios</w:t>
      </w:r>
    </w:p>
    <w:p w:rsidR="00762EF9" w:rsidRPr="003D6281" w:rsidRDefault="00762EF9" w:rsidP="00762EF9">
      <w:pPr>
        <w:pStyle w:val="SingleTxtG"/>
        <w:rPr>
          <w:lang w:val="es-ES_tradnl"/>
        </w:rPr>
      </w:pPr>
      <w:r>
        <w:rPr>
          <w:lang w:val="es-ES_tradnl"/>
        </w:rPr>
        <w:t>43.</w:t>
      </w:r>
      <w:r>
        <w:rPr>
          <w:lang w:val="es-ES_tradnl"/>
        </w:rPr>
        <w:tab/>
      </w:r>
      <w:r w:rsidRPr="003D6281">
        <w:rPr>
          <w:lang w:val="es-ES_tradnl"/>
        </w:rPr>
        <w:t xml:space="preserve">Las personas con discapacidad deben poder acceder a las instalaciones y los servicios comunitarios ordinarios para disfrutar plenamente de su derecho a vivir </w:t>
      </w:r>
      <w:r>
        <w:rPr>
          <w:lang w:val="es-ES_tradnl"/>
        </w:rPr>
        <w:t>d</w:t>
      </w:r>
      <w:r w:rsidRPr="003D6281">
        <w:rPr>
          <w:lang w:val="es-ES_tradnl"/>
        </w:rPr>
        <w:t xml:space="preserve">e forma independiente y a ser incluidas en la comunidad. El artículo 19 c) exige que los Estados partes </w:t>
      </w:r>
      <w:r>
        <w:rPr>
          <w:lang w:val="es-ES_tradnl"/>
        </w:rPr>
        <w:t xml:space="preserve">aseguren </w:t>
      </w:r>
      <w:r w:rsidRPr="003D6281">
        <w:rPr>
          <w:lang w:val="es-ES_tradnl"/>
        </w:rPr>
        <w:t xml:space="preserve">que las instalaciones y los servicios comunitarios para la población en general estén a disposición, en igualdad de condiciones, de las personas con discapacidad y tengan en cuenta sus necesidades. Esto se ha de interpretar ampliamente para abarcar todas las instalaciones y los servicios disponibles en la sociedad y puede incluir, a modo de ilustración, </w:t>
      </w:r>
      <w:r>
        <w:rPr>
          <w:lang w:val="es-ES_tradnl"/>
        </w:rPr>
        <w:t xml:space="preserve">el derecho </w:t>
      </w:r>
      <w:r w:rsidRPr="003D6281">
        <w:rPr>
          <w:lang w:val="es-ES_tradnl"/>
        </w:rPr>
        <w:t xml:space="preserve">a </w:t>
      </w:r>
      <w:r>
        <w:rPr>
          <w:lang w:val="es-ES_tradnl"/>
        </w:rPr>
        <w:t>asistir a</w:t>
      </w:r>
      <w:r w:rsidRPr="003D6281">
        <w:rPr>
          <w:lang w:val="es-ES_tradnl"/>
        </w:rPr>
        <w:t xml:space="preserve"> una escuela de la comunidad, </w:t>
      </w:r>
      <w:r>
        <w:rPr>
          <w:lang w:val="es-ES_tradnl"/>
        </w:rPr>
        <w:t xml:space="preserve">a </w:t>
      </w:r>
      <w:r w:rsidRPr="003D6281">
        <w:rPr>
          <w:lang w:val="es-ES_tradnl"/>
        </w:rPr>
        <w:t xml:space="preserve">utilizar el sistema general de transporte </w:t>
      </w:r>
      <w:r>
        <w:rPr>
          <w:lang w:val="es-ES_tradnl"/>
        </w:rPr>
        <w:t>o</w:t>
      </w:r>
      <w:r w:rsidRPr="003D6281">
        <w:rPr>
          <w:lang w:val="es-ES_tradnl"/>
        </w:rPr>
        <w:t xml:space="preserve"> </w:t>
      </w:r>
      <w:r>
        <w:rPr>
          <w:lang w:val="es-ES_tradnl"/>
        </w:rPr>
        <w:t xml:space="preserve">a </w:t>
      </w:r>
      <w:r w:rsidRPr="003D6281">
        <w:rPr>
          <w:lang w:val="es-ES_tradnl"/>
        </w:rPr>
        <w:t xml:space="preserve">tener acceso al empleo en el mercado laboral abierto, conforme a </w:t>
      </w:r>
      <w:r>
        <w:rPr>
          <w:lang w:val="es-ES_tradnl"/>
        </w:rPr>
        <w:t xml:space="preserve">las </w:t>
      </w:r>
      <w:r w:rsidRPr="003D6281">
        <w:rPr>
          <w:lang w:val="es-ES_tradnl"/>
        </w:rPr>
        <w:t>aspiraciones y cualificaciones</w:t>
      </w:r>
      <w:r>
        <w:rPr>
          <w:lang w:val="es-ES_tradnl"/>
        </w:rPr>
        <w:t xml:space="preserve"> individuales</w:t>
      </w:r>
      <w:r w:rsidRPr="003D6281">
        <w:rPr>
          <w:lang w:val="es-ES_tradnl"/>
        </w:rPr>
        <w:t xml:space="preserve">. En combinación con servicios de apoyo específicos, la disponibilidad de las instalaciones y </w:t>
      </w:r>
      <w:r>
        <w:rPr>
          <w:lang w:val="es-ES_tradnl"/>
        </w:rPr>
        <w:t xml:space="preserve">los </w:t>
      </w:r>
      <w:r w:rsidRPr="003D6281">
        <w:rPr>
          <w:lang w:val="es-ES_tradnl"/>
        </w:rPr>
        <w:t>servicios comunitarios también es esencial para una desinstitucionalización exitosa.</w:t>
      </w:r>
    </w:p>
    <w:p w:rsidR="00762EF9" w:rsidRPr="000B37BA" w:rsidRDefault="00762EF9" w:rsidP="00762EF9">
      <w:pPr>
        <w:pStyle w:val="SingleTxtG"/>
        <w:rPr>
          <w:lang w:val="es-ES_tradnl"/>
        </w:rPr>
      </w:pPr>
      <w:r>
        <w:rPr>
          <w:lang w:val="es-ES_tradnl"/>
        </w:rPr>
        <w:t>44.</w:t>
      </w:r>
      <w:r>
        <w:rPr>
          <w:lang w:val="es-ES_tradnl"/>
        </w:rPr>
        <w:tab/>
      </w:r>
      <w:r w:rsidRPr="000B37BA">
        <w:rPr>
          <w:lang w:val="es-ES_tradnl"/>
        </w:rPr>
        <w:t>El artículo 19 c) se deriva de los principios generales enunciados en el artículo 3, en particular los relativos a la participación e inclusión plenas y efectivas en la sociedad y el respeto por la diferencia y la aceptación de las personas con discapacidad como parte de la diversidad</w:t>
      </w:r>
      <w:r>
        <w:rPr>
          <w:lang w:val="es-ES_tradnl"/>
        </w:rPr>
        <w:t xml:space="preserve"> hu</w:t>
      </w:r>
      <w:r w:rsidRPr="000B37BA">
        <w:rPr>
          <w:lang w:val="es-ES_tradnl"/>
        </w:rPr>
        <w:t xml:space="preserve">mana. La construcción de una comunidad inclusiva </w:t>
      </w:r>
      <w:r>
        <w:rPr>
          <w:lang w:val="es-ES_tradnl"/>
        </w:rPr>
        <w:t xml:space="preserve">requiere: </w:t>
      </w:r>
      <w:r w:rsidRPr="000B37BA">
        <w:rPr>
          <w:lang w:val="es-ES_tradnl"/>
        </w:rPr>
        <w:t xml:space="preserve">a) la eliminación </w:t>
      </w:r>
      <w:r w:rsidRPr="000B37BA">
        <w:rPr>
          <w:lang w:val="es-ES_tradnl"/>
        </w:rPr>
        <w:lastRenderedPageBreak/>
        <w:t xml:space="preserve">de las barreras; b) la transformación sistémica de los servicios </w:t>
      </w:r>
      <w:r>
        <w:rPr>
          <w:lang w:val="es-ES_tradnl"/>
        </w:rPr>
        <w:t>convencionales</w:t>
      </w:r>
      <w:r w:rsidRPr="000B37BA">
        <w:rPr>
          <w:lang w:val="es-ES_tradnl"/>
        </w:rPr>
        <w:t xml:space="preserve"> </w:t>
      </w:r>
      <w:r>
        <w:rPr>
          <w:lang w:val="es-ES_tradnl"/>
        </w:rPr>
        <w:t xml:space="preserve">de </w:t>
      </w:r>
      <w:r w:rsidRPr="000B37BA">
        <w:rPr>
          <w:lang w:val="es-ES_tradnl"/>
        </w:rPr>
        <w:t>la sociedad; y c) un proceso inclusivo en el que las personas con discapacidad participen activamente.</w:t>
      </w:r>
    </w:p>
    <w:p w:rsidR="00762EF9" w:rsidRPr="005D1871" w:rsidRDefault="00762EF9" w:rsidP="00762EF9">
      <w:pPr>
        <w:pStyle w:val="SingleTxtG"/>
        <w:rPr>
          <w:lang w:val="es-ES_tradnl"/>
        </w:rPr>
      </w:pPr>
      <w:r>
        <w:rPr>
          <w:lang w:val="es-ES_tradnl"/>
        </w:rPr>
        <w:t>45.</w:t>
      </w:r>
      <w:r>
        <w:rPr>
          <w:lang w:val="es-ES_tradnl"/>
        </w:rPr>
        <w:tab/>
      </w:r>
      <w:r w:rsidRPr="005D1871">
        <w:rPr>
          <w:lang w:val="es-ES_tradnl"/>
        </w:rPr>
        <w:t xml:space="preserve">De conformidad con el artículo 9 de la Convención, los Estados tienen, entre otras obligaciones, la de adoptar medidas pertinentes para asegurar el acceso de las personas con discapacidad, en igualdad de condiciones con las demás, al entorno físico, el transporte, la información y las comunicaciones, y a otros servicios e instalaciones abiertos al público o de uso público. </w:t>
      </w:r>
      <w:r>
        <w:rPr>
          <w:lang w:val="es-ES_tradnl"/>
        </w:rPr>
        <w:t>A</w:t>
      </w:r>
      <w:r w:rsidRPr="005D1871">
        <w:rPr>
          <w:lang w:val="es-ES_tradnl"/>
        </w:rPr>
        <w:t xml:space="preserve">portaciones de todas las regiones </w:t>
      </w:r>
      <w:r>
        <w:rPr>
          <w:lang w:val="es-ES_tradnl"/>
        </w:rPr>
        <w:t xml:space="preserve">muestran </w:t>
      </w:r>
      <w:r w:rsidRPr="005D1871">
        <w:rPr>
          <w:lang w:val="es-ES_tradnl"/>
        </w:rPr>
        <w:t xml:space="preserve">avances en la adaptación de los edificios, las instalaciones, las vías de circulación y el transporte públicos para una mayor accesibilidad. Se </w:t>
      </w:r>
      <w:r>
        <w:rPr>
          <w:lang w:val="es-ES_tradnl"/>
        </w:rPr>
        <w:t xml:space="preserve">mencionan </w:t>
      </w:r>
      <w:r w:rsidRPr="005D1871">
        <w:rPr>
          <w:lang w:val="es-ES_tradnl"/>
        </w:rPr>
        <w:t xml:space="preserve">además otras medidas, como la revisión de las leyes de control de la construcción y los códigos de planificación urbana, la modificación del entorno de información y la inclusión de normas de diseño universal en </w:t>
      </w:r>
      <w:r>
        <w:rPr>
          <w:lang w:val="es-ES_tradnl"/>
        </w:rPr>
        <w:t xml:space="preserve">una variedad </w:t>
      </w:r>
      <w:r w:rsidRPr="005D1871">
        <w:rPr>
          <w:lang w:val="es-ES_tradnl"/>
        </w:rPr>
        <w:t xml:space="preserve">de sectores. También se han adoptado medidas en el sector de la vivienda para asegurar que las construcciones nuevas se ajusten a las normas de accesibilidad y que las personas con discapacidad estén incluidas en los planes de vivienda social. En </w:t>
      </w:r>
      <w:r>
        <w:rPr>
          <w:lang w:val="es-ES_tradnl"/>
        </w:rPr>
        <w:t>algun</w:t>
      </w:r>
      <w:r w:rsidRPr="005D1871">
        <w:rPr>
          <w:lang w:val="es-ES_tradnl"/>
        </w:rPr>
        <w:t xml:space="preserve">os países se promueven sistemas </w:t>
      </w:r>
      <w:r>
        <w:rPr>
          <w:lang w:val="es-ES_tradnl"/>
        </w:rPr>
        <w:t xml:space="preserve">de educación </w:t>
      </w:r>
      <w:r w:rsidRPr="005D1871">
        <w:rPr>
          <w:lang w:val="es-ES_tradnl"/>
        </w:rPr>
        <w:t xml:space="preserve">inclusivos, aunque las personas con discapacidad siguen enfrentándose a </w:t>
      </w:r>
      <w:r>
        <w:rPr>
          <w:lang w:val="es-ES_tradnl"/>
        </w:rPr>
        <w:t>vari</w:t>
      </w:r>
      <w:r w:rsidRPr="005D1871">
        <w:rPr>
          <w:lang w:val="es-ES_tradnl"/>
        </w:rPr>
        <w:t xml:space="preserve">as formas de discriminación en los entornos educativos. También son comunes las medidas </w:t>
      </w:r>
      <w:r>
        <w:rPr>
          <w:lang w:val="es-ES_tradnl"/>
        </w:rPr>
        <w:t>para incentivar e</w:t>
      </w:r>
      <w:r w:rsidRPr="005D1871">
        <w:rPr>
          <w:lang w:val="es-ES_tradnl"/>
        </w:rPr>
        <w:t xml:space="preserve">l empleo de personas con discapacidad, aunque </w:t>
      </w:r>
      <w:r>
        <w:rPr>
          <w:lang w:val="es-ES_tradnl"/>
        </w:rPr>
        <w:t xml:space="preserve">hay una </w:t>
      </w:r>
      <w:r w:rsidRPr="005D1871">
        <w:rPr>
          <w:lang w:val="es-ES_tradnl"/>
        </w:rPr>
        <w:t xml:space="preserve">práctica </w:t>
      </w:r>
      <w:r>
        <w:rPr>
          <w:lang w:val="es-ES_tradnl"/>
        </w:rPr>
        <w:t xml:space="preserve">sistemática </w:t>
      </w:r>
      <w:r w:rsidRPr="005D1871">
        <w:rPr>
          <w:lang w:val="es-ES_tradnl"/>
        </w:rPr>
        <w:t>de trabajo protegido, contraria al artículo 27 de la Convención sobre los Derechos de las Personas con Discapacidad. E</w:t>
      </w:r>
      <w:r>
        <w:rPr>
          <w:lang w:val="es-ES_tradnl"/>
        </w:rPr>
        <w:t>l trabajo protegido impide e</w:t>
      </w:r>
      <w:r w:rsidRPr="005D1871">
        <w:rPr>
          <w:lang w:val="es-ES_tradnl"/>
        </w:rPr>
        <w:t>n efecto</w:t>
      </w:r>
      <w:r>
        <w:rPr>
          <w:lang w:val="es-ES_tradnl"/>
        </w:rPr>
        <w:t xml:space="preserve"> </w:t>
      </w:r>
      <w:r w:rsidRPr="005D1871">
        <w:rPr>
          <w:lang w:val="es-ES_tradnl"/>
        </w:rPr>
        <w:t>la inclusión de las personas con discapacidad y su interacción con la comunidad</w:t>
      </w:r>
      <w:r w:rsidRPr="00554163">
        <w:rPr>
          <w:sz w:val="18"/>
          <w:szCs w:val="18"/>
          <w:vertAlign w:val="superscript"/>
          <w:lang w:val="es-ES_tradnl"/>
        </w:rPr>
        <w:footnoteReference w:id="36"/>
      </w:r>
      <w:r w:rsidRPr="005D1871">
        <w:rPr>
          <w:lang w:val="es-ES_tradnl"/>
        </w:rPr>
        <w:t>.</w:t>
      </w:r>
    </w:p>
    <w:p w:rsidR="00762EF9" w:rsidRPr="00860848" w:rsidRDefault="00762EF9" w:rsidP="00762EF9">
      <w:pPr>
        <w:pStyle w:val="SingleTxtG"/>
        <w:rPr>
          <w:lang w:val="es-ES_tradnl"/>
        </w:rPr>
      </w:pPr>
      <w:r>
        <w:rPr>
          <w:lang w:val="es-ES_tradnl"/>
        </w:rPr>
        <w:t>46.</w:t>
      </w:r>
      <w:r>
        <w:rPr>
          <w:lang w:val="es-ES_tradnl"/>
        </w:rPr>
        <w:tab/>
      </w:r>
      <w:r w:rsidRPr="00860848">
        <w:rPr>
          <w:lang w:val="es-ES_tradnl"/>
        </w:rPr>
        <w:t xml:space="preserve">La rehabilitación </w:t>
      </w:r>
      <w:r>
        <w:rPr>
          <w:lang w:val="es-ES_tradnl"/>
        </w:rPr>
        <w:t xml:space="preserve">basada en la comunidad </w:t>
      </w:r>
      <w:r w:rsidRPr="00860848">
        <w:rPr>
          <w:lang w:val="es-ES_tradnl"/>
        </w:rPr>
        <w:t xml:space="preserve">puede </w:t>
      </w:r>
      <w:r>
        <w:rPr>
          <w:lang w:val="es-ES_tradnl"/>
        </w:rPr>
        <w:t>ser una plataforma efe</w:t>
      </w:r>
      <w:r w:rsidRPr="00860848">
        <w:rPr>
          <w:lang w:val="es-ES_tradnl"/>
        </w:rPr>
        <w:t>c</w:t>
      </w:r>
      <w:r>
        <w:rPr>
          <w:lang w:val="es-ES_tradnl"/>
        </w:rPr>
        <w:t xml:space="preserve">tiva </w:t>
      </w:r>
      <w:r w:rsidRPr="00860848">
        <w:rPr>
          <w:lang w:val="es-ES_tradnl"/>
        </w:rPr>
        <w:t>para apoyar la inclusión de las personas con discapacidad en el desarrollo de su</w:t>
      </w:r>
      <w:r>
        <w:rPr>
          <w:lang w:val="es-ES_tradnl"/>
        </w:rPr>
        <w:t>s</w:t>
      </w:r>
      <w:r w:rsidRPr="00860848">
        <w:rPr>
          <w:lang w:val="es-ES_tradnl"/>
        </w:rPr>
        <w:t xml:space="preserve"> comunidad</w:t>
      </w:r>
      <w:r>
        <w:rPr>
          <w:lang w:val="es-ES_tradnl"/>
        </w:rPr>
        <w:t>es</w:t>
      </w:r>
      <w:r w:rsidRPr="00860848">
        <w:rPr>
          <w:lang w:val="es-ES_tradnl"/>
        </w:rPr>
        <w:t xml:space="preserve">. Con los años, la rehabilitación </w:t>
      </w:r>
      <w:r>
        <w:rPr>
          <w:lang w:val="es-ES_tradnl"/>
        </w:rPr>
        <w:t xml:space="preserve">basada en la </w:t>
      </w:r>
      <w:r w:rsidRPr="00860848">
        <w:rPr>
          <w:lang w:val="es-ES_tradnl"/>
        </w:rPr>
        <w:t>comuni</w:t>
      </w:r>
      <w:r>
        <w:rPr>
          <w:lang w:val="es-ES_tradnl"/>
        </w:rPr>
        <w:t xml:space="preserve">dad </w:t>
      </w:r>
      <w:r w:rsidRPr="00860848">
        <w:rPr>
          <w:lang w:val="es-ES_tradnl"/>
        </w:rPr>
        <w:t xml:space="preserve">ha pasado de </w:t>
      </w:r>
      <w:r>
        <w:rPr>
          <w:lang w:val="es-ES_tradnl"/>
        </w:rPr>
        <w:t xml:space="preserve">un enfoque </w:t>
      </w:r>
      <w:r w:rsidRPr="00860848">
        <w:rPr>
          <w:lang w:val="es-ES_tradnl"/>
        </w:rPr>
        <w:t>de prestación de un servicio</w:t>
      </w:r>
      <w:r>
        <w:rPr>
          <w:lang w:val="es-ES_tradnl"/>
        </w:rPr>
        <w:t xml:space="preserve"> </w:t>
      </w:r>
      <w:r w:rsidRPr="00860848">
        <w:rPr>
          <w:lang w:val="es-ES_tradnl"/>
        </w:rPr>
        <w:t xml:space="preserve">a menudo </w:t>
      </w:r>
      <w:r>
        <w:rPr>
          <w:lang w:val="es-ES_tradnl"/>
        </w:rPr>
        <w:t>uni</w:t>
      </w:r>
      <w:r w:rsidRPr="00860848">
        <w:rPr>
          <w:lang w:val="es-ES_tradnl"/>
        </w:rPr>
        <w:t>sectorial</w:t>
      </w:r>
      <w:r w:rsidRPr="00762EF9">
        <w:rPr>
          <w:lang w:val="es-ES_tradnl"/>
        </w:rPr>
        <w:t xml:space="preserve"> </w:t>
      </w:r>
      <w:r>
        <w:rPr>
          <w:lang w:val="es-ES_tradnl"/>
        </w:rPr>
        <w:t>centrado en el aspecto médico</w:t>
      </w:r>
      <w:r w:rsidRPr="00860848">
        <w:rPr>
          <w:lang w:val="es-ES_tradnl"/>
        </w:rPr>
        <w:t xml:space="preserve"> a una </w:t>
      </w:r>
      <w:r w:rsidRPr="0004641C">
        <w:rPr>
          <w:lang w:val="es-ES_tradnl"/>
        </w:rPr>
        <w:t>estrategia de</w:t>
      </w:r>
      <w:r>
        <w:rPr>
          <w:lang w:val="es-ES_tradnl"/>
        </w:rPr>
        <w:t>ntro del</w:t>
      </w:r>
      <w:r w:rsidRPr="0004641C">
        <w:rPr>
          <w:lang w:val="es-ES_tradnl"/>
        </w:rPr>
        <w:t xml:space="preserve"> desarrollo </w:t>
      </w:r>
      <w:r>
        <w:rPr>
          <w:lang w:val="es-ES_tradnl"/>
        </w:rPr>
        <w:t xml:space="preserve">de la </w:t>
      </w:r>
      <w:r w:rsidRPr="0004641C">
        <w:rPr>
          <w:lang w:val="es-ES_tradnl"/>
        </w:rPr>
        <w:t>comuni</w:t>
      </w:r>
      <w:r>
        <w:rPr>
          <w:lang w:val="es-ES_tradnl"/>
        </w:rPr>
        <w:t xml:space="preserve">dad general </w:t>
      </w:r>
      <w:r w:rsidRPr="0004641C">
        <w:rPr>
          <w:lang w:val="es-ES_tradnl"/>
        </w:rPr>
        <w:t>para la rehabilitación, la igualda</w:t>
      </w:r>
      <w:r>
        <w:rPr>
          <w:lang w:val="es-ES_tradnl"/>
        </w:rPr>
        <w:t>d de oportunidades y la inclus</w:t>
      </w:r>
      <w:r w:rsidRPr="0004641C">
        <w:rPr>
          <w:lang w:val="es-ES_tradnl"/>
        </w:rPr>
        <w:t>ión social de</w:t>
      </w:r>
      <w:r>
        <w:rPr>
          <w:lang w:val="es-ES_tradnl"/>
        </w:rPr>
        <w:t xml:space="preserve"> </w:t>
      </w:r>
      <w:r w:rsidRPr="0004641C">
        <w:rPr>
          <w:lang w:val="es-ES_tradnl"/>
        </w:rPr>
        <w:t>todas las personas con discapacidad</w:t>
      </w:r>
      <w:r w:rsidRPr="00554163">
        <w:rPr>
          <w:sz w:val="18"/>
          <w:szCs w:val="18"/>
          <w:vertAlign w:val="superscript"/>
          <w:lang w:val="es-ES_tradnl"/>
        </w:rPr>
        <w:footnoteReference w:id="37"/>
      </w:r>
      <w:r w:rsidRPr="00860848">
        <w:rPr>
          <w:lang w:val="es-ES_tradnl"/>
        </w:rPr>
        <w:t>. La Guía para la rehabilitación basada en la comunidad, publicada en 2010 por la O</w:t>
      </w:r>
      <w:r>
        <w:rPr>
          <w:lang w:val="es-ES_tradnl"/>
        </w:rPr>
        <w:t xml:space="preserve">rganización Mundial de la Salud, </w:t>
      </w:r>
      <w:r w:rsidRPr="00860848">
        <w:rPr>
          <w:lang w:val="es-ES_tradnl"/>
        </w:rPr>
        <w:t xml:space="preserve">tiene por objeto promover el acceso de las personas con discapacidad a los sectores convencionales de atención de la salud, educación, servicios sociales y empleo, </w:t>
      </w:r>
      <w:r>
        <w:rPr>
          <w:lang w:val="es-ES_tradnl"/>
        </w:rPr>
        <w:t xml:space="preserve">a la vez que </w:t>
      </w:r>
      <w:r w:rsidRPr="00860848">
        <w:rPr>
          <w:lang w:val="es-ES_tradnl"/>
        </w:rPr>
        <w:t xml:space="preserve">identificar nuevas esferas de desarrollo </w:t>
      </w:r>
      <w:r>
        <w:rPr>
          <w:lang w:val="es-ES_tradnl"/>
        </w:rPr>
        <w:t xml:space="preserve">en lo que se refiere a </w:t>
      </w:r>
      <w:r w:rsidRPr="00860848">
        <w:rPr>
          <w:lang w:val="es-ES_tradnl"/>
        </w:rPr>
        <w:t xml:space="preserve">servicios de apoyo, como la asistencia personal. En las </w:t>
      </w:r>
      <w:r>
        <w:rPr>
          <w:lang w:val="es-ES_tradnl"/>
        </w:rPr>
        <w:t>aport</w:t>
      </w:r>
      <w:r w:rsidRPr="00860848">
        <w:rPr>
          <w:lang w:val="es-ES_tradnl"/>
        </w:rPr>
        <w:t xml:space="preserve">aciones recibidas se </w:t>
      </w:r>
      <w:r>
        <w:rPr>
          <w:lang w:val="es-ES_tradnl"/>
        </w:rPr>
        <w:t xml:space="preserve">ponía </w:t>
      </w:r>
      <w:r w:rsidRPr="00860848">
        <w:rPr>
          <w:lang w:val="es-ES_tradnl"/>
        </w:rPr>
        <w:t>de relieve l</w:t>
      </w:r>
      <w:r>
        <w:rPr>
          <w:lang w:val="es-ES_tradnl"/>
        </w:rPr>
        <w:t>a</w:t>
      </w:r>
      <w:r w:rsidRPr="00860848">
        <w:rPr>
          <w:lang w:val="es-ES_tradnl"/>
        </w:rPr>
        <w:t xml:space="preserve"> </w:t>
      </w:r>
      <w:r>
        <w:rPr>
          <w:lang w:val="es-ES_tradnl"/>
        </w:rPr>
        <w:t xml:space="preserve">repercusión </w:t>
      </w:r>
      <w:r w:rsidRPr="00860848">
        <w:rPr>
          <w:lang w:val="es-ES_tradnl"/>
        </w:rPr>
        <w:t>positiv</w:t>
      </w:r>
      <w:r>
        <w:rPr>
          <w:lang w:val="es-ES_tradnl"/>
        </w:rPr>
        <w:t>a</w:t>
      </w:r>
      <w:r w:rsidRPr="00860848">
        <w:rPr>
          <w:lang w:val="es-ES_tradnl"/>
        </w:rPr>
        <w:t xml:space="preserve"> de la rehabilitación basada en la comunidad, en particular en las </w:t>
      </w:r>
      <w:r>
        <w:rPr>
          <w:lang w:val="es-ES_tradnl"/>
        </w:rPr>
        <w:t>aport</w:t>
      </w:r>
      <w:r w:rsidRPr="00860848">
        <w:rPr>
          <w:lang w:val="es-ES_tradnl"/>
        </w:rPr>
        <w:t xml:space="preserve">aciones procedentes de El Salvador y Nicaragua, en </w:t>
      </w:r>
      <w:r>
        <w:rPr>
          <w:lang w:val="es-ES_tradnl"/>
        </w:rPr>
        <w:t xml:space="preserve">donde </w:t>
      </w:r>
      <w:r w:rsidRPr="00860848">
        <w:rPr>
          <w:lang w:val="es-ES_tradnl"/>
        </w:rPr>
        <w:t>otros servicios de apoyo a la vida independiente todavía no están plenamente desarrollados.</w:t>
      </w:r>
    </w:p>
    <w:p w:rsidR="00762EF9" w:rsidRPr="00DA4BCF" w:rsidRDefault="00762EF9" w:rsidP="00762EF9">
      <w:pPr>
        <w:pStyle w:val="SingleTxtG"/>
        <w:rPr>
          <w:lang w:val="es-ES_tradnl"/>
        </w:rPr>
      </w:pPr>
      <w:r>
        <w:rPr>
          <w:lang w:val="es-ES_tradnl"/>
        </w:rPr>
        <w:t>47.</w:t>
      </w:r>
      <w:r>
        <w:rPr>
          <w:lang w:val="es-ES_tradnl"/>
        </w:rPr>
        <w:tab/>
      </w:r>
      <w:r w:rsidRPr="00DA4BCF">
        <w:rPr>
          <w:lang w:val="es-ES_tradnl"/>
        </w:rPr>
        <w:t xml:space="preserve">Las redes informales desempeñan un papel importante en la construcción de una sociedad inclusiva. </w:t>
      </w:r>
      <w:r>
        <w:rPr>
          <w:lang w:val="es-ES_tradnl"/>
        </w:rPr>
        <w:t>E</w:t>
      </w:r>
      <w:r w:rsidRPr="00DA4BCF">
        <w:rPr>
          <w:lang w:val="es-ES_tradnl"/>
        </w:rPr>
        <w:t>n varios países</w:t>
      </w:r>
      <w:r>
        <w:rPr>
          <w:lang w:val="es-ES_tradnl"/>
        </w:rPr>
        <w:t xml:space="preserve"> existe la</w:t>
      </w:r>
      <w:r w:rsidRPr="00DA4BCF">
        <w:rPr>
          <w:lang w:val="es-ES_tradnl"/>
        </w:rPr>
        <w:t xml:space="preserve"> práctica </w:t>
      </w:r>
      <w:r>
        <w:rPr>
          <w:lang w:val="es-ES_tradnl"/>
        </w:rPr>
        <w:t>de la mediación familiar</w:t>
      </w:r>
      <w:r w:rsidRPr="00DA4BCF">
        <w:rPr>
          <w:lang w:val="es-ES_tradnl"/>
        </w:rPr>
        <w:t>. En los Países Bajos, el Modelo Eindhoven aplica la mediación familiar a las situaciones de crisis</w:t>
      </w:r>
      <w:r>
        <w:rPr>
          <w:lang w:val="es-ES_tradnl"/>
        </w:rPr>
        <w:t xml:space="preserve"> psicosociales</w:t>
      </w:r>
      <w:r w:rsidRPr="00DA4BCF">
        <w:rPr>
          <w:lang w:val="es-ES_tradnl"/>
        </w:rPr>
        <w:t xml:space="preserve">, reales o posibles, utilizando la red de familiares, amigos, vecinos, pares y otras personas para evitar intervenciones psiquiátricas forzadas. En algunos países </w:t>
      </w:r>
      <w:r>
        <w:rPr>
          <w:lang w:val="es-ES_tradnl"/>
        </w:rPr>
        <w:t xml:space="preserve">también </w:t>
      </w:r>
      <w:r w:rsidRPr="00DA4BCF">
        <w:rPr>
          <w:lang w:val="es-ES_tradnl"/>
        </w:rPr>
        <w:t xml:space="preserve">se </w:t>
      </w:r>
      <w:r>
        <w:rPr>
          <w:lang w:val="es-ES_tradnl"/>
        </w:rPr>
        <w:t xml:space="preserve">han utilizado </w:t>
      </w:r>
      <w:r w:rsidRPr="00DA4BCF">
        <w:rPr>
          <w:lang w:val="es-ES_tradnl"/>
        </w:rPr>
        <w:t xml:space="preserve">"microjuntas", integradas por un pequeño grupo de amigos y familiares, para </w:t>
      </w:r>
      <w:r>
        <w:rPr>
          <w:lang w:val="es-ES_tradnl"/>
        </w:rPr>
        <w:t xml:space="preserve">hacer partícipes </w:t>
      </w:r>
      <w:r w:rsidRPr="00DA4BCF">
        <w:rPr>
          <w:lang w:val="es-ES_tradnl"/>
        </w:rPr>
        <w:t xml:space="preserve">a los miembros de la comunidad </w:t>
      </w:r>
      <w:r>
        <w:rPr>
          <w:lang w:val="es-ES_tradnl"/>
        </w:rPr>
        <w:t xml:space="preserve">en el ofrecimiento de </w:t>
      </w:r>
      <w:r w:rsidRPr="00DA4BCF">
        <w:rPr>
          <w:lang w:val="es-ES_tradnl"/>
        </w:rPr>
        <w:t xml:space="preserve">estructuras de apoyo </w:t>
      </w:r>
      <w:r>
        <w:rPr>
          <w:lang w:val="es-ES_tradnl"/>
        </w:rPr>
        <w:t>sostenidas</w:t>
      </w:r>
      <w:r w:rsidRPr="00DA4BCF">
        <w:rPr>
          <w:lang w:val="es-ES_tradnl"/>
        </w:rPr>
        <w:t>. Independientemente de</w:t>
      </w:r>
      <w:r>
        <w:rPr>
          <w:lang w:val="es-ES_tradnl"/>
        </w:rPr>
        <w:t xml:space="preserve"> </w:t>
      </w:r>
      <w:r w:rsidRPr="00DA4BCF">
        <w:rPr>
          <w:lang w:val="es-ES_tradnl"/>
        </w:rPr>
        <w:t>l</w:t>
      </w:r>
      <w:r>
        <w:rPr>
          <w:lang w:val="es-ES_tradnl"/>
        </w:rPr>
        <w:t>a</w:t>
      </w:r>
      <w:r w:rsidRPr="00DA4BCF">
        <w:rPr>
          <w:lang w:val="es-ES_tradnl"/>
        </w:rPr>
        <w:t xml:space="preserve"> </w:t>
      </w:r>
      <w:r>
        <w:rPr>
          <w:lang w:val="es-ES_tradnl"/>
        </w:rPr>
        <w:t xml:space="preserve">índole </w:t>
      </w:r>
      <w:r w:rsidRPr="00DA4BCF">
        <w:rPr>
          <w:lang w:val="es-ES_tradnl"/>
        </w:rPr>
        <w:t xml:space="preserve">de las redes informales, el artículo 19 </w:t>
      </w:r>
      <w:r>
        <w:rPr>
          <w:lang w:val="es-ES_tradnl"/>
        </w:rPr>
        <w:lastRenderedPageBreak/>
        <w:t>requier</w:t>
      </w:r>
      <w:r w:rsidRPr="00DA4BCF">
        <w:rPr>
          <w:lang w:val="es-ES_tradnl"/>
        </w:rPr>
        <w:t>e que las personas con discapacidad tengan plenas facultades de adopción de decisiones,</w:t>
      </w:r>
      <w:r>
        <w:rPr>
          <w:lang w:val="es-ES_tradnl"/>
        </w:rPr>
        <w:t xml:space="preserve"> cumpliendo la </w:t>
      </w:r>
      <w:r w:rsidRPr="00DA4BCF">
        <w:rPr>
          <w:lang w:val="es-ES_tradnl"/>
        </w:rPr>
        <w:t>red una función de apoyo</w:t>
      </w:r>
      <w:r w:rsidRPr="00554163">
        <w:rPr>
          <w:sz w:val="18"/>
          <w:szCs w:val="18"/>
          <w:vertAlign w:val="superscript"/>
          <w:lang w:val="es-ES_tradnl"/>
        </w:rPr>
        <w:footnoteReference w:id="38"/>
      </w:r>
      <w:r w:rsidRPr="00DA4BCF">
        <w:rPr>
          <w:lang w:val="es-ES_tradnl"/>
        </w:rPr>
        <w:t>.</w:t>
      </w:r>
    </w:p>
    <w:p w:rsidR="00762EF9" w:rsidRPr="00666BA7" w:rsidRDefault="00762EF9" w:rsidP="00762EF9">
      <w:pPr>
        <w:pStyle w:val="SingleTxtG"/>
        <w:rPr>
          <w:lang w:val="es-ES_tradnl"/>
        </w:rPr>
      </w:pPr>
      <w:r>
        <w:rPr>
          <w:lang w:val="es-ES_tradnl"/>
        </w:rPr>
        <w:t>48.</w:t>
      </w:r>
      <w:r>
        <w:rPr>
          <w:lang w:val="es-ES_tradnl"/>
        </w:rPr>
        <w:tab/>
      </w:r>
      <w:r w:rsidRPr="00666BA7">
        <w:rPr>
          <w:lang w:val="es-ES_tradnl"/>
        </w:rPr>
        <w:t xml:space="preserve">Las infraestructuras inadecuadas o inaccesibles y </w:t>
      </w:r>
      <w:r>
        <w:rPr>
          <w:lang w:val="es-ES_tradnl"/>
        </w:rPr>
        <w:t>la lejanía</w:t>
      </w:r>
      <w:r w:rsidRPr="00666BA7">
        <w:rPr>
          <w:lang w:val="es-ES_tradnl"/>
        </w:rPr>
        <w:t xml:space="preserve"> son motivos comunes de discriminación </w:t>
      </w:r>
      <w:r>
        <w:rPr>
          <w:lang w:val="es-ES_tradnl"/>
        </w:rPr>
        <w:t xml:space="preserve">de </w:t>
      </w:r>
      <w:r w:rsidRPr="00666BA7">
        <w:rPr>
          <w:lang w:val="es-ES_tradnl"/>
        </w:rPr>
        <w:t xml:space="preserve">las personas con discapacidad </w:t>
      </w:r>
      <w:r>
        <w:rPr>
          <w:lang w:val="es-ES_tradnl"/>
        </w:rPr>
        <w:t xml:space="preserve">para </w:t>
      </w:r>
      <w:r w:rsidRPr="00666BA7">
        <w:rPr>
          <w:lang w:val="es-ES_tradnl"/>
        </w:rPr>
        <w:t>acce</w:t>
      </w:r>
      <w:r>
        <w:rPr>
          <w:lang w:val="es-ES_tradnl"/>
        </w:rPr>
        <w:t>der</w:t>
      </w:r>
      <w:r w:rsidRPr="00666BA7">
        <w:rPr>
          <w:lang w:val="es-ES_tradnl"/>
        </w:rPr>
        <w:t xml:space="preserve"> a servicios comunitarios. Los Estados tienen </w:t>
      </w:r>
      <w:r>
        <w:rPr>
          <w:lang w:val="es-ES_tradnl"/>
        </w:rPr>
        <w:t xml:space="preserve">la </w:t>
      </w:r>
      <w:r w:rsidRPr="00666BA7">
        <w:rPr>
          <w:lang w:val="es-ES_tradnl"/>
        </w:rPr>
        <w:t xml:space="preserve">obligación inmediata de ofrecer ajustes razonables en ausencia de medidas generales de accesibilidad, de conformidad con los artículos 2 y 5 de la Convención. Si bien </w:t>
      </w:r>
      <w:r>
        <w:rPr>
          <w:lang w:val="es-ES_tradnl"/>
        </w:rPr>
        <w:t>el</w:t>
      </w:r>
      <w:r w:rsidRPr="00666BA7">
        <w:rPr>
          <w:lang w:val="es-ES_tradnl"/>
        </w:rPr>
        <w:t xml:space="preserve"> </w:t>
      </w:r>
      <w:r>
        <w:rPr>
          <w:lang w:val="es-ES_tradnl"/>
        </w:rPr>
        <w:t>en</w:t>
      </w:r>
      <w:r w:rsidRPr="00666BA7">
        <w:rPr>
          <w:lang w:val="es-ES_tradnl"/>
        </w:rPr>
        <w:t>veje</w:t>
      </w:r>
      <w:r>
        <w:rPr>
          <w:lang w:val="es-ES_tradnl"/>
        </w:rPr>
        <w:t>cimiento</w:t>
      </w:r>
      <w:r w:rsidRPr="00666BA7">
        <w:rPr>
          <w:lang w:val="es-ES_tradnl"/>
        </w:rPr>
        <w:t xml:space="preserve"> no puede equipararse a una deficiencia, las personas </w:t>
      </w:r>
      <w:r>
        <w:rPr>
          <w:lang w:val="es-ES_tradnl"/>
        </w:rPr>
        <w:t xml:space="preserve">de edad </w:t>
      </w:r>
      <w:r w:rsidRPr="00666BA7">
        <w:rPr>
          <w:lang w:val="es-ES_tradnl"/>
        </w:rPr>
        <w:t>con discapacidad constituyen un</w:t>
      </w:r>
      <w:r>
        <w:rPr>
          <w:lang w:val="es-ES_tradnl"/>
        </w:rPr>
        <w:t>a</w:t>
      </w:r>
      <w:r w:rsidRPr="00666BA7">
        <w:rPr>
          <w:lang w:val="es-ES_tradnl"/>
        </w:rPr>
        <w:t xml:space="preserve"> </w:t>
      </w:r>
      <w:r>
        <w:rPr>
          <w:lang w:val="es-ES_tradnl"/>
        </w:rPr>
        <w:t xml:space="preserve">gran parte </w:t>
      </w:r>
      <w:r w:rsidRPr="00666BA7">
        <w:rPr>
          <w:lang w:val="es-ES_tradnl"/>
        </w:rPr>
        <w:t>de la población y son particularmente vulnerables a la exclusión</w:t>
      </w:r>
      <w:r w:rsidRPr="00554163">
        <w:rPr>
          <w:sz w:val="18"/>
          <w:szCs w:val="18"/>
          <w:vertAlign w:val="superscript"/>
          <w:lang w:val="es-ES_tradnl"/>
        </w:rPr>
        <w:footnoteReference w:id="39"/>
      </w:r>
      <w:r w:rsidRPr="00666BA7">
        <w:rPr>
          <w:lang w:val="es-ES_tradnl"/>
        </w:rPr>
        <w:t xml:space="preserve">. Las nuevas normas sobre las personas </w:t>
      </w:r>
      <w:r>
        <w:rPr>
          <w:lang w:val="es-ES_tradnl"/>
        </w:rPr>
        <w:t>de edad</w:t>
      </w:r>
      <w:r w:rsidRPr="00666BA7">
        <w:rPr>
          <w:lang w:val="es-ES_tradnl"/>
        </w:rPr>
        <w:t xml:space="preserve">, actualmente en elaboración, no deben ser regresivas y </w:t>
      </w:r>
      <w:r>
        <w:rPr>
          <w:lang w:val="es-ES_tradnl"/>
        </w:rPr>
        <w:t>ha</w:t>
      </w:r>
      <w:r w:rsidRPr="00666BA7">
        <w:rPr>
          <w:lang w:val="es-ES_tradnl"/>
        </w:rPr>
        <w:t xml:space="preserve">n </w:t>
      </w:r>
      <w:r>
        <w:rPr>
          <w:lang w:val="es-ES_tradnl"/>
        </w:rPr>
        <w:t xml:space="preserve">de </w:t>
      </w:r>
      <w:r w:rsidRPr="00666BA7">
        <w:rPr>
          <w:lang w:val="es-ES_tradnl"/>
        </w:rPr>
        <w:t>basarse en l</w:t>
      </w:r>
      <w:r>
        <w:rPr>
          <w:lang w:val="es-ES_tradnl"/>
        </w:rPr>
        <w:t>as</w:t>
      </w:r>
      <w:r w:rsidRPr="00666BA7">
        <w:rPr>
          <w:lang w:val="es-ES_tradnl"/>
        </w:rPr>
        <w:t xml:space="preserve"> disp</w:t>
      </w:r>
      <w:r>
        <w:rPr>
          <w:lang w:val="es-ES_tradnl"/>
        </w:rPr>
        <w:t>osiciones de</w:t>
      </w:r>
      <w:r w:rsidRPr="00666BA7">
        <w:rPr>
          <w:lang w:val="es-ES_tradnl"/>
        </w:rPr>
        <w:t xml:space="preserve"> la Convención sobre los Derechos de las Personas con Discapacidad.</w:t>
      </w:r>
    </w:p>
    <w:p w:rsidR="00762EF9" w:rsidRPr="004541AB" w:rsidRDefault="00762EF9" w:rsidP="00762EF9">
      <w:pPr>
        <w:pStyle w:val="SingleTxtG"/>
        <w:rPr>
          <w:lang w:val="es-ES_tradnl"/>
        </w:rPr>
      </w:pPr>
      <w:r>
        <w:rPr>
          <w:lang w:val="es-ES_tradnl"/>
        </w:rPr>
        <w:t>49.</w:t>
      </w:r>
      <w:r>
        <w:rPr>
          <w:lang w:val="es-ES_tradnl"/>
        </w:rPr>
        <w:tab/>
      </w:r>
      <w:r w:rsidRPr="004541AB">
        <w:rPr>
          <w:lang w:val="es-ES_tradnl"/>
        </w:rPr>
        <w:t xml:space="preserve">La construcción de sistemas inclusivos requiere inversiones públicas y puede parecer costosa. </w:t>
      </w:r>
      <w:r>
        <w:rPr>
          <w:lang w:val="es-ES_tradnl"/>
        </w:rPr>
        <w:t>No obstante</w:t>
      </w:r>
      <w:r w:rsidRPr="004541AB">
        <w:rPr>
          <w:lang w:val="es-ES_tradnl"/>
        </w:rPr>
        <w:t xml:space="preserve">, es evidente que </w:t>
      </w:r>
      <w:r>
        <w:rPr>
          <w:lang w:val="es-ES_tradnl"/>
        </w:rPr>
        <w:t xml:space="preserve">prever la </w:t>
      </w:r>
      <w:r w:rsidRPr="004541AB">
        <w:rPr>
          <w:lang w:val="es-ES_tradnl"/>
        </w:rPr>
        <w:t xml:space="preserve">accesibilidad </w:t>
      </w:r>
      <w:r>
        <w:rPr>
          <w:lang w:val="es-ES_tradnl"/>
        </w:rPr>
        <w:t xml:space="preserve">y la </w:t>
      </w:r>
      <w:r w:rsidRPr="004541AB">
        <w:rPr>
          <w:lang w:val="es-ES_tradnl"/>
        </w:rPr>
        <w:t xml:space="preserve">inclusión desde el principio es más </w:t>
      </w:r>
      <w:r>
        <w:rPr>
          <w:lang w:val="es-ES_tradnl"/>
        </w:rPr>
        <w:t xml:space="preserve">eficiente en función de los costos </w:t>
      </w:r>
      <w:r w:rsidRPr="004541AB">
        <w:rPr>
          <w:lang w:val="es-ES_tradnl"/>
        </w:rPr>
        <w:t xml:space="preserve">que adaptar los servicios y las instalaciones en una etapa posterior. Las sociedades inclusivas también son más </w:t>
      </w:r>
      <w:r>
        <w:rPr>
          <w:lang w:val="es-ES_tradnl"/>
        </w:rPr>
        <w:t xml:space="preserve">eficientes en función de los costos </w:t>
      </w:r>
      <w:r w:rsidRPr="004541AB">
        <w:rPr>
          <w:lang w:val="es-ES_tradnl"/>
        </w:rPr>
        <w:t xml:space="preserve">a largo plazo, pues permiten que las personas con discapacidad participen plenamente </w:t>
      </w:r>
      <w:r>
        <w:rPr>
          <w:lang w:val="es-ES_tradnl"/>
        </w:rPr>
        <w:t>en</w:t>
      </w:r>
      <w:r w:rsidRPr="004541AB">
        <w:rPr>
          <w:lang w:val="es-ES_tradnl"/>
        </w:rPr>
        <w:t xml:space="preserve"> la vida económica, social, política y cultural</w:t>
      </w:r>
      <w:r>
        <w:rPr>
          <w:lang w:val="es-ES_tradnl"/>
        </w:rPr>
        <w:t xml:space="preserve"> y contribuyan a ella</w:t>
      </w:r>
      <w:r w:rsidRPr="004541AB">
        <w:rPr>
          <w:lang w:val="es-ES_tradnl"/>
        </w:rPr>
        <w:t>.</w:t>
      </w:r>
    </w:p>
    <w:p w:rsidR="00762EF9" w:rsidRPr="007479FA" w:rsidRDefault="00762EF9" w:rsidP="00762EF9">
      <w:pPr>
        <w:pStyle w:val="HChG"/>
        <w:rPr>
          <w:lang w:val="es-ES_tradnl"/>
        </w:rPr>
      </w:pPr>
      <w:r>
        <w:rPr>
          <w:lang w:val="es-ES_tradnl"/>
        </w:rPr>
        <w:tab/>
        <w:t>IV.</w:t>
      </w:r>
      <w:r>
        <w:rPr>
          <w:lang w:val="es-ES_tradnl"/>
        </w:rPr>
        <w:tab/>
      </w:r>
      <w:r w:rsidRPr="007479FA">
        <w:rPr>
          <w:lang w:val="es-ES_tradnl"/>
        </w:rPr>
        <w:t>Aplicación a nivel nacional</w:t>
      </w:r>
    </w:p>
    <w:p w:rsidR="00762EF9" w:rsidRPr="007479FA" w:rsidRDefault="00762EF9" w:rsidP="00762EF9">
      <w:pPr>
        <w:pStyle w:val="SingleTxtG"/>
        <w:rPr>
          <w:lang w:val="es-ES_tradnl"/>
        </w:rPr>
      </w:pPr>
      <w:r>
        <w:rPr>
          <w:lang w:val="es-ES_tradnl"/>
        </w:rPr>
        <w:t>50.</w:t>
      </w:r>
      <w:r>
        <w:rPr>
          <w:lang w:val="es-ES_tradnl"/>
        </w:rPr>
        <w:tab/>
      </w:r>
      <w:r w:rsidRPr="007479FA">
        <w:rPr>
          <w:lang w:val="es-ES_tradnl"/>
        </w:rPr>
        <w:t xml:space="preserve">Los estudios existentes y las </w:t>
      </w:r>
      <w:r>
        <w:rPr>
          <w:lang w:val="es-ES_tradnl"/>
        </w:rPr>
        <w:t>aport</w:t>
      </w:r>
      <w:r w:rsidRPr="007479FA">
        <w:rPr>
          <w:lang w:val="es-ES_tradnl"/>
        </w:rPr>
        <w:t xml:space="preserve">aciones </w:t>
      </w:r>
      <w:r>
        <w:rPr>
          <w:lang w:val="es-ES_tradnl"/>
        </w:rPr>
        <w:t xml:space="preserve">para </w:t>
      </w:r>
      <w:r w:rsidRPr="007479FA">
        <w:rPr>
          <w:lang w:val="es-ES_tradnl"/>
        </w:rPr>
        <w:t>el presente informe ponen de relieve diferencias considerables, también a nivel intrarregional, en la disponibilidad de los servicios comunitarios para las personas con discapaci</w:t>
      </w:r>
      <w:r>
        <w:rPr>
          <w:lang w:val="es-ES_tradnl"/>
        </w:rPr>
        <w:t>d</w:t>
      </w:r>
      <w:r w:rsidRPr="007479FA">
        <w:rPr>
          <w:lang w:val="es-ES_tradnl"/>
        </w:rPr>
        <w:t>ad, la prestación de apoyo individualizado y la</w:t>
      </w:r>
      <w:r>
        <w:rPr>
          <w:lang w:val="es-ES_tradnl"/>
        </w:rPr>
        <w:t>s</w:t>
      </w:r>
      <w:r w:rsidRPr="007479FA">
        <w:rPr>
          <w:lang w:val="es-ES_tradnl"/>
        </w:rPr>
        <w:t xml:space="preserve"> oportunidades de elegir servicios</w:t>
      </w:r>
      <w:r w:rsidRPr="00554163">
        <w:rPr>
          <w:sz w:val="18"/>
          <w:szCs w:val="18"/>
          <w:vertAlign w:val="superscript"/>
          <w:lang w:val="es-ES_tradnl"/>
        </w:rPr>
        <w:footnoteReference w:id="40"/>
      </w:r>
      <w:r w:rsidRPr="007479FA">
        <w:rPr>
          <w:lang w:val="es-ES_tradnl"/>
        </w:rPr>
        <w:t xml:space="preserve">. La aplicación a nivel nacional debe tener en cuenta </w:t>
      </w:r>
      <w:r>
        <w:rPr>
          <w:lang w:val="es-ES_tradnl"/>
        </w:rPr>
        <w:t xml:space="preserve">enfoques </w:t>
      </w:r>
      <w:r w:rsidRPr="007479FA">
        <w:rPr>
          <w:lang w:val="es-ES_tradnl"/>
        </w:rPr>
        <w:t xml:space="preserve">locales y culturales, incluidas prácticas rurales </w:t>
      </w:r>
      <w:r>
        <w:rPr>
          <w:lang w:val="es-ES_tradnl"/>
        </w:rPr>
        <w:t xml:space="preserve">e </w:t>
      </w:r>
      <w:r w:rsidRPr="007479FA">
        <w:rPr>
          <w:lang w:val="es-ES_tradnl"/>
        </w:rPr>
        <w:t xml:space="preserve">indígenas, </w:t>
      </w:r>
      <w:r>
        <w:rPr>
          <w:lang w:val="es-ES_tradnl"/>
        </w:rPr>
        <w:t xml:space="preserve">y situar </w:t>
      </w:r>
      <w:r w:rsidRPr="007479FA">
        <w:rPr>
          <w:lang w:val="es-ES_tradnl"/>
        </w:rPr>
        <w:t>a las personas con discapacidad en el centro de</w:t>
      </w:r>
      <w:r>
        <w:rPr>
          <w:lang w:val="es-ES_tradnl"/>
        </w:rPr>
        <w:t>l</w:t>
      </w:r>
      <w:r w:rsidRPr="007479FA">
        <w:rPr>
          <w:lang w:val="es-ES_tradnl"/>
        </w:rPr>
        <w:t xml:space="preserve"> control de su vida. </w:t>
      </w:r>
    </w:p>
    <w:p w:rsidR="00762EF9" w:rsidRPr="008E489D" w:rsidRDefault="00762EF9" w:rsidP="00762EF9">
      <w:pPr>
        <w:pStyle w:val="SingleTxtG"/>
        <w:rPr>
          <w:lang w:val="es-ES_tradnl"/>
        </w:rPr>
      </w:pPr>
      <w:r>
        <w:rPr>
          <w:lang w:val="es-ES_tradnl"/>
        </w:rPr>
        <w:t>51.</w:t>
      </w:r>
      <w:r>
        <w:rPr>
          <w:lang w:val="es-ES_tradnl"/>
        </w:rPr>
        <w:tab/>
      </w:r>
      <w:r w:rsidRPr="008E489D">
        <w:rPr>
          <w:lang w:val="es-ES_tradnl"/>
        </w:rPr>
        <w:t xml:space="preserve">Las personas con discapacidad y las organizaciones que las representan deben participar activamente en la aplicación del artículo 19, </w:t>
      </w:r>
      <w:r>
        <w:rPr>
          <w:lang w:val="es-ES_tradnl"/>
        </w:rPr>
        <w:t>también</w:t>
      </w:r>
      <w:r w:rsidRPr="008E489D">
        <w:rPr>
          <w:lang w:val="es-ES_tradnl"/>
        </w:rPr>
        <w:t xml:space="preserve"> en la elaboración y aplicación de legislación, políticas y programas, de conformidad con lo estipulado en el artículo 4, párrafo 3, de la Convención sobre los Derechos de las Personas con Discapacidad.</w:t>
      </w:r>
    </w:p>
    <w:p w:rsidR="00762EF9" w:rsidRPr="00A32237" w:rsidRDefault="00762EF9" w:rsidP="00762EF9">
      <w:pPr>
        <w:pStyle w:val="SingleTxtG"/>
        <w:rPr>
          <w:lang w:val="es-ES_tradnl"/>
        </w:rPr>
      </w:pPr>
      <w:r>
        <w:rPr>
          <w:lang w:val="es-ES_tradnl"/>
        </w:rPr>
        <w:t>52.</w:t>
      </w:r>
      <w:r>
        <w:rPr>
          <w:lang w:val="es-ES_tradnl"/>
        </w:rPr>
        <w:tab/>
        <w:t xml:space="preserve">Los Estados deben considerar una serie </w:t>
      </w:r>
      <w:r w:rsidRPr="00A32237">
        <w:rPr>
          <w:lang w:val="es-ES_tradnl"/>
        </w:rPr>
        <w:t>de medidas legislativas y administrativas para evitar la exclusión y la discriminación de las personas con discapacidad</w:t>
      </w:r>
      <w:r w:rsidRPr="00554163">
        <w:rPr>
          <w:sz w:val="18"/>
          <w:szCs w:val="18"/>
          <w:vertAlign w:val="superscript"/>
          <w:lang w:val="es-ES_tradnl"/>
        </w:rPr>
        <w:footnoteReference w:id="41"/>
      </w:r>
      <w:r w:rsidRPr="00A32237">
        <w:rPr>
          <w:lang w:val="es-ES_tradnl"/>
        </w:rPr>
        <w:t xml:space="preserve">. En la mayor parte de los casos, el establecimiento de la igualdad de reconocimiento ante la ley y la capacidad jurídica de las personas con discapacidad </w:t>
      </w:r>
      <w:r>
        <w:rPr>
          <w:lang w:val="es-ES_tradnl"/>
        </w:rPr>
        <w:t xml:space="preserve">requiere </w:t>
      </w:r>
      <w:r w:rsidRPr="00A32237">
        <w:rPr>
          <w:lang w:val="es-ES_tradnl"/>
        </w:rPr>
        <w:t xml:space="preserve">una revisión del derecho civil. El marco jurídico debe reconocer el derecho de las personas con discapacidad a vivir de forma independiente y </w:t>
      </w:r>
      <w:r>
        <w:rPr>
          <w:lang w:val="es-ES_tradnl"/>
        </w:rPr>
        <w:t xml:space="preserve">a </w:t>
      </w:r>
      <w:r w:rsidRPr="00A32237">
        <w:rPr>
          <w:lang w:val="es-ES_tradnl"/>
        </w:rPr>
        <w:t xml:space="preserve">ser incluidas en la comunidad y se deben </w:t>
      </w:r>
      <w:r>
        <w:rPr>
          <w:lang w:val="es-ES_tradnl"/>
        </w:rPr>
        <w:t>derog</w:t>
      </w:r>
      <w:r w:rsidRPr="00A32237">
        <w:rPr>
          <w:lang w:val="es-ES_tradnl"/>
        </w:rPr>
        <w:t xml:space="preserve">ar las disposiciones que </w:t>
      </w:r>
      <w:r>
        <w:rPr>
          <w:lang w:val="es-ES_tradnl"/>
        </w:rPr>
        <w:t>permita</w:t>
      </w:r>
      <w:r w:rsidRPr="00A32237">
        <w:rPr>
          <w:lang w:val="es-ES_tradnl"/>
        </w:rPr>
        <w:t xml:space="preserve">n el internamiento forzado en instituciones. En algunos casos, los Estados no han sacado pleno provecho de los procesos de reforma y han </w:t>
      </w:r>
      <w:r>
        <w:rPr>
          <w:lang w:val="es-ES_tradnl"/>
        </w:rPr>
        <w:t xml:space="preserve">hecho </w:t>
      </w:r>
      <w:r w:rsidRPr="00A32237">
        <w:rPr>
          <w:lang w:val="es-ES_tradnl"/>
        </w:rPr>
        <w:t xml:space="preserve">solo avances parciales. Es importante que las revisiones legislativas </w:t>
      </w:r>
      <w:r>
        <w:rPr>
          <w:lang w:val="es-ES_tradnl"/>
        </w:rPr>
        <w:t xml:space="preserve">tengan por objeto </w:t>
      </w:r>
      <w:r w:rsidRPr="00A32237">
        <w:rPr>
          <w:lang w:val="es-ES_tradnl"/>
        </w:rPr>
        <w:t>incorpora</w:t>
      </w:r>
      <w:r>
        <w:rPr>
          <w:lang w:val="es-ES_tradnl"/>
        </w:rPr>
        <w:t>r</w:t>
      </w:r>
      <w:r w:rsidRPr="00A32237">
        <w:rPr>
          <w:lang w:val="es-ES_tradnl"/>
        </w:rPr>
        <w:t xml:space="preserve"> l</w:t>
      </w:r>
      <w:r>
        <w:rPr>
          <w:lang w:val="es-ES_tradnl"/>
        </w:rPr>
        <w:t xml:space="preserve">os criterios </w:t>
      </w:r>
      <w:r w:rsidRPr="00A32237">
        <w:rPr>
          <w:lang w:val="es-ES_tradnl"/>
        </w:rPr>
        <w:t>de la Convención sobre los Derechos de las Personas con Discapacidad en todos los sectores</w:t>
      </w:r>
      <w:r>
        <w:rPr>
          <w:lang w:val="es-ES_tradnl"/>
        </w:rPr>
        <w:t xml:space="preserve"> y </w:t>
      </w:r>
      <w:r w:rsidRPr="00A32237">
        <w:rPr>
          <w:lang w:val="es-ES_tradnl"/>
        </w:rPr>
        <w:t xml:space="preserve">no solo </w:t>
      </w:r>
      <w:r>
        <w:rPr>
          <w:lang w:val="es-ES_tradnl"/>
        </w:rPr>
        <w:t xml:space="preserve">en </w:t>
      </w:r>
      <w:r w:rsidRPr="00A32237">
        <w:rPr>
          <w:lang w:val="es-ES_tradnl"/>
        </w:rPr>
        <w:t>uno</w:t>
      </w:r>
      <w:r>
        <w:rPr>
          <w:lang w:val="es-ES_tradnl"/>
        </w:rPr>
        <w:t xml:space="preserve"> de ellos</w:t>
      </w:r>
      <w:r w:rsidRPr="00A32237">
        <w:rPr>
          <w:lang w:val="es-ES_tradnl"/>
        </w:rPr>
        <w:t>.</w:t>
      </w:r>
    </w:p>
    <w:p w:rsidR="00762EF9" w:rsidRPr="00782D97" w:rsidRDefault="00762EF9" w:rsidP="00762EF9">
      <w:pPr>
        <w:pStyle w:val="SingleTxtG"/>
        <w:rPr>
          <w:lang w:val="es-ES_tradnl"/>
        </w:rPr>
      </w:pPr>
      <w:r>
        <w:rPr>
          <w:lang w:val="es-ES_tradnl"/>
        </w:rPr>
        <w:lastRenderedPageBreak/>
        <w:t>53.</w:t>
      </w:r>
      <w:r>
        <w:rPr>
          <w:lang w:val="es-ES_tradnl"/>
        </w:rPr>
        <w:tab/>
      </w:r>
      <w:r w:rsidRPr="00782D97">
        <w:rPr>
          <w:lang w:val="es-ES_tradnl"/>
        </w:rPr>
        <w:t xml:space="preserve">Los planes de desinstitucionalización deben prever una transformación sistémica y el aumento progresivo de los servicios de apoyo y los servicios alternativos disponibles en la comunidad y </w:t>
      </w:r>
      <w:r>
        <w:rPr>
          <w:lang w:val="es-ES_tradnl"/>
        </w:rPr>
        <w:t xml:space="preserve">fijar </w:t>
      </w:r>
      <w:r w:rsidRPr="00782D97">
        <w:rPr>
          <w:lang w:val="es-ES_tradnl"/>
        </w:rPr>
        <w:t xml:space="preserve">plazos realistas. Para ello es preciso reasignar los recursos de las instituciones a servicios de apoyo </w:t>
      </w:r>
      <w:r>
        <w:rPr>
          <w:lang w:val="es-ES_tradnl"/>
        </w:rPr>
        <w:t xml:space="preserve">en la comunidad </w:t>
      </w:r>
      <w:r w:rsidRPr="00782D97">
        <w:rPr>
          <w:lang w:val="es-ES_tradnl"/>
        </w:rPr>
        <w:t xml:space="preserve">y poner fin a la creación de nuevas instituciones o al reacondicionamiento estructural de las que ya existen. En los países en que no existen instituciones residenciales, los Estados no deben reproducir modelos anticuados, </w:t>
      </w:r>
      <w:r>
        <w:rPr>
          <w:lang w:val="es-ES_tradnl"/>
        </w:rPr>
        <w:t xml:space="preserve">sino </w:t>
      </w:r>
      <w:r w:rsidRPr="00782D97">
        <w:rPr>
          <w:lang w:val="es-ES_tradnl"/>
        </w:rPr>
        <w:t>poner en prác</w:t>
      </w:r>
      <w:r>
        <w:rPr>
          <w:lang w:val="es-ES_tradnl"/>
        </w:rPr>
        <w:t>tica enfoques que promueva</w:t>
      </w:r>
      <w:r w:rsidRPr="00782D97">
        <w:rPr>
          <w:lang w:val="es-ES_tradnl"/>
        </w:rPr>
        <w:t>n y prote</w:t>
      </w:r>
      <w:r>
        <w:rPr>
          <w:lang w:val="es-ES_tradnl"/>
        </w:rPr>
        <w:t>ja</w:t>
      </w:r>
      <w:r w:rsidRPr="00782D97">
        <w:rPr>
          <w:lang w:val="es-ES_tradnl"/>
        </w:rPr>
        <w:t>n los derechos de las personas con discapacidad a vivir de forma independiente y a ser incluidas en la comunidad.</w:t>
      </w:r>
    </w:p>
    <w:p w:rsidR="00762EF9" w:rsidRPr="00C7091A" w:rsidRDefault="00762EF9" w:rsidP="00762EF9">
      <w:pPr>
        <w:pStyle w:val="SingleTxtG"/>
        <w:rPr>
          <w:lang w:val="es-ES_tradnl"/>
        </w:rPr>
      </w:pPr>
      <w:r>
        <w:rPr>
          <w:lang w:val="es-ES_tradnl"/>
        </w:rPr>
        <w:t>54.</w:t>
      </w:r>
      <w:r>
        <w:rPr>
          <w:lang w:val="es-ES_tradnl"/>
        </w:rPr>
        <w:tab/>
      </w:r>
      <w:r w:rsidRPr="00C7091A">
        <w:rPr>
          <w:lang w:val="es-ES_tradnl"/>
        </w:rPr>
        <w:t xml:space="preserve">Los Estados tienen la responsabilidad de fijar </w:t>
      </w:r>
      <w:r>
        <w:rPr>
          <w:lang w:val="es-ES_tradnl"/>
        </w:rPr>
        <w:t xml:space="preserve">las </w:t>
      </w:r>
      <w:r w:rsidRPr="00C7091A">
        <w:rPr>
          <w:lang w:val="es-ES_tradnl"/>
        </w:rPr>
        <w:t xml:space="preserve">normas no discriminatorias </w:t>
      </w:r>
      <w:r>
        <w:rPr>
          <w:lang w:val="es-ES_tradnl"/>
        </w:rPr>
        <w:t xml:space="preserve">que procedan </w:t>
      </w:r>
      <w:r w:rsidRPr="00C7091A">
        <w:rPr>
          <w:lang w:val="es-ES_tradnl"/>
        </w:rPr>
        <w:t xml:space="preserve">para los servicios de apoyo y </w:t>
      </w:r>
      <w:r>
        <w:rPr>
          <w:lang w:val="es-ES_tradnl"/>
        </w:rPr>
        <w:t xml:space="preserve">para </w:t>
      </w:r>
      <w:r w:rsidRPr="00C7091A">
        <w:rPr>
          <w:lang w:val="es-ES_tradnl"/>
        </w:rPr>
        <w:t xml:space="preserve">los servicios comunitarios convencionales y </w:t>
      </w:r>
      <w:r>
        <w:rPr>
          <w:lang w:val="es-ES_tradnl"/>
        </w:rPr>
        <w:t xml:space="preserve">dotarlos de </w:t>
      </w:r>
      <w:r w:rsidRPr="00C7091A">
        <w:rPr>
          <w:lang w:val="es-ES_tradnl"/>
        </w:rPr>
        <w:t xml:space="preserve">financiación </w:t>
      </w:r>
      <w:r>
        <w:rPr>
          <w:lang w:val="es-ES_tradnl"/>
        </w:rPr>
        <w:t>adecuada</w:t>
      </w:r>
      <w:r w:rsidRPr="00C7091A">
        <w:rPr>
          <w:lang w:val="es-ES_tradnl"/>
        </w:rPr>
        <w:t xml:space="preserve">. </w:t>
      </w:r>
      <w:r>
        <w:rPr>
          <w:lang w:val="es-ES_tradnl"/>
        </w:rPr>
        <w:t xml:space="preserve">En ese sentido, </w:t>
      </w:r>
      <w:r w:rsidRPr="00C7091A">
        <w:rPr>
          <w:lang w:val="es-ES_tradnl"/>
        </w:rPr>
        <w:t>p</w:t>
      </w:r>
      <w:r>
        <w:rPr>
          <w:lang w:val="es-ES_tradnl"/>
        </w:rPr>
        <w:t xml:space="preserve">uede ser efectivo </w:t>
      </w:r>
      <w:r w:rsidRPr="00C7091A">
        <w:rPr>
          <w:lang w:val="es-ES_tradnl"/>
        </w:rPr>
        <w:t xml:space="preserve">incluir los servicios de apoyo en la formulación de una política nacional </w:t>
      </w:r>
      <w:r>
        <w:rPr>
          <w:lang w:val="es-ES_tradnl"/>
        </w:rPr>
        <w:t xml:space="preserve">sobre la </w:t>
      </w:r>
      <w:r w:rsidRPr="00C7091A">
        <w:rPr>
          <w:lang w:val="es-ES_tradnl"/>
        </w:rPr>
        <w:t>discapacidad y los planes de acción co</w:t>
      </w:r>
      <w:r>
        <w:rPr>
          <w:lang w:val="es-ES_tradnl"/>
        </w:rPr>
        <w:t>nexos. Cuando los Estados no preste</w:t>
      </w:r>
      <w:r w:rsidRPr="00C7091A">
        <w:rPr>
          <w:lang w:val="es-ES_tradnl"/>
        </w:rPr>
        <w:t xml:space="preserve">n los servicios de apoyo directamente, </w:t>
      </w:r>
      <w:r>
        <w:rPr>
          <w:lang w:val="es-ES_tradnl"/>
        </w:rPr>
        <w:t xml:space="preserve">deben </w:t>
      </w:r>
      <w:r w:rsidRPr="00C7091A">
        <w:rPr>
          <w:lang w:val="es-ES_tradnl"/>
        </w:rPr>
        <w:t xml:space="preserve">velar por que, de conformidad con el artículo 19, la privatización no tenga consecuencias negativas en la disponibilidad, accesibilidad, asequibilidad y calidad de los servicios. El apoyo </w:t>
      </w:r>
      <w:r>
        <w:rPr>
          <w:lang w:val="es-ES_tradnl"/>
        </w:rPr>
        <w:t>debe seguir</w:t>
      </w:r>
      <w:r w:rsidRPr="00C7091A">
        <w:rPr>
          <w:lang w:val="es-ES_tradnl"/>
        </w:rPr>
        <w:t xml:space="preserve"> esta</w:t>
      </w:r>
      <w:r>
        <w:rPr>
          <w:lang w:val="es-ES_tradnl"/>
        </w:rPr>
        <w:t>ndo</w:t>
      </w:r>
      <w:r w:rsidRPr="00C7091A">
        <w:rPr>
          <w:lang w:val="es-ES_tradnl"/>
        </w:rPr>
        <w:t xml:space="preserve"> impulsado por las necesidades de la persona </w:t>
      </w:r>
      <w:r>
        <w:rPr>
          <w:lang w:val="es-ES_tradnl"/>
        </w:rPr>
        <w:t xml:space="preserve">y </w:t>
      </w:r>
      <w:r w:rsidRPr="00C7091A">
        <w:rPr>
          <w:lang w:val="es-ES_tradnl"/>
        </w:rPr>
        <w:t xml:space="preserve">no </w:t>
      </w:r>
      <w:r>
        <w:rPr>
          <w:lang w:val="es-ES_tradnl"/>
        </w:rPr>
        <w:t xml:space="preserve">por </w:t>
      </w:r>
      <w:r w:rsidRPr="00C7091A">
        <w:rPr>
          <w:lang w:val="es-ES_tradnl"/>
        </w:rPr>
        <w:t>los intereses del proveedor.</w:t>
      </w:r>
    </w:p>
    <w:p w:rsidR="00762EF9" w:rsidRPr="0016017C" w:rsidRDefault="00762EF9" w:rsidP="00762EF9">
      <w:pPr>
        <w:pStyle w:val="SingleTxtG"/>
        <w:rPr>
          <w:lang w:val="es-ES_tradnl"/>
        </w:rPr>
      </w:pPr>
      <w:r>
        <w:rPr>
          <w:lang w:val="es-ES_tradnl"/>
        </w:rPr>
        <w:t>55.</w:t>
      </w:r>
      <w:r>
        <w:rPr>
          <w:lang w:val="es-ES_tradnl"/>
        </w:rPr>
        <w:tab/>
      </w:r>
      <w:r w:rsidRPr="0016017C">
        <w:rPr>
          <w:lang w:val="es-ES_tradnl"/>
        </w:rPr>
        <w:t xml:space="preserve">Los ministerios encargados de la aplicación de las políticas de prestación de servicios varían de un país a otro. </w:t>
      </w:r>
      <w:r>
        <w:rPr>
          <w:lang w:val="es-ES_tradnl"/>
        </w:rPr>
        <w:t>A menudo,</w:t>
      </w:r>
      <w:r w:rsidRPr="0016017C">
        <w:rPr>
          <w:lang w:val="es-ES_tradnl"/>
        </w:rPr>
        <w:t xml:space="preserve"> los ministerios </w:t>
      </w:r>
      <w:r>
        <w:rPr>
          <w:lang w:val="es-ES_tradnl"/>
        </w:rPr>
        <w:t xml:space="preserve">con competencias </w:t>
      </w:r>
      <w:r w:rsidRPr="0016017C">
        <w:rPr>
          <w:lang w:val="es-ES_tradnl"/>
        </w:rPr>
        <w:t>social</w:t>
      </w:r>
      <w:r>
        <w:rPr>
          <w:lang w:val="es-ES_tradnl"/>
        </w:rPr>
        <w:t>es o de bienestar social desempeña</w:t>
      </w:r>
      <w:r w:rsidRPr="0016017C">
        <w:rPr>
          <w:lang w:val="es-ES_tradnl"/>
        </w:rPr>
        <w:t xml:space="preserve">n un papel </w:t>
      </w:r>
      <w:r>
        <w:rPr>
          <w:lang w:val="es-ES_tradnl"/>
        </w:rPr>
        <w:t>import</w:t>
      </w:r>
      <w:r w:rsidRPr="0016017C">
        <w:rPr>
          <w:lang w:val="es-ES_tradnl"/>
        </w:rPr>
        <w:t xml:space="preserve">ante en la prestación de servicios de apoyo, viviendas e infraestructuras para entornos inclusivos. Con el fin de evitar </w:t>
      </w:r>
      <w:r>
        <w:rPr>
          <w:lang w:val="es-ES_tradnl"/>
        </w:rPr>
        <w:t xml:space="preserve">un </w:t>
      </w:r>
      <w:r w:rsidRPr="0016017C">
        <w:rPr>
          <w:lang w:val="es-ES_tradnl"/>
        </w:rPr>
        <w:t xml:space="preserve">enfoque exclusivamente médico del apoyo y los servicios, </w:t>
      </w:r>
      <w:r>
        <w:rPr>
          <w:lang w:val="es-ES_tradnl"/>
        </w:rPr>
        <w:t xml:space="preserve">es mejor </w:t>
      </w:r>
      <w:r w:rsidRPr="0016017C">
        <w:rPr>
          <w:lang w:val="es-ES_tradnl"/>
        </w:rPr>
        <w:t xml:space="preserve">que no todas las </w:t>
      </w:r>
      <w:r>
        <w:rPr>
          <w:lang w:val="es-ES_tradnl"/>
        </w:rPr>
        <w:t>competenci</w:t>
      </w:r>
      <w:r w:rsidRPr="0016017C">
        <w:rPr>
          <w:lang w:val="es-ES_tradnl"/>
        </w:rPr>
        <w:t xml:space="preserve">as relacionadas con el apoyo </w:t>
      </w:r>
      <w:r>
        <w:rPr>
          <w:lang w:val="es-ES_tradnl"/>
        </w:rPr>
        <w:t xml:space="preserve">correspondan al </w:t>
      </w:r>
      <w:r w:rsidRPr="0016017C">
        <w:rPr>
          <w:lang w:val="es-ES_tradnl"/>
        </w:rPr>
        <w:t>ministerio de salud. Ahora bien, los ministerios de salud, junto con los ministerios de justicia</w:t>
      </w:r>
      <w:r>
        <w:rPr>
          <w:lang w:val="es-ES_tradnl"/>
        </w:rPr>
        <w:t xml:space="preserve">, </w:t>
      </w:r>
      <w:r w:rsidRPr="0016017C">
        <w:rPr>
          <w:lang w:val="es-ES_tradnl"/>
        </w:rPr>
        <w:t>desempeñan un papel especial en la garantía del consentimiento libre e informado para evitar el internamiento forzado en instituciones y la privación de libertad</w:t>
      </w:r>
      <w:r w:rsidRPr="00554163">
        <w:rPr>
          <w:sz w:val="18"/>
          <w:szCs w:val="18"/>
          <w:vertAlign w:val="superscript"/>
          <w:lang w:val="es-ES_tradnl"/>
        </w:rPr>
        <w:footnoteReference w:id="42"/>
      </w:r>
      <w:r w:rsidRPr="0016017C">
        <w:rPr>
          <w:lang w:val="es-ES_tradnl"/>
        </w:rPr>
        <w:t>.</w:t>
      </w:r>
    </w:p>
    <w:p w:rsidR="00762EF9" w:rsidRPr="0016017C" w:rsidRDefault="00762EF9" w:rsidP="00762EF9">
      <w:pPr>
        <w:pStyle w:val="SingleTxtG"/>
        <w:rPr>
          <w:lang w:val="es-ES_tradnl"/>
        </w:rPr>
      </w:pPr>
      <w:r>
        <w:rPr>
          <w:lang w:val="es-ES_tradnl"/>
        </w:rPr>
        <w:t>56.</w:t>
      </w:r>
      <w:r>
        <w:rPr>
          <w:lang w:val="es-ES_tradnl"/>
        </w:rPr>
        <w:tab/>
      </w:r>
      <w:r w:rsidRPr="0016017C">
        <w:rPr>
          <w:lang w:val="es-ES_tradnl"/>
        </w:rPr>
        <w:t xml:space="preserve">Las </w:t>
      </w:r>
      <w:r>
        <w:rPr>
          <w:lang w:val="es-ES_tradnl"/>
        </w:rPr>
        <w:t>aport</w:t>
      </w:r>
      <w:r w:rsidRPr="0016017C">
        <w:rPr>
          <w:lang w:val="es-ES_tradnl"/>
        </w:rPr>
        <w:t>aciones p</w:t>
      </w:r>
      <w:r>
        <w:rPr>
          <w:lang w:val="es-ES_tradnl"/>
        </w:rPr>
        <w:t>a</w:t>
      </w:r>
      <w:r w:rsidRPr="0016017C">
        <w:rPr>
          <w:lang w:val="es-ES_tradnl"/>
        </w:rPr>
        <w:t>r</w:t>
      </w:r>
      <w:r>
        <w:rPr>
          <w:lang w:val="es-ES_tradnl"/>
        </w:rPr>
        <w:t xml:space="preserve">a el estudio </w:t>
      </w:r>
      <w:r w:rsidRPr="0016017C">
        <w:rPr>
          <w:lang w:val="es-ES_tradnl"/>
        </w:rPr>
        <w:t xml:space="preserve">contenían descripciones de la diversidad de </w:t>
      </w:r>
      <w:r>
        <w:rPr>
          <w:lang w:val="es-ES_tradnl"/>
        </w:rPr>
        <w:t>mecanismos existentes para supervis</w:t>
      </w:r>
      <w:r w:rsidRPr="0016017C">
        <w:rPr>
          <w:lang w:val="es-ES_tradnl"/>
        </w:rPr>
        <w:t xml:space="preserve">ar la aplicación de las políticas de desinstitucionalización y la </w:t>
      </w:r>
      <w:r>
        <w:rPr>
          <w:lang w:val="es-ES_tradnl"/>
        </w:rPr>
        <w:t>incid</w:t>
      </w:r>
      <w:r w:rsidRPr="0016017C">
        <w:rPr>
          <w:lang w:val="es-ES_tradnl"/>
        </w:rPr>
        <w:t xml:space="preserve">encia del maltrato en los entornos segregados </w:t>
      </w:r>
      <w:r>
        <w:rPr>
          <w:lang w:val="es-ES_tradnl"/>
        </w:rPr>
        <w:t>existent</w:t>
      </w:r>
      <w:r w:rsidRPr="0016017C">
        <w:rPr>
          <w:lang w:val="es-ES_tradnl"/>
        </w:rPr>
        <w:t xml:space="preserve">es, y </w:t>
      </w:r>
      <w:r>
        <w:rPr>
          <w:lang w:val="es-ES_tradnl"/>
        </w:rPr>
        <w:t>asegur</w:t>
      </w:r>
      <w:r w:rsidRPr="0016017C">
        <w:rPr>
          <w:lang w:val="es-ES_tradnl"/>
        </w:rPr>
        <w:t xml:space="preserve">ar el acceso a la justicia. Esos mecanismos </w:t>
      </w:r>
      <w:r>
        <w:rPr>
          <w:lang w:val="es-ES_tradnl"/>
        </w:rPr>
        <w:t xml:space="preserve">incluyen </w:t>
      </w:r>
      <w:r w:rsidRPr="0016017C">
        <w:rPr>
          <w:lang w:val="es-ES_tradnl"/>
        </w:rPr>
        <w:t xml:space="preserve">recursos judiciales generales, instituciones nacionales de derechos humanos, oficinas de </w:t>
      </w:r>
      <w:r>
        <w:rPr>
          <w:lang w:val="es-ES_tradnl"/>
        </w:rPr>
        <w:t xml:space="preserve">los </w:t>
      </w:r>
      <w:r w:rsidRPr="00762EF9">
        <w:rPr>
          <w:i/>
          <w:lang w:val="es-ES_tradnl"/>
        </w:rPr>
        <w:t>ombudsmen</w:t>
      </w:r>
      <w:r w:rsidRPr="0016017C">
        <w:rPr>
          <w:lang w:val="es-ES_tradnl"/>
        </w:rPr>
        <w:t>, órganos específicos establecidos en virtud de leyes sobre la disca</w:t>
      </w:r>
      <w:r>
        <w:rPr>
          <w:lang w:val="es-ES_tradnl"/>
        </w:rPr>
        <w:t>pacidad, órganos de seguros</w:t>
      </w:r>
      <w:r w:rsidRPr="0016017C">
        <w:rPr>
          <w:lang w:val="es-ES_tradnl"/>
        </w:rPr>
        <w:t xml:space="preserve"> y mecanismos de supervisión independientes establecidos en consonanc</w:t>
      </w:r>
      <w:r>
        <w:rPr>
          <w:lang w:val="es-ES_tradnl"/>
        </w:rPr>
        <w:t>ia con el artículo 33, párrafo 2</w:t>
      </w:r>
      <w:r w:rsidRPr="0016017C">
        <w:rPr>
          <w:lang w:val="es-ES_tradnl"/>
        </w:rPr>
        <w:t xml:space="preserve">, de la Convención sobre los Derechos de las Personas con Discapacidad, que exige que los Estados partes tengan en cuenta los principios relativos a la condición jurídica y el funcionamiento de las instituciones nacionales de protección y promoción de los derechos humanos. En algunos Estados, como Lituania, se han establecido órganos interinstitucionales específicos para supervisar el proceso de desinstitucionalización. En algunos casos se ha encomendado a mecanismos nacionales de prevención creados en cumplimiento del Protocolo Facultativo de la Convención contra la Tortura y Otros Tratos o Penas Crueles, Inhumanos o Degradantes que </w:t>
      </w:r>
      <w:r>
        <w:rPr>
          <w:lang w:val="es-ES_tradnl"/>
        </w:rPr>
        <w:t>supervis</w:t>
      </w:r>
      <w:r w:rsidRPr="0016017C">
        <w:rPr>
          <w:lang w:val="es-ES_tradnl"/>
        </w:rPr>
        <w:t xml:space="preserve">en también las instituciones residenciales. </w:t>
      </w:r>
      <w:r>
        <w:rPr>
          <w:lang w:val="es-ES_tradnl"/>
        </w:rPr>
        <w:t>Independienteme</w:t>
      </w:r>
      <w:r w:rsidRPr="0016017C">
        <w:rPr>
          <w:lang w:val="es-ES_tradnl"/>
        </w:rPr>
        <w:t>nte del mecanismo de que se trate, se ha</w:t>
      </w:r>
      <w:r>
        <w:rPr>
          <w:lang w:val="es-ES_tradnl"/>
        </w:rPr>
        <w:t xml:space="preserve"> de garantizar su independencia</w:t>
      </w:r>
      <w:r w:rsidRPr="0016017C">
        <w:rPr>
          <w:lang w:val="es-ES_tradnl"/>
        </w:rPr>
        <w:t xml:space="preserve"> </w:t>
      </w:r>
      <w:r>
        <w:rPr>
          <w:lang w:val="es-ES_tradnl"/>
        </w:rPr>
        <w:t>teniendo presentes</w:t>
      </w:r>
      <w:r w:rsidRPr="0016017C">
        <w:rPr>
          <w:lang w:val="es-ES_tradnl"/>
        </w:rPr>
        <w:t xml:space="preserve"> los criterios enunciados en la Convención sobre los Derechos de las Personas con Discapacidad.</w:t>
      </w:r>
    </w:p>
    <w:p w:rsidR="00762EF9" w:rsidRPr="00946BC1" w:rsidRDefault="00762EF9" w:rsidP="00762EF9">
      <w:pPr>
        <w:pStyle w:val="HChG"/>
        <w:rPr>
          <w:lang w:val="es-ES_tradnl"/>
        </w:rPr>
      </w:pPr>
      <w:r>
        <w:rPr>
          <w:lang w:val="es-ES_tradnl"/>
        </w:rPr>
        <w:lastRenderedPageBreak/>
        <w:tab/>
        <w:t>V.</w:t>
      </w:r>
      <w:r>
        <w:rPr>
          <w:lang w:val="es-ES_tradnl"/>
        </w:rPr>
        <w:tab/>
      </w:r>
      <w:r w:rsidRPr="00946BC1">
        <w:rPr>
          <w:lang w:val="es-ES_tradnl"/>
        </w:rPr>
        <w:t>Cooperación internacional</w:t>
      </w:r>
    </w:p>
    <w:p w:rsidR="00762EF9" w:rsidRDefault="00762EF9" w:rsidP="00762EF9">
      <w:pPr>
        <w:pStyle w:val="SingleTxtG"/>
        <w:rPr>
          <w:lang w:val="es-ES_tradnl"/>
        </w:rPr>
      </w:pPr>
      <w:r>
        <w:rPr>
          <w:lang w:val="es-ES_tradnl"/>
        </w:rPr>
        <w:t>57.</w:t>
      </w:r>
      <w:r>
        <w:rPr>
          <w:lang w:val="es-ES_tradnl"/>
        </w:rPr>
        <w:tab/>
      </w:r>
      <w:r w:rsidRPr="00946BC1">
        <w:rPr>
          <w:lang w:val="es-ES_tradnl"/>
        </w:rPr>
        <w:t>En algunos casos se ha orientado la cooperación internacional a promover la vida independiente y en la comunidad. En Serbia, Oxfam, Handicap International, Irish Aid y el Programa de las Naciones Unidas</w:t>
      </w:r>
      <w:r>
        <w:rPr>
          <w:lang w:val="es-ES_tradnl"/>
        </w:rPr>
        <w:t xml:space="preserve"> para el Desarrollo financiaron, entre 2001 y 2009, </w:t>
      </w:r>
      <w:r w:rsidRPr="00946BC1">
        <w:rPr>
          <w:lang w:val="es-ES_tradnl"/>
        </w:rPr>
        <w:t xml:space="preserve">proyectos piloto de servicios de asistencia personal. En 2013 el Relator Especial sobre discapacidad de la Comisión de Desarrollo Social </w:t>
      </w:r>
      <w:r>
        <w:rPr>
          <w:lang w:val="es-ES_tradnl"/>
        </w:rPr>
        <w:t>colabor</w:t>
      </w:r>
      <w:r w:rsidRPr="00946BC1">
        <w:rPr>
          <w:lang w:val="es-ES_tradnl"/>
        </w:rPr>
        <w:t xml:space="preserve">ó con el Organismo Japonés de Cooperación Internacional para crear dos centros </w:t>
      </w:r>
      <w:r>
        <w:rPr>
          <w:lang w:val="es-ES_tradnl"/>
        </w:rPr>
        <w:t xml:space="preserve">para vivir de forma independiente </w:t>
      </w:r>
      <w:r w:rsidRPr="00946BC1">
        <w:rPr>
          <w:lang w:val="es-ES_tradnl"/>
        </w:rPr>
        <w:t xml:space="preserve">en Johannesburgo (Sudáfrica), con el fin de </w:t>
      </w:r>
      <w:r>
        <w:rPr>
          <w:lang w:val="es-ES_tradnl"/>
        </w:rPr>
        <w:t>reforz</w:t>
      </w:r>
      <w:r w:rsidRPr="00946BC1">
        <w:rPr>
          <w:lang w:val="es-ES_tradnl"/>
        </w:rPr>
        <w:t>ar las capacidades locales y reproducir ese modelo en otros lugares de Sudáfrica y de la región</w:t>
      </w:r>
      <w:r w:rsidRPr="00554163">
        <w:rPr>
          <w:sz w:val="18"/>
          <w:szCs w:val="18"/>
          <w:vertAlign w:val="superscript"/>
          <w:lang w:val="es-ES_tradnl"/>
        </w:rPr>
        <w:footnoteReference w:id="43"/>
      </w:r>
      <w:r w:rsidRPr="00946BC1">
        <w:rPr>
          <w:lang w:val="es-ES_tradnl"/>
        </w:rPr>
        <w:t xml:space="preserve">. En la República de Moldova, </w:t>
      </w:r>
      <w:r>
        <w:rPr>
          <w:lang w:val="es-ES_tradnl"/>
        </w:rPr>
        <w:t>la colabor</w:t>
      </w:r>
      <w:r w:rsidRPr="00946BC1">
        <w:rPr>
          <w:lang w:val="es-ES_tradnl"/>
        </w:rPr>
        <w:t xml:space="preserve">ación entre el ACNUDH y </w:t>
      </w:r>
      <w:r>
        <w:rPr>
          <w:lang w:val="es-ES_tradnl"/>
        </w:rPr>
        <w:t xml:space="preserve">el Ministerio de Salud, llevó a la adopción, en 2013, de la decisión de que </w:t>
      </w:r>
      <w:r w:rsidRPr="00946BC1">
        <w:rPr>
          <w:lang w:val="es-ES_tradnl"/>
        </w:rPr>
        <w:t xml:space="preserve">todo </w:t>
      </w:r>
      <w:r>
        <w:rPr>
          <w:lang w:val="es-ES_tradnl"/>
        </w:rPr>
        <w:t xml:space="preserve">en </w:t>
      </w:r>
      <w:r w:rsidRPr="00946BC1">
        <w:rPr>
          <w:lang w:val="es-ES_tradnl"/>
        </w:rPr>
        <w:t>el sistema pasara, en un plazo de 18 meses, de depender de grandes hospitales psiquiátricos al apoyo bas</w:t>
      </w:r>
      <w:r>
        <w:rPr>
          <w:lang w:val="es-ES_tradnl"/>
        </w:rPr>
        <w:t>ado en la</w:t>
      </w:r>
      <w:r w:rsidRPr="00946BC1">
        <w:rPr>
          <w:lang w:val="es-ES_tradnl"/>
        </w:rPr>
        <w:t xml:space="preserve"> comuni</w:t>
      </w:r>
      <w:r>
        <w:rPr>
          <w:lang w:val="es-ES_tradnl"/>
        </w:rPr>
        <w:t>dad</w:t>
      </w:r>
      <w:r w:rsidRPr="00946BC1">
        <w:rPr>
          <w:lang w:val="es-ES_tradnl"/>
        </w:rPr>
        <w:t xml:space="preserve">. Además, la cooperación de las Naciones Unidas, dirigida por el ACNUDH, contribuyó a </w:t>
      </w:r>
      <w:r>
        <w:rPr>
          <w:lang w:val="es-ES_tradnl"/>
        </w:rPr>
        <w:t xml:space="preserve">que se </w:t>
      </w:r>
      <w:r w:rsidRPr="00946BC1">
        <w:rPr>
          <w:lang w:val="es-ES_tradnl"/>
        </w:rPr>
        <w:t>establec</w:t>
      </w:r>
      <w:r>
        <w:rPr>
          <w:lang w:val="es-ES_tradnl"/>
        </w:rPr>
        <w:t>i</w:t>
      </w:r>
      <w:r w:rsidRPr="00946BC1">
        <w:rPr>
          <w:lang w:val="es-ES_tradnl"/>
        </w:rPr>
        <w:t>er</w:t>
      </w:r>
      <w:r>
        <w:rPr>
          <w:lang w:val="es-ES_tradnl"/>
        </w:rPr>
        <w:t>a</w:t>
      </w:r>
      <w:r w:rsidRPr="00946BC1">
        <w:rPr>
          <w:lang w:val="es-ES_tradnl"/>
        </w:rPr>
        <w:t xml:space="preserve"> en 2014 la primera organización no gubernamental de usuarios y sobrevivientes de la psiquiatría en la República de Moldova y, posteriormente, </w:t>
      </w:r>
      <w:r>
        <w:rPr>
          <w:lang w:val="es-ES_tradnl"/>
        </w:rPr>
        <w:t xml:space="preserve">a </w:t>
      </w:r>
      <w:r w:rsidRPr="00946BC1">
        <w:rPr>
          <w:lang w:val="es-ES_tradnl"/>
        </w:rPr>
        <w:t xml:space="preserve">la apertura </w:t>
      </w:r>
      <w:r>
        <w:rPr>
          <w:lang w:val="es-ES_tradnl"/>
        </w:rPr>
        <w:t xml:space="preserve">en el país </w:t>
      </w:r>
      <w:r w:rsidRPr="00946BC1">
        <w:rPr>
          <w:lang w:val="es-ES_tradnl"/>
        </w:rPr>
        <w:t xml:space="preserve">del primer centro comunitario </w:t>
      </w:r>
      <w:r>
        <w:rPr>
          <w:lang w:val="es-ES_tradnl"/>
        </w:rPr>
        <w:t xml:space="preserve">y proveedor </w:t>
      </w:r>
      <w:r w:rsidRPr="00946BC1">
        <w:rPr>
          <w:lang w:val="es-ES_tradnl"/>
        </w:rPr>
        <w:t>de servicios múltiples gestionado por los usuarios.</w:t>
      </w:r>
    </w:p>
    <w:p w:rsidR="00762EF9" w:rsidRPr="00443F23" w:rsidRDefault="00762EF9" w:rsidP="00762EF9">
      <w:pPr>
        <w:pStyle w:val="HChG"/>
        <w:rPr>
          <w:lang w:val="es-ES_tradnl"/>
        </w:rPr>
      </w:pPr>
      <w:r>
        <w:rPr>
          <w:lang w:val="es-ES_tradnl"/>
        </w:rPr>
        <w:tab/>
        <w:t>VI.</w:t>
      </w:r>
      <w:r>
        <w:rPr>
          <w:lang w:val="es-ES_tradnl"/>
        </w:rPr>
        <w:tab/>
      </w:r>
      <w:r w:rsidRPr="00443F23">
        <w:rPr>
          <w:lang w:val="es-ES_tradnl"/>
        </w:rPr>
        <w:t>Conclusiones</w:t>
      </w:r>
    </w:p>
    <w:p w:rsidR="00762EF9" w:rsidRPr="0079792D" w:rsidRDefault="00762EF9" w:rsidP="00762EF9">
      <w:pPr>
        <w:pStyle w:val="SingleTxtG"/>
        <w:rPr>
          <w:b/>
          <w:bCs/>
          <w:lang w:val="es-ES_tradnl"/>
        </w:rPr>
      </w:pPr>
      <w:r w:rsidRPr="006530AB">
        <w:rPr>
          <w:bCs/>
          <w:lang w:val="es-ES_tradnl"/>
        </w:rPr>
        <w:t>58.</w:t>
      </w:r>
      <w:r>
        <w:rPr>
          <w:b/>
          <w:bCs/>
          <w:lang w:val="es-ES_tradnl"/>
        </w:rPr>
        <w:tab/>
      </w:r>
      <w:r w:rsidRPr="0079792D">
        <w:rPr>
          <w:b/>
          <w:bCs/>
          <w:lang w:val="es-ES_tradnl"/>
        </w:rPr>
        <w:t xml:space="preserve">El artículo 19 de la Convención sobre los Derechos de las Personas con Discapacidad ilustra el cambio de paradigma de un </w:t>
      </w:r>
      <w:r>
        <w:rPr>
          <w:b/>
          <w:bCs/>
          <w:lang w:val="es-ES_tradnl"/>
        </w:rPr>
        <w:t xml:space="preserve">enfoque </w:t>
      </w:r>
      <w:r w:rsidRPr="0079792D">
        <w:rPr>
          <w:b/>
          <w:bCs/>
          <w:lang w:val="es-ES_tradnl"/>
        </w:rPr>
        <w:t xml:space="preserve">de la discapacidad médico y caritativo a un enfoque basado en los derechos humanos. Las personas con discapacidad, sin excepción, tienen derecho a vivir de forma independiente y a ser incluidas en la comunidad. </w:t>
      </w:r>
      <w:r>
        <w:rPr>
          <w:b/>
          <w:bCs/>
          <w:lang w:val="es-ES_tradnl"/>
        </w:rPr>
        <w:t>No obstante</w:t>
      </w:r>
      <w:r w:rsidRPr="0079792D">
        <w:rPr>
          <w:b/>
          <w:bCs/>
          <w:lang w:val="es-ES_tradnl"/>
        </w:rPr>
        <w:t xml:space="preserve">, en la práctica, </w:t>
      </w:r>
      <w:r>
        <w:rPr>
          <w:b/>
          <w:bCs/>
          <w:lang w:val="es-ES_tradnl"/>
        </w:rPr>
        <w:t>algun</w:t>
      </w:r>
      <w:r w:rsidRPr="0079792D">
        <w:rPr>
          <w:b/>
          <w:bCs/>
          <w:lang w:val="es-ES_tradnl"/>
        </w:rPr>
        <w:t xml:space="preserve">os grupos </w:t>
      </w:r>
      <w:r>
        <w:rPr>
          <w:b/>
          <w:bCs/>
          <w:lang w:val="es-ES_tradnl"/>
        </w:rPr>
        <w:t xml:space="preserve">tiene más </w:t>
      </w:r>
      <w:r w:rsidRPr="0079792D">
        <w:rPr>
          <w:b/>
          <w:bCs/>
          <w:lang w:val="es-ES_tradnl"/>
        </w:rPr>
        <w:t>probabilidades de ser excluidos que otros.</w:t>
      </w:r>
    </w:p>
    <w:p w:rsidR="00762EF9" w:rsidRPr="0079792D" w:rsidRDefault="00762EF9" w:rsidP="00762EF9">
      <w:pPr>
        <w:pStyle w:val="SingleTxtG"/>
        <w:rPr>
          <w:b/>
          <w:bCs/>
          <w:lang w:val="es-ES_tradnl"/>
        </w:rPr>
      </w:pPr>
      <w:r w:rsidRPr="006530AB">
        <w:rPr>
          <w:bCs/>
          <w:lang w:val="es-ES_tradnl"/>
        </w:rPr>
        <w:t>59.</w:t>
      </w:r>
      <w:r>
        <w:rPr>
          <w:b/>
          <w:bCs/>
          <w:lang w:val="es-ES_tradnl"/>
        </w:rPr>
        <w:tab/>
      </w:r>
      <w:r w:rsidRPr="0079792D">
        <w:rPr>
          <w:b/>
          <w:bCs/>
          <w:lang w:val="es-ES_tradnl"/>
        </w:rPr>
        <w:t xml:space="preserve">Los Estados partes tienen la obligación de cumplir </w:t>
      </w:r>
      <w:r>
        <w:rPr>
          <w:b/>
          <w:bCs/>
          <w:lang w:val="es-ES_tradnl"/>
        </w:rPr>
        <w:t xml:space="preserve">lo dispuesto en </w:t>
      </w:r>
      <w:r w:rsidRPr="0079792D">
        <w:rPr>
          <w:b/>
          <w:bCs/>
          <w:lang w:val="es-ES_tradnl"/>
        </w:rPr>
        <w:t xml:space="preserve">el artículo 19 poniendo fin a la segregación de las personas con discapacidad y dándoles los medios </w:t>
      </w:r>
      <w:r>
        <w:rPr>
          <w:b/>
          <w:bCs/>
          <w:lang w:val="es-ES_tradnl"/>
        </w:rPr>
        <w:t xml:space="preserve">para </w:t>
      </w:r>
      <w:r w:rsidRPr="0079792D">
        <w:rPr>
          <w:b/>
          <w:bCs/>
          <w:lang w:val="es-ES_tradnl"/>
        </w:rPr>
        <w:t xml:space="preserve">tener control sobre su vida, independientemente de </w:t>
      </w:r>
      <w:r>
        <w:rPr>
          <w:b/>
          <w:bCs/>
          <w:lang w:val="es-ES_tradnl"/>
        </w:rPr>
        <w:t xml:space="preserve">que los </w:t>
      </w:r>
      <w:r w:rsidRPr="0079792D">
        <w:rPr>
          <w:b/>
          <w:bCs/>
          <w:lang w:val="es-ES_tradnl"/>
        </w:rPr>
        <w:t xml:space="preserve">servicios </w:t>
      </w:r>
      <w:r>
        <w:rPr>
          <w:b/>
          <w:bCs/>
          <w:lang w:val="es-ES_tradnl"/>
        </w:rPr>
        <w:t xml:space="preserve">para </w:t>
      </w:r>
      <w:r w:rsidRPr="0079792D">
        <w:rPr>
          <w:b/>
          <w:bCs/>
          <w:lang w:val="es-ES_tradnl"/>
        </w:rPr>
        <w:t xml:space="preserve">ese </w:t>
      </w:r>
      <w:r>
        <w:rPr>
          <w:b/>
          <w:bCs/>
          <w:lang w:val="es-ES_tradnl"/>
        </w:rPr>
        <w:t>fin sean prestados por el sector privado</w:t>
      </w:r>
      <w:r w:rsidRPr="0079792D">
        <w:rPr>
          <w:b/>
          <w:bCs/>
          <w:lang w:val="es-ES_tradnl"/>
        </w:rPr>
        <w:t>.</w:t>
      </w:r>
    </w:p>
    <w:p w:rsidR="00762EF9" w:rsidRPr="0079792D" w:rsidRDefault="00762EF9" w:rsidP="00762EF9">
      <w:pPr>
        <w:pStyle w:val="SingleTxtG"/>
        <w:rPr>
          <w:b/>
          <w:bCs/>
          <w:lang w:val="es-ES_tradnl"/>
        </w:rPr>
      </w:pPr>
      <w:r w:rsidRPr="006530AB">
        <w:rPr>
          <w:bCs/>
          <w:lang w:val="es-ES_tradnl"/>
        </w:rPr>
        <w:t>60.</w:t>
      </w:r>
      <w:r>
        <w:rPr>
          <w:b/>
          <w:bCs/>
          <w:lang w:val="es-ES_tradnl"/>
        </w:rPr>
        <w:tab/>
      </w:r>
      <w:r w:rsidRPr="0079792D">
        <w:rPr>
          <w:b/>
          <w:bCs/>
          <w:lang w:val="es-ES_tradnl"/>
        </w:rPr>
        <w:t>El internamiento forzoso e</w:t>
      </w:r>
      <w:r>
        <w:rPr>
          <w:b/>
          <w:bCs/>
          <w:lang w:val="es-ES_tradnl"/>
        </w:rPr>
        <w:t xml:space="preserve">n instituciones vulnera </w:t>
      </w:r>
      <w:r w:rsidRPr="0079792D">
        <w:rPr>
          <w:b/>
          <w:bCs/>
          <w:lang w:val="es-ES_tradnl"/>
        </w:rPr>
        <w:t xml:space="preserve">la Convención sobre los Derechos de las Personas con Discapacidad, pues constituye una forma de privación de libertad en </w:t>
      </w:r>
      <w:r>
        <w:rPr>
          <w:b/>
          <w:bCs/>
          <w:lang w:val="es-ES_tradnl"/>
        </w:rPr>
        <w:t xml:space="preserve">razón de </w:t>
      </w:r>
      <w:r w:rsidRPr="0079792D">
        <w:rPr>
          <w:b/>
          <w:bCs/>
          <w:lang w:val="es-ES_tradnl"/>
        </w:rPr>
        <w:t xml:space="preserve">la existencia de una deficiencia, </w:t>
      </w:r>
      <w:r>
        <w:rPr>
          <w:b/>
          <w:bCs/>
          <w:lang w:val="es-ES_tradnl"/>
        </w:rPr>
        <w:t>y ha de dejarse sin efecto</w:t>
      </w:r>
      <w:r w:rsidRPr="0079792D">
        <w:rPr>
          <w:b/>
          <w:bCs/>
          <w:lang w:val="es-ES_tradnl"/>
        </w:rPr>
        <w:t xml:space="preserve">. Los Estados partes </w:t>
      </w:r>
      <w:r>
        <w:rPr>
          <w:b/>
          <w:bCs/>
          <w:lang w:val="es-ES_tradnl"/>
        </w:rPr>
        <w:t xml:space="preserve">han de </w:t>
      </w:r>
      <w:r w:rsidRPr="0079792D">
        <w:rPr>
          <w:b/>
          <w:bCs/>
          <w:lang w:val="es-ES_tradnl"/>
        </w:rPr>
        <w:t xml:space="preserve">establecer el pleno reconocimiento </w:t>
      </w:r>
      <w:r>
        <w:rPr>
          <w:b/>
          <w:bCs/>
          <w:lang w:val="es-ES_tradnl"/>
        </w:rPr>
        <w:t xml:space="preserve">ante la ley </w:t>
      </w:r>
      <w:r w:rsidRPr="0079792D">
        <w:rPr>
          <w:b/>
          <w:bCs/>
          <w:lang w:val="es-ES_tradnl"/>
        </w:rPr>
        <w:t xml:space="preserve">de todas las personas con discapacidad y </w:t>
      </w:r>
      <w:r>
        <w:rPr>
          <w:b/>
          <w:bCs/>
          <w:lang w:val="es-ES_tradnl"/>
        </w:rPr>
        <w:t xml:space="preserve">asegurar </w:t>
      </w:r>
      <w:r w:rsidRPr="0079792D">
        <w:rPr>
          <w:b/>
          <w:bCs/>
          <w:lang w:val="es-ES_tradnl"/>
        </w:rPr>
        <w:t xml:space="preserve">que puedan hacer elecciones y tener control sobre su vida, en igualdad de condiciones con las demás, con acceso </w:t>
      </w:r>
      <w:r>
        <w:rPr>
          <w:b/>
          <w:bCs/>
          <w:lang w:val="es-ES_tradnl"/>
        </w:rPr>
        <w:t>al apoyo par</w:t>
      </w:r>
      <w:r w:rsidRPr="0079792D">
        <w:rPr>
          <w:b/>
          <w:bCs/>
          <w:lang w:val="es-ES_tradnl"/>
        </w:rPr>
        <w:t>a la adopción de decisiones, cuando sea necesario.</w:t>
      </w:r>
    </w:p>
    <w:p w:rsidR="00762EF9" w:rsidRPr="004771BD" w:rsidRDefault="00762EF9" w:rsidP="00762EF9">
      <w:pPr>
        <w:pStyle w:val="SingleTxtG"/>
        <w:rPr>
          <w:b/>
          <w:bCs/>
          <w:lang w:val="es-ES_tradnl"/>
        </w:rPr>
      </w:pPr>
      <w:r w:rsidRPr="006530AB">
        <w:rPr>
          <w:bCs/>
          <w:lang w:val="es-ES_tradnl"/>
        </w:rPr>
        <w:t>61.</w:t>
      </w:r>
      <w:r>
        <w:rPr>
          <w:b/>
          <w:bCs/>
          <w:lang w:val="es-ES_tradnl"/>
        </w:rPr>
        <w:tab/>
      </w:r>
      <w:r w:rsidRPr="004771BD">
        <w:rPr>
          <w:b/>
          <w:bCs/>
          <w:lang w:val="es-ES_tradnl"/>
        </w:rPr>
        <w:t>La desinstitucionaliza</w:t>
      </w:r>
      <w:r>
        <w:rPr>
          <w:b/>
          <w:bCs/>
          <w:lang w:val="es-ES_tradnl"/>
        </w:rPr>
        <w:t>c</w:t>
      </w:r>
      <w:r w:rsidRPr="004771BD">
        <w:rPr>
          <w:b/>
          <w:bCs/>
          <w:lang w:val="es-ES_tradnl"/>
        </w:rPr>
        <w:t xml:space="preserve">ión </w:t>
      </w:r>
      <w:r>
        <w:rPr>
          <w:b/>
          <w:bCs/>
          <w:lang w:val="es-ES_tradnl"/>
        </w:rPr>
        <w:t>requier</w:t>
      </w:r>
      <w:r w:rsidRPr="004771BD">
        <w:rPr>
          <w:b/>
          <w:bCs/>
          <w:lang w:val="es-ES_tradnl"/>
        </w:rPr>
        <w:t>e una transformación sistémica que va más allá del cierre de l</w:t>
      </w:r>
      <w:r>
        <w:rPr>
          <w:b/>
          <w:bCs/>
          <w:lang w:val="es-ES_tradnl"/>
        </w:rPr>
        <w:t xml:space="preserve">os entornos </w:t>
      </w:r>
      <w:r w:rsidRPr="004771BD">
        <w:rPr>
          <w:b/>
          <w:bCs/>
          <w:lang w:val="es-ES_tradnl"/>
        </w:rPr>
        <w:t>institucionales. Para posibilitar la participación social, la desinstitucionalización debe acompañarse de</w:t>
      </w:r>
      <w:r>
        <w:rPr>
          <w:b/>
          <w:bCs/>
          <w:lang w:val="es-ES_tradnl"/>
        </w:rPr>
        <w:t>:</w:t>
      </w:r>
      <w:r w:rsidRPr="004771BD">
        <w:rPr>
          <w:b/>
          <w:bCs/>
          <w:lang w:val="es-ES_tradnl"/>
        </w:rPr>
        <w:t xml:space="preserve"> a) servicios de apoyo individualizados</w:t>
      </w:r>
      <w:r>
        <w:rPr>
          <w:b/>
          <w:bCs/>
          <w:lang w:val="es-ES_tradnl"/>
        </w:rPr>
        <w:t>;</w:t>
      </w:r>
      <w:r w:rsidRPr="004771BD">
        <w:rPr>
          <w:b/>
          <w:bCs/>
          <w:lang w:val="es-ES_tradnl"/>
        </w:rPr>
        <w:t xml:space="preserve"> y b) servicios convencionales inclusivos, que respeten plenamente la voluntad y las preferencias de las personas con discapacidad. </w:t>
      </w:r>
      <w:r>
        <w:rPr>
          <w:b/>
          <w:bCs/>
          <w:lang w:val="es-ES_tradnl"/>
        </w:rPr>
        <w:t xml:space="preserve">Nuevas formas de internamiento en instituciones tienden a disimularse con </w:t>
      </w:r>
      <w:r w:rsidRPr="004771BD">
        <w:rPr>
          <w:b/>
          <w:bCs/>
          <w:lang w:val="es-ES_tradnl"/>
        </w:rPr>
        <w:t xml:space="preserve">cambios superficiales </w:t>
      </w:r>
      <w:r>
        <w:rPr>
          <w:b/>
          <w:bCs/>
          <w:lang w:val="es-ES_tradnl"/>
        </w:rPr>
        <w:t>que no transf</w:t>
      </w:r>
      <w:r w:rsidRPr="004771BD">
        <w:rPr>
          <w:b/>
          <w:bCs/>
          <w:lang w:val="es-ES_tradnl"/>
        </w:rPr>
        <w:t>i</w:t>
      </w:r>
      <w:r>
        <w:rPr>
          <w:b/>
          <w:bCs/>
          <w:lang w:val="es-ES_tradnl"/>
        </w:rPr>
        <w:t>e</w:t>
      </w:r>
      <w:r w:rsidRPr="004771BD">
        <w:rPr>
          <w:b/>
          <w:bCs/>
          <w:lang w:val="es-ES_tradnl"/>
        </w:rPr>
        <w:t>r</w:t>
      </w:r>
      <w:r>
        <w:rPr>
          <w:b/>
          <w:bCs/>
          <w:lang w:val="es-ES_tradnl"/>
        </w:rPr>
        <w:t>e</w:t>
      </w:r>
      <w:r w:rsidRPr="004771BD">
        <w:rPr>
          <w:b/>
          <w:bCs/>
          <w:lang w:val="es-ES_tradnl"/>
        </w:rPr>
        <w:t xml:space="preserve">n el control </w:t>
      </w:r>
      <w:r>
        <w:rPr>
          <w:b/>
          <w:bCs/>
          <w:lang w:val="es-ES_tradnl"/>
        </w:rPr>
        <w:t xml:space="preserve">real de </w:t>
      </w:r>
      <w:r w:rsidRPr="004771BD">
        <w:rPr>
          <w:b/>
          <w:bCs/>
          <w:lang w:val="es-ES_tradnl"/>
        </w:rPr>
        <w:t>los proveedores de servicios a los usuarios</w:t>
      </w:r>
      <w:r>
        <w:rPr>
          <w:b/>
          <w:bCs/>
          <w:lang w:val="es-ES_tradnl"/>
        </w:rPr>
        <w:t xml:space="preserve"> </w:t>
      </w:r>
      <w:r w:rsidRPr="004771BD">
        <w:rPr>
          <w:b/>
          <w:bCs/>
          <w:lang w:val="es-ES_tradnl"/>
        </w:rPr>
        <w:t xml:space="preserve">de </w:t>
      </w:r>
      <w:r>
        <w:rPr>
          <w:b/>
          <w:bCs/>
          <w:lang w:val="es-ES_tradnl"/>
        </w:rPr>
        <w:t xml:space="preserve">los </w:t>
      </w:r>
      <w:r w:rsidRPr="004771BD">
        <w:rPr>
          <w:b/>
          <w:bCs/>
          <w:lang w:val="es-ES_tradnl"/>
        </w:rPr>
        <w:t xml:space="preserve">servicios, como </w:t>
      </w:r>
      <w:r>
        <w:rPr>
          <w:b/>
          <w:bCs/>
          <w:lang w:val="es-ES_tradnl"/>
        </w:rPr>
        <w:t xml:space="preserve">requiere </w:t>
      </w:r>
      <w:r w:rsidRPr="004771BD">
        <w:rPr>
          <w:b/>
          <w:bCs/>
          <w:lang w:val="es-ES_tradnl"/>
        </w:rPr>
        <w:t>el enfoque de la discapacidad basado en los derechos humanos.</w:t>
      </w:r>
    </w:p>
    <w:p w:rsidR="00762EF9" w:rsidRPr="00AC298D" w:rsidRDefault="00762EF9" w:rsidP="00762EF9">
      <w:pPr>
        <w:pStyle w:val="SingleTxtG"/>
        <w:rPr>
          <w:b/>
          <w:bCs/>
          <w:lang w:val="es-ES_tradnl"/>
        </w:rPr>
      </w:pPr>
      <w:r w:rsidRPr="006530AB">
        <w:rPr>
          <w:bCs/>
          <w:lang w:val="es-ES_tradnl"/>
        </w:rPr>
        <w:lastRenderedPageBreak/>
        <w:t>62.</w:t>
      </w:r>
      <w:r>
        <w:rPr>
          <w:b/>
          <w:bCs/>
          <w:lang w:val="es-ES_tradnl"/>
        </w:rPr>
        <w:tab/>
      </w:r>
      <w:r w:rsidRPr="00AC298D">
        <w:rPr>
          <w:b/>
          <w:bCs/>
          <w:lang w:val="es-ES_tradnl"/>
        </w:rPr>
        <w:t xml:space="preserve">El apoyo a las personas con discapacidad </w:t>
      </w:r>
      <w:r>
        <w:rPr>
          <w:b/>
          <w:bCs/>
          <w:lang w:val="es-ES_tradnl"/>
        </w:rPr>
        <w:t xml:space="preserve">incluye diferentes </w:t>
      </w:r>
      <w:r w:rsidRPr="00AC298D">
        <w:rPr>
          <w:b/>
          <w:bCs/>
          <w:lang w:val="es-ES_tradnl"/>
        </w:rPr>
        <w:t xml:space="preserve">proveedores y entornos. Los servicios comunitarios domiciliarios, residenciales y de otra índole pueden ofrecer un apoyo de calidad y al mismo tiempo </w:t>
      </w:r>
      <w:r>
        <w:rPr>
          <w:b/>
          <w:bCs/>
          <w:lang w:val="es-ES_tradnl"/>
        </w:rPr>
        <w:t>reduci</w:t>
      </w:r>
      <w:r w:rsidRPr="00AC298D">
        <w:rPr>
          <w:b/>
          <w:bCs/>
          <w:lang w:val="es-ES_tradnl"/>
        </w:rPr>
        <w:t xml:space="preserve">r las consecuencias </w:t>
      </w:r>
      <w:r>
        <w:rPr>
          <w:b/>
          <w:bCs/>
          <w:lang w:val="es-ES_tradnl"/>
        </w:rPr>
        <w:t>advers</w:t>
      </w:r>
      <w:r w:rsidRPr="00AC298D">
        <w:rPr>
          <w:b/>
          <w:bCs/>
          <w:lang w:val="es-ES_tradnl"/>
        </w:rPr>
        <w:t>as para la familia y para la igualdad de género.</w:t>
      </w:r>
    </w:p>
    <w:p w:rsidR="00762EF9" w:rsidRPr="00AC298D" w:rsidRDefault="00762EF9" w:rsidP="00762EF9">
      <w:pPr>
        <w:pStyle w:val="SingleTxtG"/>
        <w:rPr>
          <w:b/>
          <w:bCs/>
          <w:lang w:val="es-ES_tradnl"/>
        </w:rPr>
      </w:pPr>
      <w:r w:rsidRPr="006530AB">
        <w:rPr>
          <w:bCs/>
          <w:lang w:val="es-ES_tradnl"/>
        </w:rPr>
        <w:t>63.</w:t>
      </w:r>
      <w:r w:rsidRPr="006530AB">
        <w:rPr>
          <w:bCs/>
          <w:lang w:val="es-ES_tradnl"/>
        </w:rPr>
        <w:tab/>
      </w:r>
      <w:r w:rsidRPr="00AC298D">
        <w:rPr>
          <w:b/>
          <w:bCs/>
          <w:lang w:val="es-ES_tradnl"/>
        </w:rPr>
        <w:t>La asistencia personal es un medio ef</w:t>
      </w:r>
      <w:r>
        <w:rPr>
          <w:b/>
          <w:bCs/>
          <w:lang w:val="es-ES_tradnl"/>
        </w:rPr>
        <w:t xml:space="preserve">ectivo </w:t>
      </w:r>
      <w:r w:rsidRPr="00AC298D">
        <w:rPr>
          <w:b/>
          <w:bCs/>
          <w:lang w:val="es-ES_tradnl"/>
        </w:rPr>
        <w:t xml:space="preserve">de </w:t>
      </w:r>
      <w:r>
        <w:rPr>
          <w:b/>
          <w:bCs/>
          <w:lang w:val="es-ES_tradnl"/>
        </w:rPr>
        <w:t>asegur</w:t>
      </w:r>
      <w:r w:rsidRPr="00AC298D">
        <w:rPr>
          <w:b/>
          <w:bCs/>
          <w:lang w:val="es-ES_tradnl"/>
        </w:rPr>
        <w:t xml:space="preserve">ar el derecho a la vida </w:t>
      </w:r>
      <w:r>
        <w:rPr>
          <w:b/>
          <w:bCs/>
          <w:lang w:val="es-ES_tradnl"/>
        </w:rPr>
        <w:t xml:space="preserve">de forma </w:t>
      </w:r>
      <w:r w:rsidRPr="00AC298D">
        <w:rPr>
          <w:b/>
          <w:bCs/>
          <w:lang w:val="es-ES_tradnl"/>
        </w:rPr>
        <w:t xml:space="preserve">independiente y a ser incluido en la comunidad en formas que respeten la dignidad inherente, la autonomía individual y la independencia de las personas con discapacidad. </w:t>
      </w:r>
      <w:r>
        <w:rPr>
          <w:b/>
          <w:bCs/>
          <w:lang w:val="es-ES_tradnl"/>
        </w:rPr>
        <w:t>L</w:t>
      </w:r>
      <w:r w:rsidRPr="00AC298D">
        <w:rPr>
          <w:b/>
          <w:bCs/>
          <w:lang w:val="es-ES_tradnl"/>
        </w:rPr>
        <w:t xml:space="preserve">a asistencia personal </w:t>
      </w:r>
      <w:r>
        <w:rPr>
          <w:b/>
          <w:bCs/>
          <w:lang w:val="es-ES_tradnl"/>
        </w:rPr>
        <w:t xml:space="preserve">debe estar </w:t>
      </w:r>
      <w:r w:rsidRPr="00AC298D">
        <w:rPr>
          <w:b/>
          <w:bCs/>
          <w:lang w:val="es-ES_tradnl"/>
        </w:rPr>
        <w:t>a disposición de todas las personas con discapacidad, incluidas las que tienen discapacidad</w:t>
      </w:r>
      <w:r>
        <w:rPr>
          <w:b/>
          <w:bCs/>
          <w:lang w:val="es-ES_tradnl"/>
        </w:rPr>
        <w:t xml:space="preserve"> intelectual o psicosocial</w:t>
      </w:r>
      <w:r w:rsidRPr="00AC298D">
        <w:rPr>
          <w:b/>
          <w:bCs/>
          <w:lang w:val="es-ES_tradnl"/>
        </w:rPr>
        <w:t>.</w:t>
      </w:r>
    </w:p>
    <w:p w:rsidR="00762EF9" w:rsidRPr="00AC298D" w:rsidRDefault="00762EF9" w:rsidP="00762EF9">
      <w:pPr>
        <w:pStyle w:val="SingleTxtG"/>
        <w:rPr>
          <w:b/>
          <w:bCs/>
          <w:lang w:val="es-ES_tradnl"/>
        </w:rPr>
      </w:pPr>
      <w:r w:rsidRPr="006530AB">
        <w:rPr>
          <w:bCs/>
          <w:lang w:val="es-ES_tradnl"/>
        </w:rPr>
        <w:t>64.</w:t>
      </w:r>
      <w:r>
        <w:rPr>
          <w:b/>
          <w:bCs/>
          <w:lang w:val="es-ES_tradnl"/>
        </w:rPr>
        <w:tab/>
      </w:r>
      <w:r w:rsidRPr="00AC298D">
        <w:rPr>
          <w:b/>
          <w:bCs/>
          <w:lang w:val="es-ES_tradnl"/>
        </w:rPr>
        <w:t xml:space="preserve">Las personas con discapacidad son las que mejor conocen sus propias necesidades. </w:t>
      </w:r>
      <w:r>
        <w:rPr>
          <w:b/>
          <w:bCs/>
          <w:lang w:val="es-ES_tradnl"/>
        </w:rPr>
        <w:t>La asignación de</w:t>
      </w:r>
      <w:r w:rsidRPr="00AC298D">
        <w:rPr>
          <w:b/>
          <w:bCs/>
          <w:lang w:val="es-ES_tradnl"/>
        </w:rPr>
        <w:t xml:space="preserve"> presupuestos a los usuarios de los servicios en vez de a los proveedores de servicios tras</w:t>
      </w:r>
      <w:r>
        <w:rPr>
          <w:b/>
          <w:bCs/>
          <w:lang w:val="es-ES_tradnl"/>
        </w:rPr>
        <w:t xml:space="preserve">lada </w:t>
      </w:r>
      <w:r w:rsidRPr="00AC298D">
        <w:rPr>
          <w:b/>
          <w:bCs/>
          <w:lang w:val="es-ES_tradnl"/>
        </w:rPr>
        <w:t xml:space="preserve">el control y la </w:t>
      </w:r>
      <w:r>
        <w:rPr>
          <w:b/>
          <w:bCs/>
          <w:lang w:val="es-ES_tradnl"/>
        </w:rPr>
        <w:t xml:space="preserve">elección </w:t>
      </w:r>
      <w:r w:rsidRPr="00AC298D">
        <w:rPr>
          <w:b/>
          <w:bCs/>
          <w:lang w:val="es-ES_tradnl"/>
        </w:rPr>
        <w:t>a las personas con discapacidad</w:t>
      </w:r>
      <w:r>
        <w:rPr>
          <w:b/>
          <w:bCs/>
          <w:lang w:val="es-ES_tradnl"/>
        </w:rPr>
        <w:t xml:space="preserve"> y, en última instancia</w:t>
      </w:r>
      <w:r w:rsidRPr="00AC298D">
        <w:rPr>
          <w:b/>
          <w:bCs/>
          <w:lang w:val="es-ES_tradnl"/>
        </w:rPr>
        <w:t xml:space="preserve">, mejora la calidad del apoyo. </w:t>
      </w:r>
      <w:r>
        <w:rPr>
          <w:b/>
          <w:bCs/>
          <w:lang w:val="es-ES_tradnl"/>
        </w:rPr>
        <w:t>L</w:t>
      </w:r>
      <w:r w:rsidRPr="00AC298D">
        <w:rPr>
          <w:b/>
          <w:bCs/>
          <w:lang w:val="es-ES_tradnl"/>
        </w:rPr>
        <w:t>a capacitación</w:t>
      </w:r>
      <w:r>
        <w:rPr>
          <w:b/>
          <w:bCs/>
          <w:lang w:val="es-ES_tradnl"/>
        </w:rPr>
        <w:t xml:space="preserve"> t</w:t>
      </w:r>
      <w:r w:rsidRPr="00AC298D">
        <w:rPr>
          <w:b/>
          <w:bCs/>
          <w:lang w:val="es-ES_tradnl"/>
        </w:rPr>
        <w:t xml:space="preserve">ambién es importante para </w:t>
      </w:r>
      <w:r>
        <w:rPr>
          <w:b/>
          <w:bCs/>
          <w:lang w:val="es-ES_tradnl"/>
        </w:rPr>
        <w:t>asegur</w:t>
      </w:r>
      <w:r w:rsidRPr="00AC298D">
        <w:rPr>
          <w:b/>
          <w:bCs/>
          <w:lang w:val="es-ES_tradnl"/>
        </w:rPr>
        <w:t xml:space="preserve">ar </w:t>
      </w:r>
      <w:r>
        <w:rPr>
          <w:b/>
          <w:bCs/>
          <w:lang w:val="es-ES_tradnl"/>
        </w:rPr>
        <w:t xml:space="preserve">que </w:t>
      </w:r>
      <w:r w:rsidRPr="00AC298D">
        <w:rPr>
          <w:b/>
          <w:bCs/>
          <w:lang w:val="es-ES_tradnl"/>
        </w:rPr>
        <w:t>el apoyo prestado sea de la calidad adecuada y se ajuste a lo dispuesto en la Convención sobre los Derechos de las Personas con Discapacidad.</w:t>
      </w:r>
    </w:p>
    <w:p w:rsidR="00762EF9" w:rsidRPr="00AC298D" w:rsidRDefault="00762EF9" w:rsidP="00762EF9">
      <w:pPr>
        <w:pStyle w:val="SingleTxtG"/>
        <w:rPr>
          <w:b/>
          <w:bCs/>
          <w:lang w:val="es-ES_tradnl"/>
        </w:rPr>
      </w:pPr>
      <w:r w:rsidRPr="006530AB">
        <w:rPr>
          <w:bCs/>
          <w:lang w:val="es-ES_tradnl"/>
        </w:rPr>
        <w:t>65.</w:t>
      </w:r>
      <w:r w:rsidRPr="006530AB">
        <w:rPr>
          <w:bCs/>
          <w:lang w:val="es-ES_tradnl"/>
        </w:rPr>
        <w:tab/>
      </w:r>
      <w:r>
        <w:rPr>
          <w:b/>
          <w:bCs/>
          <w:lang w:val="es-ES_tradnl"/>
        </w:rPr>
        <w:t>El</w:t>
      </w:r>
      <w:r w:rsidRPr="00AC298D">
        <w:rPr>
          <w:b/>
          <w:bCs/>
          <w:lang w:val="es-ES_tradnl"/>
        </w:rPr>
        <w:t xml:space="preserve"> apoyo </w:t>
      </w:r>
      <w:r>
        <w:rPr>
          <w:b/>
          <w:bCs/>
          <w:lang w:val="es-ES_tradnl"/>
        </w:rPr>
        <w:t>individu</w:t>
      </w:r>
      <w:r w:rsidRPr="00AC298D">
        <w:rPr>
          <w:b/>
          <w:bCs/>
          <w:lang w:val="es-ES_tradnl"/>
        </w:rPr>
        <w:t xml:space="preserve">alizado de alta calidad y </w:t>
      </w:r>
      <w:r>
        <w:rPr>
          <w:b/>
          <w:bCs/>
          <w:lang w:val="es-ES_tradnl"/>
        </w:rPr>
        <w:t xml:space="preserve">los </w:t>
      </w:r>
      <w:r w:rsidRPr="00AC298D">
        <w:rPr>
          <w:b/>
          <w:bCs/>
          <w:lang w:val="es-ES_tradnl"/>
        </w:rPr>
        <w:t>servicios convencionales inclusivos puede</w:t>
      </w:r>
      <w:r>
        <w:rPr>
          <w:b/>
          <w:bCs/>
          <w:lang w:val="es-ES_tradnl"/>
        </w:rPr>
        <w:t>n requerir</w:t>
      </w:r>
      <w:r w:rsidRPr="00AC298D">
        <w:rPr>
          <w:b/>
          <w:bCs/>
          <w:lang w:val="es-ES_tradnl"/>
        </w:rPr>
        <w:t xml:space="preserve"> una inversión inicial. </w:t>
      </w:r>
      <w:r>
        <w:rPr>
          <w:b/>
          <w:bCs/>
          <w:lang w:val="es-ES_tradnl"/>
        </w:rPr>
        <w:t>No obstante</w:t>
      </w:r>
      <w:r w:rsidRPr="00AC298D">
        <w:rPr>
          <w:b/>
          <w:bCs/>
          <w:lang w:val="es-ES_tradnl"/>
        </w:rPr>
        <w:t xml:space="preserve">, las sociedades inclusivas, en que las personas con discapacidad participan plenamente </w:t>
      </w:r>
      <w:r>
        <w:rPr>
          <w:b/>
          <w:bCs/>
          <w:lang w:val="es-ES_tradnl"/>
        </w:rPr>
        <w:t>en</w:t>
      </w:r>
      <w:r w:rsidRPr="00AC298D">
        <w:rPr>
          <w:b/>
          <w:bCs/>
          <w:lang w:val="es-ES_tradnl"/>
        </w:rPr>
        <w:t xml:space="preserve"> la vida económica, social, política y cultural</w:t>
      </w:r>
      <w:r>
        <w:rPr>
          <w:b/>
          <w:bCs/>
          <w:lang w:val="es-ES_tradnl"/>
        </w:rPr>
        <w:t xml:space="preserve"> y contribuyen a ella</w:t>
      </w:r>
      <w:r w:rsidRPr="00AC298D">
        <w:rPr>
          <w:b/>
          <w:bCs/>
          <w:lang w:val="es-ES_tradnl"/>
        </w:rPr>
        <w:t xml:space="preserve">, son más </w:t>
      </w:r>
      <w:r>
        <w:rPr>
          <w:b/>
          <w:bCs/>
          <w:lang w:val="es-ES_tradnl"/>
        </w:rPr>
        <w:t>eficient</w:t>
      </w:r>
      <w:r w:rsidRPr="00AC298D">
        <w:rPr>
          <w:b/>
          <w:bCs/>
          <w:lang w:val="es-ES_tradnl"/>
        </w:rPr>
        <w:t xml:space="preserve">es </w:t>
      </w:r>
      <w:r>
        <w:rPr>
          <w:b/>
          <w:bCs/>
          <w:lang w:val="es-ES_tradnl"/>
        </w:rPr>
        <w:t xml:space="preserve">en función de los costos </w:t>
      </w:r>
      <w:r w:rsidRPr="00AC298D">
        <w:rPr>
          <w:b/>
          <w:bCs/>
          <w:lang w:val="es-ES_tradnl"/>
        </w:rPr>
        <w:t>a largo plazo. La</w:t>
      </w:r>
      <w:r>
        <w:rPr>
          <w:b/>
          <w:bCs/>
          <w:lang w:val="es-ES_tradnl"/>
        </w:rPr>
        <w:t>s</w:t>
      </w:r>
      <w:r w:rsidRPr="00AC298D">
        <w:rPr>
          <w:b/>
          <w:bCs/>
          <w:lang w:val="es-ES_tradnl"/>
        </w:rPr>
        <w:t xml:space="preserve"> </w:t>
      </w:r>
      <w:r>
        <w:rPr>
          <w:b/>
          <w:bCs/>
          <w:lang w:val="es-ES_tradnl"/>
        </w:rPr>
        <w:t xml:space="preserve">limitaciones </w:t>
      </w:r>
      <w:r w:rsidRPr="00AC298D">
        <w:rPr>
          <w:b/>
          <w:bCs/>
          <w:lang w:val="es-ES_tradnl"/>
        </w:rPr>
        <w:t>de los recursos no debe</w:t>
      </w:r>
      <w:r>
        <w:rPr>
          <w:b/>
          <w:bCs/>
          <w:lang w:val="es-ES_tradnl"/>
        </w:rPr>
        <w:t>n</w:t>
      </w:r>
      <w:r w:rsidRPr="00AC298D">
        <w:rPr>
          <w:b/>
          <w:bCs/>
          <w:lang w:val="es-ES_tradnl"/>
        </w:rPr>
        <w:t xml:space="preserve"> ser motivo para la inacción; antes bien, se debe</w:t>
      </w:r>
      <w:r>
        <w:rPr>
          <w:b/>
          <w:bCs/>
          <w:lang w:val="es-ES_tradnl"/>
        </w:rPr>
        <w:t>n</w:t>
      </w:r>
      <w:r w:rsidRPr="00AC298D">
        <w:rPr>
          <w:b/>
          <w:bCs/>
          <w:lang w:val="es-ES_tradnl"/>
        </w:rPr>
        <w:t xml:space="preserve"> promover la</w:t>
      </w:r>
      <w:r>
        <w:rPr>
          <w:b/>
          <w:bCs/>
          <w:lang w:val="es-ES_tradnl"/>
        </w:rPr>
        <w:t xml:space="preserve">s </w:t>
      </w:r>
      <w:r w:rsidRPr="00AC298D">
        <w:rPr>
          <w:b/>
          <w:bCs/>
          <w:lang w:val="es-ES_tradnl"/>
        </w:rPr>
        <w:t>asociaciones ef</w:t>
      </w:r>
      <w:r>
        <w:rPr>
          <w:b/>
          <w:bCs/>
          <w:lang w:val="es-ES_tradnl"/>
        </w:rPr>
        <w:t xml:space="preserve">ectivas </w:t>
      </w:r>
      <w:r w:rsidRPr="00AC298D">
        <w:rPr>
          <w:b/>
          <w:bCs/>
          <w:lang w:val="es-ES_tradnl"/>
        </w:rPr>
        <w:t xml:space="preserve">y la </w:t>
      </w:r>
      <w:r>
        <w:rPr>
          <w:b/>
          <w:bCs/>
          <w:lang w:val="es-ES_tradnl"/>
        </w:rPr>
        <w:t>determin</w:t>
      </w:r>
      <w:r w:rsidRPr="00AC298D">
        <w:rPr>
          <w:b/>
          <w:bCs/>
          <w:lang w:val="es-ES_tradnl"/>
        </w:rPr>
        <w:t xml:space="preserve">ación de prioridades </w:t>
      </w:r>
      <w:r>
        <w:rPr>
          <w:b/>
          <w:bCs/>
          <w:lang w:val="es-ES_tradnl"/>
        </w:rPr>
        <w:t xml:space="preserve">basada en </w:t>
      </w:r>
      <w:r w:rsidRPr="00AC298D">
        <w:rPr>
          <w:b/>
          <w:bCs/>
          <w:lang w:val="es-ES_tradnl"/>
        </w:rPr>
        <w:t>los derechos</w:t>
      </w:r>
      <w:r>
        <w:rPr>
          <w:b/>
          <w:bCs/>
          <w:lang w:val="es-ES_tradnl"/>
        </w:rPr>
        <w:t xml:space="preserve"> que proceda</w:t>
      </w:r>
      <w:r w:rsidRPr="00AC298D">
        <w:rPr>
          <w:b/>
          <w:bCs/>
          <w:lang w:val="es-ES_tradnl"/>
        </w:rPr>
        <w:t xml:space="preserve">. Las medidas de austeridad no deben justificar </w:t>
      </w:r>
      <w:r>
        <w:rPr>
          <w:b/>
          <w:bCs/>
          <w:lang w:val="es-ES_tradnl"/>
        </w:rPr>
        <w:t xml:space="preserve">decisiones </w:t>
      </w:r>
      <w:r w:rsidRPr="00AC298D">
        <w:rPr>
          <w:b/>
          <w:bCs/>
          <w:lang w:val="es-ES_tradnl"/>
        </w:rPr>
        <w:t>regresiva</w:t>
      </w:r>
      <w:r>
        <w:rPr>
          <w:b/>
          <w:bCs/>
          <w:lang w:val="es-ES_tradnl"/>
        </w:rPr>
        <w:t>s</w:t>
      </w:r>
      <w:r w:rsidRPr="00AC298D">
        <w:rPr>
          <w:b/>
          <w:bCs/>
          <w:lang w:val="es-ES_tradnl"/>
        </w:rPr>
        <w:t>.</w:t>
      </w:r>
    </w:p>
    <w:p w:rsidR="00762EF9" w:rsidRDefault="00762EF9" w:rsidP="00762EF9">
      <w:pPr>
        <w:pStyle w:val="SingleTxtG"/>
        <w:rPr>
          <w:b/>
          <w:bCs/>
          <w:lang w:val="es-ES_tradnl"/>
        </w:rPr>
      </w:pPr>
      <w:r w:rsidRPr="006530AB">
        <w:rPr>
          <w:bCs/>
          <w:lang w:val="es-ES_tradnl"/>
        </w:rPr>
        <w:t>66.</w:t>
      </w:r>
      <w:r w:rsidRPr="006530AB">
        <w:rPr>
          <w:bCs/>
          <w:lang w:val="es-ES_tradnl"/>
        </w:rPr>
        <w:tab/>
      </w:r>
      <w:r w:rsidRPr="00AC298D">
        <w:rPr>
          <w:b/>
          <w:bCs/>
          <w:lang w:val="es-ES_tradnl"/>
        </w:rPr>
        <w:t>La Convención sobre los Derechos de las Personas con Discapacidad</w:t>
      </w:r>
      <w:r>
        <w:rPr>
          <w:b/>
          <w:bCs/>
          <w:lang w:val="es-ES_tradnl"/>
        </w:rPr>
        <w:t xml:space="preserve">, contiene </w:t>
      </w:r>
      <w:r w:rsidRPr="00AC298D">
        <w:rPr>
          <w:b/>
          <w:bCs/>
          <w:lang w:val="es-ES_tradnl"/>
        </w:rPr>
        <w:t>las normas más recientes sobre el derecho a vivir de forma independiente y a ser incluido en la comunidad, que de</w:t>
      </w:r>
      <w:r>
        <w:rPr>
          <w:b/>
          <w:bCs/>
          <w:lang w:val="es-ES_tradnl"/>
        </w:rPr>
        <w:t xml:space="preserve">ben </w:t>
      </w:r>
      <w:r w:rsidRPr="00AC298D">
        <w:rPr>
          <w:b/>
          <w:bCs/>
          <w:lang w:val="es-ES_tradnl"/>
        </w:rPr>
        <w:t xml:space="preserve">considerarse </w:t>
      </w:r>
      <w:r>
        <w:rPr>
          <w:b/>
          <w:bCs/>
          <w:lang w:val="es-ES_tradnl"/>
        </w:rPr>
        <w:t xml:space="preserve">las </w:t>
      </w:r>
      <w:r w:rsidRPr="00AC298D">
        <w:rPr>
          <w:b/>
          <w:bCs/>
          <w:lang w:val="es-ES_tradnl"/>
        </w:rPr>
        <w:t xml:space="preserve">normas mínimas al elaborar </w:t>
      </w:r>
      <w:r>
        <w:rPr>
          <w:b/>
          <w:bCs/>
          <w:lang w:val="es-ES_tradnl"/>
        </w:rPr>
        <w:t xml:space="preserve">futuros </w:t>
      </w:r>
      <w:r w:rsidRPr="00AC298D">
        <w:rPr>
          <w:b/>
          <w:bCs/>
          <w:lang w:val="es-ES_tradnl"/>
        </w:rPr>
        <w:t>instrumentos de derechos humanos a nivel mundial o regional.</w:t>
      </w:r>
    </w:p>
    <w:p w:rsidR="00762EF9" w:rsidRDefault="00762EF9" w:rsidP="00762EF9">
      <w:pPr>
        <w:pStyle w:val="SingleTxtG"/>
        <w:spacing w:before="240"/>
        <w:jc w:val="center"/>
        <w:rPr>
          <w:bCs/>
          <w:u w:val="single"/>
          <w:lang w:val="es-ES_tradnl"/>
        </w:rPr>
      </w:pPr>
      <w:r>
        <w:rPr>
          <w:bCs/>
          <w:u w:val="single"/>
          <w:lang w:val="es-ES_tradnl"/>
        </w:rPr>
        <w:tab/>
      </w:r>
      <w:r>
        <w:rPr>
          <w:bCs/>
          <w:u w:val="single"/>
          <w:lang w:val="es-ES_tradnl"/>
        </w:rPr>
        <w:tab/>
      </w:r>
      <w:r>
        <w:rPr>
          <w:bCs/>
          <w:u w:val="single"/>
          <w:lang w:val="es-ES_tradnl"/>
        </w:rPr>
        <w:tab/>
      </w:r>
    </w:p>
    <w:p w:rsidR="00762EF9" w:rsidRDefault="00762EF9" w:rsidP="00762EF9">
      <w:pPr>
        <w:pStyle w:val="SingleTxtG"/>
        <w:jc w:val="center"/>
        <w:rPr>
          <w:bCs/>
          <w:u w:val="single"/>
          <w:lang w:val="es-ES_tradnl"/>
        </w:rPr>
      </w:pPr>
    </w:p>
    <w:p w:rsidR="00762EF9" w:rsidRDefault="00762EF9" w:rsidP="00762EF9">
      <w:pPr>
        <w:pStyle w:val="SingleTxtG"/>
        <w:jc w:val="center"/>
        <w:rPr>
          <w:bCs/>
          <w:u w:val="single"/>
          <w:lang w:val="es-ES_tradnl"/>
        </w:rPr>
      </w:pPr>
    </w:p>
    <w:p w:rsidR="00762EF9" w:rsidRPr="00762EF9" w:rsidRDefault="00762EF9" w:rsidP="003500CA">
      <w:pPr>
        <w:pStyle w:val="SingleTxtG"/>
        <w:rPr>
          <w:lang w:val="es-ES_tradnl"/>
        </w:rPr>
      </w:pPr>
    </w:p>
    <w:sectPr w:rsidR="00762EF9" w:rsidRPr="00762EF9" w:rsidSect="003500CA">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69" w:rsidRPr="00A312BC" w:rsidRDefault="002C6269" w:rsidP="00A312BC">
      <w:pPr>
        <w:pStyle w:val="Piedepgina"/>
      </w:pPr>
    </w:p>
  </w:endnote>
  <w:endnote w:type="continuationSeparator" w:id="0">
    <w:p w:rsidR="002C6269" w:rsidRPr="00A312BC" w:rsidRDefault="002C6269"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69" w:rsidRPr="003500CA" w:rsidRDefault="002C6269" w:rsidP="003500CA">
    <w:pPr>
      <w:pStyle w:val="Piedepgina"/>
      <w:tabs>
        <w:tab w:val="right" w:pos="9638"/>
      </w:tabs>
    </w:pPr>
    <w:r w:rsidRPr="003500CA">
      <w:rPr>
        <w:b/>
        <w:sz w:val="18"/>
      </w:rPr>
      <w:fldChar w:fldCharType="begin"/>
    </w:r>
    <w:r w:rsidRPr="003500CA">
      <w:rPr>
        <w:b/>
        <w:sz w:val="18"/>
      </w:rPr>
      <w:instrText xml:space="preserve"> PAGE  \* MERGEFORMAT </w:instrText>
    </w:r>
    <w:r w:rsidRPr="003500CA">
      <w:rPr>
        <w:b/>
        <w:sz w:val="18"/>
      </w:rPr>
      <w:fldChar w:fldCharType="separate"/>
    </w:r>
    <w:r w:rsidR="003E78D2">
      <w:rPr>
        <w:b/>
        <w:noProof/>
        <w:sz w:val="18"/>
      </w:rPr>
      <w:t>18</w:t>
    </w:r>
    <w:r w:rsidRPr="003500CA">
      <w:rPr>
        <w:b/>
        <w:sz w:val="18"/>
      </w:rPr>
      <w:fldChar w:fldCharType="end"/>
    </w:r>
    <w:r>
      <w:rPr>
        <w:b/>
        <w:sz w:val="18"/>
      </w:rPr>
      <w:tab/>
    </w:r>
    <w:r>
      <w:t>GE.14-24169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69" w:rsidRPr="003500CA" w:rsidRDefault="002C6269" w:rsidP="003500CA">
    <w:pPr>
      <w:pStyle w:val="Piedepgina"/>
      <w:tabs>
        <w:tab w:val="right" w:pos="9638"/>
      </w:tabs>
      <w:rPr>
        <w:b/>
        <w:sz w:val="18"/>
      </w:rPr>
    </w:pPr>
    <w:r>
      <w:t>GE.14-24169</w:t>
    </w:r>
    <w:r>
      <w:tab/>
    </w:r>
    <w:r w:rsidRPr="003500CA">
      <w:rPr>
        <w:b/>
        <w:sz w:val="18"/>
      </w:rPr>
      <w:fldChar w:fldCharType="begin"/>
    </w:r>
    <w:r w:rsidRPr="003500CA">
      <w:rPr>
        <w:b/>
        <w:sz w:val="18"/>
      </w:rPr>
      <w:instrText xml:space="preserve"> PAGE  \* MERGEFORMAT </w:instrText>
    </w:r>
    <w:r w:rsidRPr="003500CA">
      <w:rPr>
        <w:b/>
        <w:sz w:val="18"/>
      </w:rPr>
      <w:fldChar w:fldCharType="separate"/>
    </w:r>
    <w:r w:rsidR="003E78D2">
      <w:rPr>
        <w:b/>
        <w:noProof/>
        <w:sz w:val="18"/>
      </w:rPr>
      <w:t>19</w:t>
    </w:r>
    <w:r w:rsidRPr="003500C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69" w:rsidRDefault="002C6269" w:rsidP="003500CA">
    <w:pPr>
      <w:pStyle w:val="Piedepgina"/>
      <w:spacing w:before="240"/>
      <w:rPr>
        <w:sz w:val="20"/>
      </w:rPr>
    </w:pPr>
    <w:r>
      <w:rPr>
        <w:sz w:val="20"/>
      </w:rPr>
      <w:t>GE.</w:t>
    </w:r>
    <w:r w:rsidR="00845FE5">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14-24169  (S)    140115    150115</w:t>
    </w:r>
  </w:p>
  <w:p w:rsidR="002C6269" w:rsidRPr="003500CA" w:rsidRDefault="002C6269" w:rsidP="003500CA">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845FE5">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7&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69" w:rsidRPr="001075E9" w:rsidRDefault="002C6269" w:rsidP="001075E9">
      <w:pPr>
        <w:tabs>
          <w:tab w:val="right" w:pos="2155"/>
        </w:tabs>
        <w:spacing w:after="80" w:line="240" w:lineRule="auto"/>
        <w:ind w:left="680"/>
        <w:rPr>
          <w:u w:val="single"/>
        </w:rPr>
      </w:pPr>
      <w:r>
        <w:rPr>
          <w:u w:val="single"/>
        </w:rPr>
        <w:tab/>
      </w:r>
    </w:p>
  </w:footnote>
  <w:footnote w:type="continuationSeparator" w:id="0">
    <w:p w:rsidR="002C6269" w:rsidRDefault="002C6269" w:rsidP="00407B78">
      <w:pPr>
        <w:tabs>
          <w:tab w:val="right" w:pos="2155"/>
        </w:tabs>
        <w:spacing w:after="80"/>
        <w:ind w:left="680"/>
        <w:rPr>
          <w:u w:val="single"/>
        </w:rPr>
      </w:pPr>
      <w:r>
        <w:rPr>
          <w:u w:val="single"/>
        </w:rPr>
        <w:tab/>
      </w:r>
    </w:p>
  </w:footnote>
  <w:footnote w:id="1">
    <w:p w:rsidR="002C6269" w:rsidRDefault="002C6269" w:rsidP="00A42409">
      <w:pPr>
        <w:pStyle w:val="Textonotapie"/>
        <w:widowControl w:val="0"/>
        <w:tabs>
          <w:tab w:val="clear" w:pos="1021"/>
          <w:tab w:val="right" w:pos="1020"/>
        </w:tabs>
        <w:suppressAutoHyphens/>
      </w:pPr>
      <w:r>
        <w:tab/>
      </w:r>
      <w:r>
        <w:rPr>
          <w:rStyle w:val="Refdenotaalpie"/>
        </w:rPr>
        <w:footnoteRef/>
      </w:r>
      <w:r>
        <w:tab/>
      </w:r>
      <w:r w:rsidRPr="00A86266">
        <w:t>www.ohchr.org/EN/Issues/Disability/Pages/LiveIndependently.aspx</w:t>
      </w:r>
      <w:r>
        <w:t>.</w:t>
      </w:r>
    </w:p>
  </w:footnote>
  <w:footnote w:id="2">
    <w:p w:rsidR="002C6269" w:rsidRDefault="002C6269" w:rsidP="00A86266">
      <w:pPr>
        <w:pStyle w:val="Textonotapie"/>
      </w:pPr>
      <w:r>
        <w:tab/>
      </w:r>
      <w:r>
        <w:rPr>
          <w:rStyle w:val="Refdenotaalpie"/>
        </w:rPr>
        <w:footnoteRef/>
      </w:r>
      <w:r>
        <w:tab/>
      </w:r>
      <w:r w:rsidRPr="00A86266">
        <w:t xml:space="preserve">Véase Comité sobre los Derechos de las Personas con Discapacidad, observación general Nº 1 (2014) </w:t>
      </w:r>
      <w:r w:rsidR="00CB7D56">
        <w:t>s</w:t>
      </w:r>
      <w:r w:rsidRPr="00A86266">
        <w:t>obre el igual reconocimiento como persona ante la ley, párr. 44.</w:t>
      </w:r>
    </w:p>
  </w:footnote>
  <w:footnote w:id="3">
    <w:p w:rsidR="002C6269" w:rsidRPr="00A86266" w:rsidRDefault="002C6269" w:rsidP="00A86266">
      <w:pPr>
        <w:pStyle w:val="Textonotapie"/>
      </w:pPr>
      <w:r>
        <w:tab/>
      </w:r>
      <w:r>
        <w:rPr>
          <w:rStyle w:val="Refdenotaalpie"/>
        </w:rPr>
        <w:footnoteRef/>
      </w:r>
      <w:r>
        <w:tab/>
      </w:r>
      <w:r w:rsidR="00CB7D56">
        <w:rPr>
          <w:lang w:val="es-ES_tradnl"/>
        </w:rPr>
        <w:t>Véase la o</w:t>
      </w:r>
      <w:r w:rsidRPr="001019C0">
        <w:rPr>
          <w:lang w:val="es-ES_tradnl"/>
        </w:rPr>
        <w:t>bservación general Nº 5 (1994) del Comité de Derechos Económicos, Sociales y Culturales, relativa a las personas con discapacidad, párr. 33.</w:t>
      </w:r>
    </w:p>
  </w:footnote>
  <w:footnote w:id="4">
    <w:p w:rsidR="002C6269" w:rsidRDefault="002C6269" w:rsidP="00A86266">
      <w:pPr>
        <w:pStyle w:val="Textonotapie"/>
        <w:tabs>
          <w:tab w:val="clear" w:pos="1021"/>
          <w:tab w:val="right" w:pos="1020"/>
        </w:tabs>
      </w:pPr>
      <w:r>
        <w:tab/>
      </w:r>
      <w:r>
        <w:rPr>
          <w:rStyle w:val="Refdenotaalpie"/>
        </w:rPr>
        <w:footnoteRef/>
      </w:r>
      <w:r>
        <w:tab/>
      </w:r>
      <w:r w:rsidRPr="00A86266">
        <w:t>Por ejemplo, los artículos 9, 12, 16 y 17.</w:t>
      </w:r>
    </w:p>
  </w:footnote>
  <w:footnote w:id="5">
    <w:p w:rsidR="002C6269" w:rsidRDefault="002C6269" w:rsidP="00A42409">
      <w:pPr>
        <w:pStyle w:val="Textonotapie"/>
        <w:widowControl w:val="0"/>
        <w:tabs>
          <w:tab w:val="clear" w:pos="1021"/>
          <w:tab w:val="right" w:pos="1020"/>
        </w:tabs>
        <w:suppressAutoHyphens/>
      </w:pPr>
      <w:r>
        <w:tab/>
      </w:r>
      <w:r>
        <w:rPr>
          <w:rStyle w:val="Refdenotaalpie"/>
        </w:rPr>
        <w:footnoteRef/>
      </w:r>
      <w:r>
        <w:tab/>
      </w:r>
      <w:r w:rsidRPr="00A86266">
        <w:t>Por ejemplo, los artículos 11 y 12.</w:t>
      </w:r>
    </w:p>
  </w:footnote>
  <w:footnote w:id="6">
    <w:p w:rsidR="002C6269" w:rsidRDefault="002C6269" w:rsidP="00A42409">
      <w:pPr>
        <w:pStyle w:val="Textonotapie"/>
        <w:widowControl w:val="0"/>
        <w:tabs>
          <w:tab w:val="clear" w:pos="1021"/>
          <w:tab w:val="right" w:pos="1020"/>
        </w:tabs>
        <w:suppressAutoHyphens/>
      </w:pPr>
      <w:r>
        <w:tab/>
      </w:r>
      <w:r>
        <w:rPr>
          <w:rStyle w:val="Refdenotaalpie"/>
        </w:rPr>
        <w:footnoteRef/>
      </w:r>
      <w:r>
        <w:tab/>
      </w:r>
      <w:r w:rsidRPr="00A86266">
        <w:t>Por ejemplo, los artículos 2, 9, 16, 20, 23, 25 y 27.</w:t>
      </w:r>
    </w:p>
  </w:footnote>
  <w:footnote w:id="7">
    <w:p w:rsidR="002C6269" w:rsidRDefault="002C6269" w:rsidP="00A42409">
      <w:pPr>
        <w:pStyle w:val="Textonotapie"/>
        <w:widowControl w:val="0"/>
        <w:tabs>
          <w:tab w:val="clear" w:pos="1021"/>
          <w:tab w:val="right" w:pos="1020"/>
        </w:tabs>
        <w:suppressAutoHyphens/>
      </w:pPr>
      <w:r>
        <w:tab/>
      </w:r>
      <w:r>
        <w:rPr>
          <w:rStyle w:val="Refdenotaalpie"/>
        </w:rPr>
        <w:footnoteRef/>
      </w:r>
      <w:r>
        <w:tab/>
      </w:r>
      <w:r w:rsidRPr="00A86266">
        <w:t>Por ejemplo, el Relator Especial sobre la tortura y otros tratos o penas crueles, inhumanos o degradantes (véase A/HRC/22/53), el Grupo de Trabajo sobre la Detención Arbitraria (véase A/HRC/27/47) y el Relator Especial sobre la violencia contra la mujer, sus causas y consecuencias (véase A/67/227).</w:t>
      </w:r>
    </w:p>
  </w:footnote>
  <w:footnote w:id="8">
    <w:p w:rsidR="002C6269" w:rsidRDefault="002C6269" w:rsidP="00A42409">
      <w:pPr>
        <w:pStyle w:val="Textonotapie"/>
        <w:widowControl w:val="0"/>
        <w:tabs>
          <w:tab w:val="clear" w:pos="1021"/>
          <w:tab w:val="right" w:pos="1020"/>
        </w:tabs>
        <w:suppressAutoHyphens/>
      </w:pPr>
      <w:r>
        <w:tab/>
      </w:r>
      <w:r>
        <w:rPr>
          <w:rStyle w:val="Refdenotaalpie"/>
        </w:rPr>
        <w:footnoteRef/>
      </w:r>
      <w:r>
        <w:tab/>
      </w:r>
      <w:r w:rsidRPr="00A86266">
        <w:t>Véase Comité de Derechos Económicos, Sociales y Culturales, observación general Nº 5, y Comité de los Derechos del Niño, observación general Nº 7 (2006) sobre la realización de los derechos del niño en la primera infancia, y la observación general Nº 9 (2007) sobre los derechos de los niños con discapacidad.</w:t>
      </w:r>
    </w:p>
  </w:footnote>
  <w:footnote w:id="9">
    <w:p w:rsidR="002C6269" w:rsidRDefault="002C6269" w:rsidP="00A86266">
      <w:pPr>
        <w:pStyle w:val="Textonotapie"/>
        <w:widowControl w:val="0"/>
        <w:tabs>
          <w:tab w:val="clear" w:pos="1021"/>
          <w:tab w:val="right" w:pos="1020"/>
        </w:tabs>
        <w:suppressAutoHyphens/>
      </w:pPr>
      <w:r>
        <w:tab/>
      </w:r>
      <w:r>
        <w:rPr>
          <w:rStyle w:val="Refdenotaalpie"/>
        </w:rPr>
        <w:footnoteRef/>
      </w:r>
      <w:r>
        <w:tab/>
      </w:r>
      <w:r w:rsidRPr="00A86266">
        <w:t xml:space="preserve">Véase Comité sobre los Derechos de las Personas con Discapacidad, comunicación Nº 3/2011, </w:t>
      </w:r>
      <w:r w:rsidRPr="00A86266">
        <w:rPr>
          <w:i/>
        </w:rPr>
        <w:t>H.</w:t>
      </w:r>
      <w:r>
        <w:rPr>
          <w:i/>
        </w:rPr>
        <w:t xml:space="preserve"> </w:t>
      </w:r>
      <w:r w:rsidRPr="00A86266">
        <w:rPr>
          <w:i/>
        </w:rPr>
        <w:t>M. c. Suecia</w:t>
      </w:r>
      <w:r w:rsidRPr="00A86266">
        <w:t>, dictamen aprobado el 19 de abril de 2012. El Comité determinó que la denegación de un permiso de obra para construir una piscina cubierta con fines de rehabilitación de una persona con discapacidad constituía una violación del artículo 19 b) y tendría el efecto de forzar a la demandante a internarse en una institución especializada.</w:t>
      </w:r>
    </w:p>
  </w:footnote>
  <w:footnote w:id="10">
    <w:p w:rsidR="002C6269" w:rsidRPr="00A86266" w:rsidRDefault="002C6269" w:rsidP="00A86266">
      <w:pPr>
        <w:pStyle w:val="Textonotapie"/>
        <w:widowControl w:val="0"/>
        <w:tabs>
          <w:tab w:val="clear" w:pos="1021"/>
          <w:tab w:val="right" w:pos="1020"/>
        </w:tabs>
        <w:suppressAutoHyphens/>
        <w:rPr>
          <w:lang w:val="en-US"/>
        </w:rPr>
      </w:pPr>
      <w:r>
        <w:tab/>
      </w:r>
      <w:r>
        <w:rPr>
          <w:rStyle w:val="Refdenotaalpie"/>
        </w:rPr>
        <w:footnoteRef/>
      </w:r>
      <w:r w:rsidRPr="00A86266">
        <w:rPr>
          <w:lang w:val="en-US"/>
        </w:rPr>
        <w:tab/>
        <w:t xml:space="preserve">Véase por ejemplo, </w:t>
      </w:r>
      <w:r w:rsidRPr="00CB7D56">
        <w:rPr>
          <w:i/>
          <w:lang w:val="en-US"/>
        </w:rPr>
        <w:t>Marianne Schulze, Understanding the UN Convention on the Rights of Persons with Disabilities</w:t>
      </w:r>
      <w:r w:rsidRPr="00A86266">
        <w:rPr>
          <w:lang w:val="en-US"/>
        </w:rPr>
        <w:t xml:space="preserve"> (Handicap International, 2ª edición, 2009).</w:t>
      </w:r>
    </w:p>
  </w:footnote>
  <w:footnote w:id="11">
    <w:p w:rsidR="002C6269" w:rsidRDefault="002C6269" w:rsidP="00A86266">
      <w:pPr>
        <w:pStyle w:val="Textonotapie"/>
        <w:widowControl w:val="0"/>
        <w:tabs>
          <w:tab w:val="clear" w:pos="1021"/>
          <w:tab w:val="right" w:pos="1020"/>
        </w:tabs>
        <w:suppressAutoHyphens/>
      </w:pPr>
      <w:r w:rsidRPr="00A86266">
        <w:rPr>
          <w:lang w:val="en-US"/>
        </w:rPr>
        <w:tab/>
      </w:r>
      <w:r>
        <w:rPr>
          <w:rStyle w:val="Refdenotaalpie"/>
        </w:rPr>
        <w:footnoteRef/>
      </w:r>
      <w:r>
        <w:tab/>
      </w:r>
      <w:r w:rsidRPr="00A86266">
        <w:t>Véase la aportación de la Alianza Internacional de la Discapacidad.</w:t>
      </w:r>
    </w:p>
  </w:footnote>
  <w:footnote w:id="12">
    <w:p w:rsidR="002C6269" w:rsidRDefault="002C6269" w:rsidP="00A86266">
      <w:pPr>
        <w:pStyle w:val="Textonotapie"/>
        <w:widowControl w:val="0"/>
        <w:tabs>
          <w:tab w:val="clear" w:pos="1021"/>
          <w:tab w:val="right" w:pos="1020"/>
        </w:tabs>
        <w:suppressAutoHyphens/>
      </w:pPr>
      <w:r>
        <w:tab/>
      </w:r>
      <w:r>
        <w:rPr>
          <w:rStyle w:val="Refdenotaalpie"/>
        </w:rPr>
        <w:footnoteRef/>
      </w:r>
      <w:r>
        <w:tab/>
      </w:r>
      <w:r w:rsidRPr="00A86266">
        <w:t>Véanse, por ejemplo, los resúmenes diarios de los debates del séptimo período de sesiones del Comité Especial Encargado de Preparar una Convención Internacional Amplia e Integral para Proteger y Promover los Derechos y la Dignidad de las Personas con Discapacidad, 19 y 20 de enero de 2006. Disponibles en www.un.org/esa/socdev/enable/rights/ahc7sum19jan.htm y en www.un.org/esa/socdev/enable/rights/ahc7sum20jan.htm. Véase también el informe sobre el tercer período de sesiones del Comité Especial, nota 53, disponible en www.un.org/esa/socdev/enable/</w:t>
      </w:r>
      <w:r w:rsidR="00CB7D56">
        <w:br/>
      </w:r>
      <w:r w:rsidRPr="00A86266">
        <w:t>rights/ahc3reporte.htm, y el resumen diario de los debates relativos</w:t>
      </w:r>
      <w:r>
        <w:t xml:space="preserve"> </w:t>
      </w:r>
      <w:r w:rsidRPr="00E136D2">
        <w:t>al artículo 15, celebrados en el tercer período de sesiones del Comité Especial, disponible en www.un.org/esa/socdev/</w:t>
      </w:r>
      <w:r w:rsidR="00CB7D56">
        <w:br/>
      </w:r>
      <w:r w:rsidRPr="00E136D2">
        <w:t>enable/rights/ahc3sum15.htm.</w:t>
      </w:r>
    </w:p>
  </w:footnote>
  <w:footnote w:id="13">
    <w:p w:rsidR="002C6269" w:rsidRDefault="002C6269" w:rsidP="00E136D2">
      <w:pPr>
        <w:pStyle w:val="Textonotapie"/>
        <w:widowControl w:val="0"/>
        <w:tabs>
          <w:tab w:val="clear" w:pos="1021"/>
          <w:tab w:val="right" w:pos="1020"/>
        </w:tabs>
        <w:suppressAutoHyphens/>
      </w:pPr>
      <w:r>
        <w:tab/>
      </w:r>
      <w:r>
        <w:rPr>
          <w:rStyle w:val="Refdenotaalpie"/>
        </w:rPr>
        <w:footnoteRef/>
      </w:r>
      <w:r>
        <w:tab/>
      </w:r>
      <w:r w:rsidRPr="00E136D2">
        <w:t>Véase Comité sobre los Derechos de las Personas con Discapacidad, o</w:t>
      </w:r>
      <w:r>
        <w:t>bservación general Nº 1, párrs. </w:t>
      </w:r>
      <w:r w:rsidRPr="00E136D2">
        <w:t>12 y 14.</w:t>
      </w:r>
      <w:r>
        <w:tab/>
      </w:r>
    </w:p>
  </w:footnote>
  <w:footnote w:id="14">
    <w:p w:rsidR="002C6269" w:rsidRDefault="002C6269" w:rsidP="002C3E7A">
      <w:pPr>
        <w:pStyle w:val="Textonotapie"/>
        <w:widowControl w:val="0"/>
        <w:tabs>
          <w:tab w:val="clear" w:pos="1021"/>
          <w:tab w:val="right" w:pos="1020"/>
        </w:tabs>
        <w:suppressAutoHyphens/>
      </w:pPr>
      <w:r>
        <w:tab/>
      </w:r>
      <w:r>
        <w:rPr>
          <w:rStyle w:val="Refdenotaalpie"/>
        </w:rPr>
        <w:footnoteRef/>
      </w:r>
      <w:r>
        <w:tab/>
      </w:r>
      <w:r w:rsidRPr="00207483">
        <w:rPr>
          <w:i/>
        </w:rPr>
        <w:t>Ibid</w:t>
      </w:r>
      <w:r w:rsidRPr="00207483">
        <w:t>., párrs. 25 a 29.</w:t>
      </w:r>
    </w:p>
  </w:footnote>
  <w:footnote w:id="15">
    <w:p w:rsidR="002C6269" w:rsidRDefault="002C6269" w:rsidP="00207483">
      <w:pPr>
        <w:pStyle w:val="Textonotapie"/>
        <w:widowControl w:val="0"/>
        <w:tabs>
          <w:tab w:val="clear" w:pos="1021"/>
          <w:tab w:val="right" w:pos="1020"/>
        </w:tabs>
        <w:suppressAutoHyphens/>
      </w:pPr>
      <w:r>
        <w:tab/>
      </w:r>
      <w:r>
        <w:rPr>
          <w:rStyle w:val="Refdenotaalpie"/>
        </w:rPr>
        <w:footnoteRef/>
      </w:r>
      <w:r>
        <w:tab/>
      </w:r>
      <w:r w:rsidR="00CB7D56" w:rsidRPr="00CB7D56">
        <w:t>Véase Comité de los Derechos del Niño, observación general Nº 14 (2013), sobre el derecho del niño a que su interés superior sea una consideración primordial, párrs. 52 a 54.</w:t>
      </w:r>
    </w:p>
  </w:footnote>
  <w:footnote w:id="16">
    <w:p w:rsidR="002C6269" w:rsidRDefault="002C6269" w:rsidP="00207483">
      <w:pPr>
        <w:pStyle w:val="Textonotapie"/>
        <w:widowControl w:val="0"/>
        <w:tabs>
          <w:tab w:val="clear" w:pos="1021"/>
          <w:tab w:val="right" w:pos="1020"/>
        </w:tabs>
        <w:suppressAutoHyphens/>
      </w:pPr>
      <w:r>
        <w:tab/>
      </w:r>
      <w:r>
        <w:rPr>
          <w:rStyle w:val="Refdenotaalpie"/>
        </w:rPr>
        <w:footnoteRef/>
      </w:r>
      <w:r>
        <w:tab/>
      </w:r>
      <w:r w:rsidRPr="00207483">
        <w:t>Declaración del Comité sobre los Derechos de las Personas con Discapacidad sobre el artículo 14, publicada en el 12º período de sesiones del Comité (CRPD/C/12/2, pág. 16).</w:t>
      </w:r>
      <w:r>
        <w:tab/>
      </w:r>
    </w:p>
  </w:footnote>
  <w:footnote w:id="17">
    <w:p w:rsidR="002C6269" w:rsidRDefault="002C6269" w:rsidP="00D55CF9">
      <w:pPr>
        <w:pStyle w:val="Textonotapie"/>
        <w:widowControl w:val="0"/>
        <w:tabs>
          <w:tab w:val="clear" w:pos="1021"/>
          <w:tab w:val="right" w:pos="1020"/>
        </w:tabs>
        <w:suppressAutoHyphens/>
      </w:pPr>
      <w:r>
        <w:tab/>
      </w:r>
      <w:r>
        <w:rPr>
          <w:rStyle w:val="Refdenotaalpie"/>
        </w:rPr>
        <w:footnoteRef/>
      </w:r>
      <w:r>
        <w:tab/>
      </w:r>
      <w:r w:rsidRPr="00D55CF9">
        <w:t>Véanse, por ejemplo, las observaciones finales del Comité sobre Austria (CRPD/C/AUT/CO/1), China (CRPD/C/CHN/CO/1 y Corr.1) y España (CRPD/C/ESP/CO/1).</w:t>
      </w:r>
    </w:p>
  </w:footnote>
  <w:footnote w:id="18">
    <w:p w:rsidR="002C6269" w:rsidRDefault="002C6269" w:rsidP="00D55CF9">
      <w:pPr>
        <w:pStyle w:val="Textonotapie"/>
        <w:widowControl w:val="0"/>
        <w:tabs>
          <w:tab w:val="clear" w:pos="1021"/>
          <w:tab w:val="right" w:pos="1020"/>
        </w:tabs>
        <w:suppressAutoHyphens/>
      </w:pPr>
      <w:r>
        <w:tab/>
      </w:r>
      <w:r>
        <w:rPr>
          <w:rStyle w:val="Refdenotaalpie"/>
        </w:rPr>
        <w:footnoteRef/>
      </w:r>
      <w:r>
        <w:tab/>
      </w:r>
      <w:r w:rsidRPr="00D55CF9">
        <w:t>Véase el informe de la Alta Comisionada de las Naciones Unidas para los Derechos Humanos sobre la situación de los derechos humanos de las personas de edad (E/2012/51) presentado al Consejo Económico y Social.</w:t>
      </w:r>
      <w:r>
        <w:tab/>
      </w:r>
    </w:p>
  </w:footnote>
  <w:footnote w:id="19">
    <w:p w:rsidR="002C6269" w:rsidRDefault="002C6269" w:rsidP="002C6269">
      <w:pPr>
        <w:pStyle w:val="Textonotapie"/>
        <w:widowControl w:val="0"/>
        <w:tabs>
          <w:tab w:val="clear" w:pos="1021"/>
          <w:tab w:val="right" w:pos="1020"/>
        </w:tabs>
        <w:suppressAutoHyphens/>
      </w:pPr>
      <w:r>
        <w:tab/>
      </w:r>
      <w:r>
        <w:rPr>
          <w:rStyle w:val="Refdenotaalpie"/>
        </w:rPr>
        <w:footnoteRef/>
      </w:r>
      <w:r>
        <w:tab/>
      </w:r>
      <w:r w:rsidRPr="002C6269">
        <w:t xml:space="preserve">Para un panorama detallado de las consecuencias del internamiento en una institución, véase Comisario para los Derechos Humanos del Consejo de Europa, "The right of people with disabilities to live independently and </w:t>
      </w:r>
      <w:r w:rsidR="000661E0">
        <w:t>be included in the community" (</w:t>
      </w:r>
      <w:r w:rsidRPr="002C6269">
        <w:t>Consejo de Europa, 2012), págs. 37 a 39. Véase también el informe del Relator Especial sobre la tortura y otros tratos o penas crueles, inhumanos o degradantes (A/63/175), párr. 38.</w:t>
      </w:r>
      <w:r>
        <w:tab/>
      </w:r>
    </w:p>
  </w:footnote>
  <w:footnote w:id="20">
    <w:p w:rsidR="002C6269" w:rsidRDefault="002C6269" w:rsidP="002C6269">
      <w:pPr>
        <w:pStyle w:val="Textonotapie"/>
        <w:widowControl w:val="0"/>
        <w:tabs>
          <w:tab w:val="clear" w:pos="1021"/>
          <w:tab w:val="right" w:pos="1020"/>
        </w:tabs>
        <w:suppressAutoHyphens/>
      </w:pPr>
      <w:r>
        <w:tab/>
      </w:r>
      <w:r>
        <w:rPr>
          <w:rStyle w:val="Refdenotaalpie"/>
        </w:rPr>
        <w:footnoteRef/>
      </w:r>
      <w:r>
        <w:tab/>
      </w:r>
      <w:r w:rsidRPr="002C6269">
        <w:t>Véanse, por ejemplo, las observaciones finales del Comité sobre Australia (CRPD/C/AUS/CO/1), Austria (CRPD/C/AUT/CO/1), El Salvador (CRPD/C/SLV/CO/1), el Pa</w:t>
      </w:r>
      <w:r w:rsidR="00214DAA">
        <w:t>raguay (CRPD/C/PRY/CO/1), China</w:t>
      </w:r>
      <w:r w:rsidRPr="002C6269">
        <w:t xml:space="preserve"> (CRPD/C/CHN/CO/1 y Corr.1) y Hungría (CRPD/C/HUN/CO/1).</w:t>
      </w:r>
    </w:p>
  </w:footnote>
  <w:footnote w:id="21">
    <w:p w:rsidR="009F0B95" w:rsidRDefault="009F0B95" w:rsidP="009F0B95">
      <w:pPr>
        <w:pStyle w:val="Textonotapie"/>
        <w:widowControl w:val="0"/>
        <w:tabs>
          <w:tab w:val="clear" w:pos="1021"/>
          <w:tab w:val="right" w:pos="1020"/>
        </w:tabs>
        <w:suppressAutoHyphens/>
      </w:pPr>
      <w:r>
        <w:tab/>
      </w:r>
      <w:r>
        <w:rPr>
          <w:rStyle w:val="Refdenotaalpie"/>
        </w:rPr>
        <w:footnoteRef/>
      </w:r>
      <w:r>
        <w:tab/>
      </w:r>
      <w:r w:rsidRPr="009F0B95">
        <w:t xml:space="preserve">Véase Organización Mundial de la Salud (OMS) y Banco Mundial, </w:t>
      </w:r>
      <w:r w:rsidRPr="00CB7D56">
        <w:rPr>
          <w:i/>
        </w:rPr>
        <w:t>Informe mundial sobre la discapacidad (2011)</w:t>
      </w:r>
      <w:r w:rsidRPr="009F0B95">
        <w:t>, pág. 148. En el informe se hace referencia a dos estudios, uno en el Reino Unido de Gran Bretaña e Irlanda del Norte y otro en China.</w:t>
      </w:r>
      <w:r>
        <w:tab/>
      </w:r>
    </w:p>
  </w:footnote>
  <w:footnote w:id="22">
    <w:p w:rsidR="009F0B95" w:rsidRDefault="009F0B95" w:rsidP="009F0B95">
      <w:pPr>
        <w:pStyle w:val="Textonotapie"/>
        <w:widowControl w:val="0"/>
        <w:tabs>
          <w:tab w:val="clear" w:pos="1021"/>
          <w:tab w:val="right" w:pos="1020"/>
        </w:tabs>
        <w:suppressAutoHyphens/>
      </w:pPr>
      <w:r>
        <w:tab/>
      </w:r>
      <w:r>
        <w:rPr>
          <w:rStyle w:val="Refdenotaalpie"/>
        </w:rPr>
        <w:footnoteRef/>
      </w:r>
      <w:r>
        <w:tab/>
      </w:r>
      <w:r w:rsidRPr="009F0B95">
        <w:t>Véase Comité de los Derechos del Niño, obse</w:t>
      </w:r>
      <w:r w:rsidR="000661E0">
        <w:t xml:space="preserve">rvación general Nº 9, párrs. 47 a </w:t>
      </w:r>
      <w:r w:rsidRPr="009F0B95">
        <w:t>49, y las Directrices sobre las modalidades alternativas de cuidado de los niños, en particul</w:t>
      </w:r>
      <w:r>
        <w:t>ar los párrafos 3, 14, 22, 34 y </w:t>
      </w:r>
      <w:r w:rsidRPr="009F0B95">
        <w:t>132.</w:t>
      </w:r>
      <w:r w:rsidR="00711F0E">
        <w:tab/>
      </w:r>
    </w:p>
  </w:footnote>
  <w:footnote w:id="23">
    <w:p w:rsidR="00711F0E" w:rsidRDefault="00711F0E" w:rsidP="00711F0E">
      <w:pPr>
        <w:pStyle w:val="Textonotapie"/>
        <w:widowControl w:val="0"/>
        <w:tabs>
          <w:tab w:val="clear" w:pos="1021"/>
          <w:tab w:val="right" w:pos="1020"/>
        </w:tabs>
        <w:suppressAutoHyphens/>
      </w:pPr>
      <w:r>
        <w:tab/>
      </w:r>
      <w:r>
        <w:rPr>
          <w:rStyle w:val="Refdenotaalpie"/>
        </w:rPr>
        <w:footnoteRef/>
      </w:r>
      <w:r>
        <w:tab/>
      </w:r>
      <w:r w:rsidRPr="00711F0E">
        <w:t>Véase OMS y Banco Mundial, Informe Mundial, pág. 149 y Comisario para los Derechos H</w:t>
      </w:r>
      <w:r w:rsidR="00214DAA">
        <w:t>umanos del Consejo de Europa, "</w:t>
      </w:r>
      <w:r w:rsidRPr="00711F0E">
        <w:t>The right of people with disabilities to live independently</w:t>
      </w:r>
      <w:r w:rsidR="00214DAA">
        <w:t>"</w:t>
      </w:r>
      <w:r w:rsidRPr="00711F0E">
        <w:t>, pág. 32.</w:t>
      </w:r>
    </w:p>
  </w:footnote>
  <w:footnote w:id="24">
    <w:p w:rsidR="00711F0E" w:rsidRDefault="00711F0E" w:rsidP="00711F0E">
      <w:pPr>
        <w:pStyle w:val="Textonotapie"/>
        <w:widowControl w:val="0"/>
        <w:tabs>
          <w:tab w:val="clear" w:pos="1021"/>
          <w:tab w:val="right" w:pos="1020"/>
        </w:tabs>
        <w:suppressAutoHyphens/>
      </w:pPr>
      <w:r>
        <w:tab/>
      </w:r>
      <w:r>
        <w:rPr>
          <w:rStyle w:val="Refdenotaalpie"/>
        </w:rPr>
        <w:footnoteRef/>
      </w:r>
      <w:r>
        <w:tab/>
      </w:r>
      <w:r w:rsidRPr="00711F0E">
        <w:t>Sobre las repercusiones del empleo de personas con discapacidad en el PIB, véase, por ejemplo, Sebastian Buckup, "The price of exclusion: the economic consequences of excluding people with disabilities from the world of work", Employment Working Paper No. 43 (Oficina Internacional del Trabajo, 2009).</w:t>
      </w:r>
      <w:r>
        <w:tab/>
      </w:r>
    </w:p>
  </w:footnote>
  <w:footnote w:id="25">
    <w:p w:rsidR="00711F0E" w:rsidRDefault="00711F0E" w:rsidP="00711F0E">
      <w:pPr>
        <w:pStyle w:val="Textonotapie"/>
        <w:widowControl w:val="0"/>
        <w:tabs>
          <w:tab w:val="clear" w:pos="1021"/>
          <w:tab w:val="right" w:pos="1020"/>
        </w:tabs>
        <w:suppressAutoHyphens/>
      </w:pPr>
      <w:r>
        <w:tab/>
      </w:r>
      <w:r>
        <w:rPr>
          <w:rStyle w:val="Refdenotaalpie"/>
        </w:rPr>
        <w:footnoteRef/>
      </w:r>
      <w:r>
        <w:tab/>
      </w:r>
      <w:r w:rsidRPr="00711F0E">
        <w:t>Véase también Comité de los Derechos del Niño, observación general Nº 9.</w:t>
      </w:r>
    </w:p>
  </w:footnote>
  <w:footnote w:id="26">
    <w:p w:rsidR="00762EF9" w:rsidRPr="006530AB" w:rsidRDefault="00762EF9" w:rsidP="00762EF9">
      <w:pPr>
        <w:pStyle w:val="Textonotapie"/>
        <w:widowControl w:val="0"/>
        <w:tabs>
          <w:tab w:val="clear" w:pos="1021"/>
          <w:tab w:val="right" w:pos="1020"/>
        </w:tabs>
        <w:suppressAutoHyphens/>
        <w:rPr>
          <w:lang w:val="en-US"/>
        </w:rPr>
      </w:pPr>
      <w:r>
        <w:tab/>
      </w:r>
      <w:r>
        <w:rPr>
          <w:rStyle w:val="Refdenotaalpie"/>
        </w:rPr>
        <w:footnoteRef/>
      </w:r>
      <w:r w:rsidRPr="006530AB">
        <w:rPr>
          <w:lang w:val="en-US"/>
        </w:rPr>
        <w:tab/>
      </w:r>
      <w:r w:rsidRPr="006530AB">
        <w:rPr>
          <w:szCs w:val="18"/>
          <w:lang w:val="en-US"/>
        </w:rPr>
        <w:t xml:space="preserve">Inclusion International, </w:t>
      </w:r>
      <w:r w:rsidRPr="006530AB">
        <w:rPr>
          <w:i/>
          <w:iCs/>
          <w:szCs w:val="18"/>
          <w:lang w:val="en-US"/>
        </w:rPr>
        <w:t xml:space="preserve">Inclusive Communities = Stronger Communities: </w:t>
      </w:r>
      <w:r w:rsidRPr="0065096B">
        <w:rPr>
          <w:i/>
          <w:iCs/>
          <w:spacing w:val="-2"/>
          <w:szCs w:val="18"/>
          <w:lang w:val="en-US"/>
        </w:rPr>
        <w:t>Global Report on Article 19:</w:t>
      </w:r>
      <w:r w:rsidRPr="006530AB">
        <w:rPr>
          <w:i/>
          <w:iCs/>
          <w:szCs w:val="18"/>
          <w:lang w:val="en-US"/>
        </w:rPr>
        <w:t xml:space="preserve"> The Right to Live and Be Included in the Community</w:t>
      </w:r>
      <w:r w:rsidRPr="006530AB">
        <w:rPr>
          <w:szCs w:val="18"/>
          <w:lang w:val="en-US"/>
        </w:rPr>
        <w:t xml:space="preserve"> (2012), pág. 78.</w:t>
      </w:r>
    </w:p>
  </w:footnote>
  <w:footnote w:id="27">
    <w:p w:rsidR="00762EF9" w:rsidRPr="006530AB" w:rsidRDefault="00762EF9" w:rsidP="00762EF9">
      <w:pPr>
        <w:pStyle w:val="Textonotapie"/>
        <w:widowControl w:val="0"/>
        <w:suppressAutoHyphens/>
        <w:rPr>
          <w:szCs w:val="18"/>
          <w:lang w:val="es-ES_tradnl"/>
        </w:rPr>
      </w:pPr>
      <w:r w:rsidRPr="00C15EE4">
        <w:rPr>
          <w:szCs w:val="18"/>
          <w:lang w:val="en-US"/>
        </w:rPr>
        <w:tab/>
      </w:r>
      <w:r w:rsidRPr="006530AB">
        <w:rPr>
          <w:rStyle w:val="Refdenotaalpie"/>
          <w:szCs w:val="18"/>
        </w:rPr>
        <w:footnoteRef/>
      </w:r>
      <w:r w:rsidRPr="006530AB">
        <w:rPr>
          <w:szCs w:val="18"/>
        </w:rPr>
        <w:t xml:space="preserve"> </w:t>
      </w:r>
      <w:r w:rsidRPr="006530AB">
        <w:rPr>
          <w:szCs w:val="18"/>
          <w:lang w:val="es-ES_tradnl"/>
        </w:rPr>
        <w:tab/>
      </w:r>
      <w:r w:rsidRPr="006530AB">
        <w:t>Véa</w:t>
      </w:r>
      <w:r>
        <w:t>n</w:t>
      </w:r>
      <w:r w:rsidRPr="006530AB">
        <w:t>se</w:t>
      </w:r>
      <w:r w:rsidRPr="006530AB">
        <w:rPr>
          <w:szCs w:val="18"/>
          <w:lang w:val="es-ES_tradnl"/>
        </w:rPr>
        <w:t xml:space="preserve"> los servicios de apoyo específicos ofrecidos a los diferentes grupos de personas con discapacidad comprendidos en la aportación de Alianza Internacional de la Discapacidad.</w:t>
      </w:r>
    </w:p>
  </w:footnote>
  <w:footnote w:id="28">
    <w:p w:rsidR="00762EF9" w:rsidRPr="006530AB" w:rsidRDefault="00762EF9" w:rsidP="00762EF9">
      <w:pPr>
        <w:pStyle w:val="Textonotapie"/>
        <w:widowControl w:val="0"/>
        <w:suppressAutoHyphens/>
        <w:rPr>
          <w:szCs w:val="18"/>
          <w:lang w:val="es-ES_tradnl"/>
        </w:rPr>
      </w:pPr>
      <w:r>
        <w:rPr>
          <w:szCs w:val="18"/>
          <w:lang w:val="es-ES_tradnl"/>
        </w:rPr>
        <w:tab/>
      </w:r>
      <w:r w:rsidRPr="006530AB">
        <w:rPr>
          <w:rStyle w:val="Refdenotaalpie"/>
          <w:szCs w:val="18"/>
        </w:rPr>
        <w:footnoteRef/>
      </w:r>
      <w:r w:rsidRPr="006530AB">
        <w:rPr>
          <w:szCs w:val="18"/>
          <w:lang w:val="es-ES_tradnl"/>
        </w:rPr>
        <w:t xml:space="preserve"> </w:t>
      </w:r>
      <w:r w:rsidRPr="006530AB">
        <w:rPr>
          <w:szCs w:val="18"/>
          <w:lang w:val="es-ES_tradnl"/>
        </w:rPr>
        <w:tab/>
      </w:r>
      <w:r w:rsidRPr="006530AB">
        <w:rPr>
          <w:lang w:val="es-ES_tradnl"/>
        </w:rPr>
        <w:t>Véase</w:t>
      </w:r>
      <w:r w:rsidRPr="006530AB">
        <w:rPr>
          <w:szCs w:val="18"/>
          <w:lang w:val="es-ES_tradnl"/>
        </w:rPr>
        <w:t xml:space="preserve"> la comunicación conjunta de Autistic Minority International, Alliance Autiste (Francia) y Enthinderungsselbsthilfe von Autisten für Autisten (und Angehörige) (ESH) (Alemania).</w:t>
      </w:r>
    </w:p>
  </w:footnote>
  <w:footnote w:id="29">
    <w:p w:rsidR="00762EF9" w:rsidRPr="006530AB" w:rsidRDefault="00762EF9" w:rsidP="00762EF9">
      <w:pPr>
        <w:pStyle w:val="Textonotapie"/>
        <w:widowControl w:val="0"/>
        <w:suppressAutoHyphens/>
        <w:rPr>
          <w:szCs w:val="18"/>
          <w:lang w:val="es-ES_tradnl"/>
        </w:rPr>
      </w:pPr>
      <w:r>
        <w:rPr>
          <w:color w:val="000000"/>
          <w:szCs w:val="18"/>
          <w:lang w:val="es-ES_tradnl"/>
        </w:rPr>
        <w:tab/>
      </w:r>
      <w:r w:rsidRPr="006530AB">
        <w:rPr>
          <w:rStyle w:val="Refdenotaalpie"/>
          <w:szCs w:val="18"/>
        </w:rPr>
        <w:footnoteRef/>
      </w:r>
      <w:r>
        <w:rPr>
          <w:color w:val="000000"/>
          <w:szCs w:val="18"/>
          <w:lang w:val="es-ES_tradnl"/>
        </w:rPr>
        <w:tab/>
      </w:r>
      <w:r w:rsidRPr="006530AB">
        <w:rPr>
          <w:szCs w:val="18"/>
          <w:lang w:val="es-ES_tradnl"/>
        </w:rPr>
        <w:t>Véase, por ejemplo, CRPD/C/AUT/CO/1.</w:t>
      </w:r>
    </w:p>
  </w:footnote>
  <w:footnote w:id="30">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lang w:val="es-ES_tradnl"/>
        </w:rPr>
        <w:tab/>
      </w:r>
      <w:r w:rsidRPr="006530AB">
        <w:t>Véase</w:t>
      </w:r>
      <w:r w:rsidRPr="006530AB">
        <w:rPr>
          <w:szCs w:val="18"/>
          <w:lang w:val="es-ES_tradnl"/>
        </w:rPr>
        <w:t>, por ejemplo, OMS y Banco Mundial, Informe Mundial, pág. 142.</w:t>
      </w:r>
    </w:p>
  </w:footnote>
  <w:footnote w:id="31">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La red European Network on Independent Living, por ejemplo, ha propuesto una definición de asistencia personal que se puede encontrar en www.enil.eu/policy/.</w:t>
      </w:r>
    </w:p>
  </w:footnote>
  <w:footnote w:id="32">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r>
      <w:r w:rsidRPr="006530AB">
        <w:t>El</w:t>
      </w:r>
      <w:r w:rsidRPr="006530AB">
        <w:rPr>
          <w:szCs w:val="18"/>
          <w:lang w:val="es-ES_tradnl"/>
        </w:rPr>
        <w:t xml:space="preserve"> Comité sobre los Derechos de las Personas con Discapacidad ha expresado su preocupación por la vinculación entre el derecho al disfrute de servicios sociales y un grado específico de discapacidad. Véase, por ejemplo, CRPD/C/ESP/CO/1.</w:t>
      </w:r>
    </w:p>
  </w:footnote>
  <w:footnote w:id="33">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Véanse, por ejemplo, las observaciones finales del Comité sobre Australia (CRPD/C/AUS/CO/1), Austria (CRPD/C/AUT/CO/1), la Argentina (CRPD/C/ARG/CO/1), China (CRPD/C/CHN/CO/1 y Corr.1), Hungría (CRPD/C/HUN/CO/1), el Perú (CRPD/C/PER/CO/1), España (CRPD/C/ESP/CO/1) y la República de Corea (CRPD/C/KOR/CO/1).</w:t>
      </w:r>
    </w:p>
  </w:footnote>
  <w:footnote w:id="34">
    <w:p w:rsidR="00762EF9" w:rsidRPr="006530AB" w:rsidRDefault="00762EF9" w:rsidP="00762EF9">
      <w:pPr>
        <w:pStyle w:val="Textonotapie"/>
        <w:widowControl w:val="0"/>
        <w:suppressAutoHyphens/>
        <w:rPr>
          <w:szCs w:val="18"/>
          <w:lang w:val="en-US"/>
        </w:rPr>
      </w:pPr>
      <w:r w:rsidRPr="00C15EE4">
        <w:rPr>
          <w:szCs w:val="18"/>
        </w:rPr>
        <w:tab/>
      </w:r>
      <w:r w:rsidRPr="006530AB">
        <w:rPr>
          <w:rStyle w:val="Refdenotaalpie"/>
          <w:szCs w:val="18"/>
        </w:rPr>
        <w:footnoteRef/>
      </w:r>
      <w:r w:rsidRPr="006530AB">
        <w:rPr>
          <w:szCs w:val="18"/>
          <w:lang w:val="en-US"/>
        </w:rPr>
        <w:t xml:space="preserve"> </w:t>
      </w:r>
      <w:r w:rsidRPr="006530AB">
        <w:rPr>
          <w:szCs w:val="18"/>
          <w:lang w:val="en-US"/>
        </w:rPr>
        <w:tab/>
        <w:t>Véase Harald Hauben y otros, "Assessing the impact of European governments</w:t>
      </w:r>
      <w:r>
        <w:rPr>
          <w:szCs w:val="18"/>
          <w:lang w:val="en-US"/>
        </w:rPr>
        <w:t>'</w:t>
      </w:r>
      <w:r w:rsidRPr="006530AB">
        <w:rPr>
          <w:szCs w:val="18"/>
          <w:lang w:val="en-US"/>
        </w:rPr>
        <w:t xml:space="preserve"> austerity plans on the rights of people with disabilities" (European Foundation Centre, 2012).</w:t>
      </w:r>
    </w:p>
  </w:footnote>
  <w:footnote w:id="35">
    <w:p w:rsidR="00762EF9" w:rsidRPr="006530AB" w:rsidRDefault="00762EF9" w:rsidP="00762EF9">
      <w:pPr>
        <w:pStyle w:val="Textonotapie"/>
        <w:widowControl w:val="0"/>
        <w:suppressAutoHyphens/>
        <w:rPr>
          <w:szCs w:val="18"/>
          <w:lang w:val="es-ES_tradnl"/>
        </w:rPr>
      </w:pPr>
      <w:r w:rsidRPr="00C15EE4">
        <w:rPr>
          <w:szCs w:val="18"/>
          <w:lang w:val="en-US"/>
        </w:rPr>
        <w:tab/>
      </w:r>
      <w:r w:rsidRPr="006530AB">
        <w:rPr>
          <w:rStyle w:val="Refdenotaalpie"/>
          <w:szCs w:val="18"/>
        </w:rPr>
        <w:footnoteRef/>
      </w:r>
      <w:r w:rsidRPr="006530AB">
        <w:rPr>
          <w:szCs w:val="18"/>
        </w:rPr>
        <w:t xml:space="preserve"> </w:t>
      </w:r>
      <w:r w:rsidRPr="006530AB">
        <w:rPr>
          <w:szCs w:val="18"/>
          <w:lang w:val="es-ES_tradnl"/>
        </w:rPr>
        <w:tab/>
        <w:t>Véase por ejemplo Comité de Derechos Económicos, Sociales y Culturales, observación general Nº</w:t>
      </w:r>
      <w:r>
        <w:rPr>
          <w:szCs w:val="18"/>
          <w:lang w:val="es-ES_tradnl"/>
        </w:rPr>
        <w:t> </w:t>
      </w:r>
      <w:r w:rsidRPr="006530AB">
        <w:rPr>
          <w:szCs w:val="18"/>
          <w:lang w:val="es-ES_tradnl"/>
        </w:rPr>
        <w:t>19 (2007), sobre el derecho a la seguridad social, párrs. 42 y 64.</w:t>
      </w:r>
    </w:p>
  </w:footnote>
  <w:footnote w:id="36">
    <w:p w:rsidR="00762EF9" w:rsidRPr="006530AB" w:rsidRDefault="00762EF9" w:rsidP="00762EF9">
      <w:pPr>
        <w:pStyle w:val="Textonotapie"/>
        <w:widowControl w:val="0"/>
        <w:suppressAutoHyphens/>
        <w:rPr>
          <w:szCs w:val="18"/>
          <w:lang w:val="es-ES_tradnl"/>
        </w:rPr>
      </w:pPr>
      <w:r>
        <w:rPr>
          <w:szCs w:val="18"/>
          <w:lang w:val="es-ES_tradnl"/>
        </w:rPr>
        <w:tab/>
      </w:r>
      <w:r w:rsidRPr="006530AB">
        <w:rPr>
          <w:rStyle w:val="Refdenotaalpie"/>
          <w:szCs w:val="18"/>
        </w:rPr>
        <w:footnoteRef/>
      </w:r>
      <w:r w:rsidRPr="006530AB">
        <w:rPr>
          <w:szCs w:val="18"/>
          <w:lang w:val="es-ES_tradnl"/>
        </w:rPr>
        <w:t xml:space="preserve"> </w:t>
      </w:r>
      <w:r w:rsidRPr="006530AB">
        <w:rPr>
          <w:szCs w:val="18"/>
          <w:lang w:val="es-ES_tradnl"/>
        </w:rPr>
        <w:tab/>
        <w:t>En sus informes anteriores al Consejo de Derechos Humanos, el ACNUDH ha tratado de la inclusión en el empleo (A/HRC/22/25) y de la educación inclusiva (A/HRC/25/29 y Corr.1).</w:t>
      </w:r>
    </w:p>
  </w:footnote>
  <w:footnote w:id="37">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Pr>
          <w:szCs w:val="18"/>
        </w:rPr>
        <w:tab/>
      </w:r>
      <w:r w:rsidRPr="006530AB">
        <w:rPr>
          <w:szCs w:val="18"/>
          <w:lang w:val="es-ES_tradnl"/>
        </w:rPr>
        <w:t xml:space="preserve">Véase la definición en Oficina Internacional del Trabajo, Organización de las Naciones Unidas para la Educación, la Ciencia y la Cultura y OMS, </w:t>
      </w:r>
      <w:r w:rsidRPr="006530AB">
        <w:rPr>
          <w:i/>
          <w:iCs/>
          <w:szCs w:val="18"/>
          <w:lang w:val="es-ES_tradnl"/>
        </w:rPr>
        <w:t>RBC: Una estrategia para la rehabilitación, la igualdad de oportunidades, la reducción de la pobreza y la integración social de las personas con discapacidad</w:t>
      </w:r>
      <w:r w:rsidRPr="006530AB">
        <w:rPr>
          <w:szCs w:val="18"/>
          <w:lang w:val="es-ES_tradnl"/>
        </w:rPr>
        <w:t>, Documento de Posición Conjunta, 2004.</w:t>
      </w:r>
    </w:p>
  </w:footnote>
  <w:footnote w:id="38">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Véase el análisis sobre la elección y el control en la sección III.A del presente estudio.</w:t>
      </w:r>
    </w:p>
  </w:footnote>
  <w:footnote w:id="39">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Véase E/2012/51 y Comité de Derechos Económicos, Sociales y Culturales, observación general Nº 6 (1995) sobre los derechos económicos, sociales y culturales de las personas mayores.</w:t>
      </w:r>
    </w:p>
  </w:footnote>
  <w:footnote w:id="40">
    <w:p w:rsidR="00762EF9" w:rsidRPr="006530AB" w:rsidRDefault="00762EF9" w:rsidP="00762EF9">
      <w:pPr>
        <w:pStyle w:val="Textonotapie"/>
        <w:widowControl w:val="0"/>
        <w:suppressAutoHyphens/>
        <w:rPr>
          <w:szCs w:val="18"/>
          <w:lang w:val="es-ES_tradnl"/>
        </w:rPr>
      </w:pPr>
      <w:r>
        <w:rPr>
          <w:szCs w:val="18"/>
          <w:lang w:val="es-ES_tradnl"/>
        </w:rPr>
        <w:tab/>
      </w:r>
      <w:r w:rsidRPr="006530AB">
        <w:rPr>
          <w:rStyle w:val="Refdenotaalpie"/>
          <w:szCs w:val="18"/>
        </w:rPr>
        <w:footnoteRef/>
      </w:r>
      <w:r w:rsidRPr="006530AB">
        <w:rPr>
          <w:szCs w:val="18"/>
          <w:lang w:val="es-ES_tradnl"/>
        </w:rPr>
        <w:t xml:space="preserve"> </w:t>
      </w:r>
      <w:r w:rsidRPr="006530AB">
        <w:rPr>
          <w:szCs w:val="18"/>
          <w:lang w:val="es-ES_tradnl"/>
        </w:rPr>
        <w:tab/>
        <w:t xml:space="preserve">Véase, por ejemplo, Inclusion International, </w:t>
      </w:r>
      <w:r w:rsidRPr="006530AB">
        <w:rPr>
          <w:i/>
          <w:iCs/>
          <w:szCs w:val="18"/>
          <w:lang w:val="es-ES_tradnl"/>
        </w:rPr>
        <w:t>Inclusive Communities</w:t>
      </w:r>
      <w:r w:rsidRPr="006530AB">
        <w:rPr>
          <w:szCs w:val="18"/>
          <w:lang w:val="es-ES_tradnl"/>
        </w:rPr>
        <w:t>, cap. 5.</w:t>
      </w:r>
    </w:p>
  </w:footnote>
  <w:footnote w:id="41">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Incluida la realización de ajustes razonables, de conformidad con los artículos 2 y 5 de la Convención sobre los Derechos de las Personas con Discapacidad.</w:t>
      </w:r>
    </w:p>
  </w:footnote>
  <w:footnote w:id="42">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t>Véase el estudio temático del ACNUDH sobre la estructura y la función de los mecanismos nacionales de aplicación y vigilancia del cumplimiento de la Convención sobre los Derechos de las Personas con Discapacidad (A/HRC/13/29).</w:t>
      </w:r>
    </w:p>
  </w:footnote>
  <w:footnote w:id="43">
    <w:p w:rsidR="00762EF9" w:rsidRPr="006530AB" w:rsidRDefault="00762EF9" w:rsidP="00762EF9">
      <w:pPr>
        <w:pStyle w:val="Textonotapie"/>
        <w:widowControl w:val="0"/>
        <w:suppressAutoHyphens/>
        <w:rPr>
          <w:szCs w:val="18"/>
          <w:lang w:val="es-ES_tradnl"/>
        </w:rPr>
      </w:pPr>
      <w:r>
        <w:rPr>
          <w:szCs w:val="18"/>
        </w:rPr>
        <w:tab/>
      </w:r>
      <w:r w:rsidRPr="006530AB">
        <w:rPr>
          <w:rStyle w:val="Refdenotaalpie"/>
          <w:szCs w:val="18"/>
        </w:rPr>
        <w:footnoteRef/>
      </w:r>
      <w:r w:rsidRPr="006530AB">
        <w:rPr>
          <w:szCs w:val="18"/>
        </w:rPr>
        <w:t xml:space="preserve"> </w:t>
      </w:r>
      <w:r w:rsidRPr="006530AB">
        <w:rPr>
          <w:szCs w:val="18"/>
          <w:lang w:val="es-ES_tradnl"/>
        </w:rPr>
        <w:tab/>
      </w:r>
      <w:r w:rsidRPr="006530AB">
        <w:t>Informe</w:t>
      </w:r>
      <w:r w:rsidRPr="006530AB">
        <w:rPr>
          <w:szCs w:val="18"/>
          <w:lang w:val="es-ES_tradnl"/>
        </w:rPr>
        <w:t xml:space="preserve"> del Relator Especial sobre discapacidad de la Comisión de Desarrollo Social sobre la supervisión de la aplicación de las Normas Uniformes sobre la </w:t>
      </w:r>
      <w:r>
        <w:rPr>
          <w:szCs w:val="18"/>
          <w:lang w:val="es-ES_tradnl"/>
        </w:rPr>
        <w:t>I</w:t>
      </w:r>
      <w:r w:rsidRPr="006530AB">
        <w:rPr>
          <w:szCs w:val="18"/>
          <w:lang w:val="es-ES_tradnl"/>
        </w:rPr>
        <w:t xml:space="preserve">gualdad de </w:t>
      </w:r>
      <w:r>
        <w:rPr>
          <w:szCs w:val="18"/>
          <w:lang w:val="es-ES_tradnl"/>
        </w:rPr>
        <w:t>O</w:t>
      </w:r>
      <w:r w:rsidRPr="006530AB">
        <w:rPr>
          <w:szCs w:val="18"/>
          <w:lang w:val="es-ES_tradnl"/>
        </w:rPr>
        <w:t xml:space="preserve">portunidades para las </w:t>
      </w:r>
      <w:r>
        <w:rPr>
          <w:szCs w:val="18"/>
          <w:lang w:val="es-ES_tradnl"/>
        </w:rPr>
        <w:t>P</w:t>
      </w:r>
      <w:r w:rsidRPr="006530AB">
        <w:rPr>
          <w:szCs w:val="18"/>
          <w:lang w:val="es-ES_tradnl"/>
        </w:rPr>
        <w:t xml:space="preserve">ersonas con </w:t>
      </w:r>
      <w:r>
        <w:rPr>
          <w:szCs w:val="18"/>
          <w:lang w:val="es-ES_tradnl"/>
        </w:rPr>
        <w:t>D</w:t>
      </w:r>
      <w:r w:rsidRPr="006530AB">
        <w:rPr>
          <w:szCs w:val="18"/>
          <w:lang w:val="es-ES_tradnl"/>
        </w:rPr>
        <w:t>iscapacidad (E/CN.5/2013/10).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69" w:rsidRPr="003500CA" w:rsidRDefault="002C6269">
    <w:pPr>
      <w:pStyle w:val="Encabezado"/>
    </w:pPr>
    <w:r>
      <w:t>A/HRC/28/37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69" w:rsidRPr="003500CA" w:rsidRDefault="002C6269" w:rsidP="003500CA">
    <w:pPr>
      <w:pStyle w:val="Encabezado"/>
      <w:jc w:val="right"/>
    </w:pPr>
    <w:r>
      <w:t>A/HRC/28/37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FA"/>
    <w:rsid w:val="00033EE1"/>
    <w:rsid w:val="00042B72"/>
    <w:rsid w:val="000558BD"/>
    <w:rsid w:val="000661E0"/>
    <w:rsid w:val="00075361"/>
    <w:rsid w:val="000B57E7"/>
    <w:rsid w:val="000B6373"/>
    <w:rsid w:val="000F09DF"/>
    <w:rsid w:val="000F61B2"/>
    <w:rsid w:val="001075E9"/>
    <w:rsid w:val="00180183"/>
    <w:rsid w:val="0018024D"/>
    <w:rsid w:val="0018649F"/>
    <w:rsid w:val="00196389"/>
    <w:rsid w:val="001B3EF6"/>
    <w:rsid w:val="001C64D0"/>
    <w:rsid w:val="001C7A89"/>
    <w:rsid w:val="001D19F8"/>
    <w:rsid w:val="00207483"/>
    <w:rsid w:val="00214DAA"/>
    <w:rsid w:val="002A2EFC"/>
    <w:rsid w:val="002C0E18"/>
    <w:rsid w:val="002C3E7A"/>
    <w:rsid w:val="002C6269"/>
    <w:rsid w:val="002D5AAC"/>
    <w:rsid w:val="002F405F"/>
    <w:rsid w:val="002F7EEC"/>
    <w:rsid w:val="00301299"/>
    <w:rsid w:val="00307FB6"/>
    <w:rsid w:val="00317339"/>
    <w:rsid w:val="00322004"/>
    <w:rsid w:val="0033753A"/>
    <w:rsid w:val="003402C2"/>
    <w:rsid w:val="003500CA"/>
    <w:rsid w:val="00381C24"/>
    <w:rsid w:val="003958D0"/>
    <w:rsid w:val="003B00E5"/>
    <w:rsid w:val="003E78D2"/>
    <w:rsid w:val="00407B78"/>
    <w:rsid w:val="00424203"/>
    <w:rsid w:val="00452493"/>
    <w:rsid w:val="00454E07"/>
    <w:rsid w:val="00492891"/>
    <w:rsid w:val="0050108D"/>
    <w:rsid w:val="00504213"/>
    <w:rsid w:val="00510F67"/>
    <w:rsid w:val="00513081"/>
    <w:rsid w:val="00517901"/>
    <w:rsid w:val="00526683"/>
    <w:rsid w:val="005709E0"/>
    <w:rsid w:val="00572E19"/>
    <w:rsid w:val="005961C8"/>
    <w:rsid w:val="005D7914"/>
    <w:rsid w:val="005E2B41"/>
    <w:rsid w:val="005F0B42"/>
    <w:rsid w:val="006716FA"/>
    <w:rsid w:val="00681A10"/>
    <w:rsid w:val="00684AED"/>
    <w:rsid w:val="006A1ED8"/>
    <w:rsid w:val="006B7203"/>
    <w:rsid w:val="006C2031"/>
    <w:rsid w:val="006D461A"/>
    <w:rsid w:val="006F35EE"/>
    <w:rsid w:val="007021FF"/>
    <w:rsid w:val="00711F0E"/>
    <w:rsid w:val="00712895"/>
    <w:rsid w:val="00757357"/>
    <w:rsid w:val="00762EF9"/>
    <w:rsid w:val="007C422C"/>
    <w:rsid w:val="00825F8D"/>
    <w:rsid w:val="008302BF"/>
    <w:rsid w:val="00834B71"/>
    <w:rsid w:val="0083539F"/>
    <w:rsid w:val="00845FE5"/>
    <w:rsid w:val="0085284A"/>
    <w:rsid w:val="0086445C"/>
    <w:rsid w:val="00865263"/>
    <w:rsid w:val="00894693"/>
    <w:rsid w:val="008A08D7"/>
    <w:rsid w:val="008B6909"/>
    <w:rsid w:val="008D5A50"/>
    <w:rsid w:val="00906890"/>
    <w:rsid w:val="00911BE4"/>
    <w:rsid w:val="00951972"/>
    <w:rsid w:val="009608F3"/>
    <w:rsid w:val="009F0B95"/>
    <w:rsid w:val="009F4497"/>
    <w:rsid w:val="009F4C26"/>
    <w:rsid w:val="00A312BC"/>
    <w:rsid w:val="00A42409"/>
    <w:rsid w:val="00A84021"/>
    <w:rsid w:val="00A84D35"/>
    <w:rsid w:val="00A86266"/>
    <w:rsid w:val="00A917B3"/>
    <w:rsid w:val="00AB4B51"/>
    <w:rsid w:val="00AD60DB"/>
    <w:rsid w:val="00B10CC7"/>
    <w:rsid w:val="00B539E7"/>
    <w:rsid w:val="00B62458"/>
    <w:rsid w:val="00BC18B2"/>
    <w:rsid w:val="00BC1E65"/>
    <w:rsid w:val="00BD33EE"/>
    <w:rsid w:val="00C106D6"/>
    <w:rsid w:val="00C14471"/>
    <w:rsid w:val="00C51B1C"/>
    <w:rsid w:val="00C60F0C"/>
    <w:rsid w:val="00C70636"/>
    <w:rsid w:val="00C757E6"/>
    <w:rsid w:val="00C805C9"/>
    <w:rsid w:val="00C92939"/>
    <w:rsid w:val="00CA1679"/>
    <w:rsid w:val="00CB151C"/>
    <w:rsid w:val="00CB7D56"/>
    <w:rsid w:val="00CE5A1A"/>
    <w:rsid w:val="00CF55F6"/>
    <w:rsid w:val="00D33D63"/>
    <w:rsid w:val="00D55CF9"/>
    <w:rsid w:val="00D90138"/>
    <w:rsid w:val="00DD5E30"/>
    <w:rsid w:val="00E136D2"/>
    <w:rsid w:val="00E25C34"/>
    <w:rsid w:val="00E73F76"/>
    <w:rsid w:val="00EA2C9F"/>
    <w:rsid w:val="00ED0BDA"/>
    <w:rsid w:val="00EF1360"/>
    <w:rsid w:val="00EF3220"/>
    <w:rsid w:val="00F135A2"/>
    <w:rsid w:val="00F456DA"/>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83539F"/>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83539F"/>
    <w:rPr>
      <w:rFonts w:ascii="Tahoma" w:hAnsi="Tahoma" w:cs="Tahoma"/>
      <w:sz w:val="16"/>
      <w:szCs w:val="16"/>
    </w:rPr>
  </w:style>
  <w:style w:type="character" w:customStyle="1" w:styleId="TextonotapieCar">
    <w:name w:val="Texto nota pie Car"/>
    <w:aliases w:val="5_G Car"/>
    <w:link w:val="Textonotapie"/>
    <w:rsid w:val="00762EF9"/>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83539F"/>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83539F"/>
    <w:rPr>
      <w:rFonts w:ascii="Tahoma" w:hAnsi="Tahoma" w:cs="Tahoma"/>
      <w:sz w:val="16"/>
      <w:szCs w:val="16"/>
    </w:rPr>
  </w:style>
  <w:style w:type="character" w:customStyle="1" w:styleId="TextonotapieCar">
    <w:name w:val="Texto nota pie Car"/>
    <w:aliases w:val="5_G Car"/>
    <w:link w:val="Textonotapie"/>
    <w:rsid w:val="00762EF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850">
      <w:bodyDiv w:val="1"/>
      <w:marLeft w:val="0"/>
      <w:marRight w:val="0"/>
      <w:marTop w:val="0"/>
      <w:marBottom w:val="0"/>
      <w:divBdr>
        <w:top w:val="none" w:sz="0" w:space="0" w:color="auto"/>
        <w:left w:val="none" w:sz="0" w:space="0" w:color="auto"/>
        <w:bottom w:val="none" w:sz="0" w:space="0" w:color="auto"/>
        <w:right w:val="none" w:sz="0" w:space="0" w:color="auto"/>
      </w:divBdr>
    </w:div>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5889E5-9BFD-42A4-8445-E819B29833C7}"/>
</file>

<file path=customXml/itemProps2.xml><?xml version="1.0" encoding="utf-8"?>
<ds:datastoreItem xmlns:ds="http://schemas.openxmlformats.org/officeDocument/2006/customXml" ds:itemID="{D1D5C966-158E-4A55-8A07-E5A7D1258426}"/>
</file>

<file path=customXml/itemProps3.xml><?xml version="1.0" encoding="utf-8"?>
<ds:datastoreItem xmlns:ds="http://schemas.openxmlformats.org/officeDocument/2006/customXml" ds:itemID="{4001E3F2-56AA-48BE-9F0B-DD545F344ACB}"/>
</file>

<file path=docProps/app.xml><?xml version="1.0" encoding="utf-8"?>
<Properties xmlns="http://schemas.openxmlformats.org/officeDocument/2006/extended-properties" xmlns:vt="http://schemas.openxmlformats.org/officeDocument/2006/docPropsVTypes">
  <Template>A.dotm</Template>
  <TotalTime>0</TotalTime>
  <Pages>19</Pages>
  <Words>8859</Words>
  <Characters>50502</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A/HRC/28/37</vt:lpstr>
    </vt:vector>
  </TitlesOfParts>
  <Company>DCM</Company>
  <LinksUpToDate>false</LinksUpToDate>
  <CharactersWithSpaces>59243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Thematic study on the right of persons with disabilities to live independently and be included in the community in Spanish</dc:title>
  <dc:subject>FINAL</dc:subject>
  <dc:creator>Horten</dc:creator>
  <cp:keywords/>
  <dc:description/>
  <cp:lastModifiedBy>Horten</cp:lastModifiedBy>
  <cp:revision>2</cp:revision>
  <cp:lastPrinted>2015-01-15T16:09:00Z</cp:lastPrinted>
  <dcterms:created xsi:type="dcterms:W3CDTF">2015-01-15T16:12:00Z</dcterms:created>
  <dcterms:modified xsi:type="dcterms:W3CDTF">2015-01-15T16:12:00Z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13300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