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0C0C5B">
                <w:t>29/18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577BD2">
              <w:fldChar w:fldCharType="separate"/>
            </w:r>
            <w:r>
              <w:fldChar w:fldCharType="end"/>
            </w:r>
            <w:bookmarkEnd w:id="0"/>
          </w:p>
          <w:p w:rsidR="003A0687" w:rsidRDefault="000C0C5B" w:rsidP="006730C4">
            <w:pPr>
              <w:rPr>
                <w:lang w:val="en-US"/>
              </w:rPr>
            </w:pPr>
            <w:r>
              <w:rPr>
                <w:lang w:val="en-US"/>
              </w:rPr>
              <w:t>29 April 2015</w:t>
            </w:r>
            <w:r w:rsidR="003A0687">
              <w:rPr>
                <w:lang w:val="en-US"/>
              </w:rPr>
              <w:fldChar w:fldCharType="begin"/>
            </w:r>
            <w:r w:rsidR="003A0687">
              <w:rPr>
                <w:lang w:val="en-US"/>
              </w:rPr>
              <w:instrText xml:space="preserve"> FILLIN  "Введите дату документа" \* MERGEFORMAT </w:instrText>
            </w:r>
            <w:r w:rsidR="003A0687"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577BD2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0C0C5B" w:rsidRPr="00756D86" w:rsidRDefault="00756D86" w:rsidP="000C0C5B">
      <w:pPr>
        <w:rPr>
          <w:b/>
        </w:rPr>
      </w:pPr>
      <w:r>
        <w:rPr>
          <w:b/>
        </w:rPr>
        <w:t>Двадцать девятая сессия</w:t>
      </w:r>
    </w:p>
    <w:p w:rsidR="000C0C5B" w:rsidRPr="00756D86" w:rsidRDefault="00756D86" w:rsidP="000C0C5B">
      <w:r>
        <w:t>Пункты 2 и 3 повестки дня</w:t>
      </w:r>
    </w:p>
    <w:p w:rsidR="000C0C5B" w:rsidRPr="00756D86" w:rsidRDefault="000C0C5B" w:rsidP="000C0C5B">
      <w:pPr>
        <w:rPr>
          <w:b/>
        </w:rPr>
      </w:pPr>
      <w:r w:rsidRPr="00756D86">
        <w:rPr>
          <w:b/>
        </w:rPr>
        <w:t xml:space="preserve">Ежегодный доклад Верховного комиссара </w:t>
      </w:r>
      <w:r w:rsidR="00756D86">
        <w:rPr>
          <w:b/>
        </w:rPr>
        <w:br/>
      </w:r>
      <w:r w:rsidRPr="00756D86">
        <w:rPr>
          <w:b/>
        </w:rPr>
        <w:t xml:space="preserve">Организации Объединенных Наций </w:t>
      </w:r>
      <w:bookmarkStart w:id="2" w:name="_GoBack"/>
      <w:bookmarkEnd w:id="2"/>
      <w:r w:rsidR="00756D86">
        <w:rPr>
          <w:b/>
        </w:rPr>
        <w:br/>
      </w:r>
      <w:r w:rsidRPr="00756D86">
        <w:rPr>
          <w:b/>
        </w:rPr>
        <w:t xml:space="preserve">по правам человека и доклады Управления </w:t>
      </w:r>
      <w:r w:rsidR="00756D86">
        <w:rPr>
          <w:b/>
        </w:rPr>
        <w:br/>
      </w:r>
      <w:r w:rsidRPr="00756D86">
        <w:rPr>
          <w:b/>
        </w:rPr>
        <w:t>Верховного к</w:t>
      </w:r>
      <w:r w:rsidRPr="00756D86">
        <w:rPr>
          <w:b/>
        </w:rPr>
        <w:t>о</w:t>
      </w:r>
      <w:r w:rsidRPr="00756D86">
        <w:rPr>
          <w:b/>
        </w:rPr>
        <w:t>миссара и Генерального секретаря</w:t>
      </w:r>
    </w:p>
    <w:p w:rsidR="000C0C5B" w:rsidRPr="00756D86" w:rsidRDefault="000C0C5B" w:rsidP="00756D86">
      <w:pPr>
        <w:spacing w:before="120"/>
        <w:rPr>
          <w:b/>
        </w:rPr>
      </w:pPr>
      <w:r w:rsidRPr="00756D86">
        <w:rPr>
          <w:b/>
        </w:rPr>
        <w:t xml:space="preserve">Поощрение и защита всех прав человека, </w:t>
      </w:r>
      <w:r w:rsidR="00756D86">
        <w:rPr>
          <w:b/>
        </w:rPr>
        <w:br/>
      </w:r>
      <w:r w:rsidRPr="00756D86">
        <w:rPr>
          <w:b/>
        </w:rPr>
        <w:t>гражданских</w:t>
      </w:r>
      <w:r w:rsidR="00756D86">
        <w:rPr>
          <w:b/>
        </w:rPr>
        <w:t xml:space="preserve">, </w:t>
      </w:r>
      <w:r w:rsidRPr="00756D86">
        <w:rPr>
          <w:b/>
        </w:rPr>
        <w:t xml:space="preserve">политических, экономических, </w:t>
      </w:r>
      <w:r w:rsidR="00756D86">
        <w:rPr>
          <w:b/>
        </w:rPr>
        <w:br/>
      </w:r>
      <w:r w:rsidRPr="00756D86">
        <w:rPr>
          <w:b/>
        </w:rPr>
        <w:t>социал</w:t>
      </w:r>
      <w:r w:rsidRPr="00756D86">
        <w:rPr>
          <w:b/>
        </w:rPr>
        <w:t>ь</w:t>
      </w:r>
      <w:r w:rsidRPr="00756D86">
        <w:rPr>
          <w:b/>
        </w:rPr>
        <w:t xml:space="preserve">ных и культурных прав, включая </w:t>
      </w:r>
      <w:r w:rsidR="00756D86">
        <w:rPr>
          <w:b/>
        </w:rPr>
        <w:br/>
      </w:r>
      <w:r w:rsidRPr="00756D86">
        <w:rPr>
          <w:b/>
        </w:rPr>
        <w:t>право на развитие</w:t>
      </w:r>
    </w:p>
    <w:p w:rsidR="000C0C5B" w:rsidRPr="000C0C5B" w:rsidRDefault="000C0C5B" w:rsidP="00756D86">
      <w:pPr>
        <w:pStyle w:val="HChGR"/>
      </w:pPr>
      <w:r w:rsidRPr="000C0C5B">
        <w:tab/>
      </w:r>
      <w:r w:rsidRPr="000C0C5B">
        <w:tab/>
        <w:t>Целесообразность создания глобального фонда для</w:t>
      </w:r>
      <w:r w:rsidR="00727306">
        <w:t> </w:t>
      </w:r>
      <w:r w:rsidRPr="000C0C5B">
        <w:t>укрепления потенциала заинтер</w:t>
      </w:r>
      <w:r w:rsidRPr="000C0C5B">
        <w:t>е</w:t>
      </w:r>
      <w:r w:rsidRPr="000C0C5B">
        <w:t>сованных сторон по осуществлению Руководящих принципов предпринимательской деятельности в аспекте прав человека</w:t>
      </w:r>
    </w:p>
    <w:p w:rsidR="000C0C5B" w:rsidRDefault="000C0C5B" w:rsidP="00756D86">
      <w:pPr>
        <w:pStyle w:val="H1GR"/>
      </w:pPr>
      <w:r w:rsidRPr="000C0C5B">
        <w:tab/>
      </w:r>
      <w:r w:rsidR="00756D86">
        <w:tab/>
      </w:r>
      <w:r w:rsidRPr="000C0C5B">
        <w:t>Доклад Верховного комиссара Организации Объединенных Наций по правам человека</w:t>
      </w:r>
    </w:p>
    <w:tbl>
      <w:tblPr>
        <w:tblStyle w:val="a8"/>
        <w:tblW w:w="0" w:type="auto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855"/>
      </w:tblGrid>
      <w:tr w:rsidR="00756D86" w:rsidTr="00756D86">
        <w:tc>
          <w:tcPr>
            <w:tcW w:w="9855" w:type="dxa"/>
            <w:shd w:val="clear" w:color="auto" w:fill="auto"/>
          </w:tcPr>
          <w:p w:rsidR="00756D86" w:rsidRPr="00756D86" w:rsidRDefault="00756D86" w:rsidP="00756D86">
            <w:pPr>
              <w:suppressAutoHyphens/>
              <w:spacing w:before="240" w:after="120"/>
              <w:ind w:left="255"/>
              <w:rPr>
                <w:i/>
                <w:sz w:val="24"/>
                <w:lang w:eastAsia="ru-RU"/>
              </w:rPr>
            </w:pPr>
            <w:r w:rsidRPr="00756D86">
              <w:rPr>
                <w:i/>
                <w:sz w:val="24"/>
                <w:lang w:eastAsia="ru-RU"/>
              </w:rPr>
              <w:t>Резюме</w:t>
            </w:r>
          </w:p>
        </w:tc>
      </w:tr>
      <w:tr w:rsidR="00756D86" w:rsidTr="00F45D40">
        <w:tc>
          <w:tcPr>
            <w:tcW w:w="9855" w:type="dxa"/>
            <w:tcBorders>
              <w:bottom w:val="nil"/>
            </w:tcBorders>
            <w:shd w:val="clear" w:color="auto" w:fill="auto"/>
          </w:tcPr>
          <w:p w:rsidR="00756D86" w:rsidRDefault="00B35C22" w:rsidP="00756D86">
            <w:pPr>
              <w:pStyle w:val="SingleTxtGR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proofErr w:type="gramStart"/>
            <w:r w:rsidR="00756D86" w:rsidRPr="00756D86">
              <w:rPr>
                <w:lang w:eastAsia="ru-RU"/>
              </w:rPr>
              <w:t>Совет по правам человека в резолюции 26/22 просил Верховного коми</w:t>
            </w:r>
            <w:r w:rsidR="00756D86" w:rsidRPr="00756D86">
              <w:rPr>
                <w:lang w:eastAsia="ru-RU"/>
              </w:rPr>
              <w:t>с</w:t>
            </w:r>
            <w:r w:rsidR="00756D86" w:rsidRPr="00756D86">
              <w:rPr>
                <w:lang w:eastAsia="ru-RU"/>
              </w:rPr>
              <w:t>сара Организации Объединенных Наций по правам человека консультировать государства и соответствующие заинтересованные стороны с целью разработки конкретных вариантов и предложений, направленных на принятие обоснова</w:t>
            </w:r>
            <w:r w:rsidR="00756D86" w:rsidRPr="00756D86">
              <w:rPr>
                <w:lang w:eastAsia="ru-RU"/>
              </w:rPr>
              <w:t>н</w:t>
            </w:r>
            <w:r w:rsidR="00756D86" w:rsidRPr="00756D86">
              <w:rPr>
                <w:lang w:eastAsia="ru-RU"/>
              </w:rPr>
              <w:t>ного решения о создании глобального фонда для укрепления потенциала заи</w:t>
            </w:r>
            <w:r w:rsidR="00756D86" w:rsidRPr="00756D86">
              <w:rPr>
                <w:lang w:eastAsia="ru-RU"/>
              </w:rPr>
              <w:t>н</w:t>
            </w:r>
            <w:r w:rsidR="00756D86" w:rsidRPr="00756D86">
              <w:rPr>
                <w:lang w:eastAsia="ru-RU"/>
              </w:rPr>
              <w:t>тересованных сторон по осуществлению Руководящих принципов предприн</w:t>
            </w:r>
            <w:r w:rsidR="00756D86" w:rsidRPr="00756D86">
              <w:rPr>
                <w:lang w:eastAsia="ru-RU"/>
              </w:rPr>
              <w:t>и</w:t>
            </w:r>
            <w:r w:rsidR="00756D86" w:rsidRPr="00756D86">
              <w:rPr>
                <w:lang w:eastAsia="ru-RU"/>
              </w:rPr>
              <w:t>мательской деятельности в аспекте прав человека, и представить доклад об этом Совету</w:t>
            </w:r>
            <w:proofErr w:type="gramEnd"/>
            <w:r w:rsidR="00756D86" w:rsidRPr="00756D86">
              <w:rPr>
                <w:lang w:eastAsia="ru-RU"/>
              </w:rPr>
              <w:t xml:space="preserve"> на его двадцать девятой сессии.</w:t>
            </w:r>
          </w:p>
        </w:tc>
      </w:tr>
      <w:tr w:rsidR="00756D86" w:rsidTr="00F45D40">
        <w:tc>
          <w:tcPr>
            <w:tcW w:w="9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D86" w:rsidRDefault="00B35C22" w:rsidP="003347C0">
            <w:pPr>
              <w:pStyle w:val="SingleTxtGR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="00756D86" w:rsidRPr="00756D86">
              <w:rPr>
                <w:lang w:eastAsia="ru-RU"/>
              </w:rPr>
              <w:t xml:space="preserve">В настоящем докладе, подготовленном в ответ на эту просьбу, приводится резюме мнений заинтересованных сторон относительно сферы </w:t>
            </w:r>
            <w:r w:rsidR="003347C0">
              <w:rPr>
                <w:lang w:eastAsia="ru-RU"/>
              </w:rPr>
              <w:t>деятельности</w:t>
            </w:r>
            <w:r w:rsidR="00756D86" w:rsidRPr="00756D86">
              <w:rPr>
                <w:lang w:eastAsia="ru-RU"/>
              </w:rPr>
              <w:t xml:space="preserve"> и структуры такого фонда. Верховный комиссар рекомендует дальнейшие шаги </w:t>
            </w:r>
            <w:r w:rsidR="00756D86" w:rsidRPr="00756D86">
              <w:rPr>
                <w:lang w:eastAsia="ru-RU"/>
              </w:rPr>
              <w:lastRenderedPageBreak/>
              <w:t>по его рассмотрению Советом и предлагает уполномочить Управление Верхо</w:t>
            </w:r>
            <w:r w:rsidR="00756D86" w:rsidRPr="00756D86">
              <w:rPr>
                <w:lang w:eastAsia="ru-RU"/>
              </w:rPr>
              <w:t>в</w:t>
            </w:r>
            <w:r w:rsidR="00756D86" w:rsidRPr="00756D86">
              <w:rPr>
                <w:lang w:eastAsia="ru-RU"/>
              </w:rPr>
              <w:t>ного комиссара Организации Объединенных Наций по правам человека разр</w:t>
            </w:r>
            <w:r w:rsidR="00756D86" w:rsidRPr="00756D86">
              <w:rPr>
                <w:lang w:eastAsia="ru-RU"/>
              </w:rPr>
              <w:t>а</w:t>
            </w:r>
            <w:r w:rsidR="00756D86" w:rsidRPr="00756D86">
              <w:rPr>
                <w:lang w:eastAsia="ru-RU"/>
              </w:rPr>
              <w:t xml:space="preserve">ботать </w:t>
            </w:r>
            <w:r w:rsidR="003347C0">
              <w:rPr>
                <w:lang w:eastAsia="ru-RU"/>
              </w:rPr>
              <w:t>экспериментальный</w:t>
            </w:r>
            <w:r w:rsidR="00756D86" w:rsidRPr="00756D86">
              <w:rPr>
                <w:lang w:eastAsia="ru-RU"/>
              </w:rPr>
              <w:t xml:space="preserve"> проект для проверки жизнеспособности фонда для укрепления потенциала в этой области при условии наличия ресурсов.</w:t>
            </w:r>
          </w:p>
        </w:tc>
      </w:tr>
      <w:tr w:rsidR="00756D86" w:rsidTr="00F45D40">
        <w:tc>
          <w:tcPr>
            <w:tcW w:w="9855" w:type="dxa"/>
            <w:tcBorders>
              <w:top w:val="nil"/>
            </w:tcBorders>
            <w:shd w:val="clear" w:color="auto" w:fill="auto"/>
          </w:tcPr>
          <w:p w:rsidR="00756D86" w:rsidRDefault="00756D86" w:rsidP="00756D86">
            <w:pPr>
              <w:rPr>
                <w:lang w:eastAsia="ru-RU"/>
              </w:rPr>
            </w:pPr>
          </w:p>
        </w:tc>
      </w:tr>
      <w:tr w:rsidR="00756D86" w:rsidTr="00756D86">
        <w:tc>
          <w:tcPr>
            <w:tcW w:w="9855" w:type="dxa"/>
            <w:shd w:val="clear" w:color="auto" w:fill="auto"/>
          </w:tcPr>
          <w:p w:rsidR="00756D86" w:rsidRDefault="00756D86" w:rsidP="00756D86">
            <w:pPr>
              <w:rPr>
                <w:lang w:eastAsia="ru-RU"/>
              </w:rPr>
            </w:pPr>
          </w:p>
        </w:tc>
      </w:tr>
    </w:tbl>
    <w:p w:rsidR="000C0C5B" w:rsidRPr="000C0C5B" w:rsidRDefault="000C0C5B" w:rsidP="007F58CB">
      <w:pPr>
        <w:pStyle w:val="HChGR"/>
      </w:pPr>
      <w:r w:rsidRPr="000C0C5B">
        <w:br w:type="page"/>
      </w:r>
      <w:r w:rsidR="007F58CB">
        <w:lastRenderedPageBreak/>
        <w:tab/>
      </w:r>
      <w:r w:rsidRPr="000C0C5B">
        <w:t>I.</w:t>
      </w:r>
      <w:r w:rsidR="007F58CB">
        <w:tab/>
      </w:r>
      <w:r w:rsidRPr="000C0C5B">
        <w:t>Введение</w:t>
      </w:r>
    </w:p>
    <w:p w:rsidR="000C0C5B" w:rsidRPr="000C0C5B" w:rsidRDefault="007F58CB" w:rsidP="003347C0">
      <w:pPr>
        <w:pStyle w:val="SingleTxtGR"/>
      </w:pPr>
      <w:r>
        <w:t>1.</w:t>
      </w:r>
      <w:r>
        <w:tab/>
      </w:r>
      <w:proofErr w:type="gramStart"/>
      <w:r w:rsidR="000C0C5B" w:rsidRPr="000C0C5B">
        <w:t>Совет по правам человека в резолюции 21/5 признал важность наращив</w:t>
      </w:r>
      <w:r w:rsidR="000C0C5B" w:rsidRPr="000C0C5B">
        <w:t>а</w:t>
      </w:r>
      <w:r w:rsidR="000C0C5B" w:rsidRPr="000C0C5B">
        <w:t>ния потенциала всех субъектов для более эффективного решения задач в обл</w:t>
      </w:r>
      <w:r w:rsidR="000C0C5B" w:rsidRPr="000C0C5B">
        <w:t>а</w:t>
      </w:r>
      <w:r w:rsidR="000C0C5B" w:rsidRPr="000C0C5B">
        <w:t>сти предпринимательской деятельности и прав человека и просил Генерального секретаря провести исследование целесообразности создания глобального фо</w:t>
      </w:r>
      <w:r w:rsidR="000C0C5B" w:rsidRPr="000C0C5B">
        <w:t>н</w:t>
      </w:r>
      <w:r w:rsidR="000C0C5B" w:rsidRPr="000C0C5B">
        <w:t>да для укрепления потенциала заинтересованных сторон в области содействия осуществлению Руководящих принципов предпринимательской деятельности в</w:t>
      </w:r>
      <w:r w:rsidR="00727306">
        <w:t> </w:t>
      </w:r>
      <w:r w:rsidR="000C0C5B" w:rsidRPr="000C0C5B">
        <w:t>аспекте прав человека.</w:t>
      </w:r>
      <w:proofErr w:type="gramEnd"/>
    </w:p>
    <w:p w:rsidR="000C0C5B" w:rsidRPr="000C0C5B" w:rsidRDefault="007F58CB" w:rsidP="003347C0">
      <w:pPr>
        <w:pStyle w:val="SingleTxtGR"/>
      </w:pPr>
      <w:r>
        <w:t>2.</w:t>
      </w:r>
      <w:r>
        <w:tab/>
      </w:r>
      <w:r w:rsidR="000C0C5B" w:rsidRPr="000C0C5B">
        <w:t xml:space="preserve">Основные выводы исследования </w:t>
      </w:r>
      <w:r>
        <w:t>о реализуемости</w:t>
      </w:r>
      <w:r w:rsidR="000C0C5B" w:rsidRPr="000C0C5B">
        <w:t xml:space="preserve"> проекта были включ</w:t>
      </w:r>
      <w:r w:rsidR="000C0C5B" w:rsidRPr="000C0C5B">
        <w:t>е</w:t>
      </w:r>
      <w:r w:rsidR="000C0C5B" w:rsidRPr="000C0C5B">
        <w:t>ны в доклад Генерального секретаря о вызовах, стратегиях и изменениях в о</w:t>
      </w:r>
      <w:r w:rsidR="000C0C5B" w:rsidRPr="000C0C5B">
        <w:t>т</w:t>
      </w:r>
      <w:r w:rsidR="000C0C5B" w:rsidRPr="000C0C5B">
        <w:t>ношении осуществления резолюции 21/5 системой Организации Объединенных Наций, включая ее программы, фонды и учреждения (см. А/</w:t>
      </w:r>
      <w:proofErr w:type="spellStart"/>
      <w:r w:rsidR="000C0C5B" w:rsidRPr="000C0C5B">
        <w:t>HRC</w:t>
      </w:r>
      <w:proofErr w:type="spellEnd"/>
      <w:r w:rsidR="000C0C5B" w:rsidRPr="000C0C5B">
        <w:t>/26/20, пун</w:t>
      </w:r>
      <w:r w:rsidR="000C0C5B" w:rsidRPr="000C0C5B">
        <w:t>к</w:t>
      </w:r>
      <w:r w:rsidR="000C0C5B" w:rsidRPr="000C0C5B">
        <w:t>ты</w:t>
      </w:r>
      <w:r w:rsidR="00E370AB">
        <w:t> </w:t>
      </w:r>
      <w:r w:rsidR="000C0C5B" w:rsidRPr="000C0C5B">
        <w:t>61</w:t>
      </w:r>
      <w:r>
        <w:t>−80</w:t>
      </w:r>
      <w:r w:rsidR="000C0C5B" w:rsidRPr="000C0C5B">
        <w:t xml:space="preserve">). В результате консультаций, проведенных </w:t>
      </w:r>
      <w:r>
        <w:t xml:space="preserve">при подготовке </w:t>
      </w:r>
      <w:r w:rsidR="000C0C5B" w:rsidRPr="000C0C5B">
        <w:t>исследов</w:t>
      </w:r>
      <w:r w:rsidR="000C0C5B" w:rsidRPr="000C0C5B">
        <w:t>а</w:t>
      </w:r>
      <w:r w:rsidR="000C0C5B" w:rsidRPr="000C0C5B">
        <w:t xml:space="preserve">ния </w:t>
      </w:r>
      <w:r>
        <w:t>о реализации проекта,</w:t>
      </w:r>
      <w:r w:rsidR="000C0C5B" w:rsidRPr="000C0C5B">
        <w:t xml:space="preserve"> было установлено, что существует широкий консе</w:t>
      </w:r>
      <w:r w:rsidR="000C0C5B" w:rsidRPr="000C0C5B">
        <w:t>н</w:t>
      </w:r>
      <w:r w:rsidR="000C0C5B" w:rsidRPr="000C0C5B">
        <w:t>сус среди правительств и представителей деловых кругов и гражданского о</w:t>
      </w:r>
      <w:r w:rsidR="000C0C5B" w:rsidRPr="000C0C5B">
        <w:t>б</w:t>
      </w:r>
      <w:r w:rsidR="000C0C5B" w:rsidRPr="000C0C5B">
        <w:t>щества в вопросе о создании нового фонда по осуществлению Руководящих принципов и о том, что такой фонд может стать п</w:t>
      </w:r>
      <w:r w:rsidR="000C0C5B" w:rsidRPr="000C0C5B">
        <w:t>о</w:t>
      </w:r>
      <w:r w:rsidR="000C0C5B" w:rsidRPr="000C0C5B">
        <w:t>лезным механизмом.</w:t>
      </w:r>
    </w:p>
    <w:p w:rsidR="000C0C5B" w:rsidRPr="000C0C5B" w:rsidRDefault="007F58CB" w:rsidP="003347C0">
      <w:pPr>
        <w:pStyle w:val="SingleTxtGR"/>
      </w:pPr>
      <w:r>
        <w:t>3.</w:t>
      </w:r>
      <w:r>
        <w:tab/>
      </w:r>
      <w:proofErr w:type="gramStart"/>
      <w:r w:rsidR="000C0C5B" w:rsidRPr="000C0C5B">
        <w:t>Совет по правам человека в резолюции 26/22 приветствовал доклад Ген</w:t>
      </w:r>
      <w:r w:rsidR="000C0C5B" w:rsidRPr="000C0C5B">
        <w:t>е</w:t>
      </w:r>
      <w:r w:rsidR="000C0C5B" w:rsidRPr="000C0C5B">
        <w:t>рального секретаря и просил Верховного комиссара Организации Объедине</w:t>
      </w:r>
      <w:r w:rsidR="000C0C5B" w:rsidRPr="000C0C5B">
        <w:t>н</w:t>
      </w:r>
      <w:r w:rsidR="000C0C5B" w:rsidRPr="000C0C5B">
        <w:t>ных Наций по правам человека консультировать государства и соответству</w:t>
      </w:r>
      <w:r w:rsidR="000C0C5B" w:rsidRPr="000C0C5B">
        <w:t>ю</w:t>
      </w:r>
      <w:r w:rsidR="000C0C5B" w:rsidRPr="000C0C5B">
        <w:t>щие заинтересованные стороны с целью разработки конкретных вариантов и предложений, направленных на принятие обоснованного решения о создании такого фонда, и представить доклад об этом Совету на его двадцать девятой сессии.</w:t>
      </w:r>
      <w:proofErr w:type="gramEnd"/>
      <w:r w:rsidR="000C0C5B" w:rsidRPr="000C0C5B">
        <w:t xml:space="preserve"> Настоящий доклад был подготовлен в ответ на эту просьбу и должен читаться в совокупности с исследованием </w:t>
      </w:r>
      <w:r w:rsidR="00577BD2">
        <w:t>о реализуемости</w:t>
      </w:r>
      <w:r w:rsidR="000C0C5B" w:rsidRPr="000C0C5B">
        <w:t xml:space="preserve"> (A/</w:t>
      </w:r>
      <w:proofErr w:type="spellStart"/>
      <w:r w:rsidR="000C0C5B" w:rsidRPr="000C0C5B">
        <w:t>HRC</w:t>
      </w:r>
      <w:proofErr w:type="spellEnd"/>
      <w:r w:rsidR="000C0C5B" w:rsidRPr="000C0C5B">
        <w:t>/26/20/</w:t>
      </w:r>
      <w:r w:rsidR="00577BD2">
        <w:br/>
      </w:r>
      <w:r w:rsidR="000C0C5B" w:rsidRPr="000C0C5B">
        <w:t>Add.1). При подготовке настоящего доклада Управление Верхо</w:t>
      </w:r>
      <w:r w:rsidR="000C0C5B" w:rsidRPr="000C0C5B">
        <w:t>в</w:t>
      </w:r>
      <w:r w:rsidR="000C0C5B" w:rsidRPr="000C0C5B">
        <w:t>ного комиссара Организации Объединенных Наций по правам человека (</w:t>
      </w:r>
      <w:proofErr w:type="spellStart"/>
      <w:r w:rsidR="000C0C5B" w:rsidRPr="000C0C5B">
        <w:t>УВКПЧ</w:t>
      </w:r>
      <w:proofErr w:type="spellEnd"/>
      <w:r w:rsidR="000C0C5B" w:rsidRPr="000C0C5B">
        <w:t>) призвало все государства-члены и соответствующие заинтересова</w:t>
      </w:r>
      <w:r w:rsidR="000C0C5B" w:rsidRPr="000C0C5B">
        <w:t>н</w:t>
      </w:r>
      <w:r w:rsidR="000C0C5B" w:rsidRPr="000C0C5B">
        <w:t>ные стороны представить мнения и рекомендации по содействию осуществлению Руководящих принц</w:t>
      </w:r>
      <w:r w:rsidR="000C0C5B" w:rsidRPr="000C0C5B">
        <w:t>и</w:t>
      </w:r>
      <w:r w:rsidR="000C0C5B" w:rsidRPr="000C0C5B">
        <w:t xml:space="preserve">пов путем создания нового фонда для укрепления потенциала.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 также представил обзор полученных ответов и провел обсуждение возможных вар</w:t>
      </w:r>
      <w:r w:rsidR="000C0C5B" w:rsidRPr="000C0C5B">
        <w:t>и</w:t>
      </w:r>
      <w:r w:rsidR="000C0C5B" w:rsidRPr="000C0C5B">
        <w:t>антов развития событий в ходе неофициальных ко</w:t>
      </w:r>
      <w:r w:rsidR="000C0C5B" w:rsidRPr="000C0C5B">
        <w:t>н</w:t>
      </w:r>
      <w:r w:rsidR="000C0C5B" w:rsidRPr="000C0C5B">
        <w:t>сультаций с государствами-членами 9 апр</w:t>
      </w:r>
      <w:r w:rsidR="000C0C5B" w:rsidRPr="000C0C5B">
        <w:t>е</w:t>
      </w:r>
      <w:r w:rsidR="000C0C5B" w:rsidRPr="000C0C5B">
        <w:t>ля 2015 года.</w:t>
      </w:r>
    </w:p>
    <w:p w:rsidR="000C0C5B" w:rsidRPr="000C0C5B" w:rsidRDefault="00577BD2" w:rsidP="003347C0">
      <w:pPr>
        <w:pStyle w:val="SingleTxtGR"/>
      </w:pPr>
      <w:r>
        <w:t>4.</w:t>
      </w:r>
      <w:r>
        <w:tab/>
      </w:r>
      <w:proofErr w:type="gramStart"/>
      <w:r w:rsidR="000C0C5B" w:rsidRPr="000C0C5B">
        <w:t xml:space="preserve">В отношении сферы </w:t>
      </w:r>
      <w:r>
        <w:t>деятельности</w:t>
      </w:r>
      <w:r w:rsidR="000C0C5B" w:rsidRPr="000C0C5B">
        <w:t xml:space="preserve"> потенциального фонда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 прос</w:t>
      </w:r>
      <w:r w:rsidR="000C0C5B" w:rsidRPr="000C0C5B">
        <w:t>и</w:t>
      </w:r>
      <w:r w:rsidR="000C0C5B" w:rsidRPr="000C0C5B">
        <w:t>ло заинтересованные стороны представить мнения о сравнительной значимости первоначальных приоритетов, определенных в ходе первого раунда консульт</w:t>
      </w:r>
      <w:r w:rsidR="000C0C5B" w:rsidRPr="000C0C5B">
        <w:t>а</w:t>
      </w:r>
      <w:r w:rsidR="000C0C5B" w:rsidRPr="000C0C5B">
        <w:t>ций, в том числе: а) оказания содействия гражданскому обществу, правозащи</w:t>
      </w:r>
      <w:r w:rsidR="000C0C5B" w:rsidRPr="000C0C5B">
        <w:t>т</w:t>
      </w:r>
      <w:r w:rsidR="000C0C5B" w:rsidRPr="000C0C5B">
        <w:t>никам и организациям, оказывающим содействие лицам, чьи права человека были ущемлены в результате предпринимательской деятельности, в создании потенциала для эффективной защиты на международном, национальном и</w:t>
      </w:r>
      <w:r w:rsidR="00727306">
        <w:t> </w:t>
      </w:r>
      <w:r w:rsidR="000C0C5B" w:rsidRPr="000C0C5B">
        <w:t>местном уровнях и обеспечения</w:t>
      </w:r>
      <w:proofErr w:type="gramEnd"/>
      <w:r w:rsidR="000C0C5B" w:rsidRPr="000C0C5B">
        <w:t xml:space="preserve"> жертвам доступа к правовой защите; b) ок</w:t>
      </w:r>
      <w:r w:rsidR="000C0C5B" w:rsidRPr="000C0C5B">
        <w:t>а</w:t>
      </w:r>
      <w:r w:rsidR="000C0C5B" w:rsidRPr="000C0C5B">
        <w:t>зания содействия государствам с ограниченным потенциалом в осуществлении Руковод</w:t>
      </w:r>
      <w:r w:rsidR="000C0C5B" w:rsidRPr="000C0C5B">
        <w:t>я</w:t>
      </w:r>
      <w:r w:rsidR="000C0C5B" w:rsidRPr="000C0C5B">
        <w:t>щих принципов, в том числе посредством поддержки государственных программ разработки национальных планов действий в отношении предприн</w:t>
      </w:r>
      <w:r w:rsidR="000C0C5B" w:rsidRPr="000C0C5B">
        <w:t>и</w:t>
      </w:r>
      <w:r w:rsidR="000C0C5B" w:rsidRPr="000C0C5B">
        <w:t>мательской деятельности в аспекте прав человека; а также оказания поддержки гражданскому обществу, предпринимательским сетям, профессиональным со</w:t>
      </w:r>
      <w:r w:rsidR="000C0C5B" w:rsidRPr="000C0C5B">
        <w:t>ю</w:t>
      </w:r>
      <w:r w:rsidR="000C0C5B" w:rsidRPr="000C0C5B">
        <w:t>зам, аналитическим центрам, национальным правозащитным учреждениям и другим организациям, осуществляющим деятельность по повышению осведо</w:t>
      </w:r>
      <w:r w:rsidR="000C0C5B" w:rsidRPr="000C0C5B">
        <w:t>м</w:t>
      </w:r>
      <w:r w:rsidR="000C0C5B" w:rsidRPr="000C0C5B">
        <w:t>ленности и подготовке.</w:t>
      </w:r>
    </w:p>
    <w:p w:rsidR="000C0C5B" w:rsidRPr="000C0C5B" w:rsidRDefault="00577BD2" w:rsidP="003347C0">
      <w:pPr>
        <w:pStyle w:val="SingleTxtGR"/>
      </w:pPr>
      <w:r>
        <w:lastRenderedPageBreak/>
        <w:t>5.</w:t>
      </w:r>
      <w:r>
        <w:tab/>
      </w:r>
      <w:r w:rsidR="000C0C5B" w:rsidRPr="000C0C5B">
        <w:t xml:space="preserve">В отношении потенциальной структуры нового фонда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 просило представить мнения по вариантам, наиболее эффективно способствующим укреплению потенциала и осуществлению Руководящих принципов на всех уровнях управления и при участии всех соответствующих групп заинтерес</w:t>
      </w:r>
      <w:r w:rsidR="000C0C5B" w:rsidRPr="000C0C5B">
        <w:t>о</w:t>
      </w:r>
      <w:r w:rsidR="000C0C5B" w:rsidRPr="000C0C5B">
        <w:t xml:space="preserve">ванных сторон в соответствии с рекомендациями исследования </w:t>
      </w:r>
      <w:r>
        <w:t>о реализуем</w:t>
      </w:r>
      <w:r>
        <w:t>о</w:t>
      </w:r>
      <w:r>
        <w:t>сти</w:t>
      </w:r>
      <w:r w:rsidR="000C0C5B" w:rsidRPr="000C0C5B">
        <w:t>. Рассматриваемые модели фонда могут включать: a) структуру, схожую с</w:t>
      </w:r>
      <w:r w:rsidR="00727306">
        <w:t> </w:t>
      </w:r>
      <w:r w:rsidR="000C0C5B" w:rsidRPr="000C0C5B">
        <w:t xml:space="preserve">другими целевыми фондами добровольных взносов в области прав человека, управляемыми Генеральным секретарем при предоставлении секретариатских услуг со стороны </w:t>
      </w:r>
      <w:proofErr w:type="spellStart"/>
      <w:r w:rsidR="000C0C5B" w:rsidRPr="000C0C5B">
        <w:t>УВКПЧ</w:t>
      </w:r>
      <w:proofErr w:type="spellEnd"/>
      <w:r w:rsidR="000C0C5B" w:rsidRPr="000C0C5B">
        <w:t>, включая предварительную проверку заявок, ко</w:t>
      </w:r>
      <w:r w:rsidR="000C0C5B" w:rsidRPr="000C0C5B">
        <w:t>н</w:t>
      </w:r>
      <w:r w:rsidR="000C0C5B" w:rsidRPr="000C0C5B">
        <w:t xml:space="preserve">троль и оценку использования </w:t>
      </w:r>
      <w:proofErr w:type="gramStart"/>
      <w:r w:rsidR="000C0C5B" w:rsidRPr="000C0C5B">
        <w:t>грантов</w:t>
      </w:r>
      <w:proofErr w:type="gramEnd"/>
      <w:r w:rsidR="000C0C5B" w:rsidRPr="000C0C5B">
        <w:t xml:space="preserve"> и оказание содействия попечительскому совету; структуру многостороннего целевого фонда с директивным органом в</w:t>
      </w:r>
      <w:r w:rsidR="00727306">
        <w:t> </w:t>
      </w:r>
      <w:r w:rsidR="000C0C5B" w:rsidRPr="000C0C5B">
        <w:t xml:space="preserve">составе национальных государственных учреждений из различных регионов,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 и других соответствующих учреждений Организации Объединенных Наций, устанавливающим приоритеты и принимающим решения по вопросам предоставления грантов под руководством Управления целевых фондов при участии </w:t>
      </w:r>
      <w:proofErr w:type="gramStart"/>
      <w:r w:rsidR="000C0C5B" w:rsidRPr="000C0C5B">
        <w:t>Управления многосторонних партнерских целевых фондов Программы развития Организации Объединенных Наций</w:t>
      </w:r>
      <w:proofErr w:type="gramEnd"/>
      <w:r w:rsidR="000C0C5B" w:rsidRPr="000C0C5B">
        <w:t>; создание юридически независ</w:t>
      </w:r>
      <w:r w:rsidR="000C0C5B" w:rsidRPr="000C0C5B">
        <w:t>и</w:t>
      </w:r>
      <w:r w:rsidR="000C0C5B" w:rsidRPr="000C0C5B">
        <w:t>мой организации, имеющей международный некоммерческий статус, или и</w:t>
      </w:r>
      <w:r w:rsidR="000C0C5B" w:rsidRPr="000C0C5B">
        <w:t>с</w:t>
      </w:r>
      <w:r w:rsidR="000C0C5B" w:rsidRPr="000C0C5B">
        <w:t>пользование сущ</w:t>
      </w:r>
      <w:r w:rsidR="000C0C5B" w:rsidRPr="000C0C5B">
        <w:t>е</w:t>
      </w:r>
      <w:r w:rsidR="000C0C5B" w:rsidRPr="000C0C5B">
        <w:t>ствующей организации, в чьи обязанности войдет управление фондом. Такая организация, подотчетная Генеральному секретарю, учредит многост</w:t>
      </w:r>
      <w:r w:rsidR="000C0C5B" w:rsidRPr="000C0C5B">
        <w:t>о</w:t>
      </w:r>
      <w:r w:rsidR="000C0C5B" w:rsidRPr="000C0C5B">
        <w:t>ронний совет заинтересованных сторон, включающий представителей стран-доноров и стран-</w:t>
      </w:r>
      <w:r>
        <w:t>получателей</w:t>
      </w:r>
      <w:r w:rsidR="000C0C5B" w:rsidRPr="000C0C5B">
        <w:t>, частного сектора и гражданского общ</w:t>
      </w:r>
      <w:r w:rsidR="000C0C5B" w:rsidRPr="000C0C5B">
        <w:t>е</w:t>
      </w:r>
      <w:r w:rsidR="000C0C5B" w:rsidRPr="000C0C5B">
        <w:t>ства,</w:t>
      </w:r>
      <w:r w:rsidR="00534338">
        <w:t xml:space="preserve"> </w:t>
      </w:r>
      <w:r w:rsidR="000C0C5B" w:rsidRPr="000C0C5B">
        <w:t>ответственный за установление приоритетов и предоставление грантов, надзор и контроль за осуществлением программ. Многосторонний совет будет также отвечать за обеспечение эффективной секретариатской поддержки для отбора проектов, распределения средств, контроля и оценки, юридического и финансового управления.</w:t>
      </w:r>
    </w:p>
    <w:p w:rsidR="000C0C5B" w:rsidRPr="000C0C5B" w:rsidRDefault="00577BD2" w:rsidP="003347C0">
      <w:pPr>
        <w:pStyle w:val="SingleTxtGR"/>
      </w:pPr>
      <w:r>
        <w:t>6.</w:t>
      </w:r>
      <w:r>
        <w:tab/>
      </w:r>
      <w:r w:rsidR="000C0C5B" w:rsidRPr="000C0C5B">
        <w:t>Настоящий доклад имеет целью активное рассмотрение Советом по пр</w:t>
      </w:r>
      <w:r w:rsidR="000C0C5B" w:rsidRPr="000C0C5B">
        <w:t>а</w:t>
      </w:r>
      <w:r w:rsidR="000C0C5B" w:rsidRPr="000C0C5B">
        <w:t>вам человека вопроса о том, следует ли создавать новый фонд для укрепления потенциала по осуществлению Руководящих принципов. В следующем разделе кратко излагаются мнения заинтересованных сторон, представивших замечания в письменном виде в ходе последнего раунда консультаций. На основе этих з</w:t>
      </w:r>
      <w:r w:rsidR="000C0C5B" w:rsidRPr="000C0C5B">
        <w:t>а</w:t>
      </w:r>
      <w:r w:rsidR="000C0C5B" w:rsidRPr="000C0C5B">
        <w:t xml:space="preserve">мечаний и исследования </w:t>
      </w:r>
      <w:r>
        <w:t>о реализуемости</w:t>
      </w:r>
      <w:r w:rsidR="000C0C5B" w:rsidRPr="000C0C5B">
        <w:t>, проведенного Генеральным секрет</w:t>
      </w:r>
      <w:r w:rsidR="000C0C5B" w:rsidRPr="000C0C5B">
        <w:t>а</w:t>
      </w:r>
      <w:r w:rsidR="000C0C5B" w:rsidRPr="000C0C5B">
        <w:t>рем, Верховный комиссар предлагает рассмотреть дальнейшие шаги на дв</w:t>
      </w:r>
      <w:r w:rsidR="000C0C5B" w:rsidRPr="000C0C5B">
        <w:t>а</w:t>
      </w:r>
      <w:r w:rsidR="000C0C5B" w:rsidRPr="000C0C5B">
        <w:t>дцать девятой сессии Совета по правам человека.</w:t>
      </w:r>
    </w:p>
    <w:p w:rsidR="000C0C5B" w:rsidRPr="000C0C5B" w:rsidRDefault="000C0C5B" w:rsidP="00577BD2">
      <w:pPr>
        <w:pStyle w:val="HChGR"/>
      </w:pPr>
      <w:r w:rsidRPr="000C0C5B">
        <w:tab/>
      </w:r>
      <w:proofErr w:type="spellStart"/>
      <w:r w:rsidRPr="000C0C5B">
        <w:t>II</w:t>
      </w:r>
      <w:proofErr w:type="spellEnd"/>
      <w:r w:rsidRPr="000C0C5B">
        <w:t>.</w:t>
      </w:r>
      <w:r w:rsidRPr="000C0C5B">
        <w:tab/>
        <w:t>Резюме мнений, выраженных заинтересованными сторонами</w:t>
      </w:r>
    </w:p>
    <w:p w:rsidR="000C0C5B" w:rsidRPr="000C0C5B" w:rsidRDefault="00577BD2" w:rsidP="003347C0">
      <w:pPr>
        <w:pStyle w:val="SingleTxtGR"/>
      </w:pPr>
      <w:r>
        <w:t>7.</w:t>
      </w:r>
      <w:r>
        <w:tab/>
      </w:r>
      <w:r w:rsidR="000C0C5B" w:rsidRPr="000C0C5B">
        <w:t xml:space="preserve">Лишь небольшое количество ответов было получено в ходе этого раунда консультаций (четыре ответа было получено от государств и два </w:t>
      </w:r>
      <w:r w:rsidR="002813A9">
        <w:t>−</w:t>
      </w:r>
      <w:r w:rsidR="000C0C5B" w:rsidRPr="000C0C5B">
        <w:t xml:space="preserve"> от предст</w:t>
      </w:r>
      <w:r w:rsidR="000C0C5B" w:rsidRPr="000C0C5B">
        <w:t>а</w:t>
      </w:r>
      <w:r w:rsidR="000C0C5B" w:rsidRPr="000C0C5B">
        <w:t>вителей гражданского общества, один из которых является совместным пре</w:t>
      </w:r>
      <w:r w:rsidR="000C0C5B" w:rsidRPr="000C0C5B">
        <w:t>д</w:t>
      </w:r>
      <w:r w:rsidR="000C0C5B" w:rsidRPr="000C0C5B">
        <w:t xml:space="preserve">ставлением). Следует напомнить, что, хотя консультации по вопросу </w:t>
      </w:r>
      <w:r>
        <w:t>о реализ</w:t>
      </w:r>
      <w:r>
        <w:t>у</w:t>
      </w:r>
      <w:r>
        <w:t>емости</w:t>
      </w:r>
      <w:r w:rsidR="000C0C5B" w:rsidRPr="000C0C5B">
        <w:t xml:space="preserve"> продемонстрировали широкую поддержку идеи создания нового фонда по осуществлению Руководящих принципов и того, что этот фонд станет поле</w:t>
      </w:r>
      <w:r w:rsidR="000C0C5B" w:rsidRPr="000C0C5B">
        <w:t>з</w:t>
      </w:r>
      <w:r w:rsidR="000C0C5B" w:rsidRPr="000C0C5B">
        <w:t>ным механизмом, существует разнообразие мнений относительно приоритетов и механизмов управления таким фондом. Нынешний раунд консультаций направлен, таким образом, на выявление дополнительных соображений по в</w:t>
      </w:r>
      <w:r w:rsidR="000C0C5B" w:rsidRPr="000C0C5B">
        <w:t>о</w:t>
      </w:r>
      <w:r w:rsidR="000C0C5B" w:rsidRPr="000C0C5B">
        <w:t xml:space="preserve">просам сферы </w:t>
      </w:r>
      <w:r>
        <w:t>деятельности</w:t>
      </w:r>
      <w:r w:rsidR="000C0C5B" w:rsidRPr="000C0C5B">
        <w:t xml:space="preserve"> и структуры нового фонда.</w:t>
      </w:r>
    </w:p>
    <w:p w:rsidR="000C0C5B" w:rsidRPr="000C0C5B" w:rsidRDefault="000C0C5B" w:rsidP="00577BD2">
      <w:pPr>
        <w:pStyle w:val="H1GR"/>
      </w:pPr>
      <w:r w:rsidRPr="000C0C5B">
        <w:lastRenderedPageBreak/>
        <w:tab/>
        <w:t>A.</w:t>
      </w:r>
      <w:r w:rsidRPr="000C0C5B">
        <w:tab/>
        <w:t xml:space="preserve">Мнения заинтересованных сторон по вопросу сферы </w:t>
      </w:r>
      <w:r w:rsidR="00577BD2">
        <w:t>деятельности</w:t>
      </w:r>
      <w:r w:rsidRPr="000C0C5B">
        <w:t xml:space="preserve"> нового фонда</w:t>
      </w:r>
    </w:p>
    <w:p w:rsidR="000C0C5B" w:rsidRPr="000C0C5B" w:rsidRDefault="00577BD2" w:rsidP="003347C0">
      <w:pPr>
        <w:pStyle w:val="SingleTxtGR"/>
      </w:pPr>
      <w:r>
        <w:t>8.</w:t>
      </w:r>
      <w:r>
        <w:tab/>
      </w:r>
      <w:proofErr w:type="gramStart"/>
      <w:r w:rsidR="000C0C5B" w:rsidRPr="000C0C5B">
        <w:t xml:space="preserve">В исследовании </w:t>
      </w:r>
      <w:r>
        <w:t>о реализуемости</w:t>
      </w:r>
      <w:r w:rsidR="000C0C5B" w:rsidRPr="000C0C5B">
        <w:t xml:space="preserve"> было отмечено, что с учетом взаимоз</w:t>
      </w:r>
      <w:r w:rsidR="000C0C5B" w:rsidRPr="000C0C5B">
        <w:t>а</w:t>
      </w:r>
      <w:r w:rsidR="000C0C5B" w:rsidRPr="000C0C5B">
        <w:t>висимого характера трех основополагающих положений Рамок, касающихся "защиты, соблюдения и средств правовой защиты"</w:t>
      </w:r>
      <w:r w:rsidR="00AC1145">
        <w:t>,</w:t>
      </w:r>
      <w:r w:rsidR="000C0C5B" w:rsidRPr="000C0C5B">
        <w:t xml:space="preserve"> представляется очевидным, что такой фонд должен обладать широкими полномочиями, включая возмо</w:t>
      </w:r>
      <w:r w:rsidR="000C0C5B" w:rsidRPr="000C0C5B">
        <w:t>ж</w:t>
      </w:r>
      <w:r w:rsidR="000C0C5B" w:rsidRPr="000C0C5B">
        <w:t>ность оказания поддержки проектам по осуществлению Руководящих принц</w:t>
      </w:r>
      <w:r w:rsidR="000C0C5B" w:rsidRPr="000C0C5B">
        <w:t>и</w:t>
      </w:r>
      <w:r w:rsidR="000C0C5B" w:rsidRPr="000C0C5B">
        <w:t xml:space="preserve">пов </w:t>
      </w:r>
      <w:r w:rsidR="000340F7" w:rsidRPr="000C0C5B">
        <w:t xml:space="preserve">и укреплению </w:t>
      </w:r>
      <w:r w:rsidR="000340F7">
        <w:t xml:space="preserve">соответствующего </w:t>
      </w:r>
      <w:r w:rsidR="000340F7" w:rsidRPr="000C0C5B">
        <w:t xml:space="preserve">потенциала </w:t>
      </w:r>
      <w:r w:rsidR="000C0C5B" w:rsidRPr="000C0C5B">
        <w:t>на всех уровнях управления и при участии всех соответствующих групп заинтересо</w:t>
      </w:r>
      <w:r w:rsidR="00E95B7E">
        <w:t>ванных сторон</w:t>
      </w:r>
      <w:r w:rsidR="000C0C5B" w:rsidRPr="000C0C5B">
        <w:t>.</w:t>
      </w:r>
      <w:proofErr w:type="gramEnd"/>
      <w:r w:rsidR="000C0C5B" w:rsidRPr="000C0C5B">
        <w:t xml:space="preserve"> Также б</w:t>
      </w:r>
      <w:r w:rsidR="000C0C5B" w:rsidRPr="000C0C5B">
        <w:t>ы</w:t>
      </w:r>
      <w:r w:rsidR="000C0C5B" w:rsidRPr="000C0C5B">
        <w:t xml:space="preserve">ло отмечено широко распространенное мнение о том, что новый фонд должен </w:t>
      </w:r>
      <w:r w:rsidR="00E95B7E">
        <w:t>создаваться</w:t>
      </w:r>
      <w:r w:rsidR="000C0C5B" w:rsidRPr="000C0C5B">
        <w:t xml:space="preserve"> таким образом, чтобы </w:t>
      </w:r>
      <w:r w:rsidR="00E95B7E" w:rsidRPr="000C0C5B">
        <w:t xml:space="preserve">способствовать </w:t>
      </w:r>
      <w:r w:rsidR="000C0C5B" w:rsidRPr="000C0C5B">
        <w:t>дальнейшем</w:t>
      </w:r>
      <w:r w:rsidR="00E95B7E">
        <w:t>у</w:t>
      </w:r>
      <w:r w:rsidR="000C0C5B" w:rsidRPr="000C0C5B">
        <w:t xml:space="preserve"> налаживанию многостороннего сотрудничества (см. A/</w:t>
      </w:r>
      <w:proofErr w:type="spellStart"/>
      <w:r w:rsidR="000C0C5B" w:rsidRPr="000C0C5B">
        <w:t>HRC</w:t>
      </w:r>
      <w:proofErr w:type="spellEnd"/>
      <w:r w:rsidR="000C0C5B" w:rsidRPr="000C0C5B">
        <w:t>/26/20/Add.1, пункт 50). В проце</w:t>
      </w:r>
      <w:r w:rsidR="000C0C5B" w:rsidRPr="000C0C5B">
        <w:t>с</w:t>
      </w:r>
      <w:r w:rsidR="000C0C5B" w:rsidRPr="000C0C5B">
        <w:t xml:space="preserve">се консультаций, проведенных </w:t>
      </w:r>
      <w:r w:rsidR="00E95B7E">
        <w:t>при подготовке</w:t>
      </w:r>
      <w:r w:rsidR="000C0C5B" w:rsidRPr="000C0C5B">
        <w:t xml:space="preserve"> исследования </w:t>
      </w:r>
      <w:r w:rsidR="00E95B7E">
        <w:t>о реализуемости</w:t>
      </w:r>
      <w:r w:rsidR="000C0C5B" w:rsidRPr="000C0C5B">
        <w:t>, заинтересованные стороны пришли к согласию по поводу того, что предоста</w:t>
      </w:r>
      <w:r w:rsidR="000C0C5B" w:rsidRPr="000C0C5B">
        <w:t>в</w:t>
      </w:r>
      <w:r w:rsidR="000C0C5B" w:rsidRPr="000C0C5B">
        <w:t>ление ресурсов непосредственно Секретариату Организации Объединенных наций и ее учреждениям в целях осуществления деятельности по наращиванию потенциала в области предпринимательской деятельности в аспекте прав чел</w:t>
      </w:r>
      <w:r w:rsidR="000C0C5B" w:rsidRPr="000C0C5B">
        <w:t>о</w:t>
      </w:r>
      <w:r w:rsidR="000C0C5B" w:rsidRPr="000C0C5B">
        <w:t>века не должно являться приоритетом нового фонда. В то время</w:t>
      </w:r>
      <w:proofErr w:type="gramStart"/>
      <w:r w:rsidR="000C0C5B" w:rsidRPr="000C0C5B">
        <w:t>,</w:t>
      </w:r>
      <w:proofErr w:type="gramEnd"/>
      <w:r w:rsidR="000C0C5B" w:rsidRPr="000C0C5B">
        <w:t xml:space="preserve"> как оказание соде</w:t>
      </w:r>
      <w:r w:rsidR="000C0C5B" w:rsidRPr="000C0C5B">
        <w:t>й</w:t>
      </w:r>
      <w:r w:rsidR="000C0C5B" w:rsidRPr="000C0C5B">
        <w:t>ствия представителям гражданского общества в целом рассматривалось в качестве приоритетного направления деятельности, наблюдался широкий спектр мнений относительно других потенциальных участников и меропри</w:t>
      </w:r>
      <w:r w:rsidR="000C0C5B" w:rsidRPr="000C0C5B">
        <w:t>я</w:t>
      </w:r>
      <w:r w:rsidR="000C0C5B" w:rsidRPr="000C0C5B">
        <w:t>тий, содействие к</w:t>
      </w:r>
      <w:r w:rsidR="000C0C5B" w:rsidRPr="000C0C5B">
        <w:t>о</w:t>
      </w:r>
      <w:r w:rsidR="000C0C5B" w:rsidRPr="000C0C5B">
        <w:t>торым мог бы оказывать фонд.</w:t>
      </w:r>
    </w:p>
    <w:p w:rsidR="000C0C5B" w:rsidRPr="000C0C5B" w:rsidRDefault="00E95B7E" w:rsidP="003347C0">
      <w:pPr>
        <w:pStyle w:val="SingleTxtGR"/>
      </w:pPr>
      <w:r>
        <w:t>9.</w:t>
      </w:r>
      <w:r>
        <w:tab/>
      </w:r>
      <w:r w:rsidR="000C0C5B" w:rsidRPr="000C0C5B">
        <w:t>Эти мнения были подтверждены в последних замечаниях, представле</w:t>
      </w:r>
      <w:r w:rsidR="000C0C5B" w:rsidRPr="000C0C5B">
        <w:t>н</w:t>
      </w:r>
      <w:r w:rsidR="000C0C5B" w:rsidRPr="000C0C5B">
        <w:t>ных заинтересованными сторонами и содержащих также ряд дополнительных рекомендаций. В одном из замечаний было отмечено, что фонд должен обладать достаточн</w:t>
      </w:r>
      <w:r>
        <w:t>ыми</w:t>
      </w:r>
      <w:r w:rsidR="000C0C5B" w:rsidRPr="000C0C5B">
        <w:t xml:space="preserve"> </w:t>
      </w:r>
      <w:r w:rsidR="000B07B1">
        <w:t>возможностями для</w:t>
      </w:r>
      <w:r w:rsidR="000C0C5B" w:rsidRPr="000C0C5B">
        <w:t xml:space="preserve"> определения региональных приоритетов. </w:t>
      </w:r>
      <w:proofErr w:type="gramStart"/>
      <w:r w:rsidR="000C0C5B" w:rsidRPr="000C0C5B">
        <w:t xml:space="preserve">Было высказано мнение о том, что в некоторых регионах </w:t>
      </w:r>
      <w:r w:rsidR="000B07B1" w:rsidRPr="000C0C5B">
        <w:t xml:space="preserve">заинтересованные стороны </w:t>
      </w:r>
      <w:r w:rsidR="000C0C5B" w:rsidRPr="000C0C5B">
        <w:t>могут извлечь большую пользу из проведения таких мероприятий, как повышение осведомленности, к примеру, малых и средних предприятий отн</w:t>
      </w:r>
      <w:r w:rsidR="000C0C5B" w:rsidRPr="000C0C5B">
        <w:t>о</w:t>
      </w:r>
      <w:r w:rsidR="000C0C5B" w:rsidRPr="000C0C5B">
        <w:t>сительно должного с</w:t>
      </w:r>
      <w:r w:rsidR="000C0C5B" w:rsidRPr="000C0C5B">
        <w:t>о</w:t>
      </w:r>
      <w:r w:rsidR="000C0C5B" w:rsidRPr="000C0C5B">
        <w:t xml:space="preserve">блюдения прав человека в корпоративной среде, тогда как в других регионах более важным будет являться оказание поддержки общин по защите их прав </w:t>
      </w:r>
      <w:r w:rsidR="000B07B1">
        <w:t xml:space="preserve">по отношению к </w:t>
      </w:r>
      <w:r w:rsidR="000C0C5B" w:rsidRPr="000C0C5B">
        <w:t>компани</w:t>
      </w:r>
      <w:r w:rsidR="000B07B1">
        <w:t>ям</w:t>
      </w:r>
      <w:r w:rsidR="000C0C5B" w:rsidRPr="000C0C5B">
        <w:t>.</w:t>
      </w:r>
      <w:proofErr w:type="gramEnd"/>
      <w:r w:rsidR="000C0C5B" w:rsidRPr="000C0C5B">
        <w:t xml:space="preserve"> </w:t>
      </w:r>
      <w:proofErr w:type="gramStart"/>
      <w:r w:rsidR="000C0C5B" w:rsidRPr="000C0C5B">
        <w:t>В другом замечании отмечалось</w:t>
      </w:r>
      <w:proofErr w:type="gramEnd"/>
      <w:r w:rsidR="000C0C5B" w:rsidRPr="000C0C5B">
        <w:t>, что фонд, действующий в сфере предпринимательской деятельности в аспекте прав человека, должен обладать достаточной гибкостью для разработки ко</w:t>
      </w:r>
      <w:r w:rsidR="000C0C5B" w:rsidRPr="000C0C5B">
        <w:t>н</w:t>
      </w:r>
      <w:r w:rsidR="000C0C5B" w:rsidRPr="000C0C5B">
        <w:t>кретных региональных мер по усилению должного соблюдения прав человека в корпоративной среде и поддержки общин, пострадавших от деятельности ко</w:t>
      </w:r>
      <w:r w:rsidR="000C0C5B" w:rsidRPr="000C0C5B">
        <w:t>р</w:t>
      </w:r>
      <w:r w:rsidR="000C0C5B" w:rsidRPr="000C0C5B">
        <w:t>пораций. В еще одном представлении было высказано предположение, что фо</w:t>
      </w:r>
      <w:r w:rsidR="000C0C5B" w:rsidRPr="000C0C5B">
        <w:t>н</w:t>
      </w:r>
      <w:r w:rsidR="000C0C5B" w:rsidRPr="000C0C5B">
        <w:t>ду следует оказывать поддержку деятельности по осуществлению Рук</w:t>
      </w:r>
      <w:r w:rsidR="000C0C5B" w:rsidRPr="000C0C5B">
        <w:t>о</w:t>
      </w:r>
      <w:r w:rsidR="000C0C5B" w:rsidRPr="000C0C5B">
        <w:t>водящих принципов, в том числе разработке национальных планов действий по пре</w:t>
      </w:r>
      <w:r w:rsidR="000C0C5B" w:rsidRPr="000C0C5B">
        <w:t>д</w:t>
      </w:r>
      <w:r w:rsidR="000C0C5B" w:rsidRPr="000C0C5B">
        <w:t>принимательской деятельности в аспекте прав человека, и отмечено, что в ряде случаев представители гражданского общества участвовали в таких инициат</w:t>
      </w:r>
      <w:r w:rsidR="000C0C5B" w:rsidRPr="000C0C5B">
        <w:t>и</w:t>
      </w:r>
      <w:r w:rsidR="000C0C5B" w:rsidRPr="000C0C5B">
        <w:t>вах.</w:t>
      </w:r>
    </w:p>
    <w:p w:rsidR="000C0C5B" w:rsidRPr="000C0C5B" w:rsidRDefault="002D13A8" w:rsidP="003347C0">
      <w:pPr>
        <w:pStyle w:val="SingleTxtGR"/>
      </w:pPr>
      <w:r>
        <w:t>10.</w:t>
      </w:r>
      <w:r>
        <w:tab/>
      </w:r>
      <w:proofErr w:type="gramStart"/>
      <w:r w:rsidR="000C0C5B" w:rsidRPr="000C0C5B">
        <w:t>В других представлениях были предложены конкретные приоритетные направления деятельности фонда, включающие: а) укрепление потенциала к</w:t>
      </w:r>
      <w:r w:rsidR="000C0C5B" w:rsidRPr="000C0C5B">
        <w:t>о</w:t>
      </w:r>
      <w:r w:rsidR="000C0C5B" w:rsidRPr="000C0C5B">
        <w:t>ренных народов и других маргинализированных заинтересованных сторон по вопросам, касающимся предпринимательской деятельности в аспекте прав ч</w:t>
      </w:r>
      <w:r w:rsidR="000C0C5B" w:rsidRPr="000C0C5B">
        <w:t>е</w:t>
      </w:r>
      <w:r w:rsidR="000C0C5B" w:rsidRPr="000C0C5B">
        <w:t>ловека; b) расширение доступа к соответствующим отчетам и документам, в том числе путем их перевода на национальные языки и языки коренных нар</w:t>
      </w:r>
      <w:r w:rsidR="000C0C5B" w:rsidRPr="000C0C5B">
        <w:t>о</w:t>
      </w:r>
      <w:r>
        <w:t>дов;</w:t>
      </w:r>
      <w:proofErr w:type="gramEnd"/>
      <w:r>
        <w:t xml:space="preserve"> </w:t>
      </w:r>
      <w:r w:rsidR="000C0C5B" w:rsidRPr="000C0C5B">
        <w:t>c) расширение участия коренных народов и маргинализированных групп насел</w:t>
      </w:r>
      <w:r w:rsidR="000C0C5B" w:rsidRPr="000C0C5B">
        <w:t>е</w:t>
      </w:r>
      <w:r w:rsidR="000C0C5B" w:rsidRPr="000C0C5B">
        <w:t xml:space="preserve">ния в соответствующих совещаниях Организации Объединенных Наций и связанных с ней учреждений. В одном из представлений была подчеркнута </w:t>
      </w:r>
      <w:r w:rsidR="000C0C5B" w:rsidRPr="000C0C5B">
        <w:lastRenderedPageBreak/>
        <w:t>важность оказания поддержки деятельности правозащитников, в частности в том, что касается документального отображения влияния корпораций на права человека и обеспечения доступа к эффективным средствам правовой защиты.</w:t>
      </w:r>
    </w:p>
    <w:p w:rsidR="000C0C5B" w:rsidRPr="000C0C5B" w:rsidRDefault="002D13A8" w:rsidP="003347C0">
      <w:pPr>
        <w:pStyle w:val="SingleTxtGR"/>
      </w:pPr>
      <w:r>
        <w:t>11.</w:t>
      </w:r>
      <w:r>
        <w:tab/>
      </w:r>
      <w:r w:rsidR="000C0C5B" w:rsidRPr="000C0C5B">
        <w:t>Ряд заинтересованных сторон высказал</w:t>
      </w:r>
      <w:r>
        <w:t>и</w:t>
      </w:r>
      <w:r w:rsidR="000C0C5B" w:rsidRPr="000C0C5B">
        <w:t xml:space="preserve"> предположение, что новому фонду следует установить в качестве приоритета укрепление потенциала групп населения, находящихся в наименее благоприятном положении, включая коре</w:t>
      </w:r>
      <w:r w:rsidR="000C0C5B" w:rsidRPr="000C0C5B">
        <w:t>н</w:t>
      </w:r>
      <w:r w:rsidR="000C0C5B" w:rsidRPr="000C0C5B">
        <w:t xml:space="preserve">ные народы, </w:t>
      </w:r>
      <w:r>
        <w:t>с помощью, например, следующего</w:t>
      </w:r>
      <w:r w:rsidR="000C0C5B" w:rsidRPr="000C0C5B">
        <w:t xml:space="preserve">: </w:t>
      </w:r>
      <w:r>
        <w:t xml:space="preserve">а) </w:t>
      </w:r>
      <w:r w:rsidR="000C0C5B" w:rsidRPr="000C0C5B">
        <w:t>подготовки членов коре</w:t>
      </w:r>
      <w:r w:rsidR="000C0C5B" w:rsidRPr="000C0C5B">
        <w:t>н</w:t>
      </w:r>
      <w:r w:rsidR="000C0C5B" w:rsidRPr="000C0C5B">
        <w:t xml:space="preserve">ных общин и групп населения, находящихся в неблагоприятном положении, по вопросам содержания и осуществления Руководящих принципов; </w:t>
      </w:r>
      <w:r>
        <w:rPr>
          <w:lang w:val="en-US"/>
        </w:rPr>
        <w:t>b</w:t>
      </w:r>
      <w:r w:rsidRPr="002D13A8">
        <w:t xml:space="preserve">) </w:t>
      </w:r>
      <w:r w:rsidR="000C0C5B" w:rsidRPr="000C0C5B">
        <w:t>деятельн</w:t>
      </w:r>
      <w:r w:rsidR="000C0C5B" w:rsidRPr="000C0C5B">
        <w:t>о</w:t>
      </w:r>
      <w:r w:rsidR="000C0C5B" w:rsidRPr="000C0C5B">
        <w:t>сти, разработанной в партнерстве с коренными народами, государственных и частных субъектов, касающейся прав коренных народов в контексте предпр</w:t>
      </w:r>
      <w:r w:rsidR="000C0C5B" w:rsidRPr="000C0C5B">
        <w:t>и</w:t>
      </w:r>
      <w:r w:rsidR="000C0C5B" w:rsidRPr="000C0C5B">
        <w:t xml:space="preserve">нимательской деятельности, затрагивающей условия их жизни; </w:t>
      </w:r>
      <w:r>
        <w:rPr>
          <w:lang w:val="en-US"/>
        </w:rPr>
        <w:t>c</w:t>
      </w:r>
      <w:r w:rsidRPr="002D13A8">
        <w:t xml:space="preserve">) </w:t>
      </w:r>
      <w:r w:rsidR="000C0C5B" w:rsidRPr="000C0C5B">
        <w:t>исследований осуществления Руководящих принципов, в том числе с целью проведения обз</w:t>
      </w:r>
      <w:r w:rsidR="000C0C5B" w:rsidRPr="000C0C5B">
        <w:t>о</w:t>
      </w:r>
      <w:r w:rsidR="000C0C5B" w:rsidRPr="000C0C5B">
        <w:t xml:space="preserve">ра и совершенствования существующих механизмов осуществления; </w:t>
      </w:r>
      <w:r>
        <w:rPr>
          <w:lang w:val="en-US"/>
        </w:rPr>
        <w:t>d</w:t>
      </w:r>
      <w:r w:rsidRPr="002D13A8">
        <w:t xml:space="preserve">) </w:t>
      </w:r>
      <w:r w:rsidR="000C0C5B" w:rsidRPr="000C0C5B">
        <w:t>ко</w:t>
      </w:r>
      <w:r w:rsidR="000C0C5B" w:rsidRPr="000C0C5B">
        <w:t>н</w:t>
      </w:r>
      <w:r w:rsidR="000C0C5B" w:rsidRPr="000C0C5B">
        <w:t>троля и документального отображения случаев предпринимательской деятел</w:t>
      </w:r>
      <w:r w:rsidR="000C0C5B" w:rsidRPr="000C0C5B">
        <w:t>ь</w:t>
      </w:r>
      <w:r w:rsidR="000C0C5B" w:rsidRPr="000C0C5B">
        <w:t>ности, затрагивающих права коренных народов, а также распространения д</w:t>
      </w:r>
      <w:r w:rsidR="000C0C5B" w:rsidRPr="000C0C5B">
        <w:t>о</w:t>
      </w:r>
      <w:r w:rsidR="000C0C5B" w:rsidRPr="000C0C5B">
        <w:t>кладов для целей повышения осведомле</w:t>
      </w:r>
      <w:r w:rsidR="000C0C5B" w:rsidRPr="000C0C5B">
        <w:t>н</w:t>
      </w:r>
      <w:r w:rsidR="000C0C5B" w:rsidRPr="000C0C5B">
        <w:t>ности и защиты прав населения.</w:t>
      </w:r>
    </w:p>
    <w:p w:rsidR="000C0C5B" w:rsidRPr="000C0C5B" w:rsidRDefault="002D13A8" w:rsidP="003347C0">
      <w:pPr>
        <w:pStyle w:val="SingleTxtGR"/>
      </w:pPr>
      <w:r w:rsidRPr="002D13A8">
        <w:t>12.</w:t>
      </w:r>
      <w:r w:rsidRPr="002D13A8">
        <w:tab/>
      </w:r>
      <w:proofErr w:type="gramStart"/>
      <w:r w:rsidR="000C0C5B" w:rsidRPr="000C0C5B">
        <w:t>В отношении продолжительности проекта</w:t>
      </w:r>
      <w:r>
        <w:t>, средств и круга получателей помощи</w:t>
      </w:r>
      <w:r w:rsidR="000C0C5B" w:rsidRPr="000C0C5B">
        <w:t xml:space="preserve"> в одном из представлений было высказано предположение, что фонду следует отдавать приоритет многолетним проектам по укреплению потенци</w:t>
      </w:r>
      <w:r w:rsidR="000C0C5B" w:rsidRPr="000C0C5B">
        <w:t>а</w:t>
      </w:r>
      <w:r w:rsidR="000C0C5B" w:rsidRPr="000C0C5B">
        <w:t>ла,</w:t>
      </w:r>
      <w:r w:rsidR="006A6994">
        <w:t xml:space="preserve"> </w:t>
      </w:r>
      <w:r w:rsidR="000C0C5B" w:rsidRPr="000C0C5B">
        <w:t>а не краткосрочным и разовым проектам и мероприятиям, и предложение об установлении бюджета проектов в пределах 10</w:t>
      </w:r>
      <w:r w:rsidR="006A6994">
        <w:t xml:space="preserve"> </w:t>
      </w:r>
      <w:r w:rsidR="000C0C5B" w:rsidRPr="000C0C5B">
        <w:t>000</w:t>
      </w:r>
      <w:r w:rsidR="006A6994">
        <w:t>−</w:t>
      </w:r>
      <w:r w:rsidR="000C0C5B" w:rsidRPr="000C0C5B">
        <w:t>50</w:t>
      </w:r>
      <w:r w:rsidR="006A6994">
        <w:t xml:space="preserve"> 000 долл.</w:t>
      </w:r>
      <w:r w:rsidR="000C0C5B" w:rsidRPr="000C0C5B">
        <w:t>, включая мн</w:t>
      </w:r>
      <w:r w:rsidR="000C0C5B" w:rsidRPr="000C0C5B">
        <w:t>о</w:t>
      </w:r>
      <w:r w:rsidR="000C0C5B" w:rsidRPr="000C0C5B">
        <w:t>голетние проекты продолжительностью от года до трех лет.</w:t>
      </w:r>
      <w:proofErr w:type="gramEnd"/>
      <w:r w:rsidR="000C0C5B" w:rsidRPr="000C0C5B">
        <w:t xml:space="preserve"> В другом предста</w:t>
      </w:r>
      <w:r w:rsidR="000C0C5B" w:rsidRPr="000C0C5B">
        <w:t>в</w:t>
      </w:r>
      <w:r w:rsidR="000C0C5B" w:rsidRPr="000C0C5B">
        <w:t>лении было отмечено, что фонд должен быть доступным для широкого круга организаций, включая, как предлагается в исследовании целесообразности, о</w:t>
      </w:r>
      <w:r w:rsidR="000C0C5B" w:rsidRPr="000C0C5B">
        <w:t>р</w:t>
      </w:r>
      <w:r w:rsidR="000C0C5B" w:rsidRPr="000C0C5B">
        <w:t>ганизации гражданского общества, предпринимательские сети, профессионал</w:t>
      </w:r>
      <w:r w:rsidR="000C0C5B" w:rsidRPr="000C0C5B">
        <w:t>ь</w:t>
      </w:r>
      <w:r w:rsidR="000C0C5B" w:rsidRPr="000C0C5B">
        <w:t>ные союзы, аналитические центры, национальные правозащитные учр</w:t>
      </w:r>
      <w:r w:rsidR="000C0C5B" w:rsidRPr="000C0C5B">
        <w:t>е</w:t>
      </w:r>
      <w:r w:rsidR="000C0C5B" w:rsidRPr="000C0C5B">
        <w:t>ждения и другие организации, проводящие мероприятия по повышению осведомленн</w:t>
      </w:r>
      <w:r w:rsidR="000C0C5B" w:rsidRPr="000C0C5B">
        <w:t>о</w:t>
      </w:r>
      <w:r w:rsidR="000C0C5B" w:rsidRPr="000C0C5B">
        <w:t>сти и подготовке.</w:t>
      </w:r>
    </w:p>
    <w:p w:rsidR="000C0C5B" w:rsidRPr="000C0C5B" w:rsidRDefault="000C0C5B" w:rsidP="006A6994">
      <w:pPr>
        <w:pStyle w:val="H1GR"/>
      </w:pPr>
      <w:r w:rsidRPr="000C0C5B">
        <w:tab/>
        <w:t>B.</w:t>
      </w:r>
      <w:r w:rsidRPr="000C0C5B">
        <w:tab/>
        <w:t>Мнения заинтересованных сторон по вопросу структуры нового фонда</w:t>
      </w:r>
    </w:p>
    <w:p w:rsidR="000C0C5B" w:rsidRPr="000C0C5B" w:rsidRDefault="006A6994" w:rsidP="003347C0">
      <w:pPr>
        <w:pStyle w:val="SingleTxtGR"/>
      </w:pPr>
      <w:r>
        <w:t>13.</w:t>
      </w:r>
      <w:r>
        <w:tab/>
      </w:r>
      <w:r w:rsidR="000C0C5B" w:rsidRPr="000C0C5B">
        <w:t xml:space="preserve">Консультации, проведенные </w:t>
      </w:r>
      <w:r>
        <w:t>при подготовке</w:t>
      </w:r>
      <w:r w:rsidR="000C0C5B" w:rsidRPr="000C0C5B">
        <w:t xml:space="preserve"> исследования </w:t>
      </w:r>
      <w:r>
        <w:t>о реализуем</w:t>
      </w:r>
      <w:r>
        <w:t>о</w:t>
      </w:r>
      <w:r>
        <w:t>сти</w:t>
      </w:r>
      <w:r w:rsidR="000C0C5B" w:rsidRPr="000C0C5B">
        <w:t>, выявили многообразие мнений заинтересованных сторон по вопросу с</w:t>
      </w:r>
      <w:r w:rsidR="000C0C5B" w:rsidRPr="000C0C5B">
        <w:t>о</w:t>
      </w:r>
      <w:r w:rsidR="000C0C5B" w:rsidRPr="000C0C5B">
        <w:t>здания наиболее эффективной структуры фонда для укрепления потенциала в области предпринимательской деятельности в аспекте прав человека. Как отм</w:t>
      </w:r>
      <w:r w:rsidR="000C0C5B" w:rsidRPr="000C0C5B">
        <w:t>е</w:t>
      </w:r>
      <w:r w:rsidR="000C0C5B" w:rsidRPr="000C0C5B">
        <w:t>чается в исследовании, в подавляющем большинстве представлений высказ</w:t>
      </w:r>
      <w:r w:rsidR="000C0C5B" w:rsidRPr="000C0C5B">
        <w:t>ы</w:t>
      </w:r>
      <w:r w:rsidR="000C0C5B" w:rsidRPr="000C0C5B">
        <w:t>валось предположение, что ключевую роль в управлении фондом должно и</w:t>
      </w:r>
      <w:r w:rsidR="000C0C5B" w:rsidRPr="000C0C5B">
        <w:t>г</w:t>
      </w:r>
      <w:r w:rsidR="000C0C5B" w:rsidRPr="000C0C5B">
        <w:t>рать</w:t>
      </w:r>
      <w:r w:rsidR="00866858">
        <w:t> </w:t>
      </w:r>
      <w:proofErr w:type="spellStart"/>
      <w:r w:rsidR="000C0C5B" w:rsidRPr="000C0C5B">
        <w:t>УВКП</w:t>
      </w:r>
      <w:r>
        <w:t>Ч</w:t>
      </w:r>
      <w:proofErr w:type="spellEnd"/>
      <w:r>
        <w:t>. Ряд заинтересованных сторон</w:t>
      </w:r>
      <w:r w:rsidR="000C0C5B" w:rsidRPr="000C0C5B">
        <w:t xml:space="preserve"> заявил</w:t>
      </w:r>
      <w:r>
        <w:t>и</w:t>
      </w:r>
      <w:r w:rsidR="000C0C5B" w:rsidRPr="000C0C5B">
        <w:t>, что центральное место в формировании стратегической политики фонда следует отвести Рабочей группе по вопросу о правах человека и транснациональных корпорациях и других предприятиях. В ряде представлений подчеркивалась важность создания э</w:t>
      </w:r>
      <w:r w:rsidR="000C0C5B" w:rsidRPr="000C0C5B">
        <w:t>ф</w:t>
      </w:r>
      <w:r w:rsidR="000C0C5B" w:rsidRPr="000C0C5B">
        <w:t>фективной управленческой структуры и сокращения административных расх</w:t>
      </w:r>
      <w:r w:rsidR="000C0C5B" w:rsidRPr="000C0C5B">
        <w:t>о</w:t>
      </w:r>
      <w:r w:rsidR="000C0C5B" w:rsidRPr="000C0C5B">
        <w:t>дов</w:t>
      </w:r>
      <w:r>
        <w:t xml:space="preserve"> (см.</w:t>
      </w:r>
      <w:r w:rsidR="00727306">
        <w:t> </w:t>
      </w:r>
      <w:r>
        <w:t>A/</w:t>
      </w:r>
      <w:proofErr w:type="spellStart"/>
      <w:r>
        <w:t>HRC</w:t>
      </w:r>
      <w:proofErr w:type="spellEnd"/>
      <w:r>
        <w:t>/26/20/Add.1, пунк</w:t>
      </w:r>
      <w:r w:rsidR="002E38AC">
        <w:t>т 39).</w:t>
      </w:r>
    </w:p>
    <w:p w:rsidR="000C0C5B" w:rsidRPr="000C0C5B" w:rsidRDefault="006A6994" w:rsidP="003347C0">
      <w:pPr>
        <w:pStyle w:val="SingleTxtGR"/>
      </w:pPr>
      <w:r>
        <w:t>14.</w:t>
      </w:r>
      <w:r>
        <w:tab/>
      </w:r>
      <w:r w:rsidR="000C0C5B" w:rsidRPr="000C0C5B">
        <w:t>Аналогичным образом, в ходе проведения консультаций в рамках подг</w:t>
      </w:r>
      <w:r w:rsidR="000C0C5B" w:rsidRPr="000C0C5B">
        <w:t>о</w:t>
      </w:r>
      <w:r w:rsidR="000C0C5B" w:rsidRPr="000C0C5B">
        <w:t>товки настоящего доклада не удалось прийти к единому мнению по поводу наилучшего механизма управления фондом в области предпринимательской д</w:t>
      </w:r>
      <w:r w:rsidR="000C0C5B" w:rsidRPr="000C0C5B">
        <w:t>е</w:t>
      </w:r>
      <w:r w:rsidR="000C0C5B" w:rsidRPr="000C0C5B">
        <w:t>ятельности в аспекте прав человека. К примеру, несмотря на то, что ряд гос</w:t>
      </w:r>
      <w:r w:rsidR="000C0C5B" w:rsidRPr="000C0C5B">
        <w:t>у</w:t>
      </w:r>
      <w:r w:rsidR="000C0C5B" w:rsidRPr="000C0C5B">
        <w:t>дарств выск</w:t>
      </w:r>
      <w:r w:rsidR="000C0C5B" w:rsidRPr="000C0C5B">
        <w:t>а</w:t>
      </w:r>
      <w:r w:rsidR="000C0C5B" w:rsidRPr="000C0C5B">
        <w:t xml:space="preserve">зались в пользу создания добровольного целевого фонда на основе существующих структур, другие отмечали важность простых и эффективных </w:t>
      </w:r>
      <w:r w:rsidR="000C0C5B" w:rsidRPr="000C0C5B">
        <w:lastRenderedPageBreak/>
        <w:t xml:space="preserve">процедур, не вызывающих проблем у потенциальных заявителей, в частности </w:t>
      </w:r>
      <w:r>
        <w:t>−</w:t>
      </w:r>
      <w:r w:rsidR="000C0C5B" w:rsidRPr="000C0C5B">
        <w:t xml:space="preserve"> представителей гражданского общества, в получении содействия со стороны фонда. Одно из государств предложило модель государственно-частного пар</w:t>
      </w:r>
      <w:r w:rsidR="000C0C5B" w:rsidRPr="000C0C5B">
        <w:t>т</w:t>
      </w:r>
      <w:r w:rsidR="000C0C5B" w:rsidRPr="000C0C5B">
        <w:t xml:space="preserve">нерства при </w:t>
      </w:r>
      <w:r>
        <w:t>контроле</w:t>
      </w:r>
      <w:r w:rsidR="000C0C5B" w:rsidRPr="000C0C5B">
        <w:t xml:space="preserve"> со стороны международных организаций по правам чел</w:t>
      </w:r>
      <w:r w:rsidR="000C0C5B" w:rsidRPr="000C0C5B">
        <w:t>о</w:t>
      </w:r>
      <w:r w:rsidR="000C0C5B" w:rsidRPr="000C0C5B">
        <w:t>века или групп экспертов, отметив, что такая модель является более гибкой и привлекательной для многостороннего сотрудничества и эффективного упра</w:t>
      </w:r>
      <w:r w:rsidR="000C0C5B" w:rsidRPr="000C0C5B">
        <w:t>в</w:t>
      </w:r>
      <w:r w:rsidR="000C0C5B" w:rsidRPr="000C0C5B">
        <w:t>ления фо</w:t>
      </w:r>
      <w:r w:rsidR="000C0C5B" w:rsidRPr="000C0C5B">
        <w:t>н</w:t>
      </w:r>
      <w:r w:rsidR="000C0C5B" w:rsidRPr="000C0C5B">
        <w:t>дом. Другое государство выступило за структуру, управление которой будет осуществляться при участии национальных органов власти из всех рег</w:t>
      </w:r>
      <w:r w:rsidR="000C0C5B" w:rsidRPr="000C0C5B">
        <w:t>и</w:t>
      </w:r>
      <w:r w:rsidR="000C0C5B" w:rsidRPr="000C0C5B">
        <w:t xml:space="preserve">онов, а также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 и других учреждений Организации Объединенных Наций.</w:t>
      </w:r>
    </w:p>
    <w:p w:rsidR="000C0C5B" w:rsidRPr="000C0C5B" w:rsidRDefault="006A6994" w:rsidP="003347C0">
      <w:pPr>
        <w:pStyle w:val="SingleTxtGR"/>
      </w:pPr>
      <w:r>
        <w:t>15.</w:t>
      </w:r>
      <w:r>
        <w:tab/>
      </w:r>
      <w:r w:rsidR="000C0C5B" w:rsidRPr="000C0C5B">
        <w:t>Представители гражданского общества предположили, что попечител</w:t>
      </w:r>
      <w:r w:rsidR="000C0C5B" w:rsidRPr="000C0C5B">
        <w:t>ь</w:t>
      </w:r>
      <w:r w:rsidR="000C0C5B" w:rsidRPr="000C0C5B">
        <w:t>ский совет, представляющий интересы правообладателей и находящийся в в</w:t>
      </w:r>
      <w:r w:rsidR="000C0C5B" w:rsidRPr="000C0C5B">
        <w:t>е</w:t>
      </w:r>
      <w:r w:rsidR="000C0C5B" w:rsidRPr="000C0C5B">
        <w:t xml:space="preserve">дении </w:t>
      </w:r>
      <w:proofErr w:type="spellStart"/>
      <w:r w:rsidR="000C0C5B" w:rsidRPr="000C0C5B">
        <w:t>УВКПЧ</w:t>
      </w:r>
      <w:proofErr w:type="spellEnd"/>
      <w:r w:rsidR="000C0C5B" w:rsidRPr="000C0C5B">
        <w:t xml:space="preserve">, будет наиболее подходящим вариантом структуры нового фонда в области предпринимательской деятельности в аспекте прав человека. </w:t>
      </w:r>
      <w:proofErr w:type="gramStart"/>
      <w:r w:rsidR="000C0C5B" w:rsidRPr="000C0C5B">
        <w:t>В со</w:t>
      </w:r>
      <w:r w:rsidR="000C0C5B" w:rsidRPr="000C0C5B">
        <w:t>в</w:t>
      </w:r>
      <w:r w:rsidR="000C0C5B" w:rsidRPr="000C0C5B">
        <w:t>местном представлении гражданского общества было отмечено, что опыт сущ</w:t>
      </w:r>
      <w:r w:rsidR="000C0C5B" w:rsidRPr="000C0C5B">
        <w:t>е</w:t>
      </w:r>
      <w:r w:rsidR="000C0C5B" w:rsidRPr="000C0C5B">
        <w:t>ствующих фондов, таких как Фонд добровольных взносов Организации Об</w:t>
      </w:r>
      <w:r w:rsidR="000C0C5B" w:rsidRPr="000C0C5B">
        <w:t>ъ</w:t>
      </w:r>
      <w:r w:rsidR="000C0C5B" w:rsidRPr="000C0C5B">
        <w:t>единенных Наций в интересах коренных народов, показывает, что управление фондом в данном случае должно быть сосредоточено на</w:t>
      </w:r>
      <w:r>
        <w:t xml:space="preserve"> следующем</w:t>
      </w:r>
      <w:r w:rsidR="000C0C5B" w:rsidRPr="000C0C5B">
        <w:t>: а) опред</w:t>
      </w:r>
      <w:r w:rsidR="000C0C5B" w:rsidRPr="000C0C5B">
        <w:t>е</w:t>
      </w:r>
      <w:r w:rsidR="000C0C5B" w:rsidRPr="000C0C5B">
        <w:t>лении процедуры отбора членов попечительского совета в целях обеспечения, в</w:t>
      </w:r>
      <w:r w:rsidR="00866858">
        <w:t> </w:t>
      </w:r>
      <w:r w:rsidR="000C0C5B" w:rsidRPr="000C0C5B">
        <w:t>пределах их компетенции, осведомленности о потенциальных заявителях и гарантирования независимости процесса принятия коллективных решений</w:t>
      </w:r>
      <w:proofErr w:type="gramEnd"/>
      <w:r w:rsidR="000C0C5B" w:rsidRPr="000C0C5B">
        <w:t xml:space="preserve"> о предоставле</w:t>
      </w:r>
      <w:r>
        <w:t>нии грантов</w:t>
      </w:r>
      <w:r w:rsidR="004A7FF7">
        <w:t>;</w:t>
      </w:r>
      <w:r w:rsidR="000C0C5B" w:rsidRPr="000C0C5B">
        <w:t xml:space="preserve"> b) разработке и публикации </w:t>
      </w:r>
      <w:proofErr w:type="gramStart"/>
      <w:r w:rsidR="000C0C5B" w:rsidRPr="000C0C5B">
        <w:t>критериев отбора лиц, имеющих право на получение помощи со стороны нового фонда</w:t>
      </w:r>
      <w:r w:rsidR="004A7FF7">
        <w:t xml:space="preserve"> −</w:t>
      </w:r>
      <w:r w:rsidR="000C0C5B" w:rsidRPr="000C0C5B">
        <w:t xml:space="preserve"> </w:t>
      </w:r>
      <w:r w:rsidR="004A7FF7">
        <w:t>в</w:t>
      </w:r>
      <w:r w:rsidR="000C0C5B" w:rsidRPr="000C0C5B">
        <w:t xml:space="preserve"> этой связи было</w:t>
      </w:r>
      <w:proofErr w:type="gramEnd"/>
      <w:r w:rsidR="000C0C5B" w:rsidRPr="000C0C5B">
        <w:t xml:space="preserve"> высказано предположение, что наличие законной регистрации организ</w:t>
      </w:r>
      <w:r w:rsidR="000C0C5B" w:rsidRPr="000C0C5B">
        <w:t>а</w:t>
      </w:r>
      <w:r w:rsidR="000C0C5B" w:rsidRPr="000C0C5B">
        <w:t>ций и групп, в частности коренных народов, в государстве их происхождения не должно быть обязательным услов</w:t>
      </w:r>
      <w:r w:rsidR="004A7FF7">
        <w:t>ием получения финансовой помощи;</w:t>
      </w:r>
      <w:r w:rsidR="000C0C5B" w:rsidRPr="000C0C5B">
        <w:t xml:space="preserve"> и c)</w:t>
      </w:r>
      <w:r w:rsidR="00866858">
        <w:t> </w:t>
      </w:r>
      <w:r w:rsidR="000C0C5B" w:rsidRPr="000C0C5B">
        <w:t>обеспечении эффективной процедуры предварительной проверки легитимн</w:t>
      </w:r>
      <w:r w:rsidR="000C0C5B" w:rsidRPr="000C0C5B">
        <w:t>о</w:t>
      </w:r>
      <w:r w:rsidR="000C0C5B" w:rsidRPr="000C0C5B">
        <w:t xml:space="preserve">сти и прошлой </w:t>
      </w:r>
      <w:proofErr w:type="gramStart"/>
      <w:r w:rsidR="000C0C5B" w:rsidRPr="000C0C5B">
        <w:t>деятельн</w:t>
      </w:r>
      <w:r w:rsidR="000C0C5B" w:rsidRPr="000C0C5B">
        <w:t>о</w:t>
      </w:r>
      <w:r w:rsidR="000C0C5B" w:rsidRPr="000C0C5B">
        <w:t>сти</w:t>
      </w:r>
      <w:proofErr w:type="gramEnd"/>
      <w:r w:rsidR="000C0C5B" w:rsidRPr="000C0C5B">
        <w:t xml:space="preserve"> удовлетворяющих требованиям организаций.</w:t>
      </w:r>
    </w:p>
    <w:p w:rsidR="000C0C5B" w:rsidRPr="000C0C5B" w:rsidRDefault="004A7FF7" w:rsidP="003347C0">
      <w:pPr>
        <w:pStyle w:val="SingleTxtGR"/>
      </w:pPr>
      <w:r>
        <w:t>16.</w:t>
      </w:r>
      <w:r>
        <w:tab/>
      </w:r>
      <w:r w:rsidR="000C0C5B" w:rsidRPr="000C0C5B">
        <w:t>Представитель гражданского общества подчеркнул важность создания т</w:t>
      </w:r>
      <w:r w:rsidR="000C0C5B" w:rsidRPr="000C0C5B">
        <w:t>а</w:t>
      </w:r>
      <w:r w:rsidR="000C0C5B" w:rsidRPr="000C0C5B">
        <w:t>кой структуры управления, которая могла бы обеспечить поддержку деятельн</w:t>
      </w:r>
      <w:r w:rsidR="000C0C5B" w:rsidRPr="000C0C5B">
        <w:t>о</w:t>
      </w:r>
      <w:r w:rsidR="000C0C5B" w:rsidRPr="000C0C5B">
        <w:t xml:space="preserve">сти фонда на местном уровне и со стороны большого числа заинтересованных сторон. </w:t>
      </w:r>
      <w:proofErr w:type="gramStart"/>
      <w:r w:rsidR="000C0C5B" w:rsidRPr="000C0C5B">
        <w:t>В этой связи было высказано предположение, что структура независ</w:t>
      </w:r>
      <w:r w:rsidR="000C0C5B" w:rsidRPr="000C0C5B">
        <w:t>и</w:t>
      </w:r>
      <w:r w:rsidR="000C0C5B" w:rsidRPr="000C0C5B">
        <w:t>мой организации под руководством многостороннего попечительского совета, отвечающего за расстановку приоритетов деятельности, предоставление гра</w:t>
      </w:r>
      <w:r w:rsidR="000C0C5B" w:rsidRPr="000C0C5B">
        <w:t>н</w:t>
      </w:r>
      <w:r w:rsidR="000C0C5B" w:rsidRPr="000C0C5B">
        <w:t>тов, надзор и контроль над реализацией программ, была бы наиболее эффе</w:t>
      </w:r>
      <w:r w:rsidR="000C0C5B" w:rsidRPr="000C0C5B">
        <w:t>к</w:t>
      </w:r>
      <w:r w:rsidR="000C0C5B" w:rsidRPr="000C0C5B">
        <w:t>тивной для укрепления потенциала и содействия осуществлению Руководящих принципов на всех уровнях управления и при участии всех групп заинтерес</w:t>
      </w:r>
      <w:r w:rsidR="000C0C5B" w:rsidRPr="000C0C5B">
        <w:t>о</w:t>
      </w:r>
      <w:r w:rsidR="000C0C5B" w:rsidRPr="000C0C5B">
        <w:t>ванных сторон.</w:t>
      </w:r>
      <w:proofErr w:type="gramEnd"/>
    </w:p>
    <w:p w:rsidR="000C0C5B" w:rsidRPr="000C0C5B" w:rsidRDefault="000C0C5B" w:rsidP="004A7FF7">
      <w:pPr>
        <w:pStyle w:val="HChGR"/>
      </w:pPr>
      <w:r w:rsidRPr="000C0C5B">
        <w:tab/>
      </w:r>
      <w:proofErr w:type="spellStart"/>
      <w:r w:rsidRPr="000C0C5B">
        <w:t>III</w:t>
      </w:r>
      <w:proofErr w:type="spellEnd"/>
      <w:r w:rsidRPr="000C0C5B">
        <w:t>.</w:t>
      </w:r>
      <w:r w:rsidRPr="000C0C5B">
        <w:tab/>
        <w:t>Вывод и рекомендации</w:t>
      </w:r>
    </w:p>
    <w:p w:rsidR="000C0C5B" w:rsidRPr="00740AC6" w:rsidRDefault="004A7FF7" w:rsidP="003347C0">
      <w:pPr>
        <w:pStyle w:val="SingleTxtGR"/>
        <w:rPr>
          <w:b/>
        </w:rPr>
      </w:pPr>
      <w:r>
        <w:t>17.</w:t>
      </w:r>
      <w:r>
        <w:tab/>
      </w:r>
      <w:r w:rsidR="000C0C5B" w:rsidRPr="00740AC6">
        <w:rPr>
          <w:b/>
        </w:rPr>
        <w:t>В свете изложенных выше мнений, выраженных заинтересованными сторонами, Верховный комиссар представляет следующее заключение и выносит рекомендации о дальнейших мерах для рассмотрения в ходе дв</w:t>
      </w:r>
      <w:r w:rsidR="000C0C5B" w:rsidRPr="00740AC6">
        <w:rPr>
          <w:b/>
        </w:rPr>
        <w:t>а</w:t>
      </w:r>
      <w:r w:rsidR="000C0C5B" w:rsidRPr="00740AC6">
        <w:rPr>
          <w:b/>
        </w:rPr>
        <w:t>дцать девятой сессии Совета по правам человека.</w:t>
      </w:r>
    </w:p>
    <w:p w:rsidR="000C0C5B" w:rsidRPr="00740AC6" w:rsidRDefault="004A7FF7" w:rsidP="003347C0">
      <w:pPr>
        <w:pStyle w:val="SingleTxtGR"/>
        <w:rPr>
          <w:b/>
        </w:rPr>
      </w:pPr>
      <w:r>
        <w:t>18.</w:t>
      </w:r>
      <w:r>
        <w:tab/>
      </w:r>
      <w:r w:rsidR="000C0C5B" w:rsidRPr="00740AC6">
        <w:rPr>
          <w:b/>
        </w:rPr>
        <w:t>Во-первых, Верховный комиссар хотел бы подчеркнуть, что любые решения Совета по этому вопросу должны приниматься с учетом тенде</w:t>
      </w:r>
      <w:r w:rsidR="000C0C5B" w:rsidRPr="00740AC6">
        <w:rPr>
          <w:b/>
        </w:rPr>
        <w:t>н</w:t>
      </w:r>
      <w:r w:rsidR="000C0C5B" w:rsidRPr="00740AC6">
        <w:rPr>
          <w:b/>
        </w:rPr>
        <w:t>ций расширения деятельности по укреплению потенциала и оказанию те</w:t>
      </w:r>
      <w:r w:rsidR="000C0C5B" w:rsidRPr="00740AC6">
        <w:rPr>
          <w:b/>
        </w:rPr>
        <w:t>х</w:t>
      </w:r>
      <w:r w:rsidR="000C0C5B" w:rsidRPr="00740AC6">
        <w:rPr>
          <w:b/>
        </w:rPr>
        <w:t xml:space="preserve">нического содействия, а также текущей ситуации с финансированием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 xml:space="preserve"> и правозащитной системой Организации Объединенных Наций в целом. В этой связи следует напомнить, что потребность в правозащитной </w:t>
      </w:r>
      <w:r w:rsidR="000C0C5B" w:rsidRPr="00740AC6">
        <w:rPr>
          <w:b/>
        </w:rPr>
        <w:lastRenderedPageBreak/>
        <w:t>помощи продолжает расти в геометр</w:t>
      </w:r>
      <w:r w:rsidR="000C0C5B" w:rsidRPr="00740AC6">
        <w:rPr>
          <w:b/>
        </w:rPr>
        <w:t>и</w:t>
      </w:r>
      <w:r w:rsidR="000C0C5B" w:rsidRPr="00740AC6">
        <w:rPr>
          <w:b/>
        </w:rPr>
        <w:t xml:space="preserve">ческой прогрессии, однако, в связи с нехваткой ресурсов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 xml:space="preserve"> вынуждено значительно сократить свою пр</w:t>
      </w:r>
      <w:r w:rsidR="000C0C5B" w:rsidRPr="00740AC6">
        <w:rPr>
          <w:b/>
        </w:rPr>
        <w:t>о</w:t>
      </w:r>
      <w:r w:rsidR="000C0C5B" w:rsidRPr="00740AC6">
        <w:rPr>
          <w:b/>
        </w:rPr>
        <w:t>грамму деятельности на 2015 год. Очевидно, что сложившаяся ситуация требует рассмотрения Советом в ходе дальнейшего обсуждения жизнесп</w:t>
      </w:r>
      <w:r w:rsidR="000C0C5B" w:rsidRPr="00740AC6">
        <w:rPr>
          <w:b/>
        </w:rPr>
        <w:t>о</w:t>
      </w:r>
      <w:r w:rsidR="000C0C5B" w:rsidRPr="00740AC6">
        <w:rPr>
          <w:b/>
        </w:rPr>
        <w:t>собности нового фонда для укрепления потенциала заинтересованных ст</w:t>
      </w:r>
      <w:r w:rsidR="000C0C5B" w:rsidRPr="00740AC6">
        <w:rPr>
          <w:b/>
        </w:rPr>
        <w:t>о</w:t>
      </w:r>
      <w:r w:rsidR="000C0C5B" w:rsidRPr="00740AC6">
        <w:rPr>
          <w:b/>
        </w:rPr>
        <w:t>рон по осуществлению Руководящих принципов предпринимательской д</w:t>
      </w:r>
      <w:r w:rsidR="000C0C5B" w:rsidRPr="00740AC6">
        <w:rPr>
          <w:b/>
        </w:rPr>
        <w:t>е</w:t>
      </w:r>
      <w:r w:rsidR="000C0C5B" w:rsidRPr="00740AC6">
        <w:rPr>
          <w:b/>
        </w:rPr>
        <w:t>ятельности в аспекте прав человека.</w:t>
      </w:r>
    </w:p>
    <w:p w:rsidR="000C0C5B" w:rsidRPr="00740AC6" w:rsidRDefault="004A7FF7" w:rsidP="003347C0">
      <w:pPr>
        <w:pStyle w:val="SingleTxtGR"/>
        <w:rPr>
          <w:b/>
        </w:rPr>
      </w:pPr>
      <w:r>
        <w:t>19.</w:t>
      </w:r>
      <w:r>
        <w:tab/>
      </w:r>
      <w:r w:rsidR="000C0C5B" w:rsidRPr="00740AC6">
        <w:rPr>
          <w:b/>
        </w:rPr>
        <w:t>Во-вторых, Верховный комиссар хотел бы подчеркнуть, что, как о</w:t>
      </w:r>
      <w:r w:rsidR="000C0C5B" w:rsidRPr="00740AC6">
        <w:rPr>
          <w:b/>
        </w:rPr>
        <w:t>т</w:t>
      </w:r>
      <w:r w:rsidR="000C0C5B" w:rsidRPr="00740AC6">
        <w:rPr>
          <w:b/>
        </w:rPr>
        <w:t xml:space="preserve">мечено в исследовании </w:t>
      </w:r>
      <w:r w:rsidRPr="00740AC6">
        <w:rPr>
          <w:b/>
        </w:rPr>
        <w:t>о реализуемости</w:t>
      </w:r>
      <w:r w:rsidR="000C0C5B" w:rsidRPr="00740AC6">
        <w:rPr>
          <w:b/>
        </w:rPr>
        <w:t>, любое решение относительно н</w:t>
      </w:r>
      <w:r w:rsidR="000C0C5B" w:rsidRPr="00740AC6">
        <w:rPr>
          <w:b/>
        </w:rPr>
        <w:t>о</w:t>
      </w:r>
      <w:r w:rsidR="000C0C5B" w:rsidRPr="00740AC6">
        <w:rPr>
          <w:b/>
        </w:rPr>
        <w:t>вого фонда в области предпринимательской деятельности и прав человека должно приниматься при участии Рабочей группы по вопросу о правах ч</w:t>
      </w:r>
      <w:r w:rsidR="000C0C5B" w:rsidRPr="00740AC6">
        <w:rPr>
          <w:b/>
        </w:rPr>
        <w:t>е</w:t>
      </w:r>
      <w:r w:rsidR="000C0C5B" w:rsidRPr="00740AC6">
        <w:rPr>
          <w:b/>
        </w:rPr>
        <w:t>ловека и транснациональных корпорациях и других предприятиях. Уч</w:t>
      </w:r>
      <w:r w:rsidR="000C0C5B" w:rsidRPr="00740AC6">
        <w:rPr>
          <w:b/>
        </w:rPr>
        <w:t>и</w:t>
      </w:r>
      <w:r w:rsidR="000C0C5B" w:rsidRPr="00740AC6">
        <w:rPr>
          <w:b/>
        </w:rPr>
        <w:t>тывая полномочия Рабочей группы по выявлению, обмену и поощрению передовой практики и извлечения уроков из осуществления Руководящих принципов, а также роль Группы в оказании поддержки деятельности по поощрению наращивания потенциала и использовании Руководящих принципов всеми субъектами, было бы важно пр</w:t>
      </w:r>
      <w:r w:rsidR="000C0C5B" w:rsidRPr="00740AC6">
        <w:rPr>
          <w:b/>
        </w:rPr>
        <w:t>и</w:t>
      </w:r>
      <w:r w:rsidR="000C0C5B" w:rsidRPr="00740AC6">
        <w:rPr>
          <w:b/>
        </w:rPr>
        <w:t>влечь Рабочую группу к формированию стр</w:t>
      </w:r>
      <w:r w:rsidR="000C0C5B" w:rsidRPr="00740AC6">
        <w:rPr>
          <w:b/>
        </w:rPr>
        <w:t>а</w:t>
      </w:r>
      <w:r w:rsidR="000C0C5B" w:rsidRPr="00740AC6">
        <w:rPr>
          <w:b/>
        </w:rPr>
        <w:t>тегической политики нового фонда.</w:t>
      </w:r>
    </w:p>
    <w:p w:rsidR="000C0C5B" w:rsidRPr="00740AC6" w:rsidRDefault="004A7FF7" w:rsidP="003347C0">
      <w:pPr>
        <w:pStyle w:val="SingleTxtGR"/>
        <w:rPr>
          <w:b/>
        </w:rPr>
      </w:pPr>
      <w:r>
        <w:t>20.</w:t>
      </w:r>
      <w:r>
        <w:tab/>
      </w:r>
      <w:proofErr w:type="gramStart"/>
      <w:r w:rsidR="000C0C5B" w:rsidRPr="00740AC6">
        <w:rPr>
          <w:b/>
        </w:rPr>
        <w:t>В-третьих, Верховный комиссар хотел бы вновь отметить, что в пр</w:t>
      </w:r>
      <w:r w:rsidR="000C0C5B" w:rsidRPr="00740AC6">
        <w:rPr>
          <w:b/>
        </w:rPr>
        <w:t>о</w:t>
      </w:r>
      <w:r w:rsidR="000C0C5B" w:rsidRPr="00740AC6">
        <w:rPr>
          <w:b/>
        </w:rPr>
        <w:t>цессе обсуждений в Совете между заинтересованными сторонами, судя по всему, складывается в целом единодушное мнение о том, что новый фонд может стать полезным механизмом поощрения осущ</w:t>
      </w:r>
      <w:r w:rsidRPr="00740AC6">
        <w:rPr>
          <w:b/>
        </w:rPr>
        <w:t>ествления Руковод</w:t>
      </w:r>
      <w:r w:rsidRPr="00740AC6">
        <w:rPr>
          <w:b/>
        </w:rPr>
        <w:t>я</w:t>
      </w:r>
      <w:r w:rsidRPr="00740AC6">
        <w:rPr>
          <w:b/>
        </w:rPr>
        <w:t>щих принципов</w:t>
      </w:r>
      <w:r w:rsidR="000C0C5B" w:rsidRPr="00740AC6">
        <w:rPr>
          <w:b/>
        </w:rPr>
        <w:t xml:space="preserve"> и что такой фонд должен иметь возможность принимать финансовые взносы от любого субъекта, включая государства, частные компании, благотворительные организации и частных лиц.</w:t>
      </w:r>
      <w:proofErr w:type="gramEnd"/>
      <w:r w:rsidR="000C0C5B" w:rsidRPr="00740AC6">
        <w:rPr>
          <w:b/>
        </w:rPr>
        <w:t xml:space="preserve"> </w:t>
      </w:r>
      <w:proofErr w:type="gramStart"/>
      <w:r w:rsidR="000C0C5B" w:rsidRPr="00740AC6">
        <w:rPr>
          <w:b/>
        </w:rPr>
        <w:t>Как было о</w:t>
      </w:r>
      <w:r w:rsidR="000C0C5B" w:rsidRPr="00740AC6">
        <w:rPr>
          <w:b/>
        </w:rPr>
        <w:t>т</w:t>
      </w:r>
      <w:r w:rsidR="000C0C5B" w:rsidRPr="00740AC6">
        <w:rPr>
          <w:b/>
        </w:rPr>
        <w:t xml:space="preserve">мечено в выводах исследования </w:t>
      </w:r>
      <w:r w:rsidR="00B36B22" w:rsidRPr="00740AC6">
        <w:rPr>
          <w:b/>
        </w:rPr>
        <w:t xml:space="preserve">о реализуемости, чрезвычайно важно </w:t>
      </w:r>
      <w:r w:rsidR="000C0C5B" w:rsidRPr="00740AC6">
        <w:rPr>
          <w:b/>
        </w:rPr>
        <w:t>д</w:t>
      </w:r>
      <w:r w:rsidR="000C0C5B" w:rsidRPr="00740AC6">
        <w:rPr>
          <w:b/>
        </w:rPr>
        <w:t>о</w:t>
      </w:r>
      <w:r w:rsidR="000C0C5B" w:rsidRPr="00740AC6">
        <w:rPr>
          <w:b/>
        </w:rPr>
        <w:t>стижение широкого консенсуса по вопросу о принятии соответствующих гарантий легитимности и независимости в отношении установления надлежащих гарантий законности и независимости любого нового мех</w:t>
      </w:r>
      <w:r w:rsidR="000C0C5B" w:rsidRPr="00740AC6">
        <w:rPr>
          <w:b/>
        </w:rPr>
        <w:t>а</w:t>
      </w:r>
      <w:r w:rsidR="000C0C5B" w:rsidRPr="00740AC6">
        <w:rPr>
          <w:b/>
        </w:rPr>
        <w:t>низма финансирования в этой области, в том числе путем обеспечения полной транспарентности доноров и выделения ресурсов для отдельных проектов.</w:t>
      </w:r>
      <w:proofErr w:type="gramEnd"/>
    </w:p>
    <w:p w:rsidR="000C0C5B" w:rsidRPr="00740AC6" w:rsidRDefault="00B36B22" w:rsidP="003347C0">
      <w:pPr>
        <w:pStyle w:val="SingleTxtGR"/>
        <w:rPr>
          <w:b/>
        </w:rPr>
      </w:pPr>
      <w:r>
        <w:t>21.</w:t>
      </w:r>
      <w:r>
        <w:tab/>
      </w:r>
      <w:r w:rsidR="000C0C5B" w:rsidRPr="00740AC6">
        <w:rPr>
          <w:b/>
        </w:rPr>
        <w:t>Этот консенсус представляет собой основ</w:t>
      </w:r>
      <w:r w:rsidRPr="00740AC6">
        <w:rPr>
          <w:b/>
        </w:rPr>
        <w:t>у, по</w:t>
      </w:r>
      <w:r w:rsidR="000C0C5B" w:rsidRPr="00740AC6">
        <w:rPr>
          <w:b/>
        </w:rPr>
        <w:t xml:space="preserve"> которой будет </w:t>
      </w:r>
      <w:r w:rsidRPr="00740AC6">
        <w:rPr>
          <w:b/>
        </w:rPr>
        <w:t>строит</w:t>
      </w:r>
      <w:r w:rsidRPr="00740AC6">
        <w:rPr>
          <w:b/>
        </w:rPr>
        <w:t>ь</w:t>
      </w:r>
      <w:r w:rsidRPr="00740AC6">
        <w:rPr>
          <w:b/>
        </w:rPr>
        <w:t>ся</w:t>
      </w:r>
      <w:r w:rsidR="000C0C5B" w:rsidRPr="00740AC6">
        <w:rPr>
          <w:b/>
        </w:rPr>
        <w:t xml:space="preserve"> дальнейшая деятельность Совета. Тем не менее остается разнообразие мнений по поводу приоритетных субъектов и видов деятельности, име</w:t>
      </w:r>
      <w:r w:rsidR="000C0C5B" w:rsidRPr="00740AC6">
        <w:rPr>
          <w:b/>
        </w:rPr>
        <w:t>ю</w:t>
      </w:r>
      <w:r w:rsidR="000C0C5B" w:rsidRPr="00740AC6">
        <w:rPr>
          <w:b/>
        </w:rPr>
        <w:t>щих право на помощь со стороны нового фонда, а также по поводу наиб</w:t>
      </w:r>
      <w:r w:rsidR="000C0C5B" w:rsidRPr="00740AC6">
        <w:rPr>
          <w:b/>
        </w:rPr>
        <w:t>о</w:t>
      </w:r>
      <w:r w:rsidR="000C0C5B" w:rsidRPr="00740AC6">
        <w:rPr>
          <w:b/>
        </w:rPr>
        <w:t>лее эффективной структуры для обеспечения максимального воздействия. С учетом всех указанных аспектов и существующих финансовых вызовов следующим полезным ш</w:t>
      </w:r>
      <w:r w:rsidR="000C0C5B" w:rsidRPr="00740AC6">
        <w:rPr>
          <w:b/>
        </w:rPr>
        <w:t>а</w:t>
      </w:r>
      <w:r w:rsidR="000C0C5B" w:rsidRPr="00740AC6">
        <w:rPr>
          <w:b/>
        </w:rPr>
        <w:t>гом было бы создание условий для проверки того, как укрепление потенциала в данной сфере осуществляется на практике. Такой шаг способствовал бы продолжению диалога и сбору дополнител</w:t>
      </w:r>
      <w:r w:rsidR="000C0C5B" w:rsidRPr="00740AC6">
        <w:rPr>
          <w:b/>
        </w:rPr>
        <w:t>ь</w:t>
      </w:r>
      <w:r w:rsidR="000C0C5B" w:rsidRPr="00740AC6">
        <w:rPr>
          <w:b/>
        </w:rPr>
        <w:t>ной информации, в том числе о заинтересованности доноров в поддержке деятельности по наращиванию потенциала в этой области на более пост</w:t>
      </w:r>
      <w:r w:rsidR="000C0C5B" w:rsidRPr="00740AC6">
        <w:rPr>
          <w:b/>
        </w:rPr>
        <w:t>о</w:t>
      </w:r>
      <w:r w:rsidR="000C0C5B" w:rsidRPr="00740AC6">
        <w:rPr>
          <w:b/>
        </w:rPr>
        <w:t>янной о</w:t>
      </w:r>
      <w:r w:rsidR="000C0C5B" w:rsidRPr="00740AC6">
        <w:rPr>
          <w:b/>
        </w:rPr>
        <w:t>с</w:t>
      </w:r>
      <w:r w:rsidR="000C0C5B" w:rsidRPr="00740AC6">
        <w:rPr>
          <w:b/>
        </w:rPr>
        <w:t>нове.</w:t>
      </w:r>
    </w:p>
    <w:p w:rsidR="000C0C5B" w:rsidRPr="00740AC6" w:rsidRDefault="00B36B22" w:rsidP="003347C0">
      <w:pPr>
        <w:pStyle w:val="SingleTxtGR"/>
        <w:rPr>
          <w:b/>
        </w:rPr>
      </w:pPr>
      <w:r>
        <w:t>22.</w:t>
      </w:r>
      <w:r>
        <w:tab/>
      </w:r>
      <w:r w:rsidR="000C0C5B" w:rsidRPr="00740AC6">
        <w:rPr>
          <w:b/>
        </w:rPr>
        <w:t>С уче</w:t>
      </w:r>
      <w:r w:rsidR="007160EB">
        <w:rPr>
          <w:b/>
        </w:rPr>
        <w:t>том изложенных выше соображений</w:t>
      </w:r>
      <w:r w:rsidR="000C0C5B" w:rsidRPr="00740AC6">
        <w:rPr>
          <w:b/>
        </w:rPr>
        <w:t xml:space="preserve"> Верховный комиссар рек</w:t>
      </w:r>
      <w:r w:rsidR="000C0C5B" w:rsidRPr="00740AC6">
        <w:rPr>
          <w:b/>
        </w:rPr>
        <w:t>о</w:t>
      </w:r>
      <w:r w:rsidR="000C0C5B" w:rsidRPr="00740AC6">
        <w:rPr>
          <w:b/>
        </w:rPr>
        <w:t>мендует Совету по правам человека рассмотреть следующее:</w:t>
      </w:r>
    </w:p>
    <w:p w:rsidR="000C0C5B" w:rsidRPr="00740AC6" w:rsidRDefault="00B36B22" w:rsidP="003347C0">
      <w:pPr>
        <w:pStyle w:val="SingleTxtGR"/>
        <w:rPr>
          <w:b/>
        </w:rPr>
      </w:pPr>
      <w:r>
        <w:rPr>
          <w:bCs/>
        </w:rPr>
        <w:tab/>
      </w:r>
      <w:r w:rsidR="000C0C5B" w:rsidRPr="000C0C5B">
        <w:rPr>
          <w:bCs/>
        </w:rPr>
        <w:t>a)</w:t>
      </w:r>
      <w:r w:rsidR="000C0C5B" w:rsidRPr="000C0C5B">
        <w:rPr>
          <w:bCs/>
        </w:rPr>
        <w:tab/>
      </w:r>
      <w:r w:rsidRPr="00740AC6">
        <w:rPr>
          <w:b/>
        </w:rPr>
        <w:t>в</w:t>
      </w:r>
      <w:r w:rsidR="000C0C5B" w:rsidRPr="00740AC6">
        <w:rPr>
          <w:b/>
        </w:rPr>
        <w:t xml:space="preserve"> целях дальнейшего </w:t>
      </w:r>
      <w:r w:rsidRPr="00740AC6">
        <w:rPr>
          <w:b/>
        </w:rPr>
        <w:t>информационного сопровождения</w:t>
      </w:r>
      <w:r w:rsidR="000C0C5B" w:rsidRPr="00740AC6">
        <w:rPr>
          <w:b/>
        </w:rPr>
        <w:t xml:space="preserve"> проце</w:t>
      </w:r>
      <w:r w:rsidR="000C0C5B" w:rsidRPr="00740AC6">
        <w:rPr>
          <w:b/>
        </w:rPr>
        <w:t>с</w:t>
      </w:r>
      <w:r w:rsidR="000C0C5B" w:rsidRPr="00740AC6">
        <w:rPr>
          <w:b/>
        </w:rPr>
        <w:t>са принятия решения о создании постоянного механизма укрепления п</w:t>
      </w:r>
      <w:r w:rsidR="000C0C5B" w:rsidRPr="00740AC6">
        <w:rPr>
          <w:b/>
        </w:rPr>
        <w:t>о</w:t>
      </w:r>
      <w:r w:rsidR="000C0C5B" w:rsidRPr="00740AC6">
        <w:rPr>
          <w:b/>
        </w:rPr>
        <w:t>тенциала заинтересованных сторон по осуществлению Руководящих при</w:t>
      </w:r>
      <w:r w:rsidR="000C0C5B" w:rsidRPr="00740AC6">
        <w:rPr>
          <w:b/>
        </w:rPr>
        <w:t>н</w:t>
      </w:r>
      <w:r w:rsidR="000C0C5B" w:rsidRPr="00740AC6">
        <w:rPr>
          <w:b/>
        </w:rPr>
        <w:t>ципов предпринимательской деятельности в аспекте прав человека со ст</w:t>
      </w:r>
      <w:r w:rsidR="000C0C5B" w:rsidRPr="00740AC6">
        <w:rPr>
          <w:b/>
        </w:rPr>
        <w:t>о</w:t>
      </w:r>
      <w:r w:rsidR="000C0C5B" w:rsidRPr="00740AC6">
        <w:rPr>
          <w:b/>
        </w:rPr>
        <w:t xml:space="preserve">роны Совета следует направить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 xml:space="preserve"> запрос о разработке </w:t>
      </w:r>
      <w:r w:rsidRPr="00740AC6">
        <w:rPr>
          <w:b/>
        </w:rPr>
        <w:t>экспериме</w:t>
      </w:r>
      <w:r w:rsidRPr="00740AC6">
        <w:rPr>
          <w:b/>
        </w:rPr>
        <w:t>н</w:t>
      </w:r>
      <w:r w:rsidRPr="00740AC6">
        <w:rPr>
          <w:b/>
        </w:rPr>
        <w:lastRenderedPageBreak/>
        <w:t>тальной</w:t>
      </w:r>
      <w:r w:rsidR="000C0C5B" w:rsidRPr="00740AC6">
        <w:rPr>
          <w:b/>
        </w:rPr>
        <w:t xml:space="preserve"> версии проекта для проверки жизнеспособности фонда для укре</w:t>
      </w:r>
      <w:r w:rsidR="000C0C5B" w:rsidRPr="00740AC6">
        <w:rPr>
          <w:b/>
        </w:rPr>
        <w:t>п</w:t>
      </w:r>
      <w:r w:rsidR="000C0C5B" w:rsidRPr="00740AC6">
        <w:rPr>
          <w:b/>
        </w:rPr>
        <w:t xml:space="preserve">ления потенциала в данной области. Следует, однако, подчеркнуть, что </w:t>
      </w:r>
      <w:r w:rsidRPr="00740AC6">
        <w:rPr>
          <w:b/>
        </w:rPr>
        <w:t>экспериментальный</w:t>
      </w:r>
      <w:r w:rsidR="000C0C5B" w:rsidRPr="00740AC6">
        <w:rPr>
          <w:b/>
        </w:rPr>
        <w:t xml:space="preserve"> проект может быть осуществлен только при наличии достаточных ресурсов, определяемых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>;</w:t>
      </w:r>
    </w:p>
    <w:p w:rsidR="000C0C5B" w:rsidRPr="00740AC6" w:rsidRDefault="00B36B22" w:rsidP="003347C0">
      <w:pPr>
        <w:pStyle w:val="SingleTxtGR"/>
        <w:rPr>
          <w:b/>
        </w:rPr>
      </w:pPr>
      <w:r>
        <w:rPr>
          <w:bCs/>
        </w:rPr>
        <w:tab/>
      </w:r>
      <w:proofErr w:type="gramStart"/>
      <w:r w:rsidR="000C0C5B" w:rsidRPr="000C0C5B">
        <w:rPr>
          <w:bCs/>
        </w:rPr>
        <w:t>b)</w:t>
      </w:r>
      <w:r w:rsidR="000C0C5B" w:rsidRPr="000C0C5B">
        <w:tab/>
      </w:r>
      <w:r w:rsidRPr="00740AC6">
        <w:rPr>
          <w:b/>
        </w:rPr>
        <w:t>в</w:t>
      </w:r>
      <w:r w:rsidR="000C0C5B" w:rsidRPr="00740AC6">
        <w:rPr>
          <w:b/>
        </w:rPr>
        <w:t xml:space="preserve"> рамках </w:t>
      </w:r>
      <w:r w:rsidRPr="00740AC6">
        <w:rPr>
          <w:b/>
        </w:rPr>
        <w:t>экспериментального</w:t>
      </w:r>
      <w:r w:rsidR="000C0C5B" w:rsidRPr="00740AC6">
        <w:rPr>
          <w:b/>
        </w:rPr>
        <w:t xml:space="preserve"> проекта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 xml:space="preserve"> Рабочую группу по вопросу о правах человека и транснациональных корпорациях и других пре</w:t>
      </w:r>
      <w:r w:rsidR="000C0C5B" w:rsidRPr="00740AC6">
        <w:rPr>
          <w:b/>
        </w:rPr>
        <w:t>д</w:t>
      </w:r>
      <w:r w:rsidR="000C0C5B" w:rsidRPr="00740AC6">
        <w:rPr>
          <w:b/>
        </w:rPr>
        <w:t>приятиях и других соответствующих партнеров системы Организации Объед</w:t>
      </w:r>
      <w:r w:rsidR="000C0C5B" w:rsidRPr="00740AC6">
        <w:rPr>
          <w:b/>
        </w:rPr>
        <w:t>и</w:t>
      </w:r>
      <w:r w:rsidR="000C0C5B" w:rsidRPr="00740AC6">
        <w:rPr>
          <w:b/>
        </w:rPr>
        <w:t>ненных Наций следует наделить полномочиями по предоставлению финансовой помощи, при условии наличия ресурсов, представительному числу проектов для наращивания потенциала по осуществлению Руков</w:t>
      </w:r>
      <w:r w:rsidR="000C0C5B" w:rsidRPr="00740AC6">
        <w:rPr>
          <w:b/>
        </w:rPr>
        <w:t>о</w:t>
      </w:r>
      <w:r w:rsidR="000C0C5B" w:rsidRPr="00740AC6">
        <w:rPr>
          <w:b/>
        </w:rPr>
        <w:t>дящих принципов и представлению Совету в течение трех лет выводов и уроков,</w:t>
      </w:r>
      <w:r w:rsidR="00534338" w:rsidRPr="00740AC6">
        <w:rPr>
          <w:b/>
        </w:rPr>
        <w:t xml:space="preserve"> </w:t>
      </w:r>
      <w:r w:rsidR="000C0C5B" w:rsidRPr="00740AC6">
        <w:rPr>
          <w:b/>
        </w:rPr>
        <w:t>извлеченных из</w:t>
      </w:r>
      <w:proofErr w:type="gramEnd"/>
      <w:r w:rsidR="000C0C5B" w:rsidRPr="00740AC6">
        <w:rPr>
          <w:b/>
        </w:rPr>
        <w:t xml:space="preserve"> пилотного проекта;</w:t>
      </w:r>
    </w:p>
    <w:p w:rsidR="000C0C5B" w:rsidRPr="000C0C5B" w:rsidRDefault="00AE2C27" w:rsidP="003347C0">
      <w:pPr>
        <w:pStyle w:val="SingleTxtGR"/>
      </w:pPr>
      <w:r>
        <w:rPr>
          <w:bCs/>
        </w:rPr>
        <w:tab/>
      </w:r>
      <w:r w:rsidR="000C0C5B" w:rsidRPr="000C0C5B">
        <w:rPr>
          <w:bCs/>
        </w:rPr>
        <w:t>c)</w:t>
      </w:r>
      <w:r>
        <w:rPr>
          <w:bCs/>
        </w:rPr>
        <w:tab/>
      </w:r>
      <w:r w:rsidR="000C0C5B" w:rsidRPr="00740AC6">
        <w:rPr>
          <w:b/>
        </w:rPr>
        <w:t xml:space="preserve">Верховному комиссару </w:t>
      </w:r>
      <w:r w:rsidRPr="00740AC6">
        <w:rPr>
          <w:b/>
        </w:rPr>
        <w:t>следует предложить предоставить ко</w:t>
      </w:r>
      <w:r w:rsidRPr="00740AC6">
        <w:rPr>
          <w:b/>
        </w:rPr>
        <w:t>н</w:t>
      </w:r>
      <w:r w:rsidRPr="00740AC6">
        <w:rPr>
          <w:b/>
        </w:rPr>
        <w:t>сультации группам</w:t>
      </w:r>
      <w:r w:rsidR="000C0C5B" w:rsidRPr="00740AC6">
        <w:rPr>
          <w:b/>
        </w:rPr>
        <w:t xml:space="preserve"> лиц и организаци</w:t>
      </w:r>
      <w:r w:rsidRPr="00740AC6">
        <w:rPr>
          <w:b/>
        </w:rPr>
        <w:t>ям</w:t>
      </w:r>
      <w:r w:rsidR="000C0C5B" w:rsidRPr="00740AC6">
        <w:rPr>
          <w:b/>
        </w:rPr>
        <w:t>, представляющ</w:t>
      </w:r>
      <w:r w:rsidRPr="00740AC6">
        <w:rPr>
          <w:b/>
        </w:rPr>
        <w:t>им</w:t>
      </w:r>
      <w:r w:rsidR="000C0C5B" w:rsidRPr="00740AC6">
        <w:rPr>
          <w:b/>
        </w:rPr>
        <w:t xml:space="preserve"> все заинтерес</w:t>
      </w:r>
      <w:r w:rsidR="000C0C5B" w:rsidRPr="00740AC6">
        <w:rPr>
          <w:b/>
        </w:rPr>
        <w:t>о</w:t>
      </w:r>
      <w:r w:rsidR="000C0C5B" w:rsidRPr="00740AC6">
        <w:rPr>
          <w:b/>
        </w:rPr>
        <w:t xml:space="preserve">ванные стороны, для </w:t>
      </w:r>
      <w:r w:rsidRPr="00740AC6">
        <w:rPr>
          <w:b/>
        </w:rPr>
        <w:t>обеспечения</w:t>
      </w:r>
      <w:r w:rsidR="000C0C5B" w:rsidRPr="00740AC6">
        <w:rPr>
          <w:b/>
        </w:rPr>
        <w:t xml:space="preserve"> </w:t>
      </w:r>
      <w:proofErr w:type="spellStart"/>
      <w:r w:rsidR="000C0C5B" w:rsidRPr="00740AC6">
        <w:rPr>
          <w:b/>
        </w:rPr>
        <w:t>УВКПЧ</w:t>
      </w:r>
      <w:proofErr w:type="spellEnd"/>
      <w:r w:rsidR="000C0C5B" w:rsidRPr="00740AC6">
        <w:rPr>
          <w:b/>
        </w:rPr>
        <w:t xml:space="preserve"> стратегического руководства </w:t>
      </w:r>
      <w:r w:rsidRPr="00740AC6">
        <w:rPr>
          <w:b/>
        </w:rPr>
        <w:t>в ходе</w:t>
      </w:r>
      <w:r w:rsidR="000C0C5B" w:rsidRPr="00740AC6">
        <w:rPr>
          <w:b/>
        </w:rPr>
        <w:t xml:space="preserve"> экспериментальн</w:t>
      </w:r>
      <w:r w:rsidRPr="00740AC6">
        <w:rPr>
          <w:b/>
        </w:rPr>
        <w:t>ого</w:t>
      </w:r>
      <w:r w:rsidR="000C0C5B" w:rsidRPr="00740AC6">
        <w:rPr>
          <w:b/>
        </w:rPr>
        <w:t xml:space="preserve"> проекта, в том числе в отношении критериев о</w:t>
      </w:r>
      <w:r w:rsidR="000C0C5B" w:rsidRPr="00740AC6">
        <w:rPr>
          <w:b/>
        </w:rPr>
        <w:t>т</w:t>
      </w:r>
      <w:r w:rsidR="000C0C5B" w:rsidRPr="00740AC6">
        <w:rPr>
          <w:b/>
        </w:rPr>
        <w:t>бора пилотных проектов по наращиванию потенциала. Такие консульт</w:t>
      </w:r>
      <w:r w:rsidR="000C0C5B" w:rsidRPr="00740AC6">
        <w:rPr>
          <w:b/>
        </w:rPr>
        <w:t>а</w:t>
      </w:r>
      <w:r w:rsidR="000C0C5B" w:rsidRPr="00740AC6">
        <w:rPr>
          <w:b/>
        </w:rPr>
        <w:t>ции могут быть начаты во время четвертого ежегодного Форума по вопр</w:t>
      </w:r>
      <w:r w:rsidR="000C0C5B" w:rsidRPr="00740AC6">
        <w:rPr>
          <w:b/>
        </w:rPr>
        <w:t>о</w:t>
      </w:r>
      <w:r w:rsidR="000C0C5B" w:rsidRPr="00740AC6">
        <w:rPr>
          <w:b/>
        </w:rPr>
        <w:t>сам предпринимательской деятельности и прав человека, который будет проведен в ноябре 2015 года при участии Рабочей группы. Лица и орган</w:t>
      </w:r>
      <w:r w:rsidR="000C0C5B" w:rsidRPr="00740AC6">
        <w:rPr>
          <w:b/>
        </w:rPr>
        <w:t>и</w:t>
      </w:r>
      <w:r w:rsidR="000C0C5B" w:rsidRPr="00740AC6">
        <w:rPr>
          <w:b/>
        </w:rPr>
        <w:t>зации, участвующие в консультациях</w:t>
      </w:r>
      <w:r w:rsidRPr="00740AC6">
        <w:rPr>
          <w:b/>
        </w:rPr>
        <w:t>,</w:t>
      </w:r>
      <w:r w:rsidR="000C0C5B" w:rsidRPr="00740AC6">
        <w:rPr>
          <w:b/>
        </w:rPr>
        <w:t xml:space="preserve"> не обладают полномочиями по пр</w:t>
      </w:r>
      <w:r w:rsidR="000C0C5B" w:rsidRPr="00740AC6">
        <w:rPr>
          <w:b/>
        </w:rPr>
        <w:t>и</w:t>
      </w:r>
      <w:r w:rsidR="000C0C5B" w:rsidRPr="00740AC6">
        <w:rPr>
          <w:b/>
        </w:rPr>
        <w:t>нятию решений о том, какие проекты имеют право на получение помощи, или о том, кто может принять участие в финансировании или получить его. Аналогичным образом частные и государственные доноры пилотных проектов по наращиванию потенциала не принимают прямого участия в принятии решений о том, какие проекты имеют право на получение пом</w:t>
      </w:r>
      <w:r w:rsidR="000C0C5B" w:rsidRPr="00740AC6">
        <w:rPr>
          <w:b/>
        </w:rPr>
        <w:t>о</w:t>
      </w:r>
      <w:r w:rsidR="000C0C5B" w:rsidRPr="00740AC6">
        <w:rPr>
          <w:b/>
        </w:rPr>
        <w:t>щи, во избежание конфликта инт</w:t>
      </w:r>
      <w:r w:rsidR="000C0C5B" w:rsidRPr="00740AC6">
        <w:rPr>
          <w:b/>
        </w:rPr>
        <w:t>е</w:t>
      </w:r>
      <w:r w:rsidR="000C0C5B" w:rsidRPr="00740AC6">
        <w:rPr>
          <w:b/>
        </w:rPr>
        <w:t>ресов</w:t>
      </w:r>
      <w:r w:rsidR="000C0C5B" w:rsidRPr="000C0C5B">
        <w:t>.</w:t>
      </w:r>
    </w:p>
    <w:p w:rsidR="000C0C5B" w:rsidRPr="00740AC6" w:rsidRDefault="00AE2C27" w:rsidP="003347C0">
      <w:pPr>
        <w:pStyle w:val="SingleTxtGR"/>
        <w:rPr>
          <w:b/>
        </w:rPr>
      </w:pPr>
      <w:r>
        <w:t>23.</w:t>
      </w:r>
      <w:r>
        <w:tab/>
      </w:r>
      <w:proofErr w:type="gramStart"/>
      <w:r w:rsidR="000C0C5B" w:rsidRPr="00740AC6">
        <w:rPr>
          <w:b/>
        </w:rPr>
        <w:t>Учитывая результаты уже проведенных консультаций и взаимозав</w:t>
      </w:r>
      <w:r w:rsidR="000C0C5B" w:rsidRPr="00740AC6">
        <w:rPr>
          <w:b/>
        </w:rPr>
        <w:t>и</w:t>
      </w:r>
      <w:r w:rsidR="000C0C5B" w:rsidRPr="00740AC6">
        <w:rPr>
          <w:b/>
        </w:rPr>
        <w:t>симый характер трех основополагающих положений Рамок, касающихся "защиты, соблюдения и средств правовой защиты", и Руководящих при</w:t>
      </w:r>
      <w:r w:rsidR="000C0C5B" w:rsidRPr="00740AC6">
        <w:rPr>
          <w:b/>
        </w:rPr>
        <w:t>н</w:t>
      </w:r>
      <w:r w:rsidR="000C0C5B" w:rsidRPr="00740AC6">
        <w:rPr>
          <w:b/>
        </w:rPr>
        <w:t xml:space="preserve">ципов, Совету следует подтвердить широкие полномочия в отношении </w:t>
      </w:r>
      <w:r w:rsidRPr="00740AC6">
        <w:rPr>
          <w:b/>
        </w:rPr>
        <w:t>эк</w:t>
      </w:r>
      <w:r w:rsidRPr="00740AC6">
        <w:rPr>
          <w:b/>
        </w:rPr>
        <w:t>с</w:t>
      </w:r>
      <w:r w:rsidRPr="00740AC6">
        <w:rPr>
          <w:b/>
        </w:rPr>
        <w:t>периментального</w:t>
      </w:r>
      <w:r w:rsidR="000C0C5B" w:rsidRPr="00740AC6">
        <w:rPr>
          <w:b/>
        </w:rPr>
        <w:t xml:space="preserve"> пр</w:t>
      </w:r>
      <w:r w:rsidR="000C0C5B" w:rsidRPr="00740AC6">
        <w:rPr>
          <w:b/>
        </w:rPr>
        <w:t>о</w:t>
      </w:r>
      <w:r w:rsidR="000C0C5B" w:rsidRPr="00740AC6">
        <w:rPr>
          <w:b/>
        </w:rPr>
        <w:t>екта, включающие возможность оказания поддержки укреплению потенциала по осуществлению Руководящих принципов на всех уровнях управления и при участии всех соответствующих групп заи</w:t>
      </w:r>
      <w:r w:rsidR="000C0C5B" w:rsidRPr="00740AC6">
        <w:rPr>
          <w:b/>
        </w:rPr>
        <w:t>н</w:t>
      </w:r>
      <w:r w:rsidR="000C0C5B" w:rsidRPr="00740AC6">
        <w:rPr>
          <w:b/>
        </w:rPr>
        <w:t>тересованных сторон, за исключением учреждений и программ Организ</w:t>
      </w:r>
      <w:r w:rsidR="000C0C5B" w:rsidRPr="00740AC6">
        <w:rPr>
          <w:b/>
        </w:rPr>
        <w:t>а</w:t>
      </w:r>
      <w:r w:rsidR="000C0C5B" w:rsidRPr="00740AC6">
        <w:rPr>
          <w:b/>
        </w:rPr>
        <w:t>ции Объединенных</w:t>
      </w:r>
      <w:proofErr w:type="gramEnd"/>
      <w:r w:rsidR="000C0C5B" w:rsidRPr="00740AC6">
        <w:rPr>
          <w:b/>
        </w:rPr>
        <w:t xml:space="preserve"> Наций. Приоритетное внимание необходимо уделить всем ключевым группам заинтересованных сторон в развивающихся стр</w:t>
      </w:r>
      <w:r w:rsidR="000C0C5B" w:rsidRPr="00740AC6">
        <w:rPr>
          <w:b/>
        </w:rPr>
        <w:t>а</w:t>
      </w:r>
      <w:r w:rsidR="000C0C5B" w:rsidRPr="00740AC6">
        <w:rPr>
          <w:b/>
        </w:rPr>
        <w:t xml:space="preserve">нах путем, </w:t>
      </w:r>
      <w:r w:rsidRPr="00740AC6">
        <w:rPr>
          <w:b/>
        </w:rPr>
        <w:t>например</w:t>
      </w:r>
      <w:r w:rsidR="000C0C5B" w:rsidRPr="00740AC6">
        <w:rPr>
          <w:b/>
        </w:rPr>
        <w:t>:</w:t>
      </w:r>
    </w:p>
    <w:p w:rsidR="000C0C5B" w:rsidRPr="00740AC6" w:rsidRDefault="00AE2C27" w:rsidP="003347C0">
      <w:pPr>
        <w:pStyle w:val="SingleTxtGR"/>
        <w:rPr>
          <w:b/>
        </w:rPr>
      </w:pPr>
      <w:r>
        <w:tab/>
        <w:t>а)</w:t>
      </w:r>
      <w:r>
        <w:tab/>
      </w:r>
      <w:r w:rsidR="00534338" w:rsidRPr="00740AC6">
        <w:rPr>
          <w:b/>
        </w:rPr>
        <w:t>п</w:t>
      </w:r>
      <w:r w:rsidR="000C0C5B" w:rsidRPr="00740AC6">
        <w:rPr>
          <w:b/>
        </w:rPr>
        <w:t>оддержки организаций гражданского общества с ограниче</w:t>
      </w:r>
      <w:r w:rsidR="000C0C5B" w:rsidRPr="00740AC6">
        <w:rPr>
          <w:b/>
        </w:rPr>
        <w:t>н</w:t>
      </w:r>
      <w:r w:rsidR="000C0C5B" w:rsidRPr="00740AC6">
        <w:rPr>
          <w:b/>
        </w:rPr>
        <w:t>ными ресурсами для укрепления потенциала местных общин и маргинал</w:t>
      </w:r>
      <w:r w:rsidR="000C0C5B" w:rsidRPr="00740AC6">
        <w:rPr>
          <w:b/>
        </w:rPr>
        <w:t>и</w:t>
      </w:r>
      <w:r w:rsidR="000C0C5B" w:rsidRPr="00740AC6">
        <w:rPr>
          <w:b/>
        </w:rPr>
        <w:t>зированных групп заинтересованных сторон в вопросах, касающихся ос</w:t>
      </w:r>
      <w:r w:rsidR="000C0C5B" w:rsidRPr="00740AC6">
        <w:rPr>
          <w:b/>
        </w:rPr>
        <w:t>у</w:t>
      </w:r>
      <w:r w:rsidR="000C0C5B" w:rsidRPr="00740AC6">
        <w:rPr>
          <w:b/>
        </w:rPr>
        <w:t>ществления рук</w:t>
      </w:r>
      <w:r w:rsidR="000C0C5B" w:rsidRPr="00740AC6">
        <w:rPr>
          <w:b/>
        </w:rPr>
        <w:t>о</w:t>
      </w:r>
      <w:r w:rsidR="000C0C5B" w:rsidRPr="00740AC6">
        <w:rPr>
          <w:b/>
        </w:rPr>
        <w:t>водящих принципов;</w:t>
      </w:r>
    </w:p>
    <w:p w:rsidR="000C0C5B" w:rsidRPr="00740AC6" w:rsidRDefault="00534338" w:rsidP="003347C0">
      <w:pPr>
        <w:pStyle w:val="SingleTxtGR"/>
        <w:rPr>
          <w:b/>
        </w:rPr>
      </w:pPr>
      <w:r>
        <w:tab/>
      </w:r>
      <w:r>
        <w:rPr>
          <w:lang w:val="en-US"/>
        </w:rPr>
        <w:t>b</w:t>
      </w:r>
      <w:r w:rsidRPr="00534338">
        <w:t>)</w:t>
      </w:r>
      <w:r w:rsidRPr="00534338">
        <w:tab/>
      </w:r>
      <w:proofErr w:type="gramStart"/>
      <w:r w:rsidRPr="00740AC6">
        <w:rPr>
          <w:b/>
        </w:rPr>
        <w:t>р</w:t>
      </w:r>
      <w:r w:rsidR="000C0C5B" w:rsidRPr="00740AC6">
        <w:rPr>
          <w:b/>
        </w:rPr>
        <w:t>азвития</w:t>
      </w:r>
      <w:proofErr w:type="gramEnd"/>
      <w:r w:rsidR="000C0C5B" w:rsidRPr="00740AC6">
        <w:rPr>
          <w:b/>
        </w:rPr>
        <w:t xml:space="preserve"> многостороннего сотрудничества заинтересованных сторон, </w:t>
      </w:r>
      <w:r w:rsidRPr="00740AC6">
        <w:rPr>
          <w:b/>
        </w:rPr>
        <w:t xml:space="preserve">нацеленного </w:t>
      </w:r>
      <w:r w:rsidR="000C0C5B" w:rsidRPr="00740AC6">
        <w:rPr>
          <w:b/>
        </w:rPr>
        <w:t>на оказани</w:t>
      </w:r>
      <w:r w:rsidRPr="00740AC6">
        <w:rPr>
          <w:b/>
        </w:rPr>
        <w:t>е</w:t>
      </w:r>
      <w:r w:rsidR="000C0C5B" w:rsidRPr="00740AC6">
        <w:rPr>
          <w:b/>
        </w:rPr>
        <w:t xml:space="preserve"> поддержки малым и средним предпри</w:t>
      </w:r>
      <w:r w:rsidR="000C0C5B" w:rsidRPr="00740AC6">
        <w:rPr>
          <w:b/>
        </w:rPr>
        <w:t>я</w:t>
      </w:r>
      <w:r w:rsidR="000C0C5B" w:rsidRPr="00740AC6">
        <w:rPr>
          <w:b/>
        </w:rPr>
        <w:t>тиям в осуществлении их обязательств в соответствии с Руководящими принципами;</w:t>
      </w:r>
    </w:p>
    <w:p w:rsidR="000C0C5B" w:rsidRPr="00740AC6" w:rsidRDefault="00534338" w:rsidP="00740AC6">
      <w:pPr>
        <w:pStyle w:val="SingleTxtGR"/>
        <w:spacing w:after="0"/>
        <w:rPr>
          <w:b/>
        </w:rPr>
      </w:pPr>
      <w:r w:rsidRPr="00534338">
        <w:tab/>
      </w:r>
      <w:r>
        <w:rPr>
          <w:lang w:val="en-US"/>
        </w:rPr>
        <w:t>c</w:t>
      </w:r>
      <w:r w:rsidRPr="00534338">
        <w:t>)</w:t>
      </w:r>
      <w:r w:rsidRPr="00534338">
        <w:tab/>
      </w:r>
      <w:proofErr w:type="gramStart"/>
      <w:r w:rsidRPr="00740AC6">
        <w:rPr>
          <w:b/>
        </w:rPr>
        <w:t>о</w:t>
      </w:r>
      <w:r w:rsidR="000C0C5B" w:rsidRPr="00740AC6">
        <w:rPr>
          <w:b/>
        </w:rPr>
        <w:t>казания</w:t>
      </w:r>
      <w:proofErr w:type="gramEnd"/>
      <w:r w:rsidR="000C0C5B" w:rsidRPr="00740AC6">
        <w:rPr>
          <w:b/>
        </w:rPr>
        <w:t xml:space="preserve"> поддержки правительствам, разрабатывающим нац</w:t>
      </w:r>
      <w:r w:rsidR="000C0C5B" w:rsidRPr="00740AC6">
        <w:rPr>
          <w:b/>
        </w:rPr>
        <w:t>и</w:t>
      </w:r>
      <w:r w:rsidR="000C0C5B" w:rsidRPr="00740AC6">
        <w:rPr>
          <w:b/>
        </w:rPr>
        <w:t>ональные планы действий по предпринимательской деятельности в аспе</w:t>
      </w:r>
      <w:r w:rsidR="000C0C5B" w:rsidRPr="00740AC6">
        <w:rPr>
          <w:b/>
        </w:rPr>
        <w:t>к</w:t>
      </w:r>
      <w:r w:rsidR="000C0C5B" w:rsidRPr="00740AC6">
        <w:rPr>
          <w:b/>
        </w:rPr>
        <w:t>те прав челов</w:t>
      </w:r>
      <w:r w:rsidR="000C0C5B" w:rsidRPr="00740AC6">
        <w:rPr>
          <w:b/>
        </w:rPr>
        <w:t>е</w:t>
      </w:r>
      <w:r w:rsidR="000C0C5B" w:rsidRPr="00740AC6">
        <w:rPr>
          <w:b/>
        </w:rPr>
        <w:t>ка.</w:t>
      </w:r>
    </w:p>
    <w:p w:rsidR="00E147C1" w:rsidRPr="00534338" w:rsidRDefault="00534338" w:rsidP="00740AC6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47C1" w:rsidRPr="00534338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27" w:rsidRDefault="00AE2C27">
      <w:r>
        <w:rPr>
          <w:lang w:val="en-US"/>
        </w:rPr>
        <w:tab/>
      </w:r>
      <w:r>
        <w:separator/>
      </w:r>
    </w:p>
  </w:endnote>
  <w:endnote w:type="continuationSeparator" w:id="0">
    <w:p w:rsidR="00AE2C27" w:rsidRDefault="00AE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27" w:rsidRPr="009A6F4A" w:rsidRDefault="00AE2C27" w:rsidP="00E147C1">
    <w:pPr>
      <w:pStyle w:val="ac"/>
      <w:rPr>
        <w:lang w:val="en-US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07334">
      <w:rPr>
        <w:rStyle w:val="ad"/>
        <w:noProof/>
      </w:rPr>
      <w:t>8</w:t>
    </w:r>
    <w:r>
      <w:rPr>
        <w:rStyle w:val="ad"/>
      </w:rPr>
      <w:fldChar w:fldCharType="end"/>
    </w:r>
    <w:r>
      <w:rPr>
        <w:lang w:val="en-US"/>
      </w:rPr>
      <w:tab/>
      <w:t>GE.15-08558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27" w:rsidRPr="009A6F4A" w:rsidRDefault="00AE2C27" w:rsidP="00E147C1">
    <w:pPr>
      <w:pStyle w:val="ac"/>
      <w:rPr>
        <w:lang w:val="en-US"/>
      </w:rPr>
    </w:pPr>
    <w:r>
      <w:rPr>
        <w:lang w:val="en-US"/>
      </w:rPr>
      <w:t>GE.15-08558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07334">
      <w:rPr>
        <w:rStyle w:val="ad"/>
        <w:noProof/>
      </w:rPr>
      <w:t>9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00"/>
      <w:gridCol w:w="4476"/>
      <w:gridCol w:w="1879"/>
    </w:tblGrid>
    <w:tr w:rsidR="00AE2C27" w:rsidTr="00B35C22">
      <w:trPr>
        <w:trHeight w:val="438"/>
      </w:trPr>
      <w:tc>
        <w:tcPr>
          <w:tcW w:w="3500" w:type="dxa"/>
          <w:vAlign w:val="bottom"/>
        </w:tcPr>
        <w:p w:rsidR="00AE2C27" w:rsidRPr="00B35C22" w:rsidRDefault="00AE2C27" w:rsidP="00E147C1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t>08558</w:t>
          </w:r>
          <w:r w:rsidRPr="006D4931">
            <w:rPr>
              <w:lang w:val="en-US"/>
            </w:rPr>
            <w:t xml:space="preserve">   (R)</w:t>
          </w:r>
          <w:r>
            <w:t xml:space="preserve">   110515   110515</w:t>
          </w:r>
        </w:p>
      </w:tc>
      <w:tc>
        <w:tcPr>
          <w:tcW w:w="4476" w:type="dxa"/>
          <w:vMerge w:val="restart"/>
          <w:vAlign w:val="bottom"/>
        </w:tcPr>
        <w:p w:rsidR="00AE2C27" w:rsidRDefault="00AE2C27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5FD90CC9" wp14:editId="24CC6618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dxa"/>
          <w:vMerge w:val="restart"/>
          <w:vAlign w:val="bottom"/>
        </w:tcPr>
        <w:p w:rsidR="00AE2C27" w:rsidRPr="00B35C22" w:rsidRDefault="00AE2C27" w:rsidP="00B35C22">
          <w:pPr>
            <w:tabs>
              <w:tab w:val="right" w:pos="8929"/>
              <w:tab w:val="right" w:pos="9638"/>
            </w:tabs>
            <w:suppressAutoHyphens/>
            <w:spacing w:after="120"/>
            <w:ind w:left="283"/>
          </w:pPr>
          <w:r>
            <w:rPr>
              <w:noProof/>
              <w:lang w:eastAsia="ru-RU"/>
            </w:rPr>
            <w:drawing>
              <wp:inline distT="0" distB="0" distL="0" distR="0" wp14:anchorId="50756FD9" wp14:editId="4450BC76">
                <wp:extent cx="868045" cy="868045"/>
                <wp:effectExtent l="0" t="0" r="8255" b="8255"/>
                <wp:docPr id="3" name="Рисунок 3" descr="http://undocs.org/m2/QRCode2.ashx?DS=A/HRC/29/18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18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2C27" w:rsidRPr="00797A78" w:rsidTr="00B35C22">
      <w:tc>
        <w:tcPr>
          <w:tcW w:w="3500" w:type="dxa"/>
          <w:vAlign w:val="bottom"/>
        </w:tcPr>
        <w:p w:rsidR="00AE2C27" w:rsidRPr="00B35C22" w:rsidRDefault="00AE2C27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B35C22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476" w:type="dxa"/>
          <w:vMerge/>
        </w:tcPr>
        <w:p w:rsidR="00AE2C27" w:rsidRDefault="00AE2C27" w:rsidP="00036FE6"/>
      </w:tc>
      <w:tc>
        <w:tcPr>
          <w:tcW w:w="1879" w:type="dxa"/>
          <w:vMerge/>
        </w:tcPr>
        <w:p w:rsidR="00AE2C27" w:rsidRDefault="00AE2C27" w:rsidP="00036FE6"/>
      </w:tc>
    </w:tr>
  </w:tbl>
  <w:p w:rsidR="00AE2C27" w:rsidRDefault="00AE2C27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27" w:rsidRPr="00F71F63" w:rsidRDefault="00AE2C27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AE2C27" w:rsidRPr="00F71F63" w:rsidRDefault="00AE2C27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AE2C27" w:rsidRPr="00635E86" w:rsidRDefault="00AE2C27" w:rsidP="00635E8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27" w:rsidRPr="00B35C22" w:rsidRDefault="00AE2C27">
    <w:pPr>
      <w:pStyle w:val="a9"/>
      <w:rPr>
        <w:lang w:val="en-US"/>
      </w:rPr>
    </w:pPr>
    <w:r>
      <w:rPr>
        <w:lang w:val="en-US"/>
      </w:rPr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</w:t>
    </w:r>
    <w:r>
      <w:rPr>
        <w:lang w:val="en-US"/>
      </w:rPr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27" w:rsidRPr="009A6F4A" w:rsidRDefault="00AE2C27">
    <w:pPr>
      <w:pStyle w:val="a9"/>
      <w:rPr>
        <w:lang w:val="en-US"/>
      </w:rPr>
    </w:pPr>
    <w:r>
      <w:rPr>
        <w:lang w:val="en-US"/>
      </w:rPr>
      <w:tab/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</w:t>
    </w:r>
    <w:r>
      <w:rPr>
        <w:lang w:val="en-US"/>
      </w:rPr>
      <w:t>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444A3"/>
    <w:multiLevelType w:val="hybridMultilevel"/>
    <w:tmpl w:val="7FECF7B2"/>
    <w:lvl w:ilvl="0" w:tplc="0EE49BBE">
      <w:start w:val="1"/>
      <w:numFmt w:val="decimal"/>
      <w:lvlText w:val="%1."/>
      <w:lvlJc w:val="left"/>
      <w:pPr>
        <w:ind w:left="1832" w:hanging="55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12"/>
  </w:num>
  <w:num w:numId="20">
    <w:abstractNumId w:val="15"/>
  </w:num>
  <w:num w:numId="21">
    <w:abstractNumId w:val="12"/>
  </w:num>
  <w:num w:numId="22">
    <w:abstractNumId w:val="14"/>
  </w:num>
  <w:num w:numId="23">
    <w:abstractNumId w:val="14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B"/>
    <w:rsid w:val="000033D8"/>
    <w:rsid w:val="000054E3"/>
    <w:rsid w:val="00005C1C"/>
    <w:rsid w:val="00016553"/>
    <w:rsid w:val="000233B3"/>
    <w:rsid w:val="00023E9E"/>
    <w:rsid w:val="00026B0C"/>
    <w:rsid w:val="000340F7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B07B1"/>
    <w:rsid w:val="000C0C5B"/>
    <w:rsid w:val="000C3688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48EE"/>
    <w:rsid w:val="001F2D04"/>
    <w:rsid w:val="0020059C"/>
    <w:rsid w:val="002019BD"/>
    <w:rsid w:val="00232D42"/>
    <w:rsid w:val="00237334"/>
    <w:rsid w:val="002444F4"/>
    <w:rsid w:val="002629A0"/>
    <w:rsid w:val="00267F74"/>
    <w:rsid w:val="002813A9"/>
    <w:rsid w:val="0028492B"/>
    <w:rsid w:val="00291C8F"/>
    <w:rsid w:val="002C5036"/>
    <w:rsid w:val="002C6A71"/>
    <w:rsid w:val="002C6D5F"/>
    <w:rsid w:val="002D13A8"/>
    <w:rsid w:val="002D15EA"/>
    <w:rsid w:val="002D414F"/>
    <w:rsid w:val="002D6C07"/>
    <w:rsid w:val="002E0CE6"/>
    <w:rsid w:val="002E1163"/>
    <w:rsid w:val="002E38AC"/>
    <w:rsid w:val="002E43F3"/>
    <w:rsid w:val="003215F5"/>
    <w:rsid w:val="00332891"/>
    <w:rsid w:val="003347C0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CB7"/>
    <w:rsid w:val="004A57B5"/>
    <w:rsid w:val="004A7FF7"/>
    <w:rsid w:val="004B19DA"/>
    <w:rsid w:val="004C2A53"/>
    <w:rsid w:val="004C3B35"/>
    <w:rsid w:val="004C43EC"/>
    <w:rsid w:val="004E6729"/>
    <w:rsid w:val="004F0E47"/>
    <w:rsid w:val="0051339C"/>
    <w:rsid w:val="0051412F"/>
    <w:rsid w:val="00522B6F"/>
    <w:rsid w:val="0052430E"/>
    <w:rsid w:val="005276AD"/>
    <w:rsid w:val="00534338"/>
    <w:rsid w:val="00540A9A"/>
    <w:rsid w:val="00543522"/>
    <w:rsid w:val="00545680"/>
    <w:rsid w:val="0056618E"/>
    <w:rsid w:val="00576F59"/>
    <w:rsid w:val="00577A34"/>
    <w:rsid w:val="00577BD2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4C01"/>
    <w:rsid w:val="006756F1"/>
    <w:rsid w:val="00677773"/>
    <w:rsid w:val="006805FC"/>
    <w:rsid w:val="006926C7"/>
    <w:rsid w:val="00694C37"/>
    <w:rsid w:val="006A1BEB"/>
    <w:rsid w:val="006A401C"/>
    <w:rsid w:val="006A6994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160EB"/>
    <w:rsid w:val="00727306"/>
    <w:rsid w:val="00735602"/>
    <w:rsid w:val="00740AC6"/>
    <w:rsid w:val="0075279B"/>
    <w:rsid w:val="00753748"/>
    <w:rsid w:val="00756D86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58CB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61C52"/>
    <w:rsid w:val="00866858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49E8"/>
    <w:rsid w:val="008D6A7A"/>
    <w:rsid w:val="008E3E87"/>
    <w:rsid w:val="008E7F13"/>
    <w:rsid w:val="008F3185"/>
    <w:rsid w:val="00907334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B1D9B"/>
    <w:rsid w:val="009B4074"/>
    <w:rsid w:val="009C30BB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B5BF0"/>
    <w:rsid w:val="00AC1145"/>
    <w:rsid w:val="00AC1C95"/>
    <w:rsid w:val="00AC2CCB"/>
    <w:rsid w:val="00AC443A"/>
    <w:rsid w:val="00AE2C27"/>
    <w:rsid w:val="00AE60E2"/>
    <w:rsid w:val="00B0169F"/>
    <w:rsid w:val="00B05F21"/>
    <w:rsid w:val="00B14EA9"/>
    <w:rsid w:val="00B30A3C"/>
    <w:rsid w:val="00B35C22"/>
    <w:rsid w:val="00B36B22"/>
    <w:rsid w:val="00B731EC"/>
    <w:rsid w:val="00B81305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2924"/>
    <w:rsid w:val="00C37AF8"/>
    <w:rsid w:val="00C37C79"/>
    <w:rsid w:val="00C41BBC"/>
    <w:rsid w:val="00C4598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D20F8"/>
    <w:rsid w:val="00DF18FA"/>
    <w:rsid w:val="00DF49CA"/>
    <w:rsid w:val="00DF775B"/>
    <w:rsid w:val="00E007F3"/>
    <w:rsid w:val="00E00DEA"/>
    <w:rsid w:val="00E06EF0"/>
    <w:rsid w:val="00E11679"/>
    <w:rsid w:val="00E147C1"/>
    <w:rsid w:val="00E307D1"/>
    <w:rsid w:val="00E370AB"/>
    <w:rsid w:val="00E46A04"/>
    <w:rsid w:val="00E717F3"/>
    <w:rsid w:val="00E72C5E"/>
    <w:rsid w:val="00E73451"/>
    <w:rsid w:val="00E7489F"/>
    <w:rsid w:val="00E75147"/>
    <w:rsid w:val="00E8167D"/>
    <w:rsid w:val="00E907E9"/>
    <w:rsid w:val="00E95B7E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45D40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1A7EB-377B-4A6C-A00B-F0CCC982CF52}"/>
</file>

<file path=customXml/itemProps2.xml><?xml version="1.0" encoding="utf-8"?>
<ds:datastoreItem xmlns:ds="http://schemas.openxmlformats.org/officeDocument/2006/customXml" ds:itemID="{044E012A-B963-4F20-B023-3206F4617C7A}"/>
</file>

<file path=customXml/itemProps3.xml><?xml version="1.0" encoding="utf-8"?>
<ds:datastoreItem xmlns:ds="http://schemas.openxmlformats.org/officeDocument/2006/customXml" ds:itemID="{51657408-643C-4BCF-A649-2ED2178BA677}"/>
</file>

<file path=customXml/itemProps4.xml><?xml version="1.0" encoding="utf-8"?>
<ds:datastoreItem xmlns:ds="http://schemas.openxmlformats.org/officeDocument/2006/customXml" ds:itemID="{553D2D5D-8102-4160-88A5-92BA5F20EE1B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1</TotalTime>
  <Pages>9</Pages>
  <Words>2959</Words>
  <Characters>21641</Characters>
  <Application>Microsoft Office Word</Application>
  <DocSecurity>0</DocSecurity>
  <Lines>393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of the United Nations High Commissioner for Human Rights on the feasibility of a global fund in Russian</dc:title>
  <dc:creator>Sharkina</dc:creator>
  <cp:lastModifiedBy>Sharkina</cp:lastModifiedBy>
  <cp:revision>3</cp:revision>
  <cp:lastPrinted>2015-05-11T16:23:00Z</cp:lastPrinted>
  <dcterms:created xsi:type="dcterms:W3CDTF">2015-05-11T16:23:00Z</dcterms:created>
  <dcterms:modified xsi:type="dcterms:W3CDTF">2015-05-11T16:24:00Z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18900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