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C21EB" w:rsidTr="00E806EE">
        <w:trPr>
          <w:trHeight w:val="851"/>
        </w:trPr>
        <w:tc>
          <w:tcPr>
            <w:tcW w:w="1259" w:type="dxa"/>
            <w:tcBorders>
              <w:top w:val="nil"/>
              <w:left w:val="nil"/>
              <w:bottom w:val="single" w:sz="4" w:space="0" w:color="auto"/>
              <w:right w:val="nil"/>
            </w:tcBorders>
          </w:tcPr>
          <w:p w:rsidR="00446DE4" w:rsidRPr="00E806EE" w:rsidRDefault="00446DE4" w:rsidP="001F1C1C">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FC21EB" w:rsidRDefault="00B3317B" w:rsidP="001F1C1C">
            <w:pPr>
              <w:spacing w:after="80" w:line="300" w:lineRule="exact"/>
              <w:rPr>
                <w:sz w:val="28"/>
                <w:szCs w:val="28"/>
              </w:rPr>
            </w:pPr>
            <w:r w:rsidRPr="00FC21EB">
              <w:rPr>
                <w:sz w:val="28"/>
                <w:szCs w:val="28"/>
              </w:rPr>
              <w:t>United Nations</w:t>
            </w:r>
          </w:p>
        </w:tc>
        <w:tc>
          <w:tcPr>
            <w:tcW w:w="6144" w:type="dxa"/>
            <w:gridSpan w:val="2"/>
            <w:tcBorders>
              <w:top w:val="nil"/>
              <w:left w:val="nil"/>
              <w:bottom w:val="single" w:sz="4" w:space="0" w:color="auto"/>
              <w:right w:val="nil"/>
            </w:tcBorders>
            <w:vAlign w:val="bottom"/>
          </w:tcPr>
          <w:p w:rsidR="00446DE4" w:rsidRPr="00FC21EB" w:rsidRDefault="00A970A5" w:rsidP="00103607">
            <w:pPr>
              <w:jc w:val="right"/>
            </w:pPr>
            <w:r w:rsidRPr="00FC21EB">
              <w:rPr>
                <w:sz w:val="40"/>
              </w:rPr>
              <w:t>A</w:t>
            </w:r>
            <w:r w:rsidR="006E78DA">
              <w:t>/HRC/29</w:t>
            </w:r>
            <w:r w:rsidRPr="00FC21EB">
              <w:t>/</w:t>
            </w:r>
            <w:r w:rsidR="00103607">
              <w:t>22</w:t>
            </w:r>
          </w:p>
        </w:tc>
      </w:tr>
      <w:tr w:rsidR="003107FA" w:rsidRPr="00FC21EB" w:rsidTr="00E806EE">
        <w:trPr>
          <w:trHeight w:val="2835"/>
        </w:trPr>
        <w:tc>
          <w:tcPr>
            <w:tcW w:w="1259" w:type="dxa"/>
            <w:tcBorders>
              <w:top w:val="single" w:sz="4" w:space="0" w:color="auto"/>
              <w:left w:val="nil"/>
              <w:bottom w:val="single" w:sz="12" w:space="0" w:color="auto"/>
              <w:right w:val="nil"/>
            </w:tcBorders>
          </w:tcPr>
          <w:p w:rsidR="003107FA" w:rsidRPr="00FC21EB" w:rsidRDefault="009E1917" w:rsidP="001F1C1C">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FC21EB" w:rsidRDefault="00B3317B" w:rsidP="001F1C1C">
            <w:pPr>
              <w:spacing w:before="120" w:line="420" w:lineRule="exact"/>
              <w:rPr>
                <w:b/>
                <w:sz w:val="40"/>
                <w:szCs w:val="40"/>
              </w:rPr>
            </w:pPr>
            <w:r w:rsidRPr="00FC21EB">
              <w:rPr>
                <w:b/>
                <w:sz w:val="40"/>
                <w:szCs w:val="40"/>
              </w:rPr>
              <w:t>General Assembly</w:t>
            </w:r>
          </w:p>
        </w:tc>
        <w:tc>
          <w:tcPr>
            <w:tcW w:w="2930" w:type="dxa"/>
            <w:tcBorders>
              <w:top w:val="single" w:sz="4" w:space="0" w:color="auto"/>
              <w:left w:val="nil"/>
              <w:bottom w:val="single" w:sz="12" w:space="0" w:color="auto"/>
              <w:right w:val="nil"/>
            </w:tcBorders>
          </w:tcPr>
          <w:p w:rsidR="003107FA" w:rsidRPr="00FC21EB" w:rsidRDefault="00A970A5" w:rsidP="001F1C1C">
            <w:pPr>
              <w:spacing w:before="240" w:line="240" w:lineRule="exact"/>
            </w:pPr>
            <w:r w:rsidRPr="00FC21EB">
              <w:t>Distr.: General</w:t>
            </w:r>
          </w:p>
          <w:p w:rsidR="00A970A5" w:rsidRPr="00FC21EB" w:rsidRDefault="00D23897" w:rsidP="003B5B86">
            <w:pPr>
              <w:spacing w:line="240" w:lineRule="exact"/>
            </w:pPr>
            <w:r>
              <w:t>2</w:t>
            </w:r>
            <w:r w:rsidR="00103607">
              <w:t xml:space="preserve"> </w:t>
            </w:r>
            <w:r w:rsidR="004E1BC5">
              <w:t xml:space="preserve">April </w:t>
            </w:r>
            <w:r w:rsidR="006E78DA">
              <w:t>2015</w:t>
            </w:r>
          </w:p>
          <w:p w:rsidR="00A970A5" w:rsidRPr="00FC21EB" w:rsidRDefault="00A970A5" w:rsidP="001F1C1C">
            <w:pPr>
              <w:spacing w:line="240" w:lineRule="exact"/>
            </w:pPr>
          </w:p>
          <w:p w:rsidR="00A970A5" w:rsidRPr="00FC21EB" w:rsidRDefault="00A970A5" w:rsidP="001F1C1C">
            <w:pPr>
              <w:spacing w:line="240" w:lineRule="exact"/>
            </w:pPr>
            <w:r w:rsidRPr="00FC21EB">
              <w:t>Original: English</w:t>
            </w:r>
          </w:p>
        </w:tc>
      </w:tr>
    </w:tbl>
    <w:p w:rsidR="00A970A5" w:rsidRPr="00145A4A" w:rsidRDefault="00A970A5" w:rsidP="001F1C1C">
      <w:pPr>
        <w:spacing w:before="120"/>
        <w:rPr>
          <w:rFonts w:eastAsia="Calibri"/>
          <w:b/>
          <w:bCs/>
          <w:sz w:val="24"/>
          <w:szCs w:val="24"/>
          <w:lang w:val="fr-CH"/>
        </w:rPr>
      </w:pPr>
      <w:r w:rsidRPr="00FC21EB">
        <w:rPr>
          <w:rFonts w:eastAsia="Calibri"/>
          <w:b/>
          <w:bCs/>
          <w:sz w:val="24"/>
          <w:szCs w:val="24"/>
          <w:lang w:val="en-US"/>
        </w:rPr>
        <w:t>Human Rights Council</w:t>
      </w:r>
      <w:r w:rsidR="009E1917">
        <w:rPr>
          <w:rFonts w:eastAsia="Calibri"/>
          <w:b/>
          <w:bCs/>
          <w:noProof/>
          <w:sz w:val="24"/>
          <w:szCs w:val="24"/>
          <w:lang w:eastAsia="en-GB"/>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A/HRC/29/2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2&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0A5" w:rsidRPr="00FC21EB" w:rsidRDefault="006E78DA" w:rsidP="001F1C1C">
      <w:pPr>
        <w:rPr>
          <w:rFonts w:eastAsia="Calibri"/>
          <w:b/>
          <w:bCs/>
          <w:lang w:val="en-US"/>
        </w:rPr>
      </w:pPr>
      <w:r>
        <w:rPr>
          <w:rFonts w:eastAsia="Calibri"/>
          <w:b/>
          <w:bCs/>
          <w:lang w:val="en-US"/>
        </w:rPr>
        <w:t>Twenty-nin</w:t>
      </w:r>
      <w:r w:rsidR="00A970A5" w:rsidRPr="00FC21EB">
        <w:rPr>
          <w:rFonts w:eastAsia="Calibri"/>
          <w:b/>
          <w:bCs/>
          <w:lang w:val="en-US"/>
        </w:rPr>
        <w:t>th session</w:t>
      </w:r>
    </w:p>
    <w:p w:rsidR="00A970A5" w:rsidRPr="00FC21EB" w:rsidRDefault="00A970A5" w:rsidP="001F1C1C">
      <w:r w:rsidRPr="00FC21EB">
        <w:t>Agenda items 2 and 6</w:t>
      </w:r>
    </w:p>
    <w:p w:rsidR="00A970A5" w:rsidRPr="00FC21EB" w:rsidRDefault="00A970A5" w:rsidP="001F1C1C">
      <w:pPr>
        <w:spacing w:after="120"/>
        <w:rPr>
          <w:rFonts w:eastAsia="Calibri"/>
          <w:b/>
          <w:lang w:val="en-US"/>
        </w:rPr>
      </w:pPr>
      <w:r w:rsidRPr="00FC21EB">
        <w:rPr>
          <w:rFonts w:eastAsia="Calibri"/>
          <w:b/>
          <w:lang w:val="en-US"/>
        </w:rPr>
        <w:t>Annual report of the United Nations High Commissioner</w:t>
      </w:r>
      <w:r w:rsidRPr="00FC21EB">
        <w:rPr>
          <w:rFonts w:eastAsia="Calibri"/>
          <w:b/>
          <w:lang w:val="en-US"/>
        </w:rPr>
        <w:br/>
        <w:t xml:space="preserve">for Human Rights and reports of the Office of </w:t>
      </w:r>
      <w:r w:rsidRPr="00FC21EB">
        <w:rPr>
          <w:rFonts w:eastAsia="Calibri"/>
          <w:b/>
          <w:lang w:val="en-US"/>
        </w:rPr>
        <w:br/>
        <w:t>the High Commissioner and the Secretary-General</w:t>
      </w:r>
    </w:p>
    <w:p w:rsidR="00A970A5" w:rsidRPr="00FC21EB" w:rsidRDefault="00A970A5" w:rsidP="001F1C1C">
      <w:pPr>
        <w:rPr>
          <w:rFonts w:eastAsia="Calibri"/>
          <w:b/>
          <w:lang w:val="en-US"/>
        </w:rPr>
      </w:pPr>
      <w:r w:rsidRPr="00FC21EB">
        <w:rPr>
          <w:rFonts w:eastAsia="Calibri"/>
          <w:b/>
          <w:lang w:val="en-US"/>
        </w:rPr>
        <w:t>Universal Periodic Review</w:t>
      </w:r>
    </w:p>
    <w:p w:rsidR="00A970A5" w:rsidRPr="00FC21EB" w:rsidRDefault="00A970A5" w:rsidP="00D57758">
      <w:pPr>
        <w:pStyle w:val="HChG"/>
        <w:rPr>
          <w:rFonts w:eastAsia="Calibri"/>
          <w:lang w:val="en-US"/>
        </w:rPr>
      </w:pPr>
      <w:r w:rsidRPr="00FC21EB">
        <w:rPr>
          <w:rFonts w:eastAsia="Calibri"/>
          <w:lang w:val="en-US"/>
        </w:rPr>
        <w:tab/>
      </w:r>
      <w:r w:rsidRPr="00FC21EB">
        <w:rPr>
          <w:rFonts w:eastAsia="Calibri"/>
          <w:lang w:val="en-US"/>
        </w:rPr>
        <w:tab/>
        <w:t xml:space="preserve">Report of the Office of the United Nations High Commissioner for Human Rights on the operations of the Voluntary Fund for </w:t>
      </w:r>
      <w:r w:rsidR="002F0A8A" w:rsidRPr="00FC21EB">
        <w:rPr>
          <w:rFonts w:eastAsia="Calibri"/>
          <w:lang w:val="en-US"/>
        </w:rPr>
        <w:t xml:space="preserve">Financial </w:t>
      </w:r>
      <w:r w:rsidRPr="00FC21EB">
        <w:rPr>
          <w:rFonts w:eastAsia="Calibri"/>
          <w:lang w:val="en-US"/>
        </w:rPr>
        <w:t xml:space="preserve">and </w:t>
      </w:r>
      <w:r w:rsidR="002F0A8A" w:rsidRPr="00FC21EB">
        <w:rPr>
          <w:rFonts w:eastAsia="Calibri"/>
          <w:lang w:val="en-US"/>
        </w:rPr>
        <w:t xml:space="preserve">Technical Assistance </w:t>
      </w:r>
      <w:r w:rsidRPr="00FC21EB">
        <w:rPr>
          <w:rFonts w:eastAsia="Calibri"/>
          <w:lang w:val="en-US"/>
        </w:rPr>
        <w:t xml:space="preserve">in the </w:t>
      </w:r>
      <w:r w:rsidR="002F0A8A" w:rsidRPr="00FC21EB">
        <w:rPr>
          <w:rFonts w:eastAsia="Calibri"/>
          <w:lang w:val="en-US"/>
        </w:rPr>
        <w:t xml:space="preserve">Implementation </w:t>
      </w:r>
      <w:r w:rsidRPr="00FC21EB">
        <w:rPr>
          <w:rFonts w:eastAsia="Calibri"/>
          <w:lang w:val="en-US"/>
        </w:rPr>
        <w:t xml:space="preserve">of the </w:t>
      </w:r>
      <w:r w:rsidR="002F0A8A" w:rsidRPr="00FC21EB">
        <w:rPr>
          <w:rFonts w:eastAsia="Calibri"/>
          <w:lang w:val="en-US"/>
        </w:rPr>
        <w:t>Universal Periodic Review</w:t>
      </w:r>
    </w:p>
    <w:p w:rsidR="00A970A5" w:rsidRPr="00FC21EB" w:rsidRDefault="00A970A5" w:rsidP="001F1C1C">
      <w:pPr>
        <w:spacing w:after="120"/>
        <w:rPr>
          <w:rFonts w:eastAsia="Calibri"/>
          <w:sz w:val="28"/>
          <w:szCs w:val="28"/>
          <w:lang w:val="fr-CH"/>
        </w:rPr>
      </w:pPr>
      <w:r w:rsidRPr="008F02A6">
        <w:rPr>
          <w:rFonts w:eastAsia="Calibri"/>
          <w:lang w:val="fr-CH"/>
        </w:rPr>
        <w:br w:type="page"/>
      </w:r>
      <w:r w:rsidRPr="00FC21EB">
        <w:rPr>
          <w:rFonts w:eastAsia="Calibri"/>
          <w:sz w:val="28"/>
          <w:szCs w:val="28"/>
          <w:lang w:val="fr-CH"/>
        </w:rPr>
        <w:lastRenderedPageBreak/>
        <w:t>Contents</w:t>
      </w:r>
    </w:p>
    <w:p w:rsidR="00A970A5" w:rsidRPr="00FC21EB" w:rsidRDefault="00A970A5" w:rsidP="00B06B9C">
      <w:pPr>
        <w:tabs>
          <w:tab w:val="right" w:pos="8929"/>
          <w:tab w:val="right" w:pos="9638"/>
        </w:tabs>
        <w:spacing w:after="120"/>
        <w:ind w:left="283"/>
        <w:rPr>
          <w:rFonts w:eastAsia="Calibri"/>
          <w:lang w:val="fr-CH"/>
        </w:rPr>
      </w:pPr>
      <w:r w:rsidRPr="00FC21EB">
        <w:rPr>
          <w:rFonts w:eastAsia="Calibri"/>
          <w:i/>
          <w:sz w:val="18"/>
          <w:lang w:val="fr-CH"/>
        </w:rPr>
        <w:tab/>
        <w:t>Paragraphs</w:t>
      </w:r>
      <w:r w:rsidRPr="00FC21EB">
        <w:rPr>
          <w:rFonts w:eastAsia="Calibri"/>
          <w:i/>
          <w:sz w:val="18"/>
          <w:lang w:val="fr-CH"/>
        </w:rPr>
        <w:tab/>
        <w:t>Page</w:t>
      </w:r>
    </w:p>
    <w:p w:rsidR="00A970A5" w:rsidRPr="00FC21EB" w:rsidRDefault="00A970A5" w:rsidP="001F1C1C">
      <w:pPr>
        <w:tabs>
          <w:tab w:val="right" w:pos="850"/>
          <w:tab w:val="left" w:pos="1134"/>
          <w:tab w:val="left" w:pos="1559"/>
          <w:tab w:val="left" w:pos="1984"/>
          <w:tab w:val="left" w:leader="dot" w:pos="7654"/>
          <w:tab w:val="right" w:pos="8929"/>
          <w:tab w:val="right" w:pos="9638"/>
        </w:tabs>
        <w:spacing w:after="120"/>
        <w:rPr>
          <w:rFonts w:eastAsia="Calibri"/>
          <w:lang w:val="fr-CH"/>
        </w:rPr>
      </w:pPr>
      <w:r w:rsidRPr="00FC21EB">
        <w:rPr>
          <w:rFonts w:eastAsia="Calibri"/>
          <w:lang w:val="fr-CH"/>
        </w:rPr>
        <w:tab/>
        <w:t>I.</w:t>
      </w:r>
      <w:r w:rsidRPr="00FC21EB">
        <w:rPr>
          <w:rFonts w:eastAsia="Calibri"/>
          <w:lang w:val="fr-CH"/>
        </w:rPr>
        <w:tab/>
        <w:t>Introduction</w:t>
      </w:r>
      <w:r w:rsidRPr="00FC21EB">
        <w:rPr>
          <w:rFonts w:eastAsia="Calibri"/>
          <w:lang w:val="fr-CH"/>
        </w:rPr>
        <w:tab/>
      </w:r>
      <w:r w:rsidRPr="00FC21EB">
        <w:rPr>
          <w:rFonts w:eastAsia="Calibri"/>
          <w:lang w:val="fr-CH"/>
        </w:rPr>
        <w:tab/>
        <w:t>1–3</w:t>
      </w:r>
      <w:r w:rsidRPr="00FC21EB">
        <w:rPr>
          <w:rFonts w:eastAsia="Calibri"/>
          <w:lang w:val="fr-CH"/>
        </w:rPr>
        <w:tab/>
        <w:t>3</w:t>
      </w:r>
    </w:p>
    <w:p w:rsidR="00A970A5" w:rsidRPr="00FC21EB" w:rsidRDefault="00A970A5" w:rsidP="001F1C1C">
      <w:pPr>
        <w:tabs>
          <w:tab w:val="left" w:pos="1134"/>
          <w:tab w:val="left" w:pos="1559"/>
          <w:tab w:val="left" w:pos="1984"/>
          <w:tab w:val="left" w:leader="dot" w:pos="7654"/>
          <w:tab w:val="right" w:pos="8929"/>
          <w:tab w:val="right" w:pos="9638"/>
        </w:tabs>
        <w:spacing w:after="120"/>
        <w:rPr>
          <w:rFonts w:eastAsia="Calibri"/>
          <w:lang w:val="en-US"/>
        </w:rPr>
      </w:pPr>
      <w:r w:rsidRPr="00FC21EB">
        <w:rPr>
          <w:rFonts w:eastAsia="Calibri"/>
          <w:lang w:val="fr-CH"/>
        </w:rPr>
        <w:tab/>
      </w:r>
      <w:r w:rsidRPr="00FC21EB">
        <w:rPr>
          <w:rFonts w:eastAsia="Calibri"/>
          <w:lang w:val="en-US"/>
        </w:rPr>
        <w:t>A.</w:t>
      </w:r>
      <w:r w:rsidRPr="00FC21EB">
        <w:rPr>
          <w:rFonts w:eastAsia="Calibri"/>
          <w:lang w:val="en-US"/>
        </w:rPr>
        <w:tab/>
        <w:t>Submission of the report</w:t>
      </w:r>
      <w:r w:rsidRPr="00FC21EB">
        <w:rPr>
          <w:rFonts w:eastAsia="Calibri"/>
          <w:lang w:val="en-US"/>
        </w:rPr>
        <w:tab/>
      </w:r>
      <w:r w:rsidRPr="00FC21EB">
        <w:rPr>
          <w:rFonts w:eastAsia="Calibri"/>
          <w:lang w:val="en-US"/>
        </w:rPr>
        <w:tab/>
        <w:t>1</w:t>
      </w:r>
      <w:r w:rsidRPr="00FC21EB">
        <w:rPr>
          <w:rFonts w:eastAsia="Calibri"/>
          <w:lang w:val="en-US"/>
        </w:rPr>
        <w:tab/>
        <w:t>3</w:t>
      </w:r>
    </w:p>
    <w:p w:rsidR="00A970A5" w:rsidRPr="00FC21EB" w:rsidRDefault="00A970A5" w:rsidP="001F1C1C">
      <w:pPr>
        <w:tabs>
          <w:tab w:val="left" w:pos="1134"/>
          <w:tab w:val="left" w:pos="1559"/>
          <w:tab w:val="left" w:pos="1984"/>
          <w:tab w:val="left" w:leader="dot" w:pos="7654"/>
          <w:tab w:val="right" w:pos="8929"/>
          <w:tab w:val="right" w:pos="9638"/>
        </w:tabs>
        <w:spacing w:after="120"/>
        <w:rPr>
          <w:rFonts w:eastAsia="Calibri"/>
          <w:lang w:val="en-US"/>
        </w:rPr>
      </w:pPr>
      <w:r w:rsidRPr="00FC21EB">
        <w:rPr>
          <w:rFonts w:eastAsia="Calibri"/>
          <w:lang w:val="en-US"/>
        </w:rPr>
        <w:tab/>
        <w:t>B.</w:t>
      </w:r>
      <w:r w:rsidRPr="00FC21EB">
        <w:rPr>
          <w:rFonts w:eastAsia="Calibri"/>
          <w:lang w:val="en-US"/>
        </w:rPr>
        <w:tab/>
        <w:t>Background</w:t>
      </w:r>
      <w:r w:rsidRPr="00FC21EB">
        <w:rPr>
          <w:rFonts w:eastAsia="Calibri"/>
          <w:lang w:val="en-US"/>
        </w:rPr>
        <w:tab/>
      </w:r>
      <w:r w:rsidRPr="00FC21EB">
        <w:rPr>
          <w:rFonts w:eastAsia="Calibri"/>
          <w:lang w:val="en-US"/>
        </w:rPr>
        <w:tab/>
        <w:t>2–3</w:t>
      </w:r>
      <w:r w:rsidRPr="00FC21EB">
        <w:rPr>
          <w:rFonts w:eastAsia="Calibri"/>
          <w:lang w:val="en-US"/>
        </w:rPr>
        <w:tab/>
        <w:t>3</w:t>
      </w:r>
    </w:p>
    <w:p w:rsidR="00A970A5" w:rsidRPr="00FC21EB" w:rsidRDefault="00A970A5" w:rsidP="001F1C1C">
      <w:pPr>
        <w:tabs>
          <w:tab w:val="right" w:pos="850"/>
          <w:tab w:val="left" w:pos="1134"/>
          <w:tab w:val="left" w:pos="1559"/>
          <w:tab w:val="left" w:pos="1984"/>
          <w:tab w:val="left" w:leader="dot" w:pos="7654"/>
          <w:tab w:val="right" w:pos="8929"/>
          <w:tab w:val="right" w:pos="9638"/>
        </w:tabs>
        <w:spacing w:after="120"/>
        <w:rPr>
          <w:rFonts w:eastAsia="Calibri"/>
        </w:rPr>
      </w:pPr>
      <w:r w:rsidRPr="00FC21EB">
        <w:rPr>
          <w:rFonts w:eastAsia="Calibri"/>
        </w:rPr>
        <w:tab/>
        <w:t>II.</w:t>
      </w:r>
      <w:r w:rsidRPr="00FC21EB">
        <w:rPr>
          <w:rFonts w:eastAsia="Calibri"/>
        </w:rPr>
        <w:tab/>
        <w:t>Operationalization of the Fund</w:t>
      </w:r>
      <w:r w:rsidRPr="00FC21EB">
        <w:rPr>
          <w:rFonts w:eastAsia="Calibri"/>
        </w:rPr>
        <w:tab/>
      </w:r>
      <w:r w:rsidRPr="00FC21EB">
        <w:rPr>
          <w:rFonts w:eastAsia="Calibri"/>
        </w:rPr>
        <w:tab/>
      </w:r>
      <w:r w:rsidR="00F42E49">
        <w:rPr>
          <w:rFonts w:eastAsia="Calibri"/>
        </w:rPr>
        <w:t>4–12</w:t>
      </w:r>
      <w:r w:rsidRPr="00FC21EB">
        <w:rPr>
          <w:rFonts w:eastAsia="Calibri"/>
        </w:rPr>
        <w:tab/>
        <w:t>3</w:t>
      </w:r>
    </w:p>
    <w:p w:rsidR="00C1309B" w:rsidRPr="00FC21EB" w:rsidRDefault="00A970A5" w:rsidP="001F1C1C">
      <w:pPr>
        <w:tabs>
          <w:tab w:val="right" w:pos="850"/>
          <w:tab w:val="left" w:pos="1134"/>
          <w:tab w:val="left" w:pos="1559"/>
          <w:tab w:val="left" w:pos="1984"/>
          <w:tab w:val="left" w:leader="dot" w:pos="7654"/>
          <w:tab w:val="right" w:pos="8929"/>
          <w:tab w:val="right" w:pos="9638"/>
        </w:tabs>
        <w:spacing w:after="120"/>
        <w:rPr>
          <w:rFonts w:eastAsia="Calibri"/>
          <w:lang w:val="en-US"/>
        </w:rPr>
      </w:pPr>
      <w:r w:rsidRPr="00FC21EB">
        <w:rPr>
          <w:rFonts w:eastAsia="Calibri"/>
          <w:lang w:val="en-US"/>
        </w:rPr>
        <w:tab/>
      </w:r>
      <w:r w:rsidRPr="00FC21EB">
        <w:rPr>
          <w:rFonts w:eastAsia="Calibri"/>
          <w:lang w:val="en-US"/>
        </w:rPr>
        <w:tab/>
        <w:t>A.</w:t>
      </w:r>
      <w:r w:rsidRPr="00FC21EB">
        <w:rPr>
          <w:rFonts w:eastAsia="Calibri"/>
          <w:lang w:val="en-US"/>
        </w:rPr>
        <w:tab/>
        <w:t>Board of Trustees of the Fund</w:t>
      </w:r>
      <w:r w:rsidRPr="00FC21EB">
        <w:rPr>
          <w:rFonts w:eastAsia="Calibri"/>
          <w:lang w:val="en-US"/>
        </w:rPr>
        <w:tab/>
      </w:r>
      <w:r w:rsidRPr="00FC21EB">
        <w:rPr>
          <w:rFonts w:eastAsia="Calibri"/>
          <w:lang w:val="en-US"/>
        </w:rPr>
        <w:tab/>
      </w:r>
      <w:r w:rsidR="00C1309B" w:rsidRPr="00FC21EB">
        <w:rPr>
          <w:rFonts w:eastAsia="Calibri"/>
          <w:lang w:val="en-US"/>
        </w:rPr>
        <w:t>4–</w:t>
      </w:r>
      <w:r w:rsidRPr="00FC21EB">
        <w:rPr>
          <w:rFonts w:eastAsia="Calibri"/>
          <w:lang w:val="en-US"/>
        </w:rPr>
        <w:t>8</w:t>
      </w:r>
      <w:r w:rsidRPr="00FC21EB">
        <w:rPr>
          <w:rFonts w:eastAsia="Calibri"/>
          <w:lang w:val="en-US"/>
        </w:rPr>
        <w:tab/>
      </w:r>
      <w:r w:rsidR="00AB2BF4">
        <w:rPr>
          <w:rFonts w:eastAsia="Calibri"/>
          <w:lang w:val="en-US"/>
        </w:rPr>
        <w:t>3</w:t>
      </w:r>
    </w:p>
    <w:p w:rsidR="00A970A5" w:rsidRPr="00FC21EB" w:rsidRDefault="00A970A5" w:rsidP="002E06A3">
      <w:pPr>
        <w:tabs>
          <w:tab w:val="right" w:pos="850"/>
          <w:tab w:val="left" w:pos="1134"/>
          <w:tab w:val="left" w:pos="1559"/>
          <w:tab w:val="left" w:pos="1984"/>
          <w:tab w:val="left" w:leader="dot" w:pos="7654"/>
          <w:tab w:val="right" w:pos="8929"/>
          <w:tab w:val="right" w:pos="9638"/>
        </w:tabs>
        <w:spacing w:after="120"/>
        <w:ind w:left="1559" w:hanging="1559"/>
        <w:rPr>
          <w:rFonts w:eastAsia="Calibri"/>
          <w:lang w:val="en-US"/>
        </w:rPr>
      </w:pPr>
      <w:r w:rsidRPr="00FC21EB">
        <w:rPr>
          <w:rFonts w:eastAsia="Calibri"/>
          <w:lang w:val="en-US"/>
        </w:rPr>
        <w:tab/>
      </w:r>
      <w:r w:rsidRPr="00FC21EB">
        <w:rPr>
          <w:rFonts w:eastAsia="Calibri"/>
          <w:lang w:val="en-US"/>
        </w:rPr>
        <w:tab/>
        <w:t>B.</w:t>
      </w:r>
      <w:r w:rsidRPr="00FC21EB">
        <w:rPr>
          <w:rFonts w:eastAsia="Calibri"/>
          <w:lang w:val="en-US"/>
        </w:rPr>
        <w:tab/>
        <w:t xml:space="preserve">OHCHR </w:t>
      </w:r>
      <w:r w:rsidR="00CD4F3D" w:rsidRPr="00FC21EB">
        <w:rPr>
          <w:rFonts w:eastAsia="Calibri"/>
          <w:lang w:val="en-US"/>
        </w:rPr>
        <w:t>s</w:t>
      </w:r>
      <w:r w:rsidRPr="00FC21EB">
        <w:rPr>
          <w:rFonts w:eastAsia="Calibri"/>
          <w:lang w:val="en-US"/>
        </w:rPr>
        <w:t xml:space="preserve">trategic </w:t>
      </w:r>
      <w:r w:rsidR="00CD4F3D" w:rsidRPr="00FC21EB">
        <w:rPr>
          <w:rFonts w:eastAsia="Calibri"/>
          <w:lang w:val="en-US"/>
        </w:rPr>
        <w:t>v</w:t>
      </w:r>
      <w:r w:rsidRPr="00FC21EB">
        <w:rPr>
          <w:rFonts w:eastAsia="Calibri"/>
          <w:lang w:val="en-US"/>
        </w:rPr>
        <w:t xml:space="preserve">ision for </w:t>
      </w:r>
      <w:r w:rsidR="00CD4F3D" w:rsidRPr="00FC21EB">
        <w:rPr>
          <w:rFonts w:eastAsia="Calibri"/>
          <w:lang w:val="en-US"/>
        </w:rPr>
        <w:t>f</w:t>
      </w:r>
      <w:r w:rsidRPr="00FC21EB">
        <w:rPr>
          <w:rFonts w:eastAsia="Calibri"/>
          <w:lang w:val="en-US"/>
        </w:rPr>
        <w:t>ollow-up</w:t>
      </w:r>
      <w:r w:rsidR="00182BC6">
        <w:rPr>
          <w:rFonts w:eastAsia="Calibri"/>
          <w:lang w:val="en-US"/>
        </w:rPr>
        <w:t xml:space="preserve"> to universal periodic review</w:t>
      </w:r>
      <w:r w:rsidRPr="00FC21EB">
        <w:rPr>
          <w:rFonts w:eastAsia="Calibri"/>
          <w:lang w:val="en-US"/>
        </w:rPr>
        <w:t xml:space="preserve"> and the </w:t>
      </w:r>
      <w:r w:rsidR="00182BC6">
        <w:rPr>
          <w:rFonts w:eastAsia="Calibri"/>
          <w:lang w:val="en-US"/>
        </w:rPr>
        <w:br/>
      </w:r>
      <w:r w:rsidRPr="00FC21EB">
        <w:rPr>
          <w:rFonts w:eastAsia="Calibri"/>
          <w:lang w:val="en-US"/>
        </w:rPr>
        <w:t>Fund</w:t>
      </w:r>
      <w:r w:rsidRPr="00FC21EB">
        <w:rPr>
          <w:rFonts w:eastAsia="Calibri"/>
        </w:rPr>
        <w:t xml:space="preserve">: </w:t>
      </w:r>
      <w:r w:rsidR="00CD4F3D" w:rsidRPr="00FC21EB">
        <w:rPr>
          <w:rFonts w:eastAsia="Calibri"/>
        </w:rPr>
        <w:t>g</w:t>
      </w:r>
      <w:r w:rsidRPr="00FC21EB">
        <w:rPr>
          <w:rFonts w:eastAsia="Calibri"/>
        </w:rPr>
        <w:t xml:space="preserve">oing </w:t>
      </w:r>
      <w:r w:rsidR="00CD4F3D" w:rsidRPr="00FC21EB">
        <w:rPr>
          <w:rFonts w:eastAsia="Calibri"/>
        </w:rPr>
        <w:t>f</w:t>
      </w:r>
      <w:r w:rsidRPr="00FC21EB">
        <w:rPr>
          <w:rFonts w:eastAsia="Calibri"/>
        </w:rPr>
        <w:t>orward</w:t>
      </w:r>
      <w:r w:rsidR="00C1309B" w:rsidRPr="00FC21EB">
        <w:rPr>
          <w:rFonts w:eastAsia="Calibri"/>
          <w:lang w:val="en-US"/>
        </w:rPr>
        <w:tab/>
      </w:r>
      <w:r w:rsidR="00C1309B" w:rsidRPr="00FC21EB">
        <w:rPr>
          <w:rFonts w:eastAsia="Calibri"/>
          <w:lang w:val="en-US"/>
        </w:rPr>
        <w:tab/>
        <w:t>9–</w:t>
      </w:r>
      <w:r w:rsidR="00F42E49">
        <w:rPr>
          <w:rFonts w:eastAsia="Calibri"/>
          <w:lang w:val="en-US"/>
        </w:rPr>
        <w:t>12</w:t>
      </w:r>
      <w:r w:rsidRPr="00FC21EB">
        <w:rPr>
          <w:rFonts w:eastAsia="Calibri"/>
          <w:lang w:val="en-US"/>
        </w:rPr>
        <w:tab/>
        <w:t>4</w:t>
      </w:r>
    </w:p>
    <w:p w:rsidR="00A970A5" w:rsidRPr="00FC21EB" w:rsidRDefault="00A970A5" w:rsidP="001F1C1C">
      <w:pPr>
        <w:tabs>
          <w:tab w:val="right" w:pos="850"/>
          <w:tab w:val="left" w:pos="1134"/>
          <w:tab w:val="left" w:pos="1559"/>
          <w:tab w:val="left" w:pos="1984"/>
          <w:tab w:val="left" w:leader="dot" w:pos="7654"/>
          <w:tab w:val="right" w:pos="8929"/>
          <w:tab w:val="right" w:pos="9638"/>
        </w:tabs>
        <w:spacing w:after="120"/>
        <w:rPr>
          <w:rFonts w:eastAsia="Calibri"/>
        </w:rPr>
      </w:pPr>
      <w:r w:rsidRPr="00FC21EB">
        <w:rPr>
          <w:rFonts w:eastAsia="Calibri"/>
          <w:lang w:val="en-US"/>
        </w:rPr>
        <w:tab/>
      </w:r>
      <w:r w:rsidRPr="00FC21EB">
        <w:rPr>
          <w:rFonts w:eastAsia="Calibri"/>
        </w:rPr>
        <w:t>III.</w:t>
      </w:r>
      <w:r w:rsidRPr="00FC21EB">
        <w:rPr>
          <w:rFonts w:eastAsia="Calibri"/>
        </w:rPr>
        <w:tab/>
        <w:t>Activities to be suppo</w:t>
      </w:r>
      <w:r w:rsidR="00F42E49">
        <w:rPr>
          <w:rFonts w:eastAsia="Calibri"/>
        </w:rPr>
        <w:t xml:space="preserve">rted by the Fund during </w:t>
      </w:r>
      <w:r w:rsidR="00F42E49" w:rsidRPr="00B06B9C">
        <w:rPr>
          <w:rFonts w:eastAsia="Calibri"/>
        </w:rPr>
        <w:t>201</w:t>
      </w:r>
      <w:r w:rsidR="00085508">
        <w:rPr>
          <w:rFonts w:eastAsia="Calibri"/>
        </w:rPr>
        <w:t>5</w:t>
      </w:r>
      <w:r w:rsidR="00F42E49">
        <w:rPr>
          <w:rFonts w:eastAsia="Calibri"/>
        </w:rPr>
        <w:tab/>
      </w:r>
      <w:r w:rsidR="00F42E49">
        <w:rPr>
          <w:rFonts w:eastAsia="Calibri"/>
        </w:rPr>
        <w:tab/>
        <w:t>13</w:t>
      </w:r>
      <w:r w:rsidR="00C1309B" w:rsidRPr="00FC21EB">
        <w:rPr>
          <w:rFonts w:eastAsia="Calibri"/>
        </w:rPr>
        <w:t>–</w:t>
      </w:r>
      <w:r w:rsidR="00F42E49">
        <w:rPr>
          <w:rFonts w:eastAsia="Calibri"/>
        </w:rPr>
        <w:t>38</w:t>
      </w:r>
      <w:r w:rsidRPr="00FC21EB">
        <w:rPr>
          <w:rFonts w:eastAsia="Calibri"/>
        </w:rPr>
        <w:tab/>
      </w:r>
      <w:r w:rsidR="00C1309B" w:rsidRPr="00FC21EB">
        <w:rPr>
          <w:rFonts w:eastAsia="Calibri"/>
        </w:rPr>
        <w:t>5</w:t>
      </w:r>
    </w:p>
    <w:p w:rsidR="00A970A5" w:rsidRPr="00FC21EB" w:rsidRDefault="00A970A5" w:rsidP="001F1C1C">
      <w:pPr>
        <w:tabs>
          <w:tab w:val="right" w:pos="850"/>
          <w:tab w:val="left" w:pos="1134"/>
          <w:tab w:val="left" w:pos="1559"/>
          <w:tab w:val="left" w:pos="1984"/>
          <w:tab w:val="left" w:leader="dot" w:pos="7654"/>
          <w:tab w:val="right" w:pos="8929"/>
          <w:tab w:val="right" w:pos="9638"/>
        </w:tabs>
        <w:spacing w:after="120"/>
        <w:rPr>
          <w:rFonts w:eastAsia="Calibri"/>
        </w:rPr>
      </w:pPr>
      <w:r w:rsidRPr="00FC21EB">
        <w:rPr>
          <w:rFonts w:eastAsia="Calibri"/>
        </w:rPr>
        <w:tab/>
        <w:t>IV.</w:t>
      </w:r>
      <w:r w:rsidRPr="00FC21EB">
        <w:rPr>
          <w:rFonts w:eastAsia="Calibri"/>
        </w:rPr>
        <w:tab/>
        <w:t>Financial situation of the Fund</w:t>
      </w:r>
      <w:r w:rsidRPr="00FC21EB">
        <w:rPr>
          <w:rFonts w:eastAsia="Calibri"/>
        </w:rPr>
        <w:tab/>
      </w:r>
      <w:r w:rsidRPr="00FC21EB">
        <w:rPr>
          <w:rFonts w:eastAsia="Calibri"/>
        </w:rPr>
        <w:tab/>
      </w:r>
      <w:r w:rsidR="00F42E49">
        <w:rPr>
          <w:rFonts w:eastAsia="Calibri"/>
        </w:rPr>
        <w:t>3</w:t>
      </w:r>
      <w:r w:rsidR="00F42E49">
        <w:rPr>
          <w:rFonts w:eastAsia="Calibri"/>
          <w:lang w:val="en-US"/>
        </w:rPr>
        <w:t>9</w:t>
      </w:r>
      <w:r w:rsidR="00C1309B" w:rsidRPr="00FC21EB">
        <w:rPr>
          <w:rFonts w:eastAsia="Calibri"/>
          <w:lang w:val="en-US"/>
        </w:rPr>
        <w:t>–</w:t>
      </w:r>
      <w:r w:rsidR="00F42E49">
        <w:rPr>
          <w:rFonts w:eastAsia="Calibri"/>
          <w:lang w:val="en-US"/>
        </w:rPr>
        <w:t>4</w:t>
      </w:r>
      <w:r w:rsidR="00DF729A">
        <w:rPr>
          <w:rFonts w:eastAsia="Calibri"/>
          <w:lang w:val="en-US"/>
        </w:rPr>
        <w:t>1</w:t>
      </w:r>
      <w:r w:rsidRPr="00FC21EB">
        <w:rPr>
          <w:rFonts w:eastAsia="Calibri"/>
        </w:rPr>
        <w:tab/>
      </w:r>
      <w:r w:rsidR="008B31EB">
        <w:rPr>
          <w:rFonts w:eastAsia="Calibri"/>
        </w:rPr>
        <w:t>10</w:t>
      </w:r>
    </w:p>
    <w:p w:rsidR="00A970A5" w:rsidRDefault="00F42E49" w:rsidP="001F1C1C">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t>V.</w:t>
      </w:r>
      <w:r>
        <w:rPr>
          <w:rFonts w:eastAsia="Calibri"/>
        </w:rPr>
        <w:tab/>
        <w:t>Conclusions</w:t>
      </w:r>
      <w:r>
        <w:rPr>
          <w:rFonts w:eastAsia="Calibri"/>
        </w:rPr>
        <w:tab/>
      </w:r>
      <w:r>
        <w:rPr>
          <w:rFonts w:eastAsia="Calibri"/>
        </w:rPr>
        <w:tab/>
        <w:t>4</w:t>
      </w:r>
      <w:r w:rsidR="00DF729A">
        <w:rPr>
          <w:rFonts w:eastAsia="Calibri"/>
        </w:rPr>
        <w:t>2</w:t>
      </w:r>
      <w:r w:rsidR="00C1309B" w:rsidRPr="00FC21EB">
        <w:rPr>
          <w:rFonts w:eastAsia="Calibri"/>
        </w:rPr>
        <w:t>–</w:t>
      </w:r>
      <w:r>
        <w:rPr>
          <w:rFonts w:eastAsia="Calibri"/>
        </w:rPr>
        <w:t>4</w:t>
      </w:r>
      <w:r w:rsidR="00DF729A">
        <w:rPr>
          <w:rFonts w:eastAsia="Calibri"/>
        </w:rPr>
        <w:t>7</w:t>
      </w:r>
      <w:r w:rsidR="00A970A5" w:rsidRPr="00FC21EB">
        <w:rPr>
          <w:rFonts w:eastAsia="Calibri"/>
        </w:rPr>
        <w:tab/>
      </w:r>
      <w:r>
        <w:rPr>
          <w:rFonts w:eastAsia="Calibri"/>
        </w:rPr>
        <w:t>11</w:t>
      </w:r>
    </w:p>
    <w:p w:rsidR="00182BC6" w:rsidRDefault="00182BC6" w:rsidP="001F1C1C">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Tables</w:t>
      </w:r>
    </w:p>
    <w:p w:rsidR="00182BC6" w:rsidRDefault="00182BC6" w:rsidP="002E06A3">
      <w:pPr>
        <w:tabs>
          <w:tab w:val="right" w:pos="850"/>
          <w:tab w:val="left" w:pos="1134"/>
          <w:tab w:val="left" w:pos="1559"/>
          <w:tab w:val="left" w:pos="1984"/>
          <w:tab w:val="left" w:leader="dot" w:pos="7654"/>
          <w:tab w:val="right" w:pos="8929"/>
          <w:tab w:val="right" w:pos="9638"/>
        </w:tabs>
        <w:spacing w:after="120"/>
        <w:ind w:left="1130" w:hanging="1130"/>
        <w:rPr>
          <w:rFonts w:eastAsia="Calibri"/>
        </w:rPr>
      </w:pPr>
      <w:r>
        <w:rPr>
          <w:rFonts w:eastAsia="Calibri"/>
        </w:rPr>
        <w:tab/>
        <w:t>1.</w:t>
      </w:r>
      <w:r>
        <w:rPr>
          <w:rFonts w:eastAsia="Calibri"/>
        </w:rPr>
        <w:tab/>
        <w:t xml:space="preserve">Statement of income and expenditure for the biennium 2014–2015 </w:t>
      </w:r>
      <w:r>
        <w:rPr>
          <w:rFonts w:eastAsia="Calibri"/>
        </w:rPr>
        <w:br/>
        <w:t>(1 January 2014–31 December 2014)</w:t>
      </w:r>
      <w:r>
        <w:rPr>
          <w:rFonts w:eastAsia="Calibri"/>
        </w:rPr>
        <w:tab/>
      </w:r>
      <w:r>
        <w:rPr>
          <w:rFonts w:eastAsia="Calibri"/>
        </w:rPr>
        <w:tab/>
      </w:r>
      <w:r>
        <w:rPr>
          <w:rFonts w:eastAsia="Calibri"/>
        </w:rPr>
        <w:tab/>
        <w:t>10</w:t>
      </w:r>
    </w:p>
    <w:p w:rsidR="00182BC6" w:rsidRPr="00FC21EB" w:rsidRDefault="00182BC6" w:rsidP="002E06A3">
      <w:pPr>
        <w:tabs>
          <w:tab w:val="right" w:pos="850"/>
          <w:tab w:val="left" w:pos="1134"/>
          <w:tab w:val="left" w:pos="1559"/>
          <w:tab w:val="left" w:pos="1984"/>
          <w:tab w:val="left" w:leader="dot" w:pos="7654"/>
          <w:tab w:val="right" w:pos="8929"/>
          <w:tab w:val="right" w:pos="9638"/>
        </w:tabs>
        <w:spacing w:after="120"/>
        <w:ind w:left="1130" w:hanging="1130"/>
        <w:rPr>
          <w:rFonts w:eastAsia="Calibri"/>
        </w:rPr>
      </w:pPr>
      <w:r>
        <w:rPr>
          <w:rFonts w:eastAsia="Calibri"/>
        </w:rPr>
        <w:tab/>
        <w:t>2.</w:t>
      </w:r>
      <w:r>
        <w:rPr>
          <w:rFonts w:eastAsia="Calibri"/>
        </w:rPr>
        <w:tab/>
      </w:r>
      <w:r w:rsidRPr="00FC21EB">
        <w:rPr>
          <w:rFonts w:eastAsia="Calibri"/>
          <w:lang w:val="en-US"/>
        </w:rPr>
        <w:t xml:space="preserve">Voluntary Fund for Financial and Technical Assistance in the Implementation of </w:t>
      </w:r>
      <w:r>
        <w:rPr>
          <w:rFonts w:eastAsia="Calibri"/>
          <w:lang w:val="en-US"/>
        </w:rPr>
        <w:br/>
      </w:r>
      <w:r w:rsidRPr="00FC21EB">
        <w:rPr>
          <w:rFonts w:eastAsia="Calibri"/>
          <w:lang w:val="en-US"/>
        </w:rPr>
        <w:t xml:space="preserve">the Universal </w:t>
      </w:r>
      <w:r>
        <w:rPr>
          <w:rFonts w:eastAsia="Calibri"/>
          <w:lang w:val="en-US"/>
        </w:rPr>
        <w:t xml:space="preserve">Periodic Review — </w:t>
      </w:r>
      <w:r>
        <w:rPr>
          <w:rFonts w:eastAsia="Calibri"/>
          <w:bCs/>
          <w:lang w:val="en-US"/>
        </w:rPr>
        <w:t>v</w:t>
      </w:r>
      <w:r w:rsidRPr="00FC21EB">
        <w:rPr>
          <w:rFonts w:eastAsia="Calibri"/>
          <w:bCs/>
          <w:lang w:val="en-US"/>
        </w:rPr>
        <w:t>oluntary contributions since the establishment of the</w:t>
      </w:r>
      <w:r>
        <w:rPr>
          <w:rFonts w:eastAsia="Calibri"/>
          <w:bCs/>
          <w:lang w:val="en-US"/>
        </w:rPr>
        <w:br/>
      </w:r>
      <w:r w:rsidRPr="00FC21EB">
        <w:rPr>
          <w:rFonts w:eastAsia="Calibri"/>
          <w:bCs/>
          <w:lang w:val="en-US"/>
        </w:rPr>
        <w:t xml:space="preserve">Fund </w:t>
      </w:r>
      <w:r>
        <w:rPr>
          <w:rFonts w:eastAsia="Calibri"/>
          <w:bCs/>
          <w:lang w:val="en-US"/>
        </w:rPr>
        <w:t>to 31 December 2014</w:t>
      </w:r>
      <w:r>
        <w:rPr>
          <w:rFonts w:eastAsia="Calibri"/>
          <w:bCs/>
          <w:lang w:val="en-US"/>
        </w:rPr>
        <w:tab/>
      </w:r>
      <w:r>
        <w:rPr>
          <w:rFonts w:eastAsia="Calibri"/>
          <w:bCs/>
          <w:lang w:val="en-US"/>
        </w:rPr>
        <w:tab/>
      </w:r>
      <w:r>
        <w:rPr>
          <w:rFonts w:eastAsia="Calibri"/>
          <w:bCs/>
          <w:lang w:val="en-US"/>
        </w:rPr>
        <w:tab/>
        <w:t>10</w:t>
      </w:r>
    </w:p>
    <w:p w:rsidR="007A056A" w:rsidRPr="00FC21EB" w:rsidRDefault="00A970A5" w:rsidP="001F1C1C">
      <w:pPr>
        <w:pStyle w:val="HChG"/>
        <w:rPr>
          <w:rFonts w:eastAsia="Calibri"/>
        </w:rPr>
      </w:pPr>
      <w:r w:rsidRPr="00FC21EB">
        <w:rPr>
          <w:rFonts w:eastAsia="Calibri"/>
          <w:lang w:val="en-US"/>
        </w:rPr>
        <w:br w:type="page"/>
      </w:r>
      <w:r w:rsidR="007A056A" w:rsidRPr="00FC21EB">
        <w:rPr>
          <w:rFonts w:eastAsia="Calibri"/>
          <w:lang w:val="en-US"/>
        </w:rPr>
        <w:lastRenderedPageBreak/>
        <w:tab/>
        <w:t>I.</w:t>
      </w:r>
      <w:r w:rsidR="007A056A" w:rsidRPr="00FC21EB">
        <w:rPr>
          <w:rFonts w:eastAsia="Calibri"/>
          <w:lang w:val="en-US"/>
        </w:rPr>
        <w:tab/>
        <w:t>Introduction</w:t>
      </w:r>
    </w:p>
    <w:p w:rsidR="0093281A" w:rsidRPr="00FC21EB" w:rsidRDefault="0093281A" w:rsidP="001F1C1C">
      <w:pPr>
        <w:pStyle w:val="H1G"/>
        <w:rPr>
          <w:rFonts w:eastAsia="Calibri"/>
        </w:rPr>
      </w:pPr>
      <w:r w:rsidRPr="00FC21EB">
        <w:rPr>
          <w:rFonts w:eastAsia="Calibri"/>
          <w:lang w:val="en-US"/>
        </w:rPr>
        <w:tab/>
        <w:t>A.</w:t>
      </w:r>
      <w:r w:rsidRPr="00FC21EB">
        <w:rPr>
          <w:rFonts w:eastAsia="Calibri"/>
          <w:lang w:val="en-US"/>
        </w:rPr>
        <w:tab/>
        <w:t>Submission of the report</w:t>
      </w:r>
    </w:p>
    <w:p w:rsidR="0093281A" w:rsidRPr="00FC21EB" w:rsidRDefault="0093281A" w:rsidP="00CF2C74">
      <w:pPr>
        <w:pStyle w:val="SingleTxtG"/>
        <w:numPr>
          <w:ilvl w:val="0"/>
          <w:numId w:val="8"/>
        </w:numPr>
        <w:tabs>
          <w:tab w:val="clear" w:pos="2835"/>
        </w:tabs>
        <w:ind w:left="1134"/>
        <w:rPr>
          <w:rFonts w:eastAsia="Calibri"/>
          <w:lang w:val="en-US"/>
        </w:rPr>
      </w:pPr>
      <w:r w:rsidRPr="00FC21EB">
        <w:rPr>
          <w:rFonts w:eastAsia="Calibri"/>
          <w:lang w:val="en-US"/>
        </w:rPr>
        <w:t xml:space="preserve">The present report is submitted in accordance with </w:t>
      </w:r>
      <w:r w:rsidR="00AB0A24" w:rsidRPr="00FC21EB">
        <w:rPr>
          <w:rFonts w:eastAsia="Calibri"/>
          <w:lang w:val="en-US"/>
        </w:rPr>
        <w:t>Human Rights Council decision 17</w:t>
      </w:r>
      <w:r w:rsidRPr="00FC21EB">
        <w:rPr>
          <w:rFonts w:eastAsia="Calibri"/>
          <w:lang w:val="en-US"/>
        </w:rPr>
        <w:t xml:space="preserve">/119, </w:t>
      </w:r>
      <w:r w:rsidR="00F8396C" w:rsidRPr="00FC21EB">
        <w:rPr>
          <w:rFonts w:eastAsia="Calibri"/>
          <w:lang w:val="en-US"/>
        </w:rPr>
        <w:t xml:space="preserve">in </w:t>
      </w:r>
      <w:r w:rsidRPr="00FC21EB">
        <w:rPr>
          <w:rFonts w:eastAsia="Calibri"/>
          <w:lang w:val="en-US"/>
        </w:rPr>
        <w:t xml:space="preserve">which the secretariat </w:t>
      </w:r>
      <w:r w:rsidR="00F8396C" w:rsidRPr="00FC21EB">
        <w:rPr>
          <w:rFonts w:eastAsia="Calibri"/>
          <w:lang w:val="en-US"/>
        </w:rPr>
        <w:t xml:space="preserve">was requested </w:t>
      </w:r>
      <w:r w:rsidRPr="00FC21EB">
        <w:rPr>
          <w:rFonts w:eastAsia="Calibri"/>
          <w:lang w:val="en-US"/>
        </w:rPr>
        <w:t xml:space="preserve">to provide an annual written update on the operations of the Voluntary Fund for </w:t>
      </w:r>
      <w:r w:rsidR="002F0A8A" w:rsidRPr="00FC21EB">
        <w:rPr>
          <w:rFonts w:eastAsia="Calibri"/>
          <w:lang w:val="en-US"/>
        </w:rPr>
        <w:t xml:space="preserve">Financial </w:t>
      </w:r>
      <w:r w:rsidRPr="00FC21EB">
        <w:rPr>
          <w:rFonts w:eastAsia="Calibri"/>
          <w:lang w:val="en-US"/>
        </w:rPr>
        <w:t xml:space="preserve">and </w:t>
      </w:r>
      <w:r w:rsidR="002F0A8A" w:rsidRPr="00FC21EB">
        <w:rPr>
          <w:rFonts w:eastAsia="Calibri"/>
          <w:lang w:val="en-US"/>
        </w:rPr>
        <w:t>Technical Assistance</w:t>
      </w:r>
      <w:r w:rsidRPr="00FC21EB">
        <w:rPr>
          <w:rFonts w:eastAsia="Calibri"/>
          <w:lang w:val="en-US"/>
        </w:rPr>
        <w:t xml:space="preserve"> in the </w:t>
      </w:r>
      <w:r w:rsidR="002F0A8A" w:rsidRPr="00FC21EB">
        <w:rPr>
          <w:rFonts w:eastAsia="Calibri"/>
          <w:lang w:val="en-US"/>
        </w:rPr>
        <w:t xml:space="preserve">Implementation </w:t>
      </w:r>
      <w:r w:rsidRPr="00FC21EB">
        <w:rPr>
          <w:rFonts w:eastAsia="Calibri"/>
          <w:lang w:val="en-US"/>
        </w:rPr>
        <w:t xml:space="preserve">of the </w:t>
      </w:r>
      <w:r w:rsidR="002F0A8A" w:rsidRPr="00FC21EB">
        <w:rPr>
          <w:rFonts w:eastAsia="Calibri"/>
          <w:lang w:val="en-US"/>
        </w:rPr>
        <w:t xml:space="preserve">Universal Periodic Review </w:t>
      </w:r>
      <w:r w:rsidRPr="00FC21EB">
        <w:rPr>
          <w:rFonts w:eastAsia="Calibri"/>
          <w:lang w:val="en-US"/>
        </w:rPr>
        <w:t>(</w:t>
      </w:r>
      <w:r w:rsidR="00AF7D13">
        <w:rPr>
          <w:rFonts w:eastAsia="Calibri"/>
          <w:lang w:val="en-US"/>
        </w:rPr>
        <w:t>hereinafter, “</w:t>
      </w:r>
      <w:r w:rsidRPr="00FC21EB">
        <w:rPr>
          <w:rFonts w:eastAsia="Calibri"/>
          <w:lang w:val="en-US"/>
        </w:rPr>
        <w:t>the Voluntary Fund</w:t>
      </w:r>
      <w:r w:rsidR="00AF7D13">
        <w:rPr>
          <w:rFonts w:eastAsia="Calibri"/>
          <w:lang w:val="en-US"/>
        </w:rPr>
        <w:t>”</w:t>
      </w:r>
      <w:r w:rsidRPr="00FC21EB">
        <w:rPr>
          <w:rFonts w:eastAsia="Calibri"/>
          <w:lang w:val="en-US"/>
        </w:rPr>
        <w:t xml:space="preserve">) and on the resources available to it. </w:t>
      </w:r>
      <w:r w:rsidR="00B40D82">
        <w:rPr>
          <w:rFonts w:eastAsia="Calibri"/>
          <w:lang w:val="en-US"/>
        </w:rPr>
        <w:t xml:space="preserve">The report has been prepared by the secretariat in consultation with the Board of Trustees of the Voluntary Fund and has been approved by the Board. </w:t>
      </w:r>
      <w:r w:rsidRPr="00FC21EB">
        <w:rPr>
          <w:rFonts w:eastAsia="Calibri"/>
          <w:lang w:val="en-US"/>
        </w:rPr>
        <w:t xml:space="preserve">The present report provides an overview of contributions and expenditure as at </w:t>
      </w:r>
      <w:r w:rsidR="00D610E0">
        <w:rPr>
          <w:rFonts w:eastAsia="Calibri"/>
          <w:lang w:val="en-US"/>
        </w:rPr>
        <w:t>31 December 2014</w:t>
      </w:r>
      <w:r w:rsidR="00831048" w:rsidRPr="00FC21EB">
        <w:rPr>
          <w:rFonts w:eastAsia="Calibri"/>
          <w:lang w:val="en-US"/>
        </w:rPr>
        <w:t>,</w:t>
      </w:r>
      <w:r w:rsidRPr="00FC21EB">
        <w:rPr>
          <w:rFonts w:eastAsia="Calibri"/>
          <w:lang w:val="en-US"/>
        </w:rPr>
        <w:t xml:space="preserve"> </w:t>
      </w:r>
      <w:r w:rsidR="003E5E89" w:rsidRPr="00FC21EB">
        <w:rPr>
          <w:rFonts w:eastAsia="Calibri"/>
          <w:lang w:val="en-US"/>
        </w:rPr>
        <w:t xml:space="preserve">together </w:t>
      </w:r>
      <w:r w:rsidRPr="00FC21EB">
        <w:rPr>
          <w:rFonts w:eastAsia="Calibri"/>
          <w:lang w:val="en-US"/>
        </w:rPr>
        <w:t xml:space="preserve">with a description of action taken since the submission of the </w:t>
      </w:r>
      <w:r w:rsidR="0042300A" w:rsidRPr="00FC21EB">
        <w:rPr>
          <w:rFonts w:eastAsia="Calibri"/>
          <w:lang w:val="en-US"/>
        </w:rPr>
        <w:t xml:space="preserve">previous </w:t>
      </w:r>
      <w:r w:rsidRPr="00FC21EB">
        <w:rPr>
          <w:rFonts w:eastAsia="Calibri"/>
          <w:lang w:val="en-US"/>
        </w:rPr>
        <w:t>report (</w:t>
      </w:r>
      <w:r w:rsidR="001C3307">
        <w:rPr>
          <w:rFonts w:eastAsia="Calibri"/>
        </w:rPr>
        <w:t>A/HRC/26/54</w:t>
      </w:r>
      <w:r w:rsidRPr="00FC21EB">
        <w:rPr>
          <w:rFonts w:eastAsia="Calibri"/>
        </w:rPr>
        <w:t xml:space="preserve">) </w:t>
      </w:r>
      <w:r w:rsidRPr="00FC21EB">
        <w:rPr>
          <w:rFonts w:eastAsia="Calibri"/>
          <w:lang w:val="en-US"/>
        </w:rPr>
        <w:t xml:space="preserve">to operationalize the Voluntary Fund. It also provides a description of the activities to be funded by the Voluntary Fund </w:t>
      </w:r>
      <w:r w:rsidR="001C3307">
        <w:rPr>
          <w:rFonts w:eastAsia="Calibri"/>
          <w:lang w:val="en-US"/>
        </w:rPr>
        <w:t>during the course of 2015</w:t>
      </w:r>
      <w:r w:rsidRPr="00FC21EB">
        <w:rPr>
          <w:rFonts w:eastAsia="Calibri"/>
          <w:lang w:val="en-US"/>
        </w:rPr>
        <w:t>.</w:t>
      </w:r>
    </w:p>
    <w:p w:rsidR="0093281A" w:rsidRPr="00FC21EB" w:rsidRDefault="0093281A" w:rsidP="001F1C1C">
      <w:pPr>
        <w:pStyle w:val="H1G"/>
        <w:rPr>
          <w:rFonts w:eastAsia="Calibri"/>
          <w:lang w:val="en-US"/>
        </w:rPr>
      </w:pPr>
      <w:r w:rsidRPr="00FC21EB">
        <w:rPr>
          <w:rFonts w:eastAsia="Calibri"/>
          <w:lang w:val="en-US"/>
        </w:rPr>
        <w:tab/>
        <w:t>B.</w:t>
      </w:r>
      <w:r w:rsidRPr="00FC21EB">
        <w:rPr>
          <w:rFonts w:eastAsia="Calibri"/>
          <w:lang w:val="en-US"/>
        </w:rPr>
        <w:tab/>
        <w:t>Background</w:t>
      </w:r>
    </w:p>
    <w:p w:rsidR="0093281A" w:rsidRPr="00FC21EB" w:rsidRDefault="0093281A" w:rsidP="00CF2C74">
      <w:pPr>
        <w:pStyle w:val="SingleTxtG"/>
        <w:numPr>
          <w:ilvl w:val="0"/>
          <w:numId w:val="8"/>
        </w:numPr>
        <w:tabs>
          <w:tab w:val="clear" w:pos="2835"/>
        </w:tabs>
        <w:ind w:left="1134"/>
        <w:rPr>
          <w:rFonts w:eastAsia="Calibri"/>
          <w:lang w:val="en-US"/>
        </w:rPr>
      </w:pPr>
      <w:r w:rsidRPr="00FC21EB">
        <w:rPr>
          <w:rFonts w:eastAsia="Calibri"/>
          <w:lang w:val="en-US"/>
        </w:rPr>
        <w:t xml:space="preserve">In </w:t>
      </w:r>
      <w:r w:rsidR="00504EBC" w:rsidRPr="00FC21EB">
        <w:rPr>
          <w:rFonts w:eastAsia="Calibri"/>
          <w:lang w:val="en-US"/>
        </w:rPr>
        <w:t xml:space="preserve">its </w:t>
      </w:r>
      <w:r w:rsidRPr="00FC21EB">
        <w:rPr>
          <w:rFonts w:eastAsia="Calibri"/>
          <w:lang w:val="en-US"/>
        </w:rPr>
        <w:t>resolution 6/17, the Human Rights Council requested the Secretary-General to establish a new financial mechanism called the Voluntary Fund for Financial and Technical Assistance in order to provide, in conjunction with mul</w:t>
      </w:r>
      <w:r w:rsidR="0068235D">
        <w:rPr>
          <w:rFonts w:eastAsia="Calibri"/>
          <w:lang w:val="en-US"/>
        </w:rPr>
        <w:t xml:space="preserve">tilateral funding mechanisms, a </w:t>
      </w:r>
      <w:r w:rsidRPr="00FC21EB">
        <w:rPr>
          <w:rFonts w:eastAsia="Calibri"/>
          <w:lang w:val="en-US"/>
        </w:rPr>
        <w:t xml:space="preserve">source of financial and technical assistance to help countries implement recommendations emanating from the universal periodic review in consultation with, and with the consent of, the country concerned. In </w:t>
      </w:r>
      <w:r w:rsidR="00504EBC" w:rsidRPr="00FC21EB">
        <w:rPr>
          <w:rFonts w:eastAsia="Calibri"/>
          <w:lang w:val="en-US"/>
        </w:rPr>
        <w:t xml:space="preserve">its </w:t>
      </w:r>
      <w:r w:rsidRPr="00FC21EB">
        <w:rPr>
          <w:rFonts w:eastAsia="Calibri"/>
          <w:lang w:val="en-US"/>
        </w:rPr>
        <w:t xml:space="preserve">resolution 16/21, the Human Rights Council requested that the Voluntary Fund be strengthened and operationalized in order to provide a source of financial and technical assistance to help countries, in particular least developed countries and </w:t>
      </w:r>
      <w:r w:rsidR="00DC600D" w:rsidRPr="00FC21EB">
        <w:rPr>
          <w:rFonts w:eastAsia="Calibri"/>
          <w:lang w:val="en-US"/>
        </w:rPr>
        <w:t>s</w:t>
      </w:r>
      <w:r w:rsidR="002847F5">
        <w:rPr>
          <w:rFonts w:eastAsia="Calibri"/>
          <w:lang w:val="en-US"/>
        </w:rPr>
        <w:t xml:space="preserve">mall </w:t>
      </w:r>
      <w:r w:rsidR="00DC600D" w:rsidRPr="00FC21EB">
        <w:rPr>
          <w:rFonts w:eastAsia="Calibri"/>
          <w:lang w:val="en-US"/>
        </w:rPr>
        <w:t>i</w:t>
      </w:r>
      <w:r w:rsidRPr="00FC21EB">
        <w:rPr>
          <w:rFonts w:eastAsia="Calibri"/>
          <w:lang w:val="en-US"/>
        </w:rPr>
        <w:t xml:space="preserve">sland </w:t>
      </w:r>
      <w:r w:rsidR="00DC600D" w:rsidRPr="00FC21EB">
        <w:rPr>
          <w:rFonts w:eastAsia="Calibri"/>
          <w:lang w:val="en-US"/>
        </w:rPr>
        <w:t>d</w:t>
      </w:r>
      <w:r w:rsidRPr="00FC21EB">
        <w:rPr>
          <w:rFonts w:eastAsia="Calibri"/>
          <w:lang w:val="en-US"/>
        </w:rPr>
        <w:t>eveloping States, to implement the recommendations emanating from their review. The Human Rights Council also requested that a board of trustees be established in accordance with t</w:t>
      </w:r>
      <w:r w:rsidR="007A056A" w:rsidRPr="00FC21EB">
        <w:rPr>
          <w:rFonts w:eastAsia="Calibri"/>
          <w:lang w:val="en-US"/>
        </w:rPr>
        <w:t>he rules of the United Nations.</w:t>
      </w:r>
    </w:p>
    <w:p w:rsidR="0093281A" w:rsidRPr="00FC21EB" w:rsidRDefault="0093281A" w:rsidP="00CF2C74">
      <w:pPr>
        <w:pStyle w:val="SingleTxtG"/>
        <w:numPr>
          <w:ilvl w:val="0"/>
          <w:numId w:val="8"/>
        </w:numPr>
        <w:tabs>
          <w:tab w:val="clear" w:pos="2835"/>
        </w:tabs>
        <w:ind w:left="1134"/>
        <w:rPr>
          <w:rFonts w:eastAsia="Calibri"/>
          <w:lang w:val="en-US"/>
        </w:rPr>
      </w:pPr>
      <w:r w:rsidRPr="00FC21EB">
        <w:rPr>
          <w:rFonts w:eastAsia="Calibri"/>
          <w:lang w:val="en-US"/>
        </w:rPr>
        <w:t xml:space="preserve">The Voluntary Fund </w:t>
      </w:r>
      <w:r w:rsidR="00F8396C" w:rsidRPr="00FC21EB">
        <w:rPr>
          <w:rFonts w:eastAsia="Calibri"/>
          <w:lang w:val="en-US"/>
        </w:rPr>
        <w:t>was</w:t>
      </w:r>
      <w:r w:rsidRPr="00FC21EB">
        <w:rPr>
          <w:rFonts w:eastAsia="Calibri"/>
          <w:lang w:val="en-US"/>
        </w:rPr>
        <w:t xml:space="preserve"> established in 2009. </w:t>
      </w:r>
      <w:r w:rsidR="0042300A" w:rsidRPr="00FC21EB">
        <w:rPr>
          <w:rFonts w:eastAsia="Calibri"/>
          <w:lang w:val="en-US"/>
        </w:rPr>
        <w:t xml:space="preserve">The Office of the </w:t>
      </w:r>
      <w:r w:rsidR="00CA4779">
        <w:rPr>
          <w:rFonts w:eastAsia="Calibri"/>
          <w:lang w:val="en-US"/>
        </w:rPr>
        <w:t xml:space="preserve">United Nations </w:t>
      </w:r>
      <w:r w:rsidR="0042300A" w:rsidRPr="00FC21EB">
        <w:rPr>
          <w:rFonts w:eastAsia="Calibri"/>
          <w:lang w:val="en-US"/>
        </w:rPr>
        <w:t>High Commissioner for Human Rights (</w:t>
      </w:r>
      <w:r w:rsidRPr="00FC21EB">
        <w:rPr>
          <w:rFonts w:eastAsia="Calibri"/>
          <w:lang w:val="en-US"/>
        </w:rPr>
        <w:t>OHCHR</w:t>
      </w:r>
      <w:r w:rsidR="0042300A" w:rsidRPr="00FC21EB">
        <w:rPr>
          <w:rFonts w:eastAsia="Calibri"/>
          <w:lang w:val="en-US"/>
        </w:rPr>
        <w:t>)</w:t>
      </w:r>
      <w:r w:rsidRPr="00FC21EB">
        <w:rPr>
          <w:rFonts w:eastAsia="Calibri"/>
          <w:lang w:val="en-US"/>
        </w:rPr>
        <w:t xml:space="preserve"> has begun operationalizing </w:t>
      </w:r>
      <w:r w:rsidR="001A6AB5" w:rsidRPr="00FC21EB">
        <w:rPr>
          <w:rFonts w:eastAsia="Calibri"/>
          <w:lang w:val="en-US"/>
        </w:rPr>
        <w:t xml:space="preserve">the Fund </w:t>
      </w:r>
      <w:r w:rsidRPr="00FC21EB">
        <w:rPr>
          <w:rFonts w:eastAsia="Calibri"/>
          <w:lang w:val="en-US"/>
        </w:rPr>
        <w:t xml:space="preserve">by providing financial and technical assistance to States </w:t>
      </w:r>
      <w:r w:rsidR="001A6AB5" w:rsidRPr="00FC21EB">
        <w:rPr>
          <w:rFonts w:eastAsia="Calibri"/>
          <w:lang w:val="en-US"/>
        </w:rPr>
        <w:t xml:space="preserve">which have </w:t>
      </w:r>
      <w:r w:rsidRPr="00FC21EB">
        <w:rPr>
          <w:rFonts w:eastAsia="Calibri"/>
          <w:lang w:val="en-US"/>
        </w:rPr>
        <w:t xml:space="preserve">requested support. </w:t>
      </w:r>
      <w:r w:rsidR="00C971D3" w:rsidRPr="00FC21EB">
        <w:rPr>
          <w:rFonts w:eastAsia="Calibri"/>
          <w:lang w:val="en-US"/>
        </w:rPr>
        <w:t>S</w:t>
      </w:r>
      <w:r w:rsidRPr="00FC21EB">
        <w:rPr>
          <w:rFonts w:eastAsia="Calibri"/>
          <w:lang w:val="en-US"/>
        </w:rPr>
        <w:t xml:space="preserve">upport has been provided in the spirit of the </w:t>
      </w:r>
      <w:r w:rsidR="00F8396C" w:rsidRPr="00FC21EB">
        <w:rPr>
          <w:rFonts w:eastAsia="Calibri"/>
          <w:lang w:val="en-US"/>
        </w:rPr>
        <w:t>u</w:t>
      </w:r>
      <w:r w:rsidR="00C971D3" w:rsidRPr="00FC21EB">
        <w:rPr>
          <w:rFonts w:eastAsia="Calibri"/>
          <w:lang w:val="en-US"/>
        </w:rPr>
        <w:t xml:space="preserve">niversal </w:t>
      </w:r>
      <w:r w:rsidR="00F8396C" w:rsidRPr="00FC21EB">
        <w:rPr>
          <w:rFonts w:eastAsia="Calibri"/>
          <w:lang w:val="en-US"/>
        </w:rPr>
        <w:t>p</w:t>
      </w:r>
      <w:r w:rsidR="00C971D3" w:rsidRPr="00FC21EB">
        <w:rPr>
          <w:rFonts w:eastAsia="Calibri"/>
          <w:lang w:val="en-US"/>
        </w:rPr>
        <w:t xml:space="preserve">eriodic </w:t>
      </w:r>
      <w:r w:rsidR="00F8396C" w:rsidRPr="00FC21EB">
        <w:rPr>
          <w:rFonts w:eastAsia="Calibri"/>
          <w:lang w:val="en-US"/>
        </w:rPr>
        <w:t>r</w:t>
      </w:r>
      <w:r w:rsidR="00C971D3" w:rsidRPr="00FC21EB">
        <w:rPr>
          <w:rFonts w:eastAsia="Calibri"/>
          <w:lang w:val="en-US"/>
        </w:rPr>
        <w:t>eview</w:t>
      </w:r>
      <w:r w:rsidRPr="00FC21EB">
        <w:rPr>
          <w:rFonts w:eastAsia="Calibri"/>
          <w:lang w:val="en-US"/>
        </w:rPr>
        <w:t xml:space="preserve">, in </w:t>
      </w:r>
      <w:r w:rsidR="00F8396C" w:rsidRPr="00FC21EB">
        <w:rPr>
          <w:rFonts w:eastAsia="Calibri"/>
          <w:lang w:val="en-US"/>
        </w:rPr>
        <w:t xml:space="preserve">the </w:t>
      </w:r>
      <w:r w:rsidRPr="00FC21EB">
        <w:rPr>
          <w:rFonts w:eastAsia="Calibri"/>
          <w:lang w:val="en-US"/>
        </w:rPr>
        <w:t xml:space="preserve">founding resolution </w:t>
      </w:r>
      <w:r w:rsidR="00F8396C" w:rsidRPr="00FC21EB">
        <w:rPr>
          <w:rFonts w:eastAsia="Calibri"/>
          <w:lang w:val="en-US"/>
        </w:rPr>
        <w:t>for which it is provided</w:t>
      </w:r>
      <w:r w:rsidRPr="00FC21EB">
        <w:rPr>
          <w:rFonts w:eastAsia="Calibri"/>
          <w:lang w:val="en-US"/>
        </w:rPr>
        <w:t xml:space="preserve"> that the objectives are the improvement of the human rights situation on the ground (</w:t>
      </w:r>
      <w:r w:rsidR="007B2AD6" w:rsidRPr="00FC21EB">
        <w:rPr>
          <w:rFonts w:eastAsia="Calibri"/>
          <w:lang w:val="en-US"/>
        </w:rPr>
        <w:t xml:space="preserve">Human Rights Council resolution 5/1, annex, </w:t>
      </w:r>
      <w:r w:rsidRPr="00FC21EB">
        <w:rPr>
          <w:rFonts w:eastAsia="Calibri"/>
          <w:lang w:val="en-US"/>
        </w:rPr>
        <w:t>para</w:t>
      </w:r>
      <w:r w:rsidR="007B2AD6" w:rsidRPr="00FC21EB">
        <w:rPr>
          <w:rFonts w:eastAsia="Calibri"/>
          <w:lang w:val="en-US"/>
        </w:rPr>
        <w:t>.</w:t>
      </w:r>
      <w:r w:rsidR="00756AA4">
        <w:rPr>
          <w:rFonts w:eastAsia="Calibri"/>
          <w:lang w:val="en-US"/>
        </w:rPr>
        <w:t> </w:t>
      </w:r>
      <w:r w:rsidRPr="00FC21EB">
        <w:rPr>
          <w:rFonts w:eastAsia="Calibri"/>
          <w:lang w:val="en-US"/>
        </w:rPr>
        <w:t>4 (a)), the fulfilment of the State’s human rights obligations and commitments (</w:t>
      </w:r>
      <w:r w:rsidR="007B2AD6" w:rsidRPr="00FC21EB">
        <w:rPr>
          <w:rFonts w:eastAsia="Calibri"/>
          <w:lang w:val="en-US"/>
        </w:rPr>
        <w:t xml:space="preserve">ibid., </w:t>
      </w:r>
      <w:r w:rsidRPr="00FC21EB">
        <w:rPr>
          <w:rFonts w:eastAsia="Calibri"/>
          <w:lang w:val="en-US"/>
        </w:rPr>
        <w:t>para</w:t>
      </w:r>
      <w:r w:rsidR="00370AEF" w:rsidRPr="00FC21EB">
        <w:rPr>
          <w:rFonts w:eastAsia="Calibri"/>
          <w:lang w:val="en-US"/>
        </w:rPr>
        <w:t>.</w:t>
      </w:r>
      <w:r w:rsidR="00756AA4">
        <w:rPr>
          <w:rFonts w:eastAsia="Calibri"/>
          <w:lang w:val="en-US"/>
        </w:rPr>
        <w:t> </w:t>
      </w:r>
      <w:r w:rsidRPr="00FC21EB">
        <w:rPr>
          <w:rFonts w:eastAsia="Calibri"/>
          <w:lang w:val="en-US"/>
        </w:rPr>
        <w:t xml:space="preserve">4 (b)) and the enhancement of the State’s capacity and of technical assistance, in consultation </w:t>
      </w:r>
      <w:r w:rsidR="00BE5290" w:rsidRPr="00FC21EB">
        <w:rPr>
          <w:rFonts w:eastAsia="Calibri"/>
          <w:lang w:val="en-US"/>
        </w:rPr>
        <w:t xml:space="preserve">with, and with the consent of, </w:t>
      </w:r>
      <w:r w:rsidRPr="00FC21EB">
        <w:rPr>
          <w:rFonts w:eastAsia="Calibri"/>
          <w:lang w:val="en-US"/>
        </w:rPr>
        <w:t xml:space="preserve">the </w:t>
      </w:r>
      <w:r w:rsidR="0042300A" w:rsidRPr="00FC21EB">
        <w:rPr>
          <w:rFonts w:eastAsia="Calibri"/>
          <w:lang w:val="en-US"/>
        </w:rPr>
        <w:t>S</w:t>
      </w:r>
      <w:r w:rsidRPr="00FC21EB">
        <w:rPr>
          <w:rFonts w:eastAsia="Calibri"/>
          <w:lang w:val="en-US"/>
        </w:rPr>
        <w:t>tate concerned</w:t>
      </w:r>
      <w:r w:rsidR="007B2AD6" w:rsidRPr="00FC21EB">
        <w:rPr>
          <w:rFonts w:eastAsia="Calibri"/>
          <w:lang w:val="en-US"/>
        </w:rPr>
        <w:t xml:space="preserve"> (ibid., </w:t>
      </w:r>
      <w:r w:rsidR="00370AEF" w:rsidRPr="00FC21EB">
        <w:rPr>
          <w:rFonts w:eastAsia="Calibri"/>
          <w:lang w:val="en-US"/>
        </w:rPr>
        <w:t>para.</w:t>
      </w:r>
      <w:r w:rsidR="00756AA4">
        <w:rPr>
          <w:rFonts w:eastAsia="Calibri"/>
          <w:lang w:val="en-US"/>
        </w:rPr>
        <w:t> </w:t>
      </w:r>
      <w:r w:rsidR="007B2AD6" w:rsidRPr="00FC21EB">
        <w:rPr>
          <w:rFonts w:eastAsia="Calibri"/>
          <w:lang w:val="en-US"/>
        </w:rPr>
        <w:t>4 (c))</w:t>
      </w:r>
      <w:r w:rsidRPr="00FC21EB">
        <w:rPr>
          <w:rFonts w:eastAsia="Calibri"/>
          <w:lang w:val="en-US"/>
        </w:rPr>
        <w:t>.</w:t>
      </w:r>
    </w:p>
    <w:p w:rsidR="0093281A" w:rsidRPr="00FC21EB" w:rsidRDefault="0093281A" w:rsidP="00D57758">
      <w:pPr>
        <w:pStyle w:val="HChG"/>
        <w:rPr>
          <w:rFonts w:eastAsia="Calibri"/>
        </w:rPr>
      </w:pPr>
      <w:r w:rsidRPr="00FC21EB">
        <w:rPr>
          <w:rFonts w:eastAsia="Calibri"/>
          <w:lang w:val="en-US"/>
        </w:rPr>
        <w:tab/>
        <w:t>II.</w:t>
      </w:r>
      <w:r w:rsidRPr="00FC21EB">
        <w:rPr>
          <w:rFonts w:eastAsia="Calibri"/>
          <w:lang w:val="en-US"/>
        </w:rPr>
        <w:tab/>
        <w:t>Operationalization of the Fund</w:t>
      </w:r>
    </w:p>
    <w:p w:rsidR="0093281A" w:rsidRPr="00FC21EB" w:rsidRDefault="0093281A" w:rsidP="00D57758">
      <w:pPr>
        <w:pStyle w:val="H1G"/>
        <w:rPr>
          <w:rFonts w:eastAsia="Calibri"/>
        </w:rPr>
      </w:pPr>
      <w:r w:rsidRPr="00FC21EB">
        <w:rPr>
          <w:rFonts w:eastAsia="Calibri"/>
          <w:lang w:val="en-US"/>
        </w:rPr>
        <w:tab/>
        <w:t>A.</w:t>
      </w:r>
      <w:r w:rsidRPr="00FC21EB">
        <w:rPr>
          <w:rFonts w:eastAsia="Calibri"/>
          <w:lang w:val="en-US"/>
        </w:rPr>
        <w:tab/>
        <w:t>Board of Trustees of the Fund</w:t>
      </w:r>
    </w:p>
    <w:p w:rsidR="00C14812" w:rsidRDefault="0093281A" w:rsidP="002E06A3">
      <w:pPr>
        <w:pStyle w:val="SingleTxtG"/>
        <w:numPr>
          <w:ilvl w:val="0"/>
          <w:numId w:val="8"/>
        </w:numPr>
        <w:tabs>
          <w:tab w:val="clear" w:pos="2835"/>
        </w:tabs>
        <w:ind w:left="1134"/>
        <w:rPr>
          <w:rFonts w:eastAsia="Calibri"/>
          <w:lang w:val="en-US"/>
        </w:rPr>
      </w:pPr>
      <w:r w:rsidRPr="00FC21EB">
        <w:rPr>
          <w:rFonts w:eastAsia="Calibri"/>
          <w:lang w:val="en-US"/>
        </w:rPr>
        <w:t>On 30 May 2013, the Secretary-General appointed the members of the Board of Trustees of the Voluntary Fund for Technical Cooperation</w:t>
      </w:r>
      <w:r w:rsidR="00B40D82">
        <w:rPr>
          <w:rFonts w:eastAsia="Calibri"/>
          <w:lang w:val="en-US"/>
        </w:rPr>
        <w:t xml:space="preserve"> to serve also as </w:t>
      </w:r>
      <w:r w:rsidRPr="00FC21EB">
        <w:rPr>
          <w:rFonts w:eastAsia="Calibri"/>
          <w:lang w:val="en-US"/>
        </w:rPr>
        <w:t xml:space="preserve">the Board of Trustees for the Voluntary Fund for </w:t>
      </w:r>
      <w:r w:rsidR="002F0A8A" w:rsidRPr="00A970A5">
        <w:rPr>
          <w:rFonts w:eastAsia="Calibri"/>
          <w:lang w:val="en-US"/>
        </w:rPr>
        <w:t xml:space="preserve">Financial </w:t>
      </w:r>
      <w:r w:rsidR="00CA4779" w:rsidRPr="00A970A5">
        <w:rPr>
          <w:rFonts w:eastAsia="Calibri"/>
          <w:lang w:val="en-US"/>
        </w:rPr>
        <w:t xml:space="preserve">and </w:t>
      </w:r>
      <w:r w:rsidR="002F0A8A" w:rsidRPr="00A970A5">
        <w:rPr>
          <w:rFonts w:eastAsia="Calibri"/>
          <w:lang w:val="en-US"/>
        </w:rPr>
        <w:t xml:space="preserve">Technical Assistance </w:t>
      </w:r>
      <w:r w:rsidR="00CA4779" w:rsidRPr="00A970A5">
        <w:rPr>
          <w:rFonts w:eastAsia="Calibri"/>
          <w:lang w:val="en-US"/>
        </w:rPr>
        <w:t xml:space="preserve">in the </w:t>
      </w:r>
      <w:r w:rsidR="002F0A8A" w:rsidRPr="00A970A5">
        <w:rPr>
          <w:rFonts w:eastAsia="Calibri"/>
          <w:lang w:val="en-US"/>
        </w:rPr>
        <w:t xml:space="preserve">Implementation </w:t>
      </w:r>
      <w:r w:rsidR="00CA4779" w:rsidRPr="00A970A5">
        <w:rPr>
          <w:rFonts w:eastAsia="Calibri"/>
          <w:lang w:val="en-US"/>
        </w:rPr>
        <w:t xml:space="preserve">of the </w:t>
      </w:r>
      <w:r w:rsidR="002F0A8A" w:rsidRPr="00A970A5">
        <w:rPr>
          <w:rFonts w:eastAsia="Calibri"/>
          <w:lang w:val="en-US"/>
        </w:rPr>
        <w:t>Universal Periodic Review</w:t>
      </w:r>
      <w:r w:rsidRPr="00FC21EB">
        <w:rPr>
          <w:rFonts w:eastAsia="Calibri"/>
          <w:lang w:val="en-US"/>
        </w:rPr>
        <w:t>.</w:t>
      </w:r>
      <w:r w:rsidR="00E229FA" w:rsidRPr="00FC21EB">
        <w:rPr>
          <w:rFonts w:eastAsia="Calibri"/>
          <w:lang w:val="en-US"/>
        </w:rPr>
        <w:t xml:space="preserve"> </w:t>
      </w:r>
      <w:r w:rsidRPr="00FC21EB">
        <w:rPr>
          <w:rFonts w:eastAsia="Calibri"/>
          <w:lang w:val="en-US"/>
        </w:rPr>
        <w:t>They are tasked with overseeing the</w:t>
      </w:r>
      <w:r w:rsidR="007A056A" w:rsidRPr="00FC21EB">
        <w:rPr>
          <w:rFonts w:eastAsia="Calibri"/>
          <w:lang w:val="en-US"/>
        </w:rPr>
        <w:t xml:space="preserve"> management of the latter Fund.</w:t>
      </w:r>
    </w:p>
    <w:p w:rsidR="00C14812" w:rsidRDefault="0093281A" w:rsidP="002E06A3">
      <w:pPr>
        <w:pStyle w:val="SingleTxtG"/>
        <w:numPr>
          <w:ilvl w:val="0"/>
          <w:numId w:val="8"/>
        </w:numPr>
        <w:tabs>
          <w:tab w:val="clear" w:pos="2835"/>
        </w:tabs>
        <w:ind w:left="1134"/>
        <w:rPr>
          <w:rFonts w:eastAsia="Calibri"/>
          <w:lang w:val="en-US"/>
        </w:rPr>
      </w:pPr>
      <w:r w:rsidRPr="00FC21EB">
        <w:rPr>
          <w:rFonts w:eastAsia="Calibri"/>
          <w:lang w:val="en-US"/>
        </w:rPr>
        <w:t xml:space="preserve">In close consultation with the various </w:t>
      </w:r>
      <w:r w:rsidR="006538FA" w:rsidRPr="00FC21EB">
        <w:rPr>
          <w:rFonts w:eastAsia="Calibri"/>
          <w:lang w:val="en-US"/>
        </w:rPr>
        <w:t>sections</w:t>
      </w:r>
      <w:r w:rsidRPr="00FC21EB">
        <w:rPr>
          <w:rFonts w:eastAsia="Calibri"/>
          <w:lang w:val="en-US"/>
        </w:rPr>
        <w:t xml:space="preserve"> of OHCHR, the Board of Trustees focuses its attention on broadly guiding the operationalization of the Fund by providing policy advice.</w:t>
      </w:r>
    </w:p>
    <w:p w:rsidR="00C14812" w:rsidRDefault="004E60EF" w:rsidP="002E06A3">
      <w:pPr>
        <w:pStyle w:val="SingleTxtG"/>
        <w:numPr>
          <w:ilvl w:val="0"/>
          <w:numId w:val="8"/>
        </w:numPr>
        <w:tabs>
          <w:tab w:val="clear" w:pos="2835"/>
        </w:tabs>
        <w:ind w:left="1134"/>
        <w:rPr>
          <w:rFonts w:eastAsia="Calibri"/>
          <w:lang w:val="en-US"/>
        </w:rPr>
      </w:pPr>
      <w:r>
        <w:rPr>
          <w:rFonts w:eastAsia="Calibri"/>
          <w:lang w:val="en-US"/>
        </w:rPr>
        <w:t xml:space="preserve">Since the submission of the last report </w:t>
      </w:r>
      <w:r w:rsidRPr="00FC21EB">
        <w:rPr>
          <w:rFonts w:eastAsia="Calibri"/>
          <w:lang w:val="en-US"/>
        </w:rPr>
        <w:t>(</w:t>
      </w:r>
      <w:r>
        <w:rPr>
          <w:rFonts w:eastAsia="Calibri"/>
        </w:rPr>
        <w:t>A/HRC/26/54</w:t>
      </w:r>
      <w:r w:rsidRPr="00FC21EB">
        <w:rPr>
          <w:rFonts w:eastAsia="Calibri"/>
        </w:rPr>
        <w:t>)</w:t>
      </w:r>
      <w:r>
        <w:rPr>
          <w:rFonts w:eastAsia="Calibri"/>
        </w:rPr>
        <w:t>,</w:t>
      </w:r>
      <w:r w:rsidRPr="00FC21EB">
        <w:rPr>
          <w:rFonts w:eastAsia="Calibri"/>
        </w:rPr>
        <w:t xml:space="preserve"> </w:t>
      </w:r>
      <w:r>
        <w:rPr>
          <w:rFonts w:eastAsia="Calibri"/>
          <w:lang w:val="en-US"/>
        </w:rPr>
        <w:t>t</w:t>
      </w:r>
      <w:r w:rsidR="0093281A" w:rsidRPr="00FC21EB">
        <w:rPr>
          <w:rFonts w:eastAsia="Calibri"/>
          <w:lang w:val="en-US"/>
        </w:rPr>
        <w:t>he B</w:t>
      </w:r>
      <w:r w:rsidR="00F801BA">
        <w:rPr>
          <w:rFonts w:eastAsia="Calibri"/>
          <w:lang w:val="en-US"/>
        </w:rPr>
        <w:t xml:space="preserve">oard of Trustees </w:t>
      </w:r>
      <w:r w:rsidR="00CA4779">
        <w:rPr>
          <w:rFonts w:eastAsia="Calibri"/>
          <w:lang w:val="en-US"/>
        </w:rPr>
        <w:t xml:space="preserve">has </w:t>
      </w:r>
      <w:r w:rsidR="00F801BA">
        <w:rPr>
          <w:rFonts w:eastAsia="Calibri"/>
          <w:lang w:val="en-US"/>
        </w:rPr>
        <w:t xml:space="preserve">held its third session in Geneva in October 2014 and </w:t>
      </w:r>
      <w:r>
        <w:rPr>
          <w:rFonts w:eastAsia="Calibri"/>
          <w:lang w:val="en-US"/>
        </w:rPr>
        <w:t xml:space="preserve">the </w:t>
      </w:r>
      <w:r w:rsidR="00F801BA">
        <w:rPr>
          <w:rFonts w:eastAsia="Calibri"/>
          <w:lang w:val="en-US"/>
        </w:rPr>
        <w:t>fourth session in Phnom Penh and Bangkok in February 2015</w:t>
      </w:r>
      <w:r w:rsidR="0093281A" w:rsidRPr="00FC21EB">
        <w:rPr>
          <w:rFonts w:eastAsia="Calibri"/>
          <w:lang w:val="en-US"/>
        </w:rPr>
        <w:t xml:space="preserve">, during which </w:t>
      </w:r>
      <w:r w:rsidR="0093281A" w:rsidRPr="00FC21EB">
        <w:rPr>
          <w:rFonts w:eastAsia="Calibri"/>
          <w:lang w:eastAsia="ko-KR"/>
        </w:rPr>
        <w:t xml:space="preserve">it </w:t>
      </w:r>
      <w:r w:rsidR="00F801BA">
        <w:rPr>
          <w:rFonts w:eastAsia="Calibri"/>
          <w:lang w:eastAsia="ko-KR"/>
        </w:rPr>
        <w:t xml:space="preserve">had an opportunity to provide </w:t>
      </w:r>
      <w:r w:rsidR="00794DD0">
        <w:rPr>
          <w:rFonts w:eastAsia="Calibri"/>
          <w:lang w:eastAsia="ko-KR"/>
        </w:rPr>
        <w:t xml:space="preserve">OHCHR with </w:t>
      </w:r>
      <w:r w:rsidR="00F801BA">
        <w:rPr>
          <w:rFonts w:eastAsia="Calibri"/>
          <w:lang w:eastAsia="ko-KR"/>
        </w:rPr>
        <w:t>polic</w:t>
      </w:r>
      <w:r w:rsidR="00D610E0">
        <w:rPr>
          <w:rFonts w:eastAsia="Calibri"/>
          <w:lang w:eastAsia="ko-KR"/>
        </w:rPr>
        <w:t>y guidance aimed at</w:t>
      </w:r>
      <w:r w:rsidR="00794DD0">
        <w:rPr>
          <w:rFonts w:eastAsia="Calibri"/>
          <w:lang w:eastAsia="ko-KR"/>
        </w:rPr>
        <w:t xml:space="preserve"> maximizing the effectiveness of technical </w:t>
      </w:r>
      <w:r w:rsidR="00D610E0">
        <w:rPr>
          <w:rFonts w:eastAsia="Calibri"/>
          <w:lang w:eastAsia="ko-KR"/>
        </w:rPr>
        <w:t xml:space="preserve">assistance </w:t>
      </w:r>
      <w:r w:rsidR="00794DD0">
        <w:rPr>
          <w:rFonts w:eastAsia="Calibri"/>
          <w:lang w:eastAsia="ko-KR"/>
        </w:rPr>
        <w:t xml:space="preserve">and financial support to States in implementing recommendations of the </w:t>
      </w:r>
      <w:r w:rsidR="00CA4779">
        <w:rPr>
          <w:rFonts w:eastAsia="Calibri"/>
          <w:lang w:eastAsia="ko-KR"/>
        </w:rPr>
        <w:t xml:space="preserve">universal periodic review </w:t>
      </w:r>
      <w:r w:rsidR="00794DD0">
        <w:rPr>
          <w:rFonts w:eastAsia="Calibri"/>
          <w:lang w:eastAsia="ko-KR"/>
        </w:rPr>
        <w:t>and other international mechanisms at the country level.</w:t>
      </w:r>
    </w:p>
    <w:p w:rsidR="00C14812" w:rsidRDefault="00C14812" w:rsidP="002E06A3">
      <w:pPr>
        <w:pStyle w:val="SingleTxtG"/>
        <w:numPr>
          <w:ilvl w:val="0"/>
          <w:numId w:val="8"/>
        </w:numPr>
        <w:tabs>
          <w:tab w:val="clear" w:pos="2835"/>
        </w:tabs>
        <w:ind w:left="1134"/>
        <w:rPr>
          <w:rFonts w:eastAsia="Calibri"/>
        </w:rPr>
      </w:pPr>
      <w:r w:rsidRPr="00C14812">
        <w:rPr>
          <w:rFonts w:eastAsia="Calibri"/>
        </w:rPr>
        <w:t xml:space="preserve">During </w:t>
      </w:r>
      <w:r w:rsidR="009B3D99">
        <w:rPr>
          <w:rFonts w:eastAsia="Calibri"/>
        </w:rPr>
        <w:t>its</w:t>
      </w:r>
      <w:r w:rsidR="009B3D99" w:rsidRPr="00C14812">
        <w:rPr>
          <w:rFonts w:eastAsia="Calibri"/>
        </w:rPr>
        <w:t xml:space="preserve"> </w:t>
      </w:r>
      <w:r w:rsidRPr="00C14812">
        <w:rPr>
          <w:rFonts w:eastAsia="Calibri"/>
        </w:rPr>
        <w:t xml:space="preserve">third session in Geneva, the Board of Trustees recommended that OHCHR </w:t>
      </w:r>
      <w:r w:rsidRPr="00C14812">
        <w:t xml:space="preserve">consider establishing focal point systems </w:t>
      </w:r>
      <w:r w:rsidR="00CA4779">
        <w:t>for the universal periodic review</w:t>
      </w:r>
      <w:r w:rsidR="00CA4779" w:rsidRPr="00C14812">
        <w:t xml:space="preserve"> </w:t>
      </w:r>
      <w:r w:rsidRPr="00C14812">
        <w:t>at the OHCHR regional office level in order to provide support to countries of the respective region</w:t>
      </w:r>
      <w:r w:rsidR="00CA4779">
        <w:t>s</w:t>
      </w:r>
      <w:r w:rsidRPr="00C14812">
        <w:t xml:space="preserve"> for effective follow-up to </w:t>
      </w:r>
      <w:r w:rsidR="00CA4779">
        <w:t>universal periodic review</w:t>
      </w:r>
      <w:r w:rsidR="00CA4779" w:rsidRPr="00C14812">
        <w:t xml:space="preserve"> </w:t>
      </w:r>
      <w:r w:rsidRPr="00C14812">
        <w:t xml:space="preserve">and </w:t>
      </w:r>
      <w:r w:rsidR="00CA4779">
        <w:t>o</w:t>
      </w:r>
      <w:r w:rsidRPr="00C14812">
        <w:t xml:space="preserve">ther </w:t>
      </w:r>
      <w:r w:rsidR="00CA4779">
        <w:t>m</w:t>
      </w:r>
      <w:r w:rsidRPr="00C14812">
        <w:t xml:space="preserve">echanisms’ </w:t>
      </w:r>
      <w:r w:rsidR="00CA4779">
        <w:t>r</w:t>
      </w:r>
      <w:r w:rsidRPr="00C14812">
        <w:t>ecommendations. Th</w:t>
      </w:r>
      <w:r w:rsidR="00CA4779">
        <w:t>at</w:t>
      </w:r>
      <w:r w:rsidRPr="00C14812">
        <w:t xml:space="preserve"> should be done hand in hand with the </w:t>
      </w:r>
      <w:r w:rsidR="00CA4779">
        <w:t>t</w:t>
      </w:r>
      <w:r w:rsidR="006F1C1D">
        <w:t xml:space="preserve">reaty </w:t>
      </w:r>
      <w:r w:rsidR="00CA4779">
        <w:t>b</w:t>
      </w:r>
      <w:r w:rsidR="006F1C1D">
        <w:t>ody</w:t>
      </w:r>
      <w:r w:rsidRPr="00C14812">
        <w:t xml:space="preserve"> reform outcome and </w:t>
      </w:r>
      <w:r w:rsidR="00CA4779">
        <w:t xml:space="preserve">utilize </w:t>
      </w:r>
      <w:r w:rsidRPr="00C14812">
        <w:t xml:space="preserve">additional resources. </w:t>
      </w:r>
      <w:r w:rsidR="009147A8">
        <w:t>Further</w:t>
      </w:r>
      <w:r w:rsidR="00CA4779">
        <w:t>more</w:t>
      </w:r>
      <w:r w:rsidR="009147A8">
        <w:t>, the Board of Trustees highlighted th</w:t>
      </w:r>
      <w:r w:rsidR="0026378D">
        <w:t>e importance of documenting promising</w:t>
      </w:r>
      <w:r w:rsidR="009147A8">
        <w:t xml:space="preserve"> practices</w:t>
      </w:r>
      <w:r w:rsidR="0026378D">
        <w:t xml:space="preserve"> and lessons learned</w:t>
      </w:r>
      <w:r w:rsidR="009147A8">
        <w:t xml:space="preserve"> on follow-up</w:t>
      </w:r>
      <w:r w:rsidR="00CA4779">
        <w:t xml:space="preserve"> to</w:t>
      </w:r>
      <w:r w:rsidR="009147A8">
        <w:t xml:space="preserve"> </w:t>
      </w:r>
      <w:r w:rsidR="00CA4779">
        <w:t xml:space="preserve">the universal periodic review </w:t>
      </w:r>
      <w:r w:rsidR="009147A8">
        <w:t xml:space="preserve">that can be shared with OHCHR field presences to promote more effective follow-up to </w:t>
      </w:r>
      <w:r w:rsidR="00CA4779">
        <w:t xml:space="preserve">universal periodic review </w:t>
      </w:r>
      <w:r w:rsidR="009147A8">
        <w:t xml:space="preserve">and </w:t>
      </w:r>
      <w:r w:rsidR="00CA4779">
        <w:t>o</w:t>
      </w:r>
      <w:r w:rsidR="009147A8">
        <w:t xml:space="preserve">ther </w:t>
      </w:r>
      <w:r w:rsidR="00CA4779">
        <w:t>m</w:t>
      </w:r>
      <w:r w:rsidR="009147A8">
        <w:t xml:space="preserve">echanisms’ </w:t>
      </w:r>
      <w:r w:rsidR="00CA4779">
        <w:t>r</w:t>
      </w:r>
      <w:r w:rsidR="009147A8">
        <w:t xml:space="preserve">ecommendations on the ground. </w:t>
      </w:r>
    </w:p>
    <w:p w:rsidR="0093281A" w:rsidRPr="00FC21EB" w:rsidRDefault="004E60EF" w:rsidP="002E06A3">
      <w:pPr>
        <w:pStyle w:val="SingleTxtG"/>
        <w:numPr>
          <w:ilvl w:val="0"/>
          <w:numId w:val="8"/>
        </w:numPr>
        <w:tabs>
          <w:tab w:val="clear" w:pos="2835"/>
        </w:tabs>
        <w:ind w:left="1134"/>
        <w:rPr>
          <w:rFonts w:eastAsia="Calibri"/>
          <w:lang w:val="en-US"/>
        </w:rPr>
      </w:pPr>
      <w:r>
        <w:rPr>
          <w:rFonts w:eastAsia="Calibri"/>
          <w:lang w:eastAsia="ko-KR"/>
        </w:rPr>
        <w:t xml:space="preserve">During </w:t>
      </w:r>
      <w:r w:rsidR="00327FE7">
        <w:rPr>
          <w:rFonts w:eastAsia="Calibri"/>
          <w:lang w:eastAsia="ko-KR"/>
        </w:rPr>
        <w:t xml:space="preserve">its </w:t>
      </w:r>
      <w:r w:rsidR="00CA4779">
        <w:rPr>
          <w:rFonts w:eastAsia="Calibri"/>
          <w:lang w:eastAsia="ko-KR"/>
        </w:rPr>
        <w:t>fourth</w:t>
      </w:r>
      <w:r w:rsidR="006F1C1D">
        <w:rPr>
          <w:rFonts w:eastAsia="Calibri"/>
          <w:lang w:eastAsia="ko-KR"/>
        </w:rPr>
        <w:t xml:space="preserve"> session</w:t>
      </w:r>
      <w:r w:rsidR="00CF2C74">
        <w:rPr>
          <w:rFonts w:eastAsia="Calibri"/>
          <w:lang w:eastAsia="ko-KR"/>
        </w:rPr>
        <w:t>,</w:t>
      </w:r>
      <w:r w:rsidR="006F1C1D">
        <w:rPr>
          <w:rFonts w:eastAsia="Calibri"/>
          <w:lang w:eastAsia="ko-KR"/>
        </w:rPr>
        <w:t xml:space="preserve"> </w:t>
      </w:r>
      <w:r w:rsidR="00CF2C74">
        <w:rPr>
          <w:rFonts w:eastAsia="Calibri"/>
          <w:lang w:eastAsia="ko-KR"/>
        </w:rPr>
        <w:t xml:space="preserve">which was </w:t>
      </w:r>
      <w:r w:rsidR="006F1C1D">
        <w:rPr>
          <w:rFonts w:eastAsia="Calibri"/>
          <w:lang w:eastAsia="ko-KR"/>
        </w:rPr>
        <w:t>focused</w:t>
      </w:r>
      <w:r>
        <w:rPr>
          <w:rFonts w:eastAsia="Calibri"/>
          <w:lang w:eastAsia="ko-KR"/>
        </w:rPr>
        <w:t xml:space="preserve"> on reviewing </w:t>
      </w:r>
      <w:r w:rsidR="00CF2C74">
        <w:rPr>
          <w:rFonts w:eastAsia="Calibri"/>
          <w:lang w:eastAsia="ko-KR"/>
        </w:rPr>
        <w:t xml:space="preserve">the </w:t>
      </w:r>
      <w:r>
        <w:rPr>
          <w:rFonts w:eastAsia="Calibri"/>
          <w:lang w:eastAsia="ko-KR"/>
        </w:rPr>
        <w:t>follow-up support work of OHCHR in the Asia-Pacific region, t</w:t>
      </w:r>
      <w:r w:rsidR="0093281A" w:rsidRPr="00FC21EB">
        <w:rPr>
          <w:rFonts w:eastAsia="Calibri"/>
          <w:lang w:eastAsia="ko-KR"/>
        </w:rPr>
        <w:t xml:space="preserve">he Board of Trustees </w:t>
      </w:r>
      <w:r w:rsidR="006F1C1D">
        <w:rPr>
          <w:rFonts w:eastAsia="Calibri"/>
          <w:lang w:eastAsia="ko-KR"/>
        </w:rPr>
        <w:t xml:space="preserve">also had an </w:t>
      </w:r>
      <w:r w:rsidR="00794DD0">
        <w:rPr>
          <w:rFonts w:eastAsia="Calibri"/>
          <w:lang w:eastAsia="ko-KR"/>
        </w:rPr>
        <w:t xml:space="preserve">opportunity to </w:t>
      </w:r>
      <w:r w:rsidR="0093281A" w:rsidRPr="00FC21EB">
        <w:rPr>
          <w:rFonts w:eastAsia="Calibri"/>
          <w:lang w:eastAsia="ko-KR"/>
        </w:rPr>
        <w:t xml:space="preserve">discuss with OHCHR </w:t>
      </w:r>
      <w:r>
        <w:rPr>
          <w:rFonts w:eastAsia="Calibri"/>
          <w:lang w:eastAsia="ko-KR"/>
        </w:rPr>
        <w:t xml:space="preserve">how the latter provides technical </w:t>
      </w:r>
      <w:r w:rsidR="006F1C1D">
        <w:rPr>
          <w:rFonts w:eastAsia="Calibri"/>
          <w:lang w:eastAsia="ko-KR"/>
        </w:rPr>
        <w:t xml:space="preserve">assistance and financial support </w:t>
      </w:r>
      <w:r>
        <w:rPr>
          <w:rFonts w:eastAsia="Calibri"/>
          <w:lang w:eastAsia="ko-KR"/>
        </w:rPr>
        <w:t xml:space="preserve">through the </w:t>
      </w:r>
      <w:r w:rsidR="007915C9" w:rsidRPr="007915C9">
        <w:rPr>
          <w:rFonts w:eastAsia="Calibri"/>
          <w:lang w:eastAsia="ko-KR"/>
        </w:rPr>
        <w:t>V</w:t>
      </w:r>
      <w:r w:rsidR="007915C9" w:rsidRPr="007915C9">
        <w:rPr>
          <w:rStyle w:val="admitted"/>
        </w:rPr>
        <w:t xml:space="preserve">oluntary </w:t>
      </w:r>
      <w:r w:rsidR="007915C9" w:rsidRPr="002E06A3">
        <w:rPr>
          <w:rStyle w:val="Emphasis"/>
          <w:i w:val="0"/>
          <w:iCs w:val="0"/>
        </w:rPr>
        <w:t>Trust</w:t>
      </w:r>
      <w:r w:rsidR="007915C9" w:rsidRPr="007915C9">
        <w:rPr>
          <w:rStyle w:val="admitted"/>
        </w:rPr>
        <w:t xml:space="preserve"> </w:t>
      </w:r>
      <w:r w:rsidR="007915C9" w:rsidRPr="002E06A3">
        <w:rPr>
          <w:rStyle w:val="Emphasis"/>
          <w:i w:val="0"/>
          <w:iCs w:val="0"/>
        </w:rPr>
        <w:t>Fund</w:t>
      </w:r>
      <w:r w:rsidR="007915C9" w:rsidRPr="007915C9">
        <w:rPr>
          <w:rStyle w:val="admitted"/>
        </w:rPr>
        <w:t xml:space="preserve"> </w:t>
      </w:r>
      <w:r w:rsidR="007915C9" w:rsidRPr="002E06A3">
        <w:rPr>
          <w:rStyle w:val="Emphasis"/>
          <w:i w:val="0"/>
          <w:iCs w:val="0"/>
        </w:rPr>
        <w:t>for</w:t>
      </w:r>
      <w:r w:rsidR="007915C9" w:rsidRPr="007915C9">
        <w:rPr>
          <w:rStyle w:val="admitted"/>
        </w:rPr>
        <w:t xml:space="preserve"> Financial and Technical Assistance </w:t>
      </w:r>
      <w:r w:rsidR="007915C9" w:rsidRPr="002E06A3">
        <w:rPr>
          <w:rStyle w:val="Emphasis"/>
          <w:i w:val="0"/>
          <w:iCs w:val="0"/>
        </w:rPr>
        <w:t>for</w:t>
      </w:r>
      <w:r w:rsidR="007915C9" w:rsidRPr="007915C9">
        <w:rPr>
          <w:rStyle w:val="admitted"/>
        </w:rPr>
        <w:t xml:space="preserve"> the </w:t>
      </w:r>
      <w:r w:rsidR="007915C9" w:rsidRPr="002E06A3">
        <w:rPr>
          <w:rStyle w:val="Emphasis"/>
          <w:i w:val="0"/>
          <w:iCs w:val="0"/>
        </w:rPr>
        <w:t>Implementation</w:t>
      </w:r>
      <w:r w:rsidR="007915C9" w:rsidRPr="007915C9">
        <w:rPr>
          <w:rStyle w:val="admitted"/>
        </w:rPr>
        <w:t xml:space="preserve"> of the Universal Periodic Review</w:t>
      </w:r>
      <w:r>
        <w:rPr>
          <w:rFonts w:eastAsia="Calibri"/>
          <w:lang w:eastAsia="ko-KR"/>
        </w:rPr>
        <w:t xml:space="preserve"> </w:t>
      </w:r>
      <w:r w:rsidR="006F1C1D">
        <w:rPr>
          <w:rFonts w:eastAsia="Calibri"/>
          <w:lang w:eastAsia="ko-KR"/>
        </w:rPr>
        <w:t>in a more systematic fashion and with</w:t>
      </w:r>
      <w:r>
        <w:rPr>
          <w:rFonts w:eastAsia="Calibri"/>
          <w:lang w:eastAsia="ko-KR"/>
        </w:rPr>
        <w:t xml:space="preserve"> greater impact.</w:t>
      </w:r>
      <w:r w:rsidR="009147A8">
        <w:rPr>
          <w:rFonts w:eastAsia="Calibri"/>
          <w:lang w:eastAsia="ko-KR"/>
        </w:rPr>
        <w:t xml:space="preserve"> </w:t>
      </w:r>
      <w:r w:rsidR="009147A8">
        <w:t xml:space="preserve">The Board of Trustees also stressed the importance of coherent and coordinated use of the two </w:t>
      </w:r>
      <w:r w:rsidR="007915C9">
        <w:t>voluntary</w:t>
      </w:r>
      <w:r w:rsidR="007915C9" w:rsidRPr="007915C9">
        <w:t xml:space="preserve"> </w:t>
      </w:r>
      <w:r w:rsidR="007915C9">
        <w:t>f</w:t>
      </w:r>
      <w:r w:rsidR="009147A8" w:rsidRPr="007915C9">
        <w:t>unds</w:t>
      </w:r>
      <w:r w:rsidR="009147A8">
        <w:t xml:space="preserve">, namely the </w:t>
      </w:r>
      <w:r w:rsidR="00CF2C74">
        <w:rPr>
          <w:rStyle w:val="admitted"/>
        </w:rPr>
        <w:t xml:space="preserve">Voluntary </w:t>
      </w:r>
      <w:r w:rsidR="00CF2C74" w:rsidRPr="002E06A3">
        <w:rPr>
          <w:rStyle w:val="Emphasis"/>
          <w:i w:val="0"/>
          <w:iCs w:val="0"/>
        </w:rPr>
        <w:t>Fund</w:t>
      </w:r>
      <w:r w:rsidR="00CF2C74" w:rsidRPr="00CF2C74">
        <w:rPr>
          <w:rStyle w:val="admitted"/>
        </w:rPr>
        <w:t xml:space="preserve"> </w:t>
      </w:r>
      <w:r w:rsidR="00CF2C74" w:rsidRPr="002E06A3">
        <w:rPr>
          <w:rStyle w:val="Emphasis"/>
          <w:i w:val="0"/>
          <w:iCs w:val="0"/>
        </w:rPr>
        <w:t>for</w:t>
      </w:r>
      <w:r w:rsidR="00CF2C74" w:rsidRPr="00CF2C74">
        <w:rPr>
          <w:rStyle w:val="admitted"/>
        </w:rPr>
        <w:t xml:space="preserve"> </w:t>
      </w:r>
      <w:r w:rsidR="002F0A8A" w:rsidRPr="00CF2C74">
        <w:rPr>
          <w:rStyle w:val="admitted"/>
        </w:rPr>
        <w:t xml:space="preserve">Financial and Technical Assistance </w:t>
      </w:r>
      <w:r w:rsidR="00CF2C74" w:rsidRPr="002E06A3">
        <w:rPr>
          <w:rStyle w:val="Emphasis"/>
          <w:i w:val="0"/>
          <w:iCs w:val="0"/>
        </w:rPr>
        <w:t>for</w:t>
      </w:r>
      <w:r w:rsidR="00CF2C74" w:rsidRPr="00CF2C74">
        <w:rPr>
          <w:rStyle w:val="admitted"/>
        </w:rPr>
        <w:t xml:space="preserve"> the </w:t>
      </w:r>
      <w:r w:rsidR="002F0A8A" w:rsidRPr="00CF2C74">
        <w:rPr>
          <w:rStyle w:val="Emphasis"/>
          <w:i w:val="0"/>
          <w:iCs w:val="0"/>
        </w:rPr>
        <w:t>Implementation</w:t>
      </w:r>
      <w:r w:rsidR="002F0A8A" w:rsidRPr="00CF2C74">
        <w:rPr>
          <w:rStyle w:val="admitted"/>
        </w:rPr>
        <w:t xml:space="preserve"> </w:t>
      </w:r>
      <w:r w:rsidR="00CF2C74">
        <w:rPr>
          <w:rStyle w:val="admitted"/>
        </w:rPr>
        <w:t xml:space="preserve">of the </w:t>
      </w:r>
      <w:r w:rsidR="002F0A8A">
        <w:rPr>
          <w:rStyle w:val="admitted"/>
        </w:rPr>
        <w:t xml:space="preserve">Universal Periodic Review </w:t>
      </w:r>
      <w:r w:rsidR="009147A8">
        <w:t>and the Voluntary Fund for Technical Cooperation</w:t>
      </w:r>
      <w:r w:rsidR="00CF2C74">
        <w:t xml:space="preserve"> in the Field of Human Rights</w:t>
      </w:r>
      <w:r w:rsidR="009147A8">
        <w:t xml:space="preserve">, for greater </w:t>
      </w:r>
      <w:r w:rsidR="0026378D">
        <w:t xml:space="preserve">efficiency </w:t>
      </w:r>
      <w:r w:rsidR="009147A8">
        <w:t>and sustained impact.</w:t>
      </w:r>
      <w:r w:rsidR="00135773">
        <w:rPr>
          <w:rFonts w:eastAsia="Calibri"/>
          <w:lang w:eastAsia="ko-KR"/>
        </w:rPr>
        <w:t xml:space="preserve"> </w:t>
      </w:r>
      <w:r>
        <w:rPr>
          <w:rFonts w:eastAsia="Calibri"/>
          <w:lang w:eastAsia="ko-KR"/>
        </w:rPr>
        <w:t xml:space="preserve">The Board </w:t>
      </w:r>
      <w:r w:rsidR="006F1C1D">
        <w:rPr>
          <w:rFonts w:eastAsia="Calibri"/>
          <w:lang w:eastAsia="ko-KR"/>
        </w:rPr>
        <w:t>of Trustees also held</w:t>
      </w:r>
      <w:r>
        <w:rPr>
          <w:rFonts w:eastAsia="Calibri"/>
          <w:lang w:eastAsia="ko-KR"/>
        </w:rPr>
        <w:t xml:space="preserve"> a substantive dialogue with </w:t>
      </w:r>
      <w:r w:rsidR="006F1C1D">
        <w:rPr>
          <w:rFonts w:eastAsia="Calibri"/>
          <w:lang w:eastAsia="ko-KR"/>
        </w:rPr>
        <w:t xml:space="preserve">United Nations </w:t>
      </w:r>
      <w:r w:rsidR="00CF2C74">
        <w:rPr>
          <w:rFonts w:eastAsia="Calibri"/>
          <w:lang w:eastAsia="ko-KR"/>
        </w:rPr>
        <w:t>c</w:t>
      </w:r>
      <w:r w:rsidR="006F1C1D">
        <w:rPr>
          <w:rFonts w:eastAsia="Calibri"/>
          <w:lang w:eastAsia="ko-KR"/>
        </w:rPr>
        <w:t xml:space="preserve">ountry </w:t>
      </w:r>
      <w:r w:rsidR="00CF2C74">
        <w:rPr>
          <w:rFonts w:eastAsia="Calibri"/>
          <w:lang w:eastAsia="ko-KR"/>
        </w:rPr>
        <w:t>t</w:t>
      </w:r>
      <w:r w:rsidR="006F1C1D">
        <w:rPr>
          <w:rFonts w:eastAsia="Calibri"/>
          <w:lang w:eastAsia="ko-KR"/>
        </w:rPr>
        <w:t>eams</w:t>
      </w:r>
      <w:r w:rsidR="00CF2C74">
        <w:rPr>
          <w:rFonts w:eastAsia="Calibri"/>
          <w:lang w:eastAsia="ko-KR"/>
        </w:rPr>
        <w:t>,</w:t>
      </w:r>
      <w:r>
        <w:rPr>
          <w:rFonts w:eastAsia="Calibri"/>
          <w:lang w:eastAsia="ko-KR"/>
        </w:rPr>
        <w:t xml:space="preserve"> with a view to identifying broad policy ad</w:t>
      </w:r>
      <w:r w:rsidR="006F1C1D">
        <w:rPr>
          <w:rFonts w:eastAsia="Calibri"/>
          <w:lang w:eastAsia="ko-KR"/>
        </w:rPr>
        <w:t>vice in connection with the latter</w:t>
      </w:r>
      <w:r>
        <w:rPr>
          <w:rFonts w:eastAsia="Calibri"/>
          <w:lang w:eastAsia="ko-KR"/>
        </w:rPr>
        <w:t xml:space="preserve">’s efforts to integrate </w:t>
      </w:r>
      <w:r w:rsidR="00CF2C74">
        <w:rPr>
          <w:rFonts w:eastAsia="Calibri"/>
          <w:lang w:eastAsia="ko-KR"/>
        </w:rPr>
        <w:t xml:space="preserve">the </w:t>
      </w:r>
      <w:r>
        <w:rPr>
          <w:rFonts w:eastAsia="Calibri"/>
          <w:lang w:eastAsia="ko-KR"/>
        </w:rPr>
        <w:t xml:space="preserve">recommendations of international human rights mechanisms, including treaty bodies, special procedures and the </w:t>
      </w:r>
      <w:r w:rsidR="00CF2C74">
        <w:rPr>
          <w:rFonts w:eastAsia="Calibri"/>
          <w:lang w:eastAsia="ko-KR"/>
        </w:rPr>
        <w:t>universal periodic review</w:t>
      </w:r>
      <w:r w:rsidR="006F1C1D">
        <w:rPr>
          <w:rFonts w:eastAsia="Calibri"/>
          <w:lang w:eastAsia="ko-KR"/>
        </w:rPr>
        <w:t>,</w:t>
      </w:r>
      <w:r>
        <w:rPr>
          <w:rFonts w:eastAsia="Calibri"/>
          <w:lang w:eastAsia="ko-KR"/>
        </w:rPr>
        <w:t xml:space="preserve"> into their respec</w:t>
      </w:r>
      <w:r w:rsidR="00135773">
        <w:rPr>
          <w:rFonts w:eastAsia="Calibri"/>
          <w:lang w:eastAsia="ko-KR"/>
        </w:rPr>
        <w:t>tive country programming.</w:t>
      </w:r>
      <w:r w:rsidR="0093281A" w:rsidRPr="00FC21EB">
        <w:rPr>
          <w:rFonts w:eastAsia="Calibri"/>
          <w:lang w:eastAsia="ko-KR"/>
        </w:rPr>
        <w:t xml:space="preserve"> </w:t>
      </w:r>
      <w:r w:rsidR="00B40D82">
        <w:rPr>
          <w:rFonts w:eastAsia="Calibri"/>
          <w:lang w:eastAsia="ko-KR"/>
        </w:rPr>
        <w:t xml:space="preserve">The Board of Trustees was impressed by efforts to incorporate human rights perspectives and strategies, including the recommendations of international human rights mechanisms, into </w:t>
      </w:r>
      <w:r w:rsidR="00B40D82">
        <w:rPr>
          <w:color w:val="000000"/>
          <w:lang w:eastAsia="ko-KR"/>
        </w:rPr>
        <w:t>United Nations common country programming documents</w:t>
      </w:r>
      <w:r w:rsidR="00CF2C74">
        <w:rPr>
          <w:color w:val="000000"/>
          <w:lang w:eastAsia="ko-KR"/>
        </w:rPr>
        <w:t>,</w:t>
      </w:r>
      <w:r w:rsidR="00B40D82">
        <w:rPr>
          <w:color w:val="000000"/>
          <w:lang w:eastAsia="ko-KR"/>
        </w:rPr>
        <w:t xml:space="preserve"> such as the United Nations Development Assistance Framework. It encouraged strongly the continuation and expansion of th</w:t>
      </w:r>
      <w:r w:rsidR="00CF2C74">
        <w:rPr>
          <w:color w:val="000000"/>
          <w:lang w:eastAsia="ko-KR"/>
        </w:rPr>
        <w:t>o</w:t>
      </w:r>
      <w:r w:rsidR="00B40D82">
        <w:rPr>
          <w:color w:val="000000"/>
          <w:lang w:eastAsia="ko-KR"/>
        </w:rPr>
        <w:t xml:space="preserve">se efforts. </w:t>
      </w:r>
      <w:r w:rsidR="0093281A" w:rsidRPr="00FC21EB">
        <w:rPr>
          <w:rFonts w:eastAsia="Calibri"/>
          <w:lang w:eastAsia="ko-KR"/>
        </w:rPr>
        <w:t>The B</w:t>
      </w:r>
      <w:r w:rsidR="00CC1E06" w:rsidRPr="00FC21EB">
        <w:rPr>
          <w:rFonts w:eastAsia="Calibri"/>
          <w:lang w:eastAsia="ko-KR"/>
        </w:rPr>
        <w:t xml:space="preserve">oard of Trustees welcomed </w:t>
      </w:r>
      <w:r w:rsidR="0042300A" w:rsidRPr="00FC21EB">
        <w:rPr>
          <w:rFonts w:eastAsia="Calibri"/>
          <w:lang w:eastAsia="ko-KR"/>
        </w:rPr>
        <w:t xml:space="preserve">the </w:t>
      </w:r>
      <w:r w:rsidR="0093281A" w:rsidRPr="00FC21EB">
        <w:rPr>
          <w:rFonts w:eastAsia="Calibri"/>
          <w:lang w:eastAsia="ko-KR"/>
        </w:rPr>
        <w:t xml:space="preserve">ongoing </w:t>
      </w:r>
      <w:r w:rsidR="00CF2C74">
        <w:rPr>
          <w:rFonts w:eastAsia="Calibri"/>
          <w:lang w:eastAsia="ko-KR"/>
        </w:rPr>
        <w:t xml:space="preserve">OHCHR </w:t>
      </w:r>
      <w:r w:rsidR="0093281A" w:rsidRPr="00FC21EB">
        <w:rPr>
          <w:rFonts w:eastAsia="Calibri"/>
          <w:lang w:eastAsia="ko-KR"/>
        </w:rPr>
        <w:t xml:space="preserve">efforts to </w:t>
      </w:r>
      <w:r w:rsidR="006F1C1D">
        <w:rPr>
          <w:rFonts w:eastAsia="Calibri"/>
          <w:lang w:eastAsia="ko-KR"/>
        </w:rPr>
        <w:t xml:space="preserve">provide </w:t>
      </w:r>
      <w:r>
        <w:rPr>
          <w:rFonts w:eastAsia="Calibri"/>
          <w:lang w:eastAsia="ko-KR"/>
        </w:rPr>
        <w:t xml:space="preserve">technical assistance and financial support </w:t>
      </w:r>
      <w:r w:rsidR="006F1C1D">
        <w:rPr>
          <w:rFonts w:eastAsia="Calibri"/>
          <w:lang w:eastAsia="ko-KR"/>
        </w:rPr>
        <w:t xml:space="preserve">systematically </w:t>
      </w:r>
      <w:r w:rsidR="00CF17B9">
        <w:rPr>
          <w:rFonts w:eastAsia="Calibri"/>
          <w:lang w:eastAsia="ko-KR"/>
        </w:rPr>
        <w:t xml:space="preserve">through the use of the Fund </w:t>
      </w:r>
      <w:r>
        <w:rPr>
          <w:rFonts w:eastAsia="Calibri"/>
          <w:lang w:eastAsia="ko-KR"/>
        </w:rPr>
        <w:t>to</w:t>
      </w:r>
      <w:r w:rsidR="00CF2C74">
        <w:rPr>
          <w:rFonts w:eastAsia="Calibri"/>
          <w:lang w:eastAsia="ko-KR"/>
        </w:rPr>
        <w:t xml:space="preserve"> help</w:t>
      </w:r>
      <w:r>
        <w:rPr>
          <w:rFonts w:eastAsia="Calibri"/>
          <w:lang w:eastAsia="ko-KR"/>
        </w:rPr>
        <w:t xml:space="preserve"> States in </w:t>
      </w:r>
      <w:r w:rsidR="00CF17B9">
        <w:rPr>
          <w:rFonts w:eastAsia="Calibri"/>
          <w:lang w:eastAsia="ko-KR"/>
        </w:rPr>
        <w:t>implementing recommendations of international human rights mechanisms.</w:t>
      </w:r>
    </w:p>
    <w:p w:rsidR="0093281A" w:rsidRPr="00FC21EB" w:rsidRDefault="0093281A" w:rsidP="00CF2C74">
      <w:pPr>
        <w:pStyle w:val="H1G"/>
        <w:rPr>
          <w:rFonts w:eastAsia="Calibri"/>
        </w:rPr>
      </w:pPr>
      <w:r w:rsidRPr="00FC21EB">
        <w:rPr>
          <w:rFonts w:eastAsia="Calibri"/>
          <w:lang w:val="en-US"/>
        </w:rPr>
        <w:tab/>
        <w:t>B.</w:t>
      </w:r>
      <w:r w:rsidRPr="00FC21EB">
        <w:rPr>
          <w:rFonts w:eastAsia="Calibri"/>
          <w:lang w:val="en-US"/>
        </w:rPr>
        <w:tab/>
        <w:t xml:space="preserve">OHCHR </w:t>
      </w:r>
      <w:r w:rsidR="00F11386" w:rsidRPr="00FC21EB">
        <w:rPr>
          <w:rFonts w:eastAsia="Calibri"/>
          <w:lang w:val="en-US"/>
        </w:rPr>
        <w:t>s</w:t>
      </w:r>
      <w:r w:rsidRPr="00FC21EB">
        <w:rPr>
          <w:rFonts w:eastAsia="Calibri"/>
          <w:lang w:val="en-US"/>
        </w:rPr>
        <w:t xml:space="preserve">trategic </w:t>
      </w:r>
      <w:r w:rsidR="00F11386" w:rsidRPr="00FC21EB">
        <w:rPr>
          <w:rFonts w:eastAsia="Calibri"/>
          <w:lang w:val="en-US"/>
        </w:rPr>
        <w:t>v</w:t>
      </w:r>
      <w:r w:rsidRPr="00FC21EB">
        <w:rPr>
          <w:rFonts w:eastAsia="Calibri"/>
          <w:lang w:val="en-US"/>
        </w:rPr>
        <w:t xml:space="preserve">ision for </w:t>
      </w:r>
      <w:r w:rsidR="00F11386" w:rsidRPr="00FC21EB">
        <w:rPr>
          <w:rFonts w:eastAsia="Calibri"/>
          <w:lang w:val="en-US"/>
        </w:rPr>
        <w:t>f</w:t>
      </w:r>
      <w:r w:rsidRPr="00FC21EB">
        <w:rPr>
          <w:rFonts w:eastAsia="Calibri"/>
          <w:lang w:val="en-US"/>
        </w:rPr>
        <w:t>ollow-up</w:t>
      </w:r>
      <w:r w:rsidR="00CF2C74">
        <w:rPr>
          <w:rFonts w:eastAsia="Calibri"/>
          <w:lang w:val="en-US"/>
        </w:rPr>
        <w:t xml:space="preserve"> to universal periodic review</w:t>
      </w:r>
      <w:r w:rsidRPr="00FC21EB">
        <w:rPr>
          <w:rFonts w:eastAsia="Calibri"/>
          <w:lang w:val="en-US"/>
        </w:rPr>
        <w:t xml:space="preserve"> and the Fund</w:t>
      </w:r>
      <w:r w:rsidR="0022475B">
        <w:rPr>
          <w:rFonts w:eastAsia="Calibri"/>
        </w:rPr>
        <w:t>: going forward</w:t>
      </w:r>
      <w:r w:rsidR="001A7688" w:rsidRPr="00FC21EB">
        <w:rPr>
          <w:rFonts w:eastAsia="Calibri"/>
        </w:rPr>
        <w:t xml:space="preserve"> </w:t>
      </w:r>
    </w:p>
    <w:p w:rsidR="00C14812" w:rsidRDefault="00F255B9" w:rsidP="002E06A3">
      <w:pPr>
        <w:pStyle w:val="SingleTxtG"/>
        <w:numPr>
          <w:ilvl w:val="0"/>
          <w:numId w:val="8"/>
        </w:numPr>
        <w:tabs>
          <w:tab w:val="clear" w:pos="2835"/>
        </w:tabs>
        <w:ind w:left="1134"/>
        <w:rPr>
          <w:rFonts w:eastAsia="Calibri"/>
          <w:lang w:val="en-US"/>
        </w:rPr>
      </w:pPr>
      <w:r>
        <w:rPr>
          <w:rFonts w:eastAsia="Calibri"/>
          <w:lang w:val="en-US"/>
        </w:rPr>
        <w:t xml:space="preserve">As noted in the previous report </w:t>
      </w:r>
      <w:r w:rsidRPr="00FC21EB">
        <w:rPr>
          <w:rFonts w:eastAsia="Calibri"/>
          <w:lang w:val="en-US"/>
        </w:rPr>
        <w:t>(</w:t>
      </w:r>
      <w:r>
        <w:rPr>
          <w:rFonts w:eastAsia="Calibri"/>
        </w:rPr>
        <w:t>A/HRC/26/54</w:t>
      </w:r>
      <w:r w:rsidRPr="00FC21EB">
        <w:rPr>
          <w:rFonts w:eastAsia="Calibri"/>
        </w:rPr>
        <w:t>)</w:t>
      </w:r>
      <w:r>
        <w:rPr>
          <w:rFonts w:eastAsia="Calibri"/>
        </w:rPr>
        <w:t xml:space="preserve">, OHCHR </w:t>
      </w:r>
      <w:r w:rsidR="0093281A" w:rsidRPr="00FC21EB">
        <w:rPr>
          <w:rFonts w:eastAsia="Calibri"/>
          <w:lang w:val="en-US"/>
        </w:rPr>
        <w:t xml:space="preserve">has been developing the capacity to provide </w:t>
      </w:r>
      <w:r w:rsidR="00F11386" w:rsidRPr="00FC21EB">
        <w:rPr>
          <w:rFonts w:eastAsia="Calibri"/>
          <w:lang w:val="en-US"/>
        </w:rPr>
        <w:t>increased</w:t>
      </w:r>
      <w:r w:rsidR="0042300A" w:rsidRPr="00FC21EB">
        <w:rPr>
          <w:rFonts w:eastAsia="Calibri"/>
          <w:lang w:val="en-US"/>
        </w:rPr>
        <w:t xml:space="preserve"> </w:t>
      </w:r>
      <w:r w:rsidR="0093281A" w:rsidRPr="00FC21EB">
        <w:rPr>
          <w:rFonts w:eastAsia="Calibri"/>
          <w:lang w:val="en-US"/>
        </w:rPr>
        <w:t xml:space="preserve">support to States in their efforts to implement the outcome of the </w:t>
      </w:r>
      <w:r w:rsidR="007D11AD">
        <w:rPr>
          <w:rFonts w:eastAsia="Calibri"/>
          <w:lang w:val="en-US"/>
        </w:rPr>
        <w:t>universal periodic review</w:t>
      </w:r>
      <w:r w:rsidR="0093281A" w:rsidRPr="00FC21EB">
        <w:rPr>
          <w:rFonts w:eastAsia="Calibri"/>
          <w:lang w:val="en-US"/>
        </w:rPr>
        <w:t>, including through the operationalization of the Voluntary Fund. Th</w:t>
      </w:r>
      <w:r w:rsidR="007D11AD">
        <w:rPr>
          <w:rFonts w:eastAsia="Calibri"/>
          <w:lang w:val="en-US"/>
        </w:rPr>
        <w:t>at</w:t>
      </w:r>
      <w:r w:rsidR="0093281A" w:rsidRPr="00FC21EB">
        <w:rPr>
          <w:rFonts w:eastAsia="Calibri"/>
          <w:lang w:val="en-US"/>
        </w:rPr>
        <w:t xml:space="preserve"> effort has included an integrated approach </w:t>
      </w:r>
      <w:r w:rsidR="004C4566" w:rsidRPr="00FC21EB">
        <w:rPr>
          <w:rFonts w:eastAsia="Calibri"/>
          <w:lang w:val="en-US"/>
        </w:rPr>
        <w:t xml:space="preserve">to </w:t>
      </w:r>
      <w:r w:rsidR="0093281A" w:rsidRPr="00FC21EB">
        <w:rPr>
          <w:rFonts w:eastAsia="Calibri"/>
          <w:lang w:val="en-US"/>
        </w:rPr>
        <w:t xml:space="preserve">supporting implementation of recommendations emanating from all </w:t>
      </w:r>
      <w:r w:rsidR="004C4566" w:rsidRPr="00FC21EB">
        <w:rPr>
          <w:rFonts w:eastAsia="Calibri"/>
          <w:lang w:val="en-US"/>
        </w:rPr>
        <w:t xml:space="preserve">the </w:t>
      </w:r>
      <w:r w:rsidR="0093281A" w:rsidRPr="00FC21EB">
        <w:rPr>
          <w:rFonts w:eastAsia="Calibri"/>
          <w:lang w:val="en-US"/>
        </w:rPr>
        <w:t>international human rights mechanisms.</w:t>
      </w:r>
    </w:p>
    <w:p w:rsidR="00C14812" w:rsidRDefault="00F255B9" w:rsidP="002E06A3">
      <w:pPr>
        <w:pStyle w:val="SingleTxtG"/>
        <w:numPr>
          <w:ilvl w:val="0"/>
          <w:numId w:val="8"/>
        </w:numPr>
        <w:tabs>
          <w:tab w:val="clear" w:pos="2835"/>
        </w:tabs>
        <w:ind w:left="1134"/>
        <w:rPr>
          <w:rFonts w:eastAsia="Calibri"/>
          <w:lang w:val="en-US"/>
        </w:rPr>
      </w:pPr>
      <w:r>
        <w:rPr>
          <w:rFonts w:eastAsia="Calibri"/>
          <w:lang w:val="en-US"/>
        </w:rPr>
        <w:t xml:space="preserve">OHCHR has revitalized </w:t>
      </w:r>
      <w:r w:rsidR="004C4566" w:rsidRPr="00FC21EB">
        <w:rPr>
          <w:rFonts w:eastAsia="Calibri"/>
          <w:lang w:val="en-US"/>
        </w:rPr>
        <w:t xml:space="preserve">a </w:t>
      </w:r>
      <w:r w:rsidR="0093281A" w:rsidRPr="00FC21EB">
        <w:rPr>
          <w:rFonts w:eastAsia="Calibri"/>
          <w:lang w:val="en-US"/>
        </w:rPr>
        <w:t>strategic vision for follow-up</w:t>
      </w:r>
      <w:r w:rsidR="007D11AD">
        <w:rPr>
          <w:rFonts w:eastAsia="Calibri"/>
          <w:lang w:val="en-US"/>
        </w:rPr>
        <w:t xml:space="preserve"> to the universal periodic review</w:t>
      </w:r>
      <w:r w:rsidR="0093281A" w:rsidRPr="00FC21EB">
        <w:rPr>
          <w:rFonts w:eastAsia="Calibri"/>
          <w:lang w:val="en-US"/>
        </w:rPr>
        <w:t xml:space="preserve"> that is more proactive, systematic and results-oriented. This newly revitalized strategy</w:t>
      </w:r>
      <w:r>
        <w:rPr>
          <w:rFonts w:eastAsia="Calibri"/>
          <w:lang w:val="en-US"/>
        </w:rPr>
        <w:t xml:space="preserve"> for </w:t>
      </w:r>
      <w:r w:rsidR="00B53513">
        <w:rPr>
          <w:rFonts w:eastAsia="Calibri"/>
          <w:lang w:val="en-US"/>
        </w:rPr>
        <w:t xml:space="preserve">that </w:t>
      </w:r>
      <w:r>
        <w:rPr>
          <w:rFonts w:eastAsia="Calibri"/>
          <w:lang w:val="en-US"/>
        </w:rPr>
        <w:t xml:space="preserve">follow-up has </w:t>
      </w:r>
      <w:r w:rsidR="0093281A" w:rsidRPr="00FC21EB">
        <w:rPr>
          <w:rFonts w:eastAsia="Calibri"/>
          <w:lang w:val="en-US"/>
        </w:rPr>
        <w:t>enable</w:t>
      </w:r>
      <w:r>
        <w:rPr>
          <w:rFonts w:eastAsia="Calibri"/>
          <w:lang w:val="en-US"/>
        </w:rPr>
        <w:t>d</w:t>
      </w:r>
      <w:r w:rsidR="0093281A" w:rsidRPr="00FC21EB">
        <w:rPr>
          <w:rFonts w:eastAsia="Calibri"/>
          <w:lang w:val="en-US"/>
        </w:rPr>
        <w:t xml:space="preserve"> OHCHR to provide more effective support to States on the ground, whether directly or through ensuring the integration of support in United Nations </w:t>
      </w:r>
      <w:r w:rsidR="007D11AD">
        <w:rPr>
          <w:rFonts w:eastAsia="Calibri"/>
          <w:lang w:val="en-US"/>
        </w:rPr>
        <w:t>c</w:t>
      </w:r>
      <w:r w:rsidR="0093281A" w:rsidRPr="00FC21EB">
        <w:rPr>
          <w:rFonts w:eastAsia="Calibri"/>
          <w:lang w:val="en-US"/>
        </w:rPr>
        <w:t xml:space="preserve">ountry </w:t>
      </w:r>
      <w:r w:rsidR="007D11AD">
        <w:rPr>
          <w:rFonts w:eastAsia="Calibri"/>
          <w:lang w:val="en-US"/>
        </w:rPr>
        <w:t>t</w:t>
      </w:r>
      <w:r w:rsidR="0093281A" w:rsidRPr="00FC21EB">
        <w:rPr>
          <w:rFonts w:eastAsia="Calibri"/>
          <w:lang w:val="en-US"/>
        </w:rPr>
        <w:t>eam programm</w:t>
      </w:r>
      <w:r w:rsidR="00375255" w:rsidRPr="00FC21EB">
        <w:rPr>
          <w:rFonts w:eastAsia="Calibri"/>
          <w:lang w:val="en-US"/>
        </w:rPr>
        <w:t>ing</w:t>
      </w:r>
      <w:r w:rsidR="0093281A" w:rsidRPr="00FC21EB">
        <w:rPr>
          <w:rFonts w:eastAsia="Calibri"/>
          <w:lang w:val="en-US"/>
        </w:rPr>
        <w:t xml:space="preserve"> on follow-up, </w:t>
      </w:r>
      <w:r w:rsidR="00A11EE2" w:rsidRPr="00FC21EB">
        <w:rPr>
          <w:rFonts w:eastAsia="Calibri"/>
          <w:lang w:val="en-US"/>
        </w:rPr>
        <w:t>to enable</w:t>
      </w:r>
      <w:r w:rsidR="0093281A" w:rsidRPr="00FC21EB">
        <w:rPr>
          <w:rFonts w:eastAsia="Calibri"/>
          <w:lang w:val="en-US"/>
        </w:rPr>
        <w:t xml:space="preserve"> States </w:t>
      </w:r>
      <w:r w:rsidR="00A11EE2" w:rsidRPr="00FC21EB">
        <w:rPr>
          <w:rFonts w:eastAsia="Calibri"/>
          <w:lang w:val="en-US"/>
        </w:rPr>
        <w:t xml:space="preserve">to </w:t>
      </w:r>
      <w:r w:rsidR="00370AEF" w:rsidRPr="00FC21EB">
        <w:rPr>
          <w:rFonts w:eastAsia="Calibri"/>
          <w:lang w:val="en-US"/>
        </w:rPr>
        <w:t>achieve</w:t>
      </w:r>
      <w:r w:rsidR="0093281A" w:rsidRPr="00FC21EB">
        <w:rPr>
          <w:rFonts w:eastAsia="Calibri"/>
          <w:lang w:val="en-US"/>
        </w:rPr>
        <w:t xml:space="preserve"> concrete results for the promotion and protection of human rights.</w:t>
      </w:r>
    </w:p>
    <w:p w:rsidR="00C14812" w:rsidRDefault="00F255B9" w:rsidP="002E06A3">
      <w:pPr>
        <w:pStyle w:val="SingleTxtG"/>
        <w:numPr>
          <w:ilvl w:val="0"/>
          <w:numId w:val="8"/>
        </w:numPr>
        <w:tabs>
          <w:tab w:val="clear" w:pos="2835"/>
        </w:tabs>
        <w:ind w:left="1134"/>
        <w:rPr>
          <w:rFonts w:eastAsia="Calibri"/>
          <w:lang w:val="en-US"/>
        </w:rPr>
      </w:pPr>
      <w:r>
        <w:rPr>
          <w:rFonts w:eastAsia="Calibri"/>
          <w:lang w:val="en-US"/>
        </w:rPr>
        <w:t>Building on lessons learned, OHCHR has focused its support on establishing and/or strengthening national processes</w:t>
      </w:r>
      <w:r w:rsidR="003066C5">
        <w:rPr>
          <w:rFonts w:eastAsia="Calibri"/>
          <w:lang w:val="en-US"/>
        </w:rPr>
        <w:t xml:space="preserve"> for follow-up</w:t>
      </w:r>
      <w:r>
        <w:rPr>
          <w:rFonts w:eastAsia="Calibri"/>
          <w:lang w:val="en-US"/>
        </w:rPr>
        <w:t>: a well-functioning inter-institutional body has been identified as a key element for more effective follow-up at the national level</w:t>
      </w:r>
      <w:r w:rsidR="00B53513">
        <w:rPr>
          <w:rFonts w:eastAsia="Calibri"/>
          <w:lang w:val="en-US"/>
        </w:rPr>
        <w:t>,</w:t>
      </w:r>
      <w:r>
        <w:rPr>
          <w:rFonts w:eastAsia="Calibri"/>
          <w:lang w:val="en-US"/>
        </w:rPr>
        <w:t xml:space="preserve"> along with an implementation action plan that clearly identifies achievable results and priorities, responsible national government agencies for implementation, </w:t>
      </w:r>
      <w:r w:rsidR="003066C5">
        <w:rPr>
          <w:rFonts w:eastAsia="Calibri"/>
          <w:lang w:val="en-US"/>
        </w:rPr>
        <w:t xml:space="preserve">as well as </w:t>
      </w:r>
      <w:r w:rsidR="0022475B">
        <w:rPr>
          <w:rFonts w:eastAsia="Calibri"/>
          <w:lang w:val="en-US"/>
        </w:rPr>
        <w:t>indicators and timelines against which</w:t>
      </w:r>
      <w:r>
        <w:rPr>
          <w:rFonts w:eastAsia="Calibri"/>
          <w:lang w:val="en-US"/>
        </w:rPr>
        <w:t xml:space="preserve"> to measure</w:t>
      </w:r>
      <w:r w:rsidR="0022475B">
        <w:rPr>
          <w:rFonts w:eastAsia="Calibri"/>
          <w:lang w:val="en-US"/>
        </w:rPr>
        <w:t xml:space="preserve"> impact</w:t>
      </w:r>
      <w:r w:rsidR="003066C5">
        <w:rPr>
          <w:rFonts w:eastAsia="Calibri"/>
          <w:lang w:val="en-US"/>
        </w:rPr>
        <w:t xml:space="preserve">. Furthermore, OHCHR has been providing support to </w:t>
      </w:r>
      <w:r w:rsidR="0022475B">
        <w:rPr>
          <w:rFonts w:eastAsia="Calibri"/>
          <w:lang w:val="en-US"/>
        </w:rPr>
        <w:t xml:space="preserve">key </w:t>
      </w:r>
      <w:r w:rsidR="003066C5">
        <w:rPr>
          <w:rFonts w:eastAsia="Calibri"/>
          <w:lang w:val="en-US"/>
        </w:rPr>
        <w:t>thematic issues contained in such an implementation action plan, which ha</w:t>
      </w:r>
      <w:r w:rsidR="0022475B">
        <w:rPr>
          <w:rFonts w:eastAsia="Calibri"/>
          <w:lang w:val="en-US"/>
        </w:rPr>
        <w:t>ve been identified as priority issues</w:t>
      </w:r>
      <w:r w:rsidR="003066C5">
        <w:rPr>
          <w:rFonts w:eastAsia="Calibri"/>
          <w:lang w:val="en-US"/>
        </w:rPr>
        <w:t xml:space="preserve"> for implementation. </w:t>
      </w:r>
    </w:p>
    <w:p w:rsidR="0093281A" w:rsidRPr="00FC21EB" w:rsidRDefault="00370AEF" w:rsidP="002E06A3">
      <w:pPr>
        <w:pStyle w:val="SingleTxtG"/>
        <w:numPr>
          <w:ilvl w:val="0"/>
          <w:numId w:val="8"/>
        </w:numPr>
        <w:tabs>
          <w:tab w:val="clear" w:pos="2835"/>
        </w:tabs>
        <w:ind w:left="1134"/>
        <w:rPr>
          <w:rFonts w:eastAsia="Calibri"/>
          <w:lang w:val="en-US"/>
        </w:rPr>
      </w:pPr>
      <w:r w:rsidRPr="00FC21EB">
        <w:rPr>
          <w:rFonts w:eastAsia="Calibri"/>
          <w:lang w:val="en-US"/>
        </w:rPr>
        <w:t>The</w:t>
      </w:r>
      <w:r w:rsidR="0093281A" w:rsidRPr="00FC21EB">
        <w:rPr>
          <w:rFonts w:eastAsia="Calibri"/>
          <w:lang w:val="en-US"/>
        </w:rPr>
        <w:t xml:space="preserve"> documentation of best practices </w:t>
      </w:r>
      <w:r w:rsidR="0042300A" w:rsidRPr="00FC21EB">
        <w:rPr>
          <w:rFonts w:eastAsia="Calibri"/>
          <w:lang w:val="en-US"/>
        </w:rPr>
        <w:t xml:space="preserve">is </w:t>
      </w:r>
      <w:r w:rsidR="0093281A" w:rsidRPr="00FC21EB">
        <w:rPr>
          <w:rFonts w:eastAsia="Calibri"/>
          <w:lang w:val="en-US"/>
        </w:rPr>
        <w:t xml:space="preserve">also an important priority </w:t>
      </w:r>
      <w:r w:rsidR="008E14CA">
        <w:rPr>
          <w:rFonts w:eastAsia="Calibri"/>
          <w:lang w:val="en-US"/>
        </w:rPr>
        <w:t>for OHCHR</w:t>
      </w:r>
      <w:r w:rsidR="0093281A" w:rsidRPr="00FC21EB">
        <w:rPr>
          <w:rFonts w:eastAsia="Calibri"/>
          <w:lang w:val="en-US"/>
        </w:rPr>
        <w:t>.</w:t>
      </w:r>
      <w:r w:rsidR="00E229FA" w:rsidRPr="00FC21EB">
        <w:rPr>
          <w:rFonts w:eastAsia="Calibri"/>
          <w:lang w:val="en-US"/>
        </w:rPr>
        <w:t xml:space="preserve"> </w:t>
      </w:r>
      <w:r w:rsidR="0093281A" w:rsidRPr="00FC21EB">
        <w:rPr>
          <w:rFonts w:eastAsia="Calibri"/>
          <w:lang w:val="en-US"/>
        </w:rPr>
        <w:t xml:space="preserve">It is vital </w:t>
      </w:r>
      <w:r w:rsidR="008E14CA">
        <w:rPr>
          <w:rFonts w:eastAsia="Calibri"/>
          <w:lang w:val="en-US"/>
        </w:rPr>
        <w:t>that good practices on national processes for follow-up</w:t>
      </w:r>
      <w:r w:rsidR="003B3DDB">
        <w:rPr>
          <w:rFonts w:eastAsia="Calibri"/>
          <w:lang w:val="en-US"/>
        </w:rPr>
        <w:t xml:space="preserve">, </w:t>
      </w:r>
      <w:r w:rsidR="003B3DDB">
        <w:t>including on how the U</w:t>
      </w:r>
      <w:r w:rsidR="00B53513">
        <w:t xml:space="preserve">nited </w:t>
      </w:r>
      <w:r w:rsidR="003B3DDB">
        <w:t>N</w:t>
      </w:r>
      <w:r w:rsidR="00B53513">
        <w:t>ations</w:t>
      </w:r>
      <w:r w:rsidR="003B3DDB">
        <w:t xml:space="preserve"> agencies at country level are working together to promote </w:t>
      </w:r>
      <w:r w:rsidR="005811BB">
        <w:t>Human Rights U</w:t>
      </w:r>
      <w:r w:rsidR="003B3DDB">
        <w:t>p</w:t>
      </w:r>
      <w:r w:rsidR="00B53513">
        <w:t xml:space="preserve"> F</w:t>
      </w:r>
      <w:r w:rsidR="003B3DDB">
        <w:t>ront,</w:t>
      </w:r>
      <w:r w:rsidR="0093281A" w:rsidRPr="00FC21EB">
        <w:rPr>
          <w:rFonts w:eastAsia="Calibri"/>
          <w:lang w:val="en-US"/>
        </w:rPr>
        <w:t xml:space="preserve"> should be made available as widely as possible.</w:t>
      </w:r>
      <w:r w:rsidR="00E229FA" w:rsidRPr="00FC21EB">
        <w:rPr>
          <w:rFonts w:eastAsia="Calibri"/>
          <w:lang w:val="en-US"/>
        </w:rPr>
        <w:t xml:space="preserve"> </w:t>
      </w:r>
      <w:r w:rsidR="00F11386" w:rsidRPr="00FC21EB">
        <w:rPr>
          <w:rFonts w:eastAsia="Calibri"/>
          <w:lang w:val="en-US"/>
        </w:rPr>
        <w:t>T</w:t>
      </w:r>
      <w:r w:rsidR="008E14CA">
        <w:rPr>
          <w:rFonts w:eastAsia="Calibri"/>
          <w:lang w:val="en-US"/>
        </w:rPr>
        <w:t xml:space="preserve">he </w:t>
      </w:r>
      <w:r w:rsidR="00B53513">
        <w:rPr>
          <w:rFonts w:eastAsia="Calibri"/>
          <w:lang w:val="en-US"/>
        </w:rPr>
        <w:t xml:space="preserve">Voluntary </w:t>
      </w:r>
      <w:r w:rsidR="008E14CA">
        <w:rPr>
          <w:rFonts w:eastAsia="Calibri"/>
          <w:lang w:val="en-US"/>
        </w:rPr>
        <w:t xml:space="preserve">Fund </w:t>
      </w:r>
      <w:r w:rsidR="00F11386" w:rsidRPr="00FC21EB">
        <w:rPr>
          <w:rFonts w:eastAsia="Calibri"/>
          <w:lang w:val="en-US"/>
        </w:rPr>
        <w:t xml:space="preserve">therefore </w:t>
      </w:r>
      <w:r w:rsidR="0093281A" w:rsidRPr="00FC21EB">
        <w:rPr>
          <w:rFonts w:eastAsia="Calibri"/>
          <w:lang w:val="en-US"/>
        </w:rPr>
        <w:t>continue</w:t>
      </w:r>
      <w:r w:rsidR="008E14CA">
        <w:rPr>
          <w:rFonts w:eastAsia="Calibri"/>
          <w:lang w:val="en-US"/>
        </w:rPr>
        <w:t>s</w:t>
      </w:r>
      <w:r w:rsidR="0093281A" w:rsidRPr="00FC21EB">
        <w:rPr>
          <w:rFonts w:eastAsia="Calibri"/>
          <w:lang w:val="en-US"/>
        </w:rPr>
        <w:t xml:space="preserve"> to fund </w:t>
      </w:r>
      <w:r w:rsidR="00F11386" w:rsidRPr="00FC21EB">
        <w:rPr>
          <w:rFonts w:eastAsia="Calibri"/>
          <w:lang w:val="en-US"/>
        </w:rPr>
        <w:t xml:space="preserve">the </w:t>
      </w:r>
      <w:r w:rsidR="0093281A" w:rsidRPr="00FC21EB">
        <w:rPr>
          <w:rFonts w:eastAsia="Calibri"/>
          <w:lang w:val="en-US"/>
        </w:rPr>
        <w:t>document</w:t>
      </w:r>
      <w:r w:rsidR="00F11386" w:rsidRPr="00FC21EB">
        <w:rPr>
          <w:rFonts w:eastAsia="Calibri"/>
          <w:lang w:val="en-US"/>
        </w:rPr>
        <w:t>ation of</w:t>
      </w:r>
      <w:r w:rsidR="0093281A" w:rsidRPr="00FC21EB">
        <w:rPr>
          <w:rFonts w:eastAsia="Calibri"/>
          <w:lang w:val="en-US"/>
        </w:rPr>
        <w:t xml:space="preserve"> good practices</w:t>
      </w:r>
      <w:r w:rsidR="00360D9C">
        <w:rPr>
          <w:rFonts w:eastAsia="Calibri"/>
          <w:lang w:val="en-US"/>
        </w:rPr>
        <w:t>,</w:t>
      </w:r>
      <w:r w:rsidR="008E14CA">
        <w:rPr>
          <w:rFonts w:eastAsia="Calibri"/>
          <w:lang w:val="en-US"/>
        </w:rPr>
        <w:t xml:space="preserve"> in particul</w:t>
      </w:r>
      <w:r w:rsidR="00135773">
        <w:rPr>
          <w:rFonts w:eastAsia="Calibri"/>
          <w:lang w:val="en-US"/>
        </w:rPr>
        <w:t xml:space="preserve">ar on such national processes. </w:t>
      </w:r>
      <w:r w:rsidR="00B53513">
        <w:rPr>
          <w:rFonts w:eastAsia="Calibri"/>
          <w:lang w:val="en-US"/>
        </w:rPr>
        <w:t>It</w:t>
      </w:r>
      <w:r w:rsidR="008E14CA">
        <w:rPr>
          <w:rFonts w:eastAsia="Calibri"/>
          <w:lang w:val="en-US"/>
        </w:rPr>
        <w:t xml:space="preserve"> also seeks to document good practices</w:t>
      </w:r>
      <w:r w:rsidR="00B447E9">
        <w:rPr>
          <w:rFonts w:eastAsia="Calibri"/>
          <w:lang w:val="en-US"/>
        </w:rPr>
        <w:t xml:space="preserve"> and lessons learned </w:t>
      </w:r>
      <w:r w:rsidR="008E14CA">
        <w:rPr>
          <w:rFonts w:eastAsia="Calibri"/>
          <w:lang w:val="en-US"/>
        </w:rPr>
        <w:t xml:space="preserve">on implementation of important thematic issues that were raised in </w:t>
      </w:r>
      <w:r w:rsidR="00B53513">
        <w:rPr>
          <w:rFonts w:eastAsia="Calibri"/>
          <w:lang w:val="en-US"/>
        </w:rPr>
        <w:t xml:space="preserve">universal periodic review </w:t>
      </w:r>
      <w:r w:rsidR="008E14CA">
        <w:rPr>
          <w:rFonts w:eastAsia="Calibri"/>
          <w:lang w:val="en-US"/>
        </w:rPr>
        <w:t xml:space="preserve">recommendations. </w:t>
      </w:r>
    </w:p>
    <w:p w:rsidR="0093281A" w:rsidRPr="00FC21EB" w:rsidRDefault="0093281A" w:rsidP="00D57758">
      <w:pPr>
        <w:pStyle w:val="HChG"/>
        <w:rPr>
          <w:rFonts w:eastAsia="Calibri"/>
        </w:rPr>
      </w:pPr>
      <w:r w:rsidRPr="00FC21EB">
        <w:rPr>
          <w:rFonts w:eastAsia="Calibri"/>
          <w:lang w:val="en-US"/>
        </w:rPr>
        <w:tab/>
        <w:t>III.</w:t>
      </w:r>
      <w:r w:rsidRPr="00FC21EB">
        <w:rPr>
          <w:rFonts w:eastAsia="Calibri"/>
          <w:lang w:val="en-US"/>
        </w:rPr>
        <w:tab/>
        <w:t xml:space="preserve">Activities to be </w:t>
      </w:r>
      <w:r w:rsidRPr="00D57758">
        <w:rPr>
          <w:rFonts w:eastAsia="Calibri"/>
        </w:rPr>
        <w:t>s</w:t>
      </w:r>
      <w:r w:rsidR="008E14CA" w:rsidRPr="00D57758">
        <w:rPr>
          <w:rFonts w:eastAsia="Calibri"/>
        </w:rPr>
        <w:t>upported</w:t>
      </w:r>
      <w:r w:rsidR="008E14CA">
        <w:rPr>
          <w:rFonts w:eastAsia="Calibri"/>
          <w:lang w:val="en-US"/>
        </w:rPr>
        <w:t xml:space="preserve"> by the Fund during 2015</w:t>
      </w:r>
    </w:p>
    <w:p w:rsidR="00746A1A" w:rsidRDefault="005708EE" w:rsidP="002E06A3">
      <w:pPr>
        <w:pStyle w:val="SingleTxtG"/>
        <w:numPr>
          <w:ilvl w:val="0"/>
          <w:numId w:val="8"/>
        </w:numPr>
        <w:tabs>
          <w:tab w:val="clear" w:pos="2835"/>
        </w:tabs>
        <w:ind w:left="1134"/>
      </w:pPr>
      <w:r w:rsidRPr="005708EE">
        <w:t xml:space="preserve">As noted above, in an effort to systematize support </w:t>
      </w:r>
      <w:r w:rsidR="00B53513">
        <w:t xml:space="preserve">given </w:t>
      </w:r>
      <w:r w:rsidRPr="005708EE">
        <w:t>to States, technical assistance will be provided to a number of States</w:t>
      </w:r>
      <w:r w:rsidR="00B53513">
        <w:t>,</w:t>
      </w:r>
      <w:r w:rsidRPr="005708EE">
        <w:t xml:space="preserve"> focusing on the establishment and/or strengthening of national follow-up processes.</w:t>
      </w:r>
      <w:r w:rsidR="00756AA4">
        <w:t xml:space="preserve"> </w:t>
      </w:r>
    </w:p>
    <w:p w:rsidR="00746A1A" w:rsidRDefault="005708EE" w:rsidP="002E06A3">
      <w:pPr>
        <w:pStyle w:val="SingleTxtG"/>
        <w:numPr>
          <w:ilvl w:val="0"/>
          <w:numId w:val="8"/>
        </w:numPr>
        <w:tabs>
          <w:tab w:val="clear" w:pos="2835"/>
        </w:tabs>
        <w:ind w:left="1134"/>
      </w:pPr>
      <w:r w:rsidRPr="005708EE">
        <w:t xml:space="preserve">For instance, </w:t>
      </w:r>
      <w:r w:rsidR="00746A1A">
        <w:t xml:space="preserve">in </w:t>
      </w:r>
      <w:r w:rsidR="00746A1A">
        <w:rPr>
          <w:lang w:eastAsia="ko-KR"/>
        </w:rPr>
        <w:t xml:space="preserve">Bosnia and Herzegovina, </w:t>
      </w:r>
      <w:r w:rsidR="00121C43">
        <w:t xml:space="preserve">continuing support will be provided to the Government </w:t>
      </w:r>
      <w:r w:rsidR="00121C43" w:rsidRPr="00121C43">
        <w:t xml:space="preserve">through the </w:t>
      </w:r>
      <w:r w:rsidR="00B53513">
        <w:t xml:space="preserve">United Nations country team </w:t>
      </w:r>
      <w:r w:rsidR="00121C43">
        <w:t>for the purpose of the latter’s preparing an implementation plan for the second</w:t>
      </w:r>
      <w:r w:rsidR="00B53513">
        <w:t>-</w:t>
      </w:r>
      <w:r w:rsidR="00121C43">
        <w:t xml:space="preserve">cycle </w:t>
      </w:r>
      <w:r w:rsidR="00B53513">
        <w:t xml:space="preserve">universal periodic review </w:t>
      </w:r>
      <w:r w:rsidR="00121C43">
        <w:t>recommendations through workshops and advice, strengthening its engagement with stakeholders, including the Ombudsman, and training civil servants.</w:t>
      </w:r>
    </w:p>
    <w:p w:rsidR="00325E7D" w:rsidRDefault="004C705E" w:rsidP="002E06A3">
      <w:pPr>
        <w:pStyle w:val="SingleTxtG"/>
        <w:numPr>
          <w:ilvl w:val="0"/>
          <w:numId w:val="8"/>
        </w:numPr>
        <w:tabs>
          <w:tab w:val="clear" w:pos="2835"/>
        </w:tabs>
        <w:ind w:left="1134"/>
      </w:pPr>
      <w:r w:rsidRPr="00CE6D5C">
        <w:t>In Chad, technical assistance will be provided to the authorities to draft and a</w:t>
      </w:r>
      <w:r w:rsidRPr="004C705E">
        <w:t xml:space="preserve">dopt, in collaboration with </w:t>
      </w:r>
      <w:r w:rsidRPr="00CE6D5C">
        <w:t>civil society, a national action plan for the implementation of the recommendations emanating fro</w:t>
      </w:r>
      <w:r w:rsidRPr="004C705E">
        <w:t xml:space="preserve">m </w:t>
      </w:r>
      <w:r>
        <w:t xml:space="preserve">the </w:t>
      </w:r>
      <w:r w:rsidRPr="004C705E">
        <w:t>treaty bod</w:t>
      </w:r>
      <w:r>
        <w:t>ies</w:t>
      </w:r>
      <w:r w:rsidRPr="00CE6D5C">
        <w:t xml:space="preserve"> and</w:t>
      </w:r>
      <w:r>
        <w:t xml:space="preserve"> </w:t>
      </w:r>
      <w:r w:rsidR="00441482">
        <w:t xml:space="preserve">the </w:t>
      </w:r>
      <w:r w:rsidR="00B53513">
        <w:t>universal periodic review</w:t>
      </w:r>
      <w:r w:rsidRPr="004C705E">
        <w:t xml:space="preserve">. </w:t>
      </w:r>
      <w:r>
        <w:t>A</w:t>
      </w:r>
      <w:r w:rsidRPr="004C705E">
        <w:t xml:space="preserve">ssistance will also </w:t>
      </w:r>
      <w:r>
        <w:t>be provided for</w:t>
      </w:r>
      <w:r w:rsidR="00360D9C">
        <w:t xml:space="preserve"> the</w:t>
      </w:r>
      <w:r w:rsidRPr="00CE6D5C">
        <w:t xml:space="preserve"> </w:t>
      </w:r>
      <w:r>
        <w:t xml:space="preserve">purposes of </w:t>
      </w:r>
      <w:r w:rsidR="00B53513">
        <w:t>reworking</w:t>
      </w:r>
      <w:r w:rsidR="00B53513" w:rsidRPr="004C705E">
        <w:t xml:space="preserve"> </w:t>
      </w:r>
      <w:r w:rsidRPr="00CE6D5C">
        <w:t>the statutes of the National Human Rights Commission</w:t>
      </w:r>
      <w:r>
        <w:t xml:space="preserve"> </w:t>
      </w:r>
      <w:r w:rsidRPr="00CE6D5C">
        <w:t>and strengthening the capacity of its members</w:t>
      </w:r>
      <w:r>
        <w:t xml:space="preserve"> in line with the </w:t>
      </w:r>
      <w:r w:rsidR="00B53513" w:rsidRPr="002E06A3">
        <w:rPr>
          <w:rStyle w:val="Emphasis"/>
          <w:i w:val="0"/>
          <w:iCs w:val="0"/>
        </w:rPr>
        <w:t>principles</w:t>
      </w:r>
      <w:r w:rsidR="00B53513">
        <w:rPr>
          <w:rStyle w:val="preferred"/>
        </w:rPr>
        <w:t xml:space="preserve"> relating to the status of national institutions for the promotion and protection of human rights (</w:t>
      </w:r>
      <w:r w:rsidR="00DB1D78">
        <w:rPr>
          <w:rStyle w:val="preferred"/>
        </w:rPr>
        <w:t xml:space="preserve">the </w:t>
      </w:r>
      <w:r>
        <w:t>Paris Principles</w:t>
      </w:r>
      <w:r w:rsidR="00B53513">
        <w:t>)</w:t>
      </w:r>
      <w:r w:rsidRPr="00CE6D5C">
        <w:t>.</w:t>
      </w:r>
    </w:p>
    <w:p w:rsidR="00DB5E61" w:rsidRDefault="00DB5E61" w:rsidP="002E06A3">
      <w:pPr>
        <w:pStyle w:val="SingleTxtG"/>
        <w:numPr>
          <w:ilvl w:val="0"/>
          <w:numId w:val="8"/>
        </w:numPr>
        <w:tabs>
          <w:tab w:val="clear" w:pos="2835"/>
        </w:tabs>
        <w:ind w:left="1134"/>
      </w:pPr>
      <w:r>
        <w:rPr>
          <w:color w:val="000000"/>
          <w:lang w:eastAsia="ko-KR"/>
        </w:rPr>
        <w:t xml:space="preserve">In Costa Rica, the Regional Office for Central America will continue supporting and assisting </w:t>
      </w:r>
      <w:r>
        <w:rPr>
          <w:bCs/>
          <w:color w:val="000000"/>
          <w:lang w:eastAsia="ko-KR"/>
        </w:rPr>
        <w:t>the country</w:t>
      </w:r>
      <w:r>
        <w:rPr>
          <w:color w:val="000000"/>
          <w:lang w:eastAsia="ko-KR"/>
        </w:rPr>
        <w:t xml:space="preserve"> to strengthen the capacity of the inter-institutional commission to follow-up on the implementation of recommendations from human rights mechanisms and providing technical advice on prioritized recommendations.</w:t>
      </w:r>
      <w:r w:rsidR="00ED4977">
        <w:rPr>
          <w:color w:val="000000"/>
          <w:lang w:eastAsia="ko-KR"/>
        </w:rPr>
        <w:t xml:space="preserve"> In particular, OHCHR will assist in defining a roadmap to follow</w:t>
      </w:r>
      <w:r w:rsidR="00584D20">
        <w:rPr>
          <w:color w:val="000000"/>
          <w:lang w:eastAsia="ko-KR"/>
        </w:rPr>
        <w:t xml:space="preserve"> </w:t>
      </w:r>
      <w:r w:rsidR="00ED4977">
        <w:rPr>
          <w:color w:val="000000"/>
          <w:lang w:eastAsia="ko-KR"/>
        </w:rPr>
        <w:t xml:space="preserve">up on </w:t>
      </w:r>
      <w:r w:rsidR="00584D20">
        <w:rPr>
          <w:color w:val="000000"/>
          <w:lang w:eastAsia="ko-KR"/>
        </w:rPr>
        <w:t xml:space="preserve">universal periodic review </w:t>
      </w:r>
      <w:r w:rsidR="00ED4977">
        <w:rPr>
          <w:color w:val="000000"/>
          <w:lang w:eastAsia="ko-KR"/>
        </w:rPr>
        <w:t xml:space="preserve">recommendations from the first and second </w:t>
      </w:r>
      <w:r w:rsidR="00584D20">
        <w:rPr>
          <w:color w:val="000000"/>
          <w:lang w:eastAsia="ko-KR"/>
        </w:rPr>
        <w:t>cycle</w:t>
      </w:r>
      <w:r w:rsidR="00ED4977">
        <w:rPr>
          <w:color w:val="000000"/>
          <w:lang w:eastAsia="ko-KR"/>
        </w:rPr>
        <w:t>, and assist in the mainstreaming of recommendations from all human rights mechanisms in U</w:t>
      </w:r>
      <w:r w:rsidR="00584D20">
        <w:rPr>
          <w:color w:val="000000"/>
          <w:lang w:eastAsia="ko-KR"/>
        </w:rPr>
        <w:t xml:space="preserve">nited </w:t>
      </w:r>
      <w:r w:rsidR="00ED4977">
        <w:rPr>
          <w:color w:val="000000"/>
          <w:lang w:eastAsia="ko-KR"/>
        </w:rPr>
        <w:t>N</w:t>
      </w:r>
      <w:r w:rsidR="00584D20">
        <w:rPr>
          <w:color w:val="000000"/>
          <w:lang w:eastAsia="ko-KR"/>
        </w:rPr>
        <w:t>ations</w:t>
      </w:r>
      <w:r w:rsidR="00ED4977">
        <w:rPr>
          <w:color w:val="000000"/>
          <w:lang w:eastAsia="ko-KR"/>
        </w:rPr>
        <w:t xml:space="preserve"> programming and assistance.</w:t>
      </w:r>
    </w:p>
    <w:p w:rsidR="00145A4A" w:rsidRDefault="00573CA7" w:rsidP="002E06A3">
      <w:pPr>
        <w:pStyle w:val="SingleTxtG"/>
        <w:numPr>
          <w:ilvl w:val="0"/>
          <w:numId w:val="8"/>
        </w:numPr>
        <w:tabs>
          <w:tab w:val="clear" w:pos="2835"/>
        </w:tabs>
        <w:ind w:left="1134"/>
      </w:pPr>
      <w:r>
        <w:rPr>
          <w:lang w:eastAsia="ko-KR"/>
        </w:rPr>
        <w:t xml:space="preserve">In </w:t>
      </w:r>
      <w:r w:rsidR="00584D20">
        <w:rPr>
          <w:lang w:eastAsia="ko-KR"/>
        </w:rPr>
        <w:t xml:space="preserve">the </w:t>
      </w:r>
      <w:r>
        <w:rPr>
          <w:lang w:eastAsia="ko-KR"/>
        </w:rPr>
        <w:t>Dominica</w:t>
      </w:r>
      <w:r w:rsidR="00BF06D5">
        <w:rPr>
          <w:lang w:eastAsia="ko-KR"/>
        </w:rPr>
        <w:t>n</w:t>
      </w:r>
      <w:r>
        <w:rPr>
          <w:lang w:eastAsia="ko-KR"/>
        </w:rPr>
        <w:t xml:space="preserve"> Republic, through </w:t>
      </w:r>
      <w:r w:rsidR="00145A4A">
        <w:rPr>
          <w:lang w:eastAsia="ko-KR"/>
        </w:rPr>
        <w:t>the human right</w:t>
      </w:r>
      <w:r w:rsidR="0022475B">
        <w:rPr>
          <w:lang w:eastAsia="ko-KR"/>
        </w:rPr>
        <w:t>s advis</w:t>
      </w:r>
      <w:r w:rsidR="00980386">
        <w:rPr>
          <w:lang w:eastAsia="ko-KR"/>
        </w:rPr>
        <w:t>e</w:t>
      </w:r>
      <w:r w:rsidR="0022475B">
        <w:rPr>
          <w:lang w:eastAsia="ko-KR"/>
        </w:rPr>
        <w:t>r, support will be provided</w:t>
      </w:r>
      <w:r w:rsidR="00145A4A">
        <w:rPr>
          <w:lang w:eastAsia="ko-KR"/>
        </w:rPr>
        <w:t xml:space="preserve"> to promote dialogue between </w:t>
      </w:r>
      <w:r w:rsidR="00584D20">
        <w:rPr>
          <w:lang w:eastAsia="ko-KR"/>
        </w:rPr>
        <w:t>S</w:t>
      </w:r>
      <w:r w:rsidR="00145A4A">
        <w:rPr>
          <w:lang w:eastAsia="ko-KR"/>
        </w:rPr>
        <w:t>tate institutions and civil society</w:t>
      </w:r>
      <w:r>
        <w:rPr>
          <w:lang w:eastAsia="ko-KR"/>
        </w:rPr>
        <w:t xml:space="preserve"> and to</w:t>
      </w:r>
      <w:r w:rsidR="00145A4A">
        <w:rPr>
          <w:lang w:eastAsia="ko-KR"/>
        </w:rPr>
        <w:t xml:space="preserve"> advance the </w:t>
      </w:r>
      <w:r>
        <w:rPr>
          <w:lang w:eastAsia="ko-KR"/>
        </w:rPr>
        <w:t xml:space="preserve">process of </w:t>
      </w:r>
      <w:r w:rsidR="00145A4A">
        <w:rPr>
          <w:lang w:eastAsia="ko-KR"/>
        </w:rPr>
        <w:t>design</w:t>
      </w:r>
      <w:r>
        <w:rPr>
          <w:lang w:eastAsia="ko-KR"/>
        </w:rPr>
        <w:t>ing</w:t>
      </w:r>
      <w:r w:rsidR="00145A4A">
        <w:rPr>
          <w:lang w:eastAsia="ko-KR"/>
        </w:rPr>
        <w:t xml:space="preserve"> a </w:t>
      </w:r>
      <w:r w:rsidR="00584D20">
        <w:rPr>
          <w:lang w:eastAsia="ko-KR"/>
        </w:rPr>
        <w:t>n</w:t>
      </w:r>
      <w:r w:rsidR="00145A4A">
        <w:rPr>
          <w:lang w:eastAsia="ko-KR"/>
        </w:rPr>
        <w:t xml:space="preserve">ational </w:t>
      </w:r>
      <w:r w:rsidR="00584D20">
        <w:rPr>
          <w:lang w:eastAsia="ko-KR"/>
        </w:rPr>
        <w:t>h</w:t>
      </w:r>
      <w:r w:rsidR="00145A4A">
        <w:rPr>
          <w:lang w:eastAsia="ko-KR"/>
        </w:rPr>
        <w:t xml:space="preserve">uman </w:t>
      </w:r>
      <w:r w:rsidR="00584D20">
        <w:rPr>
          <w:lang w:eastAsia="ko-KR"/>
        </w:rPr>
        <w:t>r</w:t>
      </w:r>
      <w:r w:rsidR="00145A4A">
        <w:rPr>
          <w:lang w:eastAsia="ko-KR"/>
        </w:rPr>
        <w:t xml:space="preserve">ights </w:t>
      </w:r>
      <w:r w:rsidR="00584D20">
        <w:rPr>
          <w:lang w:eastAsia="ko-KR"/>
        </w:rPr>
        <w:t>a</w:t>
      </w:r>
      <w:r w:rsidR="00145A4A">
        <w:rPr>
          <w:lang w:eastAsia="ko-KR"/>
        </w:rPr>
        <w:t xml:space="preserve">ction </w:t>
      </w:r>
      <w:r w:rsidR="00584D20">
        <w:rPr>
          <w:lang w:eastAsia="ko-KR"/>
        </w:rPr>
        <w:t>p</w:t>
      </w:r>
      <w:r w:rsidR="00145A4A">
        <w:rPr>
          <w:lang w:eastAsia="ko-KR"/>
        </w:rPr>
        <w:t>lan</w:t>
      </w:r>
      <w:r>
        <w:rPr>
          <w:lang w:eastAsia="ko-KR"/>
        </w:rPr>
        <w:t xml:space="preserve"> </w:t>
      </w:r>
      <w:r w:rsidR="00584D20">
        <w:rPr>
          <w:lang w:eastAsia="ko-KR"/>
        </w:rPr>
        <w:t>to</w:t>
      </w:r>
      <w:r w:rsidR="00145A4A">
        <w:rPr>
          <w:lang w:eastAsia="ko-KR"/>
        </w:rPr>
        <w:t xml:space="preserve"> follow up</w:t>
      </w:r>
      <w:r w:rsidR="00584D20">
        <w:rPr>
          <w:lang w:eastAsia="ko-KR"/>
        </w:rPr>
        <w:t xml:space="preserve"> </w:t>
      </w:r>
      <w:r w:rsidR="00145A4A">
        <w:rPr>
          <w:lang w:eastAsia="ko-KR"/>
        </w:rPr>
        <w:t xml:space="preserve">on </w:t>
      </w:r>
      <w:r w:rsidR="00584D20">
        <w:rPr>
          <w:lang w:eastAsia="ko-KR"/>
        </w:rPr>
        <w:t xml:space="preserve">universal periodic review </w:t>
      </w:r>
      <w:r w:rsidR="00145A4A">
        <w:rPr>
          <w:lang w:eastAsia="ko-KR"/>
        </w:rPr>
        <w:t>reco</w:t>
      </w:r>
      <w:r>
        <w:rPr>
          <w:lang w:eastAsia="ko-KR"/>
        </w:rPr>
        <w:t>mmendations</w:t>
      </w:r>
      <w:r w:rsidR="00145A4A">
        <w:rPr>
          <w:lang w:eastAsia="ko-KR"/>
        </w:rPr>
        <w:t>. Technical advic</w:t>
      </w:r>
      <w:r>
        <w:rPr>
          <w:lang w:eastAsia="ko-KR"/>
        </w:rPr>
        <w:t>e will also be provided for defining</w:t>
      </w:r>
      <w:r w:rsidR="00145A4A">
        <w:rPr>
          <w:lang w:eastAsia="ko-KR"/>
        </w:rPr>
        <w:t xml:space="preserve"> the methodology and timeline</w:t>
      </w:r>
      <w:r>
        <w:rPr>
          <w:lang w:eastAsia="ko-KR"/>
        </w:rPr>
        <w:t>s in th</w:t>
      </w:r>
      <w:r w:rsidR="00584D20">
        <w:rPr>
          <w:lang w:eastAsia="ko-KR"/>
        </w:rPr>
        <w:t>at</w:t>
      </w:r>
      <w:r>
        <w:rPr>
          <w:lang w:eastAsia="ko-KR"/>
        </w:rPr>
        <w:t xml:space="preserve"> regard</w:t>
      </w:r>
      <w:r w:rsidR="00145A4A">
        <w:rPr>
          <w:lang w:eastAsia="ko-KR"/>
        </w:rPr>
        <w:t>.</w:t>
      </w:r>
    </w:p>
    <w:p w:rsidR="00135773" w:rsidRPr="002E06A3" w:rsidRDefault="00573CA7" w:rsidP="002E06A3">
      <w:pPr>
        <w:pStyle w:val="SingleTxtG"/>
        <w:numPr>
          <w:ilvl w:val="0"/>
          <w:numId w:val="8"/>
        </w:numPr>
        <w:tabs>
          <w:tab w:val="clear" w:pos="2835"/>
        </w:tabs>
        <w:ind w:left="1134"/>
        <w:rPr>
          <w:rFonts w:eastAsia="Calibri"/>
          <w:lang w:val="en-US"/>
        </w:rPr>
      </w:pPr>
      <w:r>
        <w:rPr>
          <w:lang w:eastAsia="ko-KR"/>
        </w:rPr>
        <w:t>T</w:t>
      </w:r>
      <w:r w:rsidR="00145A4A">
        <w:rPr>
          <w:lang w:eastAsia="ko-KR"/>
        </w:rPr>
        <w:t>hrough the work of the human rights advis</w:t>
      </w:r>
      <w:r w:rsidR="00584D20">
        <w:rPr>
          <w:lang w:eastAsia="ko-KR"/>
        </w:rPr>
        <w:t>e</w:t>
      </w:r>
      <w:r w:rsidR="00145A4A">
        <w:rPr>
          <w:lang w:eastAsia="ko-KR"/>
        </w:rPr>
        <w:t>r recently deployed to Jamaica, suppo</w:t>
      </w:r>
      <w:r>
        <w:rPr>
          <w:lang w:eastAsia="ko-KR"/>
        </w:rPr>
        <w:t>rt will be provided for</w:t>
      </w:r>
      <w:r w:rsidR="00145A4A">
        <w:rPr>
          <w:lang w:eastAsia="ko-KR"/>
        </w:rPr>
        <w:t xml:space="preserve"> the </w:t>
      </w:r>
      <w:r w:rsidR="00B21A39">
        <w:rPr>
          <w:lang w:eastAsia="ko-KR"/>
        </w:rPr>
        <w:t xml:space="preserve">drafting </w:t>
      </w:r>
      <w:r w:rsidR="00145A4A">
        <w:rPr>
          <w:lang w:eastAsia="ko-KR"/>
        </w:rPr>
        <w:t>of a common core document</w:t>
      </w:r>
      <w:r w:rsidR="00B21A39">
        <w:rPr>
          <w:lang w:eastAsia="ko-KR"/>
        </w:rPr>
        <w:t>,</w:t>
      </w:r>
      <w:r w:rsidR="00145A4A">
        <w:rPr>
          <w:lang w:eastAsia="ko-KR"/>
        </w:rPr>
        <w:t xml:space="preserve"> w</w:t>
      </w:r>
      <w:r>
        <w:rPr>
          <w:lang w:eastAsia="ko-KR"/>
        </w:rPr>
        <w:t xml:space="preserve">hich will contribute to increasing </w:t>
      </w:r>
      <w:r w:rsidR="00B21A39">
        <w:rPr>
          <w:lang w:eastAsia="ko-KR"/>
        </w:rPr>
        <w:t xml:space="preserve">the </w:t>
      </w:r>
      <w:r>
        <w:rPr>
          <w:lang w:eastAsia="ko-KR"/>
        </w:rPr>
        <w:t>capacity</w:t>
      </w:r>
      <w:r w:rsidR="00B21A39">
        <w:rPr>
          <w:lang w:eastAsia="ko-KR"/>
        </w:rPr>
        <w:t xml:space="preserve"> of Jamaica</w:t>
      </w:r>
      <w:r>
        <w:rPr>
          <w:lang w:eastAsia="ko-KR"/>
        </w:rPr>
        <w:t xml:space="preserve"> to meet its </w:t>
      </w:r>
      <w:r w:rsidR="00145A4A">
        <w:rPr>
          <w:lang w:eastAsia="ko-KR"/>
        </w:rPr>
        <w:t>reporting obligations</w:t>
      </w:r>
      <w:r>
        <w:rPr>
          <w:lang w:eastAsia="ko-KR"/>
        </w:rPr>
        <w:t xml:space="preserve"> to international human rights mechanisms as </w:t>
      </w:r>
      <w:r w:rsidR="00145A4A">
        <w:rPr>
          <w:lang w:eastAsia="ko-KR"/>
        </w:rPr>
        <w:t xml:space="preserve">follow-up to </w:t>
      </w:r>
      <w:r w:rsidR="00B21A39">
        <w:rPr>
          <w:lang w:eastAsia="ko-KR"/>
        </w:rPr>
        <w:t xml:space="preserve">universal periodic review </w:t>
      </w:r>
      <w:r w:rsidR="00145A4A">
        <w:rPr>
          <w:lang w:eastAsia="ko-KR"/>
        </w:rPr>
        <w:t xml:space="preserve">recommendations. Support will also be provided </w:t>
      </w:r>
      <w:r>
        <w:rPr>
          <w:lang w:eastAsia="ko-KR"/>
        </w:rPr>
        <w:t>for creating</w:t>
      </w:r>
      <w:r w:rsidR="00145A4A">
        <w:rPr>
          <w:lang w:eastAsia="ko-KR"/>
        </w:rPr>
        <w:t xml:space="preserve"> a database on human rights recommendations in order to increa</w:t>
      </w:r>
      <w:r>
        <w:rPr>
          <w:lang w:eastAsia="ko-KR"/>
        </w:rPr>
        <w:t>se the State capacity to follow up</w:t>
      </w:r>
      <w:r w:rsidR="00615036">
        <w:rPr>
          <w:lang w:eastAsia="ko-KR"/>
        </w:rPr>
        <w:t xml:space="preserve"> </w:t>
      </w:r>
      <w:r w:rsidR="00145A4A">
        <w:rPr>
          <w:lang w:eastAsia="ko-KR"/>
        </w:rPr>
        <w:t xml:space="preserve">on the recommendations of all international human rights </w:t>
      </w:r>
      <w:r w:rsidR="00145A4A" w:rsidRPr="002E06A3">
        <w:rPr>
          <w:rFonts w:eastAsia="Calibri"/>
          <w:lang w:val="en-US"/>
        </w:rPr>
        <w:t>mechanisms.</w:t>
      </w:r>
    </w:p>
    <w:p w:rsidR="0079500D" w:rsidRDefault="00325E7D" w:rsidP="002E06A3">
      <w:pPr>
        <w:pStyle w:val="SingleTxtG"/>
        <w:numPr>
          <w:ilvl w:val="0"/>
          <w:numId w:val="8"/>
        </w:numPr>
        <w:tabs>
          <w:tab w:val="clear" w:pos="2835"/>
        </w:tabs>
        <w:ind w:left="1134"/>
      </w:pPr>
      <w:r w:rsidRPr="00325E7D">
        <w:t xml:space="preserve">In Kazakhstan, </w:t>
      </w:r>
      <w:r w:rsidR="000A3A21">
        <w:rPr>
          <w:color w:val="000000"/>
          <w:lang w:eastAsia="ko-KR"/>
        </w:rPr>
        <w:t xml:space="preserve">technical assistance will be provided to the Government to implement the recommendations that were put forward during the </w:t>
      </w:r>
      <w:r w:rsidR="00AF4AFF">
        <w:rPr>
          <w:color w:val="000000"/>
          <w:lang w:eastAsia="ko-KR"/>
        </w:rPr>
        <w:t>second</w:t>
      </w:r>
      <w:r w:rsidR="000A3A21">
        <w:rPr>
          <w:color w:val="000000"/>
          <w:lang w:eastAsia="ko-KR"/>
        </w:rPr>
        <w:t xml:space="preserve"> cycle </w:t>
      </w:r>
      <w:r w:rsidR="00AF4AFF">
        <w:rPr>
          <w:color w:val="000000"/>
          <w:lang w:eastAsia="ko-KR"/>
        </w:rPr>
        <w:t xml:space="preserve">of the universal periodic review </w:t>
      </w:r>
      <w:r w:rsidR="000A3A21">
        <w:rPr>
          <w:color w:val="000000"/>
          <w:lang w:eastAsia="ko-KR"/>
        </w:rPr>
        <w:t xml:space="preserve">and </w:t>
      </w:r>
      <w:r w:rsidR="00AF4AFF">
        <w:rPr>
          <w:color w:val="000000"/>
          <w:lang w:eastAsia="ko-KR"/>
        </w:rPr>
        <w:t xml:space="preserve">in which </w:t>
      </w:r>
      <w:r w:rsidR="000A3A21">
        <w:rPr>
          <w:color w:val="000000"/>
          <w:lang w:eastAsia="ko-KR"/>
        </w:rPr>
        <w:t>developing and implementing a national action plan on human rights and strengthening the capacity of the national preventative mechanism</w:t>
      </w:r>
      <w:r w:rsidR="00AF4AFF">
        <w:rPr>
          <w:color w:val="000000"/>
          <w:lang w:eastAsia="ko-KR"/>
        </w:rPr>
        <w:t xml:space="preserve"> were called for</w:t>
      </w:r>
      <w:r w:rsidR="000A3A21">
        <w:rPr>
          <w:color w:val="000000"/>
          <w:lang w:eastAsia="ko-KR"/>
        </w:rPr>
        <w:t xml:space="preserve">. </w:t>
      </w:r>
      <w:r w:rsidR="005D3388">
        <w:rPr>
          <w:color w:val="000000"/>
          <w:lang w:eastAsia="ko-KR"/>
        </w:rPr>
        <w:t>E</w:t>
      </w:r>
      <w:r w:rsidR="000A3A21">
        <w:rPr>
          <w:color w:val="000000"/>
          <w:lang w:eastAsia="ko-KR"/>
        </w:rPr>
        <w:t>xpert advice and guidance will be provided for the establishment of a standing national coordinating mechanism to ensure integrated follow-up to recommendations of human rights mechanisms.</w:t>
      </w:r>
    </w:p>
    <w:p w:rsidR="0079500D" w:rsidRDefault="0079500D" w:rsidP="002E06A3">
      <w:pPr>
        <w:pStyle w:val="SingleTxtG"/>
        <w:numPr>
          <w:ilvl w:val="0"/>
          <w:numId w:val="8"/>
        </w:numPr>
        <w:tabs>
          <w:tab w:val="clear" w:pos="2835"/>
        </w:tabs>
        <w:ind w:left="1134"/>
        <w:rPr>
          <w:lang w:eastAsia="ko-KR"/>
        </w:rPr>
      </w:pPr>
      <w:r>
        <w:rPr>
          <w:lang w:eastAsia="ko-KR"/>
        </w:rPr>
        <w:t xml:space="preserve">The former Yugoslav Republic of Macedonia established </w:t>
      </w:r>
      <w:r w:rsidR="00AF4AFF">
        <w:rPr>
          <w:lang w:eastAsia="ko-KR"/>
        </w:rPr>
        <w:t xml:space="preserve">the </w:t>
      </w:r>
      <w:r>
        <w:rPr>
          <w:lang w:eastAsia="ko-KR"/>
        </w:rPr>
        <w:t xml:space="preserve">Inter-Sectoral Body on Human Rights following </w:t>
      </w:r>
      <w:r w:rsidR="00F33C18">
        <w:rPr>
          <w:lang w:eastAsia="ko-KR"/>
        </w:rPr>
        <w:t xml:space="preserve">its </w:t>
      </w:r>
      <w:r>
        <w:rPr>
          <w:lang w:eastAsia="ko-KR"/>
        </w:rPr>
        <w:t xml:space="preserve">first </w:t>
      </w:r>
      <w:r w:rsidR="00AF4AFF">
        <w:rPr>
          <w:lang w:eastAsia="ko-KR"/>
        </w:rPr>
        <w:t xml:space="preserve">universal periodic </w:t>
      </w:r>
      <w:r>
        <w:rPr>
          <w:lang w:eastAsia="ko-KR"/>
        </w:rPr>
        <w:t>review. Th</w:t>
      </w:r>
      <w:r w:rsidR="00AF4AFF">
        <w:rPr>
          <w:lang w:eastAsia="ko-KR"/>
        </w:rPr>
        <w:t>at</w:t>
      </w:r>
      <w:r>
        <w:rPr>
          <w:lang w:eastAsia="ko-KR"/>
        </w:rPr>
        <w:t xml:space="preserve"> body is composed of the State </w:t>
      </w:r>
      <w:r w:rsidR="00AF4AFF">
        <w:rPr>
          <w:lang w:eastAsia="ko-KR"/>
        </w:rPr>
        <w:t>s</w:t>
      </w:r>
      <w:r>
        <w:rPr>
          <w:lang w:eastAsia="ko-KR"/>
        </w:rPr>
        <w:t>ecretaries of the key ministries and took the lead in coordinating follow-up to recommendations</w:t>
      </w:r>
      <w:r w:rsidR="00AF4AFF">
        <w:rPr>
          <w:lang w:eastAsia="ko-KR"/>
        </w:rPr>
        <w:t xml:space="preserve"> emanating from the universal periodic review</w:t>
      </w:r>
      <w:r>
        <w:rPr>
          <w:lang w:eastAsia="ko-KR"/>
        </w:rPr>
        <w:t xml:space="preserve"> and those of the oth</w:t>
      </w:r>
      <w:r w:rsidR="0022475B">
        <w:rPr>
          <w:lang w:eastAsia="ko-KR"/>
        </w:rPr>
        <w:t>er human rights mechanisms. F</w:t>
      </w:r>
      <w:r>
        <w:rPr>
          <w:lang w:eastAsia="ko-KR"/>
        </w:rPr>
        <w:t>ollow</w:t>
      </w:r>
      <w:r w:rsidR="00AF4AFF">
        <w:rPr>
          <w:lang w:eastAsia="ko-KR"/>
        </w:rPr>
        <w:t>-</w:t>
      </w:r>
      <w:r>
        <w:rPr>
          <w:lang w:eastAsia="ko-KR"/>
        </w:rPr>
        <w:t>up to the consultations</w:t>
      </w:r>
      <w:r w:rsidR="00AF4AFF">
        <w:rPr>
          <w:lang w:eastAsia="ko-KR"/>
        </w:rPr>
        <w:t xml:space="preserve"> on </w:t>
      </w:r>
      <w:r w:rsidR="00F33C18">
        <w:rPr>
          <w:lang w:eastAsia="ko-KR"/>
        </w:rPr>
        <w:t>its</w:t>
      </w:r>
      <w:r w:rsidR="00AF4AFF">
        <w:rPr>
          <w:lang w:eastAsia="ko-KR"/>
        </w:rPr>
        <w:t xml:space="preserve"> second universal periodic review</w:t>
      </w:r>
      <w:r>
        <w:rPr>
          <w:lang w:eastAsia="ko-KR"/>
        </w:rPr>
        <w:t xml:space="preserve"> pointed to the need for increased substantive and expert support to the body and for increased capacity through the addition of an </w:t>
      </w:r>
      <w:r w:rsidR="00AF4AFF">
        <w:rPr>
          <w:lang w:eastAsia="ko-KR"/>
        </w:rPr>
        <w:t>“expert advisory group”</w:t>
      </w:r>
      <w:r>
        <w:rPr>
          <w:lang w:eastAsia="ko-KR"/>
        </w:rPr>
        <w:t>. Technical assis</w:t>
      </w:r>
      <w:r w:rsidR="0022475B">
        <w:rPr>
          <w:lang w:eastAsia="ko-KR"/>
        </w:rPr>
        <w:t>tance will be provided to contribute</w:t>
      </w:r>
      <w:r>
        <w:rPr>
          <w:lang w:eastAsia="ko-KR"/>
        </w:rPr>
        <w:t xml:space="preserve"> to increasing the capacity of the </w:t>
      </w:r>
      <w:r w:rsidR="00AF4AFF">
        <w:rPr>
          <w:lang w:eastAsia="ko-KR"/>
        </w:rPr>
        <w:t>b</w:t>
      </w:r>
      <w:r>
        <w:rPr>
          <w:lang w:eastAsia="ko-KR"/>
        </w:rPr>
        <w:t xml:space="preserve">ody and the </w:t>
      </w:r>
      <w:r w:rsidR="00AF4AFF">
        <w:rPr>
          <w:lang w:eastAsia="ko-KR"/>
        </w:rPr>
        <w:t>expert group</w:t>
      </w:r>
      <w:r>
        <w:rPr>
          <w:lang w:eastAsia="ko-KR"/>
        </w:rPr>
        <w:t xml:space="preserve">. Various actions will be undertaken, including a study visit to other </w:t>
      </w:r>
      <w:r w:rsidR="00AF4AFF">
        <w:rPr>
          <w:lang w:eastAsia="ko-KR"/>
        </w:rPr>
        <w:t>S</w:t>
      </w:r>
      <w:r>
        <w:rPr>
          <w:lang w:eastAsia="ko-KR"/>
        </w:rPr>
        <w:t xml:space="preserve">tates </w:t>
      </w:r>
      <w:r w:rsidR="00AF4AFF">
        <w:rPr>
          <w:lang w:eastAsia="ko-KR"/>
        </w:rPr>
        <w:t xml:space="preserve">in </w:t>
      </w:r>
      <w:r>
        <w:rPr>
          <w:lang w:eastAsia="ko-KR"/>
        </w:rPr>
        <w:t xml:space="preserve">a </w:t>
      </w:r>
      <w:r w:rsidR="00AF4AFF">
        <w:rPr>
          <w:lang w:eastAsia="ko-KR"/>
        </w:rPr>
        <w:t xml:space="preserve">similar </w:t>
      </w:r>
      <w:r>
        <w:rPr>
          <w:lang w:eastAsia="ko-KR"/>
        </w:rPr>
        <w:t>situation, “mentorin</w:t>
      </w:r>
      <w:r w:rsidR="0022475B">
        <w:rPr>
          <w:lang w:eastAsia="ko-KR"/>
        </w:rPr>
        <w:t xml:space="preserve">g” from another </w:t>
      </w:r>
      <w:r w:rsidR="00AF4AFF">
        <w:rPr>
          <w:lang w:eastAsia="ko-KR"/>
        </w:rPr>
        <w:t>S</w:t>
      </w:r>
      <w:r w:rsidR="0022475B">
        <w:rPr>
          <w:lang w:eastAsia="ko-KR"/>
        </w:rPr>
        <w:t>tate to follow up</w:t>
      </w:r>
      <w:r w:rsidR="00AF4AFF">
        <w:rPr>
          <w:lang w:eastAsia="ko-KR"/>
        </w:rPr>
        <w:t xml:space="preserve"> </w:t>
      </w:r>
      <w:r>
        <w:rPr>
          <w:lang w:eastAsia="ko-KR"/>
        </w:rPr>
        <w:t xml:space="preserve">on improving the process and capacities, training workshops </w:t>
      </w:r>
      <w:r w:rsidR="00AF4AFF">
        <w:rPr>
          <w:lang w:eastAsia="ko-KR"/>
        </w:rPr>
        <w:t>(</w:t>
      </w:r>
      <w:r>
        <w:rPr>
          <w:lang w:eastAsia="ko-KR"/>
        </w:rPr>
        <w:t>which will also reinforce the involvement of civil society stakeholders</w:t>
      </w:r>
      <w:r w:rsidR="00AF4AFF">
        <w:rPr>
          <w:lang w:eastAsia="ko-KR"/>
        </w:rPr>
        <w:t>)</w:t>
      </w:r>
      <w:r>
        <w:rPr>
          <w:lang w:eastAsia="ko-KR"/>
        </w:rPr>
        <w:t xml:space="preserve"> and seminars on examining recommendations and developing tools to monitor follow-up to recommendations.</w:t>
      </w:r>
    </w:p>
    <w:p w:rsidR="009F37BF" w:rsidRDefault="009F37BF" w:rsidP="002E06A3">
      <w:pPr>
        <w:pStyle w:val="SingleTxtG"/>
        <w:numPr>
          <w:ilvl w:val="0"/>
          <w:numId w:val="8"/>
        </w:numPr>
        <w:tabs>
          <w:tab w:val="clear" w:pos="2835"/>
        </w:tabs>
        <w:ind w:left="1134"/>
        <w:rPr>
          <w:lang w:eastAsia="ko-KR"/>
        </w:rPr>
      </w:pPr>
      <w:r w:rsidRPr="008830E1">
        <w:rPr>
          <w:lang w:eastAsia="ko-KR"/>
        </w:rPr>
        <w:t xml:space="preserve">In Malaysia, </w:t>
      </w:r>
      <w:r w:rsidRPr="008830E1">
        <w:t>the Human Rights and Development Theme Group</w:t>
      </w:r>
      <w:r>
        <w:t xml:space="preserve"> of the </w:t>
      </w:r>
      <w:r w:rsidR="002D7A4C">
        <w:t xml:space="preserve">United Nations country team </w:t>
      </w:r>
      <w:r w:rsidR="0022475B">
        <w:t>has been engaging</w:t>
      </w:r>
      <w:r w:rsidR="00AA2F8E">
        <w:t xml:space="preserve"> with</w:t>
      </w:r>
      <w:r w:rsidR="0022475B">
        <w:t xml:space="preserve"> </w:t>
      </w:r>
      <w:r>
        <w:t>the Government</w:t>
      </w:r>
      <w:r w:rsidR="0022475B">
        <w:t xml:space="preserve"> for the development of a</w:t>
      </w:r>
      <w:r>
        <w:t xml:space="preserve"> </w:t>
      </w:r>
      <w:r w:rsidR="00AA2F8E">
        <w:t xml:space="preserve">national action plan </w:t>
      </w:r>
      <w:r>
        <w:t>on the implementation of recommendations of the second</w:t>
      </w:r>
      <w:r w:rsidR="007F130F">
        <w:t>-cycle</w:t>
      </w:r>
      <w:r>
        <w:t xml:space="preserve"> </w:t>
      </w:r>
      <w:r w:rsidR="00AA2F8E">
        <w:t>universal periodic review</w:t>
      </w:r>
      <w:r>
        <w:t>. In th</w:t>
      </w:r>
      <w:r w:rsidR="00AA2F8E">
        <w:t>at</w:t>
      </w:r>
      <w:r>
        <w:t xml:space="preserve"> regard, support will be provided to organize consultative meetings between the Government and different stakeholders on the development of</w:t>
      </w:r>
      <w:r w:rsidR="0022475B">
        <w:t xml:space="preserve"> the </w:t>
      </w:r>
      <w:r w:rsidR="00AA2F8E">
        <w:t>a</w:t>
      </w:r>
      <w:r w:rsidR="0022475B">
        <w:t xml:space="preserve">ction </w:t>
      </w:r>
      <w:r w:rsidR="00AA2F8E">
        <w:t>p</w:t>
      </w:r>
      <w:r w:rsidR="0022475B">
        <w:t xml:space="preserve">lan. </w:t>
      </w:r>
      <w:r w:rsidR="008F6DDE">
        <w:t>The National Human Rights Commission of Malaysia</w:t>
      </w:r>
      <w:r w:rsidR="00AA2F8E">
        <w:t>,</w:t>
      </w:r>
      <w:r w:rsidR="008F6DDE">
        <w:t xml:space="preserve"> part of the Governmental Task Force on the development of the national human rights action plan</w:t>
      </w:r>
      <w:r w:rsidR="00AA2F8E">
        <w:t>,</w:t>
      </w:r>
      <w:r w:rsidR="008F6DDE">
        <w:t xml:space="preserve"> inten</w:t>
      </w:r>
      <w:r w:rsidR="00AA2F8E">
        <w:t>ds</w:t>
      </w:r>
      <w:r w:rsidR="008F6DDE">
        <w:t xml:space="preserve"> </w:t>
      </w:r>
      <w:r w:rsidR="00AA2F8E">
        <w:t xml:space="preserve">to </w:t>
      </w:r>
      <w:r w:rsidR="008F6DDE">
        <w:t xml:space="preserve">develop a database </w:t>
      </w:r>
      <w:r w:rsidR="00AA2F8E">
        <w:t xml:space="preserve">to </w:t>
      </w:r>
      <w:r w:rsidR="008F6DDE">
        <w:t xml:space="preserve">track the implementation of the </w:t>
      </w:r>
      <w:r w:rsidR="00AA2F8E">
        <w:t xml:space="preserve">universal periodic review </w:t>
      </w:r>
      <w:r w:rsidR="008F6DDE">
        <w:t>recommendations</w:t>
      </w:r>
      <w:r w:rsidR="00A778A6">
        <w:t>,</w:t>
      </w:r>
      <w:r w:rsidR="008F6DDE">
        <w:t xml:space="preserve"> in consultation with the Government of Malaysia. </w:t>
      </w:r>
      <w:r w:rsidR="0022475B">
        <w:t>S</w:t>
      </w:r>
      <w:r>
        <w:t xml:space="preserve">upport will </w:t>
      </w:r>
      <w:r w:rsidR="008F6DDE">
        <w:t xml:space="preserve">hence </w:t>
      </w:r>
      <w:r>
        <w:t xml:space="preserve">be provided to </w:t>
      </w:r>
      <w:r w:rsidR="00A778A6">
        <w:t xml:space="preserve">Commission </w:t>
      </w:r>
      <w:r w:rsidR="008F6DDE">
        <w:t xml:space="preserve">for developing such a database, which will be modelled </w:t>
      </w:r>
      <w:r w:rsidR="007F130F">
        <w:t xml:space="preserve">on </w:t>
      </w:r>
      <w:r w:rsidR="008F6DDE">
        <w:t xml:space="preserve">a good practice example in the area from other countries. </w:t>
      </w:r>
    </w:p>
    <w:p w:rsidR="00945A8F" w:rsidRPr="00323818" w:rsidRDefault="001C1869" w:rsidP="002E06A3">
      <w:pPr>
        <w:pStyle w:val="SingleTxtG"/>
        <w:numPr>
          <w:ilvl w:val="0"/>
          <w:numId w:val="8"/>
        </w:numPr>
        <w:tabs>
          <w:tab w:val="clear" w:pos="2835"/>
        </w:tabs>
        <w:ind w:left="1134"/>
        <w:rPr>
          <w:rStyle w:val="hps"/>
        </w:rPr>
      </w:pPr>
      <w:r w:rsidRPr="00323818">
        <w:t>In Mali, technical assistance will be provided to strengthen th</w:t>
      </w:r>
      <w:r w:rsidR="00D57758">
        <w:t>e national follow-up processes.</w:t>
      </w:r>
      <w:r w:rsidRPr="00323818">
        <w:t xml:space="preserve"> Hence, </w:t>
      </w:r>
      <w:r w:rsidR="00A778A6">
        <w:t>assistance will</w:t>
      </w:r>
      <w:r w:rsidR="00A778A6" w:rsidRPr="00323818">
        <w:t xml:space="preserve"> </w:t>
      </w:r>
      <w:r w:rsidRPr="00323818">
        <w:t xml:space="preserve">specifically </w:t>
      </w:r>
      <w:r w:rsidR="00A778A6">
        <w:t>be aimed at</w:t>
      </w:r>
      <w:r w:rsidRPr="00323818">
        <w:t>: i</w:t>
      </w:r>
      <w:r w:rsidRPr="00323818">
        <w:rPr>
          <w:rStyle w:val="hps"/>
        </w:rPr>
        <w:t>nitiat</w:t>
      </w:r>
      <w:r w:rsidR="00A778A6">
        <w:rPr>
          <w:rStyle w:val="hps"/>
        </w:rPr>
        <w:t>ing</w:t>
      </w:r>
      <w:r w:rsidRPr="00323818">
        <w:rPr>
          <w:rStyle w:val="hps"/>
        </w:rPr>
        <w:t xml:space="preserve"> a</w:t>
      </w:r>
      <w:r w:rsidRPr="00323818">
        <w:t xml:space="preserve"> </w:t>
      </w:r>
      <w:r w:rsidRPr="00323818">
        <w:rPr>
          <w:rStyle w:val="hps"/>
        </w:rPr>
        <w:t>discussion on the relevance</w:t>
      </w:r>
      <w:r w:rsidRPr="00323818">
        <w:t xml:space="preserve"> </w:t>
      </w:r>
      <w:r w:rsidR="0031585F">
        <w:rPr>
          <w:rStyle w:val="hps"/>
        </w:rPr>
        <w:t xml:space="preserve">of merging </w:t>
      </w:r>
      <w:r w:rsidRPr="00323818">
        <w:rPr>
          <w:rStyle w:val="hps"/>
        </w:rPr>
        <w:t>various</w:t>
      </w:r>
      <w:r w:rsidRPr="00323818">
        <w:t xml:space="preserve"> </w:t>
      </w:r>
      <w:r w:rsidRPr="00323818">
        <w:rPr>
          <w:rStyle w:val="hps"/>
        </w:rPr>
        <w:t>interdepartmental committees</w:t>
      </w:r>
      <w:r w:rsidRPr="00323818">
        <w:t xml:space="preserve"> </w:t>
      </w:r>
      <w:r w:rsidRPr="00323818">
        <w:rPr>
          <w:rStyle w:val="hps"/>
        </w:rPr>
        <w:t>that exist</w:t>
      </w:r>
      <w:r w:rsidRPr="00323818">
        <w:t xml:space="preserve"> </w:t>
      </w:r>
      <w:r w:rsidRPr="00323818">
        <w:rPr>
          <w:rStyle w:val="hps"/>
        </w:rPr>
        <w:t>in the country; support</w:t>
      </w:r>
      <w:r w:rsidR="00A778A6">
        <w:rPr>
          <w:rStyle w:val="hps"/>
        </w:rPr>
        <w:t>ing</w:t>
      </w:r>
      <w:r w:rsidRPr="00323818">
        <w:t xml:space="preserve"> </w:t>
      </w:r>
      <w:r w:rsidRPr="00323818">
        <w:rPr>
          <w:rStyle w:val="hps"/>
        </w:rPr>
        <w:t>the Malian authorities</w:t>
      </w:r>
      <w:r w:rsidRPr="00323818">
        <w:t xml:space="preserve"> in </w:t>
      </w:r>
      <w:r w:rsidRPr="00323818">
        <w:rPr>
          <w:rStyle w:val="hps"/>
        </w:rPr>
        <w:t>preparing</w:t>
      </w:r>
      <w:r w:rsidRPr="00323818">
        <w:t xml:space="preserve"> </w:t>
      </w:r>
      <w:r w:rsidRPr="00323818">
        <w:rPr>
          <w:rStyle w:val="hps"/>
        </w:rPr>
        <w:t>an implementation</w:t>
      </w:r>
      <w:r w:rsidRPr="00323818">
        <w:t xml:space="preserve"> </w:t>
      </w:r>
      <w:r w:rsidRPr="00323818">
        <w:rPr>
          <w:rStyle w:val="hps"/>
        </w:rPr>
        <w:t>action plan</w:t>
      </w:r>
      <w:r w:rsidRPr="00323818">
        <w:t xml:space="preserve"> </w:t>
      </w:r>
      <w:r w:rsidR="00A778A6">
        <w:rPr>
          <w:rStyle w:val="hps"/>
        </w:rPr>
        <w:t>for</w:t>
      </w:r>
      <w:r w:rsidR="00A778A6" w:rsidRPr="00323818">
        <w:t xml:space="preserve"> </w:t>
      </w:r>
      <w:r w:rsidR="00A778A6">
        <w:rPr>
          <w:rStyle w:val="hps"/>
        </w:rPr>
        <w:t>universal periodic review</w:t>
      </w:r>
      <w:r w:rsidR="00A778A6" w:rsidRPr="00323818">
        <w:t xml:space="preserve"> </w:t>
      </w:r>
      <w:r w:rsidRPr="00323818">
        <w:rPr>
          <w:rStyle w:val="hps"/>
        </w:rPr>
        <w:t>recommendations; and</w:t>
      </w:r>
      <w:r w:rsidR="00D57758">
        <w:rPr>
          <w:rStyle w:val="hps"/>
        </w:rPr>
        <w:t xml:space="preserve"> </w:t>
      </w:r>
      <w:r w:rsidRPr="00323818">
        <w:rPr>
          <w:rStyle w:val="hps"/>
        </w:rPr>
        <w:t>support</w:t>
      </w:r>
      <w:r w:rsidR="00A778A6">
        <w:rPr>
          <w:rStyle w:val="hps"/>
        </w:rPr>
        <w:t>ing</w:t>
      </w:r>
      <w:r w:rsidRPr="00323818">
        <w:rPr>
          <w:rStyle w:val="hps"/>
        </w:rPr>
        <w:t xml:space="preserve"> the</w:t>
      </w:r>
      <w:r w:rsidRPr="00323818">
        <w:t xml:space="preserve"> </w:t>
      </w:r>
      <w:r w:rsidRPr="00323818">
        <w:rPr>
          <w:rStyle w:val="hps"/>
        </w:rPr>
        <w:t>National Steering Committee</w:t>
      </w:r>
      <w:r w:rsidRPr="00323818">
        <w:t xml:space="preserve"> pending </w:t>
      </w:r>
      <w:r w:rsidR="007F130F">
        <w:t xml:space="preserve">the </w:t>
      </w:r>
      <w:r w:rsidRPr="00323818">
        <w:rPr>
          <w:rStyle w:val="hps"/>
        </w:rPr>
        <w:t>merging of the various existing interdepartmental committees.</w:t>
      </w:r>
      <w:r w:rsidR="00323818" w:rsidRPr="00323818">
        <w:rPr>
          <w:rStyle w:val="hps"/>
        </w:rPr>
        <w:t xml:space="preserve"> </w:t>
      </w:r>
      <w:r w:rsidR="00323818" w:rsidRPr="00323818">
        <w:t>A national consultant will assist the authorities in drafting the action plan for the implementation of the recommendations.</w:t>
      </w:r>
    </w:p>
    <w:p w:rsidR="00E51149" w:rsidRPr="00CE6D5C" w:rsidRDefault="00E51149" w:rsidP="002E06A3">
      <w:pPr>
        <w:pStyle w:val="SingleTxtG"/>
        <w:numPr>
          <w:ilvl w:val="0"/>
          <w:numId w:val="8"/>
        </w:numPr>
        <w:tabs>
          <w:tab w:val="clear" w:pos="2835"/>
        </w:tabs>
        <w:ind w:left="1134"/>
      </w:pPr>
      <w:r w:rsidRPr="008830E1">
        <w:t>Following a request from the Government of Mauritania</w:t>
      </w:r>
      <w:r w:rsidR="0076578D" w:rsidRPr="00CE6D5C">
        <w:t xml:space="preserve"> for support</w:t>
      </w:r>
      <w:r w:rsidRPr="00CE6D5C">
        <w:t xml:space="preserve"> in the development and implementation of a strategy to follow up</w:t>
      </w:r>
      <w:r w:rsidR="007F130F">
        <w:t xml:space="preserve"> </w:t>
      </w:r>
      <w:r w:rsidRPr="00CE6D5C">
        <w:t>on</w:t>
      </w:r>
      <w:r w:rsidR="007F130F">
        <w:t xml:space="preserve"> the</w:t>
      </w:r>
      <w:r w:rsidRPr="00CE6D5C">
        <w:t xml:space="preserve"> recommendations of the </w:t>
      </w:r>
      <w:r w:rsidR="00E35983">
        <w:t>universal periodic review</w:t>
      </w:r>
      <w:r w:rsidR="00E35983" w:rsidRPr="00CE6D5C">
        <w:t xml:space="preserve"> </w:t>
      </w:r>
      <w:r w:rsidRPr="00CE6D5C">
        <w:t xml:space="preserve">and other human rights mechanisms in coordination with and with the support of the </w:t>
      </w:r>
      <w:r w:rsidR="00E35983">
        <w:t>United Nations country team</w:t>
      </w:r>
      <w:r w:rsidRPr="00CE6D5C">
        <w:t>, technical assistance will be provided to the Government</w:t>
      </w:r>
      <w:r w:rsidR="00E35983">
        <w:t>,</w:t>
      </w:r>
      <w:r w:rsidRPr="00CE6D5C">
        <w:t xml:space="preserve"> </w:t>
      </w:r>
      <w:r w:rsidR="00E35983">
        <w:t>which has</w:t>
      </w:r>
      <w:r w:rsidR="00E35983" w:rsidRPr="00CE6D5C">
        <w:t xml:space="preserve"> </w:t>
      </w:r>
      <w:r w:rsidRPr="00CE6D5C">
        <w:t>committed to setting up the Inter-Ministerial Technical Committee, which will take action to implement</w:t>
      </w:r>
      <w:r w:rsidR="007F130F">
        <w:t xml:space="preserve"> the</w:t>
      </w:r>
      <w:r w:rsidRPr="00CE6D5C">
        <w:t xml:space="preserve"> recommendations of the </w:t>
      </w:r>
      <w:r w:rsidR="00E35983">
        <w:t>universal periodic review</w:t>
      </w:r>
      <w:r w:rsidR="00E35983" w:rsidRPr="00CE6D5C">
        <w:t xml:space="preserve"> </w:t>
      </w:r>
      <w:r w:rsidRPr="00CE6D5C">
        <w:t>and of other human rights mechanisms. Th</w:t>
      </w:r>
      <w:r w:rsidR="00E35983">
        <w:t>at</w:t>
      </w:r>
      <w:r w:rsidRPr="00CE6D5C">
        <w:t xml:space="preserve"> technical assistance is specifically geared towards support</w:t>
      </w:r>
      <w:r w:rsidR="0076578D" w:rsidRPr="00CE6D5C">
        <w:t>ing</w:t>
      </w:r>
      <w:r w:rsidRPr="00CE6D5C">
        <w:t xml:space="preserve"> the establishment of the Inter-Ministerial Technical Committee responsible for </w:t>
      </w:r>
      <w:r w:rsidR="000F43DA">
        <w:t xml:space="preserve">implementation, </w:t>
      </w:r>
      <w:r w:rsidRPr="00CE6D5C">
        <w:t xml:space="preserve">monitoring and reporting to treaty bodies, special procedures and the </w:t>
      </w:r>
      <w:r w:rsidR="00E35983">
        <w:t>universal periodic review</w:t>
      </w:r>
      <w:r w:rsidRPr="00CE6D5C">
        <w:t>. Support will also be provided for drafting a national action plan for implementation. To th</w:t>
      </w:r>
      <w:r w:rsidR="007F130F">
        <w:t>at</w:t>
      </w:r>
      <w:r w:rsidRPr="00CE6D5C">
        <w:t xml:space="preserve"> end, a </w:t>
      </w:r>
      <w:r w:rsidR="000F43DA">
        <w:t>workshop</w:t>
      </w:r>
      <w:r w:rsidRPr="00CE6D5C">
        <w:t xml:space="preserve"> on validation of the National Action Plan for the implementation of recommendations of treaty bodies, special procedures and the </w:t>
      </w:r>
      <w:r w:rsidR="00184134">
        <w:t>universal periodic review</w:t>
      </w:r>
      <w:r w:rsidR="00184134" w:rsidRPr="00CE6D5C">
        <w:t xml:space="preserve"> </w:t>
      </w:r>
      <w:r w:rsidRPr="00CE6D5C">
        <w:t>will be organized with the participation of the National Human Rights Commission and civil society organizations.</w:t>
      </w:r>
    </w:p>
    <w:p w:rsidR="00945A8F" w:rsidRDefault="0076578D" w:rsidP="002E06A3">
      <w:pPr>
        <w:pStyle w:val="SingleTxtG"/>
        <w:numPr>
          <w:ilvl w:val="0"/>
          <w:numId w:val="8"/>
        </w:numPr>
        <w:tabs>
          <w:tab w:val="clear" w:pos="2835"/>
        </w:tabs>
        <w:ind w:left="1134"/>
      </w:pPr>
      <w:r>
        <w:rPr>
          <w:rStyle w:val="hps"/>
        </w:rPr>
        <w:t>I</w:t>
      </w:r>
      <w:r w:rsidR="00945A8F">
        <w:rPr>
          <w:rStyle w:val="hps"/>
        </w:rPr>
        <w:t xml:space="preserve">n Nigeria, </w:t>
      </w:r>
      <w:r w:rsidR="00945A8F">
        <w:t>a</w:t>
      </w:r>
      <w:r w:rsidR="00945A8F" w:rsidRPr="00C77718">
        <w:t xml:space="preserve">ssistance </w:t>
      </w:r>
      <w:r w:rsidR="00945A8F">
        <w:t xml:space="preserve">will be provided </w:t>
      </w:r>
      <w:r w:rsidR="00945A8F" w:rsidRPr="00C77718">
        <w:t xml:space="preserve">to the Government to strengthen the Inter-Ministerial Committee and for drafting a national plan of action for the implementation of the </w:t>
      </w:r>
      <w:r w:rsidR="00184134">
        <w:t>universal periodic review</w:t>
      </w:r>
      <w:r w:rsidR="00184134" w:rsidRPr="00C77718">
        <w:t xml:space="preserve"> </w:t>
      </w:r>
      <w:r w:rsidR="00945A8F" w:rsidRPr="00C77718">
        <w:t>recommendations in collaboration with concerned stakeholders</w:t>
      </w:r>
      <w:r w:rsidR="00945A8F">
        <w:t xml:space="preserve">, including the National Human Rights Commission and </w:t>
      </w:r>
      <w:r w:rsidR="00945A8F" w:rsidRPr="00C77718">
        <w:t xml:space="preserve">civil society actors. </w:t>
      </w:r>
      <w:r>
        <w:t>To achieve th</w:t>
      </w:r>
      <w:r w:rsidR="00184134">
        <w:t>at</w:t>
      </w:r>
      <w:r w:rsidR="00945A8F">
        <w:t>, in addition to</w:t>
      </w:r>
      <w:r w:rsidR="00184134">
        <w:t xml:space="preserve"> the</w:t>
      </w:r>
      <w:r w:rsidR="00945A8F">
        <w:t xml:space="preserve"> OHCHR Human Rights Advis</w:t>
      </w:r>
      <w:r w:rsidR="008B4A75">
        <w:t>e</w:t>
      </w:r>
      <w:r w:rsidR="00945A8F">
        <w:t>r</w:t>
      </w:r>
      <w:r>
        <w:t>’s</w:t>
      </w:r>
      <w:r w:rsidR="00945A8F">
        <w:t xml:space="preserve"> providing assistance, </w:t>
      </w:r>
      <w:r w:rsidR="00945A8F" w:rsidRPr="00C77718">
        <w:t xml:space="preserve">a national consultant </w:t>
      </w:r>
      <w:r w:rsidR="00945A8F">
        <w:t xml:space="preserve">will also be recruited </w:t>
      </w:r>
      <w:r w:rsidR="00945A8F" w:rsidRPr="00C77718">
        <w:t xml:space="preserve">who will assist the </w:t>
      </w:r>
      <w:r w:rsidR="00945A8F">
        <w:t xml:space="preserve">Inter-Ministerial </w:t>
      </w:r>
      <w:r w:rsidR="00945A8F" w:rsidRPr="00C77718">
        <w:t xml:space="preserve">Committee in drafting </w:t>
      </w:r>
      <w:r w:rsidR="00945A8F">
        <w:t>the</w:t>
      </w:r>
      <w:r w:rsidR="00945A8F" w:rsidRPr="00C77718">
        <w:t xml:space="preserve"> plan of action and finalizing </w:t>
      </w:r>
      <w:r>
        <w:t xml:space="preserve">the </w:t>
      </w:r>
      <w:r w:rsidR="00945A8F" w:rsidRPr="00C77718">
        <w:t>reports</w:t>
      </w:r>
      <w:r w:rsidR="00945A8F">
        <w:t xml:space="preserve"> due</w:t>
      </w:r>
      <w:r w:rsidR="00945A8F" w:rsidRPr="00C77718">
        <w:t xml:space="preserve"> </w:t>
      </w:r>
      <w:r w:rsidR="00945A8F">
        <w:t>to treaties bodies.</w:t>
      </w:r>
    </w:p>
    <w:p w:rsidR="00DB5E61" w:rsidRPr="00DB5E61" w:rsidRDefault="00D10EC7" w:rsidP="002E06A3">
      <w:pPr>
        <w:pStyle w:val="SingleTxtG"/>
        <w:numPr>
          <w:ilvl w:val="0"/>
          <w:numId w:val="8"/>
        </w:numPr>
        <w:tabs>
          <w:tab w:val="clear" w:pos="2835"/>
        </w:tabs>
        <w:ind w:left="1134"/>
        <w:rPr>
          <w:lang w:eastAsia="ko-KR"/>
        </w:rPr>
      </w:pPr>
      <w:r>
        <w:rPr>
          <w:lang w:eastAsia="ko-KR"/>
        </w:rPr>
        <w:t xml:space="preserve">In </w:t>
      </w:r>
      <w:r w:rsidRPr="00DB5E61">
        <w:rPr>
          <w:bCs/>
          <w:lang w:eastAsia="ko-KR"/>
        </w:rPr>
        <w:t>Paraguay</w:t>
      </w:r>
      <w:r>
        <w:rPr>
          <w:lang w:eastAsia="ko-KR"/>
        </w:rPr>
        <w:t>, the Human Rights Advis</w:t>
      </w:r>
      <w:r w:rsidR="008B4A75">
        <w:rPr>
          <w:lang w:eastAsia="ko-KR"/>
        </w:rPr>
        <w:t>e</w:t>
      </w:r>
      <w:r>
        <w:rPr>
          <w:lang w:eastAsia="ko-KR"/>
        </w:rPr>
        <w:t xml:space="preserve">r will continue providing technical assistance to State institutions in two areas: (a) to implement prioritized recommendations in three thematic areas and (b) to enhance the capacity of the Ministry of Foreign Affairs, </w:t>
      </w:r>
      <w:r w:rsidR="008B4A75">
        <w:rPr>
          <w:lang w:eastAsia="ko-KR"/>
        </w:rPr>
        <w:t xml:space="preserve">the </w:t>
      </w:r>
      <w:r>
        <w:rPr>
          <w:lang w:eastAsia="ko-KR"/>
        </w:rPr>
        <w:t xml:space="preserve">Ministry of Justice and the Human Rights Network of the Executive Branch to monitor and report on progress in the implementation of international human rights recommendations through a monitoring system developed as part of the cooperation. Specifically, OHCHR will continue providing technical assistance, specialized training and support to hold broad consultations with target groups, to enhance the capacity of the Secretariat of Social Action, the Institute for Indigenous Issues and the National Secretary for the Human Rights of People with Disabilities to apply a human rights-based approach in the definition of policies related to the fight against poverty, the protection of indigenous peoples and the rights of persons with disabilities. OHCHR will also continue assisting Paraguay </w:t>
      </w:r>
      <w:r w:rsidR="00A66F1C">
        <w:rPr>
          <w:lang w:eastAsia="ko-KR"/>
        </w:rPr>
        <w:t xml:space="preserve">in </w:t>
      </w:r>
      <w:r>
        <w:rPr>
          <w:lang w:eastAsia="ko-KR"/>
        </w:rPr>
        <w:t>enhanc</w:t>
      </w:r>
      <w:r w:rsidR="00A66F1C">
        <w:rPr>
          <w:lang w:eastAsia="ko-KR"/>
        </w:rPr>
        <w:t>ing</w:t>
      </w:r>
      <w:r>
        <w:rPr>
          <w:lang w:eastAsia="ko-KR"/>
        </w:rPr>
        <w:t xml:space="preserve"> the capacity of institut</w:t>
      </w:r>
      <w:r w:rsidR="00CB0D02">
        <w:rPr>
          <w:lang w:eastAsia="ko-KR"/>
        </w:rPr>
        <w:t>ions to use the SIMORE database</w:t>
      </w:r>
      <w:r>
        <w:rPr>
          <w:lang w:eastAsia="ko-KR"/>
        </w:rPr>
        <w:t xml:space="preserve"> (Monitoring System on International Recommendations) developed as part of the first phase of the cooperation provided by OHCHR. In addition, and at the request of the </w:t>
      </w:r>
      <w:r w:rsidR="00A66F1C">
        <w:rPr>
          <w:lang w:eastAsia="ko-KR"/>
        </w:rPr>
        <w:t>G</w:t>
      </w:r>
      <w:r>
        <w:rPr>
          <w:lang w:eastAsia="ko-KR"/>
        </w:rPr>
        <w:t>overnment, OHCHR will also provide the necessary technical support and assistance to establish a link between the SIMORE database and the Universal Human Rights Index database manage</w:t>
      </w:r>
      <w:r w:rsidR="00CB0D02">
        <w:rPr>
          <w:lang w:eastAsia="ko-KR"/>
        </w:rPr>
        <w:t>d by OHCHR</w:t>
      </w:r>
      <w:r w:rsidR="00A66F1C">
        <w:rPr>
          <w:lang w:eastAsia="ko-KR"/>
        </w:rPr>
        <w:t xml:space="preserve"> in</w:t>
      </w:r>
      <w:r w:rsidR="00CB0D02">
        <w:rPr>
          <w:lang w:eastAsia="ko-KR"/>
        </w:rPr>
        <w:t xml:space="preserve"> Geneva.</w:t>
      </w:r>
    </w:p>
    <w:p w:rsidR="0079500D" w:rsidRPr="00CE6D5C" w:rsidRDefault="002A5711" w:rsidP="002E06A3">
      <w:pPr>
        <w:pStyle w:val="SingleTxtG"/>
        <w:numPr>
          <w:ilvl w:val="0"/>
          <w:numId w:val="8"/>
        </w:numPr>
        <w:tabs>
          <w:tab w:val="clear" w:pos="2835"/>
        </w:tabs>
        <w:ind w:left="1134"/>
      </w:pPr>
      <w:r w:rsidRPr="00CE6D5C">
        <w:t>In Rwanda, a national consultant will be hired to carry out, under the supervision of</w:t>
      </w:r>
      <w:r w:rsidR="00DF729A" w:rsidRPr="00DF729A">
        <w:t xml:space="preserve"> the Human Rights Adviser, th</w:t>
      </w:r>
      <w:r w:rsidR="00DF729A">
        <w:t>e following</w:t>
      </w:r>
      <w:r w:rsidRPr="00CE6D5C">
        <w:t xml:space="preserve"> main activities. Firstly, he will provide technical support to strengthen the capacity of the Treaty</w:t>
      </w:r>
      <w:r w:rsidR="009F706A">
        <w:t xml:space="preserve"> </w:t>
      </w:r>
      <w:r w:rsidRPr="00CE6D5C">
        <w:t>Body Reporting Task Force of the Government</w:t>
      </w:r>
      <w:r w:rsidR="004023EB">
        <w:t xml:space="preserve"> of Rwanda</w:t>
      </w:r>
      <w:r w:rsidRPr="00CE6D5C">
        <w:t xml:space="preserve">, which developed the </w:t>
      </w:r>
      <w:r w:rsidR="004023EB">
        <w:t>universal periodic review</w:t>
      </w:r>
      <w:r w:rsidR="004023EB" w:rsidRPr="00CE6D5C">
        <w:t xml:space="preserve"> </w:t>
      </w:r>
      <w:r w:rsidRPr="00CE6D5C">
        <w:t xml:space="preserve">roadmap after the 2011 review and has been entrusted with the implementation of the recommendations. </w:t>
      </w:r>
      <w:r w:rsidR="00DF729A">
        <w:t>Secondly</w:t>
      </w:r>
      <w:r w:rsidRPr="00CE6D5C">
        <w:t>, he will support the National Commission for Human Rights and relevant stakeholders in developing and implementing human rights</w:t>
      </w:r>
      <w:r w:rsidR="004023EB">
        <w:t>-</w:t>
      </w:r>
      <w:r w:rsidRPr="00CE6D5C">
        <w:t>related policies.</w:t>
      </w:r>
      <w:r>
        <w:t xml:space="preserve"> </w:t>
      </w:r>
      <w:r w:rsidR="0079500D" w:rsidRPr="00CE6D5C">
        <w:t>Th</w:t>
      </w:r>
      <w:r w:rsidR="004023EB">
        <w:t>at</w:t>
      </w:r>
      <w:r w:rsidR="0079500D" w:rsidRPr="00CE6D5C">
        <w:t xml:space="preserve"> national consultant is an integral part of the Resident Coordinator’s Office</w:t>
      </w:r>
      <w:r w:rsidR="009F706A">
        <w:t>,</w:t>
      </w:r>
      <w:r w:rsidR="0079500D" w:rsidRPr="00CE6D5C">
        <w:t xml:space="preserve"> focusing on follow-up </w:t>
      </w:r>
      <w:r w:rsidR="004023EB">
        <w:t xml:space="preserve">to </w:t>
      </w:r>
      <w:r w:rsidR="009F706A">
        <w:t xml:space="preserve">the </w:t>
      </w:r>
      <w:r w:rsidR="004023EB">
        <w:t xml:space="preserve">universal periodic review </w:t>
      </w:r>
      <w:r w:rsidR="0079500D" w:rsidRPr="00CE6D5C">
        <w:t xml:space="preserve">and the relevant programmes to be developed under the United Nations Development Assistance </w:t>
      </w:r>
      <w:r w:rsidR="004023EB">
        <w:t>Plan</w:t>
      </w:r>
      <w:r w:rsidR="004023EB" w:rsidRPr="00CE6D5C">
        <w:t xml:space="preserve"> </w:t>
      </w:r>
      <w:r w:rsidR="0079500D" w:rsidRPr="00CE6D5C">
        <w:t>Flagship Programme known as “Access to Justice, Human Rights and Peace Consolidation”.</w:t>
      </w:r>
    </w:p>
    <w:p w:rsidR="0079500D" w:rsidRDefault="00945A8F" w:rsidP="002E06A3">
      <w:pPr>
        <w:pStyle w:val="SingleTxtG"/>
        <w:numPr>
          <w:ilvl w:val="0"/>
          <w:numId w:val="8"/>
        </w:numPr>
        <w:tabs>
          <w:tab w:val="clear" w:pos="2835"/>
        </w:tabs>
        <w:ind w:left="1134"/>
        <w:rPr>
          <w:rStyle w:val="hps"/>
        </w:rPr>
      </w:pPr>
      <w:r w:rsidRPr="00945A8F">
        <w:t>In Senegal,</w:t>
      </w:r>
      <w:r w:rsidR="0076578D">
        <w:t xml:space="preserve"> technical assistance will </w:t>
      </w:r>
      <w:r w:rsidRPr="00945A8F">
        <w:t xml:space="preserve">be provided to the Technical Committee that will review the </w:t>
      </w:r>
      <w:r w:rsidRPr="00945A8F">
        <w:rPr>
          <w:rStyle w:val="hps"/>
        </w:rPr>
        <w:t>National Action</w:t>
      </w:r>
      <w:r w:rsidRPr="00945A8F">
        <w:t xml:space="preserve"> </w:t>
      </w:r>
      <w:r w:rsidRPr="00945A8F">
        <w:rPr>
          <w:rStyle w:val="hps"/>
        </w:rPr>
        <w:t>Plan for</w:t>
      </w:r>
      <w:r w:rsidRPr="00945A8F">
        <w:t xml:space="preserve"> </w:t>
      </w:r>
      <w:r w:rsidRPr="00945A8F">
        <w:rPr>
          <w:rStyle w:val="hps"/>
        </w:rPr>
        <w:t>implementation of the</w:t>
      </w:r>
      <w:r w:rsidRPr="00945A8F">
        <w:t xml:space="preserve"> </w:t>
      </w:r>
      <w:r w:rsidRPr="00945A8F">
        <w:rPr>
          <w:rStyle w:val="hps"/>
        </w:rPr>
        <w:t>recommendations of international human rights mechanisms</w:t>
      </w:r>
      <w:r w:rsidRPr="00945A8F">
        <w:t xml:space="preserve">, </w:t>
      </w:r>
      <w:r w:rsidRPr="00945A8F">
        <w:rPr>
          <w:rStyle w:val="hps"/>
        </w:rPr>
        <w:t>including</w:t>
      </w:r>
      <w:r w:rsidRPr="00945A8F">
        <w:t xml:space="preserve"> </w:t>
      </w:r>
      <w:r w:rsidRPr="00945A8F">
        <w:rPr>
          <w:rStyle w:val="hps"/>
        </w:rPr>
        <w:t xml:space="preserve">the </w:t>
      </w:r>
      <w:r w:rsidR="004023EB">
        <w:rPr>
          <w:rStyle w:val="hps"/>
        </w:rPr>
        <w:t>universal periodic review</w:t>
      </w:r>
      <w:r w:rsidRPr="00945A8F">
        <w:rPr>
          <w:rStyle w:val="hps"/>
        </w:rPr>
        <w:t>.</w:t>
      </w:r>
    </w:p>
    <w:p w:rsidR="0062343E" w:rsidRDefault="0079500D" w:rsidP="002E06A3">
      <w:pPr>
        <w:pStyle w:val="SingleTxtG"/>
        <w:numPr>
          <w:ilvl w:val="0"/>
          <w:numId w:val="8"/>
        </w:numPr>
        <w:tabs>
          <w:tab w:val="clear" w:pos="2835"/>
        </w:tabs>
        <w:ind w:left="1134"/>
        <w:rPr>
          <w:lang w:eastAsia="ko-KR"/>
        </w:rPr>
      </w:pPr>
      <w:r>
        <w:rPr>
          <w:lang w:eastAsia="ko-KR"/>
        </w:rPr>
        <w:t xml:space="preserve">Following a request for financial and technical assistance from Seychelles, technical assistance will be provided to strengthen the </w:t>
      </w:r>
      <w:r w:rsidR="004023EB">
        <w:rPr>
          <w:lang w:eastAsia="ko-KR"/>
        </w:rPr>
        <w:t>national human rights institution</w:t>
      </w:r>
      <w:r>
        <w:rPr>
          <w:lang w:eastAsia="ko-KR"/>
        </w:rPr>
        <w:t xml:space="preserve"> to ensure its compliance with the Paris Principles, which will take the form of assisting with the review of the relevant legislation and the drafting of an amendment bill, as well as a review of the current structural set-up of th</w:t>
      </w:r>
      <w:r w:rsidR="00CB0D02">
        <w:rPr>
          <w:lang w:eastAsia="ko-KR"/>
        </w:rPr>
        <w:t xml:space="preserve">e </w:t>
      </w:r>
      <w:r w:rsidR="004023EB">
        <w:rPr>
          <w:lang w:eastAsia="ko-KR"/>
        </w:rPr>
        <w:t>institution</w:t>
      </w:r>
      <w:r w:rsidR="00CB0D02">
        <w:rPr>
          <w:lang w:eastAsia="ko-KR"/>
        </w:rPr>
        <w:t xml:space="preserve">. </w:t>
      </w:r>
      <w:r>
        <w:rPr>
          <w:lang w:eastAsia="ko-KR"/>
        </w:rPr>
        <w:t>Assistance will be provided with the development of a coordinating mechan</w:t>
      </w:r>
      <w:r w:rsidR="00CB0D02">
        <w:rPr>
          <w:lang w:eastAsia="ko-KR"/>
        </w:rPr>
        <w:t>ism for human rights education.</w:t>
      </w:r>
      <w:r>
        <w:rPr>
          <w:lang w:eastAsia="ko-KR"/>
        </w:rPr>
        <w:t xml:space="preserve"> Assistance will also be provided with a view to strengthening the capacity of law enforcement officials to ensure respect for juvenile justice standards, which will take the form of aiding in the assessment of current practices and the establishment of standards and procedures.</w:t>
      </w:r>
    </w:p>
    <w:p w:rsidR="0079500D" w:rsidRPr="0062343E" w:rsidRDefault="0062343E" w:rsidP="002E06A3">
      <w:pPr>
        <w:pStyle w:val="SingleTxtG"/>
        <w:numPr>
          <w:ilvl w:val="0"/>
          <w:numId w:val="8"/>
        </w:numPr>
        <w:tabs>
          <w:tab w:val="clear" w:pos="2835"/>
        </w:tabs>
        <w:ind w:left="1134"/>
      </w:pPr>
      <w:r w:rsidRPr="0062343E">
        <w:t xml:space="preserve">In Solomon Islands, support will be provided through the deployment of a </w:t>
      </w:r>
      <w:r w:rsidR="004023EB">
        <w:t xml:space="preserve">National </w:t>
      </w:r>
      <w:r w:rsidRPr="0062343E">
        <w:t>U</w:t>
      </w:r>
      <w:r w:rsidR="004023EB">
        <w:t xml:space="preserve">nited </w:t>
      </w:r>
      <w:r w:rsidRPr="0062343E">
        <w:t>N</w:t>
      </w:r>
      <w:r w:rsidR="004023EB">
        <w:t>ations</w:t>
      </w:r>
      <w:r w:rsidRPr="0062343E">
        <w:t xml:space="preserve"> Volunteer to be based in the Ministry of Justice and Legal Affairs. This </w:t>
      </w:r>
      <w:r w:rsidR="004023EB">
        <w:t>Volunteer</w:t>
      </w:r>
      <w:r w:rsidR="004023EB" w:rsidRPr="0062343E">
        <w:t xml:space="preserve"> </w:t>
      </w:r>
      <w:r w:rsidRPr="0062343E">
        <w:t>will work closely with relevant government entities, civil society, U</w:t>
      </w:r>
      <w:r w:rsidR="004023EB">
        <w:t xml:space="preserve">nited </w:t>
      </w:r>
      <w:r w:rsidRPr="0062343E">
        <w:t>N</w:t>
      </w:r>
      <w:r w:rsidR="004023EB">
        <w:t>ations</w:t>
      </w:r>
      <w:r w:rsidRPr="0062343E">
        <w:t xml:space="preserve"> agencies and regional organizations in order to promote and support the establishment of an inter-ministerial coordinating committee in charge of reporting to international human rights mechanisms, including the </w:t>
      </w:r>
      <w:r w:rsidR="004023EB">
        <w:t>universal periodic review</w:t>
      </w:r>
      <w:r w:rsidR="004023EB" w:rsidRPr="0062343E">
        <w:t xml:space="preserve"> </w:t>
      </w:r>
      <w:r w:rsidRPr="0062343E">
        <w:t xml:space="preserve">and treaty bodies. The </w:t>
      </w:r>
      <w:r w:rsidR="004023EB">
        <w:t>Volunteer</w:t>
      </w:r>
      <w:r w:rsidR="004023EB" w:rsidRPr="0062343E">
        <w:t xml:space="preserve"> </w:t>
      </w:r>
      <w:r w:rsidRPr="0062343E">
        <w:t>will also assist the Government in preparing its second</w:t>
      </w:r>
      <w:r w:rsidR="004023EB">
        <w:t>-</w:t>
      </w:r>
      <w:r w:rsidRPr="0062343E">
        <w:t xml:space="preserve">cycle </w:t>
      </w:r>
      <w:r w:rsidR="004023EB">
        <w:t>universal periodic review</w:t>
      </w:r>
      <w:r w:rsidR="004023EB" w:rsidRPr="0062343E">
        <w:t xml:space="preserve"> </w:t>
      </w:r>
      <w:r w:rsidRPr="0062343E">
        <w:t>report by taking stock o</w:t>
      </w:r>
      <w:r w:rsidR="0089387A">
        <w:t>f</w:t>
      </w:r>
      <w:r w:rsidRPr="0062343E">
        <w:t xml:space="preserve"> the level of implementation of </w:t>
      </w:r>
      <w:r w:rsidR="0089387A">
        <w:t xml:space="preserve">the </w:t>
      </w:r>
      <w:r w:rsidRPr="0062343E">
        <w:t>recommendations from the first cycle, including through consultations with various stakeholders on shortfalls, developments and activities related to th</w:t>
      </w:r>
      <w:r w:rsidR="004023EB">
        <w:t>os</w:t>
      </w:r>
      <w:r w:rsidRPr="0062343E">
        <w:t>e recommendations.</w:t>
      </w:r>
    </w:p>
    <w:p w:rsidR="00157026" w:rsidRPr="002E06A3" w:rsidRDefault="007876D6" w:rsidP="002E06A3">
      <w:pPr>
        <w:pStyle w:val="SingleTxtG"/>
        <w:numPr>
          <w:ilvl w:val="0"/>
          <w:numId w:val="8"/>
        </w:numPr>
        <w:tabs>
          <w:tab w:val="clear" w:pos="2835"/>
        </w:tabs>
        <w:ind w:left="1134"/>
        <w:rPr>
          <w:color w:val="000000"/>
          <w:lang w:eastAsia="ko-KR"/>
        </w:rPr>
      </w:pPr>
      <w:r>
        <w:rPr>
          <w:color w:val="000000"/>
          <w:lang w:eastAsia="ko-KR"/>
        </w:rPr>
        <w:t>In Sudan, technical assistance will be provided with strengthening the capacity of the Special Criminal Court on the Events in Darfur. Th</w:t>
      </w:r>
      <w:r w:rsidR="004023EB">
        <w:rPr>
          <w:color w:val="000000"/>
          <w:lang w:eastAsia="ko-KR"/>
        </w:rPr>
        <w:t>at</w:t>
      </w:r>
      <w:r>
        <w:rPr>
          <w:color w:val="000000"/>
          <w:lang w:eastAsia="ko-KR"/>
        </w:rPr>
        <w:t xml:space="preserve"> assistance will take the form of a training course for judges and court staff on the application of international standards in the delivery of criminal justice. Training courses on criminal investigations will also be provided. </w:t>
      </w:r>
      <w:r w:rsidRPr="00157026">
        <w:rPr>
          <w:lang w:eastAsia="ko-KR"/>
        </w:rPr>
        <w:t>The technical assistance will be provided in accordance with recommendations relating, inter alia, to support for the rule of law and the delivery of justice in Darfur, and the organization of training programmes for judicial and law enforcement personnel, all of which enjoy the support of Sudan.</w:t>
      </w:r>
    </w:p>
    <w:p w:rsidR="001D7178" w:rsidRDefault="002A5711" w:rsidP="002E06A3">
      <w:pPr>
        <w:pStyle w:val="SingleTxtG"/>
        <w:numPr>
          <w:ilvl w:val="0"/>
          <w:numId w:val="8"/>
        </w:numPr>
        <w:tabs>
          <w:tab w:val="clear" w:pos="2835"/>
        </w:tabs>
        <w:ind w:left="1134"/>
        <w:rPr>
          <w:color w:val="000000"/>
          <w:lang w:eastAsia="ko-KR"/>
        </w:rPr>
      </w:pPr>
      <w:r w:rsidRPr="00CE6D5C">
        <w:t xml:space="preserve">In Tajikistan, technical assistance will be provided to the Government to strengthen the structure and capacity of the national coordination mechanism in order to ensure effective coordination and monitoring of follow-up to the recommendations of human rights mechanisms. In particular, the regulatory framework of the national coordination mechanism will be amended and improved based on expert advice to be provided </w:t>
      </w:r>
      <w:r w:rsidR="002D3A36">
        <w:t>as part of</w:t>
      </w:r>
      <w:r w:rsidR="002D3A36" w:rsidRPr="00CE6D5C">
        <w:t xml:space="preserve"> </w:t>
      </w:r>
      <w:r w:rsidRPr="00CE6D5C">
        <w:t>th</w:t>
      </w:r>
      <w:r w:rsidR="002D3A36">
        <w:t>at</w:t>
      </w:r>
      <w:r w:rsidRPr="00CE6D5C">
        <w:t xml:space="preserve"> technical assistance. A series of training</w:t>
      </w:r>
      <w:r w:rsidR="00E000AC">
        <w:t xml:space="preserve"> sessions</w:t>
      </w:r>
      <w:r w:rsidRPr="00CE6D5C">
        <w:t xml:space="preserve"> and workshops on international human rights mechanisms and their reporting requirements will be organized for various ministries’ representatives of the national coordination mechanism to ensure their effective input in the follow-up and reporting processes.</w:t>
      </w:r>
    </w:p>
    <w:p w:rsidR="0061314C" w:rsidRDefault="0062343E" w:rsidP="002E06A3">
      <w:pPr>
        <w:pStyle w:val="SingleTxtG"/>
        <w:numPr>
          <w:ilvl w:val="0"/>
          <w:numId w:val="8"/>
        </w:numPr>
        <w:tabs>
          <w:tab w:val="clear" w:pos="2835"/>
        </w:tabs>
        <w:ind w:left="1134"/>
      </w:pPr>
      <w:r w:rsidRPr="0061314C">
        <w:t>In Timor-Leste, a broad</w:t>
      </w:r>
      <w:r w:rsidR="002D3A36">
        <w:t>-</w:t>
      </w:r>
      <w:r w:rsidRPr="0061314C">
        <w:t xml:space="preserve">based National Directive Commission </w:t>
      </w:r>
      <w:r w:rsidR="0061314C" w:rsidRPr="0061314C">
        <w:t xml:space="preserve">composed of </w:t>
      </w:r>
      <w:r w:rsidR="002D3A36">
        <w:t xml:space="preserve">representatives of </w:t>
      </w:r>
      <w:r w:rsidR="0061314C" w:rsidRPr="0061314C">
        <w:t>the G</w:t>
      </w:r>
      <w:r w:rsidRPr="0061314C">
        <w:t>overnment, the national human rights institution, civil society and the private sector</w:t>
      </w:r>
      <w:r w:rsidR="0061314C" w:rsidRPr="0061314C">
        <w:t xml:space="preserve"> was established in 2014 to draft a</w:t>
      </w:r>
      <w:r w:rsidRPr="0061314C">
        <w:t xml:space="preserve"> </w:t>
      </w:r>
      <w:r w:rsidR="002D3A36" w:rsidRPr="0061314C">
        <w:t>national human rights action plan</w:t>
      </w:r>
      <w:r w:rsidRPr="0061314C">
        <w:t xml:space="preserve">. </w:t>
      </w:r>
      <w:r w:rsidR="0061314C" w:rsidRPr="0061314C">
        <w:t>Support will be provided to increase the capacity of th</w:t>
      </w:r>
      <w:r w:rsidR="002D3A36">
        <w:t>at</w:t>
      </w:r>
      <w:r w:rsidRPr="0061314C">
        <w:t xml:space="preserve"> Commission to draft the action plan through an inclusive and participatory process. The action</w:t>
      </w:r>
      <w:r w:rsidR="002D3A36">
        <w:t>-</w:t>
      </w:r>
      <w:r w:rsidRPr="0061314C">
        <w:t xml:space="preserve">planning process will include an exercise of prioritization of key recommendations made to date to Timor-Leste </w:t>
      </w:r>
      <w:r w:rsidR="002D3A36">
        <w:t>during</w:t>
      </w:r>
      <w:r w:rsidR="002D3A36" w:rsidRPr="0061314C">
        <w:t xml:space="preserve"> </w:t>
      </w:r>
      <w:r w:rsidRPr="0061314C">
        <w:t xml:space="preserve">the </w:t>
      </w:r>
      <w:r w:rsidR="002D3A36">
        <w:t>universal periodic review</w:t>
      </w:r>
      <w:r w:rsidR="002D3A36" w:rsidRPr="0061314C">
        <w:t xml:space="preserve"> </w:t>
      </w:r>
      <w:r w:rsidRPr="0061314C">
        <w:t xml:space="preserve">and </w:t>
      </w:r>
      <w:r w:rsidR="002D3A36">
        <w:t xml:space="preserve">by </w:t>
      </w:r>
      <w:r w:rsidRPr="0061314C">
        <w:t>other U</w:t>
      </w:r>
      <w:r w:rsidR="002D3A36">
        <w:t xml:space="preserve">nited </w:t>
      </w:r>
      <w:r w:rsidRPr="0061314C">
        <w:t>N</w:t>
      </w:r>
      <w:r w:rsidR="002D3A36">
        <w:t>ations</w:t>
      </w:r>
      <w:r w:rsidRPr="0061314C">
        <w:t xml:space="preserve"> human rights mechanisms. </w:t>
      </w:r>
      <w:r w:rsidR="0061314C" w:rsidRPr="0061314C">
        <w:t xml:space="preserve">Support will also be provided for </w:t>
      </w:r>
      <w:r w:rsidRPr="0061314C">
        <w:t>the drafting of a baseline study,</w:t>
      </w:r>
      <w:r w:rsidR="0061314C" w:rsidRPr="0061314C">
        <w:t xml:space="preserve"> public consultations, capacity </w:t>
      </w:r>
      <w:r w:rsidRPr="0061314C">
        <w:t xml:space="preserve">development of </w:t>
      </w:r>
      <w:r w:rsidR="0061314C" w:rsidRPr="0061314C">
        <w:t xml:space="preserve">Commission </w:t>
      </w:r>
      <w:r w:rsidRPr="0061314C">
        <w:t>members and a public information campaign to disseminate information on the action</w:t>
      </w:r>
      <w:r w:rsidR="002D3A36">
        <w:t>-</w:t>
      </w:r>
      <w:r w:rsidRPr="0061314C">
        <w:t>plan</w:t>
      </w:r>
      <w:r w:rsidR="0061314C" w:rsidRPr="0061314C">
        <w:t>ning process</w:t>
      </w:r>
      <w:r w:rsidR="002D3A36">
        <w:t>,</w:t>
      </w:r>
      <w:r w:rsidR="0061314C" w:rsidRPr="0061314C">
        <w:t xml:space="preserve"> </w:t>
      </w:r>
      <w:r w:rsidRPr="0061314C">
        <w:t>seeking input from the public.</w:t>
      </w:r>
    </w:p>
    <w:p w:rsidR="00C50719" w:rsidRDefault="00C50719" w:rsidP="002E06A3">
      <w:pPr>
        <w:pStyle w:val="SingleTxtG"/>
        <w:numPr>
          <w:ilvl w:val="0"/>
          <w:numId w:val="8"/>
        </w:numPr>
        <w:tabs>
          <w:tab w:val="clear" w:pos="2835"/>
        </w:tabs>
        <w:ind w:left="1134"/>
      </w:pPr>
      <w:r w:rsidRPr="00A656AD">
        <w:rPr>
          <w:rFonts w:eastAsia="Calibri"/>
        </w:rPr>
        <w:t xml:space="preserve">In Afghanistan, </w:t>
      </w:r>
      <w:r>
        <w:t xml:space="preserve">support will be provided to </w:t>
      </w:r>
      <w:r w:rsidRPr="00A656AD">
        <w:t xml:space="preserve">the Human Rights Support Unit </w:t>
      </w:r>
      <w:r w:rsidR="00731D00">
        <w:t>of the Ministry of Justice</w:t>
      </w:r>
      <w:r w:rsidRPr="00A656AD">
        <w:t xml:space="preserve"> </w:t>
      </w:r>
      <w:r>
        <w:t xml:space="preserve">for </w:t>
      </w:r>
      <w:r w:rsidRPr="00A656AD">
        <w:t>reviewing and updating the National Action Plan on Implementation of Recommendations from United Nations Human Rights Mon</w:t>
      </w:r>
      <w:r>
        <w:t xml:space="preserve">itoring Mechanisms following </w:t>
      </w:r>
      <w:r w:rsidR="00731D00">
        <w:t>the</w:t>
      </w:r>
      <w:r w:rsidR="00731D00" w:rsidRPr="00A656AD">
        <w:t xml:space="preserve"> </w:t>
      </w:r>
      <w:r w:rsidR="00731D00">
        <w:t>examination of the periodic reports by Afghanistan</w:t>
      </w:r>
      <w:r w:rsidRPr="00A656AD">
        <w:t xml:space="preserve"> by </w:t>
      </w:r>
      <w:r w:rsidR="00731D00">
        <w:t xml:space="preserve">the </w:t>
      </w:r>
      <w:r w:rsidR="00AC3C42">
        <w:t>Committee on Economic, Social and Cultural Rights (</w:t>
      </w:r>
      <w:r w:rsidR="00DF729A">
        <w:t>2010</w:t>
      </w:r>
      <w:r w:rsidR="00AC3C42">
        <w:t xml:space="preserve">), </w:t>
      </w:r>
      <w:r w:rsidR="00731D00">
        <w:t>the Committee on the Elimination of Discrimination against Women</w:t>
      </w:r>
      <w:r w:rsidR="00731D00" w:rsidRPr="00A656AD">
        <w:t xml:space="preserve"> </w:t>
      </w:r>
      <w:r w:rsidRPr="00A656AD">
        <w:t>(</w:t>
      </w:r>
      <w:r>
        <w:t>2013)</w:t>
      </w:r>
      <w:r w:rsidR="00731D00">
        <w:t xml:space="preserve"> and</w:t>
      </w:r>
      <w:r w:rsidR="00AC3C42">
        <w:t xml:space="preserve"> </w:t>
      </w:r>
      <w:r w:rsidR="00731D00">
        <w:t xml:space="preserve">the Committee on the Rights of the Child </w:t>
      </w:r>
      <w:r w:rsidR="00AC3C42">
        <w:t>(</w:t>
      </w:r>
      <w:r w:rsidR="00DF729A">
        <w:t>2011</w:t>
      </w:r>
      <w:r w:rsidR="00AC3C42">
        <w:t>)</w:t>
      </w:r>
      <w:r w:rsidR="00E000AC">
        <w:t>,</w:t>
      </w:r>
      <w:r w:rsidR="00CB0D02">
        <w:t xml:space="preserve"> </w:t>
      </w:r>
      <w:r w:rsidR="00731D00">
        <w:t>and the universal periodic review</w:t>
      </w:r>
      <w:r w:rsidR="00CB0D02">
        <w:t xml:space="preserve"> (2014).</w:t>
      </w:r>
      <w:r>
        <w:t xml:space="preserve"> More specifically, support will be provided for follow-</w:t>
      </w:r>
      <w:r w:rsidRPr="00A656AD">
        <w:t>up and tracking of the status of the implementation of recommendations</w:t>
      </w:r>
      <w:r>
        <w:t xml:space="preserve"> of international human rights mechanisms by State institutions. Further</w:t>
      </w:r>
      <w:r w:rsidR="00F20F04">
        <w:t>more</w:t>
      </w:r>
      <w:r>
        <w:t>, s</w:t>
      </w:r>
      <w:r w:rsidRPr="00A656AD">
        <w:t xml:space="preserve">upport </w:t>
      </w:r>
      <w:r>
        <w:t xml:space="preserve">will be provided to </w:t>
      </w:r>
      <w:r w:rsidRPr="00A656AD">
        <w:t xml:space="preserve">the </w:t>
      </w:r>
      <w:r w:rsidR="00731D00">
        <w:t>Unit</w:t>
      </w:r>
      <w:r w:rsidR="00731D00" w:rsidRPr="00A656AD">
        <w:t xml:space="preserve"> </w:t>
      </w:r>
      <w:r w:rsidRPr="00A656AD">
        <w:t>to</w:t>
      </w:r>
      <w:r>
        <w:t>:</w:t>
      </w:r>
      <w:r w:rsidRPr="00A656AD">
        <w:t xml:space="preserve"> ensure the compliance of all Afghan laws, regulations, policies, strategies and State program</w:t>
      </w:r>
      <w:r w:rsidR="00731D00">
        <w:t>me</w:t>
      </w:r>
      <w:r w:rsidRPr="00A656AD">
        <w:t>s with international human rights standards to which Afghanistan is a State party;</w:t>
      </w:r>
      <w:r>
        <w:t xml:space="preserve"> </w:t>
      </w:r>
      <w:r w:rsidRPr="00A656AD">
        <w:t xml:space="preserve">raise awareness and build the capacity of State officials on human rights commitments; </w:t>
      </w:r>
      <w:r>
        <w:t>and</w:t>
      </w:r>
      <w:r w:rsidRPr="00A656AD">
        <w:t xml:space="preserve"> provide technical assistance and capacity</w:t>
      </w:r>
      <w:r w:rsidR="00731D00">
        <w:t>-</w:t>
      </w:r>
      <w:r w:rsidRPr="00A656AD">
        <w:t xml:space="preserve">building within the </w:t>
      </w:r>
      <w:r w:rsidR="00731D00">
        <w:t>Unit</w:t>
      </w:r>
      <w:r w:rsidR="00731D00" w:rsidRPr="00A656AD">
        <w:t xml:space="preserve"> </w:t>
      </w:r>
      <w:r w:rsidRPr="00A656AD">
        <w:t>in its coordination of</w:t>
      </w:r>
      <w:r>
        <w:t xml:space="preserve"> the </w:t>
      </w:r>
      <w:r w:rsidR="00731D00">
        <w:t>universal periodic review</w:t>
      </w:r>
      <w:r w:rsidR="00731D00" w:rsidRPr="00A656AD">
        <w:t xml:space="preserve"> </w:t>
      </w:r>
      <w:r w:rsidRPr="00A656AD">
        <w:t>recommendations.</w:t>
      </w:r>
    </w:p>
    <w:p w:rsidR="00DF729A" w:rsidRPr="009F37BF" w:rsidRDefault="00DF729A" w:rsidP="002E06A3">
      <w:pPr>
        <w:pStyle w:val="SingleTxtG"/>
        <w:numPr>
          <w:ilvl w:val="0"/>
          <w:numId w:val="8"/>
        </w:numPr>
        <w:tabs>
          <w:tab w:val="clear" w:pos="2835"/>
        </w:tabs>
        <w:ind w:left="1134"/>
        <w:rPr>
          <w:rFonts w:eastAsia="Calibri"/>
          <w:lang w:eastAsia="ko-KR"/>
        </w:rPr>
      </w:pPr>
      <w:r w:rsidRPr="009F37BF">
        <w:rPr>
          <w:rFonts w:eastAsia="Calibri"/>
          <w:lang w:eastAsia="ko-KR"/>
        </w:rPr>
        <w:t xml:space="preserve">In Bhutan, </w:t>
      </w:r>
      <w:r>
        <w:rPr>
          <w:lang w:eastAsia="ko-KR"/>
        </w:rPr>
        <w:t xml:space="preserve">a </w:t>
      </w:r>
      <w:r w:rsidR="00731D00">
        <w:rPr>
          <w:lang w:eastAsia="ko-KR"/>
        </w:rPr>
        <w:t xml:space="preserve">United Nations Volunteer </w:t>
      </w:r>
      <w:r>
        <w:rPr>
          <w:lang w:eastAsia="ko-KR"/>
        </w:rPr>
        <w:t xml:space="preserve">will be </w:t>
      </w:r>
      <w:r w:rsidR="00731D00">
        <w:rPr>
          <w:lang w:eastAsia="ko-KR"/>
        </w:rPr>
        <w:t>attached to</w:t>
      </w:r>
      <w:r>
        <w:rPr>
          <w:lang w:eastAsia="ko-KR"/>
        </w:rPr>
        <w:t xml:space="preserve"> the </w:t>
      </w:r>
      <w:r w:rsidR="00731D00">
        <w:rPr>
          <w:lang w:eastAsia="ko-KR"/>
        </w:rPr>
        <w:t xml:space="preserve">United Nations country team </w:t>
      </w:r>
      <w:r>
        <w:rPr>
          <w:lang w:eastAsia="ko-KR"/>
        </w:rPr>
        <w:t>or</w:t>
      </w:r>
      <w:r w:rsidR="0069267A">
        <w:rPr>
          <w:lang w:eastAsia="ko-KR"/>
        </w:rPr>
        <w:t xml:space="preserve"> the</w:t>
      </w:r>
      <w:r>
        <w:rPr>
          <w:lang w:eastAsia="ko-KR"/>
        </w:rPr>
        <w:t xml:space="preserve"> Ministry of Foreign Affairs to provide technical support to the Ministry of Foreign Affairs for the establishment of an inter-ministerial coordination body.</w:t>
      </w:r>
    </w:p>
    <w:p w:rsidR="00C0523B" w:rsidRDefault="0061314C" w:rsidP="002E06A3">
      <w:pPr>
        <w:pStyle w:val="SingleTxtG"/>
        <w:numPr>
          <w:ilvl w:val="0"/>
          <w:numId w:val="8"/>
        </w:numPr>
        <w:tabs>
          <w:tab w:val="clear" w:pos="2835"/>
        </w:tabs>
        <w:ind w:left="1134"/>
        <w:rPr>
          <w:color w:val="000000"/>
          <w:lang w:eastAsia="ko-KR"/>
        </w:rPr>
      </w:pPr>
      <w:r>
        <w:t xml:space="preserve">Continuing support has </w:t>
      </w:r>
      <w:r w:rsidR="009672A0">
        <w:t xml:space="preserve">also </w:t>
      </w:r>
      <w:r>
        <w:t xml:space="preserve">been provided on the ground for follow-up to recommendations of international human rights mechanisms in the framework </w:t>
      </w:r>
      <w:r w:rsidR="00135773">
        <w:t>of the U</w:t>
      </w:r>
      <w:r w:rsidR="00A117E3">
        <w:t xml:space="preserve">nited </w:t>
      </w:r>
      <w:r w:rsidR="00135773">
        <w:t>N</w:t>
      </w:r>
      <w:r w:rsidR="00A117E3">
        <w:t>ations</w:t>
      </w:r>
      <w:r w:rsidR="00135773">
        <w:t xml:space="preserve"> country programming. </w:t>
      </w:r>
      <w:r w:rsidR="00C0523B">
        <w:t xml:space="preserve">For instance, </w:t>
      </w:r>
      <w:r w:rsidR="00C0523B">
        <w:rPr>
          <w:color w:val="000000"/>
          <w:lang w:eastAsia="ko-KR"/>
        </w:rPr>
        <w:t xml:space="preserve">based on the experience of cooperation with Barbados in 2015, OHCHR will extend cooperation to </w:t>
      </w:r>
      <w:r w:rsidR="00C0523B" w:rsidRPr="00C0523B">
        <w:rPr>
          <w:bCs/>
          <w:color w:val="000000"/>
          <w:lang w:eastAsia="ko-KR"/>
        </w:rPr>
        <w:t>English-speaking Eastern Caribbean States</w:t>
      </w:r>
      <w:r w:rsidR="00C0523B" w:rsidRPr="00C0523B">
        <w:rPr>
          <w:color w:val="000000"/>
          <w:lang w:eastAsia="ko-KR"/>
        </w:rPr>
        <w:t>,</w:t>
      </w:r>
      <w:r w:rsidR="00C0523B">
        <w:rPr>
          <w:color w:val="000000"/>
          <w:lang w:eastAsia="ko-KR"/>
        </w:rPr>
        <w:t xml:space="preserve"> through support to be provided by a </w:t>
      </w:r>
      <w:r w:rsidR="00A117E3">
        <w:rPr>
          <w:color w:val="000000"/>
          <w:lang w:eastAsia="ko-KR"/>
        </w:rPr>
        <w:t xml:space="preserve">national human rights institution </w:t>
      </w:r>
      <w:r w:rsidR="00C0523B">
        <w:rPr>
          <w:color w:val="000000"/>
          <w:lang w:eastAsia="ko-KR"/>
        </w:rPr>
        <w:t xml:space="preserve">and </w:t>
      </w:r>
      <w:r w:rsidR="00A117E3">
        <w:rPr>
          <w:color w:val="000000"/>
          <w:lang w:eastAsia="ko-KR"/>
        </w:rPr>
        <w:t xml:space="preserve">universal periodic review </w:t>
      </w:r>
      <w:r w:rsidR="00C0523B">
        <w:rPr>
          <w:color w:val="000000"/>
          <w:lang w:eastAsia="ko-KR"/>
        </w:rPr>
        <w:t xml:space="preserve">focal point based </w:t>
      </w:r>
      <w:r w:rsidR="00A117E3">
        <w:rPr>
          <w:color w:val="000000"/>
          <w:lang w:eastAsia="ko-KR"/>
        </w:rPr>
        <w:t xml:space="preserve">at </w:t>
      </w:r>
      <w:r w:rsidR="00C0523B">
        <w:rPr>
          <w:color w:val="000000"/>
          <w:lang w:eastAsia="ko-KR"/>
        </w:rPr>
        <w:t>the Office of the U</w:t>
      </w:r>
      <w:r w:rsidR="00A117E3">
        <w:rPr>
          <w:color w:val="000000"/>
          <w:lang w:eastAsia="ko-KR"/>
        </w:rPr>
        <w:t xml:space="preserve">nited </w:t>
      </w:r>
      <w:r w:rsidR="00C0523B">
        <w:rPr>
          <w:color w:val="000000"/>
          <w:lang w:eastAsia="ko-KR"/>
        </w:rPr>
        <w:t>N</w:t>
      </w:r>
      <w:r w:rsidR="00A117E3">
        <w:rPr>
          <w:color w:val="000000"/>
          <w:lang w:eastAsia="ko-KR"/>
        </w:rPr>
        <w:t>ations</w:t>
      </w:r>
      <w:r w:rsidR="00C0523B">
        <w:rPr>
          <w:color w:val="000000"/>
          <w:lang w:eastAsia="ko-KR"/>
        </w:rPr>
        <w:t xml:space="preserve"> Resident Coordinator in Barbados and the </w:t>
      </w:r>
      <w:r w:rsidR="00A117E3">
        <w:rPr>
          <w:rStyle w:val="preferred"/>
        </w:rPr>
        <w:t>Organization of Eastern Caribbean States</w:t>
      </w:r>
      <w:r w:rsidR="00C0523B">
        <w:rPr>
          <w:color w:val="000000"/>
          <w:lang w:eastAsia="ko-KR"/>
        </w:rPr>
        <w:t>, and working closely with U</w:t>
      </w:r>
      <w:r w:rsidR="00A117E3">
        <w:rPr>
          <w:color w:val="000000"/>
          <w:lang w:eastAsia="ko-KR"/>
        </w:rPr>
        <w:t xml:space="preserve">nited </w:t>
      </w:r>
      <w:r w:rsidR="00C0523B">
        <w:rPr>
          <w:color w:val="000000"/>
          <w:lang w:eastAsia="ko-KR"/>
        </w:rPr>
        <w:t>N</w:t>
      </w:r>
      <w:r w:rsidR="00A117E3">
        <w:rPr>
          <w:color w:val="000000"/>
          <w:lang w:eastAsia="ko-KR"/>
        </w:rPr>
        <w:t>ations</w:t>
      </w:r>
      <w:r w:rsidR="00C0523B">
        <w:rPr>
          <w:color w:val="000000"/>
          <w:lang w:eastAsia="ko-KR"/>
        </w:rPr>
        <w:t xml:space="preserve"> entities in the region. Activities will focus on raising awareness o</w:t>
      </w:r>
      <w:r w:rsidR="00A117E3">
        <w:rPr>
          <w:color w:val="000000"/>
          <w:lang w:eastAsia="ko-KR"/>
        </w:rPr>
        <w:t>f</w:t>
      </w:r>
      <w:r w:rsidR="00C0523B">
        <w:rPr>
          <w:color w:val="000000"/>
          <w:lang w:eastAsia="ko-KR"/>
        </w:rPr>
        <w:t xml:space="preserve"> human rights and the U</w:t>
      </w:r>
      <w:r w:rsidR="00A117E3">
        <w:rPr>
          <w:color w:val="000000"/>
          <w:lang w:eastAsia="ko-KR"/>
        </w:rPr>
        <w:t xml:space="preserve">nited </w:t>
      </w:r>
      <w:r w:rsidR="00C0523B">
        <w:rPr>
          <w:color w:val="000000"/>
          <w:lang w:eastAsia="ko-KR"/>
        </w:rPr>
        <w:t>N</w:t>
      </w:r>
      <w:r w:rsidR="00A117E3">
        <w:rPr>
          <w:color w:val="000000"/>
          <w:lang w:eastAsia="ko-KR"/>
        </w:rPr>
        <w:t>ations</w:t>
      </w:r>
      <w:r w:rsidR="00C0523B">
        <w:rPr>
          <w:color w:val="000000"/>
          <w:lang w:eastAsia="ko-KR"/>
        </w:rPr>
        <w:t xml:space="preserve"> protection mechanisms; encouraging concrete actions by </w:t>
      </w:r>
      <w:r w:rsidR="00A117E3">
        <w:rPr>
          <w:color w:val="000000"/>
          <w:lang w:eastAsia="ko-KR"/>
        </w:rPr>
        <w:t>G</w:t>
      </w:r>
      <w:r w:rsidR="00C0523B">
        <w:rPr>
          <w:color w:val="000000"/>
          <w:lang w:eastAsia="ko-KR"/>
        </w:rPr>
        <w:t xml:space="preserve">overnments to address the recommendations made by international human rights mechanisms, the establishment of inter-institutional coordinating mechanisms, the </w:t>
      </w:r>
      <w:r w:rsidR="00A117E3">
        <w:rPr>
          <w:color w:val="000000"/>
          <w:lang w:eastAsia="ko-KR"/>
        </w:rPr>
        <w:t xml:space="preserve">creation </w:t>
      </w:r>
      <w:r w:rsidR="00C0523B">
        <w:rPr>
          <w:color w:val="000000"/>
          <w:lang w:eastAsia="ko-KR"/>
        </w:rPr>
        <w:t xml:space="preserve">of follow-up plans and </w:t>
      </w:r>
      <w:r w:rsidR="0069267A">
        <w:rPr>
          <w:color w:val="000000"/>
          <w:lang w:eastAsia="ko-KR"/>
        </w:rPr>
        <w:t xml:space="preserve">the </w:t>
      </w:r>
      <w:r w:rsidR="00C0523B">
        <w:rPr>
          <w:color w:val="000000"/>
          <w:lang w:eastAsia="ko-KR"/>
        </w:rPr>
        <w:t>development of tools</w:t>
      </w:r>
      <w:r w:rsidR="00A117E3">
        <w:rPr>
          <w:color w:val="000000"/>
          <w:lang w:eastAsia="ko-KR"/>
        </w:rPr>
        <w:t>;</w:t>
      </w:r>
      <w:r w:rsidR="00C0523B">
        <w:rPr>
          <w:color w:val="000000"/>
          <w:lang w:eastAsia="ko-KR"/>
        </w:rPr>
        <w:t xml:space="preserve"> and providing technical advice and support to build and strengthen existing national capacities to promote and protect human rights. </w:t>
      </w:r>
    </w:p>
    <w:p w:rsidR="002C18CF" w:rsidRPr="009F37BF" w:rsidRDefault="00C0523B" w:rsidP="002E06A3">
      <w:pPr>
        <w:pStyle w:val="SingleTxtG"/>
        <w:numPr>
          <w:ilvl w:val="0"/>
          <w:numId w:val="8"/>
        </w:numPr>
        <w:tabs>
          <w:tab w:val="clear" w:pos="2835"/>
        </w:tabs>
        <w:ind w:left="1134"/>
        <w:rPr>
          <w:rFonts w:eastAsia="Calibri"/>
          <w:lang w:eastAsia="ko-KR"/>
        </w:rPr>
      </w:pPr>
      <w:r>
        <w:rPr>
          <w:color w:val="000000"/>
          <w:lang w:eastAsia="ko-KR"/>
        </w:rPr>
        <w:t xml:space="preserve">The OHCHR Regional Office for South America will continue supporting </w:t>
      </w:r>
      <w:r w:rsidRPr="00C0523B">
        <w:rPr>
          <w:bCs/>
          <w:color w:val="000000"/>
          <w:lang w:eastAsia="ko-KR"/>
        </w:rPr>
        <w:t>Argentina, Brazil, Chile, Ecuador, Peru and Uruguay</w:t>
      </w:r>
      <w:r>
        <w:rPr>
          <w:color w:val="000000"/>
          <w:lang w:eastAsia="ko-KR"/>
        </w:rPr>
        <w:t xml:space="preserve"> to enhance their capacity to follow up</w:t>
      </w:r>
      <w:r w:rsidR="00A117E3">
        <w:rPr>
          <w:color w:val="000000"/>
          <w:lang w:eastAsia="ko-KR"/>
        </w:rPr>
        <w:t xml:space="preserve"> </w:t>
      </w:r>
      <w:r>
        <w:rPr>
          <w:color w:val="000000"/>
          <w:lang w:eastAsia="ko-KR"/>
        </w:rPr>
        <w:t xml:space="preserve">on </w:t>
      </w:r>
      <w:r w:rsidR="00A117E3">
        <w:rPr>
          <w:color w:val="000000"/>
          <w:lang w:eastAsia="ko-KR"/>
        </w:rPr>
        <w:t xml:space="preserve">the </w:t>
      </w:r>
      <w:r>
        <w:rPr>
          <w:color w:val="000000"/>
          <w:lang w:eastAsia="ko-KR"/>
        </w:rPr>
        <w:t xml:space="preserve">recommendations of international human rights mechanisms, including through cooperation within the framework of </w:t>
      </w:r>
      <w:r w:rsidR="00135773">
        <w:rPr>
          <w:color w:val="000000"/>
          <w:lang w:eastAsia="ko-KR"/>
        </w:rPr>
        <w:t>the U</w:t>
      </w:r>
      <w:r w:rsidR="00A117E3">
        <w:rPr>
          <w:color w:val="000000"/>
          <w:lang w:eastAsia="ko-KR"/>
        </w:rPr>
        <w:t xml:space="preserve">nited </w:t>
      </w:r>
      <w:r w:rsidR="00135773">
        <w:rPr>
          <w:color w:val="000000"/>
          <w:lang w:eastAsia="ko-KR"/>
        </w:rPr>
        <w:t>N</w:t>
      </w:r>
      <w:r w:rsidR="00A117E3">
        <w:rPr>
          <w:color w:val="000000"/>
          <w:lang w:eastAsia="ko-KR"/>
        </w:rPr>
        <w:t>ations</w:t>
      </w:r>
      <w:r w:rsidR="00135773">
        <w:rPr>
          <w:color w:val="000000"/>
          <w:lang w:eastAsia="ko-KR"/>
        </w:rPr>
        <w:t xml:space="preserve"> country programming.</w:t>
      </w:r>
      <w:r>
        <w:rPr>
          <w:color w:val="000000"/>
          <w:lang w:eastAsia="ko-KR"/>
        </w:rPr>
        <w:t xml:space="preserve"> </w:t>
      </w:r>
      <w:r w:rsidR="00DB5E61">
        <w:rPr>
          <w:color w:val="000000"/>
          <w:lang w:eastAsia="ko-KR"/>
        </w:rPr>
        <w:t>I</w:t>
      </w:r>
      <w:r>
        <w:rPr>
          <w:color w:val="000000"/>
          <w:lang w:eastAsia="ko-KR"/>
        </w:rPr>
        <w:t xml:space="preserve">n cooperation with the United Nations country teams, and with expert advice and support from </w:t>
      </w:r>
      <w:r w:rsidR="00A117E3">
        <w:rPr>
          <w:color w:val="000000"/>
          <w:lang w:eastAsia="ko-KR"/>
        </w:rPr>
        <w:t>the Regional Office</w:t>
      </w:r>
      <w:r>
        <w:rPr>
          <w:color w:val="000000"/>
          <w:lang w:eastAsia="ko-KR"/>
        </w:rPr>
        <w:t>, OHCHR will continue to provide support to the Governments and civil society in analy</w:t>
      </w:r>
      <w:r w:rsidR="00CF2C74">
        <w:rPr>
          <w:color w:val="000000"/>
          <w:lang w:eastAsia="ko-KR"/>
        </w:rPr>
        <w:t>s</w:t>
      </w:r>
      <w:r>
        <w:rPr>
          <w:color w:val="000000"/>
          <w:lang w:eastAsia="ko-KR"/>
        </w:rPr>
        <w:t xml:space="preserve">ing and reviewing key </w:t>
      </w:r>
      <w:r w:rsidR="00A117E3">
        <w:rPr>
          <w:color w:val="000000"/>
          <w:lang w:eastAsia="ko-KR"/>
        </w:rPr>
        <w:t xml:space="preserve">universal periodic review </w:t>
      </w:r>
      <w:r>
        <w:rPr>
          <w:color w:val="000000"/>
          <w:lang w:eastAsia="ko-KR"/>
        </w:rPr>
        <w:t xml:space="preserve">recommendations, establishing inter-institutional mechanisms, defining road maps and identifying </w:t>
      </w:r>
      <w:r w:rsidR="0076578D">
        <w:rPr>
          <w:color w:val="000000"/>
          <w:lang w:eastAsia="ko-KR"/>
        </w:rPr>
        <w:t xml:space="preserve">the </w:t>
      </w:r>
      <w:r>
        <w:rPr>
          <w:color w:val="000000"/>
          <w:lang w:eastAsia="ko-KR"/>
        </w:rPr>
        <w:t>needs for capacity-building and technical assistance, which have been integrated into the respective United Nations common country programming documents</w:t>
      </w:r>
      <w:r w:rsidR="00A117E3">
        <w:rPr>
          <w:color w:val="000000"/>
          <w:lang w:eastAsia="ko-KR"/>
        </w:rPr>
        <w:t>,</w:t>
      </w:r>
      <w:r>
        <w:rPr>
          <w:color w:val="000000"/>
          <w:lang w:eastAsia="ko-KR"/>
        </w:rPr>
        <w:t xml:space="preserve"> such as the United Nations Development Assistance Framework</w:t>
      </w:r>
      <w:r w:rsidR="0076578D">
        <w:rPr>
          <w:color w:val="000000"/>
          <w:lang w:eastAsia="ko-KR"/>
        </w:rPr>
        <w:t>. Furthermore, OHCHR</w:t>
      </w:r>
      <w:r>
        <w:rPr>
          <w:color w:val="000000"/>
          <w:lang w:eastAsia="ko-KR"/>
        </w:rPr>
        <w:t xml:space="preserve"> will support the documenting and sharing of good practices of cooperation with United Nations human rights mechanisms among countries of the region, as well as </w:t>
      </w:r>
      <w:r w:rsidR="0076578D">
        <w:rPr>
          <w:color w:val="000000"/>
          <w:lang w:eastAsia="ko-KR"/>
        </w:rPr>
        <w:t xml:space="preserve">those </w:t>
      </w:r>
      <w:r>
        <w:rPr>
          <w:color w:val="000000"/>
          <w:lang w:eastAsia="ko-KR"/>
        </w:rPr>
        <w:t>of strategies and policies to address key thematic human rights issues.</w:t>
      </w:r>
    </w:p>
    <w:p w:rsidR="00C0523B" w:rsidRDefault="002C18CF" w:rsidP="002E06A3">
      <w:pPr>
        <w:pStyle w:val="SingleTxtG"/>
        <w:numPr>
          <w:ilvl w:val="0"/>
          <w:numId w:val="8"/>
        </w:numPr>
        <w:tabs>
          <w:tab w:val="clear" w:pos="2835"/>
        </w:tabs>
        <w:ind w:left="1134"/>
        <w:rPr>
          <w:bCs/>
        </w:rPr>
      </w:pPr>
      <w:r>
        <w:rPr>
          <w:rFonts w:eastAsia="Calibri"/>
          <w:lang w:val="en-US" w:eastAsia="ko-KR"/>
        </w:rPr>
        <w:t>Moreover, technical assistance and support will be provided to a num</w:t>
      </w:r>
      <w:r w:rsidR="00502D21">
        <w:rPr>
          <w:rFonts w:eastAsia="Calibri"/>
          <w:lang w:val="en-US" w:eastAsia="ko-KR"/>
        </w:rPr>
        <w:t xml:space="preserve">ber of States </w:t>
      </w:r>
      <w:r>
        <w:rPr>
          <w:rFonts w:eastAsia="Calibri"/>
          <w:lang w:val="en-US" w:eastAsia="ko-KR"/>
        </w:rPr>
        <w:t>focusin</w:t>
      </w:r>
      <w:r w:rsidR="00135773">
        <w:rPr>
          <w:rFonts w:eastAsia="Calibri"/>
          <w:lang w:val="en-US" w:eastAsia="ko-KR"/>
        </w:rPr>
        <w:t xml:space="preserve">g on priority thematic issues. </w:t>
      </w:r>
      <w:r>
        <w:rPr>
          <w:rFonts w:eastAsia="Calibri"/>
          <w:lang w:val="en-US" w:eastAsia="ko-KR"/>
        </w:rPr>
        <w:t xml:space="preserve">For instance, in the Philippines, a seminar package </w:t>
      </w:r>
      <w:r w:rsidR="00A117E3">
        <w:rPr>
          <w:rFonts w:eastAsia="Calibri"/>
          <w:lang w:val="en-US" w:eastAsia="ko-KR"/>
        </w:rPr>
        <w:t xml:space="preserve">will be provided </w:t>
      </w:r>
      <w:r>
        <w:rPr>
          <w:rFonts w:eastAsia="Calibri"/>
          <w:lang w:val="en-US" w:eastAsia="ko-KR"/>
        </w:rPr>
        <w:t xml:space="preserve">to the Philippines Human Rights Commission through </w:t>
      </w:r>
      <w:r w:rsidR="00A117E3">
        <w:rPr>
          <w:rFonts w:eastAsia="Calibri"/>
          <w:lang w:val="en-US" w:eastAsia="ko-KR"/>
        </w:rPr>
        <w:t xml:space="preserve">the United Nations Development Programme in order for it </w:t>
      </w:r>
      <w:r w:rsidR="009F37BF">
        <w:rPr>
          <w:rFonts w:eastAsia="Calibri"/>
          <w:lang w:val="en-US" w:eastAsia="ko-KR"/>
        </w:rPr>
        <w:t xml:space="preserve">to organize a workshop on the establishment of a national preventative mechanism envisaged under the </w:t>
      </w:r>
      <w:r w:rsidR="00A117E3">
        <w:rPr>
          <w:rFonts w:eastAsia="Calibri"/>
          <w:lang w:val="en-US" w:eastAsia="ko-KR"/>
        </w:rPr>
        <w:t>Optional Protocol to the Convention against Torture and Other Cruel, Inhuman or Degrading Treatment or Punishment</w:t>
      </w:r>
      <w:r w:rsidR="009F37BF">
        <w:rPr>
          <w:rFonts w:eastAsia="Calibri"/>
          <w:lang w:val="en-US" w:eastAsia="ko-KR"/>
        </w:rPr>
        <w:t>.</w:t>
      </w:r>
      <w:r w:rsidR="001B7CE2">
        <w:rPr>
          <w:rFonts w:eastAsia="Calibri"/>
          <w:lang w:val="en-US" w:eastAsia="ko-KR"/>
        </w:rPr>
        <w:t xml:space="preserve"> </w:t>
      </w:r>
      <w:r w:rsidR="00A117E3">
        <w:rPr>
          <w:rFonts w:eastAsia="Calibri"/>
          <w:lang w:val="en-US" w:eastAsia="ko-KR"/>
        </w:rPr>
        <w:t>I</w:t>
      </w:r>
      <w:r w:rsidR="001B7CE2">
        <w:rPr>
          <w:rFonts w:eastAsia="Calibri"/>
          <w:lang w:val="en-US" w:eastAsia="ko-KR"/>
        </w:rPr>
        <w:t xml:space="preserve">n </w:t>
      </w:r>
      <w:r w:rsidR="009F37BF">
        <w:rPr>
          <w:rFonts w:eastAsia="Calibri"/>
          <w:lang w:val="en-US" w:eastAsia="ko-KR"/>
        </w:rPr>
        <w:t>Thailand,</w:t>
      </w:r>
      <w:r w:rsidR="001B7CE2">
        <w:rPr>
          <w:rFonts w:eastAsia="Calibri"/>
          <w:lang w:val="en-US" w:eastAsia="ko-KR"/>
        </w:rPr>
        <w:t xml:space="preserve"> </w:t>
      </w:r>
      <w:r w:rsidR="001B7CE2">
        <w:rPr>
          <w:bCs/>
        </w:rPr>
        <w:t>t</w:t>
      </w:r>
      <w:r w:rsidR="001B7CE2" w:rsidRPr="001B7CE2">
        <w:rPr>
          <w:bCs/>
        </w:rPr>
        <w:t xml:space="preserve">he Ministry of Justice has been taking the lead to prepare for the ratification of the </w:t>
      </w:r>
      <w:r w:rsidR="00A117E3">
        <w:rPr>
          <w:bCs/>
        </w:rPr>
        <w:t>Optional Protocol</w:t>
      </w:r>
      <w:r w:rsidR="00A41ADF">
        <w:rPr>
          <w:bCs/>
        </w:rPr>
        <w:t>. Support in th</w:t>
      </w:r>
      <w:r w:rsidR="00A117E3">
        <w:rPr>
          <w:bCs/>
        </w:rPr>
        <w:t>at</w:t>
      </w:r>
      <w:r w:rsidR="00A41ADF">
        <w:rPr>
          <w:bCs/>
        </w:rPr>
        <w:t xml:space="preserve"> regard will be provided to</w:t>
      </w:r>
      <w:r w:rsidR="001B7CE2" w:rsidRPr="001B7CE2">
        <w:rPr>
          <w:bCs/>
        </w:rPr>
        <w:t xml:space="preserve"> the Ministry of Just</w:t>
      </w:r>
      <w:r w:rsidR="00A41ADF">
        <w:rPr>
          <w:bCs/>
        </w:rPr>
        <w:t>ice with a view to</w:t>
      </w:r>
      <w:r w:rsidR="001B7CE2" w:rsidRPr="001B7CE2">
        <w:rPr>
          <w:bCs/>
        </w:rPr>
        <w:t xml:space="preserve"> increasing awareness and understanding among the concerned agencies in terms of the implication of ratifying the </w:t>
      </w:r>
      <w:r w:rsidR="00A117E3">
        <w:rPr>
          <w:bCs/>
        </w:rPr>
        <w:t>Optional Protocol</w:t>
      </w:r>
      <w:r w:rsidR="001B7CE2" w:rsidRPr="001B7CE2">
        <w:rPr>
          <w:bCs/>
        </w:rPr>
        <w:t>.</w:t>
      </w:r>
    </w:p>
    <w:p w:rsidR="002C18CF" w:rsidRPr="00FC21EB" w:rsidRDefault="00C0523B" w:rsidP="002E06A3">
      <w:pPr>
        <w:pStyle w:val="SingleTxtG"/>
        <w:numPr>
          <w:ilvl w:val="0"/>
          <w:numId w:val="8"/>
        </w:numPr>
        <w:tabs>
          <w:tab w:val="clear" w:pos="2835"/>
        </w:tabs>
        <w:ind w:left="1134"/>
        <w:rPr>
          <w:rFonts w:eastAsia="Calibri"/>
          <w:lang w:val="en-US" w:eastAsia="ko-KR"/>
        </w:rPr>
      </w:pPr>
      <w:r w:rsidRPr="00C0523B">
        <w:t xml:space="preserve">In view of specific recommendations accepted by Panama </w:t>
      </w:r>
      <w:r w:rsidR="00A117E3">
        <w:t>on</w:t>
      </w:r>
      <w:r w:rsidR="00A117E3" w:rsidRPr="00C0523B">
        <w:t xml:space="preserve"> </w:t>
      </w:r>
      <w:r w:rsidRPr="00C0523B">
        <w:t>intensify</w:t>
      </w:r>
      <w:r w:rsidR="00A117E3">
        <w:t>ing</w:t>
      </w:r>
      <w:r w:rsidRPr="00C0523B">
        <w:t xml:space="preserve"> its efforts to guarantee the right of all children to birth registration during its 2010 </w:t>
      </w:r>
      <w:r w:rsidR="00A117E3">
        <w:t>universal periodic review</w:t>
      </w:r>
      <w:r w:rsidRPr="00C0523B">
        <w:t xml:space="preserve">, a project initiated in 2013 is focusing on ensuring birth registration of indigenous children in remote areas. The OHCHR Regional Office in Central America based in Panama, in cooperation with </w:t>
      </w:r>
      <w:r w:rsidR="00A117E3">
        <w:t>the United Nations Children’s Fund (</w:t>
      </w:r>
      <w:r w:rsidRPr="00C0523B">
        <w:t>UNICEF</w:t>
      </w:r>
      <w:r w:rsidR="00A117E3">
        <w:t>)</w:t>
      </w:r>
      <w:r w:rsidRPr="00C0523B">
        <w:t xml:space="preserve">, is assisting the National Directorate of Civil Registry of the Electoral Tribunal in reaching out </w:t>
      </w:r>
      <w:r w:rsidR="002F0A8A">
        <w:t xml:space="preserve">to </w:t>
      </w:r>
      <w:r w:rsidRPr="00C0523B">
        <w:t>indigenous Ngabe-Bugle communities of Mama Tata</w:t>
      </w:r>
      <w:r w:rsidR="00756AA4">
        <w:t xml:space="preserve"> </w:t>
      </w:r>
      <w:r w:rsidRPr="00C0523B">
        <w:t>religion that have traditionally refused to be registered.</w:t>
      </w:r>
      <w:r w:rsidR="00756AA4">
        <w:rPr>
          <w:color w:val="000000"/>
          <w:sz w:val="26"/>
          <w:szCs w:val="26"/>
          <w:lang w:eastAsia="ko-KR"/>
        </w:rPr>
        <w:t xml:space="preserve"> </w:t>
      </w:r>
    </w:p>
    <w:p w:rsidR="0093281A" w:rsidRPr="00FC21EB" w:rsidRDefault="0093281A" w:rsidP="008B31EB">
      <w:pPr>
        <w:pStyle w:val="HChG"/>
        <w:rPr>
          <w:rFonts w:eastAsia="Calibri"/>
          <w:lang w:val="en-US"/>
        </w:rPr>
      </w:pPr>
      <w:r w:rsidRPr="00FC21EB">
        <w:rPr>
          <w:rFonts w:eastAsia="Calibri"/>
          <w:lang w:val="en-US"/>
        </w:rPr>
        <w:tab/>
        <w:t>IV.</w:t>
      </w:r>
      <w:r w:rsidRPr="00FC21EB">
        <w:rPr>
          <w:rFonts w:eastAsia="Calibri"/>
          <w:lang w:val="en-US"/>
        </w:rPr>
        <w:tab/>
        <w:t>Financial situation of the Fund</w:t>
      </w:r>
    </w:p>
    <w:p w:rsidR="0093281A" w:rsidRPr="00FC21EB" w:rsidRDefault="008B31EB" w:rsidP="002E06A3">
      <w:pPr>
        <w:pStyle w:val="H23G"/>
        <w:rPr>
          <w:rFonts w:eastAsia="Calibri"/>
        </w:rPr>
      </w:pPr>
      <w:r>
        <w:rPr>
          <w:rFonts w:eastAsia="Calibri"/>
          <w:lang w:val="en-US"/>
        </w:rPr>
        <w:tab/>
      </w:r>
      <w:r>
        <w:rPr>
          <w:rFonts w:eastAsia="Calibri"/>
          <w:lang w:val="en-US"/>
        </w:rPr>
        <w:tab/>
      </w:r>
      <w:r w:rsidR="0093281A" w:rsidRPr="002E06A3">
        <w:rPr>
          <w:rFonts w:eastAsia="Calibri"/>
          <w:b w:val="0"/>
          <w:bCs/>
          <w:lang w:val="en-US"/>
        </w:rPr>
        <w:t>Table 1</w:t>
      </w:r>
      <w:r w:rsidR="0093281A" w:rsidRPr="00FC21EB">
        <w:rPr>
          <w:rFonts w:eastAsia="Calibri"/>
          <w:lang w:val="en-US"/>
        </w:rPr>
        <w:br/>
        <w:t xml:space="preserve">Statement of </w:t>
      </w:r>
      <w:r w:rsidR="00560608" w:rsidRPr="00FC21EB">
        <w:rPr>
          <w:rFonts w:eastAsia="Calibri"/>
          <w:lang w:val="en-US"/>
        </w:rPr>
        <w:t>i</w:t>
      </w:r>
      <w:r w:rsidR="0093281A" w:rsidRPr="00FC21EB">
        <w:rPr>
          <w:rFonts w:eastAsia="Calibri"/>
          <w:lang w:val="en-US"/>
        </w:rPr>
        <w:t xml:space="preserve">ncome and </w:t>
      </w:r>
      <w:r w:rsidR="00560608" w:rsidRPr="00FC21EB">
        <w:rPr>
          <w:rFonts w:eastAsia="Calibri"/>
          <w:lang w:val="en-US"/>
        </w:rPr>
        <w:t>e</w:t>
      </w:r>
      <w:r w:rsidR="0093281A" w:rsidRPr="00FC21EB">
        <w:rPr>
          <w:rFonts w:eastAsia="Calibri"/>
          <w:lang w:val="en-US"/>
        </w:rPr>
        <w:t xml:space="preserve">xpenditure for the </w:t>
      </w:r>
      <w:r w:rsidR="00560608" w:rsidRPr="00FC21EB">
        <w:rPr>
          <w:rFonts w:eastAsia="Calibri"/>
          <w:lang w:val="en-US"/>
        </w:rPr>
        <w:t>b</w:t>
      </w:r>
      <w:r w:rsidR="00A41ADF">
        <w:rPr>
          <w:rFonts w:eastAsia="Calibri"/>
          <w:lang w:val="en-US"/>
        </w:rPr>
        <w:t>iennium 2014–2015</w:t>
      </w:r>
      <w:r w:rsidR="007A056A" w:rsidRPr="00FC21EB">
        <w:rPr>
          <w:rFonts w:eastAsia="Calibri"/>
          <w:lang w:val="en-US"/>
        </w:rPr>
        <w:br/>
      </w:r>
      <w:r w:rsidR="00A41ADF">
        <w:rPr>
          <w:rFonts w:eastAsia="Calibri"/>
          <w:lang w:val="en-US"/>
        </w:rPr>
        <w:t>(1 Jan</w:t>
      </w:r>
      <w:r>
        <w:rPr>
          <w:rFonts w:eastAsia="Calibri"/>
          <w:lang w:val="en-US"/>
        </w:rPr>
        <w:t>uary 2014–</w:t>
      </w:r>
      <w:r w:rsidR="0092743A">
        <w:rPr>
          <w:rFonts w:eastAsia="Calibri"/>
          <w:lang w:val="en-US"/>
        </w:rPr>
        <w:t>31 December 2014</w:t>
      </w:r>
      <w:r w:rsidR="0093281A" w:rsidRPr="00FC21EB">
        <w:rPr>
          <w:rFonts w:eastAsia="Calibri"/>
          <w:lang w:val="en-US"/>
        </w:rPr>
        <w:t>)</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382"/>
        <w:gridCol w:w="460"/>
        <w:gridCol w:w="284"/>
        <w:gridCol w:w="141"/>
        <w:gridCol w:w="673"/>
        <w:gridCol w:w="178"/>
        <w:gridCol w:w="992"/>
        <w:gridCol w:w="1134"/>
        <w:gridCol w:w="2126"/>
      </w:tblGrid>
      <w:tr w:rsidR="008B31EB" w:rsidRPr="002E06A3" w:rsidTr="002E06A3">
        <w:tc>
          <w:tcPr>
            <w:tcW w:w="1382" w:type="dxa"/>
            <w:tcBorders>
              <w:top w:val="single" w:sz="12" w:space="0" w:color="auto"/>
              <w:bottom w:val="nil"/>
            </w:tcBorders>
            <w:shd w:val="clear" w:color="auto" w:fill="auto"/>
            <w:vAlign w:val="bottom"/>
          </w:tcPr>
          <w:p w:rsidR="0093281A" w:rsidRPr="002E06A3" w:rsidRDefault="0093281A" w:rsidP="002E06A3">
            <w:pPr>
              <w:keepNext/>
              <w:suppressAutoHyphens w:val="0"/>
              <w:spacing w:before="40" w:after="40" w:line="220" w:lineRule="exact"/>
              <w:rPr>
                <w:rFonts w:eastAsia="Calibri"/>
                <w:i/>
                <w:sz w:val="18"/>
                <w:szCs w:val="18"/>
                <w:lang w:val="en-US"/>
              </w:rPr>
            </w:pPr>
            <w:r w:rsidRPr="002E06A3">
              <w:rPr>
                <w:rFonts w:eastAsia="Calibri"/>
                <w:i/>
                <w:sz w:val="18"/>
                <w:szCs w:val="18"/>
                <w:lang w:val="en-US"/>
              </w:rPr>
              <w:t>I. Income</w:t>
            </w:r>
          </w:p>
        </w:tc>
        <w:tc>
          <w:tcPr>
            <w:tcW w:w="1558" w:type="dxa"/>
            <w:gridSpan w:val="4"/>
            <w:tcBorders>
              <w:top w:val="single" w:sz="12" w:space="0" w:color="auto"/>
              <w:bottom w:val="nil"/>
            </w:tcBorders>
            <w:shd w:val="clear" w:color="auto" w:fill="auto"/>
            <w:vAlign w:val="bottom"/>
          </w:tcPr>
          <w:p w:rsidR="0093281A" w:rsidRPr="002E06A3" w:rsidRDefault="0093281A" w:rsidP="002E06A3">
            <w:pPr>
              <w:keepNext/>
              <w:suppressAutoHyphens w:val="0"/>
              <w:spacing w:before="40" w:after="40" w:line="220" w:lineRule="exact"/>
              <w:jc w:val="right"/>
              <w:rPr>
                <w:rFonts w:eastAsia="Calibri"/>
                <w:i/>
                <w:sz w:val="18"/>
                <w:szCs w:val="18"/>
                <w:lang w:val="en-US"/>
              </w:rPr>
            </w:pPr>
          </w:p>
        </w:tc>
        <w:tc>
          <w:tcPr>
            <w:tcW w:w="2304" w:type="dxa"/>
            <w:gridSpan w:val="3"/>
            <w:tcBorders>
              <w:top w:val="single" w:sz="12" w:space="0" w:color="auto"/>
              <w:bottom w:val="nil"/>
            </w:tcBorders>
            <w:shd w:val="clear" w:color="auto" w:fill="auto"/>
            <w:vAlign w:val="bottom"/>
          </w:tcPr>
          <w:p w:rsidR="0093281A" w:rsidRPr="002E06A3" w:rsidRDefault="0093281A" w:rsidP="002E06A3">
            <w:pPr>
              <w:keepNext/>
              <w:suppressAutoHyphens w:val="0"/>
              <w:spacing w:before="40" w:after="40" w:line="220" w:lineRule="exact"/>
              <w:jc w:val="right"/>
              <w:rPr>
                <w:rFonts w:eastAsia="Calibri"/>
                <w:i/>
                <w:sz w:val="18"/>
                <w:szCs w:val="18"/>
                <w:lang w:val="en-US"/>
              </w:rPr>
            </w:pPr>
          </w:p>
        </w:tc>
        <w:tc>
          <w:tcPr>
            <w:tcW w:w="2126" w:type="dxa"/>
            <w:tcBorders>
              <w:top w:val="single" w:sz="12" w:space="0" w:color="auto"/>
              <w:bottom w:val="nil"/>
            </w:tcBorders>
            <w:shd w:val="clear" w:color="auto" w:fill="auto"/>
            <w:vAlign w:val="bottom"/>
          </w:tcPr>
          <w:p w:rsidR="0093281A" w:rsidRPr="002E06A3" w:rsidRDefault="0093281A" w:rsidP="002E06A3">
            <w:pPr>
              <w:keepNext/>
              <w:suppressAutoHyphens w:val="0"/>
              <w:spacing w:before="40" w:after="40" w:line="220" w:lineRule="exact"/>
              <w:jc w:val="right"/>
              <w:rPr>
                <w:rFonts w:eastAsia="Calibri"/>
                <w:i/>
                <w:sz w:val="18"/>
                <w:szCs w:val="18"/>
                <w:lang w:val="en-US"/>
              </w:rPr>
            </w:pPr>
            <w:r w:rsidRPr="002E06A3">
              <w:rPr>
                <w:rFonts w:eastAsia="Calibri"/>
                <w:i/>
                <w:sz w:val="18"/>
                <w:szCs w:val="18"/>
                <w:lang w:val="en-US"/>
              </w:rPr>
              <w:t>US$</w:t>
            </w:r>
          </w:p>
        </w:tc>
      </w:tr>
      <w:tr w:rsidR="008B31EB" w:rsidRPr="00CF2C74" w:rsidTr="002E06A3">
        <w:tc>
          <w:tcPr>
            <w:tcW w:w="5244" w:type="dxa"/>
            <w:gridSpan w:val="8"/>
            <w:tcBorders>
              <w:top w:val="nil"/>
              <w:bottom w:val="nil"/>
            </w:tcBorders>
            <w:shd w:val="clear" w:color="auto" w:fill="auto"/>
          </w:tcPr>
          <w:p w:rsidR="0093281A" w:rsidRPr="003733C4" w:rsidRDefault="0093281A" w:rsidP="002E06A3">
            <w:pPr>
              <w:keepNext/>
              <w:suppressAutoHyphens w:val="0"/>
              <w:spacing w:before="40" w:after="40" w:line="220" w:lineRule="exact"/>
              <w:rPr>
                <w:rFonts w:eastAsia="Calibri"/>
                <w:sz w:val="18"/>
                <w:lang w:val="en-US"/>
              </w:rPr>
            </w:pPr>
            <w:r w:rsidRPr="003733C4">
              <w:rPr>
                <w:rFonts w:eastAsia="Calibri"/>
                <w:sz w:val="18"/>
                <w:lang w:val="en-US"/>
              </w:rPr>
              <w:t>Voluntary contributions received from Governments</w:t>
            </w:r>
            <w:r w:rsidR="0092743A" w:rsidRPr="003733C4">
              <w:rPr>
                <w:rFonts w:eastAsia="Calibri"/>
                <w:sz w:val="18"/>
                <w:lang w:val="en-US"/>
              </w:rPr>
              <w:t xml:space="preserve"> in 2014</w:t>
            </w:r>
          </w:p>
        </w:tc>
        <w:tc>
          <w:tcPr>
            <w:tcW w:w="2126" w:type="dxa"/>
            <w:tcBorders>
              <w:top w:val="nil"/>
              <w:bottom w:val="nil"/>
            </w:tcBorders>
            <w:shd w:val="clear" w:color="auto" w:fill="auto"/>
            <w:vAlign w:val="bottom"/>
          </w:tcPr>
          <w:p w:rsidR="0093281A" w:rsidRPr="00AF7D13" w:rsidRDefault="0092743A" w:rsidP="002E06A3">
            <w:pPr>
              <w:keepNext/>
              <w:suppressAutoHyphens w:val="0"/>
              <w:spacing w:before="40" w:after="40" w:line="220" w:lineRule="exact"/>
              <w:jc w:val="right"/>
              <w:rPr>
                <w:rFonts w:eastAsia="Calibri"/>
                <w:sz w:val="18"/>
                <w:szCs w:val="18"/>
                <w:lang w:val="en-US"/>
              </w:rPr>
            </w:pPr>
            <w:r w:rsidRPr="00AF7D13">
              <w:rPr>
                <w:rFonts w:eastAsia="Calibri"/>
                <w:sz w:val="18"/>
                <w:szCs w:val="18"/>
                <w:lang w:val="en-US"/>
              </w:rPr>
              <w:t>490</w:t>
            </w:r>
            <w:r w:rsidR="001B298F">
              <w:rPr>
                <w:rFonts w:eastAsia="Calibri"/>
                <w:sz w:val="18"/>
                <w:szCs w:val="18"/>
                <w:lang w:val="en-US"/>
              </w:rPr>
              <w:t xml:space="preserve"> </w:t>
            </w:r>
            <w:r w:rsidRPr="00AF7D13">
              <w:rPr>
                <w:rFonts w:eastAsia="Calibri"/>
                <w:sz w:val="18"/>
                <w:szCs w:val="18"/>
                <w:lang w:val="en-US"/>
              </w:rPr>
              <w:t>440.91</w:t>
            </w:r>
          </w:p>
        </w:tc>
      </w:tr>
      <w:tr w:rsidR="008B31EB" w:rsidRPr="00CF2C74" w:rsidTr="002E06A3">
        <w:tc>
          <w:tcPr>
            <w:tcW w:w="3118" w:type="dxa"/>
            <w:gridSpan w:val="6"/>
            <w:tcBorders>
              <w:top w:val="nil"/>
            </w:tcBorders>
            <w:shd w:val="clear" w:color="auto" w:fill="auto"/>
          </w:tcPr>
          <w:p w:rsidR="0093281A" w:rsidRPr="00CF2C74" w:rsidRDefault="0093281A" w:rsidP="002E06A3">
            <w:pPr>
              <w:keepNext/>
              <w:suppressAutoHyphens w:val="0"/>
              <w:spacing w:before="40" w:after="40" w:line="220" w:lineRule="exact"/>
              <w:rPr>
                <w:rFonts w:eastAsia="Calibri"/>
                <w:sz w:val="18"/>
                <w:lang w:val="en-US"/>
              </w:rPr>
            </w:pPr>
            <w:r w:rsidRPr="00CF2C74">
              <w:rPr>
                <w:rFonts w:eastAsia="Calibri"/>
                <w:sz w:val="18"/>
                <w:lang w:val="en-US"/>
              </w:rPr>
              <w:t>Miscellaneous and interest income</w:t>
            </w:r>
          </w:p>
        </w:tc>
        <w:tc>
          <w:tcPr>
            <w:tcW w:w="2126" w:type="dxa"/>
            <w:gridSpan w:val="2"/>
            <w:tcBorders>
              <w:top w:val="nil"/>
            </w:tcBorders>
            <w:shd w:val="clear" w:color="auto" w:fill="auto"/>
            <w:vAlign w:val="bottom"/>
          </w:tcPr>
          <w:p w:rsidR="0093281A" w:rsidRPr="00CF2C74" w:rsidRDefault="0093281A" w:rsidP="002E06A3">
            <w:pPr>
              <w:keepNext/>
              <w:suppressAutoHyphens w:val="0"/>
              <w:spacing w:before="40" w:after="40" w:line="220" w:lineRule="exact"/>
              <w:jc w:val="right"/>
              <w:rPr>
                <w:rFonts w:eastAsia="Calibri"/>
                <w:sz w:val="18"/>
                <w:lang w:val="en-US"/>
              </w:rPr>
            </w:pPr>
          </w:p>
        </w:tc>
        <w:tc>
          <w:tcPr>
            <w:tcW w:w="2126" w:type="dxa"/>
            <w:tcBorders>
              <w:top w:val="nil"/>
            </w:tcBorders>
            <w:shd w:val="clear" w:color="auto" w:fill="auto"/>
            <w:vAlign w:val="bottom"/>
          </w:tcPr>
          <w:p w:rsidR="0093281A" w:rsidRPr="00CF2C74" w:rsidRDefault="0092743A" w:rsidP="002E06A3">
            <w:pPr>
              <w:keepNext/>
              <w:suppressAutoHyphens w:val="0"/>
              <w:spacing w:before="40" w:after="40" w:line="220" w:lineRule="exact"/>
              <w:jc w:val="right"/>
              <w:rPr>
                <w:rFonts w:eastAsia="Calibri"/>
                <w:sz w:val="18"/>
                <w:lang w:val="en-US"/>
              </w:rPr>
            </w:pPr>
            <w:r w:rsidRPr="00CF2C74">
              <w:rPr>
                <w:rFonts w:eastAsia="Calibri"/>
                <w:sz w:val="18"/>
                <w:lang w:val="en-US"/>
              </w:rPr>
              <w:t>16</w:t>
            </w:r>
            <w:r w:rsidR="001B298F">
              <w:rPr>
                <w:rFonts w:eastAsia="Calibri"/>
                <w:sz w:val="18"/>
                <w:lang w:val="en-US"/>
              </w:rPr>
              <w:t xml:space="preserve"> </w:t>
            </w:r>
            <w:r w:rsidRPr="00CF2C74">
              <w:rPr>
                <w:rFonts w:eastAsia="Calibri"/>
                <w:sz w:val="18"/>
                <w:lang w:val="en-US"/>
              </w:rPr>
              <w:t>319.72</w:t>
            </w:r>
          </w:p>
        </w:tc>
      </w:tr>
      <w:tr w:rsidR="008B31EB" w:rsidRPr="00CF2C74" w:rsidTr="002E06A3">
        <w:tc>
          <w:tcPr>
            <w:tcW w:w="1842" w:type="dxa"/>
            <w:gridSpan w:val="2"/>
            <w:shd w:val="clear" w:color="auto" w:fill="auto"/>
          </w:tcPr>
          <w:p w:rsidR="0093281A" w:rsidRPr="00CF2C74" w:rsidRDefault="0093281A" w:rsidP="002E06A3">
            <w:pPr>
              <w:suppressAutoHyphens w:val="0"/>
              <w:spacing w:before="40" w:after="40" w:line="220" w:lineRule="exact"/>
              <w:rPr>
                <w:rFonts w:eastAsia="Calibri"/>
                <w:b/>
                <w:sz w:val="18"/>
                <w:lang w:val="en-US"/>
              </w:rPr>
            </w:pPr>
            <w:r w:rsidRPr="00CF2C74">
              <w:rPr>
                <w:rFonts w:eastAsia="Calibri"/>
                <w:b/>
                <w:sz w:val="18"/>
                <w:lang w:val="en-US"/>
              </w:rPr>
              <w:t>Total income</w:t>
            </w:r>
          </w:p>
        </w:tc>
        <w:tc>
          <w:tcPr>
            <w:tcW w:w="1276" w:type="dxa"/>
            <w:gridSpan w:val="4"/>
            <w:shd w:val="clear" w:color="auto" w:fill="auto"/>
            <w:vAlign w:val="bottom"/>
          </w:tcPr>
          <w:p w:rsidR="0093281A" w:rsidRPr="00CF2C74" w:rsidRDefault="0093281A" w:rsidP="002E06A3">
            <w:pPr>
              <w:suppressAutoHyphens w:val="0"/>
              <w:spacing w:before="40" w:after="40" w:line="220" w:lineRule="exact"/>
              <w:jc w:val="right"/>
              <w:rPr>
                <w:rFonts w:eastAsia="Calibri"/>
                <w:b/>
                <w:sz w:val="18"/>
                <w:lang w:val="en-US"/>
              </w:rPr>
            </w:pP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b/>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b/>
                <w:sz w:val="18"/>
                <w:lang w:val="en-US"/>
              </w:rPr>
            </w:pPr>
            <w:r w:rsidRPr="00CF2C74">
              <w:rPr>
                <w:rFonts w:eastAsia="Calibri"/>
                <w:b/>
                <w:sz w:val="18"/>
                <w:lang w:val="en-US"/>
              </w:rPr>
              <w:t>506</w:t>
            </w:r>
            <w:r w:rsidR="001B298F">
              <w:rPr>
                <w:rFonts w:eastAsia="Calibri"/>
                <w:b/>
                <w:sz w:val="18"/>
                <w:lang w:val="en-US"/>
              </w:rPr>
              <w:t xml:space="preserve"> </w:t>
            </w:r>
            <w:r w:rsidRPr="00CF2C74">
              <w:rPr>
                <w:rFonts w:eastAsia="Calibri"/>
                <w:b/>
                <w:sz w:val="18"/>
                <w:lang w:val="en-US"/>
              </w:rPr>
              <w:t>760.63</w:t>
            </w:r>
          </w:p>
        </w:tc>
      </w:tr>
      <w:tr w:rsidR="008B31EB" w:rsidRPr="00CF2C74" w:rsidTr="002E06A3">
        <w:tc>
          <w:tcPr>
            <w:tcW w:w="1842" w:type="dxa"/>
            <w:gridSpan w:val="2"/>
            <w:shd w:val="clear" w:color="auto" w:fill="auto"/>
          </w:tcPr>
          <w:p w:rsidR="0093281A" w:rsidRPr="002E06A3" w:rsidRDefault="0093281A" w:rsidP="002E06A3">
            <w:pPr>
              <w:suppressAutoHyphens w:val="0"/>
              <w:spacing w:before="40" w:after="40" w:line="220" w:lineRule="exact"/>
              <w:rPr>
                <w:rFonts w:eastAsia="Calibri"/>
                <w:b/>
                <w:i/>
                <w:sz w:val="18"/>
                <w:lang w:val="en-US"/>
              </w:rPr>
            </w:pPr>
            <w:r w:rsidRPr="002E06A3">
              <w:rPr>
                <w:rFonts w:eastAsia="Calibri"/>
                <w:i/>
                <w:sz w:val="18"/>
                <w:lang w:val="en-US"/>
              </w:rPr>
              <w:t>II. Expenditure</w:t>
            </w:r>
          </w:p>
        </w:tc>
        <w:tc>
          <w:tcPr>
            <w:tcW w:w="1276" w:type="dxa"/>
            <w:gridSpan w:val="4"/>
            <w:shd w:val="clear" w:color="auto" w:fill="auto"/>
            <w:vAlign w:val="bottom"/>
          </w:tcPr>
          <w:p w:rsidR="0093281A" w:rsidRPr="002E06A3" w:rsidRDefault="0093281A" w:rsidP="002E06A3">
            <w:pPr>
              <w:suppressAutoHyphens w:val="0"/>
              <w:spacing w:before="40" w:after="40" w:line="220" w:lineRule="exact"/>
              <w:jc w:val="right"/>
              <w:rPr>
                <w:rFonts w:eastAsia="Calibri"/>
                <w:i/>
                <w:sz w:val="18"/>
                <w:lang w:val="en-US"/>
              </w:rPr>
            </w:pPr>
          </w:p>
        </w:tc>
        <w:tc>
          <w:tcPr>
            <w:tcW w:w="2126" w:type="dxa"/>
            <w:gridSpan w:val="2"/>
            <w:shd w:val="clear" w:color="auto" w:fill="auto"/>
            <w:vAlign w:val="bottom"/>
          </w:tcPr>
          <w:p w:rsidR="0093281A" w:rsidRPr="002E06A3" w:rsidRDefault="0093281A" w:rsidP="002E06A3">
            <w:pPr>
              <w:suppressAutoHyphens w:val="0"/>
              <w:spacing w:before="40" w:after="40" w:line="220" w:lineRule="exact"/>
              <w:jc w:val="right"/>
              <w:rPr>
                <w:rFonts w:eastAsia="Calibri"/>
                <w:i/>
                <w:sz w:val="18"/>
                <w:lang w:val="en-US"/>
              </w:rPr>
            </w:pPr>
          </w:p>
        </w:tc>
        <w:tc>
          <w:tcPr>
            <w:tcW w:w="2126" w:type="dxa"/>
            <w:shd w:val="clear" w:color="auto" w:fill="auto"/>
            <w:vAlign w:val="bottom"/>
          </w:tcPr>
          <w:p w:rsidR="0093281A" w:rsidRPr="002E06A3" w:rsidRDefault="0093281A" w:rsidP="002E06A3">
            <w:pPr>
              <w:suppressAutoHyphens w:val="0"/>
              <w:spacing w:before="40" w:after="40" w:line="220" w:lineRule="exact"/>
              <w:jc w:val="right"/>
              <w:rPr>
                <w:rFonts w:eastAsia="Calibri"/>
                <w:i/>
                <w:sz w:val="18"/>
                <w:lang w:val="en-US"/>
              </w:rPr>
            </w:pPr>
            <w:r w:rsidRPr="002E06A3">
              <w:rPr>
                <w:rFonts w:eastAsia="Calibri"/>
                <w:i/>
                <w:sz w:val="18"/>
                <w:lang w:val="en-US"/>
              </w:rPr>
              <w:t>US$</w:t>
            </w:r>
          </w:p>
        </w:tc>
      </w:tr>
      <w:tr w:rsidR="008B31EB" w:rsidRPr="00CF2C74" w:rsidTr="002E06A3">
        <w:tc>
          <w:tcPr>
            <w:tcW w:w="1842" w:type="dxa"/>
            <w:gridSpan w:val="2"/>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Staff costs</w:t>
            </w:r>
          </w:p>
        </w:tc>
        <w:tc>
          <w:tcPr>
            <w:tcW w:w="1276" w:type="dxa"/>
            <w:gridSpan w:val="4"/>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83</w:t>
            </w:r>
            <w:r w:rsidR="001B298F">
              <w:rPr>
                <w:rFonts w:eastAsia="Calibri"/>
                <w:sz w:val="18"/>
                <w:lang w:val="en-US"/>
              </w:rPr>
              <w:t xml:space="preserve"> </w:t>
            </w:r>
            <w:r w:rsidRPr="00CF2C74">
              <w:rPr>
                <w:rFonts w:eastAsia="Calibri"/>
                <w:sz w:val="18"/>
                <w:lang w:val="en-US"/>
              </w:rPr>
              <w:t>682.50</w:t>
            </w:r>
          </w:p>
        </w:tc>
      </w:tr>
      <w:tr w:rsidR="008B31EB" w:rsidRPr="00CF2C74" w:rsidTr="002E06A3">
        <w:tc>
          <w:tcPr>
            <w:tcW w:w="5244" w:type="dxa"/>
            <w:gridSpan w:val="8"/>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Experts</w:t>
            </w:r>
            <w:r w:rsidR="009B12AA" w:rsidRPr="00CF2C74">
              <w:rPr>
                <w:rFonts w:eastAsia="Calibri"/>
                <w:sz w:val="18"/>
                <w:lang w:val="en-US"/>
              </w:rPr>
              <w:t>’</w:t>
            </w:r>
            <w:r w:rsidRPr="00CF2C74">
              <w:rPr>
                <w:rFonts w:eastAsia="Calibri"/>
                <w:sz w:val="18"/>
                <w:lang w:val="en-US"/>
              </w:rPr>
              <w:t xml:space="preserve"> and consultants’ fees and travel</w:t>
            </w: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220</w:t>
            </w:r>
            <w:r w:rsidR="001B298F">
              <w:rPr>
                <w:rFonts w:eastAsia="Calibri"/>
                <w:sz w:val="18"/>
                <w:lang w:val="en-US"/>
              </w:rPr>
              <w:t xml:space="preserve"> </w:t>
            </w:r>
            <w:r w:rsidRPr="00CF2C74">
              <w:rPr>
                <w:rFonts w:eastAsia="Calibri"/>
                <w:sz w:val="18"/>
                <w:lang w:val="en-US"/>
              </w:rPr>
              <w:t>261.00</w:t>
            </w:r>
          </w:p>
        </w:tc>
      </w:tr>
      <w:tr w:rsidR="008B31EB" w:rsidRPr="00CF2C74" w:rsidTr="002E06A3">
        <w:tc>
          <w:tcPr>
            <w:tcW w:w="1382" w:type="dxa"/>
            <w:shd w:val="clear" w:color="auto" w:fill="auto"/>
          </w:tcPr>
          <w:p w:rsidR="0093281A" w:rsidRPr="00CF2C74" w:rsidRDefault="009B12AA" w:rsidP="002E06A3">
            <w:pPr>
              <w:suppressAutoHyphens w:val="0"/>
              <w:spacing w:before="40" w:after="40" w:line="220" w:lineRule="exact"/>
              <w:rPr>
                <w:rFonts w:eastAsia="Calibri"/>
                <w:sz w:val="18"/>
                <w:lang w:val="en-US"/>
              </w:rPr>
            </w:pPr>
            <w:r w:rsidRPr="00CF2C74">
              <w:rPr>
                <w:rFonts w:eastAsia="Calibri"/>
                <w:sz w:val="18"/>
                <w:lang w:val="en-US"/>
              </w:rPr>
              <w:t>Staff t</w:t>
            </w:r>
            <w:r w:rsidR="0093281A" w:rsidRPr="00CF2C74">
              <w:rPr>
                <w:rFonts w:eastAsia="Calibri"/>
                <w:sz w:val="18"/>
                <w:lang w:val="en-US"/>
              </w:rPr>
              <w:t>ravel</w:t>
            </w:r>
          </w:p>
        </w:tc>
        <w:tc>
          <w:tcPr>
            <w:tcW w:w="1736" w:type="dxa"/>
            <w:gridSpan w:val="5"/>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58</w:t>
            </w:r>
            <w:r w:rsidR="001B298F">
              <w:rPr>
                <w:rFonts w:eastAsia="Calibri"/>
                <w:sz w:val="18"/>
                <w:lang w:val="en-US"/>
              </w:rPr>
              <w:t xml:space="preserve"> </w:t>
            </w:r>
            <w:r w:rsidRPr="00CF2C74">
              <w:rPr>
                <w:rFonts w:eastAsia="Calibri"/>
                <w:sz w:val="18"/>
                <w:lang w:val="en-US"/>
              </w:rPr>
              <w:t>652.36</w:t>
            </w:r>
          </w:p>
        </w:tc>
      </w:tr>
      <w:tr w:rsidR="008B31EB" w:rsidRPr="00CF2C74" w:rsidTr="002E06A3">
        <w:tc>
          <w:tcPr>
            <w:tcW w:w="3118" w:type="dxa"/>
            <w:gridSpan w:val="6"/>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Travel of representatives</w:t>
            </w: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48</w:t>
            </w:r>
            <w:r w:rsidR="001B298F">
              <w:rPr>
                <w:rFonts w:eastAsia="Calibri"/>
                <w:sz w:val="18"/>
                <w:lang w:val="en-US"/>
              </w:rPr>
              <w:t xml:space="preserve"> </w:t>
            </w:r>
            <w:r w:rsidRPr="00CF2C74">
              <w:rPr>
                <w:rFonts w:eastAsia="Calibri"/>
                <w:sz w:val="18"/>
                <w:lang w:val="en-US"/>
              </w:rPr>
              <w:t>940.92</w:t>
            </w:r>
          </w:p>
        </w:tc>
      </w:tr>
      <w:tr w:rsidR="008B31EB" w:rsidRPr="00CF2C74" w:rsidTr="002E06A3">
        <w:tc>
          <w:tcPr>
            <w:tcW w:w="2267" w:type="dxa"/>
            <w:gridSpan w:val="4"/>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 xml:space="preserve">Contractual </w:t>
            </w:r>
            <w:r w:rsidR="009B12AA" w:rsidRPr="00CF2C74">
              <w:rPr>
                <w:rFonts w:eastAsia="Calibri"/>
                <w:sz w:val="18"/>
                <w:lang w:val="en-US"/>
              </w:rPr>
              <w:t>s</w:t>
            </w:r>
            <w:r w:rsidRPr="00CF2C74">
              <w:rPr>
                <w:rFonts w:eastAsia="Calibri"/>
                <w:sz w:val="18"/>
                <w:lang w:val="en-US"/>
              </w:rPr>
              <w:t>ervices</w:t>
            </w:r>
          </w:p>
        </w:tc>
        <w:tc>
          <w:tcPr>
            <w:tcW w:w="851"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30</w:t>
            </w:r>
            <w:r w:rsidR="001B298F">
              <w:rPr>
                <w:rFonts w:eastAsia="Calibri"/>
                <w:sz w:val="18"/>
                <w:lang w:val="en-US"/>
              </w:rPr>
              <w:t xml:space="preserve"> </w:t>
            </w:r>
            <w:r w:rsidRPr="00CF2C74">
              <w:rPr>
                <w:rFonts w:eastAsia="Calibri"/>
                <w:sz w:val="18"/>
                <w:lang w:val="en-US"/>
              </w:rPr>
              <w:t>290.00</w:t>
            </w:r>
          </w:p>
        </w:tc>
      </w:tr>
      <w:tr w:rsidR="008B31EB" w:rsidRPr="00CF2C74" w:rsidTr="002E06A3">
        <w:tc>
          <w:tcPr>
            <w:tcW w:w="3118" w:type="dxa"/>
            <w:gridSpan w:val="6"/>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General operating expenses</w:t>
            </w: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2</w:t>
            </w:r>
            <w:r w:rsidR="001B298F">
              <w:rPr>
                <w:rFonts w:eastAsia="Calibri"/>
                <w:sz w:val="18"/>
                <w:lang w:val="en-US"/>
              </w:rPr>
              <w:t xml:space="preserve"> </w:t>
            </w:r>
            <w:r w:rsidRPr="00CF2C74">
              <w:rPr>
                <w:rFonts w:eastAsia="Calibri"/>
                <w:sz w:val="18"/>
                <w:lang w:val="en-US"/>
              </w:rPr>
              <w:t>554.00</w:t>
            </w:r>
          </w:p>
        </w:tc>
      </w:tr>
      <w:tr w:rsidR="008B31EB" w:rsidRPr="00CF2C74" w:rsidTr="002E06A3">
        <w:tc>
          <w:tcPr>
            <w:tcW w:w="3118" w:type="dxa"/>
            <w:gridSpan w:val="6"/>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 xml:space="preserve">Supplies and </w:t>
            </w:r>
            <w:r w:rsidR="009B12AA" w:rsidRPr="00CF2C74">
              <w:rPr>
                <w:rFonts w:eastAsia="Calibri"/>
                <w:sz w:val="18"/>
                <w:lang w:val="en-US"/>
              </w:rPr>
              <w:t>m</w:t>
            </w:r>
            <w:r w:rsidRPr="00CF2C74">
              <w:rPr>
                <w:rFonts w:eastAsia="Calibri"/>
                <w:sz w:val="18"/>
                <w:lang w:val="en-US"/>
              </w:rPr>
              <w:t>aterials</w:t>
            </w: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0</w:t>
            </w:r>
          </w:p>
        </w:tc>
      </w:tr>
      <w:tr w:rsidR="008B31EB" w:rsidRPr="00CF2C74" w:rsidTr="002E06A3">
        <w:tc>
          <w:tcPr>
            <w:tcW w:w="3118" w:type="dxa"/>
            <w:gridSpan w:val="6"/>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Grants, contributions and seminars</w:t>
            </w: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259</w:t>
            </w:r>
            <w:r w:rsidR="001B298F">
              <w:rPr>
                <w:rFonts w:eastAsia="Calibri"/>
                <w:sz w:val="18"/>
                <w:lang w:val="en-US"/>
              </w:rPr>
              <w:t xml:space="preserve"> </w:t>
            </w:r>
            <w:r w:rsidRPr="00CF2C74">
              <w:rPr>
                <w:rFonts w:eastAsia="Calibri"/>
                <w:sz w:val="18"/>
                <w:lang w:val="en-US"/>
              </w:rPr>
              <w:t>973.05</w:t>
            </w:r>
          </w:p>
        </w:tc>
      </w:tr>
      <w:tr w:rsidR="008B31EB" w:rsidRPr="00CF2C74" w:rsidTr="002E06A3">
        <w:tc>
          <w:tcPr>
            <w:tcW w:w="3118" w:type="dxa"/>
            <w:gridSpan w:val="6"/>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sz w:val="18"/>
                <w:lang w:val="en-US"/>
              </w:rPr>
              <w:t xml:space="preserve">Programme </w:t>
            </w:r>
            <w:r w:rsidR="009B12AA" w:rsidRPr="00CF2C74">
              <w:rPr>
                <w:rFonts w:eastAsia="Calibri"/>
                <w:sz w:val="18"/>
                <w:lang w:val="en-US"/>
              </w:rPr>
              <w:t>s</w:t>
            </w:r>
            <w:r w:rsidRPr="00CF2C74">
              <w:rPr>
                <w:rFonts w:eastAsia="Calibri"/>
                <w:sz w:val="18"/>
                <w:lang w:val="en-US"/>
              </w:rPr>
              <w:t xml:space="preserve">upport </w:t>
            </w:r>
            <w:r w:rsidR="009B12AA" w:rsidRPr="00CF2C74">
              <w:rPr>
                <w:rFonts w:eastAsia="Calibri"/>
                <w:sz w:val="18"/>
                <w:lang w:val="en-US"/>
              </w:rPr>
              <w:t>c</w:t>
            </w:r>
            <w:r w:rsidRPr="00CF2C74">
              <w:rPr>
                <w:rFonts w:eastAsia="Calibri"/>
                <w:sz w:val="18"/>
                <w:lang w:val="en-US"/>
              </w:rPr>
              <w:t>osts</w:t>
            </w: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sz w:val="18"/>
                <w:lang w:val="en-US"/>
              </w:rPr>
            </w:pPr>
            <w:r w:rsidRPr="00CF2C74">
              <w:rPr>
                <w:rFonts w:eastAsia="Calibri"/>
                <w:sz w:val="18"/>
                <w:lang w:val="en-US"/>
              </w:rPr>
              <w:t>91</w:t>
            </w:r>
            <w:r w:rsidR="001B298F">
              <w:rPr>
                <w:rFonts w:eastAsia="Calibri"/>
                <w:sz w:val="18"/>
                <w:lang w:val="en-US"/>
              </w:rPr>
              <w:t xml:space="preserve"> </w:t>
            </w:r>
            <w:r w:rsidRPr="00CF2C74">
              <w:rPr>
                <w:rFonts w:eastAsia="Calibri"/>
                <w:sz w:val="18"/>
                <w:lang w:val="en-US"/>
              </w:rPr>
              <w:t>566.01</w:t>
            </w:r>
          </w:p>
        </w:tc>
      </w:tr>
      <w:tr w:rsidR="008B31EB" w:rsidRPr="00CF2C74" w:rsidTr="002E06A3">
        <w:tc>
          <w:tcPr>
            <w:tcW w:w="2126" w:type="dxa"/>
            <w:gridSpan w:val="3"/>
            <w:shd w:val="clear" w:color="auto" w:fill="auto"/>
          </w:tcPr>
          <w:p w:rsidR="0093281A" w:rsidRPr="00CF2C74" w:rsidRDefault="0093281A" w:rsidP="002E06A3">
            <w:pPr>
              <w:suppressAutoHyphens w:val="0"/>
              <w:spacing w:before="40" w:after="40" w:line="220" w:lineRule="exact"/>
              <w:rPr>
                <w:rFonts w:eastAsia="Calibri"/>
                <w:b/>
                <w:sz w:val="18"/>
                <w:lang w:val="en-US"/>
              </w:rPr>
            </w:pPr>
            <w:r w:rsidRPr="00CF2C74">
              <w:rPr>
                <w:rFonts w:eastAsia="Calibri"/>
                <w:b/>
                <w:sz w:val="18"/>
                <w:lang w:val="en-US"/>
              </w:rPr>
              <w:t>Total expenditure</w:t>
            </w:r>
          </w:p>
        </w:tc>
        <w:tc>
          <w:tcPr>
            <w:tcW w:w="992" w:type="dxa"/>
            <w:gridSpan w:val="3"/>
            <w:shd w:val="clear" w:color="auto" w:fill="auto"/>
            <w:vAlign w:val="bottom"/>
          </w:tcPr>
          <w:p w:rsidR="0093281A" w:rsidRPr="00CF2C74" w:rsidRDefault="0093281A" w:rsidP="002E06A3">
            <w:pPr>
              <w:suppressAutoHyphens w:val="0"/>
              <w:spacing w:before="40" w:after="40" w:line="220" w:lineRule="exact"/>
              <w:jc w:val="right"/>
              <w:rPr>
                <w:rFonts w:eastAsia="Calibri"/>
                <w:b/>
                <w:sz w:val="18"/>
                <w:lang w:val="en-US"/>
              </w:rPr>
            </w:pPr>
          </w:p>
        </w:tc>
        <w:tc>
          <w:tcPr>
            <w:tcW w:w="2126" w:type="dxa"/>
            <w:gridSpan w:val="2"/>
            <w:shd w:val="clear" w:color="auto" w:fill="auto"/>
            <w:vAlign w:val="bottom"/>
          </w:tcPr>
          <w:p w:rsidR="0093281A" w:rsidRPr="00CF2C74" w:rsidRDefault="0093281A" w:rsidP="002E06A3">
            <w:pPr>
              <w:suppressAutoHyphens w:val="0"/>
              <w:spacing w:before="40" w:after="40" w:line="220" w:lineRule="exact"/>
              <w:jc w:val="right"/>
              <w:rPr>
                <w:rFonts w:eastAsia="Calibri"/>
                <w:b/>
                <w:sz w:val="18"/>
                <w:lang w:val="en-US"/>
              </w:rPr>
            </w:pP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b/>
                <w:sz w:val="18"/>
                <w:lang w:val="en-US"/>
              </w:rPr>
            </w:pPr>
            <w:r w:rsidRPr="00CF2C74">
              <w:rPr>
                <w:rFonts w:eastAsia="Calibri"/>
                <w:b/>
                <w:sz w:val="18"/>
                <w:lang w:val="en-US"/>
              </w:rPr>
              <w:t>795</w:t>
            </w:r>
            <w:r w:rsidR="001B298F">
              <w:rPr>
                <w:rFonts w:eastAsia="Calibri"/>
                <w:b/>
                <w:sz w:val="18"/>
                <w:lang w:val="en-US"/>
              </w:rPr>
              <w:t xml:space="preserve"> </w:t>
            </w:r>
            <w:r w:rsidRPr="00CF2C74">
              <w:rPr>
                <w:rFonts w:eastAsia="Calibri"/>
                <w:b/>
                <w:sz w:val="18"/>
                <w:lang w:val="en-US"/>
              </w:rPr>
              <w:t>919.84</w:t>
            </w:r>
          </w:p>
        </w:tc>
      </w:tr>
      <w:tr w:rsidR="008B31EB" w:rsidRPr="00CF2C74" w:rsidTr="002E06A3">
        <w:tc>
          <w:tcPr>
            <w:tcW w:w="5244" w:type="dxa"/>
            <w:gridSpan w:val="8"/>
            <w:shd w:val="clear" w:color="auto" w:fill="auto"/>
          </w:tcPr>
          <w:p w:rsidR="0093281A" w:rsidRPr="00CF2C74" w:rsidRDefault="0093281A" w:rsidP="002E06A3">
            <w:pPr>
              <w:suppressAutoHyphens w:val="0"/>
              <w:spacing w:before="40" w:after="40" w:line="220" w:lineRule="exact"/>
              <w:rPr>
                <w:rFonts w:eastAsia="Calibri"/>
                <w:sz w:val="18"/>
                <w:lang w:val="en-US"/>
              </w:rPr>
            </w:pPr>
            <w:r w:rsidRPr="00CF2C74">
              <w:rPr>
                <w:rFonts w:eastAsia="Calibri"/>
                <w:b/>
                <w:sz w:val="18"/>
                <w:lang w:val="en-US"/>
              </w:rPr>
              <w:t>Net excess (shortfall) of income over expenditures</w:t>
            </w:r>
            <w:r w:rsidR="00E229FA" w:rsidRPr="00CF2C74">
              <w:rPr>
                <w:rFonts w:eastAsia="Calibri"/>
                <w:b/>
                <w:sz w:val="18"/>
                <w:lang w:val="en-US"/>
              </w:rPr>
              <w:t xml:space="preserve"> </w:t>
            </w:r>
            <w:r w:rsidRPr="00CF2C74">
              <w:rPr>
                <w:rFonts w:eastAsia="Calibri"/>
                <w:b/>
                <w:sz w:val="18"/>
                <w:lang w:val="en-US"/>
              </w:rPr>
              <w:t>for the period</w:t>
            </w:r>
          </w:p>
        </w:tc>
        <w:tc>
          <w:tcPr>
            <w:tcW w:w="2126" w:type="dxa"/>
            <w:shd w:val="clear" w:color="auto" w:fill="auto"/>
            <w:vAlign w:val="bottom"/>
          </w:tcPr>
          <w:p w:rsidR="0093281A" w:rsidRPr="00CF2C74" w:rsidRDefault="0092743A" w:rsidP="002E06A3">
            <w:pPr>
              <w:suppressAutoHyphens w:val="0"/>
              <w:spacing w:before="40" w:after="40" w:line="220" w:lineRule="exact"/>
              <w:jc w:val="right"/>
              <w:rPr>
                <w:rFonts w:eastAsia="Calibri"/>
                <w:b/>
                <w:sz w:val="18"/>
                <w:lang w:val="en-US"/>
              </w:rPr>
            </w:pPr>
            <w:r w:rsidRPr="00CF2C74">
              <w:rPr>
                <w:rFonts w:eastAsia="Calibri"/>
                <w:b/>
                <w:sz w:val="18"/>
                <w:lang w:val="en-US"/>
              </w:rPr>
              <w:t>-289</w:t>
            </w:r>
            <w:r w:rsidR="001B298F">
              <w:rPr>
                <w:rFonts w:eastAsia="Calibri"/>
                <w:b/>
                <w:sz w:val="18"/>
                <w:lang w:val="en-US"/>
              </w:rPr>
              <w:t xml:space="preserve"> </w:t>
            </w:r>
            <w:r w:rsidRPr="00CF2C74">
              <w:rPr>
                <w:rFonts w:eastAsia="Calibri"/>
                <w:b/>
                <w:sz w:val="18"/>
                <w:lang w:val="en-US"/>
              </w:rPr>
              <w:t>159.21</w:t>
            </w:r>
          </w:p>
        </w:tc>
      </w:tr>
      <w:tr w:rsidR="008B31EB" w:rsidRPr="00CF2C74" w:rsidTr="002E06A3">
        <w:tc>
          <w:tcPr>
            <w:tcW w:w="2940" w:type="dxa"/>
            <w:gridSpan w:val="5"/>
            <w:shd w:val="clear" w:color="auto" w:fill="auto"/>
          </w:tcPr>
          <w:p w:rsidR="0093281A" w:rsidRPr="00CF2C74" w:rsidRDefault="0093281A" w:rsidP="002E06A3">
            <w:pPr>
              <w:suppressAutoHyphens w:val="0"/>
              <w:spacing w:before="40" w:after="40" w:line="220" w:lineRule="exact"/>
              <w:rPr>
                <w:rFonts w:eastAsia="Calibri"/>
                <w:b/>
                <w:sz w:val="18"/>
                <w:lang w:val="en-US"/>
              </w:rPr>
            </w:pPr>
            <w:r w:rsidRPr="00CF2C74">
              <w:rPr>
                <w:rFonts w:eastAsia="Calibri"/>
                <w:b/>
                <w:sz w:val="18"/>
                <w:lang w:val="en-US"/>
              </w:rPr>
              <w:t xml:space="preserve">Opening </w:t>
            </w:r>
            <w:r w:rsidR="009B12AA" w:rsidRPr="00CF2C74">
              <w:rPr>
                <w:rFonts w:eastAsia="Calibri"/>
                <w:b/>
                <w:sz w:val="18"/>
                <w:lang w:val="en-US"/>
              </w:rPr>
              <w:t>b</w:t>
            </w:r>
            <w:r w:rsidRPr="00CF2C74">
              <w:rPr>
                <w:rFonts w:eastAsia="Calibri"/>
                <w:b/>
                <w:sz w:val="18"/>
                <w:lang w:val="en-US"/>
              </w:rPr>
              <w:t>alance 1</w:t>
            </w:r>
            <w:r w:rsidR="009B12AA" w:rsidRPr="00CF2C74">
              <w:rPr>
                <w:rFonts w:eastAsia="Calibri"/>
                <w:b/>
                <w:sz w:val="18"/>
                <w:lang w:val="en-US"/>
              </w:rPr>
              <w:t xml:space="preserve"> January </w:t>
            </w:r>
            <w:r w:rsidR="00E575D2" w:rsidRPr="00CF2C74">
              <w:rPr>
                <w:rFonts w:eastAsia="Calibri"/>
                <w:b/>
                <w:sz w:val="18"/>
                <w:lang w:val="en-US"/>
              </w:rPr>
              <w:t>2014</w:t>
            </w:r>
          </w:p>
        </w:tc>
        <w:tc>
          <w:tcPr>
            <w:tcW w:w="2304" w:type="dxa"/>
            <w:gridSpan w:val="3"/>
            <w:shd w:val="clear" w:color="auto" w:fill="auto"/>
            <w:vAlign w:val="bottom"/>
          </w:tcPr>
          <w:p w:rsidR="0093281A" w:rsidRPr="00CF2C7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CF2C74" w:rsidRDefault="00E575D2" w:rsidP="002E06A3">
            <w:pPr>
              <w:suppressAutoHyphens w:val="0"/>
              <w:spacing w:before="40" w:after="40" w:line="220" w:lineRule="exact"/>
              <w:jc w:val="right"/>
              <w:rPr>
                <w:rFonts w:eastAsia="Calibri"/>
                <w:b/>
                <w:sz w:val="18"/>
                <w:lang w:val="en-US"/>
              </w:rPr>
            </w:pPr>
            <w:r w:rsidRPr="00CF2C74">
              <w:rPr>
                <w:rFonts w:eastAsia="Calibri"/>
                <w:b/>
                <w:sz w:val="18"/>
                <w:lang w:val="en-US"/>
              </w:rPr>
              <w:t>1</w:t>
            </w:r>
            <w:r w:rsidR="001B298F">
              <w:rPr>
                <w:rFonts w:eastAsia="Calibri"/>
                <w:b/>
                <w:sz w:val="18"/>
                <w:lang w:val="en-US"/>
              </w:rPr>
              <w:t xml:space="preserve"> </w:t>
            </w:r>
            <w:r w:rsidRPr="00CF2C74">
              <w:rPr>
                <w:rFonts w:eastAsia="Calibri"/>
                <w:b/>
                <w:sz w:val="18"/>
                <w:lang w:val="en-US"/>
              </w:rPr>
              <w:t>813</w:t>
            </w:r>
            <w:r w:rsidR="001B298F">
              <w:rPr>
                <w:rFonts w:eastAsia="Calibri"/>
                <w:b/>
                <w:sz w:val="18"/>
                <w:lang w:val="en-US"/>
              </w:rPr>
              <w:t xml:space="preserve"> </w:t>
            </w:r>
            <w:r w:rsidRPr="00CF2C74">
              <w:rPr>
                <w:rFonts w:eastAsia="Calibri"/>
                <w:b/>
                <w:sz w:val="18"/>
                <w:lang w:val="en-US"/>
              </w:rPr>
              <w:t>869.00</w:t>
            </w:r>
          </w:p>
        </w:tc>
      </w:tr>
      <w:tr w:rsidR="008B31EB" w:rsidRPr="00CF2C74" w:rsidTr="002E06A3">
        <w:tc>
          <w:tcPr>
            <w:tcW w:w="5244" w:type="dxa"/>
            <w:gridSpan w:val="8"/>
            <w:shd w:val="clear" w:color="auto" w:fill="auto"/>
          </w:tcPr>
          <w:p w:rsidR="0093281A" w:rsidRPr="00CF2C74" w:rsidRDefault="0093281A" w:rsidP="002E06A3">
            <w:pPr>
              <w:suppressAutoHyphens w:val="0"/>
              <w:spacing w:before="40" w:after="40" w:line="220" w:lineRule="exact"/>
              <w:rPr>
                <w:rFonts w:eastAsia="Calibri"/>
                <w:b/>
                <w:sz w:val="18"/>
                <w:lang w:val="en-US"/>
              </w:rPr>
            </w:pPr>
            <w:r w:rsidRPr="00CF2C74">
              <w:rPr>
                <w:rFonts w:eastAsia="Calibri"/>
                <w:b/>
                <w:sz w:val="18"/>
                <w:lang w:val="en-US"/>
              </w:rPr>
              <w:t>Miscellaneous adjustments/savings/refunds to donors</w:t>
            </w:r>
          </w:p>
        </w:tc>
        <w:tc>
          <w:tcPr>
            <w:tcW w:w="2126" w:type="dxa"/>
            <w:shd w:val="clear" w:color="auto" w:fill="auto"/>
            <w:vAlign w:val="bottom"/>
          </w:tcPr>
          <w:p w:rsidR="0093281A" w:rsidRPr="00CF2C74" w:rsidRDefault="00E575D2" w:rsidP="002E06A3">
            <w:pPr>
              <w:suppressAutoHyphens w:val="0"/>
              <w:spacing w:before="40" w:after="40" w:line="220" w:lineRule="exact"/>
              <w:jc w:val="right"/>
              <w:rPr>
                <w:rFonts w:eastAsia="Calibri"/>
                <w:b/>
                <w:sz w:val="18"/>
                <w:lang w:val="en-US"/>
              </w:rPr>
            </w:pPr>
            <w:r w:rsidRPr="00CF2C74">
              <w:rPr>
                <w:rFonts w:eastAsia="Calibri"/>
                <w:b/>
                <w:sz w:val="18"/>
                <w:lang w:val="en-US"/>
              </w:rPr>
              <w:t>327</w:t>
            </w:r>
            <w:r w:rsidR="001B298F">
              <w:rPr>
                <w:rFonts w:eastAsia="Calibri"/>
                <w:b/>
                <w:sz w:val="18"/>
                <w:lang w:val="en-US"/>
              </w:rPr>
              <w:t xml:space="preserve"> </w:t>
            </w:r>
            <w:r w:rsidRPr="00CF2C74">
              <w:rPr>
                <w:rFonts w:eastAsia="Calibri"/>
                <w:b/>
                <w:sz w:val="18"/>
                <w:lang w:val="en-US"/>
              </w:rPr>
              <w:t>962.72</w:t>
            </w:r>
          </w:p>
        </w:tc>
      </w:tr>
      <w:tr w:rsidR="008B31EB" w:rsidRPr="00CF2C74" w:rsidTr="002E06A3">
        <w:tc>
          <w:tcPr>
            <w:tcW w:w="4110" w:type="dxa"/>
            <w:gridSpan w:val="7"/>
            <w:shd w:val="clear" w:color="auto" w:fill="auto"/>
          </w:tcPr>
          <w:p w:rsidR="0093281A" w:rsidRPr="003733C4" w:rsidRDefault="0093281A" w:rsidP="002E06A3">
            <w:pPr>
              <w:suppressAutoHyphens w:val="0"/>
              <w:spacing w:before="40" w:after="40" w:line="220" w:lineRule="exact"/>
              <w:rPr>
                <w:rFonts w:eastAsia="Calibri"/>
                <w:b/>
                <w:sz w:val="18"/>
                <w:lang w:val="en-US"/>
              </w:rPr>
            </w:pPr>
            <w:r w:rsidRPr="00CF2C74">
              <w:rPr>
                <w:rFonts w:eastAsia="Calibri"/>
                <w:b/>
                <w:sz w:val="18"/>
                <w:lang w:val="en-US"/>
              </w:rPr>
              <w:t>Total fund balance as at 31</w:t>
            </w:r>
            <w:r w:rsidR="00560608" w:rsidRPr="00CF2C74">
              <w:rPr>
                <w:rFonts w:eastAsia="Calibri"/>
                <w:b/>
                <w:sz w:val="18"/>
                <w:lang w:val="en-US"/>
              </w:rPr>
              <w:t xml:space="preserve"> </w:t>
            </w:r>
            <w:r w:rsidR="00560608" w:rsidRPr="002E06A3">
              <w:rPr>
                <w:rFonts w:eastAsia="Calibri"/>
                <w:b/>
                <w:bCs/>
                <w:sz w:val="18"/>
                <w:lang w:val="en-US"/>
              </w:rPr>
              <w:t xml:space="preserve">December </w:t>
            </w:r>
            <w:r w:rsidR="00E575D2" w:rsidRPr="003733C4">
              <w:rPr>
                <w:rFonts w:eastAsia="Calibri"/>
                <w:b/>
                <w:sz w:val="18"/>
                <w:lang w:val="en-US"/>
              </w:rPr>
              <w:t>2014</w:t>
            </w:r>
          </w:p>
        </w:tc>
        <w:tc>
          <w:tcPr>
            <w:tcW w:w="1134" w:type="dxa"/>
            <w:shd w:val="clear" w:color="auto" w:fill="auto"/>
            <w:vAlign w:val="bottom"/>
          </w:tcPr>
          <w:p w:rsidR="0093281A" w:rsidRPr="003733C4" w:rsidRDefault="0093281A" w:rsidP="002E06A3">
            <w:pPr>
              <w:suppressAutoHyphens w:val="0"/>
              <w:spacing w:before="40" w:after="40" w:line="220" w:lineRule="exact"/>
              <w:jc w:val="right"/>
              <w:rPr>
                <w:rFonts w:eastAsia="Calibri"/>
                <w:sz w:val="18"/>
                <w:lang w:val="en-US"/>
              </w:rPr>
            </w:pPr>
          </w:p>
        </w:tc>
        <w:tc>
          <w:tcPr>
            <w:tcW w:w="2126" w:type="dxa"/>
            <w:shd w:val="clear" w:color="auto" w:fill="auto"/>
            <w:vAlign w:val="bottom"/>
          </w:tcPr>
          <w:p w:rsidR="0093281A" w:rsidRPr="00AF7D13" w:rsidRDefault="00E575D2" w:rsidP="002E06A3">
            <w:pPr>
              <w:suppressAutoHyphens w:val="0"/>
              <w:spacing w:before="40" w:after="40" w:line="220" w:lineRule="exact"/>
              <w:jc w:val="right"/>
              <w:rPr>
                <w:rFonts w:eastAsia="Calibri"/>
                <w:b/>
                <w:sz w:val="18"/>
                <w:lang w:val="en-US"/>
              </w:rPr>
            </w:pPr>
            <w:r w:rsidRPr="00AF7D13">
              <w:rPr>
                <w:rFonts w:eastAsia="Calibri"/>
                <w:b/>
                <w:sz w:val="18"/>
                <w:lang w:val="en-US"/>
              </w:rPr>
              <w:t>1</w:t>
            </w:r>
            <w:r w:rsidR="001B298F">
              <w:rPr>
                <w:rFonts w:eastAsia="Calibri"/>
                <w:b/>
                <w:sz w:val="18"/>
                <w:lang w:val="en-US"/>
              </w:rPr>
              <w:t xml:space="preserve"> </w:t>
            </w:r>
            <w:r w:rsidRPr="00AF7D13">
              <w:rPr>
                <w:rFonts w:eastAsia="Calibri"/>
                <w:b/>
                <w:sz w:val="18"/>
                <w:lang w:val="en-US"/>
              </w:rPr>
              <w:t>852</w:t>
            </w:r>
            <w:r w:rsidR="001B298F">
              <w:rPr>
                <w:rFonts w:eastAsia="Calibri"/>
                <w:b/>
                <w:sz w:val="18"/>
                <w:lang w:val="en-US"/>
              </w:rPr>
              <w:t xml:space="preserve"> </w:t>
            </w:r>
            <w:r w:rsidRPr="00AF7D13">
              <w:rPr>
                <w:rFonts w:eastAsia="Calibri"/>
                <w:b/>
                <w:sz w:val="18"/>
                <w:lang w:val="en-US"/>
              </w:rPr>
              <w:t>672.51</w:t>
            </w:r>
          </w:p>
        </w:tc>
      </w:tr>
    </w:tbl>
    <w:p w:rsidR="0093281A" w:rsidRPr="00FC21EB" w:rsidRDefault="008B31EB" w:rsidP="00CF2C74">
      <w:pPr>
        <w:pStyle w:val="H23G"/>
        <w:rPr>
          <w:rFonts w:eastAsia="Calibri"/>
          <w:bCs/>
        </w:rPr>
      </w:pPr>
      <w:r>
        <w:rPr>
          <w:rFonts w:eastAsia="Calibri"/>
          <w:lang w:val="en-US"/>
        </w:rPr>
        <w:tab/>
      </w:r>
      <w:r>
        <w:rPr>
          <w:rFonts w:eastAsia="Calibri"/>
          <w:lang w:val="en-US"/>
        </w:rPr>
        <w:tab/>
      </w:r>
      <w:r w:rsidR="0093281A" w:rsidRPr="008B31EB">
        <w:rPr>
          <w:rFonts w:eastAsia="Calibri"/>
          <w:b w:val="0"/>
          <w:bCs/>
          <w:lang w:val="en-US"/>
        </w:rPr>
        <w:t>Table 2</w:t>
      </w:r>
      <w:r w:rsidR="0093281A" w:rsidRPr="00FC21EB">
        <w:rPr>
          <w:rFonts w:eastAsia="Calibri"/>
          <w:lang w:val="en-US"/>
        </w:rPr>
        <w:br/>
        <w:t xml:space="preserve">Voluntary Fund for </w:t>
      </w:r>
      <w:r w:rsidR="002F0A8A" w:rsidRPr="00FC21EB">
        <w:rPr>
          <w:rFonts w:eastAsia="Calibri"/>
          <w:lang w:val="en-US"/>
        </w:rPr>
        <w:t xml:space="preserve">Financial </w:t>
      </w:r>
      <w:r w:rsidR="0093281A" w:rsidRPr="00FC21EB">
        <w:rPr>
          <w:rFonts w:eastAsia="Calibri"/>
          <w:lang w:val="en-US"/>
        </w:rPr>
        <w:t xml:space="preserve">and </w:t>
      </w:r>
      <w:r w:rsidR="002F0A8A" w:rsidRPr="00FC21EB">
        <w:rPr>
          <w:rFonts w:eastAsia="Calibri"/>
          <w:lang w:val="en-US"/>
        </w:rPr>
        <w:t xml:space="preserve">Technical Assistance </w:t>
      </w:r>
      <w:r w:rsidR="0093281A" w:rsidRPr="00FC21EB">
        <w:rPr>
          <w:rFonts w:eastAsia="Calibri"/>
          <w:lang w:val="en-US"/>
        </w:rPr>
        <w:t xml:space="preserve">in the </w:t>
      </w:r>
      <w:r w:rsidR="002F0A8A" w:rsidRPr="00FC21EB">
        <w:rPr>
          <w:rFonts w:eastAsia="Calibri"/>
          <w:lang w:val="en-US"/>
        </w:rPr>
        <w:t xml:space="preserve">Implementation </w:t>
      </w:r>
      <w:r w:rsidR="0017403E" w:rsidRPr="00FC21EB">
        <w:rPr>
          <w:rFonts w:eastAsia="Calibri"/>
          <w:lang w:val="en-US"/>
        </w:rPr>
        <w:t xml:space="preserve">of </w:t>
      </w:r>
      <w:r w:rsidR="0093281A" w:rsidRPr="00FC21EB">
        <w:rPr>
          <w:rFonts w:eastAsia="Calibri"/>
          <w:lang w:val="en-US"/>
        </w:rPr>
        <w:t xml:space="preserve">the </w:t>
      </w:r>
      <w:r w:rsidR="002F0A8A" w:rsidRPr="00FC21EB">
        <w:rPr>
          <w:rFonts w:eastAsia="Calibri"/>
          <w:lang w:val="en-US"/>
        </w:rPr>
        <w:t xml:space="preserve">Universal </w:t>
      </w:r>
      <w:r w:rsidR="002F0A8A">
        <w:rPr>
          <w:rFonts w:eastAsia="Calibri"/>
          <w:lang w:val="en-US"/>
        </w:rPr>
        <w:t xml:space="preserve">Periodic Review </w:t>
      </w:r>
      <w:r w:rsidR="001B298F">
        <w:rPr>
          <w:rFonts w:eastAsia="Calibri"/>
          <w:lang w:val="en-US"/>
        </w:rPr>
        <w:t xml:space="preserve">— </w:t>
      </w:r>
      <w:r w:rsidR="001B298F">
        <w:rPr>
          <w:rFonts w:eastAsia="Calibri"/>
          <w:bCs/>
          <w:lang w:val="en-US"/>
        </w:rPr>
        <w:t>v</w:t>
      </w:r>
      <w:r w:rsidR="0093281A" w:rsidRPr="00FC21EB">
        <w:rPr>
          <w:rFonts w:eastAsia="Calibri"/>
          <w:bCs/>
          <w:lang w:val="en-US"/>
        </w:rPr>
        <w:t xml:space="preserve">oluntary contributions since the establishment </w:t>
      </w:r>
      <w:r w:rsidR="00961EEC" w:rsidRPr="00FC21EB">
        <w:rPr>
          <w:rFonts w:eastAsia="Calibri"/>
          <w:bCs/>
          <w:lang w:val="en-US"/>
        </w:rPr>
        <w:t xml:space="preserve">of the Fund </w:t>
      </w:r>
      <w:r w:rsidR="00A41ADF">
        <w:rPr>
          <w:rFonts w:eastAsia="Calibri"/>
          <w:bCs/>
          <w:lang w:val="en-US"/>
        </w:rPr>
        <w:t xml:space="preserve">to </w:t>
      </w:r>
      <w:r w:rsidR="00B75105">
        <w:rPr>
          <w:rFonts w:eastAsia="Calibri"/>
          <w:bCs/>
          <w:lang w:val="en-US"/>
        </w:rPr>
        <w:t>31</w:t>
      </w:r>
      <w:r w:rsidR="00A41ADF">
        <w:rPr>
          <w:rFonts w:eastAsia="Calibri"/>
          <w:bCs/>
          <w:lang w:val="en-US"/>
        </w:rPr>
        <w:t xml:space="preserve"> </w:t>
      </w:r>
      <w:r w:rsidR="00B75105">
        <w:rPr>
          <w:rFonts w:eastAsia="Calibri"/>
          <w:bCs/>
          <w:lang w:val="en-US"/>
        </w:rPr>
        <w:t>December</w:t>
      </w:r>
      <w:r w:rsidR="00A41ADF">
        <w:rPr>
          <w:rFonts w:eastAsia="Calibri"/>
          <w:bCs/>
          <w:lang w:val="en-US"/>
        </w:rPr>
        <w:t xml:space="preserve"> 201</w:t>
      </w:r>
      <w:r w:rsidR="00B75105">
        <w:rPr>
          <w:rFonts w:eastAsia="Calibri"/>
          <w:bCs/>
          <w:lang w:val="en-US"/>
        </w:rPr>
        <w:t>4</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5103"/>
        <w:gridCol w:w="2268"/>
      </w:tblGrid>
      <w:tr w:rsidR="0093281A" w:rsidRPr="008B31EB" w:rsidTr="008B31EB">
        <w:trPr>
          <w:tblHeader/>
        </w:trPr>
        <w:tc>
          <w:tcPr>
            <w:tcW w:w="5103" w:type="dxa"/>
            <w:tcBorders>
              <w:top w:val="single" w:sz="4" w:space="0" w:color="auto"/>
              <w:bottom w:val="single" w:sz="12" w:space="0" w:color="auto"/>
            </w:tcBorders>
            <w:shd w:val="clear" w:color="auto" w:fill="auto"/>
            <w:vAlign w:val="bottom"/>
          </w:tcPr>
          <w:p w:rsidR="0093281A" w:rsidRPr="008B31EB" w:rsidRDefault="0093281A" w:rsidP="008B31EB">
            <w:pPr>
              <w:suppressAutoHyphens w:val="0"/>
              <w:spacing w:before="80" w:after="80" w:line="200" w:lineRule="exact"/>
              <w:rPr>
                <w:rFonts w:eastAsia="Calibri"/>
                <w:i/>
                <w:sz w:val="16"/>
                <w:szCs w:val="16"/>
                <w:lang w:val="en-US"/>
              </w:rPr>
            </w:pPr>
            <w:r w:rsidRPr="008B31EB">
              <w:rPr>
                <w:rFonts w:eastAsia="Calibri"/>
                <w:i/>
                <w:sz w:val="16"/>
                <w:szCs w:val="16"/>
                <w:lang w:val="en-US"/>
              </w:rPr>
              <w:t>Donor</w:t>
            </w:r>
          </w:p>
        </w:tc>
        <w:tc>
          <w:tcPr>
            <w:tcW w:w="2268" w:type="dxa"/>
            <w:tcBorders>
              <w:top w:val="single" w:sz="4" w:space="0" w:color="auto"/>
              <w:bottom w:val="single" w:sz="12" w:space="0" w:color="auto"/>
            </w:tcBorders>
            <w:shd w:val="clear" w:color="auto" w:fill="auto"/>
            <w:vAlign w:val="bottom"/>
          </w:tcPr>
          <w:p w:rsidR="0093281A" w:rsidRPr="008B31EB" w:rsidRDefault="0093281A" w:rsidP="008B31EB">
            <w:pPr>
              <w:suppressAutoHyphens w:val="0"/>
              <w:spacing w:before="80" w:after="80" w:line="200" w:lineRule="exact"/>
              <w:jc w:val="right"/>
              <w:rPr>
                <w:rFonts w:eastAsia="Calibri"/>
                <w:i/>
                <w:sz w:val="16"/>
                <w:szCs w:val="16"/>
                <w:lang w:val="en-US"/>
              </w:rPr>
            </w:pPr>
            <w:r w:rsidRPr="008B31EB">
              <w:rPr>
                <w:rFonts w:eastAsia="Calibri"/>
                <w:i/>
                <w:sz w:val="16"/>
                <w:szCs w:val="16"/>
                <w:lang w:val="en-US"/>
              </w:rPr>
              <w:t>US$</w:t>
            </w:r>
          </w:p>
        </w:tc>
      </w:tr>
      <w:tr w:rsidR="0093281A" w:rsidRPr="008B31EB" w:rsidTr="008B31EB">
        <w:tc>
          <w:tcPr>
            <w:tcW w:w="5103" w:type="dxa"/>
            <w:tcBorders>
              <w:top w:val="single" w:sz="12" w:space="0" w:color="auto"/>
            </w:tcBorders>
            <w:shd w:val="clear" w:color="auto" w:fill="auto"/>
          </w:tcPr>
          <w:p w:rsidR="0093281A" w:rsidRPr="008B31EB" w:rsidRDefault="007A056A" w:rsidP="008B31EB">
            <w:pPr>
              <w:suppressAutoHyphens w:val="0"/>
              <w:spacing w:before="40" w:after="40" w:line="200" w:lineRule="exact"/>
              <w:rPr>
                <w:rFonts w:eastAsia="Calibri"/>
                <w:b/>
                <w:sz w:val="18"/>
                <w:lang w:val="en-US"/>
              </w:rPr>
            </w:pPr>
            <w:r w:rsidRPr="008B31EB">
              <w:rPr>
                <w:rFonts w:eastAsia="Calibri"/>
                <w:b/>
                <w:sz w:val="18"/>
                <w:lang w:val="en-US"/>
              </w:rPr>
              <w:t>Year 2008</w:t>
            </w:r>
            <w:r w:rsidR="00560608" w:rsidRPr="008B31EB">
              <w:rPr>
                <w:rFonts w:eastAsia="Calibri"/>
                <w:b/>
                <w:sz w:val="18"/>
                <w:lang w:val="en-US"/>
              </w:rPr>
              <w:t>/</w:t>
            </w:r>
            <w:r w:rsidR="0093281A" w:rsidRPr="008B31EB">
              <w:rPr>
                <w:rFonts w:eastAsia="Calibri"/>
                <w:b/>
                <w:sz w:val="18"/>
                <w:lang w:val="en-US"/>
              </w:rPr>
              <w:t>2009</w:t>
            </w:r>
          </w:p>
        </w:tc>
        <w:tc>
          <w:tcPr>
            <w:tcW w:w="2268" w:type="dxa"/>
            <w:tcBorders>
              <w:top w:val="single" w:sz="12" w:space="0" w:color="auto"/>
            </w:tcBorders>
            <w:shd w:val="clear" w:color="auto" w:fill="auto"/>
            <w:vAlign w:val="bottom"/>
          </w:tcPr>
          <w:p w:rsidR="0093281A" w:rsidRPr="008B31EB" w:rsidRDefault="0093281A" w:rsidP="008B31EB">
            <w:pPr>
              <w:suppressAutoHyphens w:val="0"/>
              <w:spacing w:before="40" w:after="40" w:line="200" w:lineRule="exact"/>
              <w:jc w:val="right"/>
              <w:rPr>
                <w:rFonts w:eastAsia="Calibri"/>
                <w:sz w:val="18"/>
                <w:lang w:val="en-US"/>
              </w:rPr>
            </w:pPr>
          </w:p>
        </w:tc>
      </w:tr>
      <w:tr w:rsidR="0093281A" w:rsidRPr="008B31EB" w:rsidTr="008B31EB">
        <w:tc>
          <w:tcPr>
            <w:tcW w:w="5103" w:type="dxa"/>
            <w:shd w:val="clear" w:color="auto" w:fill="auto"/>
          </w:tcPr>
          <w:p w:rsidR="0093281A" w:rsidRPr="008B31EB" w:rsidRDefault="0093281A" w:rsidP="007A26B1">
            <w:pPr>
              <w:suppressAutoHyphens w:val="0"/>
              <w:spacing w:before="40" w:after="40" w:line="200" w:lineRule="exact"/>
              <w:rPr>
                <w:rFonts w:eastAsia="Calibri"/>
                <w:sz w:val="18"/>
                <w:lang w:val="en-US"/>
              </w:rPr>
            </w:pPr>
            <w:r w:rsidRPr="008B31EB">
              <w:rPr>
                <w:rFonts w:eastAsia="Calibri"/>
                <w:sz w:val="18"/>
                <w:lang w:val="en-US"/>
              </w:rPr>
              <w:t>Colombia</w:t>
            </w:r>
          </w:p>
        </w:tc>
        <w:tc>
          <w:tcPr>
            <w:tcW w:w="2268" w:type="dxa"/>
            <w:shd w:val="clear" w:color="auto" w:fill="auto"/>
            <w:vAlign w:val="bottom"/>
          </w:tcPr>
          <w:p w:rsidR="0093281A" w:rsidRPr="008B31EB" w:rsidRDefault="0093281A" w:rsidP="00CF2C74">
            <w:pPr>
              <w:suppressAutoHyphens w:val="0"/>
              <w:spacing w:before="40" w:after="40" w:line="200" w:lineRule="exact"/>
              <w:jc w:val="right"/>
              <w:rPr>
                <w:rFonts w:eastAsia="Calibri"/>
                <w:sz w:val="18"/>
                <w:lang w:val="en-US"/>
              </w:rPr>
            </w:pPr>
            <w:r w:rsidRPr="008B31EB">
              <w:rPr>
                <w:rFonts w:eastAsia="Calibri"/>
                <w:sz w:val="18"/>
                <w:lang w:val="en-US"/>
              </w:rPr>
              <w:t>40</w:t>
            </w:r>
            <w:r w:rsidR="001B298F">
              <w:rPr>
                <w:rFonts w:eastAsia="Calibri"/>
                <w:sz w:val="18"/>
                <w:lang w:val="en-US"/>
              </w:rPr>
              <w:t xml:space="preserve"> </w:t>
            </w:r>
            <w:r w:rsidRPr="008B31EB">
              <w:rPr>
                <w:rFonts w:eastAsia="Calibri"/>
                <w:sz w:val="18"/>
                <w:lang w:val="en-US"/>
              </w:rPr>
              <w:t>000</w:t>
            </w:r>
          </w:p>
        </w:tc>
      </w:tr>
      <w:tr w:rsidR="0093281A" w:rsidRPr="008B31EB" w:rsidTr="008B31EB">
        <w:tc>
          <w:tcPr>
            <w:tcW w:w="5103" w:type="dxa"/>
            <w:shd w:val="clear" w:color="auto" w:fill="auto"/>
          </w:tcPr>
          <w:p w:rsidR="0093281A" w:rsidRPr="008B31EB" w:rsidRDefault="0093281A" w:rsidP="008B31EB">
            <w:pPr>
              <w:suppressAutoHyphens w:val="0"/>
              <w:spacing w:before="40" w:after="40" w:line="200" w:lineRule="exact"/>
              <w:rPr>
                <w:rFonts w:eastAsia="Calibri"/>
                <w:sz w:val="18"/>
                <w:lang w:val="en-US"/>
              </w:rPr>
            </w:pPr>
            <w:r w:rsidRPr="008B31EB">
              <w:rPr>
                <w:rFonts w:eastAsia="Calibri"/>
                <w:sz w:val="18"/>
                <w:lang w:val="en-US"/>
              </w:rPr>
              <w:t>Russian Federation</w:t>
            </w:r>
          </w:p>
        </w:tc>
        <w:tc>
          <w:tcPr>
            <w:tcW w:w="2268" w:type="dxa"/>
            <w:shd w:val="clear" w:color="auto" w:fill="auto"/>
            <w:vAlign w:val="bottom"/>
          </w:tcPr>
          <w:p w:rsidR="0093281A" w:rsidRPr="008B31EB" w:rsidRDefault="0093281A" w:rsidP="00CF2C74">
            <w:pPr>
              <w:suppressAutoHyphens w:val="0"/>
              <w:spacing w:before="40" w:after="40" w:line="200" w:lineRule="exact"/>
              <w:jc w:val="right"/>
              <w:rPr>
                <w:rFonts w:eastAsia="Calibri"/>
                <w:sz w:val="18"/>
                <w:lang w:val="en-US"/>
              </w:rPr>
            </w:pPr>
            <w:r w:rsidRPr="008B31EB">
              <w:rPr>
                <w:rFonts w:eastAsia="Calibri"/>
                <w:sz w:val="18"/>
                <w:lang w:val="en-US"/>
              </w:rPr>
              <w:t>450</w:t>
            </w:r>
            <w:r w:rsidR="001B298F">
              <w:rPr>
                <w:rFonts w:eastAsia="Calibri"/>
                <w:sz w:val="18"/>
                <w:lang w:val="en-US"/>
              </w:rPr>
              <w:t xml:space="preserve"> </w:t>
            </w:r>
            <w:r w:rsidRPr="008B31EB">
              <w:rPr>
                <w:rFonts w:eastAsia="Calibri"/>
                <w:sz w:val="18"/>
                <w:lang w:val="en-US"/>
              </w:rPr>
              <w:t>000</w:t>
            </w:r>
          </w:p>
        </w:tc>
      </w:tr>
      <w:tr w:rsidR="0093281A" w:rsidRPr="008B31EB" w:rsidTr="008B31EB">
        <w:tc>
          <w:tcPr>
            <w:tcW w:w="5103" w:type="dxa"/>
            <w:shd w:val="clear" w:color="auto" w:fill="auto"/>
          </w:tcPr>
          <w:p w:rsidR="0093281A" w:rsidRPr="008B31EB" w:rsidRDefault="0093281A" w:rsidP="008B31EB">
            <w:pPr>
              <w:suppressAutoHyphens w:val="0"/>
              <w:spacing w:before="40" w:after="40" w:line="200" w:lineRule="exact"/>
              <w:rPr>
                <w:rFonts w:eastAsia="Calibri"/>
                <w:sz w:val="18"/>
                <w:lang w:val="en-US"/>
              </w:rPr>
            </w:pPr>
            <w:r w:rsidRPr="008B31EB">
              <w:rPr>
                <w:rFonts w:eastAsia="Calibri"/>
                <w:sz w:val="18"/>
                <w:lang w:val="en-US"/>
              </w:rPr>
              <w:t>United Kingdom</w:t>
            </w:r>
            <w:r w:rsidR="00560608" w:rsidRPr="008B31EB">
              <w:rPr>
                <w:rFonts w:eastAsia="Calibri"/>
                <w:sz w:val="18"/>
                <w:lang w:val="en-US"/>
              </w:rPr>
              <w:t xml:space="preserve"> of Great Britain and Northern Ireland</w:t>
            </w:r>
          </w:p>
        </w:tc>
        <w:tc>
          <w:tcPr>
            <w:tcW w:w="2268" w:type="dxa"/>
            <w:shd w:val="clear" w:color="auto" w:fill="auto"/>
            <w:vAlign w:val="bottom"/>
          </w:tcPr>
          <w:p w:rsidR="0093281A" w:rsidRPr="008B31EB" w:rsidRDefault="0093281A" w:rsidP="00CF2C74">
            <w:pPr>
              <w:suppressAutoHyphens w:val="0"/>
              <w:spacing w:before="40" w:after="40" w:line="200" w:lineRule="exact"/>
              <w:jc w:val="right"/>
              <w:rPr>
                <w:rFonts w:eastAsia="Calibri"/>
                <w:sz w:val="18"/>
                <w:lang w:val="en-US"/>
              </w:rPr>
            </w:pPr>
            <w:r w:rsidRPr="008B31EB">
              <w:rPr>
                <w:rFonts w:eastAsia="Calibri"/>
                <w:sz w:val="18"/>
                <w:lang w:val="en-US"/>
              </w:rPr>
              <w:t>45</w:t>
            </w:r>
            <w:r w:rsidR="001B298F">
              <w:rPr>
                <w:rFonts w:eastAsia="Calibri"/>
                <w:sz w:val="18"/>
                <w:lang w:val="en-US"/>
              </w:rPr>
              <w:t xml:space="preserve"> </w:t>
            </w:r>
            <w:r w:rsidRPr="008B31EB">
              <w:rPr>
                <w:rFonts w:eastAsia="Calibri"/>
                <w:sz w:val="18"/>
                <w:lang w:val="en-US"/>
              </w:rPr>
              <w:t>326</w:t>
            </w:r>
          </w:p>
        </w:tc>
      </w:tr>
      <w:tr w:rsidR="0093281A" w:rsidRPr="008B31EB" w:rsidTr="008B31EB">
        <w:tc>
          <w:tcPr>
            <w:tcW w:w="5103" w:type="dxa"/>
            <w:shd w:val="clear" w:color="auto" w:fill="auto"/>
          </w:tcPr>
          <w:p w:rsidR="0093281A" w:rsidRPr="008B31EB" w:rsidRDefault="0093281A" w:rsidP="008B31EB">
            <w:pPr>
              <w:suppressAutoHyphens w:val="0"/>
              <w:spacing w:before="40" w:after="40" w:line="200" w:lineRule="exact"/>
              <w:rPr>
                <w:rFonts w:eastAsia="Calibri"/>
                <w:b/>
                <w:sz w:val="18"/>
                <w:lang w:val="en-US"/>
              </w:rPr>
            </w:pPr>
            <w:r w:rsidRPr="008B31EB">
              <w:rPr>
                <w:rFonts w:eastAsia="Calibri"/>
                <w:b/>
                <w:sz w:val="18"/>
                <w:lang w:val="en-US"/>
              </w:rPr>
              <w:t>Biennium 2010</w:t>
            </w:r>
            <w:r w:rsidR="007A056A" w:rsidRPr="008B31EB">
              <w:rPr>
                <w:rFonts w:eastAsia="Calibri"/>
                <w:b/>
                <w:sz w:val="18"/>
                <w:lang w:val="en-US"/>
              </w:rPr>
              <w:t>–</w:t>
            </w:r>
            <w:r w:rsidRPr="008B31EB">
              <w:rPr>
                <w:rFonts w:eastAsia="Calibri"/>
                <w:b/>
                <w:sz w:val="18"/>
                <w:lang w:val="en-US"/>
              </w:rPr>
              <w:t>2011</w:t>
            </w:r>
          </w:p>
        </w:tc>
        <w:tc>
          <w:tcPr>
            <w:tcW w:w="2268" w:type="dxa"/>
            <w:shd w:val="clear" w:color="auto" w:fill="auto"/>
            <w:vAlign w:val="bottom"/>
          </w:tcPr>
          <w:p w:rsidR="0093281A" w:rsidRPr="008B31EB" w:rsidRDefault="0093281A" w:rsidP="008B31EB">
            <w:pPr>
              <w:suppressAutoHyphens w:val="0"/>
              <w:spacing w:before="40" w:after="40" w:line="200" w:lineRule="exact"/>
              <w:jc w:val="right"/>
              <w:rPr>
                <w:rFonts w:eastAsia="Calibri"/>
                <w:sz w:val="18"/>
                <w:lang w:val="en-US"/>
              </w:rPr>
            </w:pP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 xml:space="preserve">Germany </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148</w:t>
            </w:r>
            <w:r w:rsidR="001B298F">
              <w:rPr>
                <w:rFonts w:eastAsia="Calibri"/>
                <w:sz w:val="18"/>
                <w:lang w:val="en-US"/>
              </w:rPr>
              <w:t xml:space="preserve"> </w:t>
            </w:r>
            <w:r w:rsidRPr="008B31EB">
              <w:rPr>
                <w:rFonts w:eastAsia="Calibri"/>
                <w:sz w:val="18"/>
                <w:lang w:val="en-US"/>
              </w:rPr>
              <w:t xml:space="preserve">148 </w:t>
            </w: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Morocco</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500</w:t>
            </w:r>
            <w:r w:rsidR="001B298F">
              <w:rPr>
                <w:rFonts w:eastAsia="Calibri"/>
                <w:sz w:val="18"/>
                <w:lang w:val="en-US"/>
              </w:rPr>
              <w:t xml:space="preserve"> </w:t>
            </w:r>
            <w:r w:rsidRPr="008B31EB">
              <w:rPr>
                <w:rFonts w:eastAsia="Calibri"/>
                <w:sz w:val="18"/>
                <w:lang w:val="en-US"/>
              </w:rPr>
              <w:t>000</w:t>
            </w: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Russian Federation</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200</w:t>
            </w:r>
            <w:r w:rsidR="001B298F">
              <w:rPr>
                <w:rFonts w:eastAsia="Calibri"/>
                <w:sz w:val="18"/>
                <w:lang w:val="en-US"/>
              </w:rPr>
              <w:t xml:space="preserve"> </w:t>
            </w:r>
            <w:r w:rsidRPr="008B31EB">
              <w:rPr>
                <w:rFonts w:eastAsia="Calibri"/>
                <w:sz w:val="18"/>
                <w:lang w:val="en-US"/>
              </w:rPr>
              <w:t>000</w:t>
            </w: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United Kingdom</w:t>
            </w:r>
            <w:r w:rsidR="00560608" w:rsidRPr="008B31EB">
              <w:rPr>
                <w:rFonts w:eastAsia="Calibri"/>
                <w:sz w:val="18"/>
                <w:lang w:val="en-US"/>
              </w:rPr>
              <w:t xml:space="preserve"> of Great Britain and Northern Ireland</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133</w:t>
            </w:r>
            <w:r w:rsidR="001B298F">
              <w:rPr>
                <w:rFonts w:eastAsia="Calibri"/>
                <w:sz w:val="18"/>
                <w:lang w:val="en-US"/>
              </w:rPr>
              <w:t xml:space="preserve"> </w:t>
            </w:r>
            <w:r w:rsidRPr="008B31EB">
              <w:rPr>
                <w:rFonts w:eastAsia="Calibri"/>
                <w:sz w:val="18"/>
                <w:lang w:val="en-US"/>
              </w:rPr>
              <w:t>707</w:t>
            </w:r>
          </w:p>
        </w:tc>
      </w:tr>
      <w:tr w:rsidR="0093281A" w:rsidRPr="008B31EB" w:rsidTr="008B31EB">
        <w:tc>
          <w:tcPr>
            <w:tcW w:w="5103" w:type="dxa"/>
            <w:shd w:val="clear" w:color="auto" w:fill="auto"/>
          </w:tcPr>
          <w:p w:rsidR="0093281A" w:rsidRPr="008B31EB" w:rsidRDefault="0093281A" w:rsidP="008B31EB">
            <w:pPr>
              <w:suppressAutoHyphens w:val="0"/>
              <w:spacing w:before="40" w:after="40" w:line="200" w:lineRule="exact"/>
              <w:rPr>
                <w:rFonts w:eastAsia="Calibri"/>
                <w:b/>
                <w:sz w:val="18"/>
                <w:lang w:val="en-US"/>
              </w:rPr>
            </w:pPr>
            <w:r w:rsidRPr="008B31EB">
              <w:rPr>
                <w:rFonts w:eastAsia="Calibri"/>
                <w:b/>
                <w:sz w:val="18"/>
                <w:lang w:val="en-US"/>
              </w:rPr>
              <w:t>Biennium 2012–2013</w:t>
            </w:r>
          </w:p>
        </w:tc>
        <w:tc>
          <w:tcPr>
            <w:tcW w:w="2268" w:type="dxa"/>
            <w:shd w:val="clear" w:color="auto" w:fill="auto"/>
            <w:vAlign w:val="bottom"/>
          </w:tcPr>
          <w:p w:rsidR="0093281A" w:rsidRPr="008B31EB" w:rsidRDefault="0093281A" w:rsidP="008B31EB">
            <w:pPr>
              <w:suppressAutoHyphens w:val="0"/>
              <w:spacing w:before="40" w:after="40" w:line="200" w:lineRule="exact"/>
              <w:jc w:val="right"/>
              <w:rPr>
                <w:rFonts w:eastAsia="Calibri"/>
                <w:sz w:val="18"/>
                <w:lang w:val="en-US"/>
              </w:rPr>
            </w:pP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 xml:space="preserve">Australia </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387</w:t>
            </w:r>
            <w:r w:rsidR="001B298F">
              <w:rPr>
                <w:rFonts w:eastAsia="Calibri"/>
                <w:sz w:val="18"/>
                <w:lang w:val="en-US"/>
              </w:rPr>
              <w:t xml:space="preserve"> </w:t>
            </w:r>
            <w:r w:rsidRPr="008B31EB">
              <w:rPr>
                <w:rFonts w:eastAsia="Calibri"/>
                <w:sz w:val="18"/>
                <w:lang w:val="en-US"/>
              </w:rPr>
              <w:t xml:space="preserve">580 </w:t>
            </w: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Germany</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475</w:t>
            </w:r>
            <w:r w:rsidR="001B298F">
              <w:rPr>
                <w:rFonts w:eastAsia="Calibri"/>
                <w:sz w:val="18"/>
                <w:lang w:val="en-US"/>
              </w:rPr>
              <w:t xml:space="preserve"> </w:t>
            </w:r>
            <w:r w:rsidRPr="008B31EB">
              <w:rPr>
                <w:rFonts w:eastAsia="Calibri"/>
                <w:sz w:val="18"/>
                <w:lang w:val="en-US"/>
              </w:rPr>
              <w:t>664</w:t>
            </w: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 xml:space="preserve">Kazakhstan </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9</w:t>
            </w:r>
            <w:r w:rsidR="001B298F">
              <w:rPr>
                <w:rFonts w:eastAsia="Calibri"/>
                <w:sz w:val="18"/>
                <w:lang w:val="en-US"/>
              </w:rPr>
              <w:t xml:space="preserve"> </w:t>
            </w:r>
            <w:r w:rsidRPr="008B31EB">
              <w:rPr>
                <w:rFonts w:eastAsia="Calibri"/>
                <w:sz w:val="18"/>
                <w:lang w:val="en-US"/>
              </w:rPr>
              <w:t xml:space="preserve">975 </w:t>
            </w:r>
          </w:p>
        </w:tc>
      </w:tr>
      <w:tr w:rsidR="0093281A" w:rsidRPr="008B31EB" w:rsidTr="008B31EB">
        <w:tc>
          <w:tcPr>
            <w:tcW w:w="5103" w:type="dxa"/>
            <w:shd w:val="clear" w:color="auto" w:fill="auto"/>
          </w:tcPr>
          <w:p w:rsidR="0093281A" w:rsidRPr="008B31EB" w:rsidRDefault="009459CA" w:rsidP="008B31EB">
            <w:pPr>
              <w:suppressAutoHyphens w:val="0"/>
              <w:spacing w:before="40" w:after="40" w:line="200" w:lineRule="exact"/>
              <w:rPr>
                <w:rFonts w:eastAsia="Calibri"/>
                <w:sz w:val="18"/>
                <w:lang w:val="en-US"/>
              </w:rPr>
            </w:pPr>
            <w:r w:rsidRPr="008B31EB">
              <w:rPr>
                <w:rFonts w:eastAsia="Calibri"/>
                <w:sz w:val="18"/>
                <w:lang w:val="en-US"/>
              </w:rPr>
              <w:t>Norway</w:t>
            </w:r>
          </w:p>
        </w:tc>
        <w:tc>
          <w:tcPr>
            <w:tcW w:w="2268" w:type="dxa"/>
            <w:shd w:val="clear" w:color="auto" w:fill="auto"/>
            <w:vAlign w:val="bottom"/>
          </w:tcPr>
          <w:p w:rsidR="0093281A" w:rsidRPr="008B31EB" w:rsidRDefault="009459CA" w:rsidP="00CF2C74">
            <w:pPr>
              <w:suppressAutoHyphens w:val="0"/>
              <w:spacing w:before="40" w:after="40" w:line="200" w:lineRule="exact"/>
              <w:jc w:val="right"/>
              <w:rPr>
                <w:rFonts w:eastAsia="Calibri"/>
                <w:sz w:val="18"/>
                <w:lang w:val="en-US"/>
              </w:rPr>
            </w:pPr>
            <w:r w:rsidRPr="008B31EB">
              <w:rPr>
                <w:rFonts w:eastAsia="Calibri"/>
                <w:sz w:val="18"/>
                <w:lang w:val="en-US"/>
              </w:rPr>
              <w:t>849</w:t>
            </w:r>
            <w:r w:rsidR="001B298F">
              <w:rPr>
                <w:rFonts w:eastAsia="Calibri"/>
                <w:sz w:val="18"/>
                <w:lang w:val="en-US"/>
              </w:rPr>
              <w:t xml:space="preserve"> </w:t>
            </w:r>
            <w:r w:rsidRPr="008B31EB">
              <w:rPr>
                <w:rFonts w:eastAsia="Calibri"/>
                <w:sz w:val="18"/>
                <w:lang w:val="en-US"/>
              </w:rPr>
              <w:t>114</w:t>
            </w:r>
          </w:p>
        </w:tc>
      </w:tr>
      <w:tr w:rsidR="00A41ADF" w:rsidRPr="008B31EB" w:rsidTr="008B31EB">
        <w:tc>
          <w:tcPr>
            <w:tcW w:w="5103" w:type="dxa"/>
            <w:shd w:val="clear" w:color="auto" w:fill="auto"/>
          </w:tcPr>
          <w:p w:rsidR="00A41ADF" w:rsidRPr="008B31EB" w:rsidRDefault="00A41ADF" w:rsidP="008B31EB">
            <w:pPr>
              <w:suppressAutoHyphens w:val="0"/>
              <w:spacing w:before="40" w:after="40" w:line="220" w:lineRule="exact"/>
              <w:rPr>
                <w:rFonts w:eastAsia="Calibri"/>
                <w:sz w:val="18"/>
                <w:lang w:val="en-US"/>
              </w:rPr>
            </w:pPr>
            <w:r w:rsidRPr="008B31EB">
              <w:rPr>
                <w:rFonts w:eastAsia="Calibri"/>
                <w:b/>
                <w:sz w:val="18"/>
                <w:lang w:val="en-US"/>
              </w:rPr>
              <w:t>Biennium 2014–2015</w:t>
            </w:r>
          </w:p>
        </w:tc>
        <w:tc>
          <w:tcPr>
            <w:tcW w:w="2268" w:type="dxa"/>
            <w:shd w:val="clear" w:color="auto" w:fill="auto"/>
            <w:vAlign w:val="bottom"/>
          </w:tcPr>
          <w:p w:rsidR="00A41ADF" w:rsidRPr="008B31EB" w:rsidRDefault="00A41ADF" w:rsidP="008B31EB">
            <w:pPr>
              <w:suppressAutoHyphens w:val="0"/>
              <w:spacing w:before="40" w:after="40" w:line="220" w:lineRule="exact"/>
              <w:jc w:val="right"/>
              <w:rPr>
                <w:rFonts w:eastAsia="Calibri"/>
                <w:sz w:val="18"/>
                <w:lang w:val="en-US"/>
              </w:rPr>
            </w:pPr>
          </w:p>
        </w:tc>
      </w:tr>
      <w:tr w:rsidR="00A41ADF" w:rsidRPr="008B31EB" w:rsidTr="008B31EB">
        <w:tc>
          <w:tcPr>
            <w:tcW w:w="5103" w:type="dxa"/>
            <w:shd w:val="clear" w:color="auto" w:fill="auto"/>
          </w:tcPr>
          <w:p w:rsidR="00A41ADF" w:rsidRPr="008B31EB" w:rsidRDefault="00D809A0" w:rsidP="008B31EB">
            <w:pPr>
              <w:suppressAutoHyphens w:val="0"/>
              <w:spacing w:before="40" w:after="40" w:line="220" w:lineRule="exact"/>
              <w:rPr>
                <w:rFonts w:eastAsia="Calibri"/>
                <w:sz w:val="18"/>
                <w:lang w:val="en-US"/>
              </w:rPr>
            </w:pPr>
            <w:r w:rsidRPr="008B31EB">
              <w:rPr>
                <w:rFonts w:eastAsia="Calibri"/>
                <w:sz w:val="18"/>
                <w:lang w:val="en-US"/>
              </w:rPr>
              <w:t>Germany</w:t>
            </w:r>
          </w:p>
        </w:tc>
        <w:tc>
          <w:tcPr>
            <w:tcW w:w="2268" w:type="dxa"/>
            <w:shd w:val="clear" w:color="auto" w:fill="auto"/>
            <w:vAlign w:val="bottom"/>
          </w:tcPr>
          <w:p w:rsidR="00A41ADF" w:rsidRPr="008B31EB" w:rsidRDefault="00D809A0" w:rsidP="008B31EB">
            <w:pPr>
              <w:suppressAutoHyphens w:val="0"/>
              <w:spacing w:before="40" w:after="40" w:line="220" w:lineRule="exact"/>
              <w:jc w:val="right"/>
              <w:rPr>
                <w:rFonts w:eastAsia="Calibri"/>
                <w:sz w:val="18"/>
                <w:lang w:val="en-US"/>
              </w:rPr>
            </w:pPr>
            <w:r w:rsidRPr="008B31EB">
              <w:rPr>
                <w:rFonts w:eastAsia="Calibri"/>
                <w:sz w:val="18"/>
                <w:lang w:val="en-US"/>
              </w:rPr>
              <w:t>136</w:t>
            </w:r>
            <w:r w:rsidR="001B298F">
              <w:rPr>
                <w:rFonts w:eastAsia="Calibri"/>
                <w:sz w:val="18"/>
                <w:lang w:val="en-US"/>
              </w:rPr>
              <w:t xml:space="preserve"> </w:t>
            </w:r>
            <w:r w:rsidRPr="008B31EB">
              <w:rPr>
                <w:rFonts w:eastAsia="Calibri"/>
                <w:sz w:val="18"/>
                <w:lang w:val="en-US"/>
              </w:rPr>
              <w:t>779</w:t>
            </w:r>
          </w:p>
        </w:tc>
      </w:tr>
      <w:tr w:rsidR="00D809A0" w:rsidRPr="008B31EB" w:rsidTr="008B31EB">
        <w:tc>
          <w:tcPr>
            <w:tcW w:w="5103" w:type="dxa"/>
            <w:shd w:val="clear" w:color="auto" w:fill="auto"/>
          </w:tcPr>
          <w:p w:rsidR="00D809A0" w:rsidRPr="008B31EB" w:rsidRDefault="00D809A0" w:rsidP="008B31EB">
            <w:pPr>
              <w:suppressAutoHyphens w:val="0"/>
              <w:spacing w:before="40" w:after="40" w:line="220" w:lineRule="exact"/>
              <w:rPr>
                <w:rFonts w:eastAsia="Calibri"/>
                <w:sz w:val="18"/>
                <w:lang w:val="en-US"/>
              </w:rPr>
            </w:pPr>
            <w:r w:rsidRPr="008B31EB">
              <w:rPr>
                <w:rFonts w:eastAsia="Calibri"/>
                <w:sz w:val="18"/>
                <w:lang w:val="en-US"/>
              </w:rPr>
              <w:t>Norway</w:t>
            </w:r>
          </w:p>
        </w:tc>
        <w:tc>
          <w:tcPr>
            <w:tcW w:w="2268" w:type="dxa"/>
            <w:shd w:val="clear" w:color="auto" w:fill="auto"/>
            <w:vAlign w:val="bottom"/>
          </w:tcPr>
          <w:p w:rsidR="00D809A0" w:rsidRPr="008B31EB" w:rsidRDefault="00D809A0" w:rsidP="00CF2C74">
            <w:pPr>
              <w:suppressAutoHyphens w:val="0"/>
              <w:spacing w:before="40" w:after="40" w:line="220" w:lineRule="exact"/>
              <w:jc w:val="right"/>
              <w:rPr>
                <w:rFonts w:eastAsia="Calibri"/>
                <w:sz w:val="18"/>
                <w:lang w:val="en-US"/>
              </w:rPr>
            </w:pPr>
            <w:r w:rsidRPr="008B31EB">
              <w:rPr>
                <w:rFonts w:eastAsia="Calibri"/>
                <w:sz w:val="18"/>
                <w:lang w:val="en-US"/>
              </w:rPr>
              <w:t>333</w:t>
            </w:r>
            <w:r w:rsidR="001B298F">
              <w:rPr>
                <w:rFonts w:eastAsia="Calibri"/>
                <w:sz w:val="18"/>
                <w:lang w:val="en-US"/>
              </w:rPr>
              <w:t xml:space="preserve"> </w:t>
            </w:r>
            <w:r w:rsidRPr="008B31EB">
              <w:rPr>
                <w:rFonts w:eastAsia="Calibri"/>
                <w:sz w:val="18"/>
                <w:lang w:val="en-US"/>
              </w:rPr>
              <w:t>667</w:t>
            </w:r>
          </w:p>
        </w:tc>
      </w:tr>
      <w:tr w:rsidR="00D809A0" w:rsidRPr="008B31EB" w:rsidTr="008B31EB">
        <w:tc>
          <w:tcPr>
            <w:tcW w:w="5103" w:type="dxa"/>
            <w:tcBorders>
              <w:bottom w:val="single" w:sz="4" w:space="0" w:color="auto"/>
            </w:tcBorders>
            <w:shd w:val="clear" w:color="auto" w:fill="auto"/>
          </w:tcPr>
          <w:p w:rsidR="00D809A0" w:rsidRPr="008B31EB" w:rsidRDefault="00D809A0" w:rsidP="008B31EB">
            <w:pPr>
              <w:suppressAutoHyphens w:val="0"/>
              <w:spacing w:before="40" w:after="40" w:line="220" w:lineRule="exact"/>
              <w:rPr>
                <w:rFonts w:eastAsia="Calibri"/>
                <w:sz w:val="18"/>
                <w:lang w:val="en-US"/>
              </w:rPr>
            </w:pPr>
            <w:r w:rsidRPr="008B31EB">
              <w:rPr>
                <w:rFonts w:eastAsia="Calibri"/>
                <w:sz w:val="18"/>
                <w:lang w:val="en-US"/>
              </w:rPr>
              <w:t>Kazakhstan</w:t>
            </w:r>
          </w:p>
        </w:tc>
        <w:tc>
          <w:tcPr>
            <w:tcW w:w="2268" w:type="dxa"/>
            <w:tcBorders>
              <w:bottom w:val="single" w:sz="4" w:space="0" w:color="auto"/>
            </w:tcBorders>
            <w:shd w:val="clear" w:color="auto" w:fill="auto"/>
            <w:vAlign w:val="bottom"/>
          </w:tcPr>
          <w:p w:rsidR="00D809A0" w:rsidRPr="008B31EB" w:rsidRDefault="00D809A0" w:rsidP="008B31EB">
            <w:pPr>
              <w:suppressAutoHyphens w:val="0"/>
              <w:spacing w:before="40" w:after="40" w:line="220" w:lineRule="exact"/>
              <w:jc w:val="right"/>
              <w:rPr>
                <w:rFonts w:eastAsia="Calibri"/>
                <w:sz w:val="18"/>
                <w:lang w:val="en-US"/>
              </w:rPr>
            </w:pPr>
            <w:r w:rsidRPr="008B31EB">
              <w:rPr>
                <w:rFonts w:eastAsia="Calibri"/>
                <w:sz w:val="18"/>
                <w:lang w:val="en-US"/>
              </w:rPr>
              <w:t>19</w:t>
            </w:r>
            <w:r w:rsidR="001B298F">
              <w:rPr>
                <w:rFonts w:eastAsia="Calibri"/>
                <w:sz w:val="18"/>
                <w:lang w:val="en-US"/>
              </w:rPr>
              <w:t xml:space="preserve"> </w:t>
            </w:r>
            <w:r w:rsidRPr="008B31EB">
              <w:rPr>
                <w:rFonts w:eastAsia="Calibri"/>
                <w:sz w:val="18"/>
                <w:lang w:val="en-US"/>
              </w:rPr>
              <w:t>975</w:t>
            </w:r>
          </w:p>
        </w:tc>
      </w:tr>
      <w:tr w:rsidR="0093281A" w:rsidRPr="008B31EB" w:rsidTr="008B31EB">
        <w:tc>
          <w:tcPr>
            <w:tcW w:w="5103" w:type="dxa"/>
            <w:tcBorders>
              <w:top w:val="single" w:sz="4" w:space="0" w:color="auto"/>
              <w:bottom w:val="single" w:sz="12" w:space="0" w:color="auto"/>
            </w:tcBorders>
            <w:shd w:val="clear" w:color="auto" w:fill="auto"/>
          </w:tcPr>
          <w:p w:rsidR="0093281A" w:rsidRPr="008B31EB" w:rsidRDefault="0093281A" w:rsidP="008B31EB">
            <w:pPr>
              <w:suppressAutoHyphens w:val="0"/>
              <w:spacing w:before="80" w:after="80" w:line="220" w:lineRule="exact"/>
              <w:ind w:left="284"/>
              <w:rPr>
                <w:rFonts w:eastAsia="Calibri"/>
                <w:b/>
                <w:sz w:val="18"/>
                <w:lang w:val="en-US"/>
              </w:rPr>
            </w:pPr>
            <w:r w:rsidRPr="008B31EB">
              <w:rPr>
                <w:rFonts w:eastAsia="Calibri"/>
                <w:b/>
                <w:sz w:val="18"/>
                <w:lang w:val="en-US"/>
              </w:rPr>
              <w:t xml:space="preserve">Total </w:t>
            </w:r>
            <w:r w:rsidR="00560608" w:rsidRPr="008B31EB">
              <w:rPr>
                <w:rFonts w:eastAsia="Calibri"/>
                <w:b/>
                <w:sz w:val="18"/>
                <w:lang w:val="en-US"/>
              </w:rPr>
              <w:t>c</w:t>
            </w:r>
            <w:r w:rsidRPr="008B31EB">
              <w:rPr>
                <w:rFonts w:eastAsia="Calibri"/>
                <w:b/>
                <w:sz w:val="18"/>
                <w:lang w:val="en-US"/>
              </w:rPr>
              <w:t>ontributions</w:t>
            </w:r>
          </w:p>
        </w:tc>
        <w:tc>
          <w:tcPr>
            <w:tcW w:w="2268" w:type="dxa"/>
            <w:tcBorders>
              <w:top w:val="single" w:sz="4" w:space="0" w:color="auto"/>
              <w:bottom w:val="single" w:sz="12" w:space="0" w:color="auto"/>
            </w:tcBorders>
            <w:shd w:val="clear" w:color="auto" w:fill="auto"/>
            <w:vAlign w:val="bottom"/>
          </w:tcPr>
          <w:p w:rsidR="0093281A" w:rsidRPr="008B31EB" w:rsidRDefault="00C74972" w:rsidP="00CF2C74">
            <w:pPr>
              <w:suppressAutoHyphens w:val="0"/>
              <w:spacing w:before="80" w:after="80" w:line="220" w:lineRule="exact"/>
              <w:jc w:val="right"/>
              <w:rPr>
                <w:rFonts w:eastAsia="Calibri"/>
                <w:b/>
                <w:sz w:val="18"/>
                <w:lang w:val="en-US"/>
              </w:rPr>
            </w:pPr>
            <w:r w:rsidRPr="008B31EB">
              <w:rPr>
                <w:rFonts w:eastAsia="Calibri"/>
                <w:b/>
                <w:sz w:val="18"/>
                <w:lang w:val="en-US"/>
              </w:rPr>
              <w:t>3</w:t>
            </w:r>
            <w:r w:rsidR="001B298F">
              <w:rPr>
                <w:rFonts w:eastAsia="Calibri"/>
                <w:b/>
                <w:sz w:val="18"/>
                <w:lang w:val="en-US"/>
              </w:rPr>
              <w:t xml:space="preserve"> </w:t>
            </w:r>
            <w:r w:rsidRPr="008B31EB">
              <w:rPr>
                <w:rFonts w:eastAsia="Calibri"/>
                <w:b/>
                <w:sz w:val="18"/>
                <w:lang w:val="en-US"/>
              </w:rPr>
              <w:t>729</w:t>
            </w:r>
            <w:r w:rsidR="001B298F">
              <w:rPr>
                <w:rFonts w:eastAsia="Calibri"/>
                <w:b/>
                <w:sz w:val="18"/>
                <w:lang w:val="en-US"/>
              </w:rPr>
              <w:t xml:space="preserve"> </w:t>
            </w:r>
            <w:r w:rsidRPr="008B31EB">
              <w:rPr>
                <w:rFonts w:eastAsia="Calibri"/>
                <w:b/>
                <w:sz w:val="18"/>
                <w:lang w:val="en-US"/>
              </w:rPr>
              <w:t>955</w:t>
            </w:r>
          </w:p>
        </w:tc>
      </w:tr>
    </w:tbl>
    <w:p w:rsidR="0093281A" w:rsidRPr="00FC21EB" w:rsidRDefault="0093281A" w:rsidP="002E06A3">
      <w:pPr>
        <w:pStyle w:val="SingleTxtG"/>
        <w:numPr>
          <w:ilvl w:val="0"/>
          <w:numId w:val="8"/>
        </w:numPr>
        <w:tabs>
          <w:tab w:val="clear" w:pos="2835"/>
        </w:tabs>
        <w:spacing w:before="240"/>
        <w:ind w:left="1134"/>
        <w:rPr>
          <w:rFonts w:eastAsia="Calibri"/>
          <w:lang w:val="en-US"/>
        </w:rPr>
      </w:pPr>
      <w:r w:rsidRPr="00FC21EB">
        <w:rPr>
          <w:rFonts w:eastAsia="Calibri"/>
          <w:lang w:val="en-US"/>
        </w:rPr>
        <w:t>Table 1 shows the detailed financial situati</w:t>
      </w:r>
      <w:r w:rsidR="006A4124">
        <w:rPr>
          <w:rFonts w:eastAsia="Calibri"/>
          <w:lang w:val="en-US"/>
        </w:rPr>
        <w:t>on of the Fund as at 31 December 2014</w:t>
      </w:r>
      <w:r w:rsidRPr="00FC21EB">
        <w:rPr>
          <w:rFonts w:eastAsia="Calibri"/>
          <w:lang w:val="en-US"/>
        </w:rPr>
        <w:t xml:space="preserve"> (statement of income and expenditure).</w:t>
      </w:r>
    </w:p>
    <w:p w:rsidR="0093281A" w:rsidRPr="006A4124" w:rsidRDefault="0093281A" w:rsidP="002E06A3">
      <w:pPr>
        <w:pStyle w:val="SingleTxtG"/>
        <w:numPr>
          <w:ilvl w:val="0"/>
          <w:numId w:val="8"/>
        </w:numPr>
        <w:tabs>
          <w:tab w:val="clear" w:pos="2835"/>
        </w:tabs>
        <w:ind w:left="1134"/>
        <w:rPr>
          <w:rFonts w:eastAsia="Calibri"/>
          <w:b/>
          <w:lang w:val="en-US"/>
        </w:rPr>
      </w:pPr>
      <w:r w:rsidRPr="00FC21EB">
        <w:rPr>
          <w:rFonts w:eastAsia="Calibri"/>
          <w:lang w:val="en-US"/>
        </w:rPr>
        <w:t xml:space="preserve">Since the establishment of the </w:t>
      </w:r>
      <w:r w:rsidR="00CF2C74">
        <w:rPr>
          <w:rFonts w:eastAsia="Calibri"/>
          <w:lang w:val="en-US"/>
        </w:rPr>
        <w:t>Voluntary Fund</w:t>
      </w:r>
      <w:r w:rsidR="00461058" w:rsidRPr="00FC21EB">
        <w:rPr>
          <w:rFonts w:eastAsia="Calibri"/>
          <w:lang w:val="en-US"/>
        </w:rPr>
        <w:t xml:space="preserve"> in 2009, </w:t>
      </w:r>
      <w:r w:rsidR="001B298F">
        <w:rPr>
          <w:rFonts w:eastAsia="Calibri"/>
          <w:lang w:val="en-US"/>
        </w:rPr>
        <w:t>eight</w:t>
      </w:r>
      <w:r w:rsidR="003C7315">
        <w:rPr>
          <w:rFonts w:eastAsia="Calibri"/>
          <w:lang w:val="en-US"/>
        </w:rPr>
        <w:t> </w:t>
      </w:r>
      <w:r w:rsidRPr="00FC21EB">
        <w:rPr>
          <w:rFonts w:eastAsia="Calibri"/>
          <w:lang w:val="en-US"/>
        </w:rPr>
        <w:t>countries have made financial contributions</w:t>
      </w:r>
      <w:r w:rsidR="00737DFA" w:rsidRPr="00FC21EB">
        <w:rPr>
          <w:rFonts w:eastAsia="Calibri"/>
          <w:lang w:val="en-US"/>
        </w:rPr>
        <w:t>:</w:t>
      </w:r>
      <w:r w:rsidRPr="00FC21EB">
        <w:rPr>
          <w:rFonts w:eastAsia="Calibri"/>
          <w:lang w:val="en-US"/>
        </w:rPr>
        <w:t xml:space="preserve"> Australia, Colombia, </w:t>
      </w:r>
      <w:r w:rsidR="006A4124">
        <w:rPr>
          <w:rFonts w:eastAsia="Calibri"/>
          <w:lang w:val="en-US"/>
        </w:rPr>
        <w:t xml:space="preserve">Kazakhstan, </w:t>
      </w:r>
      <w:r w:rsidRPr="00FC21EB">
        <w:rPr>
          <w:rFonts w:eastAsia="Calibri"/>
          <w:lang w:val="en-US"/>
        </w:rPr>
        <w:t>Germany, Morocco, Norway, the Russian Federation and the United Kingdom</w:t>
      </w:r>
      <w:r w:rsidR="00560608" w:rsidRPr="00FC21EB">
        <w:rPr>
          <w:rFonts w:eastAsia="Calibri"/>
          <w:lang w:val="en-US"/>
        </w:rPr>
        <w:t xml:space="preserve"> of Great Britain and Northern Ireland</w:t>
      </w:r>
      <w:r w:rsidR="00502D21">
        <w:rPr>
          <w:rFonts w:eastAsia="Calibri"/>
          <w:lang w:val="en-US"/>
        </w:rPr>
        <w:t>.</w:t>
      </w:r>
      <w:r w:rsidRPr="00FC21EB">
        <w:rPr>
          <w:rFonts w:eastAsia="Calibri"/>
          <w:lang w:val="en-US"/>
        </w:rPr>
        <w:t xml:space="preserve"> Table 2 provides an overview of all contributions received for the reporting period</w:t>
      </w:r>
      <w:r w:rsidR="00560608" w:rsidRPr="00FC21EB">
        <w:rPr>
          <w:rFonts w:eastAsia="Calibri"/>
          <w:lang w:val="en-US"/>
        </w:rPr>
        <w:t>,</w:t>
      </w:r>
      <w:r w:rsidRPr="00FC21EB">
        <w:rPr>
          <w:rFonts w:eastAsia="Calibri"/>
          <w:lang w:val="en-US"/>
        </w:rPr>
        <w:t xml:space="preserve"> </w:t>
      </w:r>
      <w:r w:rsidR="005871FC" w:rsidRPr="00FC21EB">
        <w:rPr>
          <w:rFonts w:eastAsia="Calibri"/>
          <w:lang w:val="en-US"/>
        </w:rPr>
        <w:t xml:space="preserve">from </w:t>
      </w:r>
      <w:r w:rsidRPr="00FC21EB">
        <w:rPr>
          <w:rFonts w:eastAsia="Calibri"/>
          <w:lang w:val="en-US"/>
        </w:rPr>
        <w:t>the establishment</w:t>
      </w:r>
      <w:r w:rsidR="006A4124">
        <w:rPr>
          <w:rFonts w:eastAsia="Calibri"/>
          <w:lang w:val="en-US"/>
        </w:rPr>
        <w:t xml:space="preserve"> of the Fund to 31 December 2014</w:t>
      </w:r>
      <w:r w:rsidRPr="00FC21EB">
        <w:rPr>
          <w:rFonts w:eastAsia="Calibri"/>
          <w:lang w:val="en-US"/>
        </w:rPr>
        <w:t>.</w:t>
      </w:r>
      <w:r w:rsidR="00E229FA" w:rsidRPr="00FC21EB">
        <w:rPr>
          <w:rFonts w:eastAsia="Calibri"/>
          <w:lang w:val="en-US"/>
        </w:rPr>
        <w:t xml:space="preserve"> </w:t>
      </w:r>
      <w:r w:rsidR="00085508">
        <w:rPr>
          <w:rFonts w:eastAsia="Calibri"/>
          <w:lang w:val="en-US"/>
        </w:rPr>
        <w:t>A</w:t>
      </w:r>
      <w:r w:rsidRPr="00C83F3E">
        <w:rPr>
          <w:rFonts w:eastAsia="Calibri"/>
          <w:lang w:val="en-US"/>
        </w:rPr>
        <w:t>dditional financial contributions</w:t>
      </w:r>
      <w:r w:rsidR="00085508">
        <w:rPr>
          <w:rFonts w:eastAsia="Calibri"/>
          <w:lang w:val="en-US"/>
        </w:rPr>
        <w:t xml:space="preserve"> from Germany</w:t>
      </w:r>
      <w:r w:rsidRPr="00C83F3E">
        <w:rPr>
          <w:rFonts w:eastAsia="Calibri"/>
          <w:lang w:val="en-US"/>
        </w:rPr>
        <w:t xml:space="preserve"> have been received during the period January</w:t>
      </w:r>
      <w:r w:rsidR="007A056A" w:rsidRPr="00C83F3E">
        <w:rPr>
          <w:rFonts w:eastAsia="Calibri"/>
          <w:lang w:val="en-US"/>
        </w:rPr>
        <w:t>–March 2</w:t>
      </w:r>
      <w:r w:rsidR="006A4124" w:rsidRPr="00C83F3E">
        <w:rPr>
          <w:rFonts w:eastAsia="Calibri"/>
          <w:lang w:val="en-US"/>
        </w:rPr>
        <w:t>015</w:t>
      </w:r>
      <w:r w:rsidR="007A056A" w:rsidRPr="00C83F3E">
        <w:rPr>
          <w:rFonts w:eastAsia="Calibri"/>
          <w:lang w:val="en-US"/>
        </w:rPr>
        <w:t>.</w:t>
      </w:r>
    </w:p>
    <w:p w:rsidR="0093281A" w:rsidRPr="00FC21EB" w:rsidRDefault="00BC738C" w:rsidP="002E06A3">
      <w:pPr>
        <w:pStyle w:val="SingleTxtG"/>
        <w:numPr>
          <w:ilvl w:val="0"/>
          <w:numId w:val="8"/>
        </w:numPr>
        <w:tabs>
          <w:tab w:val="clear" w:pos="2835"/>
        </w:tabs>
        <w:ind w:left="1134"/>
        <w:rPr>
          <w:rFonts w:eastAsia="Calibri"/>
          <w:lang w:val="en-US"/>
        </w:rPr>
      </w:pPr>
      <w:r w:rsidRPr="0060123A">
        <w:rPr>
          <w:rFonts w:eastAsia="Calibri"/>
        </w:rPr>
        <w:t>With the newly revitalized OHCHR strategic vision for follow-up</w:t>
      </w:r>
      <w:r w:rsidR="001B298F">
        <w:rPr>
          <w:rFonts w:eastAsia="Calibri"/>
        </w:rPr>
        <w:t xml:space="preserve"> to universal periodic review</w:t>
      </w:r>
      <w:r w:rsidRPr="0060123A">
        <w:rPr>
          <w:rFonts w:eastAsia="Calibri"/>
        </w:rPr>
        <w:t xml:space="preserve"> that enables OHCHR to provide systematic support to States focusing on national follow-up processes, and </w:t>
      </w:r>
      <w:r w:rsidRPr="0060123A">
        <w:t>in line with the projects outlined above for 2015, allocations have significantly increased</w:t>
      </w:r>
      <w:r w:rsidRPr="00BE5C6A">
        <w:t xml:space="preserve">. Out of a balance of </w:t>
      </w:r>
      <w:r w:rsidRPr="006504BF">
        <w:t>US</w:t>
      </w:r>
      <w:r w:rsidRPr="0060123A">
        <w:rPr>
          <w:rFonts w:eastAsia="SimSun" w:hint="eastAsia"/>
        </w:rPr>
        <w:t>$</w:t>
      </w:r>
      <w:r w:rsidR="003C7315">
        <w:t> </w:t>
      </w:r>
      <w:r>
        <w:rPr>
          <w:rFonts w:eastAsia="Calibri"/>
        </w:rPr>
        <w:t>1,852,673</w:t>
      </w:r>
      <w:r w:rsidRPr="0060123A">
        <w:rPr>
          <w:rFonts w:eastAsia="Calibri"/>
        </w:rPr>
        <w:t xml:space="preserve"> as at 31 December 2014, </w:t>
      </w:r>
      <w:r w:rsidRPr="00BE5C6A">
        <w:t>US</w:t>
      </w:r>
      <w:r w:rsidRPr="0060123A">
        <w:rPr>
          <w:rFonts w:eastAsia="SimSun" w:hint="eastAsia"/>
        </w:rPr>
        <w:t>$</w:t>
      </w:r>
      <w:r w:rsidR="003C7315">
        <w:t> </w:t>
      </w:r>
      <w:r>
        <w:rPr>
          <w:rFonts w:eastAsia="Calibri"/>
        </w:rPr>
        <w:t>1,653,923 ha</w:t>
      </w:r>
      <w:r w:rsidR="001B298F">
        <w:rPr>
          <w:rFonts w:eastAsia="Calibri"/>
        </w:rPr>
        <w:t>ve</w:t>
      </w:r>
      <w:r w:rsidR="00135773">
        <w:rPr>
          <w:rFonts w:eastAsia="Calibri"/>
        </w:rPr>
        <w:t xml:space="preserve"> been allocated in 2015.</w:t>
      </w:r>
      <w:r w:rsidR="00F70859">
        <w:t xml:space="preserve"> </w:t>
      </w:r>
      <w:r w:rsidR="006A4124">
        <w:rPr>
          <w:rFonts w:eastAsia="Calibri"/>
          <w:lang w:val="en-US"/>
        </w:rPr>
        <w:t xml:space="preserve">Hence, it is critical to </w:t>
      </w:r>
      <w:r w:rsidR="0093281A" w:rsidRPr="00FC21EB">
        <w:rPr>
          <w:rFonts w:eastAsia="Calibri"/>
          <w:lang w:val="en-US"/>
        </w:rPr>
        <w:t>expand the donor base of the Fund</w:t>
      </w:r>
      <w:r w:rsidR="00502D21">
        <w:rPr>
          <w:rFonts w:eastAsia="Calibri"/>
          <w:lang w:val="en-US"/>
        </w:rPr>
        <w:t xml:space="preserve"> and to receive further funding</w:t>
      </w:r>
      <w:r w:rsidR="006A4124">
        <w:rPr>
          <w:rFonts w:eastAsia="Calibri"/>
          <w:lang w:val="en-US"/>
        </w:rPr>
        <w:t xml:space="preserve"> in order to sustain and ensure </w:t>
      </w:r>
      <w:r w:rsidR="0093281A" w:rsidRPr="00FC21EB">
        <w:rPr>
          <w:rFonts w:eastAsia="Calibri"/>
          <w:lang w:val="en-US"/>
        </w:rPr>
        <w:t xml:space="preserve">the universal application of the new </w:t>
      </w:r>
      <w:r w:rsidR="00737DFA" w:rsidRPr="00FC21EB">
        <w:rPr>
          <w:rFonts w:eastAsia="Calibri"/>
          <w:lang w:val="en-US"/>
        </w:rPr>
        <w:t xml:space="preserve">strategic vision for </w:t>
      </w:r>
      <w:r w:rsidR="0093281A" w:rsidRPr="00FC21EB">
        <w:rPr>
          <w:rFonts w:eastAsia="Calibri"/>
          <w:lang w:val="en-US"/>
        </w:rPr>
        <w:t>follow-up to all Member States</w:t>
      </w:r>
      <w:r w:rsidR="008C2982" w:rsidRPr="00FC21EB">
        <w:rPr>
          <w:rFonts w:eastAsia="Calibri"/>
          <w:lang w:val="en-US"/>
        </w:rPr>
        <w:t>,</w:t>
      </w:r>
      <w:r w:rsidR="0093281A" w:rsidRPr="00FC21EB">
        <w:rPr>
          <w:rFonts w:eastAsia="Calibri"/>
          <w:lang w:val="en-US"/>
        </w:rPr>
        <w:t xml:space="preserve"> in line with the universality principle of the unive</w:t>
      </w:r>
      <w:r w:rsidR="007A056A" w:rsidRPr="00FC21EB">
        <w:rPr>
          <w:rFonts w:eastAsia="Calibri"/>
          <w:lang w:val="en-US"/>
        </w:rPr>
        <w:t>rsal periodic review mechanism.</w:t>
      </w:r>
    </w:p>
    <w:p w:rsidR="0093281A" w:rsidRPr="00FC21EB" w:rsidRDefault="0093281A" w:rsidP="007A728C">
      <w:pPr>
        <w:pStyle w:val="HChG"/>
        <w:spacing w:before="0" w:after="120" w:line="240" w:lineRule="atLeast"/>
        <w:rPr>
          <w:rFonts w:eastAsia="Calibri"/>
          <w:lang w:val="en-US"/>
        </w:rPr>
      </w:pPr>
      <w:r w:rsidRPr="00FC21EB">
        <w:rPr>
          <w:rFonts w:eastAsia="Calibri"/>
          <w:lang w:val="en-US"/>
        </w:rPr>
        <w:tab/>
        <w:t>V.</w:t>
      </w:r>
      <w:r w:rsidRPr="00FC21EB">
        <w:rPr>
          <w:rFonts w:eastAsia="Calibri"/>
          <w:lang w:val="en-US"/>
        </w:rPr>
        <w:tab/>
        <w:t>Conclusions</w:t>
      </w:r>
    </w:p>
    <w:p w:rsidR="0093281A" w:rsidRPr="00CB0D02" w:rsidRDefault="006A4124" w:rsidP="002E06A3">
      <w:pPr>
        <w:pStyle w:val="SingleTxtG"/>
        <w:numPr>
          <w:ilvl w:val="0"/>
          <w:numId w:val="8"/>
        </w:numPr>
        <w:tabs>
          <w:tab w:val="clear" w:pos="2835"/>
        </w:tabs>
        <w:ind w:left="1134"/>
        <w:rPr>
          <w:rFonts w:eastAsia="Calibri"/>
          <w:b/>
          <w:lang w:val="en-US"/>
        </w:rPr>
      </w:pPr>
      <w:r w:rsidRPr="00CB0D02">
        <w:rPr>
          <w:rFonts w:eastAsia="Calibri"/>
          <w:b/>
          <w:lang w:val="en-US"/>
        </w:rPr>
        <w:t>Securing the political will and enhancing the ability of States to bring about tangible results with a view to improving the human rights situation are the key objective</w:t>
      </w:r>
      <w:r w:rsidR="00502D21" w:rsidRPr="00CB0D02">
        <w:rPr>
          <w:rFonts w:eastAsia="Calibri"/>
          <w:b/>
          <w:lang w:val="en-US"/>
        </w:rPr>
        <w:t>s</w:t>
      </w:r>
      <w:r w:rsidRPr="00CB0D02">
        <w:rPr>
          <w:rFonts w:eastAsia="Calibri"/>
          <w:b/>
          <w:lang w:val="en-US"/>
        </w:rPr>
        <w:t xml:space="preserve"> of technical assistance and </w:t>
      </w:r>
      <w:r w:rsidR="00502D21" w:rsidRPr="00CB0D02">
        <w:rPr>
          <w:rFonts w:eastAsia="Calibri"/>
          <w:b/>
          <w:lang w:val="en-US"/>
        </w:rPr>
        <w:t xml:space="preserve">financial </w:t>
      </w:r>
      <w:r w:rsidRPr="00CB0D02">
        <w:rPr>
          <w:rFonts w:eastAsia="Calibri"/>
          <w:b/>
          <w:lang w:val="en-US"/>
        </w:rPr>
        <w:t xml:space="preserve">support. </w:t>
      </w:r>
      <w:r w:rsidR="001B298F">
        <w:rPr>
          <w:rFonts w:eastAsia="Calibri"/>
          <w:b/>
          <w:lang w:val="en-US"/>
        </w:rPr>
        <w:t>With a view to</w:t>
      </w:r>
      <w:r w:rsidR="001B298F" w:rsidRPr="00CB0D02">
        <w:rPr>
          <w:rFonts w:eastAsia="Calibri"/>
          <w:b/>
          <w:lang w:val="en-US"/>
        </w:rPr>
        <w:t xml:space="preserve"> </w:t>
      </w:r>
      <w:r w:rsidRPr="00CB0D02">
        <w:rPr>
          <w:rFonts w:eastAsia="Calibri"/>
          <w:b/>
          <w:lang w:val="en-US"/>
        </w:rPr>
        <w:t>achieving th</w:t>
      </w:r>
      <w:r w:rsidR="001B298F">
        <w:rPr>
          <w:rFonts w:eastAsia="Calibri"/>
          <w:b/>
          <w:lang w:val="en-US"/>
        </w:rPr>
        <w:t>o</w:t>
      </w:r>
      <w:r w:rsidRPr="00CB0D02">
        <w:rPr>
          <w:rFonts w:eastAsia="Calibri"/>
          <w:b/>
          <w:lang w:val="en-US"/>
        </w:rPr>
        <w:t>se objectives,</w:t>
      </w:r>
      <w:r w:rsidR="0093281A" w:rsidRPr="00CB0D02">
        <w:rPr>
          <w:rFonts w:eastAsia="Calibri"/>
          <w:b/>
          <w:lang w:val="en-US"/>
        </w:rPr>
        <w:t xml:space="preserve"> </w:t>
      </w:r>
      <w:r w:rsidRPr="00CB0D02">
        <w:rPr>
          <w:rFonts w:eastAsia="Calibri"/>
          <w:b/>
          <w:lang w:val="en-US"/>
        </w:rPr>
        <w:t>t</w:t>
      </w:r>
      <w:r w:rsidR="0093281A" w:rsidRPr="00CB0D02">
        <w:rPr>
          <w:rFonts w:eastAsia="Calibri"/>
          <w:b/>
          <w:lang w:val="en-US"/>
        </w:rPr>
        <w:t xml:space="preserve">he Voluntary Fund for </w:t>
      </w:r>
      <w:r w:rsidR="002F0A8A" w:rsidRPr="00CB0D02">
        <w:rPr>
          <w:rFonts w:eastAsia="Calibri"/>
          <w:b/>
          <w:lang w:val="en-US"/>
        </w:rPr>
        <w:t xml:space="preserve">Financial </w:t>
      </w:r>
      <w:r w:rsidR="0093281A" w:rsidRPr="00CB0D02">
        <w:rPr>
          <w:rFonts w:eastAsia="Calibri"/>
          <w:b/>
          <w:lang w:val="en-US"/>
        </w:rPr>
        <w:t xml:space="preserve">and </w:t>
      </w:r>
      <w:r w:rsidR="002F0A8A" w:rsidRPr="00CB0D02">
        <w:rPr>
          <w:rFonts w:eastAsia="Calibri"/>
          <w:b/>
          <w:lang w:val="en-US"/>
        </w:rPr>
        <w:t xml:space="preserve">Technical Assistance </w:t>
      </w:r>
      <w:r w:rsidR="0093281A" w:rsidRPr="00CB0D02">
        <w:rPr>
          <w:rFonts w:eastAsia="Calibri"/>
          <w:b/>
          <w:lang w:val="en-US"/>
        </w:rPr>
        <w:t xml:space="preserve">for the </w:t>
      </w:r>
      <w:r w:rsidR="002F0A8A" w:rsidRPr="00CB0D02">
        <w:rPr>
          <w:rFonts w:eastAsia="Calibri"/>
          <w:b/>
          <w:lang w:val="en-US"/>
        </w:rPr>
        <w:t xml:space="preserve">Implementation </w:t>
      </w:r>
      <w:r w:rsidR="0093281A" w:rsidRPr="00CB0D02">
        <w:rPr>
          <w:rFonts w:eastAsia="Calibri"/>
          <w:b/>
          <w:lang w:val="en-US"/>
        </w:rPr>
        <w:t xml:space="preserve">of the </w:t>
      </w:r>
      <w:r w:rsidR="004A3D28" w:rsidRPr="00CB0D02">
        <w:rPr>
          <w:rFonts w:eastAsia="Calibri"/>
          <w:b/>
          <w:lang w:val="en-US"/>
        </w:rPr>
        <w:t xml:space="preserve">Universal Periodic Review </w:t>
      </w:r>
      <w:r w:rsidR="0093281A" w:rsidRPr="00CB0D02">
        <w:rPr>
          <w:rFonts w:eastAsia="Calibri"/>
          <w:b/>
          <w:lang w:val="en-US"/>
        </w:rPr>
        <w:t>continues to serve as a valuable</w:t>
      </w:r>
      <w:r w:rsidRPr="00CB0D02">
        <w:rPr>
          <w:rFonts w:eastAsia="Calibri"/>
          <w:b/>
          <w:lang w:val="en-US"/>
        </w:rPr>
        <w:t xml:space="preserve"> source of support for countries</w:t>
      </w:r>
      <w:r w:rsidR="0093281A" w:rsidRPr="00CB0D02">
        <w:rPr>
          <w:rFonts w:eastAsia="Calibri"/>
          <w:b/>
          <w:lang w:val="en-US"/>
        </w:rPr>
        <w:t xml:space="preserve"> </w:t>
      </w:r>
      <w:r w:rsidR="005A6FDD" w:rsidRPr="00CB0D02">
        <w:rPr>
          <w:rFonts w:eastAsia="Calibri"/>
          <w:b/>
          <w:lang w:val="en-US"/>
        </w:rPr>
        <w:t xml:space="preserve">in the </w:t>
      </w:r>
      <w:r w:rsidR="0093281A" w:rsidRPr="00CB0D02">
        <w:rPr>
          <w:rFonts w:eastAsia="Calibri"/>
          <w:b/>
          <w:lang w:val="en-US"/>
        </w:rPr>
        <w:t>implement</w:t>
      </w:r>
      <w:r w:rsidR="005A6FDD" w:rsidRPr="00CB0D02">
        <w:rPr>
          <w:rFonts w:eastAsia="Calibri"/>
          <w:b/>
          <w:lang w:val="en-US"/>
        </w:rPr>
        <w:t>ation of</w:t>
      </w:r>
      <w:r w:rsidR="0093281A" w:rsidRPr="00CB0D02">
        <w:rPr>
          <w:rFonts w:eastAsia="Calibri"/>
          <w:b/>
          <w:lang w:val="en-US"/>
        </w:rPr>
        <w:t xml:space="preserve"> their </w:t>
      </w:r>
      <w:r w:rsidR="001B298F">
        <w:rPr>
          <w:rFonts w:eastAsia="Calibri"/>
          <w:b/>
          <w:lang w:val="en-US"/>
        </w:rPr>
        <w:t>universal periodic review</w:t>
      </w:r>
      <w:r w:rsidR="001B298F" w:rsidRPr="00CB0D02">
        <w:rPr>
          <w:rFonts w:eastAsia="Calibri"/>
          <w:b/>
          <w:lang w:val="en-US"/>
        </w:rPr>
        <w:t xml:space="preserve"> </w:t>
      </w:r>
      <w:r w:rsidR="0093281A" w:rsidRPr="00CB0D02">
        <w:rPr>
          <w:rFonts w:eastAsia="Calibri"/>
          <w:b/>
          <w:lang w:val="en-US"/>
        </w:rPr>
        <w:t>recommendations.</w:t>
      </w:r>
    </w:p>
    <w:p w:rsidR="00934251" w:rsidRPr="00CB0D02" w:rsidRDefault="001B298F" w:rsidP="002E06A3">
      <w:pPr>
        <w:pStyle w:val="SingleTxtG"/>
        <w:numPr>
          <w:ilvl w:val="0"/>
          <w:numId w:val="8"/>
        </w:numPr>
        <w:tabs>
          <w:tab w:val="clear" w:pos="2835"/>
        </w:tabs>
        <w:ind w:left="1134"/>
        <w:rPr>
          <w:rFonts w:eastAsia="Calibri"/>
          <w:b/>
          <w:lang w:val="en-US"/>
        </w:rPr>
      </w:pPr>
      <w:r w:rsidRPr="002E06A3">
        <w:rPr>
          <w:rFonts w:eastAsia="Calibri"/>
          <w:b/>
          <w:bCs/>
          <w:lang w:val="en-US"/>
        </w:rPr>
        <w:t>As has been</w:t>
      </w:r>
      <w:r w:rsidR="00934251" w:rsidRPr="00CB0D02">
        <w:rPr>
          <w:rFonts w:eastAsia="Calibri"/>
          <w:b/>
          <w:lang w:val="en-US"/>
        </w:rPr>
        <w:t xml:space="preserve"> demonstrated</w:t>
      </w:r>
      <w:r>
        <w:rPr>
          <w:rFonts w:eastAsia="Calibri"/>
          <w:b/>
          <w:lang w:val="en-US"/>
        </w:rPr>
        <w:t>,</w:t>
      </w:r>
      <w:r w:rsidR="0093281A" w:rsidRPr="00CB0D02">
        <w:rPr>
          <w:rFonts w:eastAsia="Calibri"/>
          <w:b/>
          <w:lang w:val="en-US"/>
        </w:rPr>
        <w:t xml:space="preserve"> a revitalized OHCHR strategic vision for follow-up</w:t>
      </w:r>
      <w:r>
        <w:rPr>
          <w:rFonts w:eastAsia="Calibri"/>
          <w:b/>
          <w:lang w:val="en-US"/>
        </w:rPr>
        <w:t xml:space="preserve"> to universal periodic review</w:t>
      </w:r>
      <w:r w:rsidR="0093281A" w:rsidRPr="00CB0D02">
        <w:rPr>
          <w:rFonts w:eastAsia="Calibri"/>
          <w:b/>
          <w:lang w:val="en-US"/>
        </w:rPr>
        <w:t xml:space="preserve"> that is more proactive, systematic and results-</w:t>
      </w:r>
      <w:r w:rsidR="00934251" w:rsidRPr="00CB0D02">
        <w:rPr>
          <w:rFonts w:eastAsia="Calibri"/>
          <w:b/>
          <w:lang w:val="en-US"/>
        </w:rPr>
        <w:t xml:space="preserve">oriented has enabled OHCHR to provide systematic </w:t>
      </w:r>
      <w:r w:rsidR="0093281A" w:rsidRPr="00CB0D02">
        <w:rPr>
          <w:rFonts w:eastAsia="Calibri"/>
          <w:b/>
          <w:lang w:val="en-US"/>
        </w:rPr>
        <w:t xml:space="preserve">support </w:t>
      </w:r>
      <w:r w:rsidR="00934251" w:rsidRPr="00CB0D02">
        <w:rPr>
          <w:rFonts w:eastAsia="Calibri"/>
          <w:b/>
          <w:lang w:val="en-US"/>
        </w:rPr>
        <w:t xml:space="preserve">to </w:t>
      </w:r>
      <w:r w:rsidR="0093281A" w:rsidRPr="00CB0D02">
        <w:rPr>
          <w:rFonts w:eastAsia="Calibri"/>
          <w:b/>
          <w:lang w:val="en-US"/>
        </w:rPr>
        <w:t xml:space="preserve">States in fulfilling their primary responsibility to implement the </w:t>
      </w:r>
      <w:r>
        <w:rPr>
          <w:rFonts w:eastAsia="Calibri"/>
          <w:b/>
          <w:lang w:val="en-US"/>
        </w:rPr>
        <w:t>universal periodic review</w:t>
      </w:r>
      <w:r w:rsidRPr="00CB0D02">
        <w:rPr>
          <w:rFonts w:eastAsia="Calibri"/>
          <w:b/>
          <w:lang w:val="en-US"/>
        </w:rPr>
        <w:t xml:space="preserve"> </w:t>
      </w:r>
      <w:r w:rsidR="0093281A" w:rsidRPr="00CB0D02">
        <w:rPr>
          <w:rFonts w:eastAsia="Calibri"/>
          <w:b/>
          <w:lang w:val="en-US"/>
        </w:rPr>
        <w:t xml:space="preserve">recommendations. </w:t>
      </w:r>
      <w:r w:rsidR="00934251" w:rsidRPr="00CB0D02">
        <w:rPr>
          <w:rFonts w:eastAsia="Calibri"/>
          <w:b/>
          <w:lang w:val="en-US"/>
        </w:rPr>
        <w:t xml:space="preserve">Particular emphasis has been placed on the importance of establishing and/or strengthening national follow-up processes, including support </w:t>
      </w:r>
      <w:r>
        <w:rPr>
          <w:rFonts w:eastAsia="Calibri"/>
          <w:b/>
          <w:lang w:val="en-US"/>
        </w:rPr>
        <w:t xml:space="preserve">given </w:t>
      </w:r>
      <w:r w:rsidR="00934251" w:rsidRPr="00CB0D02">
        <w:rPr>
          <w:rFonts w:eastAsia="Calibri"/>
          <w:b/>
          <w:lang w:val="en-US"/>
        </w:rPr>
        <w:t xml:space="preserve">to the establishment of </w:t>
      </w:r>
      <w:r w:rsidR="005D3388" w:rsidRPr="00CB0D02">
        <w:rPr>
          <w:rFonts w:eastAsia="Calibri"/>
          <w:b/>
          <w:lang w:val="en-US"/>
        </w:rPr>
        <w:t xml:space="preserve">an </w:t>
      </w:r>
      <w:r w:rsidR="00934251" w:rsidRPr="00CB0D02">
        <w:rPr>
          <w:rFonts w:eastAsia="Calibri"/>
          <w:b/>
          <w:lang w:val="en-US"/>
        </w:rPr>
        <w:t>inter-institutional body, design of an achievable implementation action plan and support</w:t>
      </w:r>
      <w:r>
        <w:rPr>
          <w:rFonts w:eastAsia="Calibri"/>
          <w:b/>
          <w:lang w:val="en-US"/>
        </w:rPr>
        <w:t xml:space="preserve"> given</w:t>
      </w:r>
      <w:r w:rsidR="00934251" w:rsidRPr="00CB0D02">
        <w:rPr>
          <w:rFonts w:eastAsia="Calibri"/>
          <w:b/>
          <w:lang w:val="en-US"/>
        </w:rPr>
        <w:t xml:space="preserve"> to implementation of priority thematic issues identified in such an implementation action plan. </w:t>
      </w:r>
    </w:p>
    <w:p w:rsidR="0093281A" w:rsidRPr="00CB0D02" w:rsidRDefault="0093281A" w:rsidP="002E06A3">
      <w:pPr>
        <w:pStyle w:val="SingleTxtG"/>
        <w:numPr>
          <w:ilvl w:val="0"/>
          <w:numId w:val="8"/>
        </w:numPr>
        <w:tabs>
          <w:tab w:val="clear" w:pos="2835"/>
        </w:tabs>
        <w:ind w:left="1134"/>
        <w:rPr>
          <w:rFonts w:eastAsia="Calibri"/>
          <w:b/>
          <w:lang w:val="en-US"/>
        </w:rPr>
      </w:pPr>
      <w:r w:rsidRPr="00CB0D02">
        <w:rPr>
          <w:rFonts w:eastAsia="Calibri"/>
          <w:b/>
          <w:lang w:val="en-US"/>
        </w:rPr>
        <w:t>It is also hoped that an integrated approach to follow</w:t>
      </w:r>
      <w:r w:rsidR="001B298F">
        <w:rPr>
          <w:rFonts w:eastAsia="Calibri"/>
          <w:b/>
          <w:lang w:val="en-US"/>
        </w:rPr>
        <w:t>ing</w:t>
      </w:r>
      <w:r w:rsidR="00934251" w:rsidRPr="00CB0D02">
        <w:rPr>
          <w:rFonts w:eastAsia="Calibri"/>
          <w:b/>
          <w:lang w:val="en-US"/>
        </w:rPr>
        <w:t xml:space="preserve"> </w:t>
      </w:r>
      <w:r w:rsidRPr="00CB0D02">
        <w:rPr>
          <w:rFonts w:eastAsia="Calibri"/>
          <w:b/>
          <w:lang w:val="en-US"/>
        </w:rPr>
        <w:t>up</w:t>
      </w:r>
      <w:r w:rsidR="001B298F">
        <w:rPr>
          <w:rFonts w:eastAsia="Calibri"/>
          <w:b/>
          <w:lang w:val="en-US"/>
        </w:rPr>
        <w:t xml:space="preserve"> on</w:t>
      </w:r>
      <w:r w:rsidR="001B298F" w:rsidRPr="00CB0D02">
        <w:rPr>
          <w:rFonts w:eastAsia="Calibri"/>
          <w:b/>
          <w:lang w:val="en-US"/>
        </w:rPr>
        <w:t xml:space="preserve"> </w:t>
      </w:r>
      <w:r w:rsidRPr="00CB0D02">
        <w:rPr>
          <w:rFonts w:eastAsia="Calibri"/>
          <w:b/>
          <w:lang w:val="en-US"/>
        </w:rPr>
        <w:t xml:space="preserve">the recommendations of international human rights mechanisms, including treaty bodies, special procedures and </w:t>
      </w:r>
      <w:r w:rsidR="00502D21" w:rsidRPr="00CB0D02">
        <w:rPr>
          <w:rFonts w:eastAsia="Calibri"/>
          <w:b/>
          <w:lang w:val="en-US"/>
        </w:rPr>
        <w:t xml:space="preserve">the </w:t>
      </w:r>
      <w:r w:rsidR="001B298F">
        <w:rPr>
          <w:rFonts w:eastAsia="Calibri"/>
          <w:b/>
          <w:lang w:val="en-US"/>
        </w:rPr>
        <w:t>universal periodic review</w:t>
      </w:r>
      <w:r w:rsidR="005A6FDD" w:rsidRPr="00CB0D02">
        <w:rPr>
          <w:rFonts w:eastAsia="Calibri"/>
          <w:b/>
          <w:lang w:val="en-US"/>
        </w:rPr>
        <w:t>,</w:t>
      </w:r>
      <w:r w:rsidR="00934251" w:rsidRPr="00CB0D02">
        <w:rPr>
          <w:rFonts w:eastAsia="Calibri"/>
          <w:b/>
          <w:lang w:val="en-US"/>
        </w:rPr>
        <w:t xml:space="preserve"> continues to be </w:t>
      </w:r>
      <w:r w:rsidRPr="00CB0D02">
        <w:rPr>
          <w:rFonts w:eastAsia="Calibri"/>
          <w:b/>
          <w:lang w:val="en-US"/>
        </w:rPr>
        <w:t>applied as broadly and s</w:t>
      </w:r>
      <w:r w:rsidR="00934251" w:rsidRPr="00CB0D02">
        <w:rPr>
          <w:rFonts w:eastAsia="Calibri"/>
          <w:b/>
          <w:lang w:val="en-US"/>
        </w:rPr>
        <w:t>ystematically as possible, which will help States to bring about concrete results for the promotion and protection of human rights</w:t>
      </w:r>
      <w:r w:rsidR="00502D21" w:rsidRPr="00CB0D02">
        <w:rPr>
          <w:rFonts w:eastAsia="Calibri"/>
          <w:b/>
          <w:lang w:val="en-US"/>
        </w:rPr>
        <w:t xml:space="preserve"> on the ground</w:t>
      </w:r>
      <w:r w:rsidR="00934251" w:rsidRPr="00CB0D02">
        <w:rPr>
          <w:rFonts w:eastAsia="Calibri"/>
          <w:b/>
          <w:lang w:val="en-US"/>
        </w:rPr>
        <w:t xml:space="preserve">. </w:t>
      </w:r>
    </w:p>
    <w:p w:rsidR="0093281A" w:rsidRPr="00CB0D02" w:rsidRDefault="00934251" w:rsidP="002E06A3">
      <w:pPr>
        <w:pStyle w:val="SingleTxtG"/>
        <w:numPr>
          <w:ilvl w:val="0"/>
          <w:numId w:val="8"/>
        </w:numPr>
        <w:tabs>
          <w:tab w:val="clear" w:pos="2835"/>
        </w:tabs>
        <w:ind w:left="1134"/>
        <w:rPr>
          <w:rFonts w:eastAsia="Calibri"/>
          <w:b/>
        </w:rPr>
      </w:pPr>
      <w:r w:rsidRPr="00CB0D02">
        <w:rPr>
          <w:rFonts w:eastAsia="Calibri"/>
          <w:b/>
        </w:rPr>
        <w:t xml:space="preserve">A </w:t>
      </w:r>
      <w:r w:rsidR="0093281A" w:rsidRPr="00CB0D02">
        <w:rPr>
          <w:rFonts w:eastAsia="Calibri"/>
          <w:b/>
        </w:rPr>
        <w:t>growing body of good practices on follow-up</w:t>
      </w:r>
      <w:r w:rsidR="001B298F">
        <w:rPr>
          <w:rFonts w:eastAsia="Calibri"/>
          <w:b/>
        </w:rPr>
        <w:t xml:space="preserve"> to the universal periodic review</w:t>
      </w:r>
      <w:r w:rsidR="0093281A" w:rsidRPr="00CB0D02">
        <w:rPr>
          <w:rFonts w:eastAsia="Calibri"/>
          <w:b/>
        </w:rPr>
        <w:t xml:space="preserve"> </w:t>
      </w:r>
      <w:r w:rsidRPr="00CB0D02">
        <w:rPr>
          <w:rFonts w:eastAsia="Calibri"/>
          <w:b/>
        </w:rPr>
        <w:t xml:space="preserve">has been generated, which is being </w:t>
      </w:r>
      <w:r w:rsidR="0093281A" w:rsidRPr="00CB0D02">
        <w:rPr>
          <w:rFonts w:eastAsia="Calibri"/>
          <w:b/>
        </w:rPr>
        <w:t>documented</w:t>
      </w:r>
      <w:r w:rsidRPr="00CB0D02">
        <w:rPr>
          <w:rFonts w:eastAsia="Calibri"/>
          <w:b/>
        </w:rPr>
        <w:t xml:space="preserve"> by various actors, including civil society organizations</w:t>
      </w:r>
      <w:r w:rsidR="0093281A" w:rsidRPr="00CB0D02">
        <w:rPr>
          <w:rFonts w:eastAsia="Calibri"/>
          <w:b/>
        </w:rPr>
        <w:t xml:space="preserve">. OHCHR </w:t>
      </w:r>
      <w:r w:rsidRPr="00CB0D02">
        <w:rPr>
          <w:rFonts w:eastAsia="Calibri"/>
          <w:b/>
        </w:rPr>
        <w:t xml:space="preserve">continues to pay </w:t>
      </w:r>
      <w:r w:rsidR="0093281A" w:rsidRPr="00CB0D02">
        <w:rPr>
          <w:rFonts w:eastAsia="Calibri"/>
          <w:b/>
        </w:rPr>
        <w:t>attention to the need to document such good practices in a more systematic way</w:t>
      </w:r>
      <w:r w:rsidR="001B298F">
        <w:rPr>
          <w:rFonts w:eastAsia="Calibri"/>
          <w:b/>
        </w:rPr>
        <w:t xml:space="preserve"> as a priority</w:t>
      </w:r>
      <w:r w:rsidR="00502D21" w:rsidRPr="00CB0D02">
        <w:rPr>
          <w:rFonts w:eastAsia="Calibri"/>
          <w:b/>
        </w:rPr>
        <w:t>,</w:t>
      </w:r>
      <w:r w:rsidR="00B01958" w:rsidRPr="00CB0D02">
        <w:rPr>
          <w:rFonts w:eastAsia="Calibri"/>
          <w:b/>
        </w:rPr>
        <w:t xml:space="preserve"> and </w:t>
      </w:r>
      <w:r w:rsidR="000141DC" w:rsidRPr="00CB0D02">
        <w:rPr>
          <w:rFonts w:eastAsia="Calibri"/>
          <w:b/>
        </w:rPr>
        <w:t xml:space="preserve">will </w:t>
      </w:r>
      <w:r w:rsidR="0093281A" w:rsidRPr="00CB0D02">
        <w:rPr>
          <w:rFonts w:eastAsia="Calibri"/>
          <w:b/>
        </w:rPr>
        <w:t xml:space="preserve">make every effort to ensure that good practices </w:t>
      </w:r>
      <w:r w:rsidRPr="00CB0D02">
        <w:rPr>
          <w:rFonts w:eastAsia="Calibri"/>
          <w:b/>
        </w:rPr>
        <w:t>on national follow-up processes</w:t>
      </w:r>
      <w:r w:rsidR="000E0181" w:rsidRPr="00CB0D02">
        <w:rPr>
          <w:rFonts w:eastAsia="Calibri"/>
          <w:b/>
        </w:rPr>
        <w:t xml:space="preserve">, </w:t>
      </w:r>
      <w:r w:rsidR="000E0181" w:rsidRPr="00CB0D02">
        <w:rPr>
          <w:b/>
        </w:rPr>
        <w:t>including on how the U</w:t>
      </w:r>
      <w:r w:rsidR="001B298F">
        <w:rPr>
          <w:b/>
        </w:rPr>
        <w:t xml:space="preserve">nited </w:t>
      </w:r>
      <w:r w:rsidR="000E0181" w:rsidRPr="00CB0D02">
        <w:rPr>
          <w:b/>
        </w:rPr>
        <w:t>N</w:t>
      </w:r>
      <w:r w:rsidR="001B298F">
        <w:rPr>
          <w:b/>
        </w:rPr>
        <w:t>ations</w:t>
      </w:r>
      <w:r w:rsidR="000E0181" w:rsidRPr="00CB0D02">
        <w:rPr>
          <w:b/>
        </w:rPr>
        <w:t xml:space="preserve"> agencies at country level are working together to promote Human Rights Up</w:t>
      </w:r>
      <w:r w:rsidR="001B298F">
        <w:rPr>
          <w:b/>
        </w:rPr>
        <w:t xml:space="preserve"> F</w:t>
      </w:r>
      <w:r w:rsidR="000E0181" w:rsidRPr="00CB0D02">
        <w:rPr>
          <w:b/>
        </w:rPr>
        <w:t>ront</w:t>
      </w:r>
      <w:r w:rsidRPr="00CB0D02">
        <w:rPr>
          <w:rFonts w:eastAsia="Calibri"/>
          <w:b/>
        </w:rPr>
        <w:t xml:space="preserve"> </w:t>
      </w:r>
      <w:r w:rsidR="000141DC" w:rsidRPr="00CB0D02">
        <w:rPr>
          <w:rFonts w:eastAsia="Calibri"/>
          <w:b/>
        </w:rPr>
        <w:t>and</w:t>
      </w:r>
      <w:r w:rsidR="0093281A" w:rsidRPr="00CB0D02">
        <w:rPr>
          <w:rFonts w:eastAsia="Calibri"/>
          <w:b/>
        </w:rPr>
        <w:t xml:space="preserve"> </w:t>
      </w:r>
      <w:r w:rsidR="00502D21" w:rsidRPr="00CB0D02">
        <w:rPr>
          <w:rFonts w:eastAsia="Calibri"/>
          <w:b/>
        </w:rPr>
        <w:t>on</w:t>
      </w:r>
      <w:r w:rsidR="00CD4F3D" w:rsidRPr="00CB0D02">
        <w:rPr>
          <w:rFonts w:eastAsia="Calibri"/>
          <w:b/>
        </w:rPr>
        <w:t xml:space="preserve"> </w:t>
      </w:r>
      <w:r w:rsidR="0093281A" w:rsidRPr="00CB0D02">
        <w:rPr>
          <w:rFonts w:eastAsia="Calibri"/>
          <w:b/>
        </w:rPr>
        <w:t>follow-up to common global thematic human rights issues</w:t>
      </w:r>
      <w:r w:rsidR="00502D21" w:rsidRPr="00CB0D02">
        <w:rPr>
          <w:rFonts w:eastAsia="Calibri"/>
          <w:b/>
        </w:rPr>
        <w:t xml:space="preserve">, </w:t>
      </w:r>
      <w:r w:rsidR="001B298F">
        <w:rPr>
          <w:rFonts w:eastAsia="Calibri"/>
          <w:b/>
        </w:rPr>
        <w:t>such as</w:t>
      </w:r>
      <w:r w:rsidR="001B298F" w:rsidRPr="00CB0D02">
        <w:rPr>
          <w:rFonts w:eastAsia="Calibri"/>
          <w:b/>
        </w:rPr>
        <w:t xml:space="preserve"> </w:t>
      </w:r>
      <w:r w:rsidR="00502D21" w:rsidRPr="00CB0D02">
        <w:rPr>
          <w:rFonts w:eastAsia="Calibri"/>
          <w:b/>
        </w:rPr>
        <w:t xml:space="preserve">global </w:t>
      </w:r>
      <w:r w:rsidR="009459CA" w:rsidRPr="00CB0D02">
        <w:rPr>
          <w:rFonts w:eastAsia="Calibri"/>
          <w:b/>
        </w:rPr>
        <w:t>them</w:t>
      </w:r>
      <w:r w:rsidR="00502D21" w:rsidRPr="00CB0D02">
        <w:rPr>
          <w:rFonts w:eastAsia="Calibri"/>
          <w:b/>
        </w:rPr>
        <w:t>es such as</w:t>
      </w:r>
      <w:r w:rsidRPr="00CB0D02">
        <w:rPr>
          <w:rFonts w:eastAsia="Calibri"/>
          <w:b/>
        </w:rPr>
        <w:t xml:space="preserve"> prevention of violence against women and prevention of torture</w:t>
      </w:r>
      <w:r w:rsidR="001B298F">
        <w:rPr>
          <w:rFonts w:eastAsia="Calibri"/>
          <w:b/>
        </w:rPr>
        <w:t>,</w:t>
      </w:r>
      <w:r w:rsidR="0093281A" w:rsidRPr="00CB0D02">
        <w:rPr>
          <w:rFonts w:eastAsia="Calibri"/>
          <w:b/>
        </w:rPr>
        <w:t xml:space="preserve"> are documented and shared </w:t>
      </w:r>
      <w:r w:rsidR="000141DC" w:rsidRPr="00CB0D02">
        <w:rPr>
          <w:rFonts w:eastAsia="Calibri"/>
          <w:b/>
        </w:rPr>
        <w:t>to enable</w:t>
      </w:r>
      <w:r w:rsidR="0093281A" w:rsidRPr="00CB0D02">
        <w:rPr>
          <w:rFonts w:eastAsia="Calibri"/>
          <w:b/>
        </w:rPr>
        <w:t xml:space="preserve"> other States </w:t>
      </w:r>
      <w:r w:rsidR="000141DC" w:rsidRPr="00CB0D02">
        <w:rPr>
          <w:rFonts w:eastAsia="Calibri"/>
          <w:b/>
        </w:rPr>
        <w:t xml:space="preserve">to </w:t>
      </w:r>
      <w:r w:rsidR="0093281A" w:rsidRPr="00CB0D02">
        <w:rPr>
          <w:rFonts w:eastAsia="Calibri"/>
          <w:b/>
        </w:rPr>
        <w:t xml:space="preserve">replicate </w:t>
      </w:r>
      <w:r w:rsidRPr="00CB0D02">
        <w:rPr>
          <w:rFonts w:eastAsia="Calibri"/>
          <w:b/>
        </w:rPr>
        <w:t>them</w:t>
      </w:r>
      <w:r w:rsidR="001B298F">
        <w:rPr>
          <w:rFonts w:eastAsia="Calibri"/>
          <w:b/>
        </w:rPr>
        <w:t>, while</w:t>
      </w:r>
      <w:r w:rsidR="0093281A" w:rsidRPr="00CB0D02">
        <w:rPr>
          <w:rFonts w:eastAsia="Calibri"/>
          <w:b/>
        </w:rPr>
        <w:t xml:space="preserve"> tailoring them to their own specific needs.</w:t>
      </w:r>
      <w:r w:rsidR="00E229FA" w:rsidRPr="00CB0D02">
        <w:rPr>
          <w:rFonts w:eastAsia="Calibri"/>
          <w:b/>
        </w:rPr>
        <w:t xml:space="preserve"> </w:t>
      </w:r>
    </w:p>
    <w:p w:rsidR="0093281A" w:rsidRPr="00CB0D02" w:rsidRDefault="0093281A" w:rsidP="002E06A3">
      <w:pPr>
        <w:pStyle w:val="SingleTxtG"/>
        <w:numPr>
          <w:ilvl w:val="0"/>
          <w:numId w:val="8"/>
        </w:numPr>
        <w:tabs>
          <w:tab w:val="clear" w:pos="2835"/>
        </w:tabs>
        <w:ind w:left="1134"/>
        <w:rPr>
          <w:rFonts w:eastAsia="Calibri"/>
          <w:b/>
          <w:lang w:val="en-US"/>
        </w:rPr>
      </w:pPr>
      <w:r w:rsidRPr="00CB0D02">
        <w:rPr>
          <w:rFonts w:eastAsia="Calibri"/>
          <w:b/>
          <w:lang w:val="en-US"/>
        </w:rPr>
        <w:t>It should be re-emphasized that the primary responsibility for the implementation of recommendations</w:t>
      </w:r>
      <w:r w:rsidR="001B298F">
        <w:rPr>
          <w:rFonts w:eastAsia="Calibri"/>
          <w:b/>
          <w:lang w:val="en-US"/>
        </w:rPr>
        <w:t xml:space="preserve"> emanating from universal periodic review</w:t>
      </w:r>
      <w:r w:rsidRPr="00CB0D02">
        <w:rPr>
          <w:rFonts w:eastAsia="Calibri"/>
          <w:b/>
          <w:lang w:val="en-US"/>
        </w:rPr>
        <w:t xml:space="preserve"> rests with States themselves and</w:t>
      </w:r>
      <w:r w:rsidR="00560608" w:rsidRPr="00CB0D02">
        <w:rPr>
          <w:rFonts w:eastAsia="Calibri"/>
          <w:b/>
          <w:lang w:val="en-US"/>
        </w:rPr>
        <w:t>,</w:t>
      </w:r>
      <w:r w:rsidRPr="00CB0D02">
        <w:rPr>
          <w:rFonts w:eastAsia="Calibri"/>
          <w:b/>
          <w:lang w:val="en-US"/>
        </w:rPr>
        <w:t xml:space="preserve"> as appropriate, with other relevant sta</w:t>
      </w:r>
      <w:r w:rsidR="00502D21" w:rsidRPr="00CB0D02">
        <w:rPr>
          <w:rFonts w:eastAsia="Calibri"/>
          <w:b/>
          <w:lang w:val="en-US"/>
        </w:rPr>
        <w:t>keholders. Hence, it is crucially important</w:t>
      </w:r>
      <w:r w:rsidRPr="00CB0D02">
        <w:rPr>
          <w:rFonts w:eastAsia="Calibri"/>
          <w:b/>
          <w:lang w:val="en-US"/>
        </w:rPr>
        <w:t xml:space="preserve"> that the active participation of other stakeholders in the follow-up process be </w:t>
      </w:r>
      <w:r w:rsidR="005A6FDD" w:rsidRPr="00CB0D02">
        <w:rPr>
          <w:rFonts w:eastAsia="Calibri"/>
          <w:b/>
          <w:lang w:val="en-US"/>
        </w:rPr>
        <w:t xml:space="preserve">secured </w:t>
      </w:r>
      <w:r w:rsidRPr="00CB0D02">
        <w:rPr>
          <w:rFonts w:eastAsia="Calibri"/>
          <w:b/>
          <w:lang w:val="en-US"/>
        </w:rPr>
        <w:t>and encouraged</w:t>
      </w:r>
      <w:r w:rsidR="007A056A" w:rsidRPr="00CB0D02">
        <w:rPr>
          <w:rFonts w:eastAsia="Calibri"/>
          <w:b/>
          <w:lang w:val="en-US"/>
        </w:rPr>
        <w:t>.</w:t>
      </w:r>
    </w:p>
    <w:p w:rsidR="00934251" w:rsidRPr="00FC21EB" w:rsidRDefault="00934251" w:rsidP="002E06A3">
      <w:pPr>
        <w:pStyle w:val="SingleTxtG"/>
        <w:numPr>
          <w:ilvl w:val="0"/>
          <w:numId w:val="8"/>
        </w:numPr>
        <w:tabs>
          <w:tab w:val="clear" w:pos="2835"/>
        </w:tabs>
        <w:ind w:left="1134"/>
        <w:rPr>
          <w:rFonts w:eastAsia="Calibri"/>
          <w:b/>
          <w:lang w:val="en-US"/>
        </w:rPr>
      </w:pPr>
      <w:r w:rsidRPr="00CB0D02">
        <w:rPr>
          <w:rFonts w:eastAsia="Calibri"/>
          <w:b/>
          <w:lang w:val="en-US"/>
        </w:rPr>
        <w:t>It should also be emphasized that it is vital that more co</w:t>
      </w:r>
      <w:r w:rsidR="00502D21" w:rsidRPr="00CB0D02">
        <w:rPr>
          <w:rFonts w:eastAsia="Calibri"/>
          <w:b/>
          <w:lang w:val="en-US"/>
        </w:rPr>
        <w:t>ntributions be made to the Voluntary</w:t>
      </w:r>
      <w:r w:rsidRPr="00CB0D02">
        <w:rPr>
          <w:rFonts w:eastAsia="Calibri"/>
          <w:b/>
          <w:lang w:val="en-US"/>
        </w:rPr>
        <w:t xml:space="preserve"> Fund in order to ensure the sustainability of support to States in implementing </w:t>
      </w:r>
      <w:r w:rsidR="00F30F28" w:rsidRPr="00CB0D02">
        <w:rPr>
          <w:rFonts w:eastAsia="Calibri"/>
          <w:b/>
          <w:lang w:val="en-US"/>
        </w:rPr>
        <w:t>recommendations of international human rights mechanisms in a more systematic and integrated manner.</w:t>
      </w:r>
    </w:p>
    <w:p w:rsidR="0093281A" w:rsidRPr="0093281A" w:rsidRDefault="0093281A" w:rsidP="00724DFA">
      <w:pPr>
        <w:spacing w:before="240" w:line="360" w:lineRule="auto"/>
        <w:ind w:left="1134" w:right="1134"/>
        <w:jc w:val="center"/>
        <w:rPr>
          <w:u w:val="single"/>
        </w:rPr>
      </w:pPr>
      <w:r>
        <w:rPr>
          <w:u w:val="single"/>
        </w:rPr>
        <w:tab/>
      </w:r>
      <w:r>
        <w:rPr>
          <w:u w:val="single"/>
        </w:rPr>
        <w:tab/>
      </w:r>
      <w:r>
        <w:rPr>
          <w:u w:val="single"/>
        </w:rPr>
        <w:tab/>
      </w:r>
    </w:p>
    <w:sectPr w:rsidR="0093281A" w:rsidRPr="0093281A" w:rsidSect="00A41AD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C8" w:rsidRDefault="00AC58C8"/>
  </w:endnote>
  <w:endnote w:type="continuationSeparator" w:id="0">
    <w:p w:rsidR="00AC58C8" w:rsidRDefault="00AC58C8"/>
  </w:endnote>
  <w:endnote w:type="continuationNotice" w:id="1">
    <w:p w:rsidR="00AC58C8" w:rsidRDefault="00AC5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9" w:rsidRPr="00A970A5" w:rsidRDefault="00B673F9" w:rsidP="00A970A5">
    <w:pPr>
      <w:pStyle w:val="Footer"/>
      <w:tabs>
        <w:tab w:val="right" w:pos="9638"/>
      </w:tabs>
    </w:pPr>
    <w:r w:rsidRPr="00A970A5">
      <w:rPr>
        <w:b/>
        <w:sz w:val="18"/>
      </w:rPr>
      <w:fldChar w:fldCharType="begin"/>
    </w:r>
    <w:r w:rsidRPr="00A970A5">
      <w:rPr>
        <w:b/>
        <w:sz w:val="18"/>
      </w:rPr>
      <w:instrText xml:space="preserve"> PAGE  \* MERGEFORMAT </w:instrText>
    </w:r>
    <w:r w:rsidRPr="00A970A5">
      <w:rPr>
        <w:b/>
        <w:sz w:val="18"/>
      </w:rPr>
      <w:fldChar w:fldCharType="separate"/>
    </w:r>
    <w:r w:rsidR="00EF390E">
      <w:rPr>
        <w:b/>
        <w:noProof/>
        <w:sz w:val="18"/>
      </w:rPr>
      <w:t>2</w:t>
    </w:r>
    <w:r w:rsidRPr="00A970A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9" w:rsidRPr="00A970A5" w:rsidRDefault="00B673F9" w:rsidP="00A970A5">
    <w:pPr>
      <w:pStyle w:val="Footer"/>
      <w:tabs>
        <w:tab w:val="right" w:pos="9638"/>
      </w:tabs>
      <w:rPr>
        <w:b/>
        <w:sz w:val="18"/>
      </w:rPr>
    </w:pPr>
    <w:r>
      <w:tab/>
    </w:r>
    <w:r w:rsidRPr="00A970A5">
      <w:rPr>
        <w:b/>
        <w:sz w:val="18"/>
      </w:rPr>
      <w:fldChar w:fldCharType="begin"/>
    </w:r>
    <w:r w:rsidRPr="00A970A5">
      <w:rPr>
        <w:b/>
        <w:sz w:val="18"/>
      </w:rPr>
      <w:instrText xml:space="preserve"> PAGE  \* MERGEFORMAT </w:instrText>
    </w:r>
    <w:r w:rsidRPr="00A970A5">
      <w:rPr>
        <w:b/>
        <w:sz w:val="18"/>
      </w:rPr>
      <w:fldChar w:fldCharType="separate"/>
    </w:r>
    <w:r w:rsidR="00EF390E">
      <w:rPr>
        <w:b/>
        <w:noProof/>
        <w:sz w:val="18"/>
      </w:rPr>
      <w:t>11</w:t>
    </w:r>
    <w:r w:rsidRPr="00A970A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B2" w:rsidRPr="004006A9" w:rsidRDefault="009E1917" w:rsidP="001B58B2">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2"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8B2">
      <w:t>GE.15-</w:t>
    </w:r>
    <w:r w:rsidR="00C26CEA">
      <w:t>06970</w:t>
    </w:r>
    <w:r w:rsidR="003F0F33">
      <w:t xml:space="preserve">  (E)</w:t>
    </w:r>
    <w:r w:rsidR="00A228BC">
      <w:br/>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r w:rsidR="00A228BC" w:rsidRPr="00A228B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C8" w:rsidRPr="000B175B" w:rsidRDefault="00AC58C8" w:rsidP="000B175B">
      <w:pPr>
        <w:tabs>
          <w:tab w:val="right" w:pos="2155"/>
        </w:tabs>
        <w:spacing w:after="80"/>
        <w:ind w:left="680"/>
        <w:rPr>
          <w:u w:val="single"/>
        </w:rPr>
      </w:pPr>
      <w:r>
        <w:rPr>
          <w:u w:val="single"/>
        </w:rPr>
        <w:tab/>
      </w:r>
    </w:p>
  </w:footnote>
  <w:footnote w:type="continuationSeparator" w:id="0">
    <w:p w:rsidR="00AC58C8" w:rsidRPr="00FC68B7" w:rsidRDefault="00AC58C8" w:rsidP="00FC68B7">
      <w:pPr>
        <w:tabs>
          <w:tab w:val="left" w:pos="2155"/>
        </w:tabs>
        <w:spacing w:after="80"/>
        <w:ind w:left="680"/>
        <w:rPr>
          <w:u w:val="single"/>
        </w:rPr>
      </w:pPr>
      <w:r>
        <w:rPr>
          <w:u w:val="single"/>
        </w:rPr>
        <w:tab/>
      </w:r>
    </w:p>
  </w:footnote>
  <w:footnote w:type="continuationNotice" w:id="1">
    <w:p w:rsidR="00AC58C8" w:rsidRDefault="00AC58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9" w:rsidRPr="00A970A5" w:rsidRDefault="00103607">
    <w:pPr>
      <w:pStyle w:val="Header"/>
    </w:pPr>
    <w:r>
      <w:t>A/HRC/29/22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9" w:rsidRPr="00A970A5" w:rsidRDefault="00831198" w:rsidP="00A970A5">
    <w:pPr>
      <w:pStyle w:val="Header"/>
      <w:jc w:val="right"/>
    </w:pPr>
    <w:r>
      <w:t>A/HRC/29/22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BC" w:rsidRDefault="00A22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F40DBD"/>
    <w:multiLevelType w:val="hybridMultilevel"/>
    <w:tmpl w:val="936AC7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11B578AF"/>
    <w:multiLevelType w:val="hybridMultilevel"/>
    <w:tmpl w:val="43709276"/>
    <w:lvl w:ilvl="0" w:tplc="4F1C547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EE4E37"/>
    <w:multiLevelType w:val="hybridMultilevel"/>
    <w:tmpl w:val="EA7088DA"/>
    <w:lvl w:ilvl="0" w:tplc="08CE4ACC">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767128B4"/>
    <w:multiLevelType w:val="hybridMultilevel"/>
    <w:tmpl w:val="43709276"/>
    <w:lvl w:ilvl="0" w:tplc="4F1C547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6"/>
  </w:num>
  <w:num w:numId="2">
    <w:abstractNumId w:val="5"/>
  </w:num>
  <w:num w:numId="3">
    <w:abstractNumId w:val="9"/>
  </w:num>
  <w:num w:numId="4">
    <w:abstractNumId w:val="2"/>
  </w:num>
  <w:num w:numId="5">
    <w:abstractNumId w:val="0"/>
  </w:num>
  <w:num w:numId="6">
    <w:abstractNumId w:val="1"/>
  </w:num>
  <w:num w:numId="7">
    <w:abstractNumId w:val="8"/>
  </w:num>
  <w:num w:numId="8">
    <w:abstractNumId w:val="10"/>
  </w:num>
  <w:num w:numId="9">
    <w:abstractNumId w:val="7"/>
  </w:num>
  <w:num w:numId="10">
    <w:abstractNumId w:val="4"/>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A5"/>
    <w:rsid w:val="00004344"/>
    <w:rsid w:val="00007F7F"/>
    <w:rsid w:val="00011C08"/>
    <w:rsid w:val="000141DC"/>
    <w:rsid w:val="00022DB5"/>
    <w:rsid w:val="000403D1"/>
    <w:rsid w:val="000449AA"/>
    <w:rsid w:val="00050F6B"/>
    <w:rsid w:val="00072C8C"/>
    <w:rsid w:val="000736DA"/>
    <w:rsid w:val="00073E70"/>
    <w:rsid w:val="000827B9"/>
    <w:rsid w:val="00085508"/>
    <w:rsid w:val="000876EB"/>
    <w:rsid w:val="00091419"/>
    <w:rsid w:val="000931C0"/>
    <w:rsid w:val="000A3A21"/>
    <w:rsid w:val="000A5E62"/>
    <w:rsid w:val="000B175B"/>
    <w:rsid w:val="000B3A0F"/>
    <w:rsid w:val="000B4A3B"/>
    <w:rsid w:val="000B5515"/>
    <w:rsid w:val="000C5562"/>
    <w:rsid w:val="000D0C79"/>
    <w:rsid w:val="000D1851"/>
    <w:rsid w:val="000E0181"/>
    <w:rsid w:val="000E0415"/>
    <w:rsid w:val="000F43DA"/>
    <w:rsid w:val="00103607"/>
    <w:rsid w:val="00121C43"/>
    <w:rsid w:val="00135773"/>
    <w:rsid w:val="00142779"/>
    <w:rsid w:val="00145A4A"/>
    <w:rsid w:val="00146D32"/>
    <w:rsid w:val="001509BA"/>
    <w:rsid w:val="00157026"/>
    <w:rsid w:val="00160ECF"/>
    <w:rsid w:val="0016144F"/>
    <w:rsid w:val="00162288"/>
    <w:rsid w:val="0017403E"/>
    <w:rsid w:val="001819A3"/>
    <w:rsid w:val="00182BC6"/>
    <w:rsid w:val="00184134"/>
    <w:rsid w:val="001859B9"/>
    <w:rsid w:val="00191395"/>
    <w:rsid w:val="001A21B3"/>
    <w:rsid w:val="001A6AB5"/>
    <w:rsid w:val="001A7688"/>
    <w:rsid w:val="001B298F"/>
    <w:rsid w:val="001B2AD8"/>
    <w:rsid w:val="001B4B04"/>
    <w:rsid w:val="001B58B2"/>
    <w:rsid w:val="001B7CE2"/>
    <w:rsid w:val="001B7DDA"/>
    <w:rsid w:val="001C1869"/>
    <w:rsid w:val="001C3307"/>
    <w:rsid w:val="001C6663"/>
    <w:rsid w:val="001C7895"/>
    <w:rsid w:val="001D0054"/>
    <w:rsid w:val="001D19D2"/>
    <w:rsid w:val="001D26DF"/>
    <w:rsid w:val="001D43FB"/>
    <w:rsid w:val="001D7178"/>
    <w:rsid w:val="001E1F3E"/>
    <w:rsid w:val="001E2790"/>
    <w:rsid w:val="001E4AF8"/>
    <w:rsid w:val="001F1C1C"/>
    <w:rsid w:val="001F5511"/>
    <w:rsid w:val="002036B8"/>
    <w:rsid w:val="00211E0B"/>
    <w:rsid w:val="00211E72"/>
    <w:rsid w:val="00214047"/>
    <w:rsid w:val="0022130F"/>
    <w:rsid w:val="0022475B"/>
    <w:rsid w:val="00237785"/>
    <w:rsid w:val="002410DD"/>
    <w:rsid w:val="00241466"/>
    <w:rsid w:val="002538D9"/>
    <w:rsid w:val="00253D58"/>
    <w:rsid w:val="0026378D"/>
    <w:rsid w:val="002748F7"/>
    <w:rsid w:val="00276709"/>
    <w:rsid w:val="0027725F"/>
    <w:rsid w:val="002802CE"/>
    <w:rsid w:val="002847F5"/>
    <w:rsid w:val="00295C96"/>
    <w:rsid w:val="002A3B20"/>
    <w:rsid w:val="002A5711"/>
    <w:rsid w:val="002C18CF"/>
    <w:rsid w:val="002C21F0"/>
    <w:rsid w:val="002D0DB4"/>
    <w:rsid w:val="002D3A36"/>
    <w:rsid w:val="002D7A4C"/>
    <w:rsid w:val="002E06A3"/>
    <w:rsid w:val="002E3084"/>
    <w:rsid w:val="002E701C"/>
    <w:rsid w:val="002F0A8A"/>
    <w:rsid w:val="002F24C5"/>
    <w:rsid w:val="00301468"/>
    <w:rsid w:val="003066C5"/>
    <w:rsid w:val="003107FA"/>
    <w:rsid w:val="00312DF2"/>
    <w:rsid w:val="0031585F"/>
    <w:rsid w:val="00317977"/>
    <w:rsid w:val="00317E17"/>
    <w:rsid w:val="003229D8"/>
    <w:rsid w:val="00323818"/>
    <w:rsid w:val="00325E7D"/>
    <w:rsid w:val="00327FE7"/>
    <w:rsid w:val="003314D1"/>
    <w:rsid w:val="00335A2F"/>
    <w:rsid w:val="0033650A"/>
    <w:rsid w:val="00340F30"/>
    <w:rsid w:val="00341937"/>
    <w:rsid w:val="00360D9C"/>
    <w:rsid w:val="00366395"/>
    <w:rsid w:val="00370AEF"/>
    <w:rsid w:val="003733C4"/>
    <w:rsid w:val="00375255"/>
    <w:rsid w:val="003827F7"/>
    <w:rsid w:val="0039277A"/>
    <w:rsid w:val="003972E0"/>
    <w:rsid w:val="003975ED"/>
    <w:rsid w:val="003B0C11"/>
    <w:rsid w:val="003B3DDB"/>
    <w:rsid w:val="003B5B86"/>
    <w:rsid w:val="003C2CC4"/>
    <w:rsid w:val="003C36EC"/>
    <w:rsid w:val="003C7315"/>
    <w:rsid w:val="003C7369"/>
    <w:rsid w:val="003D4B23"/>
    <w:rsid w:val="003E2A58"/>
    <w:rsid w:val="003E5E89"/>
    <w:rsid w:val="003F0F33"/>
    <w:rsid w:val="004023EB"/>
    <w:rsid w:val="004048BA"/>
    <w:rsid w:val="0042300A"/>
    <w:rsid w:val="00424C80"/>
    <w:rsid w:val="00431C4C"/>
    <w:rsid w:val="00432272"/>
    <w:rsid w:val="004325CB"/>
    <w:rsid w:val="004329E3"/>
    <w:rsid w:val="00441482"/>
    <w:rsid w:val="004436C5"/>
    <w:rsid w:val="0044503A"/>
    <w:rsid w:val="00446DE4"/>
    <w:rsid w:val="00447761"/>
    <w:rsid w:val="00451EC3"/>
    <w:rsid w:val="0045664C"/>
    <w:rsid w:val="00461058"/>
    <w:rsid w:val="00465CEA"/>
    <w:rsid w:val="004721B1"/>
    <w:rsid w:val="004822C5"/>
    <w:rsid w:val="004859EC"/>
    <w:rsid w:val="00496A15"/>
    <w:rsid w:val="00496A95"/>
    <w:rsid w:val="004A3D28"/>
    <w:rsid w:val="004B75D2"/>
    <w:rsid w:val="004C4566"/>
    <w:rsid w:val="004C705E"/>
    <w:rsid w:val="004D1140"/>
    <w:rsid w:val="004E1BC5"/>
    <w:rsid w:val="004E60EF"/>
    <w:rsid w:val="004F55ED"/>
    <w:rsid w:val="00502023"/>
    <w:rsid w:val="00502D21"/>
    <w:rsid w:val="00504EBC"/>
    <w:rsid w:val="005134B7"/>
    <w:rsid w:val="0052176C"/>
    <w:rsid w:val="00524870"/>
    <w:rsid w:val="005261E5"/>
    <w:rsid w:val="00535AC1"/>
    <w:rsid w:val="005403FE"/>
    <w:rsid w:val="005420F2"/>
    <w:rsid w:val="00542574"/>
    <w:rsid w:val="005436AB"/>
    <w:rsid w:val="00546DBF"/>
    <w:rsid w:val="00553D76"/>
    <w:rsid w:val="005552B5"/>
    <w:rsid w:val="00560608"/>
    <w:rsid w:val="0056117B"/>
    <w:rsid w:val="00566815"/>
    <w:rsid w:val="005708EE"/>
    <w:rsid w:val="00571365"/>
    <w:rsid w:val="00573CA7"/>
    <w:rsid w:val="005811BB"/>
    <w:rsid w:val="00584D20"/>
    <w:rsid w:val="005871FC"/>
    <w:rsid w:val="005A2E53"/>
    <w:rsid w:val="005A6FDD"/>
    <w:rsid w:val="005B3DB3"/>
    <w:rsid w:val="005B6E48"/>
    <w:rsid w:val="005C59D5"/>
    <w:rsid w:val="005D3388"/>
    <w:rsid w:val="005E0869"/>
    <w:rsid w:val="005E1712"/>
    <w:rsid w:val="005F2A22"/>
    <w:rsid w:val="005F7481"/>
    <w:rsid w:val="00611E76"/>
    <w:rsid w:val="00611FC4"/>
    <w:rsid w:val="0061314C"/>
    <w:rsid w:val="00615036"/>
    <w:rsid w:val="006176FB"/>
    <w:rsid w:val="0062343E"/>
    <w:rsid w:val="006362C5"/>
    <w:rsid w:val="00640B26"/>
    <w:rsid w:val="00647030"/>
    <w:rsid w:val="006538FA"/>
    <w:rsid w:val="00657B69"/>
    <w:rsid w:val="00657BA9"/>
    <w:rsid w:val="00662DE7"/>
    <w:rsid w:val="00667C43"/>
    <w:rsid w:val="00670741"/>
    <w:rsid w:val="0068235D"/>
    <w:rsid w:val="0069267A"/>
    <w:rsid w:val="00696BD6"/>
    <w:rsid w:val="006A4124"/>
    <w:rsid w:val="006A5AA8"/>
    <w:rsid w:val="006A63DF"/>
    <w:rsid w:val="006A6B9D"/>
    <w:rsid w:val="006A7392"/>
    <w:rsid w:val="006B3189"/>
    <w:rsid w:val="006B3266"/>
    <w:rsid w:val="006B7D65"/>
    <w:rsid w:val="006C159D"/>
    <w:rsid w:val="006D6DA6"/>
    <w:rsid w:val="006E564B"/>
    <w:rsid w:val="006E78DA"/>
    <w:rsid w:val="006F13F0"/>
    <w:rsid w:val="006F1C1D"/>
    <w:rsid w:val="006F3FD7"/>
    <w:rsid w:val="006F4CEE"/>
    <w:rsid w:val="006F5035"/>
    <w:rsid w:val="007065EB"/>
    <w:rsid w:val="00720183"/>
    <w:rsid w:val="00724DFA"/>
    <w:rsid w:val="0072632A"/>
    <w:rsid w:val="00730C06"/>
    <w:rsid w:val="00731D00"/>
    <w:rsid w:val="00737DFA"/>
    <w:rsid w:val="0074200B"/>
    <w:rsid w:val="00746A1A"/>
    <w:rsid w:val="00756AA4"/>
    <w:rsid w:val="0076578D"/>
    <w:rsid w:val="00771059"/>
    <w:rsid w:val="00774D0D"/>
    <w:rsid w:val="00780C85"/>
    <w:rsid w:val="00786888"/>
    <w:rsid w:val="007876D6"/>
    <w:rsid w:val="007915C9"/>
    <w:rsid w:val="00792FA9"/>
    <w:rsid w:val="00794A42"/>
    <w:rsid w:val="00794DD0"/>
    <w:rsid w:val="0079500D"/>
    <w:rsid w:val="007969F3"/>
    <w:rsid w:val="007A056A"/>
    <w:rsid w:val="007A26B1"/>
    <w:rsid w:val="007A6296"/>
    <w:rsid w:val="007A728C"/>
    <w:rsid w:val="007B2AD6"/>
    <w:rsid w:val="007B6BA5"/>
    <w:rsid w:val="007B7030"/>
    <w:rsid w:val="007C1B62"/>
    <w:rsid w:val="007C3390"/>
    <w:rsid w:val="007C4F4B"/>
    <w:rsid w:val="007D11AD"/>
    <w:rsid w:val="007D2CDC"/>
    <w:rsid w:val="007D5327"/>
    <w:rsid w:val="007E64B1"/>
    <w:rsid w:val="007F130F"/>
    <w:rsid w:val="007F6611"/>
    <w:rsid w:val="007F6CB8"/>
    <w:rsid w:val="008113CD"/>
    <w:rsid w:val="008155C3"/>
    <w:rsid w:val="008175E9"/>
    <w:rsid w:val="0082243E"/>
    <w:rsid w:val="008242D7"/>
    <w:rsid w:val="00831048"/>
    <w:rsid w:val="00831198"/>
    <w:rsid w:val="008351BC"/>
    <w:rsid w:val="00856CD2"/>
    <w:rsid w:val="00861BC6"/>
    <w:rsid w:val="00870B8A"/>
    <w:rsid w:val="00871FD5"/>
    <w:rsid w:val="008830E1"/>
    <w:rsid w:val="008836F7"/>
    <w:rsid w:val="00886854"/>
    <w:rsid w:val="0089387A"/>
    <w:rsid w:val="008979B1"/>
    <w:rsid w:val="008A6B25"/>
    <w:rsid w:val="008A6C4F"/>
    <w:rsid w:val="008B31EB"/>
    <w:rsid w:val="008B4A75"/>
    <w:rsid w:val="008C1E4D"/>
    <w:rsid w:val="008C2982"/>
    <w:rsid w:val="008D2D52"/>
    <w:rsid w:val="008E0E46"/>
    <w:rsid w:val="008E14CA"/>
    <w:rsid w:val="008F02A6"/>
    <w:rsid w:val="008F6DDE"/>
    <w:rsid w:val="00901A80"/>
    <w:rsid w:val="0090452C"/>
    <w:rsid w:val="00907C3F"/>
    <w:rsid w:val="0091108F"/>
    <w:rsid w:val="009147A8"/>
    <w:rsid w:val="009202AD"/>
    <w:rsid w:val="0092237C"/>
    <w:rsid w:val="0092743A"/>
    <w:rsid w:val="0093281A"/>
    <w:rsid w:val="00934251"/>
    <w:rsid w:val="00935BF1"/>
    <w:rsid w:val="0093707B"/>
    <w:rsid w:val="009400EB"/>
    <w:rsid w:val="00941067"/>
    <w:rsid w:val="009427E3"/>
    <w:rsid w:val="009459CA"/>
    <w:rsid w:val="00945A8F"/>
    <w:rsid w:val="0095111A"/>
    <w:rsid w:val="00956D9B"/>
    <w:rsid w:val="00961EEC"/>
    <w:rsid w:val="00963CBA"/>
    <w:rsid w:val="009654B7"/>
    <w:rsid w:val="009672A0"/>
    <w:rsid w:val="00977B08"/>
    <w:rsid w:val="00980386"/>
    <w:rsid w:val="009875C3"/>
    <w:rsid w:val="00987F78"/>
    <w:rsid w:val="00991261"/>
    <w:rsid w:val="00994D7F"/>
    <w:rsid w:val="0099675C"/>
    <w:rsid w:val="009A0B83"/>
    <w:rsid w:val="009B0932"/>
    <w:rsid w:val="009B12AA"/>
    <w:rsid w:val="009B3800"/>
    <w:rsid w:val="009B3D99"/>
    <w:rsid w:val="009B434E"/>
    <w:rsid w:val="009C66B0"/>
    <w:rsid w:val="009D22AC"/>
    <w:rsid w:val="009D50DB"/>
    <w:rsid w:val="009E1917"/>
    <w:rsid w:val="009E1C4E"/>
    <w:rsid w:val="009F37BF"/>
    <w:rsid w:val="009F706A"/>
    <w:rsid w:val="00A05E0B"/>
    <w:rsid w:val="00A117E3"/>
    <w:rsid w:val="00A11EE2"/>
    <w:rsid w:val="00A1427D"/>
    <w:rsid w:val="00A16660"/>
    <w:rsid w:val="00A228BC"/>
    <w:rsid w:val="00A36978"/>
    <w:rsid w:val="00A4029C"/>
    <w:rsid w:val="00A41ADF"/>
    <w:rsid w:val="00A4634F"/>
    <w:rsid w:val="00A50AEB"/>
    <w:rsid w:val="00A51CF3"/>
    <w:rsid w:val="00A55E34"/>
    <w:rsid w:val="00A656AD"/>
    <w:rsid w:val="00A66F1C"/>
    <w:rsid w:val="00A72F22"/>
    <w:rsid w:val="00A748A6"/>
    <w:rsid w:val="00A778A6"/>
    <w:rsid w:val="00A80D42"/>
    <w:rsid w:val="00A83DF1"/>
    <w:rsid w:val="00A879A4"/>
    <w:rsid w:val="00A87E95"/>
    <w:rsid w:val="00A92E29"/>
    <w:rsid w:val="00A970A5"/>
    <w:rsid w:val="00AA2F8E"/>
    <w:rsid w:val="00AB0A24"/>
    <w:rsid w:val="00AB2BF4"/>
    <w:rsid w:val="00AC22B1"/>
    <w:rsid w:val="00AC3C42"/>
    <w:rsid w:val="00AC58C8"/>
    <w:rsid w:val="00AD09E9"/>
    <w:rsid w:val="00AF0576"/>
    <w:rsid w:val="00AF3829"/>
    <w:rsid w:val="00AF4AFF"/>
    <w:rsid w:val="00AF7D13"/>
    <w:rsid w:val="00B01958"/>
    <w:rsid w:val="00B02662"/>
    <w:rsid w:val="00B037F0"/>
    <w:rsid w:val="00B06B9C"/>
    <w:rsid w:val="00B16CFF"/>
    <w:rsid w:val="00B21A39"/>
    <w:rsid w:val="00B2327D"/>
    <w:rsid w:val="00B2718F"/>
    <w:rsid w:val="00B30179"/>
    <w:rsid w:val="00B32511"/>
    <w:rsid w:val="00B32E17"/>
    <w:rsid w:val="00B3317B"/>
    <w:rsid w:val="00B334DC"/>
    <w:rsid w:val="00B3631A"/>
    <w:rsid w:val="00B40D82"/>
    <w:rsid w:val="00B447E9"/>
    <w:rsid w:val="00B512AC"/>
    <w:rsid w:val="00B53013"/>
    <w:rsid w:val="00B53513"/>
    <w:rsid w:val="00B673F9"/>
    <w:rsid w:val="00B67F5E"/>
    <w:rsid w:val="00B73E65"/>
    <w:rsid w:val="00B75105"/>
    <w:rsid w:val="00B77F10"/>
    <w:rsid w:val="00B81E12"/>
    <w:rsid w:val="00B87110"/>
    <w:rsid w:val="00B97FA8"/>
    <w:rsid w:val="00BA402A"/>
    <w:rsid w:val="00BC1385"/>
    <w:rsid w:val="00BC738C"/>
    <w:rsid w:val="00BC74E9"/>
    <w:rsid w:val="00BE5290"/>
    <w:rsid w:val="00BE618E"/>
    <w:rsid w:val="00BF06D5"/>
    <w:rsid w:val="00BF2ED5"/>
    <w:rsid w:val="00C0523B"/>
    <w:rsid w:val="00C10462"/>
    <w:rsid w:val="00C1309B"/>
    <w:rsid w:val="00C14812"/>
    <w:rsid w:val="00C24693"/>
    <w:rsid w:val="00C26CEA"/>
    <w:rsid w:val="00C35F0B"/>
    <w:rsid w:val="00C40E1B"/>
    <w:rsid w:val="00C463DD"/>
    <w:rsid w:val="00C47FDD"/>
    <w:rsid w:val="00C50719"/>
    <w:rsid w:val="00C64458"/>
    <w:rsid w:val="00C65CB0"/>
    <w:rsid w:val="00C745C3"/>
    <w:rsid w:val="00C74972"/>
    <w:rsid w:val="00C83F3E"/>
    <w:rsid w:val="00C971D3"/>
    <w:rsid w:val="00CA2A58"/>
    <w:rsid w:val="00CA4779"/>
    <w:rsid w:val="00CA7D55"/>
    <w:rsid w:val="00CB0D02"/>
    <w:rsid w:val="00CC0B55"/>
    <w:rsid w:val="00CC1E06"/>
    <w:rsid w:val="00CD2782"/>
    <w:rsid w:val="00CD4F3D"/>
    <w:rsid w:val="00CD6995"/>
    <w:rsid w:val="00CE4A8F"/>
    <w:rsid w:val="00CE6D5C"/>
    <w:rsid w:val="00CF0214"/>
    <w:rsid w:val="00CF17B9"/>
    <w:rsid w:val="00CF2C74"/>
    <w:rsid w:val="00CF586F"/>
    <w:rsid w:val="00CF7D43"/>
    <w:rsid w:val="00D0062D"/>
    <w:rsid w:val="00D10EC7"/>
    <w:rsid w:val="00D11129"/>
    <w:rsid w:val="00D11A66"/>
    <w:rsid w:val="00D2031B"/>
    <w:rsid w:val="00D22332"/>
    <w:rsid w:val="00D226FD"/>
    <w:rsid w:val="00D23897"/>
    <w:rsid w:val="00D25FE2"/>
    <w:rsid w:val="00D319E5"/>
    <w:rsid w:val="00D42DB3"/>
    <w:rsid w:val="00D43182"/>
    <w:rsid w:val="00D43252"/>
    <w:rsid w:val="00D46B92"/>
    <w:rsid w:val="00D550F9"/>
    <w:rsid w:val="00D572B0"/>
    <w:rsid w:val="00D57758"/>
    <w:rsid w:val="00D610E0"/>
    <w:rsid w:val="00D62E90"/>
    <w:rsid w:val="00D660E6"/>
    <w:rsid w:val="00D71E7B"/>
    <w:rsid w:val="00D76BE5"/>
    <w:rsid w:val="00D809A0"/>
    <w:rsid w:val="00D82D6E"/>
    <w:rsid w:val="00D83D7D"/>
    <w:rsid w:val="00D978C6"/>
    <w:rsid w:val="00DA4E45"/>
    <w:rsid w:val="00DA67AD"/>
    <w:rsid w:val="00DB18CE"/>
    <w:rsid w:val="00DB1D78"/>
    <w:rsid w:val="00DB5B15"/>
    <w:rsid w:val="00DB5E61"/>
    <w:rsid w:val="00DC4F1D"/>
    <w:rsid w:val="00DC600D"/>
    <w:rsid w:val="00DE3EC0"/>
    <w:rsid w:val="00DF729A"/>
    <w:rsid w:val="00E000AC"/>
    <w:rsid w:val="00E11593"/>
    <w:rsid w:val="00E12B6B"/>
    <w:rsid w:val="00E130AB"/>
    <w:rsid w:val="00E15FD4"/>
    <w:rsid w:val="00E173CF"/>
    <w:rsid w:val="00E229FA"/>
    <w:rsid w:val="00E27F47"/>
    <w:rsid w:val="00E35983"/>
    <w:rsid w:val="00E42383"/>
    <w:rsid w:val="00E4339A"/>
    <w:rsid w:val="00E438D9"/>
    <w:rsid w:val="00E51149"/>
    <w:rsid w:val="00E5644E"/>
    <w:rsid w:val="00E575D2"/>
    <w:rsid w:val="00E65259"/>
    <w:rsid w:val="00E7260F"/>
    <w:rsid w:val="00E74FFF"/>
    <w:rsid w:val="00E800A1"/>
    <w:rsid w:val="00E806EE"/>
    <w:rsid w:val="00E87C61"/>
    <w:rsid w:val="00E93C02"/>
    <w:rsid w:val="00E96630"/>
    <w:rsid w:val="00EA017A"/>
    <w:rsid w:val="00EB00F4"/>
    <w:rsid w:val="00EB0FB9"/>
    <w:rsid w:val="00ED0CA9"/>
    <w:rsid w:val="00ED4977"/>
    <w:rsid w:val="00ED7A2A"/>
    <w:rsid w:val="00EE5F19"/>
    <w:rsid w:val="00EF1D7F"/>
    <w:rsid w:val="00EF390E"/>
    <w:rsid w:val="00EF5BDB"/>
    <w:rsid w:val="00F07FD9"/>
    <w:rsid w:val="00F11386"/>
    <w:rsid w:val="00F20F04"/>
    <w:rsid w:val="00F2232B"/>
    <w:rsid w:val="00F23933"/>
    <w:rsid w:val="00F24119"/>
    <w:rsid w:val="00F24313"/>
    <w:rsid w:val="00F255B9"/>
    <w:rsid w:val="00F30F28"/>
    <w:rsid w:val="00F33C18"/>
    <w:rsid w:val="00F40E75"/>
    <w:rsid w:val="00F42CD9"/>
    <w:rsid w:val="00F42E49"/>
    <w:rsid w:val="00F501AD"/>
    <w:rsid w:val="00F52936"/>
    <w:rsid w:val="00F57CE3"/>
    <w:rsid w:val="00F63B0E"/>
    <w:rsid w:val="00F677CB"/>
    <w:rsid w:val="00F70859"/>
    <w:rsid w:val="00F801BA"/>
    <w:rsid w:val="00F816D9"/>
    <w:rsid w:val="00F8396C"/>
    <w:rsid w:val="00F84FE2"/>
    <w:rsid w:val="00FA7DF3"/>
    <w:rsid w:val="00FB4A4A"/>
    <w:rsid w:val="00FC21EB"/>
    <w:rsid w:val="00FC2F47"/>
    <w:rsid w:val="00FC68B7"/>
    <w:rsid w:val="00FC6F85"/>
    <w:rsid w:val="00FD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A36978"/>
    <w:pPr>
      <w:spacing w:line="240" w:lineRule="auto"/>
    </w:pPr>
    <w:rPr>
      <w:rFonts w:ascii="Tahoma" w:hAnsi="Tahoma" w:cs="Tahoma"/>
      <w:sz w:val="16"/>
      <w:szCs w:val="16"/>
    </w:rPr>
  </w:style>
  <w:style w:type="character" w:customStyle="1" w:styleId="BalloonTextChar">
    <w:name w:val="Balloon Text Char"/>
    <w:link w:val="BalloonText"/>
    <w:rsid w:val="00A36978"/>
    <w:rPr>
      <w:rFonts w:ascii="Tahoma" w:hAnsi="Tahoma" w:cs="Tahoma"/>
      <w:sz w:val="16"/>
      <w:szCs w:val="16"/>
      <w:lang w:eastAsia="en-US"/>
    </w:rPr>
  </w:style>
  <w:style w:type="character" w:styleId="CommentReference">
    <w:name w:val="annotation reference"/>
    <w:semiHidden/>
    <w:rsid w:val="00977B08"/>
    <w:rPr>
      <w:sz w:val="16"/>
      <w:szCs w:val="16"/>
    </w:rPr>
  </w:style>
  <w:style w:type="paragraph" w:styleId="CommentText">
    <w:name w:val="annotation text"/>
    <w:basedOn w:val="Normal"/>
    <w:semiHidden/>
    <w:rsid w:val="00977B08"/>
  </w:style>
  <w:style w:type="paragraph" w:styleId="CommentSubject">
    <w:name w:val="annotation subject"/>
    <w:basedOn w:val="CommentText"/>
    <w:next w:val="CommentText"/>
    <w:semiHidden/>
    <w:rsid w:val="00977B08"/>
    <w:rPr>
      <w:b/>
      <w:bCs/>
    </w:rPr>
  </w:style>
  <w:style w:type="character" w:customStyle="1" w:styleId="hps">
    <w:name w:val="hps"/>
    <w:rsid w:val="001C1869"/>
  </w:style>
  <w:style w:type="paragraph" w:styleId="Revision">
    <w:name w:val="Revision"/>
    <w:hidden/>
    <w:uiPriority w:val="99"/>
    <w:semiHidden/>
    <w:rsid w:val="00CF2C74"/>
    <w:rPr>
      <w:lang w:eastAsia="en-US"/>
    </w:rPr>
  </w:style>
  <w:style w:type="character" w:customStyle="1" w:styleId="admitted">
    <w:name w:val="admitted"/>
    <w:rsid w:val="00CF2C74"/>
  </w:style>
  <w:style w:type="character" w:styleId="Emphasis">
    <w:name w:val="Emphasis"/>
    <w:uiPriority w:val="20"/>
    <w:qFormat/>
    <w:rsid w:val="00CF2C74"/>
    <w:rPr>
      <w:i/>
      <w:iCs/>
    </w:rPr>
  </w:style>
  <w:style w:type="character" w:customStyle="1" w:styleId="preferred">
    <w:name w:val="preferred"/>
    <w:rsid w:val="00B53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A36978"/>
    <w:pPr>
      <w:spacing w:line="240" w:lineRule="auto"/>
    </w:pPr>
    <w:rPr>
      <w:rFonts w:ascii="Tahoma" w:hAnsi="Tahoma" w:cs="Tahoma"/>
      <w:sz w:val="16"/>
      <w:szCs w:val="16"/>
    </w:rPr>
  </w:style>
  <w:style w:type="character" w:customStyle="1" w:styleId="BalloonTextChar">
    <w:name w:val="Balloon Text Char"/>
    <w:link w:val="BalloonText"/>
    <w:rsid w:val="00A36978"/>
    <w:rPr>
      <w:rFonts w:ascii="Tahoma" w:hAnsi="Tahoma" w:cs="Tahoma"/>
      <w:sz w:val="16"/>
      <w:szCs w:val="16"/>
      <w:lang w:eastAsia="en-US"/>
    </w:rPr>
  </w:style>
  <w:style w:type="character" w:styleId="CommentReference">
    <w:name w:val="annotation reference"/>
    <w:semiHidden/>
    <w:rsid w:val="00977B08"/>
    <w:rPr>
      <w:sz w:val="16"/>
      <w:szCs w:val="16"/>
    </w:rPr>
  </w:style>
  <w:style w:type="paragraph" w:styleId="CommentText">
    <w:name w:val="annotation text"/>
    <w:basedOn w:val="Normal"/>
    <w:semiHidden/>
    <w:rsid w:val="00977B08"/>
  </w:style>
  <w:style w:type="paragraph" w:styleId="CommentSubject">
    <w:name w:val="annotation subject"/>
    <w:basedOn w:val="CommentText"/>
    <w:next w:val="CommentText"/>
    <w:semiHidden/>
    <w:rsid w:val="00977B08"/>
    <w:rPr>
      <w:b/>
      <w:bCs/>
    </w:rPr>
  </w:style>
  <w:style w:type="character" w:customStyle="1" w:styleId="hps">
    <w:name w:val="hps"/>
    <w:rsid w:val="001C1869"/>
  </w:style>
  <w:style w:type="paragraph" w:styleId="Revision">
    <w:name w:val="Revision"/>
    <w:hidden/>
    <w:uiPriority w:val="99"/>
    <w:semiHidden/>
    <w:rsid w:val="00CF2C74"/>
    <w:rPr>
      <w:lang w:eastAsia="en-US"/>
    </w:rPr>
  </w:style>
  <w:style w:type="character" w:customStyle="1" w:styleId="admitted">
    <w:name w:val="admitted"/>
    <w:rsid w:val="00CF2C74"/>
  </w:style>
  <w:style w:type="character" w:styleId="Emphasis">
    <w:name w:val="Emphasis"/>
    <w:uiPriority w:val="20"/>
    <w:qFormat/>
    <w:rsid w:val="00CF2C74"/>
    <w:rPr>
      <w:i/>
      <w:iCs/>
    </w:rPr>
  </w:style>
  <w:style w:type="character" w:customStyle="1" w:styleId="preferred">
    <w:name w:val="preferred"/>
    <w:rsid w:val="00B5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6273">
      <w:bodyDiv w:val="1"/>
      <w:marLeft w:val="0"/>
      <w:marRight w:val="0"/>
      <w:marTop w:val="0"/>
      <w:marBottom w:val="0"/>
      <w:divBdr>
        <w:top w:val="none" w:sz="0" w:space="0" w:color="auto"/>
        <w:left w:val="none" w:sz="0" w:space="0" w:color="auto"/>
        <w:bottom w:val="none" w:sz="0" w:space="0" w:color="auto"/>
        <w:right w:val="none" w:sz="0" w:space="0" w:color="auto"/>
      </w:divBdr>
    </w:div>
    <w:div w:id="15827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Templates\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28FA9-77B0-4EAA-BA62-691C223F1D25}"/>
</file>

<file path=customXml/itemProps2.xml><?xml version="1.0" encoding="utf-8"?>
<ds:datastoreItem xmlns:ds="http://schemas.openxmlformats.org/officeDocument/2006/customXml" ds:itemID="{62211AA9-FB81-4193-B597-85CE6255A4A6}"/>
</file>

<file path=customXml/itemProps3.xml><?xml version="1.0" encoding="utf-8"?>
<ds:datastoreItem xmlns:ds="http://schemas.openxmlformats.org/officeDocument/2006/customXml" ds:itemID="{F8217919-5B65-4B2C-A69F-9F7A21D7897A}"/>
</file>

<file path=docProps/app.xml><?xml version="1.0" encoding="utf-8"?>
<Properties xmlns="http://schemas.openxmlformats.org/officeDocument/2006/extended-properties" xmlns:vt="http://schemas.openxmlformats.org/officeDocument/2006/docPropsVTypes">
  <Template>A_E.dotm</Template>
  <TotalTime>0</TotalTime>
  <Pages>12</Pages>
  <Words>6029</Words>
  <Characters>29306</Characters>
  <Application>Microsoft Office Word</Application>
  <DocSecurity>0</DocSecurity>
  <Lines>666</Lines>
  <Paragraphs>346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Fund for Financial and Technical Assistance n the Implementation of the Universal Periodic Review in English</dc:title>
  <dc:creator>Sumiko IHARA</dc:creator>
  <cp:lastModifiedBy>Temporaire</cp:lastModifiedBy>
  <cp:revision>2</cp:revision>
  <cp:lastPrinted>2015-03-19T06:58:00Z</cp:lastPrinted>
  <dcterms:created xsi:type="dcterms:W3CDTF">2015-04-02T09:09:00Z</dcterms:created>
  <dcterms:modified xsi:type="dcterms:W3CDTF">2015-04-02T09:09:00Z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