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6C0DD4" w:rsidTr="00E70E04">
        <w:trPr>
          <w:trHeight w:hRule="exact" w:val="851"/>
        </w:trPr>
        <w:tc>
          <w:tcPr>
            <w:tcW w:w="1274" w:type="dxa"/>
            <w:tcBorders>
              <w:bottom w:val="single" w:sz="4" w:space="0" w:color="auto"/>
            </w:tcBorders>
          </w:tcPr>
          <w:p w:rsidR="006B3E27" w:rsidRPr="006C0DD4" w:rsidRDefault="006B3E27" w:rsidP="00E76499">
            <w:pPr>
              <w:bidi w:val="0"/>
              <w:jc w:val="right"/>
            </w:pPr>
          </w:p>
        </w:tc>
        <w:tc>
          <w:tcPr>
            <w:tcW w:w="4112" w:type="dxa"/>
            <w:tcBorders>
              <w:bottom w:val="single" w:sz="4" w:space="0" w:color="auto"/>
            </w:tcBorders>
            <w:vAlign w:val="bottom"/>
          </w:tcPr>
          <w:p w:rsidR="006B3E27" w:rsidRPr="006C0DD4" w:rsidRDefault="006B3E27" w:rsidP="00E70E04">
            <w:pPr>
              <w:spacing w:after="80" w:line="480" w:lineRule="exact"/>
              <w:jc w:val="left"/>
              <w:rPr>
                <w:szCs w:val="40"/>
                <w:rtl/>
              </w:rPr>
            </w:pPr>
            <w:r w:rsidRPr="006C0DD4">
              <w:rPr>
                <w:rFonts w:hint="cs"/>
                <w:szCs w:val="40"/>
                <w:rtl/>
              </w:rPr>
              <w:t>الأمم المتحدة</w:t>
            </w:r>
          </w:p>
        </w:tc>
        <w:tc>
          <w:tcPr>
            <w:tcW w:w="4253" w:type="dxa"/>
            <w:tcBorders>
              <w:bottom w:val="single" w:sz="4" w:space="0" w:color="auto"/>
            </w:tcBorders>
            <w:vAlign w:val="bottom"/>
          </w:tcPr>
          <w:p w:rsidR="006B3E27" w:rsidRPr="006C0DD4" w:rsidRDefault="00D125E2" w:rsidP="00D125E2">
            <w:pPr>
              <w:bidi w:val="0"/>
              <w:spacing w:after="20"/>
              <w:jc w:val="left"/>
              <w:rPr>
                <w:szCs w:val="20"/>
              </w:rPr>
            </w:pPr>
            <w:r w:rsidRPr="006C0DD4">
              <w:rPr>
                <w:sz w:val="40"/>
                <w:szCs w:val="20"/>
              </w:rPr>
              <w:t>A</w:t>
            </w:r>
            <w:r w:rsidRPr="006C0DD4">
              <w:rPr>
                <w:szCs w:val="20"/>
              </w:rPr>
              <w:t>/HRC/29/23</w:t>
            </w:r>
          </w:p>
        </w:tc>
      </w:tr>
      <w:tr w:rsidR="006B3E27" w:rsidRPr="006C0DD4" w:rsidTr="00E70E04">
        <w:trPr>
          <w:trHeight w:hRule="exact" w:val="2835"/>
        </w:trPr>
        <w:tc>
          <w:tcPr>
            <w:tcW w:w="1274" w:type="dxa"/>
            <w:tcBorders>
              <w:top w:val="single" w:sz="4" w:space="0" w:color="auto"/>
              <w:bottom w:val="single" w:sz="12" w:space="0" w:color="auto"/>
            </w:tcBorders>
          </w:tcPr>
          <w:p w:rsidR="006B3E27" w:rsidRPr="006C0DD4" w:rsidRDefault="0059622A" w:rsidP="00B477A4">
            <w:pPr>
              <w:jc w:val="center"/>
              <w:rPr>
                <w:rtl/>
              </w:rPr>
            </w:pPr>
            <w:r w:rsidRPr="006C0DD4">
              <w:rPr>
                <w:noProof/>
              </w:rPr>
              <w:drawing>
                <wp:inline distT="0" distB="0" distL="0" distR="0" wp14:anchorId="72E1838F" wp14:editId="508105E6">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C0DD4" w:rsidRDefault="001E1CAD" w:rsidP="00E70E04">
            <w:pPr>
              <w:spacing w:before="120" w:after="40" w:line="640" w:lineRule="exact"/>
              <w:jc w:val="left"/>
              <w:rPr>
                <w:b/>
                <w:bCs/>
                <w:sz w:val="60"/>
                <w:szCs w:val="60"/>
              </w:rPr>
            </w:pPr>
            <w:r w:rsidRPr="006C0DD4">
              <w:rPr>
                <w:rFonts w:hint="cs"/>
                <w:b/>
                <w:bCs/>
                <w:sz w:val="60"/>
                <w:szCs w:val="60"/>
                <w:rtl/>
              </w:rPr>
              <w:t>الجمعية العامة</w:t>
            </w:r>
          </w:p>
        </w:tc>
        <w:tc>
          <w:tcPr>
            <w:tcW w:w="4253" w:type="dxa"/>
            <w:tcBorders>
              <w:top w:val="single" w:sz="4" w:space="0" w:color="auto"/>
              <w:bottom w:val="single" w:sz="12" w:space="0" w:color="auto"/>
            </w:tcBorders>
          </w:tcPr>
          <w:p w:rsidR="006B3E27" w:rsidRPr="006C0DD4" w:rsidRDefault="00D125E2" w:rsidP="00D125E2">
            <w:pPr>
              <w:bidi w:val="0"/>
              <w:spacing w:before="240"/>
              <w:jc w:val="left"/>
            </w:pPr>
            <w:r w:rsidRPr="006C0DD4">
              <w:t>Distr.: General</w:t>
            </w:r>
          </w:p>
          <w:p w:rsidR="00D125E2" w:rsidRPr="006C0DD4" w:rsidRDefault="00D125E2" w:rsidP="00D125E2">
            <w:pPr>
              <w:bidi w:val="0"/>
              <w:jc w:val="left"/>
            </w:pPr>
            <w:r w:rsidRPr="006C0DD4">
              <w:t>4 May 2015</w:t>
            </w:r>
          </w:p>
          <w:p w:rsidR="00D125E2" w:rsidRPr="006C0DD4" w:rsidRDefault="00D125E2" w:rsidP="00D125E2">
            <w:pPr>
              <w:bidi w:val="0"/>
              <w:jc w:val="left"/>
            </w:pPr>
            <w:r w:rsidRPr="006C0DD4">
              <w:t>Arabic</w:t>
            </w:r>
          </w:p>
          <w:p w:rsidR="00D125E2" w:rsidRPr="006C0DD4" w:rsidRDefault="00D125E2" w:rsidP="00D125E2">
            <w:pPr>
              <w:bidi w:val="0"/>
              <w:jc w:val="left"/>
            </w:pPr>
            <w:r w:rsidRPr="006C0DD4">
              <w:t>Original: English</w:t>
            </w:r>
          </w:p>
        </w:tc>
      </w:tr>
    </w:tbl>
    <w:p w:rsidR="00D125E2" w:rsidRPr="006C0DD4" w:rsidRDefault="00D125E2" w:rsidP="00D125E2">
      <w:pPr>
        <w:spacing w:before="120" w:line="380" w:lineRule="exact"/>
        <w:rPr>
          <w:b/>
          <w:bCs/>
          <w:sz w:val="26"/>
          <w:szCs w:val="36"/>
          <w:rtl/>
          <w:lang w:bidi="ar-SY"/>
        </w:rPr>
      </w:pPr>
      <w:r w:rsidRPr="006C0DD4">
        <w:rPr>
          <w:b/>
          <w:bCs/>
          <w:sz w:val="26"/>
          <w:szCs w:val="36"/>
          <w:rtl/>
          <w:lang w:bidi="ar-SY"/>
        </w:rPr>
        <w:t>مجلس حقوق الإنسان</w:t>
      </w:r>
    </w:p>
    <w:p w:rsidR="00D125E2" w:rsidRPr="006C0DD4" w:rsidRDefault="00D125E2" w:rsidP="00D125E2">
      <w:pPr>
        <w:spacing w:line="380" w:lineRule="exact"/>
        <w:rPr>
          <w:b/>
          <w:bCs/>
          <w:rtl/>
          <w:lang w:bidi="ar-SY"/>
        </w:rPr>
      </w:pPr>
      <w:r w:rsidRPr="006C0DD4">
        <w:rPr>
          <w:b/>
          <w:bCs/>
          <w:rtl/>
          <w:lang w:bidi="ar-SY"/>
        </w:rPr>
        <w:t xml:space="preserve">الدورة التاسعة </w:t>
      </w:r>
      <w:r w:rsidR="00E672BA">
        <w:rPr>
          <w:rFonts w:hint="cs"/>
          <w:b/>
          <w:bCs/>
          <w:rtl/>
        </w:rPr>
        <w:t>و</w:t>
      </w:r>
      <w:r w:rsidRPr="006C0DD4">
        <w:rPr>
          <w:b/>
          <w:bCs/>
          <w:rtl/>
          <w:lang w:bidi="ar-SY"/>
        </w:rPr>
        <w:t>العشرون</w:t>
      </w:r>
    </w:p>
    <w:p w:rsidR="00D125E2" w:rsidRPr="006C0DD4" w:rsidRDefault="00D125E2" w:rsidP="00D125E2">
      <w:pPr>
        <w:spacing w:line="380" w:lineRule="exact"/>
        <w:rPr>
          <w:rtl/>
          <w:lang w:bidi="ar-SY"/>
        </w:rPr>
      </w:pPr>
      <w:r w:rsidRPr="006C0DD4">
        <w:rPr>
          <w:rtl/>
          <w:lang w:bidi="ar-SY"/>
        </w:rPr>
        <w:t>البندان 2 و8 من جدول الأعمال</w:t>
      </w:r>
    </w:p>
    <w:p w:rsidR="00D125E2" w:rsidRPr="006C0DD4" w:rsidRDefault="00D125E2" w:rsidP="00F059E2">
      <w:pPr>
        <w:spacing w:after="120" w:line="380" w:lineRule="exact"/>
        <w:ind w:right="4394"/>
        <w:rPr>
          <w:b/>
          <w:bCs/>
          <w:lang w:val="fr-CH"/>
        </w:rPr>
      </w:pPr>
      <w:r w:rsidRPr="006C0DD4">
        <w:rPr>
          <w:b/>
          <w:bCs/>
          <w:rtl/>
        </w:rPr>
        <w:t>التقرير السنوي لمفوَّض الأمم المتحدة السامي لحقوق الإنسان وتقريرا المفوضية السامية والأمين العام</w:t>
      </w:r>
    </w:p>
    <w:p w:rsidR="00D125E2" w:rsidRPr="006C0DD4" w:rsidRDefault="00D125E2" w:rsidP="00F059E2">
      <w:pPr>
        <w:spacing w:after="120" w:line="380" w:lineRule="exact"/>
        <w:rPr>
          <w:b/>
          <w:bCs/>
          <w:rtl/>
        </w:rPr>
      </w:pPr>
      <w:r w:rsidRPr="006C0DD4">
        <w:rPr>
          <w:b/>
          <w:bCs/>
          <w:rtl/>
        </w:rPr>
        <w:t>متابعة وتنفيذ إعلان وبرنامج عمل فيينا</w:t>
      </w:r>
    </w:p>
    <w:p w:rsidR="00D125E2" w:rsidRPr="006C0DD4" w:rsidRDefault="00D125E2" w:rsidP="00D125E2">
      <w:pPr>
        <w:pStyle w:val="HChGA"/>
        <w:rPr>
          <w:spacing w:val="-6"/>
          <w:rtl/>
        </w:rPr>
      </w:pPr>
      <w:r w:rsidRPr="006C0DD4">
        <w:rPr>
          <w:rFonts w:hint="cs"/>
          <w:spacing w:val="-6"/>
          <w:rtl/>
        </w:rPr>
        <w:tab/>
      </w:r>
      <w:r w:rsidRPr="006C0DD4">
        <w:rPr>
          <w:rFonts w:hint="cs"/>
          <w:spacing w:val="-6"/>
          <w:rtl/>
        </w:rPr>
        <w:tab/>
      </w:r>
      <w:bookmarkStart w:id="0" w:name="_Toc420918995"/>
      <w:r w:rsidRPr="006C0DD4">
        <w:rPr>
          <w:spacing w:val="-6"/>
          <w:rtl/>
        </w:rPr>
        <w:t>التمييز والعنف ضد الأفراد على أساس ميلهم الجنسي وهويتهم الجنسانية</w:t>
      </w:r>
      <w:bookmarkEnd w:id="0"/>
    </w:p>
    <w:p w:rsidR="00D125E2" w:rsidRPr="006C0DD4" w:rsidRDefault="00D125E2" w:rsidP="00D125E2">
      <w:pPr>
        <w:pStyle w:val="H1GA"/>
        <w:rPr>
          <w:rtl/>
        </w:rPr>
      </w:pPr>
      <w:r w:rsidRPr="006C0DD4">
        <w:rPr>
          <w:rFonts w:hint="cs"/>
          <w:rtl/>
        </w:rPr>
        <w:tab/>
      </w:r>
      <w:r w:rsidRPr="006C0DD4">
        <w:rPr>
          <w:rFonts w:hint="cs"/>
          <w:rtl/>
        </w:rPr>
        <w:tab/>
      </w:r>
      <w:bookmarkStart w:id="1" w:name="_Toc420918996"/>
      <w:r w:rsidRPr="006C0DD4">
        <w:rPr>
          <w:rtl/>
        </w:rPr>
        <w:t>تقرير مفوضية الأمم المتحدة السامية لحقوق الإنسان</w:t>
      </w:r>
      <w:bookmarkEnd w:id="1"/>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D125E2" w:rsidRPr="006C0DD4" w:rsidTr="00411C20">
        <w:trPr>
          <w:jc w:val="center"/>
        </w:trPr>
        <w:tc>
          <w:tcPr>
            <w:tcW w:w="9637" w:type="dxa"/>
            <w:tcBorders>
              <w:bottom w:val="nil"/>
            </w:tcBorders>
            <w:shd w:val="clear" w:color="auto" w:fill="auto"/>
          </w:tcPr>
          <w:p w:rsidR="00D125E2" w:rsidRPr="006C0DD4" w:rsidRDefault="00D125E2" w:rsidP="00411C20">
            <w:pPr>
              <w:tabs>
                <w:tab w:val="left" w:pos="255"/>
              </w:tabs>
              <w:spacing w:before="120" w:after="120" w:line="380" w:lineRule="exact"/>
              <w:rPr>
                <w:rFonts w:ascii="Traditional Arabic" w:hAnsi="Traditional Arabic"/>
                <w:i/>
                <w:iCs/>
                <w:sz w:val="36"/>
                <w:szCs w:val="36"/>
                <w:rtl/>
              </w:rPr>
            </w:pPr>
            <w:r w:rsidRPr="006C0DD4">
              <w:rPr>
                <w:rFonts w:ascii="Traditional Arabic" w:hAnsi="Traditional Arabic"/>
                <w:i/>
                <w:iCs/>
                <w:sz w:val="36"/>
                <w:rtl/>
              </w:rPr>
              <w:tab/>
            </w:r>
            <w:r w:rsidRPr="006C0DD4">
              <w:rPr>
                <w:rFonts w:ascii="Traditional Arabic" w:hAnsi="Traditional Arabic"/>
                <w:i/>
                <w:iCs/>
                <w:sz w:val="36"/>
                <w:rtl/>
              </w:rPr>
              <w:tab/>
            </w:r>
            <w:r w:rsidRPr="006C0DD4">
              <w:rPr>
                <w:rFonts w:ascii="Traditional Arabic" w:hAnsi="Traditional Arabic"/>
                <w:i/>
                <w:iCs/>
                <w:sz w:val="36"/>
                <w:szCs w:val="36"/>
                <w:rtl/>
              </w:rPr>
              <w:t>موجز</w:t>
            </w:r>
          </w:p>
        </w:tc>
      </w:tr>
      <w:tr w:rsidR="00D125E2" w:rsidRPr="006C0DD4" w:rsidTr="00411C20">
        <w:trPr>
          <w:jc w:val="center"/>
        </w:trPr>
        <w:tc>
          <w:tcPr>
            <w:tcW w:w="9637" w:type="dxa"/>
            <w:tcBorders>
              <w:top w:val="nil"/>
              <w:bottom w:val="nil"/>
            </w:tcBorders>
            <w:shd w:val="clear" w:color="auto" w:fill="auto"/>
          </w:tcPr>
          <w:p w:rsidR="00D125E2" w:rsidRPr="00152B8D" w:rsidRDefault="00D125E2" w:rsidP="00411C20">
            <w:pPr>
              <w:pStyle w:val="SingleTxtGA"/>
              <w:spacing w:line="360" w:lineRule="exact"/>
              <w:rPr>
                <w:rtl/>
              </w:rPr>
            </w:pPr>
            <w:r w:rsidRPr="00152B8D">
              <w:rPr>
                <w:rFonts w:hint="cs"/>
                <w:rtl/>
              </w:rPr>
              <w:tab/>
            </w:r>
            <w:r w:rsidRPr="00152B8D">
              <w:rPr>
                <w:rtl/>
              </w:rPr>
              <w:t>يقدَّم هذا التقرير إلى مجلس حقوق الإنسان عملاً بقراره 27/32، الذي طلب فيه المجلس إلى مفوَّض الأمم المتحدة السامي لحقوق الإنسان أن يحدّث تقرير المفوضية السامية المتعلق بقضيتي العنف والتمييز ضد الأفراد على أساس ميلهم الجنسي وهويتهم الجنسانية (</w:t>
            </w:r>
            <w:r w:rsidRPr="00152B8D">
              <w:t>(A/HRC/19/41</w:t>
            </w:r>
            <w:r w:rsidRPr="00152B8D">
              <w:rPr>
                <w:rtl/>
              </w:rPr>
              <w:t>.</w:t>
            </w:r>
          </w:p>
        </w:tc>
      </w:tr>
      <w:tr w:rsidR="00D125E2" w:rsidRPr="006C0DD4" w:rsidTr="00411C20">
        <w:trPr>
          <w:jc w:val="center"/>
        </w:trPr>
        <w:tc>
          <w:tcPr>
            <w:tcW w:w="9637" w:type="dxa"/>
            <w:tcBorders>
              <w:top w:val="nil"/>
            </w:tcBorders>
            <w:shd w:val="clear" w:color="auto" w:fill="auto"/>
          </w:tcPr>
          <w:p w:rsidR="00D125E2" w:rsidRPr="006C0DD4" w:rsidRDefault="00D125E2" w:rsidP="00411C20">
            <w:pPr>
              <w:spacing w:line="200" w:lineRule="exact"/>
              <w:rPr>
                <w:rtl/>
              </w:rPr>
            </w:pPr>
          </w:p>
        </w:tc>
      </w:tr>
    </w:tbl>
    <w:p w:rsidR="00D125E2" w:rsidRPr="006C0DD4" w:rsidRDefault="00D125E2" w:rsidP="00D125E2">
      <w:pPr>
        <w:keepNext/>
        <w:keepLines/>
        <w:pageBreakBefore/>
        <w:spacing w:line="360" w:lineRule="exact"/>
        <w:rPr>
          <w:sz w:val="36"/>
          <w:szCs w:val="36"/>
          <w:rtl/>
        </w:rPr>
      </w:pPr>
      <w:r w:rsidRPr="006C0DD4">
        <w:rPr>
          <w:rFonts w:hint="cs"/>
          <w:sz w:val="36"/>
          <w:szCs w:val="36"/>
          <w:rtl/>
        </w:rPr>
        <w:lastRenderedPageBreak/>
        <w:t>المحتويات</w:t>
      </w:r>
    </w:p>
    <w:p w:rsidR="00D125E2" w:rsidRPr="006C0DD4" w:rsidRDefault="00D125E2">
      <w:pPr>
        <w:tabs>
          <w:tab w:val="left" w:pos="7917"/>
          <w:tab w:val="right" w:pos="9638"/>
        </w:tabs>
        <w:spacing w:before="120" w:after="120" w:line="240" w:lineRule="exact"/>
        <w:ind w:left="284"/>
        <w:rPr>
          <w:iCs/>
          <w:szCs w:val="28"/>
          <w:rtl/>
        </w:rPr>
      </w:pPr>
      <w:r w:rsidRPr="006C0DD4">
        <w:rPr>
          <w:i/>
        </w:rPr>
        <w:tab/>
      </w:r>
      <w:r w:rsidRPr="006C0DD4">
        <w:rPr>
          <w:rFonts w:hint="cs"/>
          <w:iCs/>
          <w:szCs w:val="28"/>
          <w:rtl/>
        </w:rPr>
        <w:t>الفقـرات</w:t>
      </w:r>
      <w:r w:rsidRPr="006C0DD4">
        <w:rPr>
          <w:i/>
        </w:rPr>
        <w:tab/>
      </w:r>
      <w:r w:rsidRPr="006C0DD4">
        <w:rPr>
          <w:rFonts w:hint="cs"/>
          <w:iCs/>
          <w:szCs w:val="28"/>
          <w:rtl/>
        </w:rPr>
        <w:t>الصفحة</w:t>
      </w:r>
    </w:p>
    <w:p w:rsidR="002C1E1C" w:rsidRPr="002C1E1C" w:rsidRDefault="002C1E1C" w:rsidP="002C1E1C">
      <w:pPr>
        <w:tabs>
          <w:tab w:val="right" w:pos="1021"/>
          <w:tab w:val="left" w:pos="1077"/>
          <w:tab w:val="left" w:pos="1525"/>
          <w:tab w:val="left" w:pos="1842"/>
          <w:tab w:val="left" w:leader="dot" w:pos="7469"/>
          <w:tab w:val="left" w:pos="7972"/>
          <w:tab w:val="right" w:pos="9638"/>
        </w:tabs>
        <w:spacing w:after="120" w:line="360" w:lineRule="exact"/>
        <w:rPr>
          <w:szCs w:val="28"/>
          <w:rtl/>
          <w:lang w:val="fr-CH"/>
        </w:rPr>
      </w:pPr>
      <w:r>
        <w:rPr>
          <w:rFonts w:hint="cs"/>
          <w:szCs w:val="28"/>
          <w:rtl/>
          <w:lang w:val="fr-CH"/>
        </w:rPr>
        <w:tab/>
      </w:r>
      <w:r w:rsidRPr="002C1E1C">
        <w:rPr>
          <w:rFonts w:hint="eastAsia"/>
          <w:szCs w:val="28"/>
          <w:rtl/>
          <w:lang w:val="fr-CH"/>
        </w:rPr>
        <w:t>أولاً</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مقدمة</w:t>
      </w:r>
      <w:r w:rsidRPr="002C1E1C">
        <w:rPr>
          <w:webHidden/>
          <w:szCs w:val="28"/>
          <w:rtl/>
          <w:lang w:val="fr-CH"/>
        </w:rPr>
        <w:tab/>
      </w:r>
      <w:r>
        <w:rPr>
          <w:rFonts w:hint="cs"/>
          <w:webHidden/>
          <w:szCs w:val="28"/>
          <w:rtl/>
          <w:lang w:val="fr-CH"/>
        </w:rPr>
        <w:tab/>
      </w:r>
      <w:r w:rsidR="00B84054">
        <w:rPr>
          <w:rFonts w:hint="cs"/>
          <w:webHidden/>
          <w:szCs w:val="28"/>
          <w:rtl/>
          <w:lang w:val="fr-CH"/>
        </w:rPr>
        <w:t>1-2</w:t>
      </w:r>
      <w:r>
        <w:rPr>
          <w:rFonts w:hint="cs"/>
          <w:webHidden/>
          <w:szCs w:val="28"/>
          <w:rtl/>
          <w:lang w:val="fr-CH"/>
        </w:rPr>
        <w:tab/>
      </w:r>
      <w:r w:rsidRPr="002C1E1C">
        <w:rPr>
          <w:webHidden/>
          <w:szCs w:val="28"/>
          <w:rtl/>
          <w:lang w:val="fr-CH"/>
        </w:rPr>
        <w:t>3</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rFonts w:hint="cs"/>
          <w:szCs w:val="28"/>
          <w:rtl/>
          <w:lang w:val="fr-CH"/>
        </w:rPr>
        <w:tab/>
      </w:r>
      <w:r w:rsidRPr="002C1E1C">
        <w:rPr>
          <w:rFonts w:hint="eastAsia"/>
          <w:szCs w:val="28"/>
          <w:rtl/>
          <w:lang w:val="fr-CH"/>
        </w:rPr>
        <w:t>ثانياً</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التطورات</w:t>
      </w:r>
      <w:r w:rsidRPr="002C1E1C">
        <w:rPr>
          <w:szCs w:val="28"/>
          <w:rtl/>
          <w:lang w:val="fr-CH"/>
        </w:rPr>
        <w:t xml:space="preserve"> </w:t>
      </w:r>
      <w:r w:rsidRPr="002C1E1C">
        <w:rPr>
          <w:rFonts w:hint="eastAsia"/>
          <w:szCs w:val="28"/>
          <w:rtl/>
          <w:lang w:val="fr-CH"/>
        </w:rPr>
        <w:t>الأخيرة</w:t>
      </w:r>
      <w:r w:rsidRPr="002C1E1C">
        <w:rPr>
          <w:webHidden/>
          <w:szCs w:val="28"/>
          <w:rtl/>
          <w:lang w:val="fr-CH"/>
        </w:rPr>
        <w:tab/>
      </w:r>
      <w:r>
        <w:rPr>
          <w:rFonts w:hint="cs"/>
          <w:webHidden/>
          <w:szCs w:val="28"/>
          <w:rtl/>
          <w:lang w:val="fr-CH"/>
        </w:rPr>
        <w:tab/>
      </w:r>
      <w:r w:rsidR="00B84054">
        <w:rPr>
          <w:rFonts w:hint="cs"/>
          <w:webHidden/>
          <w:szCs w:val="28"/>
          <w:rtl/>
          <w:lang w:val="fr-CH"/>
        </w:rPr>
        <w:t>3-8</w:t>
      </w:r>
      <w:r>
        <w:rPr>
          <w:rFonts w:hint="cs"/>
          <w:webHidden/>
          <w:szCs w:val="28"/>
          <w:rtl/>
          <w:lang w:val="fr-CH"/>
        </w:rPr>
        <w:tab/>
      </w:r>
      <w:r w:rsidRPr="002C1E1C">
        <w:rPr>
          <w:webHidden/>
          <w:szCs w:val="28"/>
          <w:rtl/>
          <w:lang w:val="fr-CH"/>
        </w:rPr>
        <w:t>3</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sidRPr="002C1E1C">
        <w:rPr>
          <w:rFonts w:hint="eastAsia"/>
          <w:szCs w:val="28"/>
          <w:rtl/>
          <w:lang w:val="fr-CH"/>
        </w:rPr>
        <w:t>ثالثاً</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المعايير</w:t>
      </w:r>
      <w:r w:rsidRPr="002C1E1C">
        <w:rPr>
          <w:szCs w:val="28"/>
          <w:rtl/>
          <w:lang w:val="fr-CH"/>
        </w:rPr>
        <w:t xml:space="preserve"> </w:t>
      </w:r>
      <w:r w:rsidRPr="002C1E1C">
        <w:rPr>
          <w:rFonts w:hint="eastAsia"/>
          <w:szCs w:val="28"/>
          <w:rtl/>
          <w:lang w:val="fr-CH"/>
        </w:rPr>
        <w:t>والالتزامات</w:t>
      </w:r>
      <w:r w:rsidRPr="002C1E1C">
        <w:rPr>
          <w:szCs w:val="28"/>
          <w:rtl/>
          <w:lang w:val="fr-CH"/>
        </w:rPr>
        <w:t xml:space="preserve"> </w:t>
      </w:r>
      <w:r w:rsidRPr="002C1E1C">
        <w:rPr>
          <w:rFonts w:hint="eastAsia"/>
          <w:szCs w:val="28"/>
          <w:rtl/>
          <w:lang w:val="fr-CH"/>
        </w:rPr>
        <w:t>الدولية</w:t>
      </w:r>
      <w:r w:rsidRPr="002C1E1C">
        <w:rPr>
          <w:szCs w:val="28"/>
          <w:rtl/>
          <w:lang w:val="fr-CH"/>
        </w:rPr>
        <w:t xml:space="preserve"> </w:t>
      </w:r>
      <w:r w:rsidRPr="002C1E1C">
        <w:rPr>
          <w:rFonts w:hint="eastAsia"/>
          <w:szCs w:val="28"/>
          <w:rtl/>
          <w:lang w:val="fr-CH"/>
        </w:rPr>
        <w:t>الواجبة</w:t>
      </w:r>
      <w:r w:rsidRPr="002C1E1C">
        <w:rPr>
          <w:szCs w:val="28"/>
          <w:rtl/>
          <w:lang w:val="fr-CH"/>
        </w:rPr>
        <w:t xml:space="preserve"> </w:t>
      </w:r>
      <w:r w:rsidRPr="002C1E1C">
        <w:rPr>
          <w:rFonts w:hint="eastAsia"/>
          <w:szCs w:val="28"/>
          <w:rtl/>
          <w:lang w:val="fr-CH"/>
        </w:rPr>
        <w:t>التطبيق</w:t>
      </w:r>
      <w:r w:rsidRPr="002C1E1C">
        <w:rPr>
          <w:webHidden/>
          <w:szCs w:val="28"/>
          <w:rtl/>
          <w:lang w:val="fr-CH"/>
        </w:rPr>
        <w:tab/>
      </w:r>
      <w:r>
        <w:rPr>
          <w:rFonts w:hint="cs"/>
          <w:webHidden/>
          <w:szCs w:val="28"/>
          <w:rtl/>
          <w:lang w:val="fr-CH"/>
        </w:rPr>
        <w:tab/>
      </w:r>
      <w:r w:rsidR="00B84054">
        <w:rPr>
          <w:rFonts w:hint="cs"/>
          <w:webHidden/>
          <w:szCs w:val="28"/>
          <w:rtl/>
          <w:lang w:val="fr-CH"/>
        </w:rPr>
        <w:t>9-19</w:t>
      </w:r>
      <w:r>
        <w:rPr>
          <w:rFonts w:hint="cs"/>
          <w:webHidden/>
          <w:szCs w:val="28"/>
          <w:rtl/>
          <w:lang w:val="fr-CH"/>
        </w:rPr>
        <w:tab/>
      </w:r>
      <w:r w:rsidRPr="002C1E1C">
        <w:rPr>
          <w:webHidden/>
          <w:szCs w:val="28"/>
          <w:rtl/>
          <w:lang w:val="fr-CH"/>
        </w:rPr>
        <w:t>5</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ألف</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حماية</w:t>
      </w:r>
      <w:r w:rsidRPr="002C1E1C">
        <w:rPr>
          <w:szCs w:val="28"/>
          <w:rtl/>
          <w:lang w:val="fr-CH"/>
        </w:rPr>
        <w:t xml:space="preserve"> </w:t>
      </w:r>
      <w:r w:rsidRPr="002C1E1C">
        <w:rPr>
          <w:rFonts w:hint="eastAsia"/>
          <w:szCs w:val="28"/>
          <w:rtl/>
          <w:lang w:val="fr-CH"/>
        </w:rPr>
        <w:t>الأفراد</w:t>
      </w:r>
      <w:r w:rsidRPr="002C1E1C">
        <w:rPr>
          <w:szCs w:val="28"/>
          <w:rtl/>
          <w:lang w:val="fr-CH"/>
        </w:rPr>
        <w:t xml:space="preserve"> </w:t>
      </w:r>
      <w:r w:rsidRPr="002C1E1C">
        <w:rPr>
          <w:rFonts w:hint="eastAsia"/>
          <w:szCs w:val="28"/>
          <w:rtl/>
          <w:lang w:val="fr-CH"/>
        </w:rPr>
        <w:t>من</w:t>
      </w:r>
      <w:r w:rsidRPr="002C1E1C">
        <w:rPr>
          <w:szCs w:val="28"/>
          <w:rtl/>
          <w:lang w:val="fr-CH"/>
        </w:rPr>
        <w:t xml:space="preserve"> </w:t>
      </w:r>
      <w:r w:rsidRPr="002C1E1C">
        <w:rPr>
          <w:rFonts w:hint="eastAsia"/>
          <w:szCs w:val="28"/>
          <w:rtl/>
          <w:lang w:val="fr-CH"/>
        </w:rPr>
        <w:t>العنف</w:t>
      </w:r>
      <w:r w:rsidRPr="002C1E1C">
        <w:rPr>
          <w:webHidden/>
          <w:szCs w:val="28"/>
          <w:rtl/>
          <w:lang w:val="fr-CH"/>
        </w:rPr>
        <w:tab/>
      </w:r>
      <w:r>
        <w:rPr>
          <w:rFonts w:hint="cs"/>
          <w:webHidden/>
          <w:szCs w:val="28"/>
          <w:rtl/>
          <w:lang w:val="fr-CH"/>
        </w:rPr>
        <w:tab/>
      </w:r>
      <w:r w:rsidR="00B84054">
        <w:rPr>
          <w:rFonts w:hint="cs"/>
          <w:webHidden/>
          <w:szCs w:val="28"/>
          <w:rtl/>
          <w:lang w:val="fr-CH"/>
        </w:rPr>
        <w:t>11-12</w:t>
      </w:r>
      <w:r>
        <w:rPr>
          <w:rFonts w:hint="cs"/>
          <w:webHidden/>
          <w:szCs w:val="28"/>
          <w:rtl/>
          <w:lang w:val="fr-CH"/>
        </w:rPr>
        <w:tab/>
      </w:r>
      <w:r w:rsidRPr="002C1E1C">
        <w:rPr>
          <w:webHidden/>
          <w:szCs w:val="28"/>
          <w:rtl/>
          <w:lang w:val="fr-CH"/>
        </w:rPr>
        <w:t>6</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باء</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منع</w:t>
      </w:r>
      <w:r w:rsidRPr="002C1E1C">
        <w:rPr>
          <w:szCs w:val="28"/>
          <w:rtl/>
          <w:lang w:val="fr-CH"/>
        </w:rPr>
        <w:t xml:space="preserve"> </w:t>
      </w:r>
      <w:r w:rsidRPr="002C1E1C">
        <w:rPr>
          <w:rFonts w:hint="eastAsia"/>
          <w:szCs w:val="28"/>
          <w:rtl/>
          <w:lang w:val="fr-CH"/>
        </w:rPr>
        <w:t>التعذيب</w:t>
      </w:r>
      <w:r w:rsidRPr="002C1E1C">
        <w:rPr>
          <w:szCs w:val="28"/>
          <w:rtl/>
          <w:lang w:val="fr-CH"/>
        </w:rPr>
        <w:t xml:space="preserve"> </w:t>
      </w:r>
      <w:r w:rsidRPr="002C1E1C">
        <w:rPr>
          <w:rFonts w:hint="eastAsia"/>
          <w:szCs w:val="28"/>
          <w:rtl/>
          <w:lang w:val="fr-CH"/>
        </w:rPr>
        <w:t>وسوء</w:t>
      </w:r>
      <w:r w:rsidRPr="002C1E1C">
        <w:rPr>
          <w:szCs w:val="28"/>
          <w:rtl/>
          <w:lang w:val="fr-CH"/>
        </w:rPr>
        <w:t xml:space="preserve"> </w:t>
      </w:r>
      <w:r w:rsidRPr="002C1E1C">
        <w:rPr>
          <w:rFonts w:hint="eastAsia"/>
          <w:szCs w:val="28"/>
          <w:rtl/>
          <w:lang w:val="fr-CH"/>
        </w:rPr>
        <w:t>المعاملة</w:t>
      </w:r>
      <w:r w:rsidRPr="002C1E1C">
        <w:rPr>
          <w:webHidden/>
          <w:szCs w:val="28"/>
          <w:rtl/>
          <w:lang w:val="fr-CH"/>
        </w:rPr>
        <w:tab/>
      </w:r>
      <w:r>
        <w:rPr>
          <w:rFonts w:hint="cs"/>
          <w:webHidden/>
          <w:szCs w:val="28"/>
          <w:rtl/>
          <w:lang w:val="fr-CH"/>
        </w:rPr>
        <w:tab/>
      </w:r>
      <w:r w:rsidR="00B84054">
        <w:rPr>
          <w:rFonts w:hint="cs"/>
          <w:webHidden/>
          <w:szCs w:val="28"/>
          <w:rtl/>
          <w:lang w:val="fr-CH"/>
        </w:rPr>
        <w:t>13-14</w:t>
      </w:r>
      <w:r>
        <w:rPr>
          <w:rFonts w:hint="cs"/>
          <w:webHidden/>
          <w:szCs w:val="28"/>
          <w:rtl/>
          <w:lang w:val="fr-CH"/>
        </w:rPr>
        <w:tab/>
      </w:r>
      <w:r w:rsidRPr="002C1E1C">
        <w:rPr>
          <w:webHidden/>
          <w:szCs w:val="28"/>
          <w:rtl/>
          <w:lang w:val="fr-CH"/>
        </w:rPr>
        <w:t>6</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40" w:hanging="2206"/>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جيم</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إلغاء</w:t>
      </w:r>
      <w:r w:rsidRPr="002C1E1C">
        <w:rPr>
          <w:szCs w:val="28"/>
          <w:rtl/>
          <w:lang w:val="fr-CH"/>
        </w:rPr>
        <w:t xml:space="preserve"> </w:t>
      </w:r>
      <w:r w:rsidRPr="002C1E1C">
        <w:rPr>
          <w:rFonts w:hint="eastAsia"/>
          <w:szCs w:val="28"/>
          <w:rtl/>
          <w:lang w:val="fr-CH"/>
        </w:rPr>
        <w:t>تجريم</w:t>
      </w:r>
      <w:r w:rsidRPr="002C1E1C">
        <w:rPr>
          <w:szCs w:val="28"/>
          <w:rtl/>
          <w:lang w:val="fr-CH"/>
        </w:rPr>
        <w:t xml:space="preserve"> </w:t>
      </w:r>
      <w:r w:rsidRPr="002C1E1C">
        <w:rPr>
          <w:rFonts w:hint="eastAsia"/>
          <w:szCs w:val="28"/>
          <w:rtl/>
          <w:lang w:val="fr-CH"/>
        </w:rPr>
        <w:t>المثلية</w:t>
      </w:r>
      <w:r w:rsidRPr="002C1E1C">
        <w:rPr>
          <w:szCs w:val="28"/>
          <w:rtl/>
          <w:lang w:val="fr-CH"/>
        </w:rPr>
        <w:t xml:space="preserve"> </w:t>
      </w:r>
      <w:r w:rsidRPr="002C1E1C">
        <w:rPr>
          <w:rFonts w:hint="eastAsia"/>
          <w:szCs w:val="28"/>
          <w:rtl/>
          <w:lang w:val="fr-CH"/>
        </w:rPr>
        <w:t>الجنسية</w:t>
      </w:r>
      <w:r w:rsidRPr="002C1E1C">
        <w:rPr>
          <w:szCs w:val="28"/>
          <w:rtl/>
          <w:lang w:val="fr-CH"/>
        </w:rPr>
        <w:t xml:space="preserve"> </w:t>
      </w:r>
      <w:r w:rsidRPr="002C1E1C">
        <w:rPr>
          <w:rFonts w:hint="eastAsia"/>
          <w:szCs w:val="28"/>
          <w:rtl/>
          <w:lang w:val="fr-CH"/>
        </w:rPr>
        <w:t>وإلغاء</w:t>
      </w:r>
      <w:r w:rsidRPr="002C1E1C">
        <w:rPr>
          <w:szCs w:val="28"/>
          <w:rtl/>
          <w:lang w:val="fr-CH"/>
        </w:rPr>
        <w:t xml:space="preserve"> </w:t>
      </w:r>
      <w:r w:rsidRPr="002C1E1C">
        <w:rPr>
          <w:rFonts w:hint="eastAsia"/>
          <w:szCs w:val="28"/>
          <w:rtl/>
          <w:lang w:val="fr-CH"/>
        </w:rPr>
        <w:t>القوانين</w:t>
      </w:r>
      <w:r w:rsidRPr="002C1E1C">
        <w:rPr>
          <w:szCs w:val="28"/>
          <w:rtl/>
          <w:lang w:val="fr-CH"/>
        </w:rPr>
        <w:t xml:space="preserve"> </w:t>
      </w:r>
      <w:r w:rsidRPr="002C1E1C">
        <w:rPr>
          <w:rFonts w:hint="eastAsia"/>
          <w:szCs w:val="28"/>
          <w:rtl/>
          <w:lang w:val="fr-CH"/>
        </w:rPr>
        <w:t>الأخرى</w:t>
      </w:r>
      <w:r w:rsidRPr="002C1E1C">
        <w:rPr>
          <w:szCs w:val="28"/>
          <w:rtl/>
          <w:lang w:val="fr-CH"/>
        </w:rPr>
        <w:t xml:space="preserve"> </w:t>
      </w:r>
      <w:r w:rsidRPr="002C1E1C">
        <w:rPr>
          <w:rFonts w:hint="eastAsia"/>
          <w:szCs w:val="28"/>
          <w:rtl/>
          <w:lang w:val="fr-CH"/>
        </w:rPr>
        <w:t>المستخدمة</w:t>
      </w:r>
      <w:r w:rsidRPr="002C1E1C">
        <w:rPr>
          <w:szCs w:val="28"/>
          <w:rtl/>
          <w:lang w:val="fr-CH"/>
        </w:rPr>
        <w:t xml:space="preserve"> </w:t>
      </w:r>
      <w:r w:rsidRPr="002C1E1C">
        <w:rPr>
          <w:rFonts w:hint="eastAsia"/>
          <w:szCs w:val="28"/>
          <w:rtl/>
          <w:lang w:val="fr-CH"/>
        </w:rPr>
        <w:t>لمعاقبة</w:t>
      </w:r>
      <w:r w:rsidRPr="002C1E1C">
        <w:rPr>
          <w:szCs w:val="28"/>
          <w:rtl/>
          <w:lang w:val="fr-CH"/>
        </w:rPr>
        <w:t xml:space="preserve"> </w:t>
      </w:r>
      <w:r w:rsidRPr="002C1E1C">
        <w:rPr>
          <w:rFonts w:hint="eastAsia"/>
          <w:szCs w:val="28"/>
          <w:rtl/>
          <w:lang w:val="fr-CH"/>
        </w:rPr>
        <w:t>الأفراد</w:t>
      </w:r>
      <w:r w:rsidRPr="002C1E1C">
        <w:rPr>
          <w:szCs w:val="28"/>
          <w:rtl/>
          <w:lang w:val="fr-CH"/>
        </w:rPr>
        <w:t xml:space="preserve"> </w:t>
      </w:r>
      <w:r w:rsidRPr="002C1E1C">
        <w:rPr>
          <w:rFonts w:hint="eastAsia"/>
          <w:szCs w:val="28"/>
          <w:rtl/>
          <w:lang w:val="fr-CH"/>
        </w:rPr>
        <w:t>على</w:t>
      </w:r>
      <w:r w:rsidRPr="002C1E1C">
        <w:rPr>
          <w:szCs w:val="28"/>
          <w:rtl/>
          <w:lang w:val="fr-CH"/>
        </w:rPr>
        <w:t xml:space="preserve"> </w:t>
      </w:r>
      <w:r w:rsidRPr="002C1E1C">
        <w:rPr>
          <w:rFonts w:hint="eastAsia"/>
          <w:szCs w:val="28"/>
          <w:rtl/>
          <w:lang w:val="fr-CH"/>
        </w:rPr>
        <w:t>أساس</w:t>
      </w:r>
      <w:r w:rsidRPr="002C1E1C">
        <w:rPr>
          <w:szCs w:val="28"/>
          <w:rtl/>
          <w:lang w:val="fr-CH"/>
        </w:rPr>
        <w:t xml:space="preserve"> </w:t>
      </w:r>
      <w:r w:rsidRPr="002C1E1C">
        <w:rPr>
          <w:rFonts w:hint="eastAsia"/>
          <w:szCs w:val="28"/>
          <w:rtl/>
          <w:lang w:val="fr-CH"/>
        </w:rPr>
        <w:t>ميلهم</w:t>
      </w:r>
      <w:r w:rsidRPr="002C1E1C">
        <w:rPr>
          <w:szCs w:val="28"/>
          <w:rtl/>
          <w:lang w:val="fr-CH"/>
        </w:rPr>
        <w:t xml:space="preserve"> </w:t>
      </w:r>
      <w:r w:rsidRPr="002C1E1C">
        <w:rPr>
          <w:rFonts w:hint="eastAsia"/>
          <w:szCs w:val="28"/>
          <w:rtl/>
          <w:lang w:val="fr-CH"/>
        </w:rPr>
        <w:t>الجنسي</w:t>
      </w:r>
      <w:r w:rsidRPr="002C1E1C">
        <w:rPr>
          <w:szCs w:val="28"/>
          <w:rtl/>
          <w:lang w:val="fr-CH"/>
        </w:rPr>
        <w:t xml:space="preserve"> </w:t>
      </w:r>
      <w:r w:rsidRPr="002C1E1C">
        <w:rPr>
          <w:rFonts w:hint="eastAsia"/>
          <w:szCs w:val="28"/>
          <w:rtl/>
          <w:lang w:val="fr-CH"/>
        </w:rPr>
        <w:t>وهويتهم</w:t>
      </w:r>
      <w:r w:rsidRPr="002C1E1C">
        <w:rPr>
          <w:szCs w:val="28"/>
          <w:rtl/>
          <w:lang w:val="fr-CH"/>
        </w:rPr>
        <w:t xml:space="preserve"> </w:t>
      </w:r>
      <w:r w:rsidRPr="002C1E1C">
        <w:rPr>
          <w:rFonts w:hint="eastAsia"/>
          <w:szCs w:val="28"/>
          <w:rtl/>
          <w:lang w:val="fr-CH"/>
        </w:rPr>
        <w:t>الجنسانية</w:t>
      </w:r>
      <w:r w:rsidRPr="002C1E1C">
        <w:rPr>
          <w:webHidden/>
          <w:szCs w:val="28"/>
          <w:rtl/>
          <w:lang w:val="fr-CH"/>
        </w:rPr>
        <w:tab/>
      </w:r>
      <w:r>
        <w:rPr>
          <w:rFonts w:hint="cs"/>
          <w:webHidden/>
          <w:szCs w:val="28"/>
          <w:rtl/>
          <w:lang w:val="fr-CH"/>
        </w:rPr>
        <w:tab/>
      </w:r>
      <w:r w:rsidR="00B84054">
        <w:rPr>
          <w:rFonts w:hint="cs"/>
          <w:webHidden/>
          <w:szCs w:val="28"/>
          <w:rtl/>
          <w:lang w:val="fr-CH"/>
        </w:rPr>
        <w:t>15</w:t>
      </w:r>
      <w:r>
        <w:rPr>
          <w:rFonts w:hint="cs"/>
          <w:webHidden/>
          <w:szCs w:val="28"/>
          <w:rtl/>
          <w:lang w:val="fr-CH"/>
        </w:rPr>
        <w:tab/>
      </w:r>
      <w:r w:rsidRPr="002C1E1C">
        <w:rPr>
          <w:webHidden/>
          <w:szCs w:val="28"/>
          <w:rtl/>
          <w:lang w:val="fr-CH"/>
        </w:rPr>
        <w:t>7</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40" w:hanging="2206"/>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دال</w:t>
      </w:r>
      <w:r w:rsidRPr="002C1E1C">
        <w:rPr>
          <w:szCs w:val="28"/>
          <w:rtl/>
          <w:lang w:val="fr-CH"/>
        </w:rPr>
        <w:tab/>
        <w:t>-</w:t>
      </w:r>
      <w:r w:rsidRPr="002C1E1C">
        <w:rPr>
          <w:szCs w:val="28"/>
          <w:rtl/>
          <w:lang w:val="fr-CH"/>
        </w:rPr>
        <w:tab/>
      </w:r>
      <w:r w:rsidRPr="002C1E1C">
        <w:rPr>
          <w:rFonts w:hint="eastAsia"/>
          <w:spacing w:val="-4"/>
          <w:szCs w:val="28"/>
          <w:rtl/>
          <w:lang w:val="fr-CH"/>
        </w:rPr>
        <w:t>حماية</w:t>
      </w:r>
      <w:r w:rsidRPr="002C1E1C">
        <w:rPr>
          <w:spacing w:val="-4"/>
          <w:szCs w:val="28"/>
          <w:rtl/>
          <w:lang w:val="fr-CH"/>
        </w:rPr>
        <w:t xml:space="preserve"> </w:t>
      </w:r>
      <w:r w:rsidRPr="002C1E1C">
        <w:rPr>
          <w:rFonts w:hint="eastAsia"/>
          <w:spacing w:val="-4"/>
          <w:szCs w:val="28"/>
          <w:rtl/>
          <w:lang w:val="fr-CH"/>
        </w:rPr>
        <w:t>الأفراد</w:t>
      </w:r>
      <w:r w:rsidRPr="002C1E1C">
        <w:rPr>
          <w:spacing w:val="-4"/>
          <w:szCs w:val="28"/>
          <w:rtl/>
          <w:lang w:val="fr-CH"/>
        </w:rPr>
        <w:t xml:space="preserve"> </w:t>
      </w:r>
      <w:r w:rsidRPr="002C1E1C">
        <w:rPr>
          <w:rFonts w:hint="eastAsia"/>
          <w:spacing w:val="-4"/>
          <w:szCs w:val="28"/>
          <w:rtl/>
          <w:lang w:val="fr-CH"/>
        </w:rPr>
        <w:t>من</w:t>
      </w:r>
      <w:r w:rsidRPr="002C1E1C">
        <w:rPr>
          <w:spacing w:val="-4"/>
          <w:szCs w:val="28"/>
          <w:rtl/>
          <w:lang w:val="fr-CH"/>
        </w:rPr>
        <w:t xml:space="preserve"> </w:t>
      </w:r>
      <w:r w:rsidRPr="002C1E1C">
        <w:rPr>
          <w:rFonts w:hint="eastAsia"/>
          <w:spacing w:val="-4"/>
          <w:szCs w:val="28"/>
          <w:rtl/>
          <w:lang w:val="fr-CH"/>
        </w:rPr>
        <w:t>التعرض</w:t>
      </w:r>
      <w:r w:rsidRPr="002C1E1C">
        <w:rPr>
          <w:spacing w:val="-4"/>
          <w:szCs w:val="28"/>
          <w:rtl/>
          <w:lang w:val="fr-CH"/>
        </w:rPr>
        <w:t xml:space="preserve"> </w:t>
      </w:r>
      <w:r w:rsidRPr="002C1E1C">
        <w:rPr>
          <w:rFonts w:hint="eastAsia"/>
          <w:spacing w:val="-4"/>
          <w:szCs w:val="28"/>
          <w:rtl/>
          <w:lang w:val="fr-CH"/>
        </w:rPr>
        <w:t>للتمييز</w:t>
      </w:r>
      <w:r w:rsidRPr="002C1E1C">
        <w:rPr>
          <w:spacing w:val="-4"/>
          <w:szCs w:val="28"/>
          <w:rtl/>
          <w:lang w:val="fr-CH"/>
        </w:rPr>
        <w:t xml:space="preserve"> </w:t>
      </w:r>
      <w:r w:rsidRPr="002C1E1C">
        <w:rPr>
          <w:rFonts w:hint="eastAsia"/>
          <w:spacing w:val="-4"/>
          <w:szCs w:val="28"/>
          <w:rtl/>
          <w:lang w:val="fr-CH"/>
        </w:rPr>
        <w:t>بسبب</w:t>
      </w:r>
      <w:r w:rsidRPr="002C1E1C">
        <w:rPr>
          <w:spacing w:val="-4"/>
          <w:szCs w:val="28"/>
          <w:rtl/>
          <w:lang w:val="fr-CH"/>
        </w:rPr>
        <w:t xml:space="preserve"> </w:t>
      </w:r>
      <w:r w:rsidRPr="002C1E1C">
        <w:rPr>
          <w:rFonts w:hint="eastAsia"/>
          <w:spacing w:val="-4"/>
          <w:szCs w:val="28"/>
          <w:rtl/>
          <w:lang w:val="fr-CH"/>
        </w:rPr>
        <w:t>ميلهم</w:t>
      </w:r>
      <w:r w:rsidRPr="002C1E1C">
        <w:rPr>
          <w:spacing w:val="-4"/>
          <w:szCs w:val="28"/>
          <w:rtl/>
          <w:lang w:val="fr-CH"/>
        </w:rPr>
        <w:t xml:space="preserve"> </w:t>
      </w:r>
      <w:r w:rsidRPr="002C1E1C">
        <w:rPr>
          <w:rFonts w:hint="eastAsia"/>
          <w:spacing w:val="-4"/>
          <w:szCs w:val="28"/>
          <w:rtl/>
          <w:lang w:val="fr-CH"/>
        </w:rPr>
        <w:t>الجنسي</w:t>
      </w:r>
      <w:r w:rsidRPr="002C1E1C">
        <w:rPr>
          <w:spacing w:val="-4"/>
          <w:szCs w:val="28"/>
          <w:rtl/>
          <w:lang w:val="fr-CH"/>
        </w:rPr>
        <w:t xml:space="preserve"> </w:t>
      </w:r>
      <w:r w:rsidRPr="002C1E1C">
        <w:rPr>
          <w:rFonts w:hint="eastAsia"/>
          <w:spacing w:val="-4"/>
          <w:szCs w:val="28"/>
          <w:rtl/>
          <w:lang w:val="fr-CH"/>
        </w:rPr>
        <w:t>وهويتهم</w:t>
      </w:r>
      <w:r w:rsidRPr="002C1E1C">
        <w:rPr>
          <w:spacing w:val="-4"/>
          <w:szCs w:val="28"/>
          <w:rtl/>
          <w:lang w:val="fr-CH"/>
        </w:rPr>
        <w:t xml:space="preserve"> </w:t>
      </w:r>
      <w:r w:rsidRPr="002C1E1C">
        <w:rPr>
          <w:rFonts w:hint="eastAsia"/>
          <w:spacing w:val="-4"/>
          <w:szCs w:val="28"/>
          <w:rtl/>
          <w:lang w:val="fr-CH"/>
        </w:rPr>
        <w:t>الجنسانية</w:t>
      </w:r>
      <w:r w:rsidRPr="002C1E1C">
        <w:rPr>
          <w:rFonts w:hint="cs"/>
          <w:spacing w:val="-4"/>
          <w:szCs w:val="28"/>
          <w:rtl/>
          <w:lang w:val="fr-CH"/>
        </w:rPr>
        <w:t xml:space="preserve"> ..</w:t>
      </w:r>
      <w:r w:rsidRPr="002C1E1C">
        <w:rPr>
          <w:webHidden/>
          <w:szCs w:val="28"/>
          <w:rtl/>
          <w:lang w:val="fr-CH"/>
        </w:rPr>
        <w:tab/>
      </w:r>
      <w:r>
        <w:rPr>
          <w:rFonts w:hint="cs"/>
          <w:webHidden/>
          <w:szCs w:val="28"/>
          <w:rtl/>
          <w:lang w:val="fr-CH"/>
        </w:rPr>
        <w:tab/>
      </w:r>
      <w:r w:rsidR="00B84054">
        <w:rPr>
          <w:rFonts w:hint="cs"/>
          <w:webHidden/>
          <w:szCs w:val="28"/>
          <w:rtl/>
          <w:lang w:val="fr-CH"/>
        </w:rPr>
        <w:t>16-17</w:t>
      </w:r>
      <w:r>
        <w:rPr>
          <w:webHidden/>
          <w:szCs w:val="28"/>
          <w:rtl/>
          <w:lang w:val="fr-CH"/>
        </w:rPr>
        <w:tab/>
      </w:r>
      <w:r w:rsidRPr="002C1E1C">
        <w:rPr>
          <w:webHidden/>
          <w:szCs w:val="28"/>
          <w:rtl/>
          <w:lang w:val="fr-CH"/>
        </w:rPr>
        <w:t>7</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206" w:right="2240" w:hanging="2206"/>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هاء</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حماية</w:t>
      </w:r>
      <w:r w:rsidRPr="002C1E1C">
        <w:rPr>
          <w:szCs w:val="28"/>
          <w:rtl/>
          <w:lang w:val="fr-CH"/>
        </w:rPr>
        <w:t xml:space="preserve"> </w:t>
      </w:r>
      <w:r w:rsidRPr="002C1E1C">
        <w:rPr>
          <w:rFonts w:hint="eastAsia"/>
          <w:szCs w:val="28"/>
          <w:rtl/>
          <w:lang w:val="fr-CH"/>
        </w:rPr>
        <w:t>الحق</w:t>
      </w:r>
      <w:r w:rsidRPr="002C1E1C">
        <w:rPr>
          <w:szCs w:val="28"/>
          <w:rtl/>
          <w:lang w:val="fr-CH"/>
        </w:rPr>
        <w:t xml:space="preserve"> </w:t>
      </w:r>
      <w:r w:rsidRPr="002C1E1C">
        <w:rPr>
          <w:rFonts w:hint="eastAsia"/>
          <w:szCs w:val="28"/>
          <w:rtl/>
          <w:lang w:val="fr-CH"/>
        </w:rPr>
        <w:t>في</w:t>
      </w:r>
      <w:r w:rsidRPr="002C1E1C">
        <w:rPr>
          <w:szCs w:val="28"/>
          <w:rtl/>
          <w:lang w:val="fr-CH"/>
        </w:rPr>
        <w:t xml:space="preserve"> </w:t>
      </w:r>
      <w:r w:rsidRPr="002C1E1C">
        <w:rPr>
          <w:rFonts w:hint="eastAsia"/>
          <w:szCs w:val="28"/>
          <w:rtl/>
          <w:lang w:val="fr-CH"/>
        </w:rPr>
        <w:t>حرية</w:t>
      </w:r>
      <w:r w:rsidRPr="002C1E1C">
        <w:rPr>
          <w:szCs w:val="28"/>
          <w:rtl/>
          <w:lang w:val="fr-CH"/>
        </w:rPr>
        <w:t xml:space="preserve"> </w:t>
      </w:r>
      <w:r w:rsidRPr="002C1E1C">
        <w:rPr>
          <w:rFonts w:hint="eastAsia"/>
          <w:szCs w:val="28"/>
          <w:rtl/>
          <w:lang w:val="fr-CH"/>
        </w:rPr>
        <w:t>التعبير</w:t>
      </w:r>
      <w:r w:rsidRPr="002C1E1C">
        <w:rPr>
          <w:szCs w:val="28"/>
          <w:rtl/>
          <w:lang w:val="fr-CH"/>
        </w:rPr>
        <w:t xml:space="preserve"> </w:t>
      </w:r>
      <w:r w:rsidRPr="002C1E1C">
        <w:rPr>
          <w:rFonts w:hint="eastAsia"/>
          <w:szCs w:val="28"/>
          <w:rtl/>
          <w:lang w:val="fr-CH"/>
        </w:rPr>
        <w:t>وتكوين</w:t>
      </w:r>
      <w:r w:rsidRPr="002C1E1C">
        <w:rPr>
          <w:szCs w:val="28"/>
          <w:rtl/>
          <w:lang w:val="fr-CH"/>
        </w:rPr>
        <w:t xml:space="preserve"> </w:t>
      </w:r>
      <w:r w:rsidRPr="002C1E1C">
        <w:rPr>
          <w:rFonts w:hint="eastAsia"/>
          <w:szCs w:val="28"/>
          <w:rtl/>
          <w:lang w:val="fr-CH"/>
        </w:rPr>
        <w:t>الجمعيات</w:t>
      </w:r>
      <w:r w:rsidRPr="002C1E1C">
        <w:rPr>
          <w:szCs w:val="28"/>
          <w:rtl/>
          <w:lang w:val="fr-CH"/>
        </w:rPr>
        <w:t xml:space="preserve"> </w:t>
      </w:r>
      <w:r w:rsidRPr="002C1E1C">
        <w:rPr>
          <w:rFonts w:hint="eastAsia"/>
          <w:szCs w:val="28"/>
          <w:rtl/>
          <w:lang w:val="fr-CH"/>
        </w:rPr>
        <w:t>والتجمّع</w:t>
      </w:r>
      <w:r w:rsidRPr="002C1E1C">
        <w:rPr>
          <w:szCs w:val="28"/>
          <w:rtl/>
          <w:lang w:val="fr-CH"/>
        </w:rPr>
        <w:t xml:space="preserve"> </w:t>
      </w:r>
      <w:r w:rsidRPr="002C1E1C">
        <w:rPr>
          <w:rFonts w:hint="eastAsia"/>
          <w:szCs w:val="28"/>
          <w:rtl/>
          <w:lang w:val="fr-CH"/>
        </w:rPr>
        <w:t>والحق</w:t>
      </w:r>
      <w:r w:rsidRPr="002C1E1C">
        <w:rPr>
          <w:szCs w:val="28"/>
          <w:rtl/>
          <w:lang w:val="fr-CH"/>
        </w:rPr>
        <w:t xml:space="preserve"> </w:t>
      </w:r>
      <w:r w:rsidRPr="002C1E1C">
        <w:rPr>
          <w:rFonts w:hint="eastAsia"/>
          <w:szCs w:val="28"/>
          <w:rtl/>
          <w:lang w:val="fr-CH"/>
        </w:rPr>
        <w:t>في</w:t>
      </w:r>
      <w:r w:rsidRPr="002C1E1C">
        <w:rPr>
          <w:szCs w:val="28"/>
          <w:rtl/>
          <w:lang w:val="fr-CH"/>
        </w:rPr>
        <w:t xml:space="preserve"> </w:t>
      </w:r>
      <w:r w:rsidRPr="002C1E1C">
        <w:rPr>
          <w:rFonts w:hint="eastAsia"/>
          <w:szCs w:val="28"/>
          <w:rtl/>
          <w:lang w:val="fr-CH"/>
        </w:rPr>
        <w:t>المشاركة</w:t>
      </w:r>
      <w:r w:rsidRPr="002C1E1C">
        <w:rPr>
          <w:szCs w:val="28"/>
          <w:rtl/>
          <w:lang w:val="fr-CH"/>
        </w:rPr>
        <w:t xml:space="preserve"> </w:t>
      </w:r>
      <w:r w:rsidRPr="002C1E1C">
        <w:rPr>
          <w:rFonts w:hint="eastAsia"/>
          <w:szCs w:val="28"/>
          <w:rtl/>
          <w:lang w:val="fr-CH"/>
        </w:rPr>
        <w:t>في</w:t>
      </w:r>
      <w:r w:rsidRPr="002C1E1C">
        <w:rPr>
          <w:szCs w:val="28"/>
          <w:rtl/>
          <w:lang w:val="fr-CH"/>
        </w:rPr>
        <w:t xml:space="preserve"> </w:t>
      </w:r>
      <w:r w:rsidRPr="002C1E1C">
        <w:rPr>
          <w:rFonts w:hint="eastAsia"/>
          <w:szCs w:val="28"/>
          <w:rtl/>
          <w:lang w:val="fr-CH"/>
        </w:rPr>
        <w:t>إدارة</w:t>
      </w:r>
      <w:r w:rsidRPr="002C1E1C">
        <w:rPr>
          <w:szCs w:val="28"/>
          <w:rtl/>
          <w:lang w:val="fr-CH"/>
        </w:rPr>
        <w:t xml:space="preserve"> </w:t>
      </w:r>
      <w:r w:rsidRPr="002C1E1C">
        <w:rPr>
          <w:rFonts w:hint="eastAsia"/>
          <w:szCs w:val="28"/>
          <w:rtl/>
          <w:lang w:val="fr-CH"/>
        </w:rPr>
        <w:t>الشؤون</w:t>
      </w:r>
      <w:r w:rsidRPr="002C1E1C">
        <w:rPr>
          <w:szCs w:val="28"/>
          <w:rtl/>
          <w:lang w:val="fr-CH"/>
        </w:rPr>
        <w:t xml:space="preserve"> </w:t>
      </w:r>
      <w:r w:rsidRPr="002C1E1C">
        <w:rPr>
          <w:rFonts w:hint="eastAsia"/>
          <w:szCs w:val="28"/>
          <w:rtl/>
          <w:lang w:val="fr-CH"/>
        </w:rPr>
        <w:t>العامة</w:t>
      </w:r>
      <w:r w:rsidRPr="002C1E1C">
        <w:rPr>
          <w:webHidden/>
          <w:szCs w:val="28"/>
          <w:rtl/>
          <w:lang w:val="fr-CH"/>
        </w:rPr>
        <w:tab/>
      </w:r>
      <w:r>
        <w:rPr>
          <w:rFonts w:hint="cs"/>
          <w:webHidden/>
          <w:szCs w:val="28"/>
          <w:rtl/>
          <w:lang w:val="fr-CH"/>
        </w:rPr>
        <w:tab/>
      </w:r>
      <w:r w:rsidR="00B84054">
        <w:rPr>
          <w:rFonts w:hint="cs"/>
          <w:webHidden/>
          <w:szCs w:val="28"/>
          <w:rtl/>
          <w:lang w:val="fr-CH"/>
        </w:rPr>
        <w:t>18-19</w:t>
      </w:r>
      <w:r>
        <w:rPr>
          <w:rFonts w:hint="cs"/>
          <w:webHidden/>
          <w:szCs w:val="28"/>
          <w:rtl/>
          <w:lang w:val="fr-CH"/>
        </w:rPr>
        <w:tab/>
      </w:r>
      <w:r w:rsidRPr="002C1E1C">
        <w:rPr>
          <w:webHidden/>
          <w:szCs w:val="28"/>
          <w:rtl/>
          <w:lang w:val="fr-CH"/>
        </w:rPr>
        <w:t>9</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sidRPr="002C1E1C">
        <w:rPr>
          <w:rFonts w:hint="eastAsia"/>
          <w:szCs w:val="28"/>
          <w:rtl/>
          <w:lang w:val="fr-CH"/>
        </w:rPr>
        <w:t>رابعاً</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العنف</w:t>
      </w:r>
      <w:r w:rsidRPr="002C1E1C">
        <w:rPr>
          <w:szCs w:val="28"/>
          <w:rtl/>
          <w:lang w:val="fr-CH"/>
        </w:rPr>
        <w:t xml:space="preserve"> </w:t>
      </w:r>
      <w:r w:rsidRPr="002C1E1C">
        <w:rPr>
          <w:rFonts w:hint="eastAsia"/>
          <w:szCs w:val="28"/>
          <w:rtl/>
          <w:lang w:val="fr-CH"/>
        </w:rPr>
        <w:t>المدفوع</w:t>
      </w:r>
      <w:r w:rsidRPr="002C1E1C">
        <w:rPr>
          <w:szCs w:val="28"/>
          <w:rtl/>
          <w:lang w:val="fr-CH"/>
        </w:rPr>
        <w:t xml:space="preserve"> </w:t>
      </w:r>
      <w:r w:rsidRPr="002C1E1C">
        <w:rPr>
          <w:rFonts w:hint="eastAsia"/>
          <w:szCs w:val="28"/>
          <w:rtl/>
          <w:lang w:val="fr-CH"/>
        </w:rPr>
        <w:t>بكراهية</w:t>
      </w:r>
      <w:r w:rsidRPr="002C1E1C">
        <w:rPr>
          <w:szCs w:val="28"/>
          <w:rtl/>
          <w:lang w:val="fr-CH"/>
        </w:rPr>
        <w:t xml:space="preserve"> </w:t>
      </w:r>
      <w:r w:rsidRPr="002C1E1C">
        <w:rPr>
          <w:rFonts w:hint="eastAsia"/>
          <w:szCs w:val="28"/>
          <w:rtl/>
          <w:lang w:val="fr-CH"/>
        </w:rPr>
        <w:t>المثلية</w:t>
      </w:r>
      <w:r w:rsidRPr="002C1E1C">
        <w:rPr>
          <w:szCs w:val="28"/>
          <w:rtl/>
          <w:lang w:val="fr-CH"/>
        </w:rPr>
        <w:t xml:space="preserve"> </w:t>
      </w:r>
      <w:r w:rsidRPr="002C1E1C">
        <w:rPr>
          <w:rFonts w:hint="eastAsia"/>
          <w:szCs w:val="28"/>
          <w:rtl/>
          <w:lang w:val="fr-CH"/>
        </w:rPr>
        <w:t>الجنسية</w:t>
      </w:r>
      <w:r w:rsidRPr="002C1E1C">
        <w:rPr>
          <w:szCs w:val="28"/>
          <w:rtl/>
          <w:lang w:val="fr-CH"/>
        </w:rPr>
        <w:t xml:space="preserve"> </w:t>
      </w:r>
      <w:r w:rsidRPr="002C1E1C">
        <w:rPr>
          <w:rFonts w:hint="eastAsia"/>
          <w:szCs w:val="28"/>
          <w:rtl/>
          <w:lang w:val="fr-CH"/>
        </w:rPr>
        <w:t>وكراهية</w:t>
      </w:r>
      <w:r w:rsidRPr="002C1E1C">
        <w:rPr>
          <w:szCs w:val="28"/>
          <w:rtl/>
          <w:lang w:val="fr-CH"/>
        </w:rPr>
        <w:t xml:space="preserve"> </w:t>
      </w:r>
      <w:r w:rsidRPr="002C1E1C">
        <w:rPr>
          <w:rFonts w:hint="eastAsia"/>
          <w:szCs w:val="28"/>
          <w:rtl/>
          <w:lang w:val="fr-CH"/>
        </w:rPr>
        <w:t>مغايري</w:t>
      </w:r>
      <w:r w:rsidRPr="002C1E1C">
        <w:rPr>
          <w:szCs w:val="28"/>
          <w:rtl/>
          <w:lang w:val="fr-CH"/>
        </w:rPr>
        <w:t xml:space="preserve"> </w:t>
      </w:r>
      <w:r w:rsidRPr="002C1E1C">
        <w:rPr>
          <w:rFonts w:hint="eastAsia"/>
          <w:szCs w:val="28"/>
          <w:rtl/>
          <w:lang w:val="fr-CH"/>
        </w:rPr>
        <w:t>الهوية</w:t>
      </w:r>
      <w:r w:rsidRPr="002C1E1C">
        <w:rPr>
          <w:szCs w:val="28"/>
          <w:rtl/>
          <w:lang w:val="fr-CH"/>
        </w:rPr>
        <w:t xml:space="preserve"> </w:t>
      </w:r>
      <w:r w:rsidRPr="002C1E1C">
        <w:rPr>
          <w:rFonts w:hint="eastAsia"/>
          <w:szCs w:val="28"/>
          <w:rtl/>
          <w:lang w:val="fr-CH"/>
        </w:rPr>
        <w:t>الجنسانية</w:t>
      </w:r>
      <w:r w:rsidRPr="002C1E1C">
        <w:rPr>
          <w:webHidden/>
          <w:szCs w:val="28"/>
          <w:rtl/>
          <w:lang w:val="fr-CH"/>
        </w:rPr>
        <w:tab/>
      </w:r>
      <w:r>
        <w:rPr>
          <w:rFonts w:hint="cs"/>
          <w:webHidden/>
          <w:szCs w:val="28"/>
          <w:rtl/>
          <w:lang w:val="fr-CH"/>
        </w:rPr>
        <w:tab/>
      </w:r>
      <w:r w:rsidR="00B84054">
        <w:rPr>
          <w:rFonts w:hint="cs"/>
          <w:webHidden/>
          <w:szCs w:val="28"/>
          <w:rtl/>
          <w:lang w:val="fr-CH"/>
        </w:rPr>
        <w:t>20-40</w:t>
      </w:r>
      <w:r>
        <w:rPr>
          <w:rFonts w:hint="cs"/>
          <w:webHidden/>
          <w:szCs w:val="28"/>
          <w:rtl/>
          <w:lang w:val="fr-CH"/>
        </w:rPr>
        <w:tab/>
      </w:r>
      <w:r w:rsidRPr="002C1E1C">
        <w:rPr>
          <w:webHidden/>
          <w:szCs w:val="28"/>
          <w:rtl/>
          <w:lang w:val="fr-CH"/>
        </w:rPr>
        <w:t>9</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ألف</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السياق</w:t>
      </w:r>
      <w:r w:rsidRPr="002C1E1C">
        <w:rPr>
          <w:webHidden/>
          <w:szCs w:val="28"/>
          <w:rtl/>
          <w:lang w:val="fr-CH"/>
        </w:rPr>
        <w:tab/>
      </w:r>
      <w:r>
        <w:rPr>
          <w:rFonts w:hint="cs"/>
          <w:webHidden/>
          <w:szCs w:val="28"/>
          <w:rtl/>
          <w:lang w:val="fr-CH"/>
        </w:rPr>
        <w:tab/>
      </w:r>
      <w:r w:rsidR="00B84054">
        <w:rPr>
          <w:rFonts w:hint="cs"/>
          <w:webHidden/>
          <w:szCs w:val="28"/>
          <w:rtl/>
          <w:lang w:val="fr-CH"/>
        </w:rPr>
        <w:t>20-25</w:t>
      </w:r>
      <w:r>
        <w:rPr>
          <w:rFonts w:hint="cs"/>
          <w:webHidden/>
          <w:szCs w:val="28"/>
          <w:rtl/>
          <w:lang w:val="fr-CH"/>
        </w:rPr>
        <w:tab/>
      </w:r>
      <w:r w:rsidRPr="002C1E1C">
        <w:rPr>
          <w:webHidden/>
          <w:szCs w:val="28"/>
          <w:rtl/>
          <w:lang w:val="fr-CH"/>
        </w:rPr>
        <w:t>9</w:t>
      </w:r>
    </w:p>
    <w:p w:rsidR="002C1E1C" w:rsidRPr="002C1E1C" w:rsidRDefault="002C1E1C" w:rsidP="002C1E1C">
      <w:pPr>
        <w:tabs>
          <w:tab w:val="right" w:pos="1021"/>
          <w:tab w:val="left" w:pos="1077"/>
          <w:tab w:val="left" w:pos="1525"/>
          <w:tab w:val="left" w:pos="1842"/>
          <w:tab w:val="left" w:pos="2206"/>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باء</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القتل</w:t>
      </w:r>
      <w:r w:rsidRPr="002C1E1C">
        <w:rPr>
          <w:webHidden/>
          <w:szCs w:val="28"/>
          <w:rtl/>
          <w:lang w:val="fr-CH"/>
        </w:rPr>
        <w:tab/>
      </w:r>
      <w:r>
        <w:rPr>
          <w:rFonts w:hint="cs"/>
          <w:webHidden/>
          <w:szCs w:val="28"/>
          <w:rtl/>
          <w:lang w:val="fr-CH"/>
        </w:rPr>
        <w:tab/>
      </w:r>
      <w:r w:rsidR="00B84054">
        <w:rPr>
          <w:rFonts w:hint="cs"/>
          <w:webHidden/>
          <w:szCs w:val="28"/>
          <w:rtl/>
          <w:lang w:val="fr-CH"/>
        </w:rPr>
        <w:t>26-30</w:t>
      </w:r>
      <w:r>
        <w:rPr>
          <w:rFonts w:hint="cs"/>
          <w:webHidden/>
          <w:szCs w:val="28"/>
          <w:rtl/>
          <w:lang w:val="fr-CH"/>
        </w:rPr>
        <w:tab/>
      </w:r>
      <w:r w:rsidRPr="002C1E1C">
        <w:rPr>
          <w:webHidden/>
          <w:szCs w:val="28"/>
          <w:rtl/>
          <w:lang w:val="fr-CH"/>
        </w:rPr>
        <w:t>11</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جيم</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أشكال</w:t>
      </w:r>
      <w:r w:rsidRPr="002C1E1C">
        <w:rPr>
          <w:szCs w:val="28"/>
          <w:rtl/>
          <w:lang w:val="fr-CH"/>
        </w:rPr>
        <w:t xml:space="preserve"> </w:t>
      </w:r>
      <w:r w:rsidRPr="002C1E1C">
        <w:rPr>
          <w:rFonts w:hint="eastAsia"/>
          <w:szCs w:val="28"/>
          <w:rtl/>
          <w:lang w:val="fr-CH"/>
        </w:rPr>
        <w:t>العنف</w:t>
      </w:r>
      <w:r w:rsidRPr="002C1E1C">
        <w:rPr>
          <w:szCs w:val="28"/>
          <w:rtl/>
          <w:lang w:val="fr-CH"/>
        </w:rPr>
        <w:t xml:space="preserve"> </w:t>
      </w:r>
      <w:r w:rsidRPr="002C1E1C">
        <w:rPr>
          <w:rFonts w:hint="eastAsia"/>
          <w:szCs w:val="28"/>
          <w:rtl/>
          <w:lang w:val="fr-CH"/>
        </w:rPr>
        <w:t>الأخرى،</w:t>
      </w:r>
      <w:r w:rsidRPr="002C1E1C">
        <w:rPr>
          <w:szCs w:val="28"/>
          <w:rtl/>
          <w:lang w:val="fr-CH"/>
        </w:rPr>
        <w:t xml:space="preserve"> </w:t>
      </w:r>
      <w:r w:rsidRPr="002C1E1C">
        <w:rPr>
          <w:rFonts w:hint="eastAsia"/>
          <w:szCs w:val="28"/>
          <w:rtl/>
          <w:lang w:val="fr-CH"/>
        </w:rPr>
        <w:t>بما</w:t>
      </w:r>
      <w:r w:rsidRPr="002C1E1C">
        <w:rPr>
          <w:szCs w:val="28"/>
          <w:rtl/>
          <w:lang w:val="fr-CH"/>
        </w:rPr>
        <w:t xml:space="preserve"> </w:t>
      </w:r>
      <w:r w:rsidRPr="002C1E1C">
        <w:rPr>
          <w:rFonts w:hint="eastAsia"/>
          <w:szCs w:val="28"/>
          <w:rtl/>
          <w:lang w:val="fr-CH"/>
        </w:rPr>
        <w:t>في</w:t>
      </w:r>
      <w:r w:rsidRPr="002C1E1C">
        <w:rPr>
          <w:szCs w:val="28"/>
          <w:rtl/>
          <w:lang w:val="fr-CH"/>
        </w:rPr>
        <w:t xml:space="preserve"> </w:t>
      </w:r>
      <w:r w:rsidRPr="002C1E1C">
        <w:rPr>
          <w:rFonts w:hint="eastAsia"/>
          <w:szCs w:val="28"/>
          <w:rtl/>
          <w:lang w:val="fr-CH"/>
        </w:rPr>
        <w:t>ذلك</w:t>
      </w:r>
      <w:r w:rsidRPr="002C1E1C">
        <w:rPr>
          <w:szCs w:val="28"/>
          <w:rtl/>
          <w:lang w:val="fr-CH"/>
        </w:rPr>
        <w:t xml:space="preserve"> </w:t>
      </w:r>
      <w:r w:rsidRPr="002C1E1C">
        <w:rPr>
          <w:rFonts w:hint="eastAsia"/>
          <w:szCs w:val="28"/>
          <w:rtl/>
          <w:lang w:val="fr-CH"/>
        </w:rPr>
        <w:t>العنف</w:t>
      </w:r>
      <w:r w:rsidRPr="002C1E1C">
        <w:rPr>
          <w:szCs w:val="28"/>
          <w:rtl/>
          <w:lang w:val="fr-CH"/>
        </w:rPr>
        <w:t xml:space="preserve"> </w:t>
      </w:r>
      <w:r w:rsidRPr="002C1E1C">
        <w:rPr>
          <w:rFonts w:hint="eastAsia"/>
          <w:szCs w:val="28"/>
          <w:rtl/>
          <w:lang w:val="fr-CH"/>
        </w:rPr>
        <w:t>الجنسي</w:t>
      </w:r>
      <w:r w:rsidRPr="002C1E1C">
        <w:rPr>
          <w:webHidden/>
          <w:szCs w:val="28"/>
          <w:rtl/>
          <w:lang w:val="fr-CH"/>
        </w:rPr>
        <w:tab/>
      </w:r>
      <w:r>
        <w:rPr>
          <w:rFonts w:hint="cs"/>
          <w:webHidden/>
          <w:szCs w:val="28"/>
          <w:rtl/>
          <w:lang w:val="fr-CH"/>
        </w:rPr>
        <w:tab/>
      </w:r>
      <w:r w:rsidR="00B84054">
        <w:rPr>
          <w:rFonts w:hint="cs"/>
          <w:webHidden/>
          <w:szCs w:val="28"/>
          <w:rtl/>
          <w:lang w:val="fr-CH"/>
        </w:rPr>
        <w:t>31-33</w:t>
      </w:r>
      <w:r>
        <w:rPr>
          <w:rFonts w:hint="cs"/>
          <w:webHidden/>
          <w:szCs w:val="28"/>
          <w:rtl/>
          <w:lang w:val="fr-CH"/>
        </w:rPr>
        <w:tab/>
      </w:r>
      <w:r w:rsidRPr="002C1E1C">
        <w:rPr>
          <w:webHidden/>
          <w:szCs w:val="28"/>
          <w:rtl/>
          <w:lang w:val="fr-CH"/>
        </w:rPr>
        <w:t>12</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دال</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التعذيب</w:t>
      </w:r>
      <w:r w:rsidRPr="002C1E1C">
        <w:rPr>
          <w:szCs w:val="28"/>
          <w:rtl/>
          <w:lang w:val="fr-CH"/>
        </w:rPr>
        <w:t xml:space="preserve"> </w:t>
      </w:r>
      <w:r w:rsidRPr="002C1E1C">
        <w:rPr>
          <w:rFonts w:hint="eastAsia"/>
          <w:szCs w:val="28"/>
          <w:rtl/>
          <w:lang w:val="fr-CH"/>
        </w:rPr>
        <w:t>وسوء</w:t>
      </w:r>
      <w:r w:rsidRPr="002C1E1C">
        <w:rPr>
          <w:szCs w:val="28"/>
          <w:rtl/>
          <w:lang w:val="fr-CH"/>
        </w:rPr>
        <w:t xml:space="preserve"> </w:t>
      </w:r>
      <w:r w:rsidRPr="002C1E1C">
        <w:rPr>
          <w:rFonts w:hint="eastAsia"/>
          <w:szCs w:val="28"/>
          <w:rtl/>
          <w:lang w:val="fr-CH"/>
        </w:rPr>
        <w:t>المعاملة</w:t>
      </w:r>
      <w:r w:rsidRPr="002C1E1C">
        <w:rPr>
          <w:webHidden/>
          <w:szCs w:val="28"/>
          <w:rtl/>
          <w:lang w:val="fr-CH"/>
        </w:rPr>
        <w:tab/>
      </w:r>
      <w:r>
        <w:rPr>
          <w:rFonts w:hint="cs"/>
          <w:webHidden/>
          <w:szCs w:val="28"/>
          <w:rtl/>
          <w:lang w:val="fr-CH"/>
        </w:rPr>
        <w:tab/>
      </w:r>
      <w:r w:rsidR="00B84054">
        <w:rPr>
          <w:rFonts w:hint="cs"/>
          <w:webHidden/>
          <w:szCs w:val="28"/>
          <w:rtl/>
          <w:lang w:val="fr-CH"/>
        </w:rPr>
        <w:t>34-38</w:t>
      </w:r>
      <w:r>
        <w:rPr>
          <w:rFonts w:hint="cs"/>
          <w:webHidden/>
          <w:szCs w:val="28"/>
          <w:rtl/>
          <w:lang w:val="fr-CH"/>
        </w:rPr>
        <w:tab/>
      </w:r>
      <w:r w:rsidRPr="002C1E1C">
        <w:rPr>
          <w:webHidden/>
          <w:szCs w:val="28"/>
          <w:rtl/>
          <w:lang w:val="fr-CH"/>
        </w:rPr>
        <w:t>14</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هاء</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التطورات</w:t>
      </w:r>
      <w:r w:rsidRPr="002C1E1C">
        <w:rPr>
          <w:szCs w:val="28"/>
          <w:rtl/>
          <w:lang w:val="fr-CH"/>
        </w:rPr>
        <w:t xml:space="preserve"> </w:t>
      </w:r>
      <w:r w:rsidRPr="002C1E1C">
        <w:rPr>
          <w:rFonts w:hint="eastAsia"/>
          <w:szCs w:val="28"/>
          <w:rtl/>
          <w:lang w:val="fr-CH"/>
        </w:rPr>
        <w:t>الإيجابية</w:t>
      </w:r>
      <w:r w:rsidRPr="002C1E1C">
        <w:rPr>
          <w:szCs w:val="28"/>
          <w:rtl/>
          <w:lang w:val="fr-CH"/>
        </w:rPr>
        <w:t xml:space="preserve"> </w:t>
      </w:r>
      <w:r w:rsidRPr="002C1E1C">
        <w:rPr>
          <w:rFonts w:hint="eastAsia"/>
          <w:szCs w:val="28"/>
          <w:rtl/>
          <w:lang w:val="fr-CH"/>
        </w:rPr>
        <w:t>منذ</w:t>
      </w:r>
      <w:r w:rsidRPr="002C1E1C">
        <w:rPr>
          <w:szCs w:val="28"/>
          <w:rtl/>
          <w:lang w:val="fr-CH"/>
        </w:rPr>
        <w:t xml:space="preserve"> </w:t>
      </w:r>
      <w:r w:rsidRPr="002C1E1C">
        <w:rPr>
          <w:rFonts w:hint="eastAsia"/>
          <w:szCs w:val="28"/>
          <w:rtl/>
          <w:lang w:val="fr-CH"/>
        </w:rPr>
        <w:t>عام</w:t>
      </w:r>
      <w:r w:rsidRPr="002C1E1C">
        <w:rPr>
          <w:szCs w:val="28"/>
          <w:rtl/>
          <w:lang w:val="fr-CH"/>
        </w:rPr>
        <w:t xml:space="preserve"> 2011</w:t>
      </w:r>
      <w:r w:rsidRPr="002C1E1C">
        <w:rPr>
          <w:webHidden/>
          <w:szCs w:val="28"/>
          <w:rtl/>
          <w:lang w:val="fr-CH"/>
        </w:rPr>
        <w:tab/>
      </w:r>
      <w:r>
        <w:rPr>
          <w:rFonts w:hint="cs"/>
          <w:webHidden/>
          <w:szCs w:val="28"/>
          <w:rtl/>
          <w:lang w:val="fr-CH"/>
        </w:rPr>
        <w:tab/>
      </w:r>
      <w:r w:rsidR="00B84054">
        <w:rPr>
          <w:rFonts w:hint="cs"/>
          <w:webHidden/>
          <w:szCs w:val="28"/>
          <w:rtl/>
          <w:lang w:val="fr-CH"/>
        </w:rPr>
        <w:t>39-40</w:t>
      </w:r>
      <w:r>
        <w:rPr>
          <w:rFonts w:hint="cs"/>
          <w:webHidden/>
          <w:szCs w:val="28"/>
          <w:rtl/>
          <w:lang w:val="fr-CH"/>
        </w:rPr>
        <w:tab/>
      </w:r>
      <w:r w:rsidRPr="002C1E1C">
        <w:rPr>
          <w:webHidden/>
          <w:szCs w:val="28"/>
          <w:rtl/>
          <w:lang w:val="fr-CH"/>
        </w:rPr>
        <w:t>15</w:t>
      </w:r>
    </w:p>
    <w:p w:rsidR="002C1E1C" w:rsidRPr="002C1E1C" w:rsidRDefault="002C1E1C" w:rsidP="002C1E1C">
      <w:pPr>
        <w:tabs>
          <w:tab w:val="right" w:pos="1021"/>
          <w:tab w:val="left" w:pos="1077"/>
          <w:tab w:val="left" w:pos="1525"/>
          <w:tab w:val="left" w:pos="1842"/>
          <w:tab w:val="left" w:leader="dot" w:pos="7469"/>
          <w:tab w:val="left" w:pos="7972"/>
          <w:tab w:val="right" w:pos="9638"/>
        </w:tabs>
        <w:spacing w:line="360" w:lineRule="exact"/>
        <w:rPr>
          <w:szCs w:val="28"/>
          <w:rtl/>
          <w:lang w:val="fr-CH"/>
        </w:rPr>
      </w:pPr>
      <w:r>
        <w:rPr>
          <w:rFonts w:hint="cs"/>
          <w:szCs w:val="28"/>
          <w:rtl/>
          <w:lang w:val="fr-CH"/>
        </w:rPr>
        <w:tab/>
      </w:r>
      <w:r w:rsidRPr="002C1E1C">
        <w:rPr>
          <w:rFonts w:hint="eastAsia"/>
          <w:szCs w:val="28"/>
          <w:rtl/>
          <w:lang w:val="fr-CH"/>
        </w:rPr>
        <w:t>خامساً</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التمييز</w:t>
      </w:r>
      <w:r w:rsidRPr="002C1E1C">
        <w:rPr>
          <w:webHidden/>
          <w:szCs w:val="28"/>
          <w:rtl/>
          <w:lang w:val="fr-CH"/>
        </w:rPr>
        <w:tab/>
      </w:r>
      <w:r>
        <w:rPr>
          <w:rFonts w:hint="cs"/>
          <w:webHidden/>
          <w:szCs w:val="28"/>
          <w:rtl/>
          <w:lang w:val="fr-CH"/>
        </w:rPr>
        <w:tab/>
      </w:r>
      <w:r w:rsidR="00B84054">
        <w:rPr>
          <w:rFonts w:hint="cs"/>
          <w:webHidden/>
          <w:szCs w:val="28"/>
          <w:rtl/>
          <w:lang w:val="fr-CH"/>
        </w:rPr>
        <w:t>41-75</w:t>
      </w:r>
      <w:r>
        <w:rPr>
          <w:rFonts w:hint="cs"/>
          <w:webHidden/>
          <w:szCs w:val="28"/>
          <w:rtl/>
          <w:lang w:val="fr-CH"/>
        </w:rPr>
        <w:tab/>
      </w:r>
      <w:r w:rsidRPr="002C1E1C">
        <w:rPr>
          <w:webHidden/>
          <w:szCs w:val="28"/>
          <w:rtl/>
          <w:lang w:val="fr-CH"/>
        </w:rPr>
        <w:t>16</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ألف</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القوانين</w:t>
      </w:r>
      <w:r w:rsidRPr="002C1E1C">
        <w:rPr>
          <w:szCs w:val="28"/>
          <w:rtl/>
          <w:lang w:val="fr-CH"/>
        </w:rPr>
        <w:t xml:space="preserve"> </w:t>
      </w:r>
      <w:r w:rsidRPr="002C1E1C">
        <w:rPr>
          <w:rFonts w:hint="eastAsia"/>
          <w:szCs w:val="28"/>
          <w:rtl/>
          <w:lang w:val="fr-CH"/>
        </w:rPr>
        <w:t>التمييزية</w:t>
      </w:r>
      <w:r w:rsidRPr="002C1E1C">
        <w:rPr>
          <w:webHidden/>
          <w:szCs w:val="28"/>
          <w:rtl/>
          <w:lang w:val="fr-CH"/>
        </w:rPr>
        <w:tab/>
      </w:r>
      <w:r>
        <w:rPr>
          <w:rFonts w:hint="cs"/>
          <w:webHidden/>
          <w:szCs w:val="28"/>
          <w:rtl/>
          <w:lang w:val="fr-CH"/>
        </w:rPr>
        <w:tab/>
      </w:r>
      <w:r w:rsidR="00B84054">
        <w:rPr>
          <w:rFonts w:hint="cs"/>
          <w:webHidden/>
          <w:szCs w:val="28"/>
          <w:rtl/>
          <w:lang w:val="fr-CH"/>
        </w:rPr>
        <w:t>43-49</w:t>
      </w:r>
      <w:r>
        <w:rPr>
          <w:rFonts w:hint="cs"/>
          <w:webHidden/>
          <w:szCs w:val="28"/>
          <w:rtl/>
          <w:lang w:val="fr-CH"/>
        </w:rPr>
        <w:tab/>
      </w:r>
      <w:r w:rsidRPr="002C1E1C">
        <w:rPr>
          <w:webHidden/>
          <w:szCs w:val="28"/>
          <w:rtl/>
          <w:lang w:val="fr-CH"/>
        </w:rPr>
        <w:t>17</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باء</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الممارسات</w:t>
      </w:r>
      <w:r w:rsidRPr="002C1E1C">
        <w:rPr>
          <w:szCs w:val="28"/>
          <w:rtl/>
          <w:lang w:val="fr-CH"/>
        </w:rPr>
        <w:t xml:space="preserve"> </w:t>
      </w:r>
      <w:r w:rsidRPr="002C1E1C">
        <w:rPr>
          <w:rFonts w:hint="eastAsia"/>
          <w:szCs w:val="28"/>
          <w:rtl/>
          <w:lang w:val="fr-CH"/>
        </w:rPr>
        <w:t>التمييزية</w:t>
      </w:r>
      <w:r w:rsidRPr="002C1E1C">
        <w:rPr>
          <w:webHidden/>
          <w:szCs w:val="28"/>
          <w:rtl/>
          <w:lang w:val="fr-CH"/>
        </w:rPr>
        <w:tab/>
      </w:r>
      <w:r>
        <w:rPr>
          <w:rFonts w:hint="cs"/>
          <w:webHidden/>
          <w:szCs w:val="28"/>
          <w:rtl/>
          <w:lang w:val="fr-CH"/>
        </w:rPr>
        <w:tab/>
      </w:r>
      <w:r w:rsidR="00B84054">
        <w:rPr>
          <w:rFonts w:hint="cs"/>
          <w:webHidden/>
          <w:szCs w:val="28"/>
          <w:rtl/>
          <w:lang w:val="fr-CH"/>
        </w:rPr>
        <w:t>50-70</w:t>
      </w:r>
      <w:r>
        <w:rPr>
          <w:rFonts w:hint="cs"/>
          <w:webHidden/>
          <w:szCs w:val="28"/>
          <w:rtl/>
          <w:lang w:val="fr-CH"/>
        </w:rPr>
        <w:tab/>
      </w:r>
      <w:r w:rsidRPr="002C1E1C">
        <w:rPr>
          <w:webHidden/>
          <w:szCs w:val="28"/>
          <w:rtl/>
          <w:lang w:val="fr-CH"/>
        </w:rPr>
        <w:t>19</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جيم</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التطورات</w:t>
      </w:r>
      <w:r w:rsidRPr="002C1E1C">
        <w:rPr>
          <w:szCs w:val="28"/>
          <w:rtl/>
          <w:lang w:val="fr-CH"/>
        </w:rPr>
        <w:t xml:space="preserve"> </w:t>
      </w:r>
      <w:r w:rsidRPr="002C1E1C">
        <w:rPr>
          <w:rFonts w:hint="eastAsia"/>
          <w:szCs w:val="28"/>
          <w:rtl/>
          <w:lang w:val="fr-CH"/>
        </w:rPr>
        <w:t>الإيجابية</w:t>
      </w:r>
      <w:r w:rsidRPr="002C1E1C">
        <w:rPr>
          <w:szCs w:val="28"/>
          <w:rtl/>
          <w:lang w:val="fr-CH"/>
        </w:rPr>
        <w:t xml:space="preserve"> </w:t>
      </w:r>
      <w:r w:rsidRPr="002C1E1C">
        <w:rPr>
          <w:rFonts w:hint="eastAsia"/>
          <w:szCs w:val="28"/>
          <w:rtl/>
          <w:lang w:val="fr-CH"/>
        </w:rPr>
        <w:t>منذ</w:t>
      </w:r>
      <w:r w:rsidRPr="002C1E1C">
        <w:rPr>
          <w:szCs w:val="28"/>
          <w:rtl/>
          <w:lang w:val="fr-CH"/>
        </w:rPr>
        <w:t xml:space="preserve"> </w:t>
      </w:r>
      <w:r w:rsidRPr="002C1E1C">
        <w:rPr>
          <w:rFonts w:hint="eastAsia"/>
          <w:szCs w:val="28"/>
          <w:rtl/>
          <w:lang w:val="fr-CH"/>
        </w:rPr>
        <w:t>عام</w:t>
      </w:r>
      <w:r w:rsidRPr="002C1E1C">
        <w:rPr>
          <w:szCs w:val="28"/>
          <w:rtl/>
          <w:lang w:val="fr-CH"/>
        </w:rPr>
        <w:t xml:space="preserve"> 2011</w:t>
      </w:r>
      <w:r w:rsidRPr="002C1E1C">
        <w:rPr>
          <w:webHidden/>
          <w:szCs w:val="28"/>
          <w:rtl/>
          <w:lang w:val="fr-CH"/>
        </w:rPr>
        <w:tab/>
      </w:r>
      <w:r>
        <w:rPr>
          <w:rFonts w:hint="cs"/>
          <w:webHidden/>
          <w:szCs w:val="28"/>
          <w:rtl/>
          <w:lang w:val="fr-CH"/>
        </w:rPr>
        <w:tab/>
      </w:r>
      <w:r w:rsidR="00B84054">
        <w:rPr>
          <w:rFonts w:hint="cs"/>
          <w:webHidden/>
          <w:szCs w:val="28"/>
          <w:rtl/>
          <w:lang w:val="fr-CH"/>
        </w:rPr>
        <w:t>71-75</w:t>
      </w:r>
      <w:r>
        <w:rPr>
          <w:rFonts w:hint="cs"/>
          <w:webHidden/>
          <w:szCs w:val="28"/>
          <w:rtl/>
          <w:lang w:val="fr-CH"/>
        </w:rPr>
        <w:tab/>
      </w:r>
      <w:r w:rsidRPr="002C1E1C">
        <w:rPr>
          <w:webHidden/>
          <w:szCs w:val="28"/>
          <w:rtl/>
          <w:lang w:val="fr-CH"/>
        </w:rPr>
        <w:t>26</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sidRPr="002C1E1C">
        <w:rPr>
          <w:rFonts w:hint="eastAsia"/>
          <w:szCs w:val="28"/>
          <w:rtl/>
          <w:lang w:val="fr-CH"/>
        </w:rPr>
        <w:t>سادساً</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الاستنتاجات</w:t>
      </w:r>
      <w:r w:rsidRPr="002C1E1C">
        <w:rPr>
          <w:szCs w:val="28"/>
          <w:rtl/>
          <w:lang w:val="fr-CH"/>
        </w:rPr>
        <w:t xml:space="preserve"> </w:t>
      </w:r>
      <w:r w:rsidRPr="002C1E1C">
        <w:rPr>
          <w:rFonts w:hint="eastAsia"/>
          <w:szCs w:val="28"/>
          <w:rtl/>
          <w:lang w:val="fr-CH"/>
        </w:rPr>
        <w:t>والتوصيات</w:t>
      </w:r>
      <w:r w:rsidRPr="002C1E1C">
        <w:rPr>
          <w:webHidden/>
          <w:szCs w:val="28"/>
          <w:rtl/>
          <w:lang w:val="fr-CH"/>
        </w:rPr>
        <w:tab/>
      </w:r>
      <w:r>
        <w:rPr>
          <w:rFonts w:hint="cs"/>
          <w:webHidden/>
          <w:szCs w:val="28"/>
          <w:rtl/>
          <w:lang w:val="fr-CH"/>
        </w:rPr>
        <w:tab/>
      </w:r>
      <w:r w:rsidR="00B84054">
        <w:rPr>
          <w:rFonts w:hint="cs"/>
          <w:webHidden/>
          <w:szCs w:val="28"/>
          <w:rtl/>
          <w:lang w:val="fr-CH"/>
        </w:rPr>
        <w:t>76-81</w:t>
      </w:r>
      <w:r>
        <w:rPr>
          <w:rFonts w:hint="cs"/>
          <w:webHidden/>
          <w:szCs w:val="28"/>
          <w:rtl/>
          <w:lang w:val="fr-CH"/>
        </w:rPr>
        <w:tab/>
      </w:r>
      <w:r w:rsidRPr="002C1E1C">
        <w:rPr>
          <w:webHidden/>
          <w:szCs w:val="28"/>
          <w:rtl/>
          <w:lang w:val="fr-CH"/>
        </w:rPr>
        <w:t>27</w:t>
      </w:r>
    </w:p>
    <w:p w:rsidR="002C1E1C" w:rsidRPr="002C1E1C" w:rsidRDefault="002C1E1C" w:rsidP="002C1E1C">
      <w:pPr>
        <w:tabs>
          <w:tab w:val="right" w:pos="1021"/>
          <w:tab w:val="left" w:pos="1077"/>
          <w:tab w:val="left" w:pos="1525"/>
          <w:tab w:val="left" w:pos="1842"/>
          <w:tab w:val="left" w:pos="2206"/>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ألف</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الدول</w:t>
      </w:r>
      <w:r w:rsidRPr="002C1E1C">
        <w:rPr>
          <w:webHidden/>
          <w:szCs w:val="28"/>
          <w:rtl/>
          <w:lang w:val="fr-CH"/>
        </w:rPr>
        <w:tab/>
      </w:r>
      <w:r>
        <w:rPr>
          <w:rFonts w:hint="cs"/>
          <w:webHidden/>
          <w:szCs w:val="28"/>
          <w:rtl/>
          <w:lang w:val="fr-CH"/>
        </w:rPr>
        <w:tab/>
      </w:r>
      <w:r w:rsidR="00B84054">
        <w:rPr>
          <w:rFonts w:hint="cs"/>
          <w:webHidden/>
          <w:szCs w:val="28"/>
          <w:rtl/>
          <w:lang w:val="fr-CH"/>
        </w:rPr>
        <w:t>78-79</w:t>
      </w:r>
      <w:r>
        <w:rPr>
          <w:rFonts w:hint="cs"/>
          <w:webHidden/>
          <w:szCs w:val="28"/>
          <w:rtl/>
          <w:lang w:val="fr-CH"/>
        </w:rPr>
        <w:tab/>
      </w:r>
      <w:r w:rsidRPr="002C1E1C">
        <w:rPr>
          <w:webHidden/>
          <w:szCs w:val="28"/>
          <w:rtl/>
          <w:lang w:val="fr-CH"/>
        </w:rPr>
        <w:t>28</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باء</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المؤسسات</w:t>
      </w:r>
      <w:r w:rsidRPr="002C1E1C">
        <w:rPr>
          <w:szCs w:val="28"/>
          <w:rtl/>
          <w:lang w:val="fr-CH"/>
        </w:rPr>
        <w:t xml:space="preserve"> </w:t>
      </w:r>
      <w:r w:rsidRPr="002C1E1C">
        <w:rPr>
          <w:rFonts w:hint="eastAsia"/>
          <w:szCs w:val="28"/>
          <w:rtl/>
          <w:lang w:val="fr-CH"/>
        </w:rPr>
        <w:t>الوطنية</w:t>
      </w:r>
      <w:r w:rsidRPr="002C1E1C">
        <w:rPr>
          <w:szCs w:val="28"/>
          <w:rtl/>
          <w:lang w:val="fr-CH"/>
        </w:rPr>
        <w:t xml:space="preserve"> </w:t>
      </w:r>
      <w:r w:rsidRPr="002C1E1C">
        <w:rPr>
          <w:rFonts w:hint="eastAsia"/>
          <w:szCs w:val="28"/>
          <w:rtl/>
          <w:lang w:val="fr-CH"/>
        </w:rPr>
        <w:t>لحقوق</w:t>
      </w:r>
      <w:r w:rsidRPr="002C1E1C">
        <w:rPr>
          <w:szCs w:val="28"/>
          <w:rtl/>
          <w:lang w:val="fr-CH"/>
        </w:rPr>
        <w:t xml:space="preserve"> </w:t>
      </w:r>
      <w:r w:rsidRPr="002C1E1C">
        <w:rPr>
          <w:rFonts w:hint="eastAsia"/>
          <w:szCs w:val="28"/>
          <w:rtl/>
          <w:lang w:val="fr-CH"/>
        </w:rPr>
        <w:t>الإنسان</w:t>
      </w:r>
      <w:r w:rsidRPr="002C1E1C">
        <w:rPr>
          <w:webHidden/>
          <w:szCs w:val="28"/>
          <w:rtl/>
          <w:lang w:val="fr-CH"/>
        </w:rPr>
        <w:tab/>
      </w:r>
      <w:r>
        <w:rPr>
          <w:rFonts w:hint="cs"/>
          <w:webHidden/>
          <w:szCs w:val="28"/>
          <w:rtl/>
          <w:lang w:val="fr-CH"/>
        </w:rPr>
        <w:tab/>
      </w:r>
      <w:r w:rsidR="00B84054">
        <w:rPr>
          <w:rFonts w:hint="cs"/>
          <w:webHidden/>
          <w:szCs w:val="28"/>
          <w:rtl/>
          <w:lang w:val="fr-CH"/>
        </w:rPr>
        <w:t>80</w:t>
      </w:r>
      <w:r>
        <w:rPr>
          <w:rFonts w:hint="cs"/>
          <w:webHidden/>
          <w:szCs w:val="28"/>
          <w:rtl/>
          <w:lang w:val="fr-CH"/>
        </w:rPr>
        <w:tab/>
      </w:r>
      <w:r w:rsidRPr="002C1E1C">
        <w:rPr>
          <w:webHidden/>
          <w:szCs w:val="28"/>
          <w:rtl/>
          <w:lang w:val="fr-CH"/>
        </w:rPr>
        <w:t>30</w:t>
      </w:r>
    </w:p>
    <w:p w:rsidR="002C1E1C" w:rsidRPr="002C1E1C" w:rsidRDefault="002C1E1C" w:rsidP="002C1E1C">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rFonts w:hint="cs"/>
          <w:szCs w:val="28"/>
          <w:rtl/>
          <w:lang w:val="fr-CH"/>
        </w:rPr>
        <w:tab/>
      </w:r>
      <w:r>
        <w:rPr>
          <w:szCs w:val="28"/>
          <w:rtl/>
          <w:lang w:val="fr-CH"/>
        </w:rPr>
        <w:tab/>
      </w:r>
      <w:r>
        <w:rPr>
          <w:rFonts w:hint="cs"/>
          <w:szCs w:val="28"/>
          <w:rtl/>
          <w:lang w:val="fr-CH"/>
        </w:rPr>
        <w:tab/>
      </w:r>
      <w:r w:rsidRPr="002C1E1C">
        <w:rPr>
          <w:rFonts w:hint="eastAsia"/>
          <w:szCs w:val="28"/>
          <w:rtl/>
          <w:lang w:val="fr-CH"/>
        </w:rPr>
        <w:t>جيم</w:t>
      </w:r>
      <w:r>
        <w:rPr>
          <w:szCs w:val="28"/>
          <w:rtl/>
          <w:lang w:val="fr-CH"/>
        </w:rPr>
        <w:tab/>
      </w:r>
      <w:r w:rsidRPr="002C1E1C">
        <w:rPr>
          <w:szCs w:val="28"/>
          <w:rtl/>
          <w:lang w:val="fr-CH"/>
        </w:rPr>
        <w:t>-</w:t>
      </w:r>
      <w:r w:rsidRPr="002C1E1C">
        <w:rPr>
          <w:szCs w:val="28"/>
          <w:rtl/>
          <w:lang w:val="fr-CH"/>
        </w:rPr>
        <w:tab/>
      </w:r>
      <w:r w:rsidRPr="002C1E1C">
        <w:rPr>
          <w:rFonts w:hint="eastAsia"/>
          <w:szCs w:val="28"/>
          <w:rtl/>
          <w:lang w:val="fr-CH"/>
        </w:rPr>
        <w:t>مجلس</w:t>
      </w:r>
      <w:r w:rsidRPr="002C1E1C">
        <w:rPr>
          <w:szCs w:val="28"/>
          <w:rtl/>
          <w:lang w:val="fr-CH"/>
        </w:rPr>
        <w:t xml:space="preserve"> </w:t>
      </w:r>
      <w:r w:rsidRPr="002C1E1C">
        <w:rPr>
          <w:rFonts w:hint="eastAsia"/>
          <w:szCs w:val="28"/>
          <w:rtl/>
          <w:lang w:val="fr-CH"/>
        </w:rPr>
        <w:t>حقوق</w:t>
      </w:r>
      <w:r w:rsidRPr="002C1E1C">
        <w:rPr>
          <w:szCs w:val="28"/>
          <w:rtl/>
          <w:lang w:val="fr-CH"/>
        </w:rPr>
        <w:t xml:space="preserve"> </w:t>
      </w:r>
      <w:r w:rsidRPr="002C1E1C">
        <w:rPr>
          <w:rFonts w:hint="eastAsia"/>
          <w:szCs w:val="28"/>
          <w:rtl/>
          <w:lang w:val="fr-CH"/>
        </w:rPr>
        <w:t>الإنسان</w:t>
      </w:r>
      <w:r w:rsidRPr="002C1E1C">
        <w:rPr>
          <w:webHidden/>
          <w:szCs w:val="28"/>
          <w:rtl/>
          <w:lang w:val="fr-CH"/>
        </w:rPr>
        <w:tab/>
      </w:r>
      <w:r>
        <w:rPr>
          <w:rFonts w:hint="cs"/>
          <w:webHidden/>
          <w:szCs w:val="28"/>
          <w:rtl/>
          <w:lang w:val="fr-CH"/>
        </w:rPr>
        <w:tab/>
      </w:r>
      <w:r w:rsidR="00B84054">
        <w:rPr>
          <w:rFonts w:hint="cs"/>
          <w:webHidden/>
          <w:szCs w:val="28"/>
          <w:rtl/>
          <w:lang w:val="fr-CH"/>
        </w:rPr>
        <w:t>81</w:t>
      </w:r>
      <w:r>
        <w:rPr>
          <w:rFonts w:hint="cs"/>
          <w:webHidden/>
          <w:szCs w:val="28"/>
          <w:rtl/>
          <w:lang w:val="fr-CH"/>
        </w:rPr>
        <w:tab/>
      </w:r>
      <w:r w:rsidRPr="002C1E1C">
        <w:rPr>
          <w:webHidden/>
          <w:szCs w:val="28"/>
          <w:rtl/>
          <w:lang w:val="fr-CH"/>
        </w:rPr>
        <w:t>30</w:t>
      </w:r>
    </w:p>
    <w:p w:rsidR="00D125E2" w:rsidRPr="006C0DD4" w:rsidRDefault="00D125E2" w:rsidP="00D125E2">
      <w:pPr>
        <w:pStyle w:val="HChGA"/>
        <w:pageBreakBefore/>
        <w:spacing w:before="120"/>
        <w:rPr>
          <w:rtl/>
        </w:rPr>
      </w:pPr>
      <w:r w:rsidRPr="006C0DD4">
        <w:rPr>
          <w:rFonts w:hint="cs"/>
          <w:rtl/>
        </w:rPr>
        <w:tab/>
      </w:r>
      <w:bookmarkStart w:id="2" w:name="_Toc420918997"/>
      <w:r w:rsidRPr="006C0DD4">
        <w:rPr>
          <w:rtl/>
        </w:rPr>
        <w:t>أولا</w:t>
      </w:r>
      <w:r w:rsidRPr="006C0DD4">
        <w:rPr>
          <w:rFonts w:hint="cs"/>
          <w:rtl/>
        </w:rPr>
        <w:t>ً</w:t>
      </w:r>
      <w:r w:rsidRPr="006C0DD4">
        <w:rPr>
          <w:rtl/>
        </w:rPr>
        <w:t>-</w:t>
      </w:r>
      <w:r w:rsidRPr="006C0DD4">
        <w:rPr>
          <w:rtl/>
        </w:rPr>
        <w:tab/>
        <w:t>مقدمة</w:t>
      </w:r>
      <w:bookmarkEnd w:id="2"/>
    </w:p>
    <w:p w:rsidR="00D125E2" w:rsidRPr="006C0DD4" w:rsidRDefault="00D125E2" w:rsidP="00411C20">
      <w:pPr>
        <w:pStyle w:val="SingleTxtGA"/>
        <w:rPr>
          <w:rtl/>
        </w:rPr>
      </w:pPr>
      <w:r w:rsidRPr="006C0DD4">
        <w:rPr>
          <w:rtl/>
        </w:rPr>
        <w:t>1-</w:t>
      </w:r>
      <w:r w:rsidRPr="006C0DD4">
        <w:rPr>
          <w:rtl/>
        </w:rPr>
        <w:tab/>
        <w:t>في عام 2011، قدمت مفوضة الأمم المتحدة السامية لحقوق الإنسان، عملاً بقرار مجلس حقوق الإنسان 17/19، تقريراً إلى المجلس وصفت فيه نمطاً من التمييز والعنف يستهدف الأشخاص في جميع مناطق العالم على أساس ميلهم الجنسي وهويتهم الجنسانية</w:t>
      </w:r>
      <w:r w:rsidR="00411C20" w:rsidRPr="006C0DD4">
        <w:rPr>
          <w:rStyle w:val="FootnoteReference"/>
          <w:sz w:val="30"/>
          <w:rtl/>
        </w:rPr>
        <w:t>(</w:t>
      </w:r>
      <w:r w:rsidR="00411C20" w:rsidRPr="006C0DD4">
        <w:rPr>
          <w:rStyle w:val="FootnoteReference"/>
          <w:sz w:val="30"/>
          <w:rtl/>
        </w:rPr>
        <w:footnoteReference w:id="1"/>
      </w:r>
      <w:r w:rsidR="00411C20" w:rsidRPr="006C0DD4">
        <w:rPr>
          <w:rStyle w:val="FootnoteReference"/>
          <w:sz w:val="30"/>
          <w:rtl/>
        </w:rPr>
        <w:t>)</w:t>
      </w:r>
      <w:r w:rsidR="00411C20" w:rsidRPr="006C0DD4">
        <w:rPr>
          <w:rFonts w:hint="cs"/>
          <w:rtl/>
        </w:rPr>
        <w:t>.</w:t>
      </w:r>
      <w:r w:rsidRPr="006C0DD4">
        <w:rPr>
          <w:rtl/>
        </w:rPr>
        <w:t xml:space="preserve"> وعقب نحو ثلاثة أعوام، طلب المجلس في قراره 27/32 إلى المفوض السامي أن يحدِّث التقرير المذكور أعلاه بغية تبادل الممارسات الجيدة وسبل القضاء على العنف والتمييز تطبيقاً للقانون الدولي لحقوق الإنسان والمعايير الدولية لحقوق الإنسان القائم</w:t>
      </w:r>
      <w:r w:rsidRPr="006C0DD4">
        <w:rPr>
          <w:rFonts w:hint="cs"/>
          <w:rtl/>
        </w:rPr>
        <w:t>ة</w:t>
      </w:r>
      <w:r w:rsidRPr="006C0DD4">
        <w:rPr>
          <w:rtl/>
        </w:rPr>
        <w:t>.</w:t>
      </w:r>
    </w:p>
    <w:p w:rsidR="00D125E2" w:rsidRPr="006C0DD4" w:rsidRDefault="00D125E2" w:rsidP="00411C20">
      <w:pPr>
        <w:pStyle w:val="SingleTxtGA"/>
        <w:rPr>
          <w:rtl/>
        </w:rPr>
      </w:pPr>
      <w:r w:rsidRPr="006C0DD4">
        <w:rPr>
          <w:rtl/>
        </w:rPr>
        <w:t>2-</w:t>
      </w:r>
      <w:r w:rsidRPr="006C0DD4">
        <w:rPr>
          <w:rtl/>
        </w:rPr>
        <w:tab/>
        <w:t>ويستعين هذا التقرير بالنتائج التي انتهت إليها مؤخراً هيئات الأمم المتحدة لحقوق الإنسان والمنظمات الإقليمية والمنظما</w:t>
      </w:r>
      <w:bookmarkStart w:id="3" w:name="_GoBack"/>
      <w:bookmarkEnd w:id="3"/>
      <w:r w:rsidRPr="006C0DD4">
        <w:rPr>
          <w:rtl/>
        </w:rPr>
        <w:t>ت غير الحكومية، وبالمعلومات المقدمة من الحكومات، بما</w:t>
      </w:r>
      <w:r w:rsidR="00411C20" w:rsidRPr="006C0DD4">
        <w:rPr>
          <w:rFonts w:hint="cs"/>
          <w:rtl/>
        </w:rPr>
        <w:t> </w:t>
      </w:r>
      <w:r w:rsidRPr="006C0DD4">
        <w:rPr>
          <w:rtl/>
        </w:rPr>
        <w:t>في ذلك 28 رداً على مذكرة شفوية وُجّهت إلى الدول الأعضا</w:t>
      </w:r>
      <w:r w:rsidR="00411C20" w:rsidRPr="006C0DD4">
        <w:rPr>
          <w:rtl/>
        </w:rPr>
        <w:t>ء في 29 كانون الأول/</w:t>
      </w:r>
      <w:r w:rsidR="00A63258">
        <w:rPr>
          <w:rFonts w:hint="cs"/>
          <w:rtl/>
        </w:rPr>
        <w:t xml:space="preserve"> </w:t>
      </w:r>
      <w:r w:rsidR="00411C20" w:rsidRPr="006C0DD4">
        <w:rPr>
          <w:rtl/>
        </w:rPr>
        <w:t>ديسمبر 2014</w:t>
      </w:r>
      <w:r w:rsidR="00411C20" w:rsidRPr="006C0DD4">
        <w:rPr>
          <w:rStyle w:val="FootnoteReference"/>
          <w:sz w:val="30"/>
          <w:rtl/>
        </w:rPr>
        <w:t>(</w:t>
      </w:r>
      <w:r w:rsidR="00411C20" w:rsidRPr="006C0DD4">
        <w:rPr>
          <w:rStyle w:val="FootnoteReference"/>
          <w:sz w:val="30"/>
          <w:rtl/>
        </w:rPr>
        <w:footnoteReference w:id="2"/>
      </w:r>
      <w:r w:rsidR="00411C20" w:rsidRPr="006C0DD4">
        <w:rPr>
          <w:rStyle w:val="FootnoteReference"/>
          <w:sz w:val="30"/>
          <w:rtl/>
        </w:rPr>
        <w:t>)</w:t>
      </w:r>
      <w:r w:rsidR="00411C20" w:rsidRPr="006C0DD4">
        <w:rPr>
          <w:rFonts w:hint="cs"/>
          <w:rtl/>
        </w:rPr>
        <w:t>.</w:t>
      </w:r>
      <w:r w:rsidR="00411C20" w:rsidRPr="006C0DD4">
        <w:rPr>
          <w:rtl/>
        </w:rPr>
        <w:t xml:space="preserve"> </w:t>
      </w:r>
    </w:p>
    <w:p w:rsidR="00D125E2" w:rsidRPr="006C0DD4" w:rsidRDefault="00D125E2" w:rsidP="00D125E2">
      <w:pPr>
        <w:pStyle w:val="HChGA"/>
        <w:rPr>
          <w:sz w:val="30"/>
          <w:rtl/>
        </w:rPr>
      </w:pPr>
      <w:r w:rsidRPr="006C0DD4">
        <w:rPr>
          <w:rFonts w:hint="cs"/>
          <w:rtl/>
        </w:rPr>
        <w:tab/>
      </w:r>
      <w:bookmarkStart w:id="4" w:name="_Toc420918998"/>
      <w:r w:rsidRPr="006C0DD4">
        <w:rPr>
          <w:rtl/>
        </w:rPr>
        <w:t>ثانياً-</w:t>
      </w:r>
      <w:r w:rsidRPr="006C0DD4">
        <w:rPr>
          <w:rtl/>
        </w:rPr>
        <w:tab/>
        <w:t>التطورات ا</w:t>
      </w:r>
      <w:r w:rsidRPr="006C0DD4">
        <w:rPr>
          <w:rFonts w:hint="cs"/>
          <w:rtl/>
        </w:rPr>
        <w:t>لأخيرة</w:t>
      </w:r>
      <w:bookmarkEnd w:id="4"/>
    </w:p>
    <w:p w:rsidR="00D125E2" w:rsidRPr="006C0DD4" w:rsidRDefault="00D125E2" w:rsidP="00D125E2">
      <w:pPr>
        <w:pStyle w:val="SingleTxtGA"/>
        <w:rPr>
          <w:rtl/>
        </w:rPr>
      </w:pPr>
      <w:r w:rsidRPr="006C0DD4">
        <w:rPr>
          <w:rtl/>
        </w:rPr>
        <w:t>3-</w:t>
      </w:r>
      <w:r w:rsidRPr="006C0DD4">
        <w:rPr>
          <w:rtl/>
        </w:rPr>
        <w:tab/>
        <w:t>في ال</w:t>
      </w:r>
      <w:r w:rsidRPr="006C0DD4">
        <w:rPr>
          <w:rFonts w:hint="cs"/>
          <w:rtl/>
        </w:rPr>
        <w:t>سنوات</w:t>
      </w:r>
      <w:r w:rsidRPr="006C0DD4">
        <w:rPr>
          <w:rtl/>
        </w:rPr>
        <w:t xml:space="preserve"> الأخيرة، سعت الحكومات في جميع </w:t>
      </w:r>
      <w:r w:rsidRPr="006C0DD4">
        <w:rPr>
          <w:rFonts w:hint="cs"/>
          <w:rtl/>
        </w:rPr>
        <w:t>أنحاء</w:t>
      </w:r>
      <w:r w:rsidRPr="006C0DD4">
        <w:rPr>
          <w:rtl/>
        </w:rPr>
        <w:t xml:space="preserve"> العالم إلى اتخاذ مبادرات</w:t>
      </w:r>
      <w:r w:rsidRPr="006C0DD4">
        <w:rPr>
          <w:rFonts w:hint="cs"/>
          <w:rtl/>
        </w:rPr>
        <w:t xml:space="preserve"> مختلفة بهدف</w:t>
      </w:r>
      <w:r w:rsidRPr="006C0DD4">
        <w:rPr>
          <w:rtl/>
        </w:rPr>
        <w:t xml:space="preserve"> الحد من معدلات العنف والتمييز على أساس الميل الجنسي والهوية الجنسانية. فعلى سبيل المثال، منذ عام 2011، اعتمدت 14 دولة قوانين لمناهضة التمييز ومكافحة</w:t>
      </w:r>
      <w:r w:rsidRPr="006C0DD4">
        <w:rPr>
          <w:rFonts w:hint="cs"/>
          <w:rtl/>
        </w:rPr>
        <w:t xml:space="preserve"> الجرائم المرتكبة بدافع </w:t>
      </w:r>
      <w:r w:rsidRPr="006C0DD4">
        <w:rPr>
          <w:rtl/>
        </w:rPr>
        <w:t>الكراهية أو عززت تلك</w:t>
      </w:r>
      <w:r w:rsidRPr="006C0DD4">
        <w:rPr>
          <w:rFonts w:hint="cs"/>
          <w:rtl/>
        </w:rPr>
        <w:t xml:space="preserve"> القوانين</w:t>
      </w:r>
      <w:r w:rsidRPr="006C0DD4">
        <w:rPr>
          <w:rtl/>
        </w:rPr>
        <w:t xml:space="preserve">، ووسعت نطاق الحماية ليشمل الحماية على أساس الميل الجنسي و/أو الهوية الجنسانية، وأقرّت، في حالتين، تدابير حماية قانونية للأشخاص حاملي صفات الجنسين. وألغت ثلاث دول العقوبات الجنائية المفروضة على ممارسة </w:t>
      </w:r>
      <w:r w:rsidRPr="006C0DD4">
        <w:rPr>
          <w:rFonts w:hint="cs"/>
          <w:rtl/>
        </w:rPr>
        <w:t xml:space="preserve">العلاقات الجنسية </w:t>
      </w:r>
      <w:r w:rsidRPr="006C0DD4">
        <w:rPr>
          <w:rtl/>
        </w:rPr>
        <w:t>المثلية، وأقرّت 12 دولة على الصعيد الوطني الزواج أو الارتباط المدني بين الشركاء من نفس نوع الجنس، بينما أقرّت عشر دول إصلاحاتٍ تيسّر، بدرجاتٍ متفاوتة، للأشخاص مغايري الهوية الجنسانية الحصول على الاعتراف القانوني بهويتهم الجنسانية.</w:t>
      </w:r>
    </w:p>
    <w:p w:rsidR="00D125E2" w:rsidRPr="006C0DD4" w:rsidRDefault="00D125E2" w:rsidP="00D125E2">
      <w:pPr>
        <w:pStyle w:val="SingleTxtGA"/>
        <w:rPr>
          <w:rtl/>
        </w:rPr>
      </w:pPr>
      <w:r w:rsidRPr="006C0DD4">
        <w:rPr>
          <w:rtl/>
        </w:rPr>
        <w:t>4-</w:t>
      </w:r>
      <w:r w:rsidRPr="006C0DD4">
        <w:rPr>
          <w:rtl/>
        </w:rPr>
        <w:tab/>
        <w:t>وفي عشرات البلدان، يتلقى حالياً أفراد الشرطة والقضاة وحراس السجون والموظفون الطبيون والمعلمون التدريب على مراعاة</w:t>
      </w:r>
      <w:r w:rsidRPr="006C0DD4">
        <w:rPr>
          <w:rFonts w:hint="cs"/>
          <w:rtl/>
        </w:rPr>
        <w:t xml:space="preserve"> الاعتبارات</w:t>
      </w:r>
      <w:r w:rsidRPr="006C0DD4">
        <w:rPr>
          <w:rtl/>
        </w:rPr>
        <w:t xml:space="preserve"> الجنسانية</w:t>
      </w:r>
      <w:r w:rsidRPr="006C0DD4">
        <w:rPr>
          <w:rFonts w:hint="cs"/>
          <w:rtl/>
        </w:rPr>
        <w:t xml:space="preserve"> و</w:t>
      </w:r>
      <w:r w:rsidRPr="006C0DD4">
        <w:rPr>
          <w:rtl/>
        </w:rPr>
        <w:t>الجنسية، وأُطلقت برامج لمكافحة التحرش في المدارس، وأُنشئت</w:t>
      </w:r>
      <w:r w:rsidRPr="006C0DD4">
        <w:rPr>
          <w:rFonts w:hint="cs"/>
          <w:rtl/>
        </w:rPr>
        <w:t xml:space="preserve"> ديار</w:t>
      </w:r>
      <w:r w:rsidRPr="006C0DD4">
        <w:rPr>
          <w:rtl/>
        </w:rPr>
        <w:t xml:space="preserve"> لإسكان الشباب المثليين والمثليات ومزدوجي الميل الجنسي ومغايري الهوية الجنسانية</w:t>
      </w:r>
      <w:r w:rsidRPr="006C0DD4">
        <w:rPr>
          <w:rFonts w:hint="cs"/>
          <w:rtl/>
        </w:rPr>
        <w:t xml:space="preserve"> المشردين</w:t>
      </w:r>
      <w:r w:rsidRPr="006C0DD4">
        <w:rPr>
          <w:rtl/>
        </w:rPr>
        <w:t xml:space="preserve">. وأَدمجت </w:t>
      </w:r>
      <w:r w:rsidRPr="006C0DD4">
        <w:rPr>
          <w:rFonts w:hint="cs"/>
          <w:rtl/>
        </w:rPr>
        <w:t xml:space="preserve">في </w:t>
      </w:r>
      <w:r w:rsidRPr="006C0DD4">
        <w:rPr>
          <w:rtl/>
        </w:rPr>
        <w:t xml:space="preserve">البرامج التلفزيونية الشهيرة على نحو إيجابي شخصيات تمثل جماعة المثليات والمثليين ومزدوجي الميل الجنسي ومغايري الهوية الجنسانية، وساعد المشاهير في إذكاء الوعي "بالإفصاح" عن أنهم أنفسهم ينتمون إلى هذه الجماعة أو </w:t>
      </w:r>
      <w:r w:rsidRPr="006C0DD4">
        <w:rPr>
          <w:rtl/>
        </w:rPr>
        <w:lastRenderedPageBreak/>
        <w:t>بالمجاهرة بدعمهم لأفرادها. وفي مناطق العالم كافة، يبدو المدافعون عن حقوق الإنسان</w:t>
      </w:r>
      <w:r w:rsidRPr="006C0DD4">
        <w:rPr>
          <w:rFonts w:hint="cs"/>
          <w:rtl/>
        </w:rPr>
        <w:t xml:space="preserve"> الواجبة ل</w:t>
      </w:r>
      <w:r w:rsidRPr="006C0DD4">
        <w:rPr>
          <w:rtl/>
        </w:rPr>
        <w:t>لمثليات والمثليين ومزدوجي الميل الجنسي ومغايري الهوية الجنسانية وحاملي صفات الجنسين</w:t>
      </w:r>
      <w:r w:rsidR="00411C20" w:rsidRPr="006C0DD4">
        <w:rPr>
          <w:rStyle w:val="FootnoteReference"/>
          <w:sz w:val="30"/>
          <w:rtl/>
        </w:rPr>
        <w:t>(</w:t>
      </w:r>
      <w:r w:rsidR="00411C20" w:rsidRPr="006C0DD4">
        <w:rPr>
          <w:rStyle w:val="FootnoteReference"/>
          <w:sz w:val="30"/>
          <w:rtl/>
        </w:rPr>
        <w:footnoteReference w:id="3"/>
      </w:r>
      <w:r w:rsidR="00411C20" w:rsidRPr="006C0DD4">
        <w:rPr>
          <w:rStyle w:val="FootnoteReference"/>
          <w:sz w:val="30"/>
          <w:rtl/>
        </w:rPr>
        <w:t>)</w:t>
      </w:r>
      <w:r w:rsidRPr="006C0DD4">
        <w:rPr>
          <w:rtl/>
        </w:rPr>
        <w:t xml:space="preserve"> أعلى صوتاً وأبرز وجوداً، ونجحوا في عدة حالات في الطعن قضائياً في محاولات بعض السلطات تقييد أنشطتهم المشروعة.</w:t>
      </w:r>
    </w:p>
    <w:p w:rsidR="00D125E2" w:rsidRPr="00A63258" w:rsidRDefault="00D125E2" w:rsidP="009F47B3">
      <w:pPr>
        <w:pStyle w:val="SingleTxtGA"/>
        <w:rPr>
          <w:spacing w:val="-2"/>
          <w:rtl/>
        </w:rPr>
      </w:pPr>
      <w:r w:rsidRPr="00A63258">
        <w:rPr>
          <w:spacing w:val="-2"/>
          <w:rtl/>
        </w:rPr>
        <w:t>5-</w:t>
      </w:r>
      <w:r w:rsidRPr="00A63258">
        <w:rPr>
          <w:spacing w:val="-2"/>
          <w:rtl/>
        </w:rPr>
        <w:tab/>
        <w:t>وبينما تُقابل هذه التطورات بالترحيب،</w:t>
      </w:r>
      <w:r w:rsidRPr="00A63258">
        <w:rPr>
          <w:rFonts w:hint="cs"/>
          <w:spacing w:val="-2"/>
          <w:rtl/>
        </w:rPr>
        <w:t xml:space="preserve"> تلقي ا</w:t>
      </w:r>
      <w:r w:rsidRPr="00A63258">
        <w:rPr>
          <w:spacing w:val="-2"/>
          <w:rtl/>
        </w:rPr>
        <w:t xml:space="preserve">لانتهاكات </w:t>
      </w:r>
      <w:r w:rsidRPr="00A63258">
        <w:rPr>
          <w:rFonts w:hint="cs"/>
          <w:spacing w:val="-2"/>
          <w:rtl/>
        </w:rPr>
        <w:t>المتواصلة و</w:t>
      </w:r>
      <w:r w:rsidRPr="00A63258">
        <w:rPr>
          <w:spacing w:val="-2"/>
          <w:rtl/>
        </w:rPr>
        <w:t xml:space="preserve">الخطيرة </w:t>
      </w:r>
      <w:r w:rsidRPr="00A63258">
        <w:rPr>
          <w:rFonts w:hint="cs"/>
          <w:spacing w:val="-2"/>
          <w:rtl/>
        </w:rPr>
        <w:t>وال</w:t>
      </w:r>
      <w:r w:rsidRPr="00A63258">
        <w:rPr>
          <w:spacing w:val="-2"/>
          <w:rtl/>
        </w:rPr>
        <w:t>واسعة الانتشار</w:t>
      </w:r>
      <w:r w:rsidRPr="00A63258">
        <w:rPr>
          <w:rFonts w:hint="cs"/>
          <w:spacing w:val="-2"/>
          <w:rtl/>
        </w:rPr>
        <w:t xml:space="preserve"> </w:t>
      </w:r>
      <w:r w:rsidRPr="00A63258">
        <w:rPr>
          <w:spacing w:val="-2"/>
          <w:rtl/>
        </w:rPr>
        <w:t>لحقوق الإنسان المرتكبة بحق الأفراد على أساس ميلهم الجنسي وهويتهم الجنسانية</w:t>
      </w:r>
      <w:r w:rsidRPr="00A63258">
        <w:rPr>
          <w:rFonts w:hint="cs"/>
          <w:spacing w:val="-2"/>
          <w:rtl/>
        </w:rPr>
        <w:t xml:space="preserve"> بظلالها على هذه التطورات، </w:t>
      </w:r>
      <w:r w:rsidRPr="00A63258">
        <w:rPr>
          <w:spacing w:val="-2"/>
          <w:rtl/>
        </w:rPr>
        <w:t>مع إفلات مرتكبيها في أغلب الأحيان</w:t>
      </w:r>
      <w:r w:rsidRPr="00A63258">
        <w:rPr>
          <w:rFonts w:hint="cs"/>
          <w:spacing w:val="-2"/>
          <w:rtl/>
        </w:rPr>
        <w:t xml:space="preserve"> من العقاب</w:t>
      </w:r>
      <w:r w:rsidRPr="00A63258">
        <w:rPr>
          <w:spacing w:val="-2"/>
          <w:rtl/>
        </w:rPr>
        <w:t>. فمنذ عام</w:t>
      </w:r>
      <w:r w:rsidR="009F47B3" w:rsidRPr="00A63258">
        <w:rPr>
          <w:rFonts w:hint="cs"/>
          <w:spacing w:val="-2"/>
          <w:rtl/>
        </w:rPr>
        <w:t> </w:t>
      </w:r>
      <w:r w:rsidRPr="00A63258">
        <w:rPr>
          <w:spacing w:val="-2"/>
          <w:rtl/>
        </w:rPr>
        <w:t xml:space="preserve">2011، قُتل مئات من الأشخاص وأُصيب آلاف آخرون في </w:t>
      </w:r>
      <w:r w:rsidRPr="00A63258">
        <w:rPr>
          <w:rFonts w:hint="cs"/>
          <w:spacing w:val="-2"/>
          <w:rtl/>
        </w:rPr>
        <w:t>الهجمات ال</w:t>
      </w:r>
      <w:r w:rsidRPr="00A63258">
        <w:rPr>
          <w:spacing w:val="-2"/>
          <w:rtl/>
        </w:rPr>
        <w:t xml:space="preserve">شرسة </w:t>
      </w:r>
      <w:r w:rsidRPr="00A63258">
        <w:rPr>
          <w:rFonts w:hint="cs"/>
          <w:spacing w:val="-2"/>
          <w:rtl/>
        </w:rPr>
        <w:t>وال</w:t>
      </w:r>
      <w:r w:rsidRPr="00A63258">
        <w:rPr>
          <w:spacing w:val="-2"/>
          <w:rtl/>
        </w:rPr>
        <w:t>عنيفة</w:t>
      </w:r>
      <w:r w:rsidRPr="00A63258">
        <w:rPr>
          <w:rFonts w:hint="cs"/>
          <w:spacing w:val="-2"/>
          <w:rtl/>
        </w:rPr>
        <w:t xml:space="preserve"> التي وقعت ضدهم</w:t>
      </w:r>
      <w:r w:rsidRPr="00A63258">
        <w:rPr>
          <w:spacing w:val="-2"/>
          <w:rtl/>
        </w:rPr>
        <w:t>، بعضها م</w:t>
      </w:r>
      <w:r w:rsidRPr="00A63258">
        <w:rPr>
          <w:rFonts w:hint="cs"/>
          <w:spacing w:val="-2"/>
          <w:rtl/>
        </w:rPr>
        <w:t>شار إليه</w:t>
      </w:r>
      <w:r w:rsidRPr="00A63258">
        <w:rPr>
          <w:spacing w:val="-2"/>
          <w:rtl/>
        </w:rPr>
        <w:t xml:space="preserve"> أدناه. ومن بين الانتهاكات الأخرى ال</w:t>
      </w:r>
      <w:r w:rsidRPr="00A63258">
        <w:rPr>
          <w:rFonts w:hint="cs"/>
          <w:spacing w:val="-2"/>
          <w:rtl/>
        </w:rPr>
        <w:t>مسجلة ل</w:t>
      </w:r>
      <w:r w:rsidRPr="00A63258">
        <w:rPr>
          <w:spacing w:val="-2"/>
          <w:rtl/>
        </w:rPr>
        <w:t>لتعذيب، والاحتجاز التعسفي، والحرمان من الحق في حرية التجمّع وفي حرية التعبير، والتمييز في مجالات الرعاية الصحية والتعليم وفرص العمل والإسكان. وتستلزم هذه الانتهاكات والانتهاكات المتصلة بها ردَّ فعلٍ منسق من الحكومات والمجالس التشريعية والمنظمات الإقليمية والمؤسسات الوطنية لحقوق الإنسان والمجتمع المدني، وكذلك من هيئات الأمم المتحدة، بما فيها مجلس حقوق الإنسان.</w:t>
      </w:r>
    </w:p>
    <w:p w:rsidR="00D125E2" w:rsidRPr="006C0DD4" w:rsidRDefault="00D125E2" w:rsidP="00D125E2">
      <w:pPr>
        <w:pStyle w:val="SingleTxtGA"/>
        <w:rPr>
          <w:rtl/>
        </w:rPr>
      </w:pPr>
      <w:r w:rsidRPr="006C0DD4">
        <w:rPr>
          <w:rtl/>
        </w:rPr>
        <w:t>6-</w:t>
      </w:r>
      <w:r w:rsidRPr="006C0DD4">
        <w:rPr>
          <w:rtl/>
        </w:rPr>
        <w:tab/>
        <w:t>وقد أثارت هيئات معاهدات حقوق الإنسان وآلية الإجراءات الخاصة التابعتان للأمم المتحدة مراراً شواغل بشأن مدى انتشار وجسامة ظاهرتي العنف والتمييز ضد</w:t>
      </w:r>
      <w:r w:rsidRPr="006C0DD4">
        <w:rPr>
          <w:rFonts w:hint="cs"/>
          <w:rtl/>
        </w:rPr>
        <w:t xml:space="preserve"> </w:t>
      </w:r>
      <w:r w:rsidRPr="006C0DD4">
        <w:rPr>
          <w:rtl/>
        </w:rPr>
        <w:t xml:space="preserve">المثليات والمثليين ومزدوجي الميل الجنسي ومغايري الهوية الجنسانية وحاملي صفات الجنسين. ونشرت المفوضية السامية في الأعوام الأخيرة مجموعة من المواد الإرشادية والإعلامية </w:t>
      </w:r>
      <w:r w:rsidRPr="006C0DD4">
        <w:rPr>
          <w:rFonts w:hint="cs"/>
          <w:rtl/>
        </w:rPr>
        <w:t xml:space="preserve">في </w:t>
      </w:r>
      <w:r w:rsidRPr="006C0DD4">
        <w:rPr>
          <w:rtl/>
        </w:rPr>
        <w:t xml:space="preserve">هذا الشأن شملت صحف وقائع وكتيّبات وأفلام فيديو قصيرة، وسعت إلى إشراك الدول في حوارٍ بنّاء بشأن سبل تحسين حماية حقوق هؤلاء الأشخاص. وفي تموز/يوليه 2013، أطلقت المفوضة السامية حملة "أحرار ومتساوون" </w:t>
      </w:r>
      <w:r w:rsidRPr="006C0DD4">
        <w:rPr>
          <w:lang w:eastAsia="zh-CN"/>
        </w:rPr>
        <w:t>(</w:t>
      </w:r>
      <w:r w:rsidRPr="006C0DD4">
        <w:rPr>
          <w:rFonts w:cs="Times New Roman"/>
          <w:sz w:val="22"/>
          <w:szCs w:val="22"/>
        </w:rPr>
        <w:t>www.unfe.org</w:t>
      </w:r>
      <w:r w:rsidRPr="006C0DD4">
        <w:t>)</w:t>
      </w:r>
      <w:r w:rsidRPr="006C0DD4">
        <w:rPr>
          <w:rFonts w:hint="cs"/>
          <w:rtl/>
        </w:rPr>
        <w:t xml:space="preserve"> التابعة للأمم المتحدة</w:t>
      </w:r>
      <w:r w:rsidRPr="006C0DD4">
        <w:rPr>
          <w:rtl/>
        </w:rPr>
        <w:t xml:space="preserve">، وهي حملة تثقيفية عالمية لمكافحة كراهية المثلية الجنسية وكراهية مغايري الهوية الجنسانية، </w:t>
      </w:r>
      <w:r w:rsidRPr="006C0DD4">
        <w:rPr>
          <w:rFonts w:hint="cs"/>
          <w:rtl/>
        </w:rPr>
        <w:t>و</w:t>
      </w:r>
      <w:r w:rsidRPr="006C0DD4">
        <w:rPr>
          <w:rtl/>
        </w:rPr>
        <w:t>وصلت فعالياتها حتى الآن إلى أكثر من مليار شخص في شتى أنحاء العالم عبر وسائط الإعلام التقليدي</w:t>
      </w:r>
      <w:r w:rsidRPr="006C0DD4">
        <w:rPr>
          <w:rFonts w:hint="cs"/>
          <w:rtl/>
        </w:rPr>
        <w:t>ة</w:t>
      </w:r>
      <w:r w:rsidRPr="006C0DD4">
        <w:rPr>
          <w:rtl/>
        </w:rPr>
        <w:t xml:space="preserve"> ووسائط التواصل الاجتماعي.</w:t>
      </w:r>
    </w:p>
    <w:p w:rsidR="00D125E2" w:rsidRPr="006C0DD4" w:rsidRDefault="00D125E2" w:rsidP="00D125E2">
      <w:pPr>
        <w:pStyle w:val="SingleTxtGA"/>
        <w:rPr>
          <w:rtl/>
        </w:rPr>
      </w:pPr>
      <w:r w:rsidRPr="006C0DD4">
        <w:rPr>
          <w:rtl/>
        </w:rPr>
        <w:t>7-</w:t>
      </w:r>
      <w:r w:rsidRPr="006C0DD4">
        <w:rPr>
          <w:rtl/>
        </w:rPr>
        <w:tab/>
      </w:r>
      <w:r w:rsidRPr="006C0DD4">
        <w:rPr>
          <w:rFonts w:hint="cs"/>
          <w:rtl/>
        </w:rPr>
        <w:t>و</w:t>
      </w:r>
      <w:r w:rsidRPr="006C0DD4">
        <w:rPr>
          <w:rtl/>
        </w:rPr>
        <w:t xml:space="preserve">كانت حقوق المثليات والمثليين ومزدوجي الميل الجنسي ومغايري الهوية الجنسانية </w:t>
      </w:r>
      <w:r w:rsidRPr="006C0DD4">
        <w:rPr>
          <w:rFonts w:hint="cs"/>
          <w:rtl/>
        </w:rPr>
        <w:t>أيضا</w:t>
      </w:r>
      <w:r w:rsidR="00E672BA">
        <w:rPr>
          <w:rFonts w:hint="cs"/>
          <w:rtl/>
        </w:rPr>
        <w:t>ً</w:t>
      </w:r>
      <w:r w:rsidRPr="006C0DD4">
        <w:rPr>
          <w:rFonts w:hint="cs"/>
          <w:rtl/>
        </w:rPr>
        <w:t xml:space="preserve"> موضعا</w:t>
      </w:r>
      <w:r w:rsidR="00E672BA">
        <w:rPr>
          <w:rFonts w:hint="cs"/>
          <w:rtl/>
        </w:rPr>
        <w:t>ً</w:t>
      </w:r>
      <w:r w:rsidRPr="006C0DD4">
        <w:rPr>
          <w:rFonts w:hint="cs"/>
          <w:rtl/>
        </w:rPr>
        <w:t xml:space="preserve"> لل</w:t>
      </w:r>
      <w:r w:rsidRPr="006C0DD4">
        <w:rPr>
          <w:rtl/>
        </w:rPr>
        <w:t xml:space="preserve">تركيز </w:t>
      </w:r>
      <w:r w:rsidRPr="006C0DD4">
        <w:rPr>
          <w:rFonts w:hint="cs"/>
          <w:rtl/>
        </w:rPr>
        <w:t xml:space="preserve">في </w:t>
      </w:r>
      <w:r w:rsidRPr="006C0DD4">
        <w:rPr>
          <w:rtl/>
        </w:rPr>
        <w:t xml:space="preserve">أعمال </w:t>
      </w:r>
      <w:r w:rsidRPr="006C0DD4">
        <w:rPr>
          <w:rFonts w:hint="cs"/>
          <w:rtl/>
        </w:rPr>
        <w:t xml:space="preserve">تم </w:t>
      </w:r>
      <w:r w:rsidRPr="006C0DD4">
        <w:rPr>
          <w:rtl/>
        </w:rPr>
        <w:t>ا</w:t>
      </w:r>
      <w:r w:rsidRPr="006C0DD4">
        <w:rPr>
          <w:rFonts w:hint="cs"/>
          <w:rtl/>
        </w:rPr>
        <w:t>لا</w:t>
      </w:r>
      <w:r w:rsidRPr="006C0DD4">
        <w:rPr>
          <w:rtl/>
        </w:rPr>
        <w:t>ضط</w:t>
      </w:r>
      <w:r w:rsidRPr="006C0DD4">
        <w:rPr>
          <w:rFonts w:hint="cs"/>
          <w:rtl/>
        </w:rPr>
        <w:t>لا</w:t>
      </w:r>
      <w:r w:rsidRPr="006C0DD4">
        <w:rPr>
          <w:rtl/>
        </w:rPr>
        <w:t xml:space="preserve">ع بها على </w:t>
      </w:r>
      <w:r w:rsidRPr="006C0DD4">
        <w:rPr>
          <w:rFonts w:hint="cs"/>
          <w:rtl/>
        </w:rPr>
        <w:t xml:space="preserve">مستوى </w:t>
      </w:r>
      <w:r w:rsidRPr="006C0DD4">
        <w:rPr>
          <w:rtl/>
        </w:rPr>
        <w:t>منظومة الأمم المتحدة</w:t>
      </w:r>
      <w:r w:rsidRPr="006C0DD4">
        <w:rPr>
          <w:rFonts w:hint="cs"/>
          <w:rtl/>
        </w:rPr>
        <w:t xml:space="preserve"> بأكملها</w:t>
      </w:r>
      <w:r w:rsidRPr="006C0DD4">
        <w:rPr>
          <w:rtl/>
        </w:rPr>
        <w:t xml:space="preserve">. ففي مؤتمر أوسلو بشأن حقوق الإنسان والميل الجنسي والهوية الجنسانية، وصف الأمين العام مكافحة كراهية المثلية الجنسية وكراهية مغايري الهوية الجنسانية في رسالته إلى المؤتمر </w:t>
      </w:r>
      <w:r w:rsidRPr="006C0DD4">
        <w:rPr>
          <w:rFonts w:hint="cs"/>
          <w:rtl/>
        </w:rPr>
        <w:t xml:space="preserve">بأنها </w:t>
      </w:r>
      <w:r w:rsidRPr="006C0DD4">
        <w:rPr>
          <w:rtl/>
        </w:rPr>
        <w:t>"أحد التحديات الكبرى المُ</w:t>
      </w:r>
      <w:r w:rsidRPr="006C0DD4">
        <w:rPr>
          <w:rFonts w:hint="cs"/>
          <w:rtl/>
        </w:rPr>
        <w:t>هملة</w:t>
      </w:r>
      <w:r w:rsidRPr="006C0DD4">
        <w:rPr>
          <w:rtl/>
        </w:rPr>
        <w:t xml:space="preserve"> في مجال حقوق الإنسان في </w:t>
      </w:r>
      <w:r w:rsidRPr="006C0DD4">
        <w:rPr>
          <w:rFonts w:hint="cs"/>
          <w:rtl/>
        </w:rPr>
        <w:t>هذا ال</w:t>
      </w:r>
      <w:r w:rsidRPr="006C0DD4">
        <w:rPr>
          <w:rtl/>
        </w:rPr>
        <w:t xml:space="preserve">عصر" وتعهّد بالعمل من أجل إنهاء تجريم المثلية الجنسية واتخاذ إجراءات للتصدي للعنف والتحيز. وفي الوقت الراهن، تُدرج وكالات الأمم </w:t>
      </w:r>
      <w:r w:rsidRPr="006C0DD4">
        <w:rPr>
          <w:rtl/>
        </w:rPr>
        <w:lastRenderedPageBreak/>
        <w:t xml:space="preserve">المتحدة على نحو متزايد قضايا تتعلق بالميل الجنسي والهوية الجنسانية في </w:t>
      </w:r>
      <w:r w:rsidRPr="006C0DD4">
        <w:rPr>
          <w:rFonts w:hint="cs"/>
          <w:rtl/>
        </w:rPr>
        <w:t>برامج عملها</w:t>
      </w:r>
      <w:r w:rsidRPr="006C0DD4">
        <w:rPr>
          <w:rtl/>
        </w:rPr>
        <w:t>، بما يشمل مجالات التنمية، والتعليم، وحقوق العاملين، وحقوق الطفل، والمساواة بين الجنسين، وحماية اللاجئين، والوقاية من فيروس نقص</w:t>
      </w:r>
      <w:r w:rsidR="00411C20" w:rsidRPr="006C0DD4">
        <w:rPr>
          <w:rtl/>
        </w:rPr>
        <w:t xml:space="preserve"> المناعة البشرية، والصحة العامة</w:t>
      </w:r>
      <w:r w:rsidR="00411C20" w:rsidRPr="006C0DD4">
        <w:rPr>
          <w:rStyle w:val="FootnoteReference"/>
          <w:sz w:val="30"/>
          <w:rtl/>
        </w:rPr>
        <w:t>(</w:t>
      </w:r>
      <w:r w:rsidR="00411C20" w:rsidRPr="006C0DD4">
        <w:rPr>
          <w:rStyle w:val="FootnoteReference"/>
          <w:sz w:val="30"/>
          <w:rtl/>
        </w:rPr>
        <w:footnoteReference w:id="4"/>
      </w:r>
      <w:r w:rsidR="00411C20" w:rsidRPr="006C0DD4">
        <w:rPr>
          <w:rStyle w:val="FootnoteReference"/>
          <w:sz w:val="30"/>
          <w:rtl/>
        </w:rPr>
        <w:t>)</w:t>
      </w:r>
      <w:r w:rsidR="00411C20" w:rsidRPr="006C0DD4">
        <w:rPr>
          <w:rFonts w:hint="cs"/>
          <w:rtl/>
        </w:rPr>
        <w:t>.</w:t>
      </w:r>
      <w:r w:rsidRPr="006C0DD4">
        <w:rPr>
          <w:rtl/>
        </w:rPr>
        <w:t xml:space="preserve"> </w:t>
      </w:r>
    </w:p>
    <w:p w:rsidR="00D125E2" w:rsidRPr="006C0DD4" w:rsidRDefault="00D125E2" w:rsidP="00D125E2">
      <w:pPr>
        <w:pStyle w:val="SingleTxtGA"/>
        <w:rPr>
          <w:b/>
          <w:bCs/>
          <w:sz w:val="38"/>
          <w:szCs w:val="38"/>
          <w:rtl/>
        </w:rPr>
      </w:pPr>
      <w:r w:rsidRPr="006C0DD4">
        <w:rPr>
          <w:rtl/>
        </w:rPr>
        <w:t>8-</w:t>
      </w:r>
      <w:r w:rsidRPr="006C0DD4">
        <w:rPr>
          <w:rtl/>
        </w:rPr>
        <w:tab/>
      </w:r>
      <w:r w:rsidRPr="006C0DD4">
        <w:rPr>
          <w:rFonts w:hint="cs"/>
          <w:rtl/>
        </w:rPr>
        <w:t xml:space="preserve">وتناولت </w:t>
      </w:r>
      <w:r w:rsidRPr="006C0DD4">
        <w:rPr>
          <w:rtl/>
        </w:rPr>
        <w:t>المنظمات الإقليمية في كل من أفريقيا والأمريكتين وأوروبا قضايا حقوق الإنسان والميل الجنسي والهوية الجنسانية. ففي عام 2014، أجازت اللجنة الأفريقية لحقوق الإنسان والشعوب قراراً أدانت فيه أعمال العنف وغيرها من انتهاكات حقوق الإنسان المرتكبة بحق الأفراد على أساس مي</w:t>
      </w:r>
      <w:r w:rsidRPr="006C0DD4">
        <w:rPr>
          <w:rFonts w:hint="cs"/>
          <w:rtl/>
        </w:rPr>
        <w:t>و</w:t>
      </w:r>
      <w:r w:rsidRPr="006C0DD4">
        <w:rPr>
          <w:rtl/>
        </w:rPr>
        <w:t>لهم الجنسي</w:t>
      </w:r>
      <w:r w:rsidRPr="006C0DD4">
        <w:rPr>
          <w:rFonts w:hint="cs"/>
          <w:rtl/>
        </w:rPr>
        <w:t>ة</w:t>
      </w:r>
      <w:r w:rsidRPr="006C0DD4">
        <w:rPr>
          <w:rtl/>
        </w:rPr>
        <w:t xml:space="preserve"> وهويتهم الجنسانية الحقيقي</w:t>
      </w:r>
      <w:r w:rsidRPr="006C0DD4">
        <w:rPr>
          <w:rFonts w:hint="cs"/>
          <w:rtl/>
        </w:rPr>
        <w:t>ة</w:t>
      </w:r>
      <w:r w:rsidRPr="006C0DD4">
        <w:rPr>
          <w:rtl/>
        </w:rPr>
        <w:t xml:space="preserve"> أو ال</w:t>
      </w:r>
      <w:r w:rsidRPr="006C0DD4">
        <w:rPr>
          <w:rFonts w:hint="cs"/>
          <w:rtl/>
        </w:rPr>
        <w:t>مفترضة.</w:t>
      </w:r>
      <w:r w:rsidRPr="006C0DD4">
        <w:rPr>
          <w:rtl/>
        </w:rPr>
        <w:t xml:space="preserve"> واعتمدت منظمة الدول الأمريكية قراراها السابع بشأن حقوق الإنسان والميل الجنسي والهوية الجنسانية، بعدما اعتمدت في عام 2013 اتفاقية مكافحة جميع أشكال التمييز والتعصب، التي تتناول هاتين القضيتين، كما أنشأت لجنة البلدان الأمريكية لحقوق الإنسان ولاية المقرِّر المعني بحقوق المثليات والمثليين ومزدوجي الميل الجنسي ومغايري الهوية الجنسانية وحاملي صفات الجنسين، بعدما أنشأت وحدة مكرّسة لذلك في عام 2011. واعتمد الاتحاد الأوروبي مبادئ توجيهية لتعزيز وحماية حقوق المثليات والمثليين ومزدوجي الميل الجنسي ومغايري الهوية الجنسانية وحاملي صفات الجنسين، بينما اعتمد كل من البرلمان الأوروبي والجمعية البرلمانية لمجلس أوروبا قرارين بشأن هذا الموضوع، وأصدرت المحكمة الأوروبية لحقوق الإنسان ومحكمة البلدان الأمريكية لحقوق الإنسان عدة أحكام تؤكد حق المثليات والمثليين ومزدوجي الميل الجنسي ومغايري الهوية الجنسانية في المساواة في المعاملة والحماية بموجب القانون.</w:t>
      </w:r>
      <w:r w:rsidR="00411C20" w:rsidRPr="006C0DD4">
        <w:rPr>
          <w:rtl/>
        </w:rPr>
        <w:t xml:space="preserve"> </w:t>
      </w:r>
    </w:p>
    <w:p w:rsidR="00D125E2" w:rsidRPr="006C0DD4" w:rsidRDefault="00D125E2" w:rsidP="00D125E2">
      <w:pPr>
        <w:pStyle w:val="HChGA"/>
        <w:rPr>
          <w:sz w:val="30"/>
          <w:rtl/>
        </w:rPr>
      </w:pPr>
      <w:r w:rsidRPr="006C0DD4">
        <w:rPr>
          <w:rFonts w:hint="cs"/>
          <w:rtl/>
        </w:rPr>
        <w:tab/>
      </w:r>
      <w:bookmarkStart w:id="5" w:name="_Toc420918999"/>
      <w:r w:rsidRPr="006C0DD4">
        <w:rPr>
          <w:rtl/>
        </w:rPr>
        <w:t>ثالثاً-</w:t>
      </w:r>
      <w:r w:rsidRPr="006C0DD4">
        <w:rPr>
          <w:rtl/>
        </w:rPr>
        <w:tab/>
        <w:t>المعايير والالتزامات الدولية الواجب</w:t>
      </w:r>
      <w:r w:rsidRPr="006C0DD4">
        <w:rPr>
          <w:rFonts w:hint="cs"/>
          <w:rtl/>
        </w:rPr>
        <w:t>ة التطبيق</w:t>
      </w:r>
      <w:bookmarkEnd w:id="5"/>
    </w:p>
    <w:p w:rsidR="00D125E2" w:rsidRPr="006C0DD4" w:rsidRDefault="00D125E2" w:rsidP="00D125E2">
      <w:pPr>
        <w:pStyle w:val="SingleTxtGA"/>
        <w:rPr>
          <w:rtl/>
        </w:rPr>
      </w:pPr>
      <w:r w:rsidRPr="006C0DD4">
        <w:rPr>
          <w:rtl/>
        </w:rPr>
        <w:t>9-</w:t>
      </w:r>
      <w:r w:rsidRPr="006C0DD4">
        <w:rPr>
          <w:rtl/>
        </w:rPr>
        <w:tab/>
        <w:t xml:space="preserve">يسترشد تطبيق القانون الدولي لحقوق الإنسان بمبادئ </w:t>
      </w:r>
      <w:r w:rsidRPr="006C0DD4">
        <w:rPr>
          <w:rFonts w:hint="cs"/>
          <w:rtl/>
        </w:rPr>
        <w:t>ا</w:t>
      </w:r>
      <w:r w:rsidRPr="006C0DD4">
        <w:rPr>
          <w:rtl/>
        </w:rPr>
        <w:t>لعالمية والمساواة وعدم التمييز</w:t>
      </w:r>
      <w:r w:rsidRPr="006C0DD4">
        <w:rPr>
          <w:rFonts w:hint="cs"/>
          <w:rtl/>
        </w:rPr>
        <w:t xml:space="preserve"> الأساسية</w:t>
      </w:r>
      <w:r w:rsidRPr="006C0DD4">
        <w:rPr>
          <w:rtl/>
        </w:rPr>
        <w:t xml:space="preserve">. </w:t>
      </w:r>
      <w:r w:rsidRPr="006C0DD4">
        <w:rPr>
          <w:rFonts w:hint="cs"/>
          <w:rtl/>
        </w:rPr>
        <w:t>و</w:t>
      </w:r>
      <w:r w:rsidRPr="006C0DD4">
        <w:rPr>
          <w:rtl/>
        </w:rPr>
        <w:t>يحق لجميع البشر، أيا كان ميلهم الجنسي أو هويتهم الجنسانية، التمتع بحماية القانون الدولي لحقوق الإنسان فيما يتعلق بالحق في الحياة وفي الأمن الشخصي وفي الخصوصية، والحق في عدم التعرض للتعذيب وسوء المعاملة والتمييز والتوقيف والاحتجاز التعسفيين، والحق في حرية التعبير وتكوين الجمعيات والتجمع السلمي، وجميع الحقوق المدنية والسياسة والاقتصادية والاجتماعية والثقافية الأخرى.</w:t>
      </w:r>
    </w:p>
    <w:p w:rsidR="00D125E2" w:rsidRPr="00A63258" w:rsidRDefault="00D125E2" w:rsidP="00A63258">
      <w:pPr>
        <w:pStyle w:val="SingleTxtGA"/>
        <w:rPr>
          <w:spacing w:val="-3"/>
          <w:rtl/>
        </w:rPr>
      </w:pPr>
      <w:r w:rsidRPr="00A63258">
        <w:rPr>
          <w:spacing w:val="-3"/>
          <w:rtl/>
        </w:rPr>
        <w:t>10-</w:t>
      </w:r>
      <w:r w:rsidRPr="00A63258">
        <w:rPr>
          <w:spacing w:val="-3"/>
          <w:rtl/>
        </w:rPr>
        <w:tab/>
        <w:t>وعلى الدول التزام</w:t>
      </w:r>
      <w:r w:rsidRPr="00A63258">
        <w:rPr>
          <w:rFonts w:hint="cs"/>
          <w:spacing w:val="-3"/>
          <w:rtl/>
        </w:rPr>
        <w:t>ات</w:t>
      </w:r>
      <w:r w:rsidRPr="00A63258">
        <w:rPr>
          <w:spacing w:val="-3"/>
          <w:rtl/>
        </w:rPr>
        <w:t xml:space="preserve"> راسخة باحترام حقوق الإنسان</w:t>
      </w:r>
      <w:r w:rsidRPr="00A63258">
        <w:rPr>
          <w:rFonts w:hint="cs"/>
          <w:spacing w:val="-3"/>
          <w:rtl/>
        </w:rPr>
        <w:t xml:space="preserve"> الواجبة</w:t>
      </w:r>
      <w:r w:rsidRPr="00A63258">
        <w:rPr>
          <w:spacing w:val="-3"/>
          <w:rtl/>
        </w:rPr>
        <w:t xml:space="preserve"> لجميع الأشخاص الخاضعين لولايتها، بمن فيهم المثليات والمثليون ومزدوجو الميل الجنسي ومغايرو الهوية الجنسانية وحاملو صفات الجنسين، وحماية هذه الحقوق، والوفاء بها. ويمتد نطاق هذه الالتزامات ليشمل الامتناع عن التدخل في ممارسة </w:t>
      </w:r>
      <w:r w:rsidRPr="00A63258">
        <w:rPr>
          <w:rFonts w:hint="cs"/>
          <w:spacing w:val="-3"/>
          <w:rtl/>
        </w:rPr>
        <w:t xml:space="preserve">هذه </w:t>
      </w:r>
      <w:r w:rsidRPr="00A63258">
        <w:rPr>
          <w:spacing w:val="-3"/>
          <w:rtl/>
        </w:rPr>
        <w:t>الحقوق، ومنع أي أطراف ثالثة من ارتكاب انتهاكات، والإزالة الاستباقية للحواجز الحائلة دون التمتع بحقوق الإنسان، ومنها، في هذا السياق، المواقف والممارسات التمييزية.</w:t>
      </w:r>
      <w:r w:rsidRPr="00A63258">
        <w:rPr>
          <w:rFonts w:hint="cs"/>
          <w:spacing w:val="-3"/>
          <w:rtl/>
        </w:rPr>
        <w:t xml:space="preserve"> </w:t>
      </w:r>
      <w:r w:rsidRPr="00A63258">
        <w:rPr>
          <w:rFonts w:hint="cs"/>
          <w:spacing w:val="-3"/>
          <w:rtl/>
        </w:rPr>
        <w:lastRenderedPageBreak/>
        <w:t>وفيما</w:t>
      </w:r>
      <w:r w:rsidR="00A63258">
        <w:rPr>
          <w:rFonts w:hint="eastAsia"/>
          <w:spacing w:val="-3"/>
          <w:rtl/>
        </w:rPr>
        <w:t> </w:t>
      </w:r>
      <w:r w:rsidRPr="00A63258">
        <w:rPr>
          <w:rFonts w:hint="cs"/>
          <w:spacing w:val="-3"/>
          <w:rtl/>
        </w:rPr>
        <w:t>يلي</w:t>
      </w:r>
      <w:r w:rsidRPr="00A63258">
        <w:rPr>
          <w:spacing w:val="-3"/>
          <w:rtl/>
        </w:rPr>
        <w:t xml:space="preserve"> الالتزامات المحددة المتصلة بذلك</w:t>
      </w:r>
      <w:r w:rsidRPr="00A63258">
        <w:rPr>
          <w:rFonts w:hint="cs"/>
          <w:spacing w:val="-3"/>
          <w:rtl/>
        </w:rPr>
        <w:t xml:space="preserve"> بالتفصيل</w:t>
      </w:r>
      <w:r w:rsidRPr="00A63258">
        <w:rPr>
          <w:spacing w:val="-3"/>
          <w:rtl/>
        </w:rPr>
        <w:t>، بناءً على التحليل الوارد في التقرير الساب</w:t>
      </w:r>
      <w:r w:rsidRPr="00A63258">
        <w:rPr>
          <w:spacing w:val="-3"/>
          <w:rtl/>
          <w:lang w:val="es-ES_tradnl" w:bidi="ar-EG"/>
        </w:rPr>
        <w:t>ق</w:t>
      </w:r>
      <w:r w:rsidR="006C0DD4" w:rsidRPr="00A63258">
        <w:rPr>
          <w:rFonts w:hint="cs"/>
          <w:spacing w:val="-3"/>
          <w:rtl/>
          <w:lang w:val="es-ES_tradnl" w:bidi="ar-EG"/>
        </w:rPr>
        <w:t xml:space="preserve"> (</w:t>
      </w:r>
      <w:r w:rsidRPr="00A63258">
        <w:rPr>
          <w:rFonts w:eastAsia="SimSun"/>
          <w:spacing w:val="-3"/>
          <w:szCs w:val="20"/>
        </w:rPr>
        <w:t>A/HRC/19/41</w:t>
      </w:r>
      <w:r w:rsidR="006C0DD4" w:rsidRPr="00A63258">
        <w:rPr>
          <w:rFonts w:hint="cs"/>
          <w:spacing w:val="-3"/>
          <w:rtl/>
        </w:rPr>
        <w:t xml:space="preserve">) </w:t>
      </w:r>
      <w:r w:rsidRPr="00A63258">
        <w:rPr>
          <w:spacing w:val="-3"/>
          <w:rtl/>
        </w:rPr>
        <w:t>ومستجدات أعمال آليات</w:t>
      </w:r>
      <w:r w:rsidR="006C0DD4" w:rsidRPr="00A63258">
        <w:rPr>
          <w:spacing w:val="-3"/>
          <w:rtl/>
        </w:rPr>
        <w:t xml:space="preserve"> الأمم المتحدة لحقوق الإنسان. </w:t>
      </w:r>
    </w:p>
    <w:p w:rsidR="00D125E2" w:rsidRPr="006C0DD4" w:rsidRDefault="00D125E2" w:rsidP="00D125E2">
      <w:pPr>
        <w:pStyle w:val="H1GA"/>
        <w:rPr>
          <w:sz w:val="30"/>
          <w:rtl/>
        </w:rPr>
      </w:pPr>
      <w:r w:rsidRPr="006C0DD4">
        <w:rPr>
          <w:rFonts w:hint="cs"/>
          <w:rtl/>
        </w:rPr>
        <w:tab/>
      </w:r>
      <w:bookmarkStart w:id="6" w:name="_Toc420919000"/>
      <w:r w:rsidRPr="006C0DD4">
        <w:rPr>
          <w:rtl/>
        </w:rPr>
        <w:t>ألف-</w:t>
      </w:r>
      <w:r w:rsidRPr="006C0DD4">
        <w:rPr>
          <w:rtl/>
        </w:rPr>
        <w:tab/>
        <w:t>حماية الأفراد من العنف</w:t>
      </w:r>
      <w:bookmarkEnd w:id="6"/>
    </w:p>
    <w:p w:rsidR="00D125E2" w:rsidRPr="006C0DD4" w:rsidRDefault="00D125E2" w:rsidP="00411C20">
      <w:pPr>
        <w:pStyle w:val="SingleTxtGA"/>
        <w:rPr>
          <w:rtl/>
        </w:rPr>
      </w:pPr>
      <w:r w:rsidRPr="006C0DD4">
        <w:rPr>
          <w:rtl/>
        </w:rPr>
        <w:t>11-</w:t>
      </w:r>
      <w:r w:rsidRPr="006C0DD4">
        <w:rPr>
          <w:rtl/>
        </w:rPr>
        <w:tab/>
      </w:r>
      <w:r w:rsidRPr="006C0DD4">
        <w:rPr>
          <w:rFonts w:hint="cs"/>
          <w:rtl/>
        </w:rPr>
        <w:t xml:space="preserve">تلتزم الدول بتوخي الحرص الواجب لمنع الحرمان من </w:t>
      </w:r>
      <w:r w:rsidRPr="006C0DD4">
        <w:rPr>
          <w:rtl/>
        </w:rPr>
        <w:t>الحياة وغيره من أعمال العنف، والتحقيق فيها، و</w:t>
      </w:r>
      <w:r w:rsidRPr="006C0DD4">
        <w:rPr>
          <w:rFonts w:hint="cs"/>
          <w:rtl/>
        </w:rPr>
        <w:t>المقاضاة و</w:t>
      </w:r>
      <w:r w:rsidRPr="006C0DD4">
        <w:rPr>
          <w:rtl/>
        </w:rPr>
        <w:t xml:space="preserve">المعاقبة عليها، وجبر الضحايا. وطلبت آليات الأمم المتحدة إلى الدول الوفاء بهذا الالتزام باتخاذ تدابير تشريعية وغيرها </w:t>
      </w:r>
      <w:r w:rsidRPr="006C0DD4">
        <w:rPr>
          <w:rFonts w:hint="cs"/>
          <w:rtl/>
        </w:rPr>
        <w:t xml:space="preserve">من التدابير التي </w:t>
      </w:r>
      <w:r w:rsidRPr="006C0DD4">
        <w:rPr>
          <w:rtl/>
        </w:rPr>
        <w:t xml:space="preserve">تهدف إلى حظر جميع أعمال العنف والتحريض على العنف </w:t>
      </w:r>
      <w:r w:rsidRPr="006C0DD4">
        <w:rPr>
          <w:rFonts w:hint="cs"/>
          <w:rtl/>
        </w:rPr>
        <w:t xml:space="preserve">التي ترتكب بدافع </w:t>
      </w:r>
      <w:r w:rsidRPr="006C0DD4">
        <w:rPr>
          <w:rtl/>
        </w:rPr>
        <w:t xml:space="preserve">الكراهية </w:t>
      </w:r>
      <w:r w:rsidRPr="006C0DD4">
        <w:rPr>
          <w:rFonts w:hint="cs"/>
          <w:rtl/>
        </w:rPr>
        <w:t>و</w:t>
      </w:r>
      <w:r w:rsidRPr="006C0DD4">
        <w:rPr>
          <w:rtl/>
        </w:rPr>
        <w:t>التي تستهدف المثليات والمثليين ومزدوجي الميل الجنسي ومغايري الهوية الجنسانية وحاملي صفات الجنسين والتحقيق فيها والمقاضاة عليها، وتهدف أيضاً إلى إنصاف الضحاي</w:t>
      </w:r>
      <w:r w:rsidR="00411C20" w:rsidRPr="006C0DD4">
        <w:rPr>
          <w:rtl/>
        </w:rPr>
        <w:t>ا وحمايتهم من أي أعمال انتقامية</w:t>
      </w:r>
      <w:r w:rsidR="00411C20" w:rsidRPr="006C0DD4">
        <w:rPr>
          <w:rStyle w:val="FootnoteReference"/>
          <w:sz w:val="30"/>
          <w:rtl/>
        </w:rPr>
        <w:t>(</w:t>
      </w:r>
      <w:r w:rsidR="00411C20" w:rsidRPr="006C0DD4">
        <w:rPr>
          <w:rStyle w:val="FootnoteReference"/>
          <w:sz w:val="30"/>
          <w:rtl/>
        </w:rPr>
        <w:footnoteReference w:id="5"/>
      </w:r>
      <w:r w:rsidR="00411C20" w:rsidRPr="006C0DD4">
        <w:rPr>
          <w:rStyle w:val="FootnoteReference"/>
          <w:sz w:val="30"/>
          <w:rtl/>
        </w:rPr>
        <w:t>)</w:t>
      </w:r>
      <w:r w:rsidR="00411C20" w:rsidRPr="006C0DD4">
        <w:rPr>
          <w:rFonts w:hint="cs"/>
          <w:rtl/>
        </w:rPr>
        <w:t>.</w:t>
      </w:r>
      <w:r w:rsidRPr="006C0DD4">
        <w:rPr>
          <w:rtl/>
        </w:rPr>
        <w:t xml:space="preserve"> ودعت هذه الآليات مسؤولي الدول إلى إدانة هذه الأعمال علناً، وإعداد إحصاءات بشأن هذه الجرائم ونتائج التحقيق فيها والمقاضاة عليها و</w:t>
      </w:r>
      <w:r w:rsidRPr="006C0DD4">
        <w:rPr>
          <w:rFonts w:hint="cs"/>
          <w:rtl/>
        </w:rPr>
        <w:t>جبر الضحايا</w:t>
      </w:r>
      <w:r w:rsidR="00411C20" w:rsidRPr="006C0DD4">
        <w:rPr>
          <w:rStyle w:val="FootnoteReference"/>
          <w:sz w:val="30"/>
          <w:rtl/>
        </w:rPr>
        <w:t>(</w:t>
      </w:r>
      <w:r w:rsidR="00411C20" w:rsidRPr="006C0DD4">
        <w:rPr>
          <w:rStyle w:val="FootnoteReference"/>
          <w:sz w:val="30"/>
          <w:rtl/>
        </w:rPr>
        <w:footnoteReference w:id="6"/>
      </w:r>
      <w:r w:rsidR="00411C20" w:rsidRPr="006C0DD4">
        <w:rPr>
          <w:rStyle w:val="FootnoteReference"/>
          <w:sz w:val="30"/>
          <w:rtl/>
        </w:rPr>
        <w:t>)</w:t>
      </w:r>
      <w:r w:rsidR="00411C20" w:rsidRPr="006C0DD4">
        <w:rPr>
          <w:rFonts w:hint="cs"/>
          <w:rtl/>
        </w:rPr>
        <w:t>.</w:t>
      </w:r>
      <w:r w:rsidRPr="006C0DD4">
        <w:rPr>
          <w:rtl/>
        </w:rPr>
        <w:t xml:space="preserve"> ويشكل تطبيق عقوبة الإعدام على أساس الميل الجنسي والهوية الجنسانية انتهاكاً للالتزامات الأساسية للدول بحماية الحق في الحياة، وفي الخصوصية، وفي المساواة أمام القانون، وفي عدم التعرض للتمييز</w:t>
      </w:r>
      <w:r w:rsidR="00411C20" w:rsidRPr="006C0DD4">
        <w:rPr>
          <w:rStyle w:val="FootnoteReference"/>
          <w:sz w:val="30"/>
          <w:rtl/>
        </w:rPr>
        <w:t>(</w:t>
      </w:r>
      <w:r w:rsidR="00411C20" w:rsidRPr="006C0DD4">
        <w:rPr>
          <w:rStyle w:val="FootnoteReference"/>
          <w:sz w:val="30"/>
          <w:rtl/>
        </w:rPr>
        <w:footnoteReference w:id="7"/>
      </w:r>
      <w:r w:rsidR="00411C20" w:rsidRPr="006C0DD4">
        <w:rPr>
          <w:rStyle w:val="FootnoteReference"/>
          <w:sz w:val="30"/>
          <w:rtl/>
        </w:rPr>
        <w:t>)</w:t>
      </w:r>
      <w:r w:rsidR="00411C20" w:rsidRPr="006C0DD4">
        <w:rPr>
          <w:rFonts w:hint="cs"/>
          <w:rtl/>
        </w:rPr>
        <w:t>.</w:t>
      </w:r>
      <w:r w:rsidRPr="006C0DD4">
        <w:rPr>
          <w:rtl/>
        </w:rPr>
        <w:t xml:space="preserve"> </w:t>
      </w:r>
    </w:p>
    <w:p w:rsidR="00D125E2" w:rsidRPr="006C0DD4" w:rsidRDefault="00D125E2" w:rsidP="00D125E2">
      <w:pPr>
        <w:pStyle w:val="SingleTxtGA"/>
        <w:rPr>
          <w:rtl/>
        </w:rPr>
      </w:pPr>
      <w:r w:rsidRPr="006C0DD4">
        <w:rPr>
          <w:rtl/>
        </w:rPr>
        <w:t>12-</w:t>
      </w:r>
      <w:r w:rsidRPr="006C0DD4">
        <w:rPr>
          <w:rtl/>
        </w:rPr>
        <w:tab/>
        <w:t>كما أن الدول مُلزمة بعدم إعادة اللاجئين إلى أماكن تكون فيها حياتهم أو حريتهم م</w:t>
      </w:r>
      <w:r w:rsidRPr="006C0DD4">
        <w:rPr>
          <w:rFonts w:hint="cs"/>
          <w:rtl/>
        </w:rPr>
        <w:t xml:space="preserve">عرضة للخطر </w:t>
      </w:r>
      <w:r w:rsidRPr="006C0DD4">
        <w:rPr>
          <w:rtl/>
        </w:rPr>
        <w:t>بسبب مي</w:t>
      </w:r>
      <w:r w:rsidRPr="006C0DD4">
        <w:rPr>
          <w:rFonts w:hint="cs"/>
          <w:rtl/>
        </w:rPr>
        <w:t>و</w:t>
      </w:r>
      <w:r w:rsidRPr="006C0DD4">
        <w:rPr>
          <w:rtl/>
        </w:rPr>
        <w:t>لهم الجنسي</w:t>
      </w:r>
      <w:r w:rsidRPr="006C0DD4">
        <w:rPr>
          <w:rFonts w:hint="cs"/>
          <w:rtl/>
        </w:rPr>
        <w:t xml:space="preserve">ة </w:t>
      </w:r>
      <w:r w:rsidRPr="006C0DD4">
        <w:rPr>
          <w:rtl/>
        </w:rPr>
        <w:t>وهويتهم الجنسانية الفعلي</w:t>
      </w:r>
      <w:r w:rsidRPr="006C0DD4">
        <w:rPr>
          <w:rFonts w:hint="cs"/>
          <w:rtl/>
        </w:rPr>
        <w:t xml:space="preserve">ة </w:t>
      </w:r>
      <w:r w:rsidRPr="006C0DD4">
        <w:rPr>
          <w:rtl/>
        </w:rPr>
        <w:t>أو الم</w:t>
      </w:r>
      <w:r w:rsidRPr="006C0DD4">
        <w:rPr>
          <w:rFonts w:hint="cs"/>
          <w:rtl/>
        </w:rPr>
        <w:t>فترضة</w:t>
      </w:r>
      <w:r w:rsidR="00411C20" w:rsidRPr="006C0DD4">
        <w:rPr>
          <w:rStyle w:val="FootnoteReference"/>
          <w:sz w:val="30"/>
          <w:rtl/>
        </w:rPr>
        <w:t>(</w:t>
      </w:r>
      <w:r w:rsidR="00411C20" w:rsidRPr="006C0DD4">
        <w:rPr>
          <w:rStyle w:val="FootnoteReference"/>
          <w:sz w:val="30"/>
          <w:rtl/>
        </w:rPr>
        <w:footnoteReference w:id="8"/>
      </w:r>
      <w:r w:rsidR="00411C20" w:rsidRPr="006C0DD4">
        <w:rPr>
          <w:rStyle w:val="FootnoteReference"/>
          <w:sz w:val="30"/>
          <w:rtl/>
        </w:rPr>
        <w:t>)</w:t>
      </w:r>
      <w:r w:rsidR="00411C20" w:rsidRPr="006C0DD4">
        <w:rPr>
          <w:rFonts w:hint="cs"/>
          <w:rtl/>
        </w:rPr>
        <w:t>.</w:t>
      </w:r>
      <w:r w:rsidRPr="006C0DD4">
        <w:rPr>
          <w:rtl/>
        </w:rPr>
        <w:t xml:space="preserve"> </w:t>
      </w:r>
    </w:p>
    <w:p w:rsidR="00D125E2" w:rsidRPr="006C0DD4" w:rsidRDefault="00D125E2" w:rsidP="00D125E2">
      <w:pPr>
        <w:pStyle w:val="H1GA"/>
        <w:rPr>
          <w:sz w:val="30"/>
          <w:rtl/>
        </w:rPr>
      </w:pPr>
      <w:r w:rsidRPr="006C0DD4">
        <w:rPr>
          <w:rFonts w:hint="cs"/>
          <w:rtl/>
        </w:rPr>
        <w:tab/>
      </w:r>
      <w:bookmarkStart w:id="7" w:name="_Toc420919001"/>
      <w:r w:rsidRPr="006C0DD4">
        <w:rPr>
          <w:rtl/>
        </w:rPr>
        <w:t>باء-</w:t>
      </w:r>
      <w:r w:rsidRPr="006C0DD4">
        <w:rPr>
          <w:rtl/>
        </w:rPr>
        <w:tab/>
        <w:t>منع التعذيب وسوء المعاملة</w:t>
      </w:r>
      <w:bookmarkEnd w:id="7"/>
    </w:p>
    <w:p w:rsidR="00D125E2" w:rsidRPr="006C0DD4" w:rsidRDefault="00D125E2" w:rsidP="006C0DD4">
      <w:pPr>
        <w:pStyle w:val="SingleTxtGA"/>
        <w:rPr>
          <w:rtl/>
        </w:rPr>
      </w:pPr>
      <w:r w:rsidRPr="006C0DD4">
        <w:rPr>
          <w:rtl/>
        </w:rPr>
        <w:t>13-</w:t>
      </w:r>
      <w:r w:rsidRPr="006C0DD4">
        <w:rPr>
          <w:rtl/>
        </w:rPr>
        <w:tab/>
      </w:r>
      <w:r w:rsidRPr="006C0DD4">
        <w:rPr>
          <w:rFonts w:hint="cs"/>
          <w:rtl/>
        </w:rPr>
        <w:t xml:space="preserve">تلتزم </w:t>
      </w:r>
      <w:r w:rsidRPr="006C0DD4">
        <w:rPr>
          <w:rtl/>
          <w:lang w:val="es-ES_tradnl"/>
        </w:rPr>
        <w:t>الدول</w:t>
      </w:r>
      <w:r w:rsidRPr="006C0DD4">
        <w:rPr>
          <w:rtl/>
          <w:lang w:val="es-ES_tradnl" w:bidi="ar-EG"/>
        </w:rPr>
        <w:t xml:space="preserve"> </w:t>
      </w:r>
      <w:r w:rsidRPr="006C0DD4">
        <w:rPr>
          <w:rtl/>
          <w:lang w:bidi="ar-EG"/>
        </w:rPr>
        <w:t xml:space="preserve">بحماية جميع الأشخاص، بمن فيهم المثليات والمثليون ومزدوجو الميل الجنسي ومغايرو الهوية الجنسانية وحاملو صفات الجنسين، من التعرض للتعذيب وغيره من ضروب المعاملة أو العقوبة القاسية أو </w:t>
      </w:r>
      <w:r w:rsidR="006C0DD4" w:rsidRPr="006C0DD4">
        <w:rPr>
          <w:rFonts w:hint="cs"/>
          <w:rtl/>
          <w:lang w:bidi="ar-EG"/>
        </w:rPr>
        <w:t>اللاإنساني</w:t>
      </w:r>
      <w:r w:rsidR="006C0DD4" w:rsidRPr="006C0DD4">
        <w:rPr>
          <w:rFonts w:hint="eastAsia"/>
          <w:rtl/>
          <w:lang w:bidi="ar-EG"/>
        </w:rPr>
        <w:t>ة</w:t>
      </w:r>
      <w:r w:rsidRPr="006C0DD4">
        <w:rPr>
          <w:rtl/>
          <w:lang w:bidi="ar-EG"/>
        </w:rPr>
        <w:t xml:space="preserve"> أو المهينة في أماكن الاحتجاز والأوساط الطبية وغيرها. ويمتد نطاق</w:t>
      </w:r>
      <w:r w:rsidRPr="006C0DD4">
        <w:rPr>
          <w:lang w:bidi="ar-EG"/>
        </w:rPr>
        <w:t xml:space="preserve"> </w:t>
      </w:r>
      <w:r w:rsidRPr="006C0DD4">
        <w:rPr>
          <w:rtl/>
          <w:lang w:bidi="ar-EG"/>
        </w:rPr>
        <w:t>هذا الالتزام ليشمل حظر التعذيب وسوء المعاملة</w:t>
      </w:r>
      <w:r w:rsidRPr="006C0DD4">
        <w:rPr>
          <w:rtl/>
          <w:lang w:val="es-ES_tradnl" w:bidi="ar-EG"/>
        </w:rPr>
        <w:t xml:space="preserve"> في جميع سياقات سيطرة الدولة، ومنع وقوعهما، والتحقيق فيما قد يقع منهما، و</w:t>
      </w:r>
      <w:r w:rsidRPr="006C0DD4">
        <w:rPr>
          <w:rFonts w:hint="cs"/>
          <w:rtl/>
          <w:lang w:val="es-ES_tradnl" w:bidi="ar-EG"/>
        </w:rPr>
        <w:t xml:space="preserve">جبر </w:t>
      </w:r>
      <w:r w:rsidRPr="006C0DD4">
        <w:rPr>
          <w:rtl/>
          <w:lang w:val="es-ES_tradnl" w:bidi="ar-EG"/>
        </w:rPr>
        <w:t>الضحايا، وذلك بسبل تشمل ضمان تجريم هذين الفعلي</w:t>
      </w:r>
      <w:r w:rsidR="00411C20" w:rsidRPr="006C0DD4">
        <w:rPr>
          <w:rtl/>
          <w:lang w:val="es-ES_tradnl" w:bidi="ar-EG"/>
        </w:rPr>
        <w:t>ن بموجب القانون الجنائي الداخلي</w:t>
      </w:r>
      <w:r w:rsidR="00411C20" w:rsidRPr="006C0DD4">
        <w:rPr>
          <w:rStyle w:val="FootnoteReference"/>
          <w:sz w:val="30"/>
          <w:rtl/>
          <w:lang w:val="es-ES_tradnl" w:bidi="ar-EG"/>
        </w:rPr>
        <w:t>(</w:t>
      </w:r>
      <w:r w:rsidR="00411C20" w:rsidRPr="006C0DD4">
        <w:rPr>
          <w:rStyle w:val="FootnoteReference"/>
          <w:sz w:val="30"/>
          <w:rtl/>
          <w:lang w:val="es-ES_tradnl" w:bidi="ar-EG"/>
        </w:rPr>
        <w:footnoteReference w:id="9"/>
      </w:r>
      <w:r w:rsidR="00411C20" w:rsidRPr="006C0DD4">
        <w:rPr>
          <w:rStyle w:val="FootnoteReference"/>
          <w:sz w:val="30"/>
          <w:rtl/>
          <w:lang w:val="es-ES_tradnl" w:bidi="ar-EG"/>
        </w:rPr>
        <w:t>)</w:t>
      </w:r>
      <w:r w:rsidR="00411C20" w:rsidRPr="006C0DD4">
        <w:rPr>
          <w:rFonts w:hint="cs"/>
          <w:rtl/>
          <w:lang w:val="es-ES_tradnl" w:bidi="ar-EG"/>
        </w:rPr>
        <w:t>.</w:t>
      </w:r>
      <w:r w:rsidRPr="006C0DD4">
        <w:rPr>
          <w:rtl/>
          <w:lang w:val="es-ES_tradnl" w:bidi="ar-EG"/>
        </w:rPr>
        <w:t xml:space="preserve"> وت</w:t>
      </w:r>
      <w:r w:rsidRPr="006C0DD4">
        <w:rPr>
          <w:rFonts w:hint="cs"/>
          <w:rtl/>
          <w:lang w:val="es-ES_tradnl" w:bidi="ar-EG"/>
        </w:rPr>
        <w:t xml:space="preserve">كون </w:t>
      </w:r>
      <w:r w:rsidRPr="006C0DD4">
        <w:rPr>
          <w:rtl/>
          <w:lang w:val="es-ES_tradnl" w:bidi="ar-EG"/>
        </w:rPr>
        <w:t>الدولة مسؤولة إذا ارتكب أي من الموظفين ال</w:t>
      </w:r>
      <w:r w:rsidRPr="006C0DD4">
        <w:rPr>
          <w:rFonts w:hint="cs"/>
          <w:rtl/>
          <w:lang w:val="es-ES_tradnl" w:bidi="ar-EG"/>
        </w:rPr>
        <w:t>تابعين لها،</w:t>
      </w:r>
      <w:r w:rsidRPr="006C0DD4">
        <w:rPr>
          <w:rtl/>
          <w:lang w:val="es-ES_tradnl" w:bidi="ar-EG"/>
        </w:rPr>
        <w:t xml:space="preserve"> بمن فيهم موظفو السجون وأفراد الشرطة، مباشرةً، أيا من </w:t>
      </w:r>
      <w:r w:rsidRPr="006C0DD4">
        <w:rPr>
          <w:rtl/>
          <w:lang w:val="es-ES_tradnl" w:bidi="ar-EG"/>
        </w:rPr>
        <w:lastRenderedPageBreak/>
        <w:t>هذين الفعلين، أو حرّض عليه، أو دفع إليه، أو شجع</w:t>
      </w:r>
      <w:r w:rsidRPr="006C0DD4">
        <w:rPr>
          <w:rFonts w:hint="cs"/>
          <w:rtl/>
          <w:lang w:val="es-ES_tradnl" w:bidi="ar-EG"/>
        </w:rPr>
        <w:t xml:space="preserve"> عليه،</w:t>
      </w:r>
      <w:r w:rsidRPr="006C0DD4">
        <w:rPr>
          <w:rtl/>
          <w:lang w:val="es-ES_tradnl" w:bidi="ar-EG"/>
        </w:rPr>
        <w:t xml:space="preserve"> أو وافق عليه، أو شارك </w:t>
      </w:r>
      <w:r w:rsidRPr="006C0DD4">
        <w:rPr>
          <w:rFonts w:hint="cs"/>
          <w:rtl/>
          <w:lang w:val="es-ES_tradnl" w:bidi="ar-EG"/>
        </w:rPr>
        <w:t xml:space="preserve">فيه، </w:t>
      </w:r>
      <w:r w:rsidRPr="006C0DD4">
        <w:rPr>
          <w:rtl/>
          <w:lang w:val="es-ES_tradnl" w:bidi="ar-EG"/>
        </w:rPr>
        <w:t>أو</w:t>
      </w:r>
      <w:r w:rsidR="006C0DD4">
        <w:rPr>
          <w:rFonts w:hint="cs"/>
          <w:rtl/>
          <w:lang w:val="es-ES_tradnl" w:bidi="ar-EG"/>
        </w:rPr>
        <w:t> </w:t>
      </w:r>
      <w:r w:rsidRPr="006C0DD4">
        <w:rPr>
          <w:rtl/>
          <w:lang w:val="es-ES_tradnl" w:bidi="ar-EG"/>
        </w:rPr>
        <w:t>تواطأ في ارتكابه بأي طريقة أخرى، وكذلك إذا لم يمنع الموظف المعني وقوع أي من هذين الفعلين، ولم يحقق فيه</w:t>
      </w:r>
      <w:r w:rsidRPr="006C0DD4">
        <w:rPr>
          <w:rFonts w:hint="cs"/>
          <w:rtl/>
          <w:lang w:val="es-ES_tradnl" w:bidi="ar-EG"/>
        </w:rPr>
        <w:t xml:space="preserve"> في حالة وقوعه</w:t>
      </w:r>
      <w:r w:rsidRPr="006C0DD4">
        <w:rPr>
          <w:rtl/>
          <w:lang w:val="es-ES_tradnl" w:bidi="ar-EG"/>
        </w:rPr>
        <w:t xml:space="preserve">، </w:t>
      </w:r>
      <w:r w:rsidRPr="006C0DD4">
        <w:rPr>
          <w:rFonts w:hint="cs"/>
          <w:rtl/>
          <w:lang w:val="es-ES_tradnl" w:bidi="ar-EG"/>
        </w:rPr>
        <w:t xml:space="preserve">ولم يقدم المسؤولين للمحاكمة </w:t>
      </w:r>
      <w:r w:rsidRPr="006C0DD4">
        <w:rPr>
          <w:rtl/>
          <w:lang w:val="es-ES_tradnl" w:bidi="ar-EG"/>
        </w:rPr>
        <w:t>ويعاقب عليه عن طريق الجهات الفاعلة العامة أو الخاصة</w:t>
      </w:r>
      <w:r w:rsidR="00411C20" w:rsidRPr="006C0DD4">
        <w:rPr>
          <w:rStyle w:val="FootnoteReference"/>
          <w:sz w:val="30"/>
          <w:rtl/>
          <w:lang w:val="es-ES_tradnl" w:bidi="ar-EG"/>
        </w:rPr>
        <w:t>(</w:t>
      </w:r>
      <w:r w:rsidR="00411C20" w:rsidRPr="006C0DD4">
        <w:rPr>
          <w:rStyle w:val="FootnoteReference"/>
          <w:sz w:val="30"/>
          <w:rtl/>
          <w:lang w:val="es-ES_tradnl" w:bidi="ar-EG"/>
        </w:rPr>
        <w:footnoteReference w:id="10"/>
      </w:r>
      <w:r w:rsidR="00411C20" w:rsidRPr="006C0DD4">
        <w:rPr>
          <w:rStyle w:val="FootnoteReference"/>
          <w:sz w:val="30"/>
          <w:rtl/>
          <w:lang w:val="es-ES_tradnl" w:bidi="ar-EG"/>
        </w:rPr>
        <w:t>)</w:t>
      </w:r>
      <w:r w:rsidR="00411C20" w:rsidRPr="006C0DD4">
        <w:rPr>
          <w:rFonts w:hint="cs"/>
          <w:rtl/>
          <w:lang w:val="es-ES_tradnl" w:bidi="ar-EG"/>
        </w:rPr>
        <w:t>.</w:t>
      </w:r>
      <w:r w:rsidRPr="006C0DD4">
        <w:rPr>
          <w:rtl/>
          <w:lang w:val="es-ES_tradnl" w:bidi="ar-EG"/>
        </w:rPr>
        <w:t xml:space="preserve"> </w:t>
      </w:r>
    </w:p>
    <w:p w:rsidR="00D125E2" w:rsidRPr="006C0DD4" w:rsidRDefault="00D125E2" w:rsidP="00411C20">
      <w:pPr>
        <w:pStyle w:val="SingleTxtGA"/>
      </w:pPr>
      <w:r w:rsidRPr="006C0DD4">
        <w:rPr>
          <w:rtl/>
        </w:rPr>
        <w:t>14-</w:t>
      </w:r>
      <w:r w:rsidRPr="006C0DD4">
        <w:rPr>
          <w:rtl/>
        </w:rPr>
        <w:tab/>
        <w:t>وتشمل الممارسات الطبية التي تُدينها آليات الأمم المتحدة في هذا السياق ما يُدعى بالعلاج "التصحيحي للمثلية"، والفحوص التناسلية والشرجية القسرية، والتعقيم القسري، وغير الطوعي على أي نحو</w:t>
      </w:r>
      <w:r w:rsidRPr="006C0DD4">
        <w:rPr>
          <w:rFonts w:hint="cs"/>
          <w:rtl/>
        </w:rPr>
        <w:t xml:space="preserve"> </w:t>
      </w:r>
      <w:r w:rsidRPr="006C0DD4">
        <w:rPr>
          <w:rtl/>
        </w:rPr>
        <w:t>آخر، وإخضاع الأطفال حاملي صفات الجنسين لجراحات وعلاجات غير ضرورية طبياً</w:t>
      </w:r>
      <w:r w:rsidR="00411C20" w:rsidRPr="006C0DD4">
        <w:rPr>
          <w:rStyle w:val="FootnoteReference"/>
          <w:sz w:val="30"/>
          <w:rtl/>
        </w:rPr>
        <w:t>(</w:t>
      </w:r>
      <w:r w:rsidR="00411C20" w:rsidRPr="006C0DD4">
        <w:rPr>
          <w:rStyle w:val="FootnoteReference"/>
          <w:sz w:val="30"/>
          <w:rtl/>
        </w:rPr>
        <w:footnoteReference w:id="11"/>
      </w:r>
      <w:r w:rsidR="00411C20" w:rsidRPr="006C0DD4">
        <w:rPr>
          <w:rStyle w:val="FootnoteReference"/>
          <w:sz w:val="30"/>
          <w:rtl/>
        </w:rPr>
        <w:t>)</w:t>
      </w:r>
      <w:r w:rsidR="00411C20" w:rsidRPr="006C0DD4">
        <w:rPr>
          <w:rFonts w:hint="cs"/>
          <w:rtl/>
        </w:rPr>
        <w:t>.</w:t>
      </w:r>
      <w:r w:rsidR="00411C20" w:rsidRPr="006C0DD4">
        <w:rPr>
          <w:rtl/>
        </w:rPr>
        <w:t xml:space="preserve"> </w:t>
      </w:r>
    </w:p>
    <w:p w:rsidR="00D125E2" w:rsidRPr="006C0DD4" w:rsidRDefault="00D125E2" w:rsidP="00D125E2">
      <w:pPr>
        <w:pStyle w:val="H1GA"/>
        <w:rPr>
          <w:rtl/>
          <w:lang w:val="es-ES_tradnl" w:bidi="ar-EG"/>
        </w:rPr>
      </w:pPr>
      <w:r w:rsidRPr="006C0DD4">
        <w:rPr>
          <w:rFonts w:hint="cs"/>
          <w:rtl/>
          <w:lang w:val="es-ES_tradnl" w:bidi="ar-EG"/>
        </w:rPr>
        <w:tab/>
      </w:r>
      <w:bookmarkStart w:id="8" w:name="_Toc420919002"/>
      <w:r w:rsidRPr="006C0DD4">
        <w:rPr>
          <w:rtl/>
          <w:lang w:val="es-ES_tradnl" w:bidi="ar-EG"/>
        </w:rPr>
        <w:t>جيم-</w:t>
      </w:r>
      <w:r w:rsidRPr="006C0DD4">
        <w:rPr>
          <w:rtl/>
          <w:lang w:val="es-ES_tradnl" w:bidi="ar-EG"/>
        </w:rPr>
        <w:tab/>
        <w:t>إلغاء تجريم المثلية الجنسية وإلغاء القوانين الأخرى المستخدمة لمعاقبة الأفراد على أساس ميلهم الجنسي وهويتهم الجنسانية</w:t>
      </w:r>
      <w:bookmarkEnd w:id="8"/>
    </w:p>
    <w:p w:rsidR="00D125E2" w:rsidRPr="006C0DD4" w:rsidRDefault="00D125E2" w:rsidP="00A63258">
      <w:pPr>
        <w:pStyle w:val="SingleTxtGA"/>
        <w:rPr>
          <w:rtl/>
          <w:lang w:val="es-ES_tradnl" w:bidi="ar-EG"/>
        </w:rPr>
      </w:pPr>
      <w:r w:rsidRPr="006C0DD4">
        <w:rPr>
          <w:rtl/>
          <w:lang w:val="es-ES_tradnl" w:bidi="ar-EG"/>
        </w:rPr>
        <w:t>15-</w:t>
      </w:r>
      <w:r w:rsidRPr="006C0DD4">
        <w:rPr>
          <w:rtl/>
          <w:lang w:val="es-ES_tradnl" w:bidi="ar-EG"/>
        </w:rPr>
        <w:tab/>
      </w:r>
      <w:r w:rsidRPr="006C0DD4">
        <w:rPr>
          <w:rFonts w:hint="cs"/>
          <w:rtl/>
          <w:lang w:val="es-ES_tradnl" w:bidi="ar-EG"/>
        </w:rPr>
        <w:t xml:space="preserve">تلتزم </w:t>
      </w:r>
      <w:r w:rsidRPr="006C0DD4">
        <w:rPr>
          <w:rtl/>
          <w:lang w:val="es-ES_tradnl" w:bidi="ar-EG"/>
        </w:rPr>
        <w:t xml:space="preserve">الدول بحماية الحق في الخصوصية وفي الحرية وفي الأمن الشخصي، ويشمل ذلك الحق في عدم التعرض للتوقيف والاحتجاز التعسفيين. وقد طلبت آليات الأمم المتحدة إلى الدول الوفاء بهذه الالتزامات عن طريق إلغاء القوانين المستخدمة لمعاقبة الأفراد على أساس ميلهم الجنسي وهويتهم الجنسانية، بما فيها القوانين التي تجرّم المثلية الجنسية وارتداء الثياب المخالفة لنوع الجنس، ورفض محاولات تبرير هذه القوانين من منطلق حماية الصحة أو الآداب </w:t>
      </w:r>
      <w:r w:rsidR="00411C20" w:rsidRPr="006C0DD4">
        <w:rPr>
          <w:rtl/>
          <w:lang w:val="es-ES_tradnl" w:bidi="ar-EG"/>
        </w:rPr>
        <w:t>العامة</w:t>
      </w:r>
      <w:r w:rsidR="00411C20" w:rsidRPr="006C0DD4">
        <w:rPr>
          <w:rStyle w:val="FootnoteReference"/>
          <w:sz w:val="30"/>
          <w:rtl/>
          <w:lang w:val="es-ES_tradnl" w:bidi="ar-EG"/>
        </w:rPr>
        <w:t>(</w:t>
      </w:r>
      <w:r w:rsidR="00411C20" w:rsidRPr="006C0DD4">
        <w:rPr>
          <w:rStyle w:val="FootnoteReference"/>
          <w:sz w:val="30"/>
          <w:rtl/>
          <w:lang w:val="es-ES_tradnl" w:bidi="ar-EG"/>
        </w:rPr>
        <w:footnoteReference w:id="12"/>
      </w:r>
      <w:r w:rsidR="00411C20" w:rsidRPr="006C0DD4">
        <w:rPr>
          <w:rStyle w:val="FootnoteReference"/>
          <w:sz w:val="30"/>
          <w:rtl/>
          <w:lang w:val="es-ES_tradnl" w:bidi="ar-EG"/>
        </w:rPr>
        <w:t>)</w:t>
      </w:r>
      <w:r w:rsidR="00411C20" w:rsidRPr="006C0DD4">
        <w:rPr>
          <w:rFonts w:hint="cs"/>
          <w:rtl/>
          <w:lang w:val="es-ES_tradnl" w:bidi="ar-EG"/>
        </w:rPr>
        <w:t>.</w:t>
      </w:r>
      <w:r w:rsidRPr="006C0DD4">
        <w:rPr>
          <w:rtl/>
          <w:lang w:val="es-ES_tradnl" w:bidi="ar-EG"/>
        </w:rPr>
        <w:t xml:space="preserve"> ويتعين على الدول الامتناع عن توقيف الأشخاص أو احتجازهم لأسباب تمييزية، </w:t>
      </w:r>
      <w:r w:rsidRPr="006C0DD4">
        <w:rPr>
          <w:rFonts w:hint="cs"/>
          <w:rtl/>
          <w:lang w:val="es-ES_tradnl" w:bidi="ar-EG"/>
        </w:rPr>
        <w:t>بما</w:t>
      </w:r>
      <w:r w:rsidR="00A63258">
        <w:rPr>
          <w:rFonts w:hint="eastAsia"/>
          <w:rtl/>
          <w:lang w:val="es-ES_tradnl" w:bidi="ar-EG"/>
        </w:rPr>
        <w:t> </w:t>
      </w:r>
      <w:r w:rsidRPr="006C0DD4">
        <w:rPr>
          <w:rFonts w:hint="cs"/>
          <w:rtl/>
          <w:lang w:val="es-ES_tradnl" w:bidi="ar-EG"/>
        </w:rPr>
        <w:t xml:space="preserve">في ذلك </w:t>
      </w:r>
      <w:r w:rsidRPr="006C0DD4">
        <w:rPr>
          <w:rtl/>
          <w:lang w:val="es-ES_tradnl" w:bidi="ar-EG"/>
        </w:rPr>
        <w:t>الميل الجنسي والهوية الجنس</w:t>
      </w:r>
      <w:r w:rsidRPr="006C0DD4">
        <w:rPr>
          <w:rFonts w:hint="cs"/>
          <w:rtl/>
          <w:lang w:val="es-ES_tradnl" w:bidi="ar-EG"/>
        </w:rPr>
        <w:t>ان</w:t>
      </w:r>
      <w:r w:rsidRPr="006C0DD4">
        <w:rPr>
          <w:rtl/>
          <w:lang w:val="es-ES_tradnl" w:bidi="ar-EG"/>
        </w:rPr>
        <w:t>ية</w:t>
      </w:r>
      <w:r w:rsidR="00411C20" w:rsidRPr="006C0DD4">
        <w:rPr>
          <w:rStyle w:val="FootnoteReference"/>
          <w:sz w:val="30"/>
          <w:rtl/>
          <w:lang w:val="es-ES_tradnl" w:bidi="ar-EG"/>
        </w:rPr>
        <w:t>(</w:t>
      </w:r>
      <w:r w:rsidR="00411C20" w:rsidRPr="006C0DD4">
        <w:rPr>
          <w:rStyle w:val="FootnoteReference"/>
          <w:sz w:val="30"/>
          <w:rtl/>
          <w:lang w:val="es-ES_tradnl" w:bidi="ar-EG"/>
        </w:rPr>
        <w:footnoteReference w:id="13"/>
      </w:r>
      <w:r w:rsidR="00411C20" w:rsidRPr="006C0DD4">
        <w:rPr>
          <w:rStyle w:val="FootnoteReference"/>
          <w:sz w:val="30"/>
          <w:rtl/>
          <w:lang w:val="es-ES_tradnl" w:bidi="ar-EG"/>
        </w:rPr>
        <w:t>)</w:t>
      </w:r>
      <w:r w:rsidR="00411C20" w:rsidRPr="006C0DD4">
        <w:rPr>
          <w:rFonts w:hint="cs"/>
          <w:rtl/>
          <w:lang w:val="es-ES_tradnl" w:bidi="ar-EG"/>
        </w:rPr>
        <w:t>.</w:t>
      </w:r>
      <w:r w:rsidR="00411C20" w:rsidRPr="006C0DD4">
        <w:rPr>
          <w:rtl/>
          <w:lang w:val="es-ES_tradnl" w:bidi="ar-EG"/>
        </w:rPr>
        <w:t xml:space="preserve"> </w:t>
      </w:r>
    </w:p>
    <w:p w:rsidR="00D125E2" w:rsidRPr="006C0DD4" w:rsidRDefault="00D125E2" w:rsidP="002C1E1C">
      <w:pPr>
        <w:pStyle w:val="H1GA"/>
        <w:rPr>
          <w:sz w:val="30"/>
          <w:rtl/>
          <w:lang w:val="es-ES_tradnl" w:bidi="ar-EG"/>
        </w:rPr>
      </w:pPr>
      <w:r w:rsidRPr="006C0DD4">
        <w:rPr>
          <w:rFonts w:hint="cs"/>
          <w:rtl/>
          <w:lang w:val="es-ES_tradnl" w:bidi="ar-EG"/>
        </w:rPr>
        <w:tab/>
      </w:r>
      <w:bookmarkStart w:id="9" w:name="_Toc420919003"/>
      <w:r w:rsidRPr="006C0DD4">
        <w:rPr>
          <w:rtl/>
          <w:lang w:val="es-ES_tradnl" w:bidi="ar-EG"/>
        </w:rPr>
        <w:t>دال-</w:t>
      </w:r>
      <w:r w:rsidRPr="006C0DD4">
        <w:rPr>
          <w:rtl/>
          <w:lang w:val="es-ES_tradnl" w:bidi="ar-EG"/>
        </w:rPr>
        <w:tab/>
        <w:t>حماية الأفراد من التعرض للتمييز بسبب ميلهم الجنسي وهويتهم الجنسانية</w:t>
      </w:r>
      <w:bookmarkEnd w:id="9"/>
    </w:p>
    <w:p w:rsidR="00D125E2" w:rsidRPr="006C0DD4" w:rsidRDefault="00D125E2" w:rsidP="00162348">
      <w:pPr>
        <w:pStyle w:val="SingleTxtGA"/>
        <w:rPr>
          <w:b/>
          <w:bCs/>
          <w:sz w:val="34"/>
          <w:szCs w:val="34"/>
          <w:rtl/>
          <w:lang w:val="es-ES_tradnl"/>
        </w:rPr>
      </w:pPr>
      <w:r w:rsidRPr="006C0DD4">
        <w:rPr>
          <w:rtl/>
          <w:lang w:val="es-ES_tradnl" w:bidi="ar-EG"/>
        </w:rPr>
        <w:t>16-</w:t>
      </w:r>
      <w:r w:rsidRPr="006C0DD4">
        <w:rPr>
          <w:rtl/>
          <w:lang w:val="es-ES_tradnl" w:bidi="ar-EG"/>
        </w:rPr>
        <w:tab/>
      </w:r>
      <w:r w:rsidRPr="006C0DD4">
        <w:rPr>
          <w:rFonts w:hint="cs"/>
          <w:rtl/>
          <w:lang w:val="es-ES_tradnl" w:bidi="ar-EG"/>
        </w:rPr>
        <w:t>تلتزم الدول أساسا</w:t>
      </w:r>
      <w:r w:rsidR="00E672BA">
        <w:rPr>
          <w:rFonts w:hint="cs"/>
          <w:rtl/>
          <w:lang w:val="es-ES_tradnl" w:bidi="ar-EG"/>
        </w:rPr>
        <w:t>ً</w:t>
      </w:r>
      <w:r w:rsidRPr="006C0DD4">
        <w:rPr>
          <w:rFonts w:hint="cs"/>
          <w:rtl/>
          <w:lang w:val="es-ES_tradnl" w:bidi="ar-EG"/>
        </w:rPr>
        <w:t xml:space="preserve"> بموجب القانون الدولي ب</w:t>
      </w:r>
      <w:r w:rsidRPr="006C0DD4">
        <w:rPr>
          <w:rtl/>
          <w:lang w:val="es-ES_tradnl" w:bidi="ar-EG"/>
        </w:rPr>
        <w:t>حماية الحق في المساواة أمام القانون، والمساواة في التمتع بحماية القانون، و</w:t>
      </w:r>
      <w:r w:rsidRPr="006C0DD4">
        <w:rPr>
          <w:rFonts w:hint="cs"/>
          <w:rtl/>
          <w:lang w:val="es-ES_tradnl" w:bidi="ar-EG"/>
        </w:rPr>
        <w:t>ع</w:t>
      </w:r>
      <w:r w:rsidRPr="006C0DD4">
        <w:rPr>
          <w:rtl/>
          <w:lang w:val="es-ES_tradnl" w:bidi="ar-EG"/>
        </w:rPr>
        <w:t>دم التعرض للتمييز</w:t>
      </w:r>
      <w:r w:rsidRPr="006C0DD4">
        <w:rPr>
          <w:rFonts w:hint="cs"/>
          <w:rtl/>
          <w:lang w:val="es-ES_tradnl" w:bidi="ar-EG"/>
        </w:rPr>
        <w:t>، ويتعين عليها أن ت</w:t>
      </w:r>
      <w:r w:rsidRPr="006C0DD4">
        <w:rPr>
          <w:rtl/>
          <w:lang w:val="es-ES_tradnl"/>
        </w:rPr>
        <w:t>حظر التمييز و</w:t>
      </w:r>
      <w:r w:rsidRPr="006C0DD4">
        <w:rPr>
          <w:rFonts w:hint="cs"/>
          <w:rtl/>
          <w:lang w:val="es-ES_tradnl"/>
        </w:rPr>
        <w:t>أن ت</w:t>
      </w:r>
      <w:r w:rsidRPr="006C0DD4">
        <w:rPr>
          <w:rtl/>
          <w:lang w:val="es-ES_tradnl"/>
        </w:rPr>
        <w:t>منعه في المجالات العامة والخاصة، و</w:t>
      </w:r>
      <w:r w:rsidRPr="006C0DD4">
        <w:rPr>
          <w:rFonts w:hint="cs"/>
          <w:rtl/>
          <w:lang w:val="es-ES_tradnl"/>
        </w:rPr>
        <w:t xml:space="preserve">أن تحد </w:t>
      </w:r>
      <w:r w:rsidR="00E672BA">
        <w:rPr>
          <w:rtl/>
          <w:lang w:val="es-ES_tradnl"/>
        </w:rPr>
        <w:t>من الأحوال والمواقف ال</w:t>
      </w:r>
      <w:r w:rsidR="00E672BA">
        <w:rPr>
          <w:rFonts w:hint="cs"/>
          <w:rtl/>
          <w:lang w:val="es-ES_tradnl"/>
        </w:rPr>
        <w:t>م</w:t>
      </w:r>
      <w:r w:rsidRPr="006C0DD4">
        <w:rPr>
          <w:rtl/>
          <w:lang w:val="es-ES_tradnl"/>
        </w:rPr>
        <w:t xml:space="preserve">سبِّبة </w:t>
      </w:r>
      <w:r w:rsidRPr="006C0DD4">
        <w:rPr>
          <w:rFonts w:hint="cs"/>
          <w:rtl/>
          <w:lang w:val="es-ES_tradnl"/>
        </w:rPr>
        <w:t xml:space="preserve">له </w:t>
      </w:r>
      <w:r w:rsidRPr="006C0DD4">
        <w:rPr>
          <w:rtl/>
          <w:lang w:val="es-ES_tradnl"/>
        </w:rPr>
        <w:t>أو</w:t>
      </w:r>
      <w:r w:rsidRPr="006C0DD4">
        <w:rPr>
          <w:rFonts w:hint="cs"/>
          <w:rtl/>
          <w:lang w:val="es-ES_tradnl"/>
        </w:rPr>
        <w:t xml:space="preserve"> التي تؤدي إلى</w:t>
      </w:r>
      <w:r w:rsidR="00A63258">
        <w:rPr>
          <w:rFonts w:hint="eastAsia"/>
          <w:rtl/>
          <w:lang w:val="es-ES_tradnl"/>
        </w:rPr>
        <w:t> </w:t>
      </w:r>
      <w:r w:rsidRPr="006C0DD4">
        <w:rPr>
          <w:rFonts w:hint="cs"/>
          <w:rtl/>
          <w:lang w:val="es-ES_tradnl"/>
        </w:rPr>
        <w:t>دوامه</w:t>
      </w:r>
      <w:r w:rsidR="00411C20" w:rsidRPr="006C0DD4">
        <w:rPr>
          <w:rStyle w:val="FootnoteReference"/>
          <w:sz w:val="30"/>
          <w:rtl/>
          <w:lang w:val="es-ES_tradnl"/>
        </w:rPr>
        <w:t>(</w:t>
      </w:r>
      <w:r w:rsidR="00411C20" w:rsidRPr="006C0DD4">
        <w:rPr>
          <w:rStyle w:val="FootnoteReference"/>
          <w:sz w:val="30"/>
          <w:rtl/>
          <w:lang w:val="es-ES_tradnl"/>
        </w:rPr>
        <w:footnoteReference w:id="14"/>
      </w:r>
      <w:r w:rsidR="00411C20" w:rsidRPr="006C0DD4">
        <w:rPr>
          <w:rStyle w:val="FootnoteReference"/>
          <w:sz w:val="30"/>
          <w:rtl/>
          <w:lang w:val="es-ES_tradnl"/>
        </w:rPr>
        <w:t>)</w:t>
      </w:r>
      <w:r w:rsidR="006C0DD4">
        <w:rPr>
          <w:rFonts w:hint="cs"/>
          <w:rtl/>
          <w:lang w:val="es-ES_tradnl" w:bidi="ar-EG"/>
        </w:rPr>
        <w:t>.</w:t>
      </w:r>
      <w:r w:rsidRPr="006C0DD4">
        <w:rPr>
          <w:rtl/>
          <w:lang w:val="es-ES_tradnl" w:bidi="ar-EG"/>
        </w:rPr>
        <w:t xml:space="preserve"> و</w:t>
      </w:r>
      <w:r w:rsidRPr="006C0DD4">
        <w:rPr>
          <w:rFonts w:hint="cs"/>
          <w:rtl/>
          <w:lang w:val="es-ES_tradnl" w:bidi="ar-EG"/>
        </w:rPr>
        <w:t xml:space="preserve">لتحقيق </w:t>
      </w:r>
      <w:r w:rsidRPr="006C0DD4">
        <w:rPr>
          <w:rtl/>
          <w:lang w:val="es-ES_tradnl" w:bidi="ar-EG"/>
        </w:rPr>
        <w:t xml:space="preserve">هذه الغاية، ينبغي للدول </w:t>
      </w:r>
      <w:r w:rsidRPr="006C0DD4">
        <w:rPr>
          <w:rFonts w:hint="cs"/>
          <w:rtl/>
          <w:lang w:val="es-ES_tradnl" w:bidi="ar-EG"/>
        </w:rPr>
        <w:t>أن ت</w:t>
      </w:r>
      <w:r w:rsidRPr="006C0DD4">
        <w:rPr>
          <w:rtl/>
          <w:lang w:val="es-ES_tradnl" w:bidi="ar-EG"/>
        </w:rPr>
        <w:t>سنّ تشريعات شاملة لمناهضة التمييز</w:t>
      </w:r>
      <w:r w:rsidRPr="006C0DD4">
        <w:rPr>
          <w:rFonts w:hint="cs"/>
          <w:rtl/>
          <w:lang w:val="es-ES_tradnl" w:bidi="ar-EG"/>
        </w:rPr>
        <w:t xml:space="preserve">، </w:t>
      </w:r>
      <w:r w:rsidRPr="006C0DD4">
        <w:rPr>
          <w:rFonts w:hint="cs"/>
          <w:rtl/>
          <w:lang w:val="es-ES_tradnl" w:bidi="ar-EG"/>
        </w:rPr>
        <w:lastRenderedPageBreak/>
        <w:t>بما</w:t>
      </w:r>
      <w:r w:rsidR="00162348">
        <w:rPr>
          <w:rFonts w:hint="eastAsia"/>
          <w:rtl/>
          <w:lang w:val="es-ES_tradnl" w:bidi="ar-EG"/>
        </w:rPr>
        <w:t> </w:t>
      </w:r>
      <w:r w:rsidRPr="006C0DD4">
        <w:rPr>
          <w:rFonts w:hint="cs"/>
          <w:rtl/>
          <w:lang w:val="es-ES_tradnl" w:bidi="ar-EG"/>
        </w:rPr>
        <w:t xml:space="preserve">في ذلك التمييز بسبب </w:t>
      </w:r>
      <w:r w:rsidRPr="006C0DD4">
        <w:rPr>
          <w:rtl/>
          <w:lang w:val="es-ES_tradnl" w:bidi="ar-EG"/>
        </w:rPr>
        <w:t>الميل الجنسي والهوية الجنسانية</w:t>
      </w:r>
      <w:r w:rsidR="00411C20" w:rsidRPr="006C0DD4">
        <w:rPr>
          <w:rStyle w:val="FootnoteReference"/>
          <w:sz w:val="30"/>
          <w:rtl/>
          <w:lang w:val="es-ES_tradnl" w:bidi="ar-EG"/>
        </w:rPr>
        <w:t>(</w:t>
      </w:r>
      <w:r w:rsidR="00411C20" w:rsidRPr="006C0DD4">
        <w:rPr>
          <w:rStyle w:val="FootnoteReference"/>
          <w:sz w:val="30"/>
          <w:rtl/>
          <w:lang w:val="es-ES_tradnl" w:bidi="ar-EG"/>
        </w:rPr>
        <w:footnoteReference w:id="15"/>
      </w:r>
      <w:r w:rsidR="00411C20" w:rsidRPr="006C0DD4">
        <w:rPr>
          <w:rStyle w:val="FootnoteReference"/>
          <w:sz w:val="30"/>
          <w:rtl/>
          <w:lang w:val="es-ES_tradnl" w:bidi="ar-EG"/>
        </w:rPr>
        <w:t>)</w:t>
      </w:r>
      <w:r w:rsidR="00411C20" w:rsidRPr="006C0DD4">
        <w:rPr>
          <w:rFonts w:hint="cs"/>
          <w:rtl/>
          <w:lang w:val="es-ES_tradnl" w:bidi="ar-EG"/>
        </w:rPr>
        <w:t>.</w:t>
      </w:r>
      <w:r w:rsidRPr="006C0DD4">
        <w:rPr>
          <w:rtl/>
          <w:lang w:val="es-ES_tradnl" w:bidi="ar-EG"/>
        </w:rPr>
        <w:t xml:space="preserve"> كما ينبغي للدول استعراض وإلغاء القوانين التمييزية والتصدي للتمييز </w:t>
      </w:r>
      <w:r w:rsidRPr="006C0DD4">
        <w:rPr>
          <w:rFonts w:hint="cs"/>
          <w:rtl/>
          <w:lang w:val="es-ES_tradnl" w:bidi="ar-EG"/>
        </w:rPr>
        <w:t>الذي ي</w:t>
      </w:r>
      <w:r w:rsidRPr="006C0DD4">
        <w:rPr>
          <w:rtl/>
          <w:lang w:val="es-ES_tradnl" w:bidi="ar-EG"/>
        </w:rPr>
        <w:t>مارَس ضد</w:t>
      </w:r>
      <w:r w:rsidRPr="006C0DD4">
        <w:rPr>
          <w:rtl/>
        </w:rPr>
        <w:t xml:space="preserve"> المثليات والمثليين ومزدوجي الميل الجنسي ومغايري الهوية الجنسانية وحاملي صفات الجنسين في مجالات تشمل التمتع بالحق في كل من الصحة والتعليم والعمل والمياه والسكن اللائق والضمان الاجتماعي</w:t>
      </w:r>
      <w:r w:rsidR="00411C20" w:rsidRPr="006C0DD4">
        <w:rPr>
          <w:rStyle w:val="FootnoteReference"/>
          <w:sz w:val="30"/>
          <w:rtl/>
        </w:rPr>
        <w:t>(</w:t>
      </w:r>
      <w:r w:rsidR="00411C20" w:rsidRPr="006C0DD4">
        <w:rPr>
          <w:rStyle w:val="FootnoteReference"/>
          <w:sz w:val="30"/>
          <w:rtl/>
        </w:rPr>
        <w:footnoteReference w:id="16"/>
      </w:r>
      <w:r w:rsidR="00411C20" w:rsidRPr="006C0DD4">
        <w:rPr>
          <w:rStyle w:val="FootnoteReference"/>
          <w:sz w:val="30"/>
          <w:rtl/>
        </w:rPr>
        <w:t>)</w:t>
      </w:r>
      <w:r w:rsidR="00411C20" w:rsidRPr="006C0DD4">
        <w:rPr>
          <w:rFonts w:hint="cs"/>
          <w:rtl/>
          <w:lang w:val="es-ES_tradnl" w:bidi="ar-EG"/>
        </w:rPr>
        <w:t>.</w:t>
      </w:r>
      <w:r w:rsidR="00411C20" w:rsidRPr="006C0DD4">
        <w:rPr>
          <w:rtl/>
          <w:lang w:val="es-ES_tradnl" w:bidi="ar-EG"/>
        </w:rPr>
        <w:t xml:space="preserve"> </w:t>
      </w:r>
    </w:p>
    <w:p w:rsidR="00D125E2" w:rsidRPr="006C0DD4" w:rsidRDefault="00D125E2" w:rsidP="00411C20">
      <w:pPr>
        <w:pStyle w:val="SingleTxtGA"/>
        <w:rPr>
          <w:lang w:val="es-ES_tradnl"/>
        </w:rPr>
      </w:pPr>
      <w:r w:rsidRPr="006C0DD4">
        <w:rPr>
          <w:rtl/>
          <w:lang w:val="es-ES_tradnl"/>
        </w:rPr>
        <w:t>17-</w:t>
      </w:r>
      <w:r w:rsidRPr="006C0DD4">
        <w:rPr>
          <w:rtl/>
          <w:lang w:val="es-ES_tradnl"/>
        </w:rPr>
        <w:tab/>
      </w:r>
      <w:r w:rsidRPr="006C0DD4">
        <w:rPr>
          <w:rFonts w:hint="cs"/>
          <w:rtl/>
          <w:lang w:val="es-ES_tradnl"/>
        </w:rPr>
        <w:t xml:space="preserve">وتلتزم </w:t>
      </w:r>
      <w:r w:rsidRPr="006C0DD4">
        <w:rPr>
          <w:rtl/>
          <w:lang w:val="es-ES_tradnl"/>
        </w:rPr>
        <w:t xml:space="preserve">الدول </w:t>
      </w:r>
      <w:r w:rsidRPr="006C0DD4">
        <w:rPr>
          <w:rFonts w:hint="cs"/>
          <w:rtl/>
          <w:lang w:val="es-ES_tradnl"/>
        </w:rPr>
        <w:t>أيضا</w:t>
      </w:r>
      <w:r w:rsidR="00E672BA">
        <w:rPr>
          <w:rFonts w:hint="cs"/>
          <w:rtl/>
          <w:lang w:val="es-ES_tradnl"/>
        </w:rPr>
        <w:t>ً</w:t>
      </w:r>
      <w:r w:rsidRPr="006C0DD4">
        <w:rPr>
          <w:rFonts w:hint="cs"/>
          <w:rtl/>
          <w:lang w:val="es-ES_tradnl"/>
        </w:rPr>
        <w:t xml:space="preserve"> </w:t>
      </w:r>
      <w:r w:rsidRPr="006C0DD4">
        <w:rPr>
          <w:rtl/>
          <w:lang w:val="es-ES_tradnl"/>
        </w:rPr>
        <w:t xml:space="preserve">بالتصدي للتمييز ضد الأطفال والشباب المثليين والمثليات ومزدوجي الميل الجنسي ومغايري الهوية الجنسانية وحاملي صفات الجنسين أو </w:t>
      </w:r>
      <w:r w:rsidRPr="006C0DD4">
        <w:rPr>
          <w:rFonts w:hint="cs"/>
          <w:rtl/>
          <w:lang w:val="es-ES_tradnl"/>
        </w:rPr>
        <w:t xml:space="preserve">الذين يفترض أنهم </w:t>
      </w:r>
      <w:r w:rsidRPr="006C0DD4">
        <w:rPr>
          <w:rtl/>
          <w:lang w:val="es-ES_tradnl"/>
        </w:rPr>
        <w:t>كذلك. وتشمل أشكال هذا التمييز المضايقة، والتحرش في المدرسة، وعدم الحصول على المعلومات المتعلقة بالصحة والخدمات الصحية، والإكراه على العلاج الطبي</w:t>
      </w:r>
      <w:r w:rsidR="00411C20" w:rsidRPr="006C0DD4">
        <w:rPr>
          <w:rStyle w:val="FootnoteReference"/>
          <w:sz w:val="30"/>
          <w:rtl/>
          <w:lang w:val="es-ES_tradnl"/>
        </w:rPr>
        <w:t>(</w:t>
      </w:r>
      <w:r w:rsidR="00411C20" w:rsidRPr="006C0DD4">
        <w:rPr>
          <w:rStyle w:val="FootnoteReference"/>
          <w:sz w:val="30"/>
          <w:rtl/>
          <w:lang w:val="es-ES_tradnl"/>
        </w:rPr>
        <w:footnoteReference w:id="17"/>
      </w:r>
      <w:r w:rsidR="00411C20" w:rsidRPr="006C0DD4">
        <w:rPr>
          <w:rStyle w:val="FootnoteReference"/>
          <w:sz w:val="30"/>
          <w:rtl/>
          <w:lang w:val="es-ES_tradnl"/>
        </w:rPr>
        <w:t>)</w:t>
      </w:r>
      <w:r w:rsidR="00411C20" w:rsidRPr="006C0DD4">
        <w:rPr>
          <w:rFonts w:hint="cs"/>
          <w:rtl/>
          <w:lang w:val="es-ES_tradnl"/>
        </w:rPr>
        <w:t>.</w:t>
      </w:r>
      <w:r w:rsidRPr="006C0DD4">
        <w:rPr>
          <w:rtl/>
          <w:lang w:val="es-ES_tradnl"/>
        </w:rPr>
        <w:t xml:space="preserve"> وقد طلبت آليات الأمم المتحدة إلى الدول أن تعترف قانوناً بالهوية الجنسانية المفضّلة للأشخاص مغايري الهوية الجنسانية، دون تقييد ذلك باشتراطا</w:t>
      </w:r>
      <w:r w:rsidRPr="006C0DD4">
        <w:rPr>
          <w:rFonts w:hint="cs"/>
          <w:rtl/>
          <w:lang w:val="es-ES_tradnl"/>
        </w:rPr>
        <w:t>ت</w:t>
      </w:r>
      <w:r w:rsidRPr="006C0DD4">
        <w:rPr>
          <w:rtl/>
          <w:lang w:val="es-ES_tradnl"/>
        </w:rPr>
        <w:t xml:space="preserve"> تعسفية، منها ضرورة الخضوع للتعقيم أو العلاج الطبي </w:t>
      </w:r>
      <w:r w:rsidR="00411C20" w:rsidRPr="006C0DD4">
        <w:rPr>
          <w:rtl/>
          <w:lang w:val="es-ES_tradnl"/>
        </w:rPr>
        <w:t>قسراً أو الطلاق القسري</w:t>
      </w:r>
      <w:r w:rsidR="00411C20" w:rsidRPr="006C0DD4">
        <w:rPr>
          <w:rStyle w:val="FootnoteReference"/>
          <w:sz w:val="30"/>
          <w:rtl/>
          <w:lang w:val="es-ES_tradnl"/>
        </w:rPr>
        <w:t>(</w:t>
      </w:r>
      <w:r w:rsidR="00411C20" w:rsidRPr="006C0DD4">
        <w:rPr>
          <w:rStyle w:val="FootnoteReference"/>
          <w:sz w:val="30"/>
          <w:rtl/>
          <w:lang w:val="es-ES_tradnl"/>
        </w:rPr>
        <w:footnoteReference w:id="18"/>
      </w:r>
      <w:r w:rsidR="00411C20" w:rsidRPr="006C0DD4">
        <w:rPr>
          <w:rStyle w:val="FootnoteReference"/>
          <w:sz w:val="30"/>
          <w:rtl/>
          <w:lang w:val="es-ES_tradnl"/>
        </w:rPr>
        <w:t>)</w:t>
      </w:r>
      <w:r w:rsidR="00411C20" w:rsidRPr="006C0DD4">
        <w:rPr>
          <w:rFonts w:hint="cs"/>
          <w:rtl/>
          <w:lang w:val="es-ES_tradnl"/>
        </w:rPr>
        <w:t>.</w:t>
      </w:r>
      <w:r w:rsidRPr="006C0DD4">
        <w:rPr>
          <w:rtl/>
          <w:lang w:val="es-ES_tradnl"/>
        </w:rPr>
        <w:t xml:space="preserve"> كما طلبت إلى الدول تنظيم حملات تثقيفية وتدريب الموظفين العموميين في مجال مكافحة الوصم والمواقف التمييزية، وتوفير سبل انتصاف مناسبة وفعالة لضحايا التمييز، وضمان مساءلة الجُناة إدارياً أو مدنياً أو جنائياً، حسب الاقتضاء</w:t>
      </w:r>
      <w:r w:rsidR="00411C20" w:rsidRPr="006C0DD4">
        <w:rPr>
          <w:rStyle w:val="FootnoteReference"/>
          <w:sz w:val="30"/>
          <w:rtl/>
          <w:lang w:val="es-ES_tradnl"/>
        </w:rPr>
        <w:t>(</w:t>
      </w:r>
      <w:r w:rsidR="00411C20" w:rsidRPr="006C0DD4">
        <w:rPr>
          <w:rStyle w:val="FootnoteReference"/>
          <w:sz w:val="30"/>
          <w:rtl/>
          <w:lang w:val="es-ES_tradnl"/>
        </w:rPr>
        <w:footnoteReference w:id="19"/>
      </w:r>
      <w:r w:rsidR="00411C20" w:rsidRPr="006C0DD4">
        <w:rPr>
          <w:rStyle w:val="FootnoteReference"/>
          <w:sz w:val="30"/>
          <w:rtl/>
          <w:lang w:val="es-ES_tradnl"/>
        </w:rPr>
        <w:t>)</w:t>
      </w:r>
      <w:r w:rsidR="00411C20" w:rsidRPr="006C0DD4">
        <w:rPr>
          <w:rFonts w:hint="cs"/>
          <w:rtl/>
          <w:lang w:val="es-ES_tradnl"/>
        </w:rPr>
        <w:t>.</w:t>
      </w:r>
      <w:r w:rsidRPr="006C0DD4">
        <w:rPr>
          <w:rtl/>
          <w:lang w:val="es-ES_tradnl"/>
        </w:rPr>
        <w:t xml:space="preserve"> وينبغي للدول أيضاً أن </w:t>
      </w:r>
      <w:r w:rsidRPr="006C0DD4">
        <w:rPr>
          <w:rFonts w:hint="cs"/>
          <w:rtl/>
          <w:lang w:val="es-ES_tradnl"/>
        </w:rPr>
        <w:t>توفر الاعتراف والحماية القانونيين ل</w:t>
      </w:r>
      <w:r w:rsidRPr="006C0DD4">
        <w:rPr>
          <w:rtl/>
          <w:lang w:val="es-ES_tradnl"/>
        </w:rPr>
        <w:t>لشركاء من نفس نوع الجنس</w:t>
      </w:r>
      <w:r w:rsidR="00411C20" w:rsidRPr="006C0DD4">
        <w:rPr>
          <w:rStyle w:val="FootnoteReference"/>
          <w:sz w:val="30"/>
          <w:rtl/>
          <w:lang w:val="es-ES_tradnl"/>
        </w:rPr>
        <w:t>(</w:t>
      </w:r>
      <w:r w:rsidR="00411C20" w:rsidRPr="006C0DD4">
        <w:rPr>
          <w:rStyle w:val="FootnoteReference"/>
          <w:sz w:val="30"/>
          <w:rtl/>
          <w:lang w:val="es-ES_tradnl"/>
        </w:rPr>
        <w:footnoteReference w:id="20"/>
      </w:r>
      <w:r w:rsidR="00411C20" w:rsidRPr="006C0DD4">
        <w:rPr>
          <w:rStyle w:val="FootnoteReference"/>
          <w:sz w:val="30"/>
          <w:rtl/>
          <w:lang w:val="es-ES_tradnl"/>
        </w:rPr>
        <w:t>)</w:t>
      </w:r>
      <w:r w:rsidRPr="006C0DD4">
        <w:rPr>
          <w:rtl/>
          <w:lang w:val="es-ES_tradnl"/>
        </w:rPr>
        <w:t xml:space="preserve"> </w:t>
      </w:r>
      <w:r w:rsidRPr="006C0DD4">
        <w:rPr>
          <w:rFonts w:hint="cs"/>
          <w:rtl/>
          <w:lang w:val="es-ES_tradnl"/>
        </w:rPr>
        <w:t>وأن توفر الحماية القانونية لحقوق</w:t>
      </w:r>
      <w:r w:rsidR="00411C20" w:rsidRPr="006C0DD4">
        <w:rPr>
          <w:rFonts w:hint="cs"/>
          <w:rtl/>
          <w:lang w:val="es-ES_tradnl"/>
        </w:rPr>
        <w:t xml:space="preserve"> </w:t>
      </w:r>
      <w:r w:rsidRPr="006C0DD4">
        <w:rPr>
          <w:rtl/>
          <w:lang w:val="es-ES_tradnl"/>
        </w:rPr>
        <w:t>أبنائهم، دون تمييز</w:t>
      </w:r>
      <w:r w:rsidR="00411C20" w:rsidRPr="006C0DD4">
        <w:rPr>
          <w:rStyle w:val="FootnoteReference"/>
          <w:sz w:val="30"/>
          <w:rtl/>
          <w:lang w:val="es-ES_tradnl"/>
        </w:rPr>
        <w:t>(</w:t>
      </w:r>
      <w:r w:rsidR="00411C20" w:rsidRPr="006C0DD4">
        <w:rPr>
          <w:rStyle w:val="FootnoteReference"/>
          <w:sz w:val="30"/>
          <w:rtl/>
          <w:lang w:val="es-ES_tradnl"/>
        </w:rPr>
        <w:footnoteReference w:id="21"/>
      </w:r>
      <w:r w:rsidR="00411C20" w:rsidRPr="006C0DD4">
        <w:rPr>
          <w:rStyle w:val="FootnoteReference"/>
          <w:sz w:val="30"/>
          <w:rtl/>
          <w:lang w:val="es-ES_tradnl"/>
        </w:rPr>
        <w:t>)</w:t>
      </w:r>
      <w:r w:rsidR="00411C20" w:rsidRPr="006C0DD4">
        <w:rPr>
          <w:rFonts w:hint="cs"/>
          <w:rtl/>
          <w:lang w:val="es-ES_tradnl"/>
        </w:rPr>
        <w:t>.</w:t>
      </w:r>
      <w:r w:rsidR="00411C20" w:rsidRPr="006C0DD4">
        <w:rPr>
          <w:rtl/>
          <w:lang w:val="es-ES_tradnl"/>
        </w:rPr>
        <w:t xml:space="preserve"> </w:t>
      </w:r>
    </w:p>
    <w:p w:rsidR="00D125E2" w:rsidRPr="006C0DD4" w:rsidRDefault="00D125E2" w:rsidP="00D125E2">
      <w:pPr>
        <w:pStyle w:val="H1GA"/>
        <w:rPr>
          <w:sz w:val="30"/>
          <w:rtl/>
          <w:lang w:val="es-ES_tradnl"/>
        </w:rPr>
      </w:pPr>
      <w:r w:rsidRPr="006C0DD4">
        <w:rPr>
          <w:rFonts w:hint="cs"/>
          <w:rtl/>
          <w:lang w:val="es-ES_tradnl"/>
        </w:rPr>
        <w:tab/>
      </w:r>
      <w:bookmarkStart w:id="10" w:name="_Toc420919004"/>
      <w:r w:rsidRPr="006C0DD4">
        <w:rPr>
          <w:rtl/>
          <w:lang w:val="es-ES_tradnl"/>
        </w:rPr>
        <w:t>هاء-</w:t>
      </w:r>
      <w:r w:rsidRPr="006C0DD4">
        <w:rPr>
          <w:rtl/>
          <w:lang w:val="es-ES_tradnl"/>
        </w:rPr>
        <w:tab/>
        <w:t>حماية الحق في حرية التعبير وتكوين الجمعيات والتجمّع و</w:t>
      </w:r>
      <w:r w:rsidRPr="006C0DD4">
        <w:rPr>
          <w:rFonts w:hint="cs"/>
          <w:rtl/>
          <w:lang w:val="es-ES_tradnl"/>
        </w:rPr>
        <w:t>ال</w:t>
      </w:r>
      <w:r w:rsidRPr="006C0DD4">
        <w:rPr>
          <w:rtl/>
          <w:lang w:val="es-ES_tradnl"/>
        </w:rPr>
        <w:t xml:space="preserve">حق </w:t>
      </w:r>
      <w:r w:rsidRPr="006C0DD4">
        <w:rPr>
          <w:rFonts w:hint="cs"/>
          <w:rtl/>
          <w:lang w:val="es-ES_tradnl"/>
        </w:rPr>
        <w:t xml:space="preserve">في </w:t>
      </w:r>
      <w:r w:rsidRPr="006C0DD4">
        <w:rPr>
          <w:rtl/>
          <w:lang w:val="es-ES_tradnl"/>
        </w:rPr>
        <w:t>المشاركة في إدارة الشؤون العامة</w:t>
      </w:r>
      <w:bookmarkEnd w:id="10"/>
    </w:p>
    <w:p w:rsidR="00D125E2" w:rsidRPr="006C0DD4" w:rsidRDefault="00D125E2" w:rsidP="00411C20">
      <w:pPr>
        <w:pStyle w:val="SingleTxtGA"/>
        <w:rPr>
          <w:rtl/>
          <w:lang w:val="es-ES_tradnl"/>
        </w:rPr>
      </w:pPr>
      <w:r w:rsidRPr="006C0DD4">
        <w:rPr>
          <w:rtl/>
          <w:lang w:val="es-ES_tradnl"/>
        </w:rPr>
        <w:t>18-</w:t>
      </w:r>
      <w:r w:rsidRPr="006C0DD4">
        <w:rPr>
          <w:rtl/>
          <w:lang w:val="es-ES_tradnl"/>
        </w:rPr>
        <w:tab/>
        <w:t>ت</w:t>
      </w:r>
      <w:r w:rsidRPr="006C0DD4">
        <w:rPr>
          <w:rFonts w:hint="cs"/>
          <w:rtl/>
          <w:lang w:val="es-ES_tradnl"/>
        </w:rPr>
        <w:t xml:space="preserve">لتزم </w:t>
      </w:r>
      <w:r w:rsidRPr="006C0DD4">
        <w:rPr>
          <w:rtl/>
          <w:lang w:val="es-ES_tradnl"/>
        </w:rPr>
        <w:t>الدول بحماية الحق في حرية الفكر والتعبير وتكوين الجمعيات والتجمّع السلمي دون تمييز بسبب الميل الجنسي أو الهوية الجنسانية. وإدراكاً لهذه الغاية، ينبغي للدول استعراض الأحكام التمييزية الواردة في التشريعات الداخلية</w:t>
      </w:r>
      <w:r w:rsidRPr="006C0DD4">
        <w:rPr>
          <w:rFonts w:hint="cs"/>
          <w:rtl/>
          <w:lang w:val="es-ES_tradnl"/>
        </w:rPr>
        <w:t xml:space="preserve"> و</w:t>
      </w:r>
      <w:r w:rsidRPr="006C0DD4">
        <w:rPr>
          <w:rtl/>
          <w:lang w:val="es-ES_tradnl"/>
        </w:rPr>
        <w:t xml:space="preserve">التي تؤثر تأثيراً غير متناسب على ممارسة هذه </w:t>
      </w:r>
      <w:r w:rsidRPr="006C0DD4">
        <w:rPr>
          <w:rtl/>
          <w:lang w:val="es-ES_tradnl"/>
        </w:rPr>
        <w:lastRenderedPageBreak/>
        <w:t>الحقوق من جانب المثليات والمثليين ومزدوجي الميل الجنسي ومغايري الهوية الجنسانية والأشخاص الآخرين الداعين إلى إعمال حقوقهم</w:t>
      </w:r>
      <w:r w:rsidRPr="006C0DD4">
        <w:rPr>
          <w:rFonts w:hint="cs"/>
          <w:rtl/>
          <w:lang w:val="es-ES_tradnl"/>
        </w:rPr>
        <w:t>، وإلغائها</w:t>
      </w:r>
      <w:r w:rsidRPr="006C0DD4">
        <w:rPr>
          <w:rtl/>
          <w:lang w:val="es-ES_tradnl"/>
        </w:rPr>
        <w:t xml:space="preserve">. وينبغي للدول الامتناع عن التدخل المباشر في ممارسة هذه الحقوق، وحماية المثليين والمثليات ومزدوجي الميل الجنسي ومغايري الهوية الجنسانية </w:t>
      </w:r>
      <w:r w:rsidRPr="006C0DD4">
        <w:rPr>
          <w:rFonts w:hint="cs"/>
          <w:rtl/>
          <w:lang w:val="es-ES_tradnl"/>
        </w:rPr>
        <w:t xml:space="preserve">الذين يمارسونها </w:t>
      </w:r>
      <w:r w:rsidRPr="006C0DD4">
        <w:rPr>
          <w:rtl/>
          <w:lang w:val="es-ES_tradnl"/>
        </w:rPr>
        <w:t>من التعرض لأي اعتداءات أو أعمال انتقامية باتخاذ تدابير وقائية، والتحقيق في ا</w:t>
      </w:r>
      <w:r w:rsidRPr="006C0DD4">
        <w:rPr>
          <w:rFonts w:hint="cs"/>
          <w:rtl/>
          <w:lang w:val="es-ES_tradnl"/>
        </w:rPr>
        <w:t>لا</w:t>
      </w:r>
      <w:r w:rsidRPr="006C0DD4">
        <w:rPr>
          <w:rtl/>
          <w:lang w:val="es-ES_tradnl"/>
        </w:rPr>
        <w:t>عتداءات، و</w:t>
      </w:r>
      <w:r w:rsidRPr="006C0DD4">
        <w:rPr>
          <w:rFonts w:hint="cs"/>
          <w:rtl/>
          <w:lang w:val="es-ES_tradnl"/>
        </w:rPr>
        <w:t>المقاضاة عليها</w:t>
      </w:r>
      <w:r w:rsidRPr="006C0DD4">
        <w:rPr>
          <w:rtl/>
          <w:lang w:val="es-ES_tradnl"/>
        </w:rPr>
        <w:t>، و</w:t>
      </w:r>
      <w:r w:rsidRPr="006C0DD4">
        <w:rPr>
          <w:rFonts w:hint="cs"/>
          <w:rtl/>
          <w:lang w:val="es-ES_tradnl"/>
        </w:rPr>
        <w:t>تعويض الضحايا</w:t>
      </w:r>
      <w:r w:rsidR="00411C20" w:rsidRPr="006C0DD4">
        <w:rPr>
          <w:rStyle w:val="FootnoteReference"/>
          <w:sz w:val="30"/>
          <w:rtl/>
          <w:lang w:val="es-ES_tradnl"/>
        </w:rPr>
        <w:t>(</w:t>
      </w:r>
      <w:r w:rsidR="00411C20" w:rsidRPr="006C0DD4">
        <w:rPr>
          <w:rStyle w:val="FootnoteReference"/>
          <w:sz w:val="30"/>
          <w:rtl/>
          <w:lang w:val="es-ES_tradnl"/>
        </w:rPr>
        <w:footnoteReference w:id="22"/>
      </w:r>
      <w:r w:rsidR="00411C20" w:rsidRPr="006C0DD4">
        <w:rPr>
          <w:rStyle w:val="FootnoteReference"/>
          <w:sz w:val="30"/>
          <w:rtl/>
          <w:lang w:val="es-ES_tradnl"/>
        </w:rPr>
        <w:t>)</w:t>
      </w:r>
      <w:r w:rsidR="00411C20" w:rsidRPr="006C0DD4">
        <w:rPr>
          <w:rStyle w:val="FootnoteReference"/>
          <w:rFonts w:hint="cs"/>
          <w:sz w:val="30"/>
          <w:vertAlign w:val="baseline"/>
          <w:rtl/>
          <w:lang w:val="es-ES_tradnl"/>
        </w:rPr>
        <w:t>.</w:t>
      </w:r>
    </w:p>
    <w:p w:rsidR="00D125E2" w:rsidRPr="006C0DD4" w:rsidRDefault="00D125E2" w:rsidP="00411C20">
      <w:pPr>
        <w:pStyle w:val="SingleTxtGA"/>
        <w:rPr>
          <w:rtl/>
          <w:lang w:val="es-ES_tradnl"/>
        </w:rPr>
      </w:pPr>
      <w:r w:rsidRPr="006C0DD4">
        <w:rPr>
          <w:rtl/>
          <w:lang w:val="es-ES_tradnl"/>
        </w:rPr>
        <w:t>19-</w:t>
      </w:r>
      <w:r w:rsidRPr="006C0DD4">
        <w:rPr>
          <w:rtl/>
          <w:lang w:val="es-ES_tradnl"/>
        </w:rPr>
        <w:tab/>
        <w:t>ويتعين على الدول حماية حق المشاركة في إدارة الشؤون العامة، دون تمييز، وضمان التشاور مع المثليات والمثليين ومزدوجي الميل الجنسي ومغايري الهوية الجنسانية وحاملي صفات الجنسين والمنظمات المدافعة عن حقوقهم فيما يتعلق بالتشريعات والسياسات المؤثرة على حقوقهم</w:t>
      </w:r>
      <w:r w:rsidR="00411C20" w:rsidRPr="006C0DD4">
        <w:rPr>
          <w:rStyle w:val="FootnoteReference"/>
          <w:sz w:val="30"/>
          <w:rtl/>
          <w:lang w:val="es-ES_tradnl"/>
        </w:rPr>
        <w:t>(</w:t>
      </w:r>
      <w:r w:rsidR="00411C20" w:rsidRPr="006C0DD4">
        <w:rPr>
          <w:rStyle w:val="FootnoteReference"/>
          <w:sz w:val="30"/>
          <w:rtl/>
          <w:lang w:val="es-ES_tradnl"/>
        </w:rPr>
        <w:footnoteReference w:id="23"/>
      </w:r>
      <w:r w:rsidR="00411C20" w:rsidRPr="006C0DD4">
        <w:rPr>
          <w:rStyle w:val="FootnoteReference"/>
          <w:sz w:val="30"/>
          <w:rtl/>
          <w:lang w:val="es-ES_tradnl"/>
        </w:rPr>
        <w:t>)</w:t>
      </w:r>
      <w:r w:rsidR="00411C20" w:rsidRPr="006C0DD4">
        <w:rPr>
          <w:rFonts w:hint="cs"/>
          <w:rtl/>
          <w:lang w:val="es-ES_tradnl"/>
        </w:rPr>
        <w:t>.</w:t>
      </w:r>
      <w:r w:rsidRPr="006C0DD4">
        <w:rPr>
          <w:rtl/>
          <w:lang w:val="es-ES_tradnl"/>
        </w:rPr>
        <w:t xml:space="preserve"> وينبغي للدول اتخاذ تدابير لتمكين هؤلاء الأشخاص وتيسير مشاركتهم في الحياة الاقتصادية والاجتماعية والسياسية</w:t>
      </w:r>
      <w:r w:rsidR="00411C20" w:rsidRPr="006C0DD4">
        <w:rPr>
          <w:rStyle w:val="FootnoteReference"/>
          <w:sz w:val="30"/>
          <w:rtl/>
          <w:lang w:val="es-ES_tradnl"/>
        </w:rPr>
        <w:t>(</w:t>
      </w:r>
      <w:r w:rsidR="00411C20" w:rsidRPr="006C0DD4">
        <w:rPr>
          <w:rStyle w:val="FootnoteReference"/>
          <w:sz w:val="30"/>
          <w:rtl/>
          <w:lang w:val="es-ES_tradnl"/>
        </w:rPr>
        <w:footnoteReference w:id="24"/>
      </w:r>
      <w:r w:rsidR="00411C20" w:rsidRPr="006C0DD4">
        <w:rPr>
          <w:rStyle w:val="FootnoteReference"/>
          <w:sz w:val="30"/>
          <w:rtl/>
          <w:lang w:val="es-ES_tradnl"/>
        </w:rPr>
        <w:t>)</w:t>
      </w:r>
      <w:r w:rsidR="00411C20" w:rsidRPr="006C0DD4">
        <w:rPr>
          <w:rFonts w:hint="cs"/>
          <w:rtl/>
          <w:lang w:val="es-ES_tradnl"/>
        </w:rPr>
        <w:t>.</w:t>
      </w:r>
      <w:r w:rsidR="00411C20" w:rsidRPr="006C0DD4">
        <w:rPr>
          <w:rtl/>
          <w:lang w:val="es-ES_tradnl"/>
        </w:rPr>
        <w:t xml:space="preserve"> </w:t>
      </w:r>
    </w:p>
    <w:p w:rsidR="00D125E2" w:rsidRPr="00430087" w:rsidRDefault="00D125E2" w:rsidP="00D125E2">
      <w:pPr>
        <w:pStyle w:val="HChGA"/>
        <w:rPr>
          <w:rFonts w:ascii="Times New Roman Bold" w:hAnsi="Times New Roman Bold"/>
          <w:spacing w:val="-7"/>
          <w:rtl/>
          <w:lang w:val="es-ES_tradnl"/>
        </w:rPr>
      </w:pPr>
      <w:r w:rsidRPr="00430087">
        <w:rPr>
          <w:rFonts w:ascii="Times New Roman Bold" w:hAnsi="Times New Roman Bold" w:hint="cs"/>
          <w:spacing w:val="-7"/>
          <w:rtl/>
          <w:lang w:val="es-ES_tradnl"/>
        </w:rPr>
        <w:tab/>
      </w:r>
      <w:bookmarkStart w:id="11" w:name="_Toc420919005"/>
      <w:r w:rsidRPr="00430087">
        <w:rPr>
          <w:rFonts w:ascii="Times New Roman Bold" w:hAnsi="Times New Roman Bold"/>
          <w:spacing w:val="-7"/>
          <w:rtl/>
          <w:lang w:val="es-ES_tradnl"/>
        </w:rPr>
        <w:t>رابعاً-</w:t>
      </w:r>
      <w:r w:rsidRPr="00430087">
        <w:rPr>
          <w:rFonts w:ascii="Times New Roman Bold" w:hAnsi="Times New Roman Bold"/>
          <w:spacing w:val="-7"/>
          <w:rtl/>
          <w:lang w:val="es-ES_tradnl"/>
        </w:rPr>
        <w:tab/>
        <w:t>العنف المدفوع بكراهية المثلية الجنسية وكراهية مغايري الهوية الجنسانية</w:t>
      </w:r>
      <w:r w:rsidR="00411C20" w:rsidRPr="00430087">
        <w:rPr>
          <w:rStyle w:val="FootnoteReference"/>
          <w:rFonts w:ascii="Times New Roman Bold" w:hAnsi="Times New Roman Bold"/>
          <w:b/>
          <w:bCs w:val="0"/>
          <w:spacing w:val="-7"/>
          <w:sz w:val="38"/>
          <w:rtl/>
          <w:lang w:val="es-ES_tradnl"/>
        </w:rPr>
        <w:t>(</w:t>
      </w:r>
      <w:r w:rsidR="00411C20" w:rsidRPr="00430087">
        <w:rPr>
          <w:rStyle w:val="FootnoteReference"/>
          <w:rFonts w:ascii="Times New Roman Bold" w:hAnsi="Times New Roman Bold"/>
          <w:b/>
          <w:bCs w:val="0"/>
          <w:spacing w:val="-7"/>
          <w:sz w:val="38"/>
          <w:rtl/>
          <w:lang w:val="es-ES_tradnl"/>
        </w:rPr>
        <w:footnoteReference w:id="25"/>
      </w:r>
      <w:r w:rsidR="00411C20" w:rsidRPr="00430087">
        <w:rPr>
          <w:rStyle w:val="FootnoteReference"/>
          <w:rFonts w:ascii="Times New Roman Bold" w:hAnsi="Times New Roman Bold"/>
          <w:b/>
          <w:bCs w:val="0"/>
          <w:spacing w:val="-7"/>
          <w:sz w:val="38"/>
          <w:rtl/>
          <w:lang w:val="es-ES_tradnl"/>
        </w:rPr>
        <w:t>)</w:t>
      </w:r>
      <w:bookmarkEnd w:id="11"/>
      <w:r w:rsidRPr="00430087">
        <w:rPr>
          <w:rFonts w:ascii="Times New Roman Bold" w:hAnsi="Times New Roman Bold"/>
          <w:spacing w:val="-7"/>
          <w:rtl/>
          <w:lang w:val="es-ES_tradnl"/>
        </w:rPr>
        <w:t xml:space="preserve"> </w:t>
      </w:r>
    </w:p>
    <w:p w:rsidR="00D125E2" w:rsidRPr="006C0DD4" w:rsidRDefault="00D125E2" w:rsidP="00D125E2">
      <w:pPr>
        <w:pStyle w:val="H1GA"/>
        <w:rPr>
          <w:rtl/>
          <w:lang w:val="es-ES_tradnl"/>
        </w:rPr>
      </w:pPr>
      <w:r w:rsidRPr="006C0DD4">
        <w:rPr>
          <w:rFonts w:hint="cs"/>
          <w:rtl/>
          <w:lang w:val="es-ES_tradnl"/>
        </w:rPr>
        <w:tab/>
      </w:r>
      <w:bookmarkStart w:id="12" w:name="_Toc420919006"/>
      <w:r w:rsidRPr="006C0DD4">
        <w:rPr>
          <w:rtl/>
          <w:lang w:val="es-ES_tradnl"/>
        </w:rPr>
        <w:t>ألف-</w:t>
      </w:r>
      <w:r w:rsidRPr="006C0DD4">
        <w:rPr>
          <w:rtl/>
          <w:lang w:val="es-ES_tradnl"/>
        </w:rPr>
        <w:tab/>
        <w:t>السياق</w:t>
      </w:r>
      <w:bookmarkEnd w:id="12"/>
    </w:p>
    <w:p w:rsidR="00D125E2" w:rsidRPr="006C0DD4" w:rsidRDefault="00D125E2" w:rsidP="00D125E2">
      <w:pPr>
        <w:pStyle w:val="SingleTxtGA"/>
        <w:rPr>
          <w:rtl/>
          <w:lang w:val="es-ES_tradnl"/>
        </w:rPr>
      </w:pPr>
      <w:r w:rsidRPr="006C0DD4">
        <w:rPr>
          <w:rtl/>
          <w:lang w:val="es-ES_tradnl"/>
        </w:rPr>
        <w:t>20-</w:t>
      </w:r>
      <w:r w:rsidRPr="006C0DD4">
        <w:rPr>
          <w:rtl/>
          <w:lang w:val="es-ES_tradnl"/>
        </w:rPr>
        <w:tab/>
      </w:r>
      <w:r w:rsidRPr="006C0DD4">
        <w:rPr>
          <w:rFonts w:hint="cs"/>
          <w:rtl/>
          <w:lang w:val="es-ES_tradnl"/>
        </w:rPr>
        <w:t>ت</w:t>
      </w:r>
      <w:r w:rsidRPr="006C0DD4">
        <w:rPr>
          <w:rtl/>
          <w:lang w:val="es-ES_tradnl"/>
        </w:rPr>
        <w:t xml:space="preserve">قتضي </w:t>
      </w:r>
      <w:r w:rsidRPr="006C0DD4">
        <w:rPr>
          <w:rFonts w:hint="cs"/>
          <w:rtl/>
          <w:lang w:val="es-ES_tradnl"/>
        </w:rPr>
        <w:t xml:space="preserve">العناية الواجبة </w:t>
      </w:r>
      <w:r w:rsidRPr="006C0DD4">
        <w:rPr>
          <w:rtl/>
          <w:lang w:val="es-ES_tradnl"/>
        </w:rPr>
        <w:t xml:space="preserve">من الدول ضمان حماية الأشخاص الأكثر </w:t>
      </w:r>
      <w:r w:rsidRPr="006C0DD4">
        <w:rPr>
          <w:rFonts w:hint="cs"/>
          <w:rtl/>
          <w:lang w:val="es-ES_tradnl"/>
        </w:rPr>
        <w:t>تعرضا</w:t>
      </w:r>
      <w:r w:rsidR="00E672BA">
        <w:rPr>
          <w:rFonts w:hint="cs"/>
          <w:rtl/>
          <w:lang w:val="es-ES_tradnl"/>
        </w:rPr>
        <w:t>ً</w:t>
      </w:r>
      <w:r w:rsidRPr="006C0DD4">
        <w:rPr>
          <w:rFonts w:hint="cs"/>
          <w:rtl/>
          <w:lang w:val="es-ES_tradnl"/>
        </w:rPr>
        <w:t xml:space="preserve"> ل</w:t>
      </w:r>
      <w:r w:rsidRPr="006C0DD4">
        <w:rPr>
          <w:rtl/>
          <w:lang w:val="es-ES_tradnl"/>
        </w:rPr>
        <w:t>لعنف، بمن فيهم في هذا السياق، الأشخاص المستهدفون بسبب ميلهم الجنسي وهويتهم الجنسانية.</w:t>
      </w:r>
    </w:p>
    <w:p w:rsidR="00D125E2" w:rsidRPr="006C0DD4" w:rsidRDefault="00D125E2" w:rsidP="00D125E2">
      <w:pPr>
        <w:pStyle w:val="SingleTxtGA"/>
        <w:rPr>
          <w:rtl/>
          <w:lang w:val="es-ES_tradnl"/>
        </w:rPr>
      </w:pPr>
      <w:r w:rsidRPr="006C0DD4">
        <w:rPr>
          <w:rtl/>
          <w:lang w:val="es-ES_tradnl"/>
        </w:rPr>
        <w:t>21-</w:t>
      </w:r>
      <w:r w:rsidRPr="006C0DD4">
        <w:rPr>
          <w:rtl/>
          <w:lang w:val="es-ES_tradnl"/>
        </w:rPr>
        <w:tab/>
        <w:t xml:space="preserve">ولا تزال آليات الأمم المتحدة لحقوق الإنسان تتلقى تقارير عن ارتكاب أعمال عنف في جميع </w:t>
      </w:r>
      <w:r w:rsidRPr="006C0DD4">
        <w:rPr>
          <w:rFonts w:hint="cs"/>
          <w:rtl/>
          <w:lang w:val="es-ES_tradnl"/>
        </w:rPr>
        <w:t>أنحاء</w:t>
      </w:r>
      <w:r w:rsidRPr="006C0DD4">
        <w:rPr>
          <w:rtl/>
          <w:lang w:val="es-ES_tradnl"/>
        </w:rPr>
        <w:t xml:space="preserve"> العالم بدافع كراهية المثلية الجنسية وكراهية مغايري الهوية الجنسانية. وقد يكون هذا العنف جسدياً (ويشمل القتل والضرب والاختطاف والاعتداء الجنسي) أو نفسياً (ويشمل التهديد والإكراه و</w:t>
      </w:r>
      <w:r w:rsidRPr="006C0DD4">
        <w:rPr>
          <w:rFonts w:hint="cs"/>
          <w:rtl/>
          <w:lang w:val="es-ES_tradnl"/>
        </w:rPr>
        <w:t xml:space="preserve">الحرمان التعسفي من </w:t>
      </w:r>
      <w:r w:rsidRPr="006C0DD4">
        <w:rPr>
          <w:rtl/>
          <w:lang w:val="es-ES_tradnl"/>
        </w:rPr>
        <w:t>الحرية، بما في ذلك الحبس القسري في المصحاّت النفسية). و</w:t>
      </w:r>
      <w:r w:rsidRPr="006C0DD4">
        <w:rPr>
          <w:rFonts w:hint="cs"/>
          <w:rtl/>
          <w:lang w:val="es-ES_tradnl"/>
        </w:rPr>
        <w:t>تشمل ه</w:t>
      </w:r>
      <w:r w:rsidRPr="006C0DD4">
        <w:rPr>
          <w:rtl/>
          <w:lang w:val="es-ES_tradnl"/>
        </w:rPr>
        <w:t>ذه الاعتداءات</w:t>
      </w:r>
      <w:r w:rsidRPr="006C0DD4">
        <w:rPr>
          <w:rFonts w:hint="cs"/>
          <w:rtl/>
          <w:lang w:val="es-ES_tradnl"/>
        </w:rPr>
        <w:t xml:space="preserve"> </w:t>
      </w:r>
      <w:r w:rsidRPr="006C0DD4">
        <w:rPr>
          <w:rtl/>
          <w:lang w:val="es-ES_tradnl"/>
        </w:rPr>
        <w:t>العنف القائم على نوع الجنس، المدفوع ب</w:t>
      </w:r>
      <w:r w:rsidRPr="006C0DD4">
        <w:rPr>
          <w:rFonts w:hint="cs"/>
          <w:rtl/>
          <w:lang w:val="es-ES_tradnl"/>
        </w:rPr>
        <w:t>ال</w:t>
      </w:r>
      <w:r w:rsidRPr="006C0DD4">
        <w:rPr>
          <w:rtl/>
          <w:lang w:val="es-ES_tradnl"/>
        </w:rPr>
        <w:t>رغبة في معاقبة الأفراد الذين يبدو مظهرهم أو سلوكهم متحدياً للقوالب النمطية الجنسانية.</w:t>
      </w:r>
      <w:r w:rsidR="00411C20" w:rsidRPr="006C0DD4">
        <w:rPr>
          <w:rtl/>
          <w:lang w:val="es-ES_tradnl"/>
        </w:rPr>
        <w:t xml:space="preserve"> </w:t>
      </w:r>
    </w:p>
    <w:p w:rsidR="00D125E2" w:rsidRPr="006C0DD4" w:rsidRDefault="00D125E2" w:rsidP="00E672BA">
      <w:pPr>
        <w:pStyle w:val="SingleTxtGA"/>
        <w:rPr>
          <w:rtl/>
        </w:rPr>
      </w:pPr>
      <w:r w:rsidRPr="006C0DD4">
        <w:rPr>
          <w:rtl/>
          <w:lang w:val="es-ES_tradnl"/>
        </w:rPr>
        <w:t>22-</w:t>
      </w:r>
      <w:r w:rsidRPr="006C0DD4">
        <w:rPr>
          <w:rtl/>
          <w:lang w:val="es-ES_tradnl"/>
        </w:rPr>
        <w:tab/>
        <w:t>وبالإضافة إلى عنف "الشارع" وغيره من الاعتداءات التلقائية في الأماكن العامة، لا</w:t>
      </w:r>
      <w:r w:rsidR="00E672BA">
        <w:rPr>
          <w:rFonts w:hint="cs"/>
          <w:rtl/>
          <w:lang w:val="es-ES_tradnl"/>
        </w:rPr>
        <w:t> </w:t>
      </w:r>
      <w:r w:rsidR="00E672BA">
        <w:rPr>
          <w:rtl/>
          <w:lang w:val="es-ES_tradnl"/>
        </w:rPr>
        <w:t>يزال الأشخاص الم</w:t>
      </w:r>
      <w:r w:rsidRPr="006C0DD4">
        <w:rPr>
          <w:rtl/>
          <w:lang w:val="es-ES_tradnl"/>
        </w:rPr>
        <w:t xml:space="preserve">عتَبرون </w:t>
      </w:r>
      <w:proofErr w:type="spellStart"/>
      <w:r w:rsidRPr="006C0DD4">
        <w:rPr>
          <w:rtl/>
          <w:lang w:val="es-ES_tradnl"/>
        </w:rPr>
        <w:t>مثليات</w:t>
      </w:r>
      <w:proofErr w:type="spellEnd"/>
      <w:r w:rsidRPr="006C0DD4">
        <w:rPr>
          <w:rtl/>
          <w:lang w:val="es-ES_tradnl"/>
        </w:rPr>
        <w:t xml:space="preserve"> ومثليين ومزدوجي الميل الجنسي ومغايرين للهوية الجنسانية أهدافاً لاعتداءاتٍ منظمة ترتكبها أطراف ثالثة منها المتطرفون دينياً والجماعات ش</w:t>
      </w:r>
      <w:r w:rsidR="00411C20" w:rsidRPr="006C0DD4">
        <w:rPr>
          <w:rtl/>
          <w:lang w:val="es-ES_tradnl"/>
        </w:rPr>
        <w:t xml:space="preserve">به العسكرية </w:t>
      </w:r>
      <w:r w:rsidR="00411C20" w:rsidRPr="006C0DD4">
        <w:rPr>
          <w:rtl/>
          <w:lang w:val="es-ES_tradnl"/>
        </w:rPr>
        <w:lastRenderedPageBreak/>
        <w:t>والقوميون المتشددون</w:t>
      </w:r>
      <w:r w:rsidR="00411C20" w:rsidRPr="006C0DD4">
        <w:rPr>
          <w:rStyle w:val="FootnoteReference"/>
          <w:sz w:val="30"/>
          <w:rtl/>
          <w:lang w:val="es-ES_tradnl"/>
        </w:rPr>
        <w:t>(</w:t>
      </w:r>
      <w:r w:rsidR="00411C20" w:rsidRPr="006C0DD4">
        <w:rPr>
          <w:rStyle w:val="FootnoteReference"/>
          <w:sz w:val="30"/>
          <w:rtl/>
          <w:lang w:val="es-ES_tradnl"/>
        </w:rPr>
        <w:footnoteReference w:id="26"/>
      </w:r>
      <w:r w:rsidR="00411C20" w:rsidRPr="006C0DD4">
        <w:rPr>
          <w:rStyle w:val="FootnoteReference"/>
          <w:sz w:val="30"/>
          <w:rtl/>
          <w:lang w:val="es-ES_tradnl"/>
        </w:rPr>
        <w:t>)</w:t>
      </w:r>
      <w:r w:rsidR="00411C20" w:rsidRPr="006C0DD4">
        <w:rPr>
          <w:rFonts w:hint="cs"/>
          <w:rtl/>
          <w:lang w:val="es-ES_tradnl"/>
        </w:rPr>
        <w:t>.</w:t>
      </w:r>
      <w:r w:rsidR="00411C20" w:rsidRPr="006C0DD4">
        <w:rPr>
          <w:rtl/>
          <w:lang w:val="es-ES_tradnl"/>
        </w:rPr>
        <w:t xml:space="preserve"> </w:t>
      </w:r>
      <w:r w:rsidRPr="006C0DD4">
        <w:rPr>
          <w:rtl/>
          <w:lang w:val="es-ES_tradnl"/>
        </w:rPr>
        <w:t xml:space="preserve">والمثليات والمثليون ومزدوجو الميل الجنسي ومغايرو الهوية الجنسانية والشباب المخالفون لنوع جنسهم الفعلي معرّضون للعنف الأسري والمجتمعي. والنساء المثليات ومغايرات الهوية الجنسانية أكثر عُرضةً لذلك لعدم المساواة بين الجنسين وطبيعة علاقات </w:t>
      </w:r>
      <w:r w:rsidRPr="006C0DD4">
        <w:rPr>
          <w:rFonts w:hint="cs"/>
          <w:rtl/>
          <w:lang w:val="es-ES_tradnl"/>
        </w:rPr>
        <w:t xml:space="preserve">القوة </w:t>
      </w:r>
      <w:r w:rsidRPr="006C0DD4">
        <w:rPr>
          <w:rtl/>
          <w:lang w:val="es-ES_tradnl"/>
        </w:rPr>
        <w:t xml:space="preserve">داخل الأسرة والمجتمع </w:t>
      </w:r>
      <w:r w:rsidRPr="006C0DD4">
        <w:rPr>
          <w:rFonts w:hint="cs"/>
          <w:rtl/>
          <w:lang w:val="es-ES_tradnl"/>
        </w:rPr>
        <w:t xml:space="preserve">في نطاقه </w:t>
      </w:r>
      <w:r w:rsidRPr="006C0DD4">
        <w:rPr>
          <w:rtl/>
          <w:lang w:val="es-ES_tradnl"/>
        </w:rPr>
        <w:t>الأوسع</w:t>
      </w:r>
      <w:r w:rsidR="00411C20" w:rsidRPr="006C0DD4">
        <w:rPr>
          <w:rStyle w:val="FootnoteReference"/>
          <w:sz w:val="30"/>
          <w:rtl/>
          <w:lang w:val="es-ES_tradnl"/>
        </w:rPr>
        <w:t>(</w:t>
      </w:r>
      <w:r w:rsidR="00411C20" w:rsidRPr="006C0DD4">
        <w:rPr>
          <w:rStyle w:val="FootnoteReference"/>
          <w:sz w:val="30"/>
          <w:rtl/>
          <w:lang w:val="es-ES_tradnl"/>
        </w:rPr>
        <w:footnoteReference w:id="27"/>
      </w:r>
      <w:r w:rsidR="00411C20" w:rsidRPr="006C0DD4">
        <w:rPr>
          <w:rStyle w:val="FootnoteReference"/>
          <w:sz w:val="30"/>
          <w:rtl/>
          <w:lang w:val="es-ES_tradnl"/>
        </w:rPr>
        <w:t>)</w:t>
      </w:r>
      <w:r w:rsidR="00411C20" w:rsidRPr="006C0DD4">
        <w:rPr>
          <w:rFonts w:hint="cs"/>
          <w:rtl/>
          <w:lang w:val="es-ES_tradnl"/>
        </w:rPr>
        <w:t>.</w:t>
      </w:r>
      <w:r w:rsidRPr="006C0DD4">
        <w:rPr>
          <w:rtl/>
          <w:lang w:val="es-ES_tradnl"/>
        </w:rPr>
        <w:t xml:space="preserve"> </w:t>
      </w:r>
    </w:p>
    <w:p w:rsidR="00D125E2" w:rsidRPr="006C0DD4" w:rsidRDefault="00D125E2" w:rsidP="00411C20">
      <w:pPr>
        <w:pStyle w:val="SingleTxtGA"/>
        <w:rPr>
          <w:rtl/>
        </w:rPr>
      </w:pPr>
      <w:r w:rsidRPr="006C0DD4">
        <w:rPr>
          <w:rtl/>
        </w:rPr>
        <w:t>23-</w:t>
      </w:r>
      <w:r w:rsidRPr="006C0DD4">
        <w:rPr>
          <w:rtl/>
        </w:rPr>
        <w:tab/>
        <w:t xml:space="preserve">وعادة ما يكون العنف المدفوع بكراهية المثلية الجنسية وكراهية مغايري الهوية الجنسانية أشد قسوةً، ويتسم في بعض الحالات بدرجات قسوة تفوق في شدتها قسوة الجرائم المدفوعة </w:t>
      </w:r>
      <w:r w:rsidR="00411C20" w:rsidRPr="006C0DD4">
        <w:rPr>
          <w:rtl/>
        </w:rPr>
        <w:t>بالكراهية</w:t>
      </w:r>
      <w:r w:rsidR="00411C20" w:rsidRPr="006C0DD4">
        <w:rPr>
          <w:rStyle w:val="FootnoteReference"/>
          <w:sz w:val="30"/>
          <w:rtl/>
        </w:rPr>
        <w:t>(</w:t>
      </w:r>
      <w:r w:rsidR="00411C20" w:rsidRPr="006C0DD4">
        <w:rPr>
          <w:rStyle w:val="FootnoteReference"/>
          <w:sz w:val="30"/>
          <w:rtl/>
        </w:rPr>
        <w:footnoteReference w:id="28"/>
      </w:r>
      <w:r w:rsidR="00411C20" w:rsidRPr="006C0DD4">
        <w:rPr>
          <w:rStyle w:val="FootnoteReference"/>
          <w:sz w:val="30"/>
          <w:rtl/>
        </w:rPr>
        <w:t>)</w:t>
      </w:r>
      <w:r w:rsidR="00411C20" w:rsidRPr="006C0DD4">
        <w:rPr>
          <w:rFonts w:hint="cs"/>
          <w:rtl/>
        </w:rPr>
        <w:t>.</w:t>
      </w:r>
      <w:r w:rsidRPr="006C0DD4">
        <w:rPr>
          <w:rtl/>
        </w:rPr>
        <w:t xml:space="preserve"> و</w:t>
      </w:r>
      <w:r w:rsidRPr="006C0DD4">
        <w:rPr>
          <w:rFonts w:hint="cs"/>
          <w:rtl/>
        </w:rPr>
        <w:t>ي</w:t>
      </w:r>
      <w:r w:rsidRPr="006C0DD4">
        <w:rPr>
          <w:rtl/>
        </w:rPr>
        <w:t>شمل هذا الشكل من أشكال العنف الجَرح الغائر بسكين، والاغتصاب</w:t>
      </w:r>
      <w:r w:rsidRPr="006C0DD4">
        <w:rPr>
          <w:rFonts w:hint="cs"/>
          <w:rtl/>
        </w:rPr>
        <w:t>،</w:t>
      </w:r>
      <w:r w:rsidRPr="006C0DD4">
        <w:rPr>
          <w:rtl/>
        </w:rPr>
        <w:t xml:space="preserve"> وتشويه الأعضاء التناسلية، وكذلك الرَّجم وبتر الأطراف</w:t>
      </w:r>
      <w:r w:rsidR="00411C20" w:rsidRPr="006C0DD4">
        <w:rPr>
          <w:rStyle w:val="FootnoteReference"/>
          <w:sz w:val="30"/>
          <w:rtl/>
        </w:rPr>
        <w:t>(</w:t>
      </w:r>
      <w:r w:rsidR="00411C20" w:rsidRPr="006C0DD4">
        <w:rPr>
          <w:rStyle w:val="FootnoteReference"/>
          <w:sz w:val="30"/>
          <w:rtl/>
        </w:rPr>
        <w:footnoteReference w:id="29"/>
      </w:r>
      <w:r w:rsidR="00411C20" w:rsidRPr="006C0DD4">
        <w:rPr>
          <w:rStyle w:val="FootnoteReference"/>
          <w:sz w:val="30"/>
          <w:rtl/>
        </w:rPr>
        <w:t>)</w:t>
      </w:r>
      <w:r w:rsidR="00411C20" w:rsidRPr="006C0DD4">
        <w:rPr>
          <w:rStyle w:val="FootnoteReference"/>
          <w:rFonts w:hint="cs"/>
          <w:sz w:val="30"/>
          <w:vertAlign w:val="baseline"/>
          <w:rtl/>
        </w:rPr>
        <w:t>.</w:t>
      </w:r>
    </w:p>
    <w:p w:rsidR="00D125E2" w:rsidRPr="006C0DD4" w:rsidRDefault="00D125E2" w:rsidP="00E672BA">
      <w:pPr>
        <w:pStyle w:val="SingleTxtGA"/>
        <w:rPr>
          <w:rtl/>
        </w:rPr>
      </w:pPr>
      <w:r w:rsidRPr="006C0DD4">
        <w:rPr>
          <w:rtl/>
        </w:rPr>
        <w:t>24-</w:t>
      </w:r>
      <w:r w:rsidRPr="006C0DD4">
        <w:rPr>
          <w:rtl/>
        </w:rPr>
        <w:tab/>
        <w:t>وقد أدان خبراء الأمم المتحدة استمرار الإفلات من العقاب على هذه الانتهاكات ودعوا مراراً إلى</w:t>
      </w:r>
      <w:r w:rsidRPr="006C0DD4">
        <w:rPr>
          <w:rFonts w:hint="cs"/>
          <w:rtl/>
        </w:rPr>
        <w:t xml:space="preserve"> </w:t>
      </w:r>
      <w:r w:rsidRPr="006C0DD4">
        <w:rPr>
          <w:rtl/>
        </w:rPr>
        <w:t>التحقيق فيها والمقاضاة</w:t>
      </w:r>
      <w:r w:rsidRPr="006C0DD4">
        <w:rPr>
          <w:rFonts w:hint="cs"/>
          <w:rtl/>
        </w:rPr>
        <w:t xml:space="preserve"> والمعاقبة</w:t>
      </w:r>
      <w:r w:rsidRPr="006C0DD4">
        <w:rPr>
          <w:rtl/>
        </w:rPr>
        <w:t xml:space="preserve"> عليها و</w:t>
      </w:r>
      <w:r w:rsidRPr="006C0DD4">
        <w:rPr>
          <w:rFonts w:hint="cs"/>
          <w:rtl/>
        </w:rPr>
        <w:t>جبر الضحايا</w:t>
      </w:r>
      <w:r w:rsidR="00411C20" w:rsidRPr="006C0DD4">
        <w:rPr>
          <w:rStyle w:val="FootnoteReference"/>
          <w:sz w:val="30"/>
          <w:rtl/>
        </w:rPr>
        <w:t>(</w:t>
      </w:r>
      <w:r w:rsidR="00411C20" w:rsidRPr="006C0DD4">
        <w:rPr>
          <w:rStyle w:val="FootnoteReference"/>
          <w:sz w:val="30"/>
          <w:rtl/>
        </w:rPr>
        <w:footnoteReference w:id="30"/>
      </w:r>
      <w:r w:rsidR="00411C20" w:rsidRPr="006C0DD4">
        <w:rPr>
          <w:rStyle w:val="FootnoteReference"/>
          <w:sz w:val="30"/>
          <w:rtl/>
        </w:rPr>
        <w:t>)</w:t>
      </w:r>
      <w:r w:rsidR="00E672BA">
        <w:rPr>
          <w:rFonts w:hint="cs"/>
          <w:rtl/>
        </w:rPr>
        <w:t>.</w:t>
      </w:r>
      <w:r w:rsidRPr="006C0DD4">
        <w:rPr>
          <w:rtl/>
        </w:rPr>
        <w:t xml:space="preserve"> وتشمل أوجه القصور المبلَّغ عنها في هذا السياق عدم فعالية العمل الشرُطي، وعدم تسجيل الحالات، وضياع الوثائق، وعدم ملاءمة تصنيف الأفعال، ومن ذلك تصنيف الاعتداء البدني على أنه جرم بسيط، واسترشاد التحقيقات بالقوالب النمطية السائدة </w:t>
      </w:r>
      <w:r w:rsidRPr="006C0DD4">
        <w:rPr>
          <w:rFonts w:hint="cs"/>
          <w:rtl/>
        </w:rPr>
        <w:t>و</w:t>
      </w:r>
      <w:r w:rsidRPr="006C0DD4">
        <w:rPr>
          <w:rtl/>
        </w:rPr>
        <w:t>التحيّز</w:t>
      </w:r>
      <w:r w:rsidR="00411C20" w:rsidRPr="006C0DD4">
        <w:rPr>
          <w:rStyle w:val="FootnoteReference"/>
          <w:sz w:val="30"/>
          <w:rtl/>
        </w:rPr>
        <w:t>(</w:t>
      </w:r>
      <w:r w:rsidR="00411C20" w:rsidRPr="006C0DD4">
        <w:rPr>
          <w:rStyle w:val="FootnoteReference"/>
          <w:sz w:val="30"/>
          <w:rtl/>
        </w:rPr>
        <w:footnoteReference w:id="31"/>
      </w:r>
      <w:r w:rsidR="00411C20" w:rsidRPr="006C0DD4">
        <w:rPr>
          <w:rStyle w:val="FootnoteReference"/>
          <w:sz w:val="30"/>
          <w:rtl/>
        </w:rPr>
        <w:t>)</w:t>
      </w:r>
      <w:r w:rsidR="00411C20" w:rsidRPr="006C0DD4">
        <w:rPr>
          <w:rFonts w:hint="cs"/>
          <w:rtl/>
        </w:rPr>
        <w:t>.</w:t>
      </w:r>
      <w:r w:rsidRPr="006C0DD4">
        <w:rPr>
          <w:rtl/>
        </w:rPr>
        <w:t xml:space="preserve"> </w:t>
      </w:r>
    </w:p>
    <w:p w:rsidR="00D125E2" w:rsidRPr="006C0DD4" w:rsidRDefault="00D125E2" w:rsidP="00411C20">
      <w:pPr>
        <w:pStyle w:val="SingleTxtGA"/>
        <w:rPr>
          <w:rtl/>
        </w:rPr>
      </w:pPr>
      <w:r w:rsidRPr="006C0DD4">
        <w:rPr>
          <w:rtl/>
        </w:rPr>
        <w:t>25-</w:t>
      </w:r>
      <w:r w:rsidRPr="006C0DD4">
        <w:rPr>
          <w:rtl/>
        </w:rPr>
        <w:tab/>
        <w:t xml:space="preserve">وفي معظم البلدان، يؤدي عدم وجود نظم فعالة لتسجيل أعمال العنف </w:t>
      </w:r>
      <w:r w:rsidRPr="006C0DD4">
        <w:rPr>
          <w:rFonts w:hint="cs"/>
          <w:rtl/>
        </w:rPr>
        <w:t>المدفوعة ب</w:t>
      </w:r>
      <w:r w:rsidRPr="006C0DD4">
        <w:rPr>
          <w:rtl/>
        </w:rPr>
        <w:t xml:space="preserve">الكراهية، أو "الجرائم </w:t>
      </w:r>
      <w:r w:rsidRPr="006C0DD4">
        <w:rPr>
          <w:rFonts w:hint="cs"/>
          <w:rtl/>
        </w:rPr>
        <w:t>المدفوعة با</w:t>
      </w:r>
      <w:r w:rsidRPr="006C0DD4">
        <w:rPr>
          <w:rtl/>
        </w:rPr>
        <w:t xml:space="preserve">لكراهية" ضد المثليات والمثليين ومزدوجي الميل الجنسي ومغايري الهوية الجنسانية والإبلاغ عنها إلى </w:t>
      </w:r>
      <w:r w:rsidRPr="006C0DD4">
        <w:rPr>
          <w:rFonts w:hint="cs"/>
          <w:rtl/>
        </w:rPr>
        <w:t>عدم الكشف عن ا</w:t>
      </w:r>
      <w:r w:rsidRPr="006C0DD4">
        <w:rPr>
          <w:rtl/>
        </w:rPr>
        <w:t>لحجم الحقيقي للعنف. فبالرغم من وجود إحصاءات رسمية، عادةً ما تبخس هذه الإحصاءات تقدير عدد الحالات الحقيقي</w:t>
      </w:r>
      <w:r w:rsidR="00411C20" w:rsidRPr="006C0DD4">
        <w:rPr>
          <w:rStyle w:val="FootnoteReference"/>
          <w:sz w:val="30"/>
          <w:rtl/>
        </w:rPr>
        <w:t>(</w:t>
      </w:r>
      <w:r w:rsidR="00411C20" w:rsidRPr="006C0DD4">
        <w:rPr>
          <w:rStyle w:val="FootnoteReference"/>
          <w:sz w:val="30"/>
          <w:rtl/>
        </w:rPr>
        <w:footnoteReference w:id="32"/>
      </w:r>
      <w:r w:rsidR="00411C20" w:rsidRPr="006C0DD4">
        <w:rPr>
          <w:rStyle w:val="FootnoteReference"/>
          <w:sz w:val="30"/>
          <w:rtl/>
        </w:rPr>
        <w:t>)</w:t>
      </w:r>
      <w:r w:rsidR="00411C20" w:rsidRPr="006C0DD4">
        <w:rPr>
          <w:rFonts w:hint="cs"/>
          <w:rtl/>
        </w:rPr>
        <w:t>.</w:t>
      </w:r>
      <w:r w:rsidRPr="006C0DD4">
        <w:rPr>
          <w:rtl/>
        </w:rPr>
        <w:t xml:space="preserve"> ويُحجم الضحايا في الغالب عن الإبلاغ عن تجاربهم خشية التعرض للابتزاز أو خرق السرية أو التعرض لأعمال انتقامية. وبالإضافة إلى ذلك، يؤدي التصنيف المتحيّز وغير الدقيق للحالات إلى سوء تحديدها وإخفائها </w:t>
      </w:r>
      <w:r w:rsidRPr="006C0DD4">
        <w:rPr>
          <w:rFonts w:hint="cs"/>
          <w:rtl/>
        </w:rPr>
        <w:t>والانتقاص من جسامتها</w:t>
      </w:r>
      <w:r w:rsidR="00411C20" w:rsidRPr="006C0DD4">
        <w:rPr>
          <w:rStyle w:val="FootnoteReference"/>
          <w:sz w:val="30"/>
          <w:rtl/>
        </w:rPr>
        <w:t>(</w:t>
      </w:r>
      <w:r w:rsidR="00411C20" w:rsidRPr="006C0DD4">
        <w:rPr>
          <w:rStyle w:val="FootnoteReference"/>
          <w:sz w:val="30"/>
          <w:rtl/>
        </w:rPr>
        <w:footnoteReference w:id="33"/>
      </w:r>
      <w:r w:rsidR="00411C20" w:rsidRPr="006C0DD4">
        <w:rPr>
          <w:rStyle w:val="FootnoteReference"/>
          <w:sz w:val="30"/>
          <w:rtl/>
        </w:rPr>
        <w:t>)</w:t>
      </w:r>
      <w:r w:rsidR="00411C20" w:rsidRPr="006C0DD4">
        <w:rPr>
          <w:rFonts w:hint="cs"/>
          <w:rtl/>
        </w:rPr>
        <w:t>.</w:t>
      </w:r>
      <w:r w:rsidRPr="006C0DD4">
        <w:rPr>
          <w:rtl/>
        </w:rPr>
        <w:t xml:space="preserve"> كما يسهم عدم التحقيق في الانتهاكات المبلَّغ عنها وعدم </w:t>
      </w:r>
      <w:r w:rsidRPr="006C0DD4">
        <w:rPr>
          <w:rFonts w:hint="cs"/>
          <w:rtl/>
        </w:rPr>
        <w:t xml:space="preserve">المقاضاة </w:t>
      </w:r>
      <w:r w:rsidRPr="006C0DD4">
        <w:rPr>
          <w:rtl/>
        </w:rPr>
        <w:t xml:space="preserve">والمعاقبة عليها في </w:t>
      </w:r>
      <w:r w:rsidRPr="006C0DD4">
        <w:rPr>
          <w:rFonts w:hint="cs"/>
          <w:rtl/>
        </w:rPr>
        <w:t xml:space="preserve">الانتقاص من </w:t>
      </w:r>
      <w:r w:rsidRPr="006C0DD4">
        <w:rPr>
          <w:rtl/>
        </w:rPr>
        <w:t>تقييم حجم العنف</w:t>
      </w:r>
      <w:r w:rsidR="00411C20" w:rsidRPr="006C0DD4">
        <w:rPr>
          <w:rStyle w:val="FootnoteReference"/>
          <w:sz w:val="30"/>
          <w:rtl/>
        </w:rPr>
        <w:t>(</w:t>
      </w:r>
      <w:r w:rsidR="00411C20" w:rsidRPr="006C0DD4">
        <w:rPr>
          <w:rStyle w:val="FootnoteReference"/>
          <w:sz w:val="30"/>
          <w:rtl/>
        </w:rPr>
        <w:footnoteReference w:id="34"/>
      </w:r>
      <w:r w:rsidR="00411C20" w:rsidRPr="006C0DD4">
        <w:rPr>
          <w:rStyle w:val="FootnoteReference"/>
          <w:sz w:val="30"/>
          <w:rtl/>
        </w:rPr>
        <w:t>)</w:t>
      </w:r>
      <w:r w:rsidR="00411C20" w:rsidRPr="006C0DD4">
        <w:rPr>
          <w:rFonts w:hint="cs"/>
          <w:rtl/>
        </w:rPr>
        <w:t>.</w:t>
      </w:r>
      <w:r w:rsidR="00411C20" w:rsidRPr="006C0DD4">
        <w:rPr>
          <w:rtl/>
        </w:rPr>
        <w:t xml:space="preserve"> </w:t>
      </w:r>
    </w:p>
    <w:p w:rsidR="00D125E2" w:rsidRPr="006C0DD4" w:rsidRDefault="00D125E2" w:rsidP="00D125E2">
      <w:pPr>
        <w:pStyle w:val="H1GA"/>
        <w:rPr>
          <w:sz w:val="30"/>
          <w:rtl/>
        </w:rPr>
      </w:pPr>
      <w:r w:rsidRPr="006C0DD4">
        <w:rPr>
          <w:rFonts w:hint="cs"/>
          <w:rtl/>
        </w:rPr>
        <w:lastRenderedPageBreak/>
        <w:tab/>
      </w:r>
      <w:bookmarkStart w:id="13" w:name="_Toc420919007"/>
      <w:r w:rsidRPr="006C0DD4">
        <w:rPr>
          <w:rtl/>
        </w:rPr>
        <w:t>باء-</w:t>
      </w:r>
      <w:r w:rsidRPr="006C0DD4">
        <w:rPr>
          <w:rtl/>
        </w:rPr>
        <w:tab/>
        <w:t>القتل</w:t>
      </w:r>
      <w:bookmarkEnd w:id="13"/>
    </w:p>
    <w:p w:rsidR="00D125E2" w:rsidRPr="006C0DD4" w:rsidRDefault="00D125E2" w:rsidP="00FE0F06">
      <w:pPr>
        <w:pStyle w:val="SingleTxtGA"/>
        <w:rPr>
          <w:rtl/>
        </w:rPr>
      </w:pPr>
      <w:r w:rsidRPr="006C0DD4">
        <w:rPr>
          <w:rtl/>
        </w:rPr>
        <w:t>26-</w:t>
      </w:r>
      <w:r w:rsidRPr="006C0DD4">
        <w:rPr>
          <w:rtl/>
        </w:rPr>
        <w:tab/>
        <w:t xml:space="preserve">سُجلت في جميع </w:t>
      </w:r>
      <w:r w:rsidRPr="006C0DD4">
        <w:rPr>
          <w:rFonts w:hint="cs"/>
          <w:rtl/>
        </w:rPr>
        <w:t>أنحاء</w:t>
      </w:r>
      <w:r w:rsidRPr="006C0DD4">
        <w:rPr>
          <w:rtl/>
        </w:rPr>
        <w:t xml:space="preserve"> العالم </w:t>
      </w:r>
      <w:r w:rsidRPr="006C0DD4">
        <w:rPr>
          <w:rFonts w:hint="cs"/>
          <w:rtl/>
        </w:rPr>
        <w:t>حوادث قتل ل</w:t>
      </w:r>
      <w:r w:rsidRPr="006C0DD4">
        <w:rPr>
          <w:rtl/>
        </w:rPr>
        <w:t xml:space="preserve">لمثليات والمثليين ومزدوجي الميل الجنسي ومغايري الهوية الجنسانية </w:t>
      </w:r>
      <w:r w:rsidRPr="006C0DD4">
        <w:rPr>
          <w:rFonts w:hint="cs"/>
          <w:rtl/>
        </w:rPr>
        <w:t>بدافع ال</w:t>
      </w:r>
      <w:r w:rsidRPr="006C0DD4">
        <w:rPr>
          <w:rtl/>
        </w:rPr>
        <w:t>كراهي</w:t>
      </w:r>
      <w:r w:rsidRPr="006C0DD4">
        <w:rPr>
          <w:rFonts w:hint="cs"/>
          <w:rtl/>
        </w:rPr>
        <w:t>ة</w:t>
      </w:r>
      <w:r w:rsidRPr="006C0DD4">
        <w:rPr>
          <w:rtl/>
        </w:rPr>
        <w:t>. وأشار</w:t>
      </w:r>
      <w:r w:rsidR="00411C20" w:rsidRPr="006C0DD4">
        <w:rPr>
          <w:rtl/>
        </w:rPr>
        <w:t xml:space="preserve"> </w:t>
      </w:r>
      <w:r w:rsidRPr="006C0DD4">
        <w:rPr>
          <w:rtl/>
        </w:rPr>
        <w:t>المقرِّر المعني بحالات الإعدام خارج القضاء أو</w:t>
      </w:r>
      <w:r w:rsidR="00FE0F06">
        <w:rPr>
          <w:rFonts w:hint="cs"/>
          <w:rtl/>
        </w:rPr>
        <w:t> </w:t>
      </w:r>
      <w:r w:rsidRPr="006C0DD4">
        <w:rPr>
          <w:rtl/>
        </w:rPr>
        <w:t>بإجراءات موجزة أو تعسفاً إلى "جرائم القتل المُروِّعة" التي يُفلت الكثير من مرتكبيها من العقاب، "بتواطؤ سلطات التحقيق" أحياناً حسب الادعاءات (</w:t>
      </w:r>
      <w:r w:rsidRPr="006C0DD4">
        <w:rPr>
          <w:lang w:eastAsia="en-GB"/>
        </w:rPr>
        <w:t>A/HRC/26/36/Add.1</w:t>
      </w:r>
      <w:r w:rsidRPr="006C0DD4">
        <w:rPr>
          <w:rtl/>
        </w:rPr>
        <w:t>، الفقرة</w:t>
      </w:r>
      <w:r w:rsidR="00FE0F06">
        <w:rPr>
          <w:rFonts w:hint="cs"/>
          <w:rtl/>
        </w:rPr>
        <w:t> </w:t>
      </w:r>
      <w:r w:rsidRPr="006C0DD4">
        <w:rPr>
          <w:rtl/>
        </w:rPr>
        <w:t>85). ولا تزال هيئات المعاهدات وآلية الإجراءات الخاصة ووكالات الأمم المتحدة تعرب عن جزعها حيال جرائم القتل هذه وأنماط العنف المتصلة بها، بما في ذلك قتل النساء مغايرات نوع الجنس في أوروغواي</w:t>
      </w:r>
      <w:r w:rsidR="00411C20" w:rsidRPr="006C0DD4">
        <w:rPr>
          <w:rStyle w:val="FootnoteReference"/>
          <w:sz w:val="30"/>
          <w:rtl/>
        </w:rPr>
        <w:t>(</w:t>
      </w:r>
      <w:r w:rsidR="00411C20" w:rsidRPr="006C0DD4">
        <w:rPr>
          <w:rStyle w:val="FootnoteReference"/>
          <w:sz w:val="30"/>
          <w:rtl/>
        </w:rPr>
        <w:footnoteReference w:id="35"/>
      </w:r>
      <w:r w:rsidR="00411C20" w:rsidRPr="006C0DD4">
        <w:rPr>
          <w:rStyle w:val="FootnoteReference"/>
          <w:sz w:val="30"/>
          <w:rtl/>
        </w:rPr>
        <w:t>)</w:t>
      </w:r>
      <w:r w:rsidRPr="006C0DD4">
        <w:rPr>
          <w:rtl/>
        </w:rPr>
        <w:t xml:space="preserve"> وال</w:t>
      </w:r>
      <w:r w:rsidR="00411C20" w:rsidRPr="006C0DD4">
        <w:rPr>
          <w:rtl/>
        </w:rPr>
        <w:t>مثليات الزنجيات في جنوب أفريقيا</w:t>
      </w:r>
      <w:r w:rsidR="00411C20" w:rsidRPr="006C0DD4">
        <w:rPr>
          <w:rStyle w:val="FootnoteReference"/>
          <w:sz w:val="30"/>
          <w:rtl/>
        </w:rPr>
        <w:t>(</w:t>
      </w:r>
      <w:r w:rsidR="00411C20" w:rsidRPr="006C0DD4">
        <w:rPr>
          <w:rStyle w:val="FootnoteReference"/>
          <w:sz w:val="30"/>
          <w:rtl/>
        </w:rPr>
        <w:footnoteReference w:id="36"/>
      </w:r>
      <w:r w:rsidR="00411C20" w:rsidRPr="006C0DD4">
        <w:rPr>
          <w:rStyle w:val="FootnoteReference"/>
          <w:sz w:val="30"/>
          <w:rtl/>
        </w:rPr>
        <w:t>)</w:t>
      </w:r>
      <w:r w:rsidR="00411C20" w:rsidRPr="006C0DD4">
        <w:rPr>
          <w:rFonts w:hint="cs"/>
          <w:rtl/>
        </w:rPr>
        <w:t>.</w:t>
      </w:r>
      <w:r w:rsidRPr="006C0DD4">
        <w:rPr>
          <w:rtl/>
        </w:rPr>
        <w:t xml:space="preserve"> وفي اعتداءٍ على رجلٍ مثليّ جنسياً في شيلي، ضُرب الرجل وقُتل على أيدي أفرادٍ من النازيين الجدد الذين حرقوه بالسجائ</w:t>
      </w:r>
      <w:r w:rsidR="00411C20" w:rsidRPr="006C0DD4">
        <w:rPr>
          <w:rtl/>
        </w:rPr>
        <w:t>ر حافرين صليباً معقوفاً في جسده</w:t>
      </w:r>
      <w:r w:rsidR="00411C20" w:rsidRPr="006C0DD4">
        <w:rPr>
          <w:rStyle w:val="FootnoteReference"/>
          <w:sz w:val="30"/>
          <w:rtl/>
        </w:rPr>
        <w:t>(</w:t>
      </w:r>
      <w:r w:rsidR="00411C20" w:rsidRPr="006C0DD4">
        <w:rPr>
          <w:rStyle w:val="FootnoteReference"/>
          <w:sz w:val="30"/>
          <w:rtl/>
        </w:rPr>
        <w:footnoteReference w:id="37"/>
      </w:r>
      <w:r w:rsidR="00411C20" w:rsidRPr="006C0DD4">
        <w:rPr>
          <w:rStyle w:val="FootnoteReference"/>
          <w:sz w:val="30"/>
          <w:rtl/>
        </w:rPr>
        <w:t>)</w:t>
      </w:r>
      <w:r w:rsidR="00411C20" w:rsidRPr="006C0DD4">
        <w:rPr>
          <w:rFonts w:hint="cs"/>
          <w:rtl/>
        </w:rPr>
        <w:t>.</w:t>
      </w:r>
    </w:p>
    <w:p w:rsidR="00D125E2" w:rsidRPr="00FE0F06" w:rsidRDefault="00D125E2" w:rsidP="00FE0F06">
      <w:pPr>
        <w:pStyle w:val="SingleTxtGA"/>
        <w:rPr>
          <w:rtl/>
        </w:rPr>
      </w:pPr>
      <w:r w:rsidRPr="006C0DD4">
        <w:rPr>
          <w:rtl/>
        </w:rPr>
        <w:t>27-</w:t>
      </w:r>
      <w:r w:rsidRPr="006C0DD4">
        <w:rPr>
          <w:rtl/>
        </w:rPr>
        <w:tab/>
        <w:t>والبيانات المقدمة في هذا السياق متباينة لكنّها تشير،</w:t>
      </w:r>
      <w:r w:rsidRPr="006C0DD4">
        <w:rPr>
          <w:rFonts w:hint="cs"/>
          <w:rtl/>
        </w:rPr>
        <w:t xml:space="preserve"> عند توافرها</w:t>
      </w:r>
      <w:r w:rsidRPr="006C0DD4">
        <w:rPr>
          <w:rtl/>
        </w:rPr>
        <w:t>، إلى ارتفاع معدلات العنف المتمثل في القتل ارتفاعاً ينذر بالخطر. ففي البرازيل، أحد البلدان القليلة نسبياً التي تنشر حكوماتها تقريراً سنوياً عن ظاهرة العنف</w:t>
      </w:r>
      <w:r w:rsidRPr="006C0DD4">
        <w:rPr>
          <w:rFonts w:hint="cs"/>
          <w:rtl/>
        </w:rPr>
        <w:t xml:space="preserve"> المدفوعة بك</w:t>
      </w:r>
      <w:r w:rsidRPr="006C0DD4">
        <w:rPr>
          <w:rtl/>
        </w:rPr>
        <w:t xml:space="preserve">راهية المثلية الجنسية، </w:t>
      </w:r>
      <w:r w:rsidRPr="006C0DD4">
        <w:rPr>
          <w:rFonts w:hint="cs"/>
          <w:rtl/>
        </w:rPr>
        <w:t>سجلت</w:t>
      </w:r>
      <w:r w:rsidRPr="006C0DD4">
        <w:rPr>
          <w:rtl/>
        </w:rPr>
        <w:t xml:space="preserve"> السلطات</w:t>
      </w:r>
      <w:r w:rsidR="00FE0F06">
        <w:rPr>
          <w:rFonts w:hint="cs"/>
          <w:rtl/>
        </w:rPr>
        <w:t> </w:t>
      </w:r>
      <w:r w:rsidRPr="006C0DD4">
        <w:rPr>
          <w:rtl/>
        </w:rPr>
        <w:t>310 جرائم قتل في عام 2012 ارتُكبت بدافع كراهية المثلية الجنسية أو كراهية مغايري الهوية الجنسانية</w:t>
      </w:r>
      <w:r w:rsidR="00411C20" w:rsidRPr="006C0DD4">
        <w:rPr>
          <w:rStyle w:val="FootnoteReference"/>
          <w:sz w:val="30"/>
          <w:rtl/>
        </w:rPr>
        <w:t>(</w:t>
      </w:r>
      <w:r w:rsidR="00411C20" w:rsidRPr="006C0DD4">
        <w:rPr>
          <w:rStyle w:val="FootnoteReference"/>
          <w:sz w:val="30"/>
          <w:rtl/>
        </w:rPr>
        <w:footnoteReference w:id="38"/>
      </w:r>
      <w:r w:rsidR="00411C20" w:rsidRPr="006C0DD4">
        <w:rPr>
          <w:rStyle w:val="FootnoteReference"/>
          <w:sz w:val="30"/>
          <w:rtl/>
        </w:rPr>
        <w:t>)</w:t>
      </w:r>
      <w:r w:rsidR="00411C20" w:rsidRPr="006C0DD4">
        <w:rPr>
          <w:rFonts w:hint="cs"/>
          <w:rtl/>
        </w:rPr>
        <w:t>.</w:t>
      </w:r>
      <w:r w:rsidRPr="006C0DD4">
        <w:rPr>
          <w:rtl/>
        </w:rPr>
        <w:t xml:space="preserve"> وأبلغت لجنة البلدان الأمريكية لحقوق الإنسان عن وقوع 594 جريمة قتل</w:t>
      </w:r>
      <w:r w:rsidRPr="006C0DD4">
        <w:rPr>
          <w:rFonts w:hint="cs"/>
          <w:rtl/>
        </w:rPr>
        <w:t xml:space="preserve"> </w:t>
      </w:r>
      <w:r w:rsidRPr="006C0DD4">
        <w:rPr>
          <w:rtl/>
        </w:rPr>
        <w:t>في الفترة ما بين كانون الثاني/يناير 2013 وآذار/مارس 2014</w:t>
      </w:r>
      <w:r w:rsidRPr="006C0DD4">
        <w:rPr>
          <w:rFonts w:hint="cs"/>
          <w:rtl/>
        </w:rPr>
        <w:t xml:space="preserve"> ف</w:t>
      </w:r>
      <w:r w:rsidRPr="006C0DD4">
        <w:rPr>
          <w:rtl/>
        </w:rPr>
        <w:t xml:space="preserve">ي 25 دولةً </w:t>
      </w:r>
      <w:r w:rsidRPr="006C0DD4">
        <w:rPr>
          <w:rFonts w:hint="cs"/>
          <w:rtl/>
        </w:rPr>
        <w:t xml:space="preserve">من الدول الأعضاء </w:t>
      </w:r>
      <w:r w:rsidRPr="006C0DD4">
        <w:rPr>
          <w:rtl/>
        </w:rPr>
        <w:t>في منظمة الدول الأمريكية</w:t>
      </w:r>
      <w:r w:rsidRPr="006C0DD4">
        <w:rPr>
          <w:rFonts w:hint="cs"/>
          <w:rtl/>
        </w:rPr>
        <w:t xml:space="preserve"> لل</w:t>
      </w:r>
      <w:r w:rsidRPr="006C0DD4">
        <w:rPr>
          <w:rtl/>
        </w:rPr>
        <w:t>مثليات و</w:t>
      </w:r>
      <w:r w:rsidRPr="006C0DD4">
        <w:rPr>
          <w:rFonts w:hint="cs"/>
          <w:rtl/>
        </w:rPr>
        <w:t>ال</w:t>
      </w:r>
      <w:r w:rsidRPr="006C0DD4">
        <w:rPr>
          <w:rtl/>
        </w:rPr>
        <w:t xml:space="preserve">مثليين ومزدوجي الميل الجنسي ومغايري </w:t>
      </w:r>
      <w:r w:rsidRPr="006C0DD4">
        <w:rPr>
          <w:rFonts w:hint="cs"/>
          <w:rtl/>
        </w:rPr>
        <w:t>ا</w:t>
      </w:r>
      <w:r w:rsidRPr="006C0DD4">
        <w:rPr>
          <w:rtl/>
        </w:rPr>
        <w:t xml:space="preserve">لهوية الجنسانية وحاملي صفات الجنسين </w:t>
      </w:r>
      <w:r w:rsidRPr="006C0DD4">
        <w:rPr>
          <w:rFonts w:hint="cs"/>
          <w:rtl/>
        </w:rPr>
        <w:t>بدافع الكراهية</w:t>
      </w:r>
      <w:r w:rsidR="00411C20" w:rsidRPr="006C0DD4">
        <w:rPr>
          <w:rStyle w:val="FootnoteReference"/>
          <w:sz w:val="30"/>
          <w:rtl/>
        </w:rPr>
        <w:t>(</w:t>
      </w:r>
      <w:r w:rsidR="00411C20" w:rsidRPr="006C0DD4">
        <w:rPr>
          <w:rStyle w:val="FootnoteReference"/>
          <w:sz w:val="30"/>
          <w:rtl/>
        </w:rPr>
        <w:footnoteReference w:id="39"/>
      </w:r>
      <w:r w:rsidR="00411C20" w:rsidRPr="006C0DD4">
        <w:rPr>
          <w:rStyle w:val="FootnoteReference"/>
          <w:sz w:val="30"/>
          <w:rtl/>
        </w:rPr>
        <w:t>)</w:t>
      </w:r>
      <w:r w:rsidR="00411C20" w:rsidRPr="006C0DD4">
        <w:rPr>
          <w:rFonts w:hint="cs"/>
          <w:rtl/>
        </w:rPr>
        <w:t>.</w:t>
      </w:r>
      <w:r w:rsidRPr="006C0DD4">
        <w:rPr>
          <w:rtl/>
        </w:rPr>
        <w:t xml:space="preserve"> وفي القرار 275 الصادر عن اللجنة الأفريقية لحقوق الإنسان والشعوب، أدانت اللجنة تزايد أعمال العنف وغيرها من انتهاكات حقوق الإنسان المرتكبة بحق الأفراد على أساس ميلهم الجنسي وهويتهم الجنسانية الحقيقي</w:t>
      </w:r>
      <w:r w:rsidRPr="006C0DD4">
        <w:rPr>
          <w:rFonts w:hint="cs"/>
          <w:rtl/>
        </w:rPr>
        <w:t>ة</w:t>
      </w:r>
      <w:r w:rsidRPr="006C0DD4">
        <w:rPr>
          <w:rtl/>
        </w:rPr>
        <w:t xml:space="preserve"> أو الم</w:t>
      </w:r>
      <w:r w:rsidRPr="006C0DD4">
        <w:rPr>
          <w:rFonts w:hint="cs"/>
          <w:rtl/>
        </w:rPr>
        <w:t>فترضة</w:t>
      </w:r>
      <w:r w:rsidRPr="006C0DD4">
        <w:rPr>
          <w:rtl/>
        </w:rPr>
        <w:t xml:space="preserve">. كما أعرب البرلمان الأوروبي (القرار </w:t>
      </w:r>
      <w:hyperlink r:id="rId10" w:history="1">
        <w:r w:rsidRPr="00FE0F06">
          <w:t>2013/2183(INI)</w:t>
        </w:r>
      </w:hyperlink>
      <w:r w:rsidR="00430087" w:rsidRPr="00FE0F06">
        <w:rPr>
          <w:rFonts w:hint="cs"/>
          <w:rtl/>
        </w:rPr>
        <w:t xml:space="preserve">) </w:t>
      </w:r>
      <w:r w:rsidRPr="00FE0F06">
        <w:rPr>
          <w:rtl/>
        </w:rPr>
        <w:t>ومجلس أوروبا (القرار</w:t>
      </w:r>
      <w:r w:rsidR="00411C20" w:rsidRPr="00FE0F06">
        <w:rPr>
          <w:rFonts w:hint="cs"/>
          <w:rtl/>
        </w:rPr>
        <w:t xml:space="preserve"> </w:t>
      </w:r>
      <w:r w:rsidRPr="00FE0F06">
        <w:t>1948 (2013)</w:t>
      </w:r>
      <w:r w:rsidRPr="00FE0F06">
        <w:rPr>
          <w:rFonts w:hint="cs"/>
          <w:rtl/>
        </w:rPr>
        <w:t>)</w:t>
      </w:r>
      <w:r w:rsidRPr="00FE0F06">
        <w:rPr>
          <w:rtl/>
        </w:rPr>
        <w:t xml:space="preserve"> بانتظام عن شواغلهما بهذا الشأن.</w:t>
      </w:r>
    </w:p>
    <w:p w:rsidR="00D125E2" w:rsidRPr="006C0DD4" w:rsidRDefault="00D125E2" w:rsidP="00FE0F06">
      <w:pPr>
        <w:pStyle w:val="SingleTxtGA"/>
        <w:rPr>
          <w:sz w:val="30"/>
          <w:rtl/>
        </w:rPr>
      </w:pPr>
      <w:r w:rsidRPr="006C0DD4">
        <w:rPr>
          <w:sz w:val="30"/>
          <w:rtl/>
        </w:rPr>
        <w:t>28-</w:t>
      </w:r>
      <w:r w:rsidRPr="006C0DD4">
        <w:rPr>
          <w:sz w:val="30"/>
          <w:rtl/>
        </w:rPr>
        <w:tab/>
        <w:t xml:space="preserve">وتؤكد التقارير الواردة من المنظمات غير الحكومية انتشار أعمال العنف القاتل. </w:t>
      </w:r>
      <w:r w:rsidRPr="006C0DD4">
        <w:rPr>
          <w:rtl/>
        </w:rPr>
        <w:t xml:space="preserve">فبرنامج "رصد قتل مغايري الهوية الجنسانية"، الذي يجمع تقارير عن جرائم قتل مغايري الهوية الجنسانية في جميع </w:t>
      </w:r>
      <w:r w:rsidRPr="006C0DD4">
        <w:rPr>
          <w:rFonts w:hint="cs"/>
          <w:rtl/>
        </w:rPr>
        <w:t>أنحاء</w:t>
      </w:r>
      <w:r w:rsidRPr="006C0DD4">
        <w:rPr>
          <w:rtl/>
        </w:rPr>
        <w:t xml:space="preserve"> العالم، يقدم قائمةً ت</w:t>
      </w:r>
      <w:r w:rsidRPr="006C0DD4">
        <w:rPr>
          <w:rFonts w:hint="cs"/>
          <w:rtl/>
        </w:rPr>
        <w:t>تضمن</w:t>
      </w:r>
      <w:r w:rsidRPr="006C0DD4">
        <w:rPr>
          <w:rtl/>
        </w:rPr>
        <w:t xml:space="preserve"> 612 </w:t>
      </w:r>
      <w:r w:rsidR="00FE0F06" w:rsidRPr="006C0DD4">
        <w:rPr>
          <w:rtl/>
        </w:rPr>
        <w:t>1</w:t>
      </w:r>
      <w:r w:rsidR="00FE0F06">
        <w:rPr>
          <w:rFonts w:hint="cs"/>
          <w:rtl/>
        </w:rPr>
        <w:t xml:space="preserve"> </w:t>
      </w:r>
      <w:r w:rsidRPr="006C0DD4">
        <w:rPr>
          <w:rtl/>
        </w:rPr>
        <w:t xml:space="preserve">جريمة قتل ارتُكبت في 62 بلداً في الفترة </w:t>
      </w:r>
      <w:r w:rsidRPr="006C0DD4">
        <w:rPr>
          <w:rtl/>
        </w:rPr>
        <w:lastRenderedPageBreak/>
        <w:t>ما</w:t>
      </w:r>
      <w:r w:rsidR="00411C20" w:rsidRPr="006C0DD4">
        <w:rPr>
          <w:rFonts w:hint="cs"/>
          <w:rtl/>
        </w:rPr>
        <w:t> </w:t>
      </w:r>
      <w:r w:rsidRPr="006C0DD4">
        <w:rPr>
          <w:rtl/>
        </w:rPr>
        <w:t xml:space="preserve">بين عامي 2008 و2014، </w:t>
      </w:r>
      <w:r w:rsidRPr="006C0DD4">
        <w:rPr>
          <w:sz w:val="30"/>
          <w:rtl/>
        </w:rPr>
        <w:t>وهو ما يعادل جريمة قتل كل يومين</w:t>
      </w:r>
      <w:r w:rsidR="00411C20" w:rsidRPr="006C0DD4">
        <w:rPr>
          <w:rStyle w:val="FootnoteReference"/>
          <w:sz w:val="30"/>
          <w:rtl/>
        </w:rPr>
        <w:t>(</w:t>
      </w:r>
      <w:r w:rsidR="00411C20" w:rsidRPr="006C0DD4">
        <w:rPr>
          <w:rStyle w:val="FootnoteReference"/>
          <w:sz w:val="30"/>
          <w:rtl/>
        </w:rPr>
        <w:footnoteReference w:id="40"/>
      </w:r>
      <w:r w:rsidR="00411C20" w:rsidRPr="006C0DD4">
        <w:rPr>
          <w:rStyle w:val="FootnoteReference"/>
          <w:sz w:val="30"/>
          <w:rtl/>
        </w:rPr>
        <w:t>)</w:t>
      </w:r>
      <w:r w:rsidR="00411C20" w:rsidRPr="006C0DD4">
        <w:rPr>
          <w:rFonts w:hint="cs"/>
          <w:sz w:val="30"/>
          <w:rtl/>
        </w:rPr>
        <w:t>.</w:t>
      </w:r>
      <w:r w:rsidRPr="006C0DD4">
        <w:rPr>
          <w:sz w:val="30"/>
          <w:rtl/>
        </w:rPr>
        <w:t xml:space="preserve"> و</w:t>
      </w:r>
      <w:r w:rsidRPr="006C0DD4">
        <w:rPr>
          <w:rtl/>
        </w:rPr>
        <w:t xml:space="preserve">أَبلغ التحالف الوطني لبرنامج مكافحة العنف في الولايات المتحدة عن وقوع 18جريمة قتل إثر ارتكاب أعمال عنف بدافع الكراهية و001 </w:t>
      </w:r>
      <w:r w:rsidR="00FE0F06" w:rsidRPr="006C0DD4">
        <w:rPr>
          <w:rtl/>
        </w:rPr>
        <w:t>2</w:t>
      </w:r>
      <w:r w:rsidR="00FE0F06">
        <w:rPr>
          <w:rFonts w:hint="cs"/>
          <w:rtl/>
        </w:rPr>
        <w:t xml:space="preserve"> </w:t>
      </w:r>
      <w:r w:rsidRPr="006C0DD4">
        <w:rPr>
          <w:rtl/>
        </w:rPr>
        <w:t xml:space="preserve">حادث عنف ضد </w:t>
      </w:r>
      <w:proofErr w:type="spellStart"/>
      <w:r w:rsidRPr="006C0DD4">
        <w:rPr>
          <w:rFonts w:hint="cs"/>
          <w:rtl/>
        </w:rPr>
        <w:t>ال</w:t>
      </w:r>
      <w:r w:rsidRPr="006C0DD4">
        <w:rPr>
          <w:rtl/>
        </w:rPr>
        <w:t>مثليات</w:t>
      </w:r>
      <w:proofErr w:type="spellEnd"/>
      <w:r w:rsidRPr="006C0DD4">
        <w:rPr>
          <w:rtl/>
        </w:rPr>
        <w:t xml:space="preserve"> و</w:t>
      </w:r>
      <w:r w:rsidRPr="006C0DD4">
        <w:rPr>
          <w:rFonts w:hint="cs"/>
          <w:rtl/>
        </w:rPr>
        <w:t>ال</w:t>
      </w:r>
      <w:r w:rsidRPr="006C0DD4">
        <w:rPr>
          <w:rtl/>
        </w:rPr>
        <w:t xml:space="preserve">مثليين ومزدوجي الميل الجنسي ومغايري </w:t>
      </w:r>
      <w:r w:rsidRPr="006C0DD4">
        <w:rPr>
          <w:rFonts w:hint="cs"/>
          <w:rtl/>
        </w:rPr>
        <w:t>ا</w:t>
      </w:r>
      <w:r w:rsidRPr="006C0DD4">
        <w:rPr>
          <w:rtl/>
        </w:rPr>
        <w:t>لهوية الجنسانية في عام 2013 في الولايات المتحدة</w:t>
      </w:r>
      <w:r w:rsidR="00411C20" w:rsidRPr="006C0DD4">
        <w:rPr>
          <w:rStyle w:val="FootnoteReference"/>
          <w:rtl/>
        </w:rPr>
        <w:t>(</w:t>
      </w:r>
      <w:r w:rsidR="00411C20" w:rsidRPr="006C0DD4">
        <w:rPr>
          <w:rStyle w:val="FootnoteReference"/>
          <w:rtl/>
        </w:rPr>
        <w:footnoteReference w:id="41"/>
      </w:r>
      <w:r w:rsidR="00411C20" w:rsidRPr="006C0DD4">
        <w:rPr>
          <w:rStyle w:val="FootnoteReference"/>
          <w:rtl/>
        </w:rPr>
        <w:t>)</w:t>
      </w:r>
      <w:r w:rsidR="00411C20" w:rsidRPr="006C0DD4">
        <w:rPr>
          <w:rFonts w:hint="cs"/>
          <w:rtl/>
        </w:rPr>
        <w:t>.</w:t>
      </w:r>
      <w:r w:rsidRPr="006C0DD4">
        <w:rPr>
          <w:rtl/>
        </w:rPr>
        <w:t xml:space="preserve"> </w:t>
      </w:r>
    </w:p>
    <w:p w:rsidR="00D125E2" w:rsidRPr="00430087" w:rsidRDefault="00D125E2" w:rsidP="00411C20">
      <w:pPr>
        <w:pStyle w:val="SingleTxtGA"/>
        <w:rPr>
          <w:spacing w:val="-4"/>
          <w:rtl/>
        </w:rPr>
      </w:pPr>
      <w:r w:rsidRPr="00430087">
        <w:rPr>
          <w:spacing w:val="-4"/>
          <w:rtl/>
        </w:rPr>
        <w:t>29-</w:t>
      </w:r>
      <w:r w:rsidRPr="00430087">
        <w:rPr>
          <w:spacing w:val="-4"/>
          <w:rtl/>
        </w:rPr>
        <w:tab/>
        <w:t>وقد تستهدف الجماعات الإرهابية المثليات والمثليين ومزدوجي الميل الجنسي ومغايري الهوية الجنسانية بالعقاب، بما في ذلك القتل</w:t>
      </w:r>
      <w:r w:rsidR="00411C20" w:rsidRPr="00430087">
        <w:rPr>
          <w:rStyle w:val="FootnoteReference"/>
          <w:spacing w:val="-4"/>
          <w:sz w:val="30"/>
          <w:rtl/>
        </w:rPr>
        <w:t>(</w:t>
      </w:r>
      <w:r w:rsidR="00411C20" w:rsidRPr="00430087">
        <w:rPr>
          <w:rStyle w:val="FootnoteReference"/>
          <w:spacing w:val="-4"/>
          <w:sz w:val="30"/>
          <w:rtl/>
        </w:rPr>
        <w:footnoteReference w:id="42"/>
      </w:r>
      <w:r w:rsidR="00411C20" w:rsidRPr="00430087">
        <w:rPr>
          <w:rStyle w:val="FootnoteReference"/>
          <w:spacing w:val="-4"/>
          <w:sz w:val="30"/>
          <w:rtl/>
        </w:rPr>
        <w:t>)</w:t>
      </w:r>
      <w:r w:rsidR="00411C20" w:rsidRPr="00430087">
        <w:rPr>
          <w:rFonts w:hint="cs"/>
          <w:spacing w:val="-4"/>
          <w:rtl/>
        </w:rPr>
        <w:t>.</w:t>
      </w:r>
      <w:r w:rsidRPr="00430087">
        <w:rPr>
          <w:spacing w:val="-4"/>
          <w:rtl/>
        </w:rPr>
        <w:t xml:space="preserve"> ففي شباط/فبراير 2015، ظهرت صور تُبدي عدة رجال، ادُّعى أنهم متهمون بإتيان أفعال جنسية مثلية، وهم يُدفعون من أعلى برج ليَلقوا حتفهم على أيدي متمرّدين ينتمون إلى ما </w:t>
      </w:r>
      <w:r w:rsidRPr="00430087">
        <w:rPr>
          <w:rFonts w:hint="cs"/>
          <w:spacing w:val="-4"/>
          <w:rtl/>
        </w:rPr>
        <w:t>يسمى</w:t>
      </w:r>
      <w:r w:rsidRPr="00430087">
        <w:rPr>
          <w:spacing w:val="-4"/>
          <w:rtl/>
        </w:rPr>
        <w:t xml:space="preserve"> الدولة الإسلامية في العراق والشام</w:t>
      </w:r>
      <w:r w:rsidRPr="00430087">
        <w:rPr>
          <w:rFonts w:hint="cs"/>
          <w:spacing w:val="-4"/>
          <w:rtl/>
        </w:rPr>
        <w:t xml:space="preserve"> (داعش)</w:t>
      </w:r>
      <w:r w:rsidRPr="00430087">
        <w:rPr>
          <w:spacing w:val="-4"/>
          <w:rtl/>
        </w:rPr>
        <w:t>"</w:t>
      </w:r>
      <w:r w:rsidR="00411C20" w:rsidRPr="00430087">
        <w:rPr>
          <w:rStyle w:val="FootnoteReference"/>
          <w:spacing w:val="-4"/>
          <w:rtl/>
        </w:rPr>
        <w:t>(</w:t>
      </w:r>
      <w:r w:rsidR="00411C20" w:rsidRPr="00430087">
        <w:rPr>
          <w:rStyle w:val="FootnoteReference"/>
          <w:spacing w:val="-4"/>
          <w:rtl/>
        </w:rPr>
        <w:footnoteReference w:id="43"/>
      </w:r>
      <w:r w:rsidR="00411C20" w:rsidRPr="00430087">
        <w:rPr>
          <w:rStyle w:val="FootnoteReference"/>
          <w:spacing w:val="-4"/>
          <w:rtl/>
        </w:rPr>
        <w:t>)</w:t>
      </w:r>
      <w:r w:rsidR="00411C20" w:rsidRPr="00430087">
        <w:rPr>
          <w:rFonts w:hint="cs"/>
          <w:spacing w:val="-4"/>
          <w:rtl/>
        </w:rPr>
        <w:t>.</w:t>
      </w:r>
      <w:r w:rsidR="00411C20" w:rsidRPr="00430087">
        <w:rPr>
          <w:spacing w:val="-4"/>
          <w:rtl/>
        </w:rPr>
        <w:t xml:space="preserve"> </w:t>
      </w:r>
    </w:p>
    <w:p w:rsidR="00D125E2" w:rsidRPr="006C0DD4" w:rsidRDefault="00D125E2" w:rsidP="00411C20">
      <w:pPr>
        <w:pStyle w:val="SingleTxtGA"/>
        <w:rPr>
          <w:rtl/>
        </w:rPr>
      </w:pPr>
      <w:r w:rsidRPr="006C0DD4">
        <w:rPr>
          <w:rtl/>
        </w:rPr>
        <w:t>30-</w:t>
      </w:r>
      <w:r w:rsidRPr="006C0DD4">
        <w:rPr>
          <w:rtl/>
        </w:rPr>
        <w:tab/>
        <w:t>و</w:t>
      </w:r>
      <w:r w:rsidRPr="006C0DD4">
        <w:rPr>
          <w:rFonts w:hint="cs"/>
          <w:rtl/>
        </w:rPr>
        <w:t xml:space="preserve">يندرج كل من </w:t>
      </w:r>
      <w:r w:rsidRPr="006C0DD4">
        <w:rPr>
          <w:rtl/>
        </w:rPr>
        <w:t>المثليات والمثليون ومزدوجو الميل الجنسي ومغايرو الهوية الجنسانية</w:t>
      </w:r>
      <w:r w:rsidRPr="006C0DD4">
        <w:rPr>
          <w:rFonts w:hint="cs"/>
          <w:rtl/>
        </w:rPr>
        <w:t xml:space="preserve"> </w:t>
      </w:r>
      <w:r w:rsidRPr="006C0DD4">
        <w:rPr>
          <w:rtl/>
        </w:rPr>
        <w:t xml:space="preserve">أيضاً </w:t>
      </w:r>
      <w:r w:rsidRPr="006C0DD4">
        <w:rPr>
          <w:rFonts w:hint="cs"/>
          <w:rtl/>
        </w:rPr>
        <w:t xml:space="preserve">ضمن </w:t>
      </w:r>
      <w:r w:rsidRPr="006C0DD4">
        <w:rPr>
          <w:rtl/>
        </w:rPr>
        <w:t xml:space="preserve">ضحايا </w:t>
      </w:r>
      <w:r w:rsidRPr="006C0DD4">
        <w:rPr>
          <w:rFonts w:hint="cs"/>
          <w:rtl/>
        </w:rPr>
        <w:t xml:space="preserve">ما يسمى </w:t>
      </w:r>
      <w:r w:rsidRPr="006C0DD4">
        <w:rPr>
          <w:rtl/>
        </w:rPr>
        <w:t>جرائم "الشرف"</w:t>
      </w:r>
      <w:r w:rsidRPr="006C0DD4">
        <w:rPr>
          <w:rFonts w:hint="cs"/>
          <w:rtl/>
        </w:rPr>
        <w:t xml:space="preserve"> التي ت</w:t>
      </w:r>
      <w:r w:rsidRPr="006C0DD4">
        <w:rPr>
          <w:rtl/>
        </w:rPr>
        <w:t xml:space="preserve">رتكب </w:t>
      </w:r>
      <w:r w:rsidRPr="006C0DD4">
        <w:rPr>
          <w:rFonts w:hint="cs"/>
          <w:rtl/>
        </w:rPr>
        <w:t xml:space="preserve">ضد أولئك الذين يرى </w:t>
      </w:r>
      <w:r w:rsidRPr="006C0DD4">
        <w:rPr>
          <w:rtl/>
        </w:rPr>
        <w:t xml:space="preserve">أفراد الأسرة أو المجتمع </w:t>
      </w:r>
      <w:r w:rsidRPr="006C0DD4">
        <w:rPr>
          <w:rFonts w:hint="cs"/>
          <w:rtl/>
        </w:rPr>
        <w:t xml:space="preserve">أنهم </w:t>
      </w:r>
      <w:r w:rsidRPr="006C0DD4">
        <w:rPr>
          <w:rtl/>
        </w:rPr>
        <w:t>جلبوا العار للأسرة، غالباً لمخالفتهم القواعد الجنسانية أو لسلوكهم الجنسي، بما في ذلك السلوك الجنسي المثلي، الفعلي أو المفترَض</w:t>
      </w:r>
      <w:r w:rsidR="00411C20" w:rsidRPr="006C0DD4">
        <w:rPr>
          <w:rStyle w:val="FootnoteReference"/>
          <w:sz w:val="30"/>
          <w:rtl/>
        </w:rPr>
        <w:t>(</w:t>
      </w:r>
      <w:r w:rsidR="00411C20" w:rsidRPr="006C0DD4">
        <w:rPr>
          <w:rStyle w:val="FootnoteReference"/>
          <w:sz w:val="30"/>
          <w:rtl/>
        </w:rPr>
        <w:footnoteReference w:id="44"/>
      </w:r>
      <w:r w:rsidR="00411C20" w:rsidRPr="006C0DD4">
        <w:rPr>
          <w:rStyle w:val="FootnoteReference"/>
          <w:sz w:val="30"/>
          <w:rtl/>
        </w:rPr>
        <w:t>)</w:t>
      </w:r>
      <w:r w:rsidR="00411C20" w:rsidRPr="006C0DD4">
        <w:rPr>
          <w:rStyle w:val="FootnoteReference"/>
          <w:rFonts w:hint="cs"/>
          <w:sz w:val="30"/>
          <w:vertAlign w:val="baseline"/>
          <w:rtl/>
        </w:rPr>
        <w:t>.</w:t>
      </w:r>
    </w:p>
    <w:p w:rsidR="00D125E2" w:rsidRPr="006C0DD4" w:rsidRDefault="00D125E2" w:rsidP="00D125E2">
      <w:pPr>
        <w:pStyle w:val="H1GA"/>
        <w:rPr>
          <w:sz w:val="30"/>
          <w:rtl/>
        </w:rPr>
      </w:pPr>
      <w:r w:rsidRPr="006C0DD4">
        <w:rPr>
          <w:rFonts w:hint="cs"/>
          <w:rtl/>
        </w:rPr>
        <w:tab/>
      </w:r>
      <w:bookmarkStart w:id="14" w:name="_Toc420919008"/>
      <w:r w:rsidRPr="006C0DD4">
        <w:rPr>
          <w:rtl/>
        </w:rPr>
        <w:t>جيم-</w:t>
      </w:r>
      <w:r w:rsidRPr="006C0DD4">
        <w:rPr>
          <w:rtl/>
        </w:rPr>
        <w:tab/>
        <w:t>أشكال العنف الأخرى، بما في ذلك العنف الجنسي</w:t>
      </w:r>
      <w:bookmarkEnd w:id="14"/>
    </w:p>
    <w:p w:rsidR="00D125E2" w:rsidRPr="006C0DD4" w:rsidRDefault="00D125E2" w:rsidP="00411C20">
      <w:pPr>
        <w:pStyle w:val="SingleTxtGA"/>
        <w:rPr>
          <w:rtl/>
        </w:rPr>
      </w:pPr>
      <w:r w:rsidRPr="006C0DD4">
        <w:rPr>
          <w:rtl/>
        </w:rPr>
        <w:t>31-</w:t>
      </w:r>
      <w:r w:rsidRPr="006C0DD4">
        <w:rPr>
          <w:rtl/>
        </w:rPr>
        <w:tab/>
        <w:t xml:space="preserve">لا يزال خبراء الأمم المتحدة يعربون عن جزعهم حيال أعمال العنف غير القاتل التي تستهدف الأفراد بسبب ميلهم الجنسي أو هويتهم الجنسانية. وتشمل الأمثلة عليها </w:t>
      </w:r>
      <w:r w:rsidRPr="006C0DD4">
        <w:rPr>
          <w:rFonts w:hint="cs"/>
          <w:rtl/>
        </w:rPr>
        <w:t xml:space="preserve">الحالات المتعلقة باختطاف وضرب وإيذاء </w:t>
      </w:r>
      <w:r w:rsidRPr="006C0DD4">
        <w:rPr>
          <w:rtl/>
        </w:rPr>
        <w:t>الرجال المثليين جنسياً ال</w:t>
      </w:r>
      <w:r w:rsidRPr="006C0DD4">
        <w:rPr>
          <w:rFonts w:hint="cs"/>
          <w:rtl/>
        </w:rPr>
        <w:t>تي ن</w:t>
      </w:r>
      <w:r w:rsidRPr="006C0DD4">
        <w:rPr>
          <w:rtl/>
        </w:rPr>
        <w:t xml:space="preserve">شرت وسائط التواصل الاجتماعي </w:t>
      </w:r>
      <w:r w:rsidRPr="006C0DD4">
        <w:rPr>
          <w:rFonts w:hint="cs"/>
          <w:rtl/>
        </w:rPr>
        <w:t>أفلاما ل</w:t>
      </w:r>
      <w:r w:rsidRPr="006C0DD4">
        <w:rPr>
          <w:rtl/>
        </w:rPr>
        <w:t>لاعتداء عليهم</w:t>
      </w:r>
      <w:r w:rsidR="00411C20" w:rsidRPr="006C0DD4">
        <w:rPr>
          <w:rStyle w:val="FootnoteReference"/>
          <w:sz w:val="30"/>
          <w:rtl/>
        </w:rPr>
        <w:t>(</w:t>
      </w:r>
      <w:r w:rsidR="00411C20" w:rsidRPr="006C0DD4">
        <w:rPr>
          <w:rStyle w:val="FootnoteReference"/>
          <w:sz w:val="30"/>
          <w:rtl/>
        </w:rPr>
        <w:footnoteReference w:id="45"/>
      </w:r>
      <w:r w:rsidR="00411C20" w:rsidRPr="006C0DD4">
        <w:rPr>
          <w:rStyle w:val="FootnoteReference"/>
          <w:sz w:val="30"/>
          <w:rtl/>
        </w:rPr>
        <w:t>)</w:t>
      </w:r>
      <w:r w:rsidR="00411C20" w:rsidRPr="006C0DD4">
        <w:rPr>
          <w:rFonts w:hint="cs"/>
          <w:rtl/>
        </w:rPr>
        <w:t>،</w:t>
      </w:r>
      <w:r w:rsidRPr="006C0DD4">
        <w:rPr>
          <w:rtl/>
        </w:rPr>
        <w:t xml:space="preserve"> والنساء المثليات اللائي اعتُدي عليهن واغتُصبن بسبب ميلهن الجنسي</w:t>
      </w:r>
      <w:r w:rsidR="00411C20" w:rsidRPr="006C0DD4">
        <w:rPr>
          <w:rStyle w:val="FootnoteReference"/>
          <w:sz w:val="30"/>
          <w:rtl/>
        </w:rPr>
        <w:t>(</w:t>
      </w:r>
      <w:r w:rsidR="00411C20" w:rsidRPr="006C0DD4">
        <w:rPr>
          <w:rStyle w:val="FootnoteReference"/>
          <w:sz w:val="30"/>
          <w:rtl/>
        </w:rPr>
        <w:footnoteReference w:id="46"/>
      </w:r>
      <w:r w:rsidR="00411C20" w:rsidRPr="006C0DD4">
        <w:rPr>
          <w:rStyle w:val="FootnoteReference"/>
          <w:sz w:val="30"/>
          <w:rtl/>
        </w:rPr>
        <w:t>)</w:t>
      </w:r>
      <w:r w:rsidR="00411C20" w:rsidRPr="006C0DD4">
        <w:rPr>
          <w:rFonts w:hint="cs"/>
          <w:rtl/>
        </w:rPr>
        <w:t>.</w:t>
      </w:r>
      <w:r w:rsidRPr="006C0DD4">
        <w:rPr>
          <w:rtl/>
        </w:rPr>
        <w:t xml:space="preserve"> وفي الجمهورية العربية السورية، وردت تقارير عن حالات اغتصاب وتعذيب لرجال افتُرض أنهم مثليون جنسياً من جانب أفراد قوات الأمن والجماعات المسلحة غير التابعة للدولة</w:t>
      </w:r>
      <w:r w:rsidR="00411C20" w:rsidRPr="006C0DD4">
        <w:rPr>
          <w:rStyle w:val="FootnoteReference"/>
          <w:sz w:val="30"/>
          <w:rtl/>
        </w:rPr>
        <w:t>(</w:t>
      </w:r>
      <w:r w:rsidR="00411C20" w:rsidRPr="006C0DD4">
        <w:rPr>
          <w:rStyle w:val="FootnoteReference"/>
          <w:sz w:val="30"/>
          <w:rtl/>
        </w:rPr>
        <w:footnoteReference w:id="47"/>
      </w:r>
      <w:r w:rsidR="00411C20" w:rsidRPr="006C0DD4">
        <w:rPr>
          <w:rStyle w:val="FootnoteReference"/>
          <w:sz w:val="30"/>
          <w:rtl/>
        </w:rPr>
        <w:t>)</w:t>
      </w:r>
      <w:r w:rsidR="00411C20" w:rsidRPr="006C0DD4">
        <w:rPr>
          <w:rFonts w:hint="cs"/>
          <w:rtl/>
        </w:rPr>
        <w:t>.</w:t>
      </w:r>
      <w:r w:rsidRPr="006C0DD4">
        <w:rPr>
          <w:rtl/>
        </w:rPr>
        <w:t xml:space="preserve"> وأُعرب أيضاً عن شواغل بشأن الخطر الذي يتعرض له المدافعون عن حقوق </w:t>
      </w:r>
      <w:r w:rsidRPr="006C0DD4">
        <w:rPr>
          <w:rtl/>
        </w:rPr>
        <w:lastRenderedPageBreak/>
        <w:t xml:space="preserve">الإنسان العاملون من أجل إعلاء حقوق المثليات والمثليين ومزدوجي الميل الجنسي ومغايري الهوية الجنسانية، الذين تعرّض بعضهم لأعمال </w:t>
      </w:r>
      <w:r w:rsidRPr="006C0DD4">
        <w:rPr>
          <w:rFonts w:hint="cs"/>
          <w:rtl/>
        </w:rPr>
        <w:t>ال</w:t>
      </w:r>
      <w:r w:rsidRPr="006C0DD4">
        <w:rPr>
          <w:rtl/>
        </w:rPr>
        <w:t>عنف و</w:t>
      </w:r>
      <w:r w:rsidRPr="006C0DD4">
        <w:rPr>
          <w:rFonts w:hint="cs"/>
          <w:rtl/>
        </w:rPr>
        <w:t>ال</w:t>
      </w:r>
      <w:r w:rsidRPr="006C0DD4">
        <w:rPr>
          <w:rtl/>
        </w:rPr>
        <w:t>تهديد و</w:t>
      </w:r>
      <w:r w:rsidRPr="006C0DD4">
        <w:rPr>
          <w:rFonts w:hint="cs"/>
          <w:rtl/>
        </w:rPr>
        <w:t>التشهير</w:t>
      </w:r>
      <w:r w:rsidR="00411C20" w:rsidRPr="006C0DD4">
        <w:rPr>
          <w:rStyle w:val="FootnoteReference"/>
          <w:sz w:val="30"/>
          <w:rtl/>
        </w:rPr>
        <w:t>(</w:t>
      </w:r>
      <w:r w:rsidR="00411C20" w:rsidRPr="006C0DD4">
        <w:rPr>
          <w:rStyle w:val="FootnoteReference"/>
          <w:sz w:val="30"/>
          <w:rtl/>
        </w:rPr>
        <w:footnoteReference w:id="48"/>
      </w:r>
      <w:r w:rsidR="00411C20" w:rsidRPr="006C0DD4">
        <w:rPr>
          <w:rStyle w:val="FootnoteReference"/>
          <w:sz w:val="30"/>
          <w:rtl/>
        </w:rPr>
        <w:t>)</w:t>
      </w:r>
      <w:r w:rsidR="00411C20" w:rsidRPr="006C0DD4">
        <w:rPr>
          <w:rStyle w:val="FootnoteReference"/>
          <w:rFonts w:hint="cs"/>
          <w:sz w:val="30"/>
          <w:vertAlign w:val="baseline"/>
          <w:rtl/>
        </w:rPr>
        <w:t>.</w:t>
      </w:r>
    </w:p>
    <w:p w:rsidR="00D125E2" w:rsidRPr="006C0DD4" w:rsidRDefault="00D125E2" w:rsidP="00411C20">
      <w:pPr>
        <w:pStyle w:val="SingleTxtGA"/>
        <w:rPr>
          <w:rtl/>
        </w:rPr>
      </w:pPr>
      <w:r w:rsidRPr="006C0DD4">
        <w:rPr>
          <w:rFonts w:hint="cs"/>
          <w:rtl/>
        </w:rPr>
        <w:t>32</w:t>
      </w:r>
      <w:r w:rsidRPr="006C0DD4">
        <w:rPr>
          <w:rtl/>
        </w:rPr>
        <w:t>-</w:t>
      </w:r>
      <w:r w:rsidRPr="006C0DD4">
        <w:rPr>
          <w:rtl/>
        </w:rPr>
        <w:tab/>
        <w:t>وفي الولايات المتحدة، ت</w:t>
      </w:r>
      <w:r w:rsidRPr="006C0DD4">
        <w:rPr>
          <w:rFonts w:hint="cs"/>
          <w:rtl/>
        </w:rPr>
        <w:t xml:space="preserve">بيّن </w:t>
      </w:r>
      <w:r w:rsidRPr="006C0DD4">
        <w:rPr>
          <w:rtl/>
        </w:rPr>
        <w:t xml:space="preserve">الأرقام الأخيرة </w:t>
      </w:r>
      <w:r w:rsidRPr="006C0DD4">
        <w:rPr>
          <w:rFonts w:hint="cs"/>
          <w:rtl/>
        </w:rPr>
        <w:t>ال</w:t>
      </w:r>
      <w:r w:rsidRPr="006C0DD4">
        <w:rPr>
          <w:rtl/>
        </w:rPr>
        <w:t xml:space="preserve">حكومية المصدر أن الحوادث المدفوعة بالتحيّز على أساس الميل الجنسي والهوية الجنسانية تحتل المرتبة الثانية مباشرةً من حيث العدد بعد حوادث التحيّز العنصري المدفوعة بالكراهية </w:t>
      </w:r>
      <w:r w:rsidRPr="006C0DD4">
        <w:rPr>
          <w:rFonts w:hint="cs"/>
          <w:rtl/>
        </w:rPr>
        <w:t>من طرف واحد</w:t>
      </w:r>
      <w:r w:rsidR="00411C20" w:rsidRPr="006C0DD4">
        <w:rPr>
          <w:rStyle w:val="FootnoteReference"/>
          <w:sz w:val="30"/>
          <w:rtl/>
        </w:rPr>
        <w:t>(</w:t>
      </w:r>
      <w:r w:rsidR="00411C20" w:rsidRPr="006C0DD4">
        <w:rPr>
          <w:rStyle w:val="FootnoteReference"/>
          <w:sz w:val="30"/>
          <w:rtl/>
        </w:rPr>
        <w:footnoteReference w:id="49"/>
      </w:r>
      <w:r w:rsidR="00411C20" w:rsidRPr="006C0DD4">
        <w:rPr>
          <w:rStyle w:val="FootnoteReference"/>
          <w:sz w:val="30"/>
          <w:rtl/>
        </w:rPr>
        <w:t>)</w:t>
      </w:r>
      <w:r w:rsidR="00411C20" w:rsidRPr="006C0DD4">
        <w:rPr>
          <w:rFonts w:hint="cs"/>
          <w:rtl/>
        </w:rPr>
        <w:t>.</w:t>
      </w:r>
      <w:r w:rsidRPr="006C0DD4">
        <w:rPr>
          <w:rtl/>
        </w:rPr>
        <w:t xml:space="preserve"> وكشفت دراسة استقصائية أوروبية النطاق أًجريت في عام 2013 على 000 93 شخص من المثليات والمثليين ومزدوجي الميل الجنسي ومغايري الهوية الجنسانية، لحساب وكالة الاتحاد الأوروبي للحقوق الأساسية، عن أن ربع المُجيبين على الاستقصاء قد </w:t>
      </w:r>
      <w:r w:rsidRPr="006C0DD4">
        <w:rPr>
          <w:rFonts w:hint="cs"/>
          <w:rtl/>
        </w:rPr>
        <w:t xml:space="preserve">تعرضوا للضرب والتهديد </w:t>
      </w:r>
      <w:r w:rsidRPr="006C0DD4">
        <w:rPr>
          <w:rtl/>
        </w:rPr>
        <w:t xml:space="preserve">باستخدام العنف </w:t>
      </w:r>
      <w:r w:rsidRPr="006C0DD4">
        <w:rPr>
          <w:rFonts w:hint="cs"/>
          <w:rtl/>
        </w:rPr>
        <w:t xml:space="preserve">ضدهم </w:t>
      </w:r>
      <w:r w:rsidRPr="006C0DD4">
        <w:rPr>
          <w:rtl/>
        </w:rPr>
        <w:t>في الأعوام الخمسة الأخيرة</w:t>
      </w:r>
      <w:r w:rsidR="00411C20" w:rsidRPr="006C0DD4">
        <w:rPr>
          <w:rStyle w:val="FootnoteReference"/>
          <w:sz w:val="30"/>
          <w:rtl/>
        </w:rPr>
        <w:t>(</w:t>
      </w:r>
      <w:r w:rsidR="00411C20" w:rsidRPr="006C0DD4">
        <w:rPr>
          <w:rStyle w:val="FootnoteReference"/>
          <w:sz w:val="30"/>
          <w:rtl/>
        </w:rPr>
        <w:footnoteReference w:id="50"/>
      </w:r>
      <w:r w:rsidR="00411C20" w:rsidRPr="006C0DD4">
        <w:rPr>
          <w:rStyle w:val="FootnoteReference"/>
          <w:sz w:val="30"/>
          <w:rtl/>
        </w:rPr>
        <w:t>)</w:t>
      </w:r>
      <w:r w:rsidR="00411C20" w:rsidRPr="006C0DD4">
        <w:rPr>
          <w:rFonts w:hint="cs"/>
          <w:rtl/>
        </w:rPr>
        <w:t>.</w:t>
      </w:r>
      <w:r w:rsidRPr="006C0DD4">
        <w:rPr>
          <w:rtl/>
        </w:rPr>
        <w:t xml:space="preserve"> وكشفت دراسة استقصائية أجرتها في عام 2012 المنظمة غير الحكومية "ستونوول" </w:t>
      </w:r>
      <w:r w:rsidRPr="006C0DD4">
        <w:rPr>
          <w:sz w:val="22"/>
          <w:szCs w:val="22"/>
        </w:rPr>
        <w:t>(Stonewall)</w:t>
      </w:r>
      <w:r w:rsidRPr="006C0DD4">
        <w:rPr>
          <w:rtl/>
        </w:rPr>
        <w:t xml:space="preserve"> في المملكة المتحدة عن أن واحد من كل مُجيب عن الأسئلة من المثليات والمثليين ومزدوجي الميل الجنسي ومغايري الهوية الجنسانية قد وقع ضحية جريمة مدفوعة بالكراهية أو تعرض لحادث في الأعوام الثلاثة الماضية، ولم يبلّغ 75 في المائة منهم الشرطة بهذه الحوادث</w:t>
      </w:r>
      <w:r w:rsidR="00411C20" w:rsidRPr="006C0DD4">
        <w:rPr>
          <w:rStyle w:val="FootnoteReference"/>
          <w:sz w:val="30"/>
          <w:rtl/>
        </w:rPr>
        <w:t>(</w:t>
      </w:r>
      <w:r w:rsidR="00411C20" w:rsidRPr="006C0DD4">
        <w:rPr>
          <w:rStyle w:val="FootnoteReference"/>
          <w:sz w:val="30"/>
          <w:rtl/>
        </w:rPr>
        <w:footnoteReference w:id="51"/>
      </w:r>
      <w:r w:rsidR="00411C20" w:rsidRPr="006C0DD4">
        <w:rPr>
          <w:rStyle w:val="FootnoteReference"/>
          <w:sz w:val="30"/>
          <w:rtl/>
        </w:rPr>
        <w:t>)</w:t>
      </w:r>
      <w:r w:rsidR="00411C20" w:rsidRPr="006C0DD4">
        <w:rPr>
          <w:rStyle w:val="FootnoteReference"/>
          <w:rFonts w:hint="cs"/>
          <w:sz w:val="30"/>
          <w:vertAlign w:val="baseline"/>
          <w:rtl/>
        </w:rPr>
        <w:t>.</w:t>
      </w:r>
    </w:p>
    <w:p w:rsidR="00D125E2" w:rsidRPr="006C0DD4" w:rsidRDefault="00D125E2" w:rsidP="00411C20">
      <w:pPr>
        <w:pStyle w:val="SingleTxtGA"/>
        <w:rPr>
          <w:rtl/>
        </w:rPr>
      </w:pPr>
      <w:r w:rsidRPr="006C0DD4">
        <w:rPr>
          <w:rtl/>
        </w:rPr>
        <w:t>33-</w:t>
      </w:r>
      <w:r w:rsidRPr="006C0DD4">
        <w:rPr>
          <w:rtl/>
        </w:rPr>
        <w:tab/>
        <w:t>ولا تزال هيئات المعاهدات وآلية الإجراءات الخاص</w:t>
      </w:r>
      <w:r w:rsidR="00FE0F06">
        <w:rPr>
          <w:rtl/>
        </w:rPr>
        <w:t>ة تعرب عن قلقها إزاء الخطاب الم</w:t>
      </w:r>
      <w:r w:rsidRPr="006C0DD4">
        <w:rPr>
          <w:rtl/>
        </w:rPr>
        <w:t>ستخدم للتحريض على كراهية المثلية الجنسية وكراهية مغايري الهوية الجنسانية وعلى التعصّب المتصل به</w:t>
      </w:r>
      <w:r w:rsidR="00411C20" w:rsidRPr="006C0DD4">
        <w:rPr>
          <w:rStyle w:val="FootnoteReference"/>
          <w:sz w:val="30"/>
          <w:rtl/>
        </w:rPr>
        <w:t>(</w:t>
      </w:r>
      <w:r w:rsidR="00411C20" w:rsidRPr="006C0DD4">
        <w:rPr>
          <w:rStyle w:val="FootnoteReference"/>
          <w:sz w:val="30"/>
          <w:rtl/>
        </w:rPr>
        <w:footnoteReference w:id="52"/>
      </w:r>
      <w:r w:rsidR="00411C20" w:rsidRPr="006C0DD4">
        <w:rPr>
          <w:rStyle w:val="FootnoteReference"/>
          <w:sz w:val="30"/>
          <w:rtl/>
        </w:rPr>
        <w:t>)</w:t>
      </w:r>
      <w:r w:rsidR="00411C20" w:rsidRPr="006C0DD4">
        <w:rPr>
          <w:rFonts w:hint="cs"/>
          <w:rtl/>
        </w:rPr>
        <w:t>.</w:t>
      </w:r>
      <w:r w:rsidRPr="006C0DD4">
        <w:rPr>
          <w:rtl/>
        </w:rPr>
        <w:t xml:space="preserve"> ويستخدم بعض الزعماء السياسيون والقادة المجتمعيون هذه اللغة لترويج القوالب النمطية السلبية وإثارة التحيّز ومضايقة أفراد بعينهم، وبخاصة خلال فترات الانتخابات. وقد أعربت المفوضة السامية</w:t>
      </w:r>
      <w:r w:rsidR="00E5487B">
        <w:rPr>
          <w:rtl/>
        </w:rPr>
        <w:t xml:space="preserve"> عن قلقها إزاء خطاب التحريض الم</w:t>
      </w:r>
      <w:r w:rsidRPr="006C0DD4">
        <w:rPr>
          <w:rtl/>
        </w:rPr>
        <w:t>ستخدم في كل من بيلاروس وغامبيا وهندوراس</w:t>
      </w:r>
      <w:r w:rsidR="00411C20" w:rsidRPr="006C0DD4">
        <w:rPr>
          <w:rStyle w:val="FootnoteReference"/>
          <w:sz w:val="30"/>
          <w:rtl/>
        </w:rPr>
        <w:t>(</w:t>
      </w:r>
      <w:r w:rsidR="00411C20" w:rsidRPr="006C0DD4">
        <w:rPr>
          <w:rStyle w:val="FootnoteReference"/>
          <w:sz w:val="30"/>
          <w:rtl/>
        </w:rPr>
        <w:footnoteReference w:id="53"/>
      </w:r>
      <w:r w:rsidR="00411C20" w:rsidRPr="006C0DD4">
        <w:rPr>
          <w:rStyle w:val="FootnoteReference"/>
          <w:sz w:val="30"/>
          <w:rtl/>
        </w:rPr>
        <w:t>)</w:t>
      </w:r>
      <w:r w:rsidR="00411C20" w:rsidRPr="006C0DD4">
        <w:rPr>
          <w:rFonts w:hint="cs"/>
          <w:rtl/>
        </w:rPr>
        <w:t>.</w:t>
      </w:r>
      <w:r w:rsidRPr="006C0DD4">
        <w:rPr>
          <w:rtl/>
        </w:rPr>
        <w:t xml:space="preserve"> وقد انتقدت لجنة حقوق الطفل بياناتٍ أدلى بها الكرسي الرسولي بوصفها تُسهم في وصم المراهقين والأطفال المثليات والمثليين ومزدوجي الميل الجنسي ومغايري الهوية الجنسانية الناشئين على أيدي شركاء من نفس نوع الجنس وفي ممارسة العنف ضدهم</w:t>
      </w:r>
      <w:r w:rsidR="00411C20" w:rsidRPr="006C0DD4">
        <w:rPr>
          <w:rStyle w:val="FootnoteReference"/>
          <w:sz w:val="30"/>
          <w:rtl/>
        </w:rPr>
        <w:t>(</w:t>
      </w:r>
      <w:r w:rsidR="00411C20" w:rsidRPr="006C0DD4">
        <w:rPr>
          <w:rStyle w:val="FootnoteReference"/>
          <w:sz w:val="30"/>
          <w:rtl/>
        </w:rPr>
        <w:footnoteReference w:id="54"/>
      </w:r>
      <w:r w:rsidR="00411C20" w:rsidRPr="006C0DD4">
        <w:rPr>
          <w:rStyle w:val="FootnoteReference"/>
          <w:sz w:val="30"/>
          <w:rtl/>
        </w:rPr>
        <w:t>)</w:t>
      </w:r>
      <w:r w:rsidR="00411C20" w:rsidRPr="006C0DD4">
        <w:rPr>
          <w:rFonts w:hint="cs"/>
          <w:rtl/>
        </w:rPr>
        <w:t>،</w:t>
      </w:r>
      <w:r w:rsidRPr="006C0DD4">
        <w:rPr>
          <w:rtl/>
        </w:rPr>
        <w:t xml:space="preserve"> وأعربت اللجنة </w:t>
      </w:r>
      <w:r w:rsidRPr="006C0DD4">
        <w:rPr>
          <w:rtl/>
        </w:rPr>
        <w:lastRenderedPageBreak/>
        <w:t>عن قلقها بشأن أثر خطاب الكراهية السلبي على المثليات والمثليين ومزدوجي الميل الجنسي ومغايري الهوية الجنسانية وحاملي صفات الجنسين من البالغين والأطفال في سويسرا</w:t>
      </w:r>
      <w:r w:rsidR="00411C20" w:rsidRPr="006C0DD4">
        <w:rPr>
          <w:rStyle w:val="FootnoteReference"/>
          <w:sz w:val="30"/>
          <w:rtl/>
        </w:rPr>
        <w:t>(</w:t>
      </w:r>
      <w:r w:rsidR="00411C20" w:rsidRPr="006C0DD4">
        <w:rPr>
          <w:rStyle w:val="FootnoteReference"/>
          <w:sz w:val="30"/>
          <w:rtl/>
        </w:rPr>
        <w:footnoteReference w:id="55"/>
      </w:r>
      <w:r w:rsidR="00411C20" w:rsidRPr="006C0DD4">
        <w:rPr>
          <w:rStyle w:val="FootnoteReference"/>
          <w:sz w:val="30"/>
          <w:rtl/>
        </w:rPr>
        <w:t>)</w:t>
      </w:r>
      <w:r w:rsidR="00411C20" w:rsidRPr="006C0DD4">
        <w:rPr>
          <w:rFonts w:hint="cs"/>
          <w:rtl/>
        </w:rPr>
        <w:t>.</w:t>
      </w:r>
      <w:r w:rsidRPr="006C0DD4">
        <w:rPr>
          <w:rtl/>
        </w:rPr>
        <w:t xml:space="preserve"> </w:t>
      </w:r>
    </w:p>
    <w:p w:rsidR="00D125E2" w:rsidRPr="006C0DD4" w:rsidRDefault="00D125E2" w:rsidP="00D125E2">
      <w:pPr>
        <w:pStyle w:val="H1GA"/>
        <w:rPr>
          <w:sz w:val="30"/>
          <w:rtl/>
        </w:rPr>
      </w:pPr>
      <w:r w:rsidRPr="006C0DD4">
        <w:rPr>
          <w:rFonts w:hint="cs"/>
          <w:rtl/>
        </w:rPr>
        <w:tab/>
      </w:r>
      <w:bookmarkStart w:id="15" w:name="_Toc420919009"/>
      <w:r w:rsidRPr="006C0DD4">
        <w:rPr>
          <w:rtl/>
        </w:rPr>
        <w:t>دال-</w:t>
      </w:r>
      <w:r w:rsidRPr="006C0DD4">
        <w:rPr>
          <w:rtl/>
        </w:rPr>
        <w:tab/>
        <w:t>التعذيب وسوء المعاملة</w:t>
      </w:r>
      <w:bookmarkEnd w:id="15"/>
    </w:p>
    <w:p w:rsidR="00D125E2" w:rsidRPr="006C0DD4" w:rsidRDefault="00D125E2" w:rsidP="00411C20">
      <w:pPr>
        <w:pStyle w:val="SingleTxtGA"/>
        <w:rPr>
          <w:rtl/>
        </w:rPr>
      </w:pPr>
      <w:r w:rsidRPr="006C0DD4">
        <w:rPr>
          <w:rtl/>
        </w:rPr>
        <w:t>34-</w:t>
      </w:r>
      <w:r w:rsidRPr="006C0DD4">
        <w:rPr>
          <w:rtl/>
        </w:rPr>
        <w:tab/>
      </w:r>
      <w:r w:rsidRPr="006C0DD4">
        <w:rPr>
          <w:rFonts w:hint="cs"/>
          <w:rtl/>
        </w:rPr>
        <w:t xml:space="preserve">تواصل </w:t>
      </w:r>
      <w:r w:rsidRPr="006C0DD4">
        <w:rPr>
          <w:rtl/>
        </w:rPr>
        <w:t xml:space="preserve">لجنة مناهضة التعذيب والمقرِّر الخاص المعني بمسألة التعذيب وغيره من ضروب المعاملة أو العقوبة القاسية أو اللاإنسانية أو المهينة </w:t>
      </w:r>
      <w:r w:rsidRPr="006C0DD4">
        <w:rPr>
          <w:rFonts w:hint="cs"/>
          <w:rtl/>
        </w:rPr>
        <w:t xml:space="preserve">الإعراب عن قلقهما إزاء </w:t>
      </w:r>
      <w:r w:rsidRPr="006C0DD4">
        <w:rPr>
          <w:rtl/>
        </w:rPr>
        <w:t>تعذيب المثليات والمثليين ومزدوجي الميل الجنسي ومغايري الهوية الجنسانية رهن الاحتجاز وإساءة معاملتهم من جانب موظفين تابعين للدولة أو بموافقتهم</w:t>
      </w:r>
      <w:r w:rsidR="00411C20" w:rsidRPr="006C0DD4">
        <w:rPr>
          <w:rStyle w:val="FootnoteReference"/>
          <w:sz w:val="30"/>
          <w:rtl/>
        </w:rPr>
        <w:t>(</w:t>
      </w:r>
      <w:r w:rsidR="00411C20" w:rsidRPr="006C0DD4">
        <w:rPr>
          <w:rStyle w:val="FootnoteReference"/>
          <w:sz w:val="30"/>
          <w:rtl/>
        </w:rPr>
        <w:footnoteReference w:id="56"/>
      </w:r>
      <w:r w:rsidR="00411C20" w:rsidRPr="006C0DD4">
        <w:rPr>
          <w:rStyle w:val="FootnoteReference"/>
          <w:sz w:val="30"/>
          <w:rtl/>
        </w:rPr>
        <w:t>)</w:t>
      </w:r>
      <w:r w:rsidR="00411C20" w:rsidRPr="006C0DD4">
        <w:rPr>
          <w:rFonts w:hint="cs"/>
          <w:rtl/>
        </w:rPr>
        <w:t>.</w:t>
      </w:r>
      <w:r w:rsidR="00411C20" w:rsidRPr="006C0DD4">
        <w:rPr>
          <w:rtl/>
        </w:rPr>
        <w:t xml:space="preserve"> </w:t>
      </w:r>
    </w:p>
    <w:p w:rsidR="00D125E2" w:rsidRPr="006C0DD4" w:rsidRDefault="00D125E2" w:rsidP="00411C20">
      <w:pPr>
        <w:pStyle w:val="SingleTxtGA"/>
        <w:rPr>
          <w:rtl/>
        </w:rPr>
      </w:pPr>
      <w:r w:rsidRPr="006C0DD4">
        <w:rPr>
          <w:rtl/>
        </w:rPr>
        <w:t>35-</w:t>
      </w:r>
      <w:r w:rsidRPr="006C0DD4">
        <w:rPr>
          <w:rtl/>
        </w:rPr>
        <w:tab/>
        <w:t>وتشمل الحالات المبلَّغ عنها قيام الشرطة في زمبابوي بتوقيف 44 عضواً في منظمة معنية</w:t>
      </w:r>
      <w:r w:rsidRPr="006C0DD4">
        <w:rPr>
          <w:rFonts w:hint="cs"/>
          <w:rtl/>
        </w:rPr>
        <w:t xml:space="preserve"> ب</w:t>
      </w:r>
      <w:r w:rsidRPr="006C0DD4">
        <w:rPr>
          <w:rtl/>
        </w:rPr>
        <w:t>المثليات والمثليين ومزدوجي الميل الجنسي ومغايري الهوية الجنسانية وضربهم وإساءة معاملتهم</w:t>
      </w:r>
      <w:r w:rsidR="00411C20" w:rsidRPr="006C0DD4">
        <w:rPr>
          <w:rStyle w:val="FootnoteReference"/>
          <w:sz w:val="30"/>
          <w:rtl/>
        </w:rPr>
        <w:t>(</w:t>
      </w:r>
      <w:r w:rsidR="00411C20" w:rsidRPr="006C0DD4">
        <w:rPr>
          <w:rStyle w:val="FootnoteReference"/>
          <w:sz w:val="30"/>
          <w:rtl/>
        </w:rPr>
        <w:footnoteReference w:id="57"/>
      </w:r>
      <w:r w:rsidR="00411C20" w:rsidRPr="006C0DD4">
        <w:rPr>
          <w:rStyle w:val="FootnoteReference"/>
          <w:sz w:val="30"/>
          <w:rtl/>
        </w:rPr>
        <w:t>)</w:t>
      </w:r>
      <w:r w:rsidR="00411C20" w:rsidRPr="006C0DD4">
        <w:rPr>
          <w:rFonts w:hint="cs"/>
          <w:rtl/>
        </w:rPr>
        <w:t>.</w:t>
      </w:r>
      <w:r w:rsidRPr="006C0DD4">
        <w:rPr>
          <w:rtl/>
        </w:rPr>
        <w:t xml:space="preserve"> و</w:t>
      </w:r>
      <w:r w:rsidRPr="006C0DD4">
        <w:rPr>
          <w:rFonts w:hint="cs"/>
          <w:rtl/>
        </w:rPr>
        <w:t>ي</w:t>
      </w:r>
      <w:r w:rsidRPr="006C0DD4">
        <w:rPr>
          <w:rtl/>
        </w:rPr>
        <w:t xml:space="preserve">دّعي أن 16 فرداً </w:t>
      </w:r>
      <w:r w:rsidRPr="006C0DD4">
        <w:rPr>
          <w:rFonts w:hint="cs"/>
          <w:rtl/>
        </w:rPr>
        <w:t>من المثليين ومغايري ا</w:t>
      </w:r>
      <w:r w:rsidRPr="006C0DD4">
        <w:rPr>
          <w:rtl/>
        </w:rPr>
        <w:t xml:space="preserve">لهوية الجنسانية في الولايات المتحدة وُضعوا </w:t>
      </w:r>
      <w:r w:rsidRPr="006C0DD4">
        <w:rPr>
          <w:rFonts w:hint="cs"/>
          <w:rtl/>
        </w:rPr>
        <w:t>ب</w:t>
      </w:r>
      <w:r w:rsidRPr="006C0DD4">
        <w:rPr>
          <w:rtl/>
        </w:rPr>
        <w:t xml:space="preserve">الحبس الانفرادي وتعرضوا للتعذيب وسوء المعاملة، بما في ذلك </w:t>
      </w:r>
      <w:r w:rsidRPr="006C0DD4">
        <w:rPr>
          <w:rFonts w:hint="cs"/>
          <w:rtl/>
        </w:rPr>
        <w:t>ل</w:t>
      </w:r>
      <w:r w:rsidRPr="006C0DD4">
        <w:rPr>
          <w:rtl/>
        </w:rPr>
        <w:t>لاعتداء عليهم جنسياً، أثناء احتجازهم في مرافق احتجاز المهاجرين</w:t>
      </w:r>
      <w:r w:rsidR="00411C20" w:rsidRPr="006C0DD4">
        <w:rPr>
          <w:rStyle w:val="FootnoteReference"/>
          <w:sz w:val="30"/>
          <w:rtl/>
        </w:rPr>
        <w:t>(</w:t>
      </w:r>
      <w:r w:rsidR="00411C20" w:rsidRPr="006C0DD4">
        <w:rPr>
          <w:rStyle w:val="FootnoteReference"/>
          <w:sz w:val="30"/>
          <w:rtl/>
        </w:rPr>
        <w:footnoteReference w:id="58"/>
      </w:r>
      <w:r w:rsidR="00411C20" w:rsidRPr="006C0DD4">
        <w:rPr>
          <w:rStyle w:val="FootnoteReference"/>
          <w:sz w:val="30"/>
          <w:rtl/>
        </w:rPr>
        <w:t>)</w:t>
      </w:r>
      <w:r w:rsidR="00411C20" w:rsidRPr="006C0DD4">
        <w:rPr>
          <w:rFonts w:hint="cs"/>
          <w:rtl/>
        </w:rPr>
        <w:t>.</w:t>
      </w:r>
      <w:r w:rsidRPr="006C0DD4">
        <w:rPr>
          <w:rtl/>
        </w:rPr>
        <w:t xml:space="preserve"> و</w:t>
      </w:r>
      <w:r w:rsidRPr="006C0DD4">
        <w:rPr>
          <w:rFonts w:hint="cs"/>
          <w:rtl/>
        </w:rPr>
        <w:t xml:space="preserve">يدعى </w:t>
      </w:r>
      <w:r w:rsidRPr="006C0DD4">
        <w:rPr>
          <w:rtl/>
        </w:rPr>
        <w:t>أن</w:t>
      </w:r>
      <w:r w:rsidRPr="006C0DD4">
        <w:rPr>
          <w:rFonts w:hint="cs"/>
          <w:rtl/>
        </w:rPr>
        <w:t xml:space="preserve">ه تم القبض على </w:t>
      </w:r>
      <w:r w:rsidRPr="006C0DD4">
        <w:rPr>
          <w:rtl/>
        </w:rPr>
        <w:t xml:space="preserve">امرأة في بنغلاديش لكونها مثلية جنسياً، ثم </w:t>
      </w:r>
      <w:r w:rsidRPr="006C0DD4">
        <w:rPr>
          <w:rtl/>
          <w:lang w:bidi="ar-EG"/>
        </w:rPr>
        <w:t xml:space="preserve">ضُربت واغتُصبت من جانب </w:t>
      </w:r>
      <w:r w:rsidRPr="006C0DD4">
        <w:rPr>
          <w:rtl/>
        </w:rPr>
        <w:t>أفراد من الشرطة أثناء حبسها</w:t>
      </w:r>
      <w:r w:rsidR="00411C20" w:rsidRPr="006C0DD4">
        <w:rPr>
          <w:rStyle w:val="FootnoteReference"/>
          <w:sz w:val="30"/>
          <w:rtl/>
        </w:rPr>
        <w:t>(</w:t>
      </w:r>
      <w:r w:rsidR="00411C20" w:rsidRPr="006C0DD4">
        <w:rPr>
          <w:rStyle w:val="FootnoteReference"/>
          <w:sz w:val="30"/>
          <w:rtl/>
        </w:rPr>
        <w:footnoteReference w:id="59"/>
      </w:r>
      <w:r w:rsidR="00411C20" w:rsidRPr="006C0DD4">
        <w:rPr>
          <w:rStyle w:val="FootnoteReference"/>
          <w:sz w:val="30"/>
          <w:rtl/>
        </w:rPr>
        <w:t>)</w:t>
      </w:r>
      <w:r w:rsidR="00411C20" w:rsidRPr="006C0DD4">
        <w:rPr>
          <w:rFonts w:hint="cs"/>
          <w:rtl/>
        </w:rPr>
        <w:t>.</w:t>
      </w:r>
      <w:r w:rsidRPr="006C0DD4">
        <w:rPr>
          <w:rtl/>
        </w:rPr>
        <w:t xml:space="preserve"> و</w:t>
      </w:r>
      <w:r w:rsidRPr="006C0DD4">
        <w:rPr>
          <w:rFonts w:hint="cs"/>
          <w:rtl/>
        </w:rPr>
        <w:t xml:space="preserve">في مصر، يدعى أنه تم القبض على </w:t>
      </w:r>
      <w:r w:rsidRPr="006C0DD4">
        <w:rPr>
          <w:rtl/>
        </w:rPr>
        <w:t>أربعة أشخاص على أساس ميلهم الجنسي و/أو هويتهم الجنسانية</w:t>
      </w:r>
      <w:r w:rsidRPr="006C0DD4">
        <w:rPr>
          <w:rFonts w:hint="cs"/>
          <w:rtl/>
        </w:rPr>
        <w:t xml:space="preserve"> وأنهم </w:t>
      </w:r>
      <w:r w:rsidRPr="006C0DD4">
        <w:rPr>
          <w:rtl/>
        </w:rPr>
        <w:t>تعرضوا أثناء احتجازهم لاعتداءاتٍ جنسية من جانب نزلاء آخرين</w:t>
      </w:r>
      <w:r w:rsidR="00411C20" w:rsidRPr="006C0DD4">
        <w:rPr>
          <w:rStyle w:val="FootnoteReference"/>
          <w:sz w:val="30"/>
          <w:rtl/>
        </w:rPr>
        <w:t>(</w:t>
      </w:r>
      <w:r w:rsidR="00411C20" w:rsidRPr="006C0DD4">
        <w:rPr>
          <w:rStyle w:val="FootnoteReference"/>
          <w:sz w:val="30"/>
          <w:rtl/>
        </w:rPr>
        <w:footnoteReference w:id="60"/>
      </w:r>
      <w:r w:rsidR="00411C20" w:rsidRPr="006C0DD4">
        <w:rPr>
          <w:rStyle w:val="FootnoteReference"/>
          <w:sz w:val="30"/>
          <w:rtl/>
        </w:rPr>
        <w:t>)</w:t>
      </w:r>
      <w:r w:rsidR="00411C20" w:rsidRPr="006C0DD4">
        <w:rPr>
          <w:rStyle w:val="FootnoteReference"/>
          <w:rFonts w:hint="cs"/>
          <w:sz w:val="30"/>
          <w:vertAlign w:val="baseline"/>
          <w:rtl/>
        </w:rPr>
        <w:t>.</w:t>
      </w:r>
    </w:p>
    <w:p w:rsidR="00D125E2" w:rsidRPr="006C0DD4" w:rsidRDefault="00D125E2" w:rsidP="00411C20">
      <w:pPr>
        <w:pStyle w:val="SingleTxtGA"/>
        <w:rPr>
          <w:rtl/>
        </w:rPr>
      </w:pPr>
      <w:r w:rsidRPr="006C0DD4">
        <w:rPr>
          <w:rtl/>
        </w:rPr>
        <w:t>36-</w:t>
      </w:r>
      <w:r w:rsidRPr="006C0DD4">
        <w:rPr>
          <w:rtl/>
        </w:rPr>
        <w:tab/>
      </w:r>
      <w:r w:rsidRPr="006C0DD4">
        <w:rPr>
          <w:rFonts w:hint="cs"/>
          <w:rtl/>
        </w:rPr>
        <w:t>و</w:t>
      </w:r>
      <w:r w:rsidRPr="006C0DD4">
        <w:rPr>
          <w:rtl/>
        </w:rPr>
        <w:t xml:space="preserve">ألقت المقرِّرة الخاصة المعنية بمسألة العنف ضد المرأة وأسبابه وعواقبه الضوء على حالات مشابهة، وأشارت إلى أن الأشخاص </w:t>
      </w:r>
      <w:r w:rsidRPr="006C0DD4">
        <w:rPr>
          <w:rFonts w:hint="cs"/>
          <w:rtl/>
        </w:rPr>
        <w:t>ال</w:t>
      </w:r>
      <w:r w:rsidRPr="006C0DD4">
        <w:rPr>
          <w:rtl/>
        </w:rPr>
        <w:t>مثلي</w:t>
      </w:r>
      <w:r w:rsidRPr="006C0DD4">
        <w:rPr>
          <w:rFonts w:hint="cs"/>
          <w:rtl/>
        </w:rPr>
        <w:t>ين</w:t>
      </w:r>
      <w:r w:rsidRPr="006C0DD4">
        <w:rPr>
          <w:rtl/>
        </w:rPr>
        <w:t>، أو الذين لا يندرج</w:t>
      </w:r>
      <w:r w:rsidR="00411C20" w:rsidRPr="006C0DD4">
        <w:rPr>
          <w:rtl/>
        </w:rPr>
        <w:t xml:space="preserve"> </w:t>
      </w:r>
      <w:r w:rsidRPr="006C0DD4">
        <w:rPr>
          <w:rtl/>
        </w:rPr>
        <w:t xml:space="preserve">أسلوب تعبيرهم الجنساني تحت فئتي </w:t>
      </w:r>
      <w:r w:rsidRPr="006C0DD4">
        <w:rPr>
          <w:rFonts w:hint="cs"/>
          <w:rtl/>
        </w:rPr>
        <w:t>ال</w:t>
      </w:r>
      <w:r w:rsidRPr="006C0DD4">
        <w:rPr>
          <w:rtl/>
        </w:rPr>
        <w:t>ذكر و</w:t>
      </w:r>
      <w:r w:rsidRPr="006C0DD4">
        <w:rPr>
          <w:rFonts w:hint="cs"/>
          <w:rtl/>
        </w:rPr>
        <w:t>الأ</w:t>
      </w:r>
      <w:r w:rsidRPr="006C0DD4">
        <w:rPr>
          <w:rtl/>
        </w:rPr>
        <w:t xml:space="preserve">نثى تحديداً، يتعرضون </w:t>
      </w:r>
      <w:r w:rsidRPr="006C0DD4">
        <w:rPr>
          <w:rFonts w:hint="cs"/>
          <w:rtl/>
        </w:rPr>
        <w:t>ل</w:t>
      </w:r>
      <w:r w:rsidRPr="006C0DD4">
        <w:rPr>
          <w:rtl/>
        </w:rPr>
        <w:t xml:space="preserve">لاعتداء على أيدي موظفي السجون والسجناء الآخرين على حد سواء. وأعربت عن قلها بشأن </w:t>
      </w:r>
      <w:r w:rsidRPr="006C0DD4">
        <w:rPr>
          <w:rFonts w:hint="cs"/>
          <w:rtl/>
        </w:rPr>
        <w:t xml:space="preserve">احتجاز </w:t>
      </w:r>
      <w:r w:rsidRPr="006C0DD4">
        <w:rPr>
          <w:rtl/>
        </w:rPr>
        <w:t xml:space="preserve">المثليات مع الرجال </w:t>
      </w:r>
      <w:r w:rsidRPr="006C0DD4">
        <w:rPr>
          <w:rFonts w:hint="cs"/>
          <w:rtl/>
        </w:rPr>
        <w:t xml:space="preserve">في زنزانة واحدة </w:t>
      </w:r>
      <w:r w:rsidRPr="006C0DD4">
        <w:rPr>
          <w:rtl/>
        </w:rPr>
        <w:t xml:space="preserve">إن رفضنَ الاستجابة </w:t>
      </w:r>
      <w:r w:rsidRPr="006C0DD4">
        <w:rPr>
          <w:rFonts w:hint="cs"/>
          <w:rtl/>
        </w:rPr>
        <w:t>لمراودات</w:t>
      </w:r>
      <w:r w:rsidRPr="006C0DD4">
        <w:rPr>
          <w:rtl/>
        </w:rPr>
        <w:t xml:space="preserve"> موظفي السجون الجنسية. كما أشارت إلى أن السجينات اللائي يعتبرهن حراسهن "مُسترجِلات" من حيث المظهر يتعرضن للمضايقة والاعتداء الجسدي و"التأنيث القسري". ويتعرض السجناء مغايرو الهوية الجنسانية لظروفٍ أشد قسوة. ففي إحدى الحالات، في غواتيمالا، ادُّعي أن امرأة مغايرة لهويتها الجنسانية قد اغتُصبت أكثر من 80 مرة أثناء احتجازها</w:t>
      </w:r>
      <w:r w:rsidR="00411C20" w:rsidRPr="006C0DD4">
        <w:rPr>
          <w:rStyle w:val="FootnoteReference"/>
          <w:sz w:val="30"/>
          <w:rtl/>
        </w:rPr>
        <w:t>(</w:t>
      </w:r>
      <w:r w:rsidR="00411C20" w:rsidRPr="006C0DD4">
        <w:rPr>
          <w:rStyle w:val="FootnoteReference"/>
          <w:sz w:val="30"/>
          <w:rtl/>
        </w:rPr>
        <w:footnoteReference w:id="61"/>
      </w:r>
      <w:r w:rsidR="00411C20" w:rsidRPr="006C0DD4">
        <w:rPr>
          <w:rStyle w:val="FootnoteReference"/>
          <w:sz w:val="30"/>
          <w:rtl/>
        </w:rPr>
        <w:t>)</w:t>
      </w:r>
      <w:r w:rsidR="00411C20" w:rsidRPr="006C0DD4">
        <w:rPr>
          <w:rFonts w:hint="cs"/>
          <w:rtl/>
        </w:rPr>
        <w:t>.</w:t>
      </w:r>
      <w:r w:rsidR="00411C20" w:rsidRPr="006C0DD4">
        <w:rPr>
          <w:rtl/>
        </w:rPr>
        <w:t xml:space="preserve"> </w:t>
      </w:r>
    </w:p>
    <w:p w:rsidR="00D125E2" w:rsidRPr="006C0DD4" w:rsidRDefault="00D125E2" w:rsidP="00411C20">
      <w:pPr>
        <w:pStyle w:val="SingleTxtGA"/>
        <w:rPr>
          <w:rtl/>
        </w:rPr>
      </w:pPr>
      <w:r w:rsidRPr="006C0DD4">
        <w:rPr>
          <w:rtl/>
        </w:rPr>
        <w:lastRenderedPageBreak/>
        <w:t>37-</w:t>
      </w:r>
      <w:r w:rsidRPr="006C0DD4">
        <w:rPr>
          <w:rtl/>
        </w:rPr>
        <w:tab/>
        <w:t>ولا تزال بعض الدول تُخضع الرجال المشتبه في أن سلوكهم الجنسي مثليّ لفحوصٍ شرجية من أجل "إثبات" مثليتهم الجنسية. وقد</w:t>
      </w:r>
      <w:r w:rsidRPr="006C0DD4">
        <w:rPr>
          <w:rFonts w:hint="cs"/>
          <w:rtl/>
        </w:rPr>
        <w:t xml:space="preserve"> وصفت</w:t>
      </w:r>
      <w:r w:rsidRPr="006C0DD4">
        <w:rPr>
          <w:rtl/>
        </w:rPr>
        <w:t xml:space="preserve"> هذه الفحوص </w:t>
      </w:r>
      <w:r w:rsidRPr="006C0DD4">
        <w:rPr>
          <w:rFonts w:hint="cs"/>
          <w:rtl/>
        </w:rPr>
        <w:t xml:space="preserve">بأنها </w:t>
      </w:r>
      <w:r w:rsidRPr="006C0DD4">
        <w:rPr>
          <w:rtl/>
        </w:rPr>
        <w:t xml:space="preserve">"عديمة الجدوى طبياً" وأدانها كل من </w:t>
      </w:r>
      <w:r w:rsidRPr="006C0DD4">
        <w:rPr>
          <w:cs/>
        </w:rPr>
        <w:t>‎</w:t>
      </w:r>
      <w:r w:rsidRPr="006C0DD4">
        <w:rPr>
          <w:rtl/>
        </w:rPr>
        <w:t>لجنة مناهضة التعذيب‏‏ والمقرِّر الخاص المعني بالتعذيب والفريق العامل المعني بالاحتجاز التعسفي؛ إذ رأَوا جميعاً أن هذه الممارسة تخالف حظر التعذيب وسوء المعاملة</w:t>
      </w:r>
      <w:r w:rsidR="00411C20" w:rsidRPr="006C0DD4">
        <w:rPr>
          <w:rStyle w:val="FootnoteReference"/>
          <w:sz w:val="30"/>
          <w:rtl/>
        </w:rPr>
        <w:t>(</w:t>
      </w:r>
      <w:r w:rsidR="00411C20" w:rsidRPr="006C0DD4">
        <w:rPr>
          <w:rStyle w:val="FootnoteReference"/>
          <w:sz w:val="30"/>
          <w:rtl/>
        </w:rPr>
        <w:footnoteReference w:id="62"/>
      </w:r>
      <w:r w:rsidR="00411C20" w:rsidRPr="006C0DD4">
        <w:rPr>
          <w:rStyle w:val="FootnoteReference"/>
          <w:sz w:val="30"/>
          <w:rtl/>
        </w:rPr>
        <w:t>)</w:t>
      </w:r>
      <w:r w:rsidR="00411C20" w:rsidRPr="006C0DD4">
        <w:rPr>
          <w:rStyle w:val="FootnoteReference"/>
          <w:rFonts w:hint="cs"/>
          <w:sz w:val="30"/>
          <w:vertAlign w:val="baseline"/>
          <w:rtl/>
        </w:rPr>
        <w:t>.</w:t>
      </w:r>
    </w:p>
    <w:p w:rsidR="00D125E2" w:rsidRPr="006C0DD4" w:rsidRDefault="00D125E2" w:rsidP="00D125E2">
      <w:pPr>
        <w:pStyle w:val="SingleTxtGA"/>
        <w:rPr>
          <w:rtl/>
        </w:rPr>
      </w:pPr>
      <w:r w:rsidRPr="006C0DD4">
        <w:rPr>
          <w:rtl/>
        </w:rPr>
        <w:t>38-</w:t>
      </w:r>
      <w:r w:rsidRPr="006C0DD4">
        <w:rPr>
          <w:rtl/>
        </w:rPr>
        <w:tab/>
        <w:t>ومن الإجراءات الطبية الأخرى التي قد تشكل خرقاً لحظر التعذيب وسوء المعاملة متى طُبقت قسراً أو على أي نحو آخر غير طوعي العلاج "التصحيحي للمثلية"، والتعقيم، وإعادة تحديد الهوية الجنسانية، وإخضاع الأطفال حاملي صفات الجنسين لتدخلاتٍ طبية غير ضرورية (انظر الفقرة 14 أعلاه والفقرات 52 و53 و70 أدناه).</w:t>
      </w:r>
      <w:r w:rsidR="00411C20" w:rsidRPr="006C0DD4">
        <w:rPr>
          <w:rtl/>
        </w:rPr>
        <w:t xml:space="preserve"> </w:t>
      </w:r>
    </w:p>
    <w:p w:rsidR="00D125E2" w:rsidRPr="006C0DD4" w:rsidRDefault="00D125E2" w:rsidP="00D125E2">
      <w:pPr>
        <w:pStyle w:val="H1GA"/>
        <w:rPr>
          <w:sz w:val="30"/>
          <w:rtl/>
        </w:rPr>
      </w:pPr>
      <w:r w:rsidRPr="006C0DD4">
        <w:rPr>
          <w:rFonts w:hint="cs"/>
          <w:rtl/>
        </w:rPr>
        <w:tab/>
      </w:r>
      <w:bookmarkStart w:id="16" w:name="_Toc420919010"/>
      <w:r w:rsidRPr="006C0DD4">
        <w:rPr>
          <w:rtl/>
        </w:rPr>
        <w:t>هاء-</w:t>
      </w:r>
      <w:r w:rsidRPr="006C0DD4">
        <w:rPr>
          <w:rtl/>
        </w:rPr>
        <w:tab/>
        <w:t>التطورات الإيجابية منذ عام 2011</w:t>
      </w:r>
      <w:bookmarkEnd w:id="16"/>
    </w:p>
    <w:p w:rsidR="00D125E2" w:rsidRPr="006C0DD4" w:rsidRDefault="00D125E2" w:rsidP="00D125E2">
      <w:pPr>
        <w:pStyle w:val="SingleTxtGA"/>
        <w:rPr>
          <w:rtl/>
        </w:rPr>
      </w:pPr>
      <w:r w:rsidRPr="006C0DD4">
        <w:rPr>
          <w:rtl/>
        </w:rPr>
        <w:t>39-</w:t>
      </w:r>
      <w:r w:rsidRPr="006C0DD4">
        <w:rPr>
          <w:rtl/>
        </w:rPr>
        <w:tab/>
        <w:t>اعتمدت الدول طائفة من التدابير بغية التصدي لظاهرة العنف المدفوع بكراهية المثلية الجنسية وكراهية مغ</w:t>
      </w:r>
      <w:r w:rsidRPr="006C0DD4">
        <w:rPr>
          <w:rFonts w:hint="cs"/>
          <w:rtl/>
        </w:rPr>
        <w:t>اي</w:t>
      </w:r>
      <w:r w:rsidRPr="006C0DD4">
        <w:rPr>
          <w:rtl/>
        </w:rPr>
        <w:t xml:space="preserve">ري الهوية الجنسانية، </w:t>
      </w:r>
      <w:r w:rsidRPr="006C0DD4">
        <w:rPr>
          <w:rFonts w:hint="cs"/>
          <w:rtl/>
        </w:rPr>
        <w:t>و</w:t>
      </w:r>
      <w:r w:rsidRPr="006C0DD4">
        <w:rPr>
          <w:rtl/>
        </w:rPr>
        <w:t>أُلقي الضوء على بعضها في الردود الواردة على المذكرة الشفوية التي طلبت تقديم معلومات بغرض إعداد هذا التقرير. فقد سُنّت في عدة بلدان قوانين جديدة لمكافحة الجريمة المدفوعة بالكراهية أو عُززت قوانين مكافحتها القائمة، ومن بين هذه البلدان ألبانيا والبرتغال والجبل الأسود وجورجيا وشيلي وصربيا وفنلندا ومالط</w:t>
      </w:r>
      <w:r w:rsidRPr="006C0DD4">
        <w:rPr>
          <w:rFonts w:hint="cs"/>
          <w:rtl/>
        </w:rPr>
        <w:t>ة</w:t>
      </w:r>
      <w:r w:rsidRPr="006C0DD4">
        <w:rPr>
          <w:rtl/>
        </w:rPr>
        <w:t xml:space="preserve"> وهندوراس واليونان. ويمكن لهذه القوانين أن تضطلع بدورٍ مهم في تيسير مقاضاة مرتكبي أعمال العنف بدافع الكراهية ومعاقبتهم، وفي </w:t>
      </w:r>
      <w:r w:rsidRPr="006C0DD4">
        <w:rPr>
          <w:rFonts w:hint="cs"/>
          <w:rtl/>
        </w:rPr>
        <w:t xml:space="preserve">اعتبار </w:t>
      </w:r>
      <w:r w:rsidRPr="006C0DD4">
        <w:rPr>
          <w:rtl/>
        </w:rPr>
        <w:t xml:space="preserve">كراهية المثلية الجنسية وكراهية مغايري الهوية الجنسانية عاملين مُشدِّدين للعقوبة </w:t>
      </w:r>
      <w:r w:rsidRPr="006C0DD4">
        <w:rPr>
          <w:rFonts w:hint="cs"/>
          <w:rtl/>
        </w:rPr>
        <w:t>عند</w:t>
      </w:r>
      <w:r w:rsidRPr="006C0DD4">
        <w:rPr>
          <w:rtl/>
        </w:rPr>
        <w:t xml:space="preserve"> إصدار الأحكام.</w:t>
      </w:r>
    </w:p>
    <w:p w:rsidR="00D125E2" w:rsidRPr="00ED2F7F" w:rsidRDefault="00D125E2" w:rsidP="00D125E2">
      <w:pPr>
        <w:pStyle w:val="SingleTxtGA"/>
        <w:rPr>
          <w:spacing w:val="-3"/>
          <w:rtl/>
        </w:rPr>
      </w:pPr>
      <w:r w:rsidRPr="00ED2F7F">
        <w:rPr>
          <w:spacing w:val="-3"/>
          <w:rtl/>
        </w:rPr>
        <w:t>40-</w:t>
      </w:r>
      <w:r w:rsidRPr="00ED2F7F">
        <w:rPr>
          <w:spacing w:val="-3"/>
          <w:rtl/>
        </w:rPr>
        <w:tab/>
        <w:t xml:space="preserve">وتشمل المبادرات الأخرى البارزة في هذا السياق ما يلي: إنشاء وحدات متخصصة </w:t>
      </w:r>
      <w:r w:rsidRPr="00ED2F7F">
        <w:rPr>
          <w:rFonts w:hint="cs"/>
          <w:spacing w:val="-3"/>
          <w:rtl/>
        </w:rPr>
        <w:t>ل</w:t>
      </w:r>
      <w:r w:rsidRPr="00ED2F7F">
        <w:rPr>
          <w:spacing w:val="-3"/>
          <w:rtl/>
        </w:rPr>
        <w:t>لمقاضاة على الجرائم المدفوعة بالكراهية (إسبانيا، البرازيل، المكسيك، هندوراس)، وفريق عامل مشترك بين الهيئات معني بالحالات العاجلة (كولومبيا)، وتحسين مستوى تدريب أفراد الشرطة وتوعيتهم (الجبل الأسود، الدنمارك، فرنسا، الفلبين، كندا)، ووضع مبادئ توجيهية جديدة للعمل الشرُطي (إسبانيا، المملكة المتحدة)، فضلاً عن إنشاء خطوط هاتفية ساخنة على الصعيد الوطني للإبلاغ عن الحوادث الناجمة عن كراهية المثلية الجنسية (البرازيل، هولندا)، وإجراء دراسات استقصائية لتحسين جمع البيانات المتعلقة بالجرائم المدفوعة بالكراهية (بلجيكا (الإقليم الفلامندي)، كندا)، وإنشاء فريق عمل وطني معني بقضية العنف القائم على الهوية الجنسانية والميل الجنسي (جنوب أفريقيا)، ووضع سياسات وبروتوكولات ل</w:t>
      </w:r>
      <w:r w:rsidRPr="00ED2F7F">
        <w:rPr>
          <w:rFonts w:hint="cs"/>
          <w:spacing w:val="-3"/>
          <w:rtl/>
        </w:rPr>
        <w:t xml:space="preserve">لحفاظ على </w:t>
      </w:r>
      <w:r w:rsidRPr="00ED2F7F">
        <w:rPr>
          <w:spacing w:val="-3"/>
          <w:rtl/>
        </w:rPr>
        <w:t>كرامة الأشخاص مغايري الهوية الجنسانية وضمان سلامتهم (البرازيل، كندا)، وإعداد مواد تد</w:t>
      </w:r>
      <w:r w:rsidRPr="00ED2F7F">
        <w:rPr>
          <w:rFonts w:hint="cs"/>
          <w:spacing w:val="-3"/>
          <w:rtl/>
        </w:rPr>
        <w:t>ر</w:t>
      </w:r>
      <w:r w:rsidRPr="00ED2F7F">
        <w:rPr>
          <w:spacing w:val="-3"/>
          <w:rtl/>
        </w:rPr>
        <w:t>يبية بشأن حقوق السجناء المثليات والمثليين ومزدوجي الميل الجنسي وم</w:t>
      </w:r>
      <w:r w:rsidRPr="00ED2F7F">
        <w:rPr>
          <w:rFonts w:hint="cs"/>
          <w:spacing w:val="-3"/>
          <w:rtl/>
        </w:rPr>
        <w:t>غايري</w:t>
      </w:r>
      <w:r w:rsidRPr="00ED2F7F">
        <w:rPr>
          <w:spacing w:val="-3"/>
          <w:rtl/>
        </w:rPr>
        <w:t xml:space="preserve"> الهوية الجنسانية (إكوادور)، ومبادرة اللجنة الوطنية لحقوق الإنسان إلى إجراء تحقيقات في ادعاءات تعذيب المحتجزين المثليين والمثلي</w:t>
      </w:r>
      <w:r w:rsidRPr="00ED2F7F">
        <w:rPr>
          <w:rFonts w:hint="cs"/>
          <w:spacing w:val="-3"/>
          <w:rtl/>
        </w:rPr>
        <w:t>ات</w:t>
      </w:r>
      <w:r w:rsidRPr="00ED2F7F">
        <w:rPr>
          <w:spacing w:val="-3"/>
          <w:rtl/>
        </w:rPr>
        <w:t xml:space="preserve"> ومزدوجي الميل الجنسي و</w:t>
      </w:r>
      <w:r w:rsidRPr="00ED2F7F">
        <w:rPr>
          <w:rFonts w:hint="cs"/>
          <w:spacing w:val="-3"/>
          <w:rtl/>
        </w:rPr>
        <w:t>مغايري</w:t>
      </w:r>
      <w:r w:rsidRPr="00ED2F7F">
        <w:rPr>
          <w:spacing w:val="-3"/>
          <w:rtl/>
        </w:rPr>
        <w:t xml:space="preserve"> الهوية الجنسانية وحاملي صفات الجنسين وإساءة معاملتهم (نيبال).</w:t>
      </w:r>
    </w:p>
    <w:p w:rsidR="00D125E2" w:rsidRPr="006C0DD4" w:rsidRDefault="00D125E2" w:rsidP="00D125E2">
      <w:pPr>
        <w:pStyle w:val="HChGA"/>
        <w:rPr>
          <w:sz w:val="30"/>
          <w:rtl/>
        </w:rPr>
      </w:pPr>
      <w:r w:rsidRPr="006C0DD4">
        <w:rPr>
          <w:rFonts w:hint="cs"/>
          <w:rtl/>
        </w:rPr>
        <w:lastRenderedPageBreak/>
        <w:tab/>
      </w:r>
      <w:bookmarkStart w:id="17" w:name="_Toc420919011"/>
      <w:r w:rsidRPr="006C0DD4">
        <w:rPr>
          <w:rtl/>
        </w:rPr>
        <w:t>خامساً-</w:t>
      </w:r>
      <w:r w:rsidRPr="006C0DD4">
        <w:rPr>
          <w:rtl/>
        </w:rPr>
        <w:tab/>
        <w:t>التمييز</w:t>
      </w:r>
      <w:r w:rsidR="00411C20" w:rsidRPr="006C0DD4">
        <w:rPr>
          <w:rStyle w:val="FootnoteReference"/>
          <w:b/>
          <w:bCs w:val="0"/>
          <w:sz w:val="40"/>
          <w:szCs w:val="30"/>
          <w:rtl/>
        </w:rPr>
        <w:t>(</w:t>
      </w:r>
      <w:r w:rsidR="00411C20" w:rsidRPr="006C0DD4">
        <w:rPr>
          <w:rStyle w:val="FootnoteReference"/>
          <w:b/>
          <w:bCs w:val="0"/>
          <w:sz w:val="38"/>
          <w:rtl/>
        </w:rPr>
        <w:footnoteReference w:id="63"/>
      </w:r>
      <w:r w:rsidR="00411C20" w:rsidRPr="006C0DD4">
        <w:rPr>
          <w:rStyle w:val="FootnoteReference"/>
          <w:b/>
          <w:bCs w:val="0"/>
          <w:sz w:val="40"/>
          <w:szCs w:val="30"/>
          <w:rtl/>
        </w:rPr>
        <w:t>)</w:t>
      </w:r>
      <w:bookmarkEnd w:id="17"/>
    </w:p>
    <w:p w:rsidR="00D125E2" w:rsidRPr="007A36C5" w:rsidRDefault="00D125E2" w:rsidP="00411C20">
      <w:pPr>
        <w:pStyle w:val="SingleTxtGA"/>
        <w:rPr>
          <w:spacing w:val="-6"/>
          <w:rtl/>
        </w:rPr>
      </w:pPr>
      <w:r w:rsidRPr="007A36C5">
        <w:rPr>
          <w:spacing w:val="-6"/>
          <w:rtl/>
        </w:rPr>
        <w:t>41-</w:t>
      </w:r>
      <w:r w:rsidRPr="007A36C5">
        <w:rPr>
          <w:spacing w:val="-6"/>
          <w:rtl/>
        </w:rPr>
        <w:tab/>
        <w:t>حثّت اللجنة المعنية بحقوق الإنسان واللجنة المعنية بالحقوق الاقتصادية والاجتماعية والثقافية مراراً الدول على التصدي للتمييز المباشر وغير المباشر ضد جميع الأشخاص، بمن فيهم المثليات والمثليون ومزدوجو الميل الجنسي ومغ</w:t>
      </w:r>
      <w:r w:rsidRPr="007A36C5">
        <w:rPr>
          <w:rFonts w:hint="cs"/>
          <w:spacing w:val="-6"/>
          <w:rtl/>
        </w:rPr>
        <w:t>ايرو</w:t>
      </w:r>
      <w:r w:rsidRPr="007A36C5">
        <w:rPr>
          <w:spacing w:val="-6"/>
          <w:rtl/>
        </w:rPr>
        <w:t xml:space="preserve"> الهوية الجنسانية وحاملو صفات الجنسين</w:t>
      </w:r>
      <w:r w:rsidR="00411C20" w:rsidRPr="007A36C5">
        <w:rPr>
          <w:rStyle w:val="FootnoteReference"/>
          <w:spacing w:val="-6"/>
          <w:sz w:val="30"/>
          <w:rtl/>
        </w:rPr>
        <w:t>(</w:t>
      </w:r>
      <w:r w:rsidR="00411C20" w:rsidRPr="007A36C5">
        <w:rPr>
          <w:rStyle w:val="FootnoteReference"/>
          <w:spacing w:val="-6"/>
          <w:sz w:val="30"/>
          <w:rtl/>
        </w:rPr>
        <w:footnoteReference w:id="64"/>
      </w:r>
      <w:r w:rsidR="00411C20" w:rsidRPr="007A36C5">
        <w:rPr>
          <w:rStyle w:val="FootnoteReference"/>
          <w:spacing w:val="-6"/>
          <w:sz w:val="30"/>
          <w:rtl/>
        </w:rPr>
        <w:t>)</w:t>
      </w:r>
      <w:r w:rsidR="00411C20" w:rsidRPr="007A36C5">
        <w:rPr>
          <w:rFonts w:hint="cs"/>
          <w:spacing w:val="-6"/>
          <w:rtl/>
        </w:rPr>
        <w:t>.</w:t>
      </w:r>
      <w:r w:rsidRPr="007A36C5">
        <w:rPr>
          <w:spacing w:val="-6"/>
          <w:rtl/>
        </w:rPr>
        <w:t xml:space="preserve"> والدول مُلزمة بضمان ألا تميّز القوانين والسياسات والبرامج التي تنفذها سلطاتها ضد الأفراد. وهي مُلزمة أيضاً بالتصدي للممارسات التمييزية، بما فيها تلك التي تباشرها الجهات الفاعلة الخاصة، واتخاذ إجراءات لتلافي الأحوال والمواقف التي تسهم في ممارسة التمييز الموضوعي أو الفعلي وللحد منها والقضاء عليها. </w:t>
      </w:r>
    </w:p>
    <w:p w:rsidR="00D125E2" w:rsidRPr="006C0DD4" w:rsidRDefault="00D125E2" w:rsidP="00411C20">
      <w:pPr>
        <w:pStyle w:val="SingleTxtGA"/>
        <w:rPr>
          <w:sz w:val="34"/>
          <w:szCs w:val="34"/>
          <w:rtl/>
        </w:rPr>
      </w:pPr>
      <w:r w:rsidRPr="006C0DD4">
        <w:rPr>
          <w:rtl/>
        </w:rPr>
        <w:t>42-</w:t>
      </w:r>
      <w:r w:rsidRPr="006C0DD4">
        <w:rPr>
          <w:rtl/>
        </w:rPr>
        <w:tab/>
        <w:t>وعادةً ما يتفاقم التمييز ضد المثليات والمثليين ومزدوجي الميل الجنسي ومغ</w:t>
      </w:r>
      <w:r w:rsidRPr="006C0DD4">
        <w:rPr>
          <w:rFonts w:hint="cs"/>
          <w:rtl/>
        </w:rPr>
        <w:t>ايري</w:t>
      </w:r>
      <w:r w:rsidRPr="006C0DD4">
        <w:rPr>
          <w:rtl/>
        </w:rPr>
        <w:t xml:space="preserve"> الهوية الجنسانية بعوامل أخرى متصلة بالهوية، كنوع الجنس والأصل العرقي والسن والدين، وعوامل اجتماعية</w:t>
      </w:r>
      <w:r w:rsidR="001B1E94">
        <w:rPr>
          <w:rFonts w:hint="cs"/>
          <w:rtl/>
        </w:rPr>
        <w:t xml:space="preserve"> </w:t>
      </w:r>
      <w:r w:rsidRPr="006C0DD4">
        <w:rPr>
          <w:rtl/>
        </w:rPr>
        <w:t>-</w:t>
      </w:r>
      <w:r w:rsidR="001B1E94">
        <w:rPr>
          <w:rFonts w:hint="cs"/>
          <w:rtl/>
        </w:rPr>
        <w:t xml:space="preserve"> </w:t>
      </w:r>
      <w:r w:rsidRPr="006C0DD4">
        <w:rPr>
          <w:rtl/>
        </w:rPr>
        <w:t>اقتصادية، كالفقر والنزاعات المسلحة</w:t>
      </w:r>
      <w:r w:rsidR="00411C20" w:rsidRPr="006C0DD4">
        <w:rPr>
          <w:rStyle w:val="FootnoteReference"/>
          <w:sz w:val="30"/>
          <w:rtl/>
        </w:rPr>
        <w:t>(</w:t>
      </w:r>
      <w:r w:rsidR="00411C20" w:rsidRPr="006C0DD4">
        <w:rPr>
          <w:rStyle w:val="FootnoteReference"/>
          <w:sz w:val="30"/>
          <w:rtl/>
        </w:rPr>
        <w:footnoteReference w:id="65"/>
      </w:r>
      <w:r w:rsidR="00411C20" w:rsidRPr="006C0DD4">
        <w:rPr>
          <w:rStyle w:val="FootnoteReference"/>
          <w:sz w:val="30"/>
          <w:rtl/>
        </w:rPr>
        <w:t>)</w:t>
      </w:r>
      <w:r w:rsidR="00411C20" w:rsidRPr="006C0DD4">
        <w:rPr>
          <w:rFonts w:hint="cs"/>
          <w:rtl/>
        </w:rPr>
        <w:t>.</w:t>
      </w:r>
      <w:r w:rsidRPr="006C0DD4">
        <w:rPr>
          <w:rtl/>
        </w:rPr>
        <w:t xml:space="preserve"> وقد </w:t>
      </w:r>
      <w:r w:rsidRPr="006C0DD4">
        <w:rPr>
          <w:rFonts w:hint="cs"/>
          <w:rtl/>
        </w:rPr>
        <w:t xml:space="preserve">يشعر هؤلاء الأشخاص، نتيجة لحرمانهم </w:t>
      </w:r>
      <w:r w:rsidRPr="006C0DD4">
        <w:rPr>
          <w:rtl/>
        </w:rPr>
        <w:t xml:space="preserve">من التمتع </w:t>
      </w:r>
      <w:r w:rsidRPr="006C0DD4">
        <w:rPr>
          <w:rFonts w:hint="cs"/>
          <w:rtl/>
        </w:rPr>
        <w:t>بال</w:t>
      </w:r>
      <w:r w:rsidRPr="006C0DD4">
        <w:rPr>
          <w:rtl/>
        </w:rPr>
        <w:t xml:space="preserve">حقوق </w:t>
      </w:r>
      <w:r w:rsidRPr="006C0DD4">
        <w:rPr>
          <w:rFonts w:hint="cs"/>
          <w:rtl/>
        </w:rPr>
        <w:t>الأ</w:t>
      </w:r>
      <w:r w:rsidRPr="006C0DD4">
        <w:rPr>
          <w:rtl/>
        </w:rPr>
        <w:t>ساسية م</w:t>
      </w:r>
      <w:r w:rsidRPr="006C0DD4">
        <w:rPr>
          <w:rFonts w:hint="cs"/>
          <w:rtl/>
        </w:rPr>
        <w:t>ثل</w:t>
      </w:r>
      <w:r w:rsidRPr="006C0DD4">
        <w:rPr>
          <w:rtl/>
        </w:rPr>
        <w:t xml:space="preserve"> </w:t>
      </w:r>
      <w:r w:rsidRPr="006C0DD4">
        <w:rPr>
          <w:rFonts w:hint="cs"/>
          <w:rtl/>
        </w:rPr>
        <w:t xml:space="preserve">الحق في </w:t>
      </w:r>
      <w:r w:rsidRPr="006C0DD4">
        <w:rPr>
          <w:rtl/>
        </w:rPr>
        <w:t xml:space="preserve">العمل والصحة والتعليم والسكن، </w:t>
      </w:r>
      <w:r w:rsidRPr="006C0DD4">
        <w:rPr>
          <w:rFonts w:hint="cs"/>
          <w:rtl/>
        </w:rPr>
        <w:t>ب</w:t>
      </w:r>
      <w:r w:rsidRPr="006C0DD4">
        <w:rPr>
          <w:rtl/>
        </w:rPr>
        <w:t xml:space="preserve">آثار </w:t>
      </w:r>
      <w:r w:rsidRPr="006C0DD4">
        <w:rPr>
          <w:rFonts w:hint="cs"/>
          <w:rtl/>
        </w:rPr>
        <w:t>الأ</w:t>
      </w:r>
      <w:r w:rsidRPr="006C0DD4">
        <w:rPr>
          <w:rtl/>
        </w:rPr>
        <w:t xml:space="preserve">شكال </w:t>
      </w:r>
      <w:r w:rsidRPr="006C0DD4">
        <w:rPr>
          <w:rFonts w:hint="cs"/>
          <w:rtl/>
        </w:rPr>
        <w:t>المتعددة ل</w:t>
      </w:r>
      <w:r w:rsidRPr="006C0DD4">
        <w:rPr>
          <w:rtl/>
        </w:rPr>
        <w:t>لتمييز هذه على المستويين الفردي والمجتمعي</w:t>
      </w:r>
      <w:r w:rsidRPr="006C0DD4">
        <w:rPr>
          <w:rFonts w:hint="cs"/>
          <w:rtl/>
        </w:rPr>
        <w:t xml:space="preserve">، ويعانون من الفقر وعدم </w:t>
      </w:r>
      <w:r w:rsidRPr="006C0DD4">
        <w:rPr>
          <w:rtl/>
        </w:rPr>
        <w:t>الحصول على فرص اقتصادية</w:t>
      </w:r>
      <w:r w:rsidR="00411C20" w:rsidRPr="006C0DD4">
        <w:rPr>
          <w:rStyle w:val="FootnoteReference"/>
          <w:sz w:val="30"/>
          <w:rtl/>
        </w:rPr>
        <w:t>(</w:t>
      </w:r>
      <w:r w:rsidR="00411C20" w:rsidRPr="006C0DD4">
        <w:rPr>
          <w:rStyle w:val="FootnoteReference"/>
          <w:sz w:val="30"/>
          <w:rtl/>
        </w:rPr>
        <w:footnoteReference w:id="66"/>
      </w:r>
      <w:r w:rsidR="00411C20" w:rsidRPr="006C0DD4">
        <w:rPr>
          <w:rStyle w:val="FootnoteReference"/>
          <w:sz w:val="30"/>
          <w:rtl/>
        </w:rPr>
        <w:t>)</w:t>
      </w:r>
      <w:r w:rsidR="00411C20" w:rsidRPr="006C0DD4">
        <w:rPr>
          <w:rFonts w:hint="cs"/>
          <w:rtl/>
        </w:rPr>
        <w:t>.</w:t>
      </w:r>
      <w:r w:rsidRPr="006C0DD4">
        <w:rPr>
          <w:rtl/>
        </w:rPr>
        <w:t xml:space="preserve"> وتشير الدراسات التي أُجريت في عدة بلدان إلى أن معدلات الفقر وانعدام المأوى وانعدام الأمن الغذائي أعلى في صفوف المثليات والمثليين ومزدوجي الميل الجنسي ومغ</w:t>
      </w:r>
      <w:r w:rsidRPr="006C0DD4">
        <w:rPr>
          <w:rFonts w:hint="cs"/>
          <w:rtl/>
        </w:rPr>
        <w:t>ايري</w:t>
      </w:r>
      <w:r w:rsidRPr="006C0DD4">
        <w:rPr>
          <w:rtl/>
        </w:rPr>
        <w:t xml:space="preserve"> الهوية الجنسانية منها في المجتمع ككل</w:t>
      </w:r>
      <w:r w:rsidR="00411C20" w:rsidRPr="006C0DD4">
        <w:rPr>
          <w:rStyle w:val="FootnoteReference"/>
          <w:sz w:val="30"/>
          <w:rtl/>
        </w:rPr>
        <w:t>(</w:t>
      </w:r>
      <w:r w:rsidR="00411C20" w:rsidRPr="006C0DD4">
        <w:rPr>
          <w:rStyle w:val="FootnoteReference"/>
          <w:sz w:val="30"/>
          <w:rtl/>
        </w:rPr>
        <w:footnoteReference w:id="67"/>
      </w:r>
      <w:r w:rsidR="00411C20" w:rsidRPr="006C0DD4">
        <w:rPr>
          <w:rStyle w:val="FootnoteReference"/>
          <w:sz w:val="30"/>
          <w:rtl/>
        </w:rPr>
        <w:t>)</w:t>
      </w:r>
      <w:r w:rsidR="00411C20" w:rsidRPr="006C0DD4">
        <w:rPr>
          <w:rFonts w:hint="cs"/>
          <w:rtl/>
        </w:rPr>
        <w:t>.</w:t>
      </w:r>
      <w:r w:rsidRPr="006C0DD4">
        <w:rPr>
          <w:rtl/>
        </w:rPr>
        <w:t xml:space="preserve"> وقد </w:t>
      </w:r>
      <w:r w:rsidRPr="006C0DD4">
        <w:rPr>
          <w:rFonts w:hint="cs"/>
          <w:rtl/>
        </w:rPr>
        <w:t>سجل</w:t>
      </w:r>
      <w:r w:rsidRPr="006C0DD4">
        <w:rPr>
          <w:rtl/>
        </w:rPr>
        <w:t xml:space="preserve"> البنك الدولي أثر ظاهرة كراهية المثلية الجنسية السلبي على النمو والتنمية الاقتصاديين</w:t>
      </w:r>
      <w:r w:rsidR="00411C20" w:rsidRPr="006C0DD4">
        <w:rPr>
          <w:rStyle w:val="FootnoteReference"/>
          <w:sz w:val="30"/>
          <w:rtl/>
        </w:rPr>
        <w:t>(</w:t>
      </w:r>
      <w:r w:rsidR="00411C20" w:rsidRPr="006C0DD4">
        <w:rPr>
          <w:rStyle w:val="FootnoteReference"/>
          <w:sz w:val="30"/>
          <w:rtl/>
        </w:rPr>
        <w:footnoteReference w:id="68"/>
      </w:r>
      <w:r w:rsidR="00411C20" w:rsidRPr="006C0DD4">
        <w:rPr>
          <w:rStyle w:val="FootnoteReference"/>
          <w:sz w:val="30"/>
          <w:rtl/>
        </w:rPr>
        <w:t>)</w:t>
      </w:r>
      <w:r w:rsidR="00411C20" w:rsidRPr="006C0DD4">
        <w:rPr>
          <w:rFonts w:hint="cs"/>
          <w:rtl/>
        </w:rPr>
        <w:t>.</w:t>
      </w:r>
      <w:r w:rsidRPr="006C0DD4">
        <w:rPr>
          <w:rtl/>
        </w:rPr>
        <w:t xml:space="preserve"> </w:t>
      </w:r>
    </w:p>
    <w:p w:rsidR="00D125E2" w:rsidRPr="006C0DD4" w:rsidRDefault="00D125E2" w:rsidP="00D125E2">
      <w:pPr>
        <w:pStyle w:val="H1GA"/>
        <w:rPr>
          <w:sz w:val="30"/>
          <w:rtl/>
        </w:rPr>
      </w:pPr>
      <w:r w:rsidRPr="006C0DD4">
        <w:rPr>
          <w:rFonts w:hint="cs"/>
          <w:rtl/>
        </w:rPr>
        <w:tab/>
      </w:r>
      <w:bookmarkStart w:id="18" w:name="_Toc420919012"/>
      <w:r w:rsidRPr="006C0DD4">
        <w:rPr>
          <w:rtl/>
        </w:rPr>
        <w:t>ألف-</w:t>
      </w:r>
      <w:r w:rsidRPr="006C0DD4">
        <w:rPr>
          <w:rtl/>
        </w:rPr>
        <w:tab/>
        <w:t>القوا</w:t>
      </w:r>
      <w:r w:rsidRPr="006C0DD4">
        <w:rPr>
          <w:rFonts w:hint="cs"/>
          <w:rtl/>
        </w:rPr>
        <w:t>نين</w:t>
      </w:r>
      <w:r w:rsidRPr="006C0DD4">
        <w:rPr>
          <w:rtl/>
        </w:rPr>
        <w:t xml:space="preserve"> التمييزية</w:t>
      </w:r>
      <w:bookmarkEnd w:id="18"/>
    </w:p>
    <w:p w:rsidR="00D125E2" w:rsidRPr="006C0DD4" w:rsidRDefault="00D125E2" w:rsidP="00D125E2">
      <w:pPr>
        <w:pStyle w:val="H23GA"/>
        <w:rPr>
          <w:rtl/>
        </w:rPr>
      </w:pPr>
      <w:r w:rsidRPr="006C0DD4">
        <w:rPr>
          <w:rFonts w:hint="cs"/>
          <w:rtl/>
        </w:rPr>
        <w:tab/>
      </w:r>
      <w:r w:rsidRPr="006C0DD4">
        <w:rPr>
          <w:rtl/>
        </w:rPr>
        <w:t>1-</w:t>
      </w:r>
      <w:r w:rsidRPr="006C0DD4">
        <w:rPr>
          <w:rtl/>
        </w:rPr>
        <w:tab/>
        <w:t xml:space="preserve">القوانين التي تجرِّم المثلية الجنسية وغيرها من القوانين المستخدمة لمعاقبة </w:t>
      </w:r>
      <w:r w:rsidRPr="006C0DD4">
        <w:tab/>
      </w:r>
      <w:r w:rsidRPr="006C0DD4">
        <w:rPr>
          <w:rtl/>
        </w:rPr>
        <w:t>الأفراد بسبب ميلهم الجنسي وهويتهم الجنسانية</w:t>
      </w:r>
    </w:p>
    <w:p w:rsidR="00D125E2" w:rsidRPr="007A36C5" w:rsidRDefault="00D125E2" w:rsidP="007A36C5">
      <w:pPr>
        <w:pStyle w:val="SingleTxtGA"/>
        <w:rPr>
          <w:spacing w:val="-4"/>
          <w:rtl/>
        </w:rPr>
      </w:pPr>
      <w:r w:rsidRPr="007A36C5">
        <w:rPr>
          <w:spacing w:val="-4"/>
          <w:rtl/>
        </w:rPr>
        <w:t>43-</w:t>
      </w:r>
      <w:r w:rsidRPr="007A36C5">
        <w:rPr>
          <w:spacing w:val="-4"/>
          <w:rtl/>
        </w:rPr>
        <w:tab/>
      </w:r>
      <w:r w:rsidRPr="007A36C5">
        <w:rPr>
          <w:rFonts w:hint="cs"/>
          <w:spacing w:val="-4"/>
          <w:rtl/>
        </w:rPr>
        <w:t xml:space="preserve">تنتهك الدول التي تجرم </w:t>
      </w:r>
      <w:r w:rsidRPr="007A36C5">
        <w:rPr>
          <w:spacing w:val="-4"/>
          <w:rtl/>
        </w:rPr>
        <w:t>ممارسة ال</w:t>
      </w:r>
      <w:r w:rsidRPr="007A36C5">
        <w:rPr>
          <w:rFonts w:hint="cs"/>
          <w:spacing w:val="-4"/>
          <w:rtl/>
        </w:rPr>
        <w:t>علاقات ا</w:t>
      </w:r>
      <w:r w:rsidRPr="007A36C5">
        <w:rPr>
          <w:spacing w:val="-4"/>
          <w:rtl/>
        </w:rPr>
        <w:t xml:space="preserve">لجنسية المثلية بالتراضي قواعد القانون الدولي لحقوق الإنسان، ذلك أن هذه القوانين تشكل، بمجرد وجودها، انتهاكاً للحق في الخصوصية والحق في عدم التعرض للتمييز. فعمليات توقيف الأفراد واحتجازهم بتُهم متصلة بميلهم الجنسي وهويتهم </w:t>
      </w:r>
      <w:r w:rsidRPr="007A36C5">
        <w:rPr>
          <w:spacing w:val="-4"/>
          <w:rtl/>
        </w:rPr>
        <w:lastRenderedPageBreak/>
        <w:t xml:space="preserve">الجنسانية، بما في ذلك ارتكاب جرائم غير متصلة مباشرةً بالسلوك الجنسي، كتلك المتعلقة بالمظهر البدني أو ما </w:t>
      </w:r>
      <w:r w:rsidR="007A36C5" w:rsidRPr="007A36C5">
        <w:rPr>
          <w:rFonts w:hint="cs"/>
          <w:spacing w:val="-4"/>
          <w:rtl/>
        </w:rPr>
        <w:t>ي</w:t>
      </w:r>
      <w:r w:rsidRPr="007A36C5">
        <w:rPr>
          <w:rFonts w:hint="cs"/>
          <w:spacing w:val="-4"/>
          <w:rtl/>
        </w:rPr>
        <w:t xml:space="preserve">سمى </w:t>
      </w:r>
      <w:r w:rsidRPr="007A36C5">
        <w:rPr>
          <w:spacing w:val="-4"/>
          <w:rtl/>
        </w:rPr>
        <w:t>"الفعل الفاضح العلني"، تشك</w:t>
      </w:r>
      <w:r w:rsidRPr="007A36C5">
        <w:rPr>
          <w:rFonts w:hint="cs"/>
          <w:spacing w:val="-4"/>
          <w:rtl/>
        </w:rPr>
        <w:t>ل</w:t>
      </w:r>
      <w:r w:rsidRPr="007A36C5">
        <w:rPr>
          <w:spacing w:val="-4"/>
          <w:rtl/>
        </w:rPr>
        <w:t xml:space="preserve"> إجراء</w:t>
      </w:r>
      <w:r w:rsidRPr="007A36C5">
        <w:rPr>
          <w:rFonts w:hint="cs"/>
          <w:spacing w:val="-4"/>
          <w:rtl/>
        </w:rPr>
        <w:t>ات</w:t>
      </w:r>
      <w:r w:rsidRPr="007A36C5">
        <w:rPr>
          <w:spacing w:val="-4"/>
          <w:rtl/>
        </w:rPr>
        <w:t xml:space="preserve"> تمييزي</w:t>
      </w:r>
      <w:r w:rsidRPr="007A36C5">
        <w:rPr>
          <w:rFonts w:hint="cs"/>
          <w:spacing w:val="-4"/>
          <w:rtl/>
        </w:rPr>
        <w:t>ة</w:t>
      </w:r>
      <w:r w:rsidRPr="007A36C5">
        <w:rPr>
          <w:spacing w:val="-4"/>
          <w:rtl/>
        </w:rPr>
        <w:t xml:space="preserve"> وتعسفي</w:t>
      </w:r>
      <w:r w:rsidRPr="007A36C5">
        <w:rPr>
          <w:rFonts w:hint="cs"/>
          <w:spacing w:val="-4"/>
          <w:rtl/>
        </w:rPr>
        <w:t>ة</w:t>
      </w:r>
      <w:r w:rsidR="00411C20" w:rsidRPr="007A36C5">
        <w:rPr>
          <w:rStyle w:val="FootnoteReference"/>
          <w:spacing w:val="-4"/>
          <w:sz w:val="30"/>
          <w:rtl/>
        </w:rPr>
        <w:t>(</w:t>
      </w:r>
      <w:r w:rsidR="00411C20" w:rsidRPr="007A36C5">
        <w:rPr>
          <w:rStyle w:val="FootnoteReference"/>
          <w:spacing w:val="-4"/>
          <w:sz w:val="30"/>
          <w:rtl/>
        </w:rPr>
        <w:footnoteReference w:id="69"/>
      </w:r>
      <w:r w:rsidR="00411C20" w:rsidRPr="007A36C5">
        <w:rPr>
          <w:rStyle w:val="FootnoteReference"/>
          <w:spacing w:val="-4"/>
          <w:sz w:val="30"/>
          <w:rtl/>
        </w:rPr>
        <w:t>)</w:t>
      </w:r>
      <w:r w:rsidR="00411C20" w:rsidRPr="007A36C5">
        <w:rPr>
          <w:rFonts w:hint="cs"/>
          <w:spacing w:val="-4"/>
          <w:rtl/>
        </w:rPr>
        <w:t>.</w:t>
      </w:r>
      <w:r w:rsidRPr="007A36C5">
        <w:rPr>
          <w:spacing w:val="-4"/>
          <w:rtl/>
        </w:rPr>
        <w:t xml:space="preserve"> ومنذ أن اعتمدت اللجنة المعنية بحقوق الإنسان في عام 1994 قرارها المشهود في حالة </w:t>
      </w:r>
      <w:r w:rsidRPr="007A36C5">
        <w:rPr>
          <w:i/>
          <w:iCs/>
          <w:spacing w:val="-4"/>
          <w:rtl/>
        </w:rPr>
        <w:t>تونين ضد أستراليا</w:t>
      </w:r>
      <w:r w:rsidRPr="007A36C5">
        <w:rPr>
          <w:spacing w:val="-4"/>
          <w:rtl/>
        </w:rPr>
        <w:t xml:space="preserve"> (البلاغ رقم</w:t>
      </w:r>
      <w:r w:rsidR="007A36C5">
        <w:rPr>
          <w:rFonts w:hint="cs"/>
          <w:spacing w:val="-4"/>
          <w:rtl/>
        </w:rPr>
        <w:t> </w:t>
      </w:r>
      <w:r w:rsidRPr="007A36C5">
        <w:rPr>
          <w:spacing w:val="-4"/>
          <w:rtl/>
        </w:rPr>
        <w:t>488/1992)، ما فتئت وغيرها من آليات حقوق الإنسان تكرر حثّها الدول على إصلاح القوانين التي تجرِّم ممارسة ال</w:t>
      </w:r>
      <w:r w:rsidRPr="007A36C5">
        <w:rPr>
          <w:rFonts w:hint="cs"/>
          <w:spacing w:val="-4"/>
          <w:rtl/>
        </w:rPr>
        <w:t>علاقات ا</w:t>
      </w:r>
      <w:r w:rsidRPr="007A36C5">
        <w:rPr>
          <w:spacing w:val="-4"/>
          <w:rtl/>
        </w:rPr>
        <w:t>لجنسي</w:t>
      </w:r>
      <w:r w:rsidRPr="007A36C5">
        <w:rPr>
          <w:rFonts w:hint="cs"/>
          <w:spacing w:val="-4"/>
          <w:rtl/>
        </w:rPr>
        <w:t>ة</w:t>
      </w:r>
      <w:r w:rsidRPr="007A36C5">
        <w:rPr>
          <w:spacing w:val="-4"/>
          <w:rtl/>
        </w:rPr>
        <w:t xml:space="preserve"> المثلي</w:t>
      </w:r>
      <w:r w:rsidRPr="007A36C5">
        <w:rPr>
          <w:rFonts w:hint="cs"/>
          <w:spacing w:val="-4"/>
          <w:rtl/>
        </w:rPr>
        <w:t>ة</w:t>
      </w:r>
      <w:r w:rsidRPr="007A36C5">
        <w:rPr>
          <w:spacing w:val="-4"/>
          <w:rtl/>
        </w:rPr>
        <w:t xml:space="preserve"> بالتراضي، وترحب بإلغائها.</w:t>
      </w:r>
    </w:p>
    <w:p w:rsidR="00D125E2" w:rsidRPr="007A36C5" w:rsidRDefault="00D125E2" w:rsidP="00411C20">
      <w:pPr>
        <w:pStyle w:val="SingleTxtGA"/>
        <w:rPr>
          <w:spacing w:val="-4"/>
          <w:rtl/>
        </w:rPr>
      </w:pPr>
      <w:r w:rsidRPr="007A36C5">
        <w:rPr>
          <w:spacing w:val="-4"/>
          <w:rtl/>
        </w:rPr>
        <w:t>44-</w:t>
      </w:r>
      <w:r w:rsidRPr="007A36C5">
        <w:rPr>
          <w:spacing w:val="-4"/>
          <w:rtl/>
        </w:rPr>
        <w:tab/>
        <w:t xml:space="preserve">وتُبقي 76 دولةً على الأقل على القوانين المستخدمة لتجريم </w:t>
      </w:r>
      <w:r w:rsidRPr="007A36C5">
        <w:rPr>
          <w:rFonts w:hint="cs"/>
          <w:spacing w:val="-4"/>
          <w:rtl/>
        </w:rPr>
        <w:t xml:space="preserve">ومضايقة </w:t>
      </w:r>
      <w:r w:rsidRPr="007A36C5">
        <w:rPr>
          <w:spacing w:val="-4"/>
          <w:rtl/>
        </w:rPr>
        <w:t>الأشخاص على أساس ميلهم الجنسي وهويتهم الجنسانية</w:t>
      </w:r>
      <w:r w:rsidR="00411C20" w:rsidRPr="007A36C5">
        <w:rPr>
          <w:spacing w:val="-4"/>
          <w:rtl/>
        </w:rPr>
        <w:t xml:space="preserve"> </w:t>
      </w:r>
      <w:r w:rsidRPr="007A36C5">
        <w:rPr>
          <w:spacing w:val="-4"/>
          <w:rtl/>
        </w:rPr>
        <w:t>أو أسلوب تعبيرهم الجنساني، بما في ذلك القوانين التي تجرِّم مباشرة العلاق</w:t>
      </w:r>
      <w:r w:rsidRPr="007A36C5">
        <w:rPr>
          <w:rFonts w:hint="cs"/>
          <w:spacing w:val="-4"/>
          <w:rtl/>
        </w:rPr>
        <w:t>ات</w:t>
      </w:r>
      <w:r w:rsidRPr="007A36C5">
        <w:rPr>
          <w:spacing w:val="-4"/>
          <w:rtl/>
        </w:rPr>
        <w:t xml:space="preserve"> الجنسية </w:t>
      </w:r>
      <w:r w:rsidRPr="007A36C5">
        <w:rPr>
          <w:rFonts w:hint="cs"/>
          <w:spacing w:val="-4"/>
          <w:rtl/>
        </w:rPr>
        <w:t>المثلية ب</w:t>
      </w:r>
      <w:r w:rsidRPr="007A36C5">
        <w:rPr>
          <w:spacing w:val="-4"/>
          <w:rtl/>
        </w:rPr>
        <w:t>التراضي</w:t>
      </w:r>
      <w:r w:rsidR="00411C20" w:rsidRPr="007A36C5">
        <w:rPr>
          <w:rStyle w:val="FootnoteReference"/>
          <w:spacing w:val="-4"/>
          <w:sz w:val="30"/>
          <w:rtl/>
        </w:rPr>
        <w:t>(</w:t>
      </w:r>
      <w:r w:rsidR="00411C20" w:rsidRPr="007A36C5">
        <w:rPr>
          <w:rStyle w:val="FootnoteReference"/>
          <w:spacing w:val="-4"/>
          <w:sz w:val="30"/>
          <w:rtl/>
        </w:rPr>
        <w:footnoteReference w:id="70"/>
      </w:r>
      <w:r w:rsidR="00411C20" w:rsidRPr="007A36C5">
        <w:rPr>
          <w:rStyle w:val="FootnoteReference"/>
          <w:spacing w:val="-4"/>
          <w:sz w:val="30"/>
          <w:rtl/>
        </w:rPr>
        <w:t>)</w:t>
      </w:r>
      <w:r w:rsidR="00411C20" w:rsidRPr="007A36C5">
        <w:rPr>
          <w:rFonts w:hint="cs"/>
          <w:spacing w:val="-4"/>
          <w:rtl/>
        </w:rPr>
        <w:t>.</w:t>
      </w:r>
      <w:r w:rsidRPr="007A36C5">
        <w:rPr>
          <w:spacing w:val="-4"/>
          <w:rtl/>
        </w:rPr>
        <w:t xml:space="preserve"> فهذه القوانين، الموروثة أحياناً من عصر الاستعمار، تحظر تقليدياً ممارسة أنواع معينة من النشاط الجنسي أو أي علاقة حميمة بين ال</w:t>
      </w:r>
      <w:r w:rsidRPr="007A36C5">
        <w:rPr>
          <w:rFonts w:hint="cs"/>
          <w:spacing w:val="-4"/>
          <w:rtl/>
        </w:rPr>
        <w:t>مثليين</w:t>
      </w:r>
      <w:r w:rsidRPr="007A36C5">
        <w:rPr>
          <w:spacing w:val="-4"/>
          <w:rtl/>
        </w:rPr>
        <w:t xml:space="preserve">. ويُعاقَب أحياناً أيضاً على ارتداء الثياب المخالفة لنوع الجنس أو "تقليد الجنس </w:t>
      </w:r>
      <w:r w:rsidR="00411C20" w:rsidRPr="007A36C5">
        <w:rPr>
          <w:spacing w:val="-4"/>
          <w:rtl/>
        </w:rPr>
        <w:t>الآخر"</w:t>
      </w:r>
      <w:r w:rsidR="00411C20" w:rsidRPr="007A36C5">
        <w:rPr>
          <w:rStyle w:val="FootnoteReference"/>
          <w:spacing w:val="-4"/>
          <w:sz w:val="30"/>
          <w:rtl/>
        </w:rPr>
        <w:t>(</w:t>
      </w:r>
      <w:r w:rsidR="00411C20" w:rsidRPr="007A36C5">
        <w:rPr>
          <w:rStyle w:val="FootnoteReference"/>
          <w:spacing w:val="-4"/>
          <w:sz w:val="30"/>
          <w:rtl/>
        </w:rPr>
        <w:footnoteReference w:id="71"/>
      </w:r>
      <w:r w:rsidR="00411C20" w:rsidRPr="007A36C5">
        <w:rPr>
          <w:rStyle w:val="FootnoteReference"/>
          <w:spacing w:val="-4"/>
          <w:sz w:val="30"/>
          <w:rtl/>
        </w:rPr>
        <w:t>)</w:t>
      </w:r>
      <w:r w:rsidR="00411C20" w:rsidRPr="007A36C5">
        <w:rPr>
          <w:rFonts w:hint="cs"/>
          <w:spacing w:val="-4"/>
          <w:rtl/>
        </w:rPr>
        <w:t>.</w:t>
      </w:r>
      <w:r w:rsidRPr="007A36C5">
        <w:rPr>
          <w:spacing w:val="-4"/>
          <w:rtl/>
        </w:rPr>
        <w:t xml:space="preserve"> وفي الغال</w:t>
      </w:r>
      <w:r w:rsidR="002C0684">
        <w:rPr>
          <w:spacing w:val="-4"/>
          <w:rtl/>
        </w:rPr>
        <w:t>ب، تشير الصياغة المستخدمة في هذ</w:t>
      </w:r>
      <w:r w:rsidR="002C0684">
        <w:rPr>
          <w:rFonts w:hint="cs"/>
          <w:spacing w:val="-4"/>
          <w:rtl/>
        </w:rPr>
        <w:t>ه</w:t>
      </w:r>
      <w:r w:rsidRPr="007A36C5">
        <w:rPr>
          <w:spacing w:val="-4"/>
          <w:rtl/>
        </w:rPr>
        <w:t xml:space="preserve"> القوانين إلى مفاهيم مُبهمة وغير محددة، "كالجرائم المخلّة بنظام الطبيعة" أو "بالآداب" أو "الفجور" أو "الأفعال ا</w:t>
      </w:r>
      <w:r w:rsidR="00411C20" w:rsidRPr="007A36C5">
        <w:rPr>
          <w:spacing w:val="-4"/>
          <w:rtl/>
        </w:rPr>
        <w:t>لمشينة" أو "الفعل الفاضح الجسيم</w:t>
      </w:r>
      <w:r w:rsidRPr="007A36C5">
        <w:rPr>
          <w:spacing w:val="-4"/>
          <w:rtl/>
        </w:rPr>
        <w:t>"</w:t>
      </w:r>
      <w:r w:rsidR="00411C20" w:rsidRPr="007A36C5">
        <w:rPr>
          <w:rStyle w:val="FootnoteReference"/>
          <w:spacing w:val="-4"/>
          <w:sz w:val="30"/>
          <w:rtl/>
        </w:rPr>
        <w:t>(</w:t>
      </w:r>
      <w:r w:rsidR="00411C20" w:rsidRPr="007A36C5">
        <w:rPr>
          <w:rStyle w:val="FootnoteReference"/>
          <w:spacing w:val="-4"/>
          <w:sz w:val="30"/>
          <w:rtl/>
        </w:rPr>
        <w:footnoteReference w:id="72"/>
      </w:r>
      <w:r w:rsidR="00411C20" w:rsidRPr="007A36C5">
        <w:rPr>
          <w:rStyle w:val="FootnoteReference"/>
          <w:spacing w:val="-4"/>
          <w:sz w:val="30"/>
          <w:rtl/>
        </w:rPr>
        <w:t>)</w:t>
      </w:r>
      <w:r w:rsidR="00411C20" w:rsidRPr="007A36C5">
        <w:rPr>
          <w:rFonts w:hint="cs"/>
          <w:spacing w:val="-4"/>
          <w:rtl/>
        </w:rPr>
        <w:t>.</w:t>
      </w:r>
    </w:p>
    <w:p w:rsidR="00D125E2" w:rsidRPr="006C0DD4" w:rsidRDefault="00D125E2" w:rsidP="00411C20">
      <w:pPr>
        <w:pStyle w:val="SingleTxtGA"/>
        <w:rPr>
          <w:rtl/>
        </w:rPr>
      </w:pPr>
      <w:r w:rsidRPr="006C0DD4">
        <w:rPr>
          <w:rtl/>
        </w:rPr>
        <w:t>45-</w:t>
      </w:r>
      <w:r w:rsidRPr="006C0DD4">
        <w:rPr>
          <w:rtl/>
        </w:rPr>
        <w:tab/>
        <w:t>ولا تزال آليات الأمم المتحدة تشدد على العلاقة بين التجريم وبين الجرائم المدفوعة بكراهية المثلية الجنسية وكراهية مغايري الهوية الجنسانية واعتداءات الشرطة وأفعال التعذيب والعنف الأسري والمجتمعي والوصم، فضلاً عن القيود التي يفرضها التجريم على عمل المدافعين عن حقوق الإنسان</w:t>
      </w:r>
      <w:r w:rsidR="00411C20" w:rsidRPr="006C0DD4">
        <w:rPr>
          <w:rStyle w:val="FootnoteReference"/>
          <w:sz w:val="30"/>
          <w:rtl/>
        </w:rPr>
        <w:t>(</w:t>
      </w:r>
      <w:r w:rsidR="00411C20" w:rsidRPr="006C0DD4">
        <w:rPr>
          <w:rStyle w:val="FootnoteReference"/>
          <w:sz w:val="30"/>
          <w:rtl/>
        </w:rPr>
        <w:footnoteReference w:id="73"/>
      </w:r>
      <w:r w:rsidR="00411C20" w:rsidRPr="006C0DD4">
        <w:rPr>
          <w:rStyle w:val="FootnoteReference"/>
          <w:sz w:val="30"/>
          <w:rtl/>
        </w:rPr>
        <w:t>)</w:t>
      </w:r>
      <w:r w:rsidR="00411C20" w:rsidRPr="006C0DD4">
        <w:rPr>
          <w:rFonts w:hint="cs"/>
          <w:rtl/>
        </w:rPr>
        <w:t>.</w:t>
      </w:r>
      <w:r w:rsidRPr="006C0DD4">
        <w:rPr>
          <w:rtl/>
        </w:rPr>
        <w:t xml:space="preserve"> وقد أشار المقرِّر الخاص المعني بحرية الدين أو المعتقد إلى أن هذه القوانين قد يتّخذها أفراد جماعات </w:t>
      </w:r>
      <w:r w:rsidRPr="006C0DD4">
        <w:rPr>
          <w:rFonts w:hint="cs"/>
          <w:rtl/>
        </w:rPr>
        <w:t>الاقتصاص</w:t>
      </w:r>
      <w:r w:rsidRPr="006C0DD4">
        <w:rPr>
          <w:rtl/>
        </w:rPr>
        <w:t xml:space="preserve"> الأهلي وغيرهم من الأشخاص مرتكبي أفعال الكراهية ذريعةً لتخويف الأشخاص وارتكاب أعمال </w:t>
      </w:r>
      <w:r w:rsidRPr="006C0DD4">
        <w:rPr>
          <w:rFonts w:hint="cs"/>
          <w:rtl/>
        </w:rPr>
        <w:t>ال</w:t>
      </w:r>
      <w:r w:rsidRPr="006C0DD4">
        <w:rPr>
          <w:rtl/>
        </w:rPr>
        <w:t>عنف</w:t>
      </w:r>
      <w:r w:rsidR="00411C20" w:rsidRPr="006C0DD4">
        <w:rPr>
          <w:rStyle w:val="FootnoteReference"/>
          <w:rtl/>
        </w:rPr>
        <w:t>(</w:t>
      </w:r>
      <w:r w:rsidR="00411C20" w:rsidRPr="006C0DD4">
        <w:rPr>
          <w:rStyle w:val="FootnoteReference"/>
          <w:rtl/>
        </w:rPr>
        <w:footnoteReference w:id="74"/>
      </w:r>
      <w:r w:rsidR="00411C20" w:rsidRPr="006C0DD4">
        <w:rPr>
          <w:rStyle w:val="FootnoteReference"/>
          <w:rtl/>
        </w:rPr>
        <w:t>)</w:t>
      </w:r>
      <w:r w:rsidR="00411C20" w:rsidRPr="006C0DD4">
        <w:rPr>
          <w:rFonts w:hint="cs"/>
          <w:rtl/>
        </w:rPr>
        <w:t>.</w:t>
      </w:r>
      <w:r w:rsidRPr="006C0DD4">
        <w:rPr>
          <w:rtl/>
        </w:rPr>
        <w:t xml:space="preserve"> </w:t>
      </w:r>
    </w:p>
    <w:p w:rsidR="00D125E2" w:rsidRPr="006C0DD4" w:rsidRDefault="00D125E2" w:rsidP="00D125E2">
      <w:pPr>
        <w:pStyle w:val="H23GA"/>
        <w:rPr>
          <w:rtl/>
        </w:rPr>
      </w:pPr>
      <w:r w:rsidRPr="006C0DD4">
        <w:rPr>
          <w:rFonts w:hint="cs"/>
          <w:rtl/>
        </w:rPr>
        <w:tab/>
      </w:r>
      <w:r w:rsidRPr="006C0DD4">
        <w:rPr>
          <w:rtl/>
        </w:rPr>
        <w:t>2-</w:t>
      </w:r>
      <w:r w:rsidRPr="006C0DD4">
        <w:rPr>
          <w:rtl/>
        </w:rPr>
        <w:tab/>
        <w:t>عقوبة الإعدام</w:t>
      </w:r>
    </w:p>
    <w:p w:rsidR="00D125E2" w:rsidRPr="006C0DD4" w:rsidRDefault="00D125E2" w:rsidP="007A36C5">
      <w:pPr>
        <w:pStyle w:val="SingleTxtGA"/>
        <w:spacing w:after="100" w:line="360" w:lineRule="exact"/>
        <w:rPr>
          <w:rtl/>
        </w:rPr>
      </w:pPr>
      <w:r w:rsidRPr="006C0DD4">
        <w:rPr>
          <w:rtl/>
        </w:rPr>
        <w:t>46-</w:t>
      </w:r>
      <w:r w:rsidRPr="006C0DD4">
        <w:rPr>
          <w:rtl/>
        </w:rPr>
        <w:tab/>
        <w:t>يجوز في كل من جمهورية إيران الإسلامية و</w:t>
      </w:r>
      <w:r w:rsidRPr="006C0DD4">
        <w:rPr>
          <w:rFonts w:hint="cs"/>
          <w:rtl/>
        </w:rPr>
        <w:t xml:space="preserve">المملكة العربية </w:t>
      </w:r>
      <w:r w:rsidRPr="006C0DD4">
        <w:rPr>
          <w:rtl/>
        </w:rPr>
        <w:t>السعودية والسودان وموريتانيا واليمن، وفي أجزاء من</w:t>
      </w:r>
      <w:r w:rsidRPr="006C0DD4">
        <w:rPr>
          <w:rFonts w:hint="cs"/>
          <w:rtl/>
        </w:rPr>
        <w:t xml:space="preserve"> </w:t>
      </w:r>
      <w:r w:rsidRPr="006C0DD4">
        <w:rPr>
          <w:rtl/>
        </w:rPr>
        <w:t>الصومال ونيجيريا، ت</w:t>
      </w:r>
      <w:r w:rsidRPr="006C0DD4">
        <w:rPr>
          <w:rFonts w:hint="cs"/>
          <w:rtl/>
        </w:rPr>
        <w:t>وقيع</w:t>
      </w:r>
      <w:r w:rsidRPr="006C0DD4">
        <w:rPr>
          <w:rtl/>
        </w:rPr>
        <w:t xml:space="preserve"> عقوبة الإعدام في </w:t>
      </w:r>
      <w:r w:rsidRPr="006C0DD4">
        <w:rPr>
          <w:rFonts w:hint="cs"/>
          <w:rtl/>
        </w:rPr>
        <w:t>ال</w:t>
      </w:r>
      <w:r w:rsidRPr="006C0DD4">
        <w:rPr>
          <w:rtl/>
        </w:rPr>
        <w:t xml:space="preserve">قضايا </w:t>
      </w:r>
      <w:r w:rsidRPr="006C0DD4">
        <w:rPr>
          <w:rFonts w:hint="cs"/>
          <w:rtl/>
        </w:rPr>
        <w:t xml:space="preserve">المتعلقة بممارسة العلاقات الجنسية المثلية </w:t>
      </w:r>
      <w:r w:rsidRPr="006C0DD4">
        <w:rPr>
          <w:rtl/>
        </w:rPr>
        <w:t>بالتراضي. والإعدام هو</w:t>
      </w:r>
      <w:r w:rsidRPr="006C0DD4">
        <w:rPr>
          <w:rFonts w:hint="cs"/>
          <w:rtl/>
        </w:rPr>
        <w:t xml:space="preserve"> </w:t>
      </w:r>
      <w:r w:rsidRPr="006C0DD4">
        <w:rPr>
          <w:rtl/>
        </w:rPr>
        <w:t>العقوبة المقرر</w:t>
      </w:r>
      <w:r w:rsidRPr="006C0DD4">
        <w:rPr>
          <w:rFonts w:hint="cs"/>
          <w:rtl/>
        </w:rPr>
        <w:t>ة</w:t>
      </w:r>
      <w:r w:rsidRPr="006C0DD4">
        <w:rPr>
          <w:rtl/>
        </w:rPr>
        <w:t xml:space="preserve"> أيضاً للمثلية الجنسية في قانون العقوبات البروني الم</w:t>
      </w:r>
      <w:r w:rsidRPr="006C0DD4">
        <w:rPr>
          <w:rFonts w:hint="cs"/>
          <w:rtl/>
        </w:rPr>
        <w:t>عدل</w:t>
      </w:r>
      <w:r w:rsidRPr="006C0DD4">
        <w:rPr>
          <w:rtl/>
        </w:rPr>
        <w:t>، وإن كانت الأحكام ذات الصلة لم</w:t>
      </w:r>
      <w:r w:rsidRPr="006C0DD4">
        <w:rPr>
          <w:rFonts w:hint="cs"/>
          <w:rtl/>
        </w:rPr>
        <w:t xml:space="preserve"> </w:t>
      </w:r>
      <w:r w:rsidRPr="006C0DD4">
        <w:rPr>
          <w:rtl/>
        </w:rPr>
        <w:t>تصبح نافذة بعد.</w:t>
      </w:r>
    </w:p>
    <w:p w:rsidR="00D125E2" w:rsidRPr="006C0DD4" w:rsidRDefault="00D125E2" w:rsidP="007A36C5">
      <w:pPr>
        <w:pStyle w:val="SingleTxtGA"/>
        <w:spacing w:after="100" w:line="360" w:lineRule="exact"/>
        <w:rPr>
          <w:rtl/>
        </w:rPr>
      </w:pPr>
      <w:r w:rsidRPr="006C0DD4">
        <w:rPr>
          <w:rtl/>
        </w:rPr>
        <w:lastRenderedPageBreak/>
        <w:t>47-</w:t>
      </w:r>
      <w:r w:rsidRPr="006C0DD4">
        <w:rPr>
          <w:rtl/>
        </w:rPr>
        <w:tab/>
        <w:t>ويمثل تطبيق عقوبة الإعدام في هذا السياق انتهاكاً لحقوق الإنسان، بما فيها الحق في الحياة وفي الخصوصية وفي عدم التعرض للتمييز. وقد كررت اللجنة المعنية بحقوق الإنسان واللجنة المعنية بالحقوق الاقتصادية والاجتماعية والثقافية</w:t>
      </w:r>
      <w:r w:rsidRPr="006C0DD4">
        <w:rPr>
          <w:rFonts w:hint="cs"/>
          <w:rtl/>
        </w:rPr>
        <w:t xml:space="preserve"> </w:t>
      </w:r>
      <w:r w:rsidRPr="006C0DD4">
        <w:rPr>
          <w:rtl/>
        </w:rPr>
        <w:t xml:space="preserve">مراراً الإعراب عن قلقهما بشأن أحكام الإعدام الصادرة بتهمة </w:t>
      </w:r>
      <w:r w:rsidRPr="006C0DD4">
        <w:rPr>
          <w:rFonts w:hint="cs"/>
          <w:rtl/>
        </w:rPr>
        <w:t xml:space="preserve">ممارسة العلاقات </w:t>
      </w:r>
      <w:r w:rsidRPr="006C0DD4">
        <w:rPr>
          <w:rtl/>
        </w:rPr>
        <w:t>الجنسي</w:t>
      </w:r>
      <w:r w:rsidRPr="006C0DD4">
        <w:rPr>
          <w:rFonts w:hint="cs"/>
          <w:rtl/>
        </w:rPr>
        <w:t>ة</w:t>
      </w:r>
      <w:r w:rsidRPr="006C0DD4">
        <w:rPr>
          <w:rtl/>
        </w:rPr>
        <w:t xml:space="preserve"> بين البالغين بالتراضي</w:t>
      </w:r>
      <w:r w:rsidR="00411C20" w:rsidRPr="006C0DD4">
        <w:rPr>
          <w:rStyle w:val="FootnoteReference"/>
          <w:sz w:val="30"/>
          <w:rtl/>
        </w:rPr>
        <w:t>(</w:t>
      </w:r>
      <w:r w:rsidR="00411C20" w:rsidRPr="006C0DD4">
        <w:rPr>
          <w:rStyle w:val="FootnoteReference"/>
          <w:sz w:val="30"/>
          <w:rtl/>
        </w:rPr>
        <w:footnoteReference w:id="75"/>
      </w:r>
      <w:r w:rsidR="00411C20" w:rsidRPr="006C0DD4">
        <w:rPr>
          <w:rStyle w:val="FootnoteReference"/>
          <w:sz w:val="30"/>
          <w:rtl/>
        </w:rPr>
        <w:t>)</w:t>
      </w:r>
      <w:r w:rsidR="00411C20" w:rsidRPr="006C0DD4">
        <w:rPr>
          <w:rFonts w:hint="cs"/>
          <w:rtl/>
        </w:rPr>
        <w:t>.</w:t>
      </w:r>
      <w:r w:rsidRPr="006C0DD4">
        <w:rPr>
          <w:rtl/>
        </w:rPr>
        <w:t xml:space="preserve"> وكرر المقرِّر المعني بحالات الإعدام خارج القضاء أو بإجراءات موجزة أو تعسفاً تأكيد عدم جواز ال</w:t>
      </w:r>
      <w:r w:rsidRPr="006C0DD4">
        <w:rPr>
          <w:rFonts w:hint="cs"/>
          <w:rtl/>
        </w:rPr>
        <w:t>حكم ب</w:t>
      </w:r>
      <w:r w:rsidRPr="006C0DD4">
        <w:rPr>
          <w:rtl/>
        </w:rPr>
        <w:t xml:space="preserve">الإعدام إلا في أخطر الجرائم وأن الأفعال الجرمية المتصلة </w:t>
      </w:r>
      <w:r w:rsidRPr="006C0DD4">
        <w:rPr>
          <w:rFonts w:hint="cs"/>
          <w:rtl/>
        </w:rPr>
        <w:t xml:space="preserve">بممارسة العلاقات الجنسية المثلية </w:t>
      </w:r>
      <w:r w:rsidRPr="006C0DD4">
        <w:rPr>
          <w:rtl/>
        </w:rPr>
        <w:t>والعلاق</w:t>
      </w:r>
      <w:r w:rsidRPr="006C0DD4">
        <w:rPr>
          <w:rFonts w:hint="cs"/>
          <w:rtl/>
        </w:rPr>
        <w:t>ات</w:t>
      </w:r>
      <w:r w:rsidRPr="006C0DD4">
        <w:rPr>
          <w:rtl/>
        </w:rPr>
        <w:t xml:space="preserve"> الجنسية بين البالغين </w:t>
      </w:r>
      <w:r w:rsidRPr="006C0DD4">
        <w:rPr>
          <w:rFonts w:hint="cs"/>
          <w:rtl/>
        </w:rPr>
        <w:t xml:space="preserve">بالتراضي </w:t>
      </w:r>
      <w:r w:rsidRPr="006C0DD4">
        <w:rPr>
          <w:rtl/>
        </w:rPr>
        <w:t>لا تستوفي هذا الحد القانوني</w:t>
      </w:r>
      <w:r w:rsidR="00411C20" w:rsidRPr="006C0DD4">
        <w:rPr>
          <w:rStyle w:val="FootnoteReference"/>
          <w:sz w:val="30"/>
          <w:rtl/>
        </w:rPr>
        <w:t>(</w:t>
      </w:r>
      <w:r w:rsidR="00411C20" w:rsidRPr="006C0DD4">
        <w:rPr>
          <w:rStyle w:val="FootnoteReference"/>
          <w:sz w:val="30"/>
          <w:rtl/>
        </w:rPr>
        <w:footnoteReference w:id="76"/>
      </w:r>
      <w:r w:rsidR="00411C20" w:rsidRPr="006C0DD4">
        <w:rPr>
          <w:rStyle w:val="FootnoteReference"/>
          <w:sz w:val="30"/>
          <w:rtl/>
        </w:rPr>
        <w:t>)</w:t>
      </w:r>
      <w:r w:rsidR="00411C20" w:rsidRPr="006C0DD4">
        <w:rPr>
          <w:rFonts w:hint="cs"/>
          <w:rtl/>
        </w:rPr>
        <w:t>.</w:t>
      </w:r>
      <w:r w:rsidRPr="006C0DD4">
        <w:rPr>
          <w:rtl/>
        </w:rPr>
        <w:t xml:space="preserve"> </w:t>
      </w:r>
    </w:p>
    <w:p w:rsidR="00D125E2" w:rsidRPr="006C0DD4" w:rsidRDefault="00D125E2" w:rsidP="00D125E2">
      <w:pPr>
        <w:pStyle w:val="H23GA"/>
        <w:rPr>
          <w:rtl/>
        </w:rPr>
      </w:pPr>
      <w:r w:rsidRPr="006C0DD4">
        <w:rPr>
          <w:rFonts w:hint="cs"/>
          <w:rtl/>
        </w:rPr>
        <w:tab/>
      </w:r>
      <w:r w:rsidRPr="006C0DD4">
        <w:rPr>
          <w:rtl/>
        </w:rPr>
        <w:t>3-</w:t>
      </w:r>
      <w:r w:rsidRPr="006C0DD4">
        <w:rPr>
          <w:rtl/>
        </w:rPr>
        <w:tab/>
        <w:t>قوانين "مكافحة الترويج"</w:t>
      </w:r>
    </w:p>
    <w:p w:rsidR="00D125E2" w:rsidRPr="007A36C5" w:rsidRDefault="00D125E2" w:rsidP="007A36C5">
      <w:pPr>
        <w:pStyle w:val="SingleTxtGA"/>
        <w:spacing w:after="100" w:line="360" w:lineRule="exact"/>
        <w:rPr>
          <w:spacing w:val="-4"/>
          <w:rtl/>
        </w:rPr>
      </w:pPr>
      <w:r w:rsidRPr="007A36C5">
        <w:rPr>
          <w:spacing w:val="-4"/>
          <w:rtl/>
        </w:rPr>
        <w:t>48-</w:t>
      </w:r>
      <w:r w:rsidRPr="007A36C5">
        <w:rPr>
          <w:spacing w:val="-4"/>
          <w:rtl/>
        </w:rPr>
        <w:tab/>
        <w:t>في العامين الماضيين، سُنَّت أو اقتُرحت في عدة بلدان قوانين تهدف إلى تقييد النقاش العام لقضية الميل الجنسي بذريعة "حماية القصَّر" من الاطلاع على معلومات عما يُدعى بالعلاقات الجنسية "غير التقليدية"</w:t>
      </w:r>
      <w:r w:rsidR="00411C20" w:rsidRPr="007A36C5">
        <w:rPr>
          <w:rStyle w:val="FootnoteReference"/>
          <w:spacing w:val="-4"/>
          <w:sz w:val="30"/>
          <w:rtl/>
        </w:rPr>
        <w:t>(</w:t>
      </w:r>
      <w:r w:rsidR="00411C20" w:rsidRPr="007A36C5">
        <w:rPr>
          <w:rStyle w:val="FootnoteReference"/>
          <w:spacing w:val="-4"/>
          <w:sz w:val="30"/>
          <w:rtl/>
        </w:rPr>
        <w:footnoteReference w:id="77"/>
      </w:r>
      <w:r w:rsidR="00411C20" w:rsidRPr="007A36C5">
        <w:rPr>
          <w:rStyle w:val="FootnoteReference"/>
          <w:spacing w:val="-4"/>
          <w:sz w:val="30"/>
          <w:rtl/>
        </w:rPr>
        <w:t>)</w:t>
      </w:r>
      <w:r w:rsidR="00411C20" w:rsidRPr="007A36C5">
        <w:rPr>
          <w:rFonts w:hint="cs"/>
          <w:spacing w:val="-4"/>
          <w:rtl/>
        </w:rPr>
        <w:t>.</w:t>
      </w:r>
      <w:r w:rsidRPr="007A36C5">
        <w:rPr>
          <w:spacing w:val="-4"/>
          <w:rtl/>
        </w:rPr>
        <w:t xml:space="preserve"> وعادةً ما تكون هذه القوانين، المدعوّة أحياناً بقوانين "مكافحة الترويج"، مُبهمة الصياغة وتقيّد على نحو تعسفي الحق في حرية التعبير وفي حرية التجمّع. كما أنها تسهم في استمرار اضطهاد أفراد جماعة المثليات والمثليين ومزدوجي الميل الجنسي ومغايري الهوية الجنسانية، بمن فيهم الشباب المنتمون إليها أو المعتَبرون كذلك</w:t>
      </w:r>
      <w:r w:rsidR="00411C20" w:rsidRPr="007A36C5">
        <w:rPr>
          <w:rStyle w:val="FootnoteReference"/>
          <w:spacing w:val="-4"/>
          <w:sz w:val="30"/>
          <w:rtl/>
        </w:rPr>
        <w:t>(</w:t>
      </w:r>
      <w:r w:rsidR="00411C20" w:rsidRPr="007A36C5">
        <w:rPr>
          <w:rStyle w:val="FootnoteReference"/>
          <w:spacing w:val="-4"/>
          <w:sz w:val="30"/>
          <w:rtl/>
        </w:rPr>
        <w:footnoteReference w:id="78"/>
      </w:r>
      <w:r w:rsidR="00411C20" w:rsidRPr="007A36C5">
        <w:rPr>
          <w:rStyle w:val="FootnoteReference"/>
          <w:spacing w:val="-4"/>
          <w:sz w:val="30"/>
          <w:rtl/>
        </w:rPr>
        <w:t>)</w:t>
      </w:r>
      <w:r w:rsidR="00411C20" w:rsidRPr="007A36C5">
        <w:rPr>
          <w:rFonts w:hint="cs"/>
          <w:spacing w:val="-4"/>
          <w:rtl/>
        </w:rPr>
        <w:t>.</w:t>
      </w:r>
      <w:r w:rsidRPr="007A36C5">
        <w:rPr>
          <w:spacing w:val="-4"/>
          <w:rtl/>
        </w:rPr>
        <w:t xml:space="preserve"> وقد أعرب المكلَّفون بولايات في</w:t>
      </w:r>
      <w:r w:rsidRPr="007A36C5">
        <w:rPr>
          <w:rFonts w:hint="cs"/>
          <w:spacing w:val="-4"/>
          <w:rtl/>
        </w:rPr>
        <w:t xml:space="preserve"> إطار الإجراءات الخاصة </w:t>
      </w:r>
      <w:r w:rsidRPr="007A36C5">
        <w:rPr>
          <w:spacing w:val="-4"/>
          <w:rtl/>
        </w:rPr>
        <w:t>المعنيون ب</w:t>
      </w:r>
      <w:r w:rsidRPr="007A36C5">
        <w:rPr>
          <w:spacing w:val="-4"/>
          <w:rtl/>
          <w:lang w:bidi="ar-EG"/>
        </w:rPr>
        <w:t>مواضيع</w:t>
      </w:r>
      <w:r w:rsidRPr="007A36C5">
        <w:rPr>
          <w:spacing w:val="-4"/>
          <w:rtl/>
        </w:rPr>
        <w:t xml:space="preserve"> المدافعين عن حقوق الإنسان، وحرية الرأي والتعبير، وحرية التجمّع السلمي وتكوين الجمعيات عن شواغل في هذا السياق بشأن ما استجدّ من تطورات في كل من الاتحاد الروسي وأوغندا وأوكرانيا وجمهورية مولدوفا وقيرغيزستان ونيجيريا</w:t>
      </w:r>
      <w:r w:rsidR="00411C20" w:rsidRPr="007A36C5">
        <w:rPr>
          <w:rStyle w:val="FootnoteReference"/>
          <w:spacing w:val="-4"/>
          <w:sz w:val="30"/>
          <w:rtl/>
        </w:rPr>
        <w:t>(</w:t>
      </w:r>
      <w:r w:rsidR="00411C20" w:rsidRPr="007A36C5">
        <w:rPr>
          <w:rStyle w:val="FootnoteReference"/>
          <w:spacing w:val="-4"/>
          <w:sz w:val="30"/>
          <w:rtl/>
        </w:rPr>
        <w:footnoteReference w:id="79"/>
      </w:r>
      <w:r w:rsidR="00411C20" w:rsidRPr="007A36C5">
        <w:rPr>
          <w:rStyle w:val="FootnoteReference"/>
          <w:spacing w:val="-4"/>
          <w:sz w:val="30"/>
          <w:rtl/>
        </w:rPr>
        <w:t>)</w:t>
      </w:r>
      <w:r w:rsidR="00411C20" w:rsidRPr="007A36C5">
        <w:rPr>
          <w:rFonts w:hint="cs"/>
          <w:spacing w:val="-4"/>
          <w:rtl/>
        </w:rPr>
        <w:t>.</w:t>
      </w:r>
      <w:r w:rsidRPr="007A36C5">
        <w:rPr>
          <w:spacing w:val="-4"/>
          <w:rtl/>
        </w:rPr>
        <w:t xml:space="preserve"> </w:t>
      </w:r>
    </w:p>
    <w:p w:rsidR="00D125E2" w:rsidRPr="006C0DD4" w:rsidRDefault="00D125E2" w:rsidP="007A36C5">
      <w:pPr>
        <w:pStyle w:val="SingleTxtGA"/>
        <w:spacing w:after="100" w:line="360" w:lineRule="exact"/>
        <w:rPr>
          <w:rtl/>
        </w:rPr>
      </w:pPr>
      <w:r w:rsidRPr="006C0DD4">
        <w:rPr>
          <w:rtl/>
        </w:rPr>
        <w:t>49-</w:t>
      </w:r>
      <w:r w:rsidRPr="006C0DD4">
        <w:rPr>
          <w:rtl/>
        </w:rPr>
        <w:tab/>
        <w:t xml:space="preserve">وفي بعض الحالات، اقترن بهذه القوانين فرضُ حظر على المنظمات غير الحكومية المموَّلة من الخارج بدعوى الحد من نفوذ "العملاء </w:t>
      </w:r>
      <w:r w:rsidRPr="006C0DD4">
        <w:rPr>
          <w:rFonts w:hint="cs"/>
          <w:rtl/>
        </w:rPr>
        <w:t>في ا</w:t>
      </w:r>
      <w:r w:rsidRPr="006C0DD4">
        <w:rPr>
          <w:rtl/>
        </w:rPr>
        <w:t>لخارج"</w:t>
      </w:r>
      <w:r w:rsidR="00411C20" w:rsidRPr="006C0DD4">
        <w:rPr>
          <w:rStyle w:val="FootnoteReference"/>
          <w:sz w:val="30"/>
          <w:rtl/>
        </w:rPr>
        <w:t>(</w:t>
      </w:r>
      <w:r w:rsidR="00411C20" w:rsidRPr="006C0DD4">
        <w:rPr>
          <w:rStyle w:val="FootnoteReference"/>
          <w:sz w:val="30"/>
          <w:rtl/>
        </w:rPr>
        <w:footnoteReference w:id="80"/>
      </w:r>
      <w:r w:rsidR="00411C20" w:rsidRPr="006C0DD4">
        <w:rPr>
          <w:rStyle w:val="FootnoteReference"/>
          <w:sz w:val="30"/>
          <w:rtl/>
        </w:rPr>
        <w:t>)</w:t>
      </w:r>
      <w:r w:rsidR="00411C20" w:rsidRPr="006C0DD4">
        <w:rPr>
          <w:rFonts w:hint="cs"/>
          <w:rtl/>
        </w:rPr>
        <w:t>.</w:t>
      </w:r>
      <w:r w:rsidRPr="006C0DD4">
        <w:rPr>
          <w:rtl/>
        </w:rPr>
        <w:t xml:space="preserve"> وتُعرِّض هذه التدابير المدافعين عن حقوق الإنسان للتوقيف والعنف والتمييز، وقد تهدد التمتع بالحقوق المتعلقة بالصحة والتعليم والتعبير الثقافي والاطلاع على المعلومات، من جملة حقوق أخرى</w:t>
      </w:r>
      <w:r w:rsidR="00411C20" w:rsidRPr="006C0DD4">
        <w:rPr>
          <w:rStyle w:val="FootnoteReference"/>
          <w:sz w:val="30"/>
          <w:rtl/>
        </w:rPr>
        <w:t>(</w:t>
      </w:r>
      <w:r w:rsidR="00411C20" w:rsidRPr="006C0DD4">
        <w:rPr>
          <w:rStyle w:val="FootnoteReference"/>
          <w:sz w:val="30"/>
          <w:rtl/>
        </w:rPr>
        <w:footnoteReference w:id="81"/>
      </w:r>
      <w:r w:rsidR="00411C20" w:rsidRPr="006C0DD4">
        <w:rPr>
          <w:rStyle w:val="FootnoteReference"/>
          <w:sz w:val="30"/>
          <w:rtl/>
        </w:rPr>
        <w:t>)</w:t>
      </w:r>
      <w:r w:rsidR="00411C20" w:rsidRPr="006C0DD4">
        <w:rPr>
          <w:rStyle w:val="FootnoteReference"/>
          <w:rFonts w:hint="cs"/>
          <w:sz w:val="30"/>
          <w:vertAlign w:val="baseline"/>
          <w:rtl/>
        </w:rPr>
        <w:t>.</w:t>
      </w:r>
    </w:p>
    <w:p w:rsidR="00D125E2" w:rsidRPr="006C0DD4" w:rsidRDefault="00D125E2" w:rsidP="00D125E2">
      <w:pPr>
        <w:pStyle w:val="H1GA"/>
        <w:rPr>
          <w:rtl/>
        </w:rPr>
      </w:pPr>
      <w:r w:rsidRPr="006C0DD4">
        <w:rPr>
          <w:rFonts w:hint="cs"/>
          <w:rtl/>
        </w:rPr>
        <w:lastRenderedPageBreak/>
        <w:tab/>
      </w:r>
      <w:bookmarkStart w:id="19" w:name="_Toc420919013"/>
      <w:r w:rsidRPr="006C0DD4">
        <w:rPr>
          <w:rtl/>
        </w:rPr>
        <w:t>باء-</w:t>
      </w:r>
      <w:r w:rsidRPr="006C0DD4">
        <w:rPr>
          <w:rtl/>
        </w:rPr>
        <w:tab/>
        <w:t>الممارسات التمييزية</w:t>
      </w:r>
      <w:r w:rsidR="00411C20" w:rsidRPr="006C0DD4">
        <w:rPr>
          <w:rStyle w:val="FootnoteReference"/>
          <w:b/>
          <w:bCs w:val="0"/>
          <w:sz w:val="34"/>
          <w:rtl/>
        </w:rPr>
        <w:t>(</w:t>
      </w:r>
      <w:r w:rsidR="00411C20" w:rsidRPr="006C0DD4">
        <w:rPr>
          <w:rStyle w:val="FootnoteReference"/>
          <w:b/>
          <w:bCs w:val="0"/>
          <w:sz w:val="34"/>
          <w:rtl/>
        </w:rPr>
        <w:footnoteReference w:id="82"/>
      </w:r>
      <w:r w:rsidR="00411C20" w:rsidRPr="006C0DD4">
        <w:rPr>
          <w:rStyle w:val="FootnoteReference"/>
          <w:b/>
          <w:bCs w:val="0"/>
          <w:sz w:val="34"/>
          <w:rtl/>
        </w:rPr>
        <w:t>)</w:t>
      </w:r>
      <w:bookmarkEnd w:id="19"/>
    </w:p>
    <w:p w:rsidR="00D125E2" w:rsidRPr="006C0DD4" w:rsidRDefault="00D125E2" w:rsidP="00D125E2">
      <w:pPr>
        <w:pStyle w:val="H23GA"/>
        <w:rPr>
          <w:rtl/>
        </w:rPr>
      </w:pPr>
      <w:r w:rsidRPr="006C0DD4">
        <w:rPr>
          <w:rFonts w:hint="cs"/>
          <w:rtl/>
        </w:rPr>
        <w:tab/>
      </w:r>
      <w:r w:rsidRPr="006C0DD4">
        <w:rPr>
          <w:rtl/>
        </w:rPr>
        <w:t>1-</w:t>
      </w:r>
      <w:r w:rsidRPr="006C0DD4">
        <w:rPr>
          <w:rtl/>
        </w:rPr>
        <w:tab/>
        <w:t>الرعاية الصحية</w:t>
      </w:r>
    </w:p>
    <w:p w:rsidR="00D125E2" w:rsidRPr="006C0DD4" w:rsidRDefault="00D125E2" w:rsidP="00411C20">
      <w:pPr>
        <w:pStyle w:val="SingleTxtGA"/>
        <w:rPr>
          <w:rtl/>
        </w:rPr>
      </w:pPr>
      <w:r w:rsidRPr="006C0DD4">
        <w:rPr>
          <w:rtl/>
        </w:rPr>
        <w:t>50-</w:t>
      </w:r>
      <w:r w:rsidRPr="006C0DD4">
        <w:rPr>
          <w:rtl/>
        </w:rPr>
        <w:tab/>
        <w:t>إن القوانين التي تجرِّم المثلية الجنسية والسياسات والممارسات والمواقف التمييزية التي يتبنّاها كل من مؤسسات الرعاية الصحية والعاملون في هذا المجال تؤثر سلباً على جودة الخدمات الصحية</w:t>
      </w:r>
      <w:r w:rsidR="00411C20" w:rsidRPr="006C0DD4">
        <w:rPr>
          <w:rStyle w:val="FootnoteReference"/>
          <w:sz w:val="30"/>
          <w:rtl/>
        </w:rPr>
        <w:t>(</w:t>
      </w:r>
      <w:r w:rsidR="00411C20" w:rsidRPr="006C0DD4">
        <w:rPr>
          <w:rStyle w:val="FootnoteReference"/>
          <w:sz w:val="30"/>
          <w:rtl/>
        </w:rPr>
        <w:footnoteReference w:id="83"/>
      </w:r>
      <w:r w:rsidR="00411C20" w:rsidRPr="006C0DD4">
        <w:rPr>
          <w:rStyle w:val="FootnoteReference"/>
          <w:sz w:val="30"/>
          <w:rtl/>
        </w:rPr>
        <w:t>)</w:t>
      </w:r>
      <w:r w:rsidR="00411C20" w:rsidRPr="006C0DD4">
        <w:rPr>
          <w:rFonts w:hint="cs"/>
          <w:rtl/>
        </w:rPr>
        <w:t>،</w:t>
      </w:r>
      <w:r w:rsidRPr="006C0DD4">
        <w:rPr>
          <w:rtl/>
        </w:rPr>
        <w:t xml:space="preserve"> وت</w:t>
      </w:r>
      <w:r w:rsidRPr="006C0DD4">
        <w:rPr>
          <w:rFonts w:hint="cs"/>
          <w:rtl/>
        </w:rPr>
        <w:t xml:space="preserve">منع </w:t>
      </w:r>
      <w:r w:rsidRPr="006C0DD4">
        <w:rPr>
          <w:rtl/>
        </w:rPr>
        <w:t xml:space="preserve">الأفراد </w:t>
      </w:r>
      <w:r w:rsidRPr="006C0DD4">
        <w:rPr>
          <w:rFonts w:hint="cs"/>
          <w:rtl/>
        </w:rPr>
        <w:t>م</w:t>
      </w:r>
      <w:r w:rsidRPr="006C0DD4">
        <w:rPr>
          <w:rtl/>
        </w:rPr>
        <w:t>ن ال</w:t>
      </w:r>
      <w:r w:rsidRPr="006C0DD4">
        <w:rPr>
          <w:rFonts w:hint="cs"/>
          <w:rtl/>
        </w:rPr>
        <w:t>لجوء إليها</w:t>
      </w:r>
      <w:r w:rsidR="00411C20" w:rsidRPr="006C0DD4">
        <w:rPr>
          <w:rStyle w:val="FootnoteReference"/>
          <w:sz w:val="30"/>
          <w:rtl/>
        </w:rPr>
        <w:t>(</w:t>
      </w:r>
      <w:r w:rsidR="00411C20" w:rsidRPr="006C0DD4">
        <w:rPr>
          <w:rStyle w:val="FootnoteReference"/>
          <w:sz w:val="30"/>
          <w:rtl/>
        </w:rPr>
        <w:footnoteReference w:id="84"/>
      </w:r>
      <w:r w:rsidR="00411C20" w:rsidRPr="006C0DD4">
        <w:rPr>
          <w:rStyle w:val="FootnoteReference"/>
          <w:sz w:val="30"/>
          <w:rtl/>
        </w:rPr>
        <w:t>)</w:t>
      </w:r>
      <w:r w:rsidR="00411C20" w:rsidRPr="006C0DD4">
        <w:rPr>
          <w:rFonts w:hint="cs"/>
          <w:rtl/>
        </w:rPr>
        <w:t>،</w:t>
      </w:r>
      <w:r w:rsidRPr="006C0DD4">
        <w:rPr>
          <w:rtl/>
        </w:rPr>
        <w:t xml:space="preserve"> وقد تؤدي إلى حرمان المثليات والمثليين ومزدوجي الميل الجنسي ومغايري الهوية الجنسانية وحاملي صفات الجنسين من الرعاية أو</w:t>
      </w:r>
      <w:r w:rsidR="00411C20" w:rsidRPr="006C0DD4">
        <w:rPr>
          <w:rFonts w:hint="cs"/>
          <w:rtl/>
        </w:rPr>
        <w:t> </w:t>
      </w:r>
      <w:r w:rsidRPr="006C0DD4">
        <w:rPr>
          <w:rtl/>
        </w:rPr>
        <w:t>الخدمات التي تلبّي احتياجاتهم الصحية الخاصة</w:t>
      </w:r>
      <w:r w:rsidR="00411C20" w:rsidRPr="006C0DD4">
        <w:rPr>
          <w:rStyle w:val="FootnoteReference"/>
          <w:sz w:val="30"/>
          <w:rtl/>
        </w:rPr>
        <w:t>(</w:t>
      </w:r>
      <w:r w:rsidR="00411C20" w:rsidRPr="006C0DD4">
        <w:rPr>
          <w:rStyle w:val="FootnoteReference"/>
          <w:sz w:val="30"/>
          <w:rtl/>
        </w:rPr>
        <w:footnoteReference w:id="85"/>
      </w:r>
      <w:r w:rsidR="00411C20" w:rsidRPr="006C0DD4">
        <w:rPr>
          <w:rStyle w:val="FootnoteReference"/>
          <w:sz w:val="30"/>
          <w:rtl/>
        </w:rPr>
        <w:t>)</w:t>
      </w:r>
      <w:r w:rsidR="00411C20" w:rsidRPr="006C0DD4">
        <w:rPr>
          <w:rStyle w:val="FootnoteReference"/>
          <w:rFonts w:hint="cs"/>
          <w:sz w:val="30"/>
          <w:vertAlign w:val="baseline"/>
          <w:rtl/>
        </w:rPr>
        <w:t>.</w:t>
      </w:r>
    </w:p>
    <w:p w:rsidR="00D125E2" w:rsidRPr="006C0DD4" w:rsidRDefault="00D125E2" w:rsidP="00CD6281">
      <w:pPr>
        <w:pStyle w:val="SingleTxtGA"/>
        <w:rPr>
          <w:rtl/>
        </w:rPr>
      </w:pPr>
      <w:r w:rsidRPr="006C0DD4">
        <w:rPr>
          <w:rtl/>
        </w:rPr>
        <w:t>51-</w:t>
      </w:r>
      <w:r w:rsidRPr="006C0DD4">
        <w:rPr>
          <w:rtl/>
        </w:rPr>
        <w:tab/>
        <w:t xml:space="preserve">وقد اعترفت جهات فاعلة عديدة بأثر القوانين </w:t>
      </w:r>
      <w:r w:rsidRPr="006C0DD4">
        <w:rPr>
          <w:rFonts w:hint="cs"/>
          <w:rtl/>
        </w:rPr>
        <w:t>التي ت</w:t>
      </w:r>
      <w:r w:rsidRPr="006C0DD4">
        <w:rPr>
          <w:rtl/>
        </w:rPr>
        <w:t xml:space="preserve">جرِّم </w:t>
      </w:r>
      <w:r w:rsidRPr="006C0DD4">
        <w:rPr>
          <w:rFonts w:hint="cs"/>
          <w:rtl/>
        </w:rPr>
        <w:t xml:space="preserve">العلاقات </w:t>
      </w:r>
      <w:r w:rsidRPr="006C0DD4">
        <w:rPr>
          <w:rtl/>
        </w:rPr>
        <w:t>الجنسية</w:t>
      </w:r>
      <w:r w:rsidRPr="006C0DD4">
        <w:rPr>
          <w:rFonts w:hint="cs"/>
          <w:rtl/>
        </w:rPr>
        <w:t xml:space="preserve"> المثلية</w:t>
      </w:r>
      <w:r w:rsidRPr="006C0DD4">
        <w:rPr>
          <w:rtl/>
        </w:rPr>
        <w:t xml:space="preserve"> السلبي على الصحة، من بينها منظمة الصحة العالمية، وبرنامج الأمم المتحدة الإنمائي، وبرنامج الأمم المتحدة المشترك بين منظمات الأمم المتحدة لمكافحة الإيدز، وهيئات المعاهدات، وآلية الإجراءات الخاصة التابعة لمجلس حقوق الإنسان</w:t>
      </w:r>
      <w:r w:rsidR="00411C20" w:rsidRPr="006C0DD4">
        <w:rPr>
          <w:rStyle w:val="FootnoteReference"/>
          <w:sz w:val="30"/>
          <w:rtl/>
        </w:rPr>
        <w:t>(</w:t>
      </w:r>
      <w:r w:rsidR="00411C20" w:rsidRPr="006C0DD4">
        <w:rPr>
          <w:rStyle w:val="FootnoteReference"/>
          <w:sz w:val="30"/>
          <w:rtl/>
        </w:rPr>
        <w:footnoteReference w:id="86"/>
      </w:r>
      <w:r w:rsidR="00411C20" w:rsidRPr="006C0DD4">
        <w:rPr>
          <w:rStyle w:val="FootnoteReference"/>
          <w:sz w:val="30"/>
          <w:rtl/>
        </w:rPr>
        <w:t>)</w:t>
      </w:r>
      <w:r w:rsidR="00411C20" w:rsidRPr="006C0DD4">
        <w:rPr>
          <w:rFonts w:hint="cs"/>
          <w:rtl/>
        </w:rPr>
        <w:t>.</w:t>
      </w:r>
      <w:r w:rsidRPr="006C0DD4">
        <w:rPr>
          <w:rtl/>
        </w:rPr>
        <w:t xml:space="preserve"> </w:t>
      </w:r>
      <w:r w:rsidRPr="00CD6281">
        <w:rPr>
          <w:rtl/>
        </w:rPr>
        <w:t>فعلى سبيل المثال، كشفت اللجنة العالمية المعنية بفيروس نقص المناعة البشرية والقانون</w:t>
      </w:r>
      <w:r w:rsidR="00CD6281">
        <w:rPr>
          <w:rFonts w:hint="cs"/>
          <w:rtl/>
        </w:rPr>
        <w:t xml:space="preserve"> </w:t>
      </w:r>
      <w:r w:rsidRPr="006C0DD4">
        <w:rPr>
          <w:rtl/>
        </w:rPr>
        <w:t xml:space="preserve">عن أن معدل إصابة الرجال </w:t>
      </w:r>
      <w:r w:rsidRPr="006C0DD4">
        <w:rPr>
          <w:rFonts w:hint="cs"/>
          <w:rtl/>
        </w:rPr>
        <w:t xml:space="preserve">الذين يمارسون </w:t>
      </w:r>
      <w:r w:rsidRPr="006C0DD4">
        <w:rPr>
          <w:rtl/>
        </w:rPr>
        <w:t>العلاق</w:t>
      </w:r>
      <w:r w:rsidRPr="006C0DD4">
        <w:rPr>
          <w:rFonts w:hint="cs"/>
          <w:rtl/>
        </w:rPr>
        <w:t>ات</w:t>
      </w:r>
      <w:r w:rsidRPr="006C0DD4">
        <w:rPr>
          <w:rtl/>
        </w:rPr>
        <w:t xml:space="preserve"> الجنسية </w:t>
      </w:r>
      <w:r w:rsidRPr="006C0DD4">
        <w:rPr>
          <w:rFonts w:hint="cs"/>
          <w:rtl/>
        </w:rPr>
        <w:t xml:space="preserve">مع رجال آخرين </w:t>
      </w:r>
      <w:r w:rsidRPr="006C0DD4">
        <w:rPr>
          <w:rtl/>
        </w:rPr>
        <w:t xml:space="preserve">بفيروس نقص المناعة البشرية في بلدان الكاريبي التي </w:t>
      </w:r>
      <w:r w:rsidRPr="006C0DD4">
        <w:rPr>
          <w:rFonts w:hint="cs"/>
          <w:rtl/>
        </w:rPr>
        <w:t xml:space="preserve">لديها </w:t>
      </w:r>
      <w:r w:rsidRPr="006C0DD4">
        <w:rPr>
          <w:rtl/>
        </w:rPr>
        <w:t xml:space="preserve">قوانين تجرِّم </w:t>
      </w:r>
      <w:r w:rsidRPr="006C0DD4">
        <w:rPr>
          <w:rFonts w:hint="cs"/>
          <w:rtl/>
        </w:rPr>
        <w:t xml:space="preserve">العلاقات الجنسية </w:t>
      </w:r>
      <w:r w:rsidRPr="006C0DD4">
        <w:rPr>
          <w:rtl/>
        </w:rPr>
        <w:t xml:space="preserve">المثلية هو رجل من </w:t>
      </w:r>
      <w:r w:rsidRPr="006C0DD4">
        <w:rPr>
          <w:rFonts w:hint="cs"/>
          <w:rtl/>
        </w:rPr>
        <w:t xml:space="preserve">بين </w:t>
      </w:r>
      <w:r w:rsidRPr="006C0DD4">
        <w:rPr>
          <w:rtl/>
        </w:rPr>
        <w:t xml:space="preserve">كل أربعة رجال تقريباً، بينما يبلغ معدلها في بلدان الكاريبي التي </w:t>
      </w:r>
      <w:r w:rsidRPr="006C0DD4">
        <w:rPr>
          <w:rFonts w:hint="cs"/>
          <w:rtl/>
        </w:rPr>
        <w:t xml:space="preserve">ليس لديها مثل هذه </w:t>
      </w:r>
      <w:r w:rsidRPr="006C0DD4">
        <w:rPr>
          <w:rtl/>
        </w:rPr>
        <w:t xml:space="preserve">القوانين رجلاً </w:t>
      </w:r>
      <w:r w:rsidRPr="006C0DD4">
        <w:rPr>
          <w:rFonts w:hint="cs"/>
          <w:rtl/>
        </w:rPr>
        <w:t xml:space="preserve">واحداً </w:t>
      </w:r>
      <w:r w:rsidRPr="006C0DD4">
        <w:rPr>
          <w:rtl/>
        </w:rPr>
        <w:t xml:space="preserve">من </w:t>
      </w:r>
      <w:r w:rsidRPr="006C0DD4">
        <w:rPr>
          <w:rFonts w:hint="cs"/>
          <w:rtl/>
        </w:rPr>
        <w:t xml:space="preserve">بين </w:t>
      </w:r>
      <w:r w:rsidRPr="006C0DD4">
        <w:rPr>
          <w:rtl/>
        </w:rPr>
        <w:t>كل 15 رجلاً</w:t>
      </w:r>
      <w:r w:rsidR="00411C20" w:rsidRPr="006C0DD4">
        <w:rPr>
          <w:rStyle w:val="FootnoteReference"/>
          <w:sz w:val="30"/>
          <w:rtl/>
        </w:rPr>
        <w:t>(</w:t>
      </w:r>
      <w:r w:rsidR="00411C20" w:rsidRPr="006C0DD4">
        <w:rPr>
          <w:rStyle w:val="FootnoteReference"/>
          <w:sz w:val="30"/>
          <w:rtl/>
        </w:rPr>
        <w:footnoteReference w:id="87"/>
      </w:r>
      <w:r w:rsidR="00411C20" w:rsidRPr="006C0DD4">
        <w:rPr>
          <w:rStyle w:val="FootnoteReference"/>
          <w:sz w:val="30"/>
          <w:rtl/>
        </w:rPr>
        <w:t>)</w:t>
      </w:r>
      <w:r w:rsidR="00411C20" w:rsidRPr="006C0DD4">
        <w:rPr>
          <w:rFonts w:hint="cs"/>
          <w:rtl/>
        </w:rPr>
        <w:t>.</w:t>
      </w:r>
      <w:r w:rsidRPr="006C0DD4">
        <w:rPr>
          <w:rtl/>
        </w:rPr>
        <w:t xml:space="preserve"> </w:t>
      </w:r>
    </w:p>
    <w:p w:rsidR="00D125E2" w:rsidRPr="006C0DD4" w:rsidRDefault="00D125E2" w:rsidP="00411C20">
      <w:pPr>
        <w:pStyle w:val="SingleTxtGA"/>
        <w:rPr>
          <w:rtl/>
        </w:rPr>
      </w:pPr>
      <w:r w:rsidRPr="006C0DD4">
        <w:rPr>
          <w:rtl/>
        </w:rPr>
        <w:t>52-</w:t>
      </w:r>
      <w:r w:rsidRPr="006C0DD4">
        <w:rPr>
          <w:rtl/>
        </w:rPr>
        <w:tab/>
        <w:t>ويتزايد القلق بشأن ما</w:t>
      </w:r>
      <w:r w:rsidRPr="006C0DD4">
        <w:rPr>
          <w:rFonts w:hint="cs"/>
          <w:rtl/>
        </w:rPr>
        <w:t xml:space="preserve"> يسمى </w:t>
      </w:r>
      <w:r w:rsidRPr="006C0DD4">
        <w:rPr>
          <w:rtl/>
        </w:rPr>
        <w:t>"</w:t>
      </w:r>
      <w:r w:rsidR="00CD6281">
        <w:rPr>
          <w:rtl/>
        </w:rPr>
        <w:t>العلاجات التصحيحية للمثلية" الم</w:t>
      </w:r>
      <w:r w:rsidRPr="006C0DD4">
        <w:rPr>
          <w:rtl/>
        </w:rPr>
        <w:t>راد بها "معالجة" الانجذاب الجنسي المثلي. فقد انتُهي إلى أن هذه العلاجات غير أخلاقية وغير علمية وغير فعالة، وبمثابة التعذيب في بعض الحالات</w:t>
      </w:r>
      <w:r w:rsidRPr="006C0DD4">
        <w:rPr>
          <w:rFonts w:hint="cs"/>
          <w:rtl/>
        </w:rPr>
        <w:t xml:space="preserve"> -</w:t>
      </w:r>
      <w:r w:rsidRPr="006C0DD4">
        <w:rPr>
          <w:rtl/>
        </w:rPr>
        <w:t xml:space="preserve"> وهو ما أسفر عن نجاح مساعي الطعن فيها وحظرها قانوناً في عدة بلدان</w:t>
      </w:r>
      <w:r w:rsidR="00411C20" w:rsidRPr="006C0DD4">
        <w:rPr>
          <w:rStyle w:val="FootnoteReference"/>
          <w:sz w:val="30"/>
          <w:rtl/>
        </w:rPr>
        <w:t>(</w:t>
      </w:r>
      <w:r w:rsidR="00411C20" w:rsidRPr="006C0DD4">
        <w:rPr>
          <w:rStyle w:val="FootnoteReference"/>
          <w:sz w:val="30"/>
          <w:rtl/>
        </w:rPr>
        <w:footnoteReference w:id="88"/>
      </w:r>
      <w:r w:rsidR="00411C20" w:rsidRPr="006C0DD4">
        <w:rPr>
          <w:rStyle w:val="FootnoteReference"/>
          <w:sz w:val="30"/>
          <w:rtl/>
        </w:rPr>
        <w:t>)</w:t>
      </w:r>
      <w:r w:rsidR="00411C20" w:rsidRPr="006C0DD4">
        <w:rPr>
          <w:rFonts w:hint="cs"/>
          <w:rtl/>
        </w:rPr>
        <w:t>.</w:t>
      </w:r>
      <w:r w:rsidRPr="006C0DD4">
        <w:rPr>
          <w:rtl/>
        </w:rPr>
        <w:t xml:space="preserve"> وفي إكوادور، أُثيرت شواغل بشأن "عيادات إعادة التأهيل" </w:t>
      </w:r>
      <w:r w:rsidRPr="006C0DD4">
        <w:rPr>
          <w:rtl/>
        </w:rPr>
        <w:lastRenderedPageBreak/>
        <w:t>التي يُحتجز فيها قسراً كل من المثليات والشباب مغايري الهوية الجنسانية بالتواطؤ مع أفراد الأسرة ويتعرضون للتعذيب، بما في ذلك الاعتداء الجنسي</w:t>
      </w:r>
      <w:r w:rsidR="00411C20" w:rsidRPr="006C0DD4">
        <w:rPr>
          <w:rStyle w:val="FootnoteReference"/>
          <w:sz w:val="30"/>
          <w:rtl/>
        </w:rPr>
        <w:t>(</w:t>
      </w:r>
      <w:r w:rsidR="00411C20" w:rsidRPr="006C0DD4">
        <w:rPr>
          <w:rStyle w:val="FootnoteReference"/>
          <w:sz w:val="30"/>
          <w:rtl/>
        </w:rPr>
        <w:footnoteReference w:id="89"/>
      </w:r>
      <w:r w:rsidR="00411C20" w:rsidRPr="006C0DD4">
        <w:rPr>
          <w:rStyle w:val="FootnoteReference"/>
          <w:sz w:val="30"/>
          <w:rtl/>
        </w:rPr>
        <w:t>)</w:t>
      </w:r>
      <w:r w:rsidR="00411C20" w:rsidRPr="006C0DD4">
        <w:rPr>
          <w:rStyle w:val="FootnoteReference"/>
          <w:rFonts w:hint="cs"/>
          <w:sz w:val="30"/>
          <w:vertAlign w:val="baseline"/>
          <w:rtl/>
        </w:rPr>
        <w:t>.</w:t>
      </w:r>
    </w:p>
    <w:p w:rsidR="00D125E2" w:rsidRPr="006C0DD4" w:rsidRDefault="00D125E2" w:rsidP="00411C20">
      <w:pPr>
        <w:pStyle w:val="SingleTxtGA"/>
        <w:rPr>
          <w:rtl/>
        </w:rPr>
      </w:pPr>
      <w:r w:rsidRPr="006C0DD4">
        <w:rPr>
          <w:rtl/>
        </w:rPr>
        <w:t>53-</w:t>
      </w:r>
      <w:r w:rsidRPr="006C0DD4">
        <w:rPr>
          <w:rtl/>
        </w:rPr>
        <w:tab/>
        <w:t xml:space="preserve">ويخضع العديد من الأطفال حاملي صفات الجنسين، المولودين بسمات جنسية </w:t>
      </w:r>
      <w:r w:rsidRPr="006C0DD4">
        <w:rPr>
          <w:rFonts w:hint="cs"/>
          <w:rtl/>
        </w:rPr>
        <w:t>غير عادية</w:t>
      </w:r>
      <w:r w:rsidRPr="006C0DD4">
        <w:rPr>
          <w:rtl/>
        </w:rPr>
        <w:t>، لجراحات وعلاجات غير ضرورية طبياً في محاولة ل</w:t>
      </w:r>
      <w:r w:rsidRPr="006C0DD4">
        <w:rPr>
          <w:rFonts w:hint="cs"/>
          <w:rtl/>
        </w:rPr>
        <w:t xml:space="preserve">لتوفيق بين </w:t>
      </w:r>
      <w:r w:rsidRPr="006C0DD4">
        <w:rPr>
          <w:rtl/>
        </w:rPr>
        <w:t xml:space="preserve">مظهرهم البدني </w:t>
      </w:r>
      <w:r w:rsidRPr="006C0DD4">
        <w:rPr>
          <w:rFonts w:hint="cs"/>
          <w:rtl/>
        </w:rPr>
        <w:t>و</w:t>
      </w:r>
      <w:r w:rsidRPr="006C0DD4">
        <w:rPr>
          <w:rtl/>
        </w:rPr>
        <w:t>نمط</w:t>
      </w:r>
      <w:r w:rsidRPr="006C0DD4">
        <w:rPr>
          <w:rFonts w:hint="cs"/>
          <w:rtl/>
        </w:rPr>
        <w:t>هم الجنسي ال</w:t>
      </w:r>
      <w:r w:rsidRPr="006C0DD4">
        <w:rPr>
          <w:rtl/>
        </w:rPr>
        <w:t>ثنائي. وعادة ًما لا يمكن عكس أثر هذه الإجراءات وقد تُسبب معاناة جسدية ونفسية شديدة طويلة الأمد. ومن الجهات الفاعلة التي دعت إلى إنهاء هذه الممارس</w:t>
      </w:r>
      <w:r w:rsidRPr="006C0DD4">
        <w:rPr>
          <w:rFonts w:hint="cs"/>
          <w:rtl/>
        </w:rPr>
        <w:t>ات</w:t>
      </w:r>
      <w:r w:rsidRPr="006C0DD4">
        <w:rPr>
          <w:rtl/>
        </w:rPr>
        <w:t xml:space="preserve"> لجنة حقوق الطفل، ولجنة مناهضة التعذيب، والمكلّفان بولاي</w:t>
      </w:r>
      <w:r w:rsidRPr="006C0DD4">
        <w:rPr>
          <w:rFonts w:hint="cs"/>
          <w:rtl/>
        </w:rPr>
        <w:t>ة</w:t>
      </w:r>
      <w:r w:rsidRPr="006C0DD4">
        <w:rPr>
          <w:rtl/>
        </w:rPr>
        <w:t xml:space="preserve"> في إطار الإجراءات الخاصة المعنيان بالحق في الصحة، ومسألة التعذيب</w:t>
      </w:r>
      <w:r w:rsidR="00411C20" w:rsidRPr="006C0DD4">
        <w:rPr>
          <w:rStyle w:val="FootnoteReference"/>
          <w:sz w:val="30"/>
          <w:rtl/>
        </w:rPr>
        <w:t>(</w:t>
      </w:r>
      <w:r w:rsidR="00411C20" w:rsidRPr="006C0DD4">
        <w:rPr>
          <w:rStyle w:val="FootnoteReference"/>
          <w:sz w:val="30"/>
          <w:rtl/>
        </w:rPr>
        <w:footnoteReference w:id="90"/>
      </w:r>
      <w:r w:rsidR="00411C20" w:rsidRPr="006C0DD4">
        <w:rPr>
          <w:rStyle w:val="FootnoteReference"/>
          <w:sz w:val="30"/>
          <w:rtl/>
        </w:rPr>
        <w:t>)</w:t>
      </w:r>
      <w:r w:rsidR="00411C20" w:rsidRPr="006C0DD4">
        <w:rPr>
          <w:rStyle w:val="FootnoteReference"/>
          <w:rFonts w:hint="cs"/>
          <w:sz w:val="30"/>
          <w:vertAlign w:val="baseline"/>
          <w:rtl/>
        </w:rPr>
        <w:t>.</w:t>
      </w:r>
    </w:p>
    <w:p w:rsidR="00D125E2" w:rsidRPr="006C0DD4" w:rsidRDefault="00D125E2" w:rsidP="00411C20">
      <w:pPr>
        <w:pStyle w:val="SingleTxtGA"/>
        <w:rPr>
          <w:rtl/>
        </w:rPr>
      </w:pPr>
      <w:r w:rsidRPr="006C0DD4">
        <w:rPr>
          <w:rtl/>
        </w:rPr>
        <w:t>54-</w:t>
      </w:r>
      <w:r w:rsidRPr="006C0DD4">
        <w:rPr>
          <w:rtl/>
        </w:rPr>
        <w:tab/>
        <w:t>وغالباً ما يواجه الأشخاص مغايرو الهوية الجنسانية صعوبات كبيرة في إمكانية الحصول على الرعاية الصحية الملائمة. فقد لا يراعي المهنيون في مجال الرعاية الصحية احتياجاتهم ويفتقرون إلى المعرفة المتصلة بحالتهم ويعاملونهم على نحو تمييزي. وعادةً ما يكون العلاج المتعلق بإعادة الهوية الجنسانية، متى تيسّر، باهظ التكلفة. ويُفرض بالإكراه في بعض الحالات</w:t>
      </w:r>
      <w:r w:rsidR="00411C20" w:rsidRPr="006C0DD4">
        <w:rPr>
          <w:rStyle w:val="FootnoteReference"/>
          <w:sz w:val="30"/>
          <w:rtl/>
        </w:rPr>
        <w:t>(</w:t>
      </w:r>
      <w:r w:rsidR="00411C20" w:rsidRPr="006C0DD4">
        <w:rPr>
          <w:rStyle w:val="FootnoteReference"/>
          <w:sz w:val="30"/>
          <w:rtl/>
        </w:rPr>
        <w:footnoteReference w:id="91"/>
      </w:r>
      <w:r w:rsidR="00411C20" w:rsidRPr="006C0DD4">
        <w:rPr>
          <w:rStyle w:val="FootnoteReference"/>
          <w:sz w:val="30"/>
          <w:rtl/>
        </w:rPr>
        <w:t>)</w:t>
      </w:r>
      <w:r w:rsidR="00411C20" w:rsidRPr="006C0DD4">
        <w:rPr>
          <w:rFonts w:hint="cs"/>
          <w:rtl/>
        </w:rPr>
        <w:t>.</w:t>
      </w:r>
      <w:r w:rsidR="00411C20" w:rsidRPr="006C0DD4">
        <w:rPr>
          <w:rtl/>
        </w:rPr>
        <w:t xml:space="preserve"> </w:t>
      </w:r>
    </w:p>
    <w:p w:rsidR="00D125E2" w:rsidRPr="006C0DD4" w:rsidRDefault="00D125E2" w:rsidP="00D125E2">
      <w:pPr>
        <w:pStyle w:val="H23GA"/>
        <w:rPr>
          <w:rtl/>
        </w:rPr>
      </w:pPr>
      <w:r w:rsidRPr="006C0DD4">
        <w:rPr>
          <w:rFonts w:hint="cs"/>
          <w:rtl/>
        </w:rPr>
        <w:tab/>
      </w:r>
      <w:r w:rsidRPr="006C0DD4">
        <w:rPr>
          <w:rtl/>
        </w:rPr>
        <w:t>2-</w:t>
      </w:r>
      <w:r w:rsidRPr="006C0DD4">
        <w:rPr>
          <w:rtl/>
        </w:rPr>
        <w:tab/>
        <w:t>التعليم</w:t>
      </w:r>
    </w:p>
    <w:p w:rsidR="00D125E2" w:rsidRPr="006C0DD4" w:rsidRDefault="00D125E2" w:rsidP="00D125E2">
      <w:pPr>
        <w:pStyle w:val="SingleTxtGA"/>
        <w:rPr>
          <w:rtl/>
        </w:rPr>
      </w:pPr>
      <w:r w:rsidRPr="006C0DD4">
        <w:rPr>
          <w:rtl/>
        </w:rPr>
        <w:t>55-</w:t>
      </w:r>
      <w:r w:rsidRPr="006C0DD4">
        <w:rPr>
          <w:rtl/>
        </w:rPr>
        <w:tab/>
        <w:t xml:space="preserve">يتعرض العديد من الأطفال والمراهقين </w:t>
      </w:r>
      <w:r w:rsidRPr="006C0DD4">
        <w:rPr>
          <w:rFonts w:hint="cs"/>
          <w:rtl/>
        </w:rPr>
        <w:t xml:space="preserve">من </w:t>
      </w:r>
      <w:r w:rsidRPr="006C0DD4">
        <w:rPr>
          <w:rtl/>
        </w:rPr>
        <w:t xml:space="preserve">المثليات والمثليين ومزدوجي الميل الجنسي ومغايري الهوية الجنسانية، أو </w:t>
      </w:r>
      <w:r w:rsidRPr="006C0DD4">
        <w:rPr>
          <w:rFonts w:hint="cs"/>
          <w:rtl/>
        </w:rPr>
        <w:t>ال</w:t>
      </w:r>
      <w:r w:rsidRPr="006C0DD4">
        <w:rPr>
          <w:rtl/>
        </w:rPr>
        <w:t>مخالفين لنوع جنسهم الفعلي، للتمييز والمضايقة، والإيذاء العنيف في بعض الحالات، داخل المدرسة وخارجها على حد سواء</w:t>
      </w:r>
      <w:r w:rsidR="00411C20" w:rsidRPr="006C0DD4">
        <w:rPr>
          <w:rStyle w:val="FootnoteReference"/>
          <w:sz w:val="30"/>
          <w:rtl/>
        </w:rPr>
        <w:t>(</w:t>
      </w:r>
      <w:r w:rsidR="00411C20" w:rsidRPr="006C0DD4">
        <w:rPr>
          <w:rStyle w:val="FootnoteReference"/>
          <w:sz w:val="30"/>
          <w:rtl/>
        </w:rPr>
        <w:footnoteReference w:id="92"/>
      </w:r>
      <w:r w:rsidR="00411C20" w:rsidRPr="006C0DD4">
        <w:rPr>
          <w:rStyle w:val="FootnoteReference"/>
          <w:sz w:val="30"/>
          <w:rtl/>
        </w:rPr>
        <w:t>)</w:t>
      </w:r>
      <w:r w:rsidR="00A941CA" w:rsidRPr="006C0DD4">
        <w:rPr>
          <w:rFonts w:hint="cs"/>
          <w:rtl/>
        </w:rPr>
        <w:t>.</w:t>
      </w:r>
      <w:r w:rsidRPr="006C0DD4">
        <w:rPr>
          <w:rtl/>
        </w:rPr>
        <w:t xml:space="preserve"> وقد </w:t>
      </w:r>
      <w:r w:rsidRPr="006C0DD4">
        <w:rPr>
          <w:rFonts w:hint="cs"/>
          <w:rtl/>
        </w:rPr>
        <w:t xml:space="preserve">تحمل </w:t>
      </w:r>
      <w:r w:rsidRPr="006C0DD4">
        <w:rPr>
          <w:rtl/>
        </w:rPr>
        <w:t>هذه الاعتداءات الطلاب على عدم الذهاب إلى المدرسة أو التسرّب منها، وتُسبب مشاعر العزلة والاكتئاب، بل قد تؤدي إلى الانتحار.</w:t>
      </w:r>
    </w:p>
    <w:p w:rsidR="00D125E2" w:rsidRPr="006C0DD4" w:rsidRDefault="00D125E2" w:rsidP="00A941CA">
      <w:pPr>
        <w:pStyle w:val="SingleTxtGA"/>
        <w:rPr>
          <w:rtl/>
        </w:rPr>
      </w:pPr>
      <w:r w:rsidRPr="006C0DD4">
        <w:rPr>
          <w:rtl/>
        </w:rPr>
        <w:t>56-</w:t>
      </w:r>
      <w:r w:rsidRPr="006C0DD4">
        <w:rPr>
          <w:rtl/>
        </w:rPr>
        <w:tab/>
        <w:t xml:space="preserve">وقد سُجلت في جميع </w:t>
      </w:r>
      <w:r w:rsidRPr="006C0DD4">
        <w:rPr>
          <w:rFonts w:hint="cs"/>
          <w:rtl/>
        </w:rPr>
        <w:t>أنحاء</w:t>
      </w:r>
      <w:r w:rsidRPr="006C0DD4">
        <w:rPr>
          <w:rtl/>
        </w:rPr>
        <w:t xml:space="preserve"> العالم معدلات تحرّش مرتفعة في المدارس. </w:t>
      </w:r>
      <w:r w:rsidRPr="006C0DD4">
        <w:rPr>
          <w:rFonts w:hint="cs"/>
          <w:rtl/>
        </w:rPr>
        <w:t>و</w:t>
      </w:r>
      <w:r w:rsidRPr="006C0DD4">
        <w:rPr>
          <w:rtl/>
        </w:rPr>
        <w:t xml:space="preserve">انتهت دراسة أجراها الاتحاد الأوروبي إلى أن 80 في المائة من الأطفال في سن المدرسة </w:t>
      </w:r>
      <w:r w:rsidRPr="006C0DD4">
        <w:rPr>
          <w:rFonts w:hint="cs"/>
          <w:rtl/>
        </w:rPr>
        <w:t>الذين تم ا</w:t>
      </w:r>
      <w:r w:rsidRPr="006C0DD4">
        <w:rPr>
          <w:rtl/>
        </w:rPr>
        <w:t>ستجو</w:t>
      </w:r>
      <w:r w:rsidRPr="006C0DD4">
        <w:rPr>
          <w:rFonts w:hint="cs"/>
          <w:rtl/>
        </w:rPr>
        <w:t>ابهم</w:t>
      </w:r>
      <w:r w:rsidRPr="006C0DD4">
        <w:rPr>
          <w:rtl/>
        </w:rPr>
        <w:t xml:space="preserve"> يسمعون تعليقات</w:t>
      </w:r>
      <w:r w:rsidRPr="006C0DD4">
        <w:rPr>
          <w:rFonts w:hint="cs"/>
          <w:rtl/>
        </w:rPr>
        <w:t xml:space="preserve"> س</w:t>
      </w:r>
      <w:r w:rsidRPr="006C0DD4">
        <w:rPr>
          <w:rtl/>
        </w:rPr>
        <w:t>لبية أو يرون سلوكيات</w:t>
      </w:r>
      <w:r w:rsidRPr="006C0DD4">
        <w:rPr>
          <w:rFonts w:hint="cs"/>
          <w:rtl/>
        </w:rPr>
        <w:t xml:space="preserve"> </w:t>
      </w:r>
      <w:r w:rsidRPr="006C0DD4">
        <w:rPr>
          <w:rtl/>
        </w:rPr>
        <w:t>سلبية موجّهة نحو زملائهم</w:t>
      </w:r>
      <w:r w:rsidRPr="006C0DD4">
        <w:rPr>
          <w:rFonts w:hint="cs"/>
          <w:rtl/>
        </w:rPr>
        <w:t xml:space="preserve"> من </w:t>
      </w:r>
      <w:r w:rsidRPr="006C0DD4">
        <w:rPr>
          <w:rtl/>
        </w:rPr>
        <w:t>المثليات والمثليين ومزدوجي الميل الجنسي ومغايري الهوية الجنسانية</w:t>
      </w:r>
      <w:r w:rsidR="00411C20" w:rsidRPr="006C0DD4">
        <w:rPr>
          <w:rStyle w:val="FootnoteReference"/>
          <w:sz w:val="30"/>
          <w:rtl/>
        </w:rPr>
        <w:t>(</w:t>
      </w:r>
      <w:r w:rsidR="00411C20" w:rsidRPr="006C0DD4">
        <w:rPr>
          <w:rStyle w:val="FootnoteReference"/>
          <w:sz w:val="30"/>
          <w:rtl/>
        </w:rPr>
        <w:footnoteReference w:id="93"/>
      </w:r>
      <w:r w:rsidR="00411C20" w:rsidRPr="006C0DD4">
        <w:rPr>
          <w:rStyle w:val="FootnoteReference"/>
          <w:sz w:val="30"/>
          <w:rtl/>
        </w:rPr>
        <w:t>)</w:t>
      </w:r>
      <w:r w:rsidR="00A941CA" w:rsidRPr="006C0DD4">
        <w:rPr>
          <w:rFonts w:hint="cs"/>
          <w:rtl/>
        </w:rPr>
        <w:t>.</w:t>
      </w:r>
      <w:r w:rsidRPr="006C0DD4">
        <w:rPr>
          <w:rtl/>
        </w:rPr>
        <w:t xml:space="preserve"> وخلصت دراسة استقصائية أجرتها منظمة الأمم المتحدة للتربية والعلم والثقافة (اليونسكو) على الطلاب في تايلاند إلى أن ما يربو على نصف المثليات والمثليين ومزدوجي الميل الجنسي ومغايري الهوية الجنسانية </w:t>
      </w:r>
      <w:r w:rsidRPr="006C0DD4">
        <w:rPr>
          <w:rFonts w:hint="cs"/>
          <w:rtl/>
        </w:rPr>
        <w:t>الذين أجابوا ع</w:t>
      </w:r>
      <w:r w:rsidRPr="006C0DD4">
        <w:rPr>
          <w:rtl/>
        </w:rPr>
        <w:t xml:space="preserve">لى </w:t>
      </w:r>
      <w:r w:rsidRPr="006C0DD4">
        <w:rPr>
          <w:rtl/>
        </w:rPr>
        <w:lastRenderedPageBreak/>
        <w:t>الاستقصاء قد تعرضوا للتحرش في المدرسة في الشهر السابق، وأن أكثر من 30 في المائة منهم قد اعتُدي عليهم جسدياً</w:t>
      </w:r>
      <w:r w:rsidR="00411C20" w:rsidRPr="006C0DD4">
        <w:rPr>
          <w:rStyle w:val="FootnoteReference"/>
          <w:sz w:val="30"/>
          <w:rtl/>
        </w:rPr>
        <w:t>(</w:t>
      </w:r>
      <w:r w:rsidR="00411C20" w:rsidRPr="006C0DD4">
        <w:rPr>
          <w:rStyle w:val="FootnoteReference"/>
          <w:sz w:val="30"/>
          <w:rtl/>
        </w:rPr>
        <w:footnoteReference w:id="94"/>
      </w:r>
      <w:r w:rsidR="00411C20" w:rsidRPr="006C0DD4">
        <w:rPr>
          <w:rStyle w:val="FootnoteReference"/>
          <w:sz w:val="30"/>
          <w:rtl/>
        </w:rPr>
        <w:t>)</w:t>
      </w:r>
      <w:r w:rsidR="00A941CA" w:rsidRPr="006C0DD4">
        <w:rPr>
          <w:rFonts w:hint="cs"/>
          <w:rtl/>
        </w:rPr>
        <w:t>.</w:t>
      </w:r>
      <w:r w:rsidRPr="006C0DD4">
        <w:rPr>
          <w:rtl/>
        </w:rPr>
        <w:t xml:space="preserve"> و</w:t>
      </w:r>
      <w:r w:rsidRPr="006C0DD4">
        <w:rPr>
          <w:rFonts w:hint="cs"/>
          <w:rtl/>
        </w:rPr>
        <w:t xml:space="preserve">يتفق ذلك مع </w:t>
      </w:r>
      <w:r w:rsidRPr="006C0DD4">
        <w:rPr>
          <w:rtl/>
        </w:rPr>
        <w:t xml:space="preserve">النتائج </w:t>
      </w:r>
      <w:r w:rsidRPr="006C0DD4">
        <w:rPr>
          <w:rFonts w:hint="cs"/>
          <w:rtl/>
        </w:rPr>
        <w:t xml:space="preserve">التي أسفرت عنها </w:t>
      </w:r>
      <w:r w:rsidRPr="006C0DD4">
        <w:rPr>
          <w:rtl/>
        </w:rPr>
        <w:t>الدراسات التي أُجريت في بلدان أخرى.</w:t>
      </w:r>
    </w:p>
    <w:p w:rsidR="00D125E2" w:rsidRPr="006C0DD4" w:rsidRDefault="00D125E2" w:rsidP="00A941CA">
      <w:pPr>
        <w:pStyle w:val="SingleTxtGA"/>
        <w:rPr>
          <w:rtl/>
        </w:rPr>
      </w:pPr>
      <w:r w:rsidRPr="006C0DD4">
        <w:rPr>
          <w:rtl/>
        </w:rPr>
        <w:t>57-</w:t>
      </w:r>
      <w:r w:rsidRPr="006C0DD4">
        <w:rPr>
          <w:rtl/>
        </w:rPr>
        <w:tab/>
        <w:t xml:space="preserve">وقد يسهم الحد من المعلومات المتعلقة بالسمات الجنسية، أو منعها، أو استخدام مواد إعلامية تتضمن قوالب نمطية ومظاهر تحيّز في نشوء ظاهرة العنف ويعرِّض الشباب </w:t>
      </w:r>
      <w:r w:rsidRPr="006C0DD4">
        <w:rPr>
          <w:rFonts w:hint="cs"/>
          <w:rtl/>
        </w:rPr>
        <w:t xml:space="preserve">من </w:t>
      </w:r>
      <w:r w:rsidRPr="006C0DD4">
        <w:rPr>
          <w:rtl/>
        </w:rPr>
        <w:t>المثليات والمثليين ومزدوجي الميل الجنسي ومغايري الهوية الجنسانية لمخاطر صحية</w:t>
      </w:r>
      <w:r w:rsidR="00411C20" w:rsidRPr="006C0DD4">
        <w:rPr>
          <w:rStyle w:val="FootnoteReference"/>
          <w:sz w:val="30"/>
          <w:rtl/>
        </w:rPr>
        <w:t>(</w:t>
      </w:r>
      <w:r w:rsidR="00411C20" w:rsidRPr="006C0DD4">
        <w:rPr>
          <w:rStyle w:val="FootnoteReference"/>
          <w:sz w:val="30"/>
          <w:rtl/>
        </w:rPr>
        <w:footnoteReference w:id="95"/>
      </w:r>
      <w:r w:rsidR="00411C20" w:rsidRPr="006C0DD4">
        <w:rPr>
          <w:rStyle w:val="FootnoteReference"/>
          <w:sz w:val="30"/>
          <w:rtl/>
        </w:rPr>
        <w:t>)</w:t>
      </w:r>
      <w:r w:rsidR="00A941CA" w:rsidRPr="006C0DD4">
        <w:rPr>
          <w:rFonts w:hint="cs"/>
          <w:rtl/>
        </w:rPr>
        <w:t>.</w:t>
      </w:r>
      <w:r w:rsidRPr="006C0DD4">
        <w:rPr>
          <w:rtl/>
        </w:rPr>
        <w:t xml:space="preserve"> ويشكل التثقيف الجنسي الشامل جزءاً من الحق في التعليم ويمكن أن يكون أداةً لمكافحة التمييز.</w:t>
      </w:r>
    </w:p>
    <w:p w:rsidR="00D125E2" w:rsidRPr="006C0DD4" w:rsidRDefault="00D125E2" w:rsidP="00D125E2">
      <w:pPr>
        <w:pStyle w:val="H23GA"/>
        <w:rPr>
          <w:rtl/>
        </w:rPr>
      </w:pPr>
      <w:r w:rsidRPr="006C0DD4">
        <w:rPr>
          <w:rFonts w:hint="cs"/>
          <w:rtl/>
        </w:rPr>
        <w:tab/>
      </w:r>
      <w:r w:rsidRPr="006C0DD4">
        <w:rPr>
          <w:rtl/>
        </w:rPr>
        <w:t>3-</w:t>
      </w:r>
      <w:r w:rsidRPr="006C0DD4">
        <w:rPr>
          <w:rtl/>
        </w:rPr>
        <w:tab/>
        <w:t>العمل</w:t>
      </w:r>
    </w:p>
    <w:p w:rsidR="00D125E2" w:rsidRPr="006C0DD4" w:rsidRDefault="00D125E2" w:rsidP="00A941CA">
      <w:pPr>
        <w:pStyle w:val="SingleTxtGA"/>
        <w:rPr>
          <w:rFonts w:ascii="Traditional Arabic" w:hAnsi="Traditional Arabic"/>
          <w:b/>
          <w:bCs/>
          <w:rtl/>
        </w:rPr>
      </w:pPr>
      <w:r w:rsidRPr="006C0DD4">
        <w:rPr>
          <w:rtl/>
        </w:rPr>
        <w:t>58-</w:t>
      </w:r>
      <w:r w:rsidRPr="006C0DD4">
        <w:rPr>
          <w:rtl/>
        </w:rPr>
        <w:tab/>
        <w:t xml:space="preserve">لا توفر القوانين الوطنية في معظم الدول الحماية الكافية من التمييز </w:t>
      </w:r>
      <w:r w:rsidRPr="006C0DD4">
        <w:rPr>
          <w:rFonts w:hint="cs"/>
          <w:rtl/>
        </w:rPr>
        <w:t xml:space="preserve">في </w:t>
      </w:r>
      <w:r w:rsidRPr="006C0DD4">
        <w:rPr>
          <w:rtl/>
        </w:rPr>
        <w:t>العمل على أساس الميل الجنسي والهوية الجنسانية</w:t>
      </w:r>
      <w:r w:rsidR="00411C20" w:rsidRPr="006C0DD4">
        <w:rPr>
          <w:rStyle w:val="FootnoteReference"/>
          <w:sz w:val="30"/>
          <w:rtl/>
        </w:rPr>
        <w:t>(</w:t>
      </w:r>
      <w:r w:rsidR="00411C20" w:rsidRPr="006C0DD4">
        <w:rPr>
          <w:rStyle w:val="FootnoteReference"/>
          <w:sz w:val="30"/>
          <w:rtl/>
        </w:rPr>
        <w:footnoteReference w:id="96"/>
      </w:r>
      <w:r w:rsidR="00411C20" w:rsidRPr="006C0DD4">
        <w:rPr>
          <w:rStyle w:val="FootnoteReference"/>
          <w:sz w:val="30"/>
          <w:rtl/>
        </w:rPr>
        <w:t>)</w:t>
      </w:r>
      <w:r w:rsidR="00A941CA" w:rsidRPr="006C0DD4">
        <w:rPr>
          <w:rFonts w:hint="cs"/>
          <w:rtl/>
        </w:rPr>
        <w:t>.</w:t>
      </w:r>
      <w:r w:rsidRPr="006C0DD4">
        <w:rPr>
          <w:rtl/>
        </w:rPr>
        <w:t xml:space="preserve"> وفي غياب هذه القوانين، قد يفصل أرباب العمل الأشخاص من العمل أو يرفضون تشغيلهم أو ترقيتهم لمجرد أنهم </w:t>
      </w:r>
      <w:r w:rsidRPr="006C0DD4">
        <w:rPr>
          <w:rFonts w:hint="cs"/>
          <w:rtl/>
        </w:rPr>
        <w:t xml:space="preserve">من </w:t>
      </w:r>
      <w:r w:rsidRPr="006C0DD4">
        <w:rPr>
          <w:rtl/>
        </w:rPr>
        <w:t>المثليات والمثليين ومزدوجي الميل الجنسي ومغايري الهوية الجنسانية</w:t>
      </w:r>
      <w:r w:rsidR="00411C20" w:rsidRPr="006C0DD4">
        <w:rPr>
          <w:rStyle w:val="FootnoteReference"/>
          <w:sz w:val="30"/>
          <w:rtl/>
        </w:rPr>
        <w:t>(</w:t>
      </w:r>
      <w:r w:rsidR="00411C20" w:rsidRPr="006C0DD4">
        <w:rPr>
          <w:rStyle w:val="FootnoteReference"/>
          <w:sz w:val="30"/>
          <w:rtl/>
        </w:rPr>
        <w:footnoteReference w:id="97"/>
      </w:r>
      <w:r w:rsidR="00411C20" w:rsidRPr="006C0DD4">
        <w:rPr>
          <w:rStyle w:val="FootnoteReference"/>
          <w:sz w:val="30"/>
          <w:rtl/>
        </w:rPr>
        <w:t>)</w:t>
      </w:r>
      <w:r w:rsidR="00A941CA" w:rsidRPr="006C0DD4">
        <w:rPr>
          <w:rFonts w:hint="cs"/>
          <w:rtl/>
        </w:rPr>
        <w:t>.</w:t>
      </w:r>
      <w:r w:rsidRPr="006C0DD4">
        <w:rPr>
          <w:rtl/>
        </w:rPr>
        <w:t xml:space="preserve"> وفي حال وجود هذه القوانين، قد لا تُطبَّق تطبيقاً تاماً. فقد يُحرم الموظفون</w:t>
      </w:r>
      <w:r w:rsidRPr="006C0DD4">
        <w:rPr>
          <w:rFonts w:hint="cs"/>
          <w:rtl/>
        </w:rPr>
        <w:t xml:space="preserve"> من </w:t>
      </w:r>
      <w:r w:rsidRPr="006C0DD4">
        <w:rPr>
          <w:rtl/>
        </w:rPr>
        <w:t xml:space="preserve">المثليات والمثليين ومزدوجي الميل الجنسي ومغايري الهوية الجنسانية من الاستحقاقات التي تتيحها أماكن العمل لنظرائهم </w:t>
      </w:r>
      <w:r w:rsidRPr="006C0DD4">
        <w:rPr>
          <w:rFonts w:hint="cs"/>
          <w:rtl/>
        </w:rPr>
        <w:t xml:space="preserve">من </w:t>
      </w:r>
      <w:r w:rsidRPr="006C0DD4">
        <w:rPr>
          <w:rtl/>
        </w:rPr>
        <w:t xml:space="preserve">غير المثليات والمثليين ومزدوجي الميل الجنسي ومغايري الهوية الجنسانية. وتشير الدراسات الاستقصائية ذات الصلة إلى أن التمييز والمضايقة اللفظية وغيرها من أشكال المضايقات في مكان العمل ممارسات </w:t>
      </w:r>
      <w:r w:rsidRPr="006C0DD4">
        <w:rPr>
          <w:rFonts w:hint="cs"/>
          <w:rtl/>
        </w:rPr>
        <w:t>مألوفة</w:t>
      </w:r>
      <w:r w:rsidR="00411C20" w:rsidRPr="006C0DD4">
        <w:rPr>
          <w:rStyle w:val="FootnoteReference"/>
          <w:sz w:val="30"/>
          <w:rtl/>
        </w:rPr>
        <w:t>(</w:t>
      </w:r>
      <w:r w:rsidR="00411C20" w:rsidRPr="006C0DD4">
        <w:rPr>
          <w:rStyle w:val="FootnoteReference"/>
          <w:sz w:val="30"/>
          <w:rtl/>
        </w:rPr>
        <w:footnoteReference w:id="98"/>
      </w:r>
      <w:r w:rsidR="00411C20" w:rsidRPr="006C0DD4">
        <w:rPr>
          <w:rStyle w:val="FootnoteReference"/>
          <w:sz w:val="30"/>
          <w:rtl/>
        </w:rPr>
        <w:t>)</w:t>
      </w:r>
      <w:r w:rsidR="00A941CA" w:rsidRPr="006C0DD4">
        <w:rPr>
          <w:rStyle w:val="FootnoteReference"/>
          <w:rFonts w:hint="cs"/>
          <w:sz w:val="30"/>
          <w:vertAlign w:val="baseline"/>
          <w:rtl/>
        </w:rPr>
        <w:t>.</w:t>
      </w:r>
    </w:p>
    <w:p w:rsidR="00D125E2" w:rsidRPr="006C0DD4" w:rsidRDefault="00D125E2" w:rsidP="00D125E2">
      <w:pPr>
        <w:pStyle w:val="H23GA"/>
        <w:rPr>
          <w:rtl/>
        </w:rPr>
      </w:pPr>
      <w:r w:rsidRPr="006C0DD4">
        <w:rPr>
          <w:rFonts w:hint="cs"/>
          <w:rtl/>
        </w:rPr>
        <w:tab/>
      </w:r>
      <w:r w:rsidRPr="006C0DD4">
        <w:rPr>
          <w:rtl/>
        </w:rPr>
        <w:t>4-</w:t>
      </w:r>
      <w:r w:rsidRPr="006C0DD4">
        <w:rPr>
          <w:rtl/>
        </w:rPr>
        <w:tab/>
        <w:t>السكن</w:t>
      </w:r>
    </w:p>
    <w:p w:rsidR="00D125E2" w:rsidRPr="00072A6E" w:rsidRDefault="00D125E2" w:rsidP="00431C0A">
      <w:pPr>
        <w:pStyle w:val="SingleTxtGA"/>
        <w:rPr>
          <w:spacing w:val="-3"/>
          <w:rtl/>
        </w:rPr>
      </w:pPr>
      <w:r w:rsidRPr="00072A6E">
        <w:rPr>
          <w:spacing w:val="-3"/>
          <w:rtl/>
        </w:rPr>
        <w:t>59-</w:t>
      </w:r>
      <w:r w:rsidRPr="00072A6E">
        <w:rPr>
          <w:spacing w:val="-3"/>
          <w:rtl/>
        </w:rPr>
        <w:tab/>
        <w:t xml:space="preserve">قد </w:t>
      </w:r>
      <w:r w:rsidRPr="00072A6E">
        <w:rPr>
          <w:rFonts w:hint="cs"/>
          <w:spacing w:val="-3"/>
          <w:rtl/>
        </w:rPr>
        <w:t>ي</w:t>
      </w:r>
      <w:r w:rsidRPr="00072A6E">
        <w:rPr>
          <w:spacing w:val="-3"/>
          <w:rtl/>
        </w:rPr>
        <w:t xml:space="preserve">تعرض </w:t>
      </w:r>
      <w:r w:rsidRPr="00072A6E">
        <w:rPr>
          <w:rFonts w:hint="cs"/>
          <w:spacing w:val="-3"/>
          <w:rtl/>
        </w:rPr>
        <w:t>المثليون و</w:t>
      </w:r>
      <w:r w:rsidRPr="00072A6E">
        <w:rPr>
          <w:spacing w:val="-3"/>
          <w:rtl/>
        </w:rPr>
        <w:t>المثليات ومزدوجو الميل الجنسي ومغ</w:t>
      </w:r>
      <w:r w:rsidRPr="00072A6E">
        <w:rPr>
          <w:rFonts w:hint="cs"/>
          <w:spacing w:val="-3"/>
          <w:rtl/>
        </w:rPr>
        <w:t>اير</w:t>
      </w:r>
      <w:r w:rsidRPr="00072A6E">
        <w:rPr>
          <w:spacing w:val="-3"/>
          <w:rtl/>
        </w:rPr>
        <w:t xml:space="preserve">و الهوية الجنسانية للتمييز في إمكانية الحصول على سكن نتيجةً للمعاملة غير العادلة التي يتلقونها من </w:t>
      </w:r>
      <w:r w:rsidRPr="00072A6E">
        <w:rPr>
          <w:rFonts w:hint="cs"/>
          <w:spacing w:val="-3"/>
          <w:rtl/>
        </w:rPr>
        <w:t xml:space="preserve">أصحاب المساكن </w:t>
      </w:r>
      <w:r w:rsidRPr="00072A6E">
        <w:rPr>
          <w:spacing w:val="-3"/>
          <w:rtl/>
        </w:rPr>
        <w:t>العام</w:t>
      </w:r>
      <w:r w:rsidRPr="00072A6E">
        <w:rPr>
          <w:rFonts w:hint="cs"/>
          <w:spacing w:val="-3"/>
          <w:rtl/>
        </w:rPr>
        <w:t>ة</w:t>
      </w:r>
      <w:r w:rsidRPr="00072A6E">
        <w:rPr>
          <w:spacing w:val="-3"/>
          <w:rtl/>
        </w:rPr>
        <w:t xml:space="preserve"> </w:t>
      </w:r>
      <w:r w:rsidRPr="00072A6E">
        <w:rPr>
          <w:rFonts w:hint="cs"/>
          <w:spacing w:val="-3"/>
          <w:rtl/>
        </w:rPr>
        <w:t>أ</w:t>
      </w:r>
      <w:r w:rsidRPr="00072A6E">
        <w:rPr>
          <w:spacing w:val="-3"/>
          <w:rtl/>
        </w:rPr>
        <w:t>و</w:t>
      </w:r>
      <w:r w:rsidRPr="00072A6E">
        <w:rPr>
          <w:rFonts w:hint="cs"/>
          <w:spacing w:val="-3"/>
          <w:rtl/>
        </w:rPr>
        <w:t xml:space="preserve"> </w:t>
      </w:r>
      <w:r w:rsidRPr="00072A6E">
        <w:rPr>
          <w:spacing w:val="-3"/>
          <w:rtl/>
        </w:rPr>
        <w:t>الخاص</w:t>
      </w:r>
      <w:r w:rsidRPr="00072A6E">
        <w:rPr>
          <w:rFonts w:hint="cs"/>
          <w:spacing w:val="-3"/>
          <w:rtl/>
        </w:rPr>
        <w:t>ة</w:t>
      </w:r>
      <w:r w:rsidRPr="00072A6E">
        <w:rPr>
          <w:spacing w:val="-3"/>
          <w:rtl/>
        </w:rPr>
        <w:t xml:space="preserve">. </w:t>
      </w:r>
      <w:r w:rsidRPr="00072A6E">
        <w:rPr>
          <w:rFonts w:hint="cs"/>
          <w:spacing w:val="-3"/>
          <w:rtl/>
        </w:rPr>
        <w:t>و</w:t>
      </w:r>
      <w:r w:rsidRPr="00072A6E">
        <w:rPr>
          <w:spacing w:val="-3"/>
          <w:rtl/>
        </w:rPr>
        <w:t>من الشواغل الم</w:t>
      </w:r>
      <w:r w:rsidRPr="00072A6E">
        <w:rPr>
          <w:rFonts w:hint="cs"/>
          <w:spacing w:val="-3"/>
          <w:rtl/>
        </w:rPr>
        <w:t>ث</w:t>
      </w:r>
      <w:r w:rsidRPr="00072A6E">
        <w:rPr>
          <w:spacing w:val="-3"/>
          <w:rtl/>
        </w:rPr>
        <w:t>ارة في هذا السياق رفض التأجير ل</w:t>
      </w:r>
      <w:r w:rsidRPr="00072A6E">
        <w:rPr>
          <w:rFonts w:hint="cs"/>
          <w:spacing w:val="-3"/>
          <w:rtl/>
        </w:rPr>
        <w:t>ل</w:t>
      </w:r>
      <w:r w:rsidRPr="00072A6E">
        <w:rPr>
          <w:spacing w:val="-3"/>
          <w:rtl/>
        </w:rPr>
        <w:t>مثليات والمثليين ومزدوجي الميل الجنسي ومغايري الهوية الجنسانية والشركاء من نفس نوع الجنس و</w:t>
      </w:r>
      <w:r w:rsidRPr="00072A6E">
        <w:rPr>
          <w:rFonts w:hint="cs"/>
          <w:spacing w:val="-3"/>
          <w:rtl/>
        </w:rPr>
        <w:t>طردهم م</w:t>
      </w:r>
      <w:r w:rsidRPr="00072A6E">
        <w:rPr>
          <w:spacing w:val="-3"/>
          <w:rtl/>
        </w:rPr>
        <w:t>ن</w:t>
      </w:r>
      <w:r w:rsidR="007A36C5" w:rsidRPr="00072A6E">
        <w:rPr>
          <w:rFonts w:hint="cs"/>
          <w:spacing w:val="-3"/>
          <w:rtl/>
        </w:rPr>
        <w:t> </w:t>
      </w:r>
      <w:r w:rsidRPr="00072A6E">
        <w:rPr>
          <w:spacing w:val="-3"/>
          <w:rtl/>
        </w:rPr>
        <w:t>المساكن العامة</w:t>
      </w:r>
      <w:r w:rsidR="00411C20" w:rsidRPr="00072A6E">
        <w:rPr>
          <w:rStyle w:val="FootnoteReference"/>
          <w:rFonts w:ascii="Traditional Arabic" w:hAnsi="Traditional Arabic"/>
          <w:spacing w:val="-3"/>
          <w:sz w:val="30"/>
          <w:rtl/>
        </w:rPr>
        <w:t>(</w:t>
      </w:r>
      <w:r w:rsidR="00411C20" w:rsidRPr="00072A6E">
        <w:rPr>
          <w:rStyle w:val="FootnoteReference"/>
          <w:rFonts w:ascii="Traditional Arabic" w:hAnsi="Traditional Arabic"/>
          <w:spacing w:val="-3"/>
          <w:sz w:val="30"/>
          <w:rtl/>
        </w:rPr>
        <w:footnoteReference w:id="99"/>
      </w:r>
      <w:r w:rsidR="00411C20" w:rsidRPr="00072A6E">
        <w:rPr>
          <w:rStyle w:val="FootnoteReference"/>
          <w:rFonts w:ascii="Traditional Arabic" w:hAnsi="Traditional Arabic"/>
          <w:spacing w:val="-3"/>
          <w:sz w:val="30"/>
          <w:rtl/>
        </w:rPr>
        <w:t>)</w:t>
      </w:r>
      <w:r w:rsidR="00A941CA" w:rsidRPr="00072A6E">
        <w:rPr>
          <w:rFonts w:hint="cs"/>
          <w:spacing w:val="-3"/>
          <w:rtl/>
        </w:rPr>
        <w:t>،</w:t>
      </w:r>
      <w:r w:rsidRPr="00072A6E">
        <w:rPr>
          <w:spacing w:val="-3"/>
          <w:rtl/>
        </w:rPr>
        <w:t xml:space="preserve"> </w:t>
      </w:r>
      <w:r w:rsidRPr="00072A6E">
        <w:rPr>
          <w:spacing w:val="-3"/>
          <w:rtl/>
        </w:rPr>
        <w:lastRenderedPageBreak/>
        <w:t xml:space="preserve">ومضايقة الجيران </w:t>
      </w:r>
      <w:r w:rsidRPr="00072A6E">
        <w:rPr>
          <w:rFonts w:hint="cs"/>
          <w:spacing w:val="-3"/>
          <w:rtl/>
        </w:rPr>
        <w:t>ل</w:t>
      </w:r>
      <w:r w:rsidRPr="00072A6E">
        <w:rPr>
          <w:spacing w:val="-3"/>
          <w:rtl/>
        </w:rPr>
        <w:t>هم، وإجبارهم على ترك منازلهم</w:t>
      </w:r>
      <w:r w:rsidR="00411C20" w:rsidRPr="00072A6E">
        <w:rPr>
          <w:rStyle w:val="FootnoteReference"/>
          <w:rFonts w:ascii="Traditional Arabic" w:hAnsi="Traditional Arabic"/>
          <w:spacing w:val="-3"/>
          <w:sz w:val="30"/>
          <w:rtl/>
        </w:rPr>
        <w:t>(</w:t>
      </w:r>
      <w:r w:rsidR="00411C20" w:rsidRPr="00072A6E">
        <w:rPr>
          <w:rStyle w:val="FootnoteReference"/>
          <w:rFonts w:ascii="Traditional Arabic" w:hAnsi="Traditional Arabic"/>
          <w:spacing w:val="-3"/>
          <w:sz w:val="30"/>
          <w:rtl/>
        </w:rPr>
        <w:footnoteReference w:id="100"/>
      </w:r>
      <w:r w:rsidR="00411C20" w:rsidRPr="00072A6E">
        <w:rPr>
          <w:rStyle w:val="FootnoteReference"/>
          <w:rFonts w:ascii="Traditional Arabic" w:hAnsi="Traditional Arabic"/>
          <w:spacing w:val="-3"/>
          <w:sz w:val="30"/>
          <w:rtl/>
        </w:rPr>
        <w:t>)</w:t>
      </w:r>
      <w:r w:rsidR="00A941CA" w:rsidRPr="00072A6E">
        <w:rPr>
          <w:rFonts w:hint="cs"/>
          <w:spacing w:val="-3"/>
          <w:rtl/>
        </w:rPr>
        <w:t>.</w:t>
      </w:r>
      <w:r w:rsidRPr="00072A6E">
        <w:rPr>
          <w:spacing w:val="-3"/>
          <w:rtl/>
        </w:rPr>
        <w:t xml:space="preserve"> و</w:t>
      </w:r>
      <w:r w:rsidRPr="00072A6E">
        <w:rPr>
          <w:rFonts w:hint="cs"/>
          <w:spacing w:val="-3"/>
          <w:rtl/>
        </w:rPr>
        <w:t xml:space="preserve">هناك </w:t>
      </w:r>
      <w:r w:rsidRPr="00072A6E">
        <w:rPr>
          <w:spacing w:val="-3"/>
          <w:rtl/>
        </w:rPr>
        <w:t>العديد من المراهقين والشباب</w:t>
      </w:r>
      <w:r w:rsidRPr="00072A6E">
        <w:rPr>
          <w:rFonts w:hint="cs"/>
          <w:spacing w:val="-3"/>
          <w:rtl/>
        </w:rPr>
        <w:t xml:space="preserve"> من</w:t>
      </w:r>
      <w:r w:rsidRPr="00072A6E">
        <w:rPr>
          <w:spacing w:val="-3"/>
          <w:rtl/>
        </w:rPr>
        <w:t xml:space="preserve"> </w:t>
      </w:r>
      <w:r w:rsidRPr="00072A6E">
        <w:rPr>
          <w:rFonts w:hint="cs"/>
          <w:spacing w:val="-3"/>
          <w:rtl/>
        </w:rPr>
        <w:t>المثليات و</w:t>
      </w:r>
      <w:r w:rsidRPr="00072A6E">
        <w:rPr>
          <w:spacing w:val="-3"/>
          <w:rtl/>
        </w:rPr>
        <w:t xml:space="preserve">المثليين ومزدوجي الميل الجنسي ومغايري الهوية الجنسانية </w:t>
      </w:r>
      <w:r w:rsidRPr="00072A6E">
        <w:rPr>
          <w:rFonts w:hint="cs"/>
          <w:spacing w:val="-3"/>
          <w:rtl/>
        </w:rPr>
        <w:t xml:space="preserve">الذين يطردهم </w:t>
      </w:r>
      <w:r w:rsidRPr="00072A6E">
        <w:rPr>
          <w:spacing w:val="-3"/>
          <w:rtl/>
        </w:rPr>
        <w:t>آبا</w:t>
      </w:r>
      <w:r w:rsidRPr="00072A6E">
        <w:rPr>
          <w:rFonts w:hint="cs"/>
          <w:spacing w:val="-3"/>
          <w:rtl/>
        </w:rPr>
        <w:t>ؤ</w:t>
      </w:r>
      <w:r w:rsidRPr="00072A6E">
        <w:rPr>
          <w:spacing w:val="-3"/>
          <w:rtl/>
        </w:rPr>
        <w:t xml:space="preserve">هم وأمهاتهم الرافضين </w:t>
      </w:r>
      <w:r w:rsidRPr="00072A6E">
        <w:rPr>
          <w:rFonts w:hint="cs"/>
          <w:spacing w:val="-3"/>
          <w:rtl/>
        </w:rPr>
        <w:t>ل</w:t>
      </w:r>
      <w:r w:rsidRPr="00072A6E">
        <w:rPr>
          <w:spacing w:val="-3"/>
          <w:rtl/>
        </w:rPr>
        <w:t>ميل</w:t>
      </w:r>
      <w:r w:rsidRPr="00072A6E">
        <w:rPr>
          <w:rFonts w:hint="cs"/>
          <w:spacing w:val="-3"/>
          <w:rtl/>
        </w:rPr>
        <w:t>هم</w:t>
      </w:r>
      <w:r w:rsidRPr="00072A6E">
        <w:rPr>
          <w:spacing w:val="-3"/>
          <w:rtl/>
        </w:rPr>
        <w:t xml:space="preserve"> الجنسي</w:t>
      </w:r>
      <w:r w:rsidRPr="00072A6E">
        <w:rPr>
          <w:rFonts w:hint="cs"/>
          <w:spacing w:val="-3"/>
          <w:rtl/>
        </w:rPr>
        <w:t xml:space="preserve"> </w:t>
      </w:r>
      <w:r w:rsidRPr="00072A6E">
        <w:rPr>
          <w:spacing w:val="-3"/>
          <w:rtl/>
        </w:rPr>
        <w:t>أو هويتهم الجنسانية</w:t>
      </w:r>
      <w:r w:rsidRPr="00072A6E">
        <w:rPr>
          <w:rFonts w:hint="cs"/>
          <w:spacing w:val="-3"/>
          <w:rtl/>
        </w:rPr>
        <w:t xml:space="preserve"> من المنزل والذين ينتهي بهم الأمر في </w:t>
      </w:r>
      <w:r w:rsidRPr="00072A6E">
        <w:rPr>
          <w:spacing w:val="-3"/>
          <w:rtl/>
        </w:rPr>
        <w:t>الشوارع</w:t>
      </w:r>
      <w:r w:rsidRPr="00072A6E">
        <w:rPr>
          <w:rFonts w:hint="cs"/>
          <w:spacing w:val="-3"/>
          <w:rtl/>
        </w:rPr>
        <w:t>، و</w:t>
      </w:r>
      <w:r w:rsidRPr="00072A6E">
        <w:rPr>
          <w:spacing w:val="-3"/>
          <w:rtl/>
        </w:rPr>
        <w:t xml:space="preserve">يؤدي ذلك إلى ارتفاع معدلات </w:t>
      </w:r>
      <w:r w:rsidRPr="00072A6E">
        <w:rPr>
          <w:rFonts w:hint="cs"/>
          <w:spacing w:val="-3"/>
          <w:rtl/>
        </w:rPr>
        <w:t>التشرد</w:t>
      </w:r>
      <w:r w:rsidRPr="00072A6E">
        <w:rPr>
          <w:spacing w:val="-3"/>
          <w:rtl/>
        </w:rPr>
        <w:t xml:space="preserve"> في صفوف هذه الفئة ارتفاعاً </w:t>
      </w:r>
      <w:r w:rsidRPr="00072A6E">
        <w:rPr>
          <w:rFonts w:hint="cs"/>
          <w:spacing w:val="-3"/>
          <w:rtl/>
        </w:rPr>
        <w:t>غ</w:t>
      </w:r>
      <w:r w:rsidRPr="00072A6E">
        <w:rPr>
          <w:spacing w:val="-3"/>
          <w:rtl/>
        </w:rPr>
        <w:t>ير متناسب</w:t>
      </w:r>
      <w:r w:rsidRPr="00072A6E">
        <w:rPr>
          <w:rFonts w:hint="cs"/>
          <w:spacing w:val="-3"/>
          <w:rtl/>
        </w:rPr>
        <w:t>. و</w:t>
      </w:r>
      <w:r w:rsidRPr="00072A6E">
        <w:rPr>
          <w:spacing w:val="-3"/>
          <w:rtl/>
        </w:rPr>
        <w:t xml:space="preserve">تشير دراسة استقصائية </w:t>
      </w:r>
      <w:r w:rsidRPr="00072A6E">
        <w:rPr>
          <w:rFonts w:hint="cs"/>
          <w:spacing w:val="-3"/>
          <w:rtl/>
        </w:rPr>
        <w:t>قامت بها م</w:t>
      </w:r>
      <w:r w:rsidRPr="00072A6E">
        <w:rPr>
          <w:spacing w:val="-3"/>
          <w:rtl/>
        </w:rPr>
        <w:t xml:space="preserve">ؤخراً 354 وكالة لدعم الأشخاص </w:t>
      </w:r>
      <w:r w:rsidRPr="00072A6E">
        <w:rPr>
          <w:rFonts w:hint="cs"/>
          <w:spacing w:val="-3"/>
          <w:rtl/>
        </w:rPr>
        <w:t>المشردين</w:t>
      </w:r>
      <w:r w:rsidRPr="00072A6E">
        <w:rPr>
          <w:spacing w:val="-3"/>
          <w:rtl/>
        </w:rPr>
        <w:t xml:space="preserve"> في الولايات المتحدة إلى أن نحو</w:t>
      </w:r>
      <w:r w:rsidR="00072A6E">
        <w:rPr>
          <w:rFonts w:hint="cs"/>
          <w:spacing w:val="-3"/>
          <w:rtl/>
        </w:rPr>
        <w:t> </w:t>
      </w:r>
      <w:r w:rsidRPr="00072A6E">
        <w:rPr>
          <w:spacing w:val="-3"/>
          <w:rtl/>
        </w:rPr>
        <w:t>40 في المائة من ال</w:t>
      </w:r>
      <w:r w:rsidRPr="00072A6E">
        <w:rPr>
          <w:rFonts w:hint="cs"/>
          <w:spacing w:val="-3"/>
          <w:rtl/>
        </w:rPr>
        <w:t>مشردين من المثليات و</w:t>
      </w:r>
      <w:r w:rsidRPr="00072A6E">
        <w:rPr>
          <w:spacing w:val="-3"/>
          <w:rtl/>
        </w:rPr>
        <w:t xml:space="preserve">المثليين ومزدوجي الميل الجنسي ومغايري الهوية الجنسانية، وأن الرفض الأُسري هو السبب الرئيسي لانتشار ظاهرة </w:t>
      </w:r>
      <w:r w:rsidRPr="00072A6E">
        <w:rPr>
          <w:rFonts w:hint="cs"/>
          <w:spacing w:val="-3"/>
          <w:rtl/>
        </w:rPr>
        <w:t xml:space="preserve">التشرد </w:t>
      </w:r>
      <w:r w:rsidRPr="00072A6E">
        <w:rPr>
          <w:spacing w:val="-3"/>
          <w:rtl/>
        </w:rPr>
        <w:t>بين أفراد هذه الفئة</w:t>
      </w:r>
      <w:r w:rsidR="00411C20" w:rsidRPr="00072A6E">
        <w:rPr>
          <w:rStyle w:val="FootnoteReference"/>
          <w:rFonts w:ascii="Traditional Arabic" w:hAnsi="Traditional Arabic"/>
          <w:spacing w:val="-3"/>
          <w:sz w:val="30"/>
          <w:rtl/>
        </w:rPr>
        <w:t>(</w:t>
      </w:r>
      <w:r w:rsidR="00411C20" w:rsidRPr="00072A6E">
        <w:rPr>
          <w:rStyle w:val="FootnoteReference"/>
          <w:rFonts w:ascii="Traditional Arabic" w:hAnsi="Traditional Arabic"/>
          <w:spacing w:val="-3"/>
          <w:sz w:val="30"/>
          <w:rtl/>
        </w:rPr>
        <w:footnoteReference w:id="101"/>
      </w:r>
      <w:r w:rsidR="00411C20" w:rsidRPr="00072A6E">
        <w:rPr>
          <w:rStyle w:val="FootnoteReference"/>
          <w:rFonts w:ascii="Traditional Arabic" w:hAnsi="Traditional Arabic"/>
          <w:spacing w:val="-3"/>
          <w:sz w:val="30"/>
          <w:rtl/>
        </w:rPr>
        <w:t>)</w:t>
      </w:r>
      <w:r w:rsidR="00A941CA" w:rsidRPr="00072A6E">
        <w:rPr>
          <w:rFonts w:hint="cs"/>
          <w:spacing w:val="-3"/>
          <w:rtl/>
        </w:rPr>
        <w:t>.</w:t>
      </w:r>
      <w:r w:rsidR="00411C20" w:rsidRPr="00072A6E">
        <w:rPr>
          <w:spacing w:val="-3"/>
          <w:rtl/>
        </w:rPr>
        <w:t xml:space="preserve"> </w:t>
      </w:r>
    </w:p>
    <w:p w:rsidR="00D125E2" w:rsidRPr="006C0DD4" w:rsidRDefault="00D125E2" w:rsidP="00D125E2">
      <w:pPr>
        <w:pStyle w:val="H23GA"/>
        <w:rPr>
          <w:rtl/>
        </w:rPr>
      </w:pPr>
      <w:r w:rsidRPr="006C0DD4">
        <w:rPr>
          <w:rFonts w:hint="cs"/>
          <w:rtl/>
        </w:rPr>
        <w:tab/>
      </w:r>
      <w:r w:rsidRPr="006C0DD4">
        <w:rPr>
          <w:rtl/>
        </w:rPr>
        <w:t>5-</w:t>
      </w:r>
      <w:r w:rsidRPr="006C0DD4">
        <w:rPr>
          <w:rtl/>
        </w:rPr>
        <w:tab/>
        <w:t>حرية التعبير، وتكوين الجمعيات والتجمّع</w:t>
      </w:r>
    </w:p>
    <w:p w:rsidR="00D125E2" w:rsidRPr="006C0DD4" w:rsidRDefault="00D125E2" w:rsidP="00431C0A">
      <w:pPr>
        <w:pStyle w:val="SingleTxtGA"/>
        <w:rPr>
          <w:rtl/>
        </w:rPr>
      </w:pPr>
      <w:r w:rsidRPr="006C0DD4">
        <w:rPr>
          <w:rtl/>
        </w:rPr>
        <w:t>60-</w:t>
      </w:r>
      <w:r w:rsidRPr="006C0DD4">
        <w:rPr>
          <w:rtl/>
        </w:rPr>
        <w:tab/>
      </w:r>
      <w:r w:rsidRPr="006C0DD4">
        <w:rPr>
          <w:rFonts w:hint="cs"/>
          <w:rtl/>
        </w:rPr>
        <w:t xml:space="preserve">يواصل </w:t>
      </w:r>
      <w:r w:rsidRPr="006C0DD4">
        <w:rPr>
          <w:rtl/>
        </w:rPr>
        <w:t xml:space="preserve">خبراء الأمم المتحدة الحقوقيون </w:t>
      </w:r>
      <w:r w:rsidR="00431C0A">
        <w:rPr>
          <w:rFonts w:hint="cs"/>
          <w:rtl/>
        </w:rPr>
        <w:t xml:space="preserve">تسليط </w:t>
      </w:r>
      <w:r w:rsidRPr="006C0DD4">
        <w:rPr>
          <w:rtl/>
        </w:rPr>
        <w:t>الضوء على القيود التمييزية المفروضة على حق المثليات والمثليين ومزدوجي الميل الجنسي ومغايري الهوية الجنسانية والأشخاص المدافعين عن حقوقهم في حرية التعبير وحرية تكوين الجمعيات والتجمّع</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02"/>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وتشمل الشواغل الم</w:t>
      </w:r>
      <w:r w:rsidRPr="006C0DD4">
        <w:rPr>
          <w:rFonts w:hint="cs"/>
          <w:rtl/>
        </w:rPr>
        <w:t>ث</w:t>
      </w:r>
      <w:r w:rsidRPr="006C0DD4">
        <w:rPr>
          <w:rtl/>
        </w:rPr>
        <w:t>ارة في هذا الصدد فرض الرقابة المباشرة</w:t>
      </w:r>
      <w:r w:rsidRPr="006C0DD4">
        <w:rPr>
          <w:rFonts w:hint="cs"/>
          <w:rtl/>
        </w:rPr>
        <w:t xml:space="preserve"> على المدافعين عن هذه الجماعات</w:t>
      </w:r>
      <w:r w:rsidRPr="006C0DD4">
        <w:rPr>
          <w:rtl/>
        </w:rPr>
        <w:t>، وحظر نشر المعلومات، وتقييد أنشطة الد</w:t>
      </w:r>
      <w:r w:rsidRPr="006C0DD4">
        <w:rPr>
          <w:rFonts w:hint="cs"/>
          <w:rtl/>
        </w:rPr>
        <w:t>فاع عن حقوقهم</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03"/>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w:t>
      </w:r>
    </w:p>
    <w:p w:rsidR="00D125E2" w:rsidRPr="006C0DD4" w:rsidRDefault="00D125E2" w:rsidP="00072A6E">
      <w:pPr>
        <w:pStyle w:val="SingleTxtGA"/>
        <w:rPr>
          <w:rtl/>
        </w:rPr>
      </w:pPr>
      <w:r w:rsidRPr="006C0DD4">
        <w:rPr>
          <w:rtl/>
        </w:rPr>
        <w:t>61-</w:t>
      </w:r>
      <w:r w:rsidRPr="006C0DD4">
        <w:rPr>
          <w:rtl/>
        </w:rPr>
        <w:tab/>
        <w:t xml:space="preserve">ولأسبابٍ تمييزية، </w:t>
      </w:r>
      <w:r w:rsidRPr="006C0DD4">
        <w:rPr>
          <w:rFonts w:hint="cs"/>
          <w:rtl/>
        </w:rPr>
        <w:t>ترفض</w:t>
      </w:r>
      <w:r w:rsidRPr="006C0DD4">
        <w:rPr>
          <w:rtl/>
        </w:rPr>
        <w:t xml:space="preserve"> طلبات تسجيل منظمات المثليات والمثليين ومزدوجي الميل الجنسي ومغايري الهوية الجنسانية </w:t>
      </w:r>
      <w:r w:rsidRPr="006C0DD4">
        <w:rPr>
          <w:rFonts w:hint="cs"/>
          <w:rtl/>
        </w:rPr>
        <w:t xml:space="preserve">أو </w:t>
      </w:r>
      <w:r w:rsidRPr="006C0DD4">
        <w:rPr>
          <w:rtl/>
        </w:rPr>
        <w:t>يتأخر النظر فيها، بينما تُشطب المنظمات المسجلة قانوناً</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04"/>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و</w:t>
      </w:r>
      <w:r w:rsidRPr="006C0DD4">
        <w:rPr>
          <w:rFonts w:hint="cs"/>
          <w:rtl/>
        </w:rPr>
        <w:t>قد</w:t>
      </w:r>
      <w:r w:rsidRPr="006C0DD4">
        <w:rPr>
          <w:rtl/>
        </w:rPr>
        <w:t xml:space="preserve"> يُرفض منح هذه المنظمات تصاريح لعقد اجتماعات وحلقات عمل وتنظيم </w:t>
      </w:r>
      <w:r w:rsidRPr="006C0DD4">
        <w:rPr>
          <w:rFonts w:hint="cs"/>
          <w:rtl/>
        </w:rPr>
        <w:t>لقاءات</w:t>
      </w:r>
      <w:r w:rsidRPr="006C0DD4">
        <w:rPr>
          <w:rtl/>
        </w:rPr>
        <w:t xml:space="preserve"> ثقافية، وذلك في محاولة لقمع التعبير السياسي والفني في بعض البلدان</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05"/>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وقد داهم أفراد الشرطة في بعض البلدان مكاتب جماعات المثليات والمثليين ومزدوجي الميل الجنسي ومغايري الهوية الجنسانية، و</w:t>
      </w:r>
      <w:r w:rsidRPr="006C0DD4">
        <w:rPr>
          <w:rFonts w:hint="cs"/>
          <w:rtl/>
        </w:rPr>
        <w:t xml:space="preserve">ألقوا القبض على </w:t>
      </w:r>
      <w:r w:rsidRPr="006C0DD4">
        <w:rPr>
          <w:rtl/>
        </w:rPr>
        <w:t>الموظفين والمتطوِّعين و</w:t>
      </w:r>
      <w:r w:rsidRPr="006C0DD4">
        <w:rPr>
          <w:rFonts w:hint="cs"/>
          <w:rtl/>
        </w:rPr>
        <w:t>تحرشوا بهم</w:t>
      </w:r>
      <w:r w:rsidRPr="006C0DD4">
        <w:rPr>
          <w:rtl/>
        </w:rPr>
        <w:t>، وصادروا بعض المواد، وهدّدوا خصوصية الموظفين والمؤيدين وسلامتهم في بعض الأحيان</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06"/>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و</w:t>
      </w:r>
      <w:r w:rsidRPr="006C0DD4">
        <w:rPr>
          <w:rFonts w:hint="cs"/>
          <w:rtl/>
        </w:rPr>
        <w:t xml:space="preserve">تعرضت </w:t>
      </w:r>
      <w:r w:rsidRPr="006C0DD4">
        <w:rPr>
          <w:rtl/>
        </w:rPr>
        <w:t xml:space="preserve">مكاتب منظمات المثليات والمثليين ومزدوجي الميل الجنسي ومغايري الهوية الجنسانية </w:t>
      </w:r>
      <w:r w:rsidRPr="006C0DD4">
        <w:rPr>
          <w:rFonts w:hint="cs"/>
          <w:rtl/>
        </w:rPr>
        <w:t>ل</w:t>
      </w:r>
      <w:r w:rsidRPr="006C0DD4">
        <w:rPr>
          <w:rtl/>
        </w:rPr>
        <w:t>لتخريب والسطو والحرق العمد</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07"/>
      </w:r>
      <w:r w:rsidR="00411C20" w:rsidRPr="006C0DD4">
        <w:rPr>
          <w:rStyle w:val="FootnoteReference"/>
          <w:rFonts w:ascii="Traditional Arabic" w:hAnsi="Traditional Arabic"/>
          <w:sz w:val="30"/>
          <w:rtl/>
        </w:rPr>
        <w:t>)</w:t>
      </w:r>
      <w:r w:rsidRPr="006C0DD4">
        <w:rPr>
          <w:rtl/>
        </w:rPr>
        <w:t xml:space="preserve">، ونادراً ما يجري التحقيق في هذه الحوادث </w:t>
      </w:r>
      <w:r w:rsidRPr="006C0DD4">
        <w:rPr>
          <w:rFonts w:hint="cs"/>
          <w:rtl/>
        </w:rPr>
        <w:t>فور وقوعها</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08"/>
      </w:r>
      <w:r w:rsidR="00411C20" w:rsidRPr="006C0DD4">
        <w:rPr>
          <w:rStyle w:val="FootnoteReference"/>
          <w:rFonts w:ascii="Traditional Arabic" w:hAnsi="Traditional Arabic"/>
          <w:sz w:val="30"/>
          <w:rtl/>
        </w:rPr>
        <w:t>)</w:t>
      </w:r>
      <w:r w:rsidR="00A941CA" w:rsidRPr="006C0DD4">
        <w:rPr>
          <w:rStyle w:val="FootnoteReference"/>
          <w:rFonts w:ascii="Traditional Arabic" w:hAnsi="Traditional Arabic" w:hint="cs"/>
          <w:sz w:val="30"/>
          <w:vertAlign w:val="baseline"/>
          <w:rtl/>
        </w:rPr>
        <w:t>.</w:t>
      </w:r>
    </w:p>
    <w:p w:rsidR="00D125E2" w:rsidRPr="006C0DD4" w:rsidRDefault="00D125E2" w:rsidP="00431C0A">
      <w:pPr>
        <w:pStyle w:val="SingleTxtGA"/>
        <w:rPr>
          <w:rtl/>
        </w:rPr>
      </w:pPr>
      <w:r w:rsidRPr="006C0DD4">
        <w:rPr>
          <w:rtl/>
        </w:rPr>
        <w:lastRenderedPageBreak/>
        <w:t>62-</w:t>
      </w:r>
      <w:r w:rsidRPr="006C0DD4">
        <w:rPr>
          <w:rtl/>
        </w:rPr>
        <w:tab/>
        <w:t>و</w:t>
      </w:r>
      <w:r w:rsidRPr="006C0DD4">
        <w:rPr>
          <w:rFonts w:hint="cs"/>
          <w:rtl/>
        </w:rPr>
        <w:t>ت</w:t>
      </w:r>
      <w:r w:rsidRPr="006C0DD4">
        <w:rPr>
          <w:rtl/>
        </w:rPr>
        <w:t xml:space="preserve">ستهدف </w:t>
      </w:r>
      <w:r w:rsidRPr="006C0DD4">
        <w:rPr>
          <w:rFonts w:hint="cs"/>
          <w:rtl/>
        </w:rPr>
        <w:t xml:space="preserve">قوات الأمن الخاصة وقوات الأمن التابعة </w:t>
      </w:r>
      <w:r w:rsidRPr="006C0DD4">
        <w:rPr>
          <w:rtl/>
        </w:rPr>
        <w:t xml:space="preserve">للدولة مسيرات </w:t>
      </w:r>
      <w:r w:rsidRPr="006C0DD4">
        <w:rPr>
          <w:rFonts w:hint="cs"/>
          <w:rtl/>
        </w:rPr>
        <w:t>ال</w:t>
      </w:r>
      <w:r w:rsidRPr="006C0DD4">
        <w:rPr>
          <w:rtl/>
        </w:rPr>
        <w:t>مثليات والمثليين ومزدوجي الميل الجنسي ومغايري الهوية الجنسانية</w:t>
      </w:r>
      <w:r w:rsidRPr="006C0DD4">
        <w:rPr>
          <w:rFonts w:hint="cs"/>
          <w:rtl/>
        </w:rPr>
        <w:t xml:space="preserve"> التي يطلق عليها "مواكب الفخر"</w:t>
      </w:r>
      <w:r w:rsidRPr="006C0DD4">
        <w:rPr>
          <w:rtl/>
        </w:rPr>
        <w:t xml:space="preserve"> </w:t>
      </w:r>
      <w:r w:rsidRPr="006C0DD4">
        <w:rPr>
          <w:rFonts w:asciiTheme="majorBidi" w:hAnsiTheme="majorBidi" w:cstheme="majorBidi"/>
          <w:szCs w:val="20"/>
          <w:lang w:val="fr-CH"/>
        </w:rPr>
        <w:t>(Pride</w:t>
      </w:r>
      <w:r w:rsidR="00072A6E">
        <w:rPr>
          <w:rFonts w:asciiTheme="majorBidi" w:hAnsiTheme="majorBidi" w:cstheme="majorBidi"/>
          <w:szCs w:val="20"/>
          <w:lang w:val="fr-CH"/>
        </w:rPr>
        <w:t> </w:t>
      </w:r>
      <w:r w:rsidRPr="006C0DD4">
        <w:rPr>
          <w:rFonts w:asciiTheme="majorBidi" w:hAnsiTheme="majorBidi" w:cstheme="majorBidi"/>
          <w:szCs w:val="20"/>
          <w:lang w:val="fr-CH"/>
        </w:rPr>
        <w:t>Marches)</w:t>
      </w:r>
      <w:r w:rsidR="00072A6E">
        <w:rPr>
          <w:rFonts w:hint="cs"/>
          <w:rtl/>
        </w:rPr>
        <w:t xml:space="preserve"> </w:t>
      </w:r>
      <w:r w:rsidRPr="006C0DD4">
        <w:rPr>
          <w:rtl/>
        </w:rPr>
        <w:t>حيث يتعرض هؤلاء الأشخاص ومؤيد</w:t>
      </w:r>
      <w:r w:rsidR="00431C0A">
        <w:rPr>
          <w:rFonts w:hint="cs"/>
          <w:rtl/>
        </w:rPr>
        <w:t>و</w:t>
      </w:r>
      <w:r w:rsidRPr="006C0DD4">
        <w:rPr>
          <w:rtl/>
        </w:rPr>
        <w:t>هم أحياناً ل</w:t>
      </w:r>
      <w:r w:rsidRPr="006C0DD4">
        <w:rPr>
          <w:rFonts w:hint="cs"/>
          <w:rtl/>
        </w:rPr>
        <w:t>ل</w:t>
      </w:r>
      <w:r w:rsidRPr="006C0DD4">
        <w:rPr>
          <w:rtl/>
        </w:rPr>
        <w:t>عنف و</w:t>
      </w:r>
      <w:r w:rsidRPr="006C0DD4">
        <w:rPr>
          <w:rFonts w:hint="cs"/>
          <w:rtl/>
        </w:rPr>
        <w:t>ال</w:t>
      </w:r>
      <w:r w:rsidRPr="006C0DD4">
        <w:rPr>
          <w:rtl/>
        </w:rPr>
        <w:t>مضايقات</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09"/>
      </w:r>
      <w:r w:rsidR="00411C20" w:rsidRPr="006C0DD4">
        <w:rPr>
          <w:rStyle w:val="FootnoteReference"/>
          <w:rFonts w:ascii="Traditional Arabic" w:hAnsi="Traditional Arabic"/>
          <w:sz w:val="30"/>
          <w:rtl/>
        </w:rPr>
        <w:t>)</w:t>
      </w:r>
      <w:r w:rsidR="00431C0A">
        <w:rPr>
          <w:rFonts w:hint="cs"/>
          <w:rtl/>
        </w:rPr>
        <w:t>.</w:t>
      </w:r>
      <w:r w:rsidRPr="006C0DD4">
        <w:rPr>
          <w:rtl/>
        </w:rPr>
        <w:t xml:space="preserve"> وفي بعض الدول، يُرفض توفير الحماية الشرُطية لهذه الأحداث أو إصدار تصاريح لتنظيمها، أحياناً بذريعة أنها تهدد الآداب أو السلامة العامة، </w:t>
      </w:r>
      <w:r w:rsidRPr="006C0DD4">
        <w:rPr>
          <w:rFonts w:hint="cs"/>
          <w:rtl/>
        </w:rPr>
        <w:t>و</w:t>
      </w:r>
      <w:r w:rsidR="00FF34CD">
        <w:rPr>
          <w:rtl/>
        </w:rPr>
        <w:t>يُخل</w:t>
      </w:r>
      <w:r w:rsidRPr="006C0DD4">
        <w:rPr>
          <w:rtl/>
        </w:rPr>
        <w:t xml:space="preserve"> ذلك بواجب الدول تعزيز حرية التجمّع وحماية </w:t>
      </w:r>
      <w:r w:rsidRPr="006C0DD4">
        <w:rPr>
          <w:rFonts w:hint="cs"/>
          <w:rtl/>
        </w:rPr>
        <w:t xml:space="preserve">تلك الجماعات </w:t>
      </w:r>
      <w:r w:rsidRPr="006C0DD4">
        <w:rPr>
          <w:rtl/>
        </w:rPr>
        <w:t>من العنف</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10"/>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وفي غياب الحماية الشرطية الواجبة، تعرّضت مسيراتهم لاعتداءات جسدية ومضايقات على أيدي أطراف فاعلة تابعة للدولة وغير تابعة لها، بما في ذلك جماعات "حليقي الرؤوس" اليمينية المتطرفة</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11"/>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w:t>
      </w:r>
    </w:p>
    <w:p w:rsidR="00D125E2" w:rsidRPr="006C0DD4" w:rsidRDefault="00D125E2" w:rsidP="00A941CA">
      <w:pPr>
        <w:pStyle w:val="SingleTxtGA"/>
        <w:rPr>
          <w:rtl/>
        </w:rPr>
      </w:pPr>
      <w:r w:rsidRPr="006C0DD4">
        <w:rPr>
          <w:rtl/>
        </w:rPr>
        <w:t>63-</w:t>
      </w:r>
      <w:r w:rsidRPr="006C0DD4">
        <w:rPr>
          <w:rtl/>
        </w:rPr>
        <w:tab/>
        <w:t xml:space="preserve">وعادةً ما يكون كل من المدافعين عن المرأة والداعين إلى احترام الحقوق المتصلة بالهوية الجنسانية والسمات الجنسية أكثر تعرضاً للخطر، إذ يُنظر إليهم على أنهم يطعنون في </w:t>
      </w:r>
      <w:r w:rsidR="007A36C5" w:rsidRPr="006C0DD4">
        <w:rPr>
          <w:rFonts w:hint="cs"/>
          <w:rtl/>
        </w:rPr>
        <w:t>الأفكار</w:t>
      </w:r>
      <w:r w:rsidRPr="006C0DD4">
        <w:rPr>
          <w:rFonts w:hint="cs"/>
          <w:rtl/>
        </w:rPr>
        <w:t xml:space="preserve"> المستقرة </w:t>
      </w:r>
      <w:r w:rsidRPr="006C0DD4">
        <w:rPr>
          <w:rtl/>
        </w:rPr>
        <w:t>عن دور المرأة ومكانتها في المجتمع</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12"/>
      </w:r>
      <w:r w:rsidR="00411C20" w:rsidRPr="006C0DD4">
        <w:rPr>
          <w:rStyle w:val="FootnoteReference"/>
          <w:rFonts w:ascii="Traditional Arabic" w:hAnsi="Traditional Arabic"/>
          <w:sz w:val="30"/>
          <w:rtl/>
        </w:rPr>
        <w:t>)</w:t>
      </w:r>
      <w:r w:rsidR="00A941CA" w:rsidRPr="006C0DD4">
        <w:rPr>
          <w:rStyle w:val="FootnoteReference"/>
          <w:rFonts w:ascii="Traditional Arabic" w:hAnsi="Traditional Arabic" w:hint="cs"/>
          <w:sz w:val="30"/>
          <w:vertAlign w:val="baseline"/>
          <w:rtl/>
        </w:rPr>
        <w:t>.</w:t>
      </w:r>
    </w:p>
    <w:p w:rsidR="00D125E2" w:rsidRPr="006C0DD4" w:rsidRDefault="00D125E2" w:rsidP="00D125E2">
      <w:pPr>
        <w:pStyle w:val="H23GA"/>
        <w:rPr>
          <w:rtl/>
        </w:rPr>
      </w:pPr>
      <w:r w:rsidRPr="006C0DD4">
        <w:rPr>
          <w:rFonts w:hint="cs"/>
          <w:rtl/>
        </w:rPr>
        <w:tab/>
      </w:r>
      <w:r w:rsidRPr="006C0DD4">
        <w:rPr>
          <w:rtl/>
        </w:rPr>
        <w:t>6-</w:t>
      </w:r>
      <w:r w:rsidRPr="006C0DD4">
        <w:rPr>
          <w:rtl/>
        </w:rPr>
        <w:tab/>
        <w:t>اللجوء والهجرة</w:t>
      </w:r>
    </w:p>
    <w:p w:rsidR="00D125E2" w:rsidRPr="006C0DD4" w:rsidRDefault="00D125E2" w:rsidP="00A941CA">
      <w:pPr>
        <w:pStyle w:val="SingleTxtGA"/>
        <w:rPr>
          <w:rtl/>
        </w:rPr>
      </w:pPr>
      <w:r w:rsidRPr="006C0DD4">
        <w:rPr>
          <w:rtl/>
        </w:rPr>
        <w:t>64-</w:t>
      </w:r>
      <w:r w:rsidRPr="006C0DD4">
        <w:rPr>
          <w:rtl/>
        </w:rPr>
        <w:tab/>
        <w:t xml:space="preserve">تتباين سياسات اللجوء والهجرة في هذا السياق إلى حد كبير. ووفقاً لتقديرات مفوضية الأمم المتحدة السامية لشؤون اللاجئين، منحت 42 دولة تقريباً اللجوء </w:t>
      </w:r>
      <w:r w:rsidRPr="006C0DD4">
        <w:rPr>
          <w:rFonts w:hint="cs"/>
          <w:rtl/>
        </w:rPr>
        <w:t>لأ</w:t>
      </w:r>
      <w:r w:rsidRPr="006C0DD4">
        <w:rPr>
          <w:rtl/>
        </w:rPr>
        <w:t>فراد يخشون لأسبا</w:t>
      </w:r>
      <w:r w:rsidRPr="006C0DD4">
        <w:rPr>
          <w:rFonts w:hint="cs"/>
          <w:rtl/>
        </w:rPr>
        <w:t>ب</w:t>
      </w:r>
      <w:r w:rsidRPr="006C0DD4">
        <w:rPr>
          <w:rtl/>
        </w:rPr>
        <w:t xml:space="preserve"> وجيهة التعرض للاضطهاد بسبب ميلهم الجنسي أو هويتهم الجنسانية. وعلى الحدود الدولية، </w:t>
      </w:r>
      <w:r w:rsidRPr="006C0DD4">
        <w:rPr>
          <w:rFonts w:hint="cs"/>
          <w:rtl/>
        </w:rPr>
        <w:t>ي</w:t>
      </w:r>
      <w:r w:rsidRPr="006C0DD4">
        <w:rPr>
          <w:rtl/>
        </w:rPr>
        <w:t xml:space="preserve">خضع المهاجرون واللاجئون </w:t>
      </w:r>
      <w:r w:rsidRPr="006C0DD4">
        <w:rPr>
          <w:rFonts w:hint="cs"/>
          <w:rtl/>
        </w:rPr>
        <w:t xml:space="preserve">أحيانا </w:t>
      </w:r>
      <w:r w:rsidRPr="006C0DD4">
        <w:rPr>
          <w:rtl/>
        </w:rPr>
        <w:t xml:space="preserve">لعمليات تفتيش وفحوص جسدية </w:t>
      </w:r>
      <w:r w:rsidRPr="006C0DD4">
        <w:rPr>
          <w:rFonts w:hint="cs"/>
          <w:rtl/>
        </w:rPr>
        <w:t>تطفلية</w:t>
      </w:r>
      <w:r w:rsidRPr="006C0DD4">
        <w:rPr>
          <w:rtl/>
        </w:rPr>
        <w:t xml:space="preserve"> ويُرفض دخولهم الدول</w:t>
      </w:r>
      <w:r w:rsidRPr="006C0DD4">
        <w:rPr>
          <w:rFonts w:hint="cs"/>
          <w:rtl/>
        </w:rPr>
        <w:t>ة</w:t>
      </w:r>
      <w:r w:rsidRPr="006C0DD4">
        <w:rPr>
          <w:rtl/>
        </w:rPr>
        <w:t xml:space="preserve"> لأسباب تمييزية</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13"/>
      </w:r>
      <w:r w:rsidR="00411C20" w:rsidRPr="006C0DD4">
        <w:rPr>
          <w:rStyle w:val="FootnoteReference"/>
          <w:rFonts w:ascii="Traditional Arabic" w:hAnsi="Traditional Arabic"/>
          <w:sz w:val="30"/>
          <w:rtl/>
        </w:rPr>
        <w:t>)</w:t>
      </w:r>
      <w:r w:rsidR="00A941CA" w:rsidRPr="006C0DD4">
        <w:rPr>
          <w:rFonts w:hint="cs"/>
          <w:rtl/>
        </w:rPr>
        <w:t>.</w:t>
      </w:r>
    </w:p>
    <w:p w:rsidR="00D125E2" w:rsidRPr="006C0DD4" w:rsidRDefault="00D125E2" w:rsidP="00A941CA">
      <w:pPr>
        <w:pStyle w:val="SingleTxtGA"/>
        <w:rPr>
          <w:b/>
          <w:bCs/>
          <w:rtl/>
        </w:rPr>
      </w:pPr>
      <w:r w:rsidRPr="006C0DD4">
        <w:rPr>
          <w:rtl/>
        </w:rPr>
        <w:t>65-</w:t>
      </w:r>
      <w:r w:rsidRPr="006C0DD4">
        <w:rPr>
          <w:rtl/>
        </w:rPr>
        <w:tab/>
        <w:t>وأحياناً، لا تفي الممارسات المعتمدة في بلدان اللجوء بالمعايير الدولية. فقد لا يراعي الموظفون الظروف التي يواجهها ملتمسو اللجوء المثليون والمثليات ومزدوجو الميل الجنسي ومغ</w:t>
      </w:r>
      <w:r w:rsidRPr="006C0DD4">
        <w:rPr>
          <w:rFonts w:hint="cs"/>
          <w:rtl/>
        </w:rPr>
        <w:t>ا</w:t>
      </w:r>
      <w:r w:rsidRPr="006C0DD4">
        <w:rPr>
          <w:rtl/>
        </w:rPr>
        <w:t>يرو الهوية الجنسانية، وتتسم عملية النظر في الطلبات أحياناً بالتعسّف وعدم الاتساق</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14"/>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وقد أمرت محكمة العدل التابعة للاتحاد الأوروبي</w:t>
      </w:r>
      <w:r w:rsidRPr="006C0DD4">
        <w:rPr>
          <w:rFonts w:hint="cs"/>
          <w:rtl/>
        </w:rPr>
        <w:t xml:space="preserve"> الدول</w:t>
      </w:r>
      <w:r w:rsidRPr="006C0DD4">
        <w:rPr>
          <w:rtl/>
        </w:rPr>
        <w:t xml:space="preserve">، في حكمها </w:t>
      </w:r>
      <w:r w:rsidRPr="006C0DD4">
        <w:rPr>
          <w:rFonts w:hint="cs"/>
          <w:rtl/>
        </w:rPr>
        <w:t xml:space="preserve">الصادر في </w:t>
      </w:r>
      <w:r w:rsidRPr="006C0DD4">
        <w:rPr>
          <w:rtl/>
        </w:rPr>
        <w:t>2 كانون الأول/ديسمبر</w:t>
      </w:r>
      <w:r w:rsidR="00411C20" w:rsidRPr="006C0DD4">
        <w:rPr>
          <w:rtl/>
        </w:rPr>
        <w:t xml:space="preserve"> </w:t>
      </w:r>
      <w:r w:rsidRPr="006C0DD4">
        <w:rPr>
          <w:rtl/>
        </w:rPr>
        <w:t xml:space="preserve">2014، بوقف استخدام أساليب الاستجواب والاختبارات الطبية التطفّلية التي يُدّعى أنها مصمّمة للكشف عن الميل الجنسي لمقدمي طلبات اللجوء. ويتعرض اللاجئون </w:t>
      </w:r>
      <w:r w:rsidRPr="006C0DD4">
        <w:rPr>
          <w:rtl/>
        </w:rPr>
        <w:lastRenderedPageBreak/>
        <w:t>والمهاجرون أحياناً للعنف والتمييز أثناء وجودهم في مرافق الاحتجاز</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15"/>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وعند إعادة توطينهم، قد تُسكنهم السلطات داخل مجتمعات محلية يتعرضون فيها لمزيد من المخاطر المتصلة </w:t>
      </w:r>
      <w:r w:rsidRPr="006C0DD4">
        <w:rPr>
          <w:rFonts w:hint="cs"/>
          <w:rtl/>
        </w:rPr>
        <w:t>ب</w:t>
      </w:r>
      <w:r w:rsidRPr="006C0DD4">
        <w:rPr>
          <w:rtl/>
        </w:rPr>
        <w:t>السمات الجنسية والهوية الجنسانية. و</w:t>
      </w:r>
      <w:r w:rsidRPr="006C0DD4">
        <w:rPr>
          <w:rFonts w:hint="cs"/>
          <w:rtl/>
        </w:rPr>
        <w:t>ي</w:t>
      </w:r>
      <w:r w:rsidR="00FF34CD">
        <w:rPr>
          <w:rtl/>
        </w:rPr>
        <w:t>تعر</w:t>
      </w:r>
      <w:r w:rsidRPr="006C0DD4">
        <w:rPr>
          <w:rtl/>
        </w:rPr>
        <w:t xml:space="preserve">ض </w:t>
      </w:r>
      <w:r w:rsidRPr="006C0DD4">
        <w:rPr>
          <w:rFonts w:hint="cs"/>
          <w:rtl/>
        </w:rPr>
        <w:t xml:space="preserve">ملتمسو اللجوء </w:t>
      </w:r>
      <w:r w:rsidRPr="006C0DD4">
        <w:rPr>
          <w:rtl/>
        </w:rPr>
        <w:t>الفا</w:t>
      </w:r>
      <w:r w:rsidRPr="006C0DD4">
        <w:rPr>
          <w:rFonts w:hint="cs"/>
          <w:rtl/>
        </w:rPr>
        <w:t>ر</w:t>
      </w:r>
      <w:r w:rsidRPr="006C0DD4">
        <w:rPr>
          <w:rtl/>
        </w:rPr>
        <w:t xml:space="preserve">ين من الاضطهاد </w:t>
      </w:r>
      <w:r w:rsidRPr="006C0DD4">
        <w:rPr>
          <w:rFonts w:hint="cs"/>
          <w:rtl/>
        </w:rPr>
        <w:t>الذين يعادون قسريا</w:t>
      </w:r>
      <w:r w:rsidR="00FF34CD">
        <w:rPr>
          <w:rFonts w:hint="cs"/>
          <w:rtl/>
        </w:rPr>
        <w:t>ً</w:t>
      </w:r>
      <w:r w:rsidRPr="006C0DD4">
        <w:rPr>
          <w:rFonts w:hint="cs"/>
          <w:rtl/>
        </w:rPr>
        <w:t xml:space="preserve"> إلى وطنهم ل</w:t>
      </w:r>
      <w:r w:rsidRPr="006C0DD4">
        <w:rPr>
          <w:rtl/>
        </w:rPr>
        <w:t>لعنف والتمييز والتجريم والإعدام</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16"/>
      </w:r>
      <w:r w:rsidR="00411C20" w:rsidRPr="006C0DD4">
        <w:rPr>
          <w:rStyle w:val="FootnoteReference"/>
          <w:rFonts w:ascii="Traditional Arabic" w:hAnsi="Traditional Arabic"/>
          <w:sz w:val="30"/>
          <w:rtl/>
        </w:rPr>
        <w:t>)</w:t>
      </w:r>
      <w:r w:rsidR="00A941CA" w:rsidRPr="006C0DD4">
        <w:rPr>
          <w:rStyle w:val="FootnoteReference"/>
          <w:rFonts w:ascii="Traditional Arabic" w:hAnsi="Traditional Arabic" w:hint="cs"/>
          <w:sz w:val="30"/>
          <w:vertAlign w:val="baseline"/>
          <w:rtl/>
        </w:rPr>
        <w:t>.</w:t>
      </w:r>
    </w:p>
    <w:p w:rsidR="00D125E2" w:rsidRPr="006C0DD4" w:rsidRDefault="00D125E2" w:rsidP="00D125E2">
      <w:pPr>
        <w:pStyle w:val="H23GA"/>
        <w:rPr>
          <w:rtl/>
        </w:rPr>
      </w:pPr>
      <w:r w:rsidRPr="006C0DD4">
        <w:rPr>
          <w:rFonts w:hint="cs"/>
          <w:rtl/>
        </w:rPr>
        <w:tab/>
      </w:r>
      <w:r w:rsidRPr="006C0DD4">
        <w:rPr>
          <w:rtl/>
        </w:rPr>
        <w:t>7-</w:t>
      </w:r>
      <w:r w:rsidRPr="006C0DD4">
        <w:rPr>
          <w:rtl/>
        </w:rPr>
        <w:tab/>
        <w:t>الأسرة والمجتمع</w:t>
      </w:r>
    </w:p>
    <w:p w:rsidR="00D125E2" w:rsidRPr="00072A6E" w:rsidRDefault="00D125E2" w:rsidP="00A941CA">
      <w:pPr>
        <w:pStyle w:val="SingleTxtGA"/>
        <w:rPr>
          <w:spacing w:val="2"/>
          <w:rtl/>
        </w:rPr>
      </w:pPr>
      <w:r w:rsidRPr="00072A6E">
        <w:rPr>
          <w:spacing w:val="2"/>
          <w:rtl/>
        </w:rPr>
        <w:t>66-</w:t>
      </w:r>
      <w:r w:rsidRPr="00072A6E">
        <w:rPr>
          <w:spacing w:val="2"/>
          <w:rtl/>
        </w:rPr>
        <w:tab/>
        <w:t xml:space="preserve">تمتد مسؤولية الدول عن حماية الأفراد من التمييز لتشمل مجال الأسرة، حيث يمكن </w:t>
      </w:r>
      <w:r w:rsidRPr="00072A6E">
        <w:rPr>
          <w:rFonts w:hint="cs"/>
          <w:spacing w:val="2"/>
          <w:rtl/>
        </w:rPr>
        <w:t xml:space="preserve">أن يؤدي </w:t>
      </w:r>
      <w:r w:rsidRPr="00072A6E">
        <w:rPr>
          <w:spacing w:val="2"/>
          <w:rtl/>
        </w:rPr>
        <w:t xml:space="preserve">رفض </w:t>
      </w:r>
      <w:r w:rsidRPr="00072A6E">
        <w:rPr>
          <w:rFonts w:hint="cs"/>
          <w:spacing w:val="2"/>
          <w:rtl/>
        </w:rPr>
        <w:t xml:space="preserve">أفراد </w:t>
      </w:r>
      <w:r w:rsidRPr="00072A6E">
        <w:rPr>
          <w:spacing w:val="2"/>
          <w:rtl/>
        </w:rPr>
        <w:t xml:space="preserve">الأسرة </w:t>
      </w:r>
      <w:r w:rsidRPr="00072A6E">
        <w:rPr>
          <w:rFonts w:hint="cs"/>
          <w:spacing w:val="2"/>
          <w:rtl/>
        </w:rPr>
        <w:t xml:space="preserve">من </w:t>
      </w:r>
      <w:r w:rsidRPr="00072A6E">
        <w:rPr>
          <w:spacing w:val="2"/>
          <w:rtl/>
        </w:rPr>
        <w:t xml:space="preserve">المثليات والمثليين ومزدوجي الميل الجنسي ومغايري الهوية الجنسانية وحاملي صفات الجنسين ومعاملتهم على نحو تمييزي وممارسة العنف ضدهم </w:t>
      </w:r>
      <w:r w:rsidRPr="00072A6E">
        <w:rPr>
          <w:rFonts w:hint="cs"/>
          <w:spacing w:val="2"/>
          <w:rtl/>
        </w:rPr>
        <w:t xml:space="preserve">إلى نتائج سلبية </w:t>
      </w:r>
      <w:r w:rsidRPr="00072A6E">
        <w:rPr>
          <w:spacing w:val="2"/>
          <w:rtl/>
        </w:rPr>
        <w:t>خطير</w:t>
      </w:r>
      <w:r w:rsidRPr="00072A6E">
        <w:rPr>
          <w:rFonts w:hint="cs"/>
          <w:spacing w:val="2"/>
          <w:rtl/>
        </w:rPr>
        <w:t>ة</w:t>
      </w:r>
      <w:r w:rsidRPr="00072A6E">
        <w:rPr>
          <w:spacing w:val="2"/>
          <w:rtl/>
        </w:rPr>
        <w:t xml:space="preserve"> على تمتعهم بحقوق الإنسان. ومن ذلك على سبيل المثال الاعتداء على هؤلاء الأفراد جسدياً، واغتصابهم، و</w:t>
      </w:r>
      <w:r w:rsidRPr="00072A6E">
        <w:rPr>
          <w:rFonts w:hint="cs"/>
          <w:spacing w:val="2"/>
          <w:rtl/>
        </w:rPr>
        <w:t xml:space="preserve">طردهم </w:t>
      </w:r>
      <w:r w:rsidRPr="00072A6E">
        <w:rPr>
          <w:spacing w:val="2"/>
          <w:rtl/>
        </w:rPr>
        <w:t xml:space="preserve">من منزل </w:t>
      </w:r>
      <w:r w:rsidRPr="00072A6E">
        <w:rPr>
          <w:rFonts w:hint="cs"/>
          <w:spacing w:val="2"/>
          <w:rtl/>
        </w:rPr>
        <w:t>الأسرة</w:t>
      </w:r>
      <w:r w:rsidRPr="00072A6E">
        <w:rPr>
          <w:spacing w:val="2"/>
          <w:rtl/>
        </w:rPr>
        <w:t xml:space="preserve">، وحرمانهم من الميراث، ومنعهم من الذهاب إلى المدرسة، وإيداعهم مصحّات نفسية، وإجبارهم على الزواج وعلى التنازل عن حضانة أبنائهم، ومعاقبتهم على العمل كنشطاء، والاعتداء على سمعتهم الشخصية. وفي الدول التي تجرِّم المثلية الجنسية، قد يعزف الضحايا عن الإبلاغ عن أعمال </w:t>
      </w:r>
      <w:r w:rsidRPr="00072A6E">
        <w:rPr>
          <w:rFonts w:hint="cs"/>
          <w:spacing w:val="2"/>
          <w:rtl/>
        </w:rPr>
        <w:t>ال</w:t>
      </w:r>
      <w:r w:rsidRPr="00072A6E">
        <w:rPr>
          <w:spacing w:val="2"/>
          <w:rtl/>
        </w:rPr>
        <w:t xml:space="preserve">عنف </w:t>
      </w:r>
      <w:r w:rsidRPr="00072A6E">
        <w:rPr>
          <w:rFonts w:hint="cs"/>
          <w:spacing w:val="2"/>
          <w:rtl/>
        </w:rPr>
        <w:t xml:space="preserve">التي </w:t>
      </w:r>
      <w:r w:rsidRPr="00072A6E">
        <w:rPr>
          <w:spacing w:val="2"/>
          <w:rtl/>
        </w:rPr>
        <w:t xml:space="preserve">قد يرتكبها أي من أفراد الأسرة ضدهم خشية التداعيات الجنائية المترتبة على الكشف عن ميلهم الجنسي. وعادةً ما </w:t>
      </w:r>
      <w:r w:rsidRPr="00072A6E">
        <w:rPr>
          <w:rFonts w:hint="cs"/>
          <w:spacing w:val="2"/>
          <w:rtl/>
        </w:rPr>
        <w:t>ت</w:t>
      </w:r>
      <w:r w:rsidRPr="00072A6E">
        <w:rPr>
          <w:spacing w:val="2"/>
          <w:rtl/>
        </w:rPr>
        <w:t xml:space="preserve">كون </w:t>
      </w:r>
      <w:r w:rsidRPr="00072A6E">
        <w:rPr>
          <w:rFonts w:hint="cs"/>
          <w:spacing w:val="2"/>
          <w:rtl/>
        </w:rPr>
        <w:t xml:space="preserve">النساء </w:t>
      </w:r>
      <w:r w:rsidRPr="00072A6E">
        <w:rPr>
          <w:spacing w:val="2"/>
          <w:rtl/>
        </w:rPr>
        <w:t>المثليات ومزدوجات الميل الجنسي والأشخاص مغايرو الهوية الجنسانية أكثر عُرضةً للخطر بالنظر إلى مظاهر عدم المساواة بين الجنسين والقيود الجنسانية المفروضة</w:t>
      </w:r>
      <w:r w:rsidRPr="00072A6E">
        <w:rPr>
          <w:rFonts w:hint="cs"/>
          <w:spacing w:val="2"/>
          <w:rtl/>
        </w:rPr>
        <w:t xml:space="preserve"> عليهم</w:t>
      </w:r>
      <w:r w:rsidRPr="00072A6E">
        <w:rPr>
          <w:spacing w:val="2"/>
          <w:rtl/>
        </w:rPr>
        <w:t xml:space="preserve"> فيما يتعلق بالاستقلال في اتخاذ القرارات المتصلة بالسمات الجنسانية والإنجاب والحياة الأسرية</w:t>
      </w:r>
      <w:r w:rsidR="00411C20" w:rsidRPr="00072A6E">
        <w:rPr>
          <w:rStyle w:val="FootnoteReference"/>
          <w:rFonts w:ascii="Traditional Arabic" w:hAnsi="Traditional Arabic"/>
          <w:spacing w:val="2"/>
          <w:sz w:val="30"/>
          <w:rtl/>
        </w:rPr>
        <w:t>(</w:t>
      </w:r>
      <w:r w:rsidR="00411C20" w:rsidRPr="00072A6E">
        <w:rPr>
          <w:rStyle w:val="FootnoteReference"/>
          <w:rFonts w:ascii="Traditional Arabic" w:hAnsi="Traditional Arabic"/>
          <w:spacing w:val="2"/>
          <w:sz w:val="30"/>
          <w:rtl/>
        </w:rPr>
        <w:footnoteReference w:id="117"/>
      </w:r>
      <w:r w:rsidR="00411C20" w:rsidRPr="00072A6E">
        <w:rPr>
          <w:rStyle w:val="FootnoteReference"/>
          <w:rFonts w:ascii="Traditional Arabic" w:hAnsi="Traditional Arabic"/>
          <w:spacing w:val="2"/>
          <w:sz w:val="30"/>
          <w:rtl/>
        </w:rPr>
        <w:t>)</w:t>
      </w:r>
      <w:r w:rsidR="00A941CA" w:rsidRPr="00072A6E">
        <w:rPr>
          <w:rStyle w:val="FootnoteReference"/>
          <w:rFonts w:ascii="Traditional Arabic" w:hAnsi="Traditional Arabic" w:hint="cs"/>
          <w:spacing w:val="2"/>
          <w:sz w:val="30"/>
          <w:vertAlign w:val="baseline"/>
          <w:rtl/>
        </w:rPr>
        <w:t>.</w:t>
      </w:r>
    </w:p>
    <w:p w:rsidR="00D125E2" w:rsidRPr="006C0DD4" w:rsidRDefault="00D125E2" w:rsidP="00D125E2">
      <w:pPr>
        <w:pStyle w:val="H23GA"/>
        <w:rPr>
          <w:rtl/>
        </w:rPr>
      </w:pPr>
      <w:r w:rsidRPr="006C0DD4">
        <w:rPr>
          <w:rFonts w:hint="cs"/>
          <w:rtl/>
        </w:rPr>
        <w:tab/>
      </w:r>
      <w:r w:rsidRPr="006C0DD4">
        <w:rPr>
          <w:rtl/>
        </w:rPr>
        <w:t>8-</w:t>
      </w:r>
      <w:r w:rsidRPr="006C0DD4">
        <w:rPr>
          <w:rtl/>
        </w:rPr>
        <w:tab/>
        <w:t xml:space="preserve">الاعتراف بعلاقات الاقتران وما يتصل بذلك من إمكانية الحصول على الاستحقاقات الحكومية وغيرها </w:t>
      </w:r>
    </w:p>
    <w:p w:rsidR="00D125E2" w:rsidRPr="006C0DD4" w:rsidRDefault="00D125E2" w:rsidP="00A941CA">
      <w:pPr>
        <w:pStyle w:val="SingleTxtGA"/>
        <w:rPr>
          <w:rtl/>
        </w:rPr>
      </w:pPr>
      <w:r w:rsidRPr="006C0DD4">
        <w:rPr>
          <w:rtl/>
        </w:rPr>
        <w:t>67-</w:t>
      </w:r>
      <w:r w:rsidRPr="006C0DD4">
        <w:rPr>
          <w:rtl/>
        </w:rPr>
        <w:tab/>
      </w:r>
      <w:r w:rsidRPr="006C0DD4">
        <w:rPr>
          <w:rFonts w:hint="cs"/>
          <w:rtl/>
        </w:rPr>
        <w:t xml:space="preserve">مع أن </w:t>
      </w:r>
      <w:r w:rsidRPr="006C0DD4">
        <w:rPr>
          <w:rtl/>
        </w:rPr>
        <w:t xml:space="preserve">الدول </w:t>
      </w:r>
      <w:r w:rsidRPr="006C0DD4">
        <w:rPr>
          <w:rFonts w:hint="cs"/>
          <w:rtl/>
        </w:rPr>
        <w:t xml:space="preserve">ليست ملزمة </w:t>
      </w:r>
      <w:r w:rsidRPr="006C0DD4">
        <w:rPr>
          <w:rtl/>
        </w:rPr>
        <w:t>بموجب القانون الدولي بالاعتراف بالزواج بين الأشخاص من نفس نوع الجنس</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18"/>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w:t>
      </w:r>
      <w:r w:rsidRPr="006C0DD4">
        <w:rPr>
          <w:rFonts w:hint="cs"/>
          <w:rtl/>
        </w:rPr>
        <w:t xml:space="preserve">فإن </w:t>
      </w:r>
      <w:r w:rsidRPr="006C0DD4">
        <w:rPr>
          <w:rtl/>
        </w:rPr>
        <w:t xml:space="preserve">اللجنة المعنية بالحقوق الاقتصادية والاجتماعية والثقافية طلبت إلى الدول أن </w:t>
      </w:r>
      <w:r w:rsidRPr="006C0DD4">
        <w:rPr>
          <w:rFonts w:hint="cs"/>
          <w:rtl/>
        </w:rPr>
        <w:t>تعترف قانونا</w:t>
      </w:r>
      <w:r w:rsidR="00FF34CD">
        <w:rPr>
          <w:rFonts w:hint="cs"/>
          <w:rtl/>
        </w:rPr>
        <w:t>ً</w:t>
      </w:r>
      <w:r w:rsidRPr="006C0DD4">
        <w:rPr>
          <w:rFonts w:hint="cs"/>
          <w:rtl/>
        </w:rPr>
        <w:t xml:space="preserve"> بهذا الزواج</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19"/>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وحتى نيسان/أبريل 2015، منحت 34 دولة الشركاء من نفس نوع الجنس الحق في الزواج، أو في الارتباط المدني الذي يمنح الشركاء العديد </w:t>
      </w:r>
      <w:r w:rsidRPr="006C0DD4">
        <w:rPr>
          <w:rtl/>
        </w:rPr>
        <w:lastRenderedPageBreak/>
        <w:t>م</w:t>
      </w:r>
      <w:r w:rsidR="00A941CA" w:rsidRPr="006C0DD4">
        <w:rPr>
          <w:rtl/>
        </w:rPr>
        <w:t>ن مزايا واستحقاقات الزواج نفسها</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20"/>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ومتى منحت الدول</w:t>
      </w:r>
      <w:r w:rsidRPr="006C0DD4">
        <w:rPr>
          <w:rFonts w:hint="cs"/>
          <w:rtl/>
        </w:rPr>
        <w:t>ة</w:t>
      </w:r>
      <w:r w:rsidRPr="006C0DD4">
        <w:rPr>
          <w:rtl/>
        </w:rPr>
        <w:t xml:space="preserve"> الشركاء من جنس مخالف غير المتزوجين مزايا من قبيل المعاش واستحقاقات الميراث، ينبغي أن </w:t>
      </w:r>
      <w:r w:rsidRPr="006C0DD4">
        <w:rPr>
          <w:rFonts w:hint="cs"/>
          <w:rtl/>
        </w:rPr>
        <w:t xml:space="preserve">تمنح نفس </w:t>
      </w:r>
      <w:r w:rsidRPr="006C0DD4">
        <w:rPr>
          <w:rtl/>
        </w:rPr>
        <w:t>المزايا للشركاء من نفس نوع الجنس غير المتزوجين</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21"/>
      </w:r>
      <w:r w:rsidR="00411C20" w:rsidRPr="006C0DD4">
        <w:rPr>
          <w:rStyle w:val="FootnoteReference"/>
          <w:rFonts w:ascii="Traditional Arabic" w:hAnsi="Traditional Arabic"/>
          <w:sz w:val="30"/>
          <w:rtl/>
        </w:rPr>
        <w:t>)</w:t>
      </w:r>
      <w:r w:rsidR="00A941CA" w:rsidRPr="006C0DD4">
        <w:rPr>
          <w:rFonts w:hint="cs"/>
          <w:rtl/>
        </w:rPr>
        <w:t>.</w:t>
      </w:r>
      <w:r w:rsidRPr="006C0DD4">
        <w:rPr>
          <w:rtl/>
        </w:rPr>
        <w:t xml:space="preserve"> </w:t>
      </w:r>
    </w:p>
    <w:p w:rsidR="00D125E2" w:rsidRPr="006C0DD4" w:rsidRDefault="00D125E2" w:rsidP="00A25324">
      <w:pPr>
        <w:pStyle w:val="SingleTxtGA"/>
        <w:rPr>
          <w:rtl/>
        </w:rPr>
      </w:pPr>
      <w:r w:rsidRPr="006C0DD4">
        <w:rPr>
          <w:rtl/>
        </w:rPr>
        <w:t>68-</w:t>
      </w:r>
      <w:r w:rsidRPr="006C0DD4">
        <w:rPr>
          <w:rtl/>
        </w:rPr>
        <w:tab/>
        <w:t xml:space="preserve">وقد يؤدي عدم الاعتراف الرسمي بعلاقات الاقتران بين الأشخاص من نفس نوع الجنس وعدم </w:t>
      </w:r>
      <w:r w:rsidRPr="006C0DD4">
        <w:rPr>
          <w:rFonts w:hint="cs"/>
          <w:rtl/>
        </w:rPr>
        <w:t xml:space="preserve">وجود حظر قانوني على </w:t>
      </w:r>
      <w:r w:rsidRPr="006C0DD4">
        <w:rPr>
          <w:rtl/>
        </w:rPr>
        <w:t xml:space="preserve">التمييز </w:t>
      </w:r>
      <w:r w:rsidRPr="006C0DD4">
        <w:rPr>
          <w:rFonts w:hint="cs"/>
          <w:rtl/>
        </w:rPr>
        <w:t xml:space="preserve">ضدهم </w:t>
      </w:r>
      <w:r w:rsidRPr="006C0DD4">
        <w:rPr>
          <w:rtl/>
        </w:rPr>
        <w:t xml:space="preserve">إلى معاملة الشركاء من نفس نوع الجنس </w:t>
      </w:r>
      <w:r w:rsidRPr="006C0DD4">
        <w:rPr>
          <w:rFonts w:hint="cs"/>
          <w:rtl/>
        </w:rPr>
        <w:t xml:space="preserve">معاملة </w:t>
      </w:r>
      <w:r w:rsidRPr="006C0DD4">
        <w:rPr>
          <w:rtl/>
        </w:rPr>
        <w:t>غير عادل</w:t>
      </w:r>
      <w:r w:rsidRPr="006C0DD4">
        <w:rPr>
          <w:rFonts w:hint="cs"/>
          <w:rtl/>
        </w:rPr>
        <w:t>ة</w:t>
      </w:r>
      <w:r w:rsidRPr="006C0DD4">
        <w:rPr>
          <w:rtl/>
        </w:rPr>
        <w:t xml:space="preserve"> من جانب </w:t>
      </w:r>
      <w:r w:rsidRPr="006C0DD4">
        <w:rPr>
          <w:rFonts w:hint="cs"/>
          <w:rtl/>
        </w:rPr>
        <w:t xml:space="preserve">بعض </w:t>
      </w:r>
      <w:r w:rsidRPr="006C0DD4">
        <w:rPr>
          <w:rtl/>
        </w:rPr>
        <w:t>الجهات الخاصة، بما فيها الجهات مقدمة</w:t>
      </w:r>
      <w:r w:rsidRPr="006C0DD4">
        <w:rPr>
          <w:rFonts w:hint="cs"/>
          <w:rtl/>
        </w:rPr>
        <w:t xml:space="preserve"> خدمات </w:t>
      </w:r>
      <w:r w:rsidRPr="006C0DD4">
        <w:rPr>
          <w:rtl/>
        </w:rPr>
        <w:t>الرعاية الصحية وشركات التأمين. وقد أعربت كل من منظمة الأمم المتحدة للطفولة (اليونيسيف)، ولجنة حقوق الطفل، ومحكمة البلدان الأمريكية لحقوق الإنسان عن قلقها إزاء التمييز ضد أبناء الشركاء من نفس نوع الجنس وعدم توفير الحماية القانونية لهم</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22"/>
      </w:r>
      <w:r w:rsidR="00411C20" w:rsidRPr="006C0DD4">
        <w:rPr>
          <w:rStyle w:val="FootnoteReference"/>
          <w:rFonts w:ascii="Traditional Arabic" w:hAnsi="Traditional Arabic"/>
          <w:sz w:val="30"/>
          <w:rtl/>
        </w:rPr>
        <w:t>)</w:t>
      </w:r>
      <w:r w:rsidR="00A941CA" w:rsidRPr="006C0DD4">
        <w:rPr>
          <w:rStyle w:val="FootnoteReference"/>
          <w:rFonts w:ascii="Traditional Arabic" w:hAnsi="Traditional Arabic" w:hint="cs"/>
          <w:sz w:val="30"/>
          <w:vertAlign w:val="baseline"/>
          <w:rtl/>
        </w:rPr>
        <w:t>.</w:t>
      </w:r>
    </w:p>
    <w:p w:rsidR="00D125E2" w:rsidRPr="006C0DD4" w:rsidRDefault="00D125E2" w:rsidP="00D125E2">
      <w:pPr>
        <w:pStyle w:val="H23GA"/>
        <w:rPr>
          <w:rtl/>
        </w:rPr>
      </w:pPr>
      <w:r w:rsidRPr="006C0DD4">
        <w:rPr>
          <w:rFonts w:hint="cs"/>
          <w:rtl/>
        </w:rPr>
        <w:tab/>
      </w:r>
      <w:r w:rsidRPr="006C0DD4">
        <w:rPr>
          <w:rtl/>
        </w:rPr>
        <w:t>9-</w:t>
      </w:r>
      <w:r w:rsidRPr="006C0DD4">
        <w:rPr>
          <w:rtl/>
        </w:rPr>
        <w:tab/>
        <w:t>الاعتراف بالهوية الجنسانية والقضايا المتصلة بذلك</w:t>
      </w:r>
    </w:p>
    <w:p w:rsidR="00D125E2" w:rsidRPr="006C0DD4" w:rsidRDefault="00D125E2" w:rsidP="00D125E2">
      <w:pPr>
        <w:pStyle w:val="SingleTxtGA"/>
        <w:rPr>
          <w:rtl/>
        </w:rPr>
      </w:pPr>
      <w:r w:rsidRPr="006C0DD4">
        <w:rPr>
          <w:rtl/>
        </w:rPr>
        <w:t>69-</w:t>
      </w:r>
      <w:r w:rsidRPr="006C0DD4">
        <w:rPr>
          <w:rtl/>
        </w:rPr>
        <w:tab/>
        <w:t xml:space="preserve">على الرغم من التطورات الأخيرة التي شهدتها عدة بلدان، فبوجهٍ عام، لا يزال الأشخاص مغايرو الهوية الجنسانية غير قادرين على الحصول على الاعتراف القانوني بهويتهم الجنسانية المفضّلة، بما في ذلك تغيير نوع الجنس والاسم الأول المسجّليْن في وثائق الهوية الصادرة من الدولة. ونتيجةً لذلك، يواجه هؤلاء الأشخاص تحديات متعددة </w:t>
      </w:r>
      <w:r w:rsidRPr="006C0DD4">
        <w:rPr>
          <w:rFonts w:hint="cs"/>
          <w:rtl/>
        </w:rPr>
        <w:t xml:space="preserve">فيما يتعلق بحقوقهم </w:t>
      </w:r>
      <w:r w:rsidRPr="006C0DD4">
        <w:rPr>
          <w:rtl/>
        </w:rPr>
        <w:t>في مجالات تشمل العمل والسكن، أو طلب القروض المصرفية أو الاستحقاقات الحكومية، أو عند السفر إلى الخارج.</w:t>
      </w:r>
    </w:p>
    <w:p w:rsidR="00D125E2" w:rsidRPr="006C0DD4" w:rsidRDefault="00D125E2" w:rsidP="00D125E2">
      <w:pPr>
        <w:pStyle w:val="SingleTxtGA"/>
        <w:rPr>
          <w:rtl/>
        </w:rPr>
      </w:pPr>
      <w:r w:rsidRPr="006C0DD4">
        <w:rPr>
          <w:rtl/>
        </w:rPr>
        <w:t>70-</w:t>
      </w:r>
      <w:r w:rsidRPr="006C0DD4">
        <w:rPr>
          <w:rtl/>
        </w:rPr>
        <w:tab/>
        <w:t>وعادةً ما ت</w:t>
      </w:r>
      <w:r w:rsidRPr="006C0DD4">
        <w:rPr>
          <w:rFonts w:hint="cs"/>
          <w:rtl/>
        </w:rPr>
        <w:t>نص</w:t>
      </w:r>
      <w:r w:rsidRPr="006C0DD4">
        <w:rPr>
          <w:rtl/>
        </w:rPr>
        <w:t xml:space="preserve"> اللوائح المطبَّقة في الدول التي تعترف بتغيير الهوية الجنسانية </w:t>
      </w:r>
      <w:r w:rsidRPr="006C0DD4">
        <w:rPr>
          <w:rFonts w:hint="cs"/>
          <w:rtl/>
        </w:rPr>
        <w:t xml:space="preserve">على </w:t>
      </w:r>
      <w:r w:rsidRPr="006C0DD4">
        <w:rPr>
          <w:rtl/>
        </w:rPr>
        <w:t>شروط مسبقة للاعتراف القانوني بهذا التغيير، من ذلك على سبيل المثال اشتراط أن يكون مقدمو الطلبات غير متزوجين، وأن يخضعوا للتعقيم القسري</w:t>
      </w:r>
      <w:r w:rsidRPr="006C0DD4">
        <w:rPr>
          <w:rFonts w:hint="cs"/>
          <w:rtl/>
        </w:rPr>
        <w:t>،</w:t>
      </w:r>
      <w:r w:rsidRPr="006C0DD4">
        <w:rPr>
          <w:rtl/>
        </w:rPr>
        <w:t xml:space="preserve"> و</w:t>
      </w:r>
      <w:r w:rsidRPr="006C0DD4">
        <w:rPr>
          <w:rFonts w:hint="cs"/>
          <w:rtl/>
        </w:rPr>
        <w:t>أن يعاد قسريا</w:t>
      </w:r>
      <w:r w:rsidR="00A25324">
        <w:rPr>
          <w:rFonts w:hint="cs"/>
          <w:rtl/>
        </w:rPr>
        <w:t>ً</w:t>
      </w:r>
      <w:r w:rsidRPr="006C0DD4">
        <w:rPr>
          <w:rFonts w:hint="cs"/>
          <w:rtl/>
        </w:rPr>
        <w:t xml:space="preserve"> </w:t>
      </w:r>
      <w:r w:rsidRPr="006C0DD4">
        <w:rPr>
          <w:rtl/>
        </w:rPr>
        <w:t>تحديد هوي</w:t>
      </w:r>
      <w:r w:rsidRPr="006C0DD4">
        <w:rPr>
          <w:rFonts w:hint="cs"/>
          <w:rtl/>
        </w:rPr>
        <w:t>تهم</w:t>
      </w:r>
      <w:r w:rsidRPr="006C0DD4">
        <w:rPr>
          <w:rtl/>
        </w:rPr>
        <w:t xml:space="preserve"> الجنسانية</w:t>
      </w:r>
      <w:r w:rsidRPr="006C0DD4">
        <w:rPr>
          <w:rFonts w:hint="cs"/>
          <w:rtl/>
        </w:rPr>
        <w:t>،</w:t>
      </w:r>
      <w:r w:rsidRPr="006C0DD4">
        <w:rPr>
          <w:rtl/>
        </w:rPr>
        <w:t xml:space="preserve"> وإجراءات طبية أخرى </w:t>
      </w:r>
      <w:r w:rsidRPr="006C0DD4">
        <w:rPr>
          <w:rFonts w:hint="cs"/>
          <w:rtl/>
        </w:rPr>
        <w:t xml:space="preserve">بالمخالفة </w:t>
      </w:r>
      <w:r w:rsidRPr="006C0DD4">
        <w:rPr>
          <w:rtl/>
        </w:rPr>
        <w:t>للمعايير الدولية لح</w:t>
      </w:r>
      <w:r w:rsidR="00A941CA" w:rsidRPr="006C0DD4">
        <w:rPr>
          <w:rtl/>
        </w:rPr>
        <w:t>قوق الإنسان</w:t>
      </w:r>
      <w:r w:rsidR="00411C20" w:rsidRPr="006C0DD4">
        <w:rPr>
          <w:rStyle w:val="FootnoteReference"/>
          <w:rFonts w:ascii="Traditional Arabic" w:hAnsi="Traditional Arabic"/>
          <w:sz w:val="30"/>
          <w:rtl/>
        </w:rPr>
        <w:t>(</w:t>
      </w:r>
      <w:r w:rsidR="00411C20" w:rsidRPr="006C0DD4">
        <w:rPr>
          <w:rStyle w:val="FootnoteReference"/>
          <w:rFonts w:ascii="Traditional Arabic" w:hAnsi="Traditional Arabic"/>
          <w:sz w:val="30"/>
          <w:rtl/>
        </w:rPr>
        <w:footnoteReference w:id="123"/>
      </w:r>
      <w:r w:rsidR="00411C20" w:rsidRPr="006C0DD4">
        <w:rPr>
          <w:rStyle w:val="FootnoteReference"/>
          <w:rFonts w:ascii="Traditional Arabic" w:hAnsi="Traditional Arabic"/>
          <w:sz w:val="30"/>
          <w:rtl/>
        </w:rPr>
        <w:t>)</w:t>
      </w:r>
      <w:r w:rsidR="00A941CA" w:rsidRPr="006C0DD4">
        <w:rPr>
          <w:rStyle w:val="FootnoteReference"/>
          <w:rFonts w:ascii="Traditional Arabic" w:hAnsi="Traditional Arabic" w:hint="cs"/>
          <w:sz w:val="30"/>
          <w:vertAlign w:val="baseline"/>
          <w:rtl/>
        </w:rPr>
        <w:t>.</w:t>
      </w:r>
    </w:p>
    <w:p w:rsidR="00D125E2" w:rsidRPr="006C0DD4" w:rsidRDefault="00D125E2" w:rsidP="00D125E2">
      <w:pPr>
        <w:pStyle w:val="H1GA"/>
        <w:rPr>
          <w:rtl/>
        </w:rPr>
      </w:pPr>
      <w:r w:rsidRPr="006C0DD4">
        <w:rPr>
          <w:rFonts w:hint="cs"/>
          <w:rtl/>
        </w:rPr>
        <w:lastRenderedPageBreak/>
        <w:tab/>
      </w:r>
      <w:bookmarkStart w:id="20" w:name="_Toc420919014"/>
      <w:r w:rsidRPr="006C0DD4">
        <w:rPr>
          <w:rtl/>
        </w:rPr>
        <w:t>جيم-</w:t>
      </w:r>
      <w:r w:rsidRPr="006C0DD4">
        <w:rPr>
          <w:rtl/>
        </w:rPr>
        <w:tab/>
        <w:t>التطورات الإيجابية منذ عام 2011</w:t>
      </w:r>
      <w:bookmarkEnd w:id="20"/>
    </w:p>
    <w:p w:rsidR="00D125E2" w:rsidRPr="006C0DD4" w:rsidRDefault="00D125E2" w:rsidP="00D125E2">
      <w:pPr>
        <w:pStyle w:val="SingleTxtGA"/>
        <w:rPr>
          <w:rtl/>
        </w:rPr>
      </w:pPr>
      <w:r w:rsidRPr="006C0DD4">
        <w:rPr>
          <w:rtl/>
        </w:rPr>
        <w:t>71-</w:t>
      </w:r>
      <w:r w:rsidRPr="006C0DD4">
        <w:rPr>
          <w:rtl/>
        </w:rPr>
        <w:tab/>
        <w:t>ألغت ثلاث دول (بالاو، سان تومي وبرينسيبي، موز</w:t>
      </w:r>
      <w:r w:rsidR="00742862">
        <w:rPr>
          <w:rFonts w:hint="cs"/>
          <w:rtl/>
        </w:rPr>
        <w:t>ا</w:t>
      </w:r>
      <w:r w:rsidRPr="006C0DD4">
        <w:rPr>
          <w:rtl/>
        </w:rPr>
        <w:t xml:space="preserve">مبيق) تجريم </w:t>
      </w:r>
      <w:r w:rsidRPr="006C0DD4">
        <w:rPr>
          <w:rFonts w:hint="cs"/>
          <w:rtl/>
        </w:rPr>
        <w:t xml:space="preserve">ممارسة العلاقات الجنسية المثلية </w:t>
      </w:r>
      <w:r w:rsidRPr="006C0DD4">
        <w:rPr>
          <w:rtl/>
        </w:rPr>
        <w:t>بالتراضي، وقبِلت عدة دول أخرى التوصيات الداعية إلى إلغائ</w:t>
      </w:r>
      <w:r w:rsidRPr="006C0DD4">
        <w:rPr>
          <w:rFonts w:hint="cs"/>
          <w:rtl/>
        </w:rPr>
        <w:t>ها</w:t>
      </w:r>
      <w:r w:rsidRPr="006C0DD4">
        <w:rPr>
          <w:rtl/>
        </w:rPr>
        <w:t>. وا</w:t>
      </w:r>
      <w:r w:rsidRPr="006C0DD4">
        <w:rPr>
          <w:rFonts w:hint="cs"/>
          <w:rtl/>
        </w:rPr>
        <w:t>تخذت</w:t>
      </w:r>
      <w:r w:rsidRPr="006C0DD4">
        <w:rPr>
          <w:rtl/>
        </w:rPr>
        <w:t xml:space="preserve"> المملكة المتحدة وعدة ولايات في أستراليا تدابير لشطب السوابق الجنائية المتصلة بممارسة </w:t>
      </w:r>
      <w:r w:rsidRPr="006C0DD4">
        <w:rPr>
          <w:rFonts w:hint="cs"/>
          <w:rtl/>
        </w:rPr>
        <w:t xml:space="preserve">العلاقات </w:t>
      </w:r>
      <w:r w:rsidRPr="006C0DD4">
        <w:rPr>
          <w:rtl/>
        </w:rPr>
        <w:t xml:space="preserve">الجنسية </w:t>
      </w:r>
      <w:r w:rsidRPr="006C0DD4">
        <w:rPr>
          <w:rFonts w:hint="cs"/>
          <w:rtl/>
        </w:rPr>
        <w:t xml:space="preserve">المثلية </w:t>
      </w:r>
      <w:r w:rsidRPr="006C0DD4">
        <w:rPr>
          <w:rtl/>
        </w:rPr>
        <w:t>بالتراضي.</w:t>
      </w:r>
    </w:p>
    <w:p w:rsidR="00D125E2" w:rsidRPr="00072A6E" w:rsidRDefault="00D125E2" w:rsidP="00D125E2">
      <w:pPr>
        <w:pStyle w:val="SingleTxtGA"/>
        <w:rPr>
          <w:spacing w:val="-2"/>
          <w:rtl/>
        </w:rPr>
      </w:pPr>
      <w:r w:rsidRPr="00072A6E">
        <w:rPr>
          <w:spacing w:val="-2"/>
          <w:rtl/>
        </w:rPr>
        <w:t>72-</w:t>
      </w:r>
      <w:r w:rsidRPr="00072A6E">
        <w:rPr>
          <w:spacing w:val="-2"/>
          <w:rtl/>
        </w:rPr>
        <w:tab/>
        <w:t>وأضافت فيجي إلى دستورها حكماً مناهِضاً للتمييز يحظر التمييز على أساس الميل الجنسي والهوية الجنسانية وأسلوب التعبير الجنساني، وأضافت مالط</w:t>
      </w:r>
      <w:r w:rsidRPr="00072A6E">
        <w:rPr>
          <w:rFonts w:hint="cs"/>
          <w:spacing w:val="-2"/>
          <w:rtl/>
        </w:rPr>
        <w:t>ة</w:t>
      </w:r>
      <w:r w:rsidRPr="00072A6E">
        <w:rPr>
          <w:spacing w:val="-2"/>
          <w:rtl/>
        </w:rPr>
        <w:t xml:space="preserve"> الهوية الجنسانية إلى قائمة أسباب التمييز المحظورة الم</w:t>
      </w:r>
      <w:r w:rsidRPr="00072A6E">
        <w:rPr>
          <w:rFonts w:hint="cs"/>
          <w:spacing w:val="-2"/>
          <w:rtl/>
        </w:rPr>
        <w:t xml:space="preserve">نصوص عليها في </w:t>
      </w:r>
      <w:r w:rsidRPr="00072A6E">
        <w:rPr>
          <w:spacing w:val="-2"/>
          <w:rtl/>
        </w:rPr>
        <w:t>دستورها. وعُززت أيضاً قوانين مناهضة التمييز في عدة دول، من بينها الجبل الأسود وجمهورية مولدوفا وجورجيا وشيلي وكوبا، وكذلك في أستراليا ومالط</w:t>
      </w:r>
      <w:r w:rsidRPr="00072A6E">
        <w:rPr>
          <w:rFonts w:hint="cs"/>
          <w:spacing w:val="-2"/>
          <w:rtl/>
        </w:rPr>
        <w:t xml:space="preserve">ة </w:t>
      </w:r>
      <w:r w:rsidRPr="00072A6E">
        <w:rPr>
          <w:spacing w:val="-2"/>
          <w:rtl/>
        </w:rPr>
        <w:t>اللتين أصبحتا أول بلدين يحظران صراحةً التمييز ضد الأشخاص حاملي صفات الجنسين.</w:t>
      </w:r>
    </w:p>
    <w:p w:rsidR="00D125E2" w:rsidRPr="006C0DD4" w:rsidRDefault="00D125E2" w:rsidP="00D125E2">
      <w:pPr>
        <w:pStyle w:val="SingleTxtGA"/>
        <w:rPr>
          <w:rtl/>
        </w:rPr>
      </w:pPr>
      <w:r w:rsidRPr="006C0DD4">
        <w:rPr>
          <w:rtl/>
        </w:rPr>
        <w:t>73-</w:t>
      </w:r>
      <w:r w:rsidRPr="006C0DD4">
        <w:rPr>
          <w:rtl/>
        </w:rPr>
        <w:tab/>
        <w:t xml:space="preserve">وأدخلت ما لا يقل عن 12 دولة أخرى في تشريعاتها الاعتراف القانوني بعلاقات الاقتران بين الأشخاص من نفس نوع الجنس، إما في شكل زواج مدني (أوروغواي، البرازيل، الدنمارك، فرنسا، لكسمبرغ، المملكة المتحدة، نيوزيلندا) </w:t>
      </w:r>
      <w:r w:rsidRPr="006C0DD4">
        <w:rPr>
          <w:rFonts w:hint="cs"/>
          <w:rtl/>
        </w:rPr>
        <w:t>وإما</w:t>
      </w:r>
      <w:r w:rsidRPr="006C0DD4">
        <w:rPr>
          <w:rtl/>
        </w:rPr>
        <w:t xml:space="preserve"> في شكل ارتباط مدني (</w:t>
      </w:r>
      <w:r w:rsidR="00072A6E">
        <w:rPr>
          <w:rtl/>
        </w:rPr>
        <w:t>أيرلندا</w:t>
      </w:r>
      <w:r w:rsidRPr="006C0DD4">
        <w:rPr>
          <w:rtl/>
        </w:rPr>
        <w:t>، شيلي، كرواتيا، لختنشتاين، مالط</w:t>
      </w:r>
      <w:r w:rsidRPr="006C0DD4">
        <w:rPr>
          <w:rFonts w:hint="cs"/>
          <w:rtl/>
        </w:rPr>
        <w:t>ة</w:t>
      </w:r>
      <w:r w:rsidRPr="006C0DD4">
        <w:rPr>
          <w:rtl/>
        </w:rPr>
        <w:t>). وسنّت الأرجنتين والدنمارك ومالط</w:t>
      </w:r>
      <w:r w:rsidRPr="006C0DD4">
        <w:rPr>
          <w:rFonts w:hint="cs"/>
          <w:rtl/>
        </w:rPr>
        <w:t>ة</w:t>
      </w:r>
      <w:r w:rsidRPr="006C0DD4">
        <w:rPr>
          <w:rtl/>
        </w:rPr>
        <w:t xml:space="preserve"> قوانين جديدة تُجيز للأشخاص مغايري الهوية الجنسانية الحصول على الاعتراف القانوني بهويتهم الجنسانية استناداً إلى الحق في التحديد الذاتي للهوية، بينما ألغت أستراليا (إقليم العاصمة الأسترالية) والسويد وهولندا اشتراطات الخضوع للتعقيم والعلاج القسري والطلاق. علاوة على ذلك، أتاحت الأرجنتين إمكانية تلقّي العلاج المؤكِّد للهوية الجنسانية بالمجان للراغبين في </w:t>
      </w:r>
      <w:r w:rsidRPr="006C0DD4">
        <w:rPr>
          <w:rFonts w:hint="cs"/>
          <w:rtl/>
        </w:rPr>
        <w:t>ذلك</w:t>
      </w:r>
      <w:r w:rsidRPr="006C0DD4">
        <w:rPr>
          <w:rtl/>
        </w:rPr>
        <w:t>. واستحدثت بنغلاديش ونيبال فئة قانونية باسم "الجنس الثالث"، وفي أستراليا ونيوزيلندا، تُجيز السياسات الجديدة لإصدار جوازات السفر للأفراد الاختيار من ثلاثة مُحدِّدات لنوع الجنس هي: ذكر أو أنثى أو وسط. وأكدت المحكمة القضائية للهند حق الأشخاص مغ</w:t>
      </w:r>
      <w:r w:rsidRPr="006C0DD4">
        <w:rPr>
          <w:rFonts w:hint="cs"/>
          <w:rtl/>
        </w:rPr>
        <w:t>ا</w:t>
      </w:r>
      <w:r w:rsidRPr="006C0DD4">
        <w:rPr>
          <w:rtl/>
        </w:rPr>
        <w:t>يري الهوية الجنسانية في تحديد نوع جنسهم، وطلبت إلى الحكومة أن تكفل لهم المساواة في الحقوق، بما في ذلك إمكانية الحصول على الرعاية الصحية وفرص العمل والتعليم. وأصبحت مالط</w:t>
      </w:r>
      <w:r w:rsidRPr="006C0DD4">
        <w:rPr>
          <w:rFonts w:hint="cs"/>
          <w:rtl/>
        </w:rPr>
        <w:t>ة</w:t>
      </w:r>
      <w:r w:rsidRPr="006C0DD4">
        <w:rPr>
          <w:rtl/>
        </w:rPr>
        <w:t xml:space="preserve"> أول دولة تحظر إخضاع القصَّر حاملي صفات الجنسين لجراحات أو علاجات تحديد نوع الجنس، دون موافقتهم </w:t>
      </w:r>
      <w:r w:rsidRPr="006C0DD4">
        <w:rPr>
          <w:rFonts w:hint="cs"/>
          <w:rtl/>
        </w:rPr>
        <w:t>المسبقة على ذلك</w:t>
      </w:r>
      <w:r w:rsidRPr="006C0DD4">
        <w:rPr>
          <w:rtl/>
        </w:rPr>
        <w:t>.</w:t>
      </w:r>
    </w:p>
    <w:p w:rsidR="00D125E2" w:rsidRPr="006C0DD4" w:rsidRDefault="00D125E2" w:rsidP="00D15410">
      <w:pPr>
        <w:pStyle w:val="SingleTxtGA"/>
        <w:rPr>
          <w:rtl/>
        </w:rPr>
      </w:pPr>
      <w:r w:rsidRPr="006C0DD4">
        <w:rPr>
          <w:rtl/>
        </w:rPr>
        <w:t>74-</w:t>
      </w:r>
      <w:r w:rsidRPr="006C0DD4">
        <w:rPr>
          <w:rtl/>
        </w:rPr>
        <w:tab/>
        <w:t xml:space="preserve">ومن المبادرات الأخرى المتَّخذة في هذا السياق ما يلي: </w:t>
      </w:r>
      <w:r w:rsidRPr="006C0DD4">
        <w:rPr>
          <w:rFonts w:hint="cs"/>
          <w:rtl/>
        </w:rPr>
        <w:t>وضع</w:t>
      </w:r>
      <w:r w:rsidRPr="006C0DD4">
        <w:rPr>
          <w:rtl/>
        </w:rPr>
        <w:t xml:space="preserve"> بروتوكول قضائي جديد لتوجيه الفصل في القضايا المنطوية على انتهاكات لحقوق الإنسان بسبب الميل الجنسي والهوية الجنسانية (المكسيك)، </w:t>
      </w:r>
      <w:r w:rsidRPr="006C0DD4">
        <w:rPr>
          <w:rFonts w:hint="cs"/>
          <w:rtl/>
        </w:rPr>
        <w:t>و</w:t>
      </w:r>
      <w:r w:rsidRPr="006C0DD4">
        <w:rPr>
          <w:rtl/>
        </w:rPr>
        <w:t xml:space="preserve">تنفيذ تدابير </w:t>
      </w:r>
      <w:r w:rsidRPr="006C0DD4">
        <w:rPr>
          <w:rFonts w:hint="cs"/>
          <w:rtl/>
        </w:rPr>
        <w:t>ال</w:t>
      </w:r>
      <w:r w:rsidRPr="006C0DD4">
        <w:rPr>
          <w:rtl/>
        </w:rPr>
        <w:t xml:space="preserve">حماية </w:t>
      </w:r>
      <w:r w:rsidRPr="006C0DD4">
        <w:rPr>
          <w:rFonts w:hint="cs"/>
          <w:rtl/>
        </w:rPr>
        <w:t>المتعلقة ب</w:t>
      </w:r>
      <w:r w:rsidRPr="006C0DD4">
        <w:rPr>
          <w:rtl/>
        </w:rPr>
        <w:t xml:space="preserve">مناهضة التمييز </w:t>
      </w:r>
      <w:r w:rsidRPr="006C0DD4">
        <w:rPr>
          <w:rFonts w:hint="cs"/>
          <w:rtl/>
        </w:rPr>
        <w:t xml:space="preserve">في </w:t>
      </w:r>
      <w:r w:rsidRPr="006C0DD4">
        <w:rPr>
          <w:rtl/>
        </w:rPr>
        <w:t>العمل (بوتسوانا، بوليفيا (</w:t>
      </w:r>
      <w:r w:rsidR="00D15410">
        <w:rPr>
          <w:rFonts w:hint="cs"/>
          <w:rtl/>
        </w:rPr>
        <w:t xml:space="preserve">دولة - </w:t>
      </w:r>
      <w:r w:rsidRPr="006C0DD4">
        <w:rPr>
          <w:rtl/>
        </w:rPr>
        <w:t xml:space="preserve">المتعددة القوميات))، </w:t>
      </w:r>
      <w:r w:rsidRPr="006C0DD4">
        <w:rPr>
          <w:rFonts w:hint="cs"/>
          <w:rtl/>
        </w:rPr>
        <w:t xml:space="preserve">ووضع </w:t>
      </w:r>
      <w:r w:rsidRPr="006C0DD4">
        <w:rPr>
          <w:rtl/>
        </w:rPr>
        <w:t xml:space="preserve">مواد إرشادية وتدريبية جديدة للشرطة و/أو المعلمين و/أو غيرهم من الموظفين (إسبانيا، الجبل الأسود، الدنمارك، صربيا، كرواتيا، كندا، كولومبيا، المكسيك، النرويج)، </w:t>
      </w:r>
      <w:r w:rsidRPr="006C0DD4">
        <w:rPr>
          <w:rFonts w:hint="cs"/>
          <w:rtl/>
        </w:rPr>
        <w:t>و</w:t>
      </w:r>
      <w:r w:rsidRPr="006C0DD4">
        <w:rPr>
          <w:rtl/>
        </w:rPr>
        <w:t xml:space="preserve">توسيع نطاق برامج مكافحة التحرش في المدارس وغيرها من تدابير مناهضة التمييز فيها (أستراليا، ألبانيا، </w:t>
      </w:r>
      <w:r w:rsidR="00072A6E">
        <w:rPr>
          <w:rtl/>
        </w:rPr>
        <w:t>أيرلندا</w:t>
      </w:r>
      <w:r w:rsidRPr="006C0DD4">
        <w:rPr>
          <w:rtl/>
        </w:rPr>
        <w:t xml:space="preserve">، البرازيل، البرتغال، السويد، كندا، محافظة </w:t>
      </w:r>
      <w:r w:rsidRPr="006C0DD4">
        <w:rPr>
          <w:rtl/>
        </w:rPr>
        <w:lastRenderedPageBreak/>
        <w:t>تايوان الصينية، المملكة المتحدة)</w:t>
      </w:r>
      <w:r w:rsidRPr="006C0DD4">
        <w:rPr>
          <w:rFonts w:hint="cs"/>
          <w:rtl/>
        </w:rPr>
        <w:t>،</w:t>
      </w:r>
      <w:r w:rsidRPr="006C0DD4">
        <w:rPr>
          <w:rtl/>
        </w:rPr>
        <w:t xml:space="preserve"> وتقديم تقارير سنوية عن التمييز والعنف في المدارس (البرازيل)،</w:t>
      </w:r>
      <w:r w:rsidRPr="006C0DD4">
        <w:rPr>
          <w:rFonts w:hint="cs"/>
          <w:rtl/>
        </w:rPr>
        <w:t xml:space="preserve"> </w:t>
      </w:r>
      <w:r w:rsidRPr="006C0DD4">
        <w:rPr>
          <w:rtl/>
        </w:rPr>
        <w:t>و</w:t>
      </w:r>
      <w:r w:rsidRPr="006C0DD4">
        <w:rPr>
          <w:rFonts w:hint="cs"/>
          <w:rtl/>
        </w:rPr>
        <w:t>وضع</w:t>
      </w:r>
      <w:r w:rsidRPr="006C0DD4">
        <w:rPr>
          <w:rtl/>
        </w:rPr>
        <w:t xml:space="preserve"> برامج لمنع انتحار المثليين والمثليات ومزدوجي الميل الجنسي ومغايري الهوية الجنسانية (بلجيكا، المملكة المتحدة، اليابان)، و</w:t>
      </w:r>
      <w:r w:rsidRPr="006C0DD4">
        <w:rPr>
          <w:rFonts w:hint="cs"/>
          <w:rtl/>
        </w:rPr>
        <w:t>و</w:t>
      </w:r>
      <w:r w:rsidRPr="006C0DD4">
        <w:rPr>
          <w:rtl/>
        </w:rPr>
        <w:t>ض</w:t>
      </w:r>
      <w:r w:rsidRPr="006C0DD4">
        <w:rPr>
          <w:rFonts w:hint="cs"/>
          <w:rtl/>
        </w:rPr>
        <w:t>ع</w:t>
      </w:r>
      <w:r w:rsidRPr="006C0DD4">
        <w:rPr>
          <w:rtl/>
        </w:rPr>
        <w:t xml:space="preserve"> منهج دراسي للتثقيف الجنسي الشامل القائم على حقوق الإنسان (جنوب أفريقيا)، </w:t>
      </w:r>
      <w:r w:rsidRPr="006C0DD4">
        <w:rPr>
          <w:rFonts w:hint="cs"/>
          <w:rtl/>
        </w:rPr>
        <w:t>و</w:t>
      </w:r>
      <w:r w:rsidRPr="006C0DD4">
        <w:rPr>
          <w:rtl/>
        </w:rPr>
        <w:t>تقديم مِنح دراسية للأشخاص مغ</w:t>
      </w:r>
      <w:r w:rsidRPr="006C0DD4">
        <w:rPr>
          <w:rFonts w:hint="cs"/>
          <w:rtl/>
        </w:rPr>
        <w:t>اي</w:t>
      </w:r>
      <w:r w:rsidRPr="006C0DD4">
        <w:rPr>
          <w:rtl/>
        </w:rPr>
        <w:t xml:space="preserve">ري الهوية الجنسانية المقيّدين ببرامج التدريب المهني (البرازيل)، </w:t>
      </w:r>
      <w:r w:rsidRPr="006C0DD4">
        <w:rPr>
          <w:rFonts w:hint="cs"/>
          <w:rtl/>
        </w:rPr>
        <w:t>و</w:t>
      </w:r>
      <w:r w:rsidRPr="006C0DD4">
        <w:rPr>
          <w:rtl/>
        </w:rPr>
        <w:t xml:space="preserve">إنشاء دور إيواء للشباب </w:t>
      </w:r>
      <w:r w:rsidRPr="006C0DD4">
        <w:rPr>
          <w:rFonts w:hint="cs"/>
          <w:rtl/>
        </w:rPr>
        <w:t xml:space="preserve">من </w:t>
      </w:r>
      <w:r w:rsidRPr="006C0DD4">
        <w:rPr>
          <w:rtl/>
        </w:rPr>
        <w:t xml:space="preserve">المثليين والمثليات ومزدوجي الميل الجنسي ومغايري الهوية الجنسانية </w:t>
      </w:r>
      <w:r w:rsidRPr="006C0DD4">
        <w:rPr>
          <w:rFonts w:hint="cs"/>
          <w:rtl/>
        </w:rPr>
        <w:t xml:space="preserve">المشردين </w:t>
      </w:r>
      <w:r w:rsidRPr="006C0DD4">
        <w:rPr>
          <w:rtl/>
        </w:rPr>
        <w:t xml:space="preserve">(ألبانيا والولايات المتحدة)، </w:t>
      </w:r>
      <w:r w:rsidRPr="006C0DD4">
        <w:rPr>
          <w:rFonts w:hint="cs"/>
          <w:rtl/>
        </w:rPr>
        <w:t>و</w:t>
      </w:r>
      <w:r w:rsidRPr="006C0DD4">
        <w:rPr>
          <w:rtl/>
        </w:rPr>
        <w:t xml:space="preserve">إلغاء اشتراط </w:t>
      </w:r>
      <w:r w:rsidRPr="006C0DD4">
        <w:rPr>
          <w:rFonts w:hint="cs"/>
          <w:rtl/>
        </w:rPr>
        <w:t xml:space="preserve">التأكيد </w:t>
      </w:r>
      <w:r w:rsidRPr="006C0DD4">
        <w:rPr>
          <w:rtl/>
        </w:rPr>
        <w:t xml:space="preserve">الخارجي </w:t>
      </w:r>
      <w:r w:rsidRPr="006C0DD4">
        <w:rPr>
          <w:rFonts w:hint="cs"/>
          <w:rtl/>
        </w:rPr>
        <w:t>ل</w:t>
      </w:r>
      <w:r w:rsidRPr="006C0DD4">
        <w:rPr>
          <w:rtl/>
        </w:rPr>
        <w:t>لميل الجنسي أو الهوية الجنسانية لملتمسي اللجوء المثليين والمثليات ومزدوجي الميل الجنسي ومغايري الهوية الجنسانية (إيطاليا، البرتغال).</w:t>
      </w:r>
    </w:p>
    <w:p w:rsidR="00D125E2" w:rsidRPr="006C0DD4" w:rsidRDefault="00D125E2" w:rsidP="00D125E2">
      <w:pPr>
        <w:pStyle w:val="SingleTxtGA"/>
        <w:rPr>
          <w:rtl/>
          <w:lang w:bidi="ar-EG"/>
        </w:rPr>
      </w:pPr>
      <w:r w:rsidRPr="006C0DD4">
        <w:rPr>
          <w:rtl/>
        </w:rPr>
        <w:t>75</w:t>
      </w:r>
      <w:r w:rsidRPr="006C0DD4">
        <w:rPr>
          <w:rtl/>
          <w:lang w:bidi="ar-EG"/>
        </w:rPr>
        <w:t>-</w:t>
      </w:r>
      <w:r w:rsidRPr="006C0DD4">
        <w:rPr>
          <w:rtl/>
          <w:lang w:bidi="ar-EG"/>
        </w:rPr>
        <w:tab/>
        <w:t>و</w:t>
      </w:r>
      <w:r w:rsidRPr="006C0DD4">
        <w:rPr>
          <w:rFonts w:hint="cs"/>
          <w:rtl/>
          <w:lang w:bidi="ar-EG"/>
        </w:rPr>
        <w:t>وضعت</w:t>
      </w:r>
      <w:r w:rsidRPr="006C0DD4">
        <w:rPr>
          <w:rtl/>
          <w:lang w:bidi="ar-EG"/>
        </w:rPr>
        <w:t xml:space="preserve"> خطط عمل وطنية للتصدي للتمييز ضد المثليات والمثليين ومزدوجي الميل الجنسي ومغايري الهوية الجنسانية في كل من البرازيل وجنوب أفريقيا وفرنسا وكندا (كيبيك) والمملكة المتحدة والنرويج</w:t>
      </w:r>
      <w:r w:rsidRPr="006C0DD4">
        <w:rPr>
          <w:rtl/>
        </w:rPr>
        <w:t>، وخطة لمكافحة الاستبعاد الاجتماعي للأشخاص مغايري الهوية الجنسانية في أوروغواي. كما أطلقت عدة دول حملات وطنية للتثقيف العام من أجل مكافحة ظاهرتي كراهية المثلية الجنسية وكراهية مغايري الهوية الجنسانية (الأرجنتين، أستراليا، أوروغواي، البرازيل، بلجيكا (الإقليم الفلامن</w:t>
      </w:r>
      <w:r w:rsidRPr="006C0DD4">
        <w:rPr>
          <w:rFonts w:hint="cs"/>
          <w:rtl/>
        </w:rPr>
        <w:t>ك</w:t>
      </w:r>
      <w:r w:rsidRPr="006C0DD4">
        <w:rPr>
          <w:rtl/>
        </w:rPr>
        <w:t>ي)، الجبل الأسود، جنوب أفريقيا، صربيا، كوبا، كولومبيا، المملكة المتحدة). وقد حددت المكسيك رسمياً يوم 17 أيار/مايو ليكون اليوم الوطني لمكافحة كراهية المثلية الجنسية.</w:t>
      </w:r>
      <w:r w:rsidR="00411C20" w:rsidRPr="006C0DD4">
        <w:rPr>
          <w:rtl/>
        </w:rPr>
        <w:t xml:space="preserve"> </w:t>
      </w:r>
    </w:p>
    <w:p w:rsidR="00D125E2" w:rsidRPr="006C0DD4" w:rsidRDefault="00D125E2" w:rsidP="00D125E2">
      <w:pPr>
        <w:pStyle w:val="HChGA"/>
        <w:rPr>
          <w:rtl/>
          <w:lang w:bidi="ar-EG"/>
        </w:rPr>
      </w:pPr>
      <w:r w:rsidRPr="006C0DD4">
        <w:rPr>
          <w:rFonts w:hint="cs"/>
          <w:rtl/>
          <w:lang w:bidi="ar-EG"/>
        </w:rPr>
        <w:tab/>
      </w:r>
      <w:bookmarkStart w:id="21" w:name="_Toc420919015"/>
      <w:r w:rsidRPr="006C0DD4">
        <w:rPr>
          <w:rtl/>
          <w:lang w:bidi="ar-EG"/>
        </w:rPr>
        <w:t>سادسا</w:t>
      </w:r>
      <w:r w:rsidRPr="006C0DD4">
        <w:rPr>
          <w:rFonts w:hint="cs"/>
          <w:rtl/>
          <w:lang w:bidi="ar-EG"/>
        </w:rPr>
        <w:t>ً</w:t>
      </w:r>
      <w:r w:rsidRPr="006C0DD4">
        <w:rPr>
          <w:rtl/>
          <w:lang w:bidi="ar-EG"/>
        </w:rPr>
        <w:t>-</w:t>
      </w:r>
      <w:r w:rsidRPr="006C0DD4">
        <w:rPr>
          <w:rFonts w:hint="cs"/>
          <w:rtl/>
          <w:lang w:bidi="ar-EG"/>
        </w:rPr>
        <w:tab/>
      </w:r>
      <w:r w:rsidRPr="006C0DD4">
        <w:rPr>
          <w:rtl/>
          <w:lang w:bidi="ar-EG"/>
        </w:rPr>
        <w:t>الاستنتاجات والتوصيات</w:t>
      </w:r>
      <w:bookmarkEnd w:id="21"/>
    </w:p>
    <w:p w:rsidR="00D125E2" w:rsidRPr="006C0DD4" w:rsidRDefault="00D125E2" w:rsidP="00072A6E">
      <w:pPr>
        <w:pStyle w:val="SingleTxtGA"/>
        <w:rPr>
          <w:b/>
          <w:bCs/>
          <w:rtl/>
        </w:rPr>
      </w:pPr>
      <w:r w:rsidRPr="006C0DD4">
        <w:rPr>
          <w:rFonts w:hint="cs"/>
          <w:rtl/>
          <w:lang w:bidi="ar-EG"/>
        </w:rPr>
        <w:t>76</w:t>
      </w:r>
      <w:r w:rsidRPr="006C0DD4">
        <w:rPr>
          <w:rtl/>
          <w:lang w:bidi="ar-EG"/>
        </w:rPr>
        <w:t>-</w:t>
      </w:r>
      <w:r w:rsidRPr="006C0DD4">
        <w:rPr>
          <w:rtl/>
          <w:lang w:bidi="ar-EG"/>
        </w:rPr>
        <w:tab/>
      </w:r>
      <w:r w:rsidRPr="006C0DD4">
        <w:rPr>
          <w:b/>
          <w:bCs/>
          <w:rtl/>
          <w:lang w:bidi="ar-EG"/>
        </w:rPr>
        <w:t xml:space="preserve">هذه </w:t>
      </w:r>
      <w:r w:rsidRPr="006C0DD4">
        <w:rPr>
          <w:rFonts w:hint="cs"/>
          <w:b/>
          <w:bCs/>
          <w:rtl/>
          <w:lang w:bidi="ar-EG"/>
        </w:rPr>
        <w:t xml:space="preserve">الدراسة هي </w:t>
      </w:r>
      <w:r w:rsidRPr="006C0DD4">
        <w:rPr>
          <w:b/>
          <w:bCs/>
          <w:rtl/>
          <w:lang w:bidi="ar-EG"/>
        </w:rPr>
        <w:t xml:space="preserve">الدراسة </w:t>
      </w:r>
      <w:r w:rsidRPr="006C0DD4">
        <w:rPr>
          <w:rFonts w:hint="cs"/>
          <w:b/>
          <w:bCs/>
          <w:rtl/>
          <w:lang w:bidi="ar-EG"/>
        </w:rPr>
        <w:t>ا</w:t>
      </w:r>
      <w:r w:rsidRPr="006C0DD4">
        <w:rPr>
          <w:b/>
          <w:bCs/>
          <w:rtl/>
          <w:lang w:bidi="ar-EG"/>
        </w:rPr>
        <w:t xml:space="preserve">لثانية </w:t>
      </w:r>
      <w:r w:rsidRPr="006C0DD4">
        <w:rPr>
          <w:rFonts w:hint="cs"/>
          <w:b/>
          <w:bCs/>
          <w:rtl/>
        </w:rPr>
        <w:t>التي أجريت بناء على طلب مجلس حقوق الإنسان</w:t>
      </w:r>
      <w:r w:rsidR="00411C20" w:rsidRPr="006C0DD4">
        <w:rPr>
          <w:rFonts w:hint="cs"/>
          <w:b/>
          <w:bCs/>
          <w:rtl/>
        </w:rPr>
        <w:t xml:space="preserve"> </w:t>
      </w:r>
      <w:r w:rsidRPr="006C0DD4">
        <w:rPr>
          <w:rFonts w:hint="cs"/>
          <w:b/>
          <w:bCs/>
          <w:rtl/>
        </w:rPr>
        <w:t>بشأن ظاهرتي العنف والتمييز على أساس ا</w:t>
      </w:r>
      <w:r w:rsidRPr="006C0DD4">
        <w:rPr>
          <w:b/>
          <w:bCs/>
          <w:rtl/>
        </w:rPr>
        <w:t>لميل الجنسي و</w:t>
      </w:r>
      <w:r w:rsidRPr="006C0DD4">
        <w:rPr>
          <w:rFonts w:hint="cs"/>
          <w:b/>
          <w:bCs/>
          <w:rtl/>
        </w:rPr>
        <w:t>ا</w:t>
      </w:r>
      <w:r w:rsidRPr="006C0DD4">
        <w:rPr>
          <w:b/>
          <w:bCs/>
          <w:rtl/>
        </w:rPr>
        <w:t>لهوية الجنسانية</w:t>
      </w:r>
      <w:r w:rsidRPr="006C0DD4">
        <w:rPr>
          <w:rFonts w:hint="cs"/>
          <w:b/>
          <w:bCs/>
          <w:rtl/>
        </w:rPr>
        <w:t>.</w:t>
      </w:r>
      <w:r w:rsidR="00411C20" w:rsidRPr="006C0DD4">
        <w:rPr>
          <w:b/>
          <w:bCs/>
          <w:rtl/>
        </w:rPr>
        <w:t xml:space="preserve"> </w:t>
      </w:r>
      <w:r w:rsidRPr="006C0DD4">
        <w:rPr>
          <w:rFonts w:hint="cs"/>
          <w:b/>
          <w:bCs/>
          <w:rtl/>
        </w:rPr>
        <w:t xml:space="preserve">وعلى الرغم من إحراز </w:t>
      </w:r>
      <w:r w:rsidRPr="006C0DD4">
        <w:rPr>
          <w:b/>
          <w:bCs/>
          <w:rtl/>
        </w:rPr>
        <w:t xml:space="preserve">بعض التقدم </w:t>
      </w:r>
      <w:r w:rsidRPr="006C0DD4">
        <w:rPr>
          <w:rFonts w:hint="cs"/>
          <w:b/>
          <w:bCs/>
          <w:rtl/>
        </w:rPr>
        <w:t xml:space="preserve">في </w:t>
      </w:r>
      <w:r w:rsidRPr="006C0DD4">
        <w:rPr>
          <w:b/>
          <w:bCs/>
          <w:rtl/>
        </w:rPr>
        <w:t>هذا الشأن منذ صدور الدراسة الأولى في عام</w:t>
      </w:r>
      <w:r w:rsidR="00072A6E">
        <w:rPr>
          <w:rFonts w:hint="cs"/>
          <w:b/>
          <w:bCs/>
          <w:rtl/>
        </w:rPr>
        <w:t> </w:t>
      </w:r>
      <w:r w:rsidRPr="006C0DD4">
        <w:rPr>
          <w:b/>
          <w:bCs/>
          <w:rtl/>
        </w:rPr>
        <w:t>2011،</w:t>
      </w:r>
      <w:r w:rsidR="00411C20" w:rsidRPr="006C0DD4">
        <w:rPr>
          <w:b/>
          <w:bCs/>
          <w:rtl/>
        </w:rPr>
        <w:t xml:space="preserve"> </w:t>
      </w:r>
      <w:r w:rsidRPr="006C0DD4">
        <w:rPr>
          <w:rFonts w:hint="cs"/>
          <w:b/>
          <w:bCs/>
          <w:rtl/>
        </w:rPr>
        <w:t xml:space="preserve">فإن الصورة </w:t>
      </w:r>
      <w:r w:rsidRPr="006C0DD4">
        <w:rPr>
          <w:b/>
          <w:bCs/>
          <w:rtl/>
        </w:rPr>
        <w:t xml:space="preserve">العامة لا تزال تعكس استمرار </w:t>
      </w:r>
      <w:r w:rsidRPr="006C0DD4">
        <w:rPr>
          <w:rFonts w:hint="cs"/>
          <w:b/>
          <w:bCs/>
          <w:rtl/>
        </w:rPr>
        <w:t xml:space="preserve">انتشار حالات الاعتداء والعنف </w:t>
      </w:r>
      <w:r w:rsidRPr="006C0DD4">
        <w:rPr>
          <w:b/>
          <w:bCs/>
          <w:rtl/>
        </w:rPr>
        <w:t xml:space="preserve">والمضايقة </w:t>
      </w:r>
      <w:r w:rsidRPr="006C0DD4">
        <w:rPr>
          <w:rFonts w:hint="cs"/>
          <w:b/>
          <w:bCs/>
          <w:rtl/>
        </w:rPr>
        <w:t>والتمييز ضد</w:t>
      </w:r>
      <w:r w:rsidRPr="006C0DD4">
        <w:rPr>
          <w:b/>
          <w:bCs/>
          <w:rtl/>
        </w:rPr>
        <w:t xml:space="preserve"> المثليات والمثليين ومزدوجي الميل الجنسي ومغايري الهوية الجنسانية وحاملي صفات الجنسين </w:t>
      </w:r>
      <w:r w:rsidRPr="006C0DD4">
        <w:rPr>
          <w:rFonts w:hint="cs"/>
          <w:b/>
          <w:bCs/>
          <w:rtl/>
        </w:rPr>
        <w:t xml:space="preserve">على نطاق واسع </w:t>
      </w:r>
      <w:r w:rsidRPr="006C0DD4">
        <w:rPr>
          <w:b/>
          <w:bCs/>
          <w:rtl/>
        </w:rPr>
        <w:t xml:space="preserve">في جميع </w:t>
      </w:r>
      <w:r w:rsidRPr="006C0DD4">
        <w:rPr>
          <w:rFonts w:hint="cs"/>
          <w:b/>
          <w:bCs/>
          <w:rtl/>
        </w:rPr>
        <w:t>أنحاء</w:t>
      </w:r>
      <w:r w:rsidRPr="006C0DD4">
        <w:rPr>
          <w:b/>
          <w:bCs/>
          <w:rtl/>
        </w:rPr>
        <w:t xml:space="preserve"> العالم. وتشكل هذه الأفعال انتهاكات خطيرة لحقوق الإنسان، عادةً ما يُفلت مرتكبوها من العقاب، وهو ما يشير إلى أن الترتيبات الحالية الموضوعة لحماية حقوق هؤلاء الأشخاص غير كافية. ولا توجد حتى الآن آلية</w:t>
      </w:r>
      <w:r w:rsidR="00411C20" w:rsidRPr="006C0DD4">
        <w:rPr>
          <w:b/>
          <w:bCs/>
          <w:rtl/>
        </w:rPr>
        <w:t xml:space="preserve"> </w:t>
      </w:r>
      <w:r w:rsidRPr="006C0DD4">
        <w:rPr>
          <w:b/>
          <w:bCs/>
          <w:rtl/>
        </w:rPr>
        <w:t>لحقوق الإنسان</w:t>
      </w:r>
      <w:r w:rsidRPr="006C0DD4">
        <w:rPr>
          <w:rFonts w:hint="cs"/>
          <w:b/>
          <w:bCs/>
          <w:rtl/>
        </w:rPr>
        <w:t xml:space="preserve"> مكرسة على الصعيد الدولي</w:t>
      </w:r>
      <w:r w:rsidRPr="006C0DD4">
        <w:rPr>
          <w:b/>
          <w:bCs/>
          <w:rtl/>
        </w:rPr>
        <w:t xml:space="preserve"> تنتهج نهجاً منظماً وشاملاً في بحث حالة حقوق الإنسان </w:t>
      </w:r>
      <w:r w:rsidRPr="006C0DD4">
        <w:rPr>
          <w:rFonts w:hint="cs"/>
          <w:b/>
          <w:bCs/>
          <w:rtl/>
        </w:rPr>
        <w:t>ل</w:t>
      </w:r>
      <w:r w:rsidRPr="006C0DD4">
        <w:rPr>
          <w:b/>
          <w:bCs/>
          <w:rtl/>
        </w:rPr>
        <w:t>لمثليات والمثليين ومزدوجي الميل الجنسي ومغايري الهوية الجنسانية وحاملي صفات الجنسين</w:t>
      </w:r>
      <w:r w:rsidRPr="006C0DD4">
        <w:rPr>
          <w:rFonts w:hint="cs"/>
          <w:b/>
          <w:bCs/>
          <w:rtl/>
        </w:rPr>
        <w:t>.</w:t>
      </w:r>
      <w:r w:rsidR="00411C20" w:rsidRPr="006C0DD4">
        <w:rPr>
          <w:b/>
          <w:bCs/>
          <w:rtl/>
        </w:rPr>
        <w:t xml:space="preserve"> </w:t>
      </w:r>
    </w:p>
    <w:p w:rsidR="00D125E2" w:rsidRPr="00072A6E" w:rsidRDefault="00D125E2" w:rsidP="00D125E2">
      <w:pPr>
        <w:pStyle w:val="SingleTxtGA"/>
        <w:rPr>
          <w:b/>
          <w:bCs/>
          <w:spacing w:val="-2"/>
          <w:rtl/>
        </w:rPr>
      </w:pPr>
      <w:r w:rsidRPr="00072A6E">
        <w:rPr>
          <w:spacing w:val="-2"/>
          <w:rtl/>
        </w:rPr>
        <w:t>77-</w:t>
      </w:r>
      <w:r w:rsidRPr="00072A6E">
        <w:rPr>
          <w:spacing w:val="-2"/>
          <w:rtl/>
        </w:rPr>
        <w:tab/>
      </w:r>
      <w:r w:rsidRPr="00072A6E">
        <w:rPr>
          <w:b/>
          <w:bCs/>
          <w:spacing w:val="-2"/>
          <w:rtl/>
        </w:rPr>
        <w:t>وت</w:t>
      </w:r>
      <w:r w:rsidRPr="00072A6E">
        <w:rPr>
          <w:rFonts w:hint="cs"/>
          <w:b/>
          <w:bCs/>
          <w:spacing w:val="-2"/>
          <w:rtl/>
        </w:rPr>
        <w:t xml:space="preserve">تضمن </w:t>
      </w:r>
      <w:r w:rsidRPr="00072A6E">
        <w:rPr>
          <w:b/>
          <w:bCs/>
          <w:spacing w:val="-2"/>
          <w:rtl/>
        </w:rPr>
        <w:t>التوصيات ال</w:t>
      </w:r>
      <w:r w:rsidRPr="00072A6E">
        <w:rPr>
          <w:rFonts w:hint="cs"/>
          <w:b/>
          <w:bCs/>
          <w:spacing w:val="-2"/>
          <w:rtl/>
        </w:rPr>
        <w:t xml:space="preserve">تالية </w:t>
      </w:r>
      <w:r w:rsidRPr="00072A6E">
        <w:rPr>
          <w:b/>
          <w:bCs/>
          <w:spacing w:val="-2"/>
          <w:rtl/>
        </w:rPr>
        <w:t>تدابير ترمي إلى حماية الأفراد من ضروب الانتهاكات الم</w:t>
      </w:r>
      <w:r w:rsidRPr="00072A6E">
        <w:rPr>
          <w:rFonts w:hint="cs"/>
          <w:b/>
          <w:bCs/>
          <w:spacing w:val="-2"/>
          <w:rtl/>
        </w:rPr>
        <w:t xml:space="preserve">بينة </w:t>
      </w:r>
      <w:r w:rsidRPr="00072A6E">
        <w:rPr>
          <w:b/>
          <w:bCs/>
          <w:spacing w:val="-2"/>
          <w:rtl/>
        </w:rPr>
        <w:t>أعلاه لحقوق الإنسان. وتستند هذه التوصيات إلى الممارسات الجيدة الملحوظة أثناء تجميع التقرير</w:t>
      </w:r>
      <w:r w:rsidRPr="00072A6E">
        <w:rPr>
          <w:rFonts w:hint="cs"/>
          <w:b/>
          <w:bCs/>
          <w:spacing w:val="-2"/>
          <w:rtl/>
        </w:rPr>
        <w:t>،</w:t>
      </w:r>
      <w:r w:rsidRPr="00072A6E">
        <w:rPr>
          <w:b/>
          <w:bCs/>
          <w:spacing w:val="-2"/>
          <w:rtl/>
        </w:rPr>
        <w:t xml:space="preserve"> و</w:t>
      </w:r>
      <w:r w:rsidRPr="00072A6E">
        <w:rPr>
          <w:rFonts w:hint="cs"/>
          <w:b/>
          <w:bCs/>
          <w:spacing w:val="-2"/>
          <w:rtl/>
        </w:rPr>
        <w:t>ال</w:t>
      </w:r>
      <w:r w:rsidRPr="00072A6E">
        <w:rPr>
          <w:b/>
          <w:bCs/>
          <w:spacing w:val="-2"/>
          <w:rtl/>
        </w:rPr>
        <w:t xml:space="preserve">توصيات </w:t>
      </w:r>
      <w:r w:rsidRPr="00072A6E">
        <w:rPr>
          <w:rFonts w:hint="cs"/>
          <w:b/>
          <w:bCs/>
          <w:spacing w:val="-2"/>
          <w:rtl/>
        </w:rPr>
        <w:t xml:space="preserve">المقدمة من </w:t>
      </w:r>
      <w:r w:rsidRPr="00072A6E">
        <w:rPr>
          <w:b/>
          <w:bCs/>
          <w:spacing w:val="-2"/>
          <w:rtl/>
        </w:rPr>
        <w:t xml:space="preserve">آليات حقوق الإنسان التابعة للأمم المتحدة. </w:t>
      </w:r>
    </w:p>
    <w:p w:rsidR="00D125E2" w:rsidRPr="006C0DD4" w:rsidRDefault="00D125E2" w:rsidP="00D125E2">
      <w:pPr>
        <w:pStyle w:val="H1GA"/>
        <w:rPr>
          <w:rtl/>
        </w:rPr>
      </w:pPr>
      <w:r w:rsidRPr="006C0DD4">
        <w:rPr>
          <w:rFonts w:hint="cs"/>
          <w:rtl/>
        </w:rPr>
        <w:lastRenderedPageBreak/>
        <w:tab/>
      </w:r>
      <w:bookmarkStart w:id="22" w:name="_Toc420919016"/>
      <w:r w:rsidRPr="006C0DD4">
        <w:rPr>
          <w:rtl/>
        </w:rPr>
        <w:t>ألف-</w:t>
      </w:r>
      <w:r w:rsidRPr="006C0DD4">
        <w:rPr>
          <w:rtl/>
        </w:rPr>
        <w:tab/>
        <w:t>الدول</w:t>
      </w:r>
      <w:bookmarkEnd w:id="22"/>
    </w:p>
    <w:p w:rsidR="00D125E2" w:rsidRPr="006C0DD4" w:rsidRDefault="00D125E2" w:rsidP="00824148">
      <w:pPr>
        <w:pStyle w:val="SingleTxtGA"/>
        <w:spacing w:after="100"/>
        <w:rPr>
          <w:b/>
          <w:bCs/>
          <w:rtl/>
        </w:rPr>
      </w:pPr>
      <w:r w:rsidRPr="006C0DD4">
        <w:rPr>
          <w:rtl/>
        </w:rPr>
        <w:t>78-</w:t>
      </w:r>
      <w:r w:rsidRPr="006C0DD4">
        <w:rPr>
          <w:rtl/>
        </w:rPr>
        <w:tab/>
      </w:r>
      <w:r w:rsidRPr="006C0DD4">
        <w:rPr>
          <w:b/>
          <w:bCs/>
          <w:rtl/>
        </w:rPr>
        <w:t>يوصي المفوض السامي بأن تتصدى الدول للعنف بال</w:t>
      </w:r>
      <w:r w:rsidRPr="006C0DD4">
        <w:rPr>
          <w:rFonts w:hint="cs"/>
          <w:b/>
          <w:bCs/>
          <w:rtl/>
        </w:rPr>
        <w:t xml:space="preserve">طرق </w:t>
      </w:r>
      <w:r w:rsidRPr="006C0DD4">
        <w:rPr>
          <w:b/>
          <w:bCs/>
          <w:rtl/>
        </w:rPr>
        <w:t>التالية:</w:t>
      </w:r>
    </w:p>
    <w:p w:rsidR="00D125E2" w:rsidRPr="006C0DD4" w:rsidRDefault="00D125E2" w:rsidP="00824148">
      <w:pPr>
        <w:pStyle w:val="SingleTxtGA"/>
        <w:spacing w:after="100"/>
        <w:rPr>
          <w:b/>
          <w:bCs/>
          <w:rtl/>
        </w:rPr>
      </w:pPr>
      <w:r w:rsidRPr="006C0DD4">
        <w:rPr>
          <w:b/>
          <w:bCs/>
          <w:rtl/>
        </w:rPr>
        <w:tab/>
        <w:t>(أ)</w:t>
      </w:r>
      <w:r w:rsidRPr="006C0DD4">
        <w:rPr>
          <w:b/>
          <w:bCs/>
          <w:rtl/>
        </w:rPr>
        <w:tab/>
        <w:t>سنّ قوانين</w:t>
      </w:r>
      <w:r w:rsidRPr="006C0DD4">
        <w:rPr>
          <w:rFonts w:hint="cs"/>
          <w:b/>
          <w:bCs/>
          <w:rtl/>
        </w:rPr>
        <w:t xml:space="preserve"> لمكافحة الجرائم المدفوعة بالكراهية والنص على أن </w:t>
      </w:r>
      <w:r w:rsidRPr="006C0DD4">
        <w:rPr>
          <w:b/>
          <w:bCs/>
          <w:rtl/>
        </w:rPr>
        <w:t xml:space="preserve">كراهية المثلية الجنسية وكراهية مغايري الهوية الجنسانية </w:t>
      </w:r>
      <w:r w:rsidRPr="006C0DD4">
        <w:rPr>
          <w:rFonts w:hint="cs"/>
          <w:b/>
          <w:bCs/>
          <w:rtl/>
        </w:rPr>
        <w:t>من العوامل المشددة للعقوبة</w:t>
      </w:r>
      <w:r w:rsidRPr="006C0DD4">
        <w:rPr>
          <w:b/>
          <w:bCs/>
          <w:rtl/>
        </w:rPr>
        <w:t>؛</w:t>
      </w:r>
    </w:p>
    <w:p w:rsidR="00D125E2" w:rsidRPr="006C0DD4" w:rsidRDefault="00D125E2" w:rsidP="00824148">
      <w:pPr>
        <w:pStyle w:val="SingleTxtGA"/>
        <w:spacing w:after="100"/>
        <w:rPr>
          <w:b/>
          <w:bCs/>
          <w:rtl/>
        </w:rPr>
      </w:pPr>
      <w:r w:rsidRPr="006C0DD4">
        <w:rPr>
          <w:b/>
          <w:bCs/>
          <w:rtl/>
        </w:rPr>
        <w:tab/>
        <w:t>(ب)</w:t>
      </w:r>
      <w:r w:rsidRPr="006C0DD4">
        <w:rPr>
          <w:b/>
          <w:bCs/>
          <w:rtl/>
        </w:rPr>
        <w:tab/>
        <w:t xml:space="preserve">إجراء تحقيقات عاجلة ووافية في حوادث العنف </w:t>
      </w:r>
      <w:r w:rsidRPr="006C0DD4">
        <w:rPr>
          <w:rFonts w:hint="cs"/>
          <w:b/>
          <w:bCs/>
          <w:rtl/>
        </w:rPr>
        <w:t xml:space="preserve">والتعذيب التي ترتكب بدافع </w:t>
      </w:r>
      <w:r w:rsidRPr="006C0DD4">
        <w:rPr>
          <w:b/>
          <w:bCs/>
          <w:rtl/>
        </w:rPr>
        <w:t xml:space="preserve">الكراهية </w:t>
      </w:r>
      <w:r w:rsidRPr="006C0DD4">
        <w:rPr>
          <w:rFonts w:hint="cs"/>
          <w:b/>
          <w:bCs/>
          <w:rtl/>
        </w:rPr>
        <w:t xml:space="preserve">ضد </w:t>
      </w:r>
      <w:r w:rsidRPr="006C0DD4">
        <w:rPr>
          <w:b/>
          <w:bCs/>
          <w:rtl/>
        </w:rPr>
        <w:t>المثليات والمثلي</w:t>
      </w:r>
      <w:r w:rsidRPr="006C0DD4">
        <w:rPr>
          <w:rFonts w:hint="cs"/>
          <w:b/>
          <w:bCs/>
          <w:rtl/>
        </w:rPr>
        <w:t>ي</w:t>
      </w:r>
      <w:r w:rsidRPr="006C0DD4">
        <w:rPr>
          <w:b/>
          <w:bCs/>
          <w:rtl/>
        </w:rPr>
        <w:t>ن ومزدوج</w:t>
      </w:r>
      <w:r w:rsidRPr="006C0DD4">
        <w:rPr>
          <w:rFonts w:hint="cs"/>
          <w:b/>
          <w:bCs/>
          <w:rtl/>
        </w:rPr>
        <w:t>ي</w:t>
      </w:r>
      <w:r w:rsidRPr="006C0DD4">
        <w:rPr>
          <w:b/>
          <w:bCs/>
          <w:rtl/>
        </w:rPr>
        <w:t xml:space="preserve"> الميل الجنسي ومغاير</w:t>
      </w:r>
      <w:r w:rsidRPr="006C0DD4">
        <w:rPr>
          <w:rFonts w:hint="cs"/>
          <w:b/>
          <w:bCs/>
          <w:rtl/>
        </w:rPr>
        <w:t>ي</w:t>
      </w:r>
      <w:r w:rsidRPr="006C0DD4">
        <w:rPr>
          <w:b/>
          <w:bCs/>
          <w:rtl/>
        </w:rPr>
        <w:t xml:space="preserve"> الهوية الجنسانية، ومساءلة الجُناة وجبر الضحايا؛</w:t>
      </w:r>
    </w:p>
    <w:p w:rsidR="00D125E2" w:rsidRPr="006C0DD4" w:rsidRDefault="00D125E2" w:rsidP="00824148">
      <w:pPr>
        <w:pStyle w:val="SingleTxtGA"/>
        <w:spacing w:after="100"/>
        <w:rPr>
          <w:b/>
          <w:bCs/>
          <w:rtl/>
        </w:rPr>
      </w:pPr>
      <w:r w:rsidRPr="006C0DD4">
        <w:rPr>
          <w:b/>
          <w:bCs/>
          <w:rtl/>
        </w:rPr>
        <w:tab/>
        <w:t>(ج)</w:t>
      </w:r>
      <w:r w:rsidRPr="006C0DD4">
        <w:rPr>
          <w:b/>
          <w:bCs/>
          <w:rtl/>
        </w:rPr>
        <w:tab/>
        <w:t>جمع ونشر بيانات عن عدد الحوادث ونوعها، مع ضمان</w:t>
      </w:r>
      <w:r w:rsidRPr="006C0DD4">
        <w:rPr>
          <w:rFonts w:hint="cs"/>
          <w:b/>
          <w:bCs/>
          <w:rtl/>
        </w:rPr>
        <w:t xml:space="preserve"> سلامة</w:t>
      </w:r>
      <w:r w:rsidRPr="006C0DD4">
        <w:rPr>
          <w:b/>
          <w:bCs/>
          <w:rtl/>
        </w:rPr>
        <w:t xml:space="preserve"> الأشخاص المبلِّغين عن هذه الحوادث؛ </w:t>
      </w:r>
    </w:p>
    <w:p w:rsidR="00D125E2" w:rsidRPr="006C0DD4" w:rsidRDefault="00D125E2" w:rsidP="00824148">
      <w:pPr>
        <w:pStyle w:val="SingleTxtGA"/>
        <w:spacing w:after="100"/>
        <w:rPr>
          <w:b/>
          <w:bCs/>
          <w:rtl/>
        </w:rPr>
      </w:pPr>
      <w:r w:rsidRPr="006C0DD4">
        <w:rPr>
          <w:b/>
          <w:bCs/>
          <w:rtl/>
        </w:rPr>
        <w:tab/>
        <w:t>(د)</w:t>
      </w:r>
      <w:r w:rsidRPr="006C0DD4">
        <w:rPr>
          <w:b/>
          <w:bCs/>
          <w:rtl/>
        </w:rPr>
        <w:tab/>
        <w:t>حظر التحريض على الكراهية والعنف بسبب الميل الجنسي والهوية الجنسانية، ومساءلة الأشخاص المسؤولين عن خطاب الكراهية؛</w:t>
      </w:r>
    </w:p>
    <w:p w:rsidR="00D125E2" w:rsidRPr="006C0DD4" w:rsidRDefault="00D125E2" w:rsidP="00824148">
      <w:pPr>
        <w:pStyle w:val="SingleTxtGA"/>
        <w:spacing w:after="100"/>
        <w:rPr>
          <w:b/>
          <w:bCs/>
          <w:rtl/>
        </w:rPr>
      </w:pPr>
      <w:r w:rsidRPr="006C0DD4">
        <w:rPr>
          <w:b/>
          <w:bCs/>
          <w:rtl/>
        </w:rPr>
        <w:tab/>
        <w:t>(هـ)</w:t>
      </w:r>
      <w:r w:rsidRPr="006C0DD4">
        <w:rPr>
          <w:b/>
          <w:bCs/>
          <w:rtl/>
        </w:rPr>
        <w:tab/>
        <w:t xml:space="preserve">تدريب موظفي إنفاذ القانون والقضاة على النُهُج المراعية للقضايا الجنسانية </w:t>
      </w:r>
      <w:r w:rsidRPr="006C0DD4">
        <w:rPr>
          <w:rFonts w:hint="cs"/>
          <w:b/>
          <w:bCs/>
          <w:rtl/>
        </w:rPr>
        <w:t>من أجل ا</w:t>
      </w:r>
      <w:r w:rsidRPr="006C0DD4">
        <w:rPr>
          <w:b/>
          <w:bCs/>
          <w:rtl/>
        </w:rPr>
        <w:t>لتصدي للانتهاكات المتصلة بالميل الجنسي والهوية الجنسانية؛</w:t>
      </w:r>
    </w:p>
    <w:p w:rsidR="00D125E2" w:rsidRPr="006C0DD4" w:rsidRDefault="00D125E2" w:rsidP="00824148">
      <w:pPr>
        <w:pStyle w:val="SingleTxtGA"/>
        <w:spacing w:after="100"/>
        <w:rPr>
          <w:b/>
          <w:bCs/>
          <w:rtl/>
        </w:rPr>
      </w:pPr>
      <w:r w:rsidRPr="006C0DD4">
        <w:rPr>
          <w:b/>
          <w:bCs/>
          <w:rtl/>
        </w:rPr>
        <w:tab/>
        <w:t>(و)</w:t>
      </w:r>
      <w:r w:rsidRPr="006C0DD4">
        <w:rPr>
          <w:b/>
          <w:bCs/>
          <w:rtl/>
        </w:rPr>
        <w:tab/>
      </w:r>
      <w:r w:rsidRPr="006C0DD4">
        <w:rPr>
          <w:rFonts w:hint="cs"/>
          <w:b/>
          <w:bCs/>
          <w:rtl/>
        </w:rPr>
        <w:t xml:space="preserve">ضمان </w:t>
      </w:r>
      <w:r w:rsidRPr="006C0DD4">
        <w:rPr>
          <w:b/>
          <w:bCs/>
          <w:rtl/>
        </w:rPr>
        <w:t>تدريب أفراد الشرطة وموظفي السجون على حماية سلامة المثليات والمثليين ومزدوجي الميل الجنسي ومغايري الهوية الجنسانية</w:t>
      </w:r>
      <w:r w:rsidRPr="006C0DD4">
        <w:rPr>
          <w:rFonts w:hint="cs"/>
          <w:b/>
          <w:bCs/>
          <w:rtl/>
        </w:rPr>
        <w:t xml:space="preserve"> المحتجزين</w:t>
      </w:r>
      <w:r w:rsidRPr="006C0DD4">
        <w:rPr>
          <w:b/>
          <w:bCs/>
          <w:rtl/>
        </w:rPr>
        <w:t xml:space="preserve">، ومساءلة موظفي الدولة </w:t>
      </w:r>
      <w:r w:rsidRPr="006C0DD4">
        <w:rPr>
          <w:rFonts w:hint="cs"/>
          <w:b/>
          <w:bCs/>
          <w:rtl/>
        </w:rPr>
        <w:t xml:space="preserve">المشاركين </w:t>
      </w:r>
      <w:r w:rsidRPr="006C0DD4">
        <w:rPr>
          <w:b/>
          <w:bCs/>
          <w:rtl/>
        </w:rPr>
        <w:t xml:space="preserve">أو المتواطئين في حوادث </w:t>
      </w:r>
      <w:r w:rsidRPr="006C0DD4">
        <w:rPr>
          <w:rFonts w:hint="cs"/>
          <w:b/>
          <w:bCs/>
          <w:rtl/>
        </w:rPr>
        <w:t>ال</w:t>
      </w:r>
      <w:r w:rsidRPr="006C0DD4">
        <w:rPr>
          <w:b/>
          <w:bCs/>
          <w:rtl/>
        </w:rPr>
        <w:t xml:space="preserve">عنف؛ </w:t>
      </w:r>
    </w:p>
    <w:p w:rsidR="00D125E2" w:rsidRPr="006C0DD4" w:rsidRDefault="00D125E2" w:rsidP="00824148">
      <w:pPr>
        <w:pStyle w:val="SingleTxtGA"/>
        <w:spacing w:after="100"/>
        <w:rPr>
          <w:b/>
          <w:bCs/>
          <w:rtl/>
        </w:rPr>
      </w:pPr>
      <w:r w:rsidRPr="006C0DD4">
        <w:rPr>
          <w:b/>
          <w:bCs/>
          <w:rtl/>
        </w:rPr>
        <w:tab/>
        <w:t>(ز)</w:t>
      </w:r>
      <w:r w:rsidRPr="006C0DD4">
        <w:rPr>
          <w:b/>
          <w:bCs/>
          <w:rtl/>
        </w:rPr>
        <w:tab/>
        <w:t>حظر العلاج "التصحيحي للمثلية" والعلاج غير الطوعي والتعقيم القسري والفحوص التناسلية والشرجية القسرية؛</w:t>
      </w:r>
    </w:p>
    <w:p w:rsidR="00D125E2" w:rsidRPr="00072A6E" w:rsidRDefault="00D125E2" w:rsidP="00824148">
      <w:pPr>
        <w:pStyle w:val="SingleTxtGA"/>
        <w:spacing w:after="100"/>
        <w:rPr>
          <w:rFonts w:ascii="Times New Roman Bold" w:hAnsi="Times New Roman Bold"/>
          <w:b/>
          <w:bCs/>
          <w:spacing w:val="-6"/>
          <w:rtl/>
        </w:rPr>
      </w:pPr>
      <w:r w:rsidRPr="00072A6E">
        <w:rPr>
          <w:rFonts w:ascii="Times New Roman Bold" w:hAnsi="Times New Roman Bold"/>
          <w:b/>
          <w:bCs/>
          <w:spacing w:val="-6"/>
          <w:rtl/>
        </w:rPr>
        <w:tab/>
        <w:t>(ح)</w:t>
      </w:r>
      <w:r w:rsidRPr="00072A6E">
        <w:rPr>
          <w:rFonts w:ascii="Times New Roman Bold" w:hAnsi="Times New Roman Bold"/>
          <w:b/>
          <w:bCs/>
          <w:spacing w:val="-6"/>
          <w:rtl/>
        </w:rPr>
        <w:tab/>
        <w:t>حظر إخضاع الأطفال حاملي صفات الجنسين لإجراءات غير ضرورية طبياً؛</w:t>
      </w:r>
    </w:p>
    <w:p w:rsidR="00D125E2" w:rsidRPr="00824148" w:rsidRDefault="00D125E2" w:rsidP="00824148">
      <w:pPr>
        <w:pStyle w:val="SingleTxtGA"/>
        <w:spacing w:after="100"/>
        <w:rPr>
          <w:rFonts w:ascii="Times New Roman Bold" w:hAnsi="Times New Roman Bold"/>
          <w:b/>
          <w:bCs/>
          <w:spacing w:val="-6"/>
          <w:rtl/>
        </w:rPr>
      </w:pPr>
      <w:r w:rsidRPr="00824148">
        <w:rPr>
          <w:rFonts w:ascii="Times New Roman Bold" w:hAnsi="Times New Roman Bold"/>
          <w:b/>
          <w:bCs/>
          <w:spacing w:val="-6"/>
          <w:rtl/>
        </w:rPr>
        <w:tab/>
        <w:t>(ط)</w:t>
      </w:r>
      <w:r w:rsidRPr="00824148">
        <w:rPr>
          <w:rFonts w:ascii="Times New Roman Bold" w:hAnsi="Times New Roman Bold"/>
          <w:b/>
          <w:bCs/>
          <w:spacing w:val="-6"/>
          <w:rtl/>
        </w:rPr>
        <w:tab/>
        <w:t>ضمان عدم إعادة الأشخاص الفارّين من الاضطهاد بسبب الميل الجنسي أو</w:t>
      </w:r>
      <w:r w:rsidR="00824148">
        <w:rPr>
          <w:rFonts w:ascii="Times New Roman Bold" w:hAnsi="Times New Roman Bold" w:hint="eastAsia"/>
          <w:b/>
          <w:bCs/>
          <w:spacing w:val="-6"/>
          <w:rtl/>
        </w:rPr>
        <w:t> </w:t>
      </w:r>
      <w:r w:rsidRPr="00824148">
        <w:rPr>
          <w:rFonts w:ascii="Times New Roman Bold" w:hAnsi="Times New Roman Bold"/>
          <w:b/>
          <w:bCs/>
          <w:spacing w:val="-6"/>
          <w:rtl/>
        </w:rPr>
        <w:t>الهوية الجنسانية إلى أي إقليم تكون فيه حياتهم أو حريتهم</w:t>
      </w:r>
      <w:r w:rsidRPr="00824148">
        <w:rPr>
          <w:rFonts w:ascii="Times New Roman Bold" w:hAnsi="Times New Roman Bold" w:hint="cs"/>
          <w:b/>
          <w:bCs/>
          <w:spacing w:val="-6"/>
          <w:rtl/>
        </w:rPr>
        <w:t xml:space="preserve"> معرضة للخطر</w:t>
      </w:r>
      <w:r w:rsidRPr="00824148">
        <w:rPr>
          <w:rFonts w:ascii="Times New Roman Bold" w:hAnsi="Times New Roman Bold"/>
          <w:b/>
          <w:bCs/>
          <w:spacing w:val="-6"/>
          <w:rtl/>
        </w:rPr>
        <w:t xml:space="preserve">، وضمان اعتراف قوانين وسياسات اللجوء بأن الاضطهاد بسبب الميل الجنسي أو الهوية الجنسانية </w:t>
      </w:r>
      <w:r w:rsidRPr="00824148">
        <w:rPr>
          <w:rFonts w:ascii="Times New Roman Bold" w:hAnsi="Times New Roman Bold" w:hint="cs"/>
          <w:b/>
          <w:bCs/>
          <w:spacing w:val="-6"/>
          <w:rtl/>
        </w:rPr>
        <w:t xml:space="preserve">من الأسباب المقبولة </w:t>
      </w:r>
      <w:r w:rsidRPr="00824148">
        <w:rPr>
          <w:rFonts w:ascii="Times New Roman Bold" w:hAnsi="Times New Roman Bold"/>
          <w:b/>
          <w:bCs/>
          <w:spacing w:val="-6"/>
          <w:rtl/>
        </w:rPr>
        <w:t>لطلب اللجوء، وإلغاء الاستجوابات التطفّلية غير المناسبة عن التاريخ الجنسي لمقدمي طلبات اللجوء، وتوعية الموظفين المعنيين</w:t>
      </w:r>
      <w:r w:rsidR="005700C4">
        <w:rPr>
          <w:rFonts w:ascii="Times New Roman Bold" w:hAnsi="Times New Roman Bold"/>
          <w:b/>
          <w:bCs/>
          <w:spacing w:val="-6"/>
          <w:rtl/>
        </w:rPr>
        <w:t xml:space="preserve"> بشؤون اللاجئين وملتمسي اللجوء</w:t>
      </w:r>
      <w:r w:rsidR="005700C4">
        <w:rPr>
          <w:rFonts w:ascii="Times New Roman Bold" w:hAnsi="Times New Roman Bold" w:hint="cs"/>
          <w:b/>
          <w:bCs/>
          <w:spacing w:val="-6"/>
          <w:rtl/>
        </w:rPr>
        <w:t>.</w:t>
      </w:r>
    </w:p>
    <w:p w:rsidR="00D125E2" w:rsidRPr="006C0DD4" w:rsidRDefault="00D125E2" w:rsidP="00824148">
      <w:pPr>
        <w:pStyle w:val="SingleTxtGA"/>
        <w:spacing w:after="100"/>
        <w:rPr>
          <w:b/>
          <w:bCs/>
          <w:rtl/>
        </w:rPr>
      </w:pPr>
      <w:r w:rsidRPr="006C0DD4">
        <w:rPr>
          <w:rtl/>
        </w:rPr>
        <w:t>79-</w:t>
      </w:r>
      <w:r w:rsidRPr="006C0DD4">
        <w:rPr>
          <w:rtl/>
        </w:rPr>
        <w:tab/>
      </w:r>
      <w:r w:rsidRPr="006C0DD4">
        <w:rPr>
          <w:b/>
          <w:bCs/>
          <w:rtl/>
        </w:rPr>
        <w:t>وينبغي للدول التصدي لظاهرة التمييز بال</w:t>
      </w:r>
      <w:r w:rsidRPr="006C0DD4">
        <w:rPr>
          <w:rFonts w:hint="cs"/>
          <w:b/>
          <w:bCs/>
          <w:rtl/>
        </w:rPr>
        <w:t>طرق</w:t>
      </w:r>
      <w:r w:rsidRPr="006C0DD4">
        <w:rPr>
          <w:b/>
          <w:bCs/>
          <w:rtl/>
        </w:rPr>
        <w:t xml:space="preserve"> التالية:</w:t>
      </w:r>
    </w:p>
    <w:p w:rsidR="00D125E2" w:rsidRPr="006C0DD4" w:rsidRDefault="00D125E2" w:rsidP="00824148">
      <w:pPr>
        <w:pStyle w:val="SingleTxtGA"/>
        <w:spacing w:after="100"/>
        <w:rPr>
          <w:b/>
          <w:bCs/>
          <w:rtl/>
        </w:rPr>
      </w:pPr>
      <w:r w:rsidRPr="006C0DD4">
        <w:rPr>
          <w:b/>
          <w:bCs/>
          <w:rtl/>
        </w:rPr>
        <w:tab/>
        <w:t>(أ)</w:t>
      </w:r>
      <w:r w:rsidRPr="006C0DD4">
        <w:rPr>
          <w:b/>
          <w:bCs/>
          <w:rtl/>
        </w:rPr>
        <w:tab/>
        <w:t>ت</w:t>
      </w:r>
      <w:r w:rsidRPr="006C0DD4">
        <w:rPr>
          <w:rFonts w:hint="cs"/>
          <w:b/>
          <w:bCs/>
          <w:rtl/>
        </w:rPr>
        <w:t xml:space="preserve">عديل </w:t>
      </w:r>
      <w:r w:rsidRPr="006C0DD4">
        <w:rPr>
          <w:b/>
          <w:bCs/>
          <w:rtl/>
        </w:rPr>
        <w:t xml:space="preserve">القوانين الجنائية </w:t>
      </w:r>
      <w:r w:rsidRPr="006C0DD4">
        <w:rPr>
          <w:rFonts w:hint="cs"/>
          <w:b/>
          <w:bCs/>
          <w:rtl/>
        </w:rPr>
        <w:t>و</w:t>
      </w:r>
      <w:r w:rsidRPr="006C0DD4">
        <w:rPr>
          <w:b/>
          <w:bCs/>
          <w:rtl/>
        </w:rPr>
        <w:t>إلغاء الجرائم المت</w:t>
      </w:r>
      <w:r w:rsidRPr="006C0DD4">
        <w:rPr>
          <w:rFonts w:hint="cs"/>
          <w:b/>
          <w:bCs/>
          <w:rtl/>
        </w:rPr>
        <w:t>صلة</w:t>
      </w:r>
      <w:r w:rsidRPr="006C0DD4">
        <w:rPr>
          <w:b/>
          <w:bCs/>
          <w:rtl/>
        </w:rPr>
        <w:t xml:space="preserve"> بم</w:t>
      </w:r>
      <w:r w:rsidRPr="006C0DD4">
        <w:rPr>
          <w:rFonts w:hint="cs"/>
          <w:b/>
          <w:bCs/>
          <w:rtl/>
        </w:rPr>
        <w:t xml:space="preserve">مارسة العلاقات الجنسية </w:t>
      </w:r>
      <w:r w:rsidRPr="006C0DD4">
        <w:rPr>
          <w:b/>
          <w:bCs/>
          <w:rtl/>
        </w:rPr>
        <w:t>المثلية بالتراضي وغيرها من الجرائم المستخدمة لتوقيف الأشخاص ومعاقبتهم على أساس ميلهم الجنسي وهويتهم الجنسانية أو أسلوب تعبيرهم عن هذه الهوية، والإعلان</w:t>
      </w:r>
      <w:r w:rsidRPr="006C0DD4">
        <w:rPr>
          <w:b/>
          <w:bCs/>
        </w:rPr>
        <w:t xml:space="preserve"> </w:t>
      </w:r>
      <w:r w:rsidRPr="006C0DD4">
        <w:rPr>
          <w:b/>
          <w:bCs/>
          <w:rtl/>
        </w:rPr>
        <w:t>عن</w:t>
      </w:r>
      <w:r w:rsidRPr="006C0DD4">
        <w:rPr>
          <w:b/>
          <w:bCs/>
        </w:rPr>
        <w:t xml:space="preserve"> </w:t>
      </w:r>
      <w:r w:rsidRPr="006C0DD4">
        <w:rPr>
          <w:b/>
          <w:bCs/>
          <w:rtl/>
        </w:rPr>
        <w:t>وقف</w:t>
      </w:r>
      <w:r w:rsidRPr="006C0DD4">
        <w:rPr>
          <w:b/>
          <w:bCs/>
        </w:rPr>
        <w:t xml:space="preserve"> </w:t>
      </w:r>
      <w:r w:rsidRPr="006C0DD4">
        <w:rPr>
          <w:b/>
          <w:bCs/>
          <w:rtl/>
        </w:rPr>
        <w:t>فوري لعمليات المقاضاة المتصلة بهذه الجرائم، وشطب السوابق الجنائية المتعلقة ب</w:t>
      </w:r>
      <w:r w:rsidRPr="006C0DD4">
        <w:rPr>
          <w:rFonts w:hint="cs"/>
          <w:b/>
          <w:bCs/>
          <w:rtl/>
        </w:rPr>
        <w:t>الأفراد المدانين</w:t>
      </w:r>
      <w:r w:rsidRPr="006C0DD4">
        <w:rPr>
          <w:b/>
          <w:bCs/>
          <w:rtl/>
        </w:rPr>
        <w:t xml:space="preserve"> بارتكابها؛</w:t>
      </w:r>
    </w:p>
    <w:p w:rsidR="00D125E2" w:rsidRPr="006C0DD4" w:rsidRDefault="00D125E2" w:rsidP="00D125E2">
      <w:pPr>
        <w:pStyle w:val="SingleTxtGA"/>
        <w:rPr>
          <w:b/>
          <w:bCs/>
          <w:rtl/>
        </w:rPr>
      </w:pPr>
      <w:r w:rsidRPr="006C0DD4">
        <w:rPr>
          <w:b/>
          <w:bCs/>
          <w:rtl/>
        </w:rPr>
        <w:lastRenderedPageBreak/>
        <w:tab/>
        <w:t>(ب)</w:t>
      </w:r>
      <w:r w:rsidRPr="006C0DD4">
        <w:rPr>
          <w:b/>
          <w:bCs/>
          <w:rtl/>
        </w:rPr>
        <w:tab/>
        <w:t>إلغاء ما يُدعى بقوانين "مكافحة الترويج" وغيرها من القوانين التي تفرض قيوداً تمييزية على حرية التعبير وتكوين الجمعيات والتجمّع؛</w:t>
      </w:r>
    </w:p>
    <w:p w:rsidR="00D125E2" w:rsidRPr="006C0DD4" w:rsidRDefault="00D125E2" w:rsidP="00D125E2">
      <w:pPr>
        <w:pStyle w:val="SingleTxtGA"/>
        <w:rPr>
          <w:b/>
          <w:bCs/>
          <w:rtl/>
        </w:rPr>
      </w:pPr>
      <w:r w:rsidRPr="006C0DD4">
        <w:rPr>
          <w:b/>
          <w:bCs/>
          <w:rtl/>
        </w:rPr>
        <w:tab/>
        <w:t>(ج)</w:t>
      </w:r>
      <w:r w:rsidRPr="006C0DD4">
        <w:rPr>
          <w:b/>
          <w:bCs/>
          <w:rtl/>
        </w:rPr>
        <w:tab/>
        <w:t>ضمان أن ت</w:t>
      </w:r>
      <w:r w:rsidRPr="006C0DD4">
        <w:rPr>
          <w:rFonts w:hint="cs"/>
          <w:b/>
          <w:bCs/>
          <w:rtl/>
        </w:rPr>
        <w:t xml:space="preserve">شير </w:t>
      </w:r>
      <w:r w:rsidRPr="006C0DD4">
        <w:rPr>
          <w:b/>
          <w:bCs/>
          <w:rtl/>
        </w:rPr>
        <w:t xml:space="preserve">تشريعات مناهضة التمييز </w:t>
      </w:r>
      <w:r w:rsidRPr="006C0DD4">
        <w:rPr>
          <w:rFonts w:hint="cs"/>
          <w:b/>
          <w:bCs/>
          <w:rtl/>
        </w:rPr>
        <w:t xml:space="preserve">إلى </w:t>
      </w:r>
      <w:r w:rsidRPr="006C0DD4">
        <w:rPr>
          <w:b/>
          <w:bCs/>
          <w:rtl/>
        </w:rPr>
        <w:t xml:space="preserve">الميل الجنسي والهوية الجنسانية </w:t>
      </w:r>
      <w:r w:rsidRPr="006C0DD4">
        <w:rPr>
          <w:rFonts w:hint="cs"/>
          <w:b/>
          <w:bCs/>
          <w:rtl/>
        </w:rPr>
        <w:t>ضمن الأ</w:t>
      </w:r>
      <w:r w:rsidRPr="006C0DD4">
        <w:rPr>
          <w:b/>
          <w:bCs/>
          <w:rtl/>
        </w:rPr>
        <w:t>سباب المحظورة</w:t>
      </w:r>
      <w:r w:rsidRPr="006C0DD4">
        <w:rPr>
          <w:rFonts w:hint="cs"/>
          <w:b/>
          <w:bCs/>
          <w:rtl/>
        </w:rPr>
        <w:t xml:space="preserve"> للتمييز</w:t>
      </w:r>
      <w:r w:rsidRPr="006C0DD4">
        <w:rPr>
          <w:b/>
          <w:bCs/>
          <w:rtl/>
        </w:rPr>
        <w:t>، و</w:t>
      </w:r>
      <w:r w:rsidRPr="006C0DD4">
        <w:rPr>
          <w:rFonts w:hint="cs"/>
          <w:b/>
          <w:bCs/>
          <w:rtl/>
        </w:rPr>
        <w:t>أن تحمي أيضا</w:t>
      </w:r>
      <w:r w:rsidR="00B756AF">
        <w:rPr>
          <w:rFonts w:hint="cs"/>
          <w:b/>
          <w:bCs/>
          <w:rtl/>
        </w:rPr>
        <w:t>ً</w:t>
      </w:r>
      <w:r w:rsidRPr="006C0DD4">
        <w:rPr>
          <w:rFonts w:hint="cs"/>
          <w:b/>
          <w:bCs/>
          <w:rtl/>
        </w:rPr>
        <w:t xml:space="preserve"> </w:t>
      </w:r>
      <w:r w:rsidRPr="006C0DD4">
        <w:rPr>
          <w:b/>
          <w:bCs/>
          <w:rtl/>
        </w:rPr>
        <w:t>الأشخاص حاملي صفات الجنسين</w:t>
      </w:r>
      <w:r w:rsidRPr="006C0DD4">
        <w:rPr>
          <w:rFonts w:hint="cs"/>
          <w:b/>
          <w:bCs/>
          <w:rtl/>
        </w:rPr>
        <w:t xml:space="preserve"> من التمييز</w:t>
      </w:r>
      <w:r w:rsidRPr="006C0DD4">
        <w:rPr>
          <w:b/>
          <w:bCs/>
          <w:rtl/>
        </w:rPr>
        <w:t>؛</w:t>
      </w:r>
    </w:p>
    <w:p w:rsidR="00D125E2" w:rsidRPr="006C0DD4" w:rsidRDefault="00D125E2" w:rsidP="00072A6E">
      <w:pPr>
        <w:pStyle w:val="SingleTxtGA"/>
        <w:rPr>
          <w:b/>
          <w:bCs/>
          <w:rtl/>
        </w:rPr>
      </w:pPr>
      <w:r w:rsidRPr="006C0DD4">
        <w:rPr>
          <w:b/>
          <w:bCs/>
          <w:rtl/>
        </w:rPr>
        <w:tab/>
        <w:t>(د)</w:t>
      </w:r>
      <w:r w:rsidRPr="006C0DD4">
        <w:rPr>
          <w:b/>
          <w:bCs/>
          <w:rtl/>
        </w:rPr>
        <w:tab/>
      </w:r>
      <w:r w:rsidR="00B756AF">
        <w:rPr>
          <w:b/>
          <w:bCs/>
          <w:rtl/>
        </w:rPr>
        <w:t>إدماج تحليلات الانتهاكات المرتك</w:t>
      </w:r>
      <w:r w:rsidRPr="006C0DD4">
        <w:rPr>
          <w:b/>
          <w:bCs/>
          <w:rtl/>
        </w:rPr>
        <w:t>بة على أساس الميل الجنسي أو</w:t>
      </w:r>
      <w:r w:rsidR="00072A6E">
        <w:rPr>
          <w:rFonts w:hint="cs"/>
          <w:b/>
          <w:bCs/>
          <w:rtl/>
        </w:rPr>
        <w:t> </w:t>
      </w:r>
      <w:r w:rsidRPr="006C0DD4">
        <w:rPr>
          <w:b/>
          <w:bCs/>
          <w:rtl/>
        </w:rPr>
        <w:t xml:space="preserve">الهوية الجنسانية في خطط </w:t>
      </w:r>
      <w:r w:rsidRPr="006C0DD4">
        <w:rPr>
          <w:rFonts w:hint="cs"/>
          <w:b/>
          <w:bCs/>
          <w:rtl/>
        </w:rPr>
        <w:t>ال</w:t>
      </w:r>
      <w:r w:rsidRPr="006C0DD4">
        <w:rPr>
          <w:b/>
          <w:bCs/>
          <w:rtl/>
        </w:rPr>
        <w:t xml:space="preserve">عمل </w:t>
      </w:r>
      <w:r w:rsidRPr="006C0DD4">
        <w:rPr>
          <w:rFonts w:hint="cs"/>
          <w:b/>
          <w:bCs/>
          <w:rtl/>
        </w:rPr>
        <w:t>ال</w:t>
      </w:r>
      <w:r w:rsidRPr="006C0DD4">
        <w:rPr>
          <w:b/>
          <w:bCs/>
          <w:rtl/>
        </w:rPr>
        <w:t xml:space="preserve">وطنية، بما يضمن تنسيق الأنشطة المتصلة بها وإمدادها بالموارد الكافية، ومساءلة الجُناة، وجبر الضحايا؛ </w:t>
      </w:r>
    </w:p>
    <w:p w:rsidR="00D125E2" w:rsidRPr="006C0DD4" w:rsidRDefault="00D125E2" w:rsidP="00D125E2">
      <w:pPr>
        <w:pStyle w:val="SingleTxtGA"/>
        <w:rPr>
          <w:b/>
          <w:bCs/>
          <w:rtl/>
        </w:rPr>
      </w:pPr>
      <w:r w:rsidRPr="006C0DD4">
        <w:rPr>
          <w:b/>
          <w:bCs/>
          <w:rtl/>
        </w:rPr>
        <w:tab/>
        <w:t>(هـ)</w:t>
      </w:r>
      <w:r w:rsidRPr="006C0DD4">
        <w:rPr>
          <w:b/>
          <w:bCs/>
          <w:rtl/>
        </w:rPr>
        <w:tab/>
        <w:t xml:space="preserve">توعية العاملين في مجال الرعاية الصحية باحتياجات المثليات والمثليين ومزدوجي الميل الجنسي ومغايري الهوية الجنسانية وحاملي صفات الجنسين في مجالات تشمل </w:t>
      </w:r>
      <w:r w:rsidRPr="006C0DD4">
        <w:rPr>
          <w:rFonts w:hint="cs"/>
          <w:b/>
          <w:bCs/>
          <w:rtl/>
        </w:rPr>
        <w:t xml:space="preserve">الخدمات </w:t>
      </w:r>
      <w:r w:rsidRPr="006C0DD4">
        <w:rPr>
          <w:b/>
          <w:bCs/>
          <w:rtl/>
        </w:rPr>
        <w:t>الصح</w:t>
      </w:r>
      <w:r w:rsidRPr="006C0DD4">
        <w:rPr>
          <w:rFonts w:hint="cs"/>
          <w:b/>
          <w:bCs/>
          <w:rtl/>
        </w:rPr>
        <w:t>ي</w:t>
      </w:r>
      <w:r w:rsidRPr="006C0DD4">
        <w:rPr>
          <w:b/>
          <w:bCs/>
          <w:rtl/>
        </w:rPr>
        <w:t>ة والحقوق الجنسية والإنجابية، ومنع الانتحار، وإسداء المشورة للمص</w:t>
      </w:r>
      <w:r w:rsidR="00B756AF">
        <w:rPr>
          <w:b/>
          <w:bCs/>
          <w:rtl/>
        </w:rPr>
        <w:t>ابين بفيروس نقص المناعة البشرية</w:t>
      </w:r>
      <w:r w:rsidRPr="006C0DD4">
        <w:rPr>
          <w:b/>
          <w:bCs/>
          <w:rtl/>
        </w:rPr>
        <w:t xml:space="preserve">/الإيدز والمصابين بصدمات نفسية؛ </w:t>
      </w:r>
    </w:p>
    <w:p w:rsidR="00D125E2" w:rsidRPr="006C0DD4" w:rsidRDefault="00D125E2" w:rsidP="00D125E2">
      <w:pPr>
        <w:pStyle w:val="SingleTxtGA"/>
        <w:rPr>
          <w:b/>
          <w:bCs/>
          <w:rtl/>
        </w:rPr>
      </w:pPr>
      <w:r w:rsidRPr="006C0DD4">
        <w:rPr>
          <w:b/>
          <w:bCs/>
          <w:rtl/>
        </w:rPr>
        <w:tab/>
        <w:t>(و)</w:t>
      </w:r>
      <w:r w:rsidRPr="006C0DD4">
        <w:rPr>
          <w:b/>
          <w:bCs/>
          <w:rtl/>
        </w:rPr>
        <w:tab/>
        <w:t xml:space="preserve">وضع معايير وطنية </w:t>
      </w:r>
      <w:r w:rsidRPr="006C0DD4">
        <w:rPr>
          <w:b/>
          <w:bCs/>
          <w:rtl/>
          <w:lang w:val="es-ES_tradnl" w:bidi="ar-EG"/>
        </w:rPr>
        <w:t>لعدم التمييز في التعليم، وبرامج لمكافحة التحرش في المد</w:t>
      </w:r>
      <w:r w:rsidRPr="006C0DD4">
        <w:rPr>
          <w:rFonts w:hint="cs"/>
          <w:b/>
          <w:bCs/>
          <w:rtl/>
          <w:lang w:val="es-ES_tradnl" w:bidi="ar-EG"/>
        </w:rPr>
        <w:t>ا</w:t>
      </w:r>
      <w:r w:rsidRPr="006C0DD4">
        <w:rPr>
          <w:b/>
          <w:bCs/>
          <w:rtl/>
          <w:lang w:val="es-ES_tradnl" w:bidi="ar-EG"/>
        </w:rPr>
        <w:t xml:space="preserve">رس، وإنشاء خطوط هاتفية لطلب المساعدة، وخدمات أخرى لدعم الشباب </w:t>
      </w:r>
      <w:r w:rsidRPr="006C0DD4">
        <w:rPr>
          <w:b/>
          <w:bCs/>
          <w:rtl/>
        </w:rPr>
        <w:t>المثليين والمثليات ومزدوجي الميل الجنسي ومغايري الهوية الجنسانية والمخالفين لنوع جنسهم الفعلي، وتقديم التثقيف الجنسي الشامل المناسب</w:t>
      </w:r>
      <w:r w:rsidRPr="006C0DD4">
        <w:rPr>
          <w:rFonts w:hint="cs"/>
          <w:b/>
          <w:bCs/>
          <w:rtl/>
        </w:rPr>
        <w:t xml:space="preserve"> لكل عمر</w:t>
      </w:r>
      <w:r w:rsidRPr="006C0DD4">
        <w:rPr>
          <w:b/>
          <w:bCs/>
          <w:rtl/>
        </w:rPr>
        <w:t>؛</w:t>
      </w:r>
    </w:p>
    <w:p w:rsidR="00D125E2" w:rsidRPr="006C0DD4" w:rsidRDefault="00D125E2" w:rsidP="00B756AF">
      <w:pPr>
        <w:pStyle w:val="SingleTxtGA"/>
        <w:rPr>
          <w:b/>
          <w:bCs/>
          <w:rtl/>
        </w:rPr>
      </w:pPr>
      <w:r w:rsidRPr="006C0DD4">
        <w:rPr>
          <w:b/>
          <w:bCs/>
          <w:rtl/>
        </w:rPr>
        <w:tab/>
        <w:t>(</w:t>
      </w:r>
      <w:r w:rsidR="00B756AF">
        <w:rPr>
          <w:rFonts w:hint="cs"/>
          <w:b/>
          <w:bCs/>
          <w:rtl/>
        </w:rPr>
        <w:t>ز</w:t>
      </w:r>
      <w:r w:rsidRPr="006C0DD4">
        <w:rPr>
          <w:b/>
          <w:bCs/>
          <w:rtl/>
        </w:rPr>
        <w:t>)</w:t>
      </w:r>
      <w:r w:rsidRPr="006C0DD4">
        <w:rPr>
          <w:b/>
          <w:bCs/>
          <w:rtl/>
        </w:rPr>
        <w:tab/>
        <w:t xml:space="preserve">ضمان ألا تميِّز سياسات الإسكان ضد المستأجرين على أساس الميل الجنسي والهوية الجنسانية، وإنشاء دور إيواء </w:t>
      </w:r>
      <w:r w:rsidRPr="006C0DD4">
        <w:rPr>
          <w:rFonts w:hint="cs"/>
          <w:b/>
          <w:bCs/>
          <w:rtl/>
        </w:rPr>
        <w:t>ل</w:t>
      </w:r>
      <w:r w:rsidRPr="006C0DD4">
        <w:rPr>
          <w:b/>
          <w:bCs/>
          <w:rtl/>
        </w:rPr>
        <w:t>لمثليات والمثليين ومزدوجي الميل الجنسي ومغايري الهوية الجنسانية</w:t>
      </w:r>
      <w:r w:rsidRPr="006C0DD4">
        <w:rPr>
          <w:rFonts w:hint="cs"/>
          <w:b/>
          <w:bCs/>
          <w:rtl/>
        </w:rPr>
        <w:t xml:space="preserve"> المشردين</w:t>
      </w:r>
      <w:r w:rsidRPr="006C0DD4">
        <w:rPr>
          <w:b/>
          <w:bCs/>
          <w:rtl/>
        </w:rPr>
        <w:t xml:space="preserve">، مع إيلاء اهتمام خاص للشباب وكبار </w:t>
      </w:r>
      <w:r w:rsidRPr="006C0DD4">
        <w:rPr>
          <w:rFonts w:hint="cs"/>
          <w:b/>
          <w:bCs/>
          <w:rtl/>
        </w:rPr>
        <w:t>السن و</w:t>
      </w:r>
      <w:r w:rsidRPr="006C0DD4">
        <w:rPr>
          <w:b/>
          <w:bCs/>
          <w:rtl/>
        </w:rPr>
        <w:t xml:space="preserve">حالات </w:t>
      </w:r>
      <w:r w:rsidRPr="006C0DD4">
        <w:rPr>
          <w:rFonts w:hint="cs"/>
          <w:b/>
          <w:bCs/>
          <w:rtl/>
        </w:rPr>
        <w:t>ال</w:t>
      </w:r>
      <w:r w:rsidRPr="006C0DD4">
        <w:rPr>
          <w:b/>
          <w:bCs/>
          <w:rtl/>
        </w:rPr>
        <w:t xml:space="preserve">طوارئ؛ </w:t>
      </w:r>
    </w:p>
    <w:p w:rsidR="00D125E2" w:rsidRPr="006C0DD4" w:rsidRDefault="00D125E2" w:rsidP="00D125E2">
      <w:pPr>
        <w:pStyle w:val="SingleTxtGA"/>
        <w:rPr>
          <w:b/>
          <w:bCs/>
          <w:rtl/>
        </w:rPr>
      </w:pPr>
      <w:r w:rsidRPr="006C0DD4">
        <w:rPr>
          <w:b/>
          <w:bCs/>
          <w:rtl/>
        </w:rPr>
        <w:tab/>
        <w:t>(ح)</w:t>
      </w:r>
      <w:r w:rsidRPr="006C0DD4">
        <w:rPr>
          <w:b/>
          <w:bCs/>
          <w:rtl/>
        </w:rPr>
        <w:tab/>
      </w:r>
      <w:r w:rsidRPr="006C0DD4">
        <w:rPr>
          <w:rFonts w:hint="cs"/>
          <w:b/>
          <w:bCs/>
          <w:rtl/>
        </w:rPr>
        <w:t>الاعتراف القانوني</w:t>
      </w:r>
      <w:r w:rsidRPr="006C0DD4">
        <w:rPr>
          <w:b/>
          <w:bCs/>
          <w:rtl/>
        </w:rPr>
        <w:t xml:space="preserve"> </w:t>
      </w:r>
      <w:r w:rsidRPr="006C0DD4">
        <w:rPr>
          <w:rFonts w:hint="cs"/>
          <w:b/>
          <w:bCs/>
          <w:rtl/>
        </w:rPr>
        <w:t>ب</w:t>
      </w:r>
      <w:r w:rsidRPr="006C0DD4">
        <w:rPr>
          <w:b/>
          <w:bCs/>
          <w:rtl/>
        </w:rPr>
        <w:t>الشركاء من نفس نوع الجنس</w:t>
      </w:r>
      <w:r w:rsidRPr="006C0DD4">
        <w:rPr>
          <w:rFonts w:hint="cs"/>
          <w:b/>
          <w:bCs/>
          <w:rtl/>
        </w:rPr>
        <w:t xml:space="preserve"> و</w:t>
      </w:r>
      <w:r w:rsidRPr="006C0DD4">
        <w:rPr>
          <w:b/>
          <w:bCs/>
          <w:rtl/>
        </w:rPr>
        <w:t>ضمان</w:t>
      </w:r>
      <w:r w:rsidR="00411C20" w:rsidRPr="006C0DD4">
        <w:rPr>
          <w:b/>
          <w:bCs/>
          <w:rtl/>
        </w:rPr>
        <w:t xml:space="preserve"> </w:t>
      </w:r>
      <w:r w:rsidRPr="006C0DD4">
        <w:rPr>
          <w:rFonts w:hint="cs"/>
          <w:b/>
          <w:bCs/>
          <w:rtl/>
        </w:rPr>
        <w:t>حصولهم بدون تمييز على نفس</w:t>
      </w:r>
      <w:r w:rsidRPr="006C0DD4">
        <w:rPr>
          <w:b/>
          <w:bCs/>
          <w:rtl/>
        </w:rPr>
        <w:t xml:space="preserve"> الاستحقاقات التي يحصل عليها </w:t>
      </w:r>
      <w:r w:rsidRPr="006C0DD4">
        <w:rPr>
          <w:rFonts w:hint="cs"/>
          <w:b/>
          <w:bCs/>
          <w:rtl/>
        </w:rPr>
        <w:t>الشركاء من جنسين مختلفين</w:t>
      </w:r>
      <w:r w:rsidRPr="006C0DD4">
        <w:rPr>
          <w:b/>
          <w:bCs/>
          <w:rtl/>
        </w:rPr>
        <w:t xml:space="preserve">، بما في ذلك </w:t>
      </w:r>
      <w:r w:rsidRPr="006C0DD4">
        <w:rPr>
          <w:rFonts w:hint="cs"/>
          <w:b/>
          <w:bCs/>
          <w:rtl/>
        </w:rPr>
        <w:t>الاستحقاقات</w:t>
      </w:r>
      <w:r w:rsidRPr="006C0DD4">
        <w:rPr>
          <w:b/>
          <w:bCs/>
          <w:rtl/>
        </w:rPr>
        <w:t xml:space="preserve"> المتصلة </w:t>
      </w:r>
      <w:r w:rsidRPr="006C0DD4">
        <w:rPr>
          <w:rFonts w:hint="cs"/>
          <w:b/>
          <w:bCs/>
          <w:rtl/>
        </w:rPr>
        <w:t xml:space="preserve">بالمزايا </w:t>
      </w:r>
      <w:r w:rsidRPr="006C0DD4">
        <w:rPr>
          <w:b/>
          <w:bCs/>
          <w:rtl/>
        </w:rPr>
        <w:t>والمعاشات والضرائب والميراث؛</w:t>
      </w:r>
    </w:p>
    <w:p w:rsidR="00D125E2" w:rsidRPr="006C0DD4" w:rsidRDefault="00D125E2" w:rsidP="00D125E2">
      <w:pPr>
        <w:pStyle w:val="SingleTxtGA"/>
        <w:rPr>
          <w:b/>
          <w:bCs/>
          <w:rtl/>
        </w:rPr>
      </w:pPr>
      <w:r w:rsidRPr="006C0DD4">
        <w:rPr>
          <w:b/>
          <w:bCs/>
          <w:rtl/>
        </w:rPr>
        <w:tab/>
        <w:t>(ط)</w:t>
      </w:r>
      <w:r w:rsidRPr="006C0DD4">
        <w:rPr>
          <w:b/>
          <w:bCs/>
          <w:rtl/>
        </w:rPr>
        <w:tab/>
        <w:t xml:space="preserve">إصدار وثائق قانونية للهوية، </w:t>
      </w:r>
      <w:r w:rsidRPr="006C0DD4">
        <w:rPr>
          <w:rFonts w:hint="cs"/>
          <w:b/>
          <w:bCs/>
          <w:rtl/>
        </w:rPr>
        <w:t xml:space="preserve">عند </w:t>
      </w:r>
      <w:r w:rsidRPr="006C0DD4">
        <w:rPr>
          <w:b/>
          <w:bCs/>
          <w:rtl/>
        </w:rPr>
        <w:t>الطلب، ت</w:t>
      </w:r>
      <w:r w:rsidRPr="006C0DD4">
        <w:rPr>
          <w:rFonts w:hint="cs"/>
          <w:b/>
          <w:bCs/>
          <w:rtl/>
        </w:rPr>
        <w:t>بين</w:t>
      </w:r>
      <w:r w:rsidRPr="006C0DD4">
        <w:rPr>
          <w:b/>
          <w:bCs/>
          <w:rtl/>
        </w:rPr>
        <w:t xml:space="preserve"> نوع الجنس المفضّل، وإلغاء الشروط المسبقة التعسفية كالخضوع للتعقيم، والعلاج القسري، والطلاق؛</w:t>
      </w:r>
    </w:p>
    <w:p w:rsidR="00D125E2" w:rsidRPr="006C0DD4" w:rsidRDefault="00D125E2" w:rsidP="00D125E2">
      <w:pPr>
        <w:pStyle w:val="SingleTxtGA"/>
        <w:rPr>
          <w:b/>
          <w:bCs/>
          <w:rtl/>
        </w:rPr>
      </w:pPr>
      <w:r w:rsidRPr="006C0DD4">
        <w:rPr>
          <w:b/>
          <w:bCs/>
          <w:rtl/>
        </w:rPr>
        <w:tab/>
        <w:t>(ي)</w:t>
      </w:r>
      <w:r w:rsidRPr="006C0DD4">
        <w:rPr>
          <w:b/>
          <w:bCs/>
          <w:rtl/>
        </w:rPr>
        <w:tab/>
        <w:t xml:space="preserve">دعم حملات التثقيف العام لمكافحة المواقف المبنيّة على كراهية المثلية الجنسية ومغايري الهوية الجنسانية، والتصدي للتصوير النمطي السلبي </w:t>
      </w:r>
      <w:r w:rsidRPr="006C0DD4">
        <w:rPr>
          <w:rFonts w:hint="cs"/>
          <w:b/>
          <w:bCs/>
          <w:rtl/>
        </w:rPr>
        <w:t>ل</w:t>
      </w:r>
      <w:r w:rsidRPr="006C0DD4">
        <w:rPr>
          <w:b/>
          <w:bCs/>
          <w:rtl/>
        </w:rPr>
        <w:t>لمثليات والمثليين ومزدوجي الميل الجنسي ومغايري الهوية الجنسانية</w:t>
      </w:r>
      <w:r w:rsidRPr="006C0DD4">
        <w:rPr>
          <w:rFonts w:hint="cs"/>
          <w:b/>
          <w:bCs/>
          <w:rtl/>
        </w:rPr>
        <w:t xml:space="preserve"> </w:t>
      </w:r>
      <w:r w:rsidR="004376E2">
        <w:rPr>
          <w:b/>
          <w:bCs/>
          <w:rtl/>
        </w:rPr>
        <w:t>في وسائط الإعلام</w:t>
      </w:r>
      <w:r w:rsidRPr="006C0DD4">
        <w:rPr>
          <w:b/>
          <w:bCs/>
          <w:rtl/>
        </w:rPr>
        <w:t>؛</w:t>
      </w:r>
      <w:r w:rsidR="00411C20" w:rsidRPr="006C0DD4">
        <w:rPr>
          <w:b/>
          <w:bCs/>
          <w:rtl/>
        </w:rPr>
        <w:t xml:space="preserve"> </w:t>
      </w:r>
    </w:p>
    <w:p w:rsidR="00D125E2" w:rsidRPr="006C0DD4" w:rsidRDefault="00D125E2" w:rsidP="00D125E2">
      <w:pPr>
        <w:pStyle w:val="SingleTxtGA"/>
        <w:rPr>
          <w:b/>
          <w:bCs/>
          <w:rtl/>
        </w:rPr>
      </w:pPr>
      <w:r w:rsidRPr="006C0DD4">
        <w:rPr>
          <w:b/>
          <w:bCs/>
          <w:rtl/>
        </w:rPr>
        <w:tab/>
        <w:t>(ك)</w:t>
      </w:r>
      <w:r w:rsidRPr="006C0DD4">
        <w:rPr>
          <w:b/>
          <w:bCs/>
          <w:rtl/>
        </w:rPr>
        <w:tab/>
        <w:t>ضمان التشاور مع</w:t>
      </w:r>
      <w:r w:rsidRPr="006C0DD4">
        <w:rPr>
          <w:rFonts w:hint="cs"/>
          <w:b/>
          <w:bCs/>
          <w:rtl/>
        </w:rPr>
        <w:t xml:space="preserve"> </w:t>
      </w:r>
      <w:r w:rsidRPr="006C0DD4">
        <w:rPr>
          <w:b/>
          <w:bCs/>
          <w:rtl/>
        </w:rPr>
        <w:t>المثليات والمثليين ومزدوجي الميل الجنسي ومغايري الهوية الجنسانية وحاملي صفات الجنسين والمنظمات التي تمثلهم فيما يتعلق بالتشريعات والسياسات المؤثرة ع</w:t>
      </w:r>
      <w:r w:rsidRPr="006C0DD4">
        <w:rPr>
          <w:rFonts w:hint="cs"/>
          <w:b/>
          <w:bCs/>
          <w:rtl/>
        </w:rPr>
        <w:t>ل</w:t>
      </w:r>
      <w:r w:rsidRPr="006C0DD4">
        <w:rPr>
          <w:b/>
          <w:bCs/>
          <w:rtl/>
        </w:rPr>
        <w:t xml:space="preserve">ى حقوقهم. </w:t>
      </w:r>
    </w:p>
    <w:p w:rsidR="00D125E2" w:rsidRPr="006C0DD4" w:rsidRDefault="00D125E2" w:rsidP="00D125E2">
      <w:pPr>
        <w:pStyle w:val="H1GA"/>
        <w:rPr>
          <w:sz w:val="30"/>
          <w:rtl/>
        </w:rPr>
      </w:pPr>
      <w:r w:rsidRPr="006C0DD4">
        <w:rPr>
          <w:rFonts w:hint="cs"/>
          <w:rtl/>
        </w:rPr>
        <w:lastRenderedPageBreak/>
        <w:tab/>
      </w:r>
      <w:bookmarkStart w:id="23" w:name="_Toc420919017"/>
      <w:r w:rsidRPr="006C0DD4">
        <w:rPr>
          <w:rtl/>
        </w:rPr>
        <w:t>باء-</w:t>
      </w:r>
      <w:r w:rsidRPr="006C0DD4">
        <w:rPr>
          <w:rtl/>
        </w:rPr>
        <w:tab/>
        <w:t>المؤسسات الوطنية لحقوق الإنسان</w:t>
      </w:r>
      <w:bookmarkEnd w:id="23"/>
      <w:r w:rsidRPr="006C0DD4">
        <w:rPr>
          <w:rtl/>
        </w:rPr>
        <w:t xml:space="preserve"> </w:t>
      </w:r>
    </w:p>
    <w:p w:rsidR="00D125E2" w:rsidRPr="006C0DD4" w:rsidRDefault="00D125E2" w:rsidP="00D125E2">
      <w:pPr>
        <w:pStyle w:val="SingleTxtGA"/>
        <w:rPr>
          <w:b/>
          <w:bCs/>
          <w:rtl/>
        </w:rPr>
      </w:pPr>
      <w:r w:rsidRPr="006C0DD4">
        <w:rPr>
          <w:rtl/>
        </w:rPr>
        <w:t>80-</w:t>
      </w:r>
      <w:r w:rsidRPr="006C0DD4">
        <w:rPr>
          <w:rtl/>
        </w:rPr>
        <w:tab/>
      </w:r>
      <w:r w:rsidRPr="006C0DD4">
        <w:rPr>
          <w:b/>
          <w:bCs/>
          <w:rtl/>
        </w:rPr>
        <w:t>يوصي المفوض السامي المؤسسات الوطنية لحقوق الإنسان بالتصدي للعنف والتمييز ضد المثليات والمثليين ومزدوجي الميل الجنسي ومغايري الهوية الجنسانية وحاملي صفات الجنسين في سياق ولاي</w:t>
      </w:r>
      <w:r w:rsidRPr="006C0DD4">
        <w:rPr>
          <w:rFonts w:hint="cs"/>
          <w:b/>
          <w:bCs/>
          <w:rtl/>
        </w:rPr>
        <w:t>ة</w:t>
      </w:r>
      <w:r w:rsidRPr="006C0DD4">
        <w:rPr>
          <w:b/>
          <w:bCs/>
          <w:rtl/>
        </w:rPr>
        <w:t xml:space="preserve"> كل منها</w:t>
      </w:r>
      <w:r w:rsidR="00411C20" w:rsidRPr="006C0DD4">
        <w:rPr>
          <w:b/>
          <w:bCs/>
          <w:rtl/>
        </w:rPr>
        <w:t xml:space="preserve"> </w:t>
      </w:r>
      <w:r w:rsidRPr="006C0DD4">
        <w:rPr>
          <w:rFonts w:hint="cs"/>
          <w:b/>
          <w:bCs/>
          <w:rtl/>
        </w:rPr>
        <w:t>ل</w:t>
      </w:r>
      <w:r w:rsidRPr="006C0DD4">
        <w:rPr>
          <w:b/>
          <w:bCs/>
          <w:rtl/>
        </w:rPr>
        <w:t>تعزيز ومراقبة التنفيذ الفعال للمعايير الدولية لحقوق الإنسان على المستوى الوطني.</w:t>
      </w:r>
    </w:p>
    <w:p w:rsidR="00D125E2" w:rsidRPr="006C0DD4" w:rsidRDefault="00D125E2" w:rsidP="00D125E2">
      <w:pPr>
        <w:pStyle w:val="H1GA"/>
        <w:rPr>
          <w:sz w:val="30"/>
          <w:rtl/>
        </w:rPr>
      </w:pPr>
      <w:r w:rsidRPr="006C0DD4">
        <w:rPr>
          <w:rFonts w:hint="cs"/>
          <w:rtl/>
        </w:rPr>
        <w:tab/>
      </w:r>
      <w:bookmarkStart w:id="24" w:name="_Toc420919018"/>
      <w:r w:rsidRPr="006C0DD4">
        <w:rPr>
          <w:rtl/>
        </w:rPr>
        <w:t>جيم-</w:t>
      </w:r>
      <w:r w:rsidRPr="006C0DD4">
        <w:rPr>
          <w:rtl/>
        </w:rPr>
        <w:tab/>
        <w:t>مجلس حقوق الإنسان</w:t>
      </w:r>
      <w:bookmarkEnd w:id="24"/>
    </w:p>
    <w:p w:rsidR="00D125E2" w:rsidRPr="006C0DD4" w:rsidRDefault="00D125E2" w:rsidP="00D125E2">
      <w:pPr>
        <w:pStyle w:val="SingleTxtGA"/>
        <w:rPr>
          <w:b/>
          <w:bCs/>
          <w:rtl/>
        </w:rPr>
      </w:pPr>
      <w:r w:rsidRPr="006C0DD4">
        <w:rPr>
          <w:rtl/>
        </w:rPr>
        <w:t>81-</w:t>
      </w:r>
      <w:r w:rsidRPr="006C0DD4">
        <w:rPr>
          <w:rtl/>
        </w:rPr>
        <w:tab/>
      </w:r>
      <w:r w:rsidRPr="006C0DD4">
        <w:rPr>
          <w:b/>
          <w:bCs/>
          <w:rtl/>
        </w:rPr>
        <w:t>ينبغي لمجلس حقوق الإنسان، بصفته الهيئة الحكومية الدولية المسؤولة عن تعزيز حقوق الإنسان وحمايتها في جميع أنحاء العالم، أن يظل مطَّلعاً بانتظام على أنماط العنف والتمييز المتصلة بالميل الجنسي والهوية الجنسانية، وكذلك على ردود أفعال الدول بشأنها. و</w:t>
      </w:r>
      <w:r w:rsidRPr="006C0DD4">
        <w:rPr>
          <w:rFonts w:hint="cs"/>
          <w:b/>
          <w:bCs/>
          <w:rtl/>
        </w:rPr>
        <w:t>تحقيقا</w:t>
      </w:r>
      <w:r w:rsidRPr="006C0DD4">
        <w:rPr>
          <w:b/>
          <w:bCs/>
          <w:rtl/>
        </w:rPr>
        <w:t xml:space="preserve">ً لهذه الغاية، </w:t>
      </w:r>
      <w:r w:rsidRPr="006C0DD4">
        <w:rPr>
          <w:rFonts w:hint="cs"/>
          <w:b/>
          <w:bCs/>
          <w:rtl/>
        </w:rPr>
        <w:t xml:space="preserve">تعلن </w:t>
      </w:r>
      <w:r w:rsidRPr="006C0DD4">
        <w:rPr>
          <w:b/>
          <w:bCs/>
          <w:rtl/>
        </w:rPr>
        <w:t xml:space="preserve">مفوضية الأمم المتحدة السامية لحقوق الإنسان </w:t>
      </w:r>
      <w:r w:rsidRPr="006C0DD4">
        <w:rPr>
          <w:rFonts w:hint="cs"/>
          <w:b/>
          <w:bCs/>
          <w:rtl/>
        </w:rPr>
        <w:t xml:space="preserve">عن استعدادها </w:t>
      </w:r>
      <w:r w:rsidRPr="006C0DD4">
        <w:rPr>
          <w:b/>
          <w:bCs/>
          <w:rtl/>
        </w:rPr>
        <w:t xml:space="preserve">لتقديم مزيد من التقارير </w:t>
      </w:r>
      <w:r w:rsidRPr="006C0DD4">
        <w:rPr>
          <w:rFonts w:hint="cs"/>
          <w:b/>
          <w:bCs/>
          <w:rtl/>
        </w:rPr>
        <w:t xml:space="preserve">في </w:t>
      </w:r>
      <w:r w:rsidRPr="006C0DD4">
        <w:rPr>
          <w:b/>
          <w:bCs/>
          <w:rtl/>
        </w:rPr>
        <w:t xml:space="preserve">هذا الشأن </w:t>
      </w:r>
      <w:r w:rsidRPr="006C0DD4">
        <w:rPr>
          <w:rFonts w:hint="cs"/>
          <w:b/>
          <w:bCs/>
          <w:rtl/>
        </w:rPr>
        <w:t xml:space="preserve">عند </w:t>
      </w:r>
      <w:r w:rsidRPr="006C0DD4">
        <w:rPr>
          <w:b/>
          <w:bCs/>
          <w:rtl/>
        </w:rPr>
        <w:t xml:space="preserve">الطلب، </w:t>
      </w:r>
      <w:r w:rsidRPr="006C0DD4">
        <w:rPr>
          <w:rFonts w:hint="cs"/>
          <w:b/>
          <w:bCs/>
          <w:rtl/>
        </w:rPr>
        <w:t xml:space="preserve">وينبغي تشجيع </w:t>
      </w:r>
      <w:r w:rsidRPr="006C0DD4">
        <w:rPr>
          <w:b/>
          <w:bCs/>
          <w:rtl/>
        </w:rPr>
        <w:t>المكلف</w:t>
      </w:r>
      <w:r w:rsidRPr="006C0DD4">
        <w:rPr>
          <w:rFonts w:hint="cs"/>
          <w:b/>
          <w:bCs/>
          <w:rtl/>
        </w:rPr>
        <w:t>ي</w:t>
      </w:r>
      <w:r w:rsidRPr="006C0DD4">
        <w:rPr>
          <w:b/>
          <w:bCs/>
          <w:rtl/>
        </w:rPr>
        <w:t>ن الحالي</w:t>
      </w:r>
      <w:r w:rsidRPr="006C0DD4">
        <w:rPr>
          <w:rFonts w:hint="cs"/>
          <w:b/>
          <w:bCs/>
          <w:rtl/>
        </w:rPr>
        <w:t>ي</w:t>
      </w:r>
      <w:r w:rsidRPr="006C0DD4">
        <w:rPr>
          <w:b/>
          <w:bCs/>
          <w:rtl/>
        </w:rPr>
        <w:t>ن بولايات في إطار الإجراءات الخاصة على مواصلة الإبلاغ عن الانتهاكات ذات الصلة</w:t>
      </w:r>
      <w:r w:rsidRPr="006C0DD4">
        <w:rPr>
          <w:rFonts w:hint="cs"/>
          <w:b/>
          <w:bCs/>
          <w:rtl/>
        </w:rPr>
        <w:t xml:space="preserve"> التي تدخل في نطاق </w:t>
      </w:r>
      <w:r w:rsidRPr="006C0DD4">
        <w:rPr>
          <w:b/>
          <w:bCs/>
          <w:rtl/>
        </w:rPr>
        <w:t>ولاي</w:t>
      </w:r>
      <w:r w:rsidRPr="006C0DD4">
        <w:rPr>
          <w:rFonts w:hint="cs"/>
          <w:b/>
          <w:bCs/>
          <w:rtl/>
        </w:rPr>
        <w:t>تهم</w:t>
      </w:r>
      <w:r w:rsidRPr="006C0DD4">
        <w:rPr>
          <w:b/>
          <w:bCs/>
          <w:rtl/>
        </w:rPr>
        <w:t>.</w:t>
      </w:r>
    </w:p>
    <w:p w:rsidR="00D125E2" w:rsidRPr="006C0DD4" w:rsidRDefault="00D125E2" w:rsidP="00D125E2">
      <w:pPr>
        <w:spacing w:before="120"/>
        <w:jc w:val="center"/>
        <w:rPr>
          <w:u w:val="single"/>
          <w:rtl/>
          <w:lang w:val="es-ES_tradnl" w:bidi="ar-EG"/>
        </w:rPr>
      </w:pPr>
      <w:r w:rsidRPr="006C0DD4">
        <w:rPr>
          <w:u w:val="single"/>
          <w:rtl/>
          <w:lang w:val="es-ES_tradnl" w:bidi="ar-EG"/>
        </w:rPr>
        <w:tab/>
      </w:r>
      <w:r w:rsidRPr="006C0DD4">
        <w:rPr>
          <w:u w:val="single"/>
          <w:rtl/>
          <w:lang w:val="es-ES_tradnl" w:bidi="ar-EG"/>
        </w:rPr>
        <w:tab/>
      </w:r>
      <w:r w:rsidRPr="006C0DD4">
        <w:rPr>
          <w:u w:val="single"/>
          <w:rtl/>
          <w:lang w:val="es-ES_tradnl" w:bidi="ar-EG"/>
        </w:rPr>
        <w:tab/>
      </w:r>
    </w:p>
    <w:sectPr w:rsidR="00D125E2" w:rsidRPr="006C0DD4" w:rsidSect="00D125E2">
      <w:headerReference w:type="even" r:id="rId11"/>
      <w:headerReference w:type="default" r:id="rId12"/>
      <w:footerReference w:type="even" r:id="rId13"/>
      <w:footerReference w:type="default" r:id="rId14"/>
      <w:footerReference w:type="first" r:id="rId15"/>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20" w:rsidRPr="002901D9" w:rsidRDefault="00411C20" w:rsidP="002901D9">
      <w:pPr>
        <w:spacing w:after="60" w:line="240" w:lineRule="auto"/>
        <w:rPr>
          <w:i/>
          <w:iCs/>
        </w:rPr>
      </w:pPr>
      <w:r>
        <w:rPr>
          <w:rFonts w:hint="cs"/>
          <w:i/>
          <w:iCs/>
          <w:rtl/>
        </w:rPr>
        <w:t>الحواشي</w:t>
      </w:r>
    </w:p>
  </w:endnote>
  <w:endnote w:type="continuationSeparator" w:id="0">
    <w:p w:rsidR="00411C20" w:rsidRDefault="00411C20"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C20" w:rsidRPr="00D125E2" w:rsidRDefault="00411C20" w:rsidP="00DE36FD">
    <w:pPr>
      <w:pStyle w:val="Footer"/>
      <w:tabs>
        <w:tab w:val="right" w:pos="9598"/>
      </w:tabs>
    </w:pPr>
    <w:r>
      <w:t>GE.15-08840</w:t>
    </w:r>
    <w:r>
      <w:tab/>
    </w:r>
    <w:r w:rsidRPr="00D125E2">
      <w:rPr>
        <w:b/>
        <w:sz w:val="18"/>
      </w:rPr>
      <w:fldChar w:fldCharType="begin"/>
    </w:r>
    <w:r w:rsidRPr="00D125E2">
      <w:rPr>
        <w:b/>
        <w:sz w:val="18"/>
      </w:rPr>
      <w:instrText xml:space="preserve"> PAGE  \* MERGEFORMAT </w:instrText>
    </w:r>
    <w:r w:rsidRPr="00D125E2">
      <w:rPr>
        <w:b/>
        <w:sz w:val="18"/>
      </w:rPr>
      <w:fldChar w:fldCharType="separate"/>
    </w:r>
    <w:r w:rsidR="00850E1C">
      <w:rPr>
        <w:b/>
        <w:noProof/>
        <w:sz w:val="18"/>
      </w:rPr>
      <w:t>2</w:t>
    </w:r>
    <w:r w:rsidRPr="00D125E2">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C20" w:rsidRPr="00D125E2" w:rsidRDefault="00411C20" w:rsidP="006959B0">
    <w:pPr>
      <w:pStyle w:val="Footer"/>
      <w:tabs>
        <w:tab w:val="right" w:pos="9599"/>
      </w:tabs>
      <w:jc w:val="left"/>
      <w:rPr>
        <w:b/>
        <w:sz w:val="18"/>
        <w:lang w:val="en-US"/>
      </w:rPr>
    </w:pPr>
    <w:r w:rsidRPr="00D125E2">
      <w:rPr>
        <w:b/>
        <w:sz w:val="18"/>
        <w:lang w:val="en-US"/>
      </w:rPr>
      <w:fldChar w:fldCharType="begin"/>
    </w:r>
    <w:r w:rsidRPr="00D125E2">
      <w:rPr>
        <w:b/>
        <w:sz w:val="18"/>
        <w:lang w:val="en-US"/>
      </w:rPr>
      <w:instrText xml:space="preserve"> PAGE  \* MERGEFORMAT </w:instrText>
    </w:r>
    <w:r w:rsidRPr="00D125E2">
      <w:rPr>
        <w:b/>
        <w:sz w:val="18"/>
        <w:lang w:val="en-US"/>
      </w:rPr>
      <w:fldChar w:fldCharType="separate"/>
    </w:r>
    <w:r w:rsidR="00850E1C">
      <w:rPr>
        <w:b/>
        <w:noProof/>
        <w:sz w:val="18"/>
        <w:lang w:val="en-US"/>
      </w:rPr>
      <w:t>3</w:t>
    </w:r>
    <w:r w:rsidRPr="00D125E2">
      <w:rPr>
        <w:b/>
        <w:sz w:val="18"/>
        <w:lang w:val="en-US"/>
      </w:rPr>
      <w:fldChar w:fldCharType="end"/>
    </w:r>
    <w:r>
      <w:rPr>
        <w:b/>
        <w:sz w:val="18"/>
        <w:lang w:val="en-US"/>
      </w:rPr>
      <w:tab/>
    </w:r>
    <w:r>
      <w:rPr>
        <w:lang w:val="en-US"/>
      </w:rPr>
      <w:t>GE.15-08840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C20" w:rsidRDefault="00DE36FD" w:rsidP="00E672BA">
    <w:pPr>
      <w:pStyle w:val="Footer"/>
      <w:jc w:val="right"/>
    </w:pPr>
    <w:r>
      <w:rPr>
        <w:noProof/>
        <w:lang w:val="en-US"/>
      </w:rPr>
      <w:drawing>
        <wp:anchor distT="0" distB="0" distL="114300" distR="114300" simplePos="0" relativeHeight="251660288" behindDoc="0" locked="0" layoutInCell="1" allowOverlap="1" wp14:anchorId="5B7FEE98" wp14:editId="55F133FB">
          <wp:simplePos x="0" y="0"/>
          <wp:positionH relativeFrom="column">
            <wp:posOffset>19685</wp:posOffset>
          </wp:positionH>
          <wp:positionV relativeFrom="paragraph">
            <wp:posOffset>21590</wp:posOffset>
          </wp:positionV>
          <wp:extent cx="638175" cy="638175"/>
          <wp:effectExtent l="0" t="0" r="9525" b="9525"/>
          <wp:wrapNone/>
          <wp:docPr id="3" name="Picture 1" descr="http://undocs.org/m2/QRCode.ashx?DS=A/HRC/29/23&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3&amp;Size=2&amp;Lan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1C20">
      <w:rPr>
        <w:sz w:val="20"/>
      </w:rPr>
      <w:t>(A)   GE.15-08840</w:t>
    </w:r>
    <w:r w:rsidR="00411C20">
      <w:rPr>
        <w:noProof/>
        <w:lang w:val="en-US"/>
      </w:rPr>
      <w:drawing>
        <wp:anchor distT="0" distB="0" distL="114300" distR="114300" simplePos="0" relativeHeight="251658240" behindDoc="1" locked="1" layoutInCell="0" allowOverlap="1" wp14:anchorId="2163FA34" wp14:editId="13826473">
          <wp:simplePos x="0" y="0"/>
          <wp:positionH relativeFrom="margin">
            <wp:posOffset>706755</wp:posOffset>
          </wp:positionH>
          <wp:positionV relativeFrom="margin">
            <wp:posOffset>8203565</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2">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C20">
      <w:rPr>
        <w:sz w:val="20"/>
      </w:rPr>
      <w:t xml:space="preserve">    </w:t>
    </w:r>
    <w:r w:rsidR="00E672BA">
      <w:rPr>
        <w:sz w:val="20"/>
      </w:rPr>
      <w:t>2905</w:t>
    </w:r>
    <w:r w:rsidR="00411C20">
      <w:rPr>
        <w:sz w:val="20"/>
      </w:rPr>
      <w:t>15    010615</w:t>
    </w:r>
    <w:r w:rsidRPr="00DE36FD">
      <w:rPr>
        <w:noProof/>
        <w:lang w:val="en-US"/>
      </w:rPr>
      <w:t xml:space="preserve"> </w:t>
    </w:r>
    <w:r>
      <w:rPr>
        <w:b/>
        <w:sz w:val="18"/>
      </w:rPr>
      <w:br/>
    </w:r>
    <w:r w:rsidRPr="00DE36FD">
      <w:rPr>
        <w:rFonts w:ascii="C39T30Lfz" w:hAnsi="C39T30Lfz"/>
        <w:sz w:val="56"/>
      </w:rPr>
      <w:t></w:t>
    </w:r>
    <w:r w:rsidRPr="00DE36FD">
      <w:rPr>
        <w:rFonts w:ascii="C39T30Lfz" w:hAnsi="C39T30Lfz"/>
        <w:sz w:val="56"/>
      </w:rPr>
      <w:t></w:t>
    </w:r>
    <w:r w:rsidRPr="00DE36FD">
      <w:rPr>
        <w:rFonts w:ascii="C39T30Lfz" w:hAnsi="C39T30Lfz"/>
        <w:sz w:val="56"/>
      </w:rPr>
      <w:t></w:t>
    </w:r>
    <w:r w:rsidRPr="00DE36FD">
      <w:rPr>
        <w:rFonts w:ascii="C39T30Lfz" w:hAnsi="C39T30Lfz"/>
        <w:sz w:val="56"/>
      </w:rPr>
      <w:t></w:t>
    </w:r>
    <w:r w:rsidRPr="00DE36FD">
      <w:rPr>
        <w:rFonts w:ascii="C39T30Lfz" w:hAnsi="C39T30Lfz"/>
        <w:sz w:val="56"/>
      </w:rPr>
      <w:t></w:t>
    </w:r>
    <w:r w:rsidRPr="00DE36FD">
      <w:rPr>
        <w:rFonts w:ascii="C39T30Lfz" w:hAnsi="C39T30Lfz"/>
        <w:sz w:val="56"/>
      </w:rPr>
      <w:t></w:t>
    </w:r>
    <w:r w:rsidRPr="00DE36FD">
      <w:rPr>
        <w:rFonts w:ascii="C39T30Lfz" w:hAnsi="C39T30Lfz"/>
        <w:sz w:val="56"/>
      </w:rPr>
      <w:t></w:t>
    </w:r>
    <w:r w:rsidRPr="00DE36FD">
      <w:rPr>
        <w:rFonts w:ascii="C39T30Lfz" w:hAnsi="C39T30Lfz"/>
        <w:sz w:val="56"/>
      </w:rPr>
      <w:t></w:t>
    </w:r>
    <w:r w:rsidRPr="00DE36FD">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20" w:rsidRDefault="00411C20" w:rsidP="00CB28F9">
      <w:pPr>
        <w:pStyle w:val="Footer"/>
        <w:bidi/>
        <w:spacing w:after="80" w:line="200" w:lineRule="exact"/>
        <w:ind w:left="680"/>
      </w:pPr>
      <w:r>
        <w:rPr>
          <w:rtl/>
        </w:rPr>
        <w:t>__________</w:t>
      </w:r>
    </w:p>
  </w:footnote>
  <w:footnote w:type="continuationSeparator" w:id="0">
    <w:p w:rsidR="00411C20" w:rsidRDefault="00411C20" w:rsidP="00656392">
      <w:pPr>
        <w:spacing w:line="240" w:lineRule="auto"/>
      </w:pPr>
      <w:r>
        <w:continuationSeparator/>
      </w:r>
    </w:p>
  </w:footnote>
  <w:footnote w:id="1">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Pr>
          <w:rFonts w:hint="cs"/>
          <w:sz w:val="18"/>
          <w:szCs w:val="26"/>
          <w:rtl/>
        </w:rPr>
        <w:tab/>
      </w:r>
      <w:r w:rsidR="00411C20" w:rsidRPr="00A941CA">
        <w:rPr>
          <w:sz w:val="18"/>
          <w:szCs w:val="26"/>
        </w:rPr>
        <w:t>A/HRC/19/41</w:t>
      </w:r>
      <w:r w:rsidR="00411C20" w:rsidRPr="00A941CA">
        <w:rPr>
          <w:sz w:val="18"/>
          <w:szCs w:val="26"/>
          <w:rtl/>
        </w:rPr>
        <w:t>.</w:t>
      </w:r>
    </w:p>
  </w:footnote>
  <w:footnote w:id="2">
    <w:p w:rsidR="00411C20" w:rsidRPr="00A941CA" w:rsidRDefault="00A941CA" w:rsidP="006C0DD4">
      <w:pPr>
        <w:pStyle w:val="FootnoteText"/>
        <w:tabs>
          <w:tab w:val="right" w:pos="1021"/>
        </w:tabs>
        <w:spacing w:after="60" w:line="300" w:lineRule="exact"/>
        <w:ind w:left="1247" w:right="1247" w:hanging="1247"/>
        <w:jc w:val="left"/>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Pr>
          <w:rFonts w:hint="cs"/>
          <w:sz w:val="18"/>
          <w:szCs w:val="26"/>
          <w:rtl/>
        </w:rPr>
        <w:tab/>
      </w:r>
      <w:r w:rsidR="00411C20" w:rsidRPr="00A941CA">
        <w:rPr>
          <w:sz w:val="18"/>
          <w:szCs w:val="26"/>
          <w:rtl/>
        </w:rPr>
        <w:t>يُتاح الاطلاع على الردود على الموقع الشبكي للمفوضية السامية عبر الرابط التالي:</w:t>
      </w:r>
      <w:r>
        <w:rPr>
          <w:rFonts w:hint="cs"/>
          <w:sz w:val="18"/>
          <w:szCs w:val="26"/>
          <w:rtl/>
        </w:rPr>
        <w:t xml:space="preserve"> </w:t>
      </w:r>
      <w:r w:rsidR="00411C20" w:rsidRPr="00702621">
        <w:rPr>
          <w:sz w:val="18"/>
          <w:szCs w:val="26"/>
        </w:rPr>
        <w:t>www.ohchr.org/EN/Issues/Discrimination/Pages/SOGIHRC29Replies.aspx</w:t>
      </w:r>
      <w:r w:rsidR="00411C20" w:rsidRPr="00A941CA">
        <w:rPr>
          <w:sz w:val="18"/>
          <w:szCs w:val="26"/>
          <w:rtl/>
        </w:rPr>
        <w:t>.</w:t>
      </w:r>
    </w:p>
  </w:footnote>
  <w:footnote w:id="3">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Pr>
          <w:rFonts w:hint="cs"/>
          <w:sz w:val="18"/>
          <w:szCs w:val="26"/>
          <w:rtl/>
        </w:rPr>
        <w:tab/>
      </w:r>
      <w:r w:rsidR="00411C20" w:rsidRPr="00A941CA">
        <w:rPr>
          <w:sz w:val="18"/>
          <w:szCs w:val="26"/>
          <w:rtl/>
        </w:rPr>
        <w:t>بينما يُستخدم في هذا التقرير مصطلح "المثليات والمثليين ومزدوجي الميل الجنسي ومغايري الهوية الجنسانية"، تُستخدم مصطلحات أخرى في مناطق مختلفة. ويشمل التقرير أيضاً إشارات إلى الانتهاكات المرتكبة بحق الأشخاص حاملي صفات الجنسين الذين قد يكون لهم أي ميل جنسي أو هوية جنسانية. ولطالما تصدّت آليات الأمم المتحدة لحقوق الإنسان لهذه الانتهاكات إلى جانب</w:t>
      </w:r>
      <w:r w:rsidR="00411C20" w:rsidRPr="00A941CA">
        <w:rPr>
          <w:rFonts w:hint="cs"/>
          <w:sz w:val="18"/>
          <w:szCs w:val="26"/>
          <w:rtl/>
        </w:rPr>
        <w:t xml:space="preserve"> الانتهاكات </w:t>
      </w:r>
      <w:r w:rsidR="00411C20" w:rsidRPr="00A941CA">
        <w:rPr>
          <w:sz w:val="18"/>
          <w:szCs w:val="26"/>
          <w:rtl/>
        </w:rPr>
        <w:t xml:space="preserve">المرتكبة بحق المثليات والمثليين ومزدوجي الميل الجنسي ومغايري الهوية الجنسانية. </w:t>
      </w:r>
    </w:p>
  </w:footnote>
  <w:footnote w:id="4">
    <w:p w:rsidR="00411C20" w:rsidRPr="00A941CA" w:rsidRDefault="00A941CA" w:rsidP="00E672BA">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Pr>
          <w:rFonts w:hint="cs"/>
          <w:sz w:val="18"/>
          <w:szCs w:val="26"/>
          <w:rtl/>
        </w:rPr>
        <w:tab/>
      </w:r>
      <w:r w:rsidR="00411C20" w:rsidRPr="00A941CA">
        <w:rPr>
          <w:sz w:val="18"/>
          <w:szCs w:val="26"/>
          <w:rtl/>
        </w:rPr>
        <w:t xml:space="preserve">انظر </w:t>
      </w:r>
      <w:r w:rsidR="00411C20" w:rsidRPr="00E672BA">
        <w:rPr>
          <w:i/>
          <w:iCs/>
          <w:sz w:val="18"/>
          <w:szCs w:val="26"/>
        </w:rPr>
        <w:t>“</w:t>
      </w:r>
      <w:r w:rsidR="00411C20" w:rsidRPr="00E672BA">
        <w:rPr>
          <w:rStyle w:val="Emphasis"/>
          <w:i w:val="0"/>
          <w:iCs w:val="0"/>
          <w:color w:val="000000"/>
          <w:sz w:val="18"/>
          <w:szCs w:val="26"/>
        </w:rPr>
        <w:t>The Role of the United Nations in Combatting Discrimination and Violence against Individuals Based on Sexual Orientation and Gender Identity”, OHCHR, 2014</w:t>
      </w:r>
      <w:r w:rsidR="00411C20" w:rsidRPr="00A941CA">
        <w:rPr>
          <w:sz w:val="18"/>
          <w:szCs w:val="26"/>
          <w:rtl/>
        </w:rPr>
        <w:t>.</w:t>
      </w:r>
    </w:p>
  </w:footnote>
  <w:footnote w:id="5">
    <w:p w:rsidR="00411C20" w:rsidRPr="00A63258" w:rsidRDefault="00A941CA" w:rsidP="00A63258">
      <w:pPr>
        <w:pStyle w:val="FootnoteText"/>
        <w:tabs>
          <w:tab w:val="right" w:pos="1021"/>
        </w:tabs>
        <w:spacing w:after="60" w:line="300" w:lineRule="exact"/>
        <w:ind w:left="1247" w:right="1247" w:hanging="1247"/>
        <w:jc w:val="left"/>
        <w:rPr>
          <w:spacing w:val="-6"/>
          <w:sz w:val="18"/>
          <w:szCs w:val="26"/>
        </w:rPr>
      </w:pPr>
      <w:r w:rsidRPr="00A63258">
        <w:rPr>
          <w:rStyle w:val="FootnoteReference"/>
          <w:rFonts w:hint="cs"/>
          <w:spacing w:val="-6"/>
          <w:szCs w:val="26"/>
          <w:vertAlign w:val="baseline"/>
          <w:rtl/>
        </w:rPr>
        <w:tab/>
      </w:r>
      <w:r w:rsidR="00411C20" w:rsidRPr="00A63258">
        <w:rPr>
          <w:rStyle w:val="FootnoteReference"/>
          <w:spacing w:val="-6"/>
          <w:szCs w:val="26"/>
          <w:vertAlign w:val="baseline"/>
          <w:rtl/>
        </w:rPr>
        <w:t>(</w:t>
      </w:r>
      <w:r w:rsidR="00411C20" w:rsidRPr="00A63258">
        <w:rPr>
          <w:rStyle w:val="FootnoteReference"/>
          <w:spacing w:val="-6"/>
          <w:szCs w:val="26"/>
          <w:vertAlign w:val="baseline"/>
          <w:rtl/>
        </w:rPr>
        <w:footnoteRef/>
      </w:r>
      <w:r w:rsidR="00411C20" w:rsidRPr="00A63258">
        <w:rPr>
          <w:rStyle w:val="FootnoteReference"/>
          <w:spacing w:val="-6"/>
          <w:szCs w:val="26"/>
          <w:vertAlign w:val="baseline"/>
          <w:rtl/>
        </w:rPr>
        <w:t>)</w:t>
      </w:r>
      <w:r w:rsidRPr="00A63258">
        <w:rPr>
          <w:rFonts w:hint="cs"/>
          <w:spacing w:val="-6"/>
          <w:sz w:val="18"/>
          <w:szCs w:val="26"/>
          <w:rtl/>
        </w:rPr>
        <w:tab/>
      </w:r>
      <w:r w:rsidR="00411C20" w:rsidRPr="00A63258">
        <w:rPr>
          <w:spacing w:val="-6"/>
          <w:sz w:val="18"/>
          <w:szCs w:val="26"/>
          <w:rtl/>
        </w:rPr>
        <w:t xml:space="preserve">انظر </w:t>
      </w:r>
      <w:r w:rsidR="00411C20" w:rsidRPr="00A63258">
        <w:rPr>
          <w:spacing w:val="-6"/>
          <w:sz w:val="18"/>
          <w:szCs w:val="26"/>
        </w:rPr>
        <w:t>CCPR/C/KGZ/CO/2</w:t>
      </w:r>
      <w:r w:rsidR="00411C20" w:rsidRPr="00A63258">
        <w:rPr>
          <w:spacing w:val="-6"/>
          <w:sz w:val="18"/>
          <w:szCs w:val="26"/>
          <w:rtl/>
        </w:rPr>
        <w:t xml:space="preserve">، الفقرة 9، </w:t>
      </w:r>
      <w:r w:rsidR="00411C20" w:rsidRPr="00A63258">
        <w:rPr>
          <w:spacing w:val="-6"/>
          <w:sz w:val="18"/>
          <w:szCs w:val="26"/>
        </w:rPr>
        <w:t>A/HRC/20/22/Add.2</w:t>
      </w:r>
      <w:r w:rsidR="00411C20" w:rsidRPr="00A63258">
        <w:rPr>
          <w:spacing w:val="-6"/>
          <w:sz w:val="18"/>
          <w:szCs w:val="26"/>
          <w:rtl/>
        </w:rPr>
        <w:t xml:space="preserve">، الفقرات 5 و55 و76، </w:t>
      </w:r>
      <w:r w:rsidR="00411C20" w:rsidRPr="00A63258">
        <w:rPr>
          <w:spacing w:val="-6"/>
          <w:sz w:val="18"/>
          <w:szCs w:val="26"/>
        </w:rPr>
        <w:t>CCPR/C/MWI/CO/1/Add.1</w:t>
      </w:r>
      <w:r w:rsidR="00411C20" w:rsidRPr="00A63258">
        <w:rPr>
          <w:spacing w:val="-6"/>
          <w:sz w:val="18"/>
          <w:szCs w:val="26"/>
          <w:rtl/>
        </w:rPr>
        <w:t>، الفقرة 10.</w:t>
      </w:r>
    </w:p>
  </w:footnote>
  <w:footnote w:id="6">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Pr>
          <w:rFonts w:hint="cs"/>
          <w:sz w:val="18"/>
          <w:szCs w:val="26"/>
          <w:rtl/>
          <w:lang w:bidi="ar-EG"/>
        </w:rPr>
        <w:tab/>
      </w:r>
      <w:r w:rsidR="00411C20" w:rsidRPr="00A941CA">
        <w:rPr>
          <w:sz w:val="18"/>
          <w:szCs w:val="26"/>
          <w:rtl/>
          <w:lang w:bidi="ar-EG"/>
        </w:rPr>
        <w:t xml:space="preserve">انظر </w:t>
      </w:r>
      <w:r w:rsidR="00411C20" w:rsidRPr="00A941CA">
        <w:rPr>
          <w:sz w:val="18"/>
          <w:szCs w:val="26"/>
        </w:rPr>
        <w:t>CCPR/C/MWI/CO/1</w:t>
      </w:r>
      <w:r w:rsidR="00411C20" w:rsidRPr="00A941CA">
        <w:rPr>
          <w:sz w:val="18"/>
          <w:szCs w:val="26"/>
          <w:rtl/>
        </w:rPr>
        <w:t xml:space="preserve">، الفقرة 7، </w:t>
      </w:r>
      <w:r w:rsidR="00411C20" w:rsidRPr="00A941CA">
        <w:rPr>
          <w:sz w:val="18"/>
          <w:szCs w:val="26"/>
        </w:rPr>
        <w:t>A/HRC/26/30/Add.3</w:t>
      </w:r>
      <w:r w:rsidR="00411C20" w:rsidRPr="00A941CA">
        <w:rPr>
          <w:sz w:val="18"/>
          <w:szCs w:val="26"/>
          <w:rtl/>
        </w:rPr>
        <w:t>، الفقرة 88.</w:t>
      </w:r>
    </w:p>
  </w:footnote>
  <w:footnote w:id="7">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lang w:bidi="ar-EG"/>
        </w:rPr>
        <w:t xml:space="preserve">انظر </w:t>
      </w:r>
      <w:r w:rsidR="00411C20" w:rsidRPr="00A941CA">
        <w:rPr>
          <w:sz w:val="18"/>
          <w:szCs w:val="26"/>
        </w:rPr>
        <w:t>CCPR/C/MRT/CO/1</w:t>
      </w:r>
      <w:r w:rsidR="00411C20" w:rsidRPr="00A941CA">
        <w:rPr>
          <w:sz w:val="18"/>
          <w:szCs w:val="26"/>
          <w:rtl/>
        </w:rPr>
        <w:t xml:space="preserve">، الفقرة 8، </w:t>
      </w:r>
      <w:r w:rsidR="00411C20" w:rsidRPr="00A941CA">
        <w:rPr>
          <w:sz w:val="18"/>
          <w:szCs w:val="26"/>
        </w:rPr>
        <w:t>A/67/275</w:t>
      </w:r>
      <w:r w:rsidR="00411C20" w:rsidRPr="00A941CA">
        <w:rPr>
          <w:sz w:val="18"/>
          <w:szCs w:val="26"/>
          <w:rtl/>
        </w:rPr>
        <w:t>، الفقرات 36-38.</w:t>
      </w:r>
    </w:p>
  </w:footnote>
  <w:footnote w:id="8">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انظر أيضا</w:t>
      </w:r>
      <w:r w:rsidR="00A63258">
        <w:rPr>
          <w:rFonts w:hint="cs"/>
          <w:sz w:val="18"/>
          <w:szCs w:val="26"/>
          <w:rtl/>
        </w:rPr>
        <w:t>ً</w:t>
      </w:r>
      <w:r w:rsidR="00411C20" w:rsidRPr="00A941CA">
        <w:rPr>
          <w:sz w:val="18"/>
          <w:szCs w:val="26"/>
          <w:rtl/>
        </w:rPr>
        <w:t xml:space="preserve"> </w:t>
      </w:r>
      <w:r w:rsidR="00411C20" w:rsidRPr="00A941CA">
        <w:rPr>
          <w:sz w:val="18"/>
          <w:szCs w:val="26"/>
        </w:rPr>
        <w:t>UNHCR, Guidelines on international protection No. 9, HCR/GIP/12/09, 23 October 2012; CCPR/C/108/D/2149/2012</w:t>
      </w:r>
      <w:r w:rsidR="00411C20" w:rsidRPr="00A941CA">
        <w:rPr>
          <w:sz w:val="18"/>
          <w:szCs w:val="26"/>
          <w:rtl/>
        </w:rPr>
        <w:t>.</w:t>
      </w:r>
    </w:p>
  </w:footnote>
  <w:footnote w:id="9">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CAT/C/GC/3</w:t>
      </w:r>
      <w:r w:rsidR="00411C20" w:rsidRPr="00A941CA">
        <w:rPr>
          <w:sz w:val="18"/>
          <w:szCs w:val="26"/>
          <w:rtl/>
        </w:rPr>
        <w:t>، الفقرة 39.</w:t>
      </w:r>
    </w:p>
  </w:footnote>
  <w:footnote w:id="10">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CAT/C/GC/2</w:t>
      </w:r>
      <w:r w:rsidR="00411C20" w:rsidRPr="00A941CA">
        <w:rPr>
          <w:sz w:val="18"/>
          <w:szCs w:val="26"/>
          <w:rtl/>
        </w:rPr>
        <w:t>، الفقرات 15-19.</w:t>
      </w:r>
    </w:p>
  </w:footnote>
  <w:footnote w:id="11">
    <w:p w:rsidR="00411C20" w:rsidRPr="00A63258" w:rsidRDefault="00A941CA" w:rsidP="006C0DD4">
      <w:pPr>
        <w:pStyle w:val="FootnoteText"/>
        <w:tabs>
          <w:tab w:val="right" w:pos="1021"/>
        </w:tabs>
        <w:spacing w:after="60" w:line="300" w:lineRule="exact"/>
        <w:ind w:left="1247" w:right="1247" w:hanging="1247"/>
        <w:rPr>
          <w:rStyle w:val="FootnoteReference"/>
          <w:szCs w:val="26"/>
          <w:vertAlign w:val="baseline"/>
        </w:rPr>
      </w:pPr>
      <w:r w:rsidRPr="00A63258">
        <w:rPr>
          <w:rStyle w:val="FootnoteReference"/>
          <w:rFonts w:hint="cs"/>
          <w:spacing w:val="-6"/>
          <w:szCs w:val="26"/>
          <w:vertAlign w:val="baseline"/>
          <w:rtl/>
        </w:rPr>
        <w:tab/>
      </w:r>
      <w:r w:rsidR="00411C20" w:rsidRPr="00A63258">
        <w:rPr>
          <w:rStyle w:val="FootnoteReference"/>
          <w:spacing w:val="-6"/>
          <w:szCs w:val="26"/>
          <w:vertAlign w:val="baseline"/>
          <w:rtl/>
        </w:rPr>
        <w:t>(</w:t>
      </w:r>
      <w:r w:rsidR="00411C20" w:rsidRPr="00A63258">
        <w:rPr>
          <w:rStyle w:val="FootnoteReference"/>
          <w:spacing w:val="-6"/>
          <w:szCs w:val="26"/>
          <w:vertAlign w:val="baseline"/>
          <w:rtl/>
        </w:rPr>
        <w:footnoteRef/>
      </w:r>
      <w:r w:rsidR="00411C20" w:rsidRPr="00A63258">
        <w:rPr>
          <w:rStyle w:val="FootnoteReference"/>
          <w:spacing w:val="-6"/>
          <w:szCs w:val="26"/>
          <w:vertAlign w:val="baseline"/>
          <w:rtl/>
        </w:rPr>
        <w:t>)</w:t>
      </w:r>
      <w:r w:rsidR="00411C20" w:rsidRPr="00A63258">
        <w:rPr>
          <w:spacing w:val="-6"/>
          <w:sz w:val="18"/>
          <w:szCs w:val="26"/>
          <w:rtl/>
        </w:rPr>
        <w:t xml:space="preserve"> </w:t>
      </w:r>
      <w:r w:rsidRPr="00A63258">
        <w:rPr>
          <w:rFonts w:hint="cs"/>
          <w:spacing w:val="-6"/>
          <w:sz w:val="18"/>
          <w:szCs w:val="26"/>
          <w:rtl/>
        </w:rPr>
        <w:tab/>
      </w:r>
      <w:r w:rsidR="00411C20" w:rsidRPr="00A63258">
        <w:rPr>
          <w:spacing w:val="-6"/>
          <w:sz w:val="18"/>
          <w:szCs w:val="26"/>
          <w:rtl/>
        </w:rPr>
        <w:t xml:space="preserve">انظر </w:t>
      </w:r>
      <w:r w:rsidR="00411C20" w:rsidRPr="00A63258">
        <w:rPr>
          <w:spacing w:val="-6"/>
          <w:sz w:val="18"/>
          <w:szCs w:val="26"/>
        </w:rPr>
        <w:t>A/HRC/22/53</w:t>
      </w:r>
      <w:r w:rsidR="00411C20" w:rsidRPr="00A63258">
        <w:rPr>
          <w:spacing w:val="-6"/>
          <w:sz w:val="18"/>
          <w:szCs w:val="26"/>
          <w:rtl/>
        </w:rPr>
        <w:t xml:space="preserve">، الفقرات 76-79، 88، </w:t>
      </w:r>
      <w:r w:rsidR="00411C20" w:rsidRPr="00A63258">
        <w:rPr>
          <w:spacing w:val="-6"/>
          <w:sz w:val="18"/>
          <w:szCs w:val="26"/>
        </w:rPr>
        <w:t>CRC/C/CHE/CO/2-4</w:t>
      </w:r>
      <w:r w:rsidR="00411C20" w:rsidRPr="00A63258">
        <w:rPr>
          <w:spacing w:val="-6"/>
          <w:sz w:val="18"/>
          <w:szCs w:val="26"/>
          <w:rtl/>
        </w:rPr>
        <w:t xml:space="preserve">، الفقرات 42-43، </w:t>
      </w:r>
      <w:r w:rsidR="00411C20" w:rsidRPr="00A63258">
        <w:rPr>
          <w:spacing w:val="-6"/>
          <w:sz w:val="18"/>
          <w:szCs w:val="26"/>
        </w:rPr>
        <w:t>CAT/C/DEU/CO/5</w:t>
      </w:r>
      <w:r w:rsidR="00411C20" w:rsidRPr="00A63258">
        <w:rPr>
          <w:spacing w:val="-6"/>
          <w:sz w:val="18"/>
          <w:szCs w:val="26"/>
          <w:rtl/>
        </w:rPr>
        <w:t>، الفقرة 20.</w:t>
      </w:r>
      <w:r w:rsidR="00411C20" w:rsidRPr="00A63258">
        <w:rPr>
          <w:rStyle w:val="FootnoteReference"/>
          <w:szCs w:val="26"/>
          <w:vertAlign w:val="baseline"/>
          <w:rtl/>
        </w:rPr>
        <w:t xml:space="preserve"> </w:t>
      </w:r>
    </w:p>
  </w:footnote>
  <w:footnote w:id="12">
    <w:p w:rsidR="00411C20" w:rsidRPr="00A63258" w:rsidRDefault="00A941CA" w:rsidP="006C0DD4">
      <w:pPr>
        <w:pStyle w:val="FootnoteText"/>
        <w:tabs>
          <w:tab w:val="right" w:pos="1021"/>
        </w:tabs>
        <w:spacing w:after="60" w:line="300" w:lineRule="exact"/>
        <w:ind w:left="1247" w:right="1247" w:hanging="1247"/>
        <w:rPr>
          <w:spacing w:val="-6"/>
          <w:sz w:val="18"/>
          <w:szCs w:val="26"/>
        </w:rPr>
      </w:pPr>
      <w:r w:rsidRPr="00A63258">
        <w:rPr>
          <w:rStyle w:val="FootnoteReference"/>
          <w:rFonts w:hint="cs"/>
          <w:spacing w:val="-6"/>
          <w:szCs w:val="26"/>
          <w:vertAlign w:val="baseline"/>
          <w:rtl/>
        </w:rPr>
        <w:tab/>
      </w:r>
      <w:r w:rsidR="00411C20" w:rsidRPr="00A63258">
        <w:rPr>
          <w:rStyle w:val="FootnoteReference"/>
          <w:spacing w:val="-6"/>
          <w:szCs w:val="26"/>
          <w:vertAlign w:val="baseline"/>
          <w:rtl/>
        </w:rPr>
        <w:t>(</w:t>
      </w:r>
      <w:r w:rsidR="00411C20" w:rsidRPr="00A63258">
        <w:rPr>
          <w:rStyle w:val="FootnoteReference"/>
          <w:spacing w:val="-6"/>
          <w:szCs w:val="26"/>
          <w:vertAlign w:val="baseline"/>
          <w:rtl/>
        </w:rPr>
        <w:footnoteRef/>
      </w:r>
      <w:r w:rsidR="00411C20" w:rsidRPr="00A63258">
        <w:rPr>
          <w:rStyle w:val="FootnoteReference"/>
          <w:spacing w:val="-6"/>
          <w:szCs w:val="26"/>
          <w:vertAlign w:val="baseline"/>
          <w:rtl/>
        </w:rPr>
        <w:t>)</w:t>
      </w:r>
      <w:r w:rsidR="00411C20" w:rsidRPr="00A63258">
        <w:rPr>
          <w:spacing w:val="-6"/>
          <w:sz w:val="18"/>
          <w:szCs w:val="26"/>
          <w:rtl/>
        </w:rPr>
        <w:t xml:space="preserve"> </w:t>
      </w:r>
      <w:r w:rsidRPr="00A63258">
        <w:rPr>
          <w:rFonts w:hint="cs"/>
          <w:spacing w:val="-6"/>
          <w:sz w:val="18"/>
          <w:szCs w:val="26"/>
          <w:rtl/>
        </w:rPr>
        <w:tab/>
      </w:r>
      <w:r w:rsidR="00411C20" w:rsidRPr="00A63258">
        <w:rPr>
          <w:spacing w:val="-6"/>
          <w:sz w:val="18"/>
          <w:szCs w:val="26"/>
          <w:rtl/>
          <w:lang w:bidi="ar-EG"/>
        </w:rPr>
        <w:t xml:space="preserve">انظر </w:t>
      </w:r>
      <w:r w:rsidR="00411C20" w:rsidRPr="00A63258">
        <w:rPr>
          <w:spacing w:val="-6"/>
          <w:sz w:val="18"/>
          <w:szCs w:val="26"/>
        </w:rPr>
        <w:t>CCPR/C/50/D/488/1992</w:t>
      </w:r>
      <w:r w:rsidR="00A63258">
        <w:rPr>
          <w:spacing w:val="-6"/>
          <w:sz w:val="18"/>
          <w:szCs w:val="26"/>
          <w:rtl/>
        </w:rPr>
        <w:t>، الفقرات 8-3</w:t>
      </w:r>
      <w:r w:rsidR="00411C20" w:rsidRPr="00A63258">
        <w:rPr>
          <w:spacing w:val="-6"/>
          <w:sz w:val="18"/>
          <w:szCs w:val="26"/>
          <w:rtl/>
        </w:rPr>
        <w:t xml:space="preserve">-10، </w:t>
      </w:r>
      <w:r w:rsidR="00411C20" w:rsidRPr="00A63258">
        <w:rPr>
          <w:spacing w:val="-6"/>
          <w:sz w:val="18"/>
          <w:szCs w:val="26"/>
        </w:rPr>
        <w:t>E/C.12/IRN/CO/2</w:t>
      </w:r>
      <w:r w:rsidR="00411C20" w:rsidRPr="00A63258">
        <w:rPr>
          <w:spacing w:val="-6"/>
          <w:sz w:val="18"/>
          <w:szCs w:val="26"/>
          <w:rtl/>
        </w:rPr>
        <w:t xml:space="preserve">، الفقرة 7، </w:t>
      </w:r>
      <w:r w:rsidR="00411C20" w:rsidRPr="00A63258">
        <w:rPr>
          <w:spacing w:val="-6"/>
          <w:sz w:val="18"/>
          <w:szCs w:val="26"/>
        </w:rPr>
        <w:t>CEDAW/C/UGA/CO/7</w:t>
      </w:r>
      <w:r w:rsidR="00411C20" w:rsidRPr="00A63258">
        <w:rPr>
          <w:spacing w:val="-6"/>
          <w:sz w:val="18"/>
          <w:szCs w:val="26"/>
          <w:rtl/>
        </w:rPr>
        <w:t xml:space="preserve">، الفقرتان 43، 44، </w:t>
      </w:r>
      <w:r w:rsidR="00411C20" w:rsidRPr="00A63258">
        <w:rPr>
          <w:spacing w:val="-6"/>
          <w:sz w:val="18"/>
          <w:szCs w:val="26"/>
        </w:rPr>
        <w:t>CRC/C/GAM/CO/2-3</w:t>
      </w:r>
      <w:r w:rsidR="00411C20" w:rsidRPr="00A63258">
        <w:rPr>
          <w:spacing w:val="-6"/>
          <w:sz w:val="18"/>
          <w:szCs w:val="26"/>
          <w:rtl/>
        </w:rPr>
        <w:t xml:space="preserve">، الفقرتان 29،30، </w:t>
      </w:r>
      <w:r w:rsidR="00411C20" w:rsidRPr="00A63258">
        <w:rPr>
          <w:spacing w:val="-6"/>
          <w:sz w:val="18"/>
          <w:szCs w:val="26"/>
        </w:rPr>
        <w:t>A/HRC/14/20</w:t>
      </w:r>
      <w:r w:rsidR="00411C20" w:rsidRPr="00A63258">
        <w:rPr>
          <w:spacing w:val="-6"/>
          <w:sz w:val="18"/>
          <w:szCs w:val="26"/>
          <w:rtl/>
        </w:rPr>
        <w:t xml:space="preserve">، الفقرات 17-26، </w:t>
      </w:r>
      <w:r w:rsidR="00411C20" w:rsidRPr="00A63258">
        <w:rPr>
          <w:spacing w:val="-6"/>
          <w:sz w:val="18"/>
          <w:szCs w:val="26"/>
        </w:rPr>
        <w:t>CCPR/C/KWT/CO/2</w:t>
      </w:r>
      <w:r w:rsidR="00411C20" w:rsidRPr="00A63258">
        <w:rPr>
          <w:spacing w:val="-6"/>
          <w:sz w:val="18"/>
          <w:szCs w:val="26"/>
          <w:rtl/>
        </w:rPr>
        <w:t>، الفقرة 30</w:t>
      </w:r>
      <w:r w:rsidR="00E672BA">
        <w:rPr>
          <w:rFonts w:hint="cs"/>
          <w:spacing w:val="-6"/>
          <w:sz w:val="18"/>
          <w:szCs w:val="26"/>
          <w:rtl/>
          <w:lang w:bidi="ar-EG"/>
        </w:rPr>
        <w:t>.</w:t>
      </w:r>
      <w:r w:rsidR="00411C20" w:rsidRPr="00A63258">
        <w:rPr>
          <w:spacing w:val="-6"/>
          <w:sz w:val="18"/>
          <w:szCs w:val="26"/>
          <w:rtl/>
          <w:lang w:bidi="ar-EG"/>
        </w:rPr>
        <w:t xml:space="preserve"> </w:t>
      </w:r>
    </w:p>
  </w:footnote>
  <w:footnote w:id="13">
    <w:p w:rsidR="00411C20" w:rsidRPr="00A63258" w:rsidRDefault="00A941CA" w:rsidP="00E672BA">
      <w:pPr>
        <w:pStyle w:val="FootnoteText"/>
        <w:tabs>
          <w:tab w:val="right" w:pos="1021"/>
        </w:tabs>
        <w:spacing w:after="60" w:line="300" w:lineRule="exact"/>
        <w:ind w:left="1247" w:right="1247" w:hanging="1247"/>
        <w:rPr>
          <w:spacing w:val="-6"/>
          <w:sz w:val="18"/>
          <w:szCs w:val="26"/>
        </w:rPr>
      </w:pPr>
      <w:r w:rsidRPr="00A63258">
        <w:rPr>
          <w:rStyle w:val="FootnoteReference"/>
          <w:rFonts w:hint="cs"/>
          <w:spacing w:val="-6"/>
          <w:szCs w:val="26"/>
          <w:vertAlign w:val="baseline"/>
          <w:rtl/>
        </w:rPr>
        <w:tab/>
      </w:r>
      <w:r w:rsidR="00411C20" w:rsidRPr="00A63258">
        <w:rPr>
          <w:rStyle w:val="FootnoteReference"/>
          <w:spacing w:val="-6"/>
          <w:szCs w:val="26"/>
          <w:vertAlign w:val="baseline"/>
          <w:rtl/>
        </w:rPr>
        <w:t>(</w:t>
      </w:r>
      <w:r w:rsidR="00411C20" w:rsidRPr="00A63258">
        <w:rPr>
          <w:rStyle w:val="FootnoteReference"/>
          <w:spacing w:val="-6"/>
          <w:szCs w:val="26"/>
          <w:vertAlign w:val="baseline"/>
          <w:rtl/>
        </w:rPr>
        <w:footnoteRef/>
      </w:r>
      <w:r w:rsidR="00411C20" w:rsidRPr="00A63258">
        <w:rPr>
          <w:rStyle w:val="FootnoteReference"/>
          <w:spacing w:val="-6"/>
          <w:szCs w:val="26"/>
          <w:vertAlign w:val="baseline"/>
          <w:rtl/>
        </w:rPr>
        <w:t>)</w:t>
      </w:r>
      <w:r w:rsidR="00411C20" w:rsidRPr="00A63258">
        <w:rPr>
          <w:spacing w:val="-6"/>
          <w:sz w:val="18"/>
          <w:szCs w:val="26"/>
          <w:rtl/>
        </w:rPr>
        <w:t xml:space="preserve"> </w:t>
      </w:r>
      <w:r w:rsidRPr="00A63258">
        <w:rPr>
          <w:rFonts w:hint="cs"/>
          <w:spacing w:val="-6"/>
          <w:sz w:val="18"/>
          <w:szCs w:val="26"/>
          <w:rtl/>
        </w:rPr>
        <w:tab/>
      </w:r>
      <w:r w:rsidR="00411C20" w:rsidRPr="00A63258">
        <w:rPr>
          <w:spacing w:val="-6"/>
          <w:sz w:val="18"/>
          <w:szCs w:val="26"/>
          <w:rtl/>
        </w:rPr>
        <w:t xml:space="preserve">انظر </w:t>
      </w:r>
      <w:r w:rsidR="00411C20" w:rsidRPr="00A63258">
        <w:rPr>
          <w:spacing w:val="-6"/>
          <w:sz w:val="18"/>
          <w:szCs w:val="26"/>
        </w:rPr>
        <w:t>CCPR/C/GC/35</w:t>
      </w:r>
      <w:r w:rsidR="00411C20" w:rsidRPr="00A63258">
        <w:rPr>
          <w:spacing w:val="-6"/>
          <w:sz w:val="18"/>
          <w:szCs w:val="26"/>
          <w:rtl/>
        </w:rPr>
        <w:t>، الفقرتان 3،</w:t>
      </w:r>
      <w:r w:rsidR="00A63258">
        <w:rPr>
          <w:rFonts w:hint="cs"/>
          <w:spacing w:val="-6"/>
          <w:sz w:val="18"/>
          <w:szCs w:val="26"/>
          <w:rtl/>
        </w:rPr>
        <w:t xml:space="preserve"> </w:t>
      </w:r>
      <w:r w:rsidR="00411C20" w:rsidRPr="00A63258">
        <w:rPr>
          <w:spacing w:val="-6"/>
          <w:sz w:val="18"/>
          <w:szCs w:val="26"/>
          <w:rtl/>
        </w:rPr>
        <w:t xml:space="preserve">17، </w:t>
      </w:r>
      <w:r w:rsidR="00411C20" w:rsidRPr="00A63258">
        <w:rPr>
          <w:spacing w:val="-6"/>
          <w:sz w:val="18"/>
          <w:szCs w:val="26"/>
        </w:rPr>
        <w:t>A/HRC/4/40/Add.1</w:t>
      </w:r>
      <w:r w:rsidR="00411C20" w:rsidRPr="00A63258">
        <w:rPr>
          <w:spacing w:val="-6"/>
          <w:sz w:val="18"/>
          <w:szCs w:val="26"/>
          <w:rtl/>
        </w:rPr>
        <w:t xml:space="preserve">، الرأي 22/2006، الفقرة 19، </w:t>
      </w:r>
      <w:r w:rsidR="00411C20" w:rsidRPr="00A63258">
        <w:rPr>
          <w:spacing w:val="-6"/>
          <w:sz w:val="18"/>
          <w:szCs w:val="26"/>
        </w:rPr>
        <w:t>A/HRC/22/44</w:t>
      </w:r>
      <w:r w:rsidR="00411C20" w:rsidRPr="00A63258">
        <w:rPr>
          <w:spacing w:val="-6"/>
          <w:sz w:val="18"/>
          <w:szCs w:val="26"/>
          <w:rtl/>
        </w:rPr>
        <w:t xml:space="preserve">، الفقرة </w:t>
      </w:r>
      <w:r w:rsidR="00E672BA">
        <w:rPr>
          <w:rFonts w:hint="cs"/>
          <w:spacing w:val="-6"/>
          <w:sz w:val="18"/>
          <w:szCs w:val="26"/>
          <w:rtl/>
        </w:rPr>
        <w:t>38</w:t>
      </w:r>
      <w:r w:rsidR="00411C20" w:rsidRPr="00A63258">
        <w:rPr>
          <w:spacing w:val="-6"/>
          <w:sz w:val="18"/>
          <w:szCs w:val="26"/>
          <w:rtl/>
        </w:rPr>
        <w:t>.</w:t>
      </w:r>
    </w:p>
  </w:footnote>
  <w:footnote w:id="14">
    <w:p w:rsidR="00411C20" w:rsidRPr="00A63258" w:rsidRDefault="00A941CA" w:rsidP="006C0DD4">
      <w:pPr>
        <w:pStyle w:val="FootnoteText"/>
        <w:tabs>
          <w:tab w:val="right" w:pos="1021"/>
        </w:tabs>
        <w:spacing w:after="60" w:line="300" w:lineRule="exact"/>
        <w:ind w:left="1247" w:right="1247" w:hanging="1247"/>
        <w:rPr>
          <w:spacing w:val="-2"/>
          <w:sz w:val="18"/>
          <w:szCs w:val="26"/>
        </w:rPr>
      </w:pPr>
      <w:r w:rsidRPr="00A63258">
        <w:rPr>
          <w:rStyle w:val="FootnoteReference"/>
          <w:rFonts w:hint="cs"/>
          <w:spacing w:val="-2"/>
          <w:szCs w:val="26"/>
          <w:vertAlign w:val="baseline"/>
          <w:rtl/>
        </w:rPr>
        <w:tab/>
      </w:r>
      <w:r w:rsidR="00411C20" w:rsidRPr="00A63258">
        <w:rPr>
          <w:rStyle w:val="FootnoteReference"/>
          <w:spacing w:val="-2"/>
          <w:szCs w:val="26"/>
          <w:vertAlign w:val="baseline"/>
          <w:rtl/>
        </w:rPr>
        <w:t>(</w:t>
      </w:r>
      <w:r w:rsidR="00411C20" w:rsidRPr="00A63258">
        <w:rPr>
          <w:rStyle w:val="FootnoteReference"/>
          <w:spacing w:val="-2"/>
          <w:szCs w:val="26"/>
          <w:vertAlign w:val="baseline"/>
          <w:rtl/>
        </w:rPr>
        <w:footnoteRef/>
      </w:r>
      <w:r w:rsidR="00411C20" w:rsidRPr="00A63258">
        <w:rPr>
          <w:rStyle w:val="FootnoteReference"/>
          <w:spacing w:val="-2"/>
          <w:szCs w:val="26"/>
          <w:vertAlign w:val="baseline"/>
          <w:rtl/>
        </w:rPr>
        <w:t>)</w:t>
      </w:r>
      <w:r w:rsidR="00411C20" w:rsidRPr="00A63258">
        <w:rPr>
          <w:spacing w:val="-2"/>
          <w:sz w:val="18"/>
          <w:szCs w:val="26"/>
          <w:rtl/>
        </w:rPr>
        <w:t xml:space="preserve"> </w:t>
      </w:r>
      <w:r w:rsidRPr="00A63258">
        <w:rPr>
          <w:rFonts w:hint="cs"/>
          <w:spacing w:val="-2"/>
          <w:sz w:val="18"/>
          <w:szCs w:val="26"/>
          <w:rtl/>
        </w:rPr>
        <w:tab/>
      </w:r>
      <w:r w:rsidR="00411C20" w:rsidRPr="00A63258">
        <w:rPr>
          <w:spacing w:val="-2"/>
          <w:sz w:val="18"/>
          <w:szCs w:val="26"/>
          <w:rtl/>
        </w:rPr>
        <w:t xml:space="preserve">انظر </w:t>
      </w:r>
      <w:r w:rsidR="00411C20" w:rsidRPr="00A63258">
        <w:rPr>
          <w:spacing w:val="-2"/>
          <w:sz w:val="18"/>
          <w:szCs w:val="26"/>
        </w:rPr>
        <w:t>CCPR/C/PER/CO/5</w:t>
      </w:r>
      <w:r w:rsidR="00411C20" w:rsidRPr="00A63258">
        <w:rPr>
          <w:spacing w:val="-2"/>
          <w:sz w:val="18"/>
          <w:szCs w:val="26"/>
          <w:rtl/>
        </w:rPr>
        <w:t xml:space="preserve">، الفقرة 8، </w:t>
      </w:r>
      <w:r w:rsidR="00411C20" w:rsidRPr="00A63258">
        <w:rPr>
          <w:spacing w:val="-2"/>
          <w:sz w:val="18"/>
          <w:szCs w:val="26"/>
        </w:rPr>
        <w:t>E/C.12/GC/20</w:t>
      </w:r>
      <w:r w:rsidR="00411C20" w:rsidRPr="00A63258">
        <w:rPr>
          <w:spacing w:val="-2"/>
          <w:sz w:val="18"/>
          <w:szCs w:val="26"/>
          <w:rtl/>
        </w:rPr>
        <w:t xml:space="preserve">، الفقرات 7-11، </w:t>
      </w:r>
      <w:r w:rsidR="00411C20" w:rsidRPr="00A63258">
        <w:rPr>
          <w:spacing w:val="-2"/>
          <w:sz w:val="18"/>
          <w:szCs w:val="26"/>
        </w:rPr>
        <w:t>CEDAW/C/GC/28</w:t>
      </w:r>
      <w:r w:rsidR="00411C20" w:rsidRPr="00A63258">
        <w:rPr>
          <w:spacing w:val="-2"/>
          <w:sz w:val="18"/>
          <w:szCs w:val="26"/>
          <w:rtl/>
        </w:rPr>
        <w:t xml:space="preserve">، الفقرة 18. </w:t>
      </w:r>
    </w:p>
  </w:footnote>
  <w:footnote w:id="15">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E/C.12/GC/20</w:t>
      </w:r>
      <w:r w:rsidR="00411C20" w:rsidRPr="00A941CA">
        <w:rPr>
          <w:sz w:val="18"/>
          <w:szCs w:val="26"/>
          <w:rtl/>
        </w:rPr>
        <w:t xml:space="preserve">، الفقرتان 32، 39، </w:t>
      </w:r>
      <w:r w:rsidR="00411C20" w:rsidRPr="00A941CA">
        <w:rPr>
          <w:sz w:val="18"/>
          <w:szCs w:val="26"/>
        </w:rPr>
        <w:t>CEDAW/C/CRI/CO/5-6</w:t>
      </w:r>
      <w:r w:rsidR="00411C20" w:rsidRPr="00A941CA">
        <w:rPr>
          <w:sz w:val="18"/>
          <w:szCs w:val="26"/>
          <w:rtl/>
        </w:rPr>
        <w:t xml:space="preserve">، الفقرة 40، </w:t>
      </w:r>
      <w:r w:rsidR="00411C20" w:rsidRPr="00A941CA">
        <w:rPr>
          <w:sz w:val="18"/>
          <w:szCs w:val="26"/>
        </w:rPr>
        <w:t>CRC/C/AUS/CO/4</w:t>
      </w:r>
      <w:r w:rsidR="00411C20" w:rsidRPr="00A941CA">
        <w:rPr>
          <w:sz w:val="18"/>
          <w:szCs w:val="26"/>
          <w:rtl/>
        </w:rPr>
        <w:t xml:space="preserve">، الفقرتان 29، 30، </w:t>
      </w:r>
      <w:r w:rsidR="00411C20" w:rsidRPr="00A941CA">
        <w:rPr>
          <w:sz w:val="18"/>
          <w:szCs w:val="26"/>
        </w:rPr>
        <w:t>CRC/C/CHE/CO/2-4</w:t>
      </w:r>
      <w:r w:rsidR="00411C20" w:rsidRPr="00A941CA">
        <w:rPr>
          <w:sz w:val="18"/>
          <w:szCs w:val="26"/>
          <w:rtl/>
        </w:rPr>
        <w:t>، الفقرة 25.</w:t>
      </w:r>
    </w:p>
  </w:footnote>
  <w:footnote w:id="16">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E/C.12/GC/20</w:t>
      </w:r>
      <w:r w:rsidR="00411C20" w:rsidRPr="00A941CA">
        <w:rPr>
          <w:sz w:val="18"/>
          <w:szCs w:val="26"/>
          <w:rtl/>
        </w:rPr>
        <w:t xml:space="preserve">، الفقرات 11 و27 و32، </w:t>
      </w:r>
      <w:r w:rsidR="00411C20" w:rsidRPr="00A941CA">
        <w:rPr>
          <w:sz w:val="18"/>
          <w:szCs w:val="26"/>
        </w:rPr>
        <w:t>E/C.12/IDN/CO/1</w:t>
      </w:r>
      <w:r w:rsidR="00411C20" w:rsidRPr="00A941CA">
        <w:rPr>
          <w:sz w:val="18"/>
          <w:szCs w:val="26"/>
          <w:rtl/>
        </w:rPr>
        <w:t xml:space="preserve">، الفقرة 6، </w:t>
      </w:r>
      <w:r w:rsidR="00411C20" w:rsidRPr="00A941CA">
        <w:rPr>
          <w:sz w:val="18"/>
          <w:szCs w:val="26"/>
        </w:rPr>
        <w:t>CRC/C/IRQ/CO/2-4</w:t>
      </w:r>
      <w:r w:rsidR="00411C20" w:rsidRPr="00A941CA">
        <w:rPr>
          <w:sz w:val="18"/>
          <w:szCs w:val="26"/>
          <w:rtl/>
        </w:rPr>
        <w:t>، الفقرتان 19، 20.</w:t>
      </w:r>
    </w:p>
  </w:footnote>
  <w:footnote w:id="17">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CRC/C/RUS/CO/4-5</w:t>
      </w:r>
      <w:r w:rsidR="00411C20" w:rsidRPr="00A941CA">
        <w:rPr>
          <w:sz w:val="18"/>
          <w:szCs w:val="26"/>
          <w:rtl/>
        </w:rPr>
        <w:t xml:space="preserve">، الفقرتان 24، 25 والفقرتان 55، 56 والفقرات 59-60، </w:t>
      </w:r>
      <w:r w:rsidR="00411C20" w:rsidRPr="00A941CA">
        <w:rPr>
          <w:sz w:val="18"/>
          <w:szCs w:val="26"/>
        </w:rPr>
        <w:t>CRC/C/GC/15</w:t>
      </w:r>
      <w:r w:rsidR="00411C20" w:rsidRPr="00A941CA">
        <w:rPr>
          <w:sz w:val="18"/>
          <w:szCs w:val="26"/>
          <w:rtl/>
        </w:rPr>
        <w:t>، الفقرات 8، 31، 60.</w:t>
      </w:r>
    </w:p>
  </w:footnote>
  <w:footnote w:id="18">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CCPR/C/IRL/CO/3</w:t>
      </w:r>
      <w:r w:rsidR="00411C20" w:rsidRPr="00A941CA">
        <w:rPr>
          <w:sz w:val="18"/>
          <w:szCs w:val="26"/>
          <w:rtl/>
        </w:rPr>
        <w:t xml:space="preserve">، الفقرة 8، </w:t>
      </w:r>
      <w:r w:rsidR="00411C20" w:rsidRPr="00A941CA">
        <w:rPr>
          <w:sz w:val="18"/>
          <w:szCs w:val="26"/>
        </w:rPr>
        <w:t>CCPR/C/IRL/CO/4</w:t>
      </w:r>
      <w:r w:rsidR="00411C20" w:rsidRPr="00A941CA">
        <w:rPr>
          <w:sz w:val="18"/>
          <w:szCs w:val="26"/>
          <w:rtl/>
        </w:rPr>
        <w:t xml:space="preserve">، الفقرة 7، </w:t>
      </w:r>
      <w:r w:rsidR="00411C20" w:rsidRPr="00A941CA">
        <w:rPr>
          <w:sz w:val="18"/>
          <w:szCs w:val="26"/>
        </w:rPr>
        <w:t>CCPR/C/UKR/CO/7</w:t>
      </w:r>
      <w:r w:rsidR="00411C20" w:rsidRPr="00A941CA">
        <w:rPr>
          <w:sz w:val="18"/>
          <w:szCs w:val="26"/>
          <w:rtl/>
        </w:rPr>
        <w:t xml:space="preserve">، الفقرة 10، </w:t>
      </w:r>
      <w:r w:rsidR="00411C20" w:rsidRPr="00A941CA">
        <w:rPr>
          <w:sz w:val="18"/>
          <w:szCs w:val="26"/>
        </w:rPr>
        <w:t>CEDAW/C/NLD/CO/5</w:t>
      </w:r>
      <w:r w:rsidR="00411C20" w:rsidRPr="00A941CA">
        <w:rPr>
          <w:sz w:val="18"/>
          <w:szCs w:val="26"/>
          <w:rtl/>
        </w:rPr>
        <w:t>، الفقرتان 46، 47.</w:t>
      </w:r>
    </w:p>
  </w:footnote>
  <w:footnote w:id="19">
    <w:p w:rsidR="00411C20" w:rsidRPr="00A63258" w:rsidRDefault="00A941CA" w:rsidP="006C0DD4">
      <w:pPr>
        <w:pStyle w:val="FootnoteText"/>
        <w:tabs>
          <w:tab w:val="right" w:pos="1021"/>
        </w:tabs>
        <w:spacing w:after="60" w:line="300" w:lineRule="exact"/>
        <w:ind w:left="1247" w:right="1247" w:hanging="1247"/>
        <w:rPr>
          <w:spacing w:val="-6"/>
          <w:sz w:val="18"/>
          <w:szCs w:val="26"/>
        </w:rPr>
      </w:pPr>
      <w:r w:rsidRPr="00A63258">
        <w:rPr>
          <w:rStyle w:val="FootnoteReference"/>
          <w:rFonts w:hint="cs"/>
          <w:spacing w:val="-8"/>
          <w:szCs w:val="26"/>
          <w:vertAlign w:val="baseline"/>
          <w:rtl/>
        </w:rPr>
        <w:tab/>
      </w:r>
      <w:r w:rsidR="00411C20" w:rsidRPr="00A63258">
        <w:rPr>
          <w:rStyle w:val="FootnoteReference"/>
          <w:spacing w:val="-8"/>
          <w:szCs w:val="26"/>
          <w:vertAlign w:val="baseline"/>
          <w:rtl/>
        </w:rPr>
        <w:t>(</w:t>
      </w:r>
      <w:r w:rsidR="00411C20" w:rsidRPr="00A63258">
        <w:rPr>
          <w:rStyle w:val="FootnoteReference"/>
          <w:spacing w:val="-8"/>
          <w:szCs w:val="26"/>
          <w:vertAlign w:val="baseline"/>
          <w:rtl/>
        </w:rPr>
        <w:footnoteRef/>
      </w:r>
      <w:r w:rsidR="00411C20" w:rsidRPr="00A63258">
        <w:rPr>
          <w:rStyle w:val="FootnoteReference"/>
          <w:spacing w:val="-8"/>
          <w:szCs w:val="26"/>
          <w:vertAlign w:val="baseline"/>
          <w:rtl/>
        </w:rPr>
        <w:t>)</w:t>
      </w:r>
      <w:r w:rsidR="00411C20" w:rsidRPr="00A63258">
        <w:rPr>
          <w:spacing w:val="-8"/>
          <w:sz w:val="18"/>
          <w:szCs w:val="26"/>
          <w:rtl/>
        </w:rPr>
        <w:t xml:space="preserve"> </w:t>
      </w:r>
      <w:r w:rsidRPr="00A63258">
        <w:rPr>
          <w:rFonts w:hint="cs"/>
          <w:spacing w:val="-8"/>
          <w:sz w:val="18"/>
          <w:szCs w:val="26"/>
          <w:rtl/>
        </w:rPr>
        <w:tab/>
      </w:r>
      <w:r w:rsidR="00411C20" w:rsidRPr="00A63258">
        <w:rPr>
          <w:spacing w:val="-8"/>
          <w:sz w:val="18"/>
          <w:szCs w:val="26"/>
          <w:rtl/>
        </w:rPr>
        <w:t xml:space="preserve">انظر </w:t>
      </w:r>
      <w:r w:rsidR="00411C20" w:rsidRPr="00A63258">
        <w:rPr>
          <w:spacing w:val="-8"/>
          <w:sz w:val="18"/>
          <w:szCs w:val="26"/>
        </w:rPr>
        <w:t>CCPR/C/ALB/CO/2</w:t>
      </w:r>
      <w:r w:rsidR="00411C20" w:rsidRPr="00A63258">
        <w:rPr>
          <w:spacing w:val="-8"/>
          <w:sz w:val="18"/>
          <w:szCs w:val="26"/>
          <w:rtl/>
        </w:rPr>
        <w:t xml:space="preserve">، الفقرة 8، </w:t>
      </w:r>
      <w:r w:rsidR="00411C20" w:rsidRPr="00A63258">
        <w:rPr>
          <w:spacing w:val="-8"/>
          <w:sz w:val="18"/>
          <w:szCs w:val="26"/>
        </w:rPr>
        <w:t>CRC/C/TZA/CO/3-5</w:t>
      </w:r>
      <w:r w:rsidR="00411C20" w:rsidRPr="00A63258">
        <w:rPr>
          <w:spacing w:val="-8"/>
          <w:sz w:val="18"/>
          <w:szCs w:val="26"/>
          <w:rtl/>
        </w:rPr>
        <w:t xml:space="preserve">، الفقرتان 55، 56، </w:t>
      </w:r>
      <w:r w:rsidR="00411C20" w:rsidRPr="00A63258">
        <w:rPr>
          <w:spacing w:val="-8"/>
          <w:sz w:val="18"/>
          <w:szCs w:val="26"/>
        </w:rPr>
        <w:t>CAT/C/RUS/CO/5</w:t>
      </w:r>
      <w:r w:rsidR="00411C20" w:rsidRPr="00A63258">
        <w:rPr>
          <w:spacing w:val="-8"/>
          <w:sz w:val="18"/>
          <w:szCs w:val="26"/>
          <w:rtl/>
        </w:rPr>
        <w:t>، الفقرة 15،</w:t>
      </w:r>
      <w:r w:rsidR="00411C20" w:rsidRPr="00A63258">
        <w:rPr>
          <w:spacing w:val="-6"/>
          <w:sz w:val="18"/>
          <w:szCs w:val="26"/>
          <w:rtl/>
        </w:rPr>
        <w:t xml:space="preserve"> </w:t>
      </w:r>
      <w:r w:rsidR="00411C20" w:rsidRPr="00A63258">
        <w:rPr>
          <w:spacing w:val="-6"/>
          <w:sz w:val="18"/>
          <w:szCs w:val="26"/>
        </w:rPr>
        <w:t>CEDAW/C/CRI/CO/5-6</w:t>
      </w:r>
      <w:r w:rsidR="00411C20" w:rsidRPr="00A63258">
        <w:rPr>
          <w:spacing w:val="-6"/>
          <w:sz w:val="18"/>
          <w:szCs w:val="26"/>
          <w:rtl/>
        </w:rPr>
        <w:t xml:space="preserve">، الفقرة 41، </w:t>
      </w:r>
      <w:r w:rsidR="00411C20" w:rsidRPr="00A63258">
        <w:rPr>
          <w:spacing w:val="-6"/>
          <w:sz w:val="18"/>
          <w:szCs w:val="26"/>
        </w:rPr>
        <w:t>CCPR/C/UKR/CO/7</w:t>
      </w:r>
      <w:r w:rsidR="00411C20" w:rsidRPr="00A63258">
        <w:rPr>
          <w:spacing w:val="-6"/>
          <w:sz w:val="18"/>
          <w:szCs w:val="26"/>
          <w:rtl/>
        </w:rPr>
        <w:t xml:space="preserve">، الفقرة 8، </w:t>
      </w:r>
      <w:r w:rsidR="00411C20" w:rsidRPr="00A63258">
        <w:rPr>
          <w:spacing w:val="-6"/>
          <w:sz w:val="18"/>
          <w:szCs w:val="26"/>
        </w:rPr>
        <w:t>CCPR/C/21/Rev.1/Add.13</w:t>
      </w:r>
      <w:r w:rsidR="00411C20" w:rsidRPr="00A63258">
        <w:rPr>
          <w:spacing w:val="-6"/>
          <w:sz w:val="18"/>
          <w:szCs w:val="26"/>
          <w:rtl/>
        </w:rPr>
        <w:t>.</w:t>
      </w:r>
    </w:p>
  </w:footnote>
  <w:footnote w:id="20">
    <w:p w:rsidR="00411C20" w:rsidRPr="00A63258" w:rsidRDefault="00A941CA" w:rsidP="006C0DD4">
      <w:pPr>
        <w:pStyle w:val="FootnoteText"/>
        <w:tabs>
          <w:tab w:val="right" w:pos="1021"/>
        </w:tabs>
        <w:spacing w:after="60" w:line="300" w:lineRule="exact"/>
        <w:ind w:left="1247" w:right="1247" w:hanging="1247"/>
        <w:rPr>
          <w:spacing w:val="-4"/>
          <w:sz w:val="18"/>
          <w:szCs w:val="26"/>
        </w:rPr>
      </w:pPr>
      <w:r w:rsidRPr="00A63258">
        <w:rPr>
          <w:rStyle w:val="FootnoteReference"/>
          <w:rFonts w:hint="cs"/>
          <w:spacing w:val="-4"/>
          <w:szCs w:val="26"/>
          <w:vertAlign w:val="baseline"/>
          <w:rtl/>
        </w:rPr>
        <w:tab/>
      </w:r>
      <w:r w:rsidR="00411C20" w:rsidRPr="00A63258">
        <w:rPr>
          <w:rStyle w:val="FootnoteReference"/>
          <w:spacing w:val="-4"/>
          <w:szCs w:val="26"/>
          <w:vertAlign w:val="baseline"/>
          <w:rtl/>
        </w:rPr>
        <w:t>(</w:t>
      </w:r>
      <w:r w:rsidR="00411C20" w:rsidRPr="00A63258">
        <w:rPr>
          <w:rStyle w:val="FootnoteReference"/>
          <w:spacing w:val="-4"/>
          <w:szCs w:val="26"/>
          <w:vertAlign w:val="baseline"/>
          <w:rtl/>
        </w:rPr>
        <w:footnoteRef/>
      </w:r>
      <w:r w:rsidR="00411C20" w:rsidRPr="00A63258">
        <w:rPr>
          <w:rStyle w:val="FootnoteReference"/>
          <w:spacing w:val="-4"/>
          <w:szCs w:val="26"/>
          <w:vertAlign w:val="baseline"/>
          <w:rtl/>
        </w:rPr>
        <w:t>)</w:t>
      </w:r>
      <w:r w:rsidR="00411C20" w:rsidRPr="00A63258">
        <w:rPr>
          <w:spacing w:val="-4"/>
          <w:sz w:val="18"/>
          <w:szCs w:val="26"/>
          <w:rtl/>
        </w:rPr>
        <w:t xml:space="preserve"> </w:t>
      </w:r>
      <w:r w:rsidRPr="00A63258">
        <w:rPr>
          <w:rFonts w:hint="cs"/>
          <w:spacing w:val="-4"/>
          <w:sz w:val="18"/>
          <w:szCs w:val="26"/>
          <w:rtl/>
        </w:rPr>
        <w:tab/>
      </w:r>
      <w:r w:rsidR="00411C20" w:rsidRPr="00A63258">
        <w:rPr>
          <w:spacing w:val="-4"/>
          <w:sz w:val="18"/>
          <w:szCs w:val="26"/>
          <w:rtl/>
        </w:rPr>
        <w:t xml:space="preserve">انظر </w:t>
      </w:r>
      <w:r w:rsidR="00411C20" w:rsidRPr="00A63258">
        <w:rPr>
          <w:spacing w:val="-4"/>
          <w:sz w:val="18"/>
          <w:szCs w:val="26"/>
        </w:rPr>
        <w:t>E/C.12/BGR/CO/4-5</w:t>
      </w:r>
      <w:r w:rsidR="00411C20" w:rsidRPr="00A63258">
        <w:rPr>
          <w:spacing w:val="-4"/>
          <w:sz w:val="18"/>
          <w:szCs w:val="26"/>
          <w:rtl/>
        </w:rPr>
        <w:t xml:space="preserve">، الفقرة 17، </w:t>
      </w:r>
      <w:r w:rsidR="00411C20" w:rsidRPr="00A63258">
        <w:rPr>
          <w:spacing w:val="-4"/>
          <w:sz w:val="18"/>
          <w:szCs w:val="26"/>
        </w:rPr>
        <w:t>E/C.12/SVK/CO/2</w:t>
      </w:r>
      <w:r w:rsidR="00411C20" w:rsidRPr="00A63258">
        <w:rPr>
          <w:spacing w:val="-4"/>
          <w:sz w:val="18"/>
          <w:szCs w:val="26"/>
          <w:rtl/>
        </w:rPr>
        <w:t xml:space="preserve">، الفقرة 10، </w:t>
      </w:r>
      <w:r w:rsidR="00411C20" w:rsidRPr="00A63258">
        <w:rPr>
          <w:spacing w:val="-4"/>
          <w:sz w:val="18"/>
          <w:szCs w:val="26"/>
        </w:rPr>
        <w:t>CCPR/C/JPN/CO/5</w:t>
      </w:r>
      <w:r w:rsidR="00411C20" w:rsidRPr="00A63258">
        <w:rPr>
          <w:spacing w:val="-4"/>
          <w:sz w:val="18"/>
          <w:szCs w:val="26"/>
          <w:rtl/>
        </w:rPr>
        <w:t>، الفقرة 29.</w:t>
      </w:r>
    </w:p>
  </w:footnote>
  <w:footnote w:id="21">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CRC/C/GC/15</w:t>
      </w:r>
      <w:r w:rsidR="00411C20" w:rsidRPr="00A941CA">
        <w:rPr>
          <w:sz w:val="18"/>
          <w:szCs w:val="26"/>
          <w:rtl/>
        </w:rPr>
        <w:t>، الفقرة 8.</w:t>
      </w:r>
    </w:p>
  </w:footnote>
  <w:footnote w:id="22">
    <w:p w:rsidR="00411C20" w:rsidRPr="00430087" w:rsidRDefault="00A941CA" w:rsidP="00430087">
      <w:pPr>
        <w:pStyle w:val="FootnoteText"/>
        <w:tabs>
          <w:tab w:val="right" w:pos="1021"/>
        </w:tabs>
        <w:spacing w:after="60" w:line="300" w:lineRule="exact"/>
        <w:ind w:left="1247" w:right="1247" w:hanging="1247"/>
        <w:rPr>
          <w:spacing w:val="-6"/>
          <w:sz w:val="18"/>
          <w:szCs w:val="26"/>
        </w:rPr>
      </w:pPr>
      <w:r w:rsidRPr="00430087">
        <w:rPr>
          <w:rStyle w:val="FootnoteReference"/>
          <w:rFonts w:hint="cs"/>
          <w:spacing w:val="-6"/>
          <w:szCs w:val="26"/>
          <w:vertAlign w:val="baseline"/>
          <w:rtl/>
        </w:rPr>
        <w:tab/>
      </w:r>
      <w:r w:rsidR="00411C20" w:rsidRPr="00430087">
        <w:rPr>
          <w:rStyle w:val="FootnoteReference"/>
          <w:spacing w:val="-6"/>
          <w:szCs w:val="26"/>
          <w:vertAlign w:val="baseline"/>
          <w:rtl/>
        </w:rPr>
        <w:t>(</w:t>
      </w:r>
      <w:r w:rsidR="00411C20" w:rsidRPr="00430087">
        <w:rPr>
          <w:rStyle w:val="FootnoteReference"/>
          <w:spacing w:val="-6"/>
          <w:szCs w:val="26"/>
          <w:vertAlign w:val="baseline"/>
          <w:rtl/>
        </w:rPr>
        <w:footnoteRef/>
      </w:r>
      <w:r w:rsidR="00411C20" w:rsidRPr="00430087">
        <w:rPr>
          <w:rStyle w:val="FootnoteReference"/>
          <w:spacing w:val="-6"/>
          <w:szCs w:val="26"/>
          <w:vertAlign w:val="baseline"/>
          <w:rtl/>
        </w:rPr>
        <w:t>)</w:t>
      </w:r>
      <w:r w:rsidR="00411C20" w:rsidRPr="00430087">
        <w:rPr>
          <w:spacing w:val="-6"/>
          <w:sz w:val="18"/>
          <w:szCs w:val="26"/>
          <w:rtl/>
        </w:rPr>
        <w:t xml:space="preserve"> </w:t>
      </w:r>
      <w:r w:rsidRPr="00430087">
        <w:rPr>
          <w:rFonts w:hint="cs"/>
          <w:spacing w:val="-6"/>
          <w:sz w:val="18"/>
          <w:szCs w:val="26"/>
          <w:rtl/>
        </w:rPr>
        <w:tab/>
      </w:r>
      <w:r w:rsidR="00411C20" w:rsidRPr="00430087">
        <w:rPr>
          <w:spacing w:val="-6"/>
          <w:sz w:val="18"/>
          <w:szCs w:val="26"/>
          <w:rtl/>
          <w:lang w:val="es-ES"/>
        </w:rPr>
        <w:t xml:space="preserve">انظر </w:t>
      </w:r>
      <w:r w:rsidR="00411C20" w:rsidRPr="00430087">
        <w:rPr>
          <w:spacing w:val="-6"/>
          <w:sz w:val="18"/>
          <w:szCs w:val="26"/>
        </w:rPr>
        <w:t>CCPR/C/GC/34</w:t>
      </w:r>
      <w:r w:rsidR="00411C20" w:rsidRPr="00430087">
        <w:rPr>
          <w:spacing w:val="-6"/>
          <w:sz w:val="18"/>
          <w:szCs w:val="26"/>
          <w:rtl/>
        </w:rPr>
        <w:t xml:space="preserve">، الفقرة 26، </w:t>
      </w:r>
      <w:r w:rsidR="00411C20" w:rsidRPr="00430087">
        <w:rPr>
          <w:spacing w:val="-6"/>
          <w:sz w:val="18"/>
          <w:szCs w:val="26"/>
        </w:rPr>
        <w:t>CCPR/C/GEO/CO/4</w:t>
      </w:r>
      <w:r w:rsidR="00411C20" w:rsidRPr="00430087">
        <w:rPr>
          <w:spacing w:val="-6"/>
          <w:sz w:val="18"/>
          <w:szCs w:val="26"/>
          <w:rtl/>
        </w:rPr>
        <w:t xml:space="preserve">، الفقرة 8، </w:t>
      </w:r>
      <w:r w:rsidR="00411C20" w:rsidRPr="00430087">
        <w:rPr>
          <w:spacing w:val="-6"/>
          <w:sz w:val="18"/>
          <w:szCs w:val="26"/>
        </w:rPr>
        <w:t>A/HRC/25/55/Add.3</w:t>
      </w:r>
      <w:r w:rsidR="00411C20" w:rsidRPr="00430087">
        <w:rPr>
          <w:spacing w:val="-6"/>
          <w:sz w:val="18"/>
          <w:szCs w:val="26"/>
          <w:rtl/>
        </w:rPr>
        <w:t>، الفقرة</w:t>
      </w:r>
      <w:r w:rsidR="00430087" w:rsidRPr="00430087">
        <w:rPr>
          <w:rFonts w:hint="cs"/>
          <w:spacing w:val="-6"/>
          <w:sz w:val="18"/>
          <w:szCs w:val="26"/>
          <w:rtl/>
        </w:rPr>
        <w:t> </w:t>
      </w:r>
      <w:r w:rsidR="00411C20" w:rsidRPr="00430087">
        <w:rPr>
          <w:spacing w:val="-6"/>
          <w:sz w:val="18"/>
          <w:szCs w:val="26"/>
          <w:rtl/>
        </w:rPr>
        <w:t xml:space="preserve">364، </w:t>
      </w:r>
      <w:r w:rsidR="00411C20" w:rsidRPr="00430087">
        <w:rPr>
          <w:spacing w:val="-6"/>
          <w:sz w:val="18"/>
          <w:szCs w:val="26"/>
        </w:rPr>
        <w:t>A/HRC/26/29</w:t>
      </w:r>
      <w:r w:rsidR="00411C20" w:rsidRPr="00430087">
        <w:rPr>
          <w:spacing w:val="-6"/>
          <w:sz w:val="18"/>
          <w:szCs w:val="26"/>
          <w:rtl/>
        </w:rPr>
        <w:t>.</w:t>
      </w:r>
    </w:p>
  </w:footnote>
  <w:footnote w:id="23">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A/HRC/23/36/Add.2</w:t>
      </w:r>
      <w:r w:rsidR="00411C20" w:rsidRPr="00A941CA">
        <w:rPr>
          <w:sz w:val="18"/>
          <w:szCs w:val="26"/>
          <w:rtl/>
        </w:rPr>
        <w:t xml:space="preserve">، الفقرة 97، </w:t>
      </w:r>
      <w:r w:rsidR="00411C20" w:rsidRPr="00A941CA">
        <w:rPr>
          <w:sz w:val="18"/>
          <w:szCs w:val="26"/>
        </w:rPr>
        <w:t>CEDAW/C/DEU/CO/6</w:t>
      </w:r>
      <w:r w:rsidR="00411C20" w:rsidRPr="00A941CA">
        <w:rPr>
          <w:sz w:val="18"/>
          <w:szCs w:val="26"/>
          <w:rtl/>
        </w:rPr>
        <w:t xml:space="preserve">، الفقرة 61، </w:t>
      </w:r>
      <w:r w:rsidR="00411C20" w:rsidRPr="00A941CA">
        <w:rPr>
          <w:sz w:val="18"/>
          <w:szCs w:val="26"/>
        </w:rPr>
        <w:t>CCPR/C/IRL/CO/4</w:t>
      </w:r>
      <w:r w:rsidR="00411C20" w:rsidRPr="00A941CA">
        <w:rPr>
          <w:sz w:val="18"/>
          <w:szCs w:val="26"/>
          <w:rtl/>
        </w:rPr>
        <w:t>، الفقرة 7.</w:t>
      </w:r>
    </w:p>
  </w:footnote>
  <w:footnote w:id="24">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A/69/365</w:t>
      </w:r>
      <w:r w:rsidR="00411C20" w:rsidRPr="00A941CA">
        <w:rPr>
          <w:sz w:val="18"/>
          <w:szCs w:val="26"/>
          <w:rtl/>
        </w:rPr>
        <w:t xml:space="preserve">، الفقرات 24، 76، 87-91، </w:t>
      </w:r>
      <w:r w:rsidR="00411C20" w:rsidRPr="00A941CA">
        <w:rPr>
          <w:sz w:val="18"/>
          <w:szCs w:val="26"/>
        </w:rPr>
        <w:t>A/HRC/26/39/Add.2</w:t>
      </w:r>
      <w:r w:rsidR="00411C20" w:rsidRPr="00A941CA">
        <w:rPr>
          <w:sz w:val="18"/>
          <w:szCs w:val="26"/>
          <w:rtl/>
        </w:rPr>
        <w:t>، الفقرة 110(أ).</w:t>
      </w:r>
    </w:p>
  </w:footnote>
  <w:footnote w:id="25">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أيضاً </w:t>
      </w:r>
      <w:r w:rsidR="00411C20" w:rsidRPr="00A941CA">
        <w:rPr>
          <w:sz w:val="18"/>
          <w:szCs w:val="26"/>
        </w:rPr>
        <w:t>A/HRC/19/41</w:t>
      </w:r>
      <w:r w:rsidR="00411C20" w:rsidRPr="00A941CA">
        <w:rPr>
          <w:sz w:val="18"/>
          <w:szCs w:val="26"/>
          <w:rtl/>
        </w:rPr>
        <w:t>، الفقرات 20-39.</w:t>
      </w:r>
    </w:p>
  </w:footnote>
  <w:footnote w:id="26">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A/HRC/26/50</w:t>
      </w:r>
      <w:r w:rsidR="00411C20" w:rsidRPr="00A941CA">
        <w:rPr>
          <w:sz w:val="18"/>
          <w:szCs w:val="26"/>
          <w:rtl/>
        </w:rPr>
        <w:t xml:space="preserve">، الفقرة 10 والفقرتان 14، 15، </w:t>
      </w:r>
      <w:r w:rsidR="00411C20" w:rsidRPr="00A941CA">
        <w:rPr>
          <w:sz w:val="18"/>
          <w:szCs w:val="26"/>
        </w:rPr>
        <w:t>A/HRC/28/66</w:t>
      </w:r>
      <w:r w:rsidR="00411C20" w:rsidRPr="00A941CA">
        <w:rPr>
          <w:sz w:val="18"/>
          <w:szCs w:val="26"/>
          <w:rtl/>
        </w:rPr>
        <w:t>، الفقرة 11.</w:t>
      </w:r>
    </w:p>
  </w:footnote>
  <w:footnote w:id="27">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A/HRC/26/38/Add.1</w:t>
      </w:r>
      <w:r w:rsidR="00411C20" w:rsidRPr="00A941CA">
        <w:rPr>
          <w:sz w:val="18"/>
          <w:szCs w:val="26"/>
          <w:rtl/>
        </w:rPr>
        <w:t>، الفقرة 19.</w:t>
      </w:r>
    </w:p>
  </w:footnote>
  <w:footnote w:id="28">
    <w:p w:rsidR="00411C20" w:rsidRPr="00A941CA" w:rsidRDefault="00A941CA" w:rsidP="00430087">
      <w:pPr>
        <w:pStyle w:val="FootnoteText"/>
        <w:tabs>
          <w:tab w:val="right" w:pos="1021"/>
        </w:tabs>
        <w:spacing w:after="60" w:line="300" w:lineRule="exact"/>
        <w:ind w:left="1247" w:right="1247" w:hanging="1247"/>
        <w:rPr>
          <w:sz w:val="18"/>
          <w:szCs w:val="26"/>
          <w:rtl/>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A/HRC/20/16</w:t>
      </w:r>
      <w:r w:rsidR="00411C20" w:rsidRPr="00A941CA">
        <w:rPr>
          <w:sz w:val="18"/>
          <w:szCs w:val="26"/>
          <w:rtl/>
        </w:rPr>
        <w:t xml:space="preserve">، الفقرتان 71، 72، </w:t>
      </w:r>
      <w:r w:rsidR="00411C20" w:rsidRPr="00A941CA">
        <w:rPr>
          <w:sz w:val="18"/>
          <w:szCs w:val="26"/>
        </w:rPr>
        <w:t>“An Overview of Violence against LGBTI Persons”, annex – press release 153/14, Inter-American Commission on Human Rights (IACHR), 2014, p. 3</w:t>
      </w:r>
      <w:r w:rsidR="00430087">
        <w:rPr>
          <w:rFonts w:hint="cs"/>
          <w:sz w:val="18"/>
          <w:szCs w:val="26"/>
          <w:rtl/>
        </w:rPr>
        <w:t>.</w:t>
      </w:r>
    </w:p>
  </w:footnote>
  <w:footnote w:id="29">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A/HRC/26/36/Add.1</w:t>
      </w:r>
      <w:r w:rsidR="00411C20" w:rsidRPr="00A941CA">
        <w:rPr>
          <w:sz w:val="18"/>
          <w:szCs w:val="26"/>
          <w:rtl/>
        </w:rPr>
        <w:t>، الفقرات 85-87.</w:t>
      </w:r>
    </w:p>
  </w:footnote>
  <w:footnote w:id="30">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CCPR/C/BOL/CO/3</w:t>
      </w:r>
      <w:r w:rsidR="00411C20" w:rsidRPr="00A941CA">
        <w:rPr>
          <w:sz w:val="18"/>
          <w:szCs w:val="26"/>
          <w:rtl/>
        </w:rPr>
        <w:t xml:space="preserve">، الفقرة 7، </w:t>
      </w:r>
      <w:r w:rsidR="00411C20" w:rsidRPr="00A941CA">
        <w:rPr>
          <w:sz w:val="18"/>
          <w:szCs w:val="26"/>
          <w:lang w:val="fr-FR"/>
        </w:rPr>
        <w:t>A/HRC/26/36/Add.1</w:t>
      </w:r>
      <w:r w:rsidR="00411C20" w:rsidRPr="00A941CA">
        <w:rPr>
          <w:sz w:val="18"/>
          <w:szCs w:val="26"/>
          <w:rtl/>
          <w:lang w:val="fr-FR"/>
        </w:rPr>
        <w:t xml:space="preserve">، الفقرات 85-88، </w:t>
      </w:r>
      <w:r w:rsidR="00411C20" w:rsidRPr="00A941CA">
        <w:rPr>
          <w:sz w:val="18"/>
          <w:szCs w:val="26"/>
          <w:lang w:val="fr-FR"/>
        </w:rPr>
        <w:t>CAT/C/GC/3</w:t>
      </w:r>
      <w:r w:rsidR="00411C20" w:rsidRPr="00A941CA">
        <w:rPr>
          <w:sz w:val="18"/>
          <w:szCs w:val="26"/>
          <w:rtl/>
          <w:lang w:val="fr-FR"/>
        </w:rPr>
        <w:t>، الفقرتان 8 و32.</w:t>
      </w:r>
    </w:p>
  </w:footnote>
  <w:footnote w:id="31">
    <w:p w:rsidR="00411C20" w:rsidRPr="00A941CA" w:rsidRDefault="00A941CA" w:rsidP="00430087">
      <w:pPr>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rStyle w:val="yiv1416656872"/>
          <w:rFonts w:cs="Traditional Arabic"/>
          <w:color w:val="000000"/>
          <w:sz w:val="18"/>
          <w:szCs w:val="26"/>
          <w:shd w:val="clear" w:color="auto" w:fill="FFFFFF"/>
          <w:rtl/>
          <w:lang w:val="es-ES_tradnl" w:bidi="ar-EG"/>
        </w:rPr>
        <w:t xml:space="preserve">انظر </w:t>
      </w:r>
      <w:r w:rsidR="00430087" w:rsidRPr="00A941CA">
        <w:rPr>
          <w:rStyle w:val="yiv1416656872"/>
          <w:rFonts w:cs="Traditional Arabic"/>
          <w:color w:val="000000"/>
          <w:sz w:val="18"/>
          <w:szCs w:val="26"/>
          <w:shd w:val="clear" w:color="auto" w:fill="FFFFFF"/>
          <w:lang w:val="es-ES_tradnl" w:bidi="ar-EG"/>
        </w:rPr>
        <w:t>A</w:t>
      </w:r>
      <w:r w:rsidR="00411C20" w:rsidRPr="00A941CA">
        <w:rPr>
          <w:rStyle w:val="yiv1416656872"/>
          <w:rFonts w:cs="Traditional Arabic"/>
          <w:color w:val="000000"/>
          <w:sz w:val="18"/>
          <w:szCs w:val="26"/>
          <w:shd w:val="clear" w:color="auto" w:fill="FFFFFF"/>
        </w:rPr>
        <w:t>/HRC/23/49/Add.4</w:t>
      </w:r>
      <w:r w:rsidR="00411C20" w:rsidRPr="00A941CA">
        <w:rPr>
          <w:rStyle w:val="yiv1416656872"/>
          <w:rFonts w:cs="Traditional Arabic"/>
          <w:color w:val="000000"/>
          <w:sz w:val="18"/>
          <w:szCs w:val="26"/>
          <w:shd w:val="clear" w:color="auto" w:fill="FFFFFF"/>
          <w:rtl/>
        </w:rPr>
        <w:t>، الفقرة 23،</w:t>
      </w:r>
      <w:r w:rsidR="00411C20" w:rsidRPr="00A941CA">
        <w:rPr>
          <w:rStyle w:val="yiv1416656872"/>
          <w:rFonts w:cs="Traditional Arabic"/>
          <w:color w:val="000000"/>
          <w:sz w:val="18"/>
          <w:szCs w:val="26"/>
          <w:shd w:val="clear" w:color="auto" w:fill="FFFFFF"/>
        </w:rPr>
        <w:t>A/HRC/26/36/Add.1</w:t>
      </w:r>
      <w:r w:rsidR="00411C20" w:rsidRPr="00A941CA">
        <w:rPr>
          <w:rStyle w:val="yiv1416656872"/>
          <w:rFonts w:cs="Traditional Arabic"/>
          <w:color w:val="000000"/>
          <w:sz w:val="18"/>
          <w:szCs w:val="26"/>
          <w:shd w:val="clear" w:color="auto" w:fill="FFFFFF"/>
          <w:rtl/>
        </w:rPr>
        <w:t>، الفقرة 86</w:t>
      </w:r>
      <w:r w:rsidR="00411C20" w:rsidRPr="00A941CA">
        <w:rPr>
          <w:rStyle w:val="yiv1416656872"/>
          <w:rFonts w:cs="Traditional Arabic"/>
          <w:color w:val="000000"/>
          <w:sz w:val="18"/>
          <w:szCs w:val="26"/>
          <w:shd w:val="clear" w:color="auto" w:fill="FFFFFF"/>
        </w:rPr>
        <w:t>.</w:t>
      </w:r>
    </w:p>
  </w:footnote>
  <w:footnote w:id="32">
    <w:p w:rsidR="00411C20" w:rsidRPr="00A941CA" w:rsidRDefault="00A941CA" w:rsidP="00430087">
      <w:pPr>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rStyle w:val="yiv1416656872"/>
          <w:rFonts w:cs="Traditional Arabic"/>
          <w:color w:val="000000"/>
          <w:sz w:val="18"/>
          <w:szCs w:val="26"/>
          <w:rtl/>
        </w:rPr>
        <w:t>انظر</w:t>
      </w:r>
      <w:r w:rsidR="00411C20" w:rsidRPr="00A941CA">
        <w:rPr>
          <w:rStyle w:val="apple-converted-space"/>
          <w:color w:val="000000"/>
          <w:sz w:val="18"/>
          <w:szCs w:val="26"/>
          <w:rtl/>
        </w:rPr>
        <w:t> </w:t>
      </w:r>
      <w:r w:rsidR="00411C20" w:rsidRPr="00A941CA">
        <w:rPr>
          <w:rStyle w:val="yiv1416656872"/>
          <w:rFonts w:cs="Traditional Arabic"/>
          <w:color w:val="000000"/>
          <w:sz w:val="18"/>
          <w:szCs w:val="26"/>
        </w:rPr>
        <w:t>CCPR/C/URY/CO/5</w:t>
      </w:r>
      <w:r w:rsidR="00411C20" w:rsidRPr="00A941CA">
        <w:rPr>
          <w:rStyle w:val="yiv1416656872"/>
          <w:rFonts w:cs="Traditional Arabic"/>
          <w:color w:val="000000"/>
          <w:sz w:val="18"/>
          <w:szCs w:val="26"/>
          <w:rtl/>
        </w:rPr>
        <w:t>، الفقرة 12،</w:t>
      </w:r>
      <w:r w:rsidR="004F11B6">
        <w:rPr>
          <w:rStyle w:val="yiv1416656872"/>
          <w:rFonts w:cs="Traditional Arabic" w:hint="cs"/>
          <w:color w:val="000000"/>
          <w:sz w:val="18"/>
          <w:szCs w:val="26"/>
          <w:rtl/>
        </w:rPr>
        <w:t xml:space="preserve"> </w:t>
      </w:r>
      <w:r w:rsidR="00411C20" w:rsidRPr="00A941CA">
        <w:rPr>
          <w:rStyle w:val="yiv1416656872"/>
          <w:rFonts w:cs="Traditional Arabic"/>
          <w:color w:val="000000"/>
          <w:sz w:val="18"/>
          <w:szCs w:val="26"/>
        </w:rPr>
        <w:t>A/HRC/20/16</w:t>
      </w:r>
      <w:r w:rsidR="00411C20" w:rsidRPr="00A941CA">
        <w:rPr>
          <w:rStyle w:val="yiv1416656872"/>
          <w:rFonts w:cs="Traditional Arabic"/>
          <w:color w:val="000000"/>
          <w:sz w:val="18"/>
          <w:szCs w:val="26"/>
          <w:rtl/>
        </w:rPr>
        <w:t>، الفقرة 71.</w:t>
      </w:r>
    </w:p>
  </w:footnote>
  <w:footnote w:id="33">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rStyle w:val="yiv1416656872"/>
          <w:rFonts w:cs="Traditional Arabic"/>
          <w:color w:val="000000"/>
          <w:sz w:val="18"/>
          <w:szCs w:val="26"/>
          <w:rtl/>
        </w:rPr>
        <w:t>انظر</w:t>
      </w:r>
      <w:r w:rsidR="00411C20" w:rsidRPr="00A941CA">
        <w:rPr>
          <w:rStyle w:val="apple-converted-space"/>
          <w:color w:val="000000"/>
          <w:sz w:val="18"/>
          <w:szCs w:val="26"/>
          <w:rtl/>
        </w:rPr>
        <w:t> </w:t>
      </w:r>
      <w:r w:rsidR="00411C20" w:rsidRPr="00A941CA">
        <w:rPr>
          <w:rStyle w:val="yiv1416656872"/>
          <w:rFonts w:cs="Traditional Arabic"/>
          <w:color w:val="000000"/>
          <w:sz w:val="18"/>
          <w:szCs w:val="26"/>
        </w:rPr>
        <w:t>A/HRC/20/16</w:t>
      </w:r>
      <w:r w:rsidR="00411C20" w:rsidRPr="00A941CA">
        <w:rPr>
          <w:rStyle w:val="yiv1416656872"/>
          <w:rFonts w:cs="Traditional Arabic"/>
          <w:color w:val="000000"/>
          <w:sz w:val="18"/>
          <w:szCs w:val="26"/>
          <w:rtl/>
        </w:rPr>
        <w:t>، الفقرتان 18، 71.</w:t>
      </w:r>
    </w:p>
  </w:footnote>
  <w:footnote w:id="34">
    <w:p w:rsidR="00411C20" w:rsidRPr="00A941CA" w:rsidRDefault="00A941CA" w:rsidP="006C0DD4">
      <w:pPr>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rStyle w:val="yiv1416656872"/>
          <w:rFonts w:cs="Traditional Arabic"/>
          <w:color w:val="000000"/>
          <w:sz w:val="18"/>
          <w:szCs w:val="26"/>
          <w:rtl/>
        </w:rPr>
        <w:t>انظر</w:t>
      </w:r>
      <w:r w:rsidR="00411C20" w:rsidRPr="00A941CA">
        <w:rPr>
          <w:rStyle w:val="apple-converted-space"/>
          <w:color w:val="000000"/>
          <w:sz w:val="18"/>
          <w:szCs w:val="26"/>
          <w:rtl/>
        </w:rPr>
        <w:t> </w:t>
      </w:r>
      <w:r w:rsidR="00411C20" w:rsidRPr="00A941CA">
        <w:rPr>
          <w:rStyle w:val="yiv1416656872"/>
          <w:rFonts w:cs="Traditional Arabic"/>
          <w:color w:val="000000"/>
          <w:sz w:val="18"/>
          <w:szCs w:val="26"/>
        </w:rPr>
        <w:t>CCPR/C/GTM/CO/3</w:t>
      </w:r>
      <w:r w:rsidR="00411C20" w:rsidRPr="00A941CA">
        <w:rPr>
          <w:rStyle w:val="yiv1416656872"/>
          <w:rFonts w:cs="Traditional Arabic"/>
          <w:color w:val="000000"/>
          <w:sz w:val="18"/>
          <w:szCs w:val="26"/>
          <w:rtl/>
        </w:rPr>
        <w:t>، الفقرة 11،</w:t>
      </w:r>
      <w:r w:rsidR="00411C20" w:rsidRPr="00A941CA">
        <w:rPr>
          <w:rStyle w:val="apple-converted-space"/>
          <w:color w:val="000000"/>
          <w:sz w:val="18"/>
          <w:szCs w:val="26"/>
          <w:rtl/>
        </w:rPr>
        <w:t> </w:t>
      </w:r>
      <w:r w:rsidR="00411C20" w:rsidRPr="00A941CA">
        <w:rPr>
          <w:rStyle w:val="yiv1416656872"/>
          <w:rFonts w:cs="Traditional Arabic"/>
          <w:color w:val="000000"/>
          <w:sz w:val="18"/>
          <w:szCs w:val="26"/>
        </w:rPr>
        <w:t>CCPR/C/DOM/CO/5</w:t>
      </w:r>
      <w:r w:rsidR="00411C20" w:rsidRPr="00A941CA">
        <w:rPr>
          <w:rStyle w:val="yiv1416656872"/>
          <w:rFonts w:cs="Traditional Arabic"/>
          <w:color w:val="000000"/>
          <w:sz w:val="18"/>
          <w:szCs w:val="26"/>
          <w:rtl/>
        </w:rPr>
        <w:t xml:space="preserve">. </w:t>
      </w:r>
      <w:r w:rsidR="00411C20" w:rsidRPr="00A941CA">
        <w:rPr>
          <w:rStyle w:val="yiv1416656872"/>
          <w:rFonts w:cs="Traditional Arabic"/>
          <w:color w:val="000000"/>
          <w:sz w:val="18"/>
          <w:szCs w:val="26"/>
          <w:rtl/>
          <w:lang w:bidi="ar-EG"/>
        </w:rPr>
        <w:t xml:space="preserve">تلاحظ لجنة البلدان الأمريكية لحقوق الإنسان "نقصاً كبيراً في الإبلاغ" عن أعمال العنف المرتكّبة ضد المثليات (انظر الحاشية 28، </w:t>
      </w:r>
      <w:r w:rsidR="00411C20" w:rsidRPr="00A941CA">
        <w:rPr>
          <w:rStyle w:val="yiv1416656872"/>
          <w:rFonts w:cs="Traditional Arabic"/>
          <w:color w:val="000000"/>
          <w:sz w:val="18"/>
          <w:szCs w:val="26"/>
          <w:lang w:val="es-ES_tradnl" w:bidi="ar-EG"/>
        </w:rPr>
        <w:t>P.4</w:t>
      </w:r>
      <w:r w:rsidR="00411C20" w:rsidRPr="00A941CA">
        <w:rPr>
          <w:rStyle w:val="yiv1416656872"/>
          <w:rFonts w:cs="Traditional Arabic"/>
          <w:color w:val="000000"/>
          <w:sz w:val="18"/>
          <w:szCs w:val="26"/>
          <w:rtl/>
          <w:lang w:bidi="ar-EG"/>
        </w:rPr>
        <w:t>).</w:t>
      </w:r>
      <w:r w:rsidR="00411C20" w:rsidRPr="00A941CA">
        <w:rPr>
          <w:rStyle w:val="apple-converted-space"/>
          <w:color w:val="000000"/>
          <w:sz w:val="18"/>
          <w:szCs w:val="26"/>
          <w:rtl/>
        </w:rPr>
        <w:t xml:space="preserve"> </w:t>
      </w:r>
    </w:p>
  </w:footnote>
  <w:footnote w:id="35">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CCPR/C/URY/CO/5</w:t>
      </w:r>
      <w:r w:rsidR="00411C20" w:rsidRPr="00A941CA">
        <w:rPr>
          <w:sz w:val="18"/>
          <w:szCs w:val="26"/>
          <w:rtl/>
        </w:rPr>
        <w:t>، الفقرة 12.</w:t>
      </w:r>
    </w:p>
  </w:footnote>
  <w:footnote w:id="36">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A/HRC/20/16</w:t>
      </w:r>
      <w:r w:rsidR="00411C20" w:rsidRPr="00A941CA">
        <w:rPr>
          <w:sz w:val="18"/>
          <w:szCs w:val="26"/>
          <w:rtl/>
        </w:rPr>
        <w:t xml:space="preserve">، الفقرتان 55، 73، </w:t>
      </w:r>
      <w:r w:rsidR="00411C20" w:rsidRPr="00A941CA">
        <w:rPr>
          <w:sz w:val="18"/>
          <w:szCs w:val="26"/>
        </w:rPr>
        <w:t>CERD/C/GC/34</w:t>
      </w:r>
      <w:r w:rsidR="00411C20" w:rsidRPr="00A941CA">
        <w:rPr>
          <w:sz w:val="18"/>
          <w:szCs w:val="26"/>
          <w:rtl/>
        </w:rPr>
        <w:t>، الفقرة 23.</w:t>
      </w:r>
    </w:p>
  </w:footnote>
  <w:footnote w:id="37">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OHCHR, briefing note on Chile, 30 March 2012</w:t>
      </w:r>
      <w:r w:rsidR="00411C20" w:rsidRPr="00A941CA">
        <w:rPr>
          <w:sz w:val="18"/>
          <w:szCs w:val="26"/>
          <w:rtl/>
        </w:rPr>
        <w:t>.</w:t>
      </w:r>
    </w:p>
  </w:footnote>
  <w:footnote w:id="38">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Second report on homophobic violence in Brazil (2012), Department of Human Rights, June 2013 (available at www.sdh.gov.br/noticias/2013/junho/numero-de-denuncias-de-violencia-homofobica-cresceu-166-em-2012-diz-relatorio)</w:t>
      </w:r>
    </w:p>
  </w:footnote>
  <w:footnote w:id="39">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IACHR</w:t>
      </w:r>
      <w:r w:rsidR="00411C20" w:rsidRPr="00A941CA">
        <w:rPr>
          <w:sz w:val="18"/>
          <w:szCs w:val="26"/>
          <w:rtl/>
        </w:rPr>
        <w:t xml:space="preserve"> (انظر الحاشية 28)،</w:t>
      </w:r>
      <w:r w:rsidR="00430087">
        <w:rPr>
          <w:rFonts w:hint="cs"/>
          <w:sz w:val="18"/>
          <w:szCs w:val="26"/>
          <w:rtl/>
        </w:rPr>
        <w:t xml:space="preserve"> </w:t>
      </w:r>
      <w:r w:rsidR="00411C20" w:rsidRPr="00A941CA">
        <w:rPr>
          <w:sz w:val="18"/>
          <w:szCs w:val="26"/>
        </w:rPr>
        <w:t>P. 1</w:t>
      </w:r>
      <w:r w:rsidR="00411C20" w:rsidRPr="00A941CA">
        <w:rPr>
          <w:sz w:val="18"/>
          <w:szCs w:val="26"/>
          <w:rtl/>
        </w:rPr>
        <w:t>.</w:t>
      </w:r>
    </w:p>
  </w:footnote>
  <w:footnote w:id="40">
    <w:p w:rsidR="00411C20" w:rsidRPr="00A941CA" w:rsidRDefault="00A941CA" w:rsidP="006C0DD4">
      <w:pPr>
        <w:pStyle w:val="FootnoteText"/>
        <w:tabs>
          <w:tab w:val="right" w:pos="1021"/>
        </w:tabs>
        <w:spacing w:after="60" w:line="300" w:lineRule="exact"/>
        <w:ind w:left="1247" w:right="1247" w:hanging="1247"/>
        <w:rPr>
          <w:sz w:val="18"/>
          <w:szCs w:val="26"/>
          <w:rtl/>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Trans Murder Monitoring results update, November 2014 (available at http://tgeu.org/tmm/)</w:t>
      </w:r>
      <w:r w:rsidR="00430087">
        <w:rPr>
          <w:rFonts w:hint="cs"/>
          <w:sz w:val="18"/>
          <w:szCs w:val="26"/>
          <w:rtl/>
        </w:rPr>
        <w:t>.</w:t>
      </w:r>
    </w:p>
  </w:footnote>
  <w:footnote w:id="41">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i/>
          <w:sz w:val="18"/>
          <w:szCs w:val="26"/>
        </w:rPr>
        <w:t>Lesbian, Gay, Bisexual, Transgender, Queer and HIV-Affected Hate Violence in 2013</w:t>
      </w:r>
      <w:r w:rsidR="00411C20" w:rsidRPr="00A941CA">
        <w:rPr>
          <w:sz w:val="18"/>
          <w:szCs w:val="26"/>
        </w:rPr>
        <w:t>, National Coalition of Anti-Violence Programs, New York, 2014 (available at http://avp.org/resources/avp-resources/315)</w:t>
      </w:r>
      <w:r w:rsidR="00411C20" w:rsidRPr="00A941CA">
        <w:rPr>
          <w:sz w:val="18"/>
          <w:szCs w:val="26"/>
          <w:rtl/>
        </w:rPr>
        <w:t>.</w:t>
      </w:r>
    </w:p>
  </w:footnote>
  <w:footnote w:id="42">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CRC/C/IRQ/CO/2-4</w:t>
      </w:r>
      <w:r w:rsidR="00411C20" w:rsidRPr="00A941CA">
        <w:rPr>
          <w:sz w:val="18"/>
          <w:szCs w:val="26"/>
          <w:rtl/>
        </w:rPr>
        <w:t>، الفقرتان 27، 28.</w:t>
      </w:r>
    </w:p>
  </w:footnote>
  <w:footnote w:id="43">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مفوضية الأمم المتحدة لحقوق الإنسان، </w:t>
      </w:r>
      <w:r w:rsidR="00411C20" w:rsidRPr="00A941CA">
        <w:rPr>
          <w:color w:val="000000"/>
          <w:sz w:val="18"/>
          <w:szCs w:val="26"/>
          <w:shd w:val="clear" w:color="auto" w:fill="FFFFFF"/>
          <w:rtl/>
        </w:rPr>
        <w:t>مذكرتا إحاطة صحفية بشأن الدولة الإسلامية في العراق والشام/العراق، 20 كانون الثاني/يناير 2015.</w:t>
      </w:r>
    </w:p>
  </w:footnote>
  <w:footnote w:id="44">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A/HRC/23/47/Add.2</w:t>
      </w:r>
      <w:r w:rsidR="00411C20" w:rsidRPr="00A941CA">
        <w:rPr>
          <w:sz w:val="18"/>
          <w:szCs w:val="26"/>
          <w:rtl/>
        </w:rPr>
        <w:t>، الفقرة 49.</w:t>
      </w:r>
    </w:p>
  </w:footnote>
  <w:footnote w:id="45">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A/HRC/26/50</w:t>
      </w:r>
      <w:r w:rsidR="00411C20" w:rsidRPr="00A941CA">
        <w:rPr>
          <w:sz w:val="18"/>
          <w:szCs w:val="26"/>
          <w:rtl/>
        </w:rPr>
        <w:t>، الفقرة 14.</w:t>
      </w:r>
    </w:p>
  </w:footnote>
  <w:footnote w:id="46">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CEDAW/C/GUY/CO/7-8</w:t>
      </w:r>
      <w:r w:rsidR="00411C20" w:rsidRPr="00A941CA">
        <w:rPr>
          <w:sz w:val="18"/>
          <w:szCs w:val="26"/>
          <w:rtl/>
        </w:rPr>
        <w:t xml:space="preserve">، الفقرة 22، </w:t>
      </w:r>
      <w:r w:rsidR="00411C20" w:rsidRPr="00A941CA">
        <w:rPr>
          <w:sz w:val="18"/>
          <w:szCs w:val="26"/>
        </w:rPr>
        <w:t>A/HRC/20/16</w:t>
      </w:r>
      <w:r w:rsidR="00411C20" w:rsidRPr="00A941CA">
        <w:rPr>
          <w:sz w:val="18"/>
          <w:szCs w:val="26"/>
          <w:rtl/>
        </w:rPr>
        <w:t>، الفقرات 55، 71، 73، 76.</w:t>
      </w:r>
    </w:p>
  </w:footnote>
  <w:footnote w:id="47">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A/HRC/25/65</w:t>
      </w:r>
      <w:r w:rsidR="00411C20" w:rsidRPr="00A941CA">
        <w:rPr>
          <w:sz w:val="18"/>
          <w:szCs w:val="26"/>
          <w:rtl/>
        </w:rPr>
        <w:t xml:space="preserve">، الفقرات 67-71. تحديث شفوي أجرته </w:t>
      </w:r>
      <w:r w:rsidR="00411C20" w:rsidRPr="00A941CA">
        <w:rPr>
          <w:sz w:val="18"/>
          <w:szCs w:val="26"/>
          <w:shd w:val="clear" w:color="auto" w:fill="FFFFFF"/>
          <w:rtl/>
        </w:rPr>
        <w:t>لجنة التحقيق الدولية المستقلة المعنية بالجمهورية العربية السورية،</w:t>
      </w:r>
      <w:r w:rsidR="00411C20" w:rsidRPr="00A941CA">
        <w:rPr>
          <w:sz w:val="18"/>
          <w:szCs w:val="26"/>
          <w:rtl/>
        </w:rPr>
        <w:t xml:space="preserve"> 18 آذار/مارس 2014.</w:t>
      </w:r>
    </w:p>
  </w:footnote>
  <w:footnote w:id="48">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A/HRC/25/55/Add.3</w:t>
      </w:r>
      <w:r w:rsidR="00411C20" w:rsidRPr="00A941CA">
        <w:rPr>
          <w:sz w:val="18"/>
          <w:szCs w:val="26"/>
          <w:rtl/>
        </w:rPr>
        <w:t>، الفقرات 433-435، 480-482.</w:t>
      </w:r>
    </w:p>
  </w:footnote>
  <w:footnote w:id="49">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Uniform Crime Reports, 2013 Hate Crime Statistics,</w:t>
      </w:r>
      <w:r w:rsidR="00411C20" w:rsidRPr="00A941CA">
        <w:rPr>
          <w:color w:val="000000"/>
          <w:sz w:val="18"/>
          <w:szCs w:val="26"/>
        </w:rPr>
        <w:t xml:space="preserve"> U.S. Department of Justice, 2014 (available at www.fbi.gov/about-us/cjis/ucr/hate-crime/2013)</w:t>
      </w:r>
      <w:r w:rsidR="00411C20" w:rsidRPr="00A941CA">
        <w:rPr>
          <w:color w:val="000000"/>
          <w:sz w:val="18"/>
          <w:szCs w:val="26"/>
          <w:rtl/>
        </w:rPr>
        <w:t>.</w:t>
      </w:r>
    </w:p>
  </w:footnote>
  <w:footnote w:id="50">
    <w:p w:rsidR="00411C20" w:rsidRPr="00430087" w:rsidRDefault="00A941CA" w:rsidP="006C0DD4">
      <w:pPr>
        <w:pStyle w:val="FootnoteText"/>
        <w:tabs>
          <w:tab w:val="right" w:pos="1021"/>
        </w:tabs>
        <w:spacing w:after="60" w:line="300" w:lineRule="exact"/>
        <w:ind w:left="1247" w:right="1247" w:hanging="1247"/>
        <w:rPr>
          <w:spacing w:val="-2"/>
          <w:sz w:val="18"/>
          <w:szCs w:val="26"/>
        </w:rPr>
      </w:pPr>
      <w:r w:rsidRPr="00430087">
        <w:rPr>
          <w:rStyle w:val="FootnoteReference"/>
          <w:rFonts w:hint="cs"/>
          <w:spacing w:val="-2"/>
          <w:szCs w:val="26"/>
          <w:vertAlign w:val="baseline"/>
          <w:rtl/>
        </w:rPr>
        <w:tab/>
      </w:r>
      <w:r w:rsidR="00411C20" w:rsidRPr="00430087">
        <w:rPr>
          <w:rStyle w:val="FootnoteReference"/>
          <w:spacing w:val="-2"/>
          <w:szCs w:val="26"/>
          <w:vertAlign w:val="baseline"/>
          <w:rtl/>
        </w:rPr>
        <w:t>(</w:t>
      </w:r>
      <w:r w:rsidR="00411C20" w:rsidRPr="00430087">
        <w:rPr>
          <w:rStyle w:val="FootnoteReference"/>
          <w:spacing w:val="-2"/>
          <w:szCs w:val="26"/>
          <w:vertAlign w:val="baseline"/>
          <w:rtl/>
        </w:rPr>
        <w:footnoteRef/>
      </w:r>
      <w:r w:rsidR="00411C20" w:rsidRPr="00430087">
        <w:rPr>
          <w:rStyle w:val="FootnoteReference"/>
          <w:spacing w:val="-2"/>
          <w:szCs w:val="26"/>
          <w:vertAlign w:val="baseline"/>
          <w:rtl/>
        </w:rPr>
        <w:t>)</w:t>
      </w:r>
      <w:r w:rsidR="00411C20" w:rsidRPr="00430087">
        <w:rPr>
          <w:spacing w:val="-2"/>
          <w:sz w:val="18"/>
          <w:szCs w:val="26"/>
          <w:rtl/>
        </w:rPr>
        <w:t xml:space="preserve"> </w:t>
      </w:r>
      <w:r w:rsidRPr="00430087">
        <w:rPr>
          <w:rFonts w:hint="cs"/>
          <w:spacing w:val="-2"/>
          <w:sz w:val="18"/>
          <w:szCs w:val="26"/>
          <w:rtl/>
        </w:rPr>
        <w:tab/>
      </w:r>
      <w:r w:rsidR="00411C20" w:rsidRPr="00430087">
        <w:rPr>
          <w:i/>
          <w:spacing w:val="-2"/>
          <w:sz w:val="18"/>
          <w:szCs w:val="26"/>
        </w:rPr>
        <w:t>EU LGBT Survey: Results at a Glance</w:t>
      </w:r>
      <w:r w:rsidR="00411C20" w:rsidRPr="00430087">
        <w:rPr>
          <w:spacing w:val="-2"/>
          <w:sz w:val="18"/>
          <w:szCs w:val="26"/>
        </w:rPr>
        <w:t>, European Union Agency for Fundamental Rights, 2013, p. 7</w:t>
      </w:r>
      <w:r w:rsidR="00411C20" w:rsidRPr="00430087">
        <w:rPr>
          <w:spacing w:val="-2"/>
          <w:sz w:val="18"/>
          <w:szCs w:val="26"/>
          <w:rtl/>
        </w:rPr>
        <w:t>.</w:t>
      </w:r>
    </w:p>
  </w:footnote>
  <w:footnote w:id="51">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i/>
          <w:sz w:val="18"/>
          <w:szCs w:val="26"/>
        </w:rPr>
        <w:t>Homophobic Hate Crime: the Gay British Crime Survey 2013</w:t>
      </w:r>
      <w:r w:rsidR="00411C20" w:rsidRPr="00A941CA">
        <w:rPr>
          <w:sz w:val="18"/>
          <w:szCs w:val="26"/>
        </w:rPr>
        <w:t>, Stonewall, 2013, pp. 116-117</w:t>
      </w:r>
      <w:r w:rsidR="00411C20" w:rsidRPr="00A941CA">
        <w:rPr>
          <w:sz w:val="18"/>
          <w:szCs w:val="26"/>
          <w:rtl/>
        </w:rPr>
        <w:t>.</w:t>
      </w:r>
    </w:p>
  </w:footnote>
  <w:footnote w:id="52">
    <w:p w:rsidR="00411C20" w:rsidRPr="00430087" w:rsidRDefault="00A941CA" w:rsidP="00430087">
      <w:pPr>
        <w:pStyle w:val="FootnoteText"/>
        <w:tabs>
          <w:tab w:val="right" w:pos="1021"/>
        </w:tabs>
        <w:spacing w:after="60" w:line="300" w:lineRule="exact"/>
        <w:ind w:left="1247" w:right="1247" w:hanging="1247"/>
        <w:rPr>
          <w:rStyle w:val="FootnoteReference"/>
          <w:b w:val="0"/>
          <w:szCs w:val="26"/>
          <w:vertAlign w:val="baseline"/>
          <w:rtl/>
        </w:rPr>
      </w:pPr>
      <w:r w:rsidRPr="00430087">
        <w:rPr>
          <w:rStyle w:val="FootnoteReference"/>
          <w:rFonts w:hint="cs"/>
          <w:b w:val="0"/>
          <w:szCs w:val="26"/>
          <w:vertAlign w:val="baseline"/>
          <w:rtl/>
        </w:rPr>
        <w:tab/>
      </w:r>
      <w:r w:rsidR="00411C20" w:rsidRPr="00430087">
        <w:rPr>
          <w:rStyle w:val="FootnoteReference"/>
          <w:b w:val="0"/>
          <w:szCs w:val="26"/>
          <w:vertAlign w:val="baseline"/>
          <w:rtl/>
        </w:rPr>
        <w:t>(</w:t>
      </w:r>
      <w:r w:rsidR="00411C20" w:rsidRPr="00430087">
        <w:rPr>
          <w:rStyle w:val="FootnoteReference"/>
          <w:b w:val="0"/>
          <w:szCs w:val="26"/>
          <w:vertAlign w:val="baseline"/>
          <w:rtl/>
        </w:rPr>
        <w:footnoteRef/>
      </w:r>
      <w:r w:rsidR="00411C20" w:rsidRPr="00430087">
        <w:rPr>
          <w:rStyle w:val="FootnoteReference"/>
          <w:b w:val="0"/>
          <w:szCs w:val="26"/>
          <w:vertAlign w:val="baseline"/>
          <w:rtl/>
        </w:rPr>
        <w:t>)</w:t>
      </w:r>
      <w:r w:rsidRPr="00430087">
        <w:rPr>
          <w:rStyle w:val="FootnoteReference"/>
          <w:rFonts w:hint="cs"/>
          <w:b w:val="0"/>
          <w:szCs w:val="26"/>
          <w:vertAlign w:val="baseline"/>
          <w:rtl/>
        </w:rPr>
        <w:tab/>
      </w:r>
      <w:r w:rsidR="00411C20" w:rsidRPr="00430087">
        <w:rPr>
          <w:rStyle w:val="FootnoteReference"/>
          <w:b w:val="0"/>
          <w:szCs w:val="26"/>
          <w:vertAlign w:val="baseline"/>
          <w:rtl/>
        </w:rPr>
        <w:t xml:space="preserve">انظر </w:t>
      </w:r>
      <w:r w:rsidR="00411C20" w:rsidRPr="00430087">
        <w:rPr>
          <w:rStyle w:val="FootnoteReference"/>
          <w:b w:val="0"/>
          <w:szCs w:val="26"/>
          <w:vertAlign w:val="baseline"/>
        </w:rPr>
        <w:t>CCPR/C/UKR/CO/7</w:t>
      </w:r>
      <w:r w:rsidR="00411C20" w:rsidRPr="00430087">
        <w:rPr>
          <w:rStyle w:val="FootnoteReference"/>
          <w:b w:val="0"/>
          <w:szCs w:val="26"/>
          <w:vertAlign w:val="baseline"/>
          <w:rtl/>
        </w:rPr>
        <w:t xml:space="preserve">، الفقرة 10، </w:t>
      </w:r>
      <w:r w:rsidR="00411C20" w:rsidRPr="00430087">
        <w:rPr>
          <w:rStyle w:val="FootnoteReference"/>
          <w:b w:val="0"/>
          <w:szCs w:val="26"/>
          <w:vertAlign w:val="baseline"/>
        </w:rPr>
        <w:t>A/67/357</w:t>
      </w:r>
      <w:r w:rsidR="00411C20" w:rsidRPr="00430087">
        <w:rPr>
          <w:rStyle w:val="FootnoteReference"/>
          <w:b w:val="0"/>
          <w:szCs w:val="26"/>
          <w:vertAlign w:val="baseline"/>
          <w:rtl/>
        </w:rPr>
        <w:t xml:space="preserve">، الفقرة 75؛ انظر أيضاً </w:t>
      </w:r>
      <w:r w:rsidR="00430087" w:rsidRPr="00430087">
        <w:rPr>
          <w:rStyle w:val="FootnoteReference"/>
          <w:b w:val="0"/>
          <w:szCs w:val="26"/>
          <w:vertAlign w:val="baseline"/>
        </w:rPr>
        <w:t>European Court of Human Rights, application 1813/07, 9 May /2012</w:t>
      </w:r>
      <w:r w:rsidR="00430087" w:rsidRPr="00430087">
        <w:rPr>
          <w:rStyle w:val="FootnoteReference"/>
          <w:rFonts w:hint="cs"/>
          <w:b w:val="0"/>
          <w:szCs w:val="26"/>
          <w:vertAlign w:val="baseline"/>
          <w:rtl/>
        </w:rPr>
        <w:t>.</w:t>
      </w:r>
    </w:p>
  </w:footnote>
  <w:footnote w:id="53">
    <w:p w:rsidR="00411C20" w:rsidRPr="00A941CA" w:rsidRDefault="00A941CA" w:rsidP="006C0DD4">
      <w:pPr>
        <w:pStyle w:val="FootnoteText"/>
        <w:tabs>
          <w:tab w:val="right" w:pos="1021"/>
        </w:tabs>
        <w:spacing w:after="60" w:line="300" w:lineRule="exact"/>
        <w:ind w:left="1247" w:right="1247" w:hanging="1247"/>
        <w:rPr>
          <w:i/>
          <w:iCs/>
          <w:sz w:val="18"/>
          <w:szCs w:val="26"/>
          <w:lang w:val="es-ES_tradnl"/>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نافي بيلاي، "</w:t>
      </w:r>
      <w:r w:rsidR="00411C20" w:rsidRPr="00A941CA">
        <w:rPr>
          <w:color w:val="000000"/>
          <w:sz w:val="18"/>
          <w:szCs w:val="26"/>
          <w:shd w:val="clear" w:color="auto" w:fill="FFFFFF"/>
          <w:rtl/>
        </w:rPr>
        <w:t>التحيز يؤجج حرمان المثليات والمثليين ومزدوجي الميل الجنسي ومغايري الهوية الجنسانية من الحقوق</w:t>
      </w:r>
      <w:r w:rsidR="00411C20" w:rsidRPr="00A941CA">
        <w:rPr>
          <w:sz w:val="18"/>
          <w:szCs w:val="26"/>
          <w:rtl/>
        </w:rPr>
        <w:t xml:space="preserve">"، </w:t>
      </w:r>
      <w:r w:rsidR="00411C20" w:rsidRPr="00A941CA">
        <w:rPr>
          <w:i/>
          <w:iCs/>
          <w:sz w:val="18"/>
          <w:szCs w:val="26"/>
          <w:lang w:val="es-ES_tradnl"/>
        </w:rPr>
        <w:t>Jakarta</w:t>
      </w:r>
      <w:r w:rsidR="00411C20" w:rsidRPr="00A941CA">
        <w:rPr>
          <w:sz w:val="18"/>
          <w:szCs w:val="26"/>
          <w:lang w:val="es-ES_tradnl"/>
        </w:rPr>
        <w:t xml:space="preserve"> </w:t>
      </w:r>
      <w:r>
        <w:rPr>
          <w:i/>
          <w:iCs/>
          <w:sz w:val="18"/>
          <w:szCs w:val="26"/>
          <w:lang w:val="es-ES_tradnl"/>
        </w:rPr>
        <w:t>Post</w:t>
      </w:r>
      <w:r w:rsidR="00411C20" w:rsidRPr="00A941CA">
        <w:rPr>
          <w:sz w:val="18"/>
          <w:szCs w:val="26"/>
          <w:lang w:val="es-ES_tradnl"/>
        </w:rPr>
        <w:t xml:space="preserve"> 30 April 2014</w:t>
      </w:r>
      <w:r w:rsidR="00411C20" w:rsidRPr="00A941CA">
        <w:rPr>
          <w:sz w:val="18"/>
          <w:szCs w:val="26"/>
          <w:rtl/>
          <w:lang w:val="es-ES_tradnl"/>
        </w:rPr>
        <w:t>.</w:t>
      </w:r>
      <w:r w:rsidR="00411C20" w:rsidRPr="00A941CA">
        <w:rPr>
          <w:sz w:val="18"/>
          <w:szCs w:val="26"/>
          <w:rtl/>
          <w:lang w:val="es-ES_tradnl" w:bidi="ar-EG"/>
        </w:rPr>
        <w:t xml:space="preserve"> انظر </w:t>
      </w:r>
      <w:r w:rsidR="00411C20" w:rsidRPr="00A941CA">
        <w:rPr>
          <w:bCs/>
          <w:sz w:val="18"/>
          <w:szCs w:val="26"/>
        </w:rPr>
        <w:t>A/HRC/22/47/Add.1</w:t>
      </w:r>
      <w:r w:rsidR="00411C20" w:rsidRPr="00A941CA">
        <w:rPr>
          <w:sz w:val="18"/>
          <w:szCs w:val="26"/>
          <w:rtl/>
          <w:lang w:val="es-ES_tradnl" w:bidi="ar-EG"/>
        </w:rPr>
        <w:t>، الفقرة 91.</w:t>
      </w:r>
    </w:p>
  </w:footnote>
  <w:footnote w:id="54">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CRC/C/VAT/CO/2</w:t>
      </w:r>
      <w:r w:rsidR="00411C20" w:rsidRPr="00A941CA">
        <w:rPr>
          <w:sz w:val="18"/>
          <w:szCs w:val="26"/>
          <w:rtl/>
        </w:rPr>
        <w:t>، الفقرة 25.</w:t>
      </w:r>
    </w:p>
  </w:footnote>
  <w:footnote w:id="55">
    <w:p w:rsidR="00411C20" w:rsidRPr="00A941CA" w:rsidRDefault="00A941CA" w:rsidP="006C0DD4">
      <w:pPr>
        <w:pStyle w:val="FootnoteText"/>
        <w:tabs>
          <w:tab w:val="right" w:pos="1021"/>
          <w:tab w:val="center" w:pos="4513"/>
        </w:tabs>
        <w:spacing w:after="60" w:line="300" w:lineRule="exact"/>
        <w:ind w:left="1247" w:right="1247" w:hanging="1247"/>
        <w:rPr>
          <w:sz w:val="18"/>
          <w:szCs w:val="26"/>
          <w:rtl/>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CRC/C/CHE/CO/2-4</w:t>
      </w:r>
      <w:r w:rsidR="00411C20" w:rsidRPr="00A941CA">
        <w:rPr>
          <w:sz w:val="18"/>
          <w:szCs w:val="26"/>
          <w:rtl/>
        </w:rPr>
        <w:t>، الفقرة 24.</w:t>
      </w:r>
    </w:p>
  </w:footnote>
  <w:footnote w:id="56">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hyperlink r:id="rId1" w:tgtFrame="_blank" w:history="1">
        <w:r w:rsidR="00411C20" w:rsidRPr="00A941CA">
          <w:rPr>
            <w:sz w:val="18"/>
            <w:szCs w:val="26"/>
            <w:lang w:val="es-ES"/>
          </w:rPr>
          <w:t>A/HRC/19/61/Add.4</w:t>
        </w:r>
      </w:hyperlink>
      <w:r w:rsidR="00411C20" w:rsidRPr="00A941CA">
        <w:rPr>
          <w:sz w:val="18"/>
          <w:szCs w:val="26"/>
          <w:rtl/>
        </w:rPr>
        <w:t xml:space="preserve">، الفقرتان 168، 172، </w:t>
      </w:r>
      <w:r w:rsidR="00411C20" w:rsidRPr="00A941CA">
        <w:rPr>
          <w:sz w:val="18"/>
          <w:szCs w:val="26"/>
        </w:rPr>
        <w:t>CAT/C/KGZ/CO/2</w:t>
      </w:r>
      <w:r w:rsidR="00411C20" w:rsidRPr="00A941CA">
        <w:rPr>
          <w:sz w:val="18"/>
          <w:szCs w:val="26"/>
          <w:rtl/>
        </w:rPr>
        <w:t>، الفقرة 19.</w:t>
      </w:r>
    </w:p>
  </w:footnote>
  <w:footnote w:id="57">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A/HRC/22/53/Add.4</w:t>
      </w:r>
      <w:r w:rsidR="00411C20" w:rsidRPr="00A941CA">
        <w:rPr>
          <w:sz w:val="18"/>
          <w:szCs w:val="26"/>
          <w:rtl/>
        </w:rPr>
        <w:t>، الفقرة 162.</w:t>
      </w:r>
    </w:p>
  </w:footnote>
  <w:footnote w:id="58">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المرجع ذاته، الفقرة 178.</w:t>
      </w:r>
    </w:p>
  </w:footnote>
  <w:footnote w:id="59">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CCPR/C/108/D/2149/2012)</w:t>
      </w:r>
      <w:r w:rsidR="00411C20" w:rsidRPr="00A941CA">
        <w:rPr>
          <w:sz w:val="18"/>
          <w:szCs w:val="26"/>
          <w:rtl/>
        </w:rPr>
        <w:t>، الفقرة 2-2.</w:t>
      </w:r>
    </w:p>
  </w:footnote>
  <w:footnote w:id="60">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A/HRC/27/72, EGY 4/2014</w:t>
      </w:r>
      <w:r w:rsidR="00411C20" w:rsidRPr="00A941CA">
        <w:rPr>
          <w:sz w:val="18"/>
          <w:szCs w:val="26"/>
          <w:rtl/>
        </w:rPr>
        <w:t>.</w:t>
      </w:r>
    </w:p>
  </w:footnote>
  <w:footnote w:id="61">
    <w:p w:rsidR="00411C20" w:rsidRPr="00A941CA" w:rsidRDefault="00A941CA" w:rsidP="00ED2F7F">
      <w:pPr>
        <w:pStyle w:val="FootnoteText"/>
        <w:tabs>
          <w:tab w:val="right" w:pos="1021"/>
        </w:tabs>
        <w:spacing w:after="60" w:line="28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A/68/340</w:t>
      </w:r>
      <w:r w:rsidR="00411C20" w:rsidRPr="00A941CA">
        <w:rPr>
          <w:sz w:val="18"/>
          <w:szCs w:val="26"/>
          <w:rtl/>
        </w:rPr>
        <w:t>، الفقرات 58، 59، 63.</w:t>
      </w:r>
    </w:p>
  </w:footnote>
  <w:footnote w:id="62">
    <w:p w:rsidR="00411C20" w:rsidRPr="00A941CA" w:rsidRDefault="00A941CA" w:rsidP="00ED2F7F">
      <w:pPr>
        <w:pStyle w:val="FootnoteText"/>
        <w:tabs>
          <w:tab w:val="right" w:pos="1021"/>
        </w:tabs>
        <w:spacing w:after="60" w:line="28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A/HRC/22/53</w:t>
      </w:r>
      <w:r w:rsidR="00411C20" w:rsidRPr="00A941CA">
        <w:rPr>
          <w:sz w:val="18"/>
          <w:szCs w:val="26"/>
          <w:rtl/>
        </w:rPr>
        <w:t>، الفقرتان 76، 79.</w:t>
      </w:r>
    </w:p>
  </w:footnote>
  <w:footnote w:id="63">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أيضاً </w:t>
      </w:r>
      <w:r w:rsidR="00411C20" w:rsidRPr="00A941CA">
        <w:rPr>
          <w:sz w:val="18"/>
          <w:szCs w:val="26"/>
        </w:rPr>
        <w:t>A/HRC/19/41</w:t>
      </w:r>
      <w:r w:rsidR="00411C20" w:rsidRPr="00A941CA">
        <w:rPr>
          <w:sz w:val="18"/>
          <w:szCs w:val="26"/>
          <w:rtl/>
        </w:rPr>
        <w:t>، الفقرات 40-47.</w:t>
      </w:r>
    </w:p>
  </w:footnote>
  <w:footnote w:id="64">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E/C.12/GC/20</w:t>
      </w:r>
      <w:r w:rsidR="00411C20" w:rsidRPr="00A941CA">
        <w:rPr>
          <w:sz w:val="18"/>
          <w:szCs w:val="26"/>
          <w:rtl/>
        </w:rPr>
        <w:t xml:space="preserve">، الفقرات 7-11، </w:t>
      </w:r>
      <w:r w:rsidR="00411C20" w:rsidRPr="00A941CA">
        <w:rPr>
          <w:sz w:val="18"/>
          <w:szCs w:val="26"/>
        </w:rPr>
        <w:t>CCPR/C/PER/CO/5</w:t>
      </w:r>
      <w:r w:rsidR="00411C20" w:rsidRPr="00A941CA">
        <w:rPr>
          <w:sz w:val="18"/>
          <w:szCs w:val="26"/>
          <w:rtl/>
        </w:rPr>
        <w:t>، الفقرة 8.</w:t>
      </w:r>
    </w:p>
  </w:footnote>
  <w:footnote w:id="65">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CRC/C/GC/15</w:t>
      </w:r>
      <w:r w:rsidR="00411C20" w:rsidRPr="00A941CA">
        <w:rPr>
          <w:sz w:val="18"/>
          <w:szCs w:val="26"/>
          <w:rtl/>
        </w:rPr>
        <w:t xml:space="preserve">، الفقرة 8، </w:t>
      </w:r>
      <w:r w:rsidR="00411C20" w:rsidRPr="00A941CA">
        <w:rPr>
          <w:sz w:val="18"/>
          <w:szCs w:val="26"/>
        </w:rPr>
        <w:t>A/HRC/20/16</w:t>
      </w:r>
      <w:r w:rsidR="00411C20" w:rsidRPr="00A941CA">
        <w:rPr>
          <w:sz w:val="18"/>
          <w:szCs w:val="26"/>
          <w:rtl/>
        </w:rPr>
        <w:t xml:space="preserve">، الفقرات 17، 23-27، </w:t>
      </w:r>
      <w:r w:rsidR="00411C20" w:rsidRPr="00A941CA">
        <w:rPr>
          <w:sz w:val="18"/>
          <w:szCs w:val="26"/>
        </w:rPr>
        <w:t>A/HRC/26/50</w:t>
      </w:r>
      <w:r w:rsidR="00411C20" w:rsidRPr="00A941CA">
        <w:rPr>
          <w:sz w:val="18"/>
          <w:szCs w:val="26"/>
          <w:rtl/>
        </w:rPr>
        <w:t xml:space="preserve">، الفقرة 15، </w:t>
      </w:r>
      <w:r w:rsidR="00411C20" w:rsidRPr="00A941CA">
        <w:rPr>
          <w:sz w:val="18"/>
          <w:szCs w:val="26"/>
        </w:rPr>
        <w:t>CEDAW/C/GC/28</w:t>
      </w:r>
      <w:r w:rsidR="00411C20" w:rsidRPr="00A941CA">
        <w:rPr>
          <w:sz w:val="18"/>
          <w:szCs w:val="26"/>
          <w:rtl/>
        </w:rPr>
        <w:t>، الفقرة 18.</w:t>
      </w:r>
    </w:p>
  </w:footnote>
  <w:footnote w:id="66">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A/HRC/27/55</w:t>
      </w:r>
      <w:r w:rsidR="00411C20" w:rsidRPr="00A941CA">
        <w:rPr>
          <w:sz w:val="18"/>
          <w:szCs w:val="26"/>
          <w:rtl/>
        </w:rPr>
        <w:t xml:space="preserve">، الفقرات 64-66، </w:t>
      </w:r>
      <w:r w:rsidR="00375C65">
        <w:rPr>
          <w:sz w:val="18"/>
          <w:szCs w:val="26"/>
        </w:rPr>
        <w:t>E/C.12/PER/CO/2-4</w:t>
      </w:r>
      <w:r w:rsidR="00375C65">
        <w:rPr>
          <w:rFonts w:hint="cs"/>
          <w:sz w:val="18"/>
          <w:szCs w:val="26"/>
          <w:rtl/>
        </w:rPr>
        <w:t xml:space="preserve">، </w:t>
      </w:r>
      <w:r w:rsidR="00411C20" w:rsidRPr="00A941CA">
        <w:rPr>
          <w:sz w:val="18"/>
          <w:szCs w:val="26"/>
          <w:rtl/>
        </w:rPr>
        <w:t>الفقرة 5.</w:t>
      </w:r>
    </w:p>
  </w:footnote>
  <w:footnote w:id="67">
    <w:p w:rsidR="00411C20" w:rsidRPr="00A941CA" w:rsidRDefault="00A941CA" w:rsidP="00ED2F7F">
      <w:pPr>
        <w:pStyle w:val="FootnoteText"/>
        <w:tabs>
          <w:tab w:val="right" w:pos="1021"/>
        </w:tabs>
        <w:spacing w:after="60" w:line="24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 xml:space="preserve">Lucas Paoli Itaborahy, </w:t>
      </w:r>
      <w:r w:rsidR="00411C20" w:rsidRPr="00A941CA">
        <w:rPr>
          <w:i/>
          <w:sz w:val="18"/>
          <w:szCs w:val="26"/>
        </w:rPr>
        <w:t>LGBT people living in poverty in Rio de Janeiro</w:t>
      </w:r>
      <w:r w:rsidR="00411C20" w:rsidRPr="00A941CA">
        <w:rPr>
          <w:sz w:val="18"/>
          <w:szCs w:val="26"/>
        </w:rPr>
        <w:t xml:space="preserve"> (London, Micro Rainbow, 2014); and Gary J. Gates, “Food Insecurity and SNAP (Food Stamps) Participation in LGBT Communities”, Williams Institute, February 2014</w:t>
      </w:r>
      <w:r w:rsidR="00411C20" w:rsidRPr="00A941CA">
        <w:rPr>
          <w:sz w:val="18"/>
          <w:szCs w:val="26"/>
          <w:rtl/>
        </w:rPr>
        <w:t>.</w:t>
      </w:r>
    </w:p>
  </w:footnote>
  <w:footnote w:id="68">
    <w:p w:rsidR="00411C20" w:rsidRPr="00A941CA" w:rsidRDefault="00A941CA" w:rsidP="00ED2F7F">
      <w:pPr>
        <w:pStyle w:val="FootnoteText"/>
        <w:tabs>
          <w:tab w:val="right" w:pos="1021"/>
        </w:tabs>
        <w:spacing w:after="60" w:line="24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 xml:space="preserve">M.V. Lee Badgett, “The economic cost of stigma and the exclusion of LGBT People: a case study of </w:t>
      </w:r>
      <w:r>
        <w:rPr>
          <w:sz w:val="18"/>
          <w:szCs w:val="26"/>
        </w:rPr>
        <w:t>India”, World Bank Group, 2014.</w:t>
      </w:r>
    </w:p>
  </w:footnote>
  <w:footnote w:id="69">
    <w:p w:rsidR="00411C20" w:rsidRPr="00ED2F7F" w:rsidRDefault="00A941CA" w:rsidP="006C0DD4">
      <w:pPr>
        <w:pStyle w:val="FootnoteText"/>
        <w:tabs>
          <w:tab w:val="right" w:pos="1021"/>
        </w:tabs>
        <w:spacing w:after="60" w:line="300" w:lineRule="exact"/>
        <w:ind w:left="1247" w:right="1247" w:hanging="1247"/>
        <w:rPr>
          <w:spacing w:val="-6"/>
          <w:sz w:val="18"/>
          <w:szCs w:val="26"/>
          <w:rtl/>
        </w:rPr>
      </w:pPr>
      <w:r w:rsidRPr="00ED2F7F">
        <w:rPr>
          <w:rStyle w:val="FootnoteReference"/>
          <w:rFonts w:hint="cs"/>
          <w:spacing w:val="-6"/>
          <w:szCs w:val="26"/>
          <w:vertAlign w:val="baseline"/>
          <w:rtl/>
        </w:rPr>
        <w:tab/>
      </w:r>
      <w:r w:rsidR="00411C20" w:rsidRPr="00ED2F7F">
        <w:rPr>
          <w:rStyle w:val="FootnoteReference"/>
          <w:spacing w:val="-6"/>
          <w:szCs w:val="26"/>
          <w:vertAlign w:val="baseline"/>
          <w:rtl/>
        </w:rPr>
        <w:t>(</w:t>
      </w:r>
      <w:r w:rsidR="00411C20" w:rsidRPr="00ED2F7F">
        <w:rPr>
          <w:rStyle w:val="FootnoteReference"/>
          <w:spacing w:val="-6"/>
          <w:szCs w:val="26"/>
          <w:vertAlign w:val="baseline"/>
          <w:rtl/>
        </w:rPr>
        <w:footnoteRef/>
      </w:r>
      <w:r w:rsidR="00411C20" w:rsidRPr="00ED2F7F">
        <w:rPr>
          <w:rStyle w:val="FootnoteReference"/>
          <w:spacing w:val="-6"/>
          <w:szCs w:val="26"/>
          <w:vertAlign w:val="baseline"/>
          <w:rtl/>
        </w:rPr>
        <w:t>)</w:t>
      </w:r>
      <w:r w:rsidR="00411C20" w:rsidRPr="00ED2F7F">
        <w:rPr>
          <w:spacing w:val="-6"/>
          <w:sz w:val="18"/>
          <w:szCs w:val="26"/>
          <w:rtl/>
        </w:rPr>
        <w:t xml:space="preserve"> </w:t>
      </w:r>
      <w:r w:rsidRPr="00ED2F7F">
        <w:rPr>
          <w:rFonts w:hint="cs"/>
          <w:spacing w:val="-6"/>
          <w:sz w:val="18"/>
          <w:szCs w:val="26"/>
          <w:rtl/>
        </w:rPr>
        <w:tab/>
      </w:r>
      <w:r w:rsidR="00411C20" w:rsidRPr="00ED2F7F">
        <w:rPr>
          <w:spacing w:val="-6"/>
          <w:sz w:val="18"/>
          <w:szCs w:val="26"/>
          <w:rtl/>
        </w:rPr>
        <w:t xml:space="preserve">انظر </w:t>
      </w:r>
      <w:r w:rsidR="00411C20" w:rsidRPr="00ED2F7F">
        <w:rPr>
          <w:spacing w:val="-6"/>
          <w:sz w:val="18"/>
          <w:szCs w:val="26"/>
        </w:rPr>
        <w:t>CCPR/C/BLZ/CO/1</w:t>
      </w:r>
      <w:r w:rsidR="00411C20" w:rsidRPr="00ED2F7F">
        <w:rPr>
          <w:spacing w:val="-6"/>
          <w:sz w:val="18"/>
          <w:szCs w:val="26"/>
          <w:rtl/>
        </w:rPr>
        <w:t xml:space="preserve">، الفقرة 13، </w:t>
      </w:r>
      <w:r w:rsidR="00411C20" w:rsidRPr="00ED2F7F">
        <w:rPr>
          <w:spacing w:val="-6"/>
          <w:sz w:val="18"/>
          <w:szCs w:val="26"/>
        </w:rPr>
        <w:t>CCPR/C/PHL/CO/4</w:t>
      </w:r>
      <w:r w:rsidR="00411C20" w:rsidRPr="00ED2F7F">
        <w:rPr>
          <w:spacing w:val="-6"/>
          <w:sz w:val="18"/>
          <w:szCs w:val="26"/>
          <w:rtl/>
        </w:rPr>
        <w:t xml:space="preserve">، الفقرة 10، </w:t>
      </w:r>
      <w:r w:rsidR="00411C20" w:rsidRPr="00ED2F7F">
        <w:rPr>
          <w:spacing w:val="-6"/>
          <w:sz w:val="18"/>
          <w:szCs w:val="26"/>
        </w:rPr>
        <w:t>CCPR/C/SLV/CO/6</w:t>
      </w:r>
      <w:r w:rsidR="00411C20" w:rsidRPr="00ED2F7F">
        <w:rPr>
          <w:spacing w:val="-6"/>
          <w:sz w:val="18"/>
          <w:szCs w:val="26"/>
          <w:rtl/>
        </w:rPr>
        <w:t>، الفقرة 3(ج).</w:t>
      </w:r>
    </w:p>
  </w:footnote>
  <w:footnote w:id="70">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لوكاس باولي ايتابوراهي وجينجشو تشو، </w:t>
      </w:r>
      <w:r w:rsidR="00411C20" w:rsidRPr="00A941CA">
        <w:rPr>
          <w:i/>
          <w:iCs/>
          <w:sz w:val="18"/>
          <w:szCs w:val="26"/>
          <w:rtl/>
        </w:rPr>
        <w:t>رهاب المثلية الذي تمارسه الدول</w:t>
      </w:r>
      <w:r w:rsidR="00411C20" w:rsidRPr="00A941CA">
        <w:rPr>
          <w:sz w:val="18"/>
          <w:szCs w:val="26"/>
          <w:rtl/>
        </w:rPr>
        <w:t>، المؤسسة الدولية للمثليين والمثليات والمزدوجين ثنائي الجنس (الأنترسكس) والمتحولين/المتحولات (إيلغا)، بروكسل، 2014، الفقرة 21. وقد ألغت موز</w:t>
      </w:r>
      <w:r w:rsidR="00015FEA">
        <w:rPr>
          <w:rFonts w:hint="cs"/>
          <w:sz w:val="18"/>
          <w:szCs w:val="26"/>
          <w:rtl/>
        </w:rPr>
        <w:t>ا</w:t>
      </w:r>
      <w:r w:rsidR="00411C20" w:rsidRPr="00A941CA">
        <w:rPr>
          <w:sz w:val="18"/>
          <w:szCs w:val="26"/>
          <w:rtl/>
        </w:rPr>
        <w:t>مبيق وبالاو تجريم المثلية الجنسية منذ نشر هذا التقرير.</w:t>
      </w:r>
    </w:p>
  </w:footnote>
  <w:footnote w:id="71">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CCPR/C/KWT/CO/2</w:t>
      </w:r>
      <w:r w:rsidR="00411C20" w:rsidRPr="00A941CA">
        <w:rPr>
          <w:sz w:val="18"/>
          <w:szCs w:val="26"/>
          <w:rtl/>
        </w:rPr>
        <w:t>، الفقرة 30.</w:t>
      </w:r>
    </w:p>
  </w:footnote>
  <w:footnote w:id="72">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CCPR/C/PHL/CO/4</w:t>
      </w:r>
      <w:r w:rsidR="00411C20" w:rsidRPr="00A941CA">
        <w:rPr>
          <w:sz w:val="18"/>
          <w:szCs w:val="26"/>
          <w:rtl/>
        </w:rPr>
        <w:t xml:space="preserve">، الفقرة 10، </w:t>
      </w:r>
      <w:r w:rsidR="00411C20" w:rsidRPr="00A941CA">
        <w:rPr>
          <w:color w:val="000000"/>
          <w:sz w:val="18"/>
          <w:szCs w:val="26"/>
        </w:rPr>
        <w:t>CCPR/C/ETH/CO/1</w:t>
      </w:r>
      <w:r w:rsidR="00411C20" w:rsidRPr="00A941CA">
        <w:rPr>
          <w:sz w:val="18"/>
          <w:szCs w:val="26"/>
          <w:rtl/>
        </w:rPr>
        <w:t>، الفقرة 12.</w:t>
      </w:r>
    </w:p>
  </w:footnote>
  <w:footnote w:id="73">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A/HRC/26/29</w:t>
      </w:r>
      <w:r w:rsidR="00411C20" w:rsidRPr="00A941CA">
        <w:rPr>
          <w:sz w:val="18"/>
          <w:szCs w:val="26"/>
          <w:rtl/>
        </w:rPr>
        <w:t xml:space="preserve">، الفقرة 27، </w:t>
      </w:r>
      <w:r w:rsidR="00411C20" w:rsidRPr="00A941CA">
        <w:rPr>
          <w:sz w:val="18"/>
          <w:szCs w:val="26"/>
        </w:rPr>
        <w:t>CCPR/C/SLE/CO/1</w:t>
      </w:r>
      <w:r w:rsidR="00411C20" w:rsidRPr="00A941CA">
        <w:rPr>
          <w:sz w:val="18"/>
          <w:szCs w:val="26"/>
          <w:rtl/>
        </w:rPr>
        <w:t>، الفقرة 11.</w:t>
      </w:r>
    </w:p>
  </w:footnote>
  <w:footnote w:id="74">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A/HRC/28/66</w:t>
      </w:r>
      <w:r w:rsidR="00411C20" w:rsidRPr="00A941CA">
        <w:rPr>
          <w:sz w:val="18"/>
          <w:szCs w:val="26"/>
          <w:rtl/>
        </w:rPr>
        <w:t>، الفقرة 42.</w:t>
      </w:r>
    </w:p>
  </w:footnote>
  <w:footnote w:id="75">
    <w:p w:rsidR="00411C20" w:rsidRPr="00A941CA" w:rsidRDefault="00A941CA" w:rsidP="007A36C5">
      <w:pPr>
        <w:pStyle w:val="FootnoteText"/>
        <w:tabs>
          <w:tab w:val="right" w:pos="1021"/>
        </w:tabs>
        <w:spacing w:after="60" w:line="27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CCPR/C/YEM/CO/5</w:t>
      </w:r>
      <w:r w:rsidR="00411C20" w:rsidRPr="00A941CA">
        <w:rPr>
          <w:sz w:val="18"/>
          <w:szCs w:val="26"/>
          <w:rtl/>
        </w:rPr>
        <w:t xml:space="preserve">، الفقرة 13، </w:t>
      </w:r>
      <w:r w:rsidR="00411C20" w:rsidRPr="00A941CA">
        <w:rPr>
          <w:sz w:val="18"/>
          <w:szCs w:val="26"/>
        </w:rPr>
        <w:t>E/C.12/IRN/CO/2</w:t>
      </w:r>
      <w:r w:rsidR="00411C20" w:rsidRPr="00A941CA">
        <w:rPr>
          <w:sz w:val="18"/>
          <w:szCs w:val="26"/>
          <w:rtl/>
        </w:rPr>
        <w:t>، الفقرة 7.</w:t>
      </w:r>
    </w:p>
  </w:footnote>
  <w:footnote w:id="76">
    <w:p w:rsidR="00411C20" w:rsidRPr="00A941CA" w:rsidRDefault="00A941CA" w:rsidP="007A36C5">
      <w:pPr>
        <w:pStyle w:val="FootnoteText"/>
        <w:tabs>
          <w:tab w:val="right" w:pos="1021"/>
        </w:tabs>
        <w:spacing w:after="60" w:line="27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A/67/275</w:t>
      </w:r>
      <w:r w:rsidR="00411C20" w:rsidRPr="00A941CA">
        <w:rPr>
          <w:sz w:val="18"/>
          <w:szCs w:val="26"/>
          <w:rtl/>
        </w:rPr>
        <w:t>، الفقرات 36-38،</w:t>
      </w:r>
      <w:r w:rsidR="00411C20" w:rsidRPr="00A941CA">
        <w:rPr>
          <w:sz w:val="18"/>
          <w:szCs w:val="26"/>
        </w:rPr>
        <w:t>A/HRC/27/23</w:t>
      </w:r>
      <w:r w:rsidR="00411C20" w:rsidRPr="00A941CA">
        <w:rPr>
          <w:sz w:val="18"/>
          <w:szCs w:val="26"/>
          <w:rtl/>
        </w:rPr>
        <w:t>، الفقرة 28.</w:t>
      </w:r>
    </w:p>
  </w:footnote>
  <w:footnote w:id="77">
    <w:p w:rsidR="00411C20" w:rsidRPr="00A941CA" w:rsidRDefault="00A941CA" w:rsidP="007A36C5">
      <w:pPr>
        <w:pStyle w:val="FootnoteText"/>
        <w:tabs>
          <w:tab w:val="right" w:pos="1021"/>
        </w:tabs>
        <w:spacing w:after="60" w:line="27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hyperlink r:id="rId2" w:tgtFrame="_blank" w:history="1">
        <w:r w:rsidR="00411C20" w:rsidRPr="00A941CA">
          <w:rPr>
            <w:sz w:val="18"/>
            <w:szCs w:val="26"/>
            <w:lang w:val="es-ES"/>
          </w:rPr>
          <w:t>CEDAW/C/KGZ/CO/4</w:t>
        </w:r>
      </w:hyperlink>
      <w:r w:rsidR="00411C20" w:rsidRPr="00A941CA">
        <w:rPr>
          <w:sz w:val="18"/>
          <w:szCs w:val="26"/>
          <w:rtl/>
          <w:lang w:val="es-ES"/>
        </w:rPr>
        <w:t>، الفقرة 9.</w:t>
      </w:r>
    </w:p>
  </w:footnote>
  <w:footnote w:id="78">
    <w:p w:rsidR="00411C20" w:rsidRPr="00A941CA" w:rsidRDefault="00A941CA" w:rsidP="007A36C5">
      <w:pPr>
        <w:pStyle w:val="FootnoteText"/>
        <w:tabs>
          <w:tab w:val="right" w:pos="1021"/>
        </w:tabs>
        <w:spacing w:after="60" w:line="27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CCPR/C/106/D/1932/2010</w:t>
      </w:r>
      <w:r w:rsidR="00411C20" w:rsidRPr="00A941CA">
        <w:rPr>
          <w:sz w:val="18"/>
          <w:szCs w:val="26"/>
          <w:rtl/>
        </w:rPr>
        <w:t xml:space="preserve">، الفقرة 10-8، </w:t>
      </w:r>
      <w:r w:rsidR="00411C20" w:rsidRPr="00A941CA">
        <w:rPr>
          <w:sz w:val="18"/>
          <w:szCs w:val="26"/>
        </w:rPr>
        <w:t>CCPR/C/LTU/CO/3</w:t>
      </w:r>
      <w:r w:rsidR="00411C20" w:rsidRPr="00A941CA">
        <w:rPr>
          <w:sz w:val="18"/>
          <w:szCs w:val="26"/>
          <w:rtl/>
        </w:rPr>
        <w:t>، الفقرة 8.</w:t>
      </w:r>
    </w:p>
  </w:footnote>
  <w:footnote w:id="79">
    <w:p w:rsidR="00411C20" w:rsidRPr="00A941CA" w:rsidRDefault="00A941CA" w:rsidP="00470868">
      <w:pPr>
        <w:pStyle w:val="FootnoteText"/>
        <w:tabs>
          <w:tab w:val="right" w:pos="1021"/>
        </w:tabs>
        <w:spacing w:after="60" w:line="27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A/HRC/23/51, UKR 3/2012</w:t>
      </w:r>
      <w:r w:rsidR="00470868">
        <w:rPr>
          <w:rFonts w:hint="cs"/>
          <w:sz w:val="18"/>
          <w:szCs w:val="26"/>
          <w:rtl/>
        </w:rPr>
        <w:t xml:space="preserve">؛ </w:t>
      </w:r>
      <w:r w:rsidR="00411C20" w:rsidRPr="00A941CA">
        <w:rPr>
          <w:sz w:val="18"/>
          <w:szCs w:val="26"/>
        </w:rPr>
        <w:t>A/HRC/25/74, MDA 4/2013</w:t>
      </w:r>
      <w:r w:rsidR="00470868">
        <w:rPr>
          <w:rFonts w:hint="cs"/>
          <w:sz w:val="18"/>
          <w:szCs w:val="26"/>
          <w:rtl/>
        </w:rPr>
        <w:t xml:space="preserve">؛ </w:t>
      </w:r>
      <w:r w:rsidR="00411C20" w:rsidRPr="00A941CA">
        <w:rPr>
          <w:sz w:val="18"/>
          <w:szCs w:val="26"/>
        </w:rPr>
        <w:t>RUS 3/2013, RUS 4/2013</w:t>
      </w:r>
      <w:r w:rsidR="00470868">
        <w:rPr>
          <w:rFonts w:hint="cs"/>
          <w:sz w:val="18"/>
          <w:szCs w:val="26"/>
          <w:rtl/>
        </w:rPr>
        <w:t xml:space="preserve">؛ </w:t>
      </w:r>
      <w:r w:rsidR="00411C20" w:rsidRPr="00A941CA">
        <w:rPr>
          <w:sz w:val="18"/>
          <w:szCs w:val="26"/>
        </w:rPr>
        <w:t>A/HRC/26/21, NGA 1/2014, UGA 1/2014, UGA 1/2013</w:t>
      </w:r>
      <w:r w:rsidR="00470868">
        <w:rPr>
          <w:rFonts w:hint="cs"/>
          <w:sz w:val="18"/>
          <w:szCs w:val="26"/>
          <w:rtl/>
        </w:rPr>
        <w:t xml:space="preserve">؛ </w:t>
      </w:r>
      <w:r w:rsidR="00411C20" w:rsidRPr="00A941CA">
        <w:rPr>
          <w:sz w:val="18"/>
          <w:szCs w:val="26"/>
        </w:rPr>
        <w:t>A/HRC/27/72, KGZ/1/2014</w:t>
      </w:r>
      <w:r w:rsidR="00411C20" w:rsidRPr="00A941CA">
        <w:rPr>
          <w:sz w:val="18"/>
          <w:szCs w:val="26"/>
          <w:rtl/>
          <w:lang w:val="es-ES_tradnl" w:bidi="ar-EG"/>
        </w:rPr>
        <w:t>.</w:t>
      </w:r>
      <w:r w:rsidR="00411C20" w:rsidRPr="00A941CA">
        <w:rPr>
          <w:sz w:val="18"/>
          <w:szCs w:val="26"/>
        </w:rPr>
        <w:t xml:space="preserve"> </w:t>
      </w:r>
    </w:p>
  </w:footnote>
  <w:footnote w:id="80">
    <w:p w:rsidR="00411C20" w:rsidRPr="00A941CA" w:rsidRDefault="00A941CA" w:rsidP="007A36C5">
      <w:pPr>
        <w:pStyle w:val="FootnoteText"/>
        <w:tabs>
          <w:tab w:val="right" w:pos="1021"/>
        </w:tabs>
        <w:spacing w:after="60" w:line="24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A/HRC/25/74, RUS 3/2013</w:t>
      </w:r>
      <w:r w:rsidR="00411C20" w:rsidRPr="00A941CA">
        <w:rPr>
          <w:sz w:val="18"/>
          <w:szCs w:val="26"/>
          <w:rtl/>
        </w:rPr>
        <w:t>.</w:t>
      </w:r>
    </w:p>
  </w:footnote>
  <w:footnote w:id="81">
    <w:p w:rsidR="00411C20" w:rsidRPr="00A941CA" w:rsidRDefault="00A941CA" w:rsidP="00470868">
      <w:pPr>
        <w:pStyle w:val="FootnoteText"/>
        <w:tabs>
          <w:tab w:val="right" w:pos="1021"/>
        </w:tabs>
        <w:spacing w:after="60" w:line="28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A/66/203</w:t>
      </w:r>
      <w:r w:rsidR="00411C20" w:rsidRPr="00A941CA">
        <w:rPr>
          <w:sz w:val="18"/>
          <w:szCs w:val="26"/>
          <w:rtl/>
        </w:rPr>
        <w:t>، الفقرتان 17</w:t>
      </w:r>
      <w:r w:rsidR="00470868">
        <w:rPr>
          <w:rFonts w:hint="cs"/>
          <w:sz w:val="18"/>
          <w:szCs w:val="26"/>
          <w:rtl/>
        </w:rPr>
        <w:t>-</w:t>
      </w:r>
      <w:r w:rsidR="00411C20" w:rsidRPr="00A941CA">
        <w:rPr>
          <w:sz w:val="18"/>
          <w:szCs w:val="26"/>
          <w:rtl/>
        </w:rPr>
        <w:t xml:space="preserve">18، </w:t>
      </w:r>
      <w:r w:rsidR="00411C20" w:rsidRPr="00A941CA">
        <w:rPr>
          <w:sz w:val="18"/>
          <w:szCs w:val="26"/>
        </w:rPr>
        <w:t>A/69/307</w:t>
      </w:r>
      <w:r w:rsidR="00411C20" w:rsidRPr="00A941CA">
        <w:rPr>
          <w:sz w:val="18"/>
          <w:szCs w:val="26"/>
          <w:rtl/>
        </w:rPr>
        <w:t>، الفقرات 84-89.</w:t>
      </w:r>
    </w:p>
  </w:footnote>
  <w:footnote w:id="82">
    <w:p w:rsidR="00411C20" w:rsidRPr="00A941CA" w:rsidRDefault="00A941CA" w:rsidP="00DB71D5">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أيضاً </w:t>
      </w:r>
      <w:r w:rsidR="00411C20" w:rsidRPr="00A941CA">
        <w:rPr>
          <w:sz w:val="18"/>
          <w:szCs w:val="26"/>
        </w:rPr>
        <w:t>A/HRC/19/41</w:t>
      </w:r>
      <w:r w:rsidR="00411C20" w:rsidRPr="00A941CA">
        <w:rPr>
          <w:sz w:val="18"/>
          <w:szCs w:val="26"/>
          <w:rtl/>
        </w:rPr>
        <w:t xml:space="preserve">، الفقرات </w:t>
      </w:r>
      <w:r w:rsidR="00DB71D5">
        <w:rPr>
          <w:rFonts w:hint="cs"/>
          <w:sz w:val="18"/>
          <w:szCs w:val="26"/>
          <w:rtl/>
        </w:rPr>
        <w:t>48-73</w:t>
      </w:r>
      <w:r w:rsidR="00411C20" w:rsidRPr="00A941CA">
        <w:rPr>
          <w:sz w:val="18"/>
          <w:szCs w:val="26"/>
          <w:rtl/>
        </w:rPr>
        <w:t>.</w:t>
      </w:r>
    </w:p>
  </w:footnote>
  <w:footnote w:id="83">
    <w:p w:rsidR="00411C20" w:rsidRPr="00A941CA" w:rsidRDefault="00A941CA" w:rsidP="00DB71D5">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CCPR/C/TUR/CO/1</w:t>
      </w:r>
      <w:r w:rsidR="00411C20" w:rsidRPr="00A941CA">
        <w:rPr>
          <w:sz w:val="18"/>
          <w:szCs w:val="26"/>
          <w:rtl/>
        </w:rPr>
        <w:t xml:space="preserve">، الفقرة 10، </w:t>
      </w:r>
      <w:r w:rsidR="00411C20" w:rsidRPr="00A941CA">
        <w:rPr>
          <w:sz w:val="18"/>
          <w:szCs w:val="26"/>
        </w:rPr>
        <w:t>CEDAW/C/NOR/CO/8</w:t>
      </w:r>
      <w:r w:rsidR="00411C20" w:rsidRPr="00A941CA">
        <w:rPr>
          <w:sz w:val="18"/>
          <w:szCs w:val="26"/>
          <w:rtl/>
        </w:rPr>
        <w:t>، الفقرتان 33</w:t>
      </w:r>
      <w:r w:rsidR="00DB71D5">
        <w:rPr>
          <w:rFonts w:hint="cs"/>
          <w:sz w:val="18"/>
          <w:szCs w:val="26"/>
          <w:rtl/>
        </w:rPr>
        <w:t>-</w:t>
      </w:r>
      <w:r w:rsidR="00411C20" w:rsidRPr="00A941CA">
        <w:rPr>
          <w:sz w:val="18"/>
          <w:szCs w:val="26"/>
          <w:rtl/>
        </w:rPr>
        <w:t>34.</w:t>
      </w:r>
    </w:p>
  </w:footnote>
  <w:footnote w:id="84">
    <w:p w:rsidR="00411C20" w:rsidRPr="00A941CA" w:rsidRDefault="00A941CA" w:rsidP="00DB71D5">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CCPR/C/JAM/CO/3</w:t>
      </w:r>
      <w:r w:rsidR="00411C20" w:rsidRPr="00A941CA">
        <w:rPr>
          <w:sz w:val="18"/>
          <w:szCs w:val="26"/>
          <w:rtl/>
        </w:rPr>
        <w:t>، الفقرتان 8</w:t>
      </w:r>
      <w:r w:rsidR="00DB71D5">
        <w:rPr>
          <w:rFonts w:hint="cs"/>
          <w:sz w:val="18"/>
          <w:szCs w:val="26"/>
          <w:rtl/>
        </w:rPr>
        <w:t>-</w:t>
      </w:r>
      <w:r w:rsidR="00411C20" w:rsidRPr="00A941CA">
        <w:rPr>
          <w:sz w:val="18"/>
          <w:szCs w:val="26"/>
          <w:rtl/>
        </w:rPr>
        <w:t xml:space="preserve">9، </w:t>
      </w:r>
      <w:r w:rsidR="00411C20" w:rsidRPr="00A941CA">
        <w:rPr>
          <w:sz w:val="18"/>
          <w:szCs w:val="26"/>
        </w:rPr>
        <w:t>A/HRC/14/20</w:t>
      </w:r>
      <w:r w:rsidR="00DB71D5">
        <w:rPr>
          <w:sz w:val="18"/>
          <w:szCs w:val="26"/>
          <w:rtl/>
        </w:rPr>
        <w:t>، الفقرات 20-</w:t>
      </w:r>
      <w:r w:rsidR="00411C20" w:rsidRPr="00A941CA">
        <w:rPr>
          <w:sz w:val="18"/>
          <w:szCs w:val="26"/>
          <w:rtl/>
        </w:rPr>
        <w:t xml:space="preserve">23. انظر أيضاً صحيفة الوقائع المعنونة "أحرار ومتساوون" الصادرة عن الأمم المتحدة، </w:t>
      </w:r>
      <w:r w:rsidR="00411C20" w:rsidRPr="007A36C5">
        <w:rPr>
          <w:sz w:val="18"/>
          <w:szCs w:val="26"/>
          <w:rtl/>
        </w:rPr>
        <w:t>"التجريم"</w:t>
      </w:r>
      <w:r w:rsidR="00411C20" w:rsidRPr="00A941CA">
        <w:rPr>
          <w:sz w:val="18"/>
          <w:szCs w:val="26"/>
          <w:rtl/>
        </w:rPr>
        <w:t xml:space="preserve"> (متاحة عبر الرابط التالي: </w:t>
      </w:r>
      <w:r w:rsidR="00411C20" w:rsidRPr="00A941CA">
        <w:rPr>
          <w:sz w:val="18"/>
          <w:szCs w:val="26"/>
        </w:rPr>
        <w:t>www.unfe.org/en/fact-sheet</w:t>
      </w:r>
      <w:r w:rsidR="00411C20" w:rsidRPr="00A941CA">
        <w:rPr>
          <w:sz w:val="18"/>
          <w:szCs w:val="26"/>
          <w:rtl/>
        </w:rPr>
        <w:t xml:space="preserve">). </w:t>
      </w:r>
    </w:p>
  </w:footnote>
  <w:footnote w:id="85">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A/64/272</w:t>
      </w:r>
      <w:r w:rsidR="00411C20" w:rsidRPr="00A941CA">
        <w:rPr>
          <w:sz w:val="18"/>
          <w:szCs w:val="26"/>
          <w:rtl/>
        </w:rPr>
        <w:t>، الفقرة 46.</w:t>
      </w:r>
    </w:p>
  </w:footnote>
  <w:footnote w:id="86">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5E4572">
        <w:rPr>
          <w:spacing w:val="-2"/>
          <w:sz w:val="18"/>
          <w:szCs w:val="26"/>
          <w:rtl/>
        </w:rPr>
        <w:t xml:space="preserve">انظر </w:t>
      </w:r>
      <w:r w:rsidR="00411C20" w:rsidRPr="005E4572">
        <w:rPr>
          <w:spacing w:val="-2"/>
          <w:sz w:val="18"/>
          <w:szCs w:val="26"/>
        </w:rPr>
        <w:t>“Secretary-General, in observance message, equates fight against homophobia with struggle to eliminate racism, promote gender equality”, press release, 16 May 2013</w:t>
      </w:r>
      <w:r w:rsidR="00411C20" w:rsidRPr="005E4572">
        <w:rPr>
          <w:spacing w:val="-2"/>
          <w:sz w:val="18"/>
          <w:szCs w:val="26"/>
          <w:rtl/>
        </w:rPr>
        <w:t>،</w:t>
      </w:r>
      <w:r w:rsidR="00903AB6" w:rsidRPr="005E4572">
        <w:rPr>
          <w:spacing w:val="-2"/>
          <w:sz w:val="18"/>
          <w:szCs w:val="26"/>
          <w:rtl/>
        </w:rPr>
        <w:t xml:space="preserve"> و</w:t>
      </w:r>
      <w:r w:rsidR="00411C20" w:rsidRPr="005E4572">
        <w:rPr>
          <w:spacing w:val="-2"/>
          <w:sz w:val="18"/>
          <w:szCs w:val="26"/>
        </w:rPr>
        <w:t>E/C.12/JAM/CO/3-4</w:t>
      </w:r>
      <w:r w:rsidR="00411C20" w:rsidRPr="005E4572">
        <w:rPr>
          <w:spacing w:val="-2"/>
          <w:sz w:val="18"/>
          <w:szCs w:val="26"/>
          <w:rtl/>
        </w:rPr>
        <w:t>،</w:t>
      </w:r>
      <w:r w:rsidR="00411C20" w:rsidRPr="00A941CA">
        <w:rPr>
          <w:sz w:val="18"/>
          <w:szCs w:val="26"/>
          <w:rtl/>
        </w:rPr>
        <w:t xml:space="preserve"> الفقرة 28،</w:t>
      </w:r>
      <w:r w:rsidR="00903AB6">
        <w:rPr>
          <w:sz w:val="18"/>
          <w:szCs w:val="26"/>
          <w:rtl/>
        </w:rPr>
        <w:t xml:space="preserve"> و</w:t>
      </w:r>
      <w:r w:rsidR="00411C20" w:rsidRPr="00A941CA">
        <w:rPr>
          <w:i/>
          <w:sz w:val="18"/>
          <w:szCs w:val="26"/>
        </w:rPr>
        <w:t>Risks, Rights and Health</w:t>
      </w:r>
      <w:r w:rsidR="00411C20" w:rsidRPr="00A941CA">
        <w:rPr>
          <w:sz w:val="18"/>
          <w:szCs w:val="26"/>
        </w:rPr>
        <w:t>, Global Commission on HIV and the Law, UNDP, 2012, in particular pp. 44-54</w:t>
      </w:r>
      <w:r w:rsidR="00411C20" w:rsidRPr="00A941CA">
        <w:rPr>
          <w:sz w:val="18"/>
          <w:szCs w:val="26"/>
          <w:rtl/>
        </w:rPr>
        <w:t>.</w:t>
      </w:r>
    </w:p>
  </w:footnote>
  <w:footnote w:id="87">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المرجع نفسه، </w:t>
      </w:r>
      <w:r w:rsidR="00411C20" w:rsidRPr="00A941CA">
        <w:rPr>
          <w:sz w:val="18"/>
          <w:szCs w:val="26"/>
        </w:rPr>
        <w:t>p. 45</w:t>
      </w:r>
      <w:r w:rsidR="00411C20" w:rsidRPr="00A941CA">
        <w:rPr>
          <w:sz w:val="18"/>
          <w:szCs w:val="26"/>
          <w:rtl/>
          <w:lang w:val="es-ES_tradnl" w:bidi="ar-EG"/>
        </w:rPr>
        <w:t>.</w:t>
      </w:r>
    </w:p>
  </w:footnote>
  <w:footnote w:id="88">
    <w:p w:rsidR="00411C20" w:rsidRPr="00A941CA" w:rsidRDefault="00A941CA" w:rsidP="005E4572">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A/HRC/22/53</w:t>
      </w:r>
      <w:r w:rsidR="00411C20" w:rsidRPr="00A941CA">
        <w:rPr>
          <w:sz w:val="18"/>
          <w:szCs w:val="26"/>
          <w:rtl/>
        </w:rPr>
        <w:t>، الفقرة 88،</w:t>
      </w:r>
      <w:r w:rsidR="00903AB6">
        <w:rPr>
          <w:sz w:val="18"/>
          <w:szCs w:val="26"/>
          <w:rtl/>
        </w:rPr>
        <w:t xml:space="preserve"> و</w:t>
      </w:r>
      <w:r w:rsidR="00411C20" w:rsidRPr="00A941CA">
        <w:rPr>
          <w:sz w:val="18"/>
          <w:szCs w:val="26"/>
        </w:rPr>
        <w:t>Sharon Bernstein, “Supreme Court won't intervene in California ban on gay-conversion therapy”, Reuters, 1 July 2014</w:t>
      </w:r>
      <w:r w:rsidR="00411C20" w:rsidRPr="00A941CA">
        <w:rPr>
          <w:sz w:val="18"/>
          <w:szCs w:val="26"/>
          <w:rtl/>
        </w:rPr>
        <w:t>،</w:t>
      </w:r>
      <w:r w:rsidR="00903AB6">
        <w:rPr>
          <w:sz w:val="18"/>
          <w:szCs w:val="26"/>
          <w:rtl/>
        </w:rPr>
        <w:t xml:space="preserve"> و</w:t>
      </w:r>
      <w:r w:rsidR="00411C20" w:rsidRPr="00A941CA">
        <w:rPr>
          <w:sz w:val="18"/>
          <w:szCs w:val="26"/>
        </w:rPr>
        <w:t>Ed Adamczyk, “Beijing court rules gay-conversion clinic</w:t>
      </w:r>
      <w:r w:rsidR="005E4572">
        <w:rPr>
          <w:sz w:val="18"/>
          <w:szCs w:val="26"/>
        </w:rPr>
        <w:t xml:space="preserve"> </w:t>
      </w:r>
      <w:r w:rsidR="00411C20" w:rsidRPr="00A941CA">
        <w:rPr>
          <w:sz w:val="18"/>
          <w:szCs w:val="26"/>
        </w:rPr>
        <w:t>treatments illegal”, UPI, 19 December 2014</w:t>
      </w:r>
      <w:r w:rsidR="00411C20" w:rsidRPr="00A941CA">
        <w:rPr>
          <w:sz w:val="18"/>
          <w:szCs w:val="26"/>
          <w:rtl/>
        </w:rPr>
        <w:t>.</w:t>
      </w:r>
    </w:p>
  </w:footnote>
  <w:footnote w:id="89">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CCPR/C/ECU/CO/5</w:t>
      </w:r>
      <w:r w:rsidR="00411C20" w:rsidRPr="00A941CA">
        <w:rPr>
          <w:sz w:val="18"/>
          <w:szCs w:val="26"/>
          <w:rtl/>
        </w:rPr>
        <w:t xml:space="preserve">، الفقرة 12. انظر </w:t>
      </w:r>
      <w:r w:rsidR="00411C20" w:rsidRPr="00A941CA">
        <w:rPr>
          <w:sz w:val="18"/>
          <w:szCs w:val="26"/>
        </w:rPr>
        <w:t>“IACHR expresses concern about violence and discrimination against LGBTI persons, particularly youth, in the Americas”, press release, 15 August 2013</w:t>
      </w:r>
      <w:r w:rsidR="00411C20" w:rsidRPr="00A941CA">
        <w:rPr>
          <w:sz w:val="18"/>
          <w:szCs w:val="26"/>
          <w:rtl/>
        </w:rPr>
        <w:t xml:space="preserve">. </w:t>
      </w:r>
    </w:p>
  </w:footnote>
  <w:footnote w:id="90">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rStyle w:val="CharCharChar"/>
          <w:rFonts w:eastAsiaTheme="majorEastAsia"/>
          <w:sz w:val="18"/>
          <w:szCs w:val="26"/>
        </w:rPr>
        <w:t>CRC/C/CHE/CO/2-4</w:t>
      </w:r>
      <w:r w:rsidR="00411C20" w:rsidRPr="00A941CA">
        <w:rPr>
          <w:sz w:val="18"/>
          <w:szCs w:val="26"/>
          <w:rtl/>
        </w:rPr>
        <w:t xml:space="preserve">، الفقرة 42، </w:t>
      </w:r>
      <w:r w:rsidR="00411C20" w:rsidRPr="00A941CA">
        <w:rPr>
          <w:rStyle w:val="CharCharChar"/>
          <w:rFonts w:eastAsiaTheme="majorEastAsia"/>
          <w:sz w:val="18"/>
          <w:szCs w:val="26"/>
        </w:rPr>
        <w:t>CAT/C/DEU/CO/5</w:t>
      </w:r>
      <w:r w:rsidR="00411C20" w:rsidRPr="00A941CA">
        <w:rPr>
          <w:rStyle w:val="CharCharChar"/>
          <w:rFonts w:eastAsiaTheme="majorEastAsia"/>
          <w:sz w:val="18"/>
          <w:szCs w:val="26"/>
          <w:rtl/>
        </w:rPr>
        <w:t>،</w:t>
      </w:r>
      <w:r w:rsidR="00411C20" w:rsidRPr="00A941CA">
        <w:rPr>
          <w:sz w:val="18"/>
          <w:szCs w:val="26"/>
          <w:rtl/>
        </w:rPr>
        <w:t xml:space="preserve"> الفقرة 20، </w:t>
      </w:r>
      <w:r w:rsidR="00411C20" w:rsidRPr="00A941CA">
        <w:rPr>
          <w:rStyle w:val="CharCharChar"/>
          <w:rFonts w:eastAsiaTheme="majorEastAsia"/>
          <w:sz w:val="18"/>
          <w:szCs w:val="26"/>
        </w:rPr>
        <w:t>A/HRC/22/53</w:t>
      </w:r>
      <w:r w:rsidR="00411C20" w:rsidRPr="00A941CA">
        <w:rPr>
          <w:rStyle w:val="CharCharChar"/>
          <w:rFonts w:eastAsiaTheme="majorEastAsia"/>
          <w:sz w:val="18"/>
          <w:szCs w:val="26"/>
          <w:rtl/>
        </w:rPr>
        <w:t>،</w:t>
      </w:r>
      <w:r w:rsidR="00411C20" w:rsidRPr="00A941CA">
        <w:rPr>
          <w:sz w:val="18"/>
          <w:szCs w:val="26"/>
          <w:rtl/>
        </w:rPr>
        <w:t xml:space="preserve"> الفقرة 88، </w:t>
      </w:r>
      <w:r w:rsidR="00411C20" w:rsidRPr="00A941CA">
        <w:rPr>
          <w:rStyle w:val="CharCharChar"/>
          <w:rFonts w:eastAsiaTheme="majorEastAsia"/>
          <w:sz w:val="18"/>
          <w:szCs w:val="26"/>
        </w:rPr>
        <w:t>A/64/272</w:t>
      </w:r>
      <w:r w:rsidR="00411C20" w:rsidRPr="00A941CA">
        <w:rPr>
          <w:rStyle w:val="CharCharChar"/>
          <w:rFonts w:eastAsiaTheme="majorEastAsia"/>
          <w:sz w:val="18"/>
          <w:szCs w:val="26"/>
          <w:rtl/>
        </w:rPr>
        <w:t>،</w:t>
      </w:r>
      <w:r w:rsidR="00411C20" w:rsidRPr="00A941CA">
        <w:rPr>
          <w:sz w:val="18"/>
          <w:szCs w:val="26"/>
          <w:rtl/>
        </w:rPr>
        <w:t xml:space="preserve"> الفقرة 49.</w:t>
      </w:r>
    </w:p>
  </w:footnote>
  <w:footnote w:id="91">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rStyle w:val="CharCharChar"/>
          <w:rFonts w:eastAsiaTheme="majorEastAsia"/>
          <w:sz w:val="18"/>
          <w:szCs w:val="26"/>
        </w:rPr>
        <w:t>A/HRC/25/61</w:t>
      </w:r>
      <w:r w:rsidR="00411C20" w:rsidRPr="00A941CA">
        <w:rPr>
          <w:rStyle w:val="CharCharChar"/>
          <w:rFonts w:eastAsiaTheme="majorEastAsia"/>
          <w:sz w:val="18"/>
          <w:szCs w:val="26"/>
          <w:rtl/>
        </w:rPr>
        <w:t>، المرفق الثاني.</w:t>
      </w:r>
    </w:p>
  </w:footnote>
  <w:footnote w:id="92">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rStyle w:val="CharCharChar"/>
          <w:rFonts w:eastAsiaTheme="majorEastAsia"/>
          <w:sz w:val="18"/>
          <w:szCs w:val="26"/>
        </w:rPr>
        <w:t>E/CN.4/2001/52</w:t>
      </w:r>
      <w:r w:rsidR="00411C20" w:rsidRPr="00A941CA">
        <w:rPr>
          <w:rStyle w:val="CharCharChar"/>
          <w:rFonts w:eastAsiaTheme="majorEastAsia"/>
          <w:sz w:val="18"/>
          <w:szCs w:val="26"/>
          <w:rtl/>
        </w:rPr>
        <w:t xml:space="preserve">، </w:t>
      </w:r>
      <w:r w:rsidR="00411C20" w:rsidRPr="00A941CA">
        <w:rPr>
          <w:sz w:val="18"/>
          <w:szCs w:val="26"/>
          <w:rtl/>
        </w:rPr>
        <w:t xml:space="preserve">الفقرة 75، </w:t>
      </w:r>
      <w:r w:rsidR="00411C20" w:rsidRPr="00A941CA">
        <w:rPr>
          <w:rStyle w:val="CharCharChar"/>
          <w:rFonts w:eastAsiaTheme="majorEastAsia"/>
          <w:sz w:val="18"/>
          <w:szCs w:val="26"/>
        </w:rPr>
        <w:t>E/CN.4/2006/45</w:t>
      </w:r>
      <w:r w:rsidR="00411C20" w:rsidRPr="00A941CA">
        <w:rPr>
          <w:rStyle w:val="CharCharChar"/>
          <w:rFonts w:eastAsiaTheme="majorEastAsia"/>
          <w:sz w:val="18"/>
          <w:szCs w:val="26"/>
          <w:rtl/>
        </w:rPr>
        <w:t xml:space="preserve">، </w:t>
      </w:r>
      <w:r w:rsidR="00411C20" w:rsidRPr="00A941CA">
        <w:rPr>
          <w:sz w:val="18"/>
          <w:szCs w:val="26"/>
          <w:rtl/>
        </w:rPr>
        <w:t xml:space="preserve">الفقرة 113، </w:t>
      </w:r>
      <w:r w:rsidR="00411C20" w:rsidRPr="00A941CA">
        <w:rPr>
          <w:rStyle w:val="CharCharChar"/>
          <w:rFonts w:eastAsiaTheme="majorEastAsia"/>
          <w:sz w:val="18"/>
          <w:szCs w:val="26"/>
        </w:rPr>
        <w:t>CRC/C/RUS/CO/4-5</w:t>
      </w:r>
      <w:r w:rsidR="00411C20" w:rsidRPr="00A941CA">
        <w:rPr>
          <w:rStyle w:val="CharCharChar"/>
          <w:rFonts w:eastAsiaTheme="majorEastAsia"/>
          <w:sz w:val="18"/>
          <w:szCs w:val="26"/>
          <w:rtl/>
        </w:rPr>
        <w:t>،</w:t>
      </w:r>
      <w:r w:rsidR="00411C20" w:rsidRPr="00A941CA">
        <w:rPr>
          <w:sz w:val="18"/>
          <w:szCs w:val="26"/>
          <w:rtl/>
        </w:rPr>
        <w:t xml:space="preserve"> الفقرة 59.</w:t>
      </w:r>
    </w:p>
  </w:footnote>
  <w:footnote w:id="93">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i/>
          <w:sz w:val="18"/>
          <w:szCs w:val="26"/>
        </w:rPr>
        <w:t>EU LGBT Survey</w:t>
      </w:r>
      <w:r w:rsidR="00411C20" w:rsidRPr="00A941CA">
        <w:rPr>
          <w:sz w:val="18"/>
          <w:szCs w:val="26"/>
        </w:rPr>
        <w:t>,</w:t>
      </w:r>
      <w:r w:rsidR="00411C20" w:rsidRPr="00A941CA">
        <w:rPr>
          <w:rStyle w:val="CharCharChar"/>
          <w:rFonts w:eastAsiaTheme="majorEastAsia"/>
          <w:sz w:val="18"/>
          <w:szCs w:val="26"/>
        </w:rPr>
        <w:t xml:space="preserve"> EU Agency for Fundamental Rights (see footnote 50), p. 12</w:t>
      </w:r>
      <w:r w:rsidR="00411C20" w:rsidRPr="00A941CA">
        <w:rPr>
          <w:rStyle w:val="CharCharChar"/>
          <w:rFonts w:eastAsiaTheme="majorEastAsia"/>
          <w:sz w:val="18"/>
          <w:szCs w:val="26"/>
          <w:rtl/>
        </w:rPr>
        <w:t>.</w:t>
      </w:r>
    </w:p>
  </w:footnote>
  <w:footnote w:id="94">
    <w:p w:rsidR="00411C20" w:rsidRPr="00A941CA" w:rsidRDefault="00A941CA" w:rsidP="00072A6E">
      <w:pPr>
        <w:pStyle w:val="FootnoteText"/>
        <w:tabs>
          <w:tab w:val="right" w:pos="1021"/>
        </w:tabs>
        <w:spacing w:after="60" w:line="24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rStyle w:val="CharCharChar"/>
          <w:rFonts w:eastAsiaTheme="majorEastAsia"/>
          <w:sz w:val="18"/>
          <w:szCs w:val="26"/>
        </w:rPr>
        <w:t>“Bullying targeting secondary school students who are or are perceived to be transgender or same-sex attracted”, Mahidol University, Plan International Thailand, UNESCO, 2014, p. 14</w:t>
      </w:r>
      <w:r w:rsidR="00411C20" w:rsidRPr="00A941CA">
        <w:rPr>
          <w:rStyle w:val="CharCharChar"/>
          <w:rFonts w:eastAsiaTheme="majorEastAsia"/>
          <w:sz w:val="18"/>
          <w:szCs w:val="26"/>
          <w:rtl/>
        </w:rPr>
        <w:t>.</w:t>
      </w:r>
    </w:p>
  </w:footnote>
  <w:footnote w:id="95">
    <w:p w:rsidR="00411C20" w:rsidRPr="00A941CA" w:rsidRDefault="00A941CA" w:rsidP="005E4572">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rStyle w:val="CharCharChar"/>
          <w:rFonts w:eastAsiaTheme="majorEastAsia"/>
          <w:sz w:val="18"/>
          <w:szCs w:val="26"/>
        </w:rPr>
        <w:t>CRC/C/RUS/CO/4-5</w:t>
      </w:r>
      <w:r w:rsidR="00411C20" w:rsidRPr="00A941CA">
        <w:rPr>
          <w:rStyle w:val="CharCharChar"/>
          <w:rFonts w:eastAsiaTheme="majorEastAsia"/>
          <w:sz w:val="18"/>
          <w:szCs w:val="26"/>
          <w:rtl/>
        </w:rPr>
        <w:t xml:space="preserve">، </w:t>
      </w:r>
      <w:r w:rsidR="00411C20" w:rsidRPr="00A941CA">
        <w:rPr>
          <w:sz w:val="18"/>
          <w:szCs w:val="26"/>
          <w:rtl/>
        </w:rPr>
        <w:t xml:space="preserve">الفقرة 55، </w:t>
      </w:r>
      <w:r w:rsidR="00411C20" w:rsidRPr="00A941CA">
        <w:rPr>
          <w:rStyle w:val="CharCharChar"/>
          <w:rFonts w:eastAsiaTheme="majorEastAsia"/>
          <w:sz w:val="18"/>
          <w:szCs w:val="26"/>
        </w:rPr>
        <w:t>CRC/GC/2003/4</w:t>
      </w:r>
      <w:r w:rsidR="00411C20" w:rsidRPr="00A941CA">
        <w:rPr>
          <w:rStyle w:val="CharCharChar"/>
          <w:rFonts w:eastAsiaTheme="majorEastAsia"/>
          <w:sz w:val="18"/>
          <w:szCs w:val="26"/>
          <w:rtl/>
        </w:rPr>
        <w:t>،</w:t>
      </w:r>
      <w:r w:rsidR="00411C20" w:rsidRPr="00A941CA">
        <w:rPr>
          <w:sz w:val="18"/>
          <w:szCs w:val="26"/>
          <w:rtl/>
        </w:rPr>
        <w:t xml:space="preserve"> الفقرتان 26</w:t>
      </w:r>
      <w:r w:rsidR="005E4572">
        <w:rPr>
          <w:rFonts w:hint="cs"/>
          <w:sz w:val="18"/>
          <w:szCs w:val="26"/>
          <w:rtl/>
        </w:rPr>
        <w:t>-</w:t>
      </w:r>
      <w:r w:rsidR="00411C20" w:rsidRPr="00A941CA">
        <w:rPr>
          <w:sz w:val="18"/>
          <w:szCs w:val="26"/>
          <w:rtl/>
        </w:rPr>
        <w:t xml:space="preserve">28، </w:t>
      </w:r>
      <w:r w:rsidR="00411C20" w:rsidRPr="00A941CA">
        <w:rPr>
          <w:rStyle w:val="CharCharChar"/>
          <w:rFonts w:eastAsiaTheme="majorEastAsia"/>
          <w:sz w:val="18"/>
          <w:szCs w:val="26"/>
        </w:rPr>
        <w:t>A/65/162</w:t>
      </w:r>
      <w:r w:rsidR="00411C20" w:rsidRPr="00A941CA">
        <w:rPr>
          <w:sz w:val="18"/>
          <w:szCs w:val="26"/>
          <w:rtl/>
        </w:rPr>
        <w:t xml:space="preserve"> الفقرات 4، 6، 23، 63، </w:t>
      </w:r>
      <w:r w:rsidR="00411C20" w:rsidRPr="00A941CA">
        <w:rPr>
          <w:rStyle w:val="CharCharChar"/>
          <w:rFonts w:eastAsiaTheme="majorEastAsia"/>
          <w:sz w:val="18"/>
          <w:szCs w:val="26"/>
        </w:rPr>
        <w:t>A/68/290</w:t>
      </w:r>
      <w:r w:rsidR="00411C20" w:rsidRPr="00A941CA">
        <w:rPr>
          <w:rStyle w:val="CharCharChar"/>
          <w:rFonts w:eastAsiaTheme="majorEastAsia"/>
          <w:sz w:val="18"/>
          <w:szCs w:val="26"/>
          <w:rtl/>
        </w:rPr>
        <w:t xml:space="preserve">، </w:t>
      </w:r>
      <w:r w:rsidR="00411C20" w:rsidRPr="00A941CA">
        <w:rPr>
          <w:sz w:val="18"/>
          <w:szCs w:val="26"/>
          <w:rtl/>
        </w:rPr>
        <w:t>الفقرتان 52</w:t>
      </w:r>
      <w:r w:rsidR="005E4572">
        <w:rPr>
          <w:rFonts w:hint="cs"/>
          <w:sz w:val="18"/>
          <w:szCs w:val="26"/>
          <w:rtl/>
        </w:rPr>
        <w:t>-</w:t>
      </w:r>
      <w:r w:rsidR="00411C20" w:rsidRPr="00A941CA">
        <w:rPr>
          <w:sz w:val="18"/>
          <w:szCs w:val="26"/>
          <w:rtl/>
        </w:rPr>
        <w:t>54.</w:t>
      </w:r>
    </w:p>
  </w:footnote>
  <w:footnote w:id="96">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المؤسسة الدولية للمثليين والمثليات والمزدوجين ثنائي الجنس (الأنترسكس) والمتحولين/المتحولات (إيلغا)، </w:t>
      </w:r>
      <w:r w:rsidR="00411C20" w:rsidRPr="00A941CA">
        <w:rPr>
          <w:i/>
          <w:iCs/>
          <w:sz w:val="18"/>
          <w:szCs w:val="26"/>
          <w:rtl/>
        </w:rPr>
        <w:t>رهاب المثلية الذي تمارسه الدول</w:t>
      </w:r>
      <w:r w:rsidR="00411C20" w:rsidRPr="00A941CA">
        <w:rPr>
          <w:sz w:val="18"/>
          <w:szCs w:val="26"/>
          <w:rtl/>
        </w:rPr>
        <w:t xml:space="preserve"> (انظر الحاشية 70)، الصفحة 21.</w:t>
      </w:r>
    </w:p>
  </w:footnote>
  <w:footnote w:id="97">
    <w:p w:rsidR="00411C20" w:rsidRPr="00A941CA" w:rsidRDefault="00A941CA" w:rsidP="006C0DD4">
      <w:pPr>
        <w:pStyle w:val="FootnoteText"/>
        <w:tabs>
          <w:tab w:val="right" w:pos="1021"/>
        </w:tabs>
        <w:spacing w:after="60" w:line="300" w:lineRule="exact"/>
        <w:ind w:left="1247" w:right="1247" w:hanging="1247"/>
        <w:rPr>
          <w:rFonts w:hint="cs"/>
          <w:sz w:val="18"/>
          <w:szCs w:val="26"/>
          <w:rtl/>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rStyle w:val="FootnoteTextCharCharChar2"/>
          <w:szCs w:val="26"/>
        </w:rPr>
        <w:t>A/69/318</w:t>
      </w:r>
      <w:r w:rsidR="00411C20" w:rsidRPr="00A941CA">
        <w:rPr>
          <w:rStyle w:val="FootnoteTextCharCharChar2"/>
          <w:szCs w:val="26"/>
          <w:rtl/>
        </w:rPr>
        <w:t xml:space="preserve">، </w:t>
      </w:r>
      <w:r w:rsidR="00411C20" w:rsidRPr="00A941CA">
        <w:rPr>
          <w:sz w:val="18"/>
          <w:szCs w:val="26"/>
          <w:rtl/>
        </w:rPr>
        <w:t>الفقرة 17، و</w:t>
      </w:r>
      <w:r w:rsidR="00411C20" w:rsidRPr="00A941CA">
        <w:rPr>
          <w:rStyle w:val="FootnoteTextCharCharChar2"/>
          <w:szCs w:val="26"/>
        </w:rPr>
        <w:t>“Discrimination at work on the basis of sexual orientation and gender identity: Results of pilot research” (GB.319/LILS/INF/1), International Labour Office, October 2013, pp. 2-3</w:t>
      </w:r>
      <w:r w:rsidR="00411C20" w:rsidRPr="00A941CA">
        <w:rPr>
          <w:rStyle w:val="FootnoteTextCharCharChar2"/>
          <w:szCs w:val="26"/>
          <w:rtl/>
        </w:rPr>
        <w:t>.</w:t>
      </w:r>
      <w:r w:rsidR="00411C20" w:rsidRPr="00A941CA">
        <w:rPr>
          <w:sz w:val="18"/>
          <w:szCs w:val="26"/>
          <w:rtl/>
        </w:rPr>
        <w:t xml:space="preserve"> </w:t>
      </w:r>
    </w:p>
  </w:footnote>
  <w:footnote w:id="98">
    <w:p w:rsidR="00411C20" w:rsidRPr="00A941CA" w:rsidRDefault="00A941CA" w:rsidP="00072A6E">
      <w:pPr>
        <w:pStyle w:val="FootnoteText"/>
        <w:tabs>
          <w:tab w:val="right" w:pos="1021"/>
        </w:tabs>
        <w:spacing w:after="60" w:line="240" w:lineRule="exact"/>
        <w:ind w:left="1247" w:right="1247" w:hanging="1247"/>
        <w:rPr>
          <w:rFonts w:hint="cs"/>
          <w:sz w:val="18"/>
          <w:szCs w:val="26"/>
          <w:rtl/>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i/>
          <w:sz w:val="18"/>
          <w:szCs w:val="26"/>
        </w:rPr>
        <w:t>EU LGBT Survey</w:t>
      </w:r>
      <w:r w:rsidR="00411C20" w:rsidRPr="00A941CA">
        <w:rPr>
          <w:sz w:val="18"/>
          <w:szCs w:val="26"/>
        </w:rPr>
        <w:t>, EU Agency for Fundamental Rights (see footnote 50), p.17; April Guasp, “Gay in Britain: Lesbian, Gay and Bisexual People’s Experiences and Expectations of Discrimination”, Stonewall, 2012, pp.3, 19</w:t>
      </w:r>
      <w:r w:rsidR="00411C20" w:rsidRPr="00A941CA">
        <w:rPr>
          <w:sz w:val="18"/>
          <w:szCs w:val="26"/>
          <w:rtl/>
        </w:rPr>
        <w:t>.</w:t>
      </w:r>
    </w:p>
  </w:footnote>
  <w:footnote w:id="99">
    <w:p w:rsidR="00411C20" w:rsidRPr="00A941CA" w:rsidRDefault="00A941CA" w:rsidP="00072A6E">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A/69/274</w:t>
      </w:r>
      <w:r w:rsidR="00411C20" w:rsidRPr="00A941CA">
        <w:rPr>
          <w:sz w:val="18"/>
          <w:szCs w:val="26"/>
          <w:rtl/>
        </w:rPr>
        <w:t>، الفقرة 12.</w:t>
      </w:r>
    </w:p>
  </w:footnote>
  <w:footnote w:id="100">
    <w:p w:rsidR="00411C20" w:rsidRPr="00A941CA" w:rsidRDefault="00A941CA" w:rsidP="00072A6E">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A/HRC/19/53</w:t>
      </w:r>
      <w:r w:rsidR="00411C20" w:rsidRPr="00A941CA">
        <w:rPr>
          <w:sz w:val="18"/>
          <w:szCs w:val="26"/>
          <w:rtl/>
        </w:rPr>
        <w:t>، الفقرات50، 51، 63.</w:t>
      </w:r>
    </w:p>
  </w:footnote>
  <w:footnote w:id="101">
    <w:p w:rsidR="00411C20" w:rsidRPr="00A941CA" w:rsidRDefault="00A941CA" w:rsidP="00072A6E">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“Serving Our Youth”, Williams Institute, True Colors Fund and the Palette Fund, 2012, p. 3</w:t>
      </w:r>
      <w:r w:rsidR="00411C20" w:rsidRPr="00A941CA">
        <w:rPr>
          <w:sz w:val="18"/>
          <w:szCs w:val="26"/>
          <w:rtl/>
        </w:rPr>
        <w:t>.</w:t>
      </w:r>
    </w:p>
  </w:footnote>
  <w:footnote w:id="102">
    <w:p w:rsidR="00411C20" w:rsidRPr="00A941CA" w:rsidRDefault="00A941CA" w:rsidP="00072A6E">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CCPR/C/GEO/CO/4</w:t>
      </w:r>
      <w:r w:rsidR="00411C20" w:rsidRPr="00A941CA">
        <w:rPr>
          <w:sz w:val="18"/>
          <w:szCs w:val="26"/>
          <w:rtl/>
        </w:rPr>
        <w:t xml:space="preserve">، الفقرة 8، </w:t>
      </w:r>
      <w:r w:rsidR="00411C20" w:rsidRPr="00A941CA">
        <w:rPr>
          <w:sz w:val="18"/>
          <w:szCs w:val="26"/>
        </w:rPr>
        <w:t>A/HRC/26/30/Add.2</w:t>
      </w:r>
      <w:r w:rsidR="00411C20" w:rsidRPr="00A941CA">
        <w:rPr>
          <w:sz w:val="18"/>
          <w:szCs w:val="26"/>
          <w:rtl/>
        </w:rPr>
        <w:t>، الفقرة 77.</w:t>
      </w:r>
    </w:p>
  </w:footnote>
  <w:footnote w:id="103">
    <w:p w:rsidR="00411C20" w:rsidRPr="00A941CA" w:rsidRDefault="00A941CA" w:rsidP="00072A6E">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A/HRC/20/22/Add.2</w:t>
      </w:r>
      <w:r w:rsidR="00411C20" w:rsidRPr="00A941CA">
        <w:rPr>
          <w:sz w:val="18"/>
          <w:szCs w:val="26"/>
          <w:rtl/>
        </w:rPr>
        <w:t xml:space="preserve">، الفقرة 55، </w:t>
      </w:r>
      <w:r w:rsidR="00411C20" w:rsidRPr="00A941CA">
        <w:rPr>
          <w:sz w:val="18"/>
          <w:szCs w:val="26"/>
        </w:rPr>
        <w:t>A/64/211</w:t>
      </w:r>
      <w:r w:rsidR="00411C20" w:rsidRPr="00A941CA">
        <w:rPr>
          <w:sz w:val="18"/>
          <w:szCs w:val="26"/>
          <w:rtl/>
        </w:rPr>
        <w:t>، الفقرات 21-27.</w:t>
      </w:r>
    </w:p>
  </w:footnote>
  <w:footnote w:id="104">
    <w:p w:rsidR="00411C20" w:rsidRPr="00A941CA" w:rsidRDefault="00A941CA" w:rsidP="00072A6E">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A/69/307</w:t>
      </w:r>
      <w:r w:rsidR="00411C20" w:rsidRPr="00A941CA">
        <w:rPr>
          <w:sz w:val="18"/>
          <w:szCs w:val="26"/>
          <w:rtl/>
        </w:rPr>
        <w:t>، الفقرة 30.</w:t>
      </w:r>
    </w:p>
  </w:footnote>
  <w:footnote w:id="105">
    <w:p w:rsidR="00411C20" w:rsidRPr="00A941CA" w:rsidRDefault="00A941CA" w:rsidP="00072A6E">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A/HRC/23/34/Add.1</w:t>
      </w:r>
      <w:r w:rsidR="00411C20" w:rsidRPr="00A941CA">
        <w:rPr>
          <w:sz w:val="18"/>
          <w:szCs w:val="26"/>
          <w:rtl/>
        </w:rPr>
        <w:t>، الفقرات 101-103.</w:t>
      </w:r>
    </w:p>
  </w:footnote>
  <w:footnote w:id="106">
    <w:p w:rsidR="00411C20" w:rsidRPr="00A941CA" w:rsidRDefault="00A941CA" w:rsidP="00072A6E">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A/HRC/22/53/Add.4</w:t>
      </w:r>
      <w:r w:rsidR="00411C20" w:rsidRPr="00A941CA">
        <w:rPr>
          <w:sz w:val="18"/>
          <w:szCs w:val="26"/>
          <w:rtl/>
        </w:rPr>
        <w:t>، الفقرة 162.</w:t>
      </w:r>
    </w:p>
  </w:footnote>
  <w:footnote w:id="107">
    <w:p w:rsidR="00411C20" w:rsidRPr="00A941CA" w:rsidRDefault="00A941CA" w:rsidP="00431C0A">
      <w:pPr>
        <w:pStyle w:val="FootnoteText"/>
        <w:tabs>
          <w:tab w:val="right" w:pos="1021"/>
        </w:tabs>
        <w:spacing w:after="60" w:line="300" w:lineRule="exact"/>
        <w:ind w:left="1247" w:right="1247" w:hanging="1247"/>
        <w:rPr>
          <w:rFonts w:hint="cs"/>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A/HRC/25/74, MKD 2/2013</w:t>
      </w:r>
      <w:r w:rsidR="00431C0A">
        <w:rPr>
          <w:rFonts w:hint="cs"/>
          <w:sz w:val="18"/>
          <w:szCs w:val="26"/>
          <w:rtl/>
        </w:rPr>
        <w:t xml:space="preserve">؛ </w:t>
      </w:r>
      <w:r w:rsidR="00411C20" w:rsidRPr="00A941CA">
        <w:rPr>
          <w:sz w:val="18"/>
          <w:szCs w:val="26"/>
        </w:rPr>
        <w:t>A/HRC/23/51, CRI 2/2012</w:t>
      </w:r>
      <w:r w:rsidR="00411C20" w:rsidRPr="00A941CA">
        <w:rPr>
          <w:sz w:val="18"/>
          <w:szCs w:val="26"/>
          <w:rtl/>
        </w:rPr>
        <w:t>.</w:t>
      </w:r>
    </w:p>
  </w:footnote>
  <w:footnote w:id="108">
    <w:p w:rsidR="00411C20" w:rsidRPr="007A36C5" w:rsidRDefault="00A941CA" w:rsidP="00072A6E">
      <w:pPr>
        <w:pStyle w:val="FootnoteText"/>
        <w:tabs>
          <w:tab w:val="right" w:pos="1021"/>
        </w:tabs>
        <w:spacing w:after="60" w:line="300" w:lineRule="exact"/>
        <w:ind w:left="1247" w:right="1247" w:hanging="1247"/>
        <w:rPr>
          <w:spacing w:val="-6"/>
          <w:sz w:val="18"/>
          <w:szCs w:val="26"/>
        </w:rPr>
      </w:pPr>
      <w:r w:rsidRPr="007A36C5">
        <w:rPr>
          <w:rStyle w:val="FootnoteReference"/>
          <w:rFonts w:hint="cs"/>
          <w:spacing w:val="-6"/>
          <w:szCs w:val="26"/>
          <w:vertAlign w:val="baseline"/>
          <w:rtl/>
        </w:rPr>
        <w:tab/>
      </w:r>
      <w:r w:rsidR="00411C20" w:rsidRPr="007A36C5">
        <w:rPr>
          <w:rStyle w:val="FootnoteReference"/>
          <w:spacing w:val="-6"/>
          <w:szCs w:val="26"/>
          <w:vertAlign w:val="baseline"/>
          <w:rtl/>
        </w:rPr>
        <w:t>(</w:t>
      </w:r>
      <w:r w:rsidR="00411C20" w:rsidRPr="007A36C5">
        <w:rPr>
          <w:rStyle w:val="FootnoteReference"/>
          <w:spacing w:val="-6"/>
          <w:szCs w:val="26"/>
          <w:vertAlign w:val="baseline"/>
          <w:rtl/>
        </w:rPr>
        <w:footnoteRef/>
      </w:r>
      <w:r w:rsidR="00411C20" w:rsidRPr="007A36C5">
        <w:rPr>
          <w:rStyle w:val="FootnoteReference"/>
          <w:spacing w:val="-6"/>
          <w:szCs w:val="26"/>
          <w:vertAlign w:val="baseline"/>
          <w:rtl/>
        </w:rPr>
        <w:t>)</w:t>
      </w:r>
      <w:r w:rsidR="00411C20" w:rsidRPr="007A36C5">
        <w:rPr>
          <w:spacing w:val="-6"/>
          <w:sz w:val="18"/>
          <w:szCs w:val="26"/>
          <w:rtl/>
        </w:rPr>
        <w:t xml:space="preserve"> </w:t>
      </w:r>
      <w:r w:rsidRPr="007A36C5">
        <w:rPr>
          <w:rFonts w:hint="cs"/>
          <w:spacing w:val="-6"/>
          <w:sz w:val="18"/>
          <w:szCs w:val="26"/>
          <w:rtl/>
        </w:rPr>
        <w:tab/>
      </w:r>
      <w:r w:rsidR="00411C20" w:rsidRPr="007A36C5">
        <w:rPr>
          <w:spacing w:val="-6"/>
          <w:sz w:val="18"/>
          <w:szCs w:val="26"/>
          <w:rtl/>
        </w:rPr>
        <w:t xml:space="preserve">انظر </w:t>
      </w:r>
      <w:r w:rsidR="00411C20" w:rsidRPr="007A36C5">
        <w:rPr>
          <w:spacing w:val="-6"/>
          <w:sz w:val="18"/>
          <w:szCs w:val="26"/>
        </w:rPr>
        <w:t>A/69/307</w:t>
      </w:r>
      <w:r w:rsidR="00411C20" w:rsidRPr="007A36C5">
        <w:rPr>
          <w:spacing w:val="-6"/>
          <w:sz w:val="18"/>
          <w:szCs w:val="26"/>
          <w:rtl/>
        </w:rPr>
        <w:t xml:space="preserve">، الفقرة 86، </w:t>
      </w:r>
      <w:r w:rsidR="00411C20" w:rsidRPr="007A36C5">
        <w:rPr>
          <w:spacing w:val="-6"/>
          <w:sz w:val="18"/>
          <w:szCs w:val="26"/>
        </w:rPr>
        <w:t>A/HRC/22/53/Add.4</w:t>
      </w:r>
      <w:r w:rsidR="00411C20" w:rsidRPr="007A36C5">
        <w:rPr>
          <w:spacing w:val="-6"/>
          <w:sz w:val="18"/>
          <w:szCs w:val="26"/>
          <w:rtl/>
        </w:rPr>
        <w:t xml:space="preserve">، الفقرة 162، </w:t>
      </w:r>
      <w:r w:rsidR="00411C20" w:rsidRPr="007A36C5">
        <w:rPr>
          <w:spacing w:val="-6"/>
          <w:sz w:val="18"/>
          <w:szCs w:val="26"/>
        </w:rPr>
        <w:t>A/HRC/25/71</w:t>
      </w:r>
      <w:r w:rsidR="00411C20" w:rsidRPr="007A36C5">
        <w:rPr>
          <w:spacing w:val="-6"/>
          <w:sz w:val="18"/>
          <w:szCs w:val="26"/>
          <w:rtl/>
        </w:rPr>
        <w:t xml:space="preserve">، الفقرة 55، </w:t>
      </w:r>
      <w:r w:rsidR="00411C20" w:rsidRPr="007A36C5">
        <w:rPr>
          <w:spacing w:val="-6"/>
          <w:sz w:val="18"/>
          <w:szCs w:val="26"/>
        </w:rPr>
        <w:t>A/HRC/26/52</w:t>
      </w:r>
      <w:r w:rsidR="00411C20" w:rsidRPr="007A36C5">
        <w:rPr>
          <w:spacing w:val="-6"/>
          <w:sz w:val="18"/>
          <w:szCs w:val="26"/>
          <w:rtl/>
        </w:rPr>
        <w:t>، الفقرة 33.</w:t>
      </w:r>
    </w:p>
  </w:footnote>
  <w:footnote w:id="109">
    <w:p w:rsidR="00411C20" w:rsidRPr="00A941CA" w:rsidRDefault="00A941CA" w:rsidP="00FF34CD">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bCs/>
          <w:color w:val="000000"/>
          <w:sz w:val="18"/>
          <w:szCs w:val="26"/>
        </w:rPr>
        <w:t>A/HRC/23/34</w:t>
      </w:r>
      <w:r w:rsidR="00411C20" w:rsidRPr="00A941CA">
        <w:rPr>
          <w:sz w:val="18"/>
          <w:szCs w:val="26"/>
          <w:rtl/>
        </w:rPr>
        <w:t>، الفقرتان 49</w:t>
      </w:r>
      <w:r w:rsidR="00FF34CD">
        <w:rPr>
          <w:rFonts w:hint="cs"/>
          <w:sz w:val="18"/>
          <w:szCs w:val="26"/>
          <w:rtl/>
        </w:rPr>
        <w:t>-</w:t>
      </w:r>
      <w:r w:rsidR="00411C20" w:rsidRPr="00A941CA">
        <w:rPr>
          <w:sz w:val="18"/>
          <w:szCs w:val="26"/>
          <w:rtl/>
        </w:rPr>
        <w:t xml:space="preserve">50، </w:t>
      </w:r>
      <w:r w:rsidR="00411C20" w:rsidRPr="00A941CA">
        <w:rPr>
          <w:sz w:val="18"/>
          <w:szCs w:val="26"/>
        </w:rPr>
        <w:t>A/HRC/26/36/Add.2</w:t>
      </w:r>
      <w:r w:rsidR="00411C20" w:rsidRPr="00A941CA">
        <w:rPr>
          <w:sz w:val="18"/>
          <w:szCs w:val="26"/>
          <w:rtl/>
        </w:rPr>
        <w:t xml:space="preserve">، الفقرات 43-45. </w:t>
      </w:r>
    </w:p>
  </w:footnote>
  <w:footnote w:id="110">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CCPR/C/109/D/1873/2009</w:t>
      </w:r>
      <w:r w:rsidR="00411C20" w:rsidRPr="00A941CA">
        <w:rPr>
          <w:sz w:val="18"/>
          <w:szCs w:val="26"/>
          <w:rtl/>
        </w:rPr>
        <w:t xml:space="preserve">، الفقرة 9-6، </w:t>
      </w:r>
      <w:r w:rsidR="00411C20" w:rsidRPr="00A941CA">
        <w:rPr>
          <w:sz w:val="18"/>
          <w:szCs w:val="26"/>
        </w:rPr>
        <w:t>A/HRC/23/49/Add.4</w:t>
      </w:r>
      <w:r w:rsidR="00411C20" w:rsidRPr="00A941CA">
        <w:rPr>
          <w:sz w:val="18"/>
          <w:szCs w:val="26"/>
          <w:rtl/>
        </w:rPr>
        <w:t>، الفقرة 22.</w:t>
      </w:r>
    </w:p>
  </w:footnote>
  <w:footnote w:id="111">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A/HRC/10/12/Add.1</w:t>
      </w:r>
      <w:r w:rsidR="00411C20" w:rsidRPr="00A941CA">
        <w:rPr>
          <w:sz w:val="18"/>
          <w:szCs w:val="26"/>
          <w:rtl/>
        </w:rPr>
        <w:t xml:space="preserve">، الفقرات 275-280، </w:t>
      </w:r>
      <w:r w:rsidR="00411C20" w:rsidRPr="00A941CA">
        <w:rPr>
          <w:sz w:val="18"/>
          <w:szCs w:val="26"/>
        </w:rPr>
        <w:t>A/HRC/11/4/Add.1</w:t>
      </w:r>
      <w:r w:rsidR="00411C20" w:rsidRPr="00A941CA">
        <w:rPr>
          <w:sz w:val="18"/>
          <w:szCs w:val="26"/>
          <w:rtl/>
        </w:rPr>
        <w:t xml:space="preserve">، الفقرات 289-2294، </w:t>
      </w:r>
      <w:r w:rsidR="00411C20" w:rsidRPr="00A941CA">
        <w:rPr>
          <w:sz w:val="18"/>
          <w:szCs w:val="26"/>
        </w:rPr>
        <w:t>A/HRC/16/44/Add.1</w:t>
      </w:r>
      <w:r w:rsidR="00411C20" w:rsidRPr="00A941CA">
        <w:rPr>
          <w:sz w:val="18"/>
          <w:szCs w:val="26"/>
          <w:rtl/>
        </w:rPr>
        <w:t>، الفقرات</w:t>
      </w:r>
      <w:r w:rsidR="00FF34CD">
        <w:rPr>
          <w:rFonts w:hint="cs"/>
          <w:sz w:val="18"/>
          <w:szCs w:val="26"/>
          <w:rtl/>
        </w:rPr>
        <w:t xml:space="preserve"> </w:t>
      </w:r>
      <w:r w:rsidR="00411C20" w:rsidRPr="00A941CA">
        <w:rPr>
          <w:sz w:val="18"/>
          <w:szCs w:val="26"/>
          <w:rtl/>
        </w:rPr>
        <w:t>1157-1164.</w:t>
      </w:r>
    </w:p>
  </w:footnote>
  <w:footnote w:id="112">
    <w:p w:rsidR="00411C20" w:rsidRPr="00A941CA" w:rsidRDefault="00A941CA" w:rsidP="006C0DD4">
      <w:pPr>
        <w:pStyle w:val="FootnoteText"/>
        <w:tabs>
          <w:tab w:val="right" w:pos="1021"/>
        </w:tabs>
        <w:spacing w:after="60" w:line="300" w:lineRule="exact"/>
        <w:ind w:left="1247" w:right="1247" w:hanging="1247"/>
        <w:rPr>
          <w:rFonts w:hint="cs"/>
          <w:sz w:val="18"/>
          <w:szCs w:val="26"/>
          <w:rtl/>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A/HRC/22/47/Add.1</w:t>
      </w:r>
      <w:r w:rsidR="00411C20" w:rsidRPr="00A941CA">
        <w:rPr>
          <w:sz w:val="18"/>
          <w:szCs w:val="26"/>
          <w:rtl/>
        </w:rPr>
        <w:t>، الفقرة 88،</w:t>
      </w:r>
      <w:r w:rsidR="00903AB6">
        <w:rPr>
          <w:sz w:val="18"/>
          <w:szCs w:val="26"/>
          <w:rtl/>
        </w:rPr>
        <w:t xml:space="preserve"> و</w:t>
      </w:r>
      <w:r w:rsidR="00411C20" w:rsidRPr="00A941CA">
        <w:rPr>
          <w:sz w:val="18"/>
          <w:szCs w:val="26"/>
        </w:rPr>
        <w:t>“Study on the situation of women human rights defenders in Africa”, Special Rapporteur on human rights defenders, African Commission on Human and Peoples’ Rights, 2015</w:t>
      </w:r>
      <w:r w:rsidR="00411C20" w:rsidRPr="00A941CA">
        <w:rPr>
          <w:sz w:val="18"/>
          <w:szCs w:val="26"/>
          <w:rtl/>
        </w:rPr>
        <w:t>.</w:t>
      </w:r>
    </w:p>
  </w:footnote>
  <w:footnote w:id="113">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A/69/CRP.1, p. 15</w:t>
      </w:r>
      <w:r w:rsidR="00411C20" w:rsidRPr="00A941CA">
        <w:rPr>
          <w:sz w:val="18"/>
          <w:szCs w:val="26"/>
          <w:rtl/>
        </w:rPr>
        <w:t>.</w:t>
      </w:r>
    </w:p>
  </w:footnote>
  <w:footnote w:id="114">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UNHCR, HCR/GIP/12/09</w:t>
      </w:r>
      <w:r w:rsidR="00411C20" w:rsidRPr="00A941CA">
        <w:rPr>
          <w:sz w:val="18"/>
          <w:szCs w:val="26"/>
          <w:rtl/>
        </w:rPr>
        <w:t xml:space="preserve"> (انظر الحاشية 8).</w:t>
      </w:r>
    </w:p>
  </w:footnote>
  <w:footnote w:id="115">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A/HRC/22/53/Add.4</w:t>
      </w:r>
      <w:r w:rsidR="00411C20" w:rsidRPr="00A941CA">
        <w:rPr>
          <w:sz w:val="18"/>
          <w:szCs w:val="26"/>
          <w:rtl/>
        </w:rPr>
        <w:t>، الفقرة 178.</w:t>
      </w:r>
    </w:p>
  </w:footnote>
  <w:footnote w:id="116">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462D95">
        <w:rPr>
          <w:sz w:val="18"/>
          <w:szCs w:val="26"/>
        </w:rPr>
        <w:t>CCPR/C/108/D/2149/2012</w:t>
      </w:r>
      <w:r w:rsidR="00411C20" w:rsidRPr="00462D95">
        <w:rPr>
          <w:sz w:val="18"/>
          <w:szCs w:val="26"/>
          <w:rtl/>
        </w:rPr>
        <w:t>،</w:t>
      </w:r>
      <w:r w:rsidR="00411C20" w:rsidRPr="00A941CA">
        <w:rPr>
          <w:sz w:val="18"/>
          <w:szCs w:val="26"/>
          <w:rtl/>
        </w:rPr>
        <w:t xml:space="preserve"> الفقرة 2-4، </w:t>
      </w:r>
      <w:r w:rsidR="00411C20" w:rsidRPr="00A941CA">
        <w:rPr>
          <w:sz w:val="18"/>
          <w:szCs w:val="26"/>
        </w:rPr>
        <w:t>CCPR/C/103/D/1833/2008</w:t>
      </w:r>
      <w:r w:rsidR="00411C20" w:rsidRPr="00A941CA">
        <w:rPr>
          <w:sz w:val="18"/>
          <w:szCs w:val="26"/>
          <w:rtl/>
        </w:rPr>
        <w:t>، الفقرة 9-2.</w:t>
      </w:r>
    </w:p>
  </w:footnote>
  <w:footnote w:id="117">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A/68/290</w:t>
      </w:r>
      <w:r w:rsidR="00411C20" w:rsidRPr="00A941CA">
        <w:rPr>
          <w:sz w:val="18"/>
          <w:szCs w:val="26"/>
          <w:rtl/>
        </w:rPr>
        <w:t xml:space="preserve">، الفقرة 38، </w:t>
      </w:r>
      <w:r w:rsidR="00411C20" w:rsidRPr="00A941CA">
        <w:rPr>
          <w:sz w:val="18"/>
          <w:szCs w:val="26"/>
        </w:rPr>
        <w:t>A/HRC/20/16/Add.4</w:t>
      </w:r>
      <w:r w:rsidR="00411C20" w:rsidRPr="00A941CA">
        <w:rPr>
          <w:sz w:val="18"/>
          <w:szCs w:val="26"/>
          <w:rtl/>
        </w:rPr>
        <w:t xml:space="preserve">، الفقرة 20، </w:t>
      </w:r>
      <w:r w:rsidR="00411C20" w:rsidRPr="00A941CA">
        <w:rPr>
          <w:sz w:val="18"/>
          <w:szCs w:val="26"/>
        </w:rPr>
        <w:t>A/HRC/22/56</w:t>
      </w:r>
      <w:r w:rsidR="00411C20" w:rsidRPr="00A941CA">
        <w:rPr>
          <w:sz w:val="18"/>
          <w:szCs w:val="26"/>
          <w:rtl/>
        </w:rPr>
        <w:t xml:space="preserve">، الفقرة 70، </w:t>
      </w:r>
      <w:r w:rsidR="00411C20" w:rsidRPr="00A941CA">
        <w:rPr>
          <w:sz w:val="18"/>
          <w:szCs w:val="26"/>
        </w:rPr>
        <w:t>A/HRC/26/38/Add.1</w:t>
      </w:r>
      <w:r w:rsidR="00411C20" w:rsidRPr="00A941CA">
        <w:rPr>
          <w:sz w:val="18"/>
          <w:szCs w:val="26"/>
          <w:rtl/>
        </w:rPr>
        <w:t>، الفقرة 19.</w:t>
      </w:r>
    </w:p>
  </w:footnote>
  <w:footnote w:id="118">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CCPR/C/75/D/902/1999</w:t>
      </w:r>
      <w:r w:rsidR="00411C20" w:rsidRPr="00A941CA">
        <w:rPr>
          <w:sz w:val="18"/>
          <w:szCs w:val="26"/>
          <w:rtl/>
        </w:rPr>
        <w:t>.</w:t>
      </w:r>
    </w:p>
  </w:footnote>
  <w:footnote w:id="119">
    <w:p w:rsidR="00411C20" w:rsidRPr="00A941CA" w:rsidRDefault="00A941CA" w:rsidP="006C0DD4">
      <w:pPr>
        <w:pStyle w:val="FootnoteText"/>
        <w:tabs>
          <w:tab w:val="right" w:pos="1021"/>
        </w:tabs>
        <w:spacing w:after="60" w:line="300" w:lineRule="exact"/>
        <w:ind w:left="1247" w:right="1247" w:hanging="1247"/>
        <w:rPr>
          <w:sz w:val="18"/>
          <w:szCs w:val="26"/>
        </w:rPr>
      </w:pPr>
      <w:r>
        <w:rPr>
          <w:rFonts w:hint="cs"/>
          <w:szCs w:val="26"/>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Pr>
        <w:t>E/C.12/BGR/CO/4-5</w:t>
      </w:r>
      <w:r w:rsidR="00411C20" w:rsidRPr="00A941CA">
        <w:rPr>
          <w:sz w:val="18"/>
          <w:szCs w:val="26"/>
          <w:rtl/>
        </w:rPr>
        <w:t xml:space="preserve">، الفقرة 17، </w:t>
      </w:r>
      <w:r w:rsidR="00411C20" w:rsidRPr="00A941CA">
        <w:rPr>
          <w:sz w:val="18"/>
          <w:szCs w:val="26"/>
        </w:rPr>
        <w:t>E/C.12/SVK/CO/2</w:t>
      </w:r>
      <w:r w:rsidR="00411C20" w:rsidRPr="00A941CA">
        <w:rPr>
          <w:sz w:val="18"/>
          <w:szCs w:val="26"/>
          <w:rtl/>
        </w:rPr>
        <w:t>، الفقرة 10.</w:t>
      </w:r>
    </w:p>
  </w:footnote>
  <w:footnote w:id="120">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rFonts w:hint="cs"/>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المؤسسة الدولية للمثليين والمثليات والمزدوجين ثنائي الجنس (الأنترسكس) والمتحولين/المتحولات (إيلغا)، </w:t>
      </w:r>
      <w:r w:rsidR="00411C20" w:rsidRPr="00A941CA">
        <w:rPr>
          <w:i/>
          <w:iCs/>
          <w:sz w:val="18"/>
          <w:szCs w:val="26"/>
          <w:rtl/>
        </w:rPr>
        <w:t>رهاب المثلية الذي تمارسه الدول</w:t>
      </w:r>
      <w:r w:rsidR="00411C20" w:rsidRPr="00A941CA">
        <w:rPr>
          <w:sz w:val="18"/>
          <w:szCs w:val="26"/>
          <w:rtl/>
        </w:rPr>
        <w:t xml:space="preserve"> (انظر الحاشية 70)، الصفحة 26-28.</w:t>
      </w:r>
    </w:p>
  </w:footnote>
  <w:footnote w:id="121">
    <w:p w:rsidR="00411C20" w:rsidRPr="00A941CA" w:rsidRDefault="00A941CA" w:rsidP="006C0DD4">
      <w:pPr>
        <w:pStyle w:val="FootnoteText"/>
        <w:tabs>
          <w:tab w:val="right" w:pos="1021"/>
        </w:tabs>
        <w:spacing w:after="60" w:line="300" w:lineRule="exact"/>
        <w:ind w:left="1247" w:right="1247" w:hanging="1247"/>
        <w:rPr>
          <w:sz w:val="18"/>
          <w:szCs w:val="26"/>
        </w:rPr>
      </w:pPr>
      <w:r>
        <w:rPr>
          <w:rFonts w:hint="cs"/>
          <w:szCs w:val="26"/>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CCPR/C/CHN/HKG/CO/3</w:t>
      </w:r>
      <w:r w:rsidR="00411C20" w:rsidRPr="00A941CA">
        <w:rPr>
          <w:sz w:val="18"/>
          <w:szCs w:val="26"/>
          <w:rtl/>
        </w:rPr>
        <w:t xml:space="preserve">، الفقرة 23، </w:t>
      </w:r>
      <w:r w:rsidR="00411C20" w:rsidRPr="00A941CA">
        <w:rPr>
          <w:sz w:val="18"/>
          <w:szCs w:val="26"/>
        </w:rPr>
        <w:t>CCPR/C/78/D/941/2000</w:t>
      </w:r>
      <w:r w:rsidR="00411C20" w:rsidRPr="00A941CA">
        <w:rPr>
          <w:sz w:val="18"/>
          <w:szCs w:val="26"/>
          <w:rtl/>
        </w:rPr>
        <w:t xml:space="preserve">، الفقرة 10-4، </w:t>
      </w:r>
      <w:r w:rsidR="00411C20" w:rsidRPr="00A941CA">
        <w:rPr>
          <w:sz w:val="18"/>
          <w:szCs w:val="26"/>
        </w:rPr>
        <w:t>CEDAW/C/SRB/CO/2-3</w:t>
      </w:r>
      <w:r>
        <w:rPr>
          <w:sz w:val="18"/>
          <w:szCs w:val="26"/>
          <w:rtl/>
        </w:rPr>
        <w:t xml:space="preserve">، الفقرة 39(د)، أيضاً </w:t>
      </w:r>
      <w:r w:rsidR="00411C20" w:rsidRPr="00A941CA">
        <w:rPr>
          <w:color w:val="000000"/>
          <w:sz w:val="18"/>
          <w:szCs w:val="26"/>
        </w:rPr>
        <w:t xml:space="preserve">European Court of Human Rights, applications </w:t>
      </w:r>
      <w:hyperlink r:id="rId3" w:anchor="{&quot;appno&quot;:[&quot;29381/09&quot;]}" w:tgtFrame="_blank" w:history="1">
        <w:r w:rsidR="00411C20" w:rsidRPr="00702621">
          <w:rPr>
            <w:rStyle w:val="Hyperlink"/>
            <w:rFonts w:cs="Traditional Arabic"/>
            <w:color w:val="000000"/>
            <w:sz w:val="18"/>
            <w:szCs w:val="26"/>
            <w:u w:val="none"/>
          </w:rPr>
          <w:t>29381/09</w:t>
        </w:r>
      </w:hyperlink>
      <w:r w:rsidR="00411C20" w:rsidRPr="00702621">
        <w:rPr>
          <w:rStyle w:val="s6b621b36"/>
          <w:rFonts w:eastAsiaTheme="majorEastAsia"/>
          <w:color w:val="000000"/>
          <w:sz w:val="18"/>
          <w:szCs w:val="26"/>
        </w:rPr>
        <w:t xml:space="preserve"> and </w:t>
      </w:r>
      <w:hyperlink r:id="rId4" w:anchor="{&quot;appno&quot;:[&quot;32684/09&quot;]}" w:tgtFrame="_blank" w:history="1">
        <w:r w:rsidR="00411C20" w:rsidRPr="00702621">
          <w:rPr>
            <w:rStyle w:val="Hyperlink"/>
            <w:rFonts w:cs="Traditional Arabic"/>
            <w:color w:val="000000"/>
            <w:sz w:val="18"/>
            <w:szCs w:val="26"/>
            <w:u w:val="none"/>
          </w:rPr>
          <w:t>32684/09</w:t>
        </w:r>
      </w:hyperlink>
      <w:r w:rsidR="00411C20" w:rsidRPr="00A941CA">
        <w:rPr>
          <w:rStyle w:val="s6b621b36"/>
          <w:rFonts w:eastAsiaTheme="majorEastAsia"/>
          <w:color w:val="000000"/>
          <w:sz w:val="18"/>
          <w:szCs w:val="26"/>
        </w:rPr>
        <w:t xml:space="preserve">, </w:t>
      </w:r>
      <w:r w:rsidR="00411C20" w:rsidRPr="00A941CA">
        <w:rPr>
          <w:rStyle w:val="s6b621b36"/>
          <w:rFonts w:eastAsiaTheme="majorEastAsia"/>
          <w:sz w:val="18"/>
          <w:szCs w:val="26"/>
        </w:rPr>
        <w:t>7 November 2013, paras. 79-81</w:t>
      </w:r>
      <w:r w:rsidR="00411C20" w:rsidRPr="00A941CA">
        <w:rPr>
          <w:rStyle w:val="s6b621b36"/>
          <w:rFonts w:eastAsiaTheme="majorEastAsia"/>
          <w:sz w:val="18"/>
          <w:szCs w:val="26"/>
          <w:rtl/>
        </w:rPr>
        <w:t>.</w:t>
      </w:r>
    </w:p>
  </w:footnote>
  <w:footnote w:id="122">
    <w:p w:rsidR="00411C20" w:rsidRPr="00A941CA" w:rsidRDefault="00A941CA" w:rsidP="006C0DD4">
      <w:pPr>
        <w:pStyle w:val="FootnoteText"/>
        <w:tabs>
          <w:tab w:val="right" w:pos="1021"/>
        </w:tabs>
        <w:spacing w:after="60" w:line="300" w:lineRule="exact"/>
        <w:ind w:left="1247" w:right="1247" w:hanging="1247"/>
        <w:rPr>
          <w:sz w:val="18"/>
          <w:szCs w:val="26"/>
        </w:rPr>
      </w:pPr>
      <w:r w:rsidRPr="00742862">
        <w:rPr>
          <w:rStyle w:val="FootnoteReference"/>
          <w:spacing w:val="-2"/>
          <w:szCs w:val="26"/>
          <w:vertAlign w:val="baseline"/>
          <w:rtl/>
        </w:rPr>
        <w:tab/>
      </w:r>
      <w:r w:rsidR="00411C20" w:rsidRPr="00742862">
        <w:rPr>
          <w:rStyle w:val="FootnoteReference"/>
          <w:spacing w:val="-2"/>
          <w:szCs w:val="26"/>
          <w:vertAlign w:val="baseline"/>
          <w:rtl/>
        </w:rPr>
        <w:t>(</w:t>
      </w:r>
      <w:r w:rsidR="00411C20" w:rsidRPr="00742862">
        <w:rPr>
          <w:rStyle w:val="FootnoteReference"/>
          <w:spacing w:val="-2"/>
          <w:szCs w:val="26"/>
          <w:vertAlign w:val="baseline"/>
          <w:rtl/>
        </w:rPr>
        <w:footnoteRef/>
      </w:r>
      <w:r w:rsidR="00411C20" w:rsidRPr="00742862">
        <w:rPr>
          <w:rStyle w:val="FootnoteReference"/>
          <w:spacing w:val="-2"/>
          <w:szCs w:val="26"/>
          <w:vertAlign w:val="baseline"/>
          <w:rtl/>
        </w:rPr>
        <w:t>)</w:t>
      </w:r>
      <w:r w:rsidR="00411C20" w:rsidRPr="00742862">
        <w:rPr>
          <w:spacing w:val="-2"/>
          <w:sz w:val="18"/>
          <w:szCs w:val="26"/>
          <w:rtl/>
        </w:rPr>
        <w:t xml:space="preserve"> </w:t>
      </w:r>
      <w:r w:rsidRPr="00742862">
        <w:rPr>
          <w:rFonts w:hint="cs"/>
          <w:spacing w:val="-2"/>
          <w:sz w:val="18"/>
          <w:szCs w:val="26"/>
          <w:rtl/>
        </w:rPr>
        <w:tab/>
      </w:r>
      <w:r w:rsidR="00411C20" w:rsidRPr="00742862">
        <w:rPr>
          <w:spacing w:val="-2"/>
          <w:sz w:val="18"/>
          <w:szCs w:val="26"/>
          <w:rtl/>
        </w:rPr>
        <w:t xml:space="preserve">انظر </w:t>
      </w:r>
      <w:r w:rsidR="00411C20" w:rsidRPr="00742862">
        <w:rPr>
          <w:spacing w:val="-2"/>
          <w:sz w:val="18"/>
          <w:szCs w:val="26"/>
        </w:rPr>
        <w:t>CRC/C/GC/15</w:t>
      </w:r>
      <w:r w:rsidR="00411C20" w:rsidRPr="00742862">
        <w:rPr>
          <w:spacing w:val="-2"/>
          <w:sz w:val="18"/>
          <w:szCs w:val="26"/>
          <w:rtl/>
        </w:rPr>
        <w:t xml:space="preserve">، الفقرة 8، </w:t>
      </w:r>
      <w:r w:rsidR="00411C20" w:rsidRPr="00742862">
        <w:rPr>
          <w:spacing w:val="-2"/>
          <w:sz w:val="18"/>
          <w:szCs w:val="26"/>
        </w:rPr>
        <w:t>CRC/C/GAM/CO/2-3</w:t>
      </w:r>
      <w:r w:rsidR="00411C20" w:rsidRPr="00742862">
        <w:rPr>
          <w:spacing w:val="-2"/>
          <w:sz w:val="18"/>
          <w:szCs w:val="26"/>
          <w:rtl/>
        </w:rPr>
        <w:t xml:space="preserve">، الفقرتان 29، 30، </w:t>
      </w:r>
      <w:r w:rsidR="00411C20" w:rsidRPr="00742862">
        <w:rPr>
          <w:rStyle w:val="Emphasis"/>
          <w:color w:val="000000"/>
          <w:spacing w:val="-2"/>
          <w:sz w:val="18"/>
          <w:szCs w:val="26"/>
        </w:rPr>
        <w:t>“Eliminating discrimination</w:t>
      </w:r>
      <w:r w:rsidR="00411C20" w:rsidRPr="00A941CA">
        <w:rPr>
          <w:rStyle w:val="Emphasis"/>
          <w:color w:val="000000"/>
          <w:sz w:val="18"/>
          <w:szCs w:val="26"/>
        </w:rPr>
        <w:t xml:space="preserve"> against children and parents based on sexual orientation and/or gender identity”, UNICEF, position paper no.9, 2014, and </w:t>
      </w:r>
      <w:r w:rsidR="00411C20" w:rsidRPr="00A941CA">
        <w:rPr>
          <w:sz w:val="18"/>
          <w:szCs w:val="26"/>
        </w:rPr>
        <w:t>Inter-American Court of Human Rights, Atala Riffo and daughters v. Chile, 24 February 2012</w:t>
      </w:r>
      <w:r w:rsidR="00411C20" w:rsidRPr="00A941CA">
        <w:rPr>
          <w:sz w:val="18"/>
          <w:szCs w:val="26"/>
          <w:rtl/>
        </w:rPr>
        <w:t>.</w:t>
      </w:r>
    </w:p>
  </w:footnote>
  <w:footnote w:id="123">
    <w:p w:rsidR="00411C20" w:rsidRPr="00A941CA" w:rsidRDefault="00A941CA" w:rsidP="006C0DD4">
      <w:pPr>
        <w:pStyle w:val="FootnoteText"/>
        <w:tabs>
          <w:tab w:val="right" w:pos="1021"/>
        </w:tabs>
        <w:spacing w:after="60" w:line="300" w:lineRule="exact"/>
        <w:ind w:left="1247" w:right="1247" w:hanging="1247"/>
        <w:rPr>
          <w:sz w:val="18"/>
          <w:szCs w:val="26"/>
        </w:rPr>
      </w:pPr>
      <w:r>
        <w:rPr>
          <w:rStyle w:val="FootnoteReference"/>
          <w:szCs w:val="26"/>
          <w:vertAlign w:val="baseline"/>
          <w:rtl/>
        </w:rPr>
        <w:tab/>
      </w:r>
      <w:r w:rsidR="00411C20" w:rsidRPr="00A941CA">
        <w:rPr>
          <w:rStyle w:val="FootnoteReference"/>
          <w:szCs w:val="26"/>
          <w:vertAlign w:val="baseline"/>
          <w:rtl/>
        </w:rPr>
        <w:t>(</w:t>
      </w:r>
      <w:r w:rsidR="00411C20" w:rsidRPr="00A941CA">
        <w:rPr>
          <w:rStyle w:val="FootnoteReference"/>
          <w:szCs w:val="26"/>
          <w:vertAlign w:val="baseline"/>
          <w:rtl/>
        </w:rPr>
        <w:footnoteRef/>
      </w:r>
      <w:r w:rsidR="00411C20" w:rsidRPr="00A941CA">
        <w:rPr>
          <w:rStyle w:val="FootnoteReference"/>
          <w:szCs w:val="26"/>
          <w:vertAlign w:val="baseline"/>
          <w:rtl/>
        </w:rPr>
        <w:t>)</w:t>
      </w:r>
      <w:r w:rsidR="00411C20" w:rsidRPr="00A941CA">
        <w:rPr>
          <w:sz w:val="18"/>
          <w:szCs w:val="26"/>
          <w:rtl/>
        </w:rPr>
        <w:t xml:space="preserve"> </w:t>
      </w:r>
      <w:r>
        <w:rPr>
          <w:rFonts w:hint="cs"/>
          <w:sz w:val="18"/>
          <w:szCs w:val="26"/>
          <w:rtl/>
        </w:rPr>
        <w:tab/>
      </w:r>
      <w:r w:rsidR="00411C20" w:rsidRPr="00A941CA">
        <w:rPr>
          <w:sz w:val="18"/>
          <w:szCs w:val="26"/>
          <w:rtl/>
        </w:rPr>
        <w:t xml:space="preserve">انظر </w:t>
      </w:r>
      <w:r w:rsidR="00411C20" w:rsidRPr="00A941CA">
        <w:rPr>
          <w:sz w:val="18"/>
          <w:szCs w:val="26"/>
        </w:rPr>
        <w:t>CCPR/C/IRL/CO/4</w:t>
      </w:r>
      <w:r w:rsidR="00411C20" w:rsidRPr="00A941CA">
        <w:rPr>
          <w:sz w:val="18"/>
          <w:szCs w:val="26"/>
          <w:rtl/>
        </w:rPr>
        <w:t xml:space="preserve">، الفقرة 7، </w:t>
      </w:r>
      <w:r w:rsidR="00411C20" w:rsidRPr="00A941CA">
        <w:rPr>
          <w:sz w:val="18"/>
          <w:szCs w:val="26"/>
        </w:rPr>
        <w:t>CCPR/C/UKR/CO/7</w:t>
      </w:r>
      <w:r w:rsidR="00411C20" w:rsidRPr="00A941CA">
        <w:rPr>
          <w:sz w:val="18"/>
          <w:szCs w:val="26"/>
          <w:rtl/>
        </w:rPr>
        <w:t xml:space="preserve">، الفقرة 10، </w:t>
      </w:r>
      <w:r w:rsidR="00411C20" w:rsidRPr="00A941CA">
        <w:rPr>
          <w:sz w:val="18"/>
          <w:szCs w:val="26"/>
        </w:rPr>
        <w:t>A/HRC/22/53</w:t>
      </w:r>
      <w:r w:rsidR="00411C20" w:rsidRPr="00A941CA">
        <w:rPr>
          <w:sz w:val="18"/>
          <w:szCs w:val="26"/>
          <w:rtl/>
        </w:rPr>
        <w:t xml:space="preserve">، الفقرة 88، أيضاً </w:t>
      </w:r>
      <w:r w:rsidR="00411C20" w:rsidRPr="00A941CA">
        <w:rPr>
          <w:sz w:val="18"/>
          <w:szCs w:val="26"/>
        </w:rPr>
        <w:t>“Eliminating forced, coercive and otherwise involuntary sterilization: an interagency statement”, OHCHR, UN-Women, UNAIDS, UNDP, UNFPA, UNICEF and WHO, 2014</w:t>
      </w:r>
      <w:r w:rsidR="00411C20" w:rsidRPr="00A941CA">
        <w:rPr>
          <w:sz w:val="18"/>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C20" w:rsidRPr="00D125E2" w:rsidRDefault="00411C20" w:rsidP="00D125E2">
    <w:pPr>
      <w:pStyle w:val="Header"/>
      <w:jc w:val="right"/>
    </w:pPr>
    <w:r w:rsidRPr="00D125E2">
      <w:t>A/HRC/29/23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C20" w:rsidRPr="00D125E2" w:rsidRDefault="00411C20" w:rsidP="00D125E2">
    <w:pPr>
      <w:pStyle w:val="Header"/>
      <w:jc w:val="left"/>
    </w:pPr>
    <w:r w:rsidRPr="00D125E2">
      <w:t>A/HRC/29/23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B02"/>
    <w:multiLevelType w:val="multilevel"/>
    <w:tmpl w:val="059472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3">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5">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7"/>
  </w:num>
  <w:num w:numId="8">
    <w:abstractNumId w:val="1"/>
  </w:num>
  <w:num w:numId="9">
    <w:abstractNumId w:val="4"/>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evenAndOddHeaders/>
  <w:characterSpacingControl w:val="doNotCompress"/>
  <w:hdrShapeDefaults>
    <o:shapedefaults v:ext="edit" spidmax="4098"/>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2037C9"/>
    <w:rsid w:val="000076D5"/>
    <w:rsid w:val="00015FEA"/>
    <w:rsid w:val="00043663"/>
    <w:rsid w:val="000505CF"/>
    <w:rsid w:val="00072A6E"/>
    <w:rsid w:val="000D701C"/>
    <w:rsid w:val="000E2A71"/>
    <w:rsid w:val="00121BF3"/>
    <w:rsid w:val="00152B8D"/>
    <w:rsid w:val="00160263"/>
    <w:rsid w:val="00162348"/>
    <w:rsid w:val="00181F96"/>
    <w:rsid w:val="001A1371"/>
    <w:rsid w:val="001B1E94"/>
    <w:rsid w:val="001B346A"/>
    <w:rsid w:val="001E1CAD"/>
    <w:rsid w:val="001E290D"/>
    <w:rsid w:val="002037C9"/>
    <w:rsid w:val="002144FA"/>
    <w:rsid w:val="0023469A"/>
    <w:rsid w:val="00243C8A"/>
    <w:rsid w:val="00267A0E"/>
    <w:rsid w:val="002901D9"/>
    <w:rsid w:val="002976C2"/>
    <w:rsid w:val="002C0684"/>
    <w:rsid w:val="002C1E1C"/>
    <w:rsid w:val="003260FF"/>
    <w:rsid w:val="00343D95"/>
    <w:rsid w:val="00374341"/>
    <w:rsid w:val="00375C65"/>
    <w:rsid w:val="003D1062"/>
    <w:rsid w:val="00411C20"/>
    <w:rsid w:val="00420D7B"/>
    <w:rsid w:val="00430087"/>
    <w:rsid w:val="00431C0A"/>
    <w:rsid w:val="004376E2"/>
    <w:rsid w:val="00450B21"/>
    <w:rsid w:val="00453B63"/>
    <w:rsid w:val="00455780"/>
    <w:rsid w:val="00462D95"/>
    <w:rsid w:val="00470868"/>
    <w:rsid w:val="004B0A1C"/>
    <w:rsid w:val="004D298E"/>
    <w:rsid w:val="004F11B6"/>
    <w:rsid w:val="0054472E"/>
    <w:rsid w:val="005662A9"/>
    <w:rsid w:val="005700C4"/>
    <w:rsid w:val="005827D4"/>
    <w:rsid w:val="0059622A"/>
    <w:rsid w:val="005C5878"/>
    <w:rsid w:val="005C7CEA"/>
    <w:rsid w:val="005D3C0B"/>
    <w:rsid w:val="005E4572"/>
    <w:rsid w:val="005E5217"/>
    <w:rsid w:val="005F0FA4"/>
    <w:rsid w:val="005F30EE"/>
    <w:rsid w:val="0060473A"/>
    <w:rsid w:val="00656392"/>
    <w:rsid w:val="006577F9"/>
    <w:rsid w:val="0066304F"/>
    <w:rsid w:val="0068781D"/>
    <w:rsid w:val="006959B0"/>
    <w:rsid w:val="006B3E27"/>
    <w:rsid w:val="006B6507"/>
    <w:rsid w:val="006C0DD4"/>
    <w:rsid w:val="006C104C"/>
    <w:rsid w:val="00702621"/>
    <w:rsid w:val="00733704"/>
    <w:rsid w:val="00742862"/>
    <w:rsid w:val="0078071A"/>
    <w:rsid w:val="007A36C5"/>
    <w:rsid w:val="00824148"/>
    <w:rsid w:val="0083195B"/>
    <w:rsid w:val="00850E1C"/>
    <w:rsid w:val="00852A9A"/>
    <w:rsid w:val="008F49E1"/>
    <w:rsid w:val="0090370F"/>
    <w:rsid w:val="00903AB6"/>
    <w:rsid w:val="009269D2"/>
    <w:rsid w:val="00930A86"/>
    <w:rsid w:val="00942135"/>
    <w:rsid w:val="009521B0"/>
    <w:rsid w:val="00963411"/>
    <w:rsid w:val="00994130"/>
    <w:rsid w:val="009A7E9F"/>
    <w:rsid w:val="009E5018"/>
    <w:rsid w:val="009F47B3"/>
    <w:rsid w:val="00A12B37"/>
    <w:rsid w:val="00A25324"/>
    <w:rsid w:val="00A63258"/>
    <w:rsid w:val="00A9032F"/>
    <w:rsid w:val="00A90F50"/>
    <w:rsid w:val="00A941CA"/>
    <w:rsid w:val="00AB6758"/>
    <w:rsid w:val="00B13763"/>
    <w:rsid w:val="00B477A4"/>
    <w:rsid w:val="00B54045"/>
    <w:rsid w:val="00B756AF"/>
    <w:rsid w:val="00B84054"/>
    <w:rsid w:val="00C438D7"/>
    <w:rsid w:val="00C81B50"/>
    <w:rsid w:val="00CB28F9"/>
    <w:rsid w:val="00CD1801"/>
    <w:rsid w:val="00CD6281"/>
    <w:rsid w:val="00D10EF1"/>
    <w:rsid w:val="00D125E2"/>
    <w:rsid w:val="00D15410"/>
    <w:rsid w:val="00D42810"/>
    <w:rsid w:val="00D914A7"/>
    <w:rsid w:val="00DB71D5"/>
    <w:rsid w:val="00DD13C3"/>
    <w:rsid w:val="00DD596E"/>
    <w:rsid w:val="00DD621E"/>
    <w:rsid w:val="00DE36FD"/>
    <w:rsid w:val="00DF0575"/>
    <w:rsid w:val="00E5487B"/>
    <w:rsid w:val="00E672BA"/>
    <w:rsid w:val="00E70E04"/>
    <w:rsid w:val="00E76499"/>
    <w:rsid w:val="00EC05A7"/>
    <w:rsid w:val="00EC4B6B"/>
    <w:rsid w:val="00ED2F7F"/>
    <w:rsid w:val="00EF1EE5"/>
    <w:rsid w:val="00F059E2"/>
    <w:rsid w:val="00F6454F"/>
    <w:rsid w:val="00F64749"/>
    <w:rsid w:val="00F763B4"/>
    <w:rsid w:val="00F900C3"/>
    <w:rsid w:val="00FE0F06"/>
    <w:rsid w:val="00FF2AB2"/>
    <w:rsid w:val="00FF34CD"/>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page number" w:uiPriority="0" w:qFormat="1"/>
    <w:lsdException w:name="endnote text" w:qFormat="1"/>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Char,Footnote Text Char Char Char1,Footnote Text Char1 Char Char Char,Footnote Text Char Char Char Char Char,Footnote Text Char Char1 Char,Footnote Text Char1 Char Char1,Footnote Text Char Char Char Char1,Char Char"/>
    <w:basedOn w:val="Normal"/>
    <w:link w:val="FootnoteTextChar"/>
    <w:uiPriority w:val="99"/>
    <w:unhideWhenUsed/>
    <w:rsid w:val="001A1371"/>
    <w:pPr>
      <w:spacing w:line="240" w:lineRule="auto"/>
    </w:pPr>
    <w:rPr>
      <w:szCs w:val="20"/>
    </w:rPr>
  </w:style>
  <w:style w:type="character" w:customStyle="1" w:styleId="FootnoteTextChar">
    <w:name w:val="Footnote Text Char"/>
    <w:aliases w:val="5_G Char Char1,Footnote Text Char Char Char1 Char1,Footnote Text Char1 Char Char Char Char1,Footnote Text Char Char Char Char Char Char1,Footnote Text Char Char1 Char Char1,Footnote Text Char1 Char Char1 Char1,Char Char Char3"/>
    <w:basedOn w:val="DefaultParagraphFont"/>
    <w:link w:val="FootnoteText"/>
    <w:uiPriority w:val="99"/>
    <w:semiHidden/>
    <w:rsid w:val="001A1371"/>
    <w:rPr>
      <w:sz w:val="20"/>
      <w:szCs w:val="20"/>
    </w:rPr>
  </w:style>
  <w:style w:type="character" w:styleId="FootnoteReference">
    <w:name w:val="footnote reference"/>
    <w:aliases w:val="4_GA"/>
    <w:basedOn w:val="DefaultParagraphFont"/>
    <w:uiPriority w:val="99"/>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uiPriority w:val="99"/>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7A36C5"/>
    <w:pPr>
      <w:keepNext/>
      <w:keepLines/>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uiPriority w:val="99"/>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uiPriority w:val="99"/>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uiPriority w:val="99"/>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uiPriority w:val="99"/>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uiPriority w:val="99"/>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uiPriority w:val="99"/>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99"/>
    <w:qFormat/>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99"/>
    <w:qFormat/>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uiPriority w:val="99"/>
    <w:rsid w:val="00D125E2"/>
    <w:pPr>
      <w:suppressAutoHyphens/>
      <w:bidi w:val="0"/>
      <w:spacing w:after="120"/>
      <w:ind w:left="1134" w:right="1134"/>
      <w:jc w:val="both"/>
    </w:pPr>
    <w:rPr>
      <w:rFonts w:eastAsia="Calibri" w:cs="Times New Roman"/>
      <w:szCs w:val="20"/>
      <w:lang w:val="en-GB"/>
    </w:rPr>
  </w:style>
  <w:style w:type="character" w:customStyle="1" w:styleId="SingleTxtGChar">
    <w:name w:val="_ Single Txt_G Char"/>
    <w:link w:val="SingleTxtG"/>
    <w:uiPriority w:val="99"/>
    <w:locked/>
    <w:rsid w:val="00D125E2"/>
    <w:rPr>
      <w:rFonts w:ascii="Times New Roman" w:eastAsia="Calibri" w:hAnsi="Times New Roman" w:cs="Times New Roman"/>
      <w:sz w:val="20"/>
      <w:szCs w:val="20"/>
      <w:lang w:val="en-GB"/>
    </w:rPr>
  </w:style>
  <w:style w:type="character" w:styleId="CommentReference">
    <w:name w:val="annotation reference"/>
    <w:basedOn w:val="DefaultParagraphFont"/>
    <w:uiPriority w:val="99"/>
    <w:semiHidden/>
    <w:rsid w:val="00D125E2"/>
    <w:rPr>
      <w:rFonts w:cs="Times New Roman"/>
      <w:sz w:val="16"/>
    </w:rPr>
  </w:style>
  <w:style w:type="paragraph" w:styleId="CommentText">
    <w:name w:val="annotation text"/>
    <w:basedOn w:val="Normal"/>
    <w:link w:val="CommentTextChar"/>
    <w:uiPriority w:val="99"/>
    <w:semiHidden/>
    <w:rsid w:val="00D125E2"/>
    <w:pPr>
      <w:spacing w:line="240" w:lineRule="auto"/>
    </w:pPr>
    <w:rPr>
      <w:rFonts w:eastAsia="Calibri" w:cs="Times New Roman"/>
      <w:szCs w:val="20"/>
    </w:rPr>
  </w:style>
  <w:style w:type="character" w:customStyle="1" w:styleId="CommentTextChar">
    <w:name w:val="Comment Text Char"/>
    <w:basedOn w:val="DefaultParagraphFont"/>
    <w:link w:val="CommentText"/>
    <w:uiPriority w:val="99"/>
    <w:semiHidden/>
    <w:rsid w:val="00D125E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D125E2"/>
    <w:rPr>
      <w:b/>
      <w:bCs/>
    </w:rPr>
  </w:style>
  <w:style w:type="character" w:customStyle="1" w:styleId="CommentSubjectChar">
    <w:name w:val="Comment Subject Char"/>
    <w:basedOn w:val="CommentTextChar"/>
    <w:link w:val="CommentSubject"/>
    <w:uiPriority w:val="99"/>
    <w:semiHidden/>
    <w:rsid w:val="00D125E2"/>
    <w:rPr>
      <w:rFonts w:ascii="Times New Roman" w:eastAsia="Calibri" w:hAnsi="Times New Roman" w:cs="Times New Roman"/>
      <w:b/>
      <w:bCs/>
      <w:sz w:val="20"/>
      <w:szCs w:val="20"/>
    </w:rPr>
  </w:style>
  <w:style w:type="character" w:styleId="Hyperlink">
    <w:name w:val="Hyperlink"/>
    <w:basedOn w:val="DefaultParagraphFont"/>
    <w:uiPriority w:val="99"/>
    <w:rsid w:val="00D125E2"/>
    <w:rPr>
      <w:rFonts w:cs="Times New Roman"/>
      <w:color w:val="0000FF"/>
      <w:u w:val="single"/>
    </w:rPr>
  </w:style>
  <w:style w:type="character" w:customStyle="1" w:styleId="FootnoteTextChar1">
    <w:name w:val="Footnote Text Char1"/>
    <w:aliases w:val="Footnote Text Char Char,5_G Char Char,Footnote Text Char Char Char1 Char,Footnote Text Char1 Char Char Char Char,Footnote Text Char Char Char Char Char Char,Footnote Text Char Char1 Char Char,Footnote Text Char1 Char Char1 Char"/>
    <w:basedOn w:val="DefaultParagraphFont"/>
    <w:uiPriority w:val="99"/>
    <w:semiHidden/>
    <w:locked/>
    <w:rsid w:val="00D125E2"/>
    <w:rPr>
      <w:rFonts w:ascii="Times New Roman" w:hAnsi="Times New Roman" w:cs="Traditional Arabic"/>
      <w:sz w:val="20"/>
      <w:szCs w:val="20"/>
    </w:rPr>
  </w:style>
  <w:style w:type="character" w:customStyle="1" w:styleId="apple-converted-space">
    <w:name w:val="apple-converted-space"/>
    <w:uiPriority w:val="99"/>
    <w:rsid w:val="00D125E2"/>
  </w:style>
  <w:style w:type="character" w:customStyle="1" w:styleId="hvr">
    <w:name w:val="hvr"/>
    <w:uiPriority w:val="99"/>
    <w:rsid w:val="00D125E2"/>
  </w:style>
  <w:style w:type="character" w:customStyle="1" w:styleId="illustration">
    <w:name w:val="illustration"/>
    <w:uiPriority w:val="99"/>
    <w:rsid w:val="00D125E2"/>
  </w:style>
  <w:style w:type="character" w:styleId="FollowedHyperlink">
    <w:name w:val="FollowedHyperlink"/>
    <w:basedOn w:val="DefaultParagraphFont"/>
    <w:uiPriority w:val="99"/>
    <w:semiHidden/>
    <w:rsid w:val="00D125E2"/>
    <w:rPr>
      <w:rFonts w:cs="Times New Roman"/>
      <w:color w:val="800080"/>
      <w:u w:val="single"/>
    </w:rPr>
  </w:style>
  <w:style w:type="character" w:customStyle="1" w:styleId="foundtrm">
    <w:name w:val="foundtrm"/>
    <w:uiPriority w:val="99"/>
    <w:rsid w:val="00D125E2"/>
  </w:style>
  <w:style w:type="paragraph" w:styleId="NormalWeb">
    <w:name w:val="Normal (Web)"/>
    <w:basedOn w:val="Normal"/>
    <w:uiPriority w:val="99"/>
    <w:semiHidden/>
    <w:rsid w:val="00D125E2"/>
    <w:pPr>
      <w:bidi w:val="0"/>
      <w:spacing w:before="100" w:beforeAutospacing="1" w:after="100" w:afterAutospacing="1" w:line="240" w:lineRule="auto"/>
      <w:jc w:val="left"/>
    </w:pPr>
    <w:rPr>
      <w:rFonts w:cs="Times New Roman"/>
      <w:sz w:val="24"/>
      <w:szCs w:val="24"/>
    </w:rPr>
  </w:style>
  <w:style w:type="character" w:customStyle="1" w:styleId="highlight">
    <w:name w:val="highlight"/>
    <w:uiPriority w:val="99"/>
    <w:rsid w:val="00D125E2"/>
  </w:style>
  <w:style w:type="character" w:customStyle="1" w:styleId="tgc">
    <w:name w:val="_tgc"/>
    <w:basedOn w:val="DefaultParagraphFont"/>
    <w:uiPriority w:val="99"/>
    <w:rsid w:val="00D125E2"/>
    <w:rPr>
      <w:rFonts w:cs="Times New Roman"/>
    </w:rPr>
  </w:style>
  <w:style w:type="character" w:customStyle="1" w:styleId="yiv1416656872">
    <w:name w:val="yiv1416656872"/>
    <w:basedOn w:val="DefaultParagraphFont"/>
    <w:uiPriority w:val="99"/>
    <w:rsid w:val="00D125E2"/>
    <w:rPr>
      <w:rFonts w:cs="Times New Roman"/>
    </w:rPr>
  </w:style>
  <w:style w:type="character" w:customStyle="1" w:styleId="CharCharChar">
    <w:name w:val="Char Char Char"/>
    <w:aliases w:val="Char Char1,fn Char Char"/>
    <w:uiPriority w:val="99"/>
    <w:rsid w:val="00D125E2"/>
    <w:rPr>
      <w:lang w:eastAsia="en-US"/>
    </w:rPr>
  </w:style>
  <w:style w:type="character" w:customStyle="1" w:styleId="FootnoteTextCharCharChar2">
    <w:name w:val="Footnote Text Char Char Char2"/>
    <w:aliases w:val="Footnote Text Char1 Char Char Char1,Footnote Text Char Char Char Char Char1,Footnote Text Char Char1 Char1,Footnote Text Char1 Char Char2,Footnote Text Char Char Char Char2,Char Char Char1,Char Char Char2"/>
    <w:uiPriority w:val="99"/>
    <w:locked/>
    <w:rsid w:val="00D125E2"/>
    <w:rPr>
      <w:sz w:val="18"/>
      <w:lang w:val="en-GB" w:eastAsia="en-US"/>
    </w:rPr>
  </w:style>
  <w:style w:type="character" w:customStyle="1" w:styleId="s6b621b36">
    <w:name w:val="s6b621b36"/>
    <w:uiPriority w:val="99"/>
    <w:rsid w:val="00D125E2"/>
  </w:style>
  <w:style w:type="paragraph" w:styleId="Revision">
    <w:name w:val="Revision"/>
    <w:hidden/>
    <w:uiPriority w:val="99"/>
    <w:semiHidden/>
    <w:rsid w:val="00D125E2"/>
    <w:pPr>
      <w:spacing w:after="0" w:line="240" w:lineRule="auto"/>
    </w:pPr>
    <w:rPr>
      <w:rFonts w:ascii="Times New Roman" w:eastAsia="Calibri" w:hAnsi="Times New Roman" w:cs="Traditional Arabic"/>
      <w:sz w:val="20"/>
      <w:szCs w:val="30"/>
    </w:rPr>
  </w:style>
  <w:style w:type="paragraph" w:styleId="TOC1">
    <w:name w:val="toc 1"/>
    <w:basedOn w:val="Normal"/>
    <w:next w:val="Normal"/>
    <w:autoRedefine/>
    <w:uiPriority w:val="39"/>
    <w:unhideWhenUsed/>
    <w:rsid w:val="002C1E1C"/>
    <w:pPr>
      <w:spacing w:after="100"/>
    </w:pPr>
  </w:style>
  <w:style w:type="paragraph" w:styleId="TOC2">
    <w:name w:val="toc 2"/>
    <w:basedOn w:val="Normal"/>
    <w:next w:val="Normal"/>
    <w:autoRedefine/>
    <w:uiPriority w:val="39"/>
    <w:unhideWhenUsed/>
    <w:rsid w:val="002C1E1C"/>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page number" w:uiPriority="0" w:qFormat="1"/>
    <w:lsdException w:name="endnote text" w:qFormat="1"/>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Char,Footnote Text Char Char Char1,Footnote Text Char1 Char Char Char,Footnote Text Char Char Char Char Char,Footnote Text Char Char1 Char,Footnote Text Char1 Char Char1,Footnote Text Char Char Char Char1,Char Char"/>
    <w:basedOn w:val="Normal"/>
    <w:link w:val="FootnoteTextChar"/>
    <w:uiPriority w:val="99"/>
    <w:unhideWhenUsed/>
    <w:rsid w:val="001A1371"/>
    <w:pPr>
      <w:spacing w:line="240" w:lineRule="auto"/>
    </w:pPr>
    <w:rPr>
      <w:szCs w:val="20"/>
    </w:rPr>
  </w:style>
  <w:style w:type="character" w:customStyle="1" w:styleId="FootnoteTextChar">
    <w:name w:val="Footnote Text Char"/>
    <w:aliases w:val="5_G Char Char1,Footnote Text Char Char Char1 Char1,Footnote Text Char1 Char Char Char Char1,Footnote Text Char Char Char Char Char Char1,Footnote Text Char Char1 Char Char1,Footnote Text Char1 Char Char1 Char1,Char Char Char3"/>
    <w:basedOn w:val="DefaultParagraphFont"/>
    <w:link w:val="FootnoteText"/>
    <w:uiPriority w:val="99"/>
    <w:semiHidden/>
    <w:rsid w:val="001A1371"/>
    <w:rPr>
      <w:sz w:val="20"/>
      <w:szCs w:val="20"/>
    </w:rPr>
  </w:style>
  <w:style w:type="character" w:styleId="FootnoteReference">
    <w:name w:val="footnote reference"/>
    <w:aliases w:val="4_GA"/>
    <w:basedOn w:val="DefaultParagraphFont"/>
    <w:uiPriority w:val="99"/>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uiPriority w:val="99"/>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7A36C5"/>
    <w:pPr>
      <w:keepNext/>
      <w:keepLines/>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uiPriority w:val="99"/>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uiPriority w:val="99"/>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uiPriority w:val="99"/>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uiPriority w:val="99"/>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uiPriority w:val="99"/>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uiPriority w:val="99"/>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99"/>
    <w:qFormat/>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99"/>
    <w:qFormat/>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uiPriority w:val="99"/>
    <w:rsid w:val="00D125E2"/>
    <w:pPr>
      <w:suppressAutoHyphens/>
      <w:bidi w:val="0"/>
      <w:spacing w:after="120"/>
      <w:ind w:left="1134" w:right="1134"/>
      <w:jc w:val="both"/>
    </w:pPr>
    <w:rPr>
      <w:rFonts w:eastAsia="Calibri" w:cs="Times New Roman"/>
      <w:szCs w:val="20"/>
      <w:lang w:val="en-GB"/>
    </w:rPr>
  </w:style>
  <w:style w:type="character" w:customStyle="1" w:styleId="SingleTxtGChar">
    <w:name w:val="_ Single Txt_G Char"/>
    <w:link w:val="SingleTxtG"/>
    <w:uiPriority w:val="99"/>
    <w:locked/>
    <w:rsid w:val="00D125E2"/>
    <w:rPr>
      <w:rFonts w:ascii="Times New Roman" w:eastAsia="Calibri" w:hAnsi="Times New Roman" w:cs="Times New Roman"/>
      <w:sz w:val="20"/>
      <w:szCs w:val="20"/>
      <w:lang w:val="en-GB"/>
    </w:rPr>
  </w:style>
  <w:style w:type="character" w:styleId="CommentReference">
    <w:name w:val="annotation reference"/>
    <w:basedOn w:val="DefaultParagraphFont"/>
    <w:uiPriority w:val="99"/>
    <w:semiHidden/>
    <w:rsid w:val="00D125E2"/>
    <w:rPr>
      <w:rFonts w:cs="Times New Roman"/>
      <w:sz w:val="16"/>
    </w:rPr>
  </w:style>
  <w:style w:type="paragraph" w:styleId="CommentText">
    <w:name w:val="annotation text"/>
    <w:basedOn w:val="Normal"/>
    <w:link w:val="CommentTextChar"/>
    <w:uiPriority w:val="99"/>
    <w:semiHidden/>
    <w:rsid w:val="00D125E2"/>
    <w:pPr>
      <w:spacing w:line="240" w:lineRule="auto"/>
    </w:pPr>
    <w:rPr>
      <w:rFonts w:eastAsia="Calibri" w:cs="Times New Roman"/>
      <w:szCs w:val="20"/>
    </w:rPr>
  </w:style>
  <w:style w:type="character" w:customStyle="1" w:styleId="CommentTextChar">
    <w:name w:val="Comment Text Char"/>
    <w:basedOn w:val="DefaultParagraphFont"/>
    <w:link w:val="CommentText"/>
    <w:uiPriority w:val="99"/>
    <w:semiHidden/>
    <w:rsid w:val="00D125E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D125E2"/>
    <w:rPr>
      <w:b/>
      <w:bCs/>
    </w:rPr>
  </w:style>
  <w:style w:type="character" w:customStyle="1" w:styleId="CommentSubjectChar">
    <w:name w:val="Comment Subject Char"/>
    <w:basedOn w:val="CommentTextChar"/>
    <w:link w:val="CommentSubject"/>
    <w:uiPriority w:val="99"/>
    <w:semiHidden/>
    <w:rsid w:val="00D125E2"/>
    <w:rPr>
      <w:rFonts w:ascii="Times New Roman" w:eastAsia="Calibri" w:hAnsi="Times New Roman" w:cs="Times New Roman"/>
      <w:b/>
      <w:bCs/>
      <w:sz w:val="20"/>
      <w:szCs w:val="20"/>
    </w:rPr>
  </w:style>
  <w:style w:type="character" w:styleId="Hyperlink">
    <w:name w:val="Hyperlink"/>
    <w:basedOn w:val="DefaultParagraphFont"/>
    <w:uiPriority w:val="99"/>
    <w:rsid w:val="00D125E2"/>
    <w:rPr>
      <w:rFonts w:cs="Times New Roman"/>
      <w:color w:val="0000FF"/>
      <w:u w:val="single"/>
    </w:rPr>
  </w:style>
  <w:style w:type="character" w:customStyle="1" w:styleId="FootnoteTextChar1">
    <w:name w:val="Footnote Text Char1"/>
    <w:aliases w:val="Footnote Text Char Char,5_G Char Char,Footnote Text Char Char Char1 Char,Footnote Text Char1 Char Char Char Char,Footnote Text Char Char Char Char Char Char,Footnote Text Char Char1 Char Char,Footnote Text Char1 Char Char1 Char"/>
    <w:basedOn w:val="DefaultParagraphFont"/>
    <w:uiPriority w:val="99"/>
    <w:semiHidden/>
    <w:locked/>
    <w:rsid w:val="00D125E2"/>
    <w:rPr>
      <w:rFonts w:ascii="Times New Roman" w:hAnsi="Times New Roman" w:cs="Traditional Arabic"/>
      <w:sz w:val="20"/>
      <w:szCs w:val="20"/>
    </w:rPr>
  </w:style>
  <w:style w:type="character" w:customStyle="1" w:styleId="apple-converted-space">
    <w:name w:val="apple-converted-space"/>
    <w:uiPriority w:val="99"/>
    <w:rsid w:val="00D125E2"/>
  </w:style>
  <w:style w:type="character" w:customStyle="1" w:styleId="hvr">
    <w:name w:val="hvr"/>
    <w:uiPriority w:val="99"/>
    <w:rsid w:val="00D125E2"/>
  </w:style>
  <w:style w:type="character" w:customStyle="1" w:styleId="illustration">
    <w:name w:val="illustration"/>
    <w:uiPriority w:val="99"/>
    <w:rsid w:val="00D125E2"/>
  </w:style>
  <w:style w:type="character" w:styleId="FollowedHyperlink">
    <w:name w:val="FollowedHyperlink"/>
    <w:basedOn w:val="DefaultParagraphFont"/>
    <w:uiPriority w:val="99"/>
    <w:semiHidden/>
    <w:rsid w:val="00D125E2"/>
    <w:rPr>
      <w:rFonts w:cs="Times New Roman"/>
      <w:color w:val="800080"/>
      <w:u w:val="single"/>
    </w:rPr>
  </w:style>
  <w:style w:type="character" w:customStyle="1" w:styleId="foundtrm">
    <w:name w:val="foundtrm"/>
    <w:uiPriority w:val="99"/>
    <w:rsid w:val="00D125E2"/>
  </w:style>
  <w:style w:type="paragraph" w:styleId="NormalWeb">
    <w:name w:val="Normal (Web)"/>
    <w:basedOn w:val="Normal"/>
    <w:uiPriority w:val="99"/>
    <w:semiHidden/>
    <w:rsid w:val="00D125E2"/>
    <w:pPr>
      <w:bidi w:val="0"/>
      <w:spacing w:before="100" w:beforeAutospacing="1" w:after="100" w:afterAutospacing="1" w:line="240" w:lineRule="auto"/>
      <w:jc w:val="left"/>
    </w:pPr>
    <w:rPr>
      <w:rFonts w:cs="Times New Roman"/>
      <w:sz w:val="24"/>
      <w:szCs w:val="24"/>
    </w:rPr>
  </w:style>
  <w:style w:type="character" w:customStyle="1" w:styleId="highlight">
    <w:name w:val="highlight"/>
    <w:uiPriority w:val="99"/>
    <w:rsid w:val="00D125E2"/>
  </w:style>
  <w:style w:type="character" w:customStyle="1" w:styleId="tgc">
    <w:name w:val="_tgc"/>
    <w:basedOn w:val="DefaultParagraphFont"/>
    <w:uiPriority w:val="99"/>
    <w:rsid w:val="00D125E2"/>
    <w:rPr>
      <w:rFonts w:cs="Times New Roman"/>
    </w:rPr>
  </w:style>
  <w:style w:type="character" w:customStyle="1" w:styleId="yiv1416656872">
    <w:name w:val="yiv1416656872"/>
    <w:basedOn w:val="DefaultParagraphFont"/>
    <w:uiPriority w:val="99"/>
    <w:rsid w:val="00D125E2"/>
    <w:rPr>
      <w:rFonts w:cs="Times New Roman"/>
    </w:rPr>
  </w:style>
  <w:style w:type="character" w:customStyle="1" w:styleId="CharCharChar">
    <w:name w:val="Char Char Char"/>
    <w:aliases w:val="Char Char1,fn Char Char"/>
    <w:uiPriority w:val="99"/>
    <w:rsid w:val="00D125E2"/>
    <w:rPr>
      <w:lang w:eastAsia="en-US"/>
    </w:rPr>
  </w:style>
  <w:style w:type="character" w:customStyle="1" w:styleId="FootnoteTextCharCharChar2">
    <w:name w:val="Footnote Text Char Char Char2"/>
    <w:aliases w:val="Footnote Text Char1 Char Char Char1,Footnote Text Char Char Char Char Char1,Footnote Text Char Char1 Char1,Footnote Text Char1 Char Char2,Footnote Text Char Char Char Char2,Char Char Char1,Char Char Char2"/>
    <w:uiPriority w:val="99"/>
    <w:locked/>
    <w:rsid w:val="00D125E2"/>
    <w:rPr>
      <w:sz w:val="18"/>
      <w:lang w:val="en-GB" w:eastAsia="en-US"/>
    </w:rPr>
  </w:style>
  <w:style w:type="character" w:customStyle="1" w:styleId="s6b621b36">
    <w:name w:val="s6b621b36"/>
    <w:uiPriority w:val="99"/>
    <w:rsid w:val="00D125E2"/>
  </w:style>
  <w:style w:type="paragraph" w:styleId="Revision">
    <w:name w:val="Revision"/>
    <w:hidden/>
    <w:uiPriority w:val="99"/>
    <w:semiHidden/>
    <w:rsid w:val="00D125E2"/>
    <w:pPr>
      <w:spacing w:after="0" w:line="240" w:lineRule="auto"/>
    </w:pPr>
    <w:rPr>
      <w:rFonts w:ascii="Times New Roman" w:eastAsia="Calibri" w:hAnsi="Times New Roman" w:cs="Traditional Arabic"/>
      <w:sz w:val="20"/>
      <w:szCs w:val="30"/>
    </w:rPr>
  </w:style>
  <w:style w:type="paragraph" w:styleId="TOC1">
    <w:name w:val="toc 1"/>
    <w:basedOn w:val="Normal"/>
    <w:next w:val="Normal"/>
    <w:autoRedefine/>
    <w:uiPriority w:val="39"/>
    <w:unhideWhenUsed/>
    <w:rsid w:val="002C1E1C"/>
    <w:pPr>
      <w:spacing w:after="100"/>
    </w:pPr>
  </w:style>
  <w:style w:type="paragraph" w:styleId="TOC2">
    <w:name w:val="toc 2"/>
    <w:basedOn w:val="Normal"/>
    <w:next w:val="Normal"/>
    <w:autoRedefine/>
    <w:uiPriority w:val="39"/>
    <w:unhideWhenUsed/>
    <w:rsid w:val="002C1E1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europarl.europa.eu/oeil/popups/ficheprocedure.do?lang=en&amp;reference=2013/2183(INI)"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hudoc.echr.coe.int/sites/eng/pages/search.aspx" TargetMode="External"/><Relationship Id="rId2" Type="http://schemas.openxmlformats.org/officeDocument/2006/relationships/hyperlink" Target="http://www.un.org/Docs/journal/asp/ws.asp?m=CEDAW/C/KGZ/CO/4" TargetMode="External"/><Relationship Id="rId1" Type="http://schemas.openxmlformats.org/officeDocument/2006/relationships/hyperlink" Target="http://www.un.org/Docs/journal/asp/ws.asp?m=A/HRC/19/61/Add.4" TargetMode="External"/><Relationship Id="rId4" Type="http://schemas.openxmlformats.org/officeDocument/2006/relationships/hyperlink" Target="http://hudoc.echr.coe.int/sites/eng/pages/searc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41976-4ABC-4AFD-850B-2037F786839A}"/>
</file>

<file path=customXml/itemProps2.xml><?xml version="1.0" encoding="utf-8"?>
<ds:datastoreItem xmlns:ds="http://schemas.openxmlformats.org/officeDocument/2006/customXml" ds:itemID="{EA70E971-F75B-4014-99B1-A98BD71EAC7A}"/>
</file>

<file path=customXml/itemProps3.xml><?xml version="1.0" encoding="utf-8"?>
<ds:datastoreItem xmlns:ds="http://schemas.openxmlformats.org/officeDocument/2006/customXml" ds:itemID="{A6324BB2-3A2F-4136-BD68-15513FE21F03}"/>
</file>

<file path=customXml/itemProps4.xml><?xml version="1.0" encoding="utf-8"?>
<ds:datastoreItem xmlns:ds="http://schemas.openxmlformats.org/officeDocument/2006/customXml" ds:itemID="{DF28B26E-4E8F-4F8E-9171-B0C4FEB95700}"/>
</file>

<file path=docProps/app.xml><?xml version="1.0" encoding="utf-8"?>
<Properties xmlns="http://schemas.openxmlformats.org/officeDocument/2006/extended-properties" xmlns:vt="http://schemas.openxmlformats.org/officeDocument/2006/docPropsVTypes">
  <Template>A.dotm</Template>
  <TotalTime>0</TotalTime>
  <Pages>30</Pages>
  <Words>7972</Words>
  <Characters>45444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A/HRC/29/23</vt:lpstr>
    </vt:vector>
  </TitlesOfParts>
  <Company>DCM</Company>
  <LinksUpToDate>false</LinksUpToDate>
  <CharactersWithSpaces>53310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of report A/HRC/19/41 (on discriminatory laws and practices and acts of violence against individuals based on their sexual orientation and gender identity) in Arabic</dc:title>
  <dc:subject>MONA ALY/AMIN</dc:subject>
  <dc:creator>Bahnassawy Mohamed</dc:creator>
  <cp:lastModifiedBy>Bahnassawy Mohamed</cp:lastModifiedBy>
  <cp:revision>2</cp:revision>
  <dcterms:created xsi:type="dcterms:W3CDTF">2015-06-01T13:08:00Z</dcterms:created>
  <dcterms:modified xsi:type="dcterms:W3CDTF">2015-06-01T13:08:00Z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26200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