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3F78EB"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3F78EB" w:rsidRDefault="00B3317B" w:rsidP="0022130F">
            <w:pPr>
              <w:spacing w:after="80" w:line="300" w:lineRule="exact"/>
              <w:rPr>
                <w:sz w:val="28"/>
                <w:szCs w:val="28"/>
              </w:rPr>
            </w:pPr>
            <w:r w:rsidRPr="003F78EB">
              <w:rPr>
                <w:sz w:val="28"/>
                <w:szCs w:val="28"/>
              </w:rPr>
              <w:t>United Nations</w:t>
            </w:r>
          </w:p>
        </w:tc>
        <w:tc>
          <w:tcPr>
            <w:tcW w:w="6144" w:type="dxa"/>
            <w:gridSpan w:val="2"/>
            <w:tcBorders>
              <w:top w:val="nil"/>
              <w:left w:val="nil"/>
              <w:bottom w:val="single" w:sz="4" w:space="0" w:color="auto"/>
              <w:right w:val="nil"/>
            </w:tcBorders>
            <w:vAlign w:val="bottom"/>
          </w:tcPr>
          <w:p w:rsidR="00446DE4" w:rsidRPr="003F78EB" w:rsidRDefault="000230DC" w:rsidP="000230DC">
            <w:pPr>
              <w:jc w:val="right"/>
            </w:pPr>
            <w:r w:rsidRPr="003F78EB">
              <w:rPr>
                <w:sz w:val="40"/>
              </w:rPr>
              <w:t>A</w:t>
            </w:r>
            <w:r w:rsidRPr="003F78EB">
              <w:t>/HRC/29/28</w:t>
            </w:r>
          </w:p>
        </w:tc>
      </w:tr>
      <w:tr w:rsidR="003107FA" w:rsidRPr="003F78EB" w:rsidTr="00E806EE">
        <w:trPr>
          <w:trHeight w:val="2835"/>
        </w:trPr>
        <w:tc>
          <w:tcPr>
            <w:tcW w:w="1259" w:type="dxa"/>
            <w:tcBorders>
              <w:top w:val="single" w:sz="4" w:space="0" w:color="auto"/>
              <w:left w:val="nil"/>
              <w:bottom w:val="single" w:sz="12" w:space="0" w:color="auto"/>
              <w:right w:val="nil"/>
            </w:tcBorders>
          </w:tcPr>
          <w:p w:rsidR="003107FA" w:rsidRPr="003F78EB" w:rsidRDefault="00290A9D" w:rsidP="00956D9B">
            <w:pPr>
              <w:spacing w:before="120"/>
              <w:jc w:val="center"/>
            </w:pPr>
            <w:r>
              <w:rPr>
                <w:noProof/>
                <w:lang w:eastAsia="zh-CN"/>
              </w:rPr>
              <w:drawing>
                <wp:inline distT="0" distB="0" distL="0" distR="0">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3F78EB" w:rsidRDefault="00B3317B" w:rsidP="00EF5BDB">
            <w:pPr>
              <w:spacing w:before="120" w:line="420" w:lineRule="exact"/>
              <w:rPr>
                <w:b/>
                <w:sz w:val="40"/>
                <w:szCs w:val="40"/>
              </w:rPr>
            </w:pPr>
            <w:r w:rsidRPr="003F78EB">
              <w:rPr>
                <w:b/>
                <w:sz w:val="40"/>
                <w:szCs w:val="40"/>
              </w:rPr>
              <w:t>General Assembly</w:t>
            </w:r>
          </w:p>
        </w:tc>
        <w:tc>
          <w:tcPr>
            <w:tcW w:w="2930" w:type="dxa"/>
            <w:tcBorders>
              <w:top w:val="single" w:sz="4" w:space="0" w:color="auto"/>
              <w:left w:val="nil"/>
              <w:bottom w:val="single" w:sz="12" w:space="0" w:color="auto"/>
              <w:right w:val="nil"/>
            </w:tcBorders>
          </w:tcPr>
          <w:p w:rsidR="003107FA" w:rsidRPr="003F78EB" w:rsidRDefault="000230DC" w:rsidP="000230DC">
            <w:pPr>
              <w:spacing w:before="240" w:line="240" w:lineRule="exact"/>
            </w:pPr>
            <w:r w:rsidRPr="003F78EB">
              <w:t>Distr.: General</w:t>
            </w:r>
          </w:p>
          <w:p w:rsidR="000230DC" w:rsidRPr="003F78EB" w:rsidRDefault="00EE0187" w:rsidP="00E70A66">
            <w:pPr>
              <w:spacing w:line="240" w:lineRule="exact"/>
            </w:pPr>
            <w:r w:rsidRPr="003F78EB">
              <w:t>2</w:t>
            </w:r>
            <w:r w:rsidR="00605D6C">
              <w:t>8</w:t>
            </w:r>
            <w:r w:rsidR="000230DC" w:rsidRPr="003F78EB">
              <w:t xml:space="preserve"> April 2015</w:t>
            </w:r>
          </w:p>
          <w:p w:rsidR="000230DC" w:rsidRPr="003F78EB" w:rsidRDefault="000230DC" w:rsidP="000230DC">
            <w:pPr>
              <w:spacing w:line="240" w:lineRule="exact"/>
            </w:pPr>
          </w:p>
          <w:p w:rsidR="000230DC" w:rsidRPr="003F78EB" w:rsidRDefault="000230DC" w:rsidP="000230DC">
            <w:pPr>
              <w:spacing w:line="240" w:lineRule="exact"/>
            </w:pPr>
            <w:r w:rsidRPr="003F78EB">
              <w:t>Original: English</w:t>
            </w:r>
          </w:p>
          <w:p w:rsidR="00F50412" w:rsidRPr="003F78EB" w:rsidRDefault="00F50412" w:rsidP="000230DC">
            <w:pPr>
              <w:spacing w:line="240" w:lineRule="exact"/>
            </w:pPr>
          </w:p>
        </w:tc>
      </w:tr>
    </w:tbl>
    <w:p w:rsidR="00132CB8" w:rsidRPr="003F78EB" w:rsidRDefault="00132CB8" w:rsidP="00132CB8">
      <w:pPr>
        <w:pStyle w:val="Caption"/>
        <w:spacing w:line="230" w:lineRule="atLeast"/>
        <w:rPr>
          <w:color w:val="000000"/>
        </w:rPr>
      </w:pPr>
      <w:r w:rsidRPr="003F78EB">
        <w:rPr>
          <w:color w:val="000000"/>
        </w:rPr>
        <w:t>Human Rights Council</w:t>
      </w:r>
    </w:p>
    <w:p w:rsidR="00132CB8" w:rsidRPr="003F78EB" w:rsidRDefault="00132CB8" w:rsidP="00132CB8">
      <w:pPr>
        <w:spacing w:line="230" w:lineRule="atLeast"/>
        <w:rPr>
          <w:b/>
          <w:color w:val="000000"/>
        </w:rPr>
      </w:pPr>
      <w:r w:rsidRPr="003F78EB">
        <w:rPr>
          <w:b/>
          <w:color w:val="000000"/>
        </w:rPr>
        <w:t>Twenty-ninth session</w:t>
      </w:r>
    </w:p>
    <w:p w:rsidR="00132CB8" w:rsidRPr="003F78EB" w:rsidRDefault="00132CB8" w:rsidP="00132CB8">
      <w:pPr>
        <w:spacing w:line="230" w:lineRule="atLeast"/>
        <w:rPr>
          <w:color w:val="000000"/>
        </w:rPr>
      </w:pPr>
      <w:r w:rsidRPr="003F78EB">
        <w:rPr>
          <w:color w:val="000000"/>
        </w:rPr>
        <w:t xml:space="preserve">Agenda item 3 </w:t>
      </w:r>
    </w:p>
    <w:p w:rsidR="00132CB8" w:rsidRPr="003F78EB" w:rsidRDefault="00132CB8" w:rsidP="00132CB8">
      <w:pPr>
        <w:spacing w:line="230" w:lineRule="atLeast"/>
        <w:rPr>
          <w:b/>
          <w:bCs/>
          <w:color w:val="000000"/>
        </w:rPr>
      </w:pPr>
      <w:r w:rsidRPr="003F78EB">
        <w:rPr>
          <w:b/>
          <w:bCs/>
          <w:color w:val="000000"/>
        </w:rPr>
        <w:t xml:space="preserve">Promotion and protection of all human rights, civil, </w:t>
      </w:r>
      <w:r w:rsidRPr="003F78EB">
        <w:rPr>
          <w:b/>
          <w:bCs/>
          <w:color w:val="000000"/>
        </w:rPr>
        <w:br/>
        <w:t xml:space="preserve">political, economic, social and cultural rights, </w:t>
      </w:r>
      <w:r w:rsidRPr="003F78EB">
        <w:rPr>
          <w:b/>
          <w:bCs/>
          <w:color w:val="000000"/>
        </w:rPr>
        <w:br/>
        <w:t>including the right to development</w:t>
      </w:r>
    </w:p>
    <w:p w:rsidR="00132CB8" w:rsidRPr="003F78EB" w:rsidRDefault="00132CB8" w:rsidP="00132CB8">
      <w:pPr>
        <w:pStyle w:val="HChG"/>
      </w:pPr>
      <w:r w:rsidRPr="003F78EB">
        <w:tab/>
      </w:r>
      <w:r w:rsidRPr="003F78EB">
        <w:tab/>
        <w:t>Report of the Working Group on the issue of human rights and transnational corporations and other business enterprises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Change w:id="1">
          <w:tblGrid>
            <w:gridCol w:w="9637"/>
          </w:tblGrid>
        </w:tblGridChange>
      </w:tblGrid>
      <w:tr w:rsidR="003A4402" w:rsidRPr="003F78EB" w:rsidTr="00A9213E">
        <w:trPr>
          <w:jc w:val="center"/>
        </w:trPr>
        <w:tc>
          <w:tcPr>
            <w:tcW w:w="9637" w:type="dxa"/>
            <w:shd w:val="clear" w:color="auto" w:fill="auto"/>
          </w:tcPr>
          <w:p w:rsidR="003A4402" w:rsidRPr="003F78EB" w:rsidRDefault="003A4402" w:rsidP="00A9213E">
            <w:pPr>
              <w:spacing w:before="240" w:after="120"/>
              <w:ind w:left="255"/>
              <w:rPr>
                <w:i/>
                <w:sz w:val="24"/>
              </w:rPr>
            </w:pPr>
            <w:r w:rsidRPr="003F78EB">
              <w:rPr>
                <w:i/>
                <w:sz w:val="24"/>
              </w:rPr>
              <w:t>Summary</w:t>
            </w:r>
          </w:p>
        </w:tc>
      </w:tr>
      <w:tr w:rsidR="003A4402" w:rsidRPr="003F78EB" w:rsidTr="00A9213E">
        <w:trPr>
          <w:jc w:val="center"/>
        </w:trPr>
        <w:tc>
          <w:tcPr>
            <w:tcW w:w="9637" w:type="dxa"/>
            <w:shd w:val="clear" w:color="auto" w:fill="auto"/>
          </w:tcPr>
          <w:p w:rsidR="003A4402" w:rsidRPr="003F78EB" w:rsidRDefault="003A4402" w:rsidP="00D23C28">
            <w:pPr>
              <w:pStyle w:val="SingleTxtG"/>
              <w:ind w:firstLine="566"/>
            </w:pPr>
            <w:r w:rsidRPr="003F78EB">
              <w:t>In the present report, submitted pursuant to Human Rights Council resolution 26/22, the Working Group focuses on how the Guiding Principles on Business and Human Rights need to be further embedded throughout United Nations programmes and processes</w:t>
            </w:r>
            <w:r w:rsidR="006D756A" w:rsidRPr="003F78EB">
              <w:t xml:space="preserve"> in order</w:t>
            </w:r>
            <w:r w:rsidRPr="003F78EB">
              <w:t xml:space="preserve"> to improve policy coherence for inclusive and sustainable development.</w:t>
            </w:r>
          </w:p>
        </w:tc>
      </w:tr>
      <w:tr w:rsidR="003A4402" w:rsidRPr="003F78EB" w:rsidTr="00A9213E">
        <w:trPr>
          <w:jc w:val="center"/>
        </w:trPr>
        <w:tc>
          <w:tcPr>
            <w:tcW w:w="9637" w:type="dxa"/>
            <w:shd w:val="clear" w:color="auto" w:fill="auto"/>
          </w:tcPr>
          <w:p w:rsidR="003A4402" w:rsidRPr="003F78EB" w:rsidRDefault="003A4402" w:rsidP="003A4402"/>
        </w:tc>
      </w:tr>
    </w:tbl>
    <w:p w:rsidR="003A4402" w:rsidRPr="003F78EB" w:rsidRDefault="003A4402" w:rsidP="003F78EB"/>
    <w:p w:rsidR="00132CB8" w:rsidRPr="003F78EB" w:rsidRDefault="00962F4E" w:rsidP="007E0701">
      <w:pPr>
        <w:spacing w:after="120"/>
        <w:rPr>
          <w:sz w:val="28"/>
          <w:lang w:val="fr-CH"/>
        </w:rPr>
      </w:pPr>
      <w:r>
        <w:rPr>
          <w:noProof/>
          <w:lang w:eastAsia="zh-CN"/>
        </w:rPr>
        <w:drawing>
          <wp:anchor distT="0" distB="0" distL="114300" distR="114300" simplePos="0" relativeHeight="251658240" behindDoc="0" locked="0" layoutInCell="1" allowOverlap="0" wp14:anchorId="102BE661" wp14:editId="7F31C444">
            <wp:simplePos x="0" y="0"/>
            <wp:positionH relativeFrom="margin">
              <wp:posOffset>5489575</wp:posOffset>
            </wp:positionH>
            <wp:positionV relativeFrom="margin">
              <wp:posOffset>8020685</wp:posOffset>
            </wp:positionV>
            <wp:extent cx="640080" cy="640080"/>
            <wp:effectExtent l="0" t="0" r="7620" b="7620"/>
            <wp:wrapNone/>
            <wp:docPr id="2" name="Picture 2" descr="http://undocs.org/m2/QRCode.ashx?DS=A/HRC/29/28&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9/28&amp;Size=2 &amp;L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132CB8" w:rsidRPr="003F78EB">
        <w:rPr>
          <w:lang w:val="fr-CH"/>
        </w:rPr>
        <w:br w:type="page"/>
      </w:r>
      <w:r w:rsidR="007E0701" w:rsidRPr="003F78EB">
        <w:rPr>
          <w:sz w:val="28"/>
          <w:lang w:val="fr-CH"/>
        </w:rPr>
        <w:lastRenderedPageBreak/>
        <w:t>Contents</w:t>
      </w:r>
    </w:p>
    <w:p w:rsidR="00AE5C35" w:rsidRPr="003F78EB" w:rsidRDefault="00AE5C35" w:rsidP="00AE5C35">
      <w:pPr>
        <w:tabs>
          <w:tab w:val="right" w:pos="8929"/>
          <w:tab w:val="right" w:pos="9638"/>
        </w:tabs>
        <w:spacing w:after="120"/>
        <w:ind w:left="283"/>
        <w:rPr>
          <w:lang w:val="fr-CH"/>
        </w:rPr>
      </w:pPr>
      <w:r w:rsidRPr="003F78EB">
        <w:rPr>
          <w:i/>
          <w:sz w:val="18"/>
          <w:lang w:val="fr-CH"/>
        </w:rPr>
        <w:tab/>
      </w:r>
      <w:proofErr w:type="spellStart"/>
      <w:r w:rsidRPr="003F78EB">
        <w:rPr>
          <w:i/>
          <w:sz w:val="18"/>
          <w:lang w:val="fr-CH"/>
        </w:rPr>
        <w:t>Paragraphs</w:t>
      </w:r>
      <w:proofErr w:type="spellEnd"/>
      <w:r w:rsidRPr="003F78EB">
        <w:rPr>
          <w:i/>
          <w:sz w:val="18"/>
          <w:lang w:val="fr-CH"/>
        </w:rPr>
        <w:tab/>
        <w:t>Page</w:t>
      </w:r>
    </w:p>
    <w:p w:rsidR="00AE5C35" w:rsidRPr="003F78EB" w:rsidRDefault="00AE5C35" w:rsidP="00AE5C35">
      <w:pPr>
        <w:tabs>
          <w:tab w:val="right" w:pos="850"/>
          <w:tab w:val="left" w:pos="1134"/>
          <w:tab w:val="left" w:pos="1559"/>
          <w:tab w:val="left" w:pos="1984"/>
          <w:tab w:val="left" w:leader="dot" w:pos="7654"/>
          <w:tab w:val="right" w:pos="8929"/>
          <w:tab w:val="right" w:pos="9638"/>
        </w:tabs>
        <w:spacing w:after="120"/>
        <w:rPr>
          <w:lang w:val="fr-CH"/>
        </w:rPr>
      </w:pPr>
      <w:r w:rsidRPr="003F78EB">
        <w:rPr>
          <w:lang w:val="fr-CH"/>
        </w:rPr>
        <w:tab/>
        <w:t>I.</w:t>
      </w:r>
      <w:r w:rsidRPr="003F78EB">
        <w:rPr>
          <w:lang w:val="fr-CH"/>
        </w:rPr>
        <w:tab/>
        <w:t>Introduction</w:t>
      </w:r>
      <w:r w:rsidRPr="003F78EB">
        <w:rPr>
          <w:lang w:val="fr-CH"/>
        </w:rPr>
        <w:tab/>
      </w:r>
      <w:r w:rsidRPr="003F78EB">
        <w:rPr>
          <w:lang w:val="fr-CH"/>
        </w:rPr>
        <w:tab/>
        <w:t>1–6</w:t>
      </w:r>
      <w:r w:rsidRPr="003F78EB">
        <w:rPr>
          <w:lang w:val="fr-CH"/>
        </w:rPr>
        <w:tab/>
        <w:t>3</w:t>
      </w:r>
    </w:p>
    <w:p w:rsidR="00AE5C35" w:rsidRPr="003F78EB" w:rsidRDefault="00AE5C35" w:rsidP="001E1DAA">
      <w:pPr>
        <w:tabs>
          <w:tab w:val="right" w:pos="850"/>
          <w:tab w:val="left" w:pos="1134"/>
          <w:tab w:val="left" w:pos="1559"/>
          <w:tab w:val="left" w:pos="1984"/>
          <w:tab w:val="left" w:leader="dot" w:pos="7654"/>
          <w:tab w:val="right" w:pos="8929"/>
          <w:tab w:val="right" w:pos="9638"/>
        </w:tabs>
        <w:spacing w:after="120"/>
        <w:rPr>
          <w:lang w:val="en-US"/>
        </w:rPr>
      </w:pPr>
      <w:r w:rsidRPr="003F78EB">
        <w:rPr>
          <w:lang w:val="fr-CH"/>
        </w:rPr>
        <w:tab/>
      </w:r>
      <w:r w:rsidRPr="003F78EB">
        <w:t>II.</w:t>
      </w:r>
      <w:r w:rsidRPr="003F78EB">
        <w:tab/>
      </w:r>
      <w:r w:rsidRPr="003F78EB">
        <w:rPr>
          <w:lang w:val="en-US"/>
        </w:rPr>
        <w:t xml:space="preserve">Background and context: </w:t>
      </w:r>
      <w:r w:rsidR="006D756A" w:rsidRPr="003F78EB">
        <w:rPr>
          <w:lang w:val="en-US"/>
        </w:rPr>
        <w:t>e</w:t>
      </w:r>
      <w:r w:rsidR="00412F36">
        <w:rPr>
          <w:lang w:val="en-US"/>
        </w:rPr>
        <w:t>merging convergence</w:t>
      </w:r>
      <w:r w:rsidR="00412F36">
        <w:rPr>
          <w:lang w:val="en-US"/>
        </w:rPr>
        <w:tab/>
      </w:r>
      <w:r w:rsidR="00412F36">
        <w:rPr>
          <w:lang w:val="en-US"/>
        </w:rPr>
        <w:tab/>
        <w:t>7–14</w:t>
      </w:r>
      <w:r w:rsidR="00412F36">
        <w:rPr>
          <w:lang w:val="en-US"/>
        </w:rPr>
        <w:tab/>
        <w:t>3</w:t>
      </w:r>
    </w:p>
    <w:p w:rsidR="00AE5C35" w:rsidRPr="003F78EB" w:rsidRDefault="00AE5C35" w:rsidP="005E752B">
      <w:pPr>
        <w:tabs>
          <w:tab w:val="right" w:pos="850"/>
          <w:tab w:val="left" w:pos="1134"/>
          <w:tab w:val="left" w:pos="1559"/>
          <w:tab w:val="left" w:pos="1984"/>
          <w:tab w:val="left" w:leader="dot" w:pos="7654"/>
          <w:tab w:val="right" w:pos="8929"/>
          <w:tab w:val="right" w:pos="9638"/>
        </w:tabs>
        <w:spacing w:after="120"/>
      </w:pPr>
      <w:r w:rsidRPr="003F78EB">
        <w:rPr>
          <w:lang w:val="en-US"/>
        </w:rPr>
        <w:tab/>
        <w:t>III.</w:t>
      </w:r>
      <w:r w:rsidRPr="003F78EB">
        <w:rPr>
          <w:lang w:val="en-US"/>
        </w:rPr>
        <w:tab/>
      </w:r>
      <w:r w:rsidRPr="003F78EB">
        <w:t>Integrating the Guiding Principles</w:t>
      </w:r>
      <w:r w:rsidR="006D756A" w:rsidRPr="003F78EB">
        <w:t xml:space="preserve"> </w:t>
      </w:r>
      <w:r w:rsidRPr="003F78EB">
        <w:t>in</w:t>
      </w:r>
      <w:r w:rsidR="00AA3A7C" w:rsidRPr="003F78EB">
        <w:t>to</w:t>
      </w:r>
      <w:r w:rsidRPr="003F78EB">
        <w:t xml:space="preserve"> United </w:t>
      </w:r>
      <w:r w:rsidR="00605D6C">
        <w:t>Nations work and processes with</w:t>
      </w:r>
      <w:r w:rsidR="00605D6C">
        <w:br/>
      </w:r>
      <w:r w:rsidR="00605D6C">
        <w:tab/>
      </w:r>
      <w:r w:rsidR="00605D6C">
        <w:tab/>
      </w:r>
      <w:r w:rsidRPr="003F78EB">
        <w:t xml:space="preserve">a “business interface”: </w:t>
      </w:r>
      <w:r w:rsidR="006D756A" w:rsidRPr="003F78EB">
        <w:t>i</w:t>
      </w:r>
      <w:r w:rsidRPr="003F78EB">
        <w:t>nvestment, trade and financial institutions</w:t>
      </w:r>
      <w:r w:rsidRPr="003F78EB">
        <w:tab/>
      </w:r>
      <w:r w:rsidRPr="003F78EB">
        <w:tab/>
        <w:t>15–50</w:t>
      </w:r>
      <w:r w:rsidRPr="003F78EB">
        <w:tab/>
        <w:t>6</w:t>
      </w:r>
    </w:p>
    <w:p w:rsidR="00AE5C35" w:rsidRPr="003F78EB" w:rsidRDefault="00AE5C35" w:rsidP="00AE5C35">
      <w:pPr>
        <w:tabs>
          <w:tab w:val="right" w:pos="850"/>
          <w:tab w:val="left" w:pos="1134"/>
          <w:tab w:val="left" w:pos="1559"/>
          <w:tab w:val="left" w:pos="1984"/>
          <w:tab w:val="left" w:leader="dot" w:pos="7654"/>
          <w:tab w:val="right" w:pos="8929"/>
          <w:tab w:val="right" w:pos="9638"/>
        </w:tabs>
        <w:spacing w:after="120"/>
      </w:pPr>
      <w:r w:rsidRPr="003F78EB">
        <w:tab/>
      </w:r>
      <w:r w:rsidRPr="003F78EB">
        <w:tab/>
        <w:t>A.</w:t>
      </w:r>
      <w:r w:rsidRPr="003F78EB">
        <w:tab/>
        <w:t>Investment</w:t>
      </w:r>
      <w:r w:rsidRPr="003F78EB">
        <w:tab/>
      </w:r>
      <w:r w:rsidRPr="003F78EB">
        <w:tab/>
        <w:t>18–35</w:t>
      </w:r>
      <w:r w:rsidRPr="003F78EB">
        <w:tab/>
        <w:t>6</w:t>
      </w:r>
    </w:p>
    <w:p w:rsidR="00AE5C35" w:rsidRPr="003F78EB" w:rsidRDefault="00AE5C35" w:rsidP="00B63FC7">
      <w:pPr>
        <w:pStyle w:val="CommentText"/>
        <w:tabs>
          <w:tab w:val="right" w:pos="850"/>
          <w:tab w:val="left" w:pos="1134"/>
          <w:tab w:val="left" w:pos="1559"/>
          <w:tab w:val="left" w:pos="1984"/>
          <w:tab w:val="left" w:leader="dot" w:pos="7654"/>
          <w:tab w:val="right" w:pos="8929"/>
          <w:tab w:val="right" w:pos="9638"/>
        </w:tabs>
        <w:suppressAutoHyphens/>
        <w:spacing w:after="120" w:line="240" w:lineRule="atLeast"/>
        <w:rPr>
          <w:rFonts w:ascii="Times New Roman" w:eastAsia="Times New Roman" w:hAnsi="Times New Roman"/>
          <w:lang w:eastAsia="en-US"/>
        </w:rPr>
      </w:pPr>
      <w:r w:rsidRPr="003F78EB">
        <w:rPr>
          <w:rFonts w:ascii="Times New Roman" w:eastAsia="Times New Roman" w:hAnsi="Times New Roman"/>
          <w:lang w:eastAsia="en-US"/>
        </w:rPr>
        <w:tab/>
      </w:r>
      <w:r w:rsidRPr="003F78EB">
        <w:rPr>
          <w:rFonts w:ascii="Times New Roman" w:eastAsia="Times New Roman" w:hAnsi="Times New Roman"/>
          <w:lang w:eastAsia="en-US"/>
        </w:rPr>
        <w:tab/>
        <w:t>B.</w:t>
      </w:r>
      <w:r w:rsidRPr="003F78EB">
        <w:rPr>
          <w:rFonts w:ascii="Times New Roman" w:eastAsia="Times New Roman" w:hAnsi="Times New Roman"/>
          <w:lang w:eastAsia="en-US"/>
        </w:rPr>
        <w:tab/>
        <w:t>Trade agreements and trade-related issues</w:t>
      </w:r>
      <w:r w:rsidRPr="003F78EB">
        <w:rPr>
          <w:rFonts w:ascii="Times New Roman" w:eastAsia="Times New Roman" w:hAnsi="Times New Roman"/>
          <w:lang w:eastAsia="en-US"/>
        </w:rPr>
        <w:tab/>
      </w:r>
      <w:r w:rsidRPr="003F78EB">
        <w:rPr>
          <w:rFonts w:ascii="Times New Roman" w:eastAsia="Times New Roman" w:hAnsi="Times New Roman"/>
          <w:lang w:eastAsia="en-US"/>
        </w:rPr>
        <w:tab/>
        <w:t>36–42</w:t>
      </w:r>
      <w:r w:rsidRPr="003F78EB">
        <w:rPr>
          <w:rFonts w:ascii="Times New Roman" w:eastAsia="Times New Roman" w:hAnsi="Times New Roman"/>
          <w:lang w:eastAsia="en-US"/>
        </w:rPr>
        <w:tab/>
        <w:t>1</w:t>
      </w:r>
      <w:r w:rsidR="00B63FC7" w:rsidRPr="003F78EB">
        <w:rPr>
          <w:rFonts w:ascii="Times New Roman" w:eastAsia="Times New Roman" w:hAnsi="Times New Roman"/>
          <w:lang w:eastAsia="en-US"/>
        </w:rPr>
        <w:t>1</w:t>
      </w:r>
    </w:p>
    <w:p w:rsidR="00AE5C35" w:rsidRPr="003F78EB" w:rsidRDefault="00AE5C35" w:rsidP="00AE5C35">
      <w:pPr>
        <w:tabs>
          <w:tab w:val="right" w:pos="850"/>
          <w:tab w:val="left" w:pos="1134"/>
          <w:tab w:val="left" w:pos="1559"/>
          <w:tab w:val="left" w:pos="1984"/>
          <w:tab w:val="left" w:leader="dot" w:pos="7654"/>
          <w:tab w:val="right" w:pos="8929"/>
          <w:tab w:val="right" w:pos="9638"/>
        </w:tabs>
        <w:spacing w:after="120"/>
      </w:pPr>
      <w:r w:rsidRPr="003F78EB">
        <w:tab/>
      </w:r>
      <w:r w:rsidRPr="003F78EB">
        <w:tab/>
        <w:t>C.</w:t>
      </w:r>
      <w:r w:rsidRPr="003F78EB">
        <w:tab/>
        <w:t>Financial institutions</w:t>
      </w:r>
      <w:r w:rsidRPr="003F78EB">
        <w:tab/>
      </w:r>
      <w:r w:rsidRPr="003F78EB">
        <w:tab/>
        <w:t>43–50</w:t>
      </w:r>
      <w:r w:rsidRPr="003F78EB">
        <w:tab/>
        <w:t>13</w:t>
      </w:r>
    </w:p>
    <w:p w:rsidR="00AE5C35" w:rsidRPr="003F78EB" w:rsidRDefault="00AE5C35" w:rsidP="00AE5C35">
      <w:pPr>
        <w:tabs>
          <w:tab w:val="right" w:pos="850"/>
          <w:tab w:val="left" w:pos="1134"/>
          <w:tab w:val="left" w:pos="1559"/>
          <w:tab w:val="left" w:pos="1984"/>
          <w:tab w:val="left" w:leader="dot" w:pos="7654"/>
          <w:tab w:val="right" w:pos="8929"/>
          <w:tab w:val="right" w:pos="9638"/>
        </w:tabs>
        <w:spacing w:after="120"/>
      </w:pPr>
      <w:r w:rsidRPr="003F78EB">
        <w:tab/>
        <w:t>IV.</w:t>
      </w:r>
      <w:r w:rsidRPr="003F78EB">
        <w:tab/>
        <w:t>Sustainable development</w:t>
      </w:r>
      <w:r w:rsidRPr="003F78EB">
        <w:tab/>
      </w:r>
      <w:r w:rsidRPr="003F78EB">
        <w:tab/>
        <w:t>51–78</w:t>
      </w:r>
      <w:r w:rsidRPr="003F78EB">
        <w:tab/>
        <w:t>15</w:t>
      </w:r>
    </w:p>
    <w:p w:rsidR="00AE5C35" w:rsidRPr="003F78EB" w:rsidRDefault="00AE5C35" w:rsidP="00B63FC7">
      <w:pPr>
        <w:tabs>
          <w:tab w:val="right" w:pos="850"/>
          <w:tab w:val="left" w:pos="1134"/>
          <w:tab w:val="left" w:pos="1559"/>
          <w:tab w:val="left" w:pos="1984"/>
          <w:tab w:val="left" w:leader="dot" w:pos="7654"/>
          <w:tab w:val="right" w:pos="8929"/>
          <w:tab w:val="right" w:pos="9638"/>
        </w:tabs>
        <w:spacing w:after="120"/>
      </w:pPr>
      <w:r w:rsidRPr="003F78EB">
        <w:tab/>
      </w:r>
      <w:r w:rsidRPr="003F78EB">
        <w:tab/>
        <w:t>A.</w:t>
      </w:r>
      <w:r w:rsidRPr="003F78EB">
        <w:tab/>
        <w:t>Post-2015 framework</w:t>
      </w:r>
      <w:r w:rsidRPr="003F78EB">
        <w:tab/>
      </w:r>
      <w:r w:rsidRPr="003F78EB">
        <w:tab/>
        <w:t>54–68</w:t>
      </w:r>
      <w:r w:rsidRPr="003F78EB">
        <w:tab/>
        <w:t>1</w:t>
      </w:r>
      <w:r w:rsidR="00B63FC7" w:rsidRPr="003F78EB">
        <w:t>6</w:t>
      </w:r>
    </w:p>
    <w:p w:rsidR="00AE5C35" w:rsidRPr="003F78EB" w:rsidRDefault="00AE5C35" w:rsidP="00B63FC7">
      <w:pPr>
        <w:tabs>
          <w:tab w:val="right" w:pos="850"/>
          <w:tab w:val="left" w:pos="1134"/>
          <w:tab w:val="left" w:pos="1559"/>
          <w:tab w:val="left" w:pos="1984"/>
          <w:tab w:val="left" w:leader="dot" w:pos="7654"/>
          <w:tab w:val="right" w:pos="8929"/>
          <w:tab w:val="right" w:pos="9638"/>
        </w:tabs>
        <w:spacing w:after="120"/>
      </w:pPr>
      <w:r w:rsidRPr="003F78EB">
        <w:tab/>
      </w:r>
      <w:r w:rsidRPr="003F78EB">
        <w:tab/>
        <w:t>B.</w:t>
      </w:r>
      <w:r w:rsidRPr="003F78EB">
        <w:tab/>
        <w:t>Beyond the post-2015 framework</w:t>
      </w:r>
      <w:r w:rsidRPr="003F78EB">
        <w:tab/>
      </w:r>
      <w:r w:rsidRPr="003F78EB">
        <w:tab/>
        <w:t>69–78</w:t>
      </w:r>
      <w:r w:rsidRPr="003F78EB">
        <w:tab/>
        <w:t>1</w:t>
      </w:r>
      <w:r w:rsidR="00B63FC7" w:rsidRPr="003F78EB">
        <w:t>9</w:t>
      </w:r>
    </w:p>
    <w:p w:rsidR="00AE5C35" w:rsidRPr="003F78EB" w:rsidRDefault="00AE5C35" w:rsidP="007F07F7">
      <w:pPr>
        <w:pStyle w:val="CommentText"/>
        <w:tabs>
          <w:tab w:val="right" w:pos="850"/>
          <w:tab w:val="left" w:pos="1134"/>
          <w:tab w:val="left" w:pos="1559"/>
          <w:tab w:val="left" w:pos="1984"/>
          <w:tab w:val="left" w:leader="dot" w:pos="7654"/>
          <w:tab w:val="right" w:pos="8929"/>
          <w:tab w:val="right" w:pos="9638"/>
        </w:tabs>
        <w:suppressAutoHyphens/>
        <w:spacing w:after="120" w:line="240" w:lineRule="atLeast"/>
        <w:rPr>
          <w:rFonts w:ascii="Times New Roman" w:eastAsia="Times New Roman" w:hAnsi="Times New Roman"/>
          <w:lang w:eastAsia="en-US"/>
        </w:rPr>
      </w:pPr>
      <w:r w:rsidRPr="003F78EB">
        <w:rPr>
          <w:rFonts w:ascii="Times New Roman" w:eastAsia="Times New Roman" w:hAnsi="Times New Roman"/>
          <w:lang w:eastAsia="en-US"/>
        </w:rPr>
        <w:tab/>
        <w:t>V.</w:t>
      </w:r>
      <w:r w:rsidRPr="003F78EB">
        <w:rPr>
          <w:rFonts w:ascii="Times New Roman" w:eastAsia="Times New Roman" w:hAnsi="Times New Roman"/>
          <w:lang w:eastAsia="en-US"/>
        </w:rPr>
        <w:tab/>
        <w:t>United Nations partnerships with the private sector</w:t>
      </w:r>
      <w:r w:rsidRPr="003F78EB">
        <w:rPr>
          <w:rFonts w:ascii="Times New Roman" w:eastAsia="Times New Roman" w:hAnsi="Times New Roman"/>
          <w:lang w:eastAsia="en-US"/>
        </w:rPr>
        <w:tab/>
      </w:r>
      <w:r w:rsidRPr="003F78EB">
        <w:rPr>
          <w:rFonts w:ascii="Times New Roman" w:eastAsia="Times New Roman" w:hAnsi="Times New Roman"/>
          <w:lang w:eastAsia="en-US"/>
        </w:rPr>
        <w:tab/>
        <w:t>79–87</w:t>
      </w:r>
      <w:r w:rsidRPr="003F78EB">
        <w:rPr>
          <w:rFonts w:ascii="Times New Roman" w:eastAsia="Times New Roman" w:hAnsi="Times New Roman"/>
          <w:lang w:eastAsia="en-US"/>
        </w:rPr>
        <w:tab/>
        <w:t>2</w:t>
      </w:r>
      <w:r w:rsidR="007F07F7" w:rsidRPr="003F78EB">
        <w:rPr>
          <w:rFonts w:ascii="Times New Roman" w:eastAsia="Times New Roman" w:hAnsi="Times New Roman"/>
          <w:lang w:eastAsia="en-US"/>
        </w:rPr>
        <w:t>1</w:t>
      </w:r>
    </w:p>
    <w:p w:rsidR="00AE5C35" w:rsidRPr="003F78EB" w:rsidRDefault="00AE5C35" w:rsidP="007715E2">
      <w:pPr>
        <w:pStyle w:val="CommentText"/>
        <w:tabs>
          <w:tab w:val="right" w:pos="850"/>
          <w:tab w:val="left" w:pos="1134"/>
          <w:tab w:val="left" w:pos="1559"/>
          <w:tab w:val="left" w:pos="1984"/>
          <w:tab w:val="left" w:leader="dot" w:pos="7654"/>
          <w:tab w:val="right" w:pos="8929"/>
          <w:tab w:val="right" w:pos="9638"/>
        </w:tabs>
        <w:suppressAutoHyphens/>
        <w:spacing w:after="120" w:line="240" w:lineRule="atLeast"/>
        <w:rPr>
          <w:rFonts w:ascii="Times New Roman" w:hAnsi="Times New Roman"/>
        </w:rPr>
      </w:pPr>
      <w:r w:rsidRPr="003F78EB">
        <w:rPr>
          <w:rFonts w:ascii="Times New Roman" w:eastAsia="Times New Roman" w:hAnsi="Times New Roman"/>
          <w:lang w:eastAsia="en-US"/>
        </w:rPr>
        <w:tab/>
      </w:r>
      <w:r w:rsidRPr="003F78EB">
        <w:rPr>
          <w:rFonts w:ascii="Times New Roman" w:eastAsia="Times New Roman" w:hAnsi="Times New Roman"/>
          <w:lang w:eastAsia="en-US"/>
        </w:rPr>
        <w:tab/>
      </w:r>
      <w:r w:rsidR="00E26728" w:rsidRPr="003F78EB">
        <w:rPr>
          <w:rFonts w:ascii="Times New Roman" w:eastAsia="Times New Roman" w:hAnsi="Times New Roman"/>
          <w:lang w:eastAsia="en-US"/>
        </w:rPr>
        <w:t>A</w:t>
      </w:r>
      <w:r w:rsidRPr="003F78EB">
        <w:rPr>
          <w:rFonts w:ascii="Times New Roman" w:eastAsia="Times New Roman" w:hAnsi="Times New Roman"/>
          <w:lang w:eastAsia="en-US"/>
        </w:rPr>
        <w:t>.</w:t>
      </w:r>
      <w:r w:rsidRPr="003F78EB">
        <w:rPr>
          <w:rFonts w:ascii="Times New Roman" w:eastAsia="Times New Roman" w:hAnsi="Times New Roman"/>
          <w:lang w:eastAsia="en-US"/>
        </w:rPr>
        <w:tab/>
      </w:r>
      <w:r w:rsidR="007715E2" w:rsidRPr="003F78EB">
        <w:rPr>
          <w:rFonts w:ascii="Times New Roman" w:hAnsi="Times New Roman"/>
        </w:rPr>
        <w:t>Insufficient</w:t>
      </w:r>
      <w:r w:rsidRPr="003F78EB">
        <w:rPr>
          <w:rFonts w:ascii="Times New Roman" w:hAnsi="Times New Roman"/>
        </w:rPr>
        <w:t xml:space="preserve"> awareness of human rights responsibilities in the global </w:t>
      </w:r>
      <w:r w:rsidRPr="003F78EB">
        <w:rPr>
          <w:rFonts w:ascii="Times New Roman" w:hAnsi="Times New Roman"/>
        </w:rPr>
        <w:br/>
      </w:r>
      <w:r w:rsidRPr="003F78EB">
        <w:rPr>
          <w:rFonts w:ascii="Times New Roman" w:hAnsi="Times New Roman"/>
        </w:rPr>
        <w:tab/>
      </w:r>
      <w:r w:rsidRPr="003F78EB">
        <w:rPr>
          <w:rFonts w:ascii="Times New Roman" w:hAnsi="Times New Roman"/>
        </w:rPr>
        <w:tab/>
      </w:r>
      <w:r w:rsidRPr="003F78EB">
        <w:rPr>
          <w:rFonts w:ascii="Times New Roman" w:hAnsi="Times New Roman"/>
        </w:rPr>
        <w:tab/>
        <w:t>business community</w:t>
      </w:r>
      <w:r w:rsidRPr="003F78EB">
        <w:rPr>
          <w:rFonts w:ascii="Times New Roman" w:hAnsi="Times New Roman"/>
        </w:rPr>
        <w:tab/>
      </w:r>
      <w:r w:rsidRPr="003F78EB">
        <w:rPr>
          <w:rFonts w:ascii="Times New Roman" w:hAnsi="Times New Roman"/>
        </w:rPr>
        <w:tab/>
        <w:t>81–83</w:t>
      </w:r>
      <w:r w:rsidRPr="003F78EB">
        <w:rPr>
          <w:rFonts w:ascii="Times New Roman" w:hAnsi="Times New Roman"/>
        </w:rPr>
        <w:tab/>
        <w:t>21</w:t>
      </w:r>
    </w:p>
    <w:p w:rsidR="00AE5C35" w:rsidRPr="003F78EB" w:rsidRDefault="00AE5C35" w:rsidP="007F07F7">
      <w:pPr>
        <w:pStyle w:val="CommentText"/>
        <w:tabs>
          <w:tab w:val="right" w:pos="850"/>
          <w:tab w:val="left" w:pos="1134"/>
          <w:tab w:val="left" w:pos="1559"/>
          <w:tab w:val="left" w:pos="1984"/>
          <w:tab w:val="left" w:leader="dot" w:pos="7654"/>
          <w:tab w:val="right" w:pos="8929"/>
          <w:tab w:val="right" w:pos="9638"/>
        </w:tabs>
        <w:suppressAutoHyphens/>
        <w:spacing w:after="120" w:line="240" w:lineRule="atLeast"/>
        <w:rPr>
          <w:rFonts w:ascii="Times New Roman" w:eastAsia="Times New Roman" w:hAnsi="Times New Roman"/>
          <w:lang w:eastAsia="en-US"/>
        </w:rPr>
      </w:pPr>
      <w:r w:rsidRPr="003F78EB">
        <w:rPr>
          <w:rFonts w:ascii="Times New Roman" w:hAnsi="Times New Roman"/>
        </w:rPr>
        <w:tab/>
      </w:r>
      <w:r w:rsidRPr="003F78EB">
        <w:rPr>
          <w:rFonts w:ascii="Times New Roman" w:hAnsi="Times New Roman"/>
        </w:rPr>
        <w:tab/>
      </w:r>
      <w:r w:rsidR="00E26728" w:rsidRPr="003F78EB">
        <w:rPr>
          <w:rFonts w:ascii="Times New Roman" w:hAnsi="Times New Roman"/>
        </w:rPr>
        <w:t>B</w:t>
      </w:r>
      <w:r w:rsidRPr="003F78EB">
        <w:rPr>
          <w:rFonts w:ascii="Times New Roman" w:hAnsi="Times New Roman"/>
        </w:rPr>
        <w:t>.</w:t>
      </w:r>
      <w:r w:rsidRPr="003F78EB">
        <w:rPr>
          <w:rFonts w:ascii="Times New Roman" w:hAnsi="Times New Roman"/>
        </w:rPr>
        <w:tab/>
        <w:t xml:space="preserve">Lack of capacity and understanding to grapple with the implications </w:t>
      </w:r>
      <w:r w:rsidRPr="003F78EB">
        <w:rPr>
          <w:rFonts w:ascii="Times New Roman" w:hAnsi="Times New Roman"/>
        </w:rPr>
        <w:br/>
      </w:r>
      <w:r w:rsidRPr="003F78EB">
        <w:rPr>
          <w:rFonts w:ascii="Times New Roman" w:hAnsi="Times New Roman"/>
        </w:rPr>
        <w:tab/>
      </w:r>
      <w:r w:rsidRPr="003F78EB">
        <w:rPr>
          <w:rFonts w:ascii="Times New Roman" w:hAnsi="Times New Roman"/>
        </w:rPr>
        <w:tab/>
      </w:r>
      <w:r w:rsidRPr="003F78EB">
        <w:rPr>
          <w:rFonts w:ascii="Times New Roman" w:hAnsi="Times New Roman"/>
        </w:rPr>
        <w:tab/>
        <w:t>of the Guiding Principles</w:t>
      </w:r>
      <w:r w:rsidRPr="003F78EB">
        <w:rPr>
          <w:rFonts w:ascii="Times New Roman" w:hAnsi="Times New Roman"/>
        </w:rPr>
        <w:tab/>
      </w:r>
      <w:r w:rsidRPr="003F78EB">
        <w:rPr>
          <w:rFonts w:ascii="Times New Roman" w:hAnsi="Times New Roman"/>
        </w:rPr>
        <w:tab/>
        <w:t>84–87</w:t>
      </w:r>
      <w:r w:rsidRPr="003F78EB">
        <w:rPr>
          <w:rFonts w:ascii="Times New Roman" w:hAnsi="Times New Roman"/>
        </w:rPr>
        <w:tab/>
        <w:t>21</w:t>
      </w:r>
    </w:p>
    <w:p w:rsidR="00AE5C35" w:rsidRPr="003F78EB" w:rsidRDefault="00AE5C35" w:rsidP="00AE5C35">
      <w:pPr>
        <w:pStyle w:val="CommentText"/>
        <w:tabs>
          <w:tab w:val="right" w:pos="850"/>
          <w:tab w:val="left" w:pos="1134"/>
          <w:tab w:val="left" w:pos="1559"/>
          <w:tab w:val="left" w:pos="1984"/>
          <w:tab w:val="left" w:leader="dot" w:pos="7654"/>
          <w:tab w:val="right" w:pos="8929"/>
          <w:tab w:val="right" w:pos="9638"/>
        </w:tabs>
        <w:suppressAutoHyphens/>
        <w:spacing w:after="120" w:line="240" w:lineRule="atLeast"/>
        <w:rPr>
          <w:rFonts w:ascii="Times New Roman" w:eastAsia="Times New Roman" w:hAnsi="Times New Roman"/>
          <w:lang w:eastAsia="en-US"/>
        </w:rPr>
      </w:pPr>
      <w:r w:rsidRPr="003F78EB">
        <w:rPr>
          <w:rFonts w:ascii="Times New Roman" w:eastAsia="Times New Roman" w:hAnsi="Times New Roman"/>
          <w:lang w:eastAsia="en-US"/>
        </w:rPr>
        <w:tab/>
        <w:t>VI.</w:t>
      </w:r>
      <w:r w:rsidRPr="003F78EB">
        <w:rPr>
          <w:rFonts w:ascii="Times New Roman" w:eastAsia="Times New Roman" w:hAnsi="Times New Roman"/>
          <w:lang w:eastAsia="en-US"/>
        </w:rPr>
        <w:tab/>
        <w:t>Conclusions and recommendations</w:t>
      </w:r>
      <w:r w:rsidRPr="003F78EB">
        <w:rPr>
          <w:rFonts w:ascii="Times New Roman" w:eastAsia="Times New Roman" w:hAnsi="Times New Roman"/>
          <w:lang w:eastAsia="en-US"/>
        </w:rPr>
        <w:tab/>
      </w:r>
      <w:r w:rsidRPr="003F78EB">
        <w:rPr>
          <w:rFonts w:ascii="Times New Roman" w:eastAsia="Times New Roman" w:hAnsi="Times New Roman"/>
          <w:lang w:eastAsia="en-US"/>
        </w:rPr>
        <w:tab/>
        <w:t>88–91</w:t>
      </w:r>
      <w:r w:rsidRPr="003F78EB">
        <w:rPr>
          <w:rFonts w:ascii="Times New Roman" w:eastAsia="Times New Roman" w:hAnsi="Times New Roman"/>
          <w:lang w:eastAsia="en-US"/>
        </w:rPr>
        <w:tab/>
        <w:t>23</w:t>
      </w:r>
    </w:p>
    <w:p w:rsidR="007E0701" w:rsidRPr="003F78EB" w:rsidRDefault="007E0701" w:rsidP="007E0701">
      <w:pPr>
        <w:pStyle w:val="HChG"/>
        <w:rPr>
          <w:lang w:val="en-US"/>
        </w:rPr>
      </w:pPr>
      <w:r w:rsidRPr="003F78EB">
        <w:br w:type="page"/>
      </w:r>
      <w:r w:rsidRPr="003F78EB">
        <w:lastRenderedPageBreak/>
        <w:tab/>
        <w:t>I.</w:t>
      </w:r>
      <w:r w:rsidRPr="003F78EB">
        <w:tab/>
      </w:r>
      <w:r w:rsidRPr="003F78EB">
        <w:rPr>
          <w:lang w:val="en-US"/>
        </w:rPr>
        <w:t>Introduction</w:t>
      </w:r>
    </w:p>
    <w:p w:rsidR="007E0701" w:rsidRPr="003F78EB" w:rsidRDefault="001A0619" w:rsidP="003F78EB">
      <w:pPr>
        <w:pStyle w:val="SingleTxtG"/>
        <w:numPr>
          <w:ilvl w:val="0"/>
          <w:numId w:val="13"/>
        </w:numPr>
        <w:ind w:left="1134" w:firstLine="0"/>
        <w:rPr>
          <w:lang w:val="en-US"/>
        </w:rPr>
      </w:pPr>
      <w:r w:rsidRPr="003F78EB">
        <w:rPr>
          <w:lang w:val="en-US"/>
        </w:rPr>
        <w:t xml:space="preserve">The year </w:t>
      </w:r>
      <w:r w:rsidR="007E0701" w:rsidRPr="003F78EB">
        <w:rPr>
          <w:lang w:val="en-US"/>
        </w:rPr>
        <w:t xml:space="preserve">2015 will be critical for setting out the course for a </w:t>
      </w:r>
      <w:r w:rsidRPr="003F78EB">
        <w:rPr>
          <w:lang w:val="en-US"/>
        </w:rPr>
        <w:t>more just</w:t>
      </w:r>
      <w:r w:rsidR="007E0701" w:rsidRPr="003F78EB">
        <w:rPr>
          <w:lang w:val="en-US"/>
        </w:rPr>
        <w:t xml:space="preserve">, </w:t>
      </w:r>
      <w:r w:rsidR="00221F0C" w:rsidRPr="003F78EB">
        <w:rPr>
          <w:lang w:val="en-US"/>
        </w:rPr>
        <w:t xml:space="preserve">more </w:t>
      </w:r>
      <w:r w:rsidR="007E0701" w:rsidRPr="003F78EB">
        <w:rPr>
          <w:lang w:val="en-US"/>
        </w:rPr>
        <w:t xml:space="preserve">equitable and </w:t>
      </w:r>
      <w:r w:rsidR="00221F0C" w:rsidRPr="003F78EB">
        <w:rPr>
          <w:lang w:val="en-US"/>
        </w:rPr>
        <w:t xml:space="preserve">more </w:t>
      </w:r>
      <w:r w:rsidR="007E0701" w:rsidRPr="003F78EB">
        <w:rPr>
          <w:lang w:val="en-US"/>
        </w:rPr>
        <w:t>sustainable future for all. As recognized in the emerging post-2015 sustainable development agenda, better protection of</w:t>
      </w:r>
      <w:r w:rsidR="00051720" w:rsidRPr="003F78EB">
        <w:rPr>
          <w:lang w:val="en-US"/>
        </w:rPr>
        <w:t>,</w:t>
      </w:r>
      <w:r w:rsidR="007E0701" w:rsidRPr="003F78EB">
        <w:rPr>
          <w:lang w:val="en-US"/>
        </w:rPr>
        <w:t xml:space="preserve"> and respect for</w:t>
      </w:r>
      <w:r w:rsidR="00051720" w:rsidRPr="003F78EB">
        <w:rPr>
          <w:lang w:val="en-US"/>
        </w:rPr>
        <w:t>,</w:t>
      </w:r>
      <w:r w:rsidR="007E0701" w:rsidRPr="003F78EB">
        <w:rPr>
          <w:lang w:val="en-US"/>
        </w:rPr>
        <w:t xml:space="preserve"> human rights in the economic sphere must be a central pillar of this </w:t>
      </w:r>
      <w:proofErr w:type="spellStart"/>
      <w:r w:rsidR="007E0701" w:rsidRPr="003F78EB">
        <w:rPr>
          <w:lang w:val="en-US"/>
        </w:rPr>
        <w:t>endeavo</w:t>
      </w:r>
      <w:r w:rsidR="00051720" w:rsidRPr="003F78EB">
        <w:rPr>
          <w:lang w:val="en-US"/>
        </w:rPr>
        <w:t>u</w:t>
      </w:r>
      <w:r w:rsidR="007E0701" w:rsidRPr="003F78EB">
        <w:rPr>
          <w:lang w:val="en-US"/>
        </w:rPr>
        <w:t>r</w:t>
      </w:r>
      <w:proofErr w:type="spellEnd"/>
      <w:r w:rsidR="007E0701" w:rsidRPr="003F78EB">
        <w:rPr>
          <w:lang w:val="en-US"/>
        </w:rPr>
        <w:t xml:space="preserve">. </w:t>
      </w:r>
    </w:p>
    <w:p w:rsidR="007E0701" w:rsidRPr="003F78EB" w:rsidRDefault="007E0701" w:rsidP="003F78EB">
      <w:pPr>
        <w:pStyle w:val="SingleTxtG"/>
        <w:numPr>
          <w:ilvl w:val="0"/>
          <w:numId w:val="13"/>
        </w:numPr>
        <w:ind w:left="1134" w:firstLine="0"/>
        <w:rPr>
          <w:lang w:val="en-US"/>
        </w:rPr>
      </w:pPr>
      <w:r w:rsidRPr="003F78EB">
        <w:rPr>
          <w:lang w:val="en-US"/>
        </w:rPr>
        <w:t>Private sector financing and economic activit</w:t>
      </w:r>
      <w:r w:rsidR="001A0619" w:rsidRPr="003F78EB">
        <w:rPr>
          <w:lang w:val="en-US"/>
        </w:rPr>
        <w:t>ies</w:t>
      </w:r>
      <w:r w:rsidRPr="003F78EB">
        <w:rPr>
          <w:lang w:val="en-US"/>
        </w:rPr>
        <w:t xml:space="preserve"> have helped lift millions out of poverty and contributed to the realization of human rights. </w:t>
      </w:r>
      <w:r w:rsidR="00B47BFE" w:rsidRPr="003F78EB">
        <w:rPr>
          <w:lang w:val="en-US"/>
        </w:rPr>
        <w:t>However</w:t>
      </w:r>
      <w:r w:rsidRPr="003F78EB">
        <w:rPr>
          <w:lang w:val="en-US"/>
        </w:rPr>
        <w:t>, governance gaps within and between countries have contributed to an environment in which business activities across a range of sectors and countries have undermined respect for human rights. Thus, the growing role of business enterprises in the age of globalization has brought into relief not only the need for more effective policies and regulation, but also the need to make business enterprises part of the solutions to today’s global challenges.</w:t>
      </w:r>
    </w:p>
    <w:p w:rsidR="007E0701" w:rsidRPr="003F78EB" w:rsidRDefault="007E0701" w:rsidP="003F78EB">
      <w:pPr>
        <w:pStyle w:val="SingleTxtG"/>
        <w:numPr>
          <w:ilvl w:val="0"/>
          <w:numId w:val="13"/>
        </w:numPr>
        <w:ind w:left="1134" w:firstLine="0"/>
        <w:rPr>
          <w:lang w:val="en-US"/>
        </w:rPr>
      </w:pPr>
      <w:r w:rsidRPr="003F78EB">
        <w:rPr>
          <w:lang w:val="en-US"/>
        </w:rPr>
        <w:t xml:space="preserve">The United Nations, which was set up to lead global efforts on human rights, development and peace and security, has a particular role </w:t>
      </w:r>
      <w:r w:rsidR="001A0619" w:rsidRPr="003F78EB">
        <w:rPr>
          <w:lang w:val="en-US"/>
        </w:rPr>
        <w:t xml:space="preserve">to play </w:t>
      </w:r>
      <w:r w:rsidR="00EA3787" w:rsidRPr="003F78EB">
        <w:rPr>
          <w:lang w:val="en-US"/>
        </w:rPr>
        <w:t xml:space="preserve">in </w:t>
      </w:r>
      <w:r w:rsidRPr="003F78EB">
        <w:rPr>
          <w:lang w:val="en-US"/>
        </w:rPr>
        <w:t>support</w:t>
      </w:r>
      <w:r w:rsidR="00EA3787" w:rsidRPr="003F78EB">
        <w:rPr>
          <w:lang w:val="en-US"/>
        </w:rPr>
        <w:t>ing</w:t>
      </w:r>
      <w:r w:rsidRPr="003F78EB">
        <w:rPr>
          <w:lang w:val="en-US"/>
        </w:rPr>
        <w:t xml:space="preserve"> global action and governance frameworks to address the way business operates and affect</w:t>
      </w:r>
      <w:r w:rsidR="00EA3787" w:rsidRPr="003F78EB">
        <w:rPr>
          <w:lang w:val="en-US"/>
        </w:rPr>
        <w:t>s</w:t>
      </w:r>
      <w:r w:rsidRPr="003F78EB">
        <w:rPr>
          <w:lang w:val="en-US"/>
        </w:rPr>
        <w:t xml:space="preserve"> human rights and development. These issues all come together in the United Nations “Protect, Respect and Remedy</w:t>
      </w:r>
      <w:r w:rsidR="007D5796" w:rsidRPr="003F78EB">
        <w:rPr>
          <w:lang w:val="en-US"/>
        </w:rPr>
        <w:t>”</w:t>
      </w:r>
      <w:r w:rsidRPr="003F78EB">
        <w:rPr>
          <w:lang w:val="en-US"/>
        </w:rPr>
        <w:t xml:space="preserve"> Framework </w:t>
      </w:r>
      <w:r w:rsidR="00720D39" w:rsidRPr="003F78EB">
        <w:rPr>
          <w:lang w:val="en-US"/>
        </w:rPr>
        <w:t xml:space="preserve">(A/HRC/8/5) </w:t>
      </w:r>
      <w:r w:rsidRPr="003F78EB">
        <w:rPr>
          <w:lang w:val="en-US"/>
        </w:rPr>
        <w:t xml:space="preserve">and </w:t>
      </w:r>
      <w:r w:rsidR="001A0619" w:rsidRPr="003F78EB">
        <w:rPr>
          <w:lang w:val="en-US"/>
        </w:rPr>
        <w:t xml:space="preserve">the </w:t>
      </w:r>
      <w:r w:rsidRPr="003F78EB">
        <w:rPr>
          <w:lang w:val="en-US"/>
        </w:rPr>
        <w:t>Guiding Principles on Business and Human Rights</w:t>
      </w:r>
      <w:r w:rsidR="001A0619" w:rsidRPr="003F78EB">
        <w:rPr>
          <w:lang w:val="en-US"/>
        </w:rPr>
        <w:t xml:space="preserve"> (A/HRC/17/31)</w:t>
      </w:r>
      <w:r w:rsidRPr="003F78EB">
        <w:rPr>
          <w:lang w:val="en-US"/>
        </w:rPr>
        <w:t>, endorsed by the Human Rights Council in 2011 as the authoritative global reference point on the respective roles, obligations and responsibilities of Governments and business enterprises for preventing and addressing adverse human rights impacts resulting from business activities.</w:t>
      </w:r>
    </w:p>
    <w:p w:rsidR="007E0701" w:rsidRPr="003F78EB" w:rsidRDefault="007E0701" w:rsidP="003F78EB">
      <w:pPr>
        <w:pStyle w:val="SingleTxtG"/>
        <w:numPr>
          <w:ilvl w:val="0"/>
          <w:numId w:val="13"/>
        </w:numPr>
        <w:ind w:left="1134" w:firstLine="0"/>
        <w:rPr>
          <w:lang w:val="en-US"/>
        </w:rPr>
      </w:pPr>
      <w:r w:rsidRPr="003F78EB">
        <w:rPr>
          <w:lang w:val="en-US"/>
        </w:rPr>
        <w:t xml:space="preserve">The present report </w:t>
      </w:r>
      <w:r w:rsidR="00720D39" w:rsidRPr="003F78EB">
        <w:rPr>
          <w:lang w:val="en-US"/>
        </w:rPr>
        <w:t xml:space="preserve">contains </w:t>
      </w:r>
      <w:r w:rsidRPr="003F78EB">
        <w:rPr>
          <w:lang w:val="en-US"/>
        </w:rPr>
        <w:t xml:space="preserve">examples </w:t>
      </w:r>
      <w:r w:rsidR="00E70A66" w:rsidRPr="003F78EB">
        <w:rPr>
          <w:lang w:val="en-US"/>
        </w:rPr>
        <w:t>of the application of the Guiding Principles in ongoing work by the United Nations. It highlights further opportunities whereby</w:t>
      </w:r>
      <w:r w:rsidR="00720D39" w:rsidRPr="003F78EB">
        <w:rPr>
          <w:lang w:val="en-US"/>
        </w:rPr>
        <w:t xml:space="preserve"> </w:t>
      </w:r>
      <w:r w:rsidRPr="003F78EB">
        <w:rPr>
          <w:lang w:val="en-US"/>
        </w:rPr>
        <w:t xml:space="preserve">United Nations entities and processes (including Member State-led) can contribute to scaled-up action on the Guiding Principles and </w:t>
      </w:r>
      <w:r w:rsidR="00136DE8" w:rsidRPr="003F78EB">
        <w:rPr>
          <w:lang w:val="en-US"/>
        </w:rPr>
        <w:t xml:space="preserve">to </w:t>
      </w:r>
      <w:r w:rsidRPr="003F78EB">
        <w:rPr>
          <w:lang w:val="en-US"/>
        </w:rPr>
        <w:t xml:space="preserve">greater policy coherence between business- and development-oriented frameworks and human rights considerations. </w:t>
      </w:r>
      <w:r w:rsidR="00D9684F" w:rsidRPr="003F78EB">
        <w:rPr>
          <w:lang w:val="en-US"/>
        </w:rPr>
        <w:t>I</w:t>
      </w:r>
      <w:r w:rsidRPr="003F78EB">
        <w:rPr>
          <w:lang w:val="en-US"/>
        </w:rPr>
        <w:t xml:space="preserve">t follows on from reports </w:t>
      </w:r>
      <w:r w:rsidR="00720D39" w:rsidRPr="003F78EB">
        <w:rPr>
          <w:lang w:val="en-US"/>
        </w:rPr>
        <w:t xml:space="preserve">of </w:t>
      </w:r>
      <w:r w:rsidRPr="003F78EB">
        <w:rPr>
          <w:lang w:val="en-US"/>
        </w:rPr>
        <w:t>the Secretary-General calling for the business and human rights agenda and the Guiding Principles to be embedded throughout the United Nations system</w:t>
      </w:r>
      <w:r w:rsidR="00720D39" w:rsidRPr="003F78EB">
        <w:rPr>
          <w:lang w:val="en-US"/>
        </w:rPr>
        <w:t xml:space="preserve"> (</w:t>
      </w:r>
      <w:r w:rsidR="00720D39" w:rsidRPr="003F78EB">
        <w:rPr>
          <w:szCs w:val="18"/>
          <w:lang w:val="en-US"/>
        </w:rPr>
        <w:t>A/HRC/21/21</w:t>
      </w:r>
      <w:r w:rsidR="00FD6FDA" w:rsidRPr="003F78EB">
        <w:rPr>
          <w:szCs w:val="18"/>
          <w:lang w:val="en-US"/>
        </w:rPr>
        <w:t xml:space="preserve"> and Corr.1</w:t>
      </w:r>
      <w:r w:rsidR="00720D39" w:rsidRPr="003F78EB">
        <w:rPr>
          <w:szCs w:val="18"/>
          <w:lang w:val="en-US"/>
        </w:rPr>
        <w:t xml:space="preserve"> and A/HRC/26/20)</w:t>
      </w:r>
      <w:r w:rsidRPr="003F78EB">
        <w:rPr>
          <w:lang w:val="en-US"/>
        </w:rPr>
        <w:t xml:space="preserve">. </w:t>
      </w:r>
    </w:p>
    <w:p w:rsidR="007E0701" w:rsidRPr="003F78EB" w:rsidRDefault="00183EC4" w:rsidP="003F78EB">
      <w:pPr>
        <w:pStyle w:val="SingleTxtG"/>
        <w:numPr>
          <w:ilvl w:val="0"/>
          <w:numId w:val="13"/>
        </w:numPr>
        <w:ind w:left="1134" w:firstLine="0"/>
        <w:rPr>
          <w:lang w:val="en-US"/>
        </w:rPr>
      </w:pPr>
      <w:r w:rsidRPr="003F78EB">
        <w:rPr>
          <w:lang w:val="en-US"/>
        </w:rPr>
        <w:t>F</w:t>
      </w:r>
      <w:r w:rsidR="007E0701" w:rsidRPr="003F78EB">
        <w:rPr>
          <w:lang w:val="en-US"/>
        </w:rPr>
        <w:t xml:space="preserve">irst briefly set out </w:t>
      </w:r>
      <w:r w:rsidRPr="003F78EB">
        <w:rPr>
          <w:lang w:val="en-US"/>
        </w:rPr>
        <w:t xml:space="preserve">is </w:t>
      </w:r>
      <w:r w:rsidR="007E0701" w:rsidRPr="003F78EB">
        <w:rPr>
          <w:lang w:val="en-US"/>
        </w:rPr>
        <w:t>the context of emerging convergence of current practice and initiatives around the framework set out in the Guiding Principles (</w:t>
      </w:r>
      <w:r w:rsidR="00136DE8" w:rsidRPr="003F78EB">
        <w:rPr>
          <w:lang w:val="en-US"/>
        </w:rPr>
        <w:t>s</w:t>
      </w:r>
      <w:r w:rsidR="003A4402" w:rsidRPr="003F78EB">
        <w:rPr>
          <w:lang w:val="en-US"/>
        </w:rPr>
        <w:t>ect</w:t>
      </w:r>
      <w:r w:rsidR="00136DE8" w:rsidRPr="003F78EB">
        <w:rPr>
          <w:lang w:val="en-US"/>
        </w:rPr>
        <w:t>.</w:t>
      </w:r>
      <w:r w:rsidR="003A4402" w:rsidRPr="003F78EB">
        <w:rPr>
          <w:lang w:val="en-US"/>
        </w:rPr>
        <w:t> </w:t>
      </w:r>
      <w:r w:rsidR="007E0701" w:rsidRPr="003F78EB">
        <w:rPr>
          <w:lang w:val="en-US"/>
        </w:rPr>
        <w:t xml:space="preserve">II). </w:t>
      </w:r>
      <w:r w:rsidR="00B12B55" w:rsidRPr="003F78EB">
        <w:rPr>
          <w:lang w:val="en-US"/>
        </w:rPr>
        <w:t>T</w:t>
      </w:r>
      <w:r w:rsidR="007E0701" w:rsidRPr="003F78EB">
        <w:rPr>
          <w:lang w:val="en-US"/>
        </w:rPr>
        <w:t>he importance of integrating the Guiding Principles into specific areas of United Nations work and processes</w:t>
      </w:r>
      <w:r w:rsidR="00B12B55" w:rsidRPr="003F78EB">
        <w:rPr>
          <w:lang w:val="en-US"/>
        </w:rPr>
        <w:t xml:space="preserve"> is then discussed</w:t>
      </w:r>
      <w:r w:rsidR="007E0701" w:rsidRPr="003F78EB">
        <w:rPr>
          <w:lang w:val="en-US"/>
        </w:rPr>
        <w:t>, focusing on the areas of trade, investment and financial institutions (</w:t>
      </w:r>
      <w:r w:rsidR="00D9684F" w:rsidRPr="003F78EB">
        <w:rPr>
          <w:lang w:val="en-US"/>
        </w:rPr>
        <w:t>s</w:t>
      </w:r>
      <w:r w:rsidR="003A4402" w:rsidRPr="003F78EB">
        <w:rPr>
          <w:lang w:val="en-US"/>
        </w:rPr>
        <w:t>ect</w:t>
      </w:r>
      <w:r w:rsidR="00D9684F" w:rsidRPr="003F78EB">
        <w:rPr>
          <w:lang w:val="en-US"/>
        </w:rPr>
        <w:t>.</w:t>
      </w:r>
      <w:r w:rsidR="003A4402" w:rsidRPr="003F78EB">
        <w:rPr>
          <w:lang w:val="en-US"/>
        </w:rPr>
        <w:t> </w:t>
      </w:r>
      <w:r w:rsidR="007E0701" w:rsidRPr="003F78EB">
        <w:rPr>
          <w:lang w:val="en-US"/>
        </w:rPr>
        <w:t>III)</w:t>
      </w:r>
      <w:r w:rsidR="00720D39" w:rsidRPr="003F78EB">
        <w:rPr>
          <w:lang w:val="en-US"/>
        </w:rPr>
        <w:t>, on</w:t>
      </w:r>
      <w:r w:rsidR="003A4402" w:rsidRPr="003F78EB">
        <w:rPr>
          <w:lang w:val="en-US"/>
        </w:rPr>
        <w:t xml:space="preserve"> </w:t>
      </w:r>
      <w:r w:rsidR="007E0701" w:rsidRPr="003F78EB">
        <w:rPr>
          <w:lang w:val="en-US"/>
        </w:rPr>
        <w:t>efforts to promote sustainable development (</w:t>
      </w:r>
      <w:r w:rsidR="00D9684F" w:rsidRPr="003F78EB">
        <w:rPr>
          <w:lang w:val="en-US"/>
        </w:rPr>
        <w:t xml:space="preserve">sect. </w:t>
      </w:r>
      <w:r w:rsidR="007E0701" w:rsidRPr="003F78EB">
        <w:rPr>
          <w:lang w:val="en-US"/>
        </w:rPr>
        <w:t xml:space="preserve">IV) and </w:t>
      </w:r>
      <w:r w:rsidR="00720D39" w:rsidRPr="003F78EB">
        <w:rPr>
          <w:lang w:val="en-US"/>
        </w:rPr>
        <w:t xml:space="preserve">on </w:t>
      </w:r>
      <w:r w:rsidR="007E0701" w:rsidRPr="003F78EB">
        <w:rPr>
          <w:lang w:val="en-US"/>
        </w:rPr>
        <w:t>United Nations partnerships with the private sector in support of United Nations goals (</w:t>
      </w:r>
      <w:r w:rsidR="00D9684F" w:rsidRPr="003F78EB">
        <w:rPr>
          <w:lang w:val="en-US"/>
        </w:rPr>
        <w:t xml:space="preserve">sect. </w:t>
      </w:r>
      <w:r w:rsidR="007E0701" w:rsidRPr="003F78EB">
        <w:rPr>
          <w:lang w:val="en-US"/>
        </w:rPr>
        <w:t xml:space="preserve">V). </w:t>
      </w:r>
    </w:p>
    <w:p w:rsidR="007E0701" w:rsidRPr="003F78EB" w:rsidRDefault="007E0701" w:rsidP="003F78EB">
      <w:pPr>
        <w:pStyle w:val="SingleTxtG"/>
        <w:numPr>
          <w:ilvl w:val="0"/>
          <w:numId w:val="13"/>
        </w:numPr>
        <w:ind w:left="1134" w:firstLine="0"/>
        <w:rPr>
          <w:lang w:val="en-US"/>
        </w:rPr>
      </w:pPr>
      <w:r w:rsidRPr="003F78EB">
        <w:rPr>
          <w:lang w:val="en-US"/>
        </w:rPr>
        <w:t xml:space="preserve">The report is not intended to cover the entire spectrum of relevant United Nations work and processes, nor provide a comprehensive mapping of current practice. Rather, it seeks to signal and raise awareness about the importance of the business and human rights perspective to development-related work </w:t>
      </w:r>
      <w:r w:rsidR="00720D39" w:rsidRPr="003F78EB">
        <w:rPr>
          <w:lang w:val="en-US"/>
        </w:rPr>
        <w:t xml:space="preserve">of the United Nations </w:t>
      </w:r>
      <w:r w:rsidRPr="003F78EB">
        <w:rPr>
          <w:lang w:val="en-US"/>
        </w:rPr>
        <w:t>and about ways in which the Guiding Principles can help address challenges of policy incoherence. Its ultimate objective is thus to make a contribution towards achieving socially sustainable development founded on respect for human rights for all.</w:t>
      </w:r>
    </w:p>
    <w:p w:rsidR="007E0701" w:rsidRPr="003F78EB" w:rsidRDefault="007E0701" w:rsidP="00A42CC9">
      <w:pPr>
        <w:pStyle w:val="HChG"/>
      </w:pPr>
      <w:r w:rsidRPr="003F78EB">
        <w:tab/>
        <w:t>II.</w:t>
      </w:r>
      <w:r w:rsidRPr="003F78EB">
        <w:tab/>
        <w:t xml:space="preserve">Background and context: </w:t>
      </w:r>
      <w:r w:rsidR="00136DE8" w:rsidRPr="003F78EB">
        <w:t>e</w:t>
      </w:r>
      <w:r w:rsidRPr="003F78EB">
        <w:t xml:space="preserve">merging convergence </w:t>
      </w:r>
    </w:p>
    <w:p w:rsidR="007E0701" w:rsidRPr="003F78EB" w:rsidRDefault="007E0701" w:rsidP="003F78EB">
      <w:pPr>
        <w:pStyle w:val="SingleTxtG"/>
        <w:numPr>
          <w:ilvl w:val="0"/>
          <w:numId w:val="13"/>
        </w:numPr>
        <w:ind w:left="1134" w:firstLine="0"/>
      </w:pPr>
      <w:r w:rsidRPr="003F78EB">
        <w:t>Global standards and initiatives relat</w:t>
      </w:r>
      <w:r w:rsidR="00FB3846" w:rsidRPr="003F78EB">
        <w:t>ing</w:t>
      </w:r>
      <w:r w:rsidRPr="003F78EB">
        <w:t xml:space="preserve"> to business and human rights have started to converge around the Guiding Principles. The corporate responsibility to respect human </w:t>
      </w:r>
      <w:r w:rsidRPr="003F78EB">
        <w:lastRenderedPageBreak/>
        <w:t xml:space="preserve">rights as set out in the Guiding Principles has been incorporated into key frameworks such as the </w:t>
      </w:r>
      <w:r w:rsidR="00FB3846" w:rsidRPr="003F78EB">
        <w:t>Organi</w:t>
      </w:r>
      <w:r w:rsidR="00720D39" w:rsidRPr="003F78EB">
        <w:t>z</w:t>
      </w:r>
      <w:r w:rsidR="00FB3846" w:rsidRPr="003F78EB">
        <w:t>ation for Economic Cooperation and Development (</w:t>
      </w:r>
      <w:r w:rsidRPr="003F78EB">
        <w:t>OECD</w:t>
      </w:r>
      <w:r w:rsidR="00FB3846" w:rsidRPr="003F78EB">
        <w:t>)</w:t>
      </w:r>
      <w:r w:rsidRPr="003F78EB">
        <w:t xml:space="preserve"> Guidelines for Multinational Enterprises, </w:t>
      </w:r>
      <w:r w:rsidR="006907B3" w:rsidRPr="003F78EB">
        <w:t xml:space="preserve">the </w:t>
      </w:r>
      <w:r w:rsidR="00FB3846" w:rsidRPr="003F78EB">
        <w:t xml:space="preserve">International Organization for Standardization </w:t>
      </w:r>
      <w:r w:rsidR="00136DE8" w:rsidRPr="003F78EB">
        <w:t>(</w:t>
      </w:r>
      <w:r w:rsidRPr="003F78EB">
        <w:t xml:space="preserve">ISO standard </w:t>
      </w:r>
      <w:r w:rsidR="007F1F5D" w:rsidRPr="003F78EB">
        <w:t xml:space="preserve">26000: 2010 on </w:t>
      </w:r>
      <w:r w:rsidR="00E223A0" w:rsidRPr="003F78EB">
        <w:t>g</w:t>
      </w:r>
      <w:r w:rsidR="00FB3846" w:rsidRPr="003F78EB">
        <w:t xml:space="preserve">uidance </w:t>
      </w:r>
      <w:r w:rsidRPr="003F78EB">
        <w:t xml:space="preserve">on social responsibility of businesses and other organizations, the International Finance Corporation Sustainability Framework for its lending operations, the Global Reporting Initiative’s </w:t>
      </w:r>
      <w:r w:rsidR="00F8348E" w:rsidRPr="003F78EB">
        <w:t>Sustainability Reporting Guidelines</w:t>
      </w:r>
      <w:r w:rsidR="009C6323" w:rsidRPr="003F78EB">
        <w:t xml:space="preserve"> (fourth generation</w:t>
      </w:r>
      <w:r w:rsidR="00E70A66" w:rsidRPr="003F78EB">
        <w:t xml:space="preserve"> (G4)</w:t>
      </w:r>
      <w:r w:rsidR="009C6323" w:rsidRPr="003F78EB">
        <w:t>)</w:t>
      </w:r>
      <w:r w:rsidRPr="003F78EB">
        <w:t>, the Principles for Responsible Investment in Agriculture and Food Systems</w:t>
      </w:r>
      <w:r w:rsidR="00F8348E" w:rsidRPr="003F78EB">
        <w:t>,</w:t>
      </w:r>
      <w:r w:rsidRPr="003F78EB">
        <w:t xml:space="preserve"> approved by the Committee on World Food Security and</w:t>
      </w:r>
      <w:r w:rsidR="00A42CC9" w:rsidRPr="003F78EB">
        <w:t xml:space="preserve"> </w:t>
      </w:r>
      <w:r w:rsidR="00F8348E" w:rsidRPr="003F78EB">
        <w:t>in</w:t>
      </w:r>
      <w:r w:rsidR="00A42CC9" w:rsidRPr="003F78EB">
        <w:t>to</w:t>
      </w:r>
      <w:r w:rsidR="003A4402" w:rsidRPr="003F78EB">
        <w:t xml:space="preserve"> </w:t>
      </w:r>
      <w:r w:rsidRPr="003F78EB">
        <w:t xml:space="preserve">key United Nations frameworks for the private sector such as the Global Compact. </w:t>
      </w:r>
    </w:p>
    <w:p w:rsidR="007E0701" w:rsidRPr="003F78EB" w:rsidRDefault="007E0701" w:rsidP="003F78EB">
      <w:pPr>
        <w:pStyle w:val="SingleTxtG"/>
        <w:numPr>
          <w:ilvl w:val="0"/>
          <w:numId w:val="13"/>
        </w:numPr>
        <w:ind w:left="1134" w:firstLine="0"/>
      </w:pPr>
      <w:r w:rsidRPr="003F78EB">
        <w:t xml:space="preserve">Regional organizations are following suit. The European </w:t>
      </w:r>
      <w:r w:rsidR="00F8348E" w:rsidRPr="003F78EB">
        <w:t xml:space="preserve">Commission </w:t>
      </w:r>
      <w:r w:rsidRPr="003F78EB">
        <w:t xml:space="preserve">endorsed the Guiding Principles in its 2011 </w:t>
      </w:r>
      <w:r w:rsidR="00F8348E" w:rsidRPr="003F78EB">
        <w:t xml:space="preserve">corporate social responsibility </w:t>
      </w:r>
      <w:r w:rsidRPr="003F78EB">
        <w:t xml:space="preserve">strategy and made a commitment to support their implementation, including by publishing guidance material and calling on </w:t>
      </w:r>
      <w:r w:rsidR="008C25AA" w:rsidRPr="003F78EB">
        <w:t>European Union</w:t>
      </w:r>
      <w:r w:rsidRPr="003F78EB">
        <w:t xml:space="preserve"> member States to develop national action plans.</w:t>
      </w:r>
      <w:r w:rsidRPr="003F78EB">
        <w:rPr>
          <w:rStyle w:val="FootnoteReference"/>
        </w:rPr>
        <w:footnoteReference w:id="2"/>
      </w:r>
      <w:r w:rsidR="003A4402" w:rsidRPr="003F78EB">
        <w:t xml:space="preserve"> </w:t>
      </w:r>
      <w:r w:rsidRPr="003F78EB">
        <w:t>The Council of Europe has also taken steps to promote the Guiding Principles, including a declaration by the Committee of Ministers in support of the Principles.</w:t>
      </w:r>
      <w:r w:rsidRPr="003F78EB">
        <w:rPr>
          <w:rStyle w:val="FootnoteReference"/>
        </w:rPr>
        <w:footnoteReference w:id="3"/>
      </w:r>
      <w:r w:rsidRPr="003F78EB">
        <w:t xml:space="preserve"> Among other developments, the Organization of American States passed a resolution in 2014 expressing commitment to promote the Guiding Principles and calling on its member States to apply the</w:t>
      </w:r>
      <w:r w:rsidR="00A42CC9" w:rsidRPr="003F78EB">
        <w:t>m</w:t>
      </w:r>
      <w:r w:rsidRPr="003F78EB">
        <w:t>;</w:t>
      </w:r>
      <w:r w:rsidRPr="003F78EB">
        <w:rPr>
          <w:rStyle w:val="FootnoteReference"/>
        </w:rPr>
        <w:footnoteReference w:id="4"/>
      </w:r>
      <w:r w:rsidRPr="003F78EB">
        <w:t xml:space="preserve"> and the African Union supported the Working Group in holding a regional forum on business and human rights in Africa in 2014 and expressed its commitment to support</w:t>
      </w:r>
      <w:r w:rsidR="00260096" w:rsidRPr="003F78EB">
        <w:t>ing</w:t>
      </w:r>
      <w:r w:rsidRPr="003F78EB">
        <w:t xml:space="preserve"> the development of an African framework for implementation of the Guiding Principles.</w:t>
      </w:r>
      <w:r w:rsidRPr="003F78EB">
        <w:rPr>
          <w:rStyle w:val="FootnoteReference"/>
        </w:rPr>
        <w:footnoteReference w:id="5"/>
      </w:r>
      <w:r w:rsidRPr="003F78EB">
        <w:t xml:space="preserve"> </w:t>
      </w:r>
      <w:r w:rsidR="00110F5D" w:rsidRPr="003F78EB">
        <w:t>Further, a</w:t>
      </w:r>
      <w:r w:rsidRPr="003F78EB">
        <w:t xml:space="preserve"> baseline analysis </w:t>
      </w:r>
      <w:r w:rsidR="003F6716" w:rsidRPr="003F78EB">
        <w:t xml:space="preserve">carried out </w:t>
      </w:r>
      <w:r w:rsidRPr="003F78EB">
        <w:t xml:space="preserve">by the </w:t>
      </w:r>
      <w:r w:rsidR="00260096" w:rsidRPr="003F78EB">
        <w:t>Association of Southeast Asian Nations</w:t>
      </w:r>
      <w:r w:rsidRPr="003F78EB">
        <w:t xml:space="preserve"> Intergovernmental Commission on Human Rights on the nexus between business and human rights was published in November 2014, referring to the Guiding Principles as a key internationally recognized framework that should guide developments in the region.</w:t>
      </w:r>
      <w:r w:rsidRPr="003F78EB">
        <w:rPr>
          <w:rStyle w:val="FootnoteReference"/>
        </w:rPr>
        <w:footnoteReference w:id="6"/>
      </w:r>
      <w:r w:rsidRPr="003F78EB">
        <w:t xml:space="preserve"> </w:t>
      </w:r>
    </w:p>
    <w:p w:rsidR="007E0701" w:rsidRPr="003F78EB" w:rsidRDefault="00E70A66" w:rsidP="003F78EB">
      <w:pPr>
        <w:pStyle w:val="SingleTxtG"/>
        <w:numPr>
          <w:ilvl w:val="0"/>
          <w:numId w:val="13"/>
        </w:numPr>
        <w:ind w:left="1134" w:firstLine="0"/>
      </w:pPr>
      <w:r w:rsidRPr="003F78EB">
        <w:t>T</w:t>
      </w:r>
      <w:r w:rsidR="007E0701" w:rsidRPr="003F78EB">
        <w:t xml:space="preserve">here is an emerging trend of more States taking steps to develop national action plans on business and human rights based on the Guiding Principles, often spurred by </w:t>
      </w:r>
      <w:r w:rsidR="00141A3F" w:rsidRPr="003F78EB">
        <w:t>n</w:t>
      </w:r>
      <w:r w:rsidR="007E0701" w:rsidRPr="003F78EB">
        <w:t xml:space="preserve">ational </w:t>
      </w:r>
      <w:r w:rsidR="00141A3F" w:rsidRPr="003F78EB">
        <w:t>h</w:t>
      </w:r>
      <w:r w:rsidR="007E0701" w:rsidRPr="003F78EB">
        <w:t xml:space="preserve">uman </w:t>
      </w:r>
      <w:r w:rsidR="00141A3F" w:rsidRPr="003F78EB">
        <w:t>r</w:t>
      </w:r>
      <w:r w:rsidR="007E0701" w:rsidRPr="003F78EB">
        <w:t xml:space="preserve">ights institutions and civil society </w:t>
      </w:r>
      <w:r w:rsidR="0024586E" w:rsidRPr="003F78EB">
        <w:t>entities</w:t>
      </w:r>
      <w:r w:rsidR="007E0701" w:rsidRPr="003F78EB">
        <w:t>.</w:t>
      </w:r>
      <w:r w:rsidR="007E0701" w:rsidRPr="003F78EB">
        <w:rPr>
          <w:rStyle w:val="FootnoteReference"/>
        </w:rPr>
        <w:footnoteReference w:id="7"/>
      </w:r>
      <w:r w:rsidR="007E0701" w:rsidRPr="003F78EB">
        <w:t xml:space="preserve"> </w:t>
      </w:r>
    </w:p>
    <w:p w:rsidR="007E0701" w:rsidRPr="003F78EB" w:rsidRDefault="007E0701" w:rsidP="003F78EB">
      <w:pPr>
        <w:pStyle w:val="SingleTxtG"/>
        <w:numPr>
          <w:ilvl w:val="0"/>
          <w:numId w:val="13"/>
        </w:numPr>
        <w:ind w:left="1134" w:firstLine="0"/>
      </w:pPr>
      <w:r w:rsidRPr="003F78EB">
        <w:t xml:space="preserve">Surveys, such as </w:t>
      </w:r>
      <w:r w:rsidR="00260096" w:rsidRPr="003F78EB">
        <w:t xml:space="preserve">those </w:t>
      </w:r>
      <w:r w:rsidRPr="003F78EB">
        <w:t>by the Working Group</w:t>
      </w:r>
      <w:r w:rsidRPr="003F78EB">
        <w:rPr>
          <w:rStyle w:val="FootnoteReference"/>
        </w:rPr>
        <w:footnoteReference w:id="8"/>
      </w:r>
      <w:r w:rsidRPr="003F78EB">
        <w:t xml:space="preserve"> and the Economist Intelligence Unit</w:t>
      </w:r>
      <w:r w:rsidRPr="003F78EB">
        <w:rPr>
          <w:rStyle w:val="FootnoteReference"/>
        </w:rPr>
        <w:footnoteReference w:id="9"/>
      </w:r>
      <w:r w:rsidR="00260096" w:rsidRPr="003F78EB">
        <w:t>,</w:t>
      </w:r>
      <w:r w:rsidRPr="003F78EB">
        <w:t xml:space="preserve"> and discussions at the annual Forum on Business and Human Rights</w:t>
      </w:r>
      <w:r w:rsidRPr="003F78EB">
        <w:rPr>
          <w:rStyle w:val="FootnoteReference"/>
        </w:rPr>
        <w:footnoteReference w:id="10"/>
      </w:r>
      <w:r w:rsidRPr="003F78EB">
        <w:t xml:space="preserve"> indicate that a </w:t>
      </w:r>
      <w:r w:rsidRPr="003F78EB">
        <w:lastRenderedPageBreak/>
        <w:t>growing number of companies are becoming aware of</w:t>
      </w:r>
      <w:r w:rsidR="00260096" w:rsidRPr="003F78EB">
        <w:t>,</w:t>
      </w:r>
      <w:r w:rsidRPr="003F78EB">
        <w:t xml:space="preserve"> and taking steps to</w:t>
      </w:r>
      <w:r w:rsidR="00260096" w:rsidRPr="003F78EB">
        <w:t>,</w:t>
      </w:r>
      <w:r w:rsidRPr="003F78EB">
        <w:t xml:space="preserve"> implement the Guiding Principles in policies and company procedures. </w:t>
      </w:r>
    </w:p>
    <w:p w:rsidR="007E0701" w:rsidRPr="003F78EB" w:rsidRDefault="007E0701" w:rsidP="003F78EB">
      <w:pPr>
        <w:pStyle w:val="SingleTxtG"/>
        <w:numPr>
          <w:ilvl w:val="0"/>
          <w:numId w:val="13"/>
        </w:numPr>
        <w:ind w:left="1134" w:firstLine="0"/>
      </w:pPr>
      <w:r w:rsidRPr="003F78EB">
        <w:t xml:space="preserve">Industry bodies such as the mining industry’s </w:t>
      </w:r>
      <w:r w:rsidR="00190C4D" w:rsidRPr="003F78EB">
        <w:t>International Council on Mining and Metals</w:t>
      </w:r>
      <w:r w:rsidRPr="003F78EB">
        <w:t xml:space="preserve"> and the oil and gas sector’s </w:t>
      </w:r>
      <w:r w:rsidR="00190C4D" w:rsidRPr="003F78EB">
        <w:t>International Petroleum Industry Environmental Conservation Association</w:t>
      </w:r>
      <w:r w:rsidRPr="003F78EB">
        <w:t xml:space="preserve"> have developed several tools</w:t>
      </w:r>
      <w:r w:rsidRPr="003F78EB">
        <w:rPr>
          <w:rStyle w:val="FootnoteReference"/>
        </w:rPr>
        <w:footnoteReference w:id="11"/>
      </w:r>
      <w:r w:rsidRPr="003F78EB">
        <w:t xml:space="preserve"> to help companies </w:t>
      </w:r>
      <w:r w:rsidR="003F6716" w:rsidRPr="003F78EB">
        <w:t xml:space="preserve">to </w:t>
      </w:r>
      <w:r w:rsidRPr="003F78EB">
        <w:t xml:space="preserve">implement the Guiding Principles. Corporate law firms and bar associations are also increasingly </w:t>
      </w:r>
      <w:r w:rsidR="00110F5D" w:rsidRPr="003F78EB">
        <w:t>emphasizing that</w:t>
      </w:r>
      <w:r w:rsidRPr="003F78EB">
        <w:t xml:space="preserve"> corporate practice </w:t>
      </w:r>
      <w:r w:rsidR="00110F5D" w:rsidRPr="003F78EB">
        <w:t>not only needs to be in</w:t>
      </w:r>
      <w:r w:rsidRPr="003F78EB">
        <w:t xml:space="preserve"> compliance </w:t>
      </w:r>
      <w:r w:rsidR="00110F5D" w:rsidRPr="003F78EB">
        <w:t xml:space="preserve">with domestic legal requirements, but also </w:t>
      </w:r>
      <w:r w:rsidRPr="003F78EB">
        <w:t>align</w:t>
      </w:r>
      <w:r w:rsidR="00110F5D" w:rsidRPr="003F78EB">
        <w:t>ed</w:t>
      </w:r>
      <w:r w:rsidRPr="003F78EB">
        <w:t xml:space="preserve"> with international human rights standards, in particular the Guiding Principles.</w:t>
      </w:r>
      <w:r w:rsidRPr="003F78EB">
        <w:rPr>
          <w:rStyle w:val="FootnoteReference"/>
        </w:rPr>
        <w:footnoteReference w:id="12"/>
      </w:r>
      <w:r w:rsidRPr="003F78EB">
        <w:t xml:space="preserve"> In the area of finance, there is growing recognition among investors of the utility of the Guiding Principles as a framework for managing social risks in </w:t>
      </w:r>
      <w:r w:rsidR="00190C4D" w:rsidRPr="003F78EB">
        <w:t>a</w:t>
      </w:r>
      <w:r w:rsidRPr="003F78EB">
        <w:t xml:space="preserve"> business</w:t>
      </w:r>
      <w:r w:rsidR="00190C4D" w:rsidRPr="003F78EB">
        <w:t xml:space="preserve"> context</w:t>
      </w:r>
      <w:r w:rsidRPr="003F78EB">
        <w:t>.</w:t>
      </w:r>
      <w:r w:rsidRPr="003F78EB">
        <w:rPr>
          <w:rStyle w:val="FootnoteReference"/>
        </w:rPr>
        <w:footnoteReference w:id="13"/>
      </w:r>
    </w:p>
    <w:p w:rsidR="007E0701" w:rsidRPr="003F78EB" w:rsidRDefault="007E0701" w:rsidP="003F78EB">
      <w:pPr>
        <w:pStyle w:val="SingleTxtG"/>
        <w:numPr>
          <w:ilvl w:val="0"/>
          <w:numId w:val="13"/>
        </w:numPr>
        <w:ind w:left="1134" w:firstLine="0"/>
      </w:pPr>
      <w:r w:rsidRPr="003F78EB">
        <w:t>The Working Group has been actively supporting these efforts through its engagement with stakeholder groups. While it is encouraged by the many examples of progress, it also considers that most of the hard work of translating policy statements and commitments into action remains to be done. In particular, concerns about elusive progress in achieving access to remedy for victims of corporate-related human rights abuse must be heeded. Such concerns were an important factor behind the civil society campaign in support of the decision</w:t>
      </w:r>
      <w:r w:rsidR="00FB0E43" w:rsidRPr="003F78EB">
        <w:t xml:space="preserve"> of the Human Rights Council</w:t>
      </w:r>
      <w:r w:rsidRPr="003F78EB">
        <w:t xml:space="preserve"> to establish an open-ended intergovernmental working group with the mandate to </w:t>
      </w:r>
      <w:r w:rsidR="00062EF5" w:rsidRPr="003F78EB">
        <w:t xml:space="preserve">draw up </w:t>
      </w:r>
      <w:r w:rsidRPr="003F78EB">
        <w:t xml:space="preserve">an internationally legally binding instrument on transnational corporations. </w:t>
      </w:r>
    </w:p>
    <w:p w:rsidR="007E0701" w:rsidRPr="003F78EB" w:rsidRDefault="007E0701" w:rsidP="003F78EB">
      <w:pPr>
        <w:pStyle w:val="SingleTxtG"/>
        <w:numPr>
          <w:ilvl w:val="0"/>
          <w:numId w:val="13"/>
        </w:numPr>
        <w:ind w:left="1134" w:firstLine="0"/>
      </w:pPr>
      <w:r w:rsidRPr="003F78EB">
        <w:t>Recent efforts to map progress by both States and business</w:t>
      </w:r>
      <w:r w:rsidR="00FB0E43" w:rsidRPr="003F78EB">
        <w:t>es</w:t>
      </w:r>
      <w:r w:rsidRPr="003F78EB">
        <w:t xml:space="preserve"> in the form of the Business and Human Rights Resource Centre’s “action platforms”</w:t>
      </w:r>
      <w:r w:rsidR="00FB0E43" w:rsidRPr="003F78EB">
        <w:t>,</w:t>
      </w:r>
      <w:r w:rsidRPr="003F78EB">
        <w:rPr>
          <w:rStyle w:val="FootnoteReference"/>
        </w:rPr>
        <w:footnoteReference w:id="14"/>
      </w:r>
      <w:r w:rsidRPr="003F78EB">
        <w:t xml:space="preserve"> guidance on reporting</w:t>
      </w:r>
      <w:r w:rsidRPr="003F78EB">
        <w:rPr>
          <w:rStyle w:val="FootnoteReference"/>
        </w:rPr>
        <w:footnoteReference w:id="15"/>
      </w:r>
      <w:r w:rsidRPr="003F78EB">
        <w:t xml:space="preserve"> and initiatives aimed at ranking or benchmarking </w:t>
      </w:r>
      <w:r w:rsidR="00062EF5" w:rsidRPr="003F78EB">
        <w:t xml:space="preserve">the </w:t>
      </w:r>
      <w:r w:rsidRPr="003F78EB">
        <w:t>practice of individual companies</w:t>
      </w:r>
      <w:r w:rsidRPr="003F78EB">
        <w:rPr>
          <w:rStyle w:val="FootnoteReference"/>
        </w:rPr>
        <w:footnoteReference w:id="16"/>
      </w:r>
      <w:r w:rsidRPr="003F78EB">
        <w:t xml:space="preserve"> </w:t>
      </w:r>
      <w:r w:rsidR="0041515D" w:rsidRPr="003F78EB">
        <w:t xml:space="preserve">all </w:t>
      </w:r>
      <w:r w:rsidRPr="003F78EB">
        <w:t xml:space="preserve">have potential for spurring the faster change needed. </w:t>
      </w:r>
    </w:p>
    <w:p w:rsidR="007E0701" w:rsidRPr="003F78EB" w:rsidRDefault="009404BB" w:rsidP="003F78EB">
      <w:pPr>
        <w:pStyle w:val="SingleTxtG"/>
        <w:numPr>
          <w:ilvl w:val="0"/>
          <w:numId w:val="13"/>
        </w:numPr>
        <w:ind w:left="1134" w:firstLine="0"/>
      </w:pPr>
      <w:r w:rsidRPr="003F78EB">
        <w:t xml:space="preserve">Within the United Nation system, </w:t>
      </w:r>
      <w:r w:rsidR="00BA0A25" w:rsidRPr="003F78EB">
        <w:t xml:space="preserve">the </w:t>
      </w:r>
      <w:r w:rsidRPr="003F78EB">
        <w:t xml:space="preserve">Office of the High Commissioner for Human Rights (OHCHR) serves as a focal point for the business and human rights agenda. </w:t>
      </w:r>
      <w:r w:rsidR="00AF663A" w:rsidRPr="003F78EB">
        <w:t>Equally, t</w:t>
      </w:r>
      <w:r w:rsidR="007E0701" w:rsidRPr="003F78EB">
        <w:t xml:space="preserve">he International Labour Organization (ILO) has a central role in working with States, business enterprises and trade unions to promote and monitor the implementation of international labour standards that are part of the normative content of the Guiding Principles, together with other human rights standards. Beyond </w:t>
      </w:r>
      <w:r w:rsidR="00AD1D65" w:rsidRPr="003F78EB">
        <w:t>OHCHR and</w:t>
      </w:r>
      <w:r w:rsidR="007E0701" w:rsidRPr="003F78EB">
        <w:t xml:space="preserve"> ILO, United Nations agencies, programmes and processes have supported the Guiding Principles, but on the whole </w:t>
      </w:r>
      <w:r w:rsidR="00FB0E43" w:rsidRPr="003F78EB">
        <w:t xml:space="preserve">have </w:t>
      </w:r>
      <w:r w:rsidR="007E0701" w:rsidRPr="003F78EB">
        <w:t>been slow in integrating them into key frameworks</w:t>
      </w:r>
      <w:r w:rsidR="00FB0E43" w:rsidRPr="003F78EB">
        <w:t xml:space="preserve"> (s</w:t>
      </w:r>
      <w:r w:rsidR="00FB0E43" w:rsidRPr="003F78EB">
        <w:rPr>
          <w:szCs w:val="18"/>
        </w:rPr>
        <w:t xml:space="preserve">ee A/HRC/26/20, </w:t>
      </w:r>
      <w:r w:rsidR="00FB0E43" w:rsidRPr="003F78EB">
        <w:rPr>
          <w:szCs w:val="18"/>
        </w:rPr>
        <w:lastRenderedPageBreak/>
        <w:t>para. 81)</w:t>
      </w:r>
      <w:r w:rsidR="007E0701" w:rsidRPr="003F78EB">
        <w:t xml:space="preserve">. The United Nations should use its unique </w:t>
      </w:r>
      <w:r w:rsidR="00062EF5" w:rsidRPr="003F78EB">
        <w:t xml:space="preserve">status </w:t>
      </w:r>
      <w:r w:rsidR="007E0701" w:rsidRPr="003F78EB">
        <w:t>to drive further convergence on the Guiding Principles, and in doing so improve the policy coherence of governance frameworks aimed at managing adverse impacts of economic activity and supporting sustainable development.</w:t>
      </w:r>
    </w:p>
    <w:p w:rsidR="007E0701" w:rsidRPr="003F78EB" w:rsidRDefault="005841A0" w:rsidP="00BB3CBC">
      <w:pPr>
        <w:pStyle w:val="HChG"/>
      </w:pPr>
      <w:r w:rsidRPr="003F78EB">
        <w:tab/>
        <w:t>III.</w:t>
      </w:r>
      <w:r w:rsidRPr="003F78EB">
        <w:tab/>
      </w:r>
      <w:r w:rsidR="007E0701" w:rsidRPr="003F78EB">
        <w:t>Integrating the Guiding Principles in</w:t>
      </w:r>
      <w:r w:rsidR="0041515D" w:rsidRPr="003F78EB">
        <w:t>to</w:t>
      </w:r>
      <w:r w:rsidR="007E0701" w:rsidRPr="003F78EB">
        <w:t xml:space="preserve"> United Nations work and processe</w:t>
      </w:r>
      <w:r w:rsidRPr="003F78EB">
        <w:t xml:space="preserve">s with a “business interface”: </w:t>
      </w:r>
      <w:r w:rsidR="0041515D" w:rsidRPr="003F78EB">
        <w:t>i</w:t>
      </w:r>
      <w:r w:rsidR="007E0701" w:rsidRPr="003F78EB">
        <w:t>nvestment, trade</w:t>
      </w:r>
      <w:r w:rsidR="003E631A" w:rsidRPr="003F78EB">
        <w:t> </w:t>
      </w:r>
      <w:r w:rsidR="007E0701" w:rsidRPr="003F78EB">
        <w:t>and financial institutions</w:t>
      </w:r>
    </w:p>
    <w:p w:rsidR="007E0701" w:rsidRPr="003F78EB" w:rsidRDefault="007E0701" w:rsidP="003F78EB">
      <w:pPr>
        <w:pStyle w:val="SingleTxtG"/>
        <w:numPr>
          <w:ilvl w:val="0"/>
          <w:numId w:val="13"/>
        </w:numPr>
        <w:ind w:left="1134" w:firstLine="0"/>
      </w:pPr>
      <w:r w:rsidRPr="003F78EB">
        <w:t>As the Secretary-General urged in his synthesis report on the post-2015 sustainable development agenda, there is a need to remedy the policy incoherence between current modes of international governance in matters of trade, finance and investment on the one hand, and our norms and standards for labour, the environment, human rights, equality and sustainability on the other and to ensure investment policies that are in line with the Guiding Principles</w:t>
      </w:r>
      <w:r w:rsidR="00FB0E43" w:rsidRPr="003F78EB">
        <w:t xml:space="preserve"> (see </w:t>
      </w:r>
      <w:r w:rsidR="00FB0E43" w:rsidRPr="003F78EB">
        <w:rPr>
          <w:szCs w:val="18"/>
        </w:rPr>
        <w:t>A/69/700, paras. 95 and 105)</w:t>
      </w:r>
      <w:r w:rsidRPr="003F78EB">
        <w:t>.</w:t>
      </w:r>
    </w:p>
    <w:p w:rsidR="007E0701" w:rsidRPr="003F78EB" w:rsidRDefault="007E0701" w:rsidP="003F78EB">
      <w:pPr>
        <w:pStyle w:val="SingleTxtG"/>
        <w:numPr>
          <w:ilvl w:val="0"/>
          <w:numId w:val="13"/>
        </w:numPr>
        <w:ind w:left="1134" w:firstLine="0"/>
      </w:pPr>
      <w:r w:rsidRPr="003F78EB">
        <w:t xml:space="preserve">Despite this recognition, uptake across the United Nations has been slow, with some notable exceptions. Tangible progress is needed to increase the momentum of convergence around the Guiding Principles </w:t>
      </w:r>
      <w:r w:rsidR="00BB3CBC" w:rsidRPr="003F78EB">
        <w:t xml:space="preserve">in order </w:t>
      </w:r>
      <w:r w:rsidRPr="003F78EB">
        <w:t>to manage and address adverse human rights impacts linked to business activit</w:t>
      </w:r>
      <w:r w:rsidR="001E1DAA" w:rsidRPr="003F78EB">
        <w:t>ies</w:t>
      </w:r>
      <w:r w:rsidRPr="003F78EB">
        <w:t xml:space="preserve">. </w:t>
      </w:r>
      <w:r w:rsidR="001E1DAA" w:rsidRPr="003F78EB">
        <w:t>C</w:t>
      </w:r>
      <w:r w:rsidRPr="003F78EB">
        <w:t xml:space="preserve">oncerns about </w:t>
      </w:r>
      <w:r w:rsidR="001E1DAA" w:rsidRPr="003F78EB">
        <w:t xml:space="preserve">the </w:t>
      </w:r>
      <w:r w:rsidRPr="003F78EB">
        <w:t xml:space="preserve">possible negative impacts on people and the environment of current investment, trade and financial practices are a regular feature of </w:t>
      </w:r>
      <w:r w:rsidR="001E1DAA" w:rsidRPr="003F78EB">
        <w:t xml:space="preserve">the </w:t>
      </w:r>
      <w:r w:rsidRPr="003F78EB">
        <w:t>global debate and a central premise of efforts to reform global governance.</w:t>
      </w:r>
    </w:p>
    <w:p w:rsidR="007E0701" w:rsidRPr="003F78EB" w:rsidRDefault="007E0701" w:rsidP="003F78EB">
      <w:pPr>
        <w:pStyle w:val="SingleTxtG"/>
        <w:numPr>
          <w:ilvl w:val="0"/>
          <w:numId w:val="13"/>
        </w:numPr>
        <w:ind w:left="1134" w:firstLine="0"/>
      </w:pPr>
      <w:r w:rsidRPr="003F78EB">
        <w:t xml:space="preserve">With regard to action within the United Nations system, there are great potential dividends </w:t>
      </w:r>
      <w:r w:rsidR="001E1DAA" w:rsidRPr="003F78EB">
        <w:t xml:space="preserve">to be reaped </w:t>
      </w:r>
      <w:r w:rsidR="00BB3CBC" w:rsidRPr="003F78EB">
        <w:t xml:space="preserve">from </w:t>
      </w:r>
      <w:r w:rsidRPr="003F78EB">
        <w:t>align</w:t>
      </w:r>
      <w:r w:rsidR="001E1DAA" w:rsidRPr="003F78EB">
        <w:t>ing efforts on</w:t>
      </w:r>
      <w:r w:rsidRPr="003F78EB">
        <w:t xml:space="preserve"> investment, trade and financial institutions</w:t>
      </w:r>
      <w:r w:rsidR="00AD1D65" w:rsidRPr="003F78EB">
        <w:t xml:space="preserve"> with the Guiding Principles</w:t>
      </w:r>
      <w:r w:rsidRPr="003F78EB">
        <w:t xml:space="preserve">. </w:t>
      </w:r>
      <w:r w:rsidR="00AD1D65" w:rsidRPr="003F78EB">
        <w:t>The United Nations system has great potential for affecting business practice, be it through facilitation of dialogue</w:t>
      </w:r>
      <w:r w:rsidRPr="003F78EB">
        <w:t>, be it through facilitation of dialogue, consensus</w:t>
      </w:r>
      <w:r w:rsidR="001E1DAA" w:rsidRPr="003F78EB">
        <w:t>-</w:t>
      </w:r>
      <w:r w:rsidRPr="003F78EB">
        <w:t>building, lesson sharing and capacity</w:t>
      </w:r>
      <w:r w:rsidR="00BB3CBC" w:rsidRPr="003F78EB">
        <w:t>-</w:t>
      </w:r>
      <w:r w:rsidRPr="003F78EB">
        <w:t xml:space="preserve">building to encourage responsible business conduct, or through more direct involvement in shaping rules and governing frameworks </w:t>
      </w:r>
    </w:p>
    <w:p w:rsidR="007E0701" w:rsidRPr="003F78EB" w:rsidRDefault="00460F43" w:rsidP="00460F43">
      <w:pPr>
        <w:pStyle w:val="H1G"/>
      </w:pPr>
      <w:r w:rsidRPr="003F78EB">
        <w:tab/>
        <w:t>A.</w:t>
      </w:r>
      <w:r w:rsidRPr="003F78EB">
        <w:tab/>
      </w:r>
      <w:r w:rsidR="007E0701" w:rsidRPr="003F78EB">
        <w:t>Investment</w:t>
      </w:r>
    </w:p>
    <w:p w:rsidR="007E0701" w:rsidRPr="003F78EB" w:rsidRDefault="004059B4" w:rsidP="003F78EB">
      <w:pPr>
        <w:pStyle w:val="SingleTxtG"/>
        <w:numPr>
          <w:ilvl w:val="0"/>
          <w:numId w:val="13"/>
        </w:numPr>
        <w:ind w:left="1134" w:firstLine="0"/>
        <w:rPr>
          <w:bCs/>
        </w:rPr>
      </w:pPr>
      <w:r w:rsidRPr="003F78EB">
        <w:t>It is highlighted in t</w:t>
      </w:r>
      <w:r w:rsidR="007E0701" w:rsidRPr="003F78EB">
        <w:t>he Guiding Principles that investment policies and frameworks must be consistent with international human rights standards. The primary responsibility for meeting this objective is held by States, which, as set out in Guiding Principle</w:t>
      </w:r>
      <w:r w:rsidR="003E631A" w:rsidRPr="003F78EB">
        <w:t> </w:t>
      </w:r>
      <w:r w:rsidR="007E0701" w:rsidRPr="003F78EB">
        <w:t xml:space="preserve">9, should maintain adequate domestic policy space to meet their human rights obligations when pursuing business-related policy objectives with other States or business enterprises, for instance through investment treaties or contracts. The </w:t>
      </w:r>
      <w:r w:rsidR="007E0701" w:rsidRPr="003F78EB">
        <w:rPr>
          <w:bCs/>
        </w:rPr>
        <w:t xml:space="preserve">importance of due diligence and human rights impact assessments in the context of trade and investment agreements has also been consistently raised by other </w:t>
      </w:r>
      <w:r w:rsidR="00DD327E" w:rsidRPr="003F78EB">
        <w:rPr>
          <w:bCs/>
        </w:rPr>
        <w:t>entities</w:t>
      </w:r>
      <w:r w:rsidR="007E0701" w:rsidRPr="003F78EB">
        <w:rPr>
          <w:bCs/>
        </w:rPr>
        <w:t xml:space="preserve"> of the United Nations </w:t>
      </w:r>
      <w:r w:rsidR="00DD327E" w:rsidRPr="003F78EB">
        <w:rPr>
          <w:bCs/>
        </w:rPr>
        <w:t>h</w:t>
      </w:r>
      <w:r w:rsidR="007E0701" w:rsidRPr="003F78EB">
        <w:rPr>
          <w:bCs/>
        </w:rPr>
        <w:t xml:space="preserve">uman </w:t>
      </w:r>
      <w:r w:rsidR="00DD327E" w:rsidRPr="003F78EB">
        <w:rPr>
          <w:bCs/>
        </w:rPr>
        <w:t>r</w:t>
      </w:r>
      <w:r w:rsidR="007E0701" w:rsidRPr="003F78EB">
        <w:rPr>
          <w:bCs/>
        </w:rPr>
        <w:t>ights system.</w:t>
      </w:r>
      <w:r w:rsidR="007E0701" w:rsidRPr="003F78EB">
        <w:rPr>
          <w:rStyle w:val="FootnoteReference"/>
        </w:rPr>
        <w:footnoteReference w:id="17"/>
      </w:r>
    </w:p>
    <w:p w:rsidR="007E0701" w:rsidRPr="003F78EB" w:rsidRDefault="007E0701" w:rsidP="003F78EB">
      <w:pPr>
        <w:pStyle w:val="SingleTxtG"/>
        <w:numPr>
          <w:ilvl w:val="0"/>
          <w:numId w:val="13"/>
        </w:numPr>
        <w:ind w:left="1134" w:firstLine="0"/>
      </w:pPr>
      <w:r w:rsidRPr="003F78EB">
        <w:t xml:space="preserve">The former Special Representative of the Secretary-General </w:t>
      </w:r>
      <w:r w:rsidR="00F565C5" w:rsidRPr="003F78EB">
        <w:t xml:space="preserve">on the issue of human rights and transnational corporations and other business enterprises </w:t>
      </w:r>
      <w:r w:rsidRPr="003F78EB">
        <w:t xml:space="preserve">devoted </w:t>
      </w:r>
      <w:r w:rsidR="003C52DC" w:rsidRPr="003F78EB">
        <w:t xml:space="preserve">a </w:t>
      </w:r>
      <w:r w:rsidRPr="003F78EB">
        <w:t xml:space="preserve">significant </w:t>
      </w:r>
      <w:r w:rsidR="003C52DC" w:rsidRPr="003F78EB">
        <w:t xml:space="preserve">portion </w:t>
      </w:r>
      <w:r w:rsidRPr="003F78EB">
        <w:t>of his mandate to these questions, focusing in particular on</w:t>
      </w:r>
      <w:r w:rsidR="00F565C5" w:rsidRPr="003F78EB">
        <w:t>:</w:t>
      </w:r>
      <w:r w:rsidRPr="003F78EB">
        <w:t xml:space="preserve"> (</w:t>
      </w:r>
      <w:r w:rsidR="00F565C5" w:rsidRPr="003F78EB">
        <w:t>a</w:t>
      </w:r>
      <w:r w:rsidRPr="003F78EB">
        <w:t>)</w:t>
      </w:r>
      <w:r w:rsidR="003E631A" w:rsidRPr="003F78EB">
        <w:t> </w:t>
      </w:r>
      <w:r w:rsidRPr="003F78EB">
        <w:t xml:space="preserve">State-investor contracts and the effect of “stabilization clauses” on the policy space of States to protect </w:t>
      </w:r>
      <w:r w:rsidRPr="003F78EB">
        <w:lastRenderedPageBreak/>
        <w:t xml:space="preserve">human rights; </w:t>
      </w:r>
      <w:r w:rsidR="00F565C5" w:rsidRPr="003F78EB">
        <w:t>(b</w:t>
      </w:r>
      <w:r w:rsidRPr="003F78EB">
        <w:t>)</w:t>
      </w:r>
      <w:r w:rsidR="003E631A" w:rsidRPr="003F78EB">
        <w:t> </w:t>
      </w:r>
      <w:r w:rsidRPr="003F78EB">
        <w:t>the importance of greater transparency in international investment arbitration where human rights issues are at stake; and (</w:t>
      </w:r>
      <w:r w:rsidR="00F565C5" w:rsidRPr="003F78EB">
        <w:t>c</w:t>
      </w:r>
      <w:r w:rsidRPr="003F78EB">
        <w:t>)</w:t>
      </w:r>
      <w:r w:rsidR="003E631A" w:rsidRPr="003F78EB">
        <w:t> </w:t>
      </w:r>
      <w:r w:rsidRPr="003F78EB">
        <w:t>how provisions in bilateral investment treaties may constrain States’ ability to adopt legitimate policy reforms, including for human rights.</w:t>
      </w:r>
      <w:r w:rsidRPr="003F78EB">
        <w:rPr>
          <w:rStyle w:val="FootnoteReference"/>
        </w:rPr>
        <w:footnoteReference w:id="18"/>
      </w:r>
      <w:r w:rsidRPr="003F78EB">
        <w:t xml:space="preserve"> Since then, further initiatives have </w:t>
      </w:r>
      <w:r w:rsidR="00F565C5" w:rsidRPr="003F78EB">
        <w:t>emerged</w:t>
      </w:r>
      <w:r w:rsidR="00465E39" w:rsidRPr="003F78EB">
        <w:t xml:space="preserve">, </w:t>
      </w:r>
      <w:r w:rsidRPr="003F78EB">
        <w:t xml:space="preserve">building on his work, as highlighted in the </w:t>
      </w:r>
      <w:r w:rsidR="004059B4" w:rsidRPr="003F78EB">
        <w:t xml:space="preserve">following </w:t>
      </w:r>
      <w:r w:rsidRPr="003F78EB">
        <w:t>sections.</w:t>
      </w:r>
    </w:p>
    <w:p w:rsidR="007E0701" w:rsidRPr="003F78EB" w:rsidRDefault="00E059FD" w:rsidP="00E059FD">
      <w:pPr>
        <w:pStyle w:val="H23G"/>
      </w:pPr>
      <w:r w:rsidRPr="003F78EB">
        <w:tab/>
        <w:t>1.</w:t>
      </w:r>
      <w:r w:rsidRPr="003F78EB">
        <w:tab/>
      </w:r>
      <w:r w:rsidR="007E0701" w:rsidRPr="003F78EB">
        <w:t>Promoting responsible contracts</w:t>
      </w:r>
    </w:p>
    <w:p w:rsidR="007E0701" w:rsidRPr="003F78EB" w:rsidRDefault="007E0701" w:rsidP="003F78EB">
      <w:pPr>
        <w:pStyle w:val="SingleTxtG"/>
        <w:numPr>
          <w:ilvl w:val="0"/>
          <w:numId w:val="13"/>
        </w:numPr>
        <w:ind w:left="1134" w:firstLine="0"/>
      </w:pPr>
      <w:r w:rsidRPr="003F78EB">
        <w:t xml:space="preserve">The work of the </w:t>
      </w:r>
      <w:r w:rsidR="00465E39" w:rsidRPr="003F78EB">
        <w:t xml:space="preserve">Special Representative </w:t>
      </w:r>
      <w:r w:rsidRPr="003F78EB">
        <w:t xml:space="preserve">highlighted State-investor contracts as a key </w:t>
      </w:r>
      <w:r w:rsidR="00E618D4" w:rsidRPr="003F78EB">
        <w:t>area in which</w:t>
      </w:r>
      <w:r w:rsidRPr="003F78EB">
        <w:t xml:space="preserve"> the Guiding Principles </w:t>
      </w:r>
      <w:r w:rsidR="00F565C5" w:rsidRPr="003F78EB">
        <w:t xml:space="preserve">could </w:t>
      </w:r>
      <w:r w:rsidRPr="003F78EB">
        <w:t xml:space="preserve">add significant value. It led to the development of the </w:t>
      </w:r>
      <w:r w:rsidR="00465E39" w:rsidRPr="003F78EB">
        <w:t>p</w:t>
      </w:r>
      <w:r w:rsidRPr="003F78EB">
        <w:t xml:space="preserve">rinciples for </w:t>
      </w:r>
      <w:r w:rsidR="00465E39" w:rsidRPr="003F78EB">
        <w:t>r</w:t>
      </w:r>
      <w:r w:rsidRPr="003F78EB">
        <w:t xml:space="preserve">esponsible </w:t>
      </w:r>
      <w:r w:rsidR="00465E39" w:rsidRPr="003F78EB">
        <w:t>c</w:t>
      </w:r>
      <w:r w:rsidRPr="003F78EB">
        <w:t>ontracts</w:t>
      </w:r>
      <w:r w:rsidR="00F565C5" w:rsidRPr="003F78EB">
        <w:t xml:space="preserve"> (</w:t>
      </w:r>
      <w:r w:rsidR="00F565C5" w:rsidRPr="003F78EB">
        <w:rPr>
          <w:szCs w:val="18"/>
        </w:rPr>
        <w:t>A/HRC/17/31/Add.3)</w:t>
      </w:r>
      <w:r w:rsidRPr="003F78EB">
        <w:t>.</w:t>
      </w:r>
      <w:r w:rsidR="003A4402" w:rsidRPr="003F78EB">
        <w:t xml:space="preserve"> </w:t>
      </w:r>
    </w:p>
    <w:p w:rsidR="007E0701" w:rsidRPr="003F78EB" w:rsidRDefault="007E0701" w:rsidP="003F78EB">
      <w:pPr>
        <w:pStyle w:val="SingleTxtG"/>
        <w:numPr>
          <w:ilvl w:val="0"/>
          <w:numId w:val="13"/>
        </w:numPr>
        <w:ind w:left="1134" w:firstLine="0"/>
      </w:pPr>
      <w:r w:rsidRPr="003F78EB">
        <w:t>The Working Group</w:t>
      </w:r>
      <w:r w:rsidR="00A77DFC" w:rsidRPr="003F78EB">
        <w:t>,</w:t>
      </w:r>
      <w:r w:rsidRPr="003F78EB">
        <w:t xml:space="preserve"> together with </w:t>
      </w:r>
      <w:r w:rsidR="002239FA" w:rsidRPr="003F78EB">
        <w:t>the Office of the High Commissioner for Human Rights (</w:t>
      </w:r>
      <w:r w:rsidRPr="003F78EB">
        <w:t>OHCHR</w:t>
      </w:r>
      <w:r w:rsidR="002239FA" w:rsidRPr="003F78EB">
        <w:t>)</w:t>
      </w:r>
      <w:r w:rsidR="00A77DFC" w:rsidRPr="003F78EB">
        <w:t>,</w:t>
      </w:r>
      <w:r w:rsidRPr="003F78EB">
        <w:t xml:space="preserve"> </w:t>
      </w:r>
      <w:r w:rsidR="002239FA" w:rsidRPr="003F78EB">
        <w:t xml:space="preserve">is </w:t>
      </w:r>
      <w:r w:rsidRPr="003F78EB">
        <w:t xml:space="preserve">actively disseminating the </w:t>
      </w:r>
      <w:r w:rsidR="002239FA" w:rsidRPr="003F78EB">
        <w:t>p</w:t>
      </w:r>
      <w:r w:rsidRPr="003F78EB">
        <w:t xml:space="preserve">rinciples for </w:t>
      </w:r>
      <w:r w:rsidR="002239FA" w:rsidRPr="003F78EB">
        <w:t>r</w:t>
      </w:r>
      <w:r w:rsidRPr="003F78EB">
        <w:t xml:space="preserve">esponsible </w:t>
      </w:r>
      <w:r w:rsidR="002239FA" w:rsidRPr="003F78EB">
        <w:t>c</w:t>
      </w:r>
      <w:r w:rsidRPr="003F78EB">
        <w:t>ontracts and the training developed by OHCHR on th</w:t>
      </w:r>
      <w:r w:rsidR="00F565C5" w:rsidRPr="003F78EB">
        <w:t>os</w:t>
      </w:r>
      <w:r w:rsidRPr="003F78EB">
        <w:t xml:space="preserve">e </w:t>
      </w:r>
      <w:r w:rsidR="00F565C5" w:rsidRPr="003F78EB">
        <w:t>p</w:t>
      </w:r>
      <w:r w:rsidRPr="003F78EB">
        <w:t>rinciples,</w:t>
      </w:r>
      <w:r w:rsidRPr="003F78EB">
        <w:rPr>
          <w:rStyle w:val="FootnoteReference"/>
        </w:rPr>
        <w:footnoteReference w:id="19"/>
      </w:r>
      <w:r w:rsidRPr="003F78EB">
        <w:t xml:space="preserve"> as tools for government negotiators, parliamentarians, commercial negotiators and civil society to help ensure the integration of </w:t>
      </w:r>
      <w:r w:rsidR="00A77DFC" w:rsidRPr="003F78EB">
        <w:t xml:space="preserve">the management of </w:t>
      </w:r>
      <w:r w:rsidRPr="003F78EB">
        <w:t>human rights risks into the negotiation of State-investor contracts.</w:t>
      </w:r>
    </w:p>
    <w:p w:rsidR="007E0701" w:rsidRPr="003F78EB" w:rsidRDefault="007E0701" w:rsidP="003F78EB">
      <w:pPr>
        <w:pStyle w:val="SingleTxtG"/>
        <w:numPr>
          <w:ilvl w:val="0"/>
          <w:numId w:val="13"/>
        </w:numPr>
        <w:ind w:left="1134" w:firstLine="0"/>
      </w:pPr>
      <w:r w:rsidRPr="003F78EB">
        <w:t xml:space="preserve">The </w:t>
      </w:r>
      <w:r w:rsidR="00F565C5" w:rsidRPr="003F78EB">
        <w:t xml:space="preserve">principles for responsible contracts </w:t>
      </w:r>
      <w:r w:rsidRPr="003F78EB">
        <w:t xml:space="preserve">are increasingly being used to inform technical advice in the context of investment contract negotiations for better management of stakeholder-related risks. More work needs to be done to explore practices and promote further uptake. The Working Group would like to encourage relevant stakeholders to identify examples of how the </w:t>
      </w:r>
      <w:r w:rsidR="00F565C5" w:rsidRPr="003F78EB">
        <w:t>p</w:t>
      </w:r>
      <w:r w:rsidRPr="003F78EB">
        <w:t xml:space="preserve">rinciples have been applied and how they work in leveraging better practices. In particular, it calls </w:t>
      </w:r>
      <w:r w:rsidR="00A77DFC" w:rsidRPr="003F78EB">
        <w:t xml:space="preserve">for </w:t>
      </w:r>
      <w:r w:rsidRPr="003F78EB">
        <w:t xml:space="preserve">more work to be done, including on the technical details, by relevant parties such as law societies, law committees, business associations and groups of companies dealing with these issues, and negotiator communities such as the Association of International Petroleum Negotiators, as well as </w:t>
      </w:r>
      <w:r w:rsidR="00A77DFC" w:rsidRPr="003F78EB">
        <w:t>g</w:t>
      </w:r>
      <w:r w:rsidRPr="003F78EB">
        <w:t>overnment experts.</w:t>
      </w:r>
    </w:p>
    <w:p w:rsidR="007E0701" w:rsidRPr="003F78EB" w:rsidRDefault="00E059FD" w:rsidP="00E059FD">
      <w:pPr>
        <w:pStyle w:val="H23G"/>
      </w:pPr>
      <w:r w:rsidRPr="003F78EB">
        <w:tab/>
        <w:t>2.</w:t>
      </w:r>
      <w:r w:rsidRPr="003F78EB">
        <w:tab/>
      </w:r>
      <w:r w:rsidR="007E0701" w:rsidRPr="003F78EB">
        <w:t>Investment policy and global value chains</w:t>
      </w:r>
    </w:p>
    <w:p w:rsidR="007E0701" w:rsidRPr="003F78EB" w:rsidRDefault="007E0701" w:rsidP="003F78EB">
      <w:pPr>
        <w:pStyle w:val="SingleTxtG"/>
        <w:numPr>
          <w:ilvl w:val="0"/>
          <w:numId w:val="13"/>
        </w:numPr>
        <w:ind w:left="1134" w:firstLine="0"/>
      </w:pPr>
      <w:r w:rsidRPr="003F78EB">
        <w:t>One of the principal global multi-stakeholder platforms for discussions on investment policies and practice is the United Nations Conference on Trade and Development (UNCTAD) World Investment Forum</w:t>
      </w:r>
      <w:r w:rsidR="002239FA" w:rsidRPr="003F78EB">
        <w:t>,</w:t>
      </w:r>
      <w:r w:rsidRPr="003F78EB">
        <w:t xml:space="preserve"> </w:t>
      </w:r>
      <w:r w:rsidR="002239FA" w:rsidRPr="003F78EB">
        <w:t xml:space="preserve">which </w:t>
      </w:r>
      <w:r w:rsidRPr="003F78EB">
        <w:t xml:space="preserve">involves </w:t>
      </w:r>
      <w:r w:rsidR="00F565C5" w:rsidRPr="003F78EB">
        <w:t>G</w:t>
      </w:r>
      <w:r w:rsidRPr="003F78EB">
        <w:t>overnments</w:t>
      </w:r>
      <w:r w:rsidR="00FA27E7" w:rsidRPr="003F78EB">
        <w:t>,</w:t>
      </w:r>
      <w:r w:rsidRPr="003F78EB">
        <w:t xml:space="preserve"> businesses</w:t>
      </w:r>
      <w:r w:rsidR="00FA27E7" w:rsidRPr="003F78EB">
        <w:t>,</w:t>
      </w:r>
      <w:r w:rsidRPr="003F78EB">
        <w:t xml:space="preserve"> civil society and academic experts. At the </w:t>
      </w:r>
      <w:r w:rsidR="002239FA" w:rsidRPr="003F78EB">
        <w:t>World Investment</w:t>
      </w:r>
      <w:r w:rsidRPr="003F78EB">
        <w:t xml:space="preserve"> Forum</w:t>
      </w:r>
      <w:r w:rsidR="002239FA" w:rsidRPr="003F78EB">
        <w:t xml:space="preserve"> 2012</w:t>
      </w:r>
      <w:r w:rsidRPr="003F78EB">
        <w:t xml:space="preserve">, the </w:t>
      </w:r>
      <w:r w:rsidR="002239FA" w:rsidRPr="003F78EB">
        <w:t>i</w:t>
      </w:r>
      <w:r w:rsidRPr="003F78EB">
        <w:t xml:space="preserve">nvestment </w:t>
      </w:r>
      <w:r w:rsidR="002239FA" w:rsidRPr="003F78EB">
        <w:t>p</w:t>
      </w:r>
      <w:r w:rsidRPr="003F78EB">
        <w:t xml:space="preserve">olicy </w:t>
      </w:r>
      <w:r w:rsidR="002239FA" w:rsidRPr="003F78EB">
        <w:t>f</w:t>
      </w:r>
      <w:r w:rsidRPr="003F78EB">
        <w:t xml:space="preserve">ramework for </w:t>
      </w:r>
      <w:r w:rsidR="002239FA" w:rsidRPr="003F78EB">
        <w:t>s</w:t>
      </w:r>
      <w:r w:rsidRPr="003F78EB">
        <w:t xml:space="preserve">ustainable </w:t>
      </w:r>
      <w:r w:rsidR="002239FA" w:rsidRPr="003F78EB">
        <w:t>d</w:t>
      </w:r>
      <w:r w:rsidRPr="003F78EB">
        <w:t xml:space="preserve">evelopment was launched. It consists of a set of core principles for investment policymaking, guidelines for national investment policies, and guidance for policymakers on how to engage in the international investment policy regime. The </w:t>
      </w:r>
      <w:r w:rsidR="00F565C5" w:rsidRPr="003F78EB">
        <w:t>f</w:t>
      </w:r>
      <w:r w:rsidR="002239FA" w:rsidRPr="003F78EB">
        <w:t xml:space="preserve">ramework </w:t>
      </w:r>
      <w:r w:rsidRPr="003F78EB">
        <w:t xml:space="preserve">refers to the Guiding Principles in </w:t>
      </w:r>
      <w:r w:rsidR="001B1980" w:rsidRPr="003F78EB">
        <w:t xml:space="preserve">the context of </w:t>
      </w:r>
      <w:r w:rsidRPr="003F78EB">
        <w:t>encouraging investors to comply with internationally recognized standards and to carry out corporate due diligence.</w:t>
      </w:r>
      <w:r w:rsidRPr="003F78EB">
        <w:rPr>
          <w:rStyle w:val="FootnoteReference"/>
        </w:rPr>
        <w:footnoteReference w:id="20"/>
      </w:r>
      <w:r w:rsidRPr="003F78EB">
        <w:t xml:space="preserve"> </w:t>
      </w:r>
    </w:p>
    <w:p w:rsidR="007E0701" w:rsidRPr="003F78EB" w:rsidRDefault="007E0701" w:rsidP="003F78EB">
      <w:pPr>
        <w:pStyle w:val="SingleTxtG"/>
        <w:numPr>
          <w:ilvl w:val="0"/>
          <w:numId w:val="13"/>
        </w:numPr>
        <w:ind w:left="1134" w:firstLine="0"/>
      </w:pPr>
      <w:r w:rsidRPr="003F78EB">
        <w:t xml:space="preserve">To catalyse further discussion </w:t>
      </w:r>
      <w:r w:rsidR="00F565C5" w:rsidRPr="003F78EB">
        <w:t xml:space="preserve">on </w:t>
      </w:r>
      <w:r w:rsidRPr="003F78EB">
        <w:t>how to integrate concern for human rights into investment policy, UNCTAD and OHCHR</w:t>
      </w:r>
      <w:r w:rsidR="002239FA" w:rsidRPr="003F78EB">
        <w:t>,</w:t>
      </w:r>
      <w:r w:rsidRPr="003F78EB">
        <w:t xml:space="preserve"> together with the </w:t>
      </w:r>
      <w:r w:rsidR="004D1DE0" w:rsidRPr="003F78EB">
        <w:t xml:space="preserve">London School of Economics </w:t>
      </w:r>
      <w:r w:rsidRPr="003F78EB">
        <w:t xml:space="preserve">Investment </w:t>
      </w:r>
      <w:r w:rsidR="00F565C5" w:rsidRPr="003F78EB">
        <w:t>and</w:t>
      </w:r>
      <w:r w:rsidRPr="003F78EB">
        <w:t xml:space="preserve"> Human Rights Project</w:t>
      </w:r>
      <w:r w:rsidR="002239FA" w:rsidRPr="003F78EB">
        <w:t>,</w:t>
      </w:r>
      <w:r w:rsidRPr="003F78EB">
        <w:t xml:space="preserve"> organized two panel discussions on investment and human rights at the 2014 </w:t>
      </w:r>
      <w:r w:rsidR="004D1DE0" w:rsidRPr="003F78EB">
        <w:t>World Investment Forum</w:t>
      </w:r>
      <w:r w:rsidRPr="003F78EB">
        <w:t>. The panels reflect</w:t>
      </w:r>
      <w:r w:rsidR="00F565C5" w:rsidRPr="003F78EB">
        <w:t xml:space="preserve">ed on </w:t>
      </w:r>
      <w:r w:rsidRPr="003F78EB">
        <w:t xml:space="preserve">the integration of human rights into government investment policymaking and efforts by United Nations organizations to support such integration. An example is UNCTAD guidance to States on the </w:t>
      </w:r>
      <w:r w:rsidR="004D1DE0" w:rsidRPr="003F78EB">
        <w:t>investment policy framework for sustainable development</w:t>
      </w:r>
      <w:r w:rsidRPr="003F78EB">
        <w:t xml:space="preserve"> and the opportunities it offers </w:t>
      </w:r>
      <w:r w:rsidRPr="003F78EB">
        <w:lastRenderedPageBreak/>
        <w:t>for integrating human rights considerations in</w:t>
      </w:r>
      <w:r w:rsidR="004D1DE0" w:rsidRPr="003F78EB">
        <w:t>to</w:t>
      </w:r>
      <w:r w:rsidRPr="003F78EB">
        <w:t xml:space="preserve"> national investment policies and regulations, </w:t>
      </w:r>
      <w:r w:rsidR="004D1DE0" w:rsidRPr="003F78EB">
        <w:t>and</w:t>
      </w:r>
      <w:r w:rsidRPr="003F78EB">
        <w:t xml:space="preserve"> in</w:t>
      </w:r>
      <w:r w:rsidR="004D1DE0" w:rsidRPr="003F78EB">
        <w:t>to</w:t>
      </w:r>
      <w:r w:rsidRPr="003F78EB">
        <w:t xml:space="preserve"> international investment agreements. </w:t>
      </w:r>
      <w:r w:rsidR="00F565C5" w:rsidRPr="003F78EB">
        <w:t xml:space="preserve">The framework </w:t>
      </w:r>
      <w:r w:rsidRPr="003F78EB">
        <w:t xml:space="preserve">has been used in practice by </w:t>
      </w:r>
      <w:r w:rsidR="00F565C5" w:rsidRPr="003F78EB">
        <w:t>G</w:t>
      </w:r>
      <w:r w:rsidRPr="003F78EB">
        <w:t xml:space="preserve">overnments to guide their efforts in reforming investment rules and by civil society as a benchmark to evaluate the impact of investment policies on sustainable development goals. </w:t>
      </w:r>
    </w:p>
    <w:p w:rsidR="007E0701" w:rsidRPr="003F78EB" w:rsidRDefault="007E0701" w:rsidP="003F78EB">
      <w:pPr>
        <w:pStyle w:val="SingleTxtG"/>
        <w:numPr>
          <w:ilvl w:val="0"/>
          <w:numId w:val="13"/>
        </w:numPr>
        <w:ind w:left="1134" w:firstLine="0"/>
      </w:pPr>
      <w:r w:rsidRPr="003F78EB">
        <w:t xml:space="preserve">Another example is the role of the African Minerals Development Centre of the Economic Commission for Africa </w:t>
      </w:r>
      <w:r w:rsidR="004D1DE0" w:rsidRPr="003F78EB">
        <w:t xml:space="preserve">(ECA) </w:t>
      </w:r>
      <w:r w:rsidRPr="003F78EB">
        <w:t xml:space="preserve">in supporting implementation of the Africa Mining Vision and promoting policy developments aligned with human rights standards. </w:t>
      </w:r>
      <w:r w:rsidR="00CB4AFF" w:rsidRPr="003F78EB">
        <w:t>It was highlighted in t</w:t>
      </w:r>
      <w:r w:rsidRPr="003F78EB">
        <w:t xml:space="preserve">he discussions at the </w:t>
      </w:r>
      <w:r w:rsidR="004D1DE0" w:rsidRPr="003F78EB">
        <w:t xml:space="preserve">World Investment Forum </w:t>
      </w:r>
      <w:r w:rsidRPr="003F78EB">
        <w:t>that much more learning and work need</w:t>
      </w:r>
      <w:r w:rsidR="00F565C5" w:rsidRPr="003F78EB">
        <w:t>ed</w:t>
      </w:r>
      <w:r w:rsidRPr="003F78EB">
        <w:t xml:space="preserve"> to be done to understand the connections between human rights and investment so that domestic policy and regulation, international investment instruments and dispute resolution mechanisms are both designed to, and trusted by the wider public to, foster the right outcomes for investors and for people.</w:t>
      </w:r>
      <w:r w:rsidRPr="003F78EB">
        <w:rPr>
          <w:rStyle w:val="FootnoteReference"/>
        </w:rPr>
        <w:footnoteReference w:id="21"/>
      </w:r>
      <w:r w:rsidRPr="003F78EB">
        <w:t xml:space="preserve"> </w:t>
      </w:r>
    </w:p>
    <w:p w:rsidR="007E0701" w:rsidRPr="003F78EB" w:rsidRDefault="007E0701" w:rsidP="003F78EB">
      <w:pPr>
        <w:pStyle w:val="SingleTxtG"/>
        <w:numPr>
          <w:ilvl w:val="0"/>
          <w:numId w:val="13"/>
        </w:numPr>
        <w:ind w:left="1134" w:firstLine="0"/>
      </w:pPr>
      <w:r w:rsidRPr="003F78EB">
        <w:t xml:space="preserve">Another entry point is </w:t>
      </w:r>
      <w:r w:rsidR="004D1DE0" w:rsidRPr="003F78EB">
        <w:t xml:space="preserve">the work of </w:t>
      </w:r>
      <w:r w:rsidRPr="003F78EB">
        <w:t>UNCTAD on corporate social responsibility in global value chains.</w:t>
      </w:r>
      <w:r w:rsidRPr="003F78EB">
        <w:rPr>
          <w:rStyle w:val="FootnoteReference"/>
        </w:rPr>
        <w:footnoteReference w:id="22"/>
      </w:r>
      <w:r w:rsidRPr="003F78EB">
        <w:t xml:space="preserve"> </w:t>
      </w:r>
      <w:r w:rsidR="00DC5439" w:rsidRPr="003F78EB">
        <w:t>I</w:t>
      </w:r>
      <w:r w:rsidRPr="003F78EB">
        <w:t>t seeks to analy</w:t>
      </w:r>
      <w:r w:rsidR="0030185B" w:rsidRPr="003F78EB">
        <w:t>s</w:t>
      </w:r>
      <w:r w:rsidRPr="003F78EB">
        <w:t xml:space="preserve">e policies on </w:t>
      </w:r>
      <w:r w:rsidR="0040252C" w:rsidRPr="003F78EB">
        <w:t>corporate social responsibility</w:t>
      </w:r>
      <w:r w:rsidR="0040252C" w:rsidRPr="003F78EB" w:rsidDel="0040252C">
        <w:t xml:space="preserve"> </w:t>
      </w:r>
      <w:r w:rsidRPr="003F78EB">
        <w:t xml:space="preserve">with a view to identifying best practices for maximizing the development impact of corporate activities, in particular by transnational corporations, </w:t>
      </w:r>
      <w:r w:rsidR="00DC5439" w:rsidRPr="003F78EB">
        <w:t xml:space="preserve">for which </w:t>
      </w:r>
      <w:r w:rsidRPr="003F78EB">
        <w:t xml:space="preserve">the Guiding Principles provide a useful reference. Ongoing work includes a forthcoming paper on </w:t>
      </w:r>
      <w:r w:rsidR="0040252C" w:rsidRPr="003F78EB">
        <w:t>corporate social responsibility</w:t>
      </w:r>
      <w:r w:rsidR="0040252C" w:rsidRPr="003F78EB" w:rsidDel="0040252C">
        <w:t xml:space="preserve"> </w:t>
      </w:r>
      <w:r w:rsidRPr="003F78EB">
        <w:t xml:space="preserve">in </w:t>
      </w:r>
      <w:r w:rsidR="0006317B" w:rsidRPr="003F78EB">
        <w:t>e</w:t>
      </w:r>
      <w:r w:rsidRPr="003F78EB">
        <w:t xml:space="preserve">xport </w:t>
      </w:r>
      <w:r w:rsidR="0006317B" w:rsidRPr="003F78EB">
        <w:t>p</w:t>
      </w:r>
      <w:r w:rsidRPr="003F78EB">
        <w:t xml:space="preserve">rocessing </w:t>
      </w:r>
      <w:r w:rsidR="0006317B" w:rsidRPr="003F78EB">
        <w:t>z</w:t>
      </w:r>
      <w:r w:rsidRPr="003F78EB">
        <w:t xml:space="preserve">ones, which highlights the State duty to protect </w:t>
      </w:r>
      <w:r w:rsidR="00173D0D" w:rsidRPr="003F78EB">
        <w:t xml:space="preserve">in </w:t>
      </w:r>
      <w:r w:rsidRPr="003F78EB">
        <w:t>relati</w:t>
      </w:r>
      <w:r w:rsidR="00173D0D" w:rsidRPr="003F78EB">
        <w:t>on</w:t>
      </w:r>
      <w:r w:rsidRPr="003F78EB">
        <w:t xml:space="preserve"> to business activities in </w:t>
      </w:r>
      <w:r w:rsidR="0040252C" w:rsidRPr="003F78EB">
        <w:t>such</w:t>
      </w:r>
      <w:r w:rsidRPr="003F78EB">
        <w:t xml:space="preserve"> zones.</w:t>
      </w:r>
      <w:r w:rsidRPr="003F78EB">
        <w:rPr>
          <w:rStyle w:val="FootnoteReference"/>
        </w:rPr>
        <w:footnoteReference w:id="23"/>
      </w:r>
      <w:r w:rsidRPr="003F78EB">
        <w:t xml:space="preserve"> </w:t>
      </w:r>
    </w:p>
    <w:p w:rsidR="007E0701" w:rsidRPr="003F78EB" w:rsidRDefault="007E0701" w:rsidP="003F78EB">
      <w:pPr>
        <w:pStyle w:val="SingleTxtG"/>
        <w:numPr>
          <w:ilvl w:val="0"/>
          <w:numId w:val="13"/>
        </w:numPr>
        <w:ind w:left="1134" w:firstLine="0"/>
      </w:pPr>
      <w:r w:rsidRPr="003F78EB">
        <w:t xml:space="preserve">One platform with potential for contributing to further convergence around the Guiding Principles is the </w:t>
      </w:r>
      <w:r w:rsidR="0040252C" w:rsidRPr="003F78EB">
        <w:t>i</w:t>
      </w:r>
      <w:r w:rsidRPr="003F78EB">
        <w:t>nter</w:t>
      </w:r>
      <w:r w:rsidR="0006317B" w:rsidRPr="003F78EB">
        <w:t>-</w:t>
      </w:r>
      <w:r w:rsidRPr="003F78EB">
        <w:t xml:space="preserve">agency </w:t>
      </w:r>
      <w:r w:rsidR="0006317B" w:rsidRPr="003F78EB">
        <w:t>r</w:t>
      </w:r>
      <w:r w:rsidRPr="003F78EB">
        <w:t>ound</w:t>
      </w:r>
      <w:r w:rsidR="0040252C" w:rsidRPr="003F78EB">
        <w:t xml:space="preserve"> </w:t>
      </w:r>
      <w:r w:rsidRPr="003F78EB">
        <w:t xml:space="preserve">table on </w:t>
      </w:r>
      <w:r w:rsidR="0040252C" w:rsidRPr="003F78EB">
        <w:t>c</w:t>
      </w:r>
      <w:r w:rsidR="0006317B" w:rsidRPr="003F78EB">
        <w:t xml:space="preserve">orporate </w:t>
      </w:r>
      <w:r w:rsidR="0040252C" w:rsidRPr="003F78EB">
        <w:t>s</w:t>
      </w:r>
      <w:r w:rsidR="0006317B" w:rsidRPr="003F78EB">
        <w:t xml:space="preserve">ocial </w:t>
      </w:r>
      <w:r w:rsidR="0040252C" w:rsidRPr="003F78EB">
        <w:t>r</w:t>
      </w:r>
      <w:r w:rsidR="0006317B" w:rsidRPr="003F78EB">
        <w:t>esponsibility</w:t>
      </w:r>
      <w:r w:rsidRPr="003F78EB">
        <w:t xml:space="preserve"> jointly organized by UNCTAD, ILO and OECD.</w:t>
      </w:r>
      <w:r w:rsidRPr="003F78EB">
        <w:rPr>
          <w:rStyle w:val="FootnoteReference"/>
        </w:rPr>
        <w:footnoteReference w:id="24"/>
      </w:r>
      <w:r w:rsidRPr="003F78EB">
        <w:t xml:space="preserve"> The </w:t>
      </w:r>
      <w:r w:rsidR="0040252C" w:rsidRPr="003F78EB">
        <w:t>r</w:t>
      </w:r>
      <w:r w:rsidRPr="003F78EB">
        <w:t>ound</w:t>
      </w:r>
      <w:r w:rsidR="0040252C" w:rsidRPr="003F78EB">
        <w:t xml:space="preserve"> </w:t>
      </w:r>
      <w:r w:rsidRPr="003F78EB">
        <w:t xml:space="preserve">table </w:t>
      </w:r>
      <w:r w:rsidR="0040252C" w:rsidRPr="003F78EB">
        <w:t>is an event organized</w:t>
      </w:r>
      <w:r w:rsidRPr="003F78EB">
        <w:t xml:space="preserve"> to provide an opportunity for international organizations to better collaborate and align their activities and give States a </w:t>
      </w:r>
      <w:r w:rsidR="0040252C" w:rsidRPr="003F78EB">
        <w:t>“</w:t>
      </w:r>
      <w:r w:rsidRPr="003F78EB">
        <w:t>one</w:t>
      </w:r>
      <w:r w:rsidR="0040252C" w:rsidRPr="003F78EB">
        <w:t>-</w:t>
      </w:r>
      <w:r w:rsidRPr="003F78EB">
        <w:t>stop shop</w:t>
      </w:r>
      <w:r w:rsidR="0040252C" w:rsidRPr="003F78EB">
        <w:t>”</w:t>
      </w:r>
      <w:r w:rsidRPr="003F78EB">
        <w:t xml:space="preserve"> for discussing </w:t>
      </w:r>
      <w:r w:rsidR="0040252C" w:rsidRPr="003F78EB">
        <w:t>corporate social responsibility</w:t>
      </w:r>
      <w:r w:rsidR="0040252C" w:rsidRPr="003F78EB" w:rsidDel="0040252C">
        <w:t xml:space="preserve"> </w:t>
      </w:r>
      <w:r w:rsidRPr="003F78EB">
        <w:t>issues with relevant experts within international organizations. It could play an important role in promoting implementation of the Guiding Principles and policies and practices aligned with international human rights standards.</w:t>
      </w:r>
    </w:p>
    <w:p w:rsidR="007E0701" w:rsidRPr="003F78EB" w:rsidRDefault="007E0701" w:rsidP="003F78EB">
      <w:pPr>
        <w:pStyle w:val="SingleTxtG"/>
        <w:numPr>
          <w:ilvl w:val="0"/>
          <w:numId w:val="13"/>
        </w:numPr>
        <w:ind w:left="1134" w:firstLine="0"/>
      </w:pPr>
      <w:r w:rsidRPr="003F78EB">
        <w:t xml:space="preserve">One cross-cutting aspect related to making progress on implementation of the Guiding Principles is the issue of corporate reporting on human rights commitments and due diligence in the context of </w:t>
      </w:r>
      <w:r w:rsidR="0040252C" w:rsidRPr="003F78EB">
        <w:t>corporate social responsibility</w:t>
      </w:r>
      <w:r w:rsidRPr="003F78EB">
        <w:t>. A recent framework developed to support corporate reporting on the Guiding Principles</w:t>
      </w:r>
      <w:r w:rsidR="003A4402" w:rsidRPr="003F78EB">
        <w:t>,</w:t>
      </w:r>
      <w:r w:rsidRPr="003F78EB">
        <w:rPr>
          <w:rStyle w:val="FootnoteReference"/>
        </w:rPr>
        <w:footnoteReference w:id="25"/>
      </w:r>
      <w:r w:rsidRPr="003F78EB">
        <w:t xml:space="preserve"> for example, presents opportunities for making progress. There is a general interest in ensuring access to information upon which market decisions can be based </w:t>
      </w:r>
      <w:r w:rsidR="003A4402" w:rsidRPr="003F78EB">
        <w:t>–</w:t>
      </w:r>
      <w:r w:rsidRPr="003F78EB">
        <w:t xml:space="preserve"> including in the contexts of investment, lending, mergers and acquisitions, </w:t>
      </w:r>
      <w:r w:rsidR="009E4270" w:rsidRPr="003F78EB">
        <w:t xml:space="preserve">and </w:t>
      </w:r>
      <w:r w:rsidRPr="003F78EB">
        <w:t xml:space="preserve">trade. It would be only logical for such information to disclose how risks of harm to people are assessed and addressed. This point was also highlighted by a group of investors welcoming the above-mentioned reporting framework, </w:t>
      </w:r>
      <w:r w:rsidR="0040252C" w:rsidRPr="003F78EB">
        <w:t xml:space="preserve">which </w:t>
      </w:r>
      <w:r w:rsidRPr="003F78EB">
        <w:t>emphasiz</w:t>
      </w:r>
      <w:r w:rsidR="0040252C" w:rsidRPr="003F78EB">
        <w:t>ed</w:t>
      </w:r>
      <w:r w:rsidRPr="003F78EB">
        <w:t xml:space="preserve"> that </w:t>
      </w:r>
      <w:r w:rsidR="0040252C" w:rsidRPr="003F78EB">
        <w:t>m</w:t>
      </w:r>
      <w:r w:rsidRPr="003F78EB">
        <w:t xml:space="preserve">eaningful disclosure of human rights performance </w:t>
      </w:r>
      <w:r w:rsidR="0040252C" w:rsidRPr="003F78EB">
        <w:lastRenderedPageBreak/>
        <w:t xml:space="preserve">could </w:t>
      </w:r>
      <w:r w:rsidRPr="003F78EB">
        <w:t>play a significant role in reducing a company’s human rights risks, contributing to a company’s competitive advantage and strengthening its long-term financial stability.</w:t>
      </w:r>
      <w:r w:rsidRPr="003F78EB">
        <w:rPr>
          <w:rStyle w:val="FootnoteReference"/>
        </w:rPr>
        <w:footnoteReference w:id="26"/>
      </w:r>
      <w:r w:rsidRPr="003F78EB">
        <w:t xml:space="preserve"> </w:t>
      </w:r>
    </w:p>
    <w:p w:rsidR="007E0701" w:rsidRPr="003F78EB" w:rsidRDefault="00276E10" w:rsidP="00276E10">
      <w:pPr>
        <w:pStyle w:val="H23G"/>
      </w:pPr>
      <w:r w:rsidRPr="003F78EB">
        <w:tab/>
        <w:t>3.</w:t>
      </w:r>
      <w:r w:rsidRPr="003F78EB">
        <w:tab/>
      </w:r>
      <w:r w:rsidR="007E0701" w:rsidRPr="003F78EB">
        <w:t>International investment agreements and dispute settlements</w:t>
      </w:r>
    </w:p>
    <w:p w:rsidR="007E0701" w:rsidRPr="003F78EB" w:rsidRDefault="007E0701" w:rsidP="003F78EB">
      <w:pPr>
        <w:pStyle w:val="SingleTxtG"/>
        <w:numPr>
          <w:ilvl w:val="0"/>
          <w:numId w:val="13"/>
        </w:numPr>
        <w:ind w:left="1134" w:firstLine="0"/>
      </w:pPr>
      <w:r w:rsidRPr="003F78EB">
        <w:t xml:space="preserve">Carrying forward discussions about reforming the </w:t>
      </w:r>
      <w:r w:rsidR="0040252C" w:rsidRPr="003F78EB">
        <w:t>international investment agreements</w:t>
      </w:r>
      <w:r w:rsidRPr="003F78EB">
        <w:t xml:space="preserve"> regime, in February 2015 UNCTAD convened a range of stakeholders from the investment and development community to identify strategies and action</w:t>
      </w:r>
      <w:r w:rsidR="00B57D9F" w:rsidRPr="003F78EB">
        <w:t xml:space="preserve"> </w:t>
      </w:r>
      <w:r w:rsidRPr="003F78EB">
        <w:t>points for a sustainable</w:t>
      </w:r>
      <w:r w:rsidR="0040252C" w:rsidRPr="003F78EB">
        <w:t xml:space="preserve"> </w:t>
      </w:r>
      <w:r w:rsidRPr="003F78EB">
        <w:t>development friendly international investment framework and improved global investment governance</w:t>
      </w:r>
      <w:r w:rsidR="003A4402" w:rsidRPr="003F78EB">
        <w:t>.</w:t>
      </w:r>
      <w:r w:rsidRPr="003F78EB">
        <w:rPr>
          <w:rStyle w:val="FootnoteReference"/>
        </w:rPr>
        <w:footnoteReference w:id="27"/>
      </w:r>
      <w:r w:rsidRPr="003F78EB">
        <w:t xml:space="preserve"> The Guiding Principles can also serve as a useful reference </w:t>
      </w:r>
      <w:r w:rsidR="00B57D9F" w:rsidRPr="003F78EB">
        <w:t xml:space="preserve">for </w:t>
      </w:r>
      <w:r w:rsidRPr="003F78EB">
        <w:t>address</w:t>
      </w:r>
      <w:r w:rsidR="00B57D9F" w:rsidRPr="003F78EB">
        <w:t>ing</w:t>
      </w:r>
      <w:r w:rsidRPr="003F78EB">
        <w:t xml:space="preserve"> some of the current failures of the </w:t>
      </w:r>
      <w:r w:rsidR="0040252C" w:rsidRPr="003F78EB">
        <w:t>international investment agreements</w:t>
      </w:r>
      <w:r w:rsidR="0040252C" w:rsidRPr="003F78EB" w:rsidDel="0040252C">
        <w:t xml:space="preserve"> </w:t>
      </w:r>
      <w:r w:rsidRPr="003F78EB">
        <w:t xml:space="preserve">regime, as they provide an agreed normative framework with benchmarks for assessing and informing government and corporate action to assess and address </w:t>
      </w:r>
      <w:r w:rsidR="0040252C" w:rsidRPr="003F78EB">
        <w:t xml:space="preserve">the </w:t>
      </w:r>
      <w:r w:rsidRPr="003F78EB">
        <w:t xml:space="preserve">adverse human rights impacts of business activities. </w:t>
      </w:r>
    </w:p>
    <w:p w:rsidR="007E0701" w:rsidRPr="003F78EB" w:rsidRDefault="007E0701" w:rsidP="003F78EB">
      <w:pPr>
        <w:pStyle w:val="SingleTxtG"/>
        <w:numPr>
          <w:ilvl w:val="0"/>
          <w:numId w:val="13"/>
        </w:numPr>
        <w:ind w:left="1134" w:firstLine="0"/>
      </w:pPr>
      <w:r w:rsidRPr="003F78EB">
        <w:t xml:space="preserve">The </w:t>
      </w:r>
      <w:r w:rsidR="00057516" w:rsidRPr="003F78EB">
        <w:t xml:space="preserve">world of </w:t>
      </w:r>
      <w:r w:rsidRPr="003F78EB">
        <w:t xml:space="preserve">international investment </w:t>
      </w:r>
      <w:r w:rsidR="0040252C" w:rsidRPr="003F78EB">
        <w:t xml:space="preserve"> </w:t>
      </w:r>
      <w:r w:rsidRPr="003F78EB">
        <w:t>is both complex and fluid</w:t>
      </w:r>
      <w:r w:rsidR="00286535" w:rsidRPr="003F78EB">
        <w:t>,</w:t>
      </w:r>
      <w:r w:rsidRPr="003F78EB">
        <w:t xml:space="preserve"> </w:t>
      </w:r>
      <w:r w:rsidR="0040252C" w:rsidRPr="003F78EB">
        <w:t>and is characterized by a</w:t>
      </w:r>
      <w:r w:rsidRPr="003F78EB">
        <w:t xml:space="preserve"> growing number of both </w:t>
      </w:r>
      <w:r w:rsidR="0040252C" w:rsidRPr="003F78EB">
        <w:t>international investment agreements</w:t>
      </w:r>
      <w:r w:rsidR="0040252C" w:rsidRPr="003F78EB" w:rsidDel="0040252C">
        <w:t xml:space="preserve"> </w:t>
      </w:r>
      <w:r w:rsidRPr="003F78EB">
        <w:t xml:space="preserve">and </w:t>
      </w:r>
      <w:r w:rsidR="00286535" w:rsidRPr="003F78EB">
        <w:t>i</w:t>
      </w:r>
      <w:r w:rsidRPr="003F78EB">
        <w:t>nvestor-State dispute settlement cases. At the end of 2014 there were</w:t>
      </w:r>
      <w:r w:rsidR="003A4402" w:rsidRPr="003F78EB">
        <w:t xml:space="preserve"> </w:t>
      </w:r>
      <w:r w:rsidRPr="003F78EB">
        <w:t xml:space="preserve">3,268 such </w:t>
      </w:r>
      <w:r w:rsidR="0040252C" w:rsidRPr="003F78EB">
        <w:t>international investment agreements</w:t>
      </w:r>
      <w:r w:rsidR="0040252C" w:rsidRPr="003F78EB" w:rsidDel="0040252C">
        <w:t xml:space="preserve"> </w:t>
      </w:r>
      <w:r w:rsidRPr="003F78EB">
        <w:t xml:space="preserve">and 608 known </w:t>
      </w:r>
      <w:r w:rsidR="0040252C" w:rsidRPr="003F78EB">
        <w:t>investor-State dispute settlement cases</w:t>
      </w:r>
      <w:r w:rsidRPr="003F78EB">
        <w:t>.</w:t>
      </w:r>
      <w:r w:rsidRPr="003F78EB">
        <w:rPr>
          <w:rStyle w:val="FootnoteReference"/>
        </w:rPr>
        <w:footnoteReference w:id="28"/>
      </w:r>
      <w:r w:rsidRPr="003F78EB">
        <w:t xml:space="preserve"> In particular</w:t>
      </w:r>
      <w:r w:rsidR="00286535" w:rsidRPr="003F78EB">
        <w:t>,</w:t>
      </w:r>
      <w:r w:rsidRPr="003F78EB">
        <w:t xml:space="preserve"> the increasing number of </w:t>
      </w:r>
      <w:r w:rsidR="00A150CE" w:rsidRPr="003F78EB">
        <w:t>investor-State dispute settlement</w:t>
      </w:r>
      <w:r w:rsidR="00A150CE" w:rsidRPr="003F78EB" w:rsidDel="00A150CE">
        <w:t xml:space="preserve"> </w:t>
      </w:r>
      <w:r w:rsidRPr="003F78EB">
        <w:t xml:space="preserve">cases has prompted debate about the legitimacy of the system, especially where high-profile negotiations </w:t>
      </w:r>
      <w:r w:rsidR="00A150CE" w:rsidRPr="003F78EB">
        <w:t>on international investment agreements</w:t>
      </w:r>
      <w:r w:rsidR="00A150CE" w:rsidRPr="003F78EB" w:rsidDel="0040252C">
        <w:t xml:space="preserve"> </w:t>
      </w:r>
      <w:r w:rsidRPr="003F78EB">
        <w:t xml:space="preserve">have been </w:t>
      </w:r>
      <w:r w:rsidR="008101EB" w:rsidRPr="003F78EB">
        <w:t xml:space="preserve">the </w:t>
      </w:r>
      <w:r w:rsidRPr="003F78EB">
        <w:t xml:space="preserve">subject </w:t>
      </w:r>
      <w:r w:rsidR="008101EB" w:rsidRPr="003F78EB">
        <w:t xml:space="preserve">of </w:t>
      </w:r>
      <w:r w:rsidRPr="003F78EB">
        <w:t xml:space="preserve">public controversy. The expansion in </w:t>
      </w:r>
      <w:r w:rsidR="00286535" w:rsidRPr="003F78EB">
        <w:t xml:space="preserve">the </w:t>
      </w:r>
      <w:r w:rsidRPr="003F78EB">
        <w:t xml:space="preserve">use and interpretation of provisions </w:t>
      </w:r>
      <w:r w:rsidR="00A150CE" w:rsidRPr="003F78EB">
        <w:t>in international investment agreements</w:t>
      </w:r>
      <w:r w:rsidR="00A150CE" w:rsidRPr="003F78EB" w:rsidDel="0040252C">
        <w:t xml:space="preserve"> </w:t>
      </w:r>
      <w:r w:rsidRPr="003F78EB">
        <w:t xml:space="preserve">to protect investors and subject disputes to binding international arbitration has in a number of cases enabled investors to sue </w:t>
      </w:r>
      <w:r w:rsidR="00A150CE" w:rsidRPr="003F78EB">
        <w:t>G</w:t>
      </w:r>
      <w:r w:rsidRPr="003F78EB">
        <w:t xml:space="preserve">overnments for policies and regulations introduced to pursue public interest goals, such as new labour standards and environmental protection. The consequence may be that the </w:t>
      </w:r>
      <w:r w:rsidR="00B57D9F" w:rsidRPr="003F78EB">
        <w:t xml:space="preserve">States </w:t>
      </w:r>
      <w:r w:rsidRPr="003F78EB">
        <w:t xml:space="preserve">implicated are unable to preserve adequate policy space to meet their human rights obligations. </w:t>
      </w:r>
    </w:p>
    <w:p w:rsidR="007E0701" w:rsidRPr="003F78EB" w:rsidRDefault="007E0701" w:rsidP="003F78EB">
      <w:pPr>
        <w:pStyle w:val="SingleTxtG"/>
        <w:numPr>
          <w:ilvl w:val="0"/>
          <w:numId w:val="13"/>
        </w:numPr>
        <w:ind w:left="1134" w:firstLine="0"/>
      </w:pPr>
      <w:r w:rsidRPr="003F78EB">
        <w:t xml:space="preserve">Some of the fundamental questions relating to reform of the </w:t>
      </w:r>
      <w:r w:rsidR="00A150CE" w:rsidRPr="003F78EB">
        <w:t>international investment agreements</w:t>
      </w:r>
      <w:r w:rsidR="00A150CE" w:rsidRPr="003F78EB" w:rsidDel="0040252C">
        <w:t xml:space="preserve"> </w:t>
      </w:r>
      <w:r w:rsidRPr="003F78EB">
        <w:t xml:space="preserve">regime </w:t>
      </w:r>
      <w:r w:rsidR="00F968E5" w:rsidRPr="003F78EB">
        <w:t xml:space="preserve">indicate </w:t>
      </w:r>
      <w:r w:rsidRPr="003F78EB">
        <w:t xml:space="preserve">the relevance of the Guiding Principles. For example, there is </w:t>
      </w:r>
      <w:r w:rsidR="00286535" w:rsidRPr="003F78EB">
        <w:t xml:space="preserve">an </w:t>
      </w:r>
      <w:r w:rsidRPr="003F78EB">
        <w:t xml:space="preserve">increasing realization that </w:t>
      </w:r>
      <w:r w:rsidR="00286535" w:rsidRPr="003F78EB">
        <w:t xml:space="preserve">the </w:t>
      </w:r>
      <w:r w:rsidRPr="003F78EB">
        <w:t xml:space="preserve">success of investments requires not only the management of social and environmental risks, but also of adverse impacts on people. However, there is still not much experience in reflecting human rights risks in international investment tools. Moreover, given that investment is </w:t>
      </w:r>
      <w:r w:rsidR="00F968E5" w:rsidRPr="003F78EB">
        <w:t xml:space="preserve">intended </w:t>
      </w:r>
      <w:r w:rsidRPr="003F78EB">
        <w:t xml:space="preserve">to enable development, the question </w:t>
      </w:r>
      <w:r w:rsidR="00F968E5" w:rsidRPr="003F78EB">
        <w:t xml:space="preserve">arises </w:t>
      </w:r>
      <w:r w:rsidRPr="003F78EB">
        <w:t>of how investment tools should be designed to bolster</w:t>
      </w:r>
      <w:r w:rsidR="00131791" w:rsidRPr="003F78EB">
        <w:t>,</w:t>
      </w:r>
      <w:r w:rsidRPr="003F78EB">
        <w:t xml:space="preserve"> rather than undermine</w:t>
      </w:r>
      <w:r w:rsidR="00131791" w:rsidRPr="003F78EB">
        <w:t>,</w:t>
      </w:r>
      <w:r w:rsidRPr="003F78EB">
        <w:t xml:space="preserve"> the ability of host States to protect human rights and realize development goals.</w:t>
      </w:r>
      <w:r w:rsidR="003A4402" w:rsidRPr="003F78EB">
        <w:t xml:space="preserve"> </w:t>
      </w:r>
      <w:r w:rsidRPr="003F78EB">
        <w:t xml:space="preserve">Such perspectives and experiences should be brought to the table in discussions on reforming the regime. The Working Group also considers that there is a </w:t>
      </w:r>
      <w:r w:rsidR="00A150CE" w:rsidRPr="003F78EB">
        <w:t xml:space="preserve">particular </w:t>
      </w:r>
      <w:r w:rsidRPr="003F78EB">
        <w:t xml:space="preserve">need for </w:t>
      </w:r>
      <w:r w:rsidRPr="003F78EB">
        <w:rPr>
          <w:iCs/>
        </w:rPr>
        <w:t>empirical</w:t>
      </w:r>
      <w:r w:rsidRPr="003F78EB">
        <w:t xml:space="preserve"> research on the links between the way </w:t>
      </w:r>
      <w:r w:rsidR="00131791" w:rsidRPr="003F78EB">
        <w:t xml:space="preserve">in which </w:t>
      </w:r>
      <w:r w:rsidRPr="003F78EB">
        <w:t>investment agreements and arbitration operate and the impact on enjoyment of human rights.</w:t>
      </w:r>
      <w:r w:rsidR="003A4402" w:rsidRPr="003F78EB">
        <w:t xml:space="preserve"> </w:t>
      </w:r>
    </w:p>
    <w:p w:rsidR="007E0701" w:rsidRPr="003F78EB" w:rsidRDefault="00276E10" w:rsidP="00276E10">
      <w:pPr>
        <w:pStyle w:val="H23G"/>
      </w:pPr>
      <w:r w:rsidRPr="003F78EB">
        <w:tab/>
        <w:t>4.</w:t>
      </w:r>
      <w:r w:rsidRPr="003F78EB">
        <w:tab/>
      </w:r>
      <w:r w:rsidR="007E0701" w:rsidRPr="003F78EB">
        <w:t>Transparency in investment arbitration</w:t>
      </w:r>
    </w:p>
    <w:p w:rsidR="007E0701" w:rsidRPr="003F78EB" w:rsidRDefault="007E0701" w:rsidP="003F78EB">
      <w:pPr>
        <w:pStyle w:val="SingleTxtG"/>
        <w:numPr>
          <w:ilvl w:val="0"/>
          <w:numId w:val="13"/>
        </w:numPr>
        <w:ind w:left="1134" w:firstLine="0"/>
      </w:pPr>
      <w:r w:rsidRPr="003F78EB">
        <w:t xml:space="preserve">A significant opportunity for </w:t>
      </w:r>
      <w:r w:rsidR="003F068B" w:rsidRPr="003F78EB">
        <w:t>increasing</w:t>
      </w:r>
      <w:r w:rsidRPr="003F78EB">
        <w:t xml:space="preserve"> transparency in the area of investor-State arbitration has arisen from work </w:t>
      </w:r>
      <w:r w:rsidR="00A150CE" w:rsidRPr="003F78EB">
        <w:t xml:space="preserve">of </w:t>
      </w:r>
      <w:r w:rsidR="00131791" w:rsidRPr="003F78EB">
        <w:t xml:space="preserve">the </w:t>
      </w:r>
      <w:r w:rsidRPr="003F78EB">
        <w:t>Working Group on Arbitration and Conciliation</w:t>
      </w:r>
      <w:r w:rsidR="00A150CE" w:rsidRPr="003F78EB">
        <w:t xml:space="preserve"> of the United Nations Commission on International Trade Law (UNCITRAL)</w:t>
      </w:r>
      <w:r w:rsidRPr="003F78EB">
        <w:t>. Th</w:t>
      </w:r>
      <w:r w:rsidR="003F068B" w:rsidRPr="003F78EB">
        <w:t>e</w:t>
      </w:r>
      <w:r w:rsidRPr="003F78EB">
        <w:t xml:space="preserve"> </w:t>
      </w:r>
      <w:r w:rsidR="00057516" w:rsidRPr="003F78EB">
        <w:t xml:space="preserve">UNCITRAL </w:t>
      </w:r>
      <w:r w:rsidRPr="003F78EB">
        <w:t>Working Group started work</w:t>
      </w:r>
      <w:r w:rsidR="003F068B" w:rsidRPr="003F78EB">
        <w:t>ing</w:t>
      </w:r>
      <w:r w:rsidRPr="003F78EB">
        <w:t xml:space="preserve"> on transparency in 2010, with a mandate </w:t>
      </w:r>
      <w:r w:rsidR="00057516" w:rsidRPr="003F78EB">
        <w:t>that stressed the importance of ensuring</w:t>
      </w:r>
      <w:r w:rsidRPr="003F78EB">
        <w:t xml:space="preserve"> transparency in </w:t>
      </w:r>
      <w:r w:rsidR="00587915" w:rsidRPr="003F78EB">
        <w:t xml:space="preserve">investor-State dispute settlements </w:t>
      </w:r>
      <w:r w:rsidR="00057516" w:rsidRPr="003F78EB">
        <w:lastRenderedPageBreak/>
        <w:t xml:space="preserve">(A/6317, para. 314). In a written submission in support of that mandate, a Member State observed that the lack of transparency in investor-State arbitration was </w:t>
      </w:r>
      <w:r w:rsidRPr="003F78EB">
        <w:t xml:space="preserve"> contrary to </w:t>
      </w:r>
      <w:r w:rsidR="0043530B" w:rsidRPr="003F78EB">
        <w:t xml:space="preserve">the </w:t>
      </w:r>
      <w:r w:rsidRPr="003F78EB">
        <w:t>fundamental principles of good governance and human rights upon which the United Nations is founded</w:t>
      </w:r>
      <w:r w:rsidR="00B73F34" w:rsidRPr="003F78EB">
        <w:t xml:space="preserve"> (see </w:t>
      </w:r>
      <w:hyperlink r:id="rId11" w:tgtFrame="_blank" w:tooltip="UN document A/CN.9/662" w:history="1">
        <w:r w:rsidR="00B73F34" w:rsidRPr="003F78EB">
          <w:rPr>
            <w:rStyle w:val="Hyperlink"/>
            <w:color w:val="000000"/>
            <w:szCs w:val="18"/>
            <w:shd w:val="clear" w:color="auto" w:fill="FFFFFF"/>
            <w:lang w:val="en-US"/>
          </w:rPr>
          <w:t>A/CN.9/662</w:t>
        </w:r>
      </w:hyperlink>
      <w:r w:rsidR="00B73F34" w:rsidRPr="003F78EB">
        <w:rPr>
          <w:rStyle w:val="Hyperlink"/>
          <w:color w:val="000000"/>
          <w:szCs w:val="18"/>
          <w:shd w:val="clear" w:color="auto" w:fill="FFFFFF"/>
        </w:rPr>
        <w:t>, para. 20)</w:t>
      </w:r>
      <w:r w:rsidRPr="003F78EB">
        <w:t>. That work has culminated in two major texts: (</w:t>
      </w:r>
      <w:r w:rsidR="003F068B" w:rsidRPr="003F78EB">
        <w:t>a</w:t>
      </w:r>
      <w:r w:rsidRPr="003F78EB">
        <w:t>)</w:t>
      </w:r>
      <w:r w:rsidR="003E631A" w:rsidRPr="003F78EB">
        <w:t> </w:t>
      </w:r>
      <w:r w:rsidRPr="003F78EB">
        <w:t>the rules on transparency in treaty-based investor-State arbitration, which came into effect on 1</w:t>
      </w:r>
      <w:r w:rsidR="00F968E5" w:rsidRPr="003F78EB">
        <w:t> </w:t>
      </w:r>
      <w:r w:rsidRPr="003F78EB">
        <w:t>April 2014; and (</w:t>
      </w:r>
      <w:r w:rsidR="00B73F34" w:rsidRPr="003F78EB">
        <w:t>b</w:t>
      </w:r>
      <w:r w:rsidRPr="003F78EB">
        <w:t>)</w:t>
      </w:r>
      <w:r w:rsidR="003E631A" w:rsidRPr="003F78EB">
        <w:t> </w:t>
      </w:r>
      <w:r w:rsidRPr="003F78EB">
        <w:t>a convention on transparency</w:t>
      </w:r>
      <w:r w:rsidR="0043530B" w:rsidRPr="003F78EB">
        <w:rPr>
          <w:rStyle w:val="FootnoteReference"/>
        </w:rPr>
        <w:footnoteReference w:id="29"/>
      </w:r>
      <w:r w:rsidRPr="003F78EB">
        <w:t xml:space="preserve"> </w:t>
      </w:r>
      <w:r w:rsidR="0043530B" w:rsidRPr="003F78EB">
        <w:t xml:space="preserve">(the United Nations Convention on Transparency), which </w:t>
      </w:r>
      <w:r w:rsidRPr="003F78EB">
        <w:t xml:space="preserve">was finalized by the Commission in July 2014 and opened for signature on 17 March 2015. The Working Group </w:t>
      </w:r>
      <w:r w:rsidR="004B4B3B" w:rsidRPr="003F78EB">
        <w:t xml:space="preserve">on the issue of human rights and transnational corporations and other business enterprises </w:t>
      </w:r>
      <w:r w:rsidRPr="003F78EB">
        <w:t>welcomes these new transparency rules.</w:t>
      </w:r>
    </w:p>
    <w:p w:rsidR="007E0701" w:rsidRPr="003F78EB" w:rsidRDefault="004B4B3B" w:rsidP="003F78EB">
      <w:pPr>
        <w:pStyle w:val="SingleTxtG"/>
        <w:numPr>
          <w:ilvl w:val="0"/>
          <w:numId w:val="13"/>
        </w:numPr>
        <w:ind w:left="1134" w:firstLine="0"/>
      </w:pPr>
      <w:r w:rsidRPr="003F78EB">
        <w:t>Both</w:t>
      </w:r>
      <w:r w:rsidR="007E0701" w:rsidRPr="003F78EB">
        <w:t xml:space="preserve"> the Guiding Principles and the UNCITRAL work on transparency back procedural and legal transparency </w:t>
      </w:r>
      <w:r w:rsidR="008E4D6D" w:rsidRPr="003F78EB">
        <w:t>and</w:t>
      </w:r>
      <w:r w:rsidR="007E0701" w:rsidRPr="003F78EB">
        <w:t xml:space="preserve"> </w:t>
      </w:r>
      <w:r w:rsidRPr="003F78EB">
        <w:t>take a</w:t>
      </w:r>
      <w:r w:rsidR="007E0701" w:rsidRPr="003F78EB">
        <w:t xml:space="preserve"> practical approach to achieving that aim.</w:t>
      </w:r>
      <w:r w:rsidR="003A4402" w:rsidRPr="003F78EB">
        <w:t xml:space="preserve"> </w:t>
      </w:r>
      <w:r w:rsidR="007E0701" w:rsidRPr="003F78EB">
        <w:t xml:space="preserve">The new UNCITRAL rules on transparency seek to address a regular concern with </w:t>
      </w:r>
      <w:r w:rsidRPr="003F78EB">
        <w:t>investor-State dispute settlement</w:t>
      </w:r>
      <w:r w:rsidRPr="003F78EB" w:rsidDel="004B4B3B">
        <w:t xml:space="preserve"> </w:t>
      </w:r>
      <w:r w:rsidR="008E4D6D" w:rsidRPr="003F78EB">
        <w:t xml:space="preserve">cases </w:t>
      </w:r>
      <w:r w:rsidR="007E0701" w:rsidRPr="003F78EB">
        <w:t xml:space="preserve">– namely that their typically confidential and non-participatory nature does not allow </w:t>
      </w:r>
      <w:r w:rsidR="008E4D6D" w:rsidRPr="003F78EB">
        <w:t xml:space="preserve">for </w:t>
      </w:r>
      <w:r w:rsidR="007E0701" w:rsidRPr="003F78EB">
        <w:t xml:space="preserve">involvement by affected stakeholders, or </w:t>
      </w:r>
      <w:r w:rsidR="00F968E5" w:rsidRPr="003F78EB">
        <w:t xml:space="preserve">for </w:t>
      </w:r>
      <w:r w:rsidR="008E4D6D" w:rsidRPr="003F78EB">
        <w:t xml:space="preserve">an </w:t>
      </w:r>
      <w:r w:rsidR="007E0701" w:rsidRPr="003F78EB">
        <w:t xml:space="preserve">adequate balance between the need for States to ensure that they retain adequate policy and regulatory ability to protect human rights and provide investor protection, as clarified </w:t>
      </w:r>
      <w:r w:rsidR="00F968E5" w:rsidRPr="003F78EB">
        <w:t xml:space="preserve">in </w:t>
      </w:r>
      <w:r w:rsidR="007E0701" w:rsidRPr="003F78EB">
        <w:t>Guiding Principle</w:t>
      </w:r>
      <w:r w:rsidR="003E631A" w:rsidRPr="003F78EB">
        <w:t> </w:t>
      </w:r>
      <w:r w:rsidR="007E0701" w:rsidRPr="003F78EB">
        <w:t xml:space="preserve">9. With the new UNCITRAL rules and the </w:t>
      </w:r>
      <w:r w:rsidR="008E4D6D" w:rsidRPr="003F78EB">
        <w:t>United Nations</w:t>
      </w:r>
      <w:r w:rsidR="007E0701" w:rsidRPr="003F78EB">
        <w:t xml:space="preserve"> Convention on Transparency</w:t>
      </w:r>
      <w:r w:rsidRPr="003F78EB">
        <w:rPr>
          <w:rFonts w:ascii="Helvetica" w:hAnsi="Helvetica" w:cs="Helvetica"/>
          <w:color w:val="333333"/>
          <w:sz w:val="21"/>
          <w:szCs w:val="21"/>
          <w:shd w:val="clear" w:color="auto" w:fill="FFFFFF"/>
        </w:rPr>
        <w:t xml:space="preserve"> </w:t>
      </w:r>
      <w:r w:rsidRPr="003F78EB">
        <w:t>in Treaty-based Investor-State Arbitration</w:t>
      </w:r>
      <w:r w:rsidR="007E0701" w:rsidRPr="003F78EB">
        <w:t>, States have a practical means to promote good governance and respect for human rights with a broader policy framework that is aligned with the Guiding Principles.</w:t>
      </w:r>
      <w:r w:rsidR="007E0701" w:rsidRPr="003F78EB">
        <w:rPr>
          <w:rStyle w:val="FootnoteReference"/>
        </w:rPr>
        <w:footnoteReference w:id="30"/>
      </w:r>
      <w:r w:rsidR="007E0701" w:rsidRPr="003F78EB">
        <w:t xml:space="preserve"> </w:t>
      </w:r>
    </w:p>
    <w:p w:rsidR="007E0701" w:rsidRPr="003F78EB" w:rsidRDefault="007E0701" w:rsidP="003F78EB">
      <w:pPr>
        <w:pStyle w:val="SingleTxtG"/>
        <w:numPr>
          <w:ilvl w:val="0"/>
          <w:numId w:val="13"/>
        </w:numPr>
        <w:ind w:left="1134" w:firstLine="0"/>
      </w:pPr>
      <w:r w:rsidRPr="003F78EB">
        <w:t xml:space="preserve">These rules, when they apply, provide a transparent procedural regime under which investment treaty arbitrations are conducted. They can be used in investor-State arbitrations initiated under UNCITRAL arbitration rules, as well as under other institutional arbitration rules or in ad hoc proceedings. States can now incorporate them into investment treaties concluded on or after </w:t>
      </w:r>
      <w:r w:rsidR="00741F37" w:rsidRPr="003F78EB">
        <w:t>1 April 2014</w:t>
      </w:r>
      <w:r w:rsidRPr="003F78EB">
        <w:t xml:space="preserve">, but for the rules to apply to disputes arising under the more than 3,000 investment treaties concluded before </w:t>
      </w:r>
      <w:r w:rsidR="00741F37" w:rsidRPr="003F78EB">
        <w:t>that date</w:t>
      </w:r>
      <w:r w:rsidRPr="003F78EB">
        <w:t xml:space="preserve">, </w:t>
      </w:r>
      <w:r w:rsidR="00461AE6" w:rsidRPr="003F78EB">
        <w:t xml:space="preserve">the </w:t>
      </w:r>
      <w:r w:rsidRPr="003F78EB">
        <w:t>State</w:t>
      </w:r>
      <w:r w:rsidR="00461AE6" w:rsidRPr="003F78EB">
        <w:t>s</w:t>
      </w:r>
      <w:r w:rsidRPr="003F78EB">
        <w:t xml:space="preserve"> parties to a treaty, or disputing parties in an investor-State arbitration, would need to agree to apply the rules under that treaty or to that dispute. This highlights the importance of the Convention on Transparency, which provides an efficient, multilateral mechanism by which States can agree, subject to relevant reservations, to apply the rules to all arbitrations arising under their investment treaties concluded before 1 April 2014. The Working </w:t>
      </w:r>
      <w:r w:rsidR="00461AE6" w:rsidRPr="003F78EB">
        <w:t>G</w:t>
      </w:r>
      <w:r w:rsidRPr="003F78EB">
        <w:t xml:space="preserve">roup welcomes the rules and considers that an obvious step for States to remedy incoherence between current modes of investment with norms for good governance and human rights considerations, including </w:t>
      </w:r>
      <w:r w:rsidR="009C6BA3" w:rsidRPr="003F78EB">
        <w:t xml:space="preserve">those </w:t>
      </w:r>
      <w:r w:rsidRPr="003F78EB">
        <w:t xml:space="preserve">set out in the Guiding Principles, would be to sign and ratify the Convention. </w:t>
      </w:r>
    </w:p>
    <w:p w:rsidR="007E0701" w:rsidRPr="003F78EB" w:rsidRDefault="007E0701" w:rsidP="003F78EB">
      <w:pPr>
        <w:pStyle w:val="SingleTxtG"/>
        <w:numPr>
          <w:ilvl w:val="0"/>
          <w:numId w:val="13"/>
        </w:numPr>
        <w:ind w:left="1134" w:firstLine="0"/>
      </w:pPr>
      <w:r w:rsidRPr="003F78EB">
        <w:t>The Working Group is pleased to have had the opportunity to engage with UNCITRAL</w:t>
      </w:r>
      <w:r w:rsidR="009C6BA3" w:rsidRPr="003F78EB">
        <w:t>,</w:t>
      </w:r>
      <w:r w:rsidRPr="003F78EB">
        <w:t xml:space="preserve"> including at its </w:t>
      </w:r>
      <w:r w:rsidR="000D0BC8" w:rsidRPr="003F78EB">
        <w:t xml:space="preserve">forty-seventh </w:t>
      </w:r>
      <w:r w:rsidRPr="003F78EB">
        <w:t>session in July 2014, and to note that in the report of that session the Commission agreed that the UNCITRAL secretariat should monitor developments in the area of business and human rights, in cooperation with relevant bodies within the United Nations and beyond and inform the Commission about developments of relevance to UNCITRAL work</w:t>
      </w:r>
      <w:r w:rsidR="004B4B3B" w:rsidRPr="003F78EB">
        <w:t xml:space="preserve"> (see </w:t>
      </w:r>
      <w:r w:rsidR="004B4B3B" w:rsidRPr="003F78EB">
        <w:rPr>
          <w:szCs w:val="18"/>
        </w:rPr>
        <w:t>A/69/17, para. 204)</w:t>
      </w:r>
      <w:r w:rsidRPr="003F78EB">
        <w:t>.</w:t>
      </w:r>
    </w:p>
    <w:p w:rsidR="007E0701" w:rsidRPr="003F78EB" w:rsidRDefault="00523BD1" w:rsidP="00523BD1">
      <w:pPr>
        <w:pStyle w:val="H1G"/>
      </w:pPr>
      <w:r w:rsidRPr="003F78EB">
        <w:lastRenderedPageBreak/>
        <w:tab/>
        <w:t>B.</w:t>
      </w:r>
      <w:r w:rsidRPr="003F78EB">
        <w:tab/>
      </w:r>
      <w:r w:rsidR="007E0701" w:rsidRPr="003F78EB">
        <w:t>Trade agreements and trade-related issues</w:t>
      </w:r>
    </w:p>
    <w:p w:rsidR="007E0701" w:rsidRPr="003F78EB" w:rsidRDefault="007E0701" w:rsidP="003F78EB">
      <w:pPr>
        <w:pStyle w:val="SingleTxtG"/>
        <w:numPr>
          <w:ilvl w:val="0"/>
          <w:numId w:val="13"/>
        </w:numPr>
        <w:ind w:left="1134" w:firstLine="0"/>
      </w:pPr>
      <w:r w:rsidRPr="003F78EB">
        <w:t>The debate on the links between trade and human rights, and in particular labour rights, is not new.</w:t>
      </w:r>
      <w:r w:rsidRPr="003F78EB">
        <w:rPr>
          <w:rStyle w:val="FootnoteReference"/>
        </w:rPr>
        <w:footnoteReference w:id="31"/>
      </w:r>
      <w:r w:rsidRPr="003F78EB">
        <w:t xml:space="preserve"> Yet, while the Guiding Principles have begun to inform some discussions in the </w:t>
      </w:r>
      <w:r w:rsidR="009C6BA3" w:rsidRPr="003F78EB">
        <w:t xml:space="preserve">area </w:t>
      </w:r>
      <w:r w:rsidRPr="003F78EB">
        <w:t>of investment regime</w:t>
      </w:r>
      <w:r w:rsidR="009C6BA3" w:rsidRPr="003F78EB">
        <w:t>s</w:t>
      </w:r>
      <w:r w:rsidRPr="003F78EB">
        <w:t xml:space="preserve">, </w:t>
      </w:r>
      <w:r w:rsidR="008D58E2" w:rsidRPr="003F78EB">
        <w:t xml:space="preserve">the idea of </w:t>
      </w:r>
      <w:r w:rsidRPr="003F78EB">
        <w:t xml:space="preserve">translating the Guiding Principles to the area of multilateral trade frameworks, notably in the context of the World Trade Organization </w:t>
      </w:r>
      <w:r w:rsidR="002B1C0B" w:rsidRPr="003F78EB">
        <w:t>(WTO), remains underexplored.</w:t>
      </w:r>
      <w:r w:rsidRPr="003F78EB">
        <w:t xml:space="preserve"> </w:t>
      </w:r>
    </w:p>
    <w:p w:rsidR="007E0701" w:rsidRPr="003F78EB" w:rsidRDefault="002B1C0B" w:rsidP="000D0BC8">
      <w:pPr>
        <w:pStyle w:val="H23G"/>
      </w:pPr>
      <w:r w:rsidRPr="003F78EB">
        <w:tab/>
        <w:t>1.</w:t>
      </w:r>
      <w:r w:rsidRPr="003F78EB">
        <w:tab/>
      </w:r>
      <w:r w:rsidR="000D0BC8" w:rsidRPr="003F78EB">
        <w:t xml:space="preserve">World Trade Organization </w:t>
      </w:r>
      <w:r w:rsidR="007E0701" w:rsidRPr="003F78EB">
        <w:t>and international trade rules</w:t>
      </w:r>
    </w:p>
    <w:p w:rsidR="007E0701" w:rsidRPr="003F78EB" w:rsidRDefault="007E0701" w:rsidP="003F78EB">
      <w:pPr>
        <w:pStyle w:val="SingleTxtG"/>
        <w:numPr>
          <w:ilvl w:val="0"/>
          <w:numId w:val="13"/>
        </w:numPr>
        <w:ind w:left="1134" w:firstLine="0"/>
      </w:pPr>
      <w:r w:rsidRPr="003F78EB">
        <w:t xml:space="preserve">The former </w:t>
      </w:r>
      <w:r w:rsidR="008D58E2" w:rsidRPr="003F78EB">
        <w:t>Director</w:t>
      </w:r>
      <w:r w:rsidR="000D0BC8" w:rsidRPr="003F78EB">
        <w:t xml:space="preserve"> </w:t>
      </w:r>
      <w:r w:rsidR="008D58E2" w:rsidRPr="003F78EB">
        <w:t xml:space="preserve">General </w:t>
      </w:r>
      <w:r w:rsidRPr="003F78EB">
        <w:t xml:space="preserve">of WTO, Pascal </w:t>
      </w:r>
      <w:proofErr w:type="spellStart"/>
      <w:r w:rsidRPr="003F78EB">
        <w:t>Lamy</w:t>
      </w:r>
      <w:proofErr w:type="spellEnd"/>
      <w:r w:rsidRPr="003F78EB">
        <w:t>, contribut</w:t>
      </w:r>
      <w:r w:rsidR="000D0BC8" w:rsidRPr="003F78EB">
        <w:t>ed</w:t>
      </w:r>
      <w:r w:rsidRPr="003F78EB">
        <w:t xml:space="preserve"> to </w:t>
      </w:r>
      <w:r w:rsidR="008D58E2" w:rsidRPr="003F78EB">
        <w:t xml:space="preserve">the debate </w:t>
      </w:r>
      <w:r w:rsidRPr="003F78EB">
        <w:t xml:space="preserve">during a panel discussion on the links between the global economic architecture and the business and human rights agenda at the 2014 annual Forum on Business and Human Rights. He argued that the current international system </w:t>
      </w:r>
      <w:r w:rsidR="000E6D3E" w:rsidRPr="003F78EB">
        <w:t xml:space="preserve">was </w:t>
      </w:r>
      <w:r w:rsidRPr="003F78EB">
        <w:t xml:space="preserve">failing in integrating human rights in </w:t>
      </w:r>
      <w:r w:rsidR="000E6D3E" w:rsidRPr="003F78EB">
        <w:t xml:space="preserve">the </w:t>
      </w:r>
      <w:r w:rsidRPr="003F78EB">
        <w:t xml:space="preserve">areas of trade and economic governance, </w:t>
      </w:r>
      <w:r w:rsidR="00980252" w:rsidRPr="003F78EB">
        <w:t xml:space="preserve">and </w:t>
      </w:r>
      <w:r w:rsidRPr="003F78EB">
        <w:t>call</w:t>
      </w:r>
      <w:r w:rsidR="00980252" w:rsidRPr="003F78EB">
        <w:t>ed</w:t>
      </w:r>
      <w:r w:rsidRPr="003F78EB">
        <w:t xml:space="preserve"> for a more integrated and coherent approach. The “clustered” system where</w:t>
      </w:r>
      <w:r w:rsidR="000E6D3E" w:rsidRPr="003F78EB">
        <w:t>by</w:t>
      </w:r>
      <w:r w:rsidRPr="003F78EB">
        <w:t xml:space="preserve"> the Human Rights Council </w:t>
      </w:r>
      <w:r w:rsidR="00980252" w:rsidRPr="003F78EB">
        <w:t xml:space="preserve">did </w:t>
      </w:r>
      <w:r w:rsidRPr="003F78EB">
        <w:t>not consider trade and finance issues in country reviews, and where</w:t>
      </w:r>
      <w:r w:rsidR="000E6D3E" w:rsidRPr="003F78EB">
        <w:t>by</w:t>
      </w:r>
      <w:r w:rsidRPr="003F78EB">
        <w:t xml:space="preserve"> the WTO </w:t>
      </w:r>
      <w:r w:rsidR="00980252" w:rsidRPr="003F78EB">
        <w:t>did</w:t>
      </w:r>
      <w:r w:rsidR="000E6D3E" w:rsidRPr="003F78EB">
        <w:t xml:space="preserve"> </w:t>
      </w:r>
      <w:r w:rsidRPr="003F78EB">
        <w:t xml:space="preserve">not look at human rights when doing country trade policy reviews, demonstrated the limits of the system. A </w:t>
      </w:r>
      <w:r w:rsidR="000E6D3E" w:rsidRPr="003F78EB">
        <w:t xml:space="preserve">specific </w:t>
      </w:r>
      <w:r w:rsidRPr="003F78EB">
        <w:t xml:space="preserve">example </w:t>
      </w:r>
      <w:r w:rsidR="000E6D3E" w:rsidRPr="003F78EB">
        <w:t>illustrating</w:t>
      </w:r>
      <w:r w:rsidRPr="003F78EB">
        <w:t xml:space="preserve"> this gap was the continued challenge of getting WTO members to accept that ILO </w:t>
      </w:r>
      <w:r w:rsidR="000E6D3E" w:rsidRPr="003F78EB">
        <w:t xml:space="preserve">should </w:t>
      </w:r>
      <w:r w:rsidRPr="003F78EB">
        <w:t>have observer status at WTO sessions, a step that could contribute to greater coherence.</w:t>
      </w:r>
      <w:r w:rsidRPr="003F78EB">
        <w:rPr>
          <w:rStyle w:val="FootnoteReference"/>
        </w:rPr>
        <w:footnoteReference w:id="32"/>
      </w:r>
      <w:r w:rsidRPr="003F78EB">
        <w:t xml:space="preserve"> Mr.</w:t>
      </w:r>
      <w:r w:rsidR="003A4402" w:rsidRPr="003F78EB">
        <w:t> </w:t>
      </w:r>
      <w:proofErr w:type="spellStart"/>
      <w:r w:rsidRPr="003F78EB">
        <w:t>Lamy</w:t>
      </w:r>
      <w:proofErr w:type="spellEnd"/>
      <w:r w:rsidRPr="003F78EB">
        <w:t xml:space="preserve"> had</w:t>
      </w:r>
      <w:r w:rsidR="000E6D3E" w:rsidRPr="003F78EB">
        <w:t>,</w:t>
      </w:r>
      <w:r w:rsidRPr="003F78EB">
        <w:t xml:space="preserve"> in his capacity as </w:t>
      </w:r>
      <w:r w:rsidR="008A7FE2" w:rsidRPr="003F78EB">
        <w:t xml:space="preserve">WTO </w:t>
      </w:r>
      <w:r w:rsidRPr="003F78EB">
        <w:t>Director</w:t>
      </w:r>
      <w:r w:rsidR="008A7FE2" w:rsidRPr="003F78EB">
        <w:t xml:space="preserve"> </w:t>
      </w:r>
      <w:r w:rsidRPr="003F78EB">
        <w:t xml:space="preserve">General, pointed out that for trade to act as a positive vector for the reinforcement of human rights, a coordinated international effort </w:t>
      </w:r>
      <w:r w:rsidR="008A7FE2" w:rsidRPr="003F78EB">
        <w:t xml:space="preserve">was </w:t>
      </w:r>
      <w:r w:rsidRPr="003F78EB">
        <w:t>needed</w:t>
      </w:r>
      <w:r w:rsidR="008A7FE2" w:rsidRPr="003F78EB">
        <w:t xml:space="preserve">, and that a </w:t>
      </w:r>
      <w:r w:rsidRPr="003F78EB">
        <w:t>coherent approach</w:t>
      </w:r>
      <w:r w:rsidR="008A7FE2" w:rsidRPr="003F78EB">
        <w:t xml:space="preserve"> that</w:t>
      </w:r>
      <w:r w:rsidRPr="003F78EB">
        <w:t xml:space="preserve"> integrate</w:t>
      </w:r>
      <w:r w:rsidR="008A7FE2" w:rsidRPr="003F78EB">
        <w:t>d</w:t>
      </w:r>
      <w:r w:rsidRPr="003F78EB">
        <w:t xml:space="preserve"> trade and human rights policy goals should be developed.</w:t>
      </w:r>
      <w:r w:rsidRPr="003F78EB">
        <w:rPr>
          <w:rStyle w:val="FootnoteReference"/>
        </w:rPr>
        <w:footnoteReference w:id="33"/>
      </w:r>
    </w:p>
    <w:p w:rsidR="007E0701" w:rsidRPr="003F78EB" w:rsidRDefault="009C6BA3" w:rsidP="003F78EB">
      <w:pPr>
        <w:pStyle w:val="SingleTxtG"/>
        <w:numPr>
          <w:ilvl w:val="0"/>
          <w:numId w:val="13"/>
        </w:numPr>
        <w:ind w:left="1134" w:firstLine="0"/>
      </w:pPr>
      <w:r w:rsidRPr="003F78EB">
        <w:t>In t</w:t>
      </w:r>
      <w:r w:rsidR="007E0701" w:rsidRPr="003F78EB">
        <w:t xml:space="preserve">he </w:t>
      </w:r>
      <w:r w:rsidR="008A7FE2" w:rsidRPr="003F78EB">
        <w:t xml:space="preserve">commentary to </w:t>
      </w:r>
      <w:r w:rsidR="007E0701" w:rsidRPr="003F78EB">
        <w:t xml:space="preserve">Guiding Principle </w:t>
      </w:r>
      <w:r w:rsidR="008A7FE2" w:rsidRPr="003F78EB">
        <w:t xml:space="preserve">10, </w:t>
      </w:r>
      <w:r w:rsidR="007E0701" w:rsidRPr="003F78EB">
        <w:t>the need for greater policy coherence at the international level</w:t>
      </w:r>
      <w:r w:rsidR="008A7FE2" w:rsidRPr="003F78EB">
        <w:t xml:space="preserve"> is stressed</w:t>
      </w:r>
      <w:r w:rsidR="007E0701" w:rsidRPr="003F78EB">
        <w:t xml:space="preserve">, including where States participate in multilateral institutions that deal with business-related issues, such as international trade and financial institutions. They should do so to meet legal obligations, as States retain their international human rights obligations when they participate in such institutions, but also for policy reasons, as collective action through multilateral institutions can help States level the playing field with regard to business respect for human rights. The Guiding Principles provide an authoritative global reference point for such efforts and could serve as the basis for building cumulative progress “that takes into account the respective roles and responsibilities of all relevant stakeholders”. </w:t>
      </w:r>
    </w:p>
    <w:p w:rsidR="007E0701" w:rsidRPr="003F78EB" w:rsidRDefault="002B1C0B" w:rsidP="002B1C0B">
      <w:pPr>
        <w:pStyle w:val="H23G"/>
      </w:pPr>
      <w:r w:rsidRPr="003F78EB">
        <w:tab/>
        <w:t>2.</w:t>
      </w:r>
      <w:r w:rsidRPr="003F78EB">
        <w:tab/>
      </w:r>
      <w:r w:rsidR="007E0701" w:rsidRPr="003F78EB">
        <w:t>Labour provisions in free trade agreements</w:t>
      </w:r>
    </w:p>
    <w:p w:rsidR="007E0701" w:rsidRPr="003F78EB" w:rsidRDefault="007E0701" w:rsidP="003F78EB">
      <w:pPr>
        <w:pStyle w:val="SingleTxtG"/>
        <w:numPr>
          <w:ilvl w:val="0"/>
          <w:numId w:val="13"/>
        </w:numPr>
        <w:ind w:left="1134" w:firstLine="0"/>
      </w:pPr>
      <w:r w:rsidRPr="003F78EB">
        <w:t xml:space="preserve">A review by ILO and </w:t>
      </w:r>
      <w:r w:rsidR="000E6D3E" w:rsidRPr="003F78EB">
        <w:t xml:space="preserve">the </w:t>
      </w:r>
      <w:r w:rsidRPr="003F78EB">
        <w:t>International Institute for Labour Studies highlighted that</w:t>
      </w:r>
      <w:r w:rsidR="000E6D3E" w:rsidRPr="003F78EB">
        <w:t>,</w:t>
      </w:r>
      <w:r w:rsidRPr="003F78EB">
        <w:t xml:space="preserve"> alongside the rapid increase in bilateral and regional free trade, there has also been a growing number of social and labour provisions included in such agreements: 58 in 2013, </w:t>
      </w:r>
      <w:r w:rsidRPr="003F78EB">
        <w:lastRenderedPageBreak/>
        <w:t>compared to only 4 in 1995.</w:t>
      </w:r>
      <w:r w:rsidRPr="003F78EB">
        <w:rPr>
          <w:rStyle w:val="FootnoteReference"/>
        </w:rPr>
        <w:footnoteReference w:id="34"/>
      </w:r>
      <w:r w:rsidRPr="003F78EB">
        <w:t xml:space="preserve"> This is a positive trend, which has had positive impacts on national labour standards and </w:t>
      </w:r>
      <w:r w:rsidR="000E6D3E" w:rsidRPr="003F78EB">
        <w:t xml:space="preserve">the </w:t>
      </w:r>
      <w:r w:rsidRPr="003F78EB">
        <w:t>enforcement of international standards.</w:t>
      </w:r>
      <w:r w:rsidRPr="003F78EB">
        <w:rPr>
          <w:rStyle w:val="FootnoteReference"/>
        </w:rPr>
        <w:footnoteReference w:id="35"/>
      </w:r>
      <w:r w:rsidRPr="003F78EB">
        <w:t xml:space="preserve"> However, it also poses challenges, in terms of </w:t>
      </w:r>
      <w:r w:rsidR="000E6D3E" w:rsidRPr="003F78EB">
        <w:t xml:space="preserve">the </w:t>
      </w:r>
      <w:r w:rsidRPr="003F78EB">
        <w:t xml:space="preserve">risk of confusion and diverging interpretation, and thereby </w:t>
      </w:r>
      <w:r w:rsidR="004C32DE" w:rsidRPr="003F78EB">
        <w:t xml:space="preserve">of </w:t>
      </w:r>
      <w:r w:rsidRPr="003F78EB">
        <w:t>uniform application and protection.</w:t>
      </w:r>
      <w:r w:rsidRPr="003F78EB">
        <w:rPr>
          <w:rStyle w:val="FootnoteReference"/>
        </w:rPr>
        <w:footnoteReference w:id="36"/>
      </w:r>
      <w:r w:rsidRPr="003F78EB">
        <w:t xml:space="preserve"> While </w:t>
      </w:r>
      <w:r w:rsidR="00901C88" w:rsidRPr="003F78EB">
        <w:t xml:space="preserve">it </w:t>
      </w:r>
      <w:r w:rsidRPr="003F78EB">
        <w:t xml:space="preserve">is important to take </w:t>
      </w:r>
      <w:r w:rsidR="00901C88" w:rsidRPr="003F78EB">
        <w:t xml:space="preserve">the latter concern </w:t>
      </w:r>
      <w:r w:rsidRPr="003F78EB">
        <w:t xml:space="preserve">into account, there should nevertheless be scope for going further, beyond the current focus on labour provisions. </w:t>
      </w:r>
      <w:r w:rsidR="00D0783B" w:rsidRPr="003F78EB">
        <w:t>It is pointed out in a</w:t>
      </w:r>
      <w:r w:rsidRPr="003F78EB">
        <w:t xml:space="preserve"> research report on the “state of play” of the political economy of business and human rights that this is possible, as reflected in </w:t>
      </w:r>
      <w:r w:rsidR="00901C88" w:rsidRPr="003F78EB">
        <w:t xml:space="preserve">specific </w:t>
      </w:r>
      <w:r w:rsidRPr="003F78EB">
        <w:t>examples of existing trade agreements.</w:t>
      </w:r>
      <w:r w:rsidRPr="003F78EB">
        <w:rPr>
          <w:rStyle w:val="FootnoteReference"/>
        </w:rPr>
        <w:footnoteReference w:id="37"/>
      </w:r>
      <w:r w:rsidR="003A4402" w:rsidRPr="003F78EB">
        <w:t xml:space="preserve"> </w:t>
      </w:r>
      <w:r w:rsidRPr="003F78EB">
        <w:t xml:space="preserve">A cautious approach would thus be to couple the increased call for integration of human rights needs with international coordination and alignment around common tools and benchmarks. </w:t>
      </w:r>
    </w:p>
    <w:p w:rsidR="007E0701" w:rsidRPr="003F78EB" w:rsidRDefault="002B1C0B" w:rsidP="002B1C0B">
      <w:pPr>
        <w:pStyle w:val="H23G"/>
      </w:pPr>
      <w:r w:rsidRPr="003F78EB">
        <w:tab/>
        <w:t>3.</w:t>
      </w:r>
      <w:r w:rsidRPr="003F78EB">
        <w:tab/>
      </w:r>
      <w:r w:rsidR="007E0701" w:rsidRPr="003F78EB">
        <w:t>Public procurement</w:t>
      </w:r>
    </w:p>
    <w:p w:rsidR="007E0701" w:rsidRPr="003F78EB" w:rsidRDefault="007E0701" w:rsidP="003F78EB">
      <w:pPr>
        <w:pStyle w:val="SingleTxtG"/>
        <w:numPr>
          <w:ilvl w:val="0"/>
          <w:numId w:val="13"/>
        </w:numPr>
        <w:ind w:left="1134" w:firstLine="0"/>
      </w:pPr>
      <w:r w:rsidRPr="003F78EB">
        <w:t xml:space="preserve">A </w:t>
      </w:r>
      <w:r w:rsidR="00901C88" w:rsidRPr="003F78EB">
        <w:t xml:space="preserve">specific </w:t>
      </w:r>
      <w:r w:rsidRPr="003F78EB">
        <w:t xml:space="preserve">policy area with links to trade in which there has been considerable movement since the endorsement of the Guiding Principles is public procurement. </w:t>
      </w:r>
      <w:r w:rsidR="00901C88" w:rsidRPr="003F78EB">
        <w:t>It is noted in t</w:t>
      </w:r>
      <w:r w:rsidRPr="003F78EB">
        <w:t xml:space="preserve">he </w:t>
      </w:r>
      <w:r w:rsidR="008A7FE2" w:rsidRPr="003F78EB">
        <w:t xml:space="preserve">commentary to </w:t>
      </w:r>
      <w:r w:rsidRPr="003F78EB">
        <w:t>Guiding Principle</w:t>
      </w:r>
      <w:r w:rsidR="008A7FE2" w:rsidRPr="003F78EB">
        <w:t xml:space="preserve"> 6</w:t>
      </w:r>
      <w:r w:rsidRPr="003F78EB">
        <w:t xml:space="preserve"> that States conduct a variety of commercial transactions with business enterprises, not least through their procurement activities. One estimate puts the magnitude of public procurement at 15</w:t>
      </w:r>
      <w:r w:rsidR="003A4402" w:rsidRPr="003F78EB">
        <w:t>–</w:t>
      </w:r>
      <w:r w:rsidRPr="003F78EB">
        <w:t>2</w:t>
      </w:r>
      <w:r w:rsidR="00DA5960" w:rsidRPr="003F78EB">
        <w:t>5</w:t>
      </w:r>
      <w:r w:rsidR="003A4402" w:rsidRPr="003F78EB">
        <w:t> per cent</w:t>
      </w:r>
      <w:r w:rsidRPr="003F78EB">
        <w:t xml:space="preserve"> of the </w:t>
      </w:r>
      <w:r w:rsidR="00901C88" w:rsidRPr="003F78EB">
        <w:t>gross domestic product</w:t>
      </w:r>
      <w:r w:rsidRPr="003F78EB">
        <w:t xml:space="preserve"> of OECD member States, and even higher in a number of countries in other regions.</w:t>
      </w:r>
      <w:r w:rsidR="003C3AA0" w:rsidRPr="003F78EB" w:rsidDel="003C3AA0">
        <w:rPr>
          <w:rStyle w:val="FootnoteReference"/>
        </w:rPr>
        <w:t xml:space="preserve"> </w:t>
      </w:r>
      <w:r w:rsidRPr="003F78EB">
        <w:rPr>
          <w:rStyle w:val="FootnoteReference"/>
        </w:rPr>
        <w:footnoteReference w:id="38"/>
      </w:r>
      <w:r w:rsidRPr="003F78EB">
        <w:t xml:space="preserve"> As emphasized in the </w:t>
      </w:r>
      <w:r w:rsidR="00C03DD4" w:rsidRPr="003F78EB">
        <w:t xml:space="preserve">commentary to </w:t>
      </w:r>
      <w:r w:rsidRPr="003F78EB">
        <w:t>Guiding Principle</w:t>
      </w:r>
      <w:r w:rsidR="00C03DD4" w:rsidRPr="003F78EB">
        <w:t xml:space="preserve"> 6</w:t>
      </w:r>
      <w:r w:rsidRPr="003F78EB">
        <w:t>, this provides States</w:t>
      </w:r>
      <w:r w:rsidR="003A4402" w:rsidRPr="003F78EB">
        <w:t>—</w:t>
      </w:r>
      <w:r w:rsidRPr="003F78EB">
        <w:t>individually and collectively</w:t>
      </w:r>
      <w:r w:rsidR="003A4402" w:rsidRPr="003F78EB">
        <w:t>—</w:t>
      </w:r>
      <w:r w:rsidRPr="003F78EB">
        <w:t>with unique opportunities to promote awareness of and respect for human rights in such transactions. Concerns that human rights requirements would be perceived as trade barriers and be at odds with competition and trade rules have been cited as a common obstacle to introduc</w:t>
      </w:r>
      <w:r w:rsidR="00B54BDB" w:rsidRPr="003F78EB">
        <w:t>ing</w:t>
      </w:r>
      <w:r w:rsidRPr="003F78EB">
        <w:t xml:space="preserve"> such </w:t>
      </w:r>
      <w:r w:rsidR="002D2D47" w:rsidRPr="003F78EB">
        <w:t xml:space="preserve">a </w:t>
      </w:r>
      <w:r w:rsidRPr="003F78EB">
        <w:t>consideration in</w:t>
      </w:r>
      <w:r w:rsidR="002D2D47" w:rsidRPr="003F78EB">
        <w:t>to</w:t>
      </w:r>
      <w:r w:rsidRPr="003F78EB">
        <w:t xml:space="preserve"> public procurement </w:t>
      </w:r>
      <w:proofErr w:type="spellStart"/>
      <w:r w:rsidRPr="003F78EB">
        <w:t>procedures.However</w:t>
      </w:r>
      <w:proofErr w:type="spellEnd"/>
      <w:r w:rsidRPr="003F78EB">
        <w:t>, in order to meet their duty to protect human rights and incentivize business respect for human rights in the context of procurement activities, competition considerations should not trump international human rights standards.</w:t>
      </w:r>
      <w:r w:rsidR="003A4402" w:rsidRPr="003F78EB">
        <w:t xml:space="preserve"> </w:t>
      </w:r>
      <w:r w:rsidRPr="003F78EB">
        <w:t xml:space="preserve">Indeed, trade agreements on procurement make </w:t>
      </w:r>
      <w:r w:rsidR="002D2D47" w:rsidRPr="003F78EB">
        <w:t xml:space="preserve">it </w:t>
      </w:r>
      <w:r w:rsidRPr="003F78EB">
        <w:t xml:space="preserve">clear that governments retain </w:t>
      </w:r>
      <w:r w:rsidR="00525150" w:rsidRPr="003F78EB">
        <w:t xml:space="preserve">the </w:t>
      </w:r>
      <w:r w:rsidRPr="003F78EB">
        <w:t>authority to adopt measures that protect public morals, safety and order.</w:t>
      </w:r>
    </w:p>
    <w:p w:rsidR="007E0701" w:rsidRPr="003F78EB" w:rsidRDefault="007E0701" w:rsidP="003F78EB">
      <w:pPr>
        <w:pStyle w:val="SingleTxtG"/>
        <w:numPr>
          <w:ilvl w:val="0"/>
          <w:numId w:val="13"/>
        </w:numPr>
        <w:ind w:left="1134" w:firstLine="0"/>
      </w:pPr>
      <w:r w:rsidRPr="003F78EB">
        <w:t xml:space="preserve">The impact of sustainable public procurement on responsible business conduct was the topic of the 2014 </w:t>
      </w:r>
      <w:r w:rsidR="003C3AA0" w:rsidRPr="003F78EB">
        <w:t>i</w:t>
      </w:r>
      <w:r w:rsidRPr="003F78EB">
        <w:t>nter</w:t>
      </w:r>
      <w:r w:rsidR="003C3AA0" w:rsidRPr="003F78EB">
        <w:t>-</w:t>
      </w:r>
      <w:r w:rsidRPr="003F78EB">
        <w:t xml:space="preserve">agency </w:t>
      </w:r>
      <w:r w:rsidR="003C3AA0" w:rsidRPr="003F78EB">
        <w:t>r</w:t>
      </w:r>
      <w:r w:rsidRPr="003F78EB">
        <w:t>ound</w:t>
      </w:r>
      <w:r w:rsidR="003C3AA0" w:rsidRPr="003F78EB">
        <w:t xml:space="preserve"> </w:t>
      </w:r>
      <w:r w:rsidRPr="003F78EB">
        <w:t xml:space="preserve">table on </w:t>
      </w:r>
      <w:r w:rsidR="003C3AA0" w:rsidRPr="003F78EB">
        <w:t xml:space="preserve">corporate </w:t>
      </w:r>
      <w:r w:rsidR="00BB6898" w:rsidRPr="003F78EB">
        <w:t>social responsibility</w:t>
      </w:r>
      <w:r w:rsidRPr="003F78EB">
        <w:t xml:space="preserve">, </w:t>
      </w:r>
      <w:r w:rsidR="00525150" w:rsidRPr="003F78EB">
        <w:t xml:space="preserve">at </w:t>
      </w:r>
      <w:r w:rsidRPr="003F78EB">
        <w:t>which the importance of standards set by ILO and the Guiding Principles</w:t>
      </w:r>
      <w:r w:rsidR="00525150" w:rsidRPr="003F78EB">
        <w:t xml:space="preserve"> was </w:t>
      </w:r>
      <w:r w:rsidR="00D0783B" w:rsidRPr="003F78EB">
        <w:t>mentioned</w:t>
      </w:r>
      <w:r w:rsidRPr="003F78EB">
        <w:t xml:space="preserve">. It </w:t>
      </w:r>
      <w:r w:rsidR="00B831B9" w:rsidRPr="003F78EB">
        <w:t xml:space="preserve">was </w:t>
      </w:r>
      <w:r w:rsidRPr="003F78EB">
        <w:t xml:space="preserve">affirmed that there </w:t>
      </w:r>
      <w:r w:rsidR="00663E45" w:rsidRPr="003F78EB">
        <w:t xml:space="preserve">was </w:t>
      </w:r>
      <w:r w:rsidRPr="003F78EB">
        <w:t>now near</w:t>
      </w:r>
      <w:r w:rsidR="00663E45" w:rsidRPr="003F78EB">
        <w:t>-</w:t>
      </w:r>
      <w:r w:rsidRPr="003F78EB">
        <w:t xml:space="preserve">universal consensus that sustainable procurement practice </w:t>
      </w:r>
      <w:r w:rsidR="00663E45" w:rsidRPr="003F78EB">
        <w:t xml:space="preserve">was </w:t>
      </w:r>
      <w:r w:rsidRPr="003F78EB">
        <w:t xml:space="preserve">fully compatible with free trade and an important part of public policy. Moreover, sustainable procurement </w:t>
      </w:r>
      <w:r w:rsidR="00663E45" w:rsidRPr="003F78EB">
        <w:t xml:space="preserve">was </w:t>
      </w:r>
      <w:r w:rsidRPr="003F78EB">
        <w:t xml:space="preserve">a concern for States in all regions and </w:t>
      </w:r>
      <w:r w:rsidR="00663E45" w:rsidRPr="003F78EB">
        <w:t xml:space="preserve">at </w:t>
      </w:r>
      <w:r w:rsidRPr="003F78EB">
        <w:t>different levels of economic development.</w:t>
      </w:r>
      <w:r w:rsidRPr="003F78EB">
        <w:rPr>
          <w:rStyle w:val="FootnoteReference"/>
        </w:rPr>
        <w:footnoteReference w:id="39"/>
      </w:r>
    </w:p>
    <w:p w:rsidR="007E0701" w:rsidRPr="003F78EB" w:rsidRDefault="007E0701" w:rsidP="003F78EB">
      <w:pPr>
        <w:pStyle w:val="SingleTxtG"/>
        <w:numPr>
          <w:ilvl w:val="0"/>
          <w:numId w:val="13"/>
        </w:numPr>
        <w:ind w:left="1134" w:firstLine="0"/>
      </w:pPr>
      <w:r w:rsidRPr="003F78EB">
        <w:t xml:space="preserve">As </w:t>
      </w:r>
      <w:r w:rsidR="00663E45" w:rsidRPr="003F78EB">
        <w:t xml:space="preserve">seen </w:t>
      </w:r>
      <w:r w:rsidRPr="003F78EB">
        <w:t>in the 2014 annual Forum on Business and Human Rights, there is increased interest</w:t>
      </w:r>
      <w:r w:rsidR="00663E45" w:rsidRPr="003F78EB">
        <w:t xml:space="preserve"> in a number of jurisdictions</w:t>
      </w:r>
      <w:r w:rsidRPr="003F78EB">
        <w:t xml:space="preserve"> in exploring ways to integrate human rights into public </w:t>
      </w:r>
      <w:r w:rsidRPr="003F78EB">
        <w:lastRenderedPageBreak/>
        <w:t>procurement.</w:t>
      </w:r>
      <w:r w:rsidRPr="003F78EB">
        <w:rPr>
          <w:rStyle w:val="FootnoteReference"/>
        </w:rPr>
        <w:footnoteReference w:id="40"/>
      </w:r>
      <w:r w:rsidRPr="003F78EB">
        <w:t xml:space="preserve"> </w:t>
      </w:r>
      <w:r w:rsidR="00663E45" w:rsidRPr="003F78EB">
        <w:t>However</w:t>
      </w:r>
      <w:r w:rsidRPr="003F78EB">
        <w:t xml:space="preserve">, </w:t>
      </w:r>
      <w:r w:rsidR="00663E45" w:rsidRPr="003F78EB">
        <w:t xml:space="preserve">specific </w:t>
      </w:r>
      <w:r w:rsidRPr="003F78EB">
        <w:t xml:space="preserve">measures are few. </w:t>
      </w:r>
      <w:r w:rsidR="00FA7FEF" w:rsidRPr="003F78EB">
        <w:t>There are o</w:t>
      </w:r>
      <w:r w:rsidRPr="003F78EB">
        <w:t>ngoing initiatives to address this gap</w:t>
      </w:r>
      <w:r w:rsidR="00FA7FEF" w:rsidRPr="003F78EB">
        <w:t>,</w:t>
      </w:r>
      <w:r w:rsidRPr="003F78EB">
        <w:t xml:space="preserve"> aim</w:t>
      </w:r>
      <w:r w:rsidR="00FA7FEF" w:rsidRPr="003F78EB">
        <w:t>ed</w:t>
      </w:r>
      <w:r w:rsidRPr="003F78EB">
        <w:t xml:space="preserve"> at developing practical guidance and good practice models for public authorities to </w:t>
      </w:r>
      <w:r w:rsidR="00C03DD4" w:rsidRPr="003F78EB">
        <w:t>integrate</w:t>
      </w:r>
      <w:r w:rsidRPr="003F78EB">
        <w:t xml:space="preserve"> human rights due diligence </w:t>
      </w:r>
      <w:r w:rsidR="00C03DD4" w:rsidRPr="003F78EB">
        <w:t xml:space="preserve">procedures and requirements </w:t>
      </w:r>
      <w:r w:rsidRPr="003F78EB">
        <w:t>when purchasing goods and services from the private sector.</w:t>
      </w:r>
      <w:r w:rsidRPr="003F78EB">
        <w:rPr>
          <w:rStyle w:val="FootnoteReference"/>
        </w:rPr>
        <w:footnoteReference w:id="41"/>
      </w:r>
      <w:r w:rsidRPr="003F78EB">
        <w:t xml:space="preserve"> As emphasized </w:t>
      </w:r>
      <w:r w:rsidR="00FA7FEF" w:rsidRPr="003F78EB">
        <w:t xml:space="preserve">at </w:t>
      </w:r>
      <w:r w:rsidRPr="003F78EB">
        <w:t xml:space="preserve">the 2014 </w:t>
      </w:r>
      <w:r w:rsidR="00BB6898" w:rsidRPr="003F78EB">
        <w:t>corporate social responsibility</w:t>
      </w:r>
      <w:r w:rsidR="00BB6898" w:rsidRPr="003F78EB" w:rsidDel="00BB6898">
        <w:t xml:space="preserve"> </w:t>
      </w:r>
      <w:r w:rsidR="00BB6898" w:rsidRPr="003F78EB">
        <w:t>r</w:t>
      </w:r>
      <w:r w:rsidRPr="003F78EB">
        <w:t>ound</w:t>
      </w:r>
      <w:r w:rsidR="00BB6898" w:rsidRPr="003F78EB">
        <w:t xml:space="preserve"> </w:t>
      </w:r>
      <w:r w:rsidRPr="003F78EB">
        <w:t xml:space="preserve">table discussions, collaboration is essential to reach a critical scale. </w:t>
      </w:r>
      <w:r w:rsidR="007B1F86" w:rsidRPr="003F78EB">
        <w:t>Members of</w:t>
      </w:r>
      <w:r w:rsidRPr="003F78EB">
        <w:t xml:space="preserve"> the United Nations system can play a role in supporting developments towards more State action and aligning multilateral frameworks for public procurement with the Guiding Principles. Among </w:t>
      </w:r>
      <w:r w:rsidR="00FA7FEF" w:rsidRPr="003F78EB">
        <w:t xml:space="preserve">the </w:t>
      </w:r>
      <w:r w:rsidRPr="003F78EB">
        <w:t xml:space="preserve">opportunities with potential for contributing to reaching greater scale, both UNCITRAL guidance for procurement and infrastructure projects and WTO discussions on </w:t>
      </w:r>
      <w:r w:rsidR="007B1F86" w:rsidRPr="003F78EB">
        <w:t>g</w:t>
      </w:r>
      <w:r w:rsidRPr="003F78EB">
        <w:t xml:space="preserve">overnment procurement could and should make reference to the Guiding Principles and take note of emerging tools and good practices. </w:t>
      </w:r>
    </w:p>
    <w:p w:rsidR="007E0701" w:rsidRPr="003F78EB" w:rsidRDefault="00326F7B" w:rsidP="00326F7B">
      <w:pPr>
        <w:pStyle w:val="H1G"/>
      </w:pPr>
      <w:r w:rsidRPr="003F78EB">
        <w:tab/>
        <w:t>C.</w:t>
      </w:r>
      <w:r w:rsidRPr="003F78EB">
        <w:tab/>
      </w:r>
      <w:r w:rsidR="007E0701" w:rsidRPr="003F78EB">
        <w:t>Financial institutions</w:t>
      </w:r>
    </w:p>
    <w:p w:rsidR="007E0701" w:rsidRPr="003F78EB" w:rsidRDefault="00326F7B" w:rsidP="00BB6898">
      <w:pPr>
        <w:pStyle w:val="H23G"/>
      </w:pPr>
      <w:r w:rsidRPr="003F78EB">
        <w:tab/>
        <w:t>1.</w:t>
      </w:r>
      <w:r w:rsidRPr="003F78EB">
        <w:tab/>
      </w:r>
      <w:r w:rsidR="007E0701" w:rsidRPr="003F78EB">
        <w:t>World Bank Group</w:t>
      </w:r>
    </w:p>
    <w:p w:rsidR="007E0701" w:rsidRPr="003F78EB" w:rsidRDefault="007E0701" w:rsidP="003F78EB">
      <w:pPr>
        <w:pStyle w:val="SingleTxtG"/>
        <w:numPr>
          <w:ilvl w:val="0"/>
          <w:numId w:val="13"/>
        </w:numPr>
        <w:ind w:left="1134" w:firstLine="0"/>
      </w:pPr>
      <w:r w:rsidRPr="003F78EB">
        <w:t xml:space="preserve">In the financial sector, the World Bank and its private-sector lending arm, the International Finance Corporation, is another key player within the United Nations system for enabling alignment with the Guiding Principles. The Corporation has already incorporated elements of the Guiding Principles into its social and environmental </w:t>
      </w:r>
      <w:r w:rsidR="00BB6898" w:rsidRPr="003F78EB">
        <w:t>s</w:t>
      </w:r>
      <w:r w:rsidRPr="003F78EB">
        <w:t xml:space="preserve">ustainability </w:t>
      </w:r>
      <w:r w:rsidR="00BB6898" w:rsidRPr="003F78EB">
        <w:t>f</w:t>
      </w:r>
      <w:r w:rsidRPr="003F78EB">
        <w:t>ramework, updated in 2012.</w:t>
      </w:r>
      <w:r w:rsidRPr="003F78EB">
        <w:rPr>
          <w:rStyle w:val="FootnoteReference"/>
        </w:rPr>
        <w:footnoteReference w:id="42"/>
      </w:r>
      <w:r w:rsidRPr="003F78EB">
        <w:t xml:space="preserve"> The current review of the World Bank’s Environmental and Social Framework</w:t>
      </w:r>
      <w:r w:rsidRPr="003F78EB">
        <w:rPr>
          <w:rStyle w:val="FootnoteReference"/>
        </w:rPr>
        <w:footnoteReference w:id="43"/>
      </w:r>
      <w:r w:rsidRPr="003F78EB">
        <w:t xml:space="preserve"> offers a further opportunity for integrating key elements of the Guiding Principles to prevent and mitigate the risk of adverse human rights impacts related to the Bank’s lending activities. </w:t>
      </w:r>
    </w:p>
    <w:p w:rsidR="007E0701" w:rsidRPr="003F78EB" w:rsidRDefault="00757777" w:rsidP="003F78EB">
      <w:pPr>
        <w:pStyle w:val="SingleTxtG"/>
        <w:numPr>
          <w:ilvl w:val="0"/>
          <w:numId w:val="13"/>
        </w:numPr>
        <w:ind w:left="1134" w:firstLine="0"/>
      </w:pPr>
      <w:r w:rsidRPr="003F78EB">
        <w:t>It was stressed in a</w:t>
      </w:r>
      <w:r w:rsidR="007E0701" w:rsidRPr="003F78EB">
        <w:t xml:space="preserve"> joint open letter to the World Bank President by several special procedures mandate holders, including the Working Group,</w:t>
      </w:r>
      <w:r w:rsidRPr="003F78EB">
        <w:rPr>
          <w:rStyle w:val="FootnoteReference"/>
        </w:rPr>
        <w:footnoteReference w:id="44"/>
      </w:r>
      <w:r w:rsidR="007E0701" w:rsidRPr="003F78EB">
        <w:t xml:space="preserve"> that the Bank’s safeguard standards should be premised on a recognition of the central importance of respecting and promoting human rights in order to respond to the challenges of the twenty-first century. </w:t>
      </w:r>
      <w:r w:rsidR="00BB6898" w:rsidRPr="003F78EB">
        <w:t>Moreover, it was stated</w:t>
      </w:r>
      <w:r w:rsidR="007E0701" w:rsidRPr="003F78EB">
        <w:t xml:space="preserve"> that</w:t>
      </w:r>
      <w:r w:rsidRPr="003F78EB">
        <w:t>,</w:t>
      </w:r>
      <w:r w:rsidR="007E0701" w:rsidRPr="003F78EB">
        <w:t xml:space="preserve"> consistent with international law, with its own obligations and with those of its </w:t>
      </w:r>
      <w:r w:rsidR="00BB6898" w:rsidRPr="003F78EB">
        <w:t>m</w:t>
      </w:r>
      <w:r w:rsidR="007E0701" w:rsidRPr="003F78EB">
        <w:t>ember States, the Bank should acknowledge the relevance of human rights in its overall program</w:t>
      </w:r>
      <w:r w:rsidR="00BB6898" w:rsidRPr="003F78EB">
        <w:t>me</w:t>
      </w:r>
      <w:r w:rsidR="007E0701" w:rsidRPr="003F78EB">
        <w:t xml:space="preserve"> objectives </w:t>
      </w:r>
      <w:r w:rsidR="00BB6898" w:rsidRPr="003F78EB">
        <w:t>and</w:t>
      </w:r>
      <w:r w:rsidRPr="003F78EB">
        <w:t xml:space="preserve"> incorporate</w:t>
      </w:r>
      <w:r w:rsidR="007E0701" w:rsidRPr="003F78EB">
        <w:t xml:space="preserve"> human rights due diligence into </w:t>
      </w:r>
      <w:r w:rsidR="007E0701" w:rsidRPr="003F78EB">
        <w:lastRenderedPageBreak/>
        <w:t>its risk management policies. Similar recommendations have been made with respect to regional and national financial institutions.</w:t>
      </w:r>
      <w:r w:rsidR="007E0701" w:rsidRPr="003F78EB">
        <w:rPr>
          <w:rStyle w:val="FootnoteReference"/>
        </w:rPr>
        <w:footnoteReference w:id="45"/>
      </w:r>
      <w:r w:rsidR="007E0701" w:rsidRPr="003F78EB">
        <w:t xml:space="preserve"> </w:t>
      </w:r>
    </w:p>
    <w:p w:rsidR="007E0701" w:rsidRPr="003F78EB" w:rsidRDefault="007E0701" w:rsidP="003F78EB">
      <w:pPr>
        <w:pStyle w:val="SingleTxtG"/>
        <w:numPr>
          <w:ilvl w:val="0"/>
          <w:numId w:val="13"/>
        </w:numPr>
        <w:ind w:left="1134" w:firstLine="0"/>
      </w:pPr>
      <w:r w:rsidRPr="003F78EB">
        <w:t xml:space="preserve">A failure to align the </w:t>
      </w:r>
      <w:r w:rsidR="00C03DD4" w:rsidRPr="003F78EB">
        <w:t xml:space="preserve">World Bank </w:t>
      </w:r>
      <w:r w:rsidR="004B100A" w:rsidRPr="003F78EB">
        <w:t xml:space="preserve">Framework </w:t>
      </w:r>
      <w:r w:rsidRPr="003F78EB">
        <w:t>with the Guiding Principles would mean that the World Bank risks falling behind standard-development that has taken place in the context of private finance. The most notable example is the Equator Principles,</w:t>
      </w:r>
      <w:r w:rsidR="00CB529B" w:rsidRPr="003F78EB">
        <w:rPr>
          <w:rStyle w:val="FootnoteReference"/>
        </w:rPr>
        <w:footnoteReference w:id="46"/>
      </w:r>
      <w:r w:rsidRPr="003F78EB">
        <w:t xml:space="preserve"> a much-cited risk management framework adopted by a group of 79 of the world’s major financial institutions cover</w:t>
      </w:r>
      <w:r w:rsidR="007B1F86" w:rsidRPr="003F78EB">
        <w:t>ing</w:t>
      </w:r>
      <w:r w:rsidRPr="003F78EB">
        <w:t xml:space="preserve"> as much as 70</w:t>
      </w:r>
      <w:r w:rsidR="003A4402" w:rsidRPr="003F78EB">
        <w:t> per cent</w:t>
      </w:r>
      <w:r w:rsidRPr="003F78EB">
        <w:t xml:space="preserve"> of international “project finance” in </w:t>
      </w:r>
      <w:r w:rsidR="004D4655" w:rsidRPr="003F78EB">
        <w:t xml:space="preserve">the </w:t>
      </w:r>
      <w:r w:rsidRPr="003F78EB">
        <w:t>so-called emerging markets. When they were revised in 2013, they were aligned with key elements of the pillar of the Guiding Principles</w:t>
      </w:r>
      <w:r w:rsidR="00BB6898" w:rsidRPr="003F78EB">
        <w:t xml:space="preserve"> on the corporate responsibility to respect</w:t>
      </w:r>
      <w:r w:rsidRPr="003F78EB">
        <w:t>. The Equator Principles have been instrumental in promoting convergence around common environmental and social standards in the global financial sector, and are increasingly used by public financial institutions</w:t>
      </w:r>
      <w:r w:rsidR="004B100A" w:rsidRPr="003F78EB">
        <w:t>,</w:t>
      </w:r>
      <w:r w:rsidRPr="003F78EB">
        <w:t xml:space="preserve"> including multilateral development banks and export credit agencies. </w:t>
      </w:r>
    </w:p>
    <w:p w:rsidR="007E0701" w:rsidRPr="003F78EB" w:rsidRDefault="007E0701" w:rsidP="003F78EB">
      <w:pPr>
        <w:pStyle w:val="SingleTxtG"/>
        <w:numPr>
          <w:ilvl w:val="0"/>
          <w:numId w:val="13"/>
        </w:numPr>
        <w:ind w:left="1134" w:firstLine="0"/>
      </w:pPr>
      <w:r w:rsidRPr="003F78EB">
        <w:t xml:space="preserve">Thus </w:t>
      </w:r>
      <w:r w:rsidR="00CC1727" w:rsidRPr="003F78EB">
        <w:t>t</w:t>
      </w:r>
      <w:r w:rsidR="004B100A" w:rsidRPr="003F78EB">
        <w:t xml:space="preserve">he </w:t>
      </w:r>
      <w:r w:rsidRPr="003F78EB">
        <w:t xml:space="preserve">alignment </w:t>
      </w:r>
      <w:r w:rsidR="004B100A" w:rsidRPr="003F78EB">
        <w:t xml:space="preserve">of the Framework </w:t>
      </w:r>
      <w:r w:rsidRPr="003F78EB">
        <w:t xml:space="preserve">with the Guiding Principles is not only critical for institutional coherence. A failure by the World Bank to go in the same direction as the </w:t>
      </w:r>
      <w:r w:rsidR="004B100A" w:rsidRPr="003F78EB">
        <w:t xml:space="preserve">International Finance Corporation </w:t>
      </w:r>
      <w:r w:rsidRPr="003F78EB">
        <w:t xml:space="preserve">and the Equator Principles could jeopardize the momentum noted above. Conversely, an updated </w:t>
      </w:r>
      <w:r w:rsidR="004B100A" w:rsidRPr="003F78EB">
        <w:t xml:space="preserve">Framework </w:t>
      </w:r>
      <w:r w:rsidRPr="003F78EB">
        <w:t xml:space="preserve">aligned with the Guiding Principles would </w:t>
      </w:r>
      <w:r w:rsidR="00C72E8A" w:rsidRPr="003F78EB">
        <w:t xml:space="preserve">constitute </w:t>
      </w:r>
      <w:r w:rsidRPr="003F78EB">
        <w:t>a significant contribution to reinforcing that momentum.</w:t>
      </w:r>
    </w:p>
    <w:p w:rsidR="007E0701" w:rsidRPr="003F78EB" w:rsidRDefault="00326F7B" w:rsidP="00326F7B">
      <w:pPr>
        <w:pStyle w:val="H23G"/>
      </w:pPr>
      <w:r w:rsidRPr="003F78EB">
        <w:tab/>
        <w:t>2.</w:t>
      </w:r>
      <w:r w:rsidRPr="003F78EB">
        <w:tab/>
      </w:r>
      <w:r w:rsidR="007E0701" w:rsidRPr="003F78EB">
        <w:t>Financial system regulation</w:t>
      </w:r>
    </w:p>
    <w:p w:rsidR="007E0701" w:rsidRPr="003F78EB" w:rsidRDefault="007E0701" w:rsidP="003F78EB">
      <w:pPr>
        <w:pStyle w:val="SingleTxtG"/>
        <w:numPr>
          <w:ilvl w:val="0"/>
          <w:numId w:val="13"/>
        </w:numPr>
        <w:ind w:left="1134" w:firstLine="0"/>
      </w:pPr>
      <w:r w:rsidRPr="003F78EB">
        <w:t xml:space="preserve">Another issue that merits wider attention is the links between international financial regulation and sustainable development. The </w:t>
      </w:r>
      <w:r w:rsidR="00C72E8A" w:rsidRPr="003F78EB">
        <w:t>United Nations Environment Programme (</w:t>
      </w:r>
      <w:r w:rsidRPr="003F78EB">
        <w:t>UNEP</w:t>
      </w:r>
      <w:r w:rsidR="00C72E8A" w:rsidRPr="003F78EB">
        <w:t>)</w:t>
      </w:r>
      <w:r w:rsidR="00B51DA3" w:rsidRPr="003F78EB">
        <w:t>, through its</w:t>
      </w:r>
      <w:r w:rsidRPr="003F78EB">
        <w:t xml:space="preserve"> </w:t>
      </w:r>
      <w:r w:rsidR="00BB6898" w:rsidRPr="003F78EB">
        <w:t>i</w:t>
      </w:r>
      <w:r w:rsidRPr="003F78EB">
        <w:t>nquiry</w:t>
      </w:r>
      <w:r w:rsidRPr="003F78EB">
        <w:rPr>
          <w:rFonts w:eastAsia="Calibri"/>
          <w:color w:val="262626"/>
        </w:rPr>
        <w:t xml:space="preserve"> into the </w:t>
      </w:r>
      <w:r w:rsidR="00BB6898" w:rsidRPr="003F78EB">
        <w:rPr>
          <w:rFonts w:eastAsia="Calibri"/>
          <w:color w:val="262626"/>
        </w:rPr>
        <w:t>d</w:t>
      </w:r>
      <w:r w:rsidRPr="003F78EB">
        <w:rPr>
          <w:rFonts w:eastAsia="Calibri"/>
          <w:color w:val="262626"/>
        </w:rPr>
        <w:t xml:space="preserve">esign of a </w:t>
      </w:r>
      <w:r w:rsidR="00BB6898" w:rsidRPr="003F78EB">
        <w:rPr>
          <w:rFonts w:eastAsia="Calibri"/>
          <w:color w:val="262626"/>
        </w:rPr>
        <w:t>s</w:t>
      </w:r>
      <w:r w:rsidRPr="003F78EB">
        <w:rPr>
          <w:rFonts w:eastAsia="Calibri"/>
          <w:color w:val="262626"/>
        </w:rPr>
        <w:t xml:space="preserve">ustainable </w:t>
      </w:r>
      <w:r w:rsidR="00BB6898" w:rsidRPr="003F78EB">
        <w:rPr>
          <w:rFonts w:eastAsia="Calibri"/>
          <w:color w:val="262626"/>
        </w:rPr>
        <w:t>f</w:t>
      </w:r>
      <w:r w:rsidRPr="003F78EB">
        <w:rPr>
          <w:rFonts w:eastAsia="Calibri"/>
          <w:color w:val="262626"/>
        </w:rPr>
        <w:t xml:space="preserve">inancial </w:t>
      </w:r>
      <w:r w:rsidR="00BB6898" w:rsidRPr="003F78EB">
        <w:rPr>
          <w:rFonts w:eastAsia="Calibri"/>
          <w:color w:val="262626"/>
        </w:rPr>
        <w:t>s</w:t>
      </w:r>
      <w:r w:rsidRPr="003F78EB">
        <w:rPr>
          <w:rFonts w:eastAsia="Calibri"/>
          <w:color w:val="262626"/>
        </w:rPr>
        <w:t>ystem</w:t>
      </w:r>
      <w:r w:rsidR="00BB6898" w:rsidRPr="003F78EB">
        <w:rPr>
          <w:rFonts w:eastAsia="Calibri"/>
          <w:color w:val="262626"/>
        </w:rPr>
        <w:t>,</w:t>
      </w:r>
      <w:r w:rsidR="00CB529B" w:rsidRPr="003F78EB">
        <w:rPr>
          <w:rStyle w:val="FootnoteReference"/>
        </w:rPr>
        <w:footnoteReference w:id="47"/>
      </w:r>
      <w:r w:rsidRPr="003F78EB">
        <w:rPr>
          <w:rFonts w:eastAsia="Calibri"/>
          <w:color w:val="262626"/>
        </w:rPr>
        <w:t xml:space="preserve"> </w:t>
      </w:r>
      <w:r w:rsidRPr="003F78EB">
        <w:t>explores how the rules that govern the financial system</w:t>
      </w:r>
      <w:r w:rsidR="003A4402" w:rsidRPr="003F78EB">
        <w:t>—</w:t>
      </w:r>
      <w:r w:rsidR="004D4655" w:rsidRPr="003F78EB">
        <w:t>(</w:t>
      </w:r>
      <w:r w:rsidRPr="003F78EB">
        <w:t>standards, metrics, incentives, regulations</w:t>
      </w:r>
      <w:r w:rsidR="003A4402" w:rsidRPr="003F78EB">
        <w:t>—</w:t>
      </w:r>
      <w:r w:rsidRPr="003F78EB">
        <w:t xml:space="preserve">and </w:t>
      </w:r>
      <w:r w:rsidR="00C72E8A" w:rsidRPr="003F78EB">
        <w:t xml:space="preserve">the </w:t>
      </w:r>
      <w:r w:rsidRPr="003F78EB">
        <w:t>roles and responsibilities of global and national financial institutions can help better mobilize capital for sustainable development.</w:t>
      </w:r>
      <w:r w:rsidR="003A4402" w:rsidRPr="003F78EB">
        <w:rPr>
          <w:rFonts w:eastAsia="Calibri"/>
        </w:rPr>
        <w:t xml:space="preserve"> </w:t>
      </w:r>
      <w:r w:rsidRPr="003F78EB">
        <w:t xml:space="preserve">In order to </w:t>
      </w:r>
      <w:r w:rsidR="00B51DA3" w:rsidRPr="003F78EB">
        <w:t>do so</w:t>
      </w:r>
      <w:r w:rsidRPr="003F78EB">
        <w:t xml:space="preserve">, UNEP and the Institute for Human Rights </w:t>
      </w:r>
      <w:r w:rsidR="00C72E8A" w:rsidRPr="003F78EB">
        <w:t xml:space="preserve">and </w:t>
      </w:r>
      <w:r w:rsidRPr="003F78EB">
        <w:t xml:space="preserve">Business convened a meeting </w:t>
      </w:r>
      <w:r w:rsidR="00E84725" w:rsidRPr="003F78EB">
        <w:t xml:space="preserve">in December 2014 </w:t>
      </w:r>
      <w:r w:rsidRPr="003F78EB">
        <w:t>on the value of a human rights-focused examination of the rules of financial systems.</w:t>
      </w:r>
      <w:r w:rsidRPr="003F78EB">
        <w:rPr>
          <w:rStyle w:val="FootnoteReference"/>
        </w:rPr>
        <w:footnoteReference w:id="48"/>
      </w:r>
      <w:r w:rsidRPr="003F78EB">
        <w:t xml:space="preserve"> The meeting report</w:t>
      </w:r>
      <w:r w:rsidR="00C63A3C" w:rsidRPr="003F78EB">
        <w:rPr>
          <w:rStyle w:val="FootnoteReference"/>
        </w:rPr>
        <w:footnoteReference w:id="49"/>
      </w:r>
      <w:r w:rsidRPr="003F78EB">
        <w:t xml:space="preserve"> suggests that the Guiding Principles could be a useful framework for </w:t>
      </w:r>
      <w:r w:rsidR="00C72E8A" w:rsidRPr="003F78EB">
        <w:t xml:space="preserve">the </w:t>
      </w:r>
      <w:r w:rsidRPr="003F78EB">
        <w:t xml:space="preserve">UNEP </w:t>
      </w:r>
      <w:r w:rsidR="00B51DA3" w:rsidRPr="003F78EB">
        <w:t>i</w:t>
      </w:r>
      <w:r w:rsidRPr="003F78EB">
        <w:t xml:space="preserve">nquiry, so that the focus is both on the State duty to protect, in line with States’ international human rights obligations, and on the responsibility of business enterprises, including in the financial sector, to respect human rights. </w:t>
      </w:r>
    </w:p>
    <w:p w:rsidR="007E0701" w:rsidRPr="003F78EB" w:rsidRDefault="004D4655" w:rsidP="003F78EB">
      <w:pPr>
        <w:pStyle w:val="SingleTxtG"/>
        <w:numPr>
          <w:ilvl w:val="0"/>
          <w:numId w:val="13"/>
        </w:numPr>
        <w:ind w:left="1134" w:firstLine="0"/>
      </w:pPr>
      <w:r w:rsidRPr="003F78EB">
        <w:t>These issues were further developed at a</w:t>
      </w:r>
      <w:r w:rsidR="007E0701" w:rsidRPr="003F78EB">
        <w:t xml:space="preserve"> second meeting</w:t>
      </w:r>
      <w:r w:rsidR="00B51DA3" w:rsidRPr="003F78EB">
        <w:t>,</w:t>
      </w:r>
      <w:r w:rsidR="007E0701" w:rsidRPr="003F78EB">
        <w:t xml:space="preserve"> in March 2015</w:t>
      </w:r>
      <w:r w:rsidRPr="003F78EB">
        <w:t>,</w:t>
      </w:r>
      <w:r w:rsidR="007E0701" w:rsidRPr="003F78EB">
        <w:t xml:space="preserve"> </w:t>
      </w:r>
      <w:r w:rsidRPr="003F78EB">
        <w:t xml:space="preserve">which </w:t>
      </w:r>
      <w:r w:rsidR="007E0701" w:rsidRPr="003F78EB">
        <w:t xml:space="preserve">will inform a forthcoming working paper for the UNEP </w:t>
      </w:r>
      <w:r w:rsidR="00B51DA3" w:rsidRPr="003F78EB">
        <w:t>i</w:t>
      </w:r>
      <w:r w:rsidR="007E0701" w:rsidRPr="003F78EB">
        <w:t xml:space="preserve">nquiry. </w:t>
      </w:r>
      <w:r w:rsidR="00C72E8A" w:rsidRPr="003F78EB">
        <w:t>Q</w:t>
      </w:r>
      <w:r w:rsidR="007E0701" w:rsidRPr="003F78EB">
        <w:t xml:space="preserve">uestions </w:t>
      </w:r>
      <w:r w:rsidR="00C72E8A" w:rsidRPr="003F78EB">
        <w:t xml:space="preserve">identified </w:t>
      </w:r>
      <w:r w:rsidR="007E0701" w:rsidRPr="003F78EB">
        <w:t xml:space="preserve">included exploring the different levels at which the financial sector has an impact on human rights; human rights due diligence </w:t>
      </w:r>
      <w:r w:rsidRPr="003F78EB">
        <w:t xml:space="preserve">with regard to </w:t>
      </w:r>
      <w:r w:rsidR="007E0701" w:rsidRPr="003F78EB">
        <w:t>financial products, other than project finance, such as derivatives and commodities trading</w:t>
      </w:r>
      <w:r w:rsidR="003A4402" w:rsidRPr="003F78EB">
        <w:t>,</w:t>
      </w:r>
      <w:r w:rsidR="007E0701" w:rsidRPr="003F78EB">
        <w:t xml:space="preserve"> and the implications of human rights considerations for monetary policy.</w:t>
      </w:r>
      <w:r w:rsidR="007E0701" w:rsidRPr="003F78EB">
        <w:rPr>
          <w:rStyle w:val="FootnoteReference"/>
        </w:rPr>
        <w:footnoteReference w:id="50"/>
      </w:r>
    </w:p>
    <w:p w:rsidR="007E0701" w:rsidRPr="003F78EB" w:rsidRDefault="007E0701" w:rsidP="003F78EB">
      <w:pPr>
        <w:pStyle w:val="SingleTxtG"/>
        <w:numPr>
          <w:ilvl w:val="0"/>
          <w:numId w:val="13"/>
        </w:numPr>
        <w:ind w:left="1134" w:firstLine="0"/>
      </w:pPr>
      <w:r w:rsidRPr="003F78EB">
        <w:lastRenderedPageBreak/>
        <w:t>The Working Group considers that these are complex and difficult questions, on which it would be useful to shed further light with a view to achieving greater policy coherence at different levels of the patchwork of international, regional and domestic governance systems.</w:t>
      </w:r>
    </w:p>
    <w:p w:rsidR="007E0701" w:rsidRPr="003F78EB" w:rsidRDefault="00326F7B" w:rsidP="00326F7B">
      <w:pPr>
        <w:pStyle w:val="H23G"/>
      </w:pPr>
      <w:r w:rsidRPr="003F78EB">
        <w:tab/>
        <w:t>3.</w:t>
      </w:r>
      <w:r w:rsidRPr="003F78EB">
        <w:tab/>
      </w:r>
      <w:r w:rsidR="007E0701" w:rsidRPr="003F78EB">
        <w:t>Sustainable stock exchanges</w:t>
      </w:r>
    </w:p>
    <w:p w:rsidR="007E0701" w:rsidRPr="003F78EB" w:rsidRDefault="007E0701" w:rsidP="003F78EB">
      <w:pPr>
        <w:pStyle w:val="SingleTxtG"/>
        <w:numPr>
          <w:ilvl w:val="0"/>
          <w:numId w:val="13"/>
        </w:numPr>
        <w:ind w:left="1134" w:firstLine="0"/>
      </w:pPr>
      <w:r w:rsidRPr="003F78EB">
        <w:t xml:space="preserve">The Sustainable Stock Exchanges </w:t>
      </w:r>
      <w:r w:rsidR="004D4655" w:rsidRPr="003F78EB">
        <w:t xml:space="preserve">Initiative </w:t>
      </w:r>
      <w:r w:rsidRPr="003F78EB">
        <w:t xml:space="preserve">is yet another area of finance where explicit alignment with the Guiding Principles could add value. </w:t>
      </w:r>
      <w:r w:rsidR="004D4655" w:rsidRPr="003F78EB">
        <w:t>The I</w:t>
      </w:r>
      <w:r w:rsidRPr="003F78EB">
        <w:t xml:space="preserve">nitiative, which is co-convened by the </w:t>
      </w:r>
      <w:r w:rsidR="00B544E8" w:rsidRPr="003F78EB">
        <w:t>United Nations</w:t>
      </w:r>
      <w:r w:rsidRPr="003F78EB">
        <w:t>-supported Principles for Responsible Investment, UNCTAD, the UNEP Finance Initiative and the Global Compact, is a peer-to-peer learning platform for exploring how exchanges, in collaboration with investors, regulators and companies, can enhance corporate transparency</w:t>
      </w:r>
      <w:r w:rsidR="003A4402" w:rsidRPr="003F78EB">
        <w:t>—</w:t>
      </w:r>
      <w:r w:rsidRPr="003F78EB">
        <w:t>and</w:t>
      </w:r>
      <w:r w:rsidR="004D4655" w:rsidRPr="003F78EB">
        <w:t xml:space="preserve"> </w:t>
      </w:r>
      <w:r w:rsidRPr="003F78EB">
        <w:t>ultimately performance</w:t>
      </w:r>
      <w:r w:rsidR="003A4402" w:rsidRPr="003F78EB">
        <w:t>—</w:t>
      </w:r>
      <w:r w:rsidRPr="003F78EB">
        <w:t xml:space="preserve">on environmental, social and corporate governance issues and encourage sustainable investment. </w:t>
      </w:r>
      <w:r w:rsidR="00B51DA3" w:rsidRPr="003F78EB">
        <w:t>T</w:t>
      </w:r>
      <w:r w:rsidRPr="003F78EB">
        <w:t>he Guiding Principles could offer normative and operational guidance</w:t>
      </w:r>
      <w:r w:rsidR="00AB7EFB" w:rsidRPr="003F78EB">
        <w:t>,</w:t>
      </w:r>
      <w:r w:rsidRPr="003F78EB">
        <w:t xml:space="preserve"> </w:t>
      </w:r>
      <w:r w:rsidR="00C03DD4" w:rsidRPr="003F78EB">
        <w:t xml:space="preserve">for example </w:t>
      </w:r>
      <w:r w:rsidR="00B51DA3" w:rsidRPr="003F78EB">
        <w:t>on matters concerning</w:t>
      </w:r>
      <w:r w:rsidRPr="003F78EB">
        <w:t xml:space="preserve"> portfolio investors (e.g. pension funds) and their human rights</w:t>
      </w:r>
      <w:r w:rsidR="00B544E8" w:rsidRPr="003F78EB">
        <w:t>-</w:t>
      </w:r>
      <w:r w:rsidRPr="003F78EB">
        <w:t>related responsibilities in relation to investee companies, where the Guiding Principles provide benchmarks on standards for due diligence and corporate governance.</w:t>
      </w:r>
      <w:r w:rsidR="003A4402" w:rsidRPr="003F78EB">
        <w:t xml:space="preserve"> </w:t>
      </w:r>
    </w:p>
    <w:p w:rsidR="007E0701" w:rsidRPr="003F78EB" w:rsidRDefault="00F7376C" w:rsidP="00F7376C">
      <w:pPr>
        <w:pStyle w:val="HChG"/>
      </w:pPr>
      <w:r w:rsidRPr="003F78EB">
        <w:tab/>
        <w:t>IV.</w:t>
      </w:r>
      <w:r w:rsidRPr="003F78EB">
        <w:tab/>
      </w:r>
      <w:r w:rsidR="007E0701" w:rsidRPr="003F78EB">
        <w:t>Sustainable development</w:t>
      </w:r>
    </w:p>
    <w:p w:rsidR="007E0701" w:rsidRPr="003F78EB" w:rsidRDefault="007E0701" w:rsidP="003F78EB">
      <w:pPr>
        <w:pStyle w:val="SingleTxtG"/>
        <w:numPr>
          <w:ilvl w:val="0"/>
          <w:numId w:val="13"/>
        </w:numPr>
        <w:ind w:left="1134" w:firstLine="0"/>
      </w:pPr>
      <w:r w:rsidRPr="003F78EB">
        <w:t xml:space="preserve">The growing role of business in economic and social development has underscored the need for stronger accountability systems in emerging development frameworks. Two main aspects are worth underlining. First, as part of their duty to protect, States must protect internationally recognized human rights, and the Guiding Principles provide an additional framework for States </w:t>
      </w:r>
      <w:r w:rsidR="00B51DA3" w:rsidRPr="003F78EB">
        <w:t xml:space="preserve">to </w:t>
      </w:r>
      <w:r w:rsidRPr="003F78EB">
        <w:t>ensur</w:t>
      </w:r>
      <w:r w:rsidR="00B51DA3" w:rsidRPr="003F78EB">
        <w:t>e</w:t>
      </w:r>
      <w:r w:rsidRPr="003F78EB">
        <w:t xml:space="preserve"> that business</w:t>
      </w:r>
      <w:r w:rsidR="00B51DA3" w:rsidRPr="003F78EB">
        <w:t>es</w:t>
      </w:r>
      <w:r w:rsidRPr="003F78EB">
        <w:t xml:space="preserve"> do not undermine development efforts.</w:t>
      </w:r>
    </w:p>
    <w:p w:rsidR="007E0701" w:rsidRPr="003F78EB" w:rsidRDefault="007E0701" w:rsidP="003F78EB">
      <w:pPr>
        <w:pStyle w:val="SingleTxtG"/>
        <w:numPr>
          <w:ilvl w:val="0"/>
          <w:numId w:val="13"/>
        </w:numPr>
        <w:ind w:left="1134" w:firstLine="0"/>
      </w:pPr>
      <w:r w:rsidRPr="003F78EB">
        <w:t xml:space="preserve">Second, as part of their corporate responsibility to respect, businesses should avoid infringing human rights and address </w:t>
      </w:r>
      <w:r w:rsidR="00B51DA3" w:rsidRPr="003F78EB">
        <w:t xml:space="preserve">any </w:t>
      </w:r>
      <w:r w:rsidRPr="003F78EB">
        <w:t>adverse impact</w:t>
      </w:r>
      <w:r w:rsidR="00B51DA3" w:rsidRPr="003F78EB">
        <w:t xml:space="preserve"> </w:t>
      </w:r>
      <w:r w:rsidRPr="003F78EB">
        <w:t xml:space="preserve">with which they are involved. </w:t>
      </w:r>
      <w:r w:rsidR="00B51DA3" w:rsidRPr="003F78EB">
        <w:t>I</w:t>
      </w:r>
      <w:r w:rsidRPr="003F78EB">
        <w:t>n its statement</w:t>
      </w:r>
      <w:r w:rsidR="00B51DA3" w:rsidRPr="003F78EB">
        <w:t xml:space="preserve"> to the United Nations </w:t>
      </w:r>
      <w:r w:rsidR="00377385" w:rsidRPr="003F78EB">
        <w:t>Conference</w:t>
      </w:r>
      <w:r w:rsidR="00B51DA3" w:rsidRPr="003F78EB">
        <w:t xml:space="preserve"> on Sustainable Development</w:t>
      </w:r>
      <w:r w:rsidRPr="003F78EB">
        <w:t>,</w:t>
      </w:r>
      <w:r w:rsidR="00B51DA3" w:rsidRPr="003F78EB">
        <w:t xml:space="preserve"> the Working Group pointed out that b</w:t>
      </w:r>
      <w:r w:rsidRPr="003F78EB">
        <w:t>usiness contribution to a socially sustainable and equitable development starts with respecting the rights of people affected by their activities</w:t>
      </w:r>
      <w:r w:rsidR="00B544E8" w:rsidRPr="003F78EB">
        <w:t>—</w:t>
      </w:r>
      <w:r w:rsidRPr="003F78EB">
        <w:t>in simple terms</w:t>
      </w:r>
      <w:r w:rsidR="00C94748" w:rsidRPr="003F78EB">
        <w:t>, by</w:t>
      </w:r>
      <w:r w:rsidRPr="003F78EB">
        <w:t xml:space="preserve"> avoid</w:t>
      </w:r>
      <w:r w:rsidR="00C94748" w:rsidRPr="003F78EB">
        <w:t>ing</w:t>
      </w:r>
      <w:r w:rsidRPr="003F78EB">
        <w:t xml:space="preserve"> infringing on the rights of others and address</w:t>
      </w:r>
      <w:r w:rsidR="00C94748" w:rsidRPr="003F78EB">
        <w:t>ing the</w:t>
      </w:r>
      <w:r w:rsidRPr="003F78EB">
        <w:t xml:space="preserve"> adverse human rights impacts with which they are involved.</w:t>
      </w:r>
      <w:r w:rsidRPr="003F78EB">
        <w:rPr>
          <w:rStyle w:val="FootnoteReference"/>
        </w:rPr>
        <w:footnoteReference w:id="51"/>
      </w:r>
      <w:r w:rsidRPr="003F78EB">
        <w:t xml:space="preserve"> Importantly, in the development context, </w:t>
      </w:r>
      <w:r w:rsidR="00D317B4" w:rsidRPr="003F78EB">
        <w:t xml:space="preserve">it is clarified in </w:t>
      </w:r>
      <w:r w:rsidRPr="003F78EB">
        <w:t>the Guiding Principles that</w:t>
      </w:r>
      <w:r w:rsidR="00B544E8" w:rsidRPr="003F78EB">
        <w:t>,</w:t>
      </w:r>
      <w:r w:rsidRPr="003F78EB">
        <w:t xml:space="preserve"> even though companies may undertake commitments to support and promote human rights, this cannot “offset” possible adverse impacts on rights elsewhere in their operations. Moreover, the corporate responsibility to respect </w:t>
      </w:r>
      <w:r w:rsidR="00C03DD4" w:rsidRPr="003F78EB">
        <w:t xml:space="preserve">human rights </w:t>
      </w:r>
      <w:r w:rsidRPr="003F78EB">
        <w:t xml:space="preserve">also implies that business should not undermine States’ abilities to meet their own human rights obligations, including in their development efforts. </w:t>
      </w:r>
    </w:p>
    <w:p w:rsidR="007E0701" w:rsidRPr="003F78EB" w:rsidRDefault="007E0701" w:rsidP="003F78EB">
      <w:pPr>
        <w:pStyle w:val="SingleTxtG"/>
        <w:numPr>
          <w:ilvl w:val="0"/>
          <w:numId w:val="13"/>
        </w:numPr>
        <w:ind w:left="1134" w:firstLine="0"/>
      </w:pPr>
      <w:r w:rsidRPr="003F78EB">
        <w:t>The ongoing efforts at the United Nations to establish the post-2015 sustainable development framework provide a major opportunity for better integration of the business and human rights perspective.</w:t>
      </w:r>
    </w:p>
    <w:p w:rsidR="007E0701" w:rsidRPr="003F78EB" w:rsidRDefault="00734073" w:rsidP="00734073">
      <w:pPr>
        <w:pStyle w:val="H1G"/>
      </w:pPr>
      <w:r w:rsidRPr="003F78EB">
        <w:lastRenderedPageBreak/>
        <w:tab/>
        <w:t>A.</w:t>
      </w:r>
      <w:r w:rsidRPr="003F78EB">
        <w:tab/>
      </w:r>
      <w:r w:rsidR="007E0701" w:rsidRPr="003F78EB">
        <w:t>Post-2015 framework</w:t>
      </w:r>
    </w:p>
    <w:p w:rsidR="007E0701" w:rsidRPr="003F78EB" w:rsidRDefault="00ED28AC" w:rsidP="00C94748">
      <w:pPr>
        <w:pStyle w:val="H23G"/>
      </w:pPr>
      <w:r w:rsidRPr="003F78EB">
        <w:tab/>
        <w:t>1.</w:t>
      </w:r>
      <w:r w:rsidRPr="003F78EB">
        <w:tab/>
      </w:r>
      <w:r w:rsidR="007E0701" w:rsidRPr="003F78EB">
        <w:t xml:space="preserve">Sustainable </w:t>
      </w:r>
      <w:r w:rsidR="00C94748" w:rsidRPr="003F78EB">
        <w:t>d</w:t>
      </w:r>
      <w:r w:rsidR="007E0701" w:rsidRPr="003F78EB">
        <w:t xml:space="preserve">evelopment </w:t>
      </w:r>
      <w:r w:rsidR="00C94748" w:rsidRPr="003F78EB">
        <w:t>g</w:t>
      </w:r>
      <w:r w:rsidR="007E0701" w:rsidRPr="003F78EB">
        <w:t>oals</w:t>
      </w:r>
    </w:p>
    <w:p w:rsidR="007E0701" w:rsidRPr="003F78EB" w:rsidRDefault="007E0701" w:rsidP="003F78EB">
      <w:pPr>
        <w:pStyle w:val="SingleTxtG"/>
        <w:numPr>
          <w:ilvl w:val="0"/>
          <w:numId w:val="13"/>
        </w:numPr>
        <w:ind w:left="1134" w:firstLine="0"/>
      </w:pPr>
      <w:r w:rsidRPr="003F78EB">
        <w:t>Making the private sector in the post-2015 development framework work for human rights has been identified as one of the foremost challenges for the global business and human rights agenda.</w:t>
      </w:r>
      <w:r w:rsidRPr="003F78EB">
        <w:rPr>
          <w:rStyle w:val="FootnoteReference"/>
        </w:rPr>
        <w:footnoteReference w:id="52"/>
      </w:r>
      <w:r w:rsidRPr="003F78EB">
        <w:t xml:space="preserve"> </w:t>
      </w:r>
    </w:p>
    <w:p w:rsidR="007E0701" w:rsidRPr="003F78EB" w:rsidRDefault="007E0701" w:rsidP="003F78EB">
      <w:pPr>
        <w:pStyle w:val="SingleTxtG"/>
        <w:numPr>
          <w:ilvl w:val="0"/>
          <w:numId w:val="13"/>
        </w:numPr>
        <w:ind w:left="1134" w:firstLine="0"/>
      </w:pPr>
      <w:r w:rsidRPr="003F78EB">
        <w:t xml:space="preserve">The increasing acknowledgment of the role business can be playing with regard to driving economic growth and sustainable development has also been reflected in the proposed </w:t>
      </w:r>
      <w:r w:rsidR="00C94748" w:rsidRPr="003F78EB">
        <w:t>sustainable development g</w:t>
      </w:r>
      <w:r w:rsidR="00B544E8" w:rsidRPr="003F78EB">
        <w:t>oal</w:t>
      </w:r>
      <w:r w:rsidRPr="003F78EB">
        <w:t xml:space="preserve">s </w:t>
      </w:r>
      <w:r w:rsidR="00C94748" w:rsidRPr="003F78EB">
        <w:t xml:space="preserve">(A/68/970 and Corr.1) </w:t>
      </w:r>
      <w:r w:rsidRPr="003F78EB">
        <w:t xml:space="preserve">as well as in the </w:t>
      </w:r>
      <w:r w:rsidR="00C27990" w:rsidRPr="003F78EB">
        <w:t xml:space="preserve">synthesis report of the </w:t>
      </w:r>
      <w:r w:rsidRPr="003F78EB">
        <w:t>Secretary-General on the post-2015 framework</w:t>
      </w:r>
      <w:r w:rsidR="00C94748" w:rsidRPr="003F78EB">
        <w:t xml:space="preserve"> (A/69/700)</w:t>
      </w:r>
      <w:r w:rsidRPr="003F78EB">
        <w:t xml:space="preserve">. It is encouraging to note that the draft </w:t>
      </w:r>
      <w:r w:rsidR="00C94748" w:rsidRPr="003F78EB">
        <w:t>g</w:t>
      </w:r>
      <w:r w:rsidR="00B544E8" w:rsidRPr="003F78EB">
        <w:t>oal</w:t>
      </w:r>
      <w:r w:rsidRPr="003F78EB">
        <w:t>s refer</w:t>
      </w:r>
      <w:r w:rsidR="00C94748" w:rsidRPr="003F78EB">
        <w:t xml:space="preserve"> explicitly</w:t>
      </w:r>
      <w:r w:rsidRPr="003F78EB">
        <w:t xml:space="preserve"> to human rights standards and agreements, </w:t>
      </w:r>
      <w:r w:rsidR="00C94748" w:rsidRPr="003F78EB">
        <w:t xml:space="preserve">and that they </w:t>
      </w:r>
      <w:r w:rsidRPr="003F78EB">
        <w:t>includ</w:t>
      </w:r>
      <w:r w:rsidR="00C94748" w:rsidRPr="003F78EB">
        <w:t>e</w:t>
      </w:r>
      <w:r w:rsidRPr="003F78EB">
        <w:t xml:space="preserve"> a call to put people at the centre of sustainable development, for a world that is just, equitable and inclusive and </w:t>
      </w:r>
      <w:r w:rsidR="00C94748" w:rsidRPr="003F78EB">
        <w:t xml:space="preserve">that </w:t>
      </w:r>
      <w:r w:rsidRPr="003F78EB">
        <w:t>aims to benefit all without distinction of any kind such as age, sex, disability, culture, race, ethnicity, origin, migratory status, religion, economic or other status (</w:t>
      </w:r>
      <w:r w:rsidR="00C94748" w:rsidRPr="003F78EB">
        <w:t xml:space="preserve">see A/68/970 and Corr.1, sect. IV, </w:t>
      </w:r>
      <w:r w:rsidRPr="003F78EB">
        <w:t>par</w:t>
      </w:r>
      <w:r w:rsidR="00E03EC2" w:rsidRPr="003F78EB">
        <w:t>a. </w:t>
      </w:r>
      <w:r w:rsidRPr="003F78EB">
        <w:t xml:space="preserve">4). With respect to the role and impact of the private sector, the draft </w:t>
      </w:r>
      <w:r w:rsidR="00C94748" w:rsidRPr="003F78EB">
        <w:t>g</w:t>
      </w:r>
      <w:r w:rsidR="00B544E8" w:rsidRPr="003F78EB">
        <w:t>oal</w:t>
      </w:r>
      <w:r w:rsidRPr="003F78EB">
        <w:t xml:space="preserve">s call for protection of labour rights and </w:t>
      </w:r>
      <w:r w:rsidR="00D040D0" w:rsidRPr="003F78EB">
        <w:t xml:space="preserve">the </w:t>
      </w:r>
      <w:r w:rsidRPr="003F78EB">
        <w:t>promot</w:t>
      </w:r>
      <w:r w:rsidR="00D040D0" w:rsidRPr="003F78EB">
        <w:t>ion</w:t>
      </w:r>
      <w:r w:rsidRPr="003F78EB">
        <w:t xml:space="preserve"> </w:t>
      </w:r>
      <w:r w:rsidR="00D040D0" w:rsidRPr="003F78EB">
        <w:t xml:space="preserve">of </w:t>
      </w:r>
      <w:r w:rsidRPr="003F78EB">
        <w:t>safe and secure working environments for all workers, including migrant workers (target</w:t>
      </w:r>
      <w:r w:rsidR="00E03EC2" w:rsidRPr="003F78EB">
        <w:t> </w:t>
      </w:r>
      <w:r w:rsidRPr="003F78EB">
        <w:t xml:space="preserve">8.8). </w:t>
      </w:r>
    </w:p>
    <w:p w:rsidR="007E0701" w:rsidRPr="003F78EB" w:rsidRDefault="007E0701" w:rsidP="003F78EB">
      <w:pPr>
        <w:pStyle w:val="SingleTxtG"/>
        <w:numPr>
          <w:ilvl w:val="0"/>
          <w:numId w:val="13"/>
        </w:numPr>
        <w:ind w:left="1134" w:firstLine="0"/>
      </w:pPr>
      <w:r w:rsidRPr="003F78EB">
        <w:t xml:space="preserve">However, </w:t>
      </w:r>
      <w:r w:rsidR="00D317B4" w:rsidRPr="003F78EB">
        <w:t xml:space="preserve">no reference </w:t>
      </w:r>
      <w:r w:rsidR="00AF4305" w:rsidRPr="003F78EB">
        <w:t xml:space="preserve">is made </w:t>
      </w:r>
      <w:r w:rsidR="00D317B4" w:rsidRPr="003F78EB">
        <w:t xml:space="preserve">in </w:t>
      </w:r>
      <w:r w:rsidRPr="003F78EB">
        <w:t xml:space="preserve">the draft </w:t>
      </w:r>
      <w:r w:rsidR="00CA4062" w:rsidRPr="003F78EB">
        <w:t>g</w:t>
      </w:r>
      <w:r w:rsidR="00B544E8" w:rsidRPr="003F78EB">
        <w:t>oal</w:t>
      </w:r>
      <w:r w:rsidRPr="003F78EB">
        <w:t xml:space="preserve">s to the Guiding Principles and the importance of ensuring protection and respect for </w:t>
      </w:r>
      <w:r w:rsidRPr="003F78EB">
        <w:rPr>
          <w:iCs/>
        </w:rPr>
        <w:t xml:space="preserve">all internationally recognized human rights in the context of business operations. </w:t>
      </w:r>
      <w:r w:rsidRPr="003F78EB">
        <w:t xml:space="preserve">Failure to </w:t>
      </w:r>
      <w:r w:rsidR="00CA4062" w:rsidRPr="003F78EB">
        <w:t xml:space="preserve">include such a reference </w:t>
      </w:r>
      <w:r w:rsidRPr="003F78EB">
        <w:t xml:space="preserve">in the final </w:t>
      </w:r>
      <w:r w:rsidR="00CA4062" w:rsidRPr="003F78EB">
        <w:t>g</w:t>
      </w:r>
      <w:r w:rsidR="00B544E8" w:rsidRPr="003F78EB">
        <w:t>oal</w:t>
      </w:r>
      <w:r w:rsidRPr="003F78EB">
        <w:t xml:space="preserve">s and supporting documents would constitute a significant lost opportunity to ensure that the acknowledgment of the increased role of the private sector in driving sustainable development is also coupled with </w:t>
      </w:r>
      <w:r w:rsidR="00B544E8" w:rsidRPr="003F78EB">
        <w:t xml:space="preserve">the </w:t>
      </w:r>
      <w:r w:rsidRPr="003F78EB">
        <w:t xml:space="preserve">necessary accountability for </w:t>
      </w:r>
      <w:r w:rsidR="00B544E8" w:rsidRPr="003F78EB">
        <w:t xml:space="preserve">a </w:t>
      </w:r>
      <w:r w:rsidRPr="003F78EB">
        <w:t>greater role and impact.</w:t>
      </w:r>
    </w:p>
    <w:p w:rsidR="007E0701" w:rsidRPr="003F78EB" w:rsidRDefault="007E0701" w:rsidP="003F78EB">
      <w:pPr>
        <w:pStyle w:val="SingleTxtG"/>
        <w:numPr>
          <w:ilvl w:val="0"/>
          <w:numId w:val="13"/>
        </w:numPr>
        <w:ind w:left="1134" w:firstLine="0"/>
      </w:pPr>
      <w:r w:rsidRPr="003F78EB">
        <w:t xml:space="preserve">While the need for greater policy and institutional coherence </w:t>
      </w:r>
      <w:r w:rsidR="00AF4305" w:rsidRPr="003F78EB">
        <w:t>is acknowledged in the draft</w:t>
      </w:r>
      <w:r w:rsidR="005A15CE" w:rsidRPr="003F78EB">
        <w:t xml:space="preserve"> (targets 17.13-17.15)</w:t>
      </w:r>
      <w:r w:rsidR="00AF4305" w:rsidRPr="003F78EB">
        <w:t xml:space="preserve">, </w:t>
      </w:r>
      <w:r w:rsidRPr="003F78EB">
        <w:t xml:space="preserve">the </w:t>
      </w:r>
      <w:r w:rsidR="005A15CE" w:rsidRPr="003F78EB">
        <w:t xml:space="preserve">wording on the </w:t>
      </w:r>
      <w:r w:rsidRPr="003F78EB">
        <w:t xml:space="preserve">need </w:t>
      </w:r>
      <w:r w:rsidR="005A15CE" w:rsidRPr="003F78EB">
        <w:t xml:space="preserve">to </w:t>
      </w:r>
      <w:r w:rsidRPr="003F78EB">
        <w:t>achiev</w:t>
      </w:r>
      <w:r w:rsidR="005A15CE" w:rsidRPr="003F78EB">
        <w:t>e</w:t>
      </w:r>
      <w:r w:rsidRPr="003F78EB">
        <w:t xml:space="preserve"> greater policy coherence across international frameworks relat</w:t>
      </w:r>
      <w:r w:rsidR="00AF4305" w:rsidRPr="003F78EB">
        <w:t>ing</w:t>
      </w:r>
      <w:r w:rsidRPr="003F78EB">
        <w:t xml:space="preserve"> to the business sector, ranging from investment to trade frameworks and programmes</w:t>
      </w:r>
      <w:r w:rsidR="00B544E8" w:rsidRPr="003F78EB">
        <w:t>,</w:t>
      </w:r>
      <w:r w:rsidRPr="003F78EB">
        <w:t xml:space="preserve"> should be strengthened in the final </w:t>
      </w:r>
      <w:r w:rsidR="00CA4062" w:rsidRPr="003F78EB">
        <w:t>g</w:t>
      </w:r>
      <w:r w:rsidR="00B544E8" w:rsidRPr="003F78EB">
        <w:t>oal</w:t>
      </w:r>
      <w:r w:rsidRPr="003F78EB">
        <w:t xml:space="preserve">s and efforts to implement them at </w:t>
      </w:r>
      <w:r w:rsidR="00CA4062" w:rsidRPr="003F78EB">
        <w:t xml:space="preserve">the </w:t>
      </w:r>
      <w:r w:rsidRPr="003F78EB">
        <w:t>country level</w:t>
      </w:r>
      <w:r w:rsidR="005A15CE" w:rsidRPr="003F78EB">
        <w:t xml:space="preserve"> should be enhanced</w:t>
      </w:r>
      <w:r w:rsidRPr="003F78EB">
        <w:t>. Guiding Principles</w:t>
      </w:r>
      <w:r w:rsidR="00E03EC2" w:rsidRPr="003F78EB">
        <w:t> </w:t>
      </w:r>
      <w:r w:rsidRPr="003F78EB">
        <w:t xml:space="preserve">9 and 10 could provide the necessary guidance with regard to setting a benchmark for greater policy coherence. It is not yet clear how the </w:t>
      </w:r>
      <w:r w:rsidR="005A15CE" w:rsidRPr="003F78EB">
        <w:t>g</w:t>
      </w:r>
      <w:r w:rsidR="00AF4305" w:rsidRPr="003F78EB">
        <w:t>oals</w:t>
      </w:r>
      <w:r w:rsidRPr="003F78EB">
        <w:t xml:space="preserve"> and</w:t>
      </w:r>
      <w:r w:rsidR="005A15CE" w:rsidRPr="003F78EB">
        <w:t>,</w:t>
      </w:r>
      <w:r w:rsidRPr="003F78EB">
        <w:t xml:space="preserve"> more specifically</w:t>
      </w:r>
      <w:r w:rsidR="005A15CE" w:rsidRPr="003F78EB">
        <w:t>,</w:t>
      </w:r>
      <w:r w:rsidRPr="003F78EB">
        <w:t xml:space="preserve"> the targets under </w:t>
      </w:r>
      <w:r w:rsidR="00AF4305" w:rsidRPr="003F78EB">
        <w:t>each</w:t>
      </w:r>
      <w:r w:rsidRPr="003F78EB">
        <w:t xml:space="preserve"> goal, will be adapted to the national level. In line with the </w:t>
      </w:r>
      <w:r w:rsidR="005A15CE" w:rsidRPr="003F78EB">
        <w:t>outcome of the United Nations Conference on Sustainable Development</w:t>
      </w:r>
      <w:r w:rsidRPr="003F78EB">
        <w:t>, it is critical that efforts to tailor global targets to national circumstances be guided by the obligations of States and businesses under international human rights law, as embodied in the Guiding Principles.</w:t>
      </w:r>
    </w:p>
    <w:p w:rsidR="007E0701" w:rsidRPr="003F78EB" w:rsidRDefault="007E0701" w:rsidP="003F78EB">
      <w:pPr>
        <w:pStyle w:val="SingleTxtG"/>
        <w:numPr>
          <w:ilvl w:val="0"/>
          <w:numId w:val="13"/>
        </w:numPr>
        <w:ind w:left="1134" w:firstLine="0"/>
      </w:pPr>
      <w:r w:rsidRPr="003F78EB">
        <w:t xml:space="preserve">A major gap </w:t>
      </w:r>
      <w:r w:rsidR="0049612B" w:rsidRPr="003F78EB">
        <w:t xml:space="preserve">is </w:t>
      </w:r>
      <w:r w:rsidRPr="003F78EB">
        <w:t xml:space="preserve">the lack of reference to accountability mechanisms with regard to the potential adverse impacts of business operations and the governance gaps created by globalization, which are a central premise of the Guiding Principles. Accountability should be at the heart of the process, and </w:t>
      </w:r>
      <w:r w:rsidR="00AF4305" w:rsidRPr="003F78EB">
        <w:t xml:space="preserve">it should be acknowledged in </w:t>
      </w:r>
      <w:r w:rsidRPr="003F78EB">
        <w:t xml:space="preserve">the </w:t>
      </w:r>
      <w:r w:rsidR="005A15CE" w:rsidRPr="003F78EB">
        <w:t>sustainable development g</w:t>
      </w:r>
      <w:r w:rsidR="0049612B" w:rsidRPr="003F78EB">
        <w:t>oal</w:t>
      </w:r>
      <w:r w:rsidRPr="003F78EB">
        <w:t>s that individuals need to have access to meaningful consultation</w:t>
      </w:r>
      <w:r w:rsidR="005A15CE" w:rsidRPr="003F78EB">
        <w:t>,</w:t>
      </w:r>
      <w:r w:rsidRPr="003F78EB">
        <w:t xml:space="preserve"> </w:t>
      </w:r>
      <w:r w:rsidR="00AF4305" w:rsidRPr="003F78EB">
        <w:t xml:space="preserve">in order </w:t>
      </w:r>
      <w:r w:rsidRPr="003F78EB">
        <w:t>to voice concerns prior to business operations that may have an impact on their human rights</w:t>
      </w:r>
      <w:r w:rsidR="00AF4305" w:rsidRPr="003F78EB">
        <w:t>,</w:t>
      </w:r>
      <w:r w:rsidRPr="003F78EB">
        <w:t xml:space="preserve"> and to remedy mechanisms, both judicial and non-judicial, when abuses occur. </w:t>
      </w:r>
    </w:p>
    <w:p w:rsidR="007E0701" w:rsidRPr="003F78EB" w:rsidRDefault="00ED28AC" w:rsidP="003F78EB">
      <w:pPr>
        <w:pStyle w:val="SingleTxtG"/>
      </w:pPr>
      <w:r w:rsidRPr="003F78EB">
        <w:t>59.</w:t>
      </w:r>
      <w:r w:rsidRPr="003F78EB">
        <w:tab/>
      </w:r>
      <w:r w:rsidR="007E0701" w:rsidRPr="003F78EB">
        <w:t>With regard to the accountability of business</w:t>
      </w:r>
      <w:r w:rsidR="005A15CE" w:rsidRPr="003F78EB">
        <w:t>es</w:t>
      </w:r>
      <w:r w:rsidR="0097235B" w:rsidRPr="003F78EB">
        <w:t>,</w:t>
      </w:r>
      <w:r w:rsidR="007E0701" w:rsidRPr="003F78EB">
        <w:t xml:space="preserve"> </w:t>
      </w:r>
      <w:r w:rsidR="0097235B" w:rsidRPr="003F78EB">
        <w:t xml:space="preserve">in </w:t>
      </w:r>
      <w:r w:rsidR="007E0701" w:rsidRPr="003F78EB">
        <w:t>Guiding Principle</w:t>
      </w:r>
      <w:r w:rsidR="00E03EC2" w:rsidRPr="003F78EB">
        <w:t> </w:t>
      </w:r>
      <w:r w:rsidR="007E0701" w:rsidRPr="003F78EB">
        <w:t xml:space="preserve">3 </w:t>
      </w:r>
      <w:r w:rsidR="005A15CE" w:rsidRPr="003F78EB">
        <w:t xml:space="preserve">emphasis is placed on </w:t>
      </w:r>
      <w:r w:rsidR="007E0701" w:rsidRPr="003F78EB">
        <w:t xml:space="preserve">the role of corporate governance and the need to ensure that relevant laws and </w:t>
      </w:r>
      <w:r w:rsidR="007E0701" w:rsidRPr="003F78EB">
        <w:lastRenderedPageBreak/>
        <w:t>policies not only prohibit but require companies (and company officers such as board directors) to actively consider human rights risks.</w:t>
      </w:r>
      <w:r w:rsidR="007E0701" w:rsidRPr="003F78EB">
        <w:rPr>
          <w:rStyle w:val="FootnoteReference"/>
        </w:rPr>
        <w:footnoteReference w:id="53"/>
      </w:r>
    </w:p>
    <w:p w:rsidR="007E0701" w:rsidRPr="003F78EB" w:rsidRDefault="00ED28AC" w:rsidP="00357CFA">
      <w:pPr>
        <w:pStyle w:val="SingleTxtG"/>
      </w:pPr>
      <w:r w:rsidRPr="003F78EB">
        <w:t>60.</w:t>
      </w:r>
      <w:r w:rsidRPr="003F78EB">
        <w:tab/>
      </w:r>
      <w:r w:rsidR="007E0701" w:rsidRPr="003F78EB">
        <w:t xml:space="preserve">Another concern is the lack of references </w:t>
      </w:r>
      <w:r w:rsidR="0049612B" w:rsidRPr="003F78EB">
        <w:t xml:space="preserve">in draft </w:t>
      </w:r>
      <w:r w:rsidR="005A15CE" w:rsidRPr="003F78EB">
        <w:t xml:space="preserve">sustainable development </w:t>
      </w:r>
      <w:r w:rsidR="0049612B" w:rsidRPr="003F78EB">
        <w:t>goal 17</w:t>
      </w:r>
      <w:r w:rsidR="005A15CE" w:rsidRPr="003F78EB">
        <w:t>,</w:t>
      </w:r>
      <w:r w:rsidR="0049612B" w:rsidRPr="003F78EB">
        <w:t xml:space="preserve"> on revitalizing partnerships</w:t>
      </w:r>
      <w:r w:rsidR="005A15CE" w:rsidRPr="003F78EB">
        <w:t>,</w:t>
      </w:r>
      <w:r w:rsidR="0049612B" w:rsidRPr="003F78EB">
        <w:t xml:space="preserve"> </w:t>
      </w:r>
      <w:r w:rsidR="007E0701" w:rsidRPr="003F78EB">
        <w:t>to the need to avoid adverse impacts in the context of public-private partnerships.</w:t>
      </w:r>
      <w:r w:rsidR="003A4402" w:rsidRPr="003F78EB">
        <w:t xml:space="preserve"> </w:t>
      </w:r>
      <w:r w:rsidR="007E0701" w:rsidRPr="003F78EB">
        <w:t>Reiterating the State</w:t>
      </w:r>
      <w:r w:rsidR="005A15CE" w:rsidRPr="003F78EB">
        <w:t>’s</w:t>
      </w:r>
      <w:r w:rsidR="007E0701" w:rsidRPr="003F78EB">
        <w:t xml:space="preserve"> duty to foster respect for human rights </w:t>
      </w:r>
      <w:r w:rsidR="005A15CE" w:rsidRPr="003F78EB">
        <w:t xml:space="preserve">by businesses </w:t>
      </w:r>
      <w:r w:rsidR="007E0701" w:rsidRPr="003F78EB">
        <w:t>through adequate regulation and policies and the minimum expectation that business</w:t>
      </w:r>
      <w:r w:rsidR="005A15CE" w:rsidRPr="003F78EB">
        <w:t>es</w:t>
      </w:r>
      <w:r w:rsidR="007E0701" w:rsidRPr="003F78EB">
        <w:t xml:space="preserve"> </w:t>
      </w:r>
      <w:r w:rsidR="0049612B" w:rsidRPr="003F78EB">
        <w:t xml:space="preserve">will </w:t>
      </w:r>
      <w:r w:rsidR="007E0701" w:rsidRPr="003F78EB">
        <w:t xml:space="preserve">contribute to the achievement of </w:t>
      </w:r>
      <w:r w:rsidR="005A15CE" w:rsidRPr="003F78EB">
        <w:t xml:space="preserve">the </w:t>
      </w:r>
      <w:r w:rsidR="007E0701" w:rsidRPr="003F78EB">
        <w:t xml:space="preserve">sustainable development goals in a way that is consistent with their corporate responsibility to respect human rights, could ground the goal of effective partnerships more firmly in international standards. </w:t>
      </w:r>
    </w:p>
    <w:p w:rsidR="007E0701" w:rsidRPr="003F78EB" w:rsidRDefault="00ED28AC" w:rsidP="002F41D7">
      <w:pPr>
        <w:pStyle w:val="SingleTxtG"/>
      </w:pPr>
      <w:r w:rsidRPr="003F78EB">
        <w:t>61.</w:t>
      </w:r>
      <w:r w:rsidRPr="003F78EB">
        <w:tab/>
      </w:r>
      <w:r w:rsidR="006E5AB9" w:rsidRPr="003F78EB">
        <w:t>W</w:t>
      </w:r>
      <w:r w:rsidR="007E0701" w:rsidRPr="003F78EB">
        <w:t xml:space="preserve">hile hundreds of </w:t>
      </w:r>
      <w:r w:rsidR="006E5AB9" w:rsidRPr="003F78EB">
        <w:t xml:space="preserve">public-private </w:t>
      </w:r>
      <w:r w:rsidR="007E0701" w:rsidRPr="003F78EB">
        <w:t>partnerships already exist, as pointed out by the Institute for Human Rights and Business , “we don’t yet have solid evidence or even shared views on what good practice looks like and we are still in the early stages of developing effective tools for evaluating the impacts and results of such partnerships across the board”.</w:t>
      </w:r>
      <w:r w:rsidR="007E0701" w:rsidRPr="003F78EB">
        <w:rPr>
          <w:rStyle w:val="FootnoteReference"/>
        </w:rPr>
        <w:footnoteReference w:id="54"/>
      </w:r>
      <w:r w:rsidR="003A4402" w:rsidRPr="003F78EB">
        <w:t xml:space="preserve"> </w:t>
      </w:r>
      <w:r w:rsidR="007E0701" w:rsidRPr="003F78EB">
        <w:t xml:space="preserve">Initiatives such as that pursued by </w:t>
      </w:r>
      <w:r w:rsidR="000B4176" w:rsidRPr="003F78EB">
        <w:t>the Institute</w:t>
      </w:r>
      <w:r w:rsidR="007E0701" w:rsidRPr="003F78EB">
        <w:rPr>
          <w:rStyle w:val="FootnoteReference"/>
        </w:rPr>
        <w:footnoteReference w:id="55"/>
      </w:r>
      <w:r w:rsidR="007E0701" w:rsidRPr="003F78EB">
        <w:t xml:space="preserve"> to assess and </w:t>
      </w:r>
      <w:r w:rsidR="000B4176" w:rsidRPr="003F78EB">
        <w:t xml:space="preserve">report on </w:t>
      </w:r>
      <w:r w:rsidR="007E0701" w:rsidRPr="003F78EB">
        <w:t xml:space="preserve">how partnerships with the private sector could be made more accountable and consistent with the Guiding Principles and international human rights standards in the post-2015 development context should be encouraged. </w:t>
      </w:r>
    </w:p>
    <w:p w:rsidR="007E0701" w:rsidRPr="003F78EB" w:rsidRDefault="00ED28AC" w:rsidP="002F41D7">
      <w:pPr>
        <w:pStyle w:val="SingleTxtG"/>
      </w:pPr>
      <w:r w:rsidRPr="003F78EB">
        <w:t>62.</w:t>
      </w:r>
      <w:r w:rsidRPr="003F78EB">
        <w:tab/>
      </w:r>
      <w:r w:rsidR="007E0701" w:rsidRPr="003F78EB">
        <w:t xml:space="preserve">The </w:t>
      </w:r>
      <w:r w:rsidR="006E5AB9" w:rsidRPr="003F78EB">
        <w:t>sustainable development g</w:t>
      </w:r>
      <w:r w:rsidR="000B4176" w:rsidRPr="003F78EB">
        <w:t xml:space="preserve">oals </w:t>
      </w:r>
      <w:r w:rsidR="007E0701" w:rsidRPr="003F78EB">
        <w:t xml:space="preserve">should also be strengthened in relation to the critical role of reporting on human rights in the context of sustainability reporting. </w:t>
      </w:r>
      <w:r w:rsidR="00747B28" w:rsidRPr="003F78EB">
        <w:t>I</w:t>
      </w:r>
      <w:r w:rsidR="00E118BB" w:rsidRPr="003F78EB">
        <w:t>n d</w:t>
      </w:r>
      <w:r w:rsidR="007E0701" w:rsidRPr="003F78EB">
        <w:t>raft target</w:t>
      </w:r>
      <w:r w:rsidR="00E03EC2" w:rsidRPr="003F78EB">
        <w:t> </w:t>
      </w:r>
      <w:r w:rsidR="007E0701" w:rsidRPr="003F78EB">
        <w:t xml:space="preserve">12.6 companies, especially large and transnational companies </w:t>
      </w:r>
      <w:r w:rsidR="00E118BB" w:rsidRPr="003F78EB">
        <w:t xml:space="preserve">are encouraged </w:t>
      </w:r>
      <w:r w:rsidR="007E0701" w:rsidRPr="003F78EB">
        <w:t xml:space="preserve">to adopt sustainable practices and to integrate sustainability information into their reporting cycle. </w:t>
      </w:r>
      <w:r w:rsidR="00704FC1" w:rsidRPr="003F78EB">
        <w:t>As set out in the Guiding Principles, a</w:t>
      </w:r>
      <w:r w:rsidR="007E0701" w:rsidRPr="003F78EB">
        <w:t xml:space="preserve">ccounting for how they address human rights impacts provides a key measure of transparency and accountability to individuals or groups who may be impacted and to other relevant stakeholders, including investors. Reporting on human rights impacts and measures </w:t>
      </w:r>
      <w:r w:rsidR="007E0701" w:rsidRPr="003F78EB">
        <w:rPr>
          <w:iCs/>
        </w:rPr>
        <w:t>in a meaningful way</w:t>
      </w:r>
      <w:r w:rsidR="007E0701" w:rsidRPr="003F78EB">
        <w:rPr>
          <w:i/>
        </w:rPr>
        <w:t xml:space="preserve"> </w:t>
      </w:r>
      <w:r w:rsidR="007E0701" w:rsidRPr="003F78EB">
        <w:t xml:space="preserve">would thus be a significant contribution to enhancing sustainability reporting. Adding human rights considerations alongside </w:t>
      </w:r>
      <w:r w:rsidR="00E118BB" w:rsidRPr="003F78EB">
        <w:t xml:space="preserve">the </w:t>
      </w:r>
      <w:r w:rsidR="007E0701" w:rsidRPr="003F78EB">
        <w:t xml:space="preserve">social and environmental is critical. If companies do not report on their potential or actual impacts on the rights of individuals, they could be missing critical social and environmental impacts as well. Thus, adding a reference to the Guiding Principles would contribute to aligning the </w:t>
      </w:r>
      <w:r w:rsidR="006E5AB9" w:rsidRPr="003F78EB">
        <w:rPr>
          <w:szCs w:val="18"/>
        </w:rPr>
        <w:t>g</w:t>
      </w:r>
      <w:r w:rsidR="00747B28" w:rsidRPr="003F78EB">
        <w:rPr>
          <w:szCs w:val="18"/>
        </w:rPr>
        <w:t>oal</w:t>
      </w:r>
      <w:r w:rsidR="007E0701" w:rsidRPr="003F78EB">
        <w:t xml:space="preserve">s with international standards </w:t>
      </w:r>
      <w:r w:rsidR="00747B28" w:rsidRPr="003F78EB">
        <w:t xml:space="preserve">by </w:t>
      </w:r>
      <w:r w:rsidR="007E0701" w:rsidRPr="003F78EB">
        <w:t>promoting meaningful disclosure by companies.</w:t>
      </w:r>
      <w:r w:rsidR="007E0701" w:rsidRPr="003F78EB">
        <w:rPr>
          <w:rStyle w:val="FootnoteReference"/>
        </w:rPr>
        <w:footnoteReference w:id="56"/>
      </w:r>
      <w:r w:rsidR="007E0701" w:rsidRPr="003F78EB">
        <w:t xml:space="preserve"> </w:t>
      </w:r>
    </w:p>
    <w:p w:rsidR="007E0701" w:rsidRPr="003F78EB" w:rsidRDefault="00ED28AC" w:rsidP="002F41D7">
      <w:pPr>
        <w:pStyle w:val="SingleTxtG"/>
      </w:pPr>
      <w:r w:rsidRPr="003F78EB">
        <w:lastRenderedPageBreak/>
        <w:t>63.</w:t>
      </w:r>
      <w:r w:rsidRPr="003F78EB">
        <w:tab/>
      </w:r>
      <w:r w:rsidR="007E0701" w:rsidRPr="003F78EB">
        <w:t xml:space="preserve">The draft </w:t>
      </w:r>
      <w:r w:rsidR="000C79EA" w:rsidRPr="003F78EB">
        <w:rPr>
          <w:szCs w:val="18"/>
        </w:rPr>
        <w:t>g</w:t>
      </w:r>
      <w:r w:rsidR="00747B28" w:rsidRPr="003F78EB">
        <w:rPr>
          <w:szCs w:val="18"/>
        </w:rPr>
        <w:t>oal</w:t>
      </w:r>
      <w:r w:rsidR="007E0701" w:rsidRPr="003F78EB">
        <w:t>s also address the role of public procurement, calling for public procurement practices that are sustainable, in accordance with national policies and priorities (target</w:t>
      </w:r>
      <w:r w:rsidR="00E03EC2" w:rsidRPr="003F78EB">
        <w:t> </w:t>
      </w:r>
      <w:r w:rsidR="007E0701" w:rsidRPr="003F78EB">
        <w:t xml:space="preserve">12.7). Here too, the </w:t>
      </w:r>
      <w:r w:rsidR="000C79EA" w:rsidRPr="003F78EB">
        <w:rPr>
          <w:szCs w:val="18"/>
        </w:rPr>
        <w:t>g</w:t>
      </w:r>
      <w:r w:rsidR="00747B28" w:rsidRPr="003F78EB">
        <w:rPr>
          <w:szCs w:val="18"/>
        </w:rPr>
        <w:t>oal</w:t>
      </w:r>
      <w:r w:rsidR="007E0701" w:rsidRPr="003F78EB">
        <w:t xml:space="preserve">s and their </w:t>
      </w:r>
      <w:r w:rsidR="000C79EA" w:rsidRPr="003F78EB">
        <w:t xml:space="preserve">implementation </w:t>
      </w:r>
      <w:r w:rsidR="007E0701" w:rsidRPr="003F78EB">
        <w:t xml:space="preserve">at </w:t>
      </w:r>
      <w:r w:rsidR="000C79EA" w:rsidRPr="003F78EB">
        <w:t xml:space="preserve">the </w:t>
      </w:r>
      <w:r w:rsidR="007E0701" w:rsidRPr="003F78EB">
        <w:t xml:space="preserve">national level </w:t>
      </w:r>
      <w:r w:rsidR="00D66EB4" w:rsidRPr="003F78EB">
        <w:t xml:space="preserve">should </w:t>
      </w:r>
      <w:r w:rsidR="000C79EA" w:rsidRPr="003F78EB">
        <w:t>be in line</w:t>
      </w:r>
      <w:r w:rsidR="007E0701" w:rsidRPr="003F78EB">
        <w:t xml:space="preserve"> with the Guiding Principles and include the clear expectation that States adopt practices that are not only sustainable but </w:t>
      </w:r>
      <w:r w:rsidR="000C79EA" w:rsidRPr="003F78EB">
        <w:t xml:space="preserve">that </w:t>
      </w:r>
      <w:r w:rsidR="007E0701" w:rsidRPr="003F78EB">
        <w:t>explicitly integrate human rights considerations.</w:t>
      </w:r>
    </w:p>
    <w:p w:rsidR="007E0701" w:rsidRPr="003F78EB" w:rsidRDefault="00ED28AC" w:rsidP="002F41D7">
      <w:pPr>
        <w:pStyle w:val="SingleTxtG"/>
      </w:pPr>
      <w:r w:rsidRPr="003F78EB">
        <w:t>64.</w:t>
      </w:r>
      <w:r w:rsidRPr="003F78EB">
        <w:tab/>
      </w:r>
      <w:r w:rsidR="007E0701" w:rsidRPr="003F78EB">
        <w:t xml:space="preserve">The </w:t>
      </w:r>
      <w:r w:rsidR="00CB20B0" w:rsidRPr="003F78EB">
        <w:rPr>
          <w:szCs w:val="18"/>
        </w:rPr>
        <w:t>g</w:t>
      </w:r>
      <w:r w:rsidR="00747B28" w:rsidRPr="003F78EB">
        <w:rPr>
          <w:szCs w:val="18"/>
        </w:rPr>
        <w:t>oal</w:t>
      </w:r>
      <w:r w:rsidR="007E0701" w:rsidRPr="003F78EB">
        <w:t>s are expected to be adopted in September 2015. The Working Group hopes that the Guiding Principles will be adequately reflected in the final commitments at</w:t>
      </w:r>
      <w:r w:rsidR="00CB20B0" w:rsidRPr="003F78EB">
        <w:t xml:space="preserve"> the</w:t>
      </w:r>
      <w:r w:rsidR="007E0701" w:rsidRPr="003F78EB">
        <w:t xml:space="preserve"> global and national levels. </w:t>
      </w:r>
      <w:r w:rsidR="00747B28" w:rsidRPr="003F78EB">
        <w:t>M</w:t>
      </w:r>
      <w:r w:rsidR="007E0701" w:rsidRPr="003F78EB">
        <w:t xml:space="preserve">uch work remains to be done to solidify and translate </w:t>
      </w:r>
      <w:r w:rsidR="00747B28" w:rsidRPr="003F78EB">
        <w:t xml:space="preserve">the </w:t>
      </w:r>
      <w:r w:rsidR="00CB20B0" w:rsidRPr="003F78EB">
        <w:t>g</w:t>
      </w:r>
      <w:r w:rsidR="007E0701" w:rsidRPr="003F78EB">
        <w:t>oals into action by States and business</w:t>
      </w:r>
      <w:r w:rsidR="00CB20B0" w:rsidRPr="003F78EB">
        <w:t>es and</w:t>
      </w:r>
      <w:r w:rsidR="007E0701" w:rsidRPr="003F78EB">
        <w:t xml:space="preserve"> to ensure that business</w:t>
      </w:r>
      <w:r w:rsidR="00CB20B0" w:rsidRPr="003F78EB">
        <w:t>es</w:t>
      </w:r>
      <w:r w:rsidR="007E0701" w:rsidRPr="003F78EB">
        <w:t xml:space="preserve"> will contribute to, not undermine, inclusive and sustainable development </w:t>
      </w:r>
      <w:r w:rsidR="00CB20B0" w:rsidRPr="003F78EB">
        <w:t>in</w:t>
      </w:r>
      <w:r w:rsidR="00747B28" w:rsidRPr="003F78EB">
        <w:t xml:space="preserve"> </w:t>
      </w:r>
      <w:r w:rsidR="007E0701" w:rsidRPr="003F78EB">
        <w:t>the</w:t>
      </w:r>
      <w:r w:rsidR="00CB20B0" w:rsidRPr="003F78EB">
        <w:t xml:space="preserve"> period beyond </w:t>
      </w:r>
      <w:r w:rsidR="007E0701" w:rsidRPr="003F78EB">
        <w:t xml:space="preserve">2015. The Guiding Principles serve as a framework to guide efforts at </w:t>
      </w:r>
      <w:r w:rsidR="00CB20B0" w:rsidRPr="003F78EB">
        <w:t xml:space="preserve">the </w:t>
      </w:r>
      <w:r w:rsidR="007E0701" w:rsidRPr="003F78EB">
        <w:t>national level in this respect. The Working Group will also dedicate parts of the 2015 Forum on Business and Human Rights</w:t>
      </w:r>
      <w:r w:rsidR="00CB20B0" w:rsidRPr="003F78EB">
        <w:t>,</w:t>
      </w:r>
      <w:r w:rsidR="007E0701" w:rsidRPr="003F78EB">
        <w:t xml:space="preserve"> in November</w:t>
      </w:r>
      <w:r w:rsidR="00CB20B0" w:rsidRPr="003F78EB">
        <w:t>,</w:t>
      </w:r>
      <w:r w:rsidR="007E0701" w:rsidRPr="003F78EB">
        <w:t xml:space="preserve"> to engage key stakeholders in </w:t>
      </w:r>
      <w:r w:rsidR="00CB20B0" w:rsidRPr="003F78EB">
        <w:t xml:space="preserve">a </w:t>
      </w:r>
      <w:r w:rsidR="007E0701" w:rsidRPr="003F78EB">
        <w:t xml:space="preserve">dialogue </w:t>
      </w:r>
      <w:r w:rsidR="00CB20B0" w:rsidRPr="003F78EB">
        <w:t>on</w:t>
      </w:r>
      <w:r w:rsidR="007E0701" w:rsidRPr="003F78EB">
        <w:t xml:space="preserve"> these issues. </w:t>
      </w:r>
    </w:p>
    <w:p w:rsidR="007E0701" w:rsidRPr="003F78EB" w:rsidRDefault="00ED28AC" w:rsidP="00ED28AC">
      <w:pPr>
        <w:pStyle w:val="H23G"/>
      </w:pPr>
      <w:r w:rsidRPr="003F78EB">
        <w:tab/>
      </w:r>
      <w:r w:rsidR="007E0701" w:rsidRPr="003F78EB">
        <w:t>2.</w:t>
      </w:r>
      <w:r w:rsidRPr="003F78EB">
        <w:tab/>
      </w:r>
      <w:r w:rsidR="007E0701" w:rsidRPr="003F78EB">
        <w:t>Financing for sustainable development</w:t>
      </w:r>
    </w:p>
    <w:p w:rsidR="007E0701" w:rsidRPr="003F78EB" w:rsidRDefault="00ED28AC" w:rsidP="002F41D7">
      <w:pPr>
        <w:pStyle w:val="SingleTxtG"/>
      </w:pPr>
      <w:r w:rsidRPr="003F78EB">
        <w:t>65.</w:t>
      </w:r>
      <w:r w:rsidRPr="003F78EB">
        <w:tab/>
      </w:r>
      <w:r w:rsidR="007E0701" w:rsidRPr="003F78EB">
        <w:t>The</w:t>
      </w:r>
      <w:r w:rsidR="0078310E" w:rsidRPr="003F78EB">
        <w:t xml:space="preserve"> Guiding Principles should also be referred to in the context of the</w:t>
      </w:r>
      <w:r w:rsidR="007E0701" w:rsidRPr="003F78EB">
        <w:t xml:space="preserve"> third International Conference on Financing for Development, </w:t>
      </w:r>
      <w:r w:rsidR="00704FC1" w:rsidRPr="003F78EB">
        <w:t xml:space="preserve">to be held from </w:t>
      </w:r>
      <w:r w:rsidR="007E0701" w:rsidRPr="003F78EB">
        <w:t>13</w:t>
      </w:r>
      <w:r w:rsidR="00704FC1" w:rsidRPr="003F78EB">
        <w:t xml:space="preserve"> to </w:t>
      </w:r>
      <w:r w:rsidR="007E0701" w:rsidRPr="003F78EB">
        <w:t xml:space="preserve">16 July 2015, </w:t>
      </w:r>
      <w:r w:rsidR="0078310E" w:rsidRPr="003F78EB">
        <w:t xml:space="preserve">which </w:t>
      </w:r>
      <w:r w:rsidR="007E0701" w:rsidRPr="003F78EB">
        <w:t>is expected to play</w:t>
      </w:r>
      <w:r w:rsidR="00CB20B0" w:rsidRPr="003F78EB">
        <w:t xml:space="preserve"> a key role</w:t>
      </w:r>
      <w:r w:rsidR="007E0701" w:rsidRPr="003F78EB">
        <w:t xml:space="preserve"> </w:t>
      </w:r>
      <w:r w:rsidR="0078310E" w:rsidRPr="003F78EB">
        <w:t xml:space="preserve">in the follow-up to the </w:t>
      </w:r>
      <w:r w:rsidR="007E0701" w:rsidRPr="003F78EB">
        <w:t xml:space="preserve">post-2015 </w:t>
      </w:r>
      <w:r w:rsidR="0078310E" w:rsidRPr="003F78EB">
        <w:t>agenda</w:t>
      </w:r>
      <w:r w:rsidR="007E0701" w:rsidRPr="003F78EB">
        <w:t>.</w:t>
      </w:r>
    </w:p>
    <w:p w:rsidR="007E0701" w:rsidRPr="003F78EB" w:rsidRDefault="00ED28AC" w:rsidP="002F41D7">
      <w:pPr>
        <w:pStyle w:val="SingleTxtG"/>
      </w:pPr>
      <w:r w:rsidRPr="003F78EB">
        <w:t>66.</w:t>
      </w:r>
      <w:r w:rsidRPr="003F78EB">
        <w:tab/>
      </w:r>
      <w:r w:rsidR="007E0701" w:rsidRPr="003F78EB">
        <w:t xml:space="preserve">The </w:t>
      </w:r>
      <w:r w:rsidR="00813190" w:rsidRPr="003F78EB">
        <w:t>z</w:t>
      </w:r>
      <w:r w:rsidR="007E0701" w:rsidRPr="003F78EB">
        <w:t>ero</w:t>
      </w:r>
      <w:r w:rsidR="0078310E" w:rsidRPr="003F78EB">
        <w:t xml:space="preserve"> </w:t>
      </w:r>
      <w:r w:rsidR="007E0701" w:rsidRPr="003F78EB">
        <w:t xml:space="preserve">draft </w:t>
      </w:r>
      <w:r w:rsidR="0078310E" w:rsidRPr="003F78EB">
        <w:t xml:space="preserve">of </w:t>
      </w:r>
      <w:r w:rsidR="007E0701" w:rsidRPr="003F78EB">
        <w:t xml:space="preserve">the outcome document of the </w:t>
      </w:r>
      <w:r w:rsidR="0078310E" w:rsidRPr="003F78EB">
        <w:t xml:space="preserve">above-mentioned </w:t>
      </w:r>
      <w:r w:rsidR="007E0701" w:rsidRPr="003F78EB">
        <w:t xml:space="preserve">conference includes a number of encouraging and important references to </w:t>
      </w:r>
      <w:r w:rsidR="00813190" w:rsidRPr="003F78EB">
        <w:t xml:space="preserve">the </w:t>
      </w:r>
      <w:r w:rsidR="007E0701" w:rsidRPr="003F78EB">
        <w:t>promoti</w:t>
      </w:r>
      <w:r w:rsidR="00813190" w:rsidRPr="003F78EB">
        <w:t>on of</w:t>
      </w:r>
      <w:r w:rsidR="007E0701" w:rsidRPr="003F78EB">
        <w:t xml:space="preserve"> more responsible business conduct in the overall context of financing for development, including the need for business</w:t>
      </w:r>
      <w:r w:rsidR="0078310E" w:rsidRPr="003F78EB">
        <w:t>es</w:t>
      </w:r>
      <w:r w:rsidR="007E0701" w:rsidRPr="003F78EB">
        <w:t xml:space="preserve"> to commit to and apply principles for socially and environmentally responsible investment and business activities; complementary national regulations, including </w:t>
      </w:r>
      <w:r w:rsidR="0078310E" w:rsidRPr="003F78EB">
        <w:t xml:space="preserve">for the </w:t>
      </w:r>
      <w:r w:rsidR="007E0701" w:rsidRPr="003F78EB">
        <w:t>protection of labour rights</w:t>
      </w:r>
      <w:r w:rsidR="0078310E" w:rsidRPr="003F78EB">
        <w:t>,</w:t>
      </w:r>
      <w:r w:rsidR="007E0701" w:rsidRPr="003F78EB">
        <w:t xml:space="preserve"> and environmental and health standards; mandatory integrated reporting for large companies; “coherence checks” </w:t>
      </w:r>
      <w:r w:rsidR="00813190" w:rsidRPr="003F78EB">
        <w:t xml:space="preserve">on the </w:t>
      </w:r>
      <w:r w:rsidR="0078310E" w:rsidRPr="003F78EB">
        <w:t>s</w:t>
      </w:r>
      <w:r w:rsidR="00813190" w:rsidRPr="003F78EB">
        <w:t xml:space="preserve">ustainable </w:t>
      </w:r>
      <w:r w:rsidR="0078310E" w:rsidRPr="003F78EB">
        <w:t>d</w:t>
      </w:r>
      <w:r w:rsidR="00813190" w:rsidRPr="003F78EB">
        <w:t xml:space="preserve">evelopment </w:t>
      </w:r>
      <w:r w:rsidR="0078310E" w:rsidRPr="003F78EB">
        <w:t>g</w:t>
      </w:r>
      <w:r w:rsidR="00813190" w:rsidRPr="003F78EB">
        <w:t xml:space="preserve">oals </w:t>
      </w:r>
      <w:r w:rsidR="007E0701" w:rsidRPr="003F78EB">
        <w:t>by relevant international institutions, private rule-setting bodies</w:t>
      </w:r>
      <w:r w:rsidR="003A4402" w:rsidRPr="003F78EB">
        <w:t xml:space="preserve"> </w:t>
      </w:r>
      <w:r w:rsidR="00704FC1" w:rsidRPr="003F78EB">
        <w:t xml:space="preserve">and </w:t>
      </w:r>
      <w:r w:rsidR="007E0701" w:rsidRPr="003F78EB">
        <w:t>international and national development finance institutions</w:t>
      </w:r>
      <w:r w:rsidR="00704FC1" w:rsidRPr="003F78EB">
        <w:t>, with a view</w:t>
      </w:r>
      <w:r w:rsidR="007E0701" w:rsidRPr="003F78EB">
        <w:t xml:space="preserve"> to align</w:t>
      </w:r>
      <w:r w:rsidR="00704FC1" w:rsidRPr="003F78EB">
        <w:t>ing</w:t>
      </w:r>
      <w:r w:rsidR="007E0701" w:rsidRPr="003F78EB">
        <w:t xml:space="preserve"> their business practices with sustainable development objectives, </w:t>
      </w:r>
      <w:r w:rsidR="00704FC1" w:rsidRPr="003F78EB">
        <w:t xml:space="preserve">inter alia </w:t>
      </w:r>
      <w:r w:rsidR="007E0701" w:rsidRPr="003F78EB">
        <w:t xml:space="preserve">through assessments of their impact on the enjoyment of human rights, including indigenous </w:t>
      </w:r>
      <w:r w:rsidR="003A4402" w:rsidRPr="003F78EB">
        <w:t xml:space="preserve">peoples’ </w:t>
      </w:r>
      <w:r w:rsidR="007E0701" w:rsidRPr="003F78EB">
        <w:t>rights</w:t>
      </w:r>
      <w:r w:rsidR="00704FC1" w:rsidRPr="003F78EB">
        <w:t>;</w:t>
      </w:r>
      <w:r w:rsidR="007E0701" w:rsidRPr="003F78EB">
        <w:t xml:space="preserve"> and progress toward</w:t>
      </w:r>
      <w:r w:rsidR="0078310E" w:rsidRPr="003F78EB">
        <w:t>s</w:t>
      </w:r>
      <w:r w:rsidR="007E0701" w:rsidRPr="003F78EB">
        <w:t xml:space="preserve"> gender equality.</w:t>
      </w:r>
    </w:p>
    <w:p w:rsidR="007E0701" w:rsidRPr="003F78EB" w:rsidRDefault="00ED28AC" w:rsidP="003F78EB">
      <w:pPr>
        <w:pStyle w:val="SingleTxtG"/>
      </w:pPr>
      <w:r w:rsidRPr="003F78EB">
        <w:t>67.</w:t>
      </w:r>
      <w:r w:rsidRPr="003F78EB">
        <w:tab/>
      </w:r>
      <w:r w:rsidR="007E0701" w:rsidRPr="003F78EB">
        <w:t>While all of these references are welcome contributions to a strengthened international governance framework</w:t>
      </w:r>
      <w:r w:rsidR="003A4402" w:rsidRPr="003F78EB">
        <w:t>,</w:t>
      </w:r>
      <w:r w:rsidR="007E0701" w:rsidRPr="003F78EB">
        <w:t xml:space="preserve"> the outcome document should </w:t>
      </w:r>
      <w:r w:rsidR="00EF43AC" w:rsidRPr="003F78EB">
        <w:t xml:space="preserve">be </w:t>
      </w:r>
      <w:r w:rsidR="007E0701" w:rsidRPr="003F78EB">
        <w:t>more fully align</w:t>
      </w:r>
      <w:r w:rsidR="00EF43AC" w:rsidRPr="003F78EB">
        <w:t>ed</w:t>
      </w:r>
      <w:r w:rsidR="007E0701" w:rsidRPr="003F78EB">
        <w:t xml:space="preserve"> with international standards referencing the Guiding Principles. It should reaffirm the clear benchmarks relating to the State duty to protect human rights in the context of business activities, the business responsibility to respect human rights and the need for affected individuals to have access to effective remedies. There should be scope for doing so, </w:t>
      </w:r>
      <w:r w:rsidR="006F6C5C" w:rsidRPr="003F78EB">
        <w:t xml:space="preserve">and a suggested policy idea in </w:t>
      </w:r>
      <w:r w:rsidR="00EF43AC" w:rsidRPr="003F78EB">
        <w:t xml:space="preserve">the </w:t>
      </w:r>
      <w:r w:rsidR="007E0701" w:rsidRPr="003F78EB">
        <w:t>“</w:t>
      </w:r>
      <w:r w:rsidR="00EF43AC" w:rsidRPr="003F78EB">
        <w:t>e</w:t>
      </w:r>
      <w:r w:rsidR="007E0701" w:rsidRPr="003F78EB">
        <w:t xml:space="preserve">lements” paper for the conference, </w:t>
      </w:r>
      <w:r w:rsidR="00EF43AC" w:rsidRPr="003F78EB">
        <w:t xml:space="preserve">contained </w:t>
      </w:r>
      <w:r w:rsidR="007E0701" w:rsidRPr="003F78EB">
        <w:t>under the heading “</w:t>
      </w:r>
      <w:r w:rsidR="00EF43AC" w:rsidRPr="003F78EB">
        <w:t>s</w:t>
      </w:r>
      <w:r w:rsidR="007E0701" w:rsidRPr="003F78EB">
        <w:t>trengthening the sustainable development impact of investment”</w:t>
      </w:r>
      <w:r w:rsidR="00EF43AC" w:rsidRPr="003F78EB">
        <w:t>,</w:t>
      </w:r>
      <w:r w:rsidR="007E0701" w:rsidRPr="003F78EB">
        <w:t xml:space="preserve"> </w:t>
      </w:r>
      <w:r w:rsidR="006F6C5C" w:rsidRPr="003F78EB">
        <w:t>is</w:t>
      </w:r>
      <w:r w:rsidR="007E0701" w:rsidRPr="003F78EB">
        <w:t xml:space="preserve"> </w:t>
      </w:r>
      <w:r w:rsidR="00EF43AC" w:rsidRPr="003F78EB">
        <w:t>to i</w:t>
      </w:r>
      <w:r w:rsidR="007E0701" w:rsidRPr="003F78EB">
        <w:t>mplement the Guiding Principles on Business and Human Rights, core labour standards of the International Labour Organization and relevant environmental standards, with enforcement and accountability mechanisms.</w:t>
      </w:r>
      <w:r w:rsidR="007E0701" w:rsidRPr="003F78EB">
        <w:rPr>
          <w:rStyle w:val="FootnoteReference"/>
        </w:rPr>
        <w:footnoteReference w:id="57"/>
      </w:r>
      <w:r w:rsidR="007E0701" w:rsidRPr="003F78EB">
        <w:t xml:space="preserve"> </w:t>
      </w:r>
    </w:p>
    <w:p w:rsidR="007E0701" w:rsidRPr="003F78EB" w:rsidRDefault="00ED28AC" w:rsidP="002F41D7">
      <w:pPr>
        <w:pStyle w:val="SingleTxtG"/>
      </w:pPr>
      <w:r w:rsidRPr="003F78EB">
        <w:t>68.</w:t>
      </w:r>
      <w:r w:rsidRPr="003F78EB">
        <w:tab/>
      </w:r>
      <w:r w:rsidR="007E0701" w:rsidRPr="003F78EB">
        <w:t>Further improvements could be made by adopting the considerations outlined above with regard to regulatory action and recommendations regarding corporate reporting.</w:t>
      </w:r>
    </w:p>
    <w:p w:rsidR="007E0701" w:rsidRPr="003F78EB" w:rsidRDefault="00ED28AC" w:rsidP="00A237B7">
      <w:pPr>
        <w:pStyle w:val="H1G"/>
      </w:pPr>
      <w:r w:rsidRPr="003F78EB">
        <w:lastRenderedPageBreak/>
        <w:tab/>
      </w:r>
      <w:r w:rsidR="00A237B7" w:rsidRPr="003F78EB">
        <w:t>B.</w:t>
      </w:r>
      <w:r w:rsidRPr="003F78EB">
        <w:tab/>
      </w:r>
      <w:r w:rsidR="007E0701" w:rsidRPr="003F78EB">
        <w:t xml:space="preserve">Beyond the post-2015 framework </w:t>
      </w:r>
    </w:p>
    <w:p w:rsidR="007E0701" w:rsidRPr="003F78EB" w:rsidRDefault="00A237B7" w:rsidP="0008057C">
      <w:pPr>
        <w:pStyle w:val="H23G"/>
      </w:pPr>
      <w:r w:rsidRPr="003F78EB">
        <w:tab/>
        <w:t>1.</w:t>
      </w:r>
      <w:r w:rsidRPr="003F78EB">
        <w:tab/>
      </w:r>
      <w:r w:rsidR="00EF43AC" w:rsidRPr="003F78EB">
        <w:t>R</w:t>
      </w:r>
      <w:r w:rsidR="007E0701" w:rsidRPr="003F78EB">
        <w:t xml:space="preserve">ole of </w:t>
      </w:r>
      <w:r w:rsidR="00FD17CC" w:rsidRPr="003F78EB">
        <w:t xml:space="preserve">the United Nations Development Programme </w:t>
      </w:r>
    </w:p>
    <w:p w:rsidR="007E0701" w:rsidRPr="003F78EB" w:rsidRDefault="00A237B7" w:rsidP="002F41D7">
      <w:pPr>
        <w:pStyle w:val="SingleTxtG"/>
      </w:pPr>
      <w:r w:rsidRPr="003F78EB">
        <w:t>69.</w:t>
      </w:r>
      <w:r w:rsidRPr="003F78EB">
        <w:tab/>
      </w:r>
      <w:r w:rsidR="00686F3F" w:rsidRPr="003F78EB">
        <w:t xml:space="preserve">The </w:t>
      </w:r>
      <w:r w:rsidR="007E0701" w:rsidRPr="003F78EB">
        <w:t>United Nations Development Programme (UNDP) has a particularly important role among agencies in the United Nations system in supporting global efforts towards sustainable development, and can play a key role in scaling up action on the Guiding Principles. UNDP has supported implementation of the Guiding Principles in various ways. The Working Group encourage</w:t>
      </w:r>
      <w:r w:rsidR="00D36302" w:rsidRPr="003F78EB">
        <w:t>s</w:t>
      </w:r>
      <w:r w:rsidR="007E0701" w:rsidRPr="003F78EB">
        <w:t xml:space="preserve"> further efforts along at least two strategically important dimensions.</w:t>
      </w:r>
    </w:p>
    <w:p w:rsidR="007E0701" w:rsidRPr="003F78EB" w:rsidRDefault="00A237B7" w:rsidP="002F41D7">
      <w:pPr>
        <w:pStyle w:val="SingleTxtG"/>
      </w:pPr>
      <w:r w:rsidRPr="003F78EB">
        <w:t>70.</w:t>
      </w:r>
      <w:r w:rsidRPr="003F78EB">
        <w:tab/>
      </w:r>
      <w:r w:rsidR="007E0701" w:rsidRPr="003F78EB">
        <w:t>First, UNDP is uniquely placed to promote national action plans on business and human rights and support the relevant national authorities and national human rights institutions in initiating an open, inclusive process to develop action-oriented plan</w:t>
      </w:r>
      <w:r w:rsidR="00686F3F" w:rsidRPr="003F78EB">
        <w:t>s</w:t>
      </w:r>
      <w:r w:rsidR="007E0701" w:rsidRPr="003F78EB">
        <w:t xml:space="preserve"> by </w:t>
      </w:r>
      <w:r w:rsidR="00EF43AC" w:rsidRPr="003F78EB">
        <w:t>G</w:t>
      </w:r>
      <w:r w:rsidR="007E0701" w:rsidRPr="003F78EB">
        <w:t>overnment</w:t>
      </w:r>
      <w:r w:rsidR="00686F3F" w:rsidRPr="003F78EB">
        <w:t>s</w:t>
      </w:r>
      <w:r w:rsidR="007E0701" w:rsidRPr="003F78EB">
        <w:t xml:space="preserve"> to implement the Guiding Principles. This would be a contribution towards better managing the domestic business and human rights-related challenges and fostering dialogue and cooperation between stakeholder groups, including business and civil society. The Working Group’s guidance for State national action plans</w:t>
      </w:r>
      <w:r w:rsidR="007E0701" w:rsidRPr="003F78EB">
        <w:rPr>
          <w:rStyle w:val="FootnoteReference"/>
        </w:rPr>
        <w:footnoteReference w:id="58"/>
      </w:r>
      <w:r w:rsidR="007E0701" w:rsidRPr="003F78EB">
        <w:t xml:space="preserve"> could provide a starting point, as could the emerging experiences of countries </w:t>
      </w:r>
      <w:r w:rsidR="00EF43AC" w:rsidRPr="003F78EB">
        <w:t xml:space="preserve">in </w:t>
      </w:r>
      <w:r w:rsidR="007E0701" w:rsidRPr="003F78EB">
        <w:t xml:space="preserve">different regions </w:t>
      </w:r>
      <w:r w:rsidR="005252F0" w:rsidRPr="003F78EB">
        <w:t xml:space="preserve">in </w:t>
      </w:r>
      <w:r w:rsidR="007E0701" w:rsidRPr="003F78EB">
        <w:t>tak</w:t>
      </w:r>
      <w:r w:rsidR="005252F0" w:rsidRPr="003F78EB">
        <w:t>ing</w:t>
      </w:r>
      <w:r w:rsidR="007E0701" w:rsidRPr="003F78EB">
        <w:t xml:space="preserve"> steps towards such plans.</w:t>
      </w:r>
      <w:r w:rsidR="007E0701" w:rsidRPr="003F78EB">
        <w:rPr>
          <w:rStyle w:val="FootnoteReference"/>
        </w:rPr>
        <w:footnoteReference w:id="59"/>
      </w:r>
      <w:r w:rsidR="007E0701" w:rsidRPr="003F78EB">
        <w:t xml:space="preserve"> Among </w:t>
      </w:r>
      <w:r w:rsidR="005252F0" w:rsidRPr="003F78EB">
        <w:t xml:space="preserve">specific </w:t>
      </w:r>
      <w:r w:rsidR="007E0701" w:rsidRPr="003F78EB">
        <w:t xml:space="preserve">experiences, the role played by UNDP and OHCHR in supporting national action plan processes in </w:t>
      </w:r>
      <w:r w:rsidR="00EF43AC" w:rsidRPr="003F78EB">
        <w:t xml:space="preserve">Malaysia, </w:t>
      </w:r>
      <w:r w:rsidR="007E0701" w:rsidRPr="003F78EB">
        <w:t>Mozambique</w:t>
      </w:r>
      <w:r w:rsidR="00EF43AC" w:rsidRPr="003F78EB">
        <w:t xml:space="preserve"> and</w:t>
      </w:r>
      <w:r w:rsidR="007E0701" w:rsidRPr="003F78EB">
        <w:t xml:space="preserve"> the Philippines, with the involvement of </w:t>
      </w:r>
      <w:r w:rsidR="00EF43AC" w:rsidRPr="003F78EB">
        <w:t>the G</w:t>
      </w:r>
      <w:r w:rsidR="007E0701" w:rsidRPr="003F78EB">
        <w:t>overnment, national human rights commissions and civil society organizations, could provide important lessons.</w:t>
      </w:r>
    </w:p>
    <w:p w:rsidR="007E0701" w:rsidRPr="003F78EB" w:rsidRDefault="00A237B7" w:rsidP="002F41D7">
      <w:pPr>
        <w:pStyle w:val="SingleTxtG"/>
      </w:pPr>
      <w:r w:rsidRPr="003F78EB">
        <w:t>71.</w:t>
      </w:r>
      <w:r w:rsidRPr="003F78EB">
        <w:tab/>
      </w:r>
      <w:r w:rsidR="00AE687C" w:rsidRPr="003F78EB">
        <w:t>Second</w:t>
      </w:r>
      <w:r w:rsidR="007E0701" w:rsidRPr="003F78EB">
        <w:t>, as a significant number of governance failures stem from conflict over natural resources where business actors are involved, there may be huge potential benefits from better engagement with the business sector. A key entry point in that regard is the UNDP Extractive Industries for Sustainable Development</w:t>
      </w:r>
      <w:r w:rsidR="005A4AC2" w:rsidRPr="003F78EB">
        <w:t xml:space="preserve"> initiative</w:t>
      </w:r>
      <w:r w:rsidR="007E0701" w:rsidRPr="003F78EB">
        <w:t>, through which UNDP supports capacity</w:t>
      </w:r>
      <w:r w:rsidR="005252F0" w:rsidRPr="003F78EB">
        <w:t>-</w:t>
      </w:r>
      <w:r w:rsidR="007E0701" w:rsidRPr="003F78EB">
        <w:t xml:space="preserve">building for national governance of extractive industries, including by facilitating and convening dialogues on extraction with affected populations, especially indigenous peoples, the private sector and Governments. Grounding such engagement in the Guiding Principles would provide clarity on </w:t>
      </w:r>
      <w:r w:rsidR="005252F0" w:rsidRPr="003F78EB">
        <w:t xml:space="preserve">the </w:t>
      </w:r>
      <w:r w:rsidR="007E0701" w:rsidRPr="003F78EB">
        <w:t>roles and responsibilities of duty-bearers in line with international standards and clear benchmarks for expected action by States and business</w:t>
      </w:r>
      <w:r w:rsidR="005A4AC2" w:rsidRPr="003F78EB">
        <w:t>es</w:t>
      </w:r>
      <w:r w:rsidR="007E0701" w:rsidRPr="003F78EB">
        <w:t>. Emerging tools and resources for companies</w:t>
      </w:r>
      <w:r w:rsidR="007E0701" w:rsidRPr="003F78EB">
        <w:rPr>
          <w:rStyle w:val="FootnoteReference"/>
        </w:rPr>
        <w:footnoteReference w:id="60"/>
      </w:r>
      <w:r w:rsidR="007E0701" w:rsidRPr="003F78EB">
        <w:t xml:space="preserve"> </w:t>
      </w:r>
      <w:r w:rsidR="005252F0" w:rsidRPr="003F78EB">
        <w:t>inter alia</w:t>
      </w:r>
      <w:r w:rsidR="007E0701" w:rsidRPr="003F78EB">
        <w:rPr>
          <w:rStyle w:val="FootnoteReference"/>
        </w:rPr>
        <w:footnoteReference w:id="61"/>
      </w:r>
      <w:r w:rsidR="007E0701" w:rsidRPr="003F78EB">
        <w:t xml:space="preserve"> provide </w:t>
      </w:r>
      <w:r w:rsidR="005252F0" w:rsidRPr="003F78EB">
        <w:t>specific</w:t>
      </w:r>
      <w:r w:rsidR="007E0701" w:rsidRPr="003F78EB">
        <w:t xml:space="preserve"> practical guidance</w:t>
      </w:r>
      <w:r w:rsidR="005252F0" w:rsidRPr="003F78EB">
        <w:t xml:space="preserve"> which,</w:t>
      </w:r>
      <w:r w:rsidR="007E0701" w:rsidRPr="003F78EB">
        <w:t xml:space="preserve"> aligned with the Guiding Principles </w:t>
      </w:r>
      <w:r w:rsidR="00D36302" w:rsidRPr="003F78EB">
        <w:t xml:space="preserve">could </w:t>
      </w:r>
      <w:r w:rsidR="007E0701" w:rsidRPr="003F78EB">
        <w:t>help support such engagement.</w:t>
      </w:r>
      <w:r w:rsidR="007E0701" w:rsidRPr="003F78EB">
        <w:rPr>
          <w:rStyle w:val="FootnoteReference"/>
        </w:rPr>
        <w:footnoteReference w:id="62"/>
      </w:r>
    </w:p>
    <w:p w:rsidR="007E0701" w:rsidRPr="003F78EB" w:rsidRDefault="00A237B7" w:rsidP="00A237B7">
      <w:pPr>
        <w:pStyle w:val="H23G"/>
      </w:pPr>
      <w:r w:rsidRPr="003F78EB">
        <w:tab/>
        <w:t>2.</w:t>
      </w:r>
      <w:r w:rsidRPr="003F78EB">
        <w:tab/>
      </w:r>
      <w:r w:rsidR="007E0701" w:rsidRPr="003F78EB">
        <w:t>Promoting regional dialogue on the Guiding Principles</w:t>
      </w:r>
    </w:p>
    <w:p w:rsidR="007E0701" w:rsidRPr="003F78EB" w:rsidRDefault="00A237B7" w:rsidP="002F41D7">
      <w:pPr>
        <w:pStyle w:val="SingleTxtG"/>
      </w:pPr>
      <w:r w:rsidRPr="003F78EB">
        <w:t>72.</w:t>
      </w:r>
      <w:r w:rsidRPr="003F78EB">
        <w:tab/>
      </w:r>
      <w:r w:rsidR="007E0701" w:rsidRPr="003F78EB">
        <w:t xml:space="preserve">UNDP has also played an important role in the organization of the regional forums on business and human rights convened by the Working Group to engage stakeholders in various regions </w:t>
      </w:r>
      <w:r w:rsidR="00365FAC" w:rsidRPr="003F78EB">
        <w:t>with a view</w:t>
      </w:r>
      <w:r w:rsidR="007E0701" w:rsidRPr="003F78EB">
        <w:t xml:space="preserve"> to promot</w:t>
      </w:r>
      <w:r w:rsidR="00365FAC" w:rsidRPr="003F78EB">
        <w:t>ing</w:t>
      </w:r>
      <w:r w:rsidR="007E0701" w:rsidRPr="003F78EB">
        <w:t xml:space="preserve"> implementation of the Guiding Principles </w:t>
      </w:r>
      <w:r w:rsidR="005A4AC2" w:rsidRPr="003F78EB">
        <w:t xml:space="preserve">in a </w:t>
      </w:r>
      <w:r w:rsidR="005A4AC2" w:rsidRPr="003F78EB">
        <w:lastRenderedPageBreak/>
        <w:t>manner that</w:t>
      </w:r>
      <w:r w:rsidR="00370A97" w:rsidRPr="003F78EB">
        <w:t xml:space="preserve"> is </w:t>
      </w:r>
      <w:r w:rsidR="007E0701" w:rsidRPr="003F78EB">
        <w:t xml:space="preserve">better grounded in local realities: UNDP co-organized the Latin America and </w:t>
      </w:r>
      <w:r w:rsidR="005A4AC2" w:rsidRPr="003F78EB">
        <w:t xml:space="preserve">the </w:t>
      </w:r>
      <w:r w:rsidR="007E0701" w:rsidRPr="003F78EB">
        <w:t xml:space="preserve">Caribbean </w:t>
      </w:r>
      <w:r w:rsidR="001F3206" w:rsidRPr="003F78EB">
        <w:t>Regional Forum</w:t>
      </w:r>
      <w:r w:rsidR="005A4AC2" w:rsidRPr="003F78EB">
        <w:t>, held in Medellin, Colombia, from 28 to 30 August</w:t>
      </w:r>
      <w:r w:rsidR="007E0701" w:rsidRPr="003F78EB">
        <w:t xml:space="preserve"> 2013</w:t>
      </w:r>
      <w:r w:rsidR="005A4AC2" w:rsidRPr="003F78EB">
        <w:t>,</w:t>
      </w:r>
      <w:r w:rsidR="007E0701" w:rsidRPr="003F78EB">
        <w:t xml:space="preserve"> and supported the </w:t>
      </w:r>
      <w:r w:rsidR="001F3206" w:rsidRPr="003F78EB">
        <w:t xml:space="preserve">African </w:t>
      </w:r>
      <w:r w:rsidR="00370A97" w:rsidRPr="003F78EB">
        <w:t>R</w:t>
      </w:r>
      <w:r w:rsidR="007E0701" w:rsidRPr="003F78EB">
        <w:t xml:space="preserve">egional </w:t>
      </w:r>
      <w:r w:rsidR="00370A97" w:rsidRPr="003F78EB">
        <w:t>F</w:t>
      </w:r>
      <w:r w:rsidR="007E0701" w:rsidRPr="003F78EB">
        <w:t>orum</w:t>
      </w:r>
      <w:r w:rsidR="005A4AC2" w:rsidRPr="003F78EB">
        <w:t xml:space="preserve">, held </w:t>
      </w:r>
      <w:r w:rsidR="007E0701" w:rsidRPr="003F78EB">
        <w:t>in</w:t>
      </w:r>
      <w:r w:rsidR="005A4AC2" w:rsidRPr="003F78EB">
        <w:t xml:space="preserve"> Addis Ababa from 16 to 18 September</w:t>
      </w:r>
      <w:r w:rsidR="007E0701" w:rsidRPr="003F78EB">
        <w:t xml:space="preserve"> 2014.</w:t>
      </w:r>
      <w:r w:rsidR="007E0701" w:rsidRPr="003F78EB">
        <w:rPr>
          <w:rStyle w:val="FootnoteReference"/>
        </w:rPr>
        <w:footnoteReference w:id="63"/>
      </w:r>
      <w:r w:rsidR="007E0701" w:rsidRPr="003F78EB">
        <w:t xml:space="preserve"> </w:t>
      </w:r>
    </w:p>
    <w:p w:rsidR="007E0701" w:rsidRPr="003F78EB" w:rsidRDefault="00A237B7" w:rsidP="002F41D7">
      <w:pPr>
        <w:pStyle w:val="SingleTxtG"/>
      </w:pPr>
      <w:r w:rsidRPr="003F78EB">
        <w:t>73.</w:t>
      </w:r>
      <w:r w:rsidRPr="003F78EB">
        <w:tab/>
      </w:r>
      <w:r w:rsidR="007E0701" w:rsidRPr="003F78EB">
        <w:t xml:space="preserve">As highlighted in the report </w:t>
      </w:r>
      <w:r w:rsidR="005A4AC2" w:rsidRPr="003F78EB">
        <w:t>of the Secretar</w:t>
      </w:r>
      <w:r w:rsidR="00180787" w:rsidRPr="003F78EB">
        <w:t>y</w:t>
      </w:r>
      <w:r w:rsidR="005A4AC2" w:rsidRPr="003F78EB">
        <w:t xml:space="preserve">-General </w:t>
      </w:r>
      <w:r w:rsidR="007E0701" w:rsidRPr="003F78EB">
        <w:t>on the</w:t>
      </w:r>
      <w:r w:rsidR="005A4AC2" w:rsidRPr="003F78EB">
        <w:t xml:space="preserve"> contribution of the</w:t>
      </w:r>
      <w:r w:rsidR="007E0701" w:rsidRPr="003F78EB">
        <w:t xml:space="preserve"> United Nations system </w:t>
      </w:r>
      <w:r w:rsidR="005A4AC2" w:rsidRPr="003F78EB">
        <w:t>to the advancement of the</w:t>
      </w:r>
      <w:r w:rsidR="007E0701" w:rsidRPr="003F78EB">
        <w:t xml:space="preserve"> business and human rights</w:t>
      </w:r>
      <w:r w:rsidR="005A4AC2" w:rsidRPr="003F78EB">
        <w:t xml:space="preserve"> agenda</w:t>
      </w:r>
      <w:r w:rsidR="007E0701" w:rsidRPr="003F78EB">
        <w:t>, the Guiding Principles can also contribute to the activities of United Nations regional commissions focused on guidance, capacity-building and technical cooperation on economic and social policy involving Member States and other stakeholders in the respective regions</w:t>
      </w:r>
      <w:r w:rsidR="005A4AC2" w:rsidRPr="003F78EB">
        <w:t xml:space="preserve"> </w:t>
      </w:r>
      <w:r w:rsidR="005A4AC2" w:rsidRPr="003F78EB">
        <w:rPr>
          <w:szCs w:val="18"/>
        </w:rPr>
        <w:t>(see A/HRC/21/21</w:t>
      </w:r>
      <w:r w:rsidR="00FD6FDA" w:rsidRPr="003F78EB">
        <w:rPr>
          <w:szCs w:val="18"/>
        </w:rPr>
        <w:t xml:space="preserve"> and Corr.1</w:t>
      </w:r>
      <w:r w:rsidR="005A4AC2" w:rsidRPr="003F78EB">
        <w:rPr>
          <w:szCs w:val="18"/>
        </w:rPr>
        <w:t>, para. 41)</w:t>
      </w:r>
      <w:r w:rsidR="007E0701" w:rsidRPr="003F78EB">
        <w:t>.</w:t>
      </w:r>
      <w:r w:rsidR="003A4402" w:rsidRPr="003F78EB">
        <w:t xml:space="preserve"> </w:t>
      </w:r>
    </w:p>
    <w:p w:rsidR="007E0701" w:rsidRPr="003F78EB" w:rsidRDefault="00A237B7" w:rsidP="002F41D7">
      <w:pPr>
        <w:pStyle w:val="SingleTxtG"/>
      </w:pPr>
      <w:r w:rsidRPr="003F78EB">
        <w:t>74.</w:t>
      </w:r>
      <w:r w:rsidRPr="003F78EB">
        <w:tab/>
      </w:r>
      <w:r w:rsidR="007E0701" w:rsidRPr="003F78EB">
        <w:t xml:space="preserve">A welcome contribution </w:t>
      </w:r>
      <w:r w:rsidR="00180787" w:rsidRPr="003F78EB">
        <w:t>has been</w:t>
      </w:r>
      <w:r w:rsidR="007E0701" w:rsidRPr="003F78EB">
        <w:t xml:space="preserve"> the support </w:t>
      </w:r>
      <w:r w:rsidR="005A4AC2" w:rsidRPr="003F78EB">
        <w:t>provided by</w:t>
      </w:r>
      <w:r w:rsidR="007E0701" w:rsidRPr="003F78EB">
        <w:t xml:space="preserve"> the Economic Commission for Africa (ECA) in the organization of the </w:t>
      </w:r>
      <w:r w:rsidR="00180787" w:rsidRPr="003F78EB">
        <w:t xml:space="preserve">above-mentioned </w:t>
      </w:r>
      <w:r w:rsidR="007E0701" w:rsidRPr="003F78EB">
        <w:t xml:space="preserve">African </w:t>
      </w:r>
      <w:r w:rsidR="00180787" w:rsidRPr="003F78EB">
        <w:t>R</w:t>
      </w:r>
      <w:r w:rsidR="007E0701" w:rsidRPr="003F78EB">
        <w:t xml:space="preserve">egional </w:t>
      </w:r>
      <w:r w:rsidR="00180787" w:rsidRPr="003F78EB">
        <w:t>F</w:t>
      </w:r>
      <w:r w:rsidR="007E0701" w:rsidRPr="003F78EB">
        <w:t>orum. During the Forum</w:t>
      </w:r>
      <w:r w:rsidR="00180787" w:rsidRPr="003F78EB">
        <w:t>,</w:t>
      </w:r>
      <w:r w:rsidR="007E0701" w:rsidRPr="003F78EB">
        <w:t xml:space="preserve"> ECA stated that the Guiding Principles provide</w:t>
      </w:r>
      <w:r w:rsidR="002A3E3F" w:rsidRPr="003F78EB">
        <w:t>d</w:t>
      </w:r>
      <w:r w:rsidR="007E0701" w:rsidRPr="003F78EB">
        <w:t xml:space="preserve"> a critical reference for </w:t>
      </w:r>
      <w:r w:rsidR="00180787" w:rsidRPr="003F78EB">
        <w:t xml:space="preserve">a </w:t>
      </w:r>
      <w:r w:rsidR="007E0701" w:rsidRPr="003F78EB">
        <w:t>human rights</w:t>
      </w:r>
      <w:r w:rsidR="002A3E3F" w:rsidRPr="003F78EB">
        <w:t>-</w:t>
      </w:r>
      <w:r w:rsidR="007E0701" w:rsidRPr="003F78EB">
        <w:t xml:space="preserve">based approach to development, </w:t>
      </w:r>
      <w:r w:rsidR="00180787" w:rsidRPr="003F78EB">
        <w:t>and that</w:t>
      </w:r>
      <w:r w:rsidR="007E0701" w:rsidRPr="003F78EB">
        <w:t xml:space="preserve"> the pursuit of human rights </w:t>
      </w:r>
      <w:r w:rsidR="00DE25A4" w:rsidRPr="003F78EB">
        <w:t xml:space="preserve">was </w:t>
      </w:r>
      <w:r w:rsidR="007E0701" w:rsidRPr="003F78EB">
        <w:t>a social and economic necessity for inclusive and sustainable development and cohesive societies</w:t>
      </w:r>
      <w:r w:rsidR="00180787" w:rsidRPr="003F78EB">
        <w:t xml:space="preserve"> (s</w:t>
      </w:r>
      <w:r w:rsidR="00180787" w:rsidRPr="003F78EB">
        <w:rPr>
          <w:szCs w:val="18"/>
        </w:rPr>
        <w:t>ee A/HRC/29/28/Add.2, para. 13</w:t>
      </w:r>
      <w:r w:rsidR="00180787" w:rsidRPr="003F78EB">
        <w:t>)</w:t>
      </w:r>
      <w:r w:rsidR="007E0701" w:rsidRPr="003F78EB">
        <w:t xml:space="preserve">. </w:t>
      </w:r>
      <w:r w:rsidR="00180787" w:rsidRPr="003F78EB">
        <w:t xml:space="preserve">Other </w:t>
      </w:r>
      <w:r w:rsidR="007E0701" w:rsidRPr="003F78EB">
        <w:t xml:space="preserve">United Nations </w:t>
      </w:r>
      <w:r w:rsidR="00180787" w:rsidRPr="003F78EB">
        <w:t xml:space="preserve">regional </w:t>
      </w:r>
      <w:r w:rsidR="007E0701" w:rsidRPr="003F78EB">
        <w:t>commissions could usefully play similar roles.</w:t>
      </w:r>
    </w:p>
    <w:p w:rsidR="007E0701" w:rsidRPr="003F78EB" w:rsidRDefault="00A237B7" w:rsidP="002F41D7">
      <w:pPr>
        <w:pStyle w:val="SingleTxtG"/>
      </w:pPr>
      <w:r w:rsidRPr="003F78EB">
        <w:t>75.</w:t>
      </w:r>
      <w:r w:rsidRPr="003F78EB">
        <w:tab/>
      </w:r>
      <w:r w:rsidR="007E0701" w:rsidRPr="003F78EB">
        <w:t xml:space="preserve">With regard to </w:t>
      </w:r>
      <w:r w:rsidR="002A3E3F" w:rsidRPr="003F78EB">
        <w:t xml:space="preserve">the </w:t>
      </w:r>
      <w:r w:rsidR="007E0701" w:rsidRPr="003F78EB">
        <w:t>integration of the Guiding Principles in regional development</w:t>
      </w:r>
      <w:r w:rsidR="002A3E3F" w:rsidRPr="003F78EB">
        <w:t>-</w:t>
      </w:r>
      <w:r w:rsidR="007E0701" w:rsidRPr="003F78EB">
        <w:t xml:space="preserve">related initiatives, </w:t>
      </w:r>
      <w:r w:rsidR="002A3E3F" w:rsidRPr="003F78EB">
        <w:t>the</w:t>
      </w:r>
      <w:r w:rsidR="007E0701" w:rsidRPr="003F78EB">
        <w:t xml:space="preserve"> aforementioned contribution </w:t>
      </w:r>
      <w:r w:rsidR="002A3E3F" w:rsidRPr="003F78EB">
        <w:t xml:space="preserve">of ECA </w:t>
      </w:r>
      <w:r w:rsidR="007E0701" w:rsidRPr="003F78EB">
        <w:t xml:space="preserve">to the African Mining Vision through the African Minerals Development Centre provides a good example. The efforts to mainstream human rights and the Guiding Principles in the extractive sector through </w:t>
      </w:r>
      <w:r w:rsidR="002A3E3F" w:rsidRPr="003F78EB">
        <w:t xml:space="preserve">the </w:t>
      </w:r>
      <w:r w:rsidR="007E0701" w:rsidRPr="003F78EB">
        <w:t>design of national mineral policies are encouraging. Creating links with other efforts aimed at promoting development of national action plans on business and human rights could build further synergies and coherence.</w:t>
      </w:r>
      <w:r w:rsidR="003A4402" w:rsidRPr="003F78EB">
        <w:t xml:space="preserve"> </w:t>
      </w:r>
    </w:p>
    <w:p w:rsidR="007E0701" w:rsidRPr="003F78EB" w:rsidRDefault="00A237B7" w:rsidP="0008057C">
      <w:pPr>
        <w:pStyle w:val="H23G"/>
      </w:pPr>
      <w:r w:rsidRPr="003F78EB">
        <w:tab/>
        <w:t>3.</w:t>
      </w:r>
      <w:r w:rsidRPr="003F78EB">
        <w:tab/>
      </w:r>
      <w:r w:rsidR="007E0701" w:rsidRPr="003F78EB">
        <w:t>Engaging small and medium</w:t>
      </w:r>
      <w:r w:rsidR="0008057C" w:rsidRPr="003F78EB">
        <w:t>-</w:t>
      </w:r>
      <w:r w:rsidR="007E0701" w:rsidRPr="003F78EB">
        <w:t>sized enterprises</w:t>
      </w:r>
    </w:p>
    <w:p w:rsidR="007E0701" w:rsidRPr="003F78EB" w:rsidRDefault="00A237B7" w:rsidP="002F41D7">
      <w:pPr>
        <w:pStyle w:val="SingleTxtG"/>
      </w:pPr>
      <w:r w:rsidRPr="003F78EB">
        <w:t>76.</w:t>
      </w:r>
      <w:r w:rsidRPr="003F78EB">
        <w:tab/>
      </w:r>
      <w:r w:rsidR="007E0701" w:rsidRPr="003F78EB">
        <w:t>While small and medium</w:t>
      </w:r>
      <w:r w:rsidR="002A3E3F" w:rsidRPr="003F78EB">
        <w:t>-</w:t>
      </w:r>
      <w:r w:rsidR="007E0701" w:rsidRPr="003F78EB">
        <w:t>sized enterprises make up the vast majority of the world’s companies, they have been given considerably less attention in the global business and human rights debate</w:t>
      </w:r>
      <w:r w:rsidR="0008057C" w:rsidRPr="003F78EB">
        <w:t xml:space="preserve">, </w:t>
      </w:r>
      <w:r w:rsidR="007E0701" w:rsidRPr="003F78EB">
        <w:t xml:space="preserve">in spite of the </w:t>
      </w:r>
      <w:r w:rsidR="0008057C" w:rsidRPr="003F78EB">
        <w:t xml:space="preserve">fact </w:t>
      </w:r>
      <w:r w:rsidR="007E0701" w:rsidRPr="003F78EB">
        <w:t xml:space="preserve">that </w:t>
      </w:r>
      <w:r w:rsidR="0008057C" w:rsidRPr="003F78EB">
        <w:t>such enterprises could</w:t>
      </w:r>
      <w:r w:rsidR="007E0701" w:rsidRPr="003F78EB">
        <w:t xml:space="preserve"> </w:t>
      </w:r>
      <w:r w:rsidR="0008057C" w:rsidRPr="003F78EB">
        <w:t>affe</w:t>
      </w:r>
      <w:r w:rsidR="007E0701" w:rsidRPr="003F78EB">
        <w:t xml:space="preserve">ct human rights </w:t>
      </w:r>
      <w:r w:rsidR="002A3E3F" w:rsidRPr="003F78EB">
        <w:t xml:space="preserve">in the same way </w:t>
      </w:r>
      <w:r w:rsidR="007E0701" w:rsidRPr="003F78EB">
        <w:t>as transnational corporations</w:t>
      </w:r>
      <w:r w:rsidR="0008057C" w:rsidRPr="003F78EB">
        <w:t xml:space="preserve"> do</w:t>
      </w:r>
      <w:r w:rsidR="007E0701" w:rsidRPr="003F78EB">
        <w:t xml:space="preserve"> and are </w:t>
      </w:r>
      <w:r w:rsidR="0008057C" w:rsidRPr="003F78EB">
        <w:t xml:space="preserve">less </w:t>
      </w:r>
      <w:r w:rsidR="007E0701" w:rsidRPr="003F78EB">
        <w:t xml:space="preserve">often subject to the same level of scrutiny. </w:t>
      </w:r>
    </w:p>
    <w:p w:rsidR="007E0701" w:rsidRPr="003F78EB" w:rsidRDefault="00A237B7" w:rsidP="002F41D7">
      <w:pPr>
        <w:pStyle w:val="SingleTxtG"/>
      </w:pPr>
      <w:r w:rsidRPr="003F78EB">
        <w:t>77.</w:t>
      </w:r>
      <w:r w:rsidRPr="003F78EB">
        <w:tab/>
      </w:r>
      <w:r w:rsidR="007E0701" w:rsidRPr="003F78EB">
        <w:t xml:space="preserve">The United Nations Industrial Development Organization (UNIDO) could play an important role in supporting outreach to </w:t>
      </w:r>
      <w:r w:rsidR="0008057C" w:rsidRPr="003F78EB">
        <w:t>small and medium-sized enterprises</w:t>
      </w:r>
      <w:r w:rsidR="007E0701" w:rsidRPr="003F78EB">
        <w:t xml:space="preserve">. A starting point would be to embed the Guiding Principles across its work, especially </w:t>
      </w:r>
      <w:r w:rsidR="0008057C" w:rsidRPr="003F78EB">
        <w:t>in</w:t>
      </w:r>
      <w:r w:rsidR="007E0701" w:rsidRPr="003F78EB">
        <w:t xml:space="preserve"> the context of its </w:t>
      </w:r>
      <w:r w:rsidR="0008057C" w:rsidRPr="003F78EB">
        <w:t xml:space="preserve">corporate social responsibility </w:t>
      </w:r>
      <w:r w:rsidR="007E0701" w:rsidRPr="003F78EB">
        <w:t>programme</w:t>
      </w:r>
      <w:r w:rsidR="00DE25A4" w:rsidRPr="003F78EB">
        <w:t xml:space="preserve"> </w:t>
      </w:r>
      <w:r w:rsidR="002A3E3F" w:rsidRPr="003F78EB">
        <w:t xml:space="preserve">(but not </w:t>
      </w:r>
      <w:r w:rsidR="0008057C" w:rsidRPr="003F78EB">
        <w:t>only</w:t>
      </w:r>
      <w:r w:rsidR="002A3E3F" w:rsidRPr="003F78EB">
        <w:t>)</w:t>
      </w:r>
      <w:r w:rsidR="007E0701" w:rsidRPr="003F78EB">
        <w:t>.</w:t>
      </w:r>
      <w:r w:rsidR="007E0701" w:rsidRPr="003F78EB">
        <w:rPr>
          <w:rStyle w:val="FootnoteReference"/>
        </w:rPr>
        <w:footnoteReference w:id="64"/>
      </w:r>
      <w:r w:rsidR="007E0701" w:rsidRPr="003F78EB">
        <w:t xml:space="preserve"> </w:t>
      </w:r>
      <w:r w:rsidR="002A3E3F" w:rsidRPr="003F78EB">
        <w:t xml:space="preserve">The work of </w:t>
      </w:r>
      <w:r w:rsidR="007E0701" w:rsidRPr="003F78EB">
        <w:t xml:space="preserve">UNCTAD on global value chains provides yet another entry point. </w:t>
      </w:r>
      <w:r w:rsidR="002A3E3F" w:rsidRPr="003F78EB">
        <w:t>E</w:t>
      </w:r>
      <w:r w:rsidR="007E0701" w:rsidRPr="003F78EB">
        <w:t>xisting tools and research could provide useful resources for aligning such support and engagement with the Guiding Principles.</w:t>
      </w:r>
      <w:r w:rsidR="007E0701" w:rsidRPr="003F78EB">
        <w:rPr>
          <w:rStyle w:val="FootnoteReference"/>
        </w:rPr>
        <w:footnoteReference w:id="65"/>
      </w:r>
    </w:p>
    <w:p w:rsidR="007E0701" w:rsidRPr="003F78EB" w:rsidRDefault="00A237B7" w:rsidP="002F41D7">
      <w:pPr>
        <w:pStyle w:val="SingleTxtG"/>
      </w:pPr>
      <w:r w:rsidRPr="003F78EB">
        <w:t>78.</w:t>
      </w:r>
      <w:r w:rsidRPr="003F78EB">
        <w:tab/>
      </w:r>
      <w:r w:rsidR="007E0701" w:rsidRPr="003F78EB">
        <w:t xml:space="preserve">Another highly complex challenge, also relevant in the discussion on linking the development and business and human rights agenda, is to promote protection and respect </w:t>
      </w:r>
      <w:r w:rsidR="007E0701" w:rsidRPr="003F78EB">
        <w:lastRenderedPageBreak/>
        <w:t xml:space="preserve">for human rights in the informal sector. This was identified as a key issue in discussions at the African </w:t>
      </w:r>
      <w:r w:rsidR="0008057C" w:rsidRPr="003F78EB">
        <w:t>R</w:t>
      </w:r>
      <w:r w:rsidR="007E0701" w:rsidRPr="003F78EB">
        <w:t xml:space="preserve">egional </w:t>
      </w:r>
      <w:r w:rsidR="0008057C" w:rsidRPr="003F78EB">
        <w:t>F</w:t>
      </w:r>
      <w:r w:rsidR="007E0701" w:rsidRPr="003F78EB">
        <w:t>orum</w:t>
      </w:r>
      <w:r w:rsidR="0008057C" w:rsidRPr="003F78EB">
        <w:t xml:space="preserve">, </w:t>
      </w:r>
      <w:r w:rsidR="007E0701" w:rsidRPr="003F78EB">
        <w:t xml:space="preserve">one that needs </w:t>
      </w:r>
      <w:r w:rsidR="0008057C" w:rsidRPr="003F78EB">
        <w:t xml:space="preserve">to be </w:t>
      </w:r>
      <w:r w:rsidR="007E0701" w:rsidRPr="003F78EB">
        <w:t>discuss</w:t>
      </w:r>
      <w:r w:rsidR="0008057C" w:rsidRPr="003F78EB">
        <w:t>ed further</w:t>
      </w:r>
      <w:r w:rsidR="007E0701" w:rsidRPr="003F78EB">
        <w:t xml:space="preserve"> among all stakeholders.</w:t>
      </w:r>
    </w:p>
    <w:p w:rsidR="007E0701" w:rsidRPr="003F78EB" w:rsidRDefault="00A237B7" w:rsidP="00A237B7">
      <w:pPr>
        <w:pStyle w:val="HChG"/>
      </w:pPr>
      <w:r w:rsidRPr="003F78EB">
        <w:tab/>
        <w:t>V.</w:t>
      </w:r>
      <w:r w:rsidRPr="003F78EB">
        <w:tab/>
      </w:r>
      <w:r w:rsidR="007E0701" w:rsidRPr="003F78EB">
        <w:t>United Nations partnerships with the private sector</w:t>
      </w:r>
    </w:p>
    <w:p w:rsidR="007E0701" w:rsidRPr="003F78EB" w:rsidRDefault="00A237B7" w:rsidP="00D66EB4">
      <w:pPr>
        <w:pStyle w:val="SingleTxtG"/>
      </w:pPr>
      <w:r w:rsidRPr="003F78EB">
        <w:t>79.</w:t>
      </w:r>
      <w:r w:rsidRPr="003F78EB">
        <w:tab/>
      </w:r>
      <w:r w:rsidR="007E0701" w:rsidRPr="003F78EB">
        <w:t xml:space="preserve">Some final observations relate to the important role of United Nations platforms for partnerships with </w:t>
      </w:r>
      <w:r w:rsidR="00D66EB4" w:rsidRPr="003F78EB">
        <w:t>private</w:t>
      </w:r>
      <w:r w:rsidR="007E0701" w:rsidRPr="003F78EB">
        <w:t xml:space="preserve"> sector that already support </w:t>
      </w:r>
      <w:r w:rsidR="00FD6FDA" w:rsidRPr="003F78EB">
        <w:t xml:space="preserve">the </w:t>
      </w:r>
      <w:r w:rsidR="007E0701" w:rsidRPr="003F78EB">
        <w:t xml:space="preserve">dissemination of the Guiding Principles. </w:t>
      </w:r>
    </w:p>
    <w:p w:rsidR="007E0701" w:rsidRPr="003F78EB" w:rsidRDefault="00A237B7" w:rsidP="002F41D7">
      <w:pPr>
        <w:pStyle w:val="SingleTxtG"/>
      </w:pPr>
      <w:r w:rsidRPr="003F78EB">
        <w:t>80.</w:t>
      </w:r>
      <w:r w:rsidRPr="003F78EB">
        <w:tab/>
      </w:r>
      <w:r w:rsidR="007E0701" w:rsidRPr="003F78EB">
        <w:t>The contributions of the Global Compact</w:t>
      </w:r>
      <w:r w:rsidR="0008057C" w:rsidRPr="003F78EB">
        <w:t xml:space="preserve"> </w:t>
      </w:r>
      <w:r w:rsidR="007E0701" w:rsidRPr="003F78EB">
        <w:t xml:space="preserve">and </w:t>
      </w:r>
      <w:r w:rsidR="002A3E3F" w:rsidRPr="003F78EB">
        <w:t xml:space="preserve">the </w:t>
      </w:r>
      <w:r w:rsidR="007E0701" w:rsidRPr="003F78EB">
        <w:t>UNEP</w:t>
      </w:r>
      <w:r w:rsidR="002A3E3F" w:rsidRPr="003F78EB">
        <w:t xml:space="preserve"> </w:t>
      </w:r>
      <w:r w:rsidR="007E0701" w:rsidRPr="003F78EB">
        <w:t>Finance Initiative</w:t>
      </w:r>
      <w:r w:rsidR="00F86A72" w:rsidRPr="003F78EB">
        <w:t xml:space="preserve"> </w:t>
      </w:r>
      <w:r w:rsidR="007E0701" w:rsidRPr="003F78EB">
        <w:t>are especially critical for addressing the strategic challenges</w:t>
      </w:r>
      <w:r w:rsidR="00075E17" w:rsidRPr="003F78EB">
        <w:t xml:space="preserve"> set out below.</w:t>
      </w:r>
      <w:r w:rsidR="007E0701" w:rsidRPr="003F78EB">
        <w:t xml:space="preserve"> </w:t>
      </w:r>
    </w:p>
    <w:p w:rsidR="007E0701" w:rsidRPr="003F78EB" w:rsidRDefault="00262F3D" w:rsidP="003F78EB">
      <w:pPr>
        <w:pStyle w:val="H1G"/>
        <w:jc w:val="both"/>
      </w:pPr>
      <w:r w:rsidRPr="003F78EB">
        <w:tab/>
      </w:r>
      <w:r w:rsidR="00E26728" w:rsidRPr="003F78EB">
        <w:t>A</w:t>
      </w:r>
      <w:r w:rsidRPr="003F78EB">
        <w:t>.</w:t>
      </w:r>
      <w:r w:rsidRPr="003F78EB">
        <w:tab/>
      </w:r>
      <w:r w:rsidR="000F1254" w:rsidRPr="003F78EB">
        <w:t>Insufficient a</w:t>
      </w:r>
      <w:r w:rsidR="007E0701" w:rsidRPr="003F78EB">
        <w:t>wareness of human rights responsibilities in the global business community</w:t>
      </w:r>
    </w:p>
    <w:p w:rsidR="007E0701" w:rsidRPr="003F78EB" w:rsidRDefault="00262F3D" w:rsidP="003F78EB">
      <w:pPr>
        <w:pStyle w:val="SingleTxtG"/>
      </w:pPr>
      <w:r w:rsidRPr="003F78EB">
        <w:t>81.</w:t>
      </w:r>
      <w:r w:rsidRPr="003F78EB">
        <w:tab/>
      </w:r>
      <w:r w:rsidR="007E0701" w:rsidRPr="003F78EB">
        <w:t xml:space="preserve">The majority of the world’s enterprises have not heard about the Guiding Principles, which is one of the principal challenges </w:t>
      </w:r>
      <w:r w:rsidR="00353840" w:rsidRPr="003F78EB">
        <w:t xml:space="preserve">to </w:t>
      </w:r>
      <w:r w:rsidR="007E0701" w:rsidRPr="003F78EB">
        <w:t>lasting progress. Through its global reach</w:t>
      </w:r>
      <w:r w:rsidR="00353840" w:rsidRPr="003F78EB">
        <w:t>,</w:t>
      </w:r>
      <w:r w:rsidR="007E0701" w:rsidRPr="003F78EB">
        <w:t xml:space="preserve"> with over 8</w:t>
      </w:r>
      <w:r w:rsidR="003A4402" w:rsidRPr="003F78EB">
        <w:t>,</w:t>
      </w:r>
      <w:r w:rsidR="007E0701" w:rsidRPr="003F78EB">
        <w:t>000 company members</w:t>
      </w:r>
      <w:r w:rsidR="000F1254" w:rsidRPr="003F78EB">
        <w:t>,</w:t>
      </w:r>
      <w:r w:rsidR="007E0701" w:rsidRPr="003F78EB">
        <w:t xml:space="preserve"> </w:t>
      </w:r>
      <w:r w:rsidR="000F1254" w:rsidRPr="003F78EB">
        <w:t xml:space="preserve">a </w:t>
      </w:r>
      <w:r w:rsidR="007E0701" w:rsidRPr="003F78EB">
        <w:t>growing participant base and connection</w:t>
      </w:r>
      <w:r w:rsidR="000F1254" w:rsidRPr="003F78EB">
        <w:t>s</w:t>
      </w:r>
      <w:r w:rsidR="007E0701" w:rsidRPr="003F78EB">
        <w:t xml:space="preserve"> with local business</w:t>
      </w:r>
      <w:r w:rsidR="00353840" w:rsidRPr="003F78EB">
        <w:t>es</w:t>
      </w:r>
      <w:r w:rsidR="007E0701" w:rsidRPr="003F78EB">
        <w:t xml:space="preserve"> through 85 </w:t>
      </w:r>
      <w:r w:rsidR="00CD3826" w:rsidRPr="003F78EB">
        <w:t>l</w:t>
      </w:r>
      <w:r w:rsidR="007E0701" w:rsidRPr="003F78EB">
        <w:t xml:space="preserve">ocal </w:t>
      </w:r>
      <w:r w:rsidR="00CD3826" w:rsidRPr="003F78EB">
        <w:t>n</w:t>
      </w:r>
      <w:r w:rsidR="007E0701" w:rsidRPr="003F78EB">
        <w:t>etworks, the Global Compact is already making a laudable contribution to rais</w:t>
      </w:r>
      <w:r w:rsidR="00CD3826" w:rsidRPr="003F78EB">
        <w:t>ing</w:t>
      </w:r>
      <w:r w:rsidR="007E0701" w:rsidRPr="003F78EB">
        <w:t xml:space="preserve"> awareness of the Guiding Principles.</w:t>
      </w:r>
      <w:r w:rsidR="007E0701" w:rsidRPr="003F78EB">
        <w:rPr>
          <w:rStyle w:val="FootnoteReference"/>
        </w:rPr>
        <w:footnoteReference w:id="66"/>
      </w:r>
      <w:r w:rsidR="007E0701" w:rsidRPr="003F78EB">
        <w:t xml:space="preserve"> </w:t>
      </w:r>
      <w:r w:rsidR="00353840" w:rsidRPr="003F78EB">
        <w:t>S</w:t>
      </w:r>
      <w:r w:rsidR="007E0701" w:rsidRPr="003F78EB">
        <w:t>ixty-four per</w:t>
      </w:r>
      <w:r w:rsidR="003A4402" w:rsidRPr="003F78EB">
        <w:t xml:space="preserve"> </w:t>
      </w:r>
      <w:r w:rsidR="007E0701" w:rsidRPr="003F78EB">
        <w:t>cent of its participants have indicated that they are aware of the Guiding Principles</w:t>
      </w:r>
      <w:r w:rsidR="000F1254" w:rsidRPr="003F78EB">
        <w:t>,</w:t>
      </w:r>
      <w:r w:rsidR="007E0701" w:rsidRPr="003F78EB">
        <w:rPr>
          <w:rStyle w:val="FootnoteReference"/>
        </w:rPr>
        <w:footnoteReference w:id="67"/>
      </w:r>
      <w:r w:rsidR="007E0701" w:rsidRPr="003F78EB">
        <w:t xml:space="preserve"> </w:t>
      </w:r>
      <w:r w:rsidR="000F1254" w:rsidRPr="003F78EB">
        <w:t xml:space="preserve">which </w:t>
      </w:r>
      <w:r w:rsidR="007E0701" w:rsidRPr="003F78EB">
        <w:t xml:space="preserve">is a promising basis for achieving even </w:t>
      </w:r>
      <w:r w:rsidR="000F1254" w:rsidRPr="003F78EB">
        <w:t xml:space="preserve">greater </w:t>
      </w:r>
      <w:r w:rsidR="007E0701" w:rsidRPr="003F78EB">
        <w:t xml:space="preserve">awareness. </w:t>
      </w:r>
    </w:p>
    <w:p w:rsidR="00605D6C" w:rsidRDefault="00262F3D" w:rsidP="00275041">
      <w:pPr>
        <w:pStyle w:val="SingleTxtG"/>
      </w:pPr>
      <w:r w:rsidRPr="003F78EB">
        <w:t>82.</w:t>
      </w:r>
      <w:r w:rsidRPr="003F78EB">
        <w:tab/>
      </w:r>
      <w:r w:rsidR="007E0701" w:rsidRPr="003F78EB">
        <w:t xml:space="preserve">While smaller in size, </w:t>
      </w:r>
      <w:r w:rsidR="000F1254" w:rsidRPr="003F78EB">
        <w:t xml:space="preserve">the </w:t>
      </w:r>
      <w:r w:rsidR="007E0701" w:rsidRPr="003F78EB">
        <w:t>UNEP</w:t>
      </w:r>
      <w:r w:rsidR="00EE0187" w:rsidRPr="003F78EB">
        <w:t> </w:t>
      </w:r>
      <w:r w:rsidR="007E0701" w:rsidRPr="003F78EB">
        <w:t>F</w:t>
      </w:r>
      <w:r w:rsidR="000F1254" w:rsidRPr="003F78EB">
        <w:t xml:space="preserve">inance </w:t>
      </w:r>
      <w:r w:rsidR="007E0701" w:rsidRPr="003F78EB">
        <w:t>I</w:t>
      </w:r>
      <w:r w:rsidR="000F1254" w:rsidRPr="003F78EB">
        <w:t>nitiative</w:t>
      </w:r>
      <w:r w:rsidR="007E0701" w:rsidRPr="003F78EB">
        <w:t xml:space="preserve"> is also strategically positioned to contribute to closing the awareness gap, </w:t>
      </w:r>
      <w:r w:rsidR="000F1254" w:rsidRPr="003F78EB">
        <w:t>given</w:t>
      </w:r>
      <w:r w:rsidR="00353840" w:rsidRPr="003F78EB">
        <w:t xml:space="preserve"> that</w:t>
      </w:r>
      <w:r w:rsidR="000F1254" w:rsidRPr="003F78EB">
        <w:t xml:space="preserve"> among</w:t>
      </w:r>
      <w:r w:rsidR="00353840" w:rsidRPr="003F78EB">
        <w:t xml:space="preserve"> </w:t>
      </w:r>
      <w:r w:rsidR="007E0701" w:rsidRPr="003F78EB">
        <w:t xml:space="preserve">its </w:t>
      </w:r>
      <w:r w:rsidR="00F86A72" w:rsidRPr="003F78EB">
        <w:t xml:space="preserve">some 230 </w:t>
      </w:r>
      <w:r w:rsidR="007E0701" w:rsidRPr="003F78EB">
        <w:t>members</w:t>
      </w:r>
      <w:r w:rsidR="000F1254" w:rsidRPr="003F78EB">
        <w:t xml:space="preserve"> are</w:t>
      </w:r>
      <w:r w:rsidR="007E0701" w:rsidRPr="003F78EB">
        <w:t xml:space="preserve"> some of the world’s major financial institutions and</w:t>
      </w:r>
      <w:r w:rsidR="000F1254" w:rsidRPr="003F78EB">
        <w:t xml:space="preserve"> given</w:t>
      </w:r>
      <w:r w:rsidR="007E0701" w:rsidRPr="003F78EB">
        <w:t xml:space="preserve"> the potential catalytic role of the financial sector. One </w:t>
      </w:r>
      <w:r w:rsidR="000F1254" w:rsidRPr="003F78EB">
        <w:t xml:space="preserve">option </w:t>
      </w:r>
      <w:r w:rsidR="007E0701" w:rsidRPr="003F78EB">
        <w:t xml:space="preserve">could be to embed the Guiding Principles </w:t>
      </w:r>
      <w:r w:rsidR="000F1254" w:rsidRPr="003F78EB">
        <w:t>in all</w:t>
      </w:r>
      <w:r w:rsidR="007E0701" w:rsidRPr="003F78EB">
        <w:t xml:space="preserve"> the activities of </w:t>
      </w:r>
      <w:r w:rsidR="000F1254" w:rsidRPr="003F78EB">
        <w:t>the Initiative</w:t>
      </w:r>
      <w:r w:rsidR="007E0701" w:rsidRPr="003F78EB">
        <w:t xml:space="preserve"> rather than confining human rights to </w:t>
      </w:r>
      <w:r w:rsidR="00CD3826" w:rsidRPr="003F78EB">
        <w:t xml:space="preserve">a </w:t>
      </w:r>
      <w:r w:rsidR="007E0701" w:rsidRPr="003F78EB">
        <w:t xml:space="preserve">subtopic under social issues. For example, </w:t>
      </w:r>
      <w:r w:rsidR="000F1254" w:rsidRPr="003F78EB">
        <w:t xml:space="preserve">as already mentioned </w:t>
      </w:r>
      <w:r w:rsidR="007E0701" w:rsidRPr="003F78EB">
        <w:t>there is a strong case for building on guidance on corporate human rights reporting aligned with the Guiding Principles</w:t>
      </w:r>
      <w:r w:rsidR="00353840" w:rsidRPr="003F78EB">
        <w:t>,</w:t>
      </w:r>
      <w:r w:rsidR="007E0701" w:rsidRPr="003F78EB">
        <w:t xml:space="preserve"> inclu</w:t>
      </w:r>
      <w:r w:rsidR="00605D6C">
        <w:t>ding in the context of finance.</w:t>
      </w:r>
    </w:p>
    <w:p w:rsidR="007E0701" w:rsidRPr="003F78EB" w:rsidRDefault="00262F3D" w:rsidP="00275041">
      <w:pPr>
        <w:pStyle w:val="SingleTxtG"/>
      </w:pPr>
      <w:r w:rsidRPr="003F78EB">
        <w:t>83.</w:t>
      </w:r>
      <w:r w:rsidRPr="003F78EB">
        <w:tab/>
      </w:r>
      <w:r w:rsidR="000F1254" w:rsidRPr="003F78EB">
        <w:t>The</w:t>
      </w:r>
      <w:r w:rsidR="007E0701" w:rsidRPr="003F78EB">
        <w:t xml:space="preserve"> role</w:t>
      </w:r>
      <w:r w:rsidR="000F1254" w:rsidRPr="003F78EB">
        <w:t>s of both the Global Compact and the UNEP Finance Initiative</w:t>
      </w:r>
      <w:r w:rsidR="007E0701" w:rsidRPr="003F78EB">
        <w:t xml:space="preserve"> in promoting the Guiding Principles could be further strengthened </w:t>
      </w:r>
      <w:r w:rsidR="000F1254" w:rsidRPr="003F78EB">
        <w:t>through</w:t>
      </w:r>
      <w:r w:rsidR="007E0701" w:rsidRPr="003F78EB">
        <w:t xml:space="preserve"> </w:t>
      </w:r>
      <w:r w:rsidR="0032031B" w:rsidRPr="003F78EB">
        <w:t xml:space="preserve">improved </w:t>
      </w:r>
      <w:r w:rsidR="007E0701" w:rsidRPr="003F78EB">
        <w:t xml:space="preserve">coordinated action across relevant agencies and entities in the United Nations system to reinforce </w:t>
      </w:r>
      <w:r w:rsidR="000F1254" w:rsidRPr="003F78EB">
        <w:t xml:space="preserve">the </w:t>
      </w:r>
      <w:r w:rsidR="007E0701" w:rsidRPr="003F78EB">
        <w:t xml:space="preserve">awareness-raising </w:t>
      </w:r>
      <w:r w:rsidR="000F1254" w:rsidRPr="003F78EB">
        <w:t xml:space="preserve">efforts </w:t>
      </w:r>
      <w:r w:rsidR="007E0701" w:rsidRPr="003F78EB">
        <w:t>already undertaken by OHCHR and the Global Compact.</w:t>
      </w:r>
    </w:p>
    <w:p w:rsidR="007E0701" w:rsidRPr="003F78EB" w:rsidRDefault="00262F3D" w:rsidP="003F78EB">
      <w:pPr>
        <w:pStyle w:val="H1G"/>
      </w:pPr>
      <w:r w:rsidRPr="003F78EB">
        <w:tab/>
      </w:r>
      <w:r w:rsidR="00E26728" w:rsidRPr="003F78EB">
        <w:t>B</w:t>
      </w:r>
      <w:r w:rsidRPr="003F78EB">
        <w:t>.</w:t>
      </w:r>
      <w:r w:rsidRPr="003F78EB">
        <w:tab/>
      </w:r>
      <w:r w:rsidR="007E0701" w:rsidRPr="003F78EB">
        <w:t>Lack of capacity and understanding to grapple with the implications of</w:t>
      </w:r>
      <w:r w:rsidR="001906BB" w:rsidRPr="003F78EB">
        <w:t> </w:t>
      </w:r>
      <w:r w:rsidR="007E0701" w:rsidRPr="003F78EB">
        <w:t>the Guiding Principles</w:t>
      </w:r>
    </w:p>
    <w:p w:rsidR="007E0701" w:rsidRPr="003F78EB" w:rsidRDefault="00262F3D" w:rsidP="002F41D7">
      <w:pPr>
        <w:pStyle w:val="SingleTxtG"/>
      </w:pPr>
      <w:r w:rsidRPr="003F78EB">
        <w:t>84.</w:t>
      </w:r>
      <w:r w:rsidRPr="003F78EB">
        <w:tab/>
      </w:r>
      <w:r w:rsidR="00B00F3A" w:rsidRPr="003F78EB">
        <w:t xml:space="preserve">A lack of capacity and understanding to grapple with the implications of the Guiding Principles </w:t>
      </w:r>
      <w:r w:rsidR="007E0701" w:rsidRPr="003F78EB">
        <w:t xml:space="preserve">is cited as one of the most common challenges and </w:t>
      </w:r>
      <w:r w:rsidR="00F86A72" w:rsidRPr="003F78EB">
        <w:t xml:space="preserve">one </w:t>
      </w:r>
      <w:r w:rsidR="007E0701" w:rsidRPr="003F78EB">
        <w:t xml:space="preserve">reason why uptake of the </w:t>
      </w:r>
      <w:r w:rsidR="007E0701" w:rsidRPr="003F78EB">
        <w:lastRenderedPageBreak/>
        <w:t xml:space="preserve">Principles </w:t>
      </w:r>
      <w:r w:rsidR="00274EFC" w:rsidRPr="003F78EB">
        <w:t xml:space="preserve">has </w:t>
      </w:r>
      <w:r w:rsidR="007E0701" w:rsidRPr="003F78EB">
        <w:t xml:space="preserve">not </w:t>
      </w:r>
      <w:r w:rsidR="00274EFC" w:rsidRPr="003F78EB">
        <w:t>b</w:t>
      </w:r>
      <w:r w:rsidR="007E0701" w:rsidRPr="003F78EB">
        <w:t>een quicker.</w:t>
      </w:r>
      <w:r w:rsidR="007E0701" w:rsidRPr="003F78EB">
        <w:rPr>
          <w:rStyle w:val="FootnoteReference"/>
        </w:rPr>
        <w:footnoteReference w:id="68"/>
      </w:r>
      <w:r w:rsidR="007E0701" w:rsidRPr="003F78EB">
        <w:t xml:space="preserve"> An important role of the Global Compact is to continue to collaborat</w:t>
      </w:r>
      <w:r w:rsidR="00274EFC" w:rsidRPr="003F78EB">
        <w:t>e</w:t>
      </w:r>
      <w:r w:rsidR="007E0701" w:rsidRPr="003F78EB">
        <w:t xml:space="preserve"> with OHCHR to develop and disseminate guidance on how to implement the corporate responsibility to respect human rights in practice, both on general aspects and in relation to thematic issues.</w:t>
      </w:r>
      <w:r w:rsidR="007E0701" w:rsidRPr="003F78EB">
        <w:rPr>
          <w:rStyle w:val="FootnoteReference"/>
        </w:rPr>
        <w:footnoteReference w:id="69"/>
      </w:r>
      <w:r w:rsidR="007E0701" w:rsidRPr="003F78EB">
        <w:t xml:space="preserve"> Global Compact initiatives with other </w:t>
      </w:r>
      <w:r w:rsidR="002E1222" w:rsidRPr="003F78EB">
        <w:t>United Nations</w:t>
      </w:r>
      <w:r w:rsidR="007E0701" w:rsidRPr="003F78EB">
        <w:t xml:space="preserve"> agencies on women’s empowerment (with </w:t>
      </w:r>
      <w:r w:rsidR="00BA0ABE" w:rsidRPr="003F78EB">
        <w:t>the United Nations Entity for Gender Equality and the Empowerment of Women</w:t>
      </w:r>
      <w:r w:rsidR="007E0701" w:rsidRPr="003F78EB">
        <w:t xml:space="preserve">), children’s rights (with </w:t>
      </w:r>
      <w:r w:rsidR="00274EFC" w:rsidRPr="003F78EB">
        <w:t>the United Nations Children’s Fund</w:t>
      </w:r>
      <w:r w:rsidR="007E0701" w:rsidRPr="003F78EB">
        <w:t xml:space="preserve">) and indigenous peoples’ rights have helped to raise </w:t>
      </w:r>
      <w:r w:rsidR="00274EFC" w:rsidRPr="003F78EB">
        <w:t xml:space="preserve">the </w:t>
      </w:r>
      <w:r w:rsidR="007E0701" w:rsidRPr="003F78EB">
        <w:t xml:space="preserve">awareness of business </w:t>
      </w:r>
      <w:r w:rsidR="00274EFC" w:rsidRPr="003F78EB">
        <w:t xml:space="preserve">as to </w:t>
      </w:r>
      <w:r w:rsidR="007E0701" w:rsidRPr="003F78EB">
        <w:t>how to respect and support the rights of these groups.</w:t>
      </w:r>
      <w:r w:rsidR="007E0701" w:rsidRPr="003F78EB">
        <w:rPr>
          <w:rStyle w:val="FootnoteReference"/>
        </w:rPr>
        <w:footnoteReference w:id="70"/>
      </w:r>
      <w:r w:rsidR="003A4402" w:rsidRPr="003F78EB">
        <w:t xml:space="preserve"> </w:t>
      </w:r>
      <w:r w:rsidR="007E0701" w:rsidRPr="003F78EB">
        <w:t xml:space="preserve">In addition to producing and promoting guidance on key elements of the Guiding Principles, the Global Compact has addressed issues such as the role companies can play in respecting the rights of the </w:t>
      </w:r>
      <w:r w:rsidR="002E1222" w:rsidRPr="003F78EB">
        <w:t>lesbian, gay, bisexual and transgender</w:t>
      </w:r>
      <w:r w:rsidR="007E0701" w:rsidRPr="003F78EB">
        <w:t xml:space="preserve"> community, business efforts to support the rights of older persons and </w:t>
      </w:r>
      <w:r w:rsidR="00274EFC" w:rsidRPr="003F78EB">
        <w:t xml:space="preserve">the role of </w:t>
      </w:r>
      <w:r w:rsidR="007E0701" w:rsidRPr="003F78EB">
        <w:t xml:space="preserve">business in addressing the adverse human rights impacts of climate change. It also undertakes training for business representatives at the local level through its </w:t>
      </w:r>
      <w:r w:rsidR="00274EFC" w:rsidRPr="003F78EB">
        <w:t>l</w:t>
      </w:r>
      <w:r w:rsidR="007E0701" w:rsidRPr="003F78EB">
        <w:t xml:space="preserve">ocal </w:t>
      </w:r>
      <w:r w:rsidR="00274EFC" w:rsidRPr="003F78EB">
        <w:t>n</w:t>
      </w:r>
      <w:r w:rsidR="007E0701" w:rsidRPr="003F78EB">
        <w:t xml:space="preserve">etworks, at the global level through interactive online webinars </w:t>
      </w:r>
      <w:r w:rsidR="00274EFC" w:rsidRPr="003F78EB">
        <w:t>and through</w:t>
      </w:r>
      <w:r w:rsidR="007E0701" w:rsidRPr="003F78EB">
        <w:t xml:space="preserve"> capacity-building events at key business and human rights conferences, such as the annual Forum on Business and Human Rights and the African Regional Forum in 2014. </w:t>
      </w:r>
      <w:r w:rsidR="00B00F3A" w:rsidRPr="003F78EB">
        <w:t>W</w:t>
      </w:r>
      <w:r w:rsidR="007E0701" w:rsidRPr="003F78EB">
        <w:t xml:space="preserve">ith its potential for reaching a wide business audience globally, it would seem obvious that strengthened resources for the Global Compact specifically to promote the Guiding Principles could deliver significant progress. </w:t>
      </w:r>
    </w:p>
    <w:p w:rsidR="007E0701" w:rsidRPr="003F78EB" w:rsidRDefault="00262F3D" w:rsidP="002F41D7">
      <w:pPr>
        <w:pStyle w:val="SingleTxtG"/>
      </w:pPr>
      <w:r w:rsidRPr="003F78EB">
        <w:t>85.</w:t>
      </w:r>
      <w:r w:rsidRPr="003F78EB">
        <w:tab/>
      </w:r>
      <w:r w:rsidR="00431C04" w:rsidRPr="003F78EB">
        <w:t>T</w:t>
      </w:r>
      <w:r w:rsidR="007E0701" w:rsidRPr="003F78EB">
        <w:t xml:space="preserve">he “UN Guiding Principles reporting framework” </w:t>
      </w:r>
      <w:r w:rsidR="00431C04" w:rsidRPr="003F78EB">
        <w:t xml:space="preserve">provides a useful reference to help businesses understand the practical implications of the corporate responsibility to respect human rights and </w:t>
      </w:r>
      <w:r w:rsidR="007E0701" w:rsidRPr="003F78EB">
        <w:t xml:space="preserve">for Global Compact participant companies </w:t>
      </w:r>
      <w:r w:rsidR="00431C04" w:rsidRPr="003F78EB">
        <w:t xml:space="preserve">to report on progress </w:t>
      </w:r>
      <w:r w:rsidR="007E0701" w:rsidRPr="003F78EB">
        <w:t xml:space="preserve">on the first six principles (covering human and labour rights). </w:t>
      </w:r>
    </w:p>
    <w:p w:rsidR="007E0701" w:rsidRPr="003F78EB" w:rsidRDefault="00262F3D" w:rsidP="00180BEC">
      <w:pPr>
        <w:pStyle w:val="SingleTxtG"/>
      </w:pPr>
      <w:r w:rsidRPr="003F78EB">
        <w:t>86.</w:t>
      </w:r>
      <w:r w:rsidRPr="003F78EB">
        <w:tab/>
      </w:r>
      <w:r w:rsidR="002F41D7" w:rsidRPr="003F78EB">
        <w:t xml:space="preserve">The </w:t>
      </w:r>
      <w:r w:rsidR="007E0701" w:rsidRPr="003F78EB">
        <w:t>UNEP</w:t>
      </w:r>
      <w:r w:rsidR="00EE0187" w:rsidRPr="003F78EB">
        <w:t> </w:t>
      </w:r>
      <w:r w:rsidR="00BA0ABE" w:rsidRPr="003F78EB">
        <w:t xml:space="preserve">Finance Initiative </w:t>
      </w:r>
      <w:r w:rsidR="007E0701" w:rsidRPr="003F78EB">
        <w:t xml:space="preserve">also plays a critical role </w:t>
      </w:r>
      <w:r w:rsidR="00274EFC" w:rsidRPr="003F78EB">
        <w:t xml:space="preserve">in </w:t>
      </w:r>
      <w:r w:rsidR="007E0701" w:rsidRPr="003F78EB">
        <w:t>enhanc</w:t>
      </w:r>
      <w:r w:rsidR="00274EFC" w:rsidRPr="003F78EB">
        <w:t>ing</w:t>
      </w:r>
      <w:r w:rsidR="007E0701" w:rsidRPr="003F78EB">
        <w:t xml:space="preserve"> understanding </w:t>
      </w:r>
      <w:r w:rsidR="00274EFC" w:rsidRPr="003F78EB">
        <w:t xml:space="preserve">by business </w:t>
      </w:r>
      <w:r w:rsidR="007E0701" w:rsidRPr="003F78EB">
        <w:t>of human rights in the context of finance and in alignment with the Guiding Principles. Its guidance tool on human rights</w:t>
      </w:r>
      <w:r w:rsidR="002E1222" w:rsidRPr="003F78EB">
        <w:t>,</w:t>
      </w:r>
      <w:r w:rsidR="002E1222" w:rsidRPr="003F78EB">
        <w:rPr>
          <w:rStyle w:val="FootnoteReference"/>
        </w:rPr>
        <w:footnoteReference w:id="71"/>
      </w:r>
      <w:r w:rsidR="007E0701" w:rsidRPr="003F78EB">
        <w:t xml:space="preserve"> </w:t>
      </w:r>
      <w:r w:rsidR="00BA0ABE" w:rsidRPr="003F78EB">
        <w:t xml:space="preserve">which is </w:t>
      </w:r>
      <w:r w:rsidR="007E0701" w:rsidRPr="003F78EB">
        <w:t>designed as an online signposting tool providing information on human rights risks for financial institutions</w:t>
      </w:r>
      <w:r w:rsidR="002E1222" w:rsidRPr="003F78EB">
        <w:t>,</w:t>
      </w:r>
      <w:r w:rsidR="007E0701" w:rsidRPr="003F78EB">
        <w:t xml:space="preserve"> offers a platform for learning and sharing</w:t>
      </w:r>
      <w:r w:rsidR="00BA0ABE" w:rsidRPr="003F78EB">
        <w:t xml:space="preserve"> infor</w:t>
      </w:r>
      <w:r w:rsidR="0032031B" w:rsidRPr="003F78EB">
        <w:t>m</w:t>
      </w:r>
      <w:r w:rsidR="00BA0ABE" w:rsidRPr="003F78EB">
        <w:t>ation</w:t>
      </w:r>
      <w:r w:rsidR="007E0701" w:rsidRPr="003F78EB">
        <w:t xml:space="preserve">. It should be regularly updated in order to reflect the rapid developments in this field and align with emerging tools and initiatives, such as the “UN Guiding Principles reporting framework”. In addition, </w:t>
      </w:r>
      <w:r w:rsidR="00BA0ABE" w:rsidRPr="003F78EB">
        <w:t>the Initiative</w:t>
      </w:r>
      <w:r w:rsidR="007E0701" w:rsidRPr="003F78EB">
        <w:t xml:space="preserve"> works to better understand the current landscape of human rights expectations in the context of banking through </w:t>
      </w:r>
      <w:r w:rsidR="00BA0ABE" w:rsidRPr="003F78EB">
        <w:t xml:space="preserve">an </w:t>
      </w:r>
      <w:r w:rsidR="002E1222" w:rsidRPr="003F78EB">
        <w:t xml:space="preserve">analysis </w:t>
      </w:r>
      <w:r w:rsidR="007E0701" w:rsidRPr="003F78EB">
        <w:t>of soft and hard law.</w:t>
      </w:r>
      <w:r w:rsidR="007E0701" w:rsidRPr="003F78EB">
        <w:rPr>
          <w:rStyle w:val="FootnoteReference"/>
        </w:rPr>
        <w:footnoteReference w:id="72"/>
      </w:r>
      <w:r w:rsidR="007E0701" w:rsidRPr="003F78EB">
        <w:t xml:space="preserve"> Both of these projects led by </w:t>
      </w:r>
      <w:r w:rsidR="00BA0ABE" w:rsidRPr="003F78EB">
        <w:t>the Initiative</w:t>
      </w:r>
      <w:r w:rsidR="007E0701" w:rsidRPr="003F78EB">
        <w:t xml:space="preserve"> contribut</w:t>
      </w:r>
      <w:r w:rsidR="00BA0ABE" w:rsidRPr="003F78EB">
        <w:t>e to</w:t>
      </w:r>
      <w:r w:rsidR="007E0701" w:rsidRPr="003F78EB">
        <w:t xml:space="preserve"> </w:t>
      </w:r>
      <w:r w:rsidR="00BA0ABE" w:rsidRPr="003F78EB">
        <w:t>clarifying</w:t>
      </w:r>
      <w:r w:rsidR="007E0701" w:rsidRPr="003F78EB">
        <w:t xml:space="preserve"> the implications of the Guiding Principles for the financial sector. However, as is the case with the Global Compact’s human rights work, fulfilling more of the potential impact of this work remains highly dependent on the availability of resources.</w:t>
      </w:r>
    </w:p>
    <w:p w:rsidR="007E0701" w:rsidRPr="003F78EB" w:rsidRDefault="00262F3D" w:rsidP="002F41D7">
      <w:pPr>
        <w:pStyle w:val="SingleTxtG"/>
      </w:pPr>
      <w:r w:rsidRPr="003F78EB">
        <w:t>87.</w:t>
      </w:r>
      <w:r w:rsidRPr="003F78EB">
        <w:tab/>
      </w:r>
      <w:r w:rsidR="007E0701" w:rsidRPr="003F78EB">
        <w:t>In addition, engagement with other partnership initiatives</w:t>
      </w:r>
      <w:r w:rsidR="00431C04" w:rsidRPr="003F78EB">
        <w:t xml:space="preserve"> involving the United Nations</w:t>
      </w:r>
      <w:r w:rsidR="007E0701" w:rsidRPr="003F78EB">
        <w:t xml:space="preserve"> to promote responsible business practices is vital. For example, initiatives such as the Principles for Responsible Investment, the Principles for Responsible Management </w:t>
      </w:r>
      <w:r w:rsidR="007E0701" w:rsidRPr="003F78EB">
        <w:lastRenderedPageBreak/>
        <w:t xml:space="preserve">Education and the Sustainable Stock Exchanges Initiative should </w:t>
      </w:r>
      <w:r w:rsidR="00BA0ABE" w:rsidRPr="003F78EB">
        <w:t xml:space="preserve">be </w:t>
      </w:r>
      <w:r w:rsidR="007E0701" w:rsidRPr="003F78EB">
        <w:t>firmly align</w:t>
      </w:r>
      <w:r w:rsidR="00BA0ABE" w:rsidRPr="003F78EB">
        <w:t>ed</w:t>
      </w:r>
      <w:r w:rsidR="007E0701" w:rsidRPr="003F78EB">
        <w:t xml:space="preserve"> with the Guiding Principles across their activities and take into account </w:t>
      </w:r>
      <w:r w:rsidR="00BA0ABE" w:rsidRPr="003F78EB">
        <w:t xml:space="preserve">relevant </w:t>
      </w:r>
      <w:r w:rsidR="007E0701" w:rsidRPr="003F78EB">
        <w:t xml:space="preserve">emerging tools and initiatives to further support </w:t>
      </w:r>
      <w:r w:rsidR="00431C04" w:rsidRPr="003F78EB">
        <w:t>wider uptake</w:t>
      </w:r>
      <w:r w:rsidR="00BA0ABE" w:rsidRPr="003F78EB">
        <w:t xml:space="preserve"> of the Guiding Principles</w:t>
      </w:r>
      <w:r w:rsidR="007E0701" w:rsidRPr="003F78EB">
        <w:t xml:space="preserve">. </w:t>
      </w:r>
    </w:p>
    <w:p w:rsidR="007E0701" w:rsidRPr="003F78EB" w:rsidRDefault="00262F3D" w:rsidP="00AE5C35">
      <w:pPr>
        <w:pStyle w:val="HChG"/>
      </w:pPr>
      <w:r w:rsidRPr="003F78EB">
        <w:tab/>
        <w:t>VI.</w:t>
      </w:r>
      <w:r w:rsidRPr="003F78EB">
        <w:tab/>
      </w:r>
      <w:r w:rsidR="007E0701" w:rsidRPr="003F78EB">
        <w:t>Conclusions and recommendations</w:t>
      </w:r>
    </w:p>
    <w:p w:rsidR="007E0701" w:rsidRPr="003F78EB" w:rsidRDefault="00262F3D" w:rsidP="002F41D7">
      <w:pPr>
        <w:pStyle w:val="SingleTxtG"/>
        <w:rPr>
          <w:b/>
        </w:rPr>
      </w:pPr>
      <w:r w:rsidRPr="003F78EB">
        <w:t>88</w:t>
      </w:r>
      <w:r w:rsidRPr="003F78EB">
        <w:rPr>
          <w:b/>
        </w:rPr>
        <w:t>.</w:t>
      </w:r>
      <w:r w:rsidRPr="003F78EB">
        <w:rPr>
          <w:b/>
        </w:rPr>
        <w:tab/>
      </w:r>
      <w:r w:rsidR="007E0701" w:rsidRPr="003F78EB">
        <w:rPr>
          <w:b/>
        </w:rPr>
        <w:t>Since their endorsement in 2011, there has been progress in convergence around the Guiding Principles in polic</w:t>
      </w:r>
      <w:r w:rsidR="00BD2C0F" w:rsidRPr="003F78EB">
        <w:rPr>
          <w:b/>
        </w:rPr>
        <w:t>y</w:t>
      </w:r>
      <w:r w:rsidR="007E0701" w:rsidRPr="003F78EB">
        <w:rPr>
          <w:b/>
        </w:rPr>
        <w:t xml:space="preserve"> and tool development among major stakeholder groups. </w:t>
      </w:r>
      <w:r w:rsidR="00BD2C0F" w:rsidRPr="003F78EB">
        <w:rPr>
          <w:b/>
        </w:rPr>
        <w:t>However</w:t>
      </w:r>
      <w:r w:rsidR="007E0701" w:rsidRPr="003F78EB">
        <w:rPr>
          <w:b/>
        </w:rPr>
        <w:t>, gaps remain both in terms of translati</w:t>
      </w:r>
      <w:r w:rsidR="00BA0ABE" w:rsidRPr="003F78EB">
        <w:rPr>
          <w:b/>
        </w:rPr>
        <w:t>ng</w:t>
      </w:r>
      <w:r w:rsidR="007E0701" w:rsidRPr="003F78EB">
        <w:rPr>
          <w:b/>
        </w:rPr>
        <w:t xml:space="preserve"> policy commitments into </w:t>
      </w:r>
      <w:r w:rsidR="00BA0ABE" w:rsidRPr="003F78EB">
        <w:rPr>
          <w:b/>
        </w:rPr>
        <w:t xml:space="preserve">better </w:t>
      </w:r>
      <w:r w:rsidR="007E0701" w:rsidRPr="003F78EB">
        <w:rPr>
          <w:b/>
        </w:rPr>
        <w:t xml:space="preserve">protection of human rights on the ground and policy coherence in relevant global governance frameworks. In particular, there is potential throughout the United Nations for more robust integration of the Guiding Principles. </w:t>
      </w:r>
      <w:r w:rsidR="00BA0ABE" w:rsidRPr="003F78EB">
        <w:rPr>
          <w:b/>
        </w:rPr>
        <w:t>E</w:t>
      </w:r>
      <w:r w:rsidR="007E0701" w:rsidRPr="003F78EB">
        <w:rPr>
          <w:b/>
        </w:rPr>
        <w:t>xamples of existing efforts as well as key opportunities to embed the Guiding Principles in United Nations work and processes</w:t>
      </w:r>
      <w:r w:rsidR="00BA0ABE" w:rsidRPr="003F78EB">
        <w:rPr>
          <w:b/>
        </w:rPr>
        <w:t xml:space="preserve"> have been highlighted in the present report</w:t>
      </w:r>
      <w:r w:rsidR="007E0701" w:rsidRPr="003F78EB">
        <w:rPr>
          <w:b/>
        </w:rPr>
        <w:t>.</w:t>
      </w:r>
      <w:r w:rsidR="003A4402" w:rsidRPr="003F78EB">
        <w:rPr>
          <w:b/>
        </w:rPr>
        <w:t xml:space="preserve"> </w:t>
      </w:r>
      <w:r w:rsidR="007E0701" w:rsidRPr="003F78EB">
        <w:rPr>
          <w:b/>
        </w:rPr>
        <w:t xml:space="preserve">These opportunities to align with, and support implementation of, the Guiding Principles have potential for spurring uptake on a larger scale and contributing to greater overall coherence in global governance frameworks that directly or indirectly relate to the Guiding Principles. This would also be a significant contribution to a more accountable and inclusive post-2015 development framework. States and United Nations entities are </w:t>
      </w:r>
      <w:r w:rsidR="00B12B55" w:rsidRPr="003F78EB">
        <w:rPr>
          <w:b/>
        </w:rPr>
        <w:t xml:space="preserve">thus </w:t>
      </w:r>
      <w:r w:rsidR="007E0701" w:rsidRPr="003F78EB">
        <w:rPr>
          <w:b/>
        </w:rPr>
        <w:t>encouraged to act on the opportunities highlighted in the present report.</w:t>
      </w:r>
    </w:p>
    <w:p w:rsidR="007E0701" w:rsidRPr="003F78EB" w:rsidRDefault="00262F3D" w:rsidP="002F41D7">
      <w:pPr>
        <w:pStyle w:val="SingleTxtG"/>
        <w:rPr>
          <w:b/>
          <w:bCs/>
        </w:rPr>
      </w:pPr>
      <w:r w:rsidRPr="003F78EB">
        <w:t>89</w:t>
      </w:r>
      <w:r w:rsidRPr="003F78EB">
        <w:rPr>
          <w:b/>
        </w:rPr>
        <w:t>.</w:t>
      </w:r>
      <w:r w:rsidRPr="003F78EB">
        <w:rPr>
          <w:b/>
        </w:rPr>
        <w:tab/>
      </w:r>
      <w:r w:rsidR="007E0701" w:rsidRPr="003F78EB">
        <w:rPr>
          <w:b/>
        </w:rPr>
        <w:t xml:space="preserve">Although the scope of the report </w:t>
      </w:r>
      <w:r w:rsidR="00BD2C0F" w:rsidRPr="003F78EB">
        <w:rPr>
          <w:b/>
        </w:rPr>
        <w:t xml:space="preserve">does </w:t>
      </w:r>
      <w:r w:rsidR="007E0701" w:rsidRPr="003F78EB">
        <w:rPr>
          <w:b/>
        </w:rPr>
        <w:t>not enable the Working Group to examine other areas</w:t>
      </w:r>
      <w:r w:rsidR="002934C2" w:rsidRPr="003F78EB">
        <w:rPr>
          <w:b/>
        </w:rPr>
        <w:t>,</w:t>
      </w:r>
      <w:r w:rsidR="007E0701" w:rsidRPr="003F78EB">
        <w:rPr>
          <w:b/>
        </w:rPr>
        <w:t xml:space="preserve"> such as peace and security and humanitarian action, where the Guiding Principles would be of similar relevance, these areas should also be subject to further analysis and engagement. Similarly, there is a need to better </w:t>
      </w:r>
      <w:r w:rsidR="00BA0ABE" w:rsidRPr="003F78EB">
        <w:rPr>
          <w:b/>
        </w:rPr>
        <w:t>delineate</w:t>
      </w:r>
      <w:r w:rsidR="007E0701" w:rsidRPr="003F78EB">
        <w:rPr>
          <w:b/>
        </w:rPr>
        <w:t xml:space="preserve"> </w:t>
      </w:r>
      <w:r w:rsidR="007E0701" w:rsidRPr="003F78EB">
        <w:rPr>
          <w:b/>
          <w:bCs/>
        </w:rPr>
        <w:t xml:space="preserve">roles, responsibilities and appropriate accountability systems for both States and business enterprises </w:t>
      </w:r>
      <w:r w:rsidR="00140D9B" w:rsidRPr="003F78EB">
        <w:rPr>
          <w:b/>
          <w:bCs/>
        </w:rPr>
        <w:t xml:space="preserve">with regard to </w:t>
      </w:r>
      <w:r w:rsidR="007E0701" w:rsidRPr="003F78EB">
        <w:rPr>
          <w:b/>
        </w:rPr>
        <w:t>specific issues, such as water and sanitation, agricultural investment, supply chains and child</w:t>
      </w:r>
      <w:r w:rsidR="00BA0ABE" w:rsidRPr="003F78EB">
        <w:rPr>
          <w:b/>
        </w:rPr>
        <w:t xml:space="preserve"> and </w:t>
      </w:r>
      <w:r w:rsidR="007E0701" w:rsidRPr="003F78EB">
        <w:rPr>
          <w:b/>
        </w:rPr>
        <w:t xml:space="preserve">forced labour, tax avoidance, corruption and climate justice. </w:t>
      </w:r>
    </w:p>
    <w:p w:rsidR="007E0701" w:rsidRPr="003F78EB" w:rsidRDefault="00262F3D" w:rsidP="002F41D7">
      <w:pPr>
        <w:pStyle w:val="SingleTxtG"/>
        <w:rPr>
          <w:b/>
        </w:rPr>
      </w:pPr>
      <w:r w:rsidRPr="003F78EB">
        <w:t>90</w:t>
      </w:r>
      <w:r w:rsidRPr="003F78EB">
        <w:rPr>
          <w:b/>
        </w:rPr>
        <w:t>.</w:t>
      </w:r>
      <w:r w:rsidRPr="003F78EB">
        <w:rPr>
          <w:b/>
        </w:rPr>
        <w:tab/>
      </w:r>
      <w:r w:rsidR="00BA0ABE" w:rsidRPr="003F78EB">
        <w:rPr>
          <w:b/>
        </w:rPr>
        <w:t>A</w:t>
      </w:r>
      <w:r w:rsidR="00140D9B" w:rsidRPr="003F78EB">
        <w:rPr>
          <w:b/>
        </w:rPr>
        <w:t xml:space="preserve"> major challenge is that of </w:t>
      </w:r>
      <w:r w:rsidR="007E0701" w:rsidRPr="003F78EB">
        <w:rPr>
          <w:b/>
        </w:rPr>
        <w:t>achieving policy coherence between States’ conduct in multilateral institutions that deal with business- and development-related issues and their international human rights obligations. This is especially relevant in the context of State-driven processes at the United Nations, including the negotiations on the post-2015 development agenda.</w:t>
      </w:r>
      <w:r w:rsidR="003A4402" w:rsidRPr="003F78EB">
        <w:rPr>
          <w:b/>
        </w:rPr>
        <w:t xml:space="preserve"> </w:t>
      </w:r>
      <w:r w:rsidR="00140D9B" w:rsidRPr="003F78EB">
        <w:rPr>
          <w:b/>
        </w:rPr>
        <w:t xml:space="preserve">In </w:t>
      </w:r>
      <w:r w:rsidR="007E0701" w:rsidRPr="003F78EB">
        <w:rPr>
          <w:b/>
        </w:rPr>
        <w:t xml:space="preserve">Guiding Principle 10 the need </w:t>
      </w:r>
      <w:r w:rsidR="00140D9B" w:rsidRPr="003F78EB">
        <w:rPr>
          <w:b/>
        </w:rPr>
        <w:t xml:space="preserve">is stressed </w:t>
      </w:r>
      <w:r w:rsidR="007E0701" w:rsidRPr="003F78EB">
        <w:rPr>
          <w:b/>
        </w:rPr>
        <w:t xml:space="preserve">for States to draw on the Guiding Principles to promote </w:t>
      </w:r>
      <w:r w:rsidR="00140D9B" w:rsidRPr="003F78EB">
        <w:rPr>
          <w:b/>
        </w:rPr>
        <w:t xml:space="preserve">a </w:t>
      </w:r>
      <w:r w:rsidR="007E0701" w:rsidRPr="003F78EB">
        <w:rPr>
          <w:b/>
        </w:rPr>
        <w:t xml:space="preserve">shared understanding and advance international cooperation to promote respect </w:t>
      </w:r>
      <w:r w:rsidR="00140D9B" w:rsidRPr="003F78EB">
        <w:rPr>
          <w:b/>
        </w:rPr>
        <w:t xml:space="preserve">by business </w:t>
      </w:r>
      <w:r w:rsidR="007E0701" w:rsidRPr="003F78EB">
        <w:rPr>
          <w:b/>
        </w:rPr>
        <w:t>for human rights and help States meet their duty to protect against human rights abuses by business enterprises.</w:t>
      </w:r>
    </w:p>
    <w:p w:rsidR="007E0701" w:rsidRPr="00262F3D" w:rsidRDefault="00262F3D" w:rsidP="002F41D7">
      <w:pPr>
        <w:pStyle w:val="SingleTxtG"/>
        <w:rPr>
          <w:b/>
        </w:rPr>
      </w:pPr>
      <w:r w:rsidRPr="003F78EB">
        <w:rPr>
          <w:bCs/>
        </w:rPr>
        <w:t>91.</w:t>
      </w:r>
      <w:r w:rsidRPr="003F78EB">
        <w:rPr>
          <w:bCs/>
        </w:rPr>
        <w:tab/>
      </w:r>
      <w:r w:rsidR="007E0701" w:rsidRPr="003F78EB">
        <w:rPr>
          <w:b/>
        </w:rPr>
        <w:t>The Human Rights Council, in its resolution 26/22</w:t>
      </w:r>
      <w:r w:rsidR="00081281" w:rsidRPr="003F78EB">
        <w:rPr>
          <w:b/>
        </w:rPr>
        <w:t>,</w:t>
      </w:r>
      <w:r w:rsidR="007E0701" w:rsidRPr="003F78EB">
        <w:rPr>
          <w:b/>
        </w:rPr>
        <w:t xml:space="preserve"> encouraged States to submit information on their national action plans and other relevant initiatives on business and human rights, with annual reports on the implementation of such commitments, and invited all relevant stakeholders to submit relevant information to the Working Group. The Working Group would </w:t>
      </w:r>
      <w:r w:rsidR="00B12B55" w:rsidRPr="003F78EB">
        <w:rPr>
          <w:b/>
        </w:rPr>
        <w:t xml:space="preserve">like to </w:t>
      </w:r>
      <w:r w:rsidR="007E0701" w:rsidRPr="003F78EB">
        <w:rPr>
          <w:b/>
        </w:rPr>
        <w:t>receiv</w:t>
      </w:r>
      <w:r w:rsidR="00B12B55" w:rsidRPr="003F78EB">
        <w:rPr>
          <w:b/>
        </w:rPr>
        <w:t>e</w:t>
      </w:r>
      <w:r w:rsidR="007E0701" w:rsidRPr="003F78EB">
        <w:rPr>
          <w:b/>
        </w:rPr>
        <w:t xml:space="preserve"> such information from States and other stakeholders, including in relation to policy coherence. Th</w:t>
      </w:r>
      <w:r w:rsidR="00081281" w:rsidRPr="003F78EB">
        <w:rPr>
          <w:b/>
        </w:rPr>
        <w:t>at</w:t>
      </w:r>
      <w:r w:rsidR="007E0701" w:rsidRPr="003F78EB">
        <w:rPr>
          <w:b/>
        </w:rPr>
        <w:t xml:space="preserve"> information would inform discussion</w:t>
      </w:r>
      <w:r w:rsidR="00081281" w:rsidRPr="003F78EB">
        <w:rPr>
          <w:b/>
        </w:rPr>
        <w:t>s</w:t>
      </w:r>
      <w:r w:rsidR="007E0701" w:rsidRPr="003F78EB">
        <w:rPr>
          <w:b/>
        </w:rPr>
        <w:t xml:space="preserve"> and lesson-sharing, including at the 2015 Forum on Business and Human Rights. The present report is part of the Working Group’s effort to enhance cooperation and dialogue with </w:t>
      </w:r>
      <w:r w:rsidR="00081281" w:rsidRPr="003F78EB">
        <w:rPr>
          <w:b/>
        </w:rPr>
        <w:t>certain</w:t>
      </w:r>
      <w:r w:rsidR="007E0701" w:rsidRPr="003F78EB">
        <w:rPr>
          <w:b/>
        </w:rPr>
        <w:t xml:space="preserve"> key actors, as mandated by </w:t>
      </w:r>
      <w:r w:rsidR="00081281" w:rsidRPr="003F78EB">
        <w:rPr>
          <w:b/>
        </w:rPr>
        <w:t xml:space="preserve">Council </w:t>
      </w:r>
      <w:r w:rsidR="007E0701" w:rsidRPr="003F78EB">
        <w:rPr>
          <w:b/>
        </w:rPr>
        <w:t>resolutions 17/4 and 26/22. In that regard</w:t>
      </w:r>
      <w:r w:rsidR="00081281" w:rsidRPr="003F78EB">
        <w:rPr>
          <w:b/>
        </w:rPr>
        <w:t>,</w:t>
      </w:r>
      <w:r w:rsidR="007E0701" w:rsidRPr="003F78EB">
        <w:rPr>
          <w:b/>
        </w:rPr>
        <w:t xml:space="preserve"> </w:t>
      </w:r>
      <w:r w:rsidR="00081281" w:rsidRPr="003F78EB">
        <w:rPr>
          <w:b/>
        </w:rPr>
        <w:t>the Working Group</w:t>
      </w:r>
      <w:r w:rsidR="007E0701" w:rsidRPr="003F78EB">
        <w:rPr>
          <w:b/>
        </w:rPr>
        <w:t xml:space="preserve"> would like to highlight its desire to pursue efforts towards more comprehensive and systematic data collection and analysis of progress and challenges, including in the areas </w:t>
      </w:r>
      <w:r w:rsidR="00081281" w:rsidRPr="003F78EB">
        <w:rPr>
          <w:b/>
        </w:rPr>
        <w:t xml:space="preserve">emphasized </w:t>
      </w:r>
      <w:r w:rsidR="007E0701" w:rsidRPr="003F78EB">
        <w:rPr>
          <w:b/>
        </w:rPr>
        <w:t xml:space="preserve">in the report. </w:t>
      </w:r>
      <w:r w:rsidR="00081281" w:rsidRPr="003F78EB">
        <w:rPr>
          <w:b/>
        </w:rPr>
        <w:t>It</w:t>
      </w:r>
      <w:r w:rsidR="007E0701" w:rsidRPr="003F78EB">
        <w:rPr>
          <w:b/>
        </w:rPr>
        <w:t xml:space="preserve"> looks forward to pursuing a dialogue with relevant organizations, in order to </w:t>
      </w:r>
      <w:r w:rsidR="007E0701" w:rsidRPr="003F78EB">
        <w:rPr>
          <w:b/>
        </w:rPr>
        <w:lastRenderedPageBreak/>
        <w:t xml:space="preserve">contribute to more coherent approaches in global governance and ultimately to </w:t>
      </w:r>
      <w:r w:rsidR="00081281" w:rsidRPr="003F78EB">
        <w:rPr>
          <w:b/>
        </w:rPr>
        <w:t xml:space="preserve">improve </w:t>
      </w:r>
      <w:r w:rsidR="007E0701" w:rsidRPr="003F78EB">
        <w:rPr>
          <w:b/>
        </w:rPr>
        <w:t xml:space="preserve">human rights outcomes at </w:t>
      </w:r>
      <w:r w:rsidR="00081281" w:rsidRPr="003F78EB">
        <w:rPr>
          <w:b/>
        </w:rPr>
        <w:t xml:space="preserve">the </w:t>
      </w:r>
      <w:r w:rsidR="007E0701" w:rsidRPr="003F78EB">
        <w:rPr>
          <w:b/>
        </w:rPr>
        <w:t>global and national levels in support of sustainable development.</w:t>
      </w:r>
    </w:p>
    <w:p w:rsidR="00262F3D" w:rsidRPr="00262F3D" w:rsidRDefault="00262F3D" w:rsidP="003F78EB">
      <w:pPr>
        <w:pStyle w:val="SingleTxtG"/>
        <w:spacing w:before="120" w:after="0"/>
        <w:jc w:val="center"/>
        <w:rPr>
          <w:u w:val="single"/>
        </w:rPr>
      </w:pPr>
      <w:r>
        <w:rPr>
          <w:u w:val="single"/>
        </w:rPr>
        <w:tab/>
      </w:r>
      <w:r>
        <w:rPr>
          <w:u w:val="single"/>
        </w:rPr>
        <w:tab/>
      </w:r>
      <w:r>
        <w:rPr>
          <w:u w:val="single"/>
        </w:rPr>
        <w:tab/>
      </w:r>
    </w:p>
    <w:sectPr w:rsidR="00262F3D" w:rsidRPr="00262F3D" w:rsidSect="003A4402">
      <w:headerReference w:type="even" r:id="rId12"/>
      <w:headerReference w:type="default" r:id="rId13"/>
      <w:footerReference w:type="even" r:id="rId14"/>
      <w:footerReference w:type="default" r:id="rId15"/>
      <w:footerReference w:type="first" r:id="rId16"/>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E92" w:rsidRDefault="00EE3E92"/>
  </w:endnote>
  <w:endnote w:type="continuationSeparator" w:id="0">
    <w:p w:rsidR="00EE3E92" w:rsidRDefault="00EE3E92"/>
  </w:endnote>
  <w:endnote w:type="continuationNotice" w:id="1">
    <w:p w:rsidR="00EE3E92" w:rsidRDefault="00EE3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BE" w:rsidRPr="000230DC" w:rsidRDefault="00BA0ABE" w:rsidP="000230DC">
    <w:pPr>
      <w:pStyle w:val="Footer"/>
      <w:tabs>
        <w:tab w:val="right" w:pos="9638"/>
      </w:tabs>
    </w:pPr>
    <w:r w:rsidRPr="000230DC">
      <w:rPr>
        <w:b/>
        <w:sz w:val="18"/>
      </w:rPr>
      <w:fldChar w:fldCharType="begin"/>
    </w:r>
    <w:r w:rsidRPr="000230DC">
      <w:rPr>
        <w:b/>
        <w:sz w:val="18"/>
      </w:rPr>
      <w:instrText xml:space="preserve"> PAGE  \* MERGEFORMAT </w:instrText>
    </w:r>
    <w:r w:rsidRPr="000230DC">
      <w:rPr>
        <w:b/>
        <w:sz w:val="18"/>
      </w:rPr>
      <w:fldChar w:fldCharType="separate"/>
    </w:r>
    <w:r w:rsidR="00DA2A81">
      <w:rPr>
        <w:b/>
        <w:noProof/>
        <w:sz w:val="18"/>
      </w:rPr>
      <w:t>4</w:t>
    </w:r>
    <w:r w:rsidRPr="000230DC">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BE" w:rsidRPr="000230DC" w:rsidRDefault="00BA0ABE" w:rsidP="000230DC">
    <w:pPr>
      <w:pStyle w:val="Footer"/>
      <w:tabs>
        <w:tab w:val="right" w:pos="9638"/>
      </w:tabs>
      <w:rPr>
        <w:b/>
        <w:sz w:val="18"/>
      </w:rPr>
    </w:pPr>
    <w:r>
      <w:tab/>
    </w:r>
    <w:r w:rsidRPr="000230DC">
      <w:rPr>
        <w:b/>
        <w:sz w:val="18"/>
      </w:rPr>
      <w:fldChar w:fldCharType="begin"/>
    </w:r>
    <w:r w:rsidRPr="000230DC">
      <w:rPr>
        <w:b/>
        <w:sz w:val="18"/>
      </w:rPr>
      <w:instrText xml:space="preserve"> PAGE  \* MERGEFORMAT </w:instrText>
    </w:r>
    <w:r w:rsidRPr="000230DC">
      <w:rPr>
        <w:b/>
        <w:sz w:val="18"/>
      </w:rPr>
      <w:fldChar w:fldCharType="separate"/>
    </w:r>
    <w:r w:rsidR="00DA2A81">
      <w:rPr>
        <w:b/>
        <w:noProof/>
        <w:sz w:val="18"/>
      </w:rPr>
      <w:t>3</w:t>
    </w:r>
    <w:r w:rsidRPr="000230D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BE" w:rsidRPr="000230DC" w:rsidRDefault="00962F4E" w:rsidP="00542574">
    <w:r>
      <w:rPr>
        <w:noProof/>
        <w:lang w:eastAsia="zh-CN"/>
      </w:rPr>
      <w:drawing>
        <wp:anchor distT="0" distB="0" distL="114300" distR="114300" simplePos="0" relativeHeight="251659264" behindDoc="0" locked="0" layoutInCell="1" allowOverlap="1" wp14:anchorId="0792BB68" wp14:editId="232C4838">
          <wp:simplePos x="0" y="0"/>
          <wp:positionH relativeFrom="margin">
            <wp:posOffset>4283710</wp:posOffset>
          </wp:positionH>
          <wp:positionV relativeFrom="margin">
            <wp:posOffset>8207375</wp:posOffset>
          </wp:positionV>
          <wp:extent cx="937260" cy="228600"/>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228600"/>
                  </a:xfrm>
                  <a:prstGeom prst="rect">
                    <a:avLst/>
                  </a:prstGeom>
                  <a:noFill/>
                </pic:spPr>
              </pic:pic>
            </a:graphicData>
          </a:graphic>
          <wp14:sizeRelH relativeFrom="page">
            <wp14:pctWidth>0</wp14:pctWidth>
          </wp14:sizeRelH>
          <wp14:sizeRelV relativeFrom="page">
            <wp14:pctHeight>0</wp14:pctHeight>
          </wp14:sizeRelV>
        </wp:anchor>
      </w:drawing>
    </w:r>
    <w:r w:rsidR="00BA0ABE">
      <w:t>GE.15-</w:t>
    </w:r>
    <w:r w:rsidR="007A6D83">
      <w:t>08568</w:t>
    </w:r>
    <w:r>
      <w:t xml:space="preserve">  (E)</w:t>
    </w:r>
    <w:r>
      <w:br/>
    </w:r>
    <w:r w:rsidRPr="00962F4E">
      <w:rPr>
        <w:rFonts w:ascii="C39T30Lfz" w:hAnsi="C39T30Lfz"/>
        <w:sz w:val="56"/>
      </w:rPr>
      <w:t></w:t>
    </w:r>
    <w:r w:rsidRPr="00962F4E">
      <w:rPr>
        <w:rFonts w:ascii="C39T30Lfz" w:hAnsi="C39T30Lfz"/>
        <w:sz w:val="56"/>
      </w:rPr>
      <w:t></w:t>
    </w:r>
    <w:r w:rsidRPr="00962F4E">
      <w:rPr>
        <w:rFonts w:ascii="C39T30Lfz" w:hAnsi="C39T30Lfz"/>
        <w:sz w:val="56"/>
      </w:rPr>
      <w:t></w:t>
    </w:r>
    <w:r w:rsidRPr="00962F4E">
      <w:rPr>
        <w:rFonts w:ascii="C39T30Lfz" w:hAnsi="C39T30Lfz"/>
        <w:sz w:val="56"/>
      </w:rPr>
      <w:t></w:t>
    </w:r>
    <w:r w:rsidRPr="00962F4E">
      <w:rPr>
        <w:rFonts w:ascii="C39T30Lfz" w:hAnsi="C39T30Lfz"/>
        <w:sz w:val="56"/>
      </w:rPr>
      <w:t></w:t>
    </w:r>
    <w:r w:rsidRPr="00962F4E">
      <w:rPr>
        <w:rFonts w:ascii="C39T30Lfz" w:hAnsi="C39T30Lfz"/>
        <w:sz w:val="56"/>
      </w:rPr>
      <w:t></w:t>
    </w:r>
    <w:r w:rsidRPr="00962F4E">
      <w:rPr>
        <w:rFonts w:ascii="C39T30Lfz" w:hAnsi="C39T30Lfz"/>
        <w:sz w:val="56"/>
      </w:rPr>
      <w:t></w:t>
    </w:r>
    <w:r w:rsidRPr="00962F4E">
      <w:rPr>
        <w:rFonts w:ascii="C39T30Lfz" w:hAnsi="C39T30Lfz"/>
        <w:sz w:val="56"/>
      </w:rPr>
      <w:t></w:t>
    </w:r>
    <w:r w:rsidRPr="00962F4E">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E92" w:rsidRPr="000B175B" w:rsidRDefault="00EE3E92" w:rsidP="000B175B">
      <w:pPr>
        <w:tabs>
          <w:tab w:val="right" w:pos="2155"/>
        </w:tabs>
        <w:spacing w:after="80"/>
        <w:ind w:left="680"/>
        <w:rPr>
          <w:u w:val="single"/>
        </w:rPr>
      </w:pPr>
      <w:r>
        <w:rPr>
          <w:u w:val="single"/>
        </w:rPr>
        <w:tab/>
      </w:r>
    </w:p>
  </w:footnote>
  <w:footnote w:type="continuationSeparator" w:id="0">
    <w:p w:rsidR="00EE3E92" w:rsidRPr="00FC68B7" w:rsidRDefault="00EE3E92" w:rsidP="00FC68B7">
      <w:pPr>
        <w:tabs>
          <w:tab w:val="left" w:pos="2155"/>
        </w:tabs>
        <w:spacing w:after="80"/>
        <w:ind w:left="680"/>
        <w:rPr>
          <w:u w:val="single"/>
        </w:rPr>
      </w:pPr>
      <w:r>
        <w:rPr>
          <w:u w:val="single"/>
        </w:rPr>
        <w:tab/>
      </w:r>
    </w:p>
  </w:footnote>
  <w:footnote w:type="continuationNotice" w:id="1">
    <w:p w:rsidR="00EE3E92" w:rsidRDefault="00EE3E92"/>
  </w:footnote>
  <w:footnote w:id="2">
    <w:p w:rsidR="00BA0ABE" w:rsidRPr="003F78EB" w:rsidRDefault="00BA0ABE" w:rsidP="007E0701">
      <w:pPr>
        <w:pStyle w:val="FootnoteText"/>
        <w:spacing w:after="60"/>
        <w:rPr>
          <w:szCs w:val="18"/>
          <w:lang w:val="en-US"/>
        </w:rPr>
      </w:pPr>
      <w:r>
        <w:rPr>
          <w:szCs w:val="18"/>
          <w:lang w:val="en-US"/>
        </w:rPr>
        <w:tab/>
      </w:r>
      <w:r w:rsidRPr="003F78EB">
        <w:rPr>
          <w:rStyle w:val="FootnoteReference"/>
        </w:rPr>
        <w:footnoteRef/>
      </w:r>
      <w:r w:rsidRPr="003F78EB">
        <w:rPr>
          <w:szCs w:val="18"/>
          <w:lang w:val="en-US"/>
        </w:rPr>
        <w:tab/>
        <w:t>Available from http://ec.europa.eu/enterprise/policies/sustainable-business/corporate-social-responsibility/human-rights/.</w:t>
      </w:r>
    </w:p>
  </w:footnote>
  <w:footnote w:id="3">
    <w:p w:rsidR="00BA0ABE" w:rsidRPr="003F78EB" w:rsidRDefault="00BA0ABE" w:rsidP="003E631A">
      <w:pPr>
        <w:pStyle w:val="FootnoteText"/>
        <w:spacing w:after="60"/>
        <w:rPr>
          <w:szCs w:val="18"/>
        </w:rPr>
      </w:pPr>
      <w:r w:rsidRPr="003F78EB">
        <w:rPr>
          <w:szCs w:val="18"/>
        </w:rPr>
        <w:tab/>
      </w:r>
      <w:r w:rsidRPr="003F78EB">
        <w:rPr>
          <w:rStyle w:val="FootnoteReference"/>
        </w:rPr>
        <w:footnoteRef/>
      </w:r>
      <w:r w:rsidRPr="003F78EB">
        <w:rPr>
          <w:szCs w:val="18"/>
        </w:rPr>
        <w:tab/>
        <w:t>Available from www.coe.int/t/dghl/standardsetting/hrpolicy/Other_Committees/HR_and_Business/</w:t>
      </w:r>
      <w:r w:rsidRPr="003F78EB">
        <w:rPr>
          <w:szCs w:val="18"/>
        </w:rPr>
        <w:br/>
        <w:t>Default_en.asp.</w:t>
      </w:r>
    </w:p>
  </w:footnote>
  <w:footnote w:id="4">
    <w:p w:rsidR="00BA0ABE" w:rsidRPr="003F78EB" w:rsidRDefault="00BA0ABE" w:rsidP="001E1DAA">
      <w:pPr>
        <w:pStyle w:val="FootnoteText"/>
        <w:spacing w:after="60"/>
        <w:rPr>
          <w:szCs w:val="18"/>
        </w:rPr>
      </w:pPr>
      <w:r w:rsidRPr="003F78EB">
        <w:rPr>
          <w:szCs w:val="18"/>
        </w:rPr>
        <w:tab/>
      </w:r>
      <w:r w:rsidRPr="003F78EB">
        <w:rPr>
          <w:rStyle w:val="FootnoteReference"/>
        </w:rPr>
        <w:footnoteRef/>
      </w:r>
      <w:r w:rsidRPr="003F78EB">
        <w:rPr>
          <w:szCs w:val="18"/>
        </w:rPr>
        <w:tab/>
      </w:r>
      <w:hyperlink r:id="rId1" w:history="1">
        <w:r w:rsidRPr="003F78EB">
          <w:rPr>
            <w:rStyle w:val="Hyperlink"/>
            <w:szCs w:val="18"/>
          </w:rPr>
          <w:t>OAS</w:t>
        </w:r>
      </w:hyperlink>
      <w:r w:rsidRPr="003F78EB">
        <w:rPr>
          <w:szCs w:val="18"/>
        </w:rPr>
        <w:t xml:space="preserve"> General Assembly resolution 2840 (XLIV-O/14).</w:t>
      </w:r>
    </w:p>
  </w:footnote>
  <w:footnote w:id="5">
    <w:p w:rsidR="00BA0ABE" w:rsidRPr="003F78EB" w:rsidRDefault="00BA0ABE" w:rsidP="001E1DAA">
      <w:pPr>
        <w:pStyle w:val="FootnoteText"/>
        <w:spacing w:after="60"/>
        <w:rPr>
          <w:szCs w:val="18"/>
        </w:rPr>
      </w:pPr>
      <w:r w:rsidRPr="003F78EB">
        <w:rPr>
          <w:szCs w:val="18"/>
        </w:rPr>
        <w:tab/>
      </w:r>
      <w:r w:rsidRPr="003F78EB">
        <w:rPr>
          <w:rStyle w:val="FootnoteReference"/>
        </w:rPr>
        <w:footnoteRef/>
      </w:r>
      <w:r w:rsidRPr="003F78EB">
        <w:rPr>
          <w:szCs w:val="18"/>
        </w:rPr>
        <w:tab/>
      </w:r>
      <w:r w:rsidRPr="003F78EB">
        <w:rPr>
          <w:color w:val="000000"/>
          <w:szCs w:val="18"/>
          <w:shd w:val="clear" w:color="auto" w:fill="FFFFFF"/>
        </w:rPr>
        <w:t xml:space="preserve">See </w:t>
      </w:r>
      <w:r w:rsidRPr="003F78EB">
        <w:rPr>
          <w:color w:val="000000"/>
          <w:szCs w:val="18"/>
          <w:shd w:val="clear" w:color="auto" w:fill="FFFFFF"/>
          <w:lang w:val="en-US"/>
        </w:rPr>
        <w:t xml:space="preserve">OHCHR press release (18 September 2014), </w:t>
      </w:r>
      <w:r w:rsidRPr="003F78EB">
        <w:rPr>
          <w:color w:val="000000"/>
          <w:szCs w:val="18"/>
          <w:shd w:val="clear" w:color="auto" w:fill="FFFFFF"/>
        </w:rPr>
        <w:t>“UN and AU commit to advance business and human rights agenda in Africa</w:t>
      </w:r>
      <w:r w:rsidRPr="003F78EB">
        <w:rPr>
          <w:color w:val="000000"/>
          <w:szCs w:val="18"/>
          <w:shd w:val="clear" w:color="auto" w:fill="FFFFFF"/>
          <w:lang w:val="en-US"/>
        </w:rPr>
        <w:t xml:space="preserve">”, </w:t>
      </w:r>
      <w:hyperlink r:id="rId2" w:history="1">
        <w:r w:rsidRPr="003F78EB">
          <w:rPr>
            <w:rStyle w:val="Hyperlink"/>
            <w:szCs w:val="18"/>
            <w:shd w:val="clear" w:color="auto" w:fill="FFFFFF"/>
            <w:lang w:val="en-US"/>
          </w:rPr>
          <w:t>available from www.ohchr.org/EN/NewsEvents/Pages/</w:t>
        </w:r>
        <w:r w:rsidRPr="003F78EB">
          <w:rPr>
            <w:rStyle w:val="Hyperlink"/>
            <w:szCs w:val="18"/>
            <w:shd w:val="clear" w:color="auto" w:fill="FFFFFF"/>
            <w:lang w:val="en-US"/>
          </w:rPr>
          <w:br/>
        </w:r>
        <w:proofErr w:type="spellStart"/>
        <w:r w:rsidRPr="003F78EB">
          <w:rPr>
            <w:rStyle w:val="Hyperlink"/>
            <w:szCs w:val="18"/>
            <w:shd w:val="clear" w:color="auto" w:fill="FFFFFF"/>
            <w:lang w:val="en-US"/>
          </w:rPr>
          <w:t>DisplayNews.aspx?NewsID</w:t>
        </w:r>
        <w:proofErr w:type="spellEnd"/>
        <w:r w:rsidRPr="003F78EB">
          <w:rPr>
            <w:rStyle w:val="Hyperlink"/>
            <w:szCs w:val="18"/>
            <w:shd w:val="clear" w:color="auto" w:fill="FFFFFF"/>
            <w:lang w:val="en-US"/>
          </w:rPr>
          <w:t>=15053</w:t>
        </w:r>
      </w:hyperlink>
      <w:r w:rsidRPr="003F78EB">
        <w:rPr>
          <w:color w:val="000000"/>
          <w:szCs w:val="18"/>
          <w:shd w:val="clear" w:color="auto" w:fill="FFFFFF"/>
          <w:lang w:val="en-US"/>
        </w:rPr>
        <w:t>.</w:t>
      </w:r>
    </w:p>
  </w:footnote>
  <w:footnote w:id="6">
    <w:p w:rsidR="00BA0ABE" w:rsidRPr="003F78EB" w:rsidRDefault="00BA0ABE" w:rsidP="007E0701">
      <w:pPr>
        <w:pStyle w:val="FootnoteText"/>
        <w:spacing w:after="60"/>
        <w:rPr>
          <w:szCs w:val="18"/>
        </w:rPr>
      </w:pPr>
      <w:r w:rsidRPr="003F78EB">
        <w:rPr>
          <w:szCs w:val="18"/>
        </w:rPr>
        <w:tab/>
      </w:r>
      <w:r w:rsidRPr="003F78EB">
        <w:rPr>
          <w:rStyle w:val="FootnoteReference"/>
        </w:rPr>
        <w:footnoteRef/>
      </w:r>
      <w:r w:rsidRPr="003F78EB">
        <w:rPr>
          <w:szCs w:val="18"/>
        </w:rPr>
        <w:tab/>
        <w:t>Available from business-humanrights.org/sites/default/files/documents/AICHRs_Thematic_Study_on_</w:t>
      </w:r>
      <w:r w:rsidRPr="003F78EB">
        <w:rPr>
          <w:szCs w:val="18"/>
        </w:rPr>
        <w:br/>
        <w:t>CSR_and_Human_Rights_in_ASEAN.pdf.</w:t>
      </w:r>
    </w:p>
  </w:footnote>
  <w:footnote w:id="7">
    <w:p w:rsidR="00BA0ABE" w:rsidRPr="003F78EB" w:rsidRDefault="00BA0ABE" w:rsidP="00141A3F">
      <w:pPr>
        <w:pStyle w:val="FootnoteText"/>
        <w:spacing w:after="60"/>
        <w:rPr>
          <w:szCs w:val="18"/>
        </w:rPr>
      </w:pPr>
      <w:r w:rsidRPr="003F78EB">
        <w:rPr>
          <w:szCs w:val="18"/>
        </w:rPr>
        <w:tab/>
      </w:r>
      <w:r w:rsidRPr="003F78EB">
        <w:rPr>
          <w:rStyle w:val="FootnoteReference"/>
        </w:rPr>
        <w:footnoteRef/>
      </w:r>
      <w:r w:rsidRPr="003F78EB">
        <w:rPr>
          <w:szCs w:val="18"/>
        </w:rPr>
        <w:tab/>
        <w:t xml:space="preserve">See the Working Group’s web page for State national action plans at </w:t>
      </w:r>
      <w:hyperlink r:id="rId3" w:history="1">
        <w:r w:rsidRPr="003F78EB">
          <w:rPr>
            <w:rStyle w:val="Hyperlink"/>
            <w:szCs w:val="18"/>
          </w:rPr>
          <w:t>www.ohchr.org/EN/</w:t>
        </w:r>
        <w:r w:rsidRPr="003F78EB">
          <w:rPr>
            <w:rStyle w:val="Hyperlink"/>
            <w:szCs w:val="18"/>
          </w:rPr>
          <w:br/>
          <w:t>Issues/Business/Pages/NationalActionPlans.aspx</w:t>
        </w:r>
      </w:hyperlink>
      <w:r w:rsidRPr="003F78EB">
        <w:rPr>
          <w:szCs w:val="18"/>
        </w:rPr>
        <w:t>. See also http://business-humanrights.org/en/un-guiding-principles/implementation-tools-examples/implementation-by-governments/by-type-of-initiative/national-action-plans.</w:t>
      </w:r>
    </w:p>
  </w:footnote>
  <w:footnote w:id="8">
    <w:p w:rsidR="00BA0ABE" w:rsidRPr="003F78EB" w:rsidRDefault="00BA0ABE" w:rsidP="00B817C2">
      <w:pPr>
        <w:pStyle w:val="FootnoteText"/>
        <w:spacing w:after="60"/>
        <w:rPr>
          <w:szCs w:val="18"/>
        </w:rPr>
      </w:pPr>
      <w:r w:rsidRPr="003F78EB">
        <w:rPr>
          <w:szCs w:val="18"/>
        </w:rPr>
        <w:tab/>
      </w:r>
      <w:r w:rsidRPr="003F78EB">
        <w:rPr>
          <w:rStyle w:val="FootnoteReference"/>
        </w:rPr>
        <w:footnoteRef/>
      </w:r>
      <w:r w:rsidRPr="003F78EB">
        <w:rPr>
          <w:szCs w:val="18"/>
        </w:rPr>
        <w:tab/>
      </w:r>
      <w:hyperlink r:id="rId4" w:history="1">
        <w:r w:rsidRPr="003F78EB">
          <w:rPr>
            <w:rStyle w:val="Hyperlink"/>
            <w:szCs w:val="18"/>
          </w:rPr>
          <w:t>Available</w:t>
        </w:r>
      </w:hyperlink>
      <w:r w:rsidRPr="003F78EB">
        <w:rPr>
          <w:szCs w:val="18"/>
        </w:rPr>
        <w:t xml:space="preserve"> from www.ohchr.org/EN/Issues/Business/Pages/ImplementationGP.aspx.</w:t>
      </w:r>
    </w:p>
  </w:footnote>
  <w:footnote w:id="9">
    <w:p w:rsidR="00BA0ABE" w:rsidRPr="003F78EB" w:rsidRDefault="00BA0ABE" w:rsidP="007E0701">
      <w:pPr>
        <w:pStyle w:val="FootnoteText"/>
        <w:spacing w:after="60"/>
        <w:rPr>
          <w:szCs w:val="18"/>
        </w:rPr>
      </w:pPr>
      <w:r w:rsidRPr="003F78EB">
        <w:rPr>
          <w:szCs w:val="18"/>
        </w:rPr>
        <w:tab/>
      </w:r>
      <w:r w:rsidRPr="003F78EB">
        <w:rPr>
          <w:rStyle w:val="FootnoteReference"/>
        </w:rPr>
        <w:footnoteRef/>
      </w:r>
      <w:r w:rsidRPr="003F78EB">
        <w:rPr>
          <w:szCs w:val="18"/>
        </w:rPr>
        <w:tab/>
        <w:t>Available from www.economistinsights.com/business-strategy/analysis/road-principles-practice.</w:t>
      </w:r>
    </w:p>
  </w:footnote>
  <w:footnote w:id="10">
    <w:p w:rsidR="00BA0ABE" w:rsidRPr="003F78EB" w:rsidRDefault="00BA0ABE" w:rsidP="00086AC7">
      <w:pPr>
        <w:pStyle w:val="FootnoteText"/>
        <w:spacing w:after="60"/>
        <w:rPr>
          <w:szCs w:val="18"/>
        </w:rPr>
      </w:pPr>
      <w:r w:rsidRPr="003F78EB">
        <w:rPr>
          <w:szCs w:val="18"/>
        </w:rPr>
        <w:tab/>
      </w:r>
      <w:r w:rsidRPr="003F78EB">
        <w:rPr>
          <w:rStyle w:val="FootnoteReference"/>
        </w:rPr>
        <w:footnoteRef/>
      </w:r>
      <w:r w:rsidRPr="003F78EB">
        <w:rPr>
          <w:szCs w:val="18"/>
        </w:rPr>
        <w:tab/>
        <w:t>See e.g. the Working Group’s report on identifying emerging approaches and lessons learned in corporate respect for human rights: reflections from discussions held at the 2014 Forum on Business and Human Rights (A/HRC/29/28/Add.3).</w:t>
      </w:r>
    </w:p>
  </w:footnote>
  <w:footnote w:id="11">
    <w:p w:rsidR="00BA0ABE" w:rsidRPr="003F78EB" w:rsidRDefault="00BA0ABE" w:rsidP="00086AC7">
      <w:pPr>
        <w:pStyle w:val="FootnoteText"/>
        <w:rPr>
          <w:szCs w:val="18"/>
        </w:rPr>
      </w:pPr>
      <w:r w:rsidRPr="003F78EB">
        <w:rPr>
          <w:szCs w:val="18"/>
        </w:rPr>
        <w:tab/>
      </w:r>
      <w:r w:rsidRPr="003F78EB">
        <w:rPr>
          <w:rStyle w:val="FootnoteReference"/>
        </w:rPr>
        <w:footnoteRef/>
      </w:r>
      <w:r w:rsidRPr="003F78EB">
        <w:rPr>
          <w:szCs w:val="18"/>
        </w:rPr>
        <w:tab/>
      </w:r>
      <w:hyperlink r:id="rId5" w:history="1">
        <w:r w:rsidRPr="003F78EB">
          <w:rPr>
            <w:rStyle w:val="Hyperlink"/>
            <w:szCs w:val="18"/>
          </w:rPr>
          <w:t>Available from www.icmm.com/page/84154/our-work/projects/articles/business-and-human-rights</w:t>
        </w:r>
      </w:hyperlink>
      <w:r w:rsidRPr="003F78EB">
        <w:rPr>
          <w:szCs w:val="18"/>
        </w:rPr>
        <w:t xml:space="preserve"> and www.ipieca.org/topic/human-rights/resources.</w:t>
      </w:r>
    </w:p>
  </w:footnote>
  <w:footnote w:id="12">
    <w:p w:rsidR="00BA0ABE" w:rsidRPr="003F78EB" w:rsidRDefault="00BA0ABE" w:rsidP="001E1DAA">
      <w:pPr>
        <w:pStyle w:val="FootnoteText"/>
        <w:spacing w:after="60"/>
        <w:rPr>
          <w:szCs w:val="18"/>
        </w:rPr>
      </w:pPr>
      <w:r w:rsidRPr="003F78EB">
        <w:rPr>
          <w:szCs w:val="18"/>
        </w:rPr>
        <w:tab/>
      </w:r>
      <w:r w:rsidRPr="003F78EB">
        <w:rPr>
          <w:rStyle w:val="FootnoteReference"/>
        </w:rPr>
        <w:footnoteRef/>
      </w:r>
      <w:r w:rsidRPr="003F78EB">
        <w:rPr>
          <w:szCs w:val="18"/>
        </w:rPr>
        <w:tab/>
        <w:t xml:space="preserve">See the International Bar Association guidance for bar associations and business lawyers on the implementation of the Guiding Principles, at </w:t>
      </w:r>
      <w:hyperlink r:id="rId6" w:history="1">
        <w:r w:rsidRPr="003F78EB">
          <w:rPr>
            <w:rStyle w:val="Hyperlink"/>
            <w:szCs w:val="18"/>
          </w:rPr>
          <w:t>www.ibanet.org/Legal_Projects_</w:t>
        </w:r>
        <w:r w:rsidRPr="003F78EB">
          <w:rPr>
            <w:rStyle w:val="Hyperlink"/>
            <w:szCs w:val="18"/>
          </w:rPr>
          <w:br/>
          <w:t>Team/Business_and_Human_Rights_for_the_Legal_Profession.aspx</w:t>
        </w:r>
      </w:hyperlink>
      <w:r w:rsidRPr="003F78EB">
        <w:rPr>
          <w:szCs w:val="18"/>
        </w:rPr>
        <w:t xml:space="preserve">. For development of human rights compliance policies among individual law firms, see </w:t>
      </w:r>
      <w:hyperlink r:id="rId7" w:history="1">
        <w:r w:rsidRPr="003F78EB">
          <w:rPr>
            <w:rStyle w:val="Hyperlink"/>
            <w:szCs w:val="18"/>
          </w:rPr>
          <w:t>www.ibanet.org/Article/</w:t>
        </w:r>
        <w:r w:rsidRPr="003F78EB">
          <w:rPr>
            <w:rStyle w:val="Hyperlink"/>
            <w:szCs w:val="18"/>
          </w:rPr>
          <w:br/>
        </w:r>
        <w:proofErr w:type="spellStart"/>
        <w:r w:rsidRPr="003F78EB">
          <w:rPr>
            <w:rStyle w:val="Hyperlink"/>
            <w:szCs w:val="18"/>
          </w:rPr>
          <w:t>Detail.aspx?ArticleUid</w:t>
        </w:r>
        <w:proofErr w:type="spellEnd"/>
        <w:r w:rsidRPr="003F78EB">
          <w:rPr>
            <w:rStyle w:val="Hyperlink"/>
            <w:szCs w:val="18"/>
          </w:rPr>
          <w:t>=68762a20-bf17-4f85-8c4f-81e3bbe88c16</w:t>
        </w:r>
      </w:hyperlink>
      <w:r w:rsidRPr="003F78EB">
        <w:rPr>
          <w:szCs w:val="18"/>
        </w:rPr>
        <w:t xml:space="preserve">. </w:t>
      </w:r>
    </w:p>
  </w:footnote>
  <w:footnote w:id="13">
    <w:p w:rsidR="00BA0ABE" w:rsidRPr="003F78EB" w:rsidRDefault="00BA0ABE" w:rsidP="00A838B7">
      <w:pPr>
        <w:pStyle w:val="FootnoteText"/>
        <w:spacing w:after="60"/>
        <w:rPr>
          <w:szCs w:val="18"/>
          <w:lang w:val="en-US"/>
        </w:rPr>
      </w:pPr>
      <w:r w:rsidRPr="003F78EB">
        <w:rPr>
          <w:szCs w:val="18"/>
          <w:lang w:val="en-US"/>
        </w:rPr>
        <w:tab/>
      </w:r>
      <w:r w:rsidRPr="003F78EB">
        <w:rPr>
          <w:rStyle w:val="FootnoteReference"/>
        </w:rPr>
        <w:footnoteRef/>
      </w:r>
      <w:r w:rsidRPr="003F78EB">
        <w:rPr>
          <w:szCs w:val="18"/>
          <w:lang w:val="en-US"/>
        </w:rPr>
        <w:tab/>
        <w:t>See for example a statement by investors with a total of USD 3.91 trillion under asset management, in support of a reporting framework developed by the Shift non-profit organization to assist companies in implementing the Guiding Principles, available from www.ungpreporting.org/early-adopters/investor-statement/.</w:t>
      </w:r>
    </w:p>
  </w:footnote>
  <w:footnote w:id="14">
    <w:p w:rsidR="00BA0ABE" w:rsidRPr="003F78EB" w:rsidRDefault="00BA0ABE" w:rsidP="007E0701">
      <w:pPr>
        <w:pStyle w:val="FootnoteText"/>
        <w:spacing w:after="60"/>
        <w:rPr>
          <w:szCs w:val="18"/>
        </w:rPr>
      </w:pPr>
      <w:r w:rsidRPr="003F78EB">
        <w:rPr>
          <w:szCs w:val="18"/>
        </w:rPr>
        <w:tab/>
      </w:r>
      <w:r w:rsidRPr="003F78EB">
        <w:rPr>
          <w:rStyle w:val="FootnoteReference"/>
        </w:rPr>
        <w:footnoteRef/>
      </w:r>
      <w:r w:rsidRPr="003F78EB">
        <w:rPr>
          <w:szCs w:val="18"/>
        </w:rPr>
        <w:tab/>
      </w:r>
      <w:hyperlink r:id="rId8" w:history="1">
        <w:r w:rsidRPr="003F78EB">
          <w:rPr>
            <w:rStyle w:val="Hyperlink"/>
            <w:szCs w:val="18"/>
          </w:rPr>
          <w:t>Available from business-humanrights.org/</w:t>
        </w:r>
        <w:proofErr w:type="spellStart"/>
        <w:r w:rsidRPr="003F78EB">
          <w:rPr>
            <w:rStyle w:val="Hyperlink"/>
            <w:szCs w:val="18"/>
          </w:rPr>
          <w:t>en</w:t>
        </w:r>
        <w:proofErr w:type="spellEnd"/>
        <w:r w:rsidRPr="003F78EB">
          <w:rPr>
            <w:rStyle w:val="Hyperlink"/>
            <w:szCs w:val="18"/>
          </w:rPr>
          <w:t>/company-action-platform</w:t>
        </w:r>
      </w:hyperlink>
      <w:r w:rsidRPr="003F78EB">
        <w:rPr>
          <w:szCs w:val="18"/>
        </w:rPr>
        <w:t xml:space="preserve"> and business-humanrights.org/en/government-action-platform.</w:t>
      </w:r>
    </w:p>
  </w:footnote>
  <w:footnote w:id="15">
    <w:p w:rsidR="00BA0ABE" w:rsidRPr="003F78EB" w:rsidRDefault="00BA0ABE" w:rsidP="007E0701">
      <w:pPr>
        <w:pStyle w:val="FootnoteText"/>
        <w:spacing w:after="60"/>
        <w:rPr>
          <w:szCs w:val="18"/>
        </w:rPr>
      </w:pPr>
      <w:r w:rsidRPr="003F78EB">
        <w:rPr>
          <w:szCs w:val="18"/>
        </w:rPr>
        <w:tab/>
      </w:r>
      <w:r w:rsidRPr="003F78EB">
        <w:rPr>
          <w:rStyle w:val="FootnoteReference"/>
        </w:rPr>
        <w:footnoteRef/>
      </w:r>
      <w:r w:rsidRPr="003F78EB">
        <w:rPr>
          <w:szCs w:val="18"/>
        </w:rPr>
        <w:tab/>
        <w:t>Available from www.ungpreporting.org/.</w:t>
      </w:r>
    </w:p>
  </w:footnote>
  <w:footnote w:id="16">
    <w:p w:rsidR="00BA0ABE" w:rsidRPr="003F78EB" w:rsidRDefault="00BA0ABE" w:rsidP="007E0701">
      <w:pPr>
        <w:pStyle w:val="FootnoteText"/>
        <w:spacing w:after="60"/>
        <w:rPr>
          <w:szCs w:val="18"/>
          <w:lang w:val="en-US"/>
        </w:rPr>
      </w:pPr>
      <w:r w:rsidRPr="003F78EB">
        <w:rPr>
          <w:szCs w:val="18"/>
          <w:lang w:val="en-US"/>
        </w:rPr>
        <w:tab/>
      </w:r>
      <w:r w:rsidRPr="003F78EB">
        <w:rPr>
          <w:rStyle w:val="FootnoteReference"/>
        </w:rPr>
        <w:footnoteRef/>
      </w:r>
      <w:r w:rsidRPr="003F78EB">
        <w:rPr>
          <w:szCs w:val="18"/>
          <w:lang w:val="en-US"/>
        </w:rPr>
        <w:tab/>
        <w:t>See “Rankings, Benchmarks, Reporting and More: Motivating Action on Business and Human Rights”, available from www.huffingtonpost.com/amol-mehra/rankings-benchmarks-repor_b_6761934.html.</w:t>
      </w:r>
    </w:p>
  </w:footnote>
  <w:footnote w:id="17">
    <w:p w:rsidR="00BA0ABE" w:rsidRPr="003F78EB" w:rsidRDefault="00BA0ABE" w:rsidP="00DD327E">
      <w:pPr>
        <w:pStyle w:val="FootnoteText"/>
        <w:spacing w:after="60"/>
        <w:rPr>
          <w:szCs w:val="18"/>
        </w:rPr>
      </w:pPr>
      <w:r w:rsidRPr="003F78EB">
        <w:rPr>
          <w:szCs w:val="18"/>
        </w:rPr>
        <w:tab/>
      </w:r>
      <w:r w:rsidRPr="003F78EB">
        <w:rPr>
          <w:rStyle w:val="FootnoteReference"/>
        </w:rPr>
        <w:footnoteRef/>
      </w:r>
      <w:r w:rsidRPr="003F78EB">
        <w:rPr>
          <w:szCs w:val="18"/>
        </w:rPr>
        <w:tab/>
        <w:t>For example, the Special Rapporteur on the right to food developed guiding principles on human rights impact assessments of trade and investment agreements (</w:t>
      </w:r>
      <w:r w:rsidRPr="003F78EB">
        <w:rPr>
          <w:bCs/>
          <w:szCs w:val="18"/>
        </w:rPr>
        <w:t xml:space="preserve">A/HRC/19/59/Add.5). See also the statement by the </w:t>
      </w:r>
      <w:r w:rsidRPr="003F78EB">
        <w:rPr>
          <w:szCs w:val="18"/>
        </w:rPr>
        <w:t xml:space="preserve">Committee on Economic, Social and Cultural Rights entitled “Globalization and economic, social and cultural rights” (1998). </w:t>
      </w:r>
    </w:p>
  </w:footnote>
  <w:footnote w:id="18">
    <w:p w:rsidR="00BA0ABE" w:rsidRPr="003F78EB" w:rsidRDefault="00BA0ABE" w:rsidP="00E618D4">
      <w:pPr>
        <w:pStyle w:val="FootnoteText"/>
        <w:spacing w:after="60"/>
        <w:rPr>
          <w:szCs w:val="18"/>
          <w:lang w:val="en-US"/>
        </w:rPr>
      </w:pPr>
      <w:r w:rsidRPr="003F78EB">
        <w:rPr>
          <w:szCs w:val="18"/>
          <w:lang w:val="en-US"/>
        </w:rPr>
        <w:tab/>
      </w:r>
      <w:r w:rsidRPr="003F78EB">
        <w:rPr>
          <w:rStyle w:val="FootnoteReference"/>
        </w:rPr>
        <w:footnoteRef/>
      </w:r>
      <w:r w:rsidRPr="003F78EB">
        <w:rPr>
          <w:szCs w:val="18"/>
          <w:lang w:val="en-US"/>
        </w:rPr>
        <w:tab/>
        <w:t>A catalogue of some of this work is available from http://business-humanrights.org/en/special-representative/un-secretary-generals-special-representative-on-business-human-rights/</w:t>
      </w:r>
      <w:r w:rsidRPr="003F78EB">
        <w:rPr>
          <w:szCs w:val="18"/>
          <w:lang w:val="en-US"/>
        </w:rPr>
        <w:br/>
        <w:t>materials-by-topic/investment.</w:t>
      </w:r>
    </w:p>
  </w:footnote>
  <w:footnote w:id="19">
    <w:p w:rsidR="00BA0ABE" w:rsidRPr="003F78EB" w:rsidRDefault="00BA0ABE" w:rsidP="007E0701">
      <w:pPr>
        <w:pStyle w:val="FootnoteText"/>
        <w:spacing w:after="60"/>
        <w:rPr>
          <w:szCs w:val="18"/>
          <w:lang w:val="en-US"/>
        </w:rPr>
      </w:pPr>
      <w:r w:rsidRPr="003F78EB">
        <w:rPr>
          <w:szCs w:val="18"/>
        </w:rPr>
        <w:tab/>
      </w:r>
      <w:r w:rsidRPr="003F78EB">
        <w:rPr>
          <w:rStyle w:val="FootnoteReference"/>
        </w:rPr>
        <w:footnoteRef/>
      </w:r>
      <w:r w:rsidRPr="003F78EB">
        <w:rPr>
          <w:szCs w:val="18"/>
        </w:rPr>
        <w:tab/>
        <w:t>Available from www.ohchr.org/EN/Issues/Business/Pages/trainingmodules.aspx.</w:t>
      </w:r>
    </w:p>
  </w:footnote>
  <w:footnote w:id="20">
    <w:p w:rsidR="00BA0ABE" w:rsidRPr="003F78EB" w:rsidRDefault="00BA0ABE" w:rsidP="007E0701">
      <w:pPr>
        <w:pStyle w:val="FootnoteText"/>
        <w:spacing w:after="60"/>
        <w:rPr>
          <w:szCs w:val="18"/>
          <w:lang w:val="en-US"/>
        </w:rPr>
      </w:pPr>
      <w:r w:rsidRPr="003F78EB">
        <w:rPr>
          <w:szCs w:val="18"/>
          <w:lang w:val="en-US"/>
        </w:rPr>
        <w:tab/>
      </w:r>
      <w:r w:rsidRPr="003F78EB">
        <w:rPr>
          <w:rStyle w:val="FootnoteReference"/>
        </w:rPr>
        <w:footnoteRef/>
      </w:r>
      <w:r w:rsidRPr="003F78EB">
        <w:rPr>
          <w:szCs w:val="18"/>
          <w:lang w:val="en-US"/>
        </w:rPr>
        <w:tab/>
        <w:t>http://unctad.org/en/PublicationsLibrary/diaepcb2012d5_en.pdf.</w:t>
      </w:r>
    </w:p>
  </w:footnote>
  <w:footnote w:id="21">
    <w:p w:rsidR="00BA0ABE" w:rsidRPr="003F78EB" w:rsidRDefault="00BA0ABE" w:rsidP="0040252C">
      <w:pPr>
        <w:pStyle w:val="FootnoteText"/>
        <w:spacing w:after="60"/>
        <w:rPr>
          <w:szCs w:val="18"/>
          <w:lang w:val="en-US"/>
        </w:rPr>
      </w:pPr>
      <w:r w:rsidRPr="003F78EB">
        <w:rPr>
          <w:szCs w:val="18"/>
          <w:lang w:val="en-US"/>
        </w:rPr>
        <w:tab/>
      </w:r>
      <w:r w:rsidRPr="003F78EB">
        <w:rPr>
          <w:rStyle w:val="FootnoteReference"/>
        </w:rPr>
        <w:footnoteRef/>
      </w:r>
      <w:r w:rsidRPr="003F78EB">
        <w:rPr>
          <w:szCs w:val="18"/>
          <w:lang w:val="en-US"/>
        </w:rPr>
        <w:tab/>
        <w:t>See summary prepared by the London School of Economics Laboratory for Advanced Research on the Global Economy Investment and Human Rights Project, available from http://blogs.lse.ac.uk/.</w:t>
      </w:r>
      <w:r w:rsidRPr="003F78EB">
        <w:rPr>
          <w:szCs w:val="18"/>
          <w:lang w:val="en-US"/>
        </w:rPr>
        <w:br/>
        <w:t>investment-and-human-rights/portfolio-items/background-and-summary-investment-human-rights-relevance-and-integration-panel-discussions-2014-world-investment-forum/.</w:t>
      </w:r>
    </w:p>
  </w:footnote>
  <w:footnote w:id="22">
    <w:p w:rsidR="00BA0ABE" w:rsidRPr="003F78EB" w:rsidRDefault="00BA0ABE" w:rsidP="007E0701">
      <w:pPr>
        <w:pStyle w:val="FootnoteText"/>
        <w:spacing w:after="60"/>
        <w:rPr>
          <w:szCs w:val="18"/>
        </w:rPr>
      </w:pPr>
      <w:r w:rsidRPr="003F78EB">
        <w:rPr>
          <w:szCs w:val="18"/>
        </w:rPr>
        <w:tab/>
      </w:r>
      <w:r w:rsidRPr="003F78EB">
        <w:rPr>
          <w:rStyle w:val="FootnoteReference"/>
        </w:rPr>
        <w:footnoteRef/>
      </w:r>
      <w:r w:rsidRPr="003F78EB">
        <w:rPr>
          <w:szCs w:val="18"/>
        </w:rPr>
        <w:tab/>
        <w:t>Available from http://unctad.org/en/Pages/DIAE/Corporate-Social-Responsibility.aspx.</w:t>
      </w:r>
    </w:p>
  </w:footnote>
  <w:footnote w:id="23">
    <w:p w:rsidR="00BA0ABE" w:rsidRPr="003F78EB" w:rsidRDefault="00BA0ABE" w:rsidP="00DF2C64">
      <w:pPr>
        <w:pStyle w:val="FootnoteText"/>
        <w:spacing w:after="60"/>
        <w:rPr>
          <w:szCs w:val="18"/>
        </w:rPr>
      </w:pPr>
      <w:r w:rsidRPr="003F78EB">
        <w:rPr>
          <w:szCs w:val="18"/>
        </w:rPr>
        <w:tab/>
      </w:r>
      <w:r w:rsidRPr="003F78EB">
        <w:rPr>
          <w:rStyle w:val="FootnoteReference"/>
        </w:rPr>
        <w:footnoteRef/>
      </w:r>
      <w:r w:rsidRPr="003F78EB">
        <w:rPr>
          <w:szCs w:val="18"/>
        </w:rPr>
        <w:tab/>
        <w:t xml:space="preserve">For a summary of some the findings, see UNCTAD, World Investment Report 2013, </w:t>
      </w:r>
      <w:proofErr w:type="spellStart"/>
      <w:r w:rsidRPr="003F78EB">
        <w:rPr>
          <w:szCs w:val="18"/>
        </w:rPr>
        <w:t>chapt</w:t>
      </w:r>
      <w:proofErr w:type="spellEnd"/>
      <w:r w:rsidRPr="003F78EB">
        <w:rPr>
          <w:szCs w:val="18"/>
        </w:rPr>
        <w:t>. IV, sect. D, 4.b.</w:t>
      </w:r>
    </w:p>
  </w:footnote>
  <w:footnote w:id="24">
    <w:p w:rsidR="00BA0ABE" w:rsidRPr="003F78EB" w:rsidRDefault="00BA0ABE" w:rsidP="004059B4">
      <w:pPr>
        <w:pStyle w:val="FootnoteText"/>
        <w:spacing w:after="60"/>
        <w:rPr>
          <w:szCs w:val="18"/>
        </w:rPr>
      </w:pPr>
      <w:r w:rsidRPr="003F78EB">
        <w:rPr>
          <w:szCs w:val="18"/>
        </w:rPr>
        <w:tab/>
      </w:r>
      <w:r w:rsidRPr="003F78EB">
        <w:rPr>
          <w:rStyle w:val="FootnoteReference"/>
        </w:rPr>
        <w:footnoteRef/>
      </w:r>
      <w:r w:rsidRPr="003F78EB">
        <w:rPr>
          <w:szCs w:val="18"/>
        </w:rPr>
        <w:tab/>
        <w:t>www.csrroundtable.org/about/.</w:t>
      </w:r>
    </w:p>
  </w:footnote>
  <w:footnote w:id="25">
    <w:p w:rsidR="00BA0ABE" w:rsidRPr="003F78EB" w:rsidRDefault="00BA0ABE" w:rsidP="004059B4">
      <w:pPr>
        <w:pStyle w:val="FootnoteText"/>
        <w:spacing w:after="60"/>
        <w:rPr>
          <w:szCs w:val="18"/>
        </w:rPr>
      </w:pPr>
      <w:r w:rsidRPr="003F78EB">
        <w:rPr>
          <w:szCs w:val="18"/>
        </w:rPr>
        <w:tab/>
      </w:r>
      <w:r w:rsidRPr="003F78EB">
        <w:rPr>
          <w:rStyle w:val="FootnoteReference"/>
        </w:rPr>
        <w:footnoteRef/>
      </w:r>
      <w:r w:rsidRPr="003F78EB">
        <w:rPr>
          <w:szCs w:val="18"/>
        </w:rPr>
        <w:tab/>
        <w:t>www.ungpreporting.org/.</w:t>
      </w:r>
    </w:p>
  </w:footnote>
  <w:footnote w:id="26">
    <w:p w:rsidR="00BA0ABE" w:rsidRPr="003F78EB" w:rsidRDefault="00BA0ABE" w:rsidP="004059B4">
      <w:pPr>
        <w:pStyle w:val="FootnoteText"/>
        <w:spacing w:after="60"/>
        <w:rPr>
          <w:szCs w:val="18"/>
        </w:rPr>
      </w:pPr>
      <w:r w:rsidRPr="003F78EB">
        <w:rPr>
          <w:szCs w:val="18"/>
        </w:rPr>
        <w:tab/>
      </w:r>
      <w:r w:rsidRPr="003F78EB">
        <w:rPr>
          <w:rStyle w:val="FootnoteReference"/>
        </w:rPr>
        <w:footnoteRef/>
      </w:r>
      <w:r w:rsidRPr="003F78EB">
        <w:rPr>
          <w:szCs w:val="18"/>
        </w:rPr>
        <w:tab/>
        <w:t>www.ungpreporting.org/early-adopters/investor-statement/.</w:t>
      </w:r>
    </w:p>
  </w:footnote>
  <w:footnote w:id="27">
    <w:p w:rsidR="00BA0ABE" w:rsidRPr="003F78EB" w:rsidRDefault="00BA0ABE" w:rsidP="004059B4">
      <w:pPr>
        <w:pStyle w:val="FootnoteText"/>
        <w:spacing w:after="60"/>
        <w:rPr>
          <w:szCs w:val="18"/>
          <w:lang w:val="en-US"/>
        </w:rPr>
      </w:pPr>
      <w:r w:rsidRPr="003F78EB">
        <w:rPr>
          <w:szCs w:val="18"/>
          <w:lang w:val="en-US"/>
        </w:rPr>
        <w:tab/>
      </w:r>
      <w:r w:rsidRPr="003F78EB">
        <w:rPr>
          <w:rStyle w:val="FootnoteReference"/>
        </w:rPr>
        <w:footnoteRef/>
      </w:r>
      <w:r w:rsidRPr="003F78EB">
        <w:rPr>
          <w:szCs w:val="18"/>
          <w:lang w:val="en-US"/>
        </w:rPr>
        <w:tab/>
        <w:t>http://unctad-worldinvestmentforum.org/followup-events/single-year-expert-meeting/.</w:t>
      </w:r>
    </w:p>
  </w:footnote>
  <w:footnote w:id="28">
    <w:p w:rsidR="00BA0ABE" w:rsidRPr="003F78EB" w:rsidRDefault="00BA0ABE" w:rsidP="00A150CE">
      <w:pPr>
        <w:pStyle w:val="FootnoteText"/>
        <w:spacing w:after="60"/>
        <w:rPr>
          <w:szCs w:val="18"/>
        </w:rPr>
      </w:pPr>
      <w:r w:rsidRPr="003F78EB">
        <w:rPr>
          <w:szCs w:val="18"/>
          <w:lang w:val="en-US"/>
        </w:rPr>
        <w:tab/>
      </w:r>
      <w:r w:rsidRPr="003F78EB">
        <w:rPr>
          <w:rStyle w:val="FootnoteReference"/>
        </w:rPr>
        <w:footnoteRef/>
      </w:r>
      <w:r w:rsidRPr="003F78EB">
        <w:rPr>
          <w:szCs w:val="18"/>
          <w:lang w:val="en-US"/>
        </w:rPr>
        <w:tab/>
        <w:t xml:space="preserve">UNCTAD, </w:t>
      </w:r>
      <w:r w:rsidRPr="003F78EB">
        <w:t>International Investment Agreements</w:t>
      </w:r>
      <w:r w:rsidRPr="003F78EB" w:rsidDel="0040252C">
        <w:t xml:space="preserve"> </w:t>
      </w:r>
      <w:r w:rsidRPr="003F78EB">
        <w:rPr>
          <w:szCs w:val="18"/>
          <w:lang w:val="en-US"/>
        </w:rPr>
        <w:t>Issues Note No. 1, February 2015.</w:t>
      </w:r>
    </w:p>
  </w:footnote>
  <w:footnote w:id="29">
    <w:p w:rsidR="00BA0ABE" w:rsidRPr="003F78EB" w:rsidRDefault="00BA0ABE" w:rsidP="00587915">
      <w:pPr>
        <w:pStyle w:val="FootnoteText"/>
        <w:spacing w:after="60"/>
        <w:rPr>
          <w:szCs w:val="18"/>
        </w:rPr>
      </w:pPr>
      <w:r w:rsidRPr="003F78EB">
        <w:rPr>
          <w:szCs w:val="18"/>
        </w:rPr>
        <w:tab/>
      </w:r>
      <w:r w:rsidRPr="003F78EB">
        <w:rPr>
          <w:rStyle w:val="FootnoteReference"/>
        </w:rPr>
        <w:footnoteRef/>
      </w:r>
      <w:r w:rsidRPr="003F78EB">
        <w:rPr>
          <w:szCs w:val="18"/>
        </w:rPr>
        <w:tab/>
        <w:t xml:space="preserve">A/CN.9/812 and </w:t>
      </w:r>
      <w:hyperlink r:id="rId9" w:history="1">
        <w:r w:rsidRPr="003F78EB">
          <w:rPr>
            <w:rStyle w:val="Hyperlink"/>
            <w:szCs w:val="18"/>
          </w:rPr>
          <w:t>www.uncitral.org/pdf/english/texts/arbitration/transparency-convention/</w:t>
        </w:r>
        <w:r w:rsidRPr="003F78EB">
          <w:rPr>
            <w:rStyle w:val="Hyperlink"/>
            <w:szCs w:val="18"/>
          </w:rPr>
          <w:br/>
          <w:t>Transparency-Convention-e.pdf</w:t>
        </w:r>
      </w:hyperlink>
      <w:r w:rsidRPr="003F78EB">
        <w:rPr>
          <w:szCs w:val="18"/>
        </w:rPr>
        <w:t>. The Working Group chairperson was invited to speak at the March 2015 signing ceremony.</w:t>
      </w:r>
    </w:p>
  </w:footnote>
  <w:footnote w:id="30">
    <w:p w:rsidR="00BA0ABE" w:rsidRPr="003F78EB" w:rsidRDefault="00BA0ABE" w:rsidP="004059B4">
      <w:pPr>
        <w:pStyle w:val="FootnoteText"/>
        <w:spacing w:after="60"/>
        <w:rPr>
          <w:szCs w:val="18"/>
        </w:rPr>
      </w:pPr>
      <w:r w:rsidRPr="003F78EB">
        <w:rPr>
          <w:szCs w:val="18"/>
        </w:rPr>
        <w:tab/>
      </w:r>
      <w:r w:rsidRPr="003F78EB">
        <w:rPr>
          <w:rStyle w:val="FootnoteReference"/>
        </w:rPr>
        <w:footnoteRef/>
      </w:r>
      <w:r w:rsidRPr="003F78EB">
        <w:rPr>
          <w:szCs w:val="18"/>
        </w:rPr>
        <w:tab/>
        <w:t>http://blogs.lse.ac.uk/investment-and-human-rights/portfolio-items/transparency-in-investment-treaty-arbitration-and-the-un-guiding-principles-on-business-and-human-rights-the-new-uncitral-rules-and-convention-on-transparency/.</w:t>
      </w:r>
    </w:p>
  </w:footnote>
  <w:footnote w:id="31">
    <w:p w:rsidR="00BA0ABE" w:rsidRPr="003F78EB" w:rsidRDefault="00BA0ABE" w:rsidP="00AE5C35">
      <w:pPr>
        <w:pStyle w:val="FootnoteText"/>
        <w:spacing w:after="60"/>
        <w:rPr>
          <w:szCs w:val="18"/>
        </w:rPr>
      </w:pPr>
      <w:r w:rsidRPr="003F78EB">
        <w:rPr>
          <w:szCs w:val="18"/>
        </w:rPr>
        <w:tab/>
      </w:r>
      <w:r w:rsidRPr="003F78EB">
        <w:rPr>
          <w:rStyle w:val="FootnoteReference"/>
        </w:rPr>
        <w:footnoteRef/>
      </w:r>
      <w:r w:rsidRPr="003F78EB">
        <w:rPr>
          <w:szCs w:val="18"/>
        </w:rPr>
        <w:tab/>
        <w:t xml:space="preserve">See Institute for Human Rights and Business, </w:t>
      </w:r>
      <w:r w:rsidRPr="003F78EB">
        <w:rPr>
          <w:i/>
          <w:szCs w:val="18"/>
        </w:rPr>
        <w:t>State of Play: Human Rights in the Political Economy of States: Avenues for Application</w:t>
      </w:r>
      <w:r w:rsidRPr="003F78EB">
        <w:rPr>
          <w:szCs w:val="18"/>
        </w:rPr>
        <w:t>, p. 43.</w:t>
      </w:r>
    </w:p>
  </w:footnote>
  <w:footnote w:id="32">
    <w:p w:rsidR="00BA0ABE" w:rsidRPr="003F78EB" w:rsidRDefault="00BA0ABE" w:rsidP="00980252">
      <w:pPr>
        <w:pStyle w:val="FootnoteText"/>
        <w:spacing w:after="60"/>
        <w:rPr>
          <w:szCs w:val="18"/>
        </w:rPr>
      </w:pPr>
      <w:r w:rsidRPr="003F78EB">
        <w:rPr>
          <w:szCs w:val="18"/>
        </w:rPr>
        <w:tab/>
      </w:r>
      <w:r w:rsidRPr="003F78EB">
        <w:rPr>
          <w:rStyle w:val="FootnoteReference"/>
        </w:rPr>
        <w:footnoteRef/>
      </w:r>
      <w:r w:rsidRPr="003F78EB">
        <w:rPr>
          <w:szCs w:val="18"/>
        </w:rPr>
        <w:tab/>
        <w:t>Recording of presentation available from http://webtv.un.org/meetings-events/human-rights-council/forum-on-business-and-human-rights/watch/strengthening-the-links-between-the-global-economic-architecture-and-the-business-and-human-rights-agenda-forum-on-business-and-human-rights-2014/3925401980001.</w:t>
      </w:r>
    </w:p>
  </w:footnote>
  <w:footnote w:id="33">
    <w:p w:rsidR="00BA0ABE" w:rsidRPr="003F78EB" w:rsidRDefault="00BA0ABE" w:rsidP="007E0701">
      <w:pPr>
        <w:pStyle w:val="FootnoteText"/>
        <w:spacing w:after="60"/>
        <w:rPr>
          <w:szCs w:val="18"/>
          <w:lang w:val="nb-NO"/>
        </w:rPr>
      </w:pPr>
      <w:r w:rsidRPr="003F78EB">
        <w:rPr>
          <w:szCs w:val="18"/>
        </w:rPr>
        <w:tab/>
      </w:r>
      <w:r w:rsidRPr="003F78EB">
        <w:rPr>
          <w:rStyle w:val="FootnoteReference"/>
        </w:rPr>
        <w:footnoteRef/>
      </w:r>
      <w:r w:rsidRPr="003F78EB">
        <w:rPr>
          <w:szCs w:val="18"/>
        </w:rPr>
        <w:tab/>
        <w:t>WTO News, “</w:t>
      </w:r>
      <w:proofErr w:type="spellStart"/>
      <w:r w:rsidRPr="003F78EB">
        <w:rPr>
          <w:szCs w:val="18"/>
        </w:rPr>
        <w:t>Lamy</w:t>
      </w:r>
      <w:proofErr w:type="spellEnd"/>
      <w:r w:rsidRPr="003F78EB">
        <w:rPr>
          <w:szCs w:val="18"/>
        </w:rPr>
        <w:t xml:space="preserve"> calls for mindset change to align trade and human rights” (13 January 2010). Available </w:t>
      </w:r>
      <w:r w:rsidRPr="003F78EB">
        <w:rPr>
          <w:szCs w:val="18"/>
          <w:lang w:val="nb-NO"/>
        </w:rPr>
        <w:t>at: www.wto.org/english/news_e/sppl_e/sppl146_e.htm.</w:t>
      </w:r>
    </w:p>
  </w:footnote>
  <w:footnote w:id="34">
    <w:p w:rsidR="00BA0ABE" w:rsidRPr="003F78EB" w:rsidRDefault="00BA0ABE" w:rsidP="008A7FE2">
      <w:pPr>
        <w:pStyle w:val="FootnoteText"/>
        <w:spacing w:after="60"/>
        <w:rPr>
          <w:szCs w:val="18"/>
        </w:rPr>
      </w:pPr>
      <w:r w:rsidRPr="003F78EB">
        <w:rPr>
          <w:szCs w:val="18"/>
        </w:rPr>
        <w:tab/>
      </w:r>
      <w:r w:rsidRPr="003F78EB">
        <w:rPr>
          <w:rStyle w:val="FootnoteReference"/>
        </w:rPr>
        <w:footnoteRef/>
      </w:r>
      <w:r w:rsidRPr="003F78EB">
        <w:rPr>
          <w:szCs w:val="18"/>
        </w:rPr>
        <w:tab/>
        <w:t xml:space="preserve">ILO and </w:t>
      </w:r>
      <w:r w:rsidRPr="003F78EB">
        <w:t>the International Institute for Labour Studies</w:t>
      </w:r>
      <w:r w:rsidRPr="003F78EB">
        <w:rPr>
          <w:szCs w:val="18"/>
        </w:rPr>
        <w:t xml:space="preserve">, “Social dimensions of free trade agreements” Studies on growth with equity (2013), p. 5. Available from </w:t>
      </w:r>
      <w:hyperlink r:id="rId10" w:history="1">
        <w:r w:rsidRPr="003F78EB">
          <w:rPr>
            <w:rStyle w:val="Hyperlink"/>
            <w:szCs w:val="18"/>
          </w:rPr>
          <w:t>www.ilo.</w:t>
        </w:r>
        <w:r w:rsidRPr="003F78EB">
          <w:rPr>
            <w:rStyle w:val="Hyperlink"/>
            <w:szCs w:val="18"/>
          </w:rPr>
          <w:br/>
          <w:t>org/wcmsp5/groups/public/---</w:t>
        </w:r>
        <w:proofErr w:type="spellStart"/>
        <w:r w:rsidRPr="003F78EB">
          <w:rPr>
            <w:rStyle w:val="Hyperlink"/>
            <w:szCs w:val="18"/>
          </w:rPr>
          <w:t>dgreports</w:t>
        </w:r>
        <w:proofErr w:type="spellEnd"/>
        <w:r w:rsidRPr="003F78EB">
          <w:rPr>
            <w:rStyle w:val="Hyperlink"/>
            <w:szCs w:val="18"/>
          </w:rPr>
          <w:t>/---</w:t>
        </w:r>
        <w:proofErr w:type="spellStart"/>
        <w:r w:rsidRPr="003F78EB">
          <w:rPr>
            <w:szCs w:val="18"/>
          </w:rPr>
          <w:t>inst</w:t>
        </w:r>
        <w:proofErr w:type="spellEnd"/>
        <w:r w:rsidRPr="003F78EB">
          <w:rPr>
            <w:rStyle w:val="Hyperlink"/>
            <w:szCs w:val="18"/>
          </w:rPr>
          <w:t>/documents/publication/wcms_228965.pdf</w:t>
        </w:r>
      </w:hyperlink>
      <w:r w:rsidRPr="003F78EB">
        <w:rPr>
          <w:szCs w:val="18"/>
        </w:rPr>
        <w:t>.</w:t>
      </w:r>
    </w:p>
  </w:footnote>
  <w:footnote w:id="35">
    <w:p w:rsidR="00BA0ABE" w:rsidRPr="003F78EB" w:rsidRDefault="00BA0ABE" w:rsidP="004C32DE">
      <w:pPr>
        <w:pStyle w:val="FootnoteText"/>
        <w:spacing w:after="60"/>
        <w:rPr>
          <w:szCs w:val="18"/>
        </w:rPr>
      </w:pPr>
      <w:r w:rsidRPr="003F78EB">
        <w:rPr>
          <w:szCs w:val="18"/>
        </w:rPr>
        <w:tab/>
      </w:r>
      <w:r w:rsidRPr="003F78EB">
        <w:rPr>
          <w:rStyle w:val="FootnoteReference"/>
        </w:rPr>
        <w:footnoteRef/>
      </w:r>
      <w:r w:rsidRPr="003F78EB">
        <w:rPr>
          <w:szCs w:val="18"/>
        </w:rPr>
        <w:tab/>
        <w:t>“Labour provisions in free trade agreements: fostering their consistency with the ILO standards system”, background paper, Social dimensions of free trade agreements, available from http://www.ilo.org/wcmsp5/groups/public/---</w:t>
      </w:r>
      <w:proofErr w:type="spellStart"/>
      <w:r w:rsidRPr="003F78EB">
        <w:rPr>
          <w:szCs w:val="18"/>
        </w:rPr>
        <w:t>dgreports</w:t>
      </w:r>
      <w:proofErr w:type="spellEnd"/>
      <w:r w:rsidRPr="003F78EB">
        <w:rPr>
          <w:szCs w:val="18"/>
        </w:rPr>
        <w:t>/---</w:t>
      </w:r>
      <w:proofErr w:type="spellStart"/>
      <w:r w:rsidRPr="003F78EB">
        <w:rPr>
          <w:szCs w:val="18"/>
        </w:rPr>
        <w:t>inst</w:t>
      </w:r>
      <w:proofErr w:type="spellEnd"/>
      <w:r w:rsidRPr="003F78EB">
        <w:rPr>
          <w:szCs w:val="18"/>
        </w:rPr>
        <w:t>/documents/</w:t>
      </w:r>
      <w:proofErr w:type="spellStart"/>
      <w:r w:rsidRPr="003F78EB">
        <w:rPr>
          <w:szCs w:val="18"/>
        </w:rPr>
        <w:t>genericdocument</w:t>
      </w:r>
      <w:proofErr w:type="spellEnd"/>
      <w:r w:rsidRPr="003F78EB">
        <w:rPr>
          <w:szCs w:val="18"/>
        </w:rPr>
        <w:t>/wcms_237940.pdf.</w:t>
      </w:r>
    </w:p>
  </w:footnote>
  <w:footnote w:id="36">
    <w:p w:rsidR="00BA0ABE" w:rsidRPr="003F78EB" w:rsidRDefault="00BA0ABE" w:rsidP="007E0701">
      <w:pPr>
        <w:pStyle w:val="FootnoteText"/>
        <w:spacing w:after="60"/>
        <w:rPr>
          <w:szCs w:val="18"/>
        </w:rPr>
      </w:pPr>
      <w:r w:rsidRPr="003F78EB">
        <w:rPr>
          <w:szCs w:val="18"/>
        </w:rPr>
        <w:tab/>
      </w:r>
      <w:r w:rsidRPr="003F78EB">
        <w:rPr>
          <w:rStyle w:val="FootnoteReference"/>
        </w:rPr>
        <w:footnoteRef/>
      </w:r>
      <w:r w:rsidRPr="003F78EB">
        <w:rPr>
          <w:szCs w:val="18"/>
        </w:rPr>
        <w:tab/>
        <w:t>Ibid.</w:t>
      </w:r>
    </w:p>
  </w:footnote>
  <w:footnote w:id="37">
    <w:p w:rsidR="00BA0ABE" w:rsidRPr="003F78EB" w:rsidRDefault="00BA0ABE" w:rsidP="00FD17CC">
      <w:pPr>
        <w:pStyle w:val="FootnoteText"/>
        <w:spacing w:after="60"/>
        <w:rPr>
          <w:szCs w:val="18"/>
          <w:lang w:val="en-US"/>
        </w:rPr>
      </w:pPr>
      <w:r w:rsidRPr="003F78EB">
        <w:rPr>
          <w:szCs w:val="18"/>
        </w:rPr>
        <w:tab/>
      </w:r>
      <w:r w:rsidRPr="003F78EB">
        <w:rPr>
          <w:rStyle w:val="FootnoteReference"/>
        </w:rPr>
        <w:footnoteRef/>
      </w:r>
      <w:r w:rsidRPr="003F78EB">
        <w:rPr>
          <w:szCs w:val="18"/>
        </w:rPr>
        <w:tab/>
        <w:t xml:space="preserve">See Institute for Human Rights and Business, </w:t>
      </w:r>
      <w:r w:rsidRPr="003F78EB">
        <w:rPr>
          <w:i/>
          <w:szCs w:val="18"/>
        </w:rPr>
        <w:t xml:space="preserve">State of Play </w:t>
      </w:r>
      <w:r w:rsidRPr="003F78EB">
        <w:rPr>
          <w:iCs/>
          <w:szCs w:val="18"/>
        </w:rPr>
        <w:t>(see footnote 41)</w:t>
      </w:r>
      <w:r w:rsidRPr="003F78EB">
        <w:rPr>
          <w:szCs w:val="18"/>
        </w:rPr>
        <w:t>, chap. 5.</w:t>
      </w:r>
    </w:p>
  </w:footnote>
  <w:footnote w:id="38">
    <w:p w:rsidR="00BA0ABE" w:rsidRPr="003F78EB" w:rsidRDefault="00BA0ABE" w:rsidP="0012382D">
      <w:pPr>
        <w:pStyle w:val="FootnoteText"/>
        <w:spacing w:after="60"/>
        <w:rPr>
          <w:szCs w:val="18"/>
          <w:lang w:val="en-GB"/>
        </w:rPr>
      </w:pPr>
      <w:r w:rsidRPr="003F78EB">
        <w:rPr>
          <w:szCs w:val="18"/>
        </w:rPr>
        <w:tab/>
      </w:r>
      <w:r w:rsidRPr="003F78EB">
        <w:rPr>
          <w:rStyle w:val="FootnoteReference"/>
        </w:rPr>
        <w:footnoteRef/>
      </w:r>
      <w:r w:rsidRPr="003F78EB">
        <w:rPr>
          <w:szCs w:val="18"/>
          <w:lang w:val="en-GB"/>
        </w:rPr>
        <w:tab/>
        <w:t>Ibid., p. 53.</w:t>
      </w:r>
    </w:p>
  </w:footnote>
  <w:footnote w:id="39">
    <w:p w:rsidR="00BA0ABE" w:rsidRPr="003F78EB" w:rsidRDefault="00BA0ABE" w:rsidP="007E0701">
      <w:pPr>
        <w:pStyle w:val="FootnoteText"/>
        <w:spacing w:after="60"/>
        <w:rPr>
          <w:szCs w:val="18"/>
        </w:rPr>
      </w:pPr>
      <w:r w:rsidRPr="003F78EB">
        <w:rPr>
          <w:szCs w:val="18"/>
          <w:lang w:val="en-US"/>
        </w:rPr>
        <w:tab/>
      </w:r>
      <w:r w:rsidRPr="003F78EB">
        <w:rPr>
          <w:rStyle w:val="FootnoteReference"/>
        </w:rPr>
        <w:footnoteRef/>
      </w:r>
      <w:r w:rsidRPr="003F78EB">
        <w:rPr>
          <w:szCs w:val="18"/>
        </w:rPr>
        <w:tab/>
        <w:t>See www.csrroundtable.org/wp-content/uploads/2014/12/CSR-Roundtable-Sumary-revised-4.12.14.pdf.</w:t>
      </w:r>
    </w:p>
  </w:footnote>
  <w:footnote w:id="40">
    <w:p w:rsidR="00BA0ABE" w:rsidRPr="003F78EB" w:rsidRDefault="00BA0ABE" w:rsidP="00E26728">
      <w:pPr>
        <w:pStyle w:val="FootnoteText"/>
        <w:spacing w:after="60"/>
        <w:rPr>
          <w:szCs w:val="18"/>
        </w:rPr>
      </w:pPr>
      <w:r w:rsidRPr="003F78EB">
        <w:rPr>
          <w:szCs w:val="18"/>
        </w:rPr>
        <w:tab/>
      </w:r>
      <w:r w:rsidRPr="003F78EB">
        <w:rPr>
          <w:rStyle w:val="FootnoteReference"/>
        </w:rPr>
        <w:footnoteRef/>
      </w:r>
      <w:r w:rsidRPr="003F78EB">
        <w:rPr>
          <w:szCs w:val="18"/>
        </w:rPr>
        <w:tab/>
        <w:t xml:space="preserve">See for example the session overview of the 2014 UN Forum on Business and Human Rights, organized by the Working Group in collaboration with external partners, available from </w:t>
      </w:r>
      <w:hyperlink r:id="rId11" w:history="1">
        <w:r w:rsidRPr="003F78EB">
          <w:rPr>
            <w:rStyle w:val="Hyperlink"/>
            <w:szCs w:val="18"/>
          </w:rPr>
          <w:t>www.ohchr.org/Documents/Issues/Business/ForumSession3/ParallelEvents/ICAR_DIFI.pdf</w:t>
        </w:r>
      </w:hyperlink>
      <w:r w:rsidRPr="003F78EB">
        <w:rPr>
          <w:szCs w:val="18"/>
        </w:rPr>
        <w:t xml:space="preserve">; and Institute for Human Rights and Business, </w:t>
      </w:r>
      <w:r w:rsidRPr="003F78EB">
        <w:rPr>
          <w:i/>
          <w:iCs/>
          <w:szCs w:val="18"/>
        </w:rPr>
        <w:t>State of Play</w:t>
      </w:r>
      <w:r w:rsidRPr="003F78EB">
        <w:rPr>
          <w:szCs w:val="18"/>
        </w:rPr>
        <w:t xml:space="preserve"> (see footnote 41), chap. 6.</w:t>
      </w:r>
    </w:p>
  </w:footnote>
  <w:footnote w:id="41">
    <w:p w:rsidR="00BA0ABE" w:rsidRPr="003F78EB" w:rsidRDefault="00BA0ABE" w:rsidP="0080309F">
      <w:pPr>
        <w:pStyle w:val="FootnoteText"/>
        <w:spacing w:after="60"/>
        <w:rPr>
          <w:szCs w:val="18"/>
        </w:rPr>
      </w:pPr>
      <w:r w:rsidRPr="003F78EB">
        <w:rPr>
          <w:szCs w:val="18"/>
        </w:rPr>
        <w:tab/>
      </w:r>
      <w:r w:rsidRPr="003F78EB">
        <w:rPr>
          <w:rStyle w:val="FootnoteReference"/>
        </w:rPr>
        <w:footnoteRef/>
      </w:r>
      <w:r w:rsidRPr="003F78EB">
        <w:rPr>
          <w:szCs w:val="18"/>
        </w:rPr>
        <w:tab/>
        <w:t xml:space="preserve">See International Corporate Accountability Roundtable (ICAR) and the Danish Institute for Human Rights, International Learning Lab: Procurement and Human Rights (2015, forthcoming); ICAR, “Turning a blind eye? Respecting human rights in government purchasing” (2014), available from http://accountabilityroundtable.org/wp-content/uploads/2014/09/Procurement-Report-FINAL.pdf; Institute for Human Rights and Business, “Guiding Public Procurement: Protecting Rights by Purchasing Right”, available from </w:t>
      </w:r>
      <w:hyperlink r:id="rId12" w:history="1">
        <w:r w:rsidRPr="003F78EB">
          <w:rPr>
            <w:rStyle w:val="Hyperlink"/>
            <w:szCs w:val="18"/>
          </w:rPr>
          <w:t>www.ihrb.org/our-work/guiding-public-procurement.html</w:t>
        </w:r>
      </w:hyperlink>
      <w:r w:rsidRPr="003F78EB">
        <w:rPr>
          <w:szCs w:val="18"/>
        </w:rPr>
        <w:t xml:space="preserve">. </w:t>
      </w:r>
    </w:p>
  </w:footnote>
  <w:footnote w:id="42">
    <w:p w:rsidR="00BA0ABE" w:rsidRPr="003F78EB" w:rsidRDefault="00BA0ABE" w:rsidP="007E0701">
      <w:pPr>
        <w:pStyle w:val="FootnoteText"/>
        <w:rPr>
          <w:szCs w:val="18"/>
        </w:rPr>
      </w:pPr>
      <w:r w:rsidRPr="003F78EB">
        <w:rPr>
          <w:szCs w:val="18"/>
        </w:rPr>
        <w:tab/>
      </w:r>
      <w:r w:rsidRPr="003F78EB">
        <w:rPr>
          <w:rStyle w:val="FootnoteReference"/>
        </w:rPr>
        <w:footnoteRef/>
      </w:r>
      <w:r w:rsidRPr="003F78EB">
        <w:rPr>
          <w:szCs w:val="18"/>
        </w:rPr>
        <w:tab/>
        <w:t>Available from www.ifc.org/wps/wcm/connect/topics_ext_content/ifc_external_corporate_site/ifc+</w:t>
      </w:r>
      <w:r w:rsidRPr="003F78EB">
        <w:rPr>
          <w:szCs w:val="18"/>
        </w:rPr>
        <w:br/>
        <w:t>sustainability/our+approach/risk+management/performance+standards/environmental+and+social+performance+standards+and+guidance+notes.</w:t>
      </w:r>
    </w:p>
  </w:footnote>
  <w:footnote w:id="43">
    <w:p w:rsidR="00BA0ABE" w:rsidRPr="003F78EB" w:rsidRDefault="00BA0ABE" w:rsidP="007E0701">
      <w:pPr>
        <w:pStyle w:val="FootnoteText"/>
        <w:rPr>
          <w:szCs w:val="18"/>
        </w:rPr>
      </w:pPr>
      <w:r w:rsidRPr="003F78EB">
        <w:rPr>
          <w:szCs w:val="18"/>
        </w:rPr>
        <w:tab/>
      </w:r>
      <w:r w:rsidRPr="003F78EB">
        <w:rPr>
          <w:rStyle w:val="FootnoteReference"/>
        </w:rPr>
        <w:footnoteRef/>
      </w:r>
      <w:r w:rsidRPr="003F78EB">
        <w:rPr>
          <w:szCs w:val="18"/>
        </w:rPr>
        <w:tab/>
        <w:t>Available from http://consultations.worldbank.org/consultation/review-and-update-world-bank-safeguard-policies.</w:t>
      </w:r>
    </w:p>
  </w:footnote>
  <w:footnote w:id="44">
    <w:p w:rsidR="00BA0ABE" w:rsidRPr="003F78EB" w:rsidRDefault="00BA0ABE" w:rsidP="00757777">
      <w:pPr>
        <w:pStyle w:val="FootnoteText"/>
        <w:spacing w:after="60"/>
        <w:rPr>
          <w:szCs w:val="18"/>
        </w:rPr>
      </w:pPr>
      <w:r w:rsidRPr="003F78EB">
        <w:rPr>
          <w:szCs w:val="18"/>
        </w:rPr>
        <w:tab/>
      </w:r>
      <w:r w:rsidRPr="003F78EB">
        <w:rPr>
          <w:rStyle w:val="FootnoteReference"/>
        </w:rPr>
        <w:footnoteRef/>
      </w:r>
      <w:r w:rsidRPr="003F78EB">
        <w:rPr>
          <w:szCs w:val="18"/>
        </w:rPr>
        <w:tab/>
        <w:t>Available from www.ohchr.org/Documents/Issues/EPoverty/WorldBank.pdf.</w:t>
      </w:r>
    </w:p>
  </w:footnote>
  <w:footnote w:id="45">
    <w:p w:rsidR="00BA0ABE" w:rsidRPr="003F78EB" w:rsidRDefault="00BA0ABE" w:rsidP="000C6617">
      <w:pPr>
        <w:pStyle w:val="FootnoteText"/>
        <w:spacing w:after="60"/>
        <w:rPr>
          <w:szCs w:val="18"/>
        </w:rPr>
      </w:pPr>
      <w:r w:rsidRPr="003F78EB">
        <w:rPr>
          <w:szCs w:val="18"/>
        </w:rPr>
        <w:tab/>
      </w:r>
      <w:r w:rsidRPr="003F78EB">
        <w:rPr>
          <w:rStyle w:val="FootnoteReference"/>
        </w:rPr>
        <w:footnoteRef/>
      </w:r>
      <w:r w:rsidRPr="003F78EB">
        <w:rPr>
          <w:szCs w:val="18"/>
        </w:rPr>
        <w:tab/>
        <w:t>See for example the recommendation of the Independent Expert on the effects of foreign debt that Japan strengthen the accountability mechanisms and safeguard policies of JICA, NEXI and JBIC and align their safeguard policies with the Guiding Principles on Business and Human Rights (A/HRC/25/50/Add.2, para. 68 (h)).</w:t>
      </w:r>
    </w:p>
  </w:footnote>
  <w:footnote w:id="46">
    <w:p w:rsidR="00BA0ABE" w:rsidRPr="003F78EB" w:rsidRDefault="00BA0ABE" w:rsidP="00CB529B">
      <w:pPr>
        <w:pStyle w:val="FootnoteText"/>
        <w:spacing w:after="60"/>
        <w:rPr>
          <w:szCs w:val="18"/>
        </w:rPr>
      </w:pPr>
      <w:r w:rsidRPr="003F78EB">
        <w:rPr>
          <w:szCs w:val="18"/>
        </w:rPr>
        <w:tab/>
      </w:r>
      <w:r w:rsidRPr="003F78EB">
        <w:rPr>
          <w:rStyle w:val="FootnoteReference"/>
        </w:rPr>
        <w:footnoteRef/>
      </w:r>
      <w:r w:rsidRPr="003F78EB">
        <w:rPr>
          <w:szCs w:val="18"/>
        </w:rPr>
        <w:tab/>
        <w:t>Available from www.equator-principles.com/index.php/about-ep/about-ep.</w:t>
      </w:r>
    </w:p>
  </w:footnote>
  <w:footnote w:id="47">
    <w:p w:rsidR="00BA0ABE" w:rsidRPr="003F78EB" w:rsidRDefault="00BA0ABE" w:rsidP="00CB529B">
      <w:pPr>
        <w:pStyle w:val="FootnoteText"/>
        <w:spacing w:after="60"/>
        <w:rPr>
          <w:szCs w:val="18"/>
        </w:rPr>
      </w:pPr>
      <w:r w:rsidRPr="003F78EB">
        <w:rPr>
          <w:szCs w:val="18"/>
        </w:rPr>
        <w:tab/>
      </w:r>
      <w:r w:rsidRPr="003F78EB">
        <w:rPr>
          <w:rStyle w:val="FootnoteReference"/>
        </w:rPr>
        <w:footnoteRef/>
      </w:r>
      <w:r w:rsidRPr="003F78EB">
        <w:rPr>
          <w:szCs w:val="18"/>
        </w:rPr>
        <w:tab/>
        <w:t>See Inquiry website at www.unep.org/inquiry/.</w:t>
      </w:r>
    </w:p>
  </w:footnote>
  <w:footnote w:id="48">
    <w:p w:rsidR="00BA0ABE" w:rsidRPr="003F78EB" w:rsidRDefault="00BA0ABE" w:rsidP="00E84725">
      <w:pPr>
        <w:pStyle w:val="FootnoteText"/>
        <w:spacing w:after="60"/>
        <w:rPr>
          <w:szCs w:val="18"/>
        </w:rPr>
      </w:pPr>
      <w:r w:rsidRPr="003F78EB">
        <w:rPr>
          <w:szCs w:val="18"/>
        </w:rPr>
        <w:tab/>
      </w:r>
      <w:r w:rsidRPr="003F78EB">
        <w:rPr>
          <w:rStyle w:val="FootnoteReference"/>
        </w:rPr>
        <w:footnoteRef/>
      </w:r>
      <w:r w:rsidRPr="003F78EB">
        <w:rPr>
          <w:szCs w:val="18"/>
        </w:rPr>
        <w:tab/>
        <w:t>http://www.ihrb.org/news/human-rights-dimensions-of-a-green-and-inclusive-financial-system.html.</w:t>
      </w:r>
    </w:p>
  </w:footnote>
  <w:footnote w:id="49">
    <w:p w:rsidR="00BA0ABE" w:rsidRPr="003F78EB" w:rsidRDefault="00BA0ABE" w:rsidP="00C63A3C">
      <w:pPr>
        <w:pStyle w:val="FootnoteText"/>
        <w:spacing w:after="60"/>
        <w:rPr>
          <w:szCs w:val="18"/>
        </w:rPr>
      </w:pPr>
      <w:r w:rsidRPr="003F78EB">
        <w:rPr>
          <w:szCs w:val="18"/>
        </w:rPr>
        <w:tab/>
      </w:r>
      <w:r w:rsidRPr="003F78EB">
        <w:rPr>
          <w:rStyle w:val="FootnoteReference"/>
        </w:rPr>
        <w:footnoteRef/>
      </w:r>
      <w:r w:rsidRPr="003F78EB">
        <w:rPr>
          <w:szCs w:val="18"/>
        </w:rPr>
        <w:tab/>
        <w:t>Available from www.ihrb.org/pdf/2014-12-04-IHRB-UNEP-Inquiry-Meeting-Report.pdf.</w:t>
      </w:r>
    </w:p>
  </w:footnote>
  <w:footnote w:id="50">
    <w:p w:rsidR="00BA0ABE" w:rsidRPr="003F78EB" w:rsidRDefault="00BA0ABE" w:rsidP="00B5410E">
      <w:pPr>
        <w:pStyle w:val="FootnoteText"/>
        <w:spacing w:after="60"/>
        <w:rPr>
          <w:szCs w:val="18"/>
        </w:rPr>
      </w:pPr>
      <w:r w:rsidRPr="003F78EB">
        <w:rPr>
          <w:szCs w:val="18"/>
        </w:rPr>
        <w:tab/>
      </w:r>
      <w:r w:rsidRPr="003F78EB">
        <w:rPr>
          <w:rStyle w:val="FootnoteReference"/>
        </w:rPr>
        <w:footnoteRef/>
      </w:r>
      <w:r w:rsidRPr="003F78EB">
        <w:rPr>
          <w:szCs w:val="18"/>
        </w:rPr>
        <w:tab/>
        <w:t>www.ihrb.org/news/human-rights-dimensions-green-and-inclusive-financial-system.html.</w:t>
      </w:r>
    </w:p>
  </w:footnote>
  <w:footnote w:id="51">
    <w:p w:rsidR="00BA0ABE" w:rsidRPr="003F78EB" w:rsidRDefault="00BA0ABE" w:rsidP="007E0701">
      <w:pPr>
        <w:pStyle w:val="FootnoteText"/>
        <w:spacing w:after="60"/>
        <w:rPr>
          <w:szCs w:val="18"/>
        </w:rPr>
      </w:pPr>
      <w:r w:rsidRPr="003F78EB">
        <w:rPr>
          <w:szCs w:val="18"/>
        </w:rPr>
        <w:tab/>
      </w:r>
      <w:r w:rsidRPr="003F78EB">
        <w:rPr>
          <w:rStyle w:val="FootnoteReference"/>
        </w:rPr>
        <w:footnoteRef/>
      </w:r>
      <w:r w:rsidRPr="003F78EB">
        <w:rPr>
          <w:szCs w:val="18"/>
        </w:rPr>
        <w:tab/>
        <w:t>Available from www.ohchr.org/Documents/HRBodies/SP/BNUNGuidingPrinciplesBusinessHR.pdf.</w:t>
      </w:r>
    </w:p>
  </w:footnote>
  <w:footnote w:id="52">
    <w:p w:rsidR="00BA0ABE" w:rsidRPr="003F78EB" w:rsidRDefault="00BA0ABE" w:rsidP="00B5410E">
      <w:pPr>
        <w:pStyle w:val="FootnoteText"/>
        <w:spacing w:after="60"/>
        <w:rPr>
          <w:szCs w:val="18"/>
          <w:lang w:val="en-US"/>
        </w:rPr>
      </w:pPr>
      <w:r w:rsidRPr="003F78EB">
        <w:rPr>
          <w:szCs w:val="18"/>
          <w:lang w:val="en-US"/>
        </w:rPr>
        <w:tab/>
      </w:r>
      <w:r w:rsidRPr="003F78EB">
        <w:rPr>
          <w:rStyle w:val="FootnoteReference"/>
        </w:rPr>
        <w:footnoteRef/>
      </w:r>
      <w:r w:rsidRPr="003F78EB">
        <w:rPr>
          <w:szCs w:val="18"/>
          <w:lang w:val="en-US"/>
        </w:rPr>
        <w:tab/>
        <w:t>See www.ihrb.org/top10/2015.html.</w:t>
      </w:r>
    </w:p>
  </w:footnote>
  <w:footnote w:id="53">
    <w:p w:rsidR="00BA0ABE" w:rsidRPr="003F78EB" w:rsidRDefault="00BA0ABE" w:rsidP="0008057C">
      <w:pPr>
        <w:pStyle w:val="FootnoteText"/>
        <w:spacing w:after="60"/>
        <w:rPr>
          <w:szCs w:val="18"/>
        </w:rPr>
      </w:pPr>
      <w:r w:rsidRPr="003F78EB">
        <w:rPr>
          <w:szCs w:val="18"/>
        </w:rPr>
        <w:tab/>
      </w:r>
      <w:r w:rsidRPr="003F78EB">
        <w:rPr>
          <w:rStyle w:val="FootnoteReference"/>
        </w:rPr>
        <w:footnoteRef/>
      </w:r>
      <w:r w:rsidRPr="003F78EB">
        <w:rPr>
          <w:szCs w:val="18"/>
        </w:rPr>
        <w:tab/>
        <w:t>For an explanation of these links, see also www.ihrb.org/pdf/submissions/2015-01-12-IHRB-Submission-OECD-Corp-Gov-Principles.pdf.</w:t>
      </w:r>
    </w:p>
  </w:footnote>
  <w:footnote w:id="54">
    <w:p w:rsidR="00BA0ABE" w:rsidRPr="003F78EB" w:rsidRDefault="00BA0ABE" w:rsidP="00FD17CC">
      <w:pPr>
        <w:pStyle w:val="FootnoteText"/>
        <w:spacing w:after="60"/>
        <w:rPr>
          <w:szCs w:val="18"/>
        </w:rPr>
      </w:pPr>
      <w:r w:rsidRPr="003F78EB">
        <w:rPr>
          <w:szCs w:val="18"/>
        </w:rPr>
        <w:tab/>
      </w:r>
      <w:r w:rsidRPr="003F78EB">
        <w:rPr>
          <w:rStyle w:val="FootnoteReference"/>
        </w:rPr>
        <w:footnoteRef/>
      </w:r>
      <w:r w:rsidRPr="003F78EB">
        <w:rPr>
          <w:szCs w:val="18"/>
        </w:rPr>
        <w:tab/>
        <w:t>www.ihrb.org/commentary/post-2015-agenda-private-sector-priorities.html.</w:t>
      </w:r>
    </w:p>
  </w:footnote>
  <w:footnote w:id="55">
    <w:p w:rsidR="00BA0ABE" w:rsidRPr="003F78EB" w:rsidRDefault="00BA0ABE" w:rsidP="006F6C5C">
      <w:pPr>
        <w:pStyle w:val="FootnoteText"/>
        <w:spacing w:after="60"/>
        <w:rPr>
          <w:szCs w:val="18"/>
          <w:lang w:val="en-US"/>
        </w:rPr>
      </w:pPr>
      <w:r w:rsidRPr="003F78EB">
        <w:rPr>
          <w:szCs w:val="18"/>
        </w:rPr>
        <w:tab/>
      </w:r>
      <w:r w:rsidRPr="003F78EB">
        <w:rPr>
          <w:rStyle w:val="FootnoteReference"/>
        </w:rPr>
        <w:footnoteRef/>
      </w:r>
      <w:r w:rsidRPr="003F78EB">
        <w:rPr>
          <w:szCs w:val="18"/>
        </w:rPr>
        <w:tab/>
        <w:t>Ibid.</w:t>
      </w:r>
    </w:p>
  </w:footnote>
  <w:footnote w:id="56">
    <w:p w:rsidR="00BA0ABE" w:rsidRPr="003F78EB" w:rsidRDefault="00BA0ABE" w:rsidP="0008057C">
      <w:pPr>
        <w:pStyle w:val="FootnoteText"/>
        <w:spacing w:after="60"/>
        <w:rPr>
          <w:szCs w:val="18"/>
        </w:rPr>
      </w:pPr>
      <w:r w:rsidRPr="003F78EB">
        <w:rPr>
          <w:szCs w:val="18"/>
        </w:rPr>
        <w:tab/>
      </w:r>
      <w:r w:rsidRPr="003F78EB">
        <w:rPr>
          <w:rStyle w:val="FootnoteReference"/>
        </w:rPr>
        <w:footnoteRef/>
      </w:r>
      <w:r w:rsidRPr="003F78EB">
        <w:rPr>
          <w:szCs w:val="18"/>
        </w:rPr>
        <w:tab/>
        <w:t xml:space="preserve">A government-led initiative in this area, supported by UNEP and the Global Reporting Initiative, is the Group of Friends of Paragraph 47 following acknowledgement of the importance of corporate sustainability reporting in paragraph 47 of the outcome document of the United Nations Conference on Sustainable Development. The Guiding Principles are referenced in its frequently asked questions on corporate sustainability reporting, </w:t>
      </w:r>
      <w:hyperlink r:id="rId13" w:history="1">
        <w:r w:rsidRPr="003F78EB">
          <w:rPr>
            <w:rStyle w:val="Hyperlink"/>
            <w:szCs w:val="18"/>
          </w:rPr>
          <w:t>available from www.unep.org/resourceefficiency/Business/SustainableandResponsible</w:t>
        </w:r>
      </w:hyperlink>
      <w:r w:rsidRPr="003F78EB">
        <w:rPr>
          <w:szCs w:val="18"/>
        </w:rPr>
        <w:br/>
        <w:t>Business/CorporateSustainabilityReporting/GroupofFriendsofParagraph47/FAQsonCorporateSustainabilityReporting/tabid/106320/Default.aspx. Another initiative in this context involves the Global Reporting Initiative, the United Nations Global Compact and the World Business Council for Sustainable Development and aims to mobilize the private sector behind the sustainable development goals. It will produce a guide for businesses for assessing impacts and aligning strategies with the goals (https://www.unglobalcompact.org/news/1361-10-07-2014). It would be critical for guidance from such initiatives to emphasize the role of human rights reporting and alignment with ongoing initiatives and tools to support implementation of the Guiding Principles. The recent “UN  Guiding Principles Reporting Framework” provides a useful tool.</w:t>
      </w:r>
    </w:p>
  </w:footnote>
  <w:footnote w:id="57">
    <w:p w:rsidR="00BA0ABE" w:rsidRPr="003F78EB" w:rsidRDefault="00BA0ABE" w:rsidP="007E0701">
      <w:pPr>
        <w:pStyle w:val="FootnoteText"/>
        <w:spacing w:after="60"/>
        <w:rPr>
          <w:szCs w:val="18"/>
        </w:rPr>
      </w:pPr>
      <w:r w:rsidRPr="003F78EB">
        <w:rPr>
          <w:szCs w:val="18"/>
        </w:rPr>
        <w:tab/>
      </w:r>
      <w:r w:rsidRPr="003F78EB">
        <w:rPr>
          <w:rStyle w:val="FootnoteReference"/>
        </w:rPr>
        <w:footnoteRef/>
      </w:r>
      <w:r w:rsidRPr="003F78EB">
        <w:rPr>
          <w:szCs w:val="18"/>
        </w:rPr>
        <w:tab/>
        <w:t>www.un.org/esa/ffd/wp-content/uploads/2015/01/FfD_Elements-paper_drafting-session.pdf.</w:t>
      </w:r>
    </w:p>
  </w:footnote>
  <w:footnote w:id="58">
    <w:p w:rsidR="00BA0ABE" w:rsidRPr="003F78EB" w:rsidRDefault="00BA0ABE" w:rsidP="00602C99">
      <w:pPr>
        <w:pStyle w:val="FootnoteText"/>
        <w:rPr>
          <w:szCs w:val="18"/>
        </w:rPr>
      </w:pPr>
      <w:r w:rsidRPr="003F78EB">
        <w:rPr>
          <w:szCs w:val="18"/>
        </w:rPr>
        <w:tab/>
      </w:r>
      <w:r w:rsidRPr="003F78EB">
        <w:rPr>
          <w:rStyle w:val="FootnoteReference"/>
        </w:rPr>
        <w:footnoteRef/>
      </w:r>
      <w:r w:rsidRPr="003F78EB">
        <w:rPr>
          <w:szCs w:val="18"/>
        </w:rPr>
        <w:tab/>
        <w:t>See footnote 8.</w:t>
      </w:r>
    </w:p>
  </w:footnote>
  <w:footnote w:id="59">
    <w:p w:rsidR="00BA0ABE" w:rsidRPr="003F78EB" w:rsidRDefault="00BA0ABE" w:rsidP="00602C99">
      <w:pPr>
        <w:pStyle w:val="FootnoteText"/>
        <w:spacing w:after="60"/>
        <w:rPr>
          <w:szCs w:val="18"/>
        </w:rPr>
      </w:pPr>
      <w:r w:rsidRPr="003F78EB">
        <w:rPr>
          <w:szCs w:val="18"/>
        </w:rPr>
        <w:tab/>
      </w:r>
      <w:r w:rsidRPr="003F78EB">
        <w:rPr>
          <w:rStyle w:val="FootnoteReference"/>
        </w:rPr>
        <w:footnoteRef/>
      </w:r>
      <w:r w:rsidRPr="003F78EB">
        <w:rPr>
          <w:szCs w:val="18"/>
        </w:rPr>
        <w:tab/>
        <w:t>Ibid.</w:t>
      </w:r>
    </w:p>
  </w:footnote>
  <w:footnote w:id="60">
    <w:p w:rsidR="00BA0ABE" w:rsidRPr="003F78EB" w:rsidRDefault="00BA0ABE" w:rsidP="00FD17CC">
      <w:pPr>
        <w:pStyle w:val="FootnoteText"/>
        <w:spacing w:after="60"/>
        <w:rPr>
          <w:szCs w:val="18"/>
        </w:rPr>
      </w:pPr>
      <w:r w:rsidRPr="003F78EB">
        <w:rPr>
          <w:szCs w:val="18"/>
        </w:rPr>
        <w:tab/>
      </w:r>
      <w:r w:rsidRPr="003F78EB">
        <w:rPr>
          <w:rStyle w:val="FootnoteReference"/>
        </w:rPr>
        <w:footnoteRef/>
      </w:r>
      <w:r w:rsidRPr="003F78EB">
        <w:rPr>
          <w:szCs w:val="18"/>
        </w:rPr>
        <w:tab/>
        <w:t xml:space="preserve">See for example </w:t>
      </w:r>
      <w:hyperlink r:id="rId14" w:history="1">
        <w:r w:rsidRPr="003F78EB">
          <w:rPr>
            <w:rStyle w:val="Hyperlink"/>
            <w:szCs w:val="18"/>
          </w:rPr>
          <w:t>http://shiftproject.org/sites/default/files/Shift_HRDDinhighriskcircumstances_Mar2015.pdf</w:t>
        </w:r>
      </w:hyperlink>
      <w:r w:rsidRPr="003F78EB">
        <w:rPr>
          <w:szCs w:val="18"/>
        </w:rPr>
        <w:t>.</w:t>
      </w:r>
    </w:p>
  </w:footnote>
  <w:footnote w:id="61">
    <w:p w:rsidR="00BA0ABE" w:rsidRPr="003F78EB" w:rsidRDefault="00BA0ABE" w:rsidP="0008057C">
      <w:pPr>
        <w:pStyle w:val="FootnoteText"/>
        <w:spacing w:after="60"/>
        <w:rPr>
          <w:szCs w:val="18"/>
        </w:rPr>
      </w:pPr>
      <w:r w:rsidRPr="003F78EB">
        <w:rPr>
          <w:szCs w:val="18"/>
        </w:rPr>
        <w:tab/>
      </w:r>
      <w:r w:rsidRPr="003F78EB">
        <w:rPr>
          <w:rStyle w:val="FootnoteReference"/>
        </w:rPr>
        <w:footnoteRef/>
      </w:r>
      <w:r w:rsidRPr="003F78EB">
        <w:rPr>
          <w:szCs w:val="18"/>
        </w:rPr>
        <w:tab/>
        <w:t>See for example lessons from the “pillars in practice” project referenced in the Working Group’s report on the First African Regional Forum on Business and Human Rights (A/HRC/29/28/Add.2).</w:t>
      </w:r>
    </w:p>
  </w:footnote>
  <w:footnote w:id="62">
    <w:p w:rsidR="00BA0ABE" w:rsidRPr="003F78EB" w:rsidRDefault="00BA0ABE" w:rsidP="001F3206">
      <w:pPr>
        <w:pStyle w:val="FootnoteText"/>
        <w:spacing w:after="60"/>
        <w:rPr>
          <w:rStyle w:val="Hyperlink"/>
          <w:szCs w:val="18"/>
        </w:rPr>
      </w:pPr>
      <w:r w:rsidRPr="003F78EB">
        <w:rPr>
          <w:szCs w:val="18"/>
        </w:rPr>
        <w:tab/>
      </w:r>
      <w:r w:rsidRPr="003F78EB">
        <w:rPr>
          <w:rStyle w:val="FootnoteReference"/>
        </w:rPr>
        <w:footnoteRef/>
      </w:r>
      <w:r w:rsidRPr="003F78EB">
        <w:rPr>
          <w:szCs w:val="18"/>
        </w:rPr>
        <w:tab/>
      </w:r>
      <w:r w:rsidRPr="003F78EB">
        <w:rPr>
          <w:rStyle w:val="Hyperlink"/>
          <w:szCs w:val="18"/>
        </w:rPr>
        <w:t>The paper “Promoting human rights, ensuring social inclusion and avoiding conflict in the extractive sector” prepared by IHRB for UNDP and the Government of Brazil for their joint dialogue on the Extractive Sector and Sustainable Development − Enhancing Public-Private Cooperation in the context of the Post-2015 Agenda”, 3–5 December 2014, highlights the value added by the Guiding Principles in the context of preventing conflict in this sector.</w:t>
      </w:r>
    </w:p>
  </w:footnote>
  <w:footnote w:id="63">
    <w:p w:rsidR="00BA0ABE" w:rsidRPr="003F78EB" w:rsidRDefault="00BA0ABE" w:rsidP="001F3206">
      <w:pPr>
        <w:pStyle w:val="FootnoteText"/>
        <w:spacing w:after="60"/>
        <w:rPr>
          <w:szCs w:val="18"/>
          <w:lang w:val="en-US"/>
        </w:rPr>
      </w:pPr>
      <w:r w:rsidRPr="003F78EB">
        <w:rPr>
          <w:szCs w:val="18"/>
        </w:rPr>
        <w:tab/>
      </w:r>
      <w:r w:rsidRPr="003F78EB">
        <w:rPr>
          <w:rStyle w:val="FootnoteReference"/>
        </w:rPr>
        <w:footnoteRef/>
      </w:r>
      <w:r w:rsidRPr="003F78EB">
        <w:rPr>
          <w:szCs w:val="18"/>
        </w:rPr>
        <w:tab/>
      </w:r>
      <w:r w:rsidRPr="003F78EB">
        <w:rPr>
          <w:szCs w:val="18"/>
          <w:lang w:val="en-US"/>
        </w:rPr>
        <w:t xml:space="preserve">See </w:t>
      </w:r>
      <w:hyperlink r:id="rId15" w:history="1">
        <w:r w:rsidRPr="003F78EB">
          <w:rPr>
            <w:rStyle w:val="Hyperlink"/>
            <w:szCs w:val="18"/>
            <w:lang w:val="en-US"/>
          </w:rPr>
          <w:t>www.ohchr.org/EN/Issues/Business/Forum/Pages/2013LACRegionalForumBusinessandHumanRights.aspx</w:t>
        </w:r>
      </w:hyperlink>
      <w:r w:rsidRPr="003F78EB">
        <w:rPr>
          <w:szCs w:val="18"/>
          <w:lang w:val="en-US"/>
        </w:rPr>
        <w:t xml:space="preserve"> and </w:t>
      </w:r>
      <w:hyperlink r:id="rId16" w:history="1">
        <w:r w:rsidRPr="003F78EB">
          <w:rPr>
            <w:rStyle w:val="Hyperlink"/>
            <w:szCs w:val="18"/>
            <w:lang w:val="en-US"/>
          </w:rPr>
          <w:t>www.ohchr.org/EN/Issues/Business/Forum/Pages/AfricaRegionalForum.aspx</w:t>
        </w:r>
      </w:hyperlink>
      <w:r w:rsidRPr="003F78EB">
        <w:rPr>
          <w:szCs w:val="18"/>
          <w:lang w:val="en-US"/>
        </w:rPr>
        <w:t>.</w:t>
      </w:r>
    </w:p>
  </w:footnote>
  <w:footnote w:id="64">
    <w:p w:rsidR="00BA0ABE" w:rsidRPr="003F78EB" w:rsidRDefault="00BA0ABE" w:rsidP="00FD17CC">
      <w:pPr>
        <w:pStyle w:val="FootnoteText"/>
        <w:spacing w:after="60"/>
        <w:rPr>
          <w:szCs w:val="18"/>
        </w:rPr>
      </w:pPr>
      <w:r w:rsidRPr="003F78EB">
        <w:rPr>
          <w:szCs w:val="18"/>
        </w:rPr>
        <w:tab/>
      </w:r>
      <w:r w:rsidRPr="003F78EB">
        <w:rPr>
          <w:rStyle w:val="FootnoteReference"/>
        </w:rPr>
        <w:footnoteRef/>
      </w:r>
      <w:r w:rsidRPr="003F78EB">
        <w:rPr>
          <w:szCs w:val="18"/>
        </w:rPr>
        <w:tab/>
        <w:t>www.unido.org/csr.html.</w:t>
      </w:r>
    </w:p>
  </w:footnote>
  <w:footnote w:id="65">
    <w:p w:rsidR="00BA0ABE" w:rsidRPr="003F78EB" w:rsidRDefault="00BA0ABE" w:rsidP="00E26728">
      <w:pPr>
        <w:pStyle w:val="FootnoteText"/>
        <w:spacing w:after="60"/>
        <w:rPr>
          <w:szCs w:val="18"/>
          <w:lang w:val="en-US"/>
        </w:rPr>
      </w:pPr>
      <w:r w:rsidRPr="003F78EB">
        <w:rPr>
          <w:szCs w:val="18"/>
        </w:rPr>
        <w:tab/>
      </w:r>
      <w:r w:rsidRPr="003F78EB">
        <w:rPr>
          <w:rStyle w:val="FootnoteReference"/>
        </w:rPr>
        <w:footnoteRef/>
      </w:r>
      <w:r w:rsidRPr="003F78EB">
        <w:rPr>
          <w:szCs w:val="18"/>
        </w:rPr>
        <w:tab/>
      </w:r>
      <w:r w:rsidRPr="003F78EB">
        <w:rPr>
          <w:szCs w:val="18"/>
          <w:lang w:val="en-US"/>
        </w:rPr>
        <w:t xml:space="preserve">In particular the European Commission’s guidance for SMEs on the Guiding Principles, </w:t>
      </w:r>
      <w:r w:rsidRPr="003F78EB">
        <w:rPr>
          <w:szCs w:val="18"/>
        </w:rPr>
        <w:t>“My business and human rights”, which provides an introduction to the field in simple language. See also the IHRB State of Play report (see footnote 41).</w:t>
      </w:r>
    </w:p>
  </w:footnote>
  <w:footnote w:id="66">
    <w:p w:rsidR="00BA0ABE" w:rsidRPr="003F78EB" w:rsidRDefault="00BA0ABE" w:rsidP="00FD17CC">
      <w:pPr>
        <w:pStyle w:val="FootnoteText"/>
        <w:spacing w:after="60"/>
        <w:rPr>
          <w:szCs w:val="18"/>
        </w:rPr>
      </w:pPr>
      <w:r w:rsidRPr="003F78EB">
        <w:rPr>
          <w:szCs w:val="18"/>
        </w:rPr>
        <w:tab/>
      </w:r>
      <w:r w:rsidRPr="003F78EB">
        <w:rPr>
          <w:rStyle w:val="FootnoteReference"/>
        </w:rPr>
        <w:footnoteRef/>
      </w:r>
      <w:r w:rsidRPr="003F78EB">
        <w:rPr>
          <w:szCs w:val="18"/>
        </w:rPr>
        <w:tab/>
        <w:t>Constructive ways for local networks to support uptake of the Guiding Principles include supporting national-level processes to develop national action plans and working with national human rights institutions. See</w:t>
      </w:r>
      <w:r w:rsidRPr="003F78EB">
        <w:rPr>
          <w:szCs w:val="18"/>
          <w:lang w:val="en-US"/>
        </w:rPr>
        <w:t>https://www.unglobalcompact.org/docs/issues_doc/human_rights/</w:t>
      </w:r>
      <w:r w:rsidRPr="003F78EB">
        <w:rPr>
          <w:szCs w:val="18"/>
          <w:lang w:val="en-US"/>
        </w:rPr>
        <w:br/>
        <w:t xml:space="preserve">Resources/GCLN_National_Action_Plan_Guidance.pdf and </w:t>
      </w:r>
      <w:hyperlink r:id="rId17" w:history="1">
        <w:r w:rsidRPr="003F78EB">
          <w:rPr>
            <w:rStyle w:val="Hyperlink"/>
            <w:szCs w:val="18"/>
            <w:shd w:val="clear" w:color="auto" w:fill="FFFFFF"/>
          </w:rPr>
          <w:t>https://www.unglobalcompact.org/</w:t>
        </w:r>
        <w:r w:rsidRPr="003F78EB">
          <w:rPr>
            <w:rStyle w:val="Hyperlink"/>
            <w:szCs w:val="18"/>
            <w:shd w:val="clear" w:color="auto" w:fill="FFFFFF"/>
          </w:rPr>
          <w:br/>
          <w:t>resources/891</w:t>
        </w:r>
      </w:hyperlink>
      <w:r w:rsidRPr="003F78EB">
        <w:rPr>
          <w:szCs w:val="18"/>
          <w:lang w:val="en-US"/>
        </w:rPr>
        <w:t xml:space="preserve">. </w:t>
      </w:r>
    </w:p>
  </w:footnote>
  <w:footnote w:id="67">
    <w:p w:rsidR="00BA0ABE" w:rsidRPr="003F78EB" w:rsidRDefault="00BA0ABE" w:rsidP="00E268DA">
      <w:pPr>
        <w:pStyle w:val="FootnoteText"/>
        <w:spacing w:after="60"/>
        <w:rPr>
          <w:szCs w:val="18"/>
          <w:lang w:val="en-US"/>
        </w:rPr>
      </w:pPr>
      <w:r w:rsidRPr="003F78EB">
        <w:rPr>
          <w:szCs w:val="18"/>
        </w:rPr>
        <w:tab/>
      </w:r>
      <w:r w:rsidRPr="003F78EB">
        <w:rPr>
          <w:rStyle w:val="FootnoteReference"/>
        </w:rPr>
        <w:footnoteRef/>
      </w:r>
      <w:r w:rsidRPr="003F78EB">
        <w:rPr>
          <w:szCs w:val="18"/>
        </w:rPr>
        <w:tab/>
      </w:r>
      <w:r w:rsidRPr="003F78EB">
        <w:rPr>
          <w:szCs w:val="18"/>
          <w:lang w:val="en-US"/>
        </w:rPr>
        <w:t xml:space="preserve">See United Nations Global Compact, Global corporate sustainability report (2013), available from </w:t>
      </w:r>
      <w:hyperlink r:id="rId18" w:history="1">
        <w:r w:rsidRPr="003F78EB">
          <w:rPr>
            <w:rStyle w:val="Hyperlink"/>
            <w:szCs w:val="18"/>
            <w:lang w:val="en-US"/>
          </w:rPr>
          <w:t>https://www.</w:t>
        </w:r>
        <w:r w:rsidRPr="003F78EB">
          <w:rPr>
            <w:rStyle w:val="Hyperlink"/>
            <w:szCs w:val="18"/>
            <w:lang w:val="en-US"/>
          </w:rPr>
          <w:br/>
          <w:t>unglobalcompact.org/docs/about_the_gc/Global_Corporate_Sustainability_Report2013.pdf</w:t>
        </w:r>
      </w:hyperlink>
      <w:r w:rsidRPr="003F78EB">
        <w:rPr>
          <w:szCs w:val="18"/>
          <w:lang w:val="en-US"/>
        </w:rPr>
        <w:t>.</w:t>
      </w:r>
    </w:p>
  </w:footnote>
  <w:footnote w:id="68">
    <w:p w:rsidR="00BA0ABE" w:rsidRPr="003F78EB" w:rsidRDefault="00BA0ABE" w:rsidP="00BA3F80">
      <w:pPr>
        <w:pStyle w:val="FootnoteText"/>
        <w:spacing w:after="60"/>
        <w:rPr>
          <w:szCs w:val="18"/>
          <w:lang w:val="en-US"/>
        </w:rPr>
      </w:pPr>
      <w:r w:rsidRPr="003F78EB">
        <w:rPr>
          <w:szCs w:val="18"/>
        </w:rPr>
        <w:tab/>
      </w:r>
      <w:r w:rsidRPr="003F78EB">
        <w:rPr>
          <w:rStyle w:val="FootnoteReference"/>
        </w:rPr>
        <w:footnoteRef/>
      </w:r>
      <w:r w:rsidRPr="003F78EB">
        <w:rPr>
          <w:szCs w:val="18"/>
        </w:rPr>
        <w:tab/>
        <w:t>This is the case even among companies supportive of human rights. See for example www.economistinsights.com/business-strategy/analysis/road-principles-practice.</w:t>
      </w:r>
    </w:p>
  </w:footnote>
  <w:footnote w:id="69">
    <w:p w:rsidR="00BA0ABE" w:rsidRPr="003F78EB" w:rsidRDefault="00BA0ABE" w:rsidP="00BA3F80">
      <w:pPr>
        <w:pStyle w:val="FootnoteText"/>
        <w:spacing w:after="60"/>
        <w:rPr>
          <w:szCs w:val="18"/>
          <w:lang w:val="en-US"/>
        </w:rPr>
      </w:pPr>
      <w:r w:rsidRPr="003F78EB">
        <w:rPr>
          <w:szCs w:val="18"/>
        </w:rPr>
        <w:tab/>
      </w:r>
      <w:r w:rsidRPr="003F78EB">
        <w:rPr>
          <w:rStyle w:val="FootnoteReference"/>
        </w:rPr>
        <w:footnoteRef/>
      </w:r>
      <w:r w:rsidRPr="003F78EB">
        <w:rPr>
          <w:szCs w:val="18"/>
        </w:rPr>
        <w:tab/>
      </w:r>
      <w:r w:rsidRPr="003F78EB">
        <w:rPr>
          <w:szCs w:val="18"/>
          <w:lang w:val="en-US"/>
        </w:rPr>
        <w:t xml:space="preserve">The United Nations Global Compact tools and resources database provides a key portal with guidance for business, available from </w:t>
      </w:r>
      <w:hyperlink r:id="rId19" w:history="1">
        <w:r w:rsidRPr="003F78EB">
          <w:rPr>
            <w:rStyle w:val="Hyperlink"/>
            <w:szCs w:val="18"/>
            <w:lang w:val="en-US"/>
          </w:rPr>
          <w:t>https://www.unglobalcompact.org/Issues/human_rights/Tools_and_Guidance_</w:t>
        </w:r>
        <w:r w:rsidRPr="003F78EB">
          <w:rPr>
            <w:rStyle w:val="Hyperlink"/>
            <w:szCs w:val="18"/>
            <w:lang w:val="en-US"/>
          </w:rPr>
          <w:br/>
          <w:t>Materials.html</w:t>
        </w:r>
      </w:hyperlink>
      <w:r w:rsidRPr="003F78EB">
        <w:rPr>
          <w:szCs w:val="18"/>
          <w:lang w:val="en-US"/>
        </w:rPr>
        <w:t xml:space="preserve">. See also Summary document: some key business and human rights guidance materials and how to use them, available from </w:t>
      </w:r>
      <w:hyperlink r:id="rId20" w:history="1">
        <w:r w:rsidRPr="003F78EB">
          <w:rPr>
            <w:rStyle w:val="Hyperlink"/>
            <w:szCs w:val="18"/>
            <w:lang w:val="en-US"/>
          </w:rPr>
          <w:t>https://www.unglobalcompact.org/resources/341</w:t>
        </w:r>
      </w:hyperlink>
      <w:r w:rsidRPr="003F78EB">
        <w:rPr>
          <w:szCs w:val="18"/>
          <w:lang w:val="en-US"/>
        </w:rPr>
        <w:t>.</w:t>
      </w:r>
    </w:p>
  </w:footnote>
  <w:footnote w:id="70">
    <w:p w:rsidR="00BA0ABE" w:rsidRPr="003F78EB" w:rsidRDefault="00BA0ABE" w:rsidP="007E0701">
      <w:pPr>
        <w:pStyle w:val="FootnoteText"/>
        <w:spacing w:after="60"/>
        <w:rPr>
          <w:szCs w:val="18"/>
          <w:lang w:val="en-US"/>
        </w:rPr>
      </w:pPr>
      <w:r w:rsidRPr="003F78EB">
        <w:rPr>
          <w:szCs w:val="18"/>
        </w:rPr>
        <w:tab/>
      </w:r>
      <w:r w:rsidRPr="003F78EB">
        <w:rPr>
          <w:rStyle w:val="FootnoteReference"/>
        </w:rPr>
        <w:footnoteRef/>
      </w:r>
      <w:r w:rsidRPr="003F78EB">
        <w:rPr>
          <w:szCs w:val="18"/>
        </w:rPr>
        <w:tab/>
      </w:r>
      <w:r w:rsidRPr="003F78EB">
        <w:rPr>
          <w:szCs w:val="18"/>
          <w:lang w:val="en-US"/>
        </w:rPr>
        <w:t xml:space="preserve">See </w:t>
      </w:r>
      <w:hyperlink r:id="rId21" w:history="1">
        <w:r w:rsidRPr="003F78EB">
          <w:rPr>
            <w:rStyle w:val="Hyperlink"/>
            <w:szCs w:val="18"/>
            <w:lang w:val="en-US"/>
          </w:rPr>
          <w:t>www.weprinciples.org</w:t>
        </w:r>
      </w:hyperlink>
      <w:r w:rsidRPr="003F78EB">
        <w:rPr>
          <w:szCs w:val="18"/>
          <w:lang w:val="en-US"/>
        </w:rPr>
        <w:t xml:space="preserve">, </w:t>
      </w:r>
      <w:hyperlink r:id="rId22" w:history="1">
        <w:r w:rsidRPr="003F78EB">
          <w:rPr>
            <w:rStyle w:val="Hyperlink"/>
            <w:szCs w:val="18"/>
            <w:lang w:val="en-US"/>
          </w:rPr>
          <w:t>www.childrenandbusiness.org</w:t>
        </w:r>
      </w:hyperlink>
      <w:r w:rsidRPr="003F78EB">
        <w:rPr>
          <w:szCs w:val="18"/>
          <w:lang w:val="en-US"/>
        </w:rPr>
        <w:t xml:space="preserve"> and https://www.unglobalcompact.org/</w:t>
      </w:r>
      <w:r w:rsidRPr="003F78EB">
        <w:rPr>
          <w:szCs w:val="18"/>
          <w:lang w:val="en-US"/>
        </w:rPr>
        <w:br/>
        <w:t>Issues/</w:t>
      </w:r>
      <w:proofErr w:type="spellStart"/>
      <w:r w:rsidRPr="003F78EB">
        <w:rPr>
          <w:szCs w:val="18"/>
          <w:lang w:val="en-US"/>
        </w:rPr>
        <w:t>human_rights</w:t>
      </w:r>
      <w:proofErr w:type="spellEnd"/>
      <w:r w:rsidRPr="003F78EB">
        <w:rPr>
          <w:szCs w:val="18"/>
          <w:lang w:val="en-US"/>
        </w:rPr>
        <w:t>/indigenous_peoples_rights.html.</w:t>
      </w:r>
    </w:p>
  </w:footnote>
  <w:footnote w:id="71">
    <w:p w:rsidR="00BA0ABE" w:rsidRPr="003F78EB" w:rsidRDefault="00BA0ABE" w:rsidP="002E1222">
      <w:pPr>
        <w:pStyle w:val="FootnoteText"/>
        <w:spacing w:after="60"/>
        <w:rPr>
          <w:szCs w:val="18"/>
          <w:lang w:val="en-US"/>
        </w:rPr>
      </w:pPr>
      <w:r w:rsidRPr="003F78EB">
        <w:rPr>
          <w:szCs w:val="18"/>
        </w:rPr>
        <w:tab/>
      </w:r>
      <w:r w:rsidRPr="003F78EB">
        <w:rPr>
          <w:rStyle w:val="FootnoteReference"/>
        </w:rPr>
        <w:footnoteRef/>
      </w:r>
      <w:r w:rsidRPr="003F78EB">
        <w:rPr>
          <w:szCs w:val="18"/>
        </w:rPr>
        <w:tab/>
        <w:t>Available from www.unepfi.org/humanrightstoolkit/.</w:t>
      </w:r>
    </w:p>
  </w:footnote>
  <w:footnote w:id="72">
    <w:p w:rsidR="00BA0ABE" w:rsidRPr="00AD0E43" w:rsidRDefault="00BA0ABE" w:rsidP="00FD17CC">
      <w:pPr>
        <w:pStyle w:val="FootnoteText"/>
        <w:spacing w:after="60"/>
        <w:rPr>
          <w:szCs w:val="18"/>
          <w:lang w:val="en-US"/>
        </w:rPr>
      </w:pPr>
      <w:r w:rsidRPr="003F78EB">
        <w:rPr>
          <w:szCs w:val="18"/>
        </w:rPr>
        <w:tab/>
      </w:r>
      <w:r w:rsidRPr="003F78EB">
        <w:rPr>
          <w:rStyle w:val="FootnoteReference"/>
        </w:rPr>
        <w:footnoteRef/>
      </w:r>
      <w:r w:rsidRPr="003F78EB">
        <w:rPr>
          <w:szCs w:val="18"/>
        </w:rPr>
        <w:tab/>
        <w:t>www.unepfi.org/work-streams/social-issues/.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BE" w:rsidRPr="000230DC" w:rsidRDefault="00BA0ABE">
    <w:pPr>
      <w:pStyle w:val="Header"/>
    </w:pPr>
    <w:r>
      <w:t>A/HRC/29/28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BE" w:rsidRPr="000230DC" w:rsidRDefault="00BA0ABE" w:rsidP="000230DC">
    <w:pPr>
      <w:pStyle w:val="Header"/>
      <w:jc w:val="right"/>
    </w:pPr>
    <w:r>
      <w:t>A/HRC/29/28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8D455E6"/>
    <w:multiLevelType w:val="hybridMultilevel"/>
    <w:tmpl w:val="D262B1DA"/>
    <w:lvl w:ilvl="0" w:tplc="8712544A">
      <w:start w:val="1"/>
      <w:numFmt w:val="decimal"/>
      <w:lvlText w:val="%1."/>
      <w:lvlJc w:val="left"/>
      <w:pPr>
        <w:ind w:left="1689" w:hanging="555"/>
      </w:pPr>
      <w:rPr>
        <w:rFonts w:hint="default"/>
        <w:b w:val="0"/>
        <w:bCs/>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D7383B"/>
    <w:multiLevelType w:val="hybridMultilevel"/>
    <w:tmpl w:val="AEA23372"/>
    <w:lvl w:ilvl="0" w:tplc="751C32C2">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4E736205"/>
    <w:multiLevelType w:val="hybridMultilevel"/>
    <w:tmpl w:val="5B76178E"/>
    <w:lvl w:ilvl="0" w:tplc="B7FE149E">
      <w:start w:val="1"/>
      <w:numFmt w:val="upperLetter"/>
      <w:lvlText w:val="%1."/>
      <w:lvlJc w:val="left"/>
      <w:pPr>
        <w:ind w:left="1065" w:hanging="360"/>
      </w:pPr>
      <w:rPr>
        <w:rFonts w:hint="default"/>
      </w:rPr>
    </w:lvl>
    <w:lvl w:ilvl="1" w:tplc="04140019">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8">
    <w:nsid w:val="562174E6"/>
    <w:multiLevelType w:val="hybridMultilevel"/>
    <w:tmpl w:val="C1660A30"/>
    <w:lvl w:ilvl="0" w:tplc="F37456E4">
      <w:start w:val="6"/>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7ECB0C4E"/>
    <w:multiLevelType w:val="hybridMultilevel"/>
    <w:tmpl w:val="74E4D7D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7FC571ED"/>
    <w:multiLevelType w:val="hybridMultilevel"/>
    <w:tmpl w:val="E51ACAC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5"/>
  </w:num>
  <w:num w:numId="2">
    <w:abstractNumId w:val="4"/>
  </w:num>
  <w:num w:numId="3">
    <w:abstractNumId w:val="10"/>
  </w:num>
  <w:num w:numId="4">
    <w:abstractNumId w:val="3"/>
  </w:num>
  <w:num w:numId="5">
    <w:abstractNumId w:val="0"/>
  </w:num>
  <w:num w:numId="6">
    <w:abstractNumId w:val="1"/>
  </w:num>
  <w:num w:numId="7">
    <w:abstractNumId w:val="9"/>
  </w:num>
  <w:num w:numId="8">
    <w:abstractNumId w:val="6"/>
  </w:num>
  <w:num w:numId="9">
    <w:abstractNumId w:val="7"/>
  </w:num>
  <w:num w:numId="10">
    <w:abstractNumId w:val="11"/>
  </w:num>
  <w:num w:numId="11">
    <w:abstractNumId w:val="8"/>
  </w:num>
  <w:num w:numId="12">
    <w:abstractNumId w:val="12"/>
  </w:num>
  <w:num w:numId="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0DC"/>
    <w:rsid w:val="00007F7F"/>
    <w:rsid w:val="00013213"/>
    <w:rsid w:val="00022DB5"/>
    <w:rsid w:val="000230DC"/>
    <w:rsid w:val="00033CE9"/>
    <w:rsid w:val="000403D1"/>
    <w:rsid w:val="000449AA"/>
    <w:rsid w:val="0004782B"/>
    <w:rsid w:val="00050F6B"/>
    <w:rsid w:val="00051720"/>
    <w:rsid w:val="00057516"/>
    <w:rsid w:val="00062EF5"/>
    <w:rsid w:val="0006317B"/>
    <w:rsid w:val="00064C20"/>
    <w:rsid w:val="00071476"/>
    <w:rsid w:val="00072C8C"/>
    <w:rsid w:val="00073E70"/>
    <w:rsid w:val="00075E17"/>
    <w:rsid w:val="0008057C"/>
    <w:rsid w:val="00081281"/>
    <w:rsid w:val="00086AC7"/>
    <w:rsid w:val="000876EB"/>
    <w:rsid w:val="00091419"/>
    <w:rsid w:val="000915EE"/>
    <w:rsid w:val="000931C0"/>
    <w:rsid w:val="00093436"/>
    <w:rsid w:val="000B175B"/>
    <w:rsid w:val="000B3A0F"/>
    <w:rsid w:val="000B4176"/>
    <w:rsid w:val="000B4A3B"/>
    <w:rsid w:val="000C139A"/>
    <w:rsid w:val="000C6617"/>
    <w:rsid w:val="000C79EA"/>
    <w:rsid w:val="000D0158"/>
    <w:rsid w:val="000D0BC8"/>
    <w:rsid w:val="000D1851"/>
    <w:rsid w:val="000D66F4"/>
    <w:rsid w:val="000E0415"/>
    <w:rsid w:val="000E6D3E"/>
    <w:rsid w:val="000F1254"/>
    <w:rsid w:val="00110F5D"/>
    <w:rsid w:val="00120968"/>
    <w:rsid w:val="0012382D"/>
    <w:rsid w:val="00131791"/>
    <w:rsid w:val="00132CB8"/>
    <w:rsid w:val="00136DE8"/>
    <w:rsid w:val="00140D9B"/>
    <w:rsid w:val="00141A3F"/>
    <w:rsid w:val="00146D32"/>
    <w:rsid w:val="001509BA"/>
    <w:rsid w:val="00151F27"/>
    <w:rsid w:val="001731B6"/>
    <w:rsid w:val="00173D0D"/>
    <w:rsid w:val="00180787"/>
    <w:rsid w:val="00180BEC"/>
    <w:rsid w:val="00183EC4"/>
    <w:rsid w:val="00185590"/>
    <w:rsid w:val="001906BB"/>
    <w:rsid w:val="00190C4D"/>
    <w:rsid w:val="001A0619"/>
    <w:rsid w:val="001A4FD3"/>
    <w:rsid w:val="001B1980"/>
    <w:rsid w:val="001B4B04"/>
    <w:rsid w:val="001C6663"/>
    <w:rsid w:val="001C7895"/>
    <w:rsid w:val="001C7BB7"/>
    <w:rsid w:val="001D01D3"/>
    <w:rsid w:val="001D26DF"/>
    <w:rsid w:val="001D5349"/>
    <w:rsid w:val="001E1DAA"/>
    <w:rsid w:val="001E2790"/>
    <w:rsid w:val="001F3206"/>
    <w:rsid w:val="001F6C8A"/>
    <w:rsid w:val="001F7C8B"/>
    <w:rsid w:val="00206B2B"/>
    <w:rsid w:val="00211E0B"/>
    <w:rsid w:val="00211E72"/>
    <w:rsid w:val="00214047"/>
    <w:rsid w:val="00216650"/>
    <w:rsid w:val="0022130F"/>
    <w:rsid w:val="00221F0C"/>
    <w:rsid w:val="002239FA"/>
    <w:rsid w:val="00232AB9"/>
    <w:rsid w:val="00237785"/>
    <w:rsid w:val="002410DD"/>
    <w:rsid w:val="00241466"/>
    <w:rsid w:val="0024586E"/>
    <w:rsid w:val="00250347"/>
    <w:rsid w:val="00253D58"/>
    <w:rsid w:val="0025599E"/>
    <w:rsid w:val="00260096"/>
    <w:rsid w:val="00261ABA"/>
    <w:rsid w:val="00262F3D"/>
    <w:rsid w:val="002675C3"/>
    <w:rsid w:val="00274083"/>
    <w:rsid w:val="00274EFC"/>
    <w:rsid w:val="00275041"/>
    <w:rsid w:val="00276475"/>
    <w:rsid w:val="00276E10"/>
    <w:rsid w:val="0027725F"/>
    <w:rsid w:val="00286535"/>
    <w:rsid w:val="00290A9D"/>
    <w:rsid w:val="002934C2"/>
    <w:rsid w:val="002A3E3F"/>
    <w:rsid w:val="002B1C0B"/>
    <w:rsid w:val="002C1019"/>
    <w:rsid w:val="002C21F0"/>
    <w:rsid w:val="002D2D47"/>
    <w:rsid w:val="002D36E4"/>
    <w:rsid w:val="002E0C41"/>
    <w:rsid w:val="002E1222"/>
    <w:rsid w:val="002E6BE4"/>
    <w:rsid w:val="002E7750"/>
    <w:rsid w:val="002F41D7"/>
    <w:rsid w:val="002F4920"/>
    <w:rsid w:val="00300D8E"/>
    <w:rsid w:val="0030185B"/>
    <w:rsid w:val="00307B11"/>
    <w:rsid w:val="003107FA"/>
    <w:rsid w:val="00314A26"/>
    <w:rsid w:val="00314C7D"/>
    <w:rsid w:val="00317977"/>
    <w:rsid w:val="0032031B"/>
    <w:rsid w:val="003229D8"/>
    <w:rsid w:val="00326F7B"/>
    <w:rsid w:val="003314D1"/>
    <w:rsid w:val="00335835"/>
    <w:rsid w:val="00335A2F"/>
    <w:rsid w:val="00341937"/>
    <w:rsid w:val="00351CD4"/>
    <w:rsid w:val="00353840"/>
    <w:rsid w:val="00356EF2"/>
    <w:rsid w:val="00357CFA"/>
    <w:rsid w:val="00365FAC"/>
    <w:rsid w:val="00370A97"/>
    <w:rsid w:val="00377385"/>
    <w:rsid w:val="0039277A"/>
    <w:rsid w:val="003972E0"/>
    <w:rsid w:val="003975ED"/>
    <w:rsid w:val="003A01F8"/>
    <w:rsid w:val="003A4402"/>
    <w:rsid w:val="003B69BC"/>
    <w:rsid w:val="003C2CC4"/>
    <w:rsid w:val="003C3AA0"/>
    <w:rsid w:val="003C52DC"/>
    <w:rsid w:val="003D4B23"/>
    <w:rsid w:val="003E631A"/>
    <w:rsid w:val="003F068B"/>
    <w:rsid w:val="003F3499"/>
    <w:rsid w:val="003F4766"/>
    <w:rsid w:val="003F6716"/>
    <w:rsid w:val="003F78EB"/>
    <w:rsid w:val="0040252C"/>
    <w:rsid w:val="004059B4"/>
    <w:rsid w:val="00412F36"/>
    <w:rsid w:val="0041515D"/>
    <w:rsid w:val="00420335"/>
    <w:rsid w:val="00424C80"/>
    <w:rsid w:val="00431C04"/>
    <w:rsid w:val="004325CB"/>
    <w:rsid w:val="0043530B"/>
    <w:rsid w:val="0044503A"/>
    <w:rsid w:val="00446312"/>
    <w:rsid w:val="00446DE4"/>
    <w:rsid w:val="00447761"/>
    <w:rsid w:val="00451B11"/>
    <w:rsid w:val="00451EC3"/>
    <w:rsid w:val="00460F43"/>
    <w:rsid w:val="00461AE6"/>
    <w:rsid w:val="00465E39"/>
    <w:rsid w:val="00466E73"/>
    <w:rsid w:val="004721B1"/>
    <w:rsid w:val="00474F23"/>
    <w:rsid w:val="004816F7"/>
    <w:rsid w:val="004859EC"/>
    <w:rsid w:val="004934BB"/>
    <w:rsid w:val="0049612B"/>
    <w:rsid w:val="00496A15"/>
    <w:rsid w:val="004A12C2"/>
    <w:rsid w:val="004A3356"/>
    <w:rsid w:val="004A42AB"/>
    <w:rsid w:val="004A661C"/>
    <w:rsid w:val="004B100A"/>
    <w:rsid w:val="004B4B3B"/>
    <w:rsid w:val="004B75D2"/>
    <w:rsid w:val="004C15EA"/>
    <w:rsid w:val="004C32DE"/>
    <w:rsid w:val="004D1140"/>
    <w:rsid w:val="004D1DE0"/>
    <w:rsid w:val="004D4655"/>
    <w:rsid w:val="004E0C43"/>
    <w:rsid w:val="004F55ED"/>
    <w:rsid w:val="0052176C"/>
    <w:rsid w:val="00523BD1"/>
    <w:rsid w:val="00525150"/>
    <w:rsid w:val="005252F0"/>
    <w:rsid w:val="005261E5"/>
    <w:rsid w:val="00533E8E"/>
    <w:rsid w:val="005420F2"/>
    <w:rsid w:val="00542574"/>
    <w:rsid w:val="005436AB"/>
    <w:rsid w:val="00546DBF"/>
    <w:rsid w:val="00553D76"/>
    <w:rsid w:val="005552B5"/>
    <w:rsid w:val="0056115B"/>
    <w:rsid w:val="0056117B"/>
    <w:rsid w:val="00571365"/>
    <w:rsid w:val="005841A0"/>
    <w:rsid w:val="0058504C"/>
    <w:rsid w:val="00587915"/>
    <w:rsid w:val="005A15CE"/>
    <w:rsid w:val="005A320F"/>
    <w:rsid w:val="005A46AA"/>
    <w:rsid w:val="005A4AC2"/>
    <w:rsid w:val="005B3DB3"/>
    <w:rsid w:val="005B6E48"/>
    <w:rsid w:val="005C2001"/>
    <w:rsid w:val="005E1712"/>
    <w:rsid w:val="005E752B"/>
    <w:rsid w:val="006011C5"/>
    <w:rsid w:val="00602C99"/>
    <w:rsid w:val="00605D6C"/>
    <w:rsid w:val="00611FC4"/>
    <w:rsid w:val="006176FB"/>
    <w:rsid w:val="0062640A"/>
    <w:rsid w:val="006348F1"/>
    <w:rsid w:val="00640B26"/>
    <w:rsid w:val="0064773F"/>
    <w:rsid w:val="00663E45"/>
    <w:rsid w:val="00670741"/>
    <w:rsid w:val="00686799"/>
    <w:rsid w:val="00686F3F"/>
    <w:rsid w:val="00687801"/>
    <w:rsid w:val="006907B3"/>
    <w:rsid w:val="00696BD6"/>
    <w:rsid w:val="006A0D6F"/>
    <w:rsid w:val="006A6B9D"/>
    <w:rsid w:val="006A7392"/>
    <w:rsid w:val="006B3189"/>
    <w:rsid w:val="006B5903"/>
    <w:rsid w:val="006B7D65"/>
    <w:rsid w:val="006C010D"/>
    <w:rsid w:val="006C1DB8"/>
    <w:rsid w:val="006D4B6A"/>
    <w:rsid w:val="006D6DA6"/>
    <w:rsid w:val="006D756A"/>
    <w:rsid w:val="006E3A74"/>
    <w:rsid w:val="006E564B"/>
    <w:rsid w:val="006E5AB9"/>
    <w:rsid w:val="006E6D48"/>
    <w:rsid w:val="006F13F0"/>
    <w:rsid w:val="006F5035"/>
    <w:rsid w:val="006F6C5C"/>
    <w:rsid w:val="00704FC1"/>
    <w:rsid w:val="007065EB"/>
    <w:rsid w:val="007108AF"/>
    <w:rsid w:val="00711528"/>
    <w:rsid w:val="00720183"/>
    <w:rsid w:val="00720D39"/>
    <w:rsid w:val="0072632A"/>
    <w:rsid w:val="0073331A"/>
    <w:rsid w:val="00734073"/>
    <w:rsid w:val="00741F37"/>
    <w:rsid w:val="0074200B"/>
    <w:rsid w:val="00747B28"/>
    <w:rsid w:val="00754B15"/>
    <w:rsid w:val="00757777"/>
    <w:rsid w:val="007715E2"/>
    <w:rsid w:val="0078310E"/>
    <w:rsid w:val="007A1F45"/>
    <w:rsid w:val="007A6296"/>
    <w:rsid w:val="007A6D83"/>
    <w:rsid w:val="007B1F86"/>
    <w:rsid w:val="007B6BA5"/>
    <w:rsid w:val="007C1B62"/>
    <w:rsid w:val="007C3390"/>
    <w:rsid w:val="007C4F14"/>
    <w:rsid w:val="007C4F4B"/>
    <w:rsid w:val="007D2CDC"/>
    <w:rsid w:val="007D5327"/>
    <w:rsid w:val="007D5796"/>
    <w:rsid w:val="007E0701"/>
    <w:rsid w:val="007F07F7"/>
    <w:rsid w:val="007F1F5D"/>
    <w:rsid w:val="007F6611"/>
    <w:rsid w:val="0080309F"/>
    <w:rsid w:val="008101EB"/>
    <w:rsid w:val="00811202"/>
    <w:rsid w:val="00811D71"/>
    <w:rsid w:val="00813190"/>
    <w:rsid w:val="008143A9"/>
    <w:rsid w:val="00815091"/>
    <w:rsid w:val="008155C3"/>
    <w:rsid w:val="008175E9"/>
    <w:rsid w:val="0082243E"/>
    <w:rsid w:val="00824019"/>
    <w:rsid w:val="008242D7"/>
    <w:rsid w:val="008272F5"/>
    <w:rsid w:val="008302CC"/>
    <w:rsid w:val="00832D1E"/>
    <w:rsid w:val="008363FF"/>
    <w:rsid w:val="00842B2C"/>
    <w:rsid w:val="00856CD2"/>
    <w:rsid w:val="00861BC6"/>
    <w:rsid w:val="0087125B"/>
    <w:rsid w:val="00871FD5"/>
    <w:rsid w:val="008745A8"/>
    <w:rsid w:val="0088243B"/>
    <w:rsid w:val="008979B1"/>
    <w:rsid w:val="008A4D3E"/>
    <w:rsid w:val="008A6B25"/>
    <w:rsid w:val="008A6C4F"/>
    <w:rsid w:val="008A7FE2"/>
    <w:rsid w:val="008B2FE0"/>
    <w:rsid w:val="008C1E4D"/>
    <w:rsid w:val="008C25AA"/>
    <w:rsid w:val="008D58E2"/>
    <w:rsid w:val="008E0E46"/>
    <w:rsid w:val="008E4D6D"/>
    <w:rsid w:val="008E5C93"/>
    <w:rsid w:val="00901C88"/>
    <w:rsid w:val="0090452C"/>
    <w:rsid w:val="00907C3F"/>
    <w:rsid w:val="00911BA3"/>
    <w:rsid w:val="00916166"/>
    <w:rsid w:val="0092237C"/>
    <w:rsid w:val="0093707B"/>
    <w:rsid w:val="009400EB"/>
    <w:rsid w:val="009404BB"/>
    <w:rsid w:val="009427E3"/>
    <w:rsid w:val="009436C0"/>
    <w:rsid w:val="00954E9D"/>
    <w:rsid w:val="00956D9B"/>
    <w:rsid w:val="0096265C"/>
    <w:rsid w:val="00962F4E"/>
    <w:rsid w:val="00963CBA"/>
    <w:rsid w:val="009654B7"/>
    <w:rsid w:val="0097235B"/>
    <w:rsid w:val="00980252"/>
    <w:rsid w:val="00982041"/>
    <w:rsid w:val="00991261"/>
    <w:rsid w:val="009A0B83"/>
    <w:rsid w:val="009A4772"/>
    <w:rsid w:val="009B3800"/>
    <w:rsid w:val="009B5CB5"/>
    <w:rsid w:val="009B6FA7"/>
    <w:rsid w:val="009C2B47"/>
    <w:rsid w:val="009C6323"/>
    <w:rsid w:val="009C6BA3"/>
    <w:rsid w:val="009D075A"/>
    <w:rsid w:val="009D22AC"/>
    <w:rsid w:val="009D27CD"/>
    <w:rsid w:val="009D4C14"/>
    <w:rsid w:val="009D50DB"/>
    <w:rsid w:val="009D601E"/>
    <w:rsid w:val="009E1C4E"/>
    <w:rsid w:val="009E4270"/>
    <w:rsid w:val="00A05E0B"/>
    <w:rsid w:val="00A0602D"/>
    <w:rsid w:val="00A1427D"/>
    <w:rsid w:val="00A150CE"/>
    <w:rsid w:val="00A166D5"/>
    <w:rsid w:val="00A237B7"/>
    <w:rsid w:val="00A3083D"/>
    <w:rsid w:val="00A42CC9"/>
    <w:rsid w:val="00A4634F"/>
    <w:rsid w:val="00A51CF3"/>
    <w:rsid w:val="00A72F22"/>
    <w:rsid w:val="00A748A6"/>
    <w:rsid w:val="00A76C3E"/>
    <w:rsid w:val="00A77DFC"/>
    <w:rsid w:val="00A838B7"/>
    <w:rsid w:val="00A879A4"/>
    <w:rsid w:val="00A87E95"/>
    <w:rsid w:val="00A910CD"/>
    <w:rsid w:val="00A9213E"/>
    <w:rsid w:val="00A92E29"/>
    <w:rsid w:val="00AA3A7C"/>
    <w:rsid w:val="00AA4535"/>
    <w:rsid w:val="00AB5598"/>
    <w:rsid w:val="00AB7EFB"/>
    <w:rsid w:val="00AC1E40"/>
    <w:rsid w:val="00AD09E9"/>
    <w:rsid w:val="00AD1D65"/>
    <w:rsid w:val="00AD7DE7"/>
    <w:rsid w:val="00AE5C35"/>
    <w:rsid w:val="00AE687C"/>
    <w:rsid w:val="00AF0576"/>
    <w:rsid w:val="00AF351B"/>
    <w:rsid w:val="00AF3829"/>
    <w:rsid w:val="00AF4305"/>
    <w:rsid w:val="00AF663A"/>
    <w:rsid w:val="00B00F3A"/>
    <w:rsid w:val="00B01351"/>
    <w:rsid w:val="00B037F0"/>
    <w:rsid w:val="00B1232B"/>
    <w:rsid w:val="00B12B55"/>
    <w:rsid w:val="00B2327D"/>
    <w:rsid w:val="00B2718F"/>
    <w:rsid w:val="00B30179"/>
    <w:rsid w:val="00B3317B"/>
    <w:rsid w:val="00B334DC"/>
    <w:rsid w:val="00B3631A"/>
    <w:rsid w:val="00B428BB"/>
    <w:rsid w:val="00B46662"/>
    <w:rsid w:val="00B47BFE"/>
    <w:rsid w:val="00B51DA3"/>
    <w:rsid w:val="00B53013"/>
    <w:rsid w:val="00B5410E"/>
    <w:rsid w:val="00B544E8"/>
    <w:rsid w:val="00B54BDB"/>
    <w:rsid w:val="00B57D9F"/>
    <w:rsid w:val="00B63FC7"/>
    <w:rsid w:val="00B644EE"/>
    <w:rsid w:val="00B67F5E"/>
    <w:rsid w:val="00B73E65"/>
    <w:rsid w:val="00B73F34"/>
    <w:rsid w:val="00B801BC"/>
    <w:rsid w:val="00B817C2"/>
    <w:rsid w:val="00B81E12"/>
    <w:rsid w:val="00B831B9"/>
    <w:rsid w:val="00B87110"/>
    <w:rsid w:val="00B97FA8"/>
    <w:rsid w:val="00BA0A25"/>
    <w:rsid w:val="00BA0ABE"/>
    <w:rsid w:val="00BA3F80"/>
    <w:rsid w:val="00BB17ED"/>
    <w:rsid w:val="00BB3CBC"/>
    <w:rsid w:val="00BB5604"/>
    <w:rsid w:val="00BB6898"/>
    <w:rsid w:val="00BC1385"/>
    <w:rsid w:val="00BC74E9"/>
    <w:rsid w:val="00BD0BC2"/>
    <w:rsid w:val="00BD2C0F"/>
    <w:rsid w:val="00BE618E"/>
    <w:rsid w:val="00C03DD4"/>
    <w:rsid w:val="00C24693"/>
    <w:rsid w:val="00C27990"/>
    <w:rsid w:val="00C35F0B"/>
    <w:rsid w:val="00C4385D"/>
    <w:rsid w:val="00C4453F"/>
    <w:rsid w:val="00C463DD"/>
    <w:rsid w:val="00C61A13"/>
    <w:rsid w:val="00C63A3C"/>
    <w:rsid w:val="00C64458"/>
    <w:rsid w:val="00C66048"/>
    <w:rsid w:val="00C72E8A"/>
    <w:rsid w:val="00C745C3"/>
    <w:rsid w:val="00C94748"/>
    <w:rsid w:val="00C97BB1"/>
    <w:rsid w:val="00CA09BD"/>
    <w:rsid w:val="00CA2A58"/>
    <w:rsid w:val="00CA3806"/>
    <w:rsid w:val="00CA4062"/>
    <w:rsid w:val="00CB20B0"/>
    <w:rsid w:val="00CB4AFF"/>
    <w:rsid w:val="00CB529B"/>
    <w:rsid w:val="00CC0B55"/>
    <w:rsid w:val="00CC1727"/>
    <w:rsid w:val="00CC5B63"/>
    <w:rsid w:val="00CC77F8"/>
    <w:rsid w:val="00CD3826"/>
    <w:rsid w:val="00CD47D0"/>
    <w:rsid w:val="00CD6995"/>
    <w:rsid w:val="00CE09B5"/>
    <w:rsid w:val="00CE4A8F"/>
    <w:rsid w:val="00CF0214"/>
    <w:rsid w:val="00CF586F"/>
    <w:rsid w:val="00CF7D43"/>
    <w:rsid w:val="00D040D0"/>
    <w:rsid w:val="00D0783B"/>
    <w:rsid w:val="00D11129"/>
    <w:rsid w:val="00D2031B"/>
    <w:rsid w:val="00D22332"/>
    <w:rsid w:val="00D226FD"/>
    <w:rsid w:val="00D23C28"/>
    <w:rsid w:val="00D25FE2"/>
    <w:rsid w:val="00D317B4"/>
    <w:rsid w:val="00D3393F"/>
    <w:rsid w:val="00D36302"/>
    <w:rsid w:val="00D36309"/>
    <w:rsid w:val="00D37170"/>
    <w:rsid w:val="00D43252"/>
    <w:rsid w:val="00D550F9"/>
    <w:rsid w:val="00D572B0"/>
    <w:rsid w:val="00D62E90"/>
    <w:rsid w:val="00D66EB4"/>
    <w:rsid w:val="00D76BE5"/>
    <w:rsid w:val="00D9684F"/>
    <w:rsid w:val="00D978C6"/>
    <w:rsid w:val="00DA2A81"/>
    <w:rsid w:val="00DA57C9"/>
    <w:rsid w:val="00DA5960"/>
    <w:rsid w:val="00DA67AD"/>
    <w:rsid w:val="00DB18CE"/>
    <w:rsid w:val="00DB3AA4"/>
    <w:rsid w:val="00DC5439"/>
    <w:rsid w:val="00DD327E"/>
    <w:rsid w:val="00DD460B"/>
    <w:rsid w:val="00DD503B"/>
    <w:rsid w:val="00DE25A4"/>
    <w:rsid w:val="00DE3EC0"/>
    <w:rsid w:val="00DF2C64"/>
    <w:rsid w:val="00E03EC2"/>
    <w:rsid w:val="00E059FD"/>
    <w:rsid w:val="00E05DEF"/>
    <w:rsid w:val="00E102E7"/>
    <w:rsid w:val="00E11593"/>
    <w:rsid w:val="00E118BB"/>
    <w:rsid w:val="00E12B6B"/>
    <w:rsid w:val="00E130AB"/>
    <w:rsid w:val="00E223A0"/>
    <w:rsid w:val="00E26728"/>
    <w:rsid w:val="00E268DA"/>
    <w:rsid w:val="00E368F8"/>
    <w:rsid w:val="00E438D9"/>
    <w:rsid w:val="00E5644E"/>
    <w:rsid w:val="00E618D4"/>
    <w:rsid w:val="00E62A92"/>
    <w:rsid w:val="00E67576"/>
    <w:rsid w:val="00E70A66"/>
    <w:rsid w:val="00E7260F"/>
    <w:rsid w:val="00E806EE"/>
    <w:rsid w:val="00E84725"/>
    <w:rsid w:val="00E9075D"/>
    <w:rsid w:val="00E96630"/>
    <w:rsid w:val="00EA0C27"/>
    <w:rsid w:val="00EA3787"/>
    <w:rsid w:val="00EB0FB9"/>
    <w:rsid w:val="00EC6AB6"/>
    <w:rsid w:val="00ED026E"/>
    <w:rsid w:val="00ED0CA9"/>
    <w:rsid w:val="00ED28AC"/>
    <w:rsid w:val="00ED7A2A"/>
    <w:rsid w:val="00EE0187"/>
    <w:rsid w:val="00EE3E92"/>
    <w:rsid w:val="00EF1D7F"/>
    <w:rsid w:val="00EF43AC"/>
    <w:rsid w:val="00EF5BDB"/>
    <w:rsid w:val="00F07FD9"/>
    <w:rsid w:val="00F13BFF"/>
    <w:rsid w:val="00F23933"/>
    <w:rsid w:val="00F24119"/>
    <w:rsid w:val="00F3181E"/>
    <w:rsid w:val="00F40E75"/>
    <w:rsid w:val="00F42CD9"/>
    <w:rsid w:val="00F43BC8"/>
    <w:rsid w:val="00F442B2"/>
    <w:rsid w:val="00F50412"/>
    <w:rsid w:val="00F52936"/>
    <w:rsid w:val="00F565C5"/>
    <w:rsid w:val="00F677CB"/>
    <w:rsid w:val="00F7376C"/>
    <w:rsid w:val="00F80B18"/>
    <w:rsid w:val="00F8348E"/>
    <w:rsid w:val="00F86A72"/>
    <w:rsid w:val="00F968E5"/>
    <w:rsid w:val="00FA27E7"/>
    <w:rsid w:val="00FA5055"/>
    <w:rsid w:val="00FA7DF3"/>
    <w:rsid w:val="00FA7FEF"/>
    <w:rsid w:val="00FB0E43"/>
    <w:rsid w:val="00FB3846"/>
    <w:rsid w:val="00FC68B7"/>
    <w:rsid w:val="00FD17CC"/>
    <w:rsid w:val="00FD49A4"/>
    <w:rsid w:val="00FD6FDA"/>
    <w:rsid w:val="00FD7C12"/>
    <w:rsid w:val="00FE5D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3A4402"/>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Caption">
    <w:name w:val="caption"/>
    <w:basedOn w:val="Normal"/>
    <w:next w:val="Normal"/>
    <w:qFormat/>
    <w:rsid w:val="00132CB8"/>
    <w:pPr>
      <w:spacing w:before="120"/>
    </w:pPr>
    <w:rPr>
      <w:b/>
      <w:sz w:val="24"/>
      <w:szCs w:val="24"/>
    </w:rPr>
  </w:style>
  <w:style w:type="character" w:customStyle="1" w:styleId="FootnoteTextChar">
    <w:name w:val="Footnote Text Char"/>
    <w:aliases w:val="5_G Char"/>
    <w:link w:val="FootnoteText"/>
    <w:rsid w:val="007E0701"/>
    <w:rPr>
      <w:sz w:val="18"/>
      <w:lang w:eastAsia="en-US"/>
    </w:rPr>
  </w:style>
  <w:style w:type="paragraph" w:styleId="ListParagraph">
    <w:name w:val="List Paragraph"/>
    <w:basedOn w:val="Normal"/>
    <w:uiPriority w:val="34"/>
    <w:qFormat/>
    <w:rsid w:val="007E0701"/>
    <w:pPr>
      <w:suppressAutoHyphens w:val="0"/>
      <w:spacing w:after="200" w:line="276" w:lineRule="auto"/>
      <w:ind w:left="720"/>
      <w:contextualSpacing/>
    </w:pPr>
    <w:rPr>
      <w:rFonts w:ascii="Calibri" w:eastAsia="MS Mincho" w:hAnsi="Calibri"/>
      <w:sz w:val="22"/>
      <w:szCs w:val="22"/>
      <w:lang w:eastAsia="en-GB"/>
    </w:rPr>
  </w:style>
  <w:style w:type="character" w:styleId="CommentReference">
    <w:name w:val="annotation reference"/>
    <w:uiPriority w:val="99"/>
    <w:unhideWhenUsed/>
    <w:rsid w:val="007E0701"/>
    <w:rPr>
      <w:sz w:val="16"/>
      <w:szCs w:val="16"/>
    </w:rPr>
  </w:style>
  <w:style w:type="paragraph" w:styleId="CommentText">
    <w:name w:val="annotation text"/>
    <w:basedOn w:val="Normal"/>
    <w:link w:val="CommentTextChar"/>
    <w:uiPriority w:val="99"/>
    <w:unhideWhenUsed/>
    <w:rsid w:val="007E0701"/>
    <w:pPr>
      <w:suppressAutoHyphens w:val="0"/>
      <w:spacing w:after="200" w:line="240" w:lineRule="auto"/>
    </w:pPr>
    <w:rPr>
      <w:rFonts w:ascii="Calibri" w:eastAsia="MS Mincho" w:hAnsi="Calibri"/>
      <w:lang w:val="x-none" w:eastAsia="x-none"/>
    </w:rPr>
  </w:style>
  <w:style w:type="character" w:customStyle="1" w:styleId="CommentTextChar">
    <w:name w:val="Comment Text Char"/>
    <w:link w:val="CommentText"/>
    <w:uiPriority w:val="99"/>
    <w:rsid w:val="007E0701"/>
    <w:rPr>
      <w:rFonts w:ascii="Calibri" w:eastAsia="MS Mincho" w:hAnsi="Calibri"/>
    </w:rPr>
  </w:style>
  <w:style w:type="character" w:customStyle="1" w:styleId="apple-converted-space">
    <w:name w:val="apple-converted-space"/>
    <w:basedOn w:val="DefaultParagraphFont"/>
    <w:rsid w:val="007E0701"/>
  </w:style>
  <w:style w:type="paragraph" w:styleId="BalloonText">
    <w:name w:val="Balloon Text"/>
    <w:basedOn w:val="Normal"/>
    <w:link w:val="BalloonTextChar"/>
    <w:rsid w:val="007E0701"/>
    <w:pPr>
      <w:spacing w:line="240" w:lineRule="auto"/>
    </w:pPr>
    <w:rPr>
      <w:rFonts w:ascii="Tahoma" w:hAnsi="Tahoma"/>
      <w:sz w:val="16"/>
      <w:szCs w:val="16"/>
      <w:lang w:val="x-none"/>
    </w:rPr>
  </w:style>
  <w:style w:type="character" w:customStyle="1" w:styleId="BalloonTextChar">
    <w:name w:val="Balloon Text Char"/>
    <w:link w:val="BalloonText"/>
    <w:rsid w:val="007E0701"/>
    <w:rPr>
      <w:rFonts w:ascii="Tahoma" w:hAnsi="Tahoma" w:cs="Tahoma"/>
      <w:sz w:val="16"/>
      <w:szCs w:val="16"/>
      <w:lang w:eastAsia="en-US"/>
    </w:rPr>
  </w:style>
  <w:style w:type="paragraph" w:styleId="CommentSubject">
    <w:name w:val="annotation subject"/>
    <w:basedOn w:val="CommentText"/>
    <w:next w:val="CommentText"/>
    <w:link w:val="CommentSubjectChar"/>
    <w:rsid w:val="00F80B18"/>
    <w:pPr>
      <w:suppressAutoHyphens/>
      <w:spacing w:after="0" w:line="240" w:lineRule="atLeast"/>
    </w:pPr>
    <w:rPr>
      <w:b/>
      <w:bCs/>
      <w:lang w:eastAsia="en-US"/>
    </w:rPr>
  </w:style>
  <w:style w:type="character" w:customStyle="1" w:styleId="CommentSubjectChar">
    <w:name w:val="Comment Subject Char"/>
    <w:link w:val="CommentSubject"/>
    <w:rsid w:val="00F80B18"/>
    <w:rPr>
      <w:rFonts w:ascii="Calibri" w:eastAsia="MS Mincho" w:hAnsi="Calibri"/>
      <w:b/>
      <w:bCs/>
      <w:lang w:val="en-GB" w:eastAsia="en-US"/>
    </w:rPr>
  </w:style>
  <w:style w:type="paragraph" w:styleId="Revision">
    <w:name w:val="Revision"/>
    <w:hidden/>
    <w:uiPriority w:val="99"/>
    <w:semiHidden/>
    <w:rsid w:val="008101EB"/>
    <w:rPr>
      <w:lang w:eastAsia="en-US"/>
    </w:rPr>
  </w:style>
  <w:style w:type="character" w:styleId="Emphasis">
    <w:name w:val="Emphasis"/>
    <w:uiPriority w:val="20"/>
    <w:qFormat/>
    <w:rsid w:val="008240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3A4402"/>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Caption">
    <w:name w:val="caption"/>
    <w:basedOn w:val="Normal"/>
    <w:next w:val="Normal"/>
    <w:qFormat/>
    <w:rsid w:val="00132CB8"/>
    <w:pPr>
      <w:spacing w:before="120"/>
    </w:pPr>
    <w:rPr>
      <w:b/>
      <w:sz w:val="24"/>
      <w:szCs w:val="24"/>
    </w:rPr>
  </w:style>
  <w:style w:type="character" w:customStyle="1" w:styleId="FootnoteTextChar">
    <w:name w:val="Footnote Text Char"/>
    <w:aliases w:val="5_G Char"/>
    <w:link w:val="FootnoteText"/>
    <w:rsid w:val="007E0701"/>
    <w:rPr>
      <w:sz w:val="18"/>
      <w:lang w:eastAsia="en-US"/>
    </w:rPr>
  </w:style>
  <w:style w:type="paragraph" w:styleId="ListParagraph">
    <w:name w:val="List Paragraph"/>
    <w:basedOn w:val="Normal"/>
    <w:uiPriority w:val="34"/>
    <w:qFormat/>
    <w:rsid w:val="007E0701"/>
    <w:pPr>
      <w:suppressAutoHyphens w:val="0"/>
      <w:spacing w:after="200" w:line="276" w:lineRule="auto"/>
      <w:ind w:left="720"/>
      <w:contextualSpacing/>
    </w:pPr>
    <w:rPr>
      <w:rFonts w:ascii="Calibri" w:eastAsia="MS Mincho" w:hAnsi="Calibri"/>
      <w:sz w:val="22"/>
      <w:szCs w:val="22"/>
      <w:lang w:eastAsia="en-GB"/>
    </w:rPr>
  </w:style>
  <w:style w:type="character" w:styleId="CommentReference">
    <w:name w:val="annotation reference"/>
    <w:uiPriority w:val="99"/>
    <w:unhideWhenUsed/>
    <w:rsid w:val="007E0701"/>
    <w:rPr>
      <w:sz w:val="16"/>
      <w:szCs w:val="16"/>
    </w:rPr>
  </w:style>
  <w:style w:type="paragraph" w:styleId="CommentText">
    <w:name w:val="annotation text"/>
    <w:basedOn w:val="Normal"/>
    <w:link w:val="CommentTextChar"/>
    <w:uiPriority w:val="99"/>
    <w:unhideWhenUsed/>
    <w:rsid w:val="007E0701"/>
    <w:pPr>
      <w:suppressAutoHyphens w:val="0"/>
      <w:spacing w:after="200" w:line="240" w:lineRule="auto"/>
    </w:pPr>
    <w:rPr>
      <w:rFonts w:ascii="Calibri" w:eastAsia="MS Mincho" w:hAnsi="Calibri"/>
      <w:lang w:val="x-none" w:eastAsia="x-none"/>
    </w:rPr>
  </w:style>
  <w:style w:type="character" w:customStyle="1" w:styleId="CommentTextChar">
    <w:name w:val="Comment Text Char"/>
    <w:link w:val="CommentText"/>
    <w:uiPriority w:val="99"/>
    <w:rsid w:val="007E0701"/>
    <w:rPr>
      <w:rFonts w:ascii="Calibri" w:eastAsia="MS Mincho" w:hAnsi="Calibri"/>
    </w:rPr>
  </w:style>
  <w:style w:type="character" w:customStyle="1" w:styleId="apple-converted-space">
    <w:name w:val="apple-converted-space"/>
    <w:basedOn w:val="DefaultParagraphFont"/>
    <w:rsid w:val="007E0701"/>
  </w:style>
  <w:style w:type="paragraph" w:styleId="BalloonText">
    <w:name w:val="Balloon Text"/>
    <w:basedOn w:val="Normal"/>
    <w:link w:val="BalloonTextChar"/>
    <w:rsid w:val="007E0701"/>
    <w:pPr>
      <w:spacing w:line="240" w:lineRule="auto"/>
    </w:pPr>
    <w:rPr>
      <w:rFonts w:ascii="Tahoma" w:hAnsi="Tahoma"/>
      <w:sz w:val="16"/>
      <w:szCs w:val="16"/>
      <w:lang w:val="x-none"/>
    </w:rPr>
  </w:style>
  <w:style w:type="character" w:customStyle="1" w:styleId="BalloonTextChar">
    <w:name w:val="Balloon Text Char"/>
    <w:link w:val="BalloonText"/>
    <w:rsid w:val="007E0701"/>
    <w:rPr>
      <w:rFonts w:ascii="Tahoma" w:hAnsi="Tahoma" w:cs="Tahoma"/>
      <w:sz w:val="16"/>
      <w:szCs w:val="16"/>
      <w:lang w:eastAsia="en-US"/>
    </w:rPr>
  </w:style>
  <w:style w:type="paragraph" w:styleId="CommentSubject">
    <w:name w:val="annotation subject"/>
    <w:basedOn w:val="CommentText"/>
    <w:next w:val="CommentText"/>
    <w:link w:val="CommentSubjectChar"/>
    <w:rsid w:val="00F80B18"/>
    <w:pPr>
      <w:suppressAutoHyphens/>
      <w:spacing w:after="0" w:line="240" w:lineRule="atLeast"/>
    </w:pPr>
    <w:rPr>
      <w:b/>
      <w:bCs/>
      <w:lang w:eastAsia="en-US"/>
    </w:rPr>
  </w:style>
  <w:style w:type="character" w:customStyle="1" w:styleId="CommentSubjectChar">
    <w:name w:val="Comment Subject Char"/>
    <w:link w:val="CommentSubject"/>
    <w:rsid w:val="00F80B18"/>
    <w:rPr>
      <w:rFonts w:ascii="Calibri" w:eastAsia="MS Mincho" w:hAnsi="Calibri"/>
      <w:b/>
      <w:bCs/>
      <w:lang w:val="en-GB" w:eastAsia="en-US"/>
    </w:rPr>
  </w:style>
  <w:style w:type="paragraph" w:styleId="Revision">
    <w:name w:val="Revision"/>
    <w:hidden/>
    <w:uiPriority w:val="99"/>
    <w:semiHidden/>
    <w:rsid w:val="008101EB"/>
    <w:rPr>
      <w:lang w:eastAsia="en-US"/>
    </w:rPr>
  </w:style>
  <w:style w:type="character" w:styleId="Emphasis">
    <w:name w:val="Emphasis"/>
    <w:uiPriority w:val="20"/>
    <w:qFormat/>
    <w:rsid w:val="008240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1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ccess-dds-ny.un.org/doc/UNDOC/GEN/V08/543/30/PDF/V0854330.pdf?OpenElemen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file:///C:/Users/Tpseng/Users/Boyes/AppData/Roaming/Microsoft/Word/Available%20from%20business-humanrights.org/en/company-action-platform" TargetMode="External"/><Relationship Id="rId13" Type="http://schemas.openxmlformats.org/officeDocument/2006/relationships/hyperlink" Target="file:///C:/Users/Tpseng/Users/halsteen/Downloads/available%20from%20www.unep.org/resourceefficiency/Business/SustainableandResponsible" TargetMode="External"/><Relationship Id="rId18" Type="http://schemas.openxmlformats.org/officeDocument/2006/relationships/hyperlink" Target="https://www.unglobalcompact.org/docs/about_the_gc/Global_Corporate_Sustainability_Report2013.pdf" TargetMode="External"/><Relationship Id="rId3" Type="http://schemas.openxmlformats.org/officeDocument/2006/relationships/hyperlink" Target="http://www.ohchr.org/EN/Issues/Business/Pages/NationalActionPlans.aspx" TargetMode="External"/><Relationship Id="rId21" Type="http://schemas.openxmlformats.org/officeDocument/2006/relationships/hyperlink" Target="http://www.weprinciples.org" TargetMode="External"/><Relationship Id="rId7" Type="http://schemas.openxmlformats.org/officeDocument/2006/relationships/hyperlink" Target="http://www.ibanet.org/Article/Detail.aspx?ArticleUid=68762a20-bf17-4f85-8c4f-81e3bbe88c16" TargetMode="External"/><Relationship Id="rId12" Type="http://schemas.openxmlformats.org/officeDocument/2006/relationships/hyperlink" Target="http://www.ihrb.org/our-work/guiding-public-procurement.html" TargetMode="External"/><Relationship Id="rId17" Type="http://schemas.openxmlformats.org/officeDocument/2006/relationships/hyperlink" Target="https://www.unglobalcompact.org/resources/891" TargetMode="External"/><Relationship Id="rId2" Type="http://schemas.openxmlformats.org/officeDocument/2006/relationships/hyperlink" Target="file:///C:/Users/Tpseng/Users/halsteen/Downloads/available%20from%20www.ohchr.org/EN/NewsEvents/Pages/DisplayNews.aspx" TargetMode="External"/><Relationship Id="rId16" Type="http://schemas.openxmlformats.org/officeDocument/2006/relationships/hyperlink" Target="http://www.ohchr.org/EN/Issues/Business/Forum/Pages/AfricaRegionalForum.aspx" TargetMode="External"/><Relationship Id="rId20" Type="http://schemas.openxmlformats.org/officeDocument/2006/relationships/hyperlink" Target="https://www.unglobalcompact.org/resources/341" TargetMode="External"/><Relationship Id="rId1" Type="http://schemas.openxmlformats.org/officeDocument/2006/relationships/hyperlink" Target="http://OAS" TargetMode="External"/><Relationship Id="rId6" Type="http://schemas.openxmlformats.org/officeDocument/2006/relationships/hyperlink" Target="http://www.ibanet.org/Legal_Projects_Team/Business_and_Human_Rights_for_the_Legal_Profession.aspx" TargetMode="External"/><Relationship Id="rId11" Type="http://schemas.openxmlformats.org/officeDocument/2006/relationships/hyperlink" Target="http://www.ohchr.org/Documents/Issues/Business/ForumSession3/ParallelEvents/ICAR_DIFI.pdf" TargetMode="External"/><Relationship Id="rId5" Type="http://schemas.openxmlformats.org/officeDocument/2006/relationships/hyperlink" Target="file:///C:/Users/Tpseng/Users/Boyes/AppData/Roaming/Microsoft/Word/Available%20from%20www.icmm.com/page/84154/our-work/projects/articles/business-and-human-rights" TargetMode="External"/><Relationship Id="rId15" Type="http://schemas.openxmlformats.org/officeDocument/2006/relationships/hyperlink" Target="file:///C:/Users/Tpseng/Users/halsteen/Downloads/www.ohchr.org/EN/Issues/Business/Forum/Pages/2013LACRegionalForumBusinessandHumanRights.aspx" TargetMode="External"/><Relationship Id="rId10" Type="http://schemas.openxmlformats.org/officeDocument/2006/relationships/hyperlink" Target="http://www.ilo.org/wcmsp5/groups/public/---dgreports/---dcomm/documents/publication/wcms_228965.pdf" TargetMode="External"/><Relationship Id="rId19" Type="http://schemas.openxmlformats.org/officeDocument/2006/relationships/hyperlink" Target="https://www.unglobalcompact.org/Issues/human_rights/Tools_and_Guidance_Materials.html" TargetMode="External"/><Relationship Id="rId4" Type="http://schemas.openxmlformats.org/officeDocument/2006/relationships/hyperlink" Target="file:///C:/Users/Tpseng/Users/Boyes/AppData/Roaming/Microsoft/Word/Available" TargetMode="External"/><Relationship Id="rId9" Type="http://schemas.openxmlformats.org/officeDocument/2006/relationships/hyperlink" Target="http://www.uncitral.org/pdf/english/texts/arbitration/transparency-convention/Transparency-Convention-e.pdf" TargetMode="External"/><Relationship Id="rId14" Type="http://schemas.openxmlformats.org/officeDocument/2006/relationships/hyperlink" Target="http://shiftproject.org/sites/default/files/Shift_HRDDinhighriskcircumstances_Mar2015.pdf" TargetMode="External"/><Relationship Id="rId22" Type="http://schemas.openxmlformats.org/officeDocument/2006/relationships/hyperlink" Target="http://www.childrenandbusines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BA1D24-AD19-464C-AF45-9DD61462B1AE}"/>
</file>

<file path=customXml/itemProps2.xml><?xml version="1.0" encoding="utf-8"?>
<ds:datastoreItem xmlns:ds="http://schemas.openxmlformats.org/officeDocument/2006/customXml" ds:itemID="{CE24476A-A360-4E00-AB4E-A8AE231741D3}"/>
</file>

<file path=customXml/itemProps3.xml><?xml version="1.0" encoding="utf-8"?>
<ds:datastoreItem xmlns:ds="http://schemas.openxmlformats.org/officeDocument/2006/customXml" ds:itemID="{1FCE5D1D-2774-4051-84C4-28D12656E0CE}"/>
</file>

<file path=customXml/itemProps4.xml><?xml version="1.0" encoding="utf-8"?>
<ds:datastoreItem xmlns:ds="http://schemas.openxmlformats.org/officeDocument/2006/customXml" ds:itemID="{C643F0D7-F6CB-4BCC-9F00-F7A76BBCF75E}"/>
</file>

<file path=docProps/app.xml><?xml version="1.0" encoding="utf-8"?>
<Properties xmlns="http://schemas.openxmlformats.org/officeDocument/2006/extended-properties" xmlns:vt="http://schemas.openxmlformats.org/officeDocument/2006/docPropsVTypes">
  <Template>A_E.dotm</Template>
  <TotalTime>1</TotalTime>
  <Pages>24</Pages>
  <Words>9891</Words>
  <Characters>56379</Characters>
  <Application>Microsoft Office Word</Application>
  <DocSecurity>0</DocSecurity>
  <Lines>469</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66138</CharactersWithSpaces>
  <SharedDoc>false</SharedDoc>
  <HLinks>
    <vt:vector size="126" baseType="variant">
      <vt:variant>
        <vt:i4>6488104</vt:i4>
      </vt:variant>
      <vt:variant>
        <vt:i4>0</vt:i4>
      </vt:variant>
      <vt:variant>
        <vt:i4>0</vt:i4>
      </vt:variant>
      <vt:variant>
        <vt:i4>5</vt:i4>
      </vt:variant>
      <vt:variant>
        <vt:lpwstr>http://daccess-dds-ny.un.org/doc/UNDOC/GEN/V08/543/30/PDF/V0854330.pdf?OpenElement</vt:lpwstr>
      </vt:variant>
      <vt:variant>
        <vt:lpwstr/>
      </vt:variant>
      <vt:variant>
        <vt:i4>2556022</vt:i4>
      </vt:variant>
      <vt:variant>
        <vt:i4>63</vt:i4>
      </vt:variant>
      <vt:variant>
        <vt:i4>0</vt:i4>
      </vt:variant>
      <vt:variant>
        <vt:i4>5</vt:i4>
      </vt:variant>
      <vt:variant>
        <vt:lpwstr>http://www.childrenandbusiness.org/</vt:lpwstr>
      </vt:variant>
      <vt:variant>
        <vt:lpwstr/>
      </vt:variant>
      <vt:variant>
        <vt:i4>4194391</vt:i4>
      </vt:variant>
      <vt:variant>
        <vt:i4>60</vt:i4>
      </vt:variant>
      <vt:variant>
        <vt:i4>0</vt:i4>
      </vt:variant>
      <vt:variant>
        <vt:i4>5</vt:i4>
      </vt:variant>
      <vt:variant>
        <vt:lpwstr>http://www.weprinciples.org/</vt:lpwstr>
      </vt:variant>
      <vt:variant>
        <vt:lpwstr/>
      </vt:variant>
      <vt:variant>
        <vt:i4>5046296</vt:i4>
      </vt:variant>
      <vt:variant>
        <vt:i4>57</vt:i4>
      </vt:variant>
      <vt:variant>
        <vt:i4>0</vt:i4>
      </vt:variant>
      <vt:variant>
        <vt:i4>5</vt:i4>
      </vt:variant>
      <vt:variant>
        <vt:lpwstr>https://www.unglobalcompact.org/resources/341</vt:lpwstr>
      </vt:variant>
      <vt:variant>
        <vt:lpwstr/>
      </vt:variant>
      <vt:variant>
        <vt:i4>5242980</vt:i4>
      </vt:variant>
      <vt:variant>
        <vt:i4>54</vt:i4>
      </vt:variant>
      <vt:variant>
        <vt:i4>0</vt:i4>
      </vt:variant>
      <vt:variant>
        <vt:i4>5</vt:i4>
      </vt:variant>
      <vt:variant>
        <vt:lpwstr>https://www.unglobalcompact.org/Issues/human_rights/Tools_and_Guidance__x000b_Materials.html</vt:lpwstr>
      </vt:variant>
      <vt:variant>
        <vt:lpwstr/>
      </vt:variant>
      <vt:variant>
        <vt:i4>2490447</vt:i4>
      </vt:variant>
      <vt:variant>
        <vt:i4>48</vt:i4>
      </vt:variant>
      <vt:variant>
        <vt:i4>0</vt:i4>
      </vt:variant>
      <vt:variant>
        <vt:i4>5</vt:i4>
      </vt:variant>
      <vt:variant>
        <vt:lpwstr>https://www.unglobalcompact.org/_x000b_resources/891</vt:lpwstr>
      </vt:variant>
      <vt:variant>
        <vt:lpwstr/>
      </vt:variant>
      <vt:variant>
        <vt:i4>9</vt:i4>
      </vt:variant>
      <vt:variant>
        <vt:i4>45</vt:i4>
      </vt:variant>
      <vt:variant>
        <vt:i4>0</vt:i4>
      </vt:variant>
      <vt:variant>
        <vt:i4>5</vt:i4>
      </vt:variant>
      <vt:variant>
        <vt:lpwstr>http://www.ohchr.org/EN/Issues/Business/Forum/Pages/AfricaRegionalForum.aspx</vt:lpwstr>
      </vt:variant>
      <vt:variant>
        <vt:lpwstr/>
      </vt:variant>
      <vt:variant>
        <vt:i4>1048643</vt:i4>
      </vt:variant>
      <vt:variant>
        <vt:i4>42</vt:i4>
      </vt:variant>
      <vt:variant>
        <vt:i4>0</vt:i4>
      </vt:variant>
      <vt:variant>
        <vt:i4>5</vt:i4>
      </vt:variant>
      <vt:variant>
        <vt:lpwstr>../Users/halsteen/Downloads/www.ohchr.org/EN/Issues/Business/Forum/Pages/2013LACRegionalForumBusinessandHumanRights.aspx</vt:lpwstr>
      </vt:variant>
      <vt:variant>
        <vt:lpwstr/>
      </vt:variant>
      <vt:variant>
        <vt:i4>5177350</vt:i4>
      </vt:variant>
      <vt:variant>
        <vt:i4>39</vt:i4>
      </vt:variant>
      <vt:variant>
        <vt:i4>0</vt:i4>
      </vt:variant>
      <vt:variant>
        <vt:i4>5</vt:i4>
      </vt:variant>
      <vt:variant>
        <vt:lpwstr>http://shiftproject.org/sites/default/files/Shift_HRDDinhighriskcircumstances_Mar2015.pdf</vt:lpwstr>
      </vt:variant>
      <vt:variant>
        <vt:lpwstr/>
      </vt:variant>
      <vt:variant>
        <vt:i4>5046299</vt:i4>
      </vt:variant>
      <vt:variant>
        <vt:i4>36</vt:i4>
      </vt:variant>
      <vt:variant>
        <vt:i4>0</vt:i4>
      </vt:variant>
      <vt:variant>
        <vt:i4>5</vt:i4>
      </vt:variant>
      <vt:variant>
        <vt:lpwstr>../Users/halsteen/Downloads/available from www.unep.org/resourceefficiency/Business/SustainableandResponsible</vt:lpwstr>
      </vt:variant>
      <vt:variant>
        <vt:lpwstr/>
      </vt:variant>
      <vt:variant>
        <vt:i4>2031702</vt:i4>
      </vt:variant>
      <vt:variant>
        <vt:i4>33</vt:i4>
      </vt:variant>
      <vt:variant>
        <vt:i4>0</vt:i4>
      </vt:variant>
      <vt:variant>
        <vt:i4>5</vt:i4>
      </vt:variant>
      <vt:variant>
        <vt:lpwstr>http://www.ihrb.org/our-work/guiding-public-procurement.html</vt:lpwstr>
      </vt:variant>
      <vt:variant>
        <vt:lpwstr/>
      </vt:variant>
      <vt:variant>
        <vt:i4>4849711</vt:i4>
      </vt:variant>
      <vt:variant>
        <vt:i4>30</vt:i4>
      </vt:variant>
      <vt:variant>
        <vt:i4>0</vt:i4>
      </vt:variant>
      <vt:variant>
        <vt:i4>5</vt:i4>
      </vt:variant>
      <vt:variant>
        <vt:lpwstr>http://www.ohchr.org/Documents/Issues/Business/ForumSession3/ParallelEvents/ICAR_DIFI.pdf</vt:lpwstr>
      </vt:variant>
      <vt:variant>
        <vt:lpwstr/>
      </vt:variant>
      <vt:variant>
        <vt:i4>5701744</vt:i4>
      </vt:variant>
      <vt:variant>
        <vt:i4>24</vt:i4>
      </vt:variant>
      <vt:variant>
        <vt:i4>0</vt:i4>
      </vt:variant>
      <vt:variant>
        <vt:i4>5</vt:i4>
      </vt:variant>
      <vt:variant>
        <vt:lpwstr>http://www.uncitral.org/pdf/english/texts/arbitration/transparency-convention/_x000b_Transparency-Convention-e.pdf</vt:lpwstr>
      </vt:variant>
      <vt:variant>
        <vt:lpwstr/>
      </vt:variant>
      <vt:variant>
        <vt:i4>4587522</vt:i4>
      </vt:variant>
      <vt:variant>
        <vt:i4>21</vt:i4>
      </vt:variant>
      <vt:variant>
        <vt:i4>0</vt:i4>
      </vt:variant>
      <vt:variant>
        <vt:i4>5</vt:i4>
      </vt:variant>
      <vt:variant>
        <vt:lpwstr>../Users/Boyes/AppData/Roaming/Microsoft/Word/Available from business-humanrights.org/en/company-action-platform</vt:lpwstr>
      </vt:variant>
      <vt:variant>
        <vt:lpwstr/>
      </vt:variant>
      <vt:variant>
        <vt:i4>2621458</vt:i4>
      </vt:variant>
      <vt:variant>
        <vt:i4>18</vt:i4>
      </vt:variant>
      <vt:variant>
        <vt:i4>0</vt:i4>
      </vt:variant>
      <vt:variant>
        <vt:i4>5</vt:i4>
      </vt:variant>
      <vt:variant>
        <vt:lpwstr>http://www.ibanet.org/Article/_x000b_Detail.aspx?ArticleUid=68762a20-bf17-4f85-8c4f-81e3bbe88c16</vt:lpwstr>
      </vt:variant>
      <vt:variant>
        <vt:lpwstr/>
      </vt:variant>
      <vt:variant>
        <vt:i4>2031707</vt:i4>
      </vt:variant>
      <vt:variant>
        <vt:i4>15</vt:i4>
      </vt:variant>
      <vt:variant>
        <vt:i4>0</vt:i4>
      </vt:variant>
      <vt:variant>
        <vt:i4>5</vt:i4>
      </vt:variant>
      <vt:variant>
        <vt:lpwstr>http://www.ibanet.org/Legal_Projects__x000b_Team/Business_and_Human_Rights_for_the_Legal_Profession.aspx</vt:lpwstr>
      </vt:variant>
      <vt:variant>
        <vt:lpwstr/>
      </vt:variant>
      <vt:variant>
        <vt:i4>65538</vt:i4>
      </vt:variant>
      <vt:variant>
        <vt:i4>12</vt:i4>
      </vt:variant>
      <vt:variant>
        <vt:i4>0</vt:i4>
      </vt:variant>
      <vt:variant>
        <vt:i4>5</vt:i4>
      </vt:variant>
      <vt:variant>
        <vt:lpwstr>../Users/Boyes/AppData/Roaming/Microsoft/Word/Available from www.icmm.com/page/84154/our-work/projects/articles/business-and-human-rights</vt:lpwstr>
      </vt:variant>
      <vt:variant>
        <vt:lpwstr/>
      </vt:variant>
      <vt:variant>
        <vt:i4>7012386</vt:i4>
      </vt:variant>
      <vt:variant>
        <vt:i4>9</vt:i4>
      </vt:variant>
      <vt:variant>
        <vt:i4>0</vt:i4>
      </vt:variant>
      <vt:variant>
        <vt:i4>5</vt:i4>
      </vt:variant>
      <vt:variant>
        <vt:lpwstr>../Users/Boyes/AppData/Roaming/Microsoft/Word/Available</vt:lpwstr>
      </vt:variant>
      <vt:variant>
        <vt:lpwstr/>
      </vt:variant>
      <vt:variant>
        <vt:i4>3407882</vt:i4>
      </vt:variant>
      <vt:variant>
        <vt:i4>6</vt:i4>
      </vt:variant>
      <vt:variant>
        <vt:i4>0</vt:i4>
      </vt:variant>
      <vt:variant>
        <vt:i4>5</vt:i4>
      </vt:variant>
      <vt:variant>
        <vt:lpwstr>http://www.ohchr.org/EN/_x000b_Issues/Business/Pages/NationalActionPlans.aspx</vt:lpwstr>
      </vt:variant>
      <vt:variant>
        <vt:lpwstr/>
      </vt:variant>
      <vt:variant>
        <vt:i4>2555953</vt:i4>
      </vt:variant>
      <vt:variant>
        <vt:i4>3</vt:i4>
      </vt:variant>
      <vt:variant>
        <vt:i4>0</vt:i4>
      </vt:variant>
      <vt:variant>
        <vt:i4>5</vt:i4>
      </vt:variant>
      <vt:variant>
        <vt:lpwstr>../Users/halsteen/Downloads/available from www.ohchr.org/EN/NewsEvents/Pages/%0bDisplayNews.aspx%3fNewsID=15053</vt:lpwstr>
      </vt:variant>
      <vt:variant>
        <vt:lpwstr/>
      </vt:variant>
      <vt:variant>
        <vt:i4>3604584</vt:i4>
      </vt:variant>
      <vt:variant>
        <vt:i4>0</vt:i4>
      </vt:variant>
      <vt:variant>
        <vt:i4>0</vt:i4>
      </vt:variant>
      <vt:variant>
        <vt:i4>5</vt:i4>
      </vt:variant>
      <vt:variant>
        <vt:lpwstr>http://oas/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issue of human rights and transnational corporations in English</dc:title>
  <dc:subject/>
  <dc:creator>Francesca Foppiano</dc:creator>
  <cp:keywords/>
  <cp:lastModifiedBy>Tpseng</cp:lastModifiedBy>
  <cp:revision>2</cp:revision>
  <cp:lastPrinted>2015-04-27T12:19:00Z</cp:lastPrinted>
  <dcterms:created xsi:type="dcterms:W3CDTF">2015-05-04T09:21:00Z</dcterms:created>
  <dcterms:modified xsi:type="dcterms:W3CDTF">2015-05-04T09:21:00Z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31800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