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C7BA9" w:rsidP="004C7BA9">
            <w:pPr>
              <w:jc w:val="right"/>
            </w:pPr>
            <w:r w:rsidRPr="004C7BA9">
              <w:rPr>
                <w:sz w:val="40"/>
              </w:rPr>
              <w:t>A</w:t>
            </w:r>
            <w:r w:rsidR="006D18A5">
              <w:t>/HRC/29/33</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2D4F8D"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C7BA9" w:rsidP="004C7BA9">
            <w:pPr>
              <w:spacing w:before="240" w:line="240" w:lineRule="exact"/>
            </w:pPr>
            <w:r>
              <w:t>Distr.: General</w:t>
            </w:r>
          </w:p>
          <w:p w:rsidR="004C7BA9" w:rsidRDefault="00CE3E05" w:rsidP="00214DF1">
            <w:pPr>
              <w:spacing w:line="240" w:lineRule="exact"/>
            </w:pPr>
            <w:r>
              <w:t>2</w:t>
            </w:r>
            <w:r w:rsidR="004C7BA9">
              <w:t xml:space="preserve"> </w:t>
            </w:r>
            <w:r w:rsidR="00214DF1">
              <w:t xml:space="preserve">April </w:t>
            </w:r>
            <w:r w:rsidR="004C7BA9">
              <w:t>201</w:t>
            </w:r>
            <w:r w:rsidR="006D18A5">
              <w:t>5</w:t>
            </w:r>
          </w:p>
          <w:p w:rsidR="004C7BA9" w:rsidRDefault="004C7BA9" w:rsidP="004C7BA9">
            <w:pPr>
              <w:spacing w:line="240" w:lineRule="exact"/>
            </w:pPr>
          </w:p>
          <w:p w:rsidR="004C7BA9" w:rsidRDefault="004C7BA9" w:rsidP="004C7BA9">
            <w:pPr>
              <w:spacing w:line="240" w:lineRule="exact"/>
            </w:pPr>
            <w:r>
              <w:t>Original: English</w:t>
            </w:r>
            <w:bookmarkStart w:id="0" w:name="_GoBack"/>
            <w:bookmarkEnd w:id="0"/>
          </w:p>
        </w:tc>
      </w:tr>
    </w:tbl>
    <w:p w:rsidR="004C7BA9" w:rsidRPr="004C7BA9" w:rsidRDefault="004C7BA9" w:rsidP="004C7BA9">
      <w:pPr>
        <w:spacing w:before="120"/>
        <w:rPr>
          <w:b/>
          <w:bCs/>
          <w:szCs w:val="24"/>
        </w:rPr>
      </w:pPr>
      <w:r w:rsidRPr="004C7BA9">
        <w:rPr>
          <w:b/>
          <w:bCs/>
          <w:sz w:val="24"/>
          <w:szCs w:val="24"/>
        </w:rPr>
        <w:t xml:space="preserve">Human Rights Council </w:t>
      </w:r>
      <w:r w:rsidR="002D4F8D">
        <w:rPr>
          <w:noProof/>
          <w:lang w:eastAsia="en-GB"/>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A/HRC/29/3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33&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BA9">
        <w:br/>
      </w:r>
      <w:r w:rsidRPr="004C7BA9">
        <w:rPr>
          <w:b/>
          <w:bCs/>
          <w:szCs w:val="24"/>
        </w:rPr>
        <w:t>Twenty</w:t>
      </w:r>
      <w:r w:rsidR="00185C57">
        <w:rPr>
          <w:b/>
          <w:bCs/>
          <w:szCs w:val="24"/>
        </w:rPr>
        <w:t>-</w:t>
      </w:r>
      <w:r w:rsidR="006D18A5">
        <w:rPr>
          <w:b/>
          <w:bCs/>
          <w:szCs w:val="24"/>
        </w:rPr>
        <w:t>ninth</w:t>
      </w:r>
      <w:r w:rsidRPr="004C7BA9">
        <w:rPr>
          <w:b/>
          <w:bCs/>
          <w:szCs w:val="24"/>
        </w:rPr>
        <w:t xml:space="preserve"> session</w:t>
      </w:r>
    </w:p>
    <w:p w:rsidR="004C7BA9" w:rsidRPr="004C7BA9" w:rsidRDefault="004C7BA9" w:rsidP="004C7BA9">
      <w:pPr>
        <w:rPr>
          <w:szCs w:val="24"/>
        </w:rPr>
      </w:pPr>
      <w:r w:rsidRPr="004C7BA9">
        <w:rPr>
          <w:szCs w:val="24"/>
        </w:rPr>
        <w:t>Agenda item 3</w:t>
      </w:r>
    </w:p>
    <w:p w:rsidR="004C7BA9" w:rsidRPr="004C7BA9" w:rsidRDefault="004C7BA9" w:rsidP="004C7BA9">
      <w:pPr>
        <w:rPr>
          <w:b/>
          <w:bCs/>
        </w:rPr>
      </w:pPr>
      <w:r w:rsidRPr="004C7BA9">
        <w:rPr>
          <w:b/>
          <w:bCs/>
        </w:rPr>
        <w:t xml:space="preserve">Promotion and protection of all human rights, civil, </w:t>
      </w:r>
      <w:r w:rsidRPr="004C7BA9">
        <w:rPr>
          <w:b/>
          <w:bCs/>
        </w:rPr>
        <w:br/>
        <w:t xml:space="preserve">political, economic, social and cultural rights, </w:t>
      </w:r>
      <w:r w:rsidRPr="004C7BA9">
        <w:rPr>
          <w:b/>
          <w:bCs/>
        </w:rPr>
        <w:br/>
        <w:t>including the right to development</w:t>
      </w:r>
    </w:p>
    <w:p w:rsidR="004C7BA9" w:rsidRDefault="004C7BA9" w:rsidP="00D05FE0">
      <w:pPr>
        <w:pStyle w:val="HChG"/>
      </w:pPr>
      <w:r w:rsidRPr="00185C57">
        <w:tab/>
      </w:r>
      <w:r w:rsidRPr="00185C57">
        <w:tab/>
        <w:t xml:space="preserve">Report of the Special Rapporteur on </w:t>
      </w:r>
      <w:r w:rsidR="006D18A5" w:rsidRPr="00310C20">
        <w:t xml:space="preserve">the right of everyone to the enjoyment of the highest attainable standard of physical and mental health, </w:t>
      </w:r>
      <w:r w:rsidR="006D18A5">
        <w:t>Dainius Pūras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185C57" w:rsidTr="008615E3">
        <w:trPr>
          <w:jc w:val="center"/>
        </w:trPr>
        <w:tc>
          <w:tcPr>
            <w:tcW w:w="9637" w:type="dxa"/>
            <w:shd w:val="clear" w:color="auto" w:fill="auto"/>
          </w:tcPr>
          <w:p w:rsidR="00185C57" w:rsidRPr="008615E3" w:rsidRDefault="00185C57" w:rsidP="008615E3">
            <w:pPr>
              <w:spacing w:before="240" w:after="120"/>
              <w:ind w:left="255"/>
              <w:rPr>
                <w:i/>
                <w:sz w:val="24"/>
              </w:rPr>
            </w:pPr>
            <w:r w:rsidRPr="008615E3">
              <w:rPr>
                <w:i/>
                <w:sz w:val="24"/>
              </w:rPr>
              <w:t>Summary</w:t>
            </w:r>
          </w:p>
        </w:tc>
      </w:tr>
      <w:tr w:rsidR="00185C57" w:rsidTr="008615E3">
        <w:trPr>
          <w:jc w:val="center"/>
        </w:trPr>
        <w:tc>
          <w:tcPr>
            <w:tcW w:w="9637" w:type="dxa"/>
            <w:shd w:val="clear" w:color="auto" w:fill="auto"/>
          </w:tcPr>
          <w:p w:rsidR="00185C57" w:rsidRPr="009554A0" w:rsidRDefault="00185C57" w:rsidP="005F350E">
            <w:pPr>
              <w:pStyle w:val="SingleTxtG"/>
              <w:ind w:firstLine="567"/>
              <w:rPr>
                <w:lang w:val="en-GB"/>
              </w:rPr>
            </w:pPr>
            <w:r w:rsidRPr="009554A0">
              <w:rPr>
                <w:lang w:val="en-GB"/>
              </w:rPr>
              <w:t xml:space="preserve">In the present report, submitted pursuant to Council resolution </w:t>
            </w:r>
            <w:r w:rsidR="006D18A5" w:rsidRPr="009554A0">
              <w:rPr>
                <w:lang w:val="en-GB"/>
              </w:rPr>
              <w:t>2</w:t>
            </w:r>
            <w:r w:rsidR="00DE6CC6" w:rsidRPr="009554A0">
              <w:rPr>
                <w:lang w:val="en-GB"/>
              </w:rPr>
              <w:t>4/6</w:t>
            </w:r>
            <w:r w:rsidRPr="009554A0">
              <w:rPr>
                <w:lang w:val="en-GB"/>
              </w:rPr>
              <w:t xml:space="preserve">, the Special Rapporteur provides a </w:t>
            </w:r>
            <w:r w:rsidR="004D39D3">
              <w:rPr>
                <w:lang w:val="en-GB"/>
              </w:rPr>
              <w:t xml:space="preserve">brief </w:t>
            </w:r>
            <w:r w:rsidRPr="009554A0">
              <w:rPr>
                <w:lang w:val="en-GB"/>
              </w:rPr>
              <w:t xml:space="preserve">account of </w:t>
            </w:r>
            <w:r w:rsidR="004D39D3">
              <w:rPr>
                <w:lang w:val="en-GB"/>
              </w:rPr>
              <w:t>his</w:t>
            </w:r>
            <w:r w:rsidR="004D39D3" w:rsidRPr="009554A0">
              <w:rPr>
                <w:lang w:val="en-GB"/>
              </w:rPr>
              <w:t xml:space="preserve"> </w:t>
            </w:r>
            <w:r w:rsidRPr="009554A0">
              <w:rPr>
                <w:lang w:val="en-GB"/>
              </w:rPr>
              <w:t>acti</w:t>
            </w:r>
            <w:r w:rsidR="006D18A5" w:rsidRPr="009554A0">
              <w:rPr>
                <w:lang w:val="en-GB"/>
              </w:rPr>
              <w:t>vities since he took office in August 2014</w:t>
            </w:r>
            <w:r w:rsidRPr="009554A0">
              <w:rPr>
                <w:lang w:val="en-GB"/>
              </w:rPr>
              <w:t>.</w:t>
            </w:r>
            <w:r w:rsidR="006D18A5" w:rsidRPr="009554A0">
              <w:rPr>
                <w:lang w:val="en-GB"/>
              </w:rPr>
              <w:t xml:space="preserve"> </w:t>
            </w:r>
          </w:p>
        </w:tc>
      </w:tr>
      <w:tr w:rsidR="00185C57" w:rsidTr="008615E3">
        <w:trPr>
          <w:jc w:val="center"/>
        </w:trPr>
        <w:tc>
          <w:tcPr>
            <w:tcW w:w="9637" w:type="dxa"/>
            <w:shd w:val="clear" w:color="auto" w:fill="auto"/>
          </w:tcPr>
          <w:p w:rsidR="00185C57" w:rsidRPr="009554A0" w:rsidRDefault="00185C57" w:rsidP="005F350E">
            <w:pPr>
              <w:pStyle w:val="SingleTxtG"/>
              <w:ind w:firstLine="567"/>
              <w:rPr>
                <w:lang w:val="en-GB"/>
              </w:rPr>
            </w:pPr>
            <w:r w:rsidRPr="009554A0">
              <w:rPr>
                <w:lang w:val="en-GB"/>
              </w:rPr>
              <w:t xml:space="preserve">The main focus of the report is on the work of the mandate </w:t>
            </w:r>
            <w:r w:rsidR="006D18A5" w:rsidRPr="009554A0">
              <w:rPr>
                <w:lang w:val="en-GB"/>
              </w:rPr>
              <w:t>of</w:t>
            </w:r>
            <w:r w:rsidRPr="009554A0">
              <w:rPr>
                <w:lang w:val="en-GB"/>
              </w:rPr>
              <w:t xml:space="preserve"> the Special Rapporteur </w:t>
            </w:r>
            <w:r w:rsidR="006D18A5" w:rsidRPr="009554A0">
              <w:rPr>
                <w:lang w:val="en-GB"/>
              </w:rPr>
              <w:t>on the right to health</w:t>
            </w:r>
            <w:r w:rsidRPr="009554A0">
              <w:rPr>
                <w:lang w:val="en-GB"/>
              </w:rPr>
              <w:t xml:space="preserve">, </w:t>
            </w:r>
            <w:r w:rsidR="004D39D3" w:rsidRPr="004C7BA9">
              <w:t xml:space="preserve">focusing on the </w:t>
            </w:r>
            <w:r w:rsidR="004D39D3">
              <w:t>right to health framework</w:t>
            </w:r>
            <w:r w:rsidR="004D39D3" w:rsidRPr="004C7BA9">
              <w:t xml:space="preserve">, </w:t>
            </w:r>
            <w:r w:rsidR="004D39D3">
              <w:t>and the development of the contours and content of the right to health.</w:t>
            </w:r>
            <w:r w:rsidR="00813F20">
              <w:t xml:space="preserve"> </w:t>
            </w:r>
            <w:r w:rsidR="004D39D3">
              <w:t xml:space="preserve">He then reflects on how he sees the way forward, based on the current context, </w:t>
            </w:r>
            <w:r w:rsidR="004D39D3" w:rsidRPr="004C7BA9">
              <w:t xml:space="preserve">challenges </w:t>
            </w:r>
            <w:r w:rsidR="004D39D3">
              <w:t>and opportunities for the full realisation of the right to health</w:t>
            </w:r>
            <w:r w:rsidR="004D39D3" w:rsidRPr="004C7BA9">
              <w:t xml:space="preserve">. </w:t>
            </w:r>
          </w:p>
        </w:tc>
      </w:tr>
      <w:tr w:rsidR="00185C57" w:rsidTr="008615E3">
        <w:trPr>
          <w:jc w:val="center"/>
        </w:trPr>
        <w:tc>
          <w:tcPr>
            <w:tcW w:w="9637" w:type="dxa"/>
            <w:shd w:val="clear" w:color="auto" w:fill="auto"/>
          </w:tcPr>
          <w:p w:rsidR="00185C57" w:rsidRPr="009554A0" w:rsidRDefault="00185C57" w:rsidP="005F350E">
            <w:pPr>
              <w:pStyle w:val="SingleTxtG"/>
              <w:ind w:firstLine="567"/>
              <w:rPr>
                <w:lang w:val="en-GB"/>
              </w:rPr>
            </w:pPr>
            <w:r w:rsidRPr="009554A0">
              <w:rPr>
                <w:lang w:val="en-GB"/>
              </w:rPr>
              <w:t>The Special Rapporteur provides h</w:t>
            </w:r>
            <w:r w:rsidR="002B0032">
              <w:rPr>
                <w:lang w:val="en-GB"/>
              </w:rPr>
              <w:t>is</w:t>
            </w:r>
            <w:r w:rsidRPr="009554A0">
              <w:rPr>
                <w:lang w:val="en-GB"/>
              </w:rPr>
              <w:t xml:space="preserve"> conclusions and </w:t>
            </w:r>
            <w:r w:rsidR="004D39D3">
              <w:rPr>
                <w:lang w:val="en-GB"/>
              </w:rPr>
              <w:t>observations</w:t>
            </w:r>
            <w:r w:rsidRPr="009554A0">
              <w:rPr>
                <w:lang w:val="en-GB"/>
              </w:rPr>
              <w:t>.</w:t>
            </w:r>
          </w:p>
        </w:tc>
      </w:tr>
      <w:tr w:rsidR="00185C57" w:rsidTr="008615E3">
        <w:trPr>
          <w:jc w:val="center"/>
        </w:trPr>
        <w:tc>
          <w:tcPr>
            <w:tcW w:w="9637" w:type="dxa"/>
            <w:shd w:val="clear" w:color="auto" w:fill="auto"/>
          </w:tcPr>
          <w:p w:rsidR="00185C57" w:rsidRDefault="00185C57" w:rsidP="00185C57"/>
        </w:tc>
      </w:tr>
    </w:tbl>
    <w:p w:rsidR="00185C57" w:rsidRDefault="00185C57" w:rsidP="00185C57"/>
    <w:p w:rsidR="00185C57" w:rsidRPr="00A04ABE" w:rsidRDefault="00185C57" w:rsidP="00A04ABE">
      <w:pPr>
        <w:pStyle w:val="SingleTxtG"/>
        <w:ind w:left="0"/>
        <w:rPr>
          <w:sz w:val="28"/>
          <w:szCs w:val="28"/>
        </w:rPr>
      </w:pPr>
      <w:r w:rsidRPr="00B76FD9">
        <w:br w:type="page"/>
      </w:r>
      <w:r w:rsidRPr="00A04ABE">
        <w:rPr>
          <w:sz w:val="28"/>
          <w:szCs w:val="28"/>
        </w:rPr>
        <w:lastRenderedPageBreak/>
        <w:t>Contents</w:t>
      </w:r>
    </w:p>
    <w:p w:rsidR="004C7BA9" w:rsidRPr="004C7BA9" w:rsidRDefault="004C7BA9" w:rsidP="004C7BA9">
      <w:pPr>
        <w:tabs>
          <w:tab w:val="right" w:pos="8929"/>
          <w:tab w:val="right" w:pos="9638"/>
        </w:tabs>
        <w:spacing w:after="120"/>
        <w:ind w:left="283"/>
        <w:rPr>
          <w:lang w:val="fr-CH"/>
        </w:rPr>
      </w:pPr>
      <w:r w:rsidRPr="004C7BA9">
        <w:rPr>
          <w:i/>
          <w:sz w:val="18"/>
          <w:lang w:val="fr-CH"/>
        </w:rPr>
        <w:tab/>
        <w:t>Paragraphs</w:t>
      </w:r>
      <w:r w:rsidRPr="004C7BA9">
        <w:rPr>
          <w:i/>
          <w:sz w:val="18"/>
          <w:lang w:val="fr-CH"/>
        </w:rPr>
        <w:tab/>
        <w:t>Page</w:t>
      </w:r>
    </w:p>
    <w:p w:rsidR="0014282C" w:rsidRPr="0017595D" w:rsidRDefault="0014282C" w:rsidP="0014282C">
      <w:pPr>
        <w:tabs>
          <w:tab w:val="right" w:pos="850"/>
          <w:tab w:val="left" w:pos="1134"/>
          <w:tab w:val="left" w:pos="1559"/>
          <w:tab w:val="left" w:pos="1984"/>
          <w:tab w:val="left" w:leader="dot" w:pos="7654"/>
          <w:tab w:val="right" w:pos="8929"/>
          <w:tab w:val="right" w:pos="9638"/>
        </w:tabs>
        <w:spacing w:after="120"/>
        <w:rPr>
          <w:lang w:val="fr-CH"/>
        </w:rPr>
      </w:pPr>
      <w:r>
        <w:rPr>
          <w:lang w:val="fr-CH"/>
        </w:rPr>
        <w:tab/>
        <w:t>I.</w:t>
      </w:r>
      <w:r>
        <w:rPr>
          <w:lang w:val="fr-CH"/>
        </w:rPr>
        <w:tab/>
        <w:t>Introduction</w:t>
      </w:r>
      <w:r>
        <w:rPr>
          <w:lang w:val="fr-CH"/>
        </w:rPr>
        <w:tab/>
      </w:r>
      <w:r>
        <w:rPr>
          <w:lang w:val="fr-CH"/>
        </w:rPr>
        <w:tab/>
        <w:t>1</w:t>
      </w:r>
      <w:r w:rsidR="00BB5CFE">
        <w:rPr>
          <w:lang w:val="fr-CH"/>
        </w:rPr>
        <w:t>–</w:t>
      </w:r>
      <w:r w:rsidR="009F68E4">
        <w:rPr>
          <w:lang w:val="fr-CH"/>
        </w:rPr>
        <w:t>3</w:t>
      </w:r>
      <w:r>
        <w:rPr>
          <w:lang w:val="fr-CH"/>
        </w:rPr>
        <w:tab/>
      </w:r>
      <w:r w:rsidR="009F68E4">
        <w:rPr>
          <w:lang w:val="fr-CH"/>
        </w:rPr>
        <w:t>3</w:t>
      </w:r>
    </w:p>
    <w:p w:rsidR="0014282C" w:rsidRDefault="0014282C" w:rsidP="0014282C">
      <w:pPr>
        <w:tabs>
          <w:tab w:val="right" w:pos="850"/>
          <w:tab w:val="left" w:pos="1134"/>
          <w:tab w:val="left" w:pos="1559"/>
          <w:tab w:val="left" w:pos="1984"/>
          <w:tab w:val="left" w:leader="dot" w:pos="7654"/>
          <w:tab w:val="right" w:pos="8929"/>
          <w:tab w:val="right" w:pos="9638"/>
        </w:tabs>
        <w:spacing w:after="120"/>
      </w:pPr>
      <w:r w:rsidRPr="008A0770">
        <w:tab/>
      </w:r>
      <w:r w:rsidRPr="00310C20">
        <w:t>II.</w:t>
      </w:r>
      <w:r w:rsidRPr="00310C20">
        <w:tab/>
      </w:r>
      <w:r w:rsidRPr="004C7BA9">
        <w:t>Activities during the reporting period</w:t>
      </w:r>
      <w:r>
        <w:tab/>
      </w:r>
      <w:r>
        <w:tab/>
      </w:r>
      <w:r w:rsidR="00BB5CFE">
        <w:t>4–12</w:t>
      </w:r>
      <w:r>
        <w:tab/>
      </w:r>
      <w:r w:rsidR="00BB5CFE">
        <w:t>3</w:t>
      </w:r>
    </w:p>
    <w:p w:rsidR="0014282C" w:rsidRPr="00015A03" w:rsidRDefault="0014282C" w:rsidP="0014282C">
      <w:pPr>
        <w:tabs>
          <w:tab w:val="right" w:pos="850"/>
          <w:tab w:val="left" w:pos="1134"/>
          <w:tab w:val="left" w:pos="1559"/>
          <w:tab w:val="left" w:pos="1984"/>
          <w:tab w:val="left" w:leader="dot" w:pos="7654"/>
          <w:tab w:val="right" w:pos="8929"/>
          <w:tab w:val="right" w:pos="9638"/>
        </w:tabs>
        <w:spacing w:after="120"/>
      </w:pPr>
      <w:r w:rsidRPr="00015A03">
        <w:tab/>
      </w:r>
      <w:r w:rsidRPr="00015A03">
        <w:tab/>
        <w:t>A.</w:t>
      </w:r>
      <w:r w:rsidRPr="00015A03">
        <w:tab/>
      </w:r>
      <w:r w:rsidRPr="00B76FD9">
        <w:t>Communications transmitted to States</w:t>
      </w:r>
      <w:r w:rsidRPr="00015A03">
        <w:tab/>
      </w:r>
      <w:r w:rsidRPr="00015A03">
        <w:tab/>
      </w:r>
      <w:r w:rsidR="00BB5CFE">
        <w:t>4</w:t>
      </w:r>
      <w:r>
        <w:tab/>
      </w:r>
      <w:r w:rsidR="009F68E4">
        <w:t>3</w:t>
      </w:r>
    </w:p>
    <w:p w:rsidR="0014282C" w:rsidRPr="00015A03" w:rsidRDefault="0014282C" w:rsidP="0014282C">
      <w:pPr>
        <w:tabs>
          <w:tab w:val="right" w:pos="850"/>
          <w:tab w:val="left" w:pos="1134"/>
          <w:tab w:val="left" w:pos="1559"/>
          <w:tab w:val="left" w:pos="1984"/>
          <w:tab w:val="left" w:leader="dot" w:pos="7654"/>
          <w:tab w:val="right" w:pos="8929"/>
          <w:tab w:val="right" w:pos="9638"/>
        </w:tabs>
        <w:spacing w:after="120"/>
      </w:pPr>
      <w:r w:rsidRPr="00015A03">
        <w:tab/>
      </w:r>
      <w:r w:rsidRPr="00015A03">
        <w:tab/>
        <w:t>B.</w:t>
      </w:r>
      <w:r w:rsidRPr="00015A03">
        <w:tab/>
      </w:r>
      <w:r w:rsidRPr="00B76FD9">
        <w:t>Country visits</w:t>
      </w:r>
      <w:r w:rsidRPr="00015A03">
        <w:tab/>
      </w:r>
      <w:r w:rsidRPr="00015A03">
        <w:tab/>
      </w:r>
      <w:r w:rsidR="00BE34DB">
        <w:t>5</w:t>
      </w:r>
      <w:r w:rsidR="00BB5CFE">
        <w:t>–6</w:t>
      </w:r>
      <w:r>
        <w:tab/>
      </w:r>
      <w:r w:rsidR="00BB5CFE">
        <w:t>3</w:t>
      </w:r>
    </w:p>
    <w:p w:rsidR="0014282C" w:rsidRPr="00015A03" w:rsidRDefault="0014282C" w:rsidP="0014282C">
      <w:pPr>
        <w:tabs>
          <w:tab w:val="right" w:pos="850"/>
          <w:tab w:val="left" w:pos="1134"/>
          <w:tab w:val="left" w:pos="1559"/>
          <w:tab w:val="left" w:pos="1984"/>
          <w:tab w:val="left" w:leader="dot" w:pos="7654"/>
          <w:tab w:val="right" w:pos="8929"/>
          <w:tab w:val="right" w:pos="9638"/>
        </w:tabs>
        <w:spacing w:after="120"/>
      </w:pPr>
      <w:r w:rsidRPr="00015A03">
        <w:tab/>
      </w:r>
      <w:r w:rsidRPr="00015A03">
        <w:tab/>
        <w:t>C.</w:t>
      </w:r>
      <w:r w:rsidRPr="00015A03">
        <w:tab/>
      </w:r>
      <w:r w:rsidRPr="00B76FD9">
        <w:t>Cooperation with the United Natio</w:t>
      </w:r>
      <w:r w:rsidR="00A04ABE">
        <w:t>ns system and intergovernmental</w:t>
      </w:r>
      <w:r w:rsidR="00A04ABE">
        <w:br/>
      </w:r>
      <w:r w:rsidR="00A04ABE">
        <w:tab/>
      </w:r>
      <w:r w:rsidR="00A04ABE">
        <w:tab/>
      </w:r>
      <w:r w:rsidR="00A04ABE">
        <w:tab/>
      </w:r>
      <w:r w:rsidRPr="00B76FD9">
        <w:t>organizations</w:t>
      </w:r>
      <w:r w:rsidRPr="00015A03">
        <w:tab/>
      </w:r>
      <w:r w:rsidRPr="00015A03">
        <w:tab/>
      </w:r>
      <w:r w:rsidR="00BB5CFE">
        <w:t>7–11</w:t>
      </w:r>
      <w:r>
        <w:tab/>
      </w:r>
      <w:r w:rsidR="00BB5CFE">
        <w:t>3</w:t>
      </w:r>
    </w:p>
    <w:p w:rsidR="0014282C" w:rsidRPr="00310C20" w:rsidRDefault="00A04ABE" w:rsidP="0014282C">
      <w:pPr>
        <w:tabs>
          <w:tab w:val="right" w:pos="850"/>
          <w:tab w:val="left" w:pos="1134"/>
          <w:tab w:val="left" w:pos="1559"/>
          <w:tab w:val="left" w:pos="1984"/>
          <w:tab w:val="left" w:leader="dot" w:pos="7654"/>
          <w:tab w:val="right" w:pos="8929"/>
          <w:tab w:val="right" w:pos="9638"/>
        </w:tabs>
        <w:spacing w:after="120"/>
      </w:pPr>
      <w:r>
        <w:tab/>
      </w:r>
      <w:r>
        <w:tab/>
        <w:t>D.</w:t>
      </w:r>
      <w:r w:rsidR="0014282C" w:rsidRPr="00015A03">
        <w:tab/>
      </w:r>
      <w:r w:rsidR="0014282C" w:rsidRPr="00B76FD9">
        <w:t>Cooperation with non-governmental organizations</w:t>
      </w:r>
      <w:r w:rsidR="0014282C">
        <w:tab/>
      </w:r>
      <w:r w:rsidR="0014282C">
        <w:tab/>
      </w:r>
      <w:r w:rsidR="00BB5CFE">
        <w:t>12</w:t>
      </w:r>
      <w:r w:rsidR="0014282C">
        <w:tab/>
      </w:r>
      <w:r w:rsidR="00BB5CFE">
        <w:t>4</w:t>
      </w:r>
    </w:p>
    <w:p w:rsidR="0014282C" w:rsidRPr="00015A03" w:rsidRDefault="0014282C" w:rsidP="0014282C">
      <w:pPr>
        <w:tabs>
          <w:tab w:val="right" w:pos="850"/>
          <w:tab w:val="left" w:pos="1134"/>
          <w:tab w:val="left" w:pos="1559"/>
          <w:tab w:val="left" w:pos="1984"/>
          <w:tab w:val="left" w:leader="dot" w:pos="7654"/>
          <w:tab w:val="right" w:pos="8929"/>
          <w:tab w:val="right" w:pos="9638"/>
        </w:tabs>
        <w:spacing w:after="120"/>
      </w:pPr>
      <w:r w:rsidRPr="00310C20">
        <w:tab/>
      </w:r>
      <w:r w:rsidRPr="00015A03">
        <w:t>III.</w:t>
      </w:r>
      <w:r w:rsidRPr="00015A03">
        <w:tab/>
      </w:r>
      <w:r>
        <w:t>Overview of t</w:t>
      </w:r>
      <w:r w:rsidRPr="004C7BA9">
        <w:t xml:space="preserve">he work of </w:t>
      </w:r>
      <w:r>
        <w:t>the mandate (2003–2014)</w:t>
      </w:r>
      <w:r w:rsidRPr="00015A03">
        <w:tab/>
      </w:r>
      <w:r w:rsidRPr="00015A03">
        <w:tab/>
      </w:r>
      <w:r w:rsidR="009F68E4">
        <w:t>13–31</w:t>
      </w:r>
      <w:r>
        <w:tab/>
      </w:r>
      <w:r w:rsidR="00BB5CFE">
        <w:t>4</w:t>
      </w:r>
    </w:p>
    <w:p w:rsidR="0014282C" w:rsidRDefault="0014282C" w:rsidP="0014282C">
      <w:pPr>
        <w:tabs>
          <w:tab w:val="right" w:pos="850"/>
          <w:tab w:val="left" w:pos="1134"/>
          <w:tab w:val="left" w:pos="1559"/>
          <w:tab w:val="left" w:pos="1984"/>
          <w:tab w:val="left" w:leader="dot" w:pos="7654"/>
          <w:tab w:val="right" w:pos="8929"/>
          <w:tab w:val="right" w:pos="9638"/>
        </w:tabs>
        <w:spacing w:after="120"/>
      </w:pPr>
      <w:r w:rsidRPr="00015A03">
        <w:tab/>
        <w:t>IV.</w:t>
      </w:r>
      <w:r w:rsidRPr="00015A03">
        <w:tab/>
      </w:r>
      <w:r>
        <w:t>The way forward: context, challenges and opportunities</w:t>
      </w:r>
      <w:r w:rsidRPr="00015A03">
        <w:tab/>
      </w:r>
      <w:r>
        <w:tab/>
      </w:r>
      <w:r w:rsidR="009F68E4">
        <w:t>32–63</w:t>
      </w:r>
      <w:r>
        <w:tab/>
      </w:r>
      <w:r w:rsidR="00BB5CFE">
        <w:t>7</w:t>
      </w:r>
    </w:p>
    <w:p w:rsidR="0014282C" w:rsidRPr="00015A03" w:rsidRDefault="0014282C" w:rsidP="0014282C">
      <w:pPr>
        <w:tabs>
          <w:tab w:val="right" w:pos="850"/>
          <w:tab w:val="left" w:pos="1134"/>
          <w:tab w:val="left" w:pos="1559"/>
          <w:tab w:val="left" w:pos="1984"/>
          <w:tab w:val="left" w:leader="dot" w:pos="7654"/>
          <w:tab w:val="right" w:pos="8929"/>
          <w:tab w:val="right" w:pos="9638"/>
        </w:tabs>
        <w:spacing w:after="120"/>
      </w:pPr>
      <w:r>
        <w:tab/>
      </w:r>
      <w:r>
        <w:tab/>
      </w:r>
      <w:r w:rsidRPr="00015A03">
        <w:t>A.</w:t>
      </w:r>
      <w:r w:rsidRPr="00015A03">
        <w:tab/>
      </w:r>
      <w:r>
        <w:t>The policy approach to the right to health</w:t>
      </w:r>
      <w:r w:rsidRPr="00015A03">
        <w:tab/>
      </w:r>
      <w:r w:rsidRPr="00015A03">
        <w:tab/>
      </w:r>
      <w:r w:rsidR="009F68E4">
        <w:t>37–48</w:t>
      </w:r>
      <w:r>
        <w:tab/>
      </w:r>
      <w:r w:rsidR="00BB5CFE">
        <w:t>8</w:t>
      </w:r>
    </w:p>
    <w:p w:rsidR="0014282C" w:rsidRDefault="0014282C" w:rsidP="0014282C">
      <w:pPr>
        <w:tabs>
          <w:tab w:val="right" w:pos="850"/>
          <w:tab w:val="left" w:pos="1134"/>
          <w:tab w:val="left" w:pos="1559"/>
          <w:tab w:val="left" w:pos="1984"/>
          <w:tab w:val="left" w:leader="dot" w:pos="7654"/>
          <w:tab w:val="right" w:pos="8929"/>
          <w:tab w:val="right" w:pos="9638"/>
        </w:tabs>
        <w:spacing w:after="120"/>
      </w:pPr>
      <w:r w:rsidRPr="00015A03">
        <w:tab/>
      </w:r>
      <w:r w:rsidRPr="00015A03">
        <w:tab/>
        <w:t>B.</w:t>
      </w:r>
      <w:r w:rsidRPr="00015A03">
        <w:tab/>
      </w:r>
      <w:r>
        <w:t>Right to healt</w:t>
      </w:r>
      <w:r w:rsidR="00A04ABE">
        <w:t>h policies: power asymmetries,</w:t>
      </w:r>
      <w:r w:rsidR="00A04ABE">
        <w:br/>
      </w:r>
      <w:r w:rsidR="00A04ABE">
        <w:tab/>
      </w:r>
      <w:r w:rsidR="00A04ABE">
        <w:tab/>
      </w:r>
      <w:r w:rsidR="00A04ABE">
        <w:tab/>
      </w:r>
      <w:r>
        <w:t>unbalanced approaches and other challenges</w:t>
      </w:r>
      <w:r w:rsidRPr="00015A03">
        <w:tab/>
      </w:r>
      <w:r>
        <w:tab/>
      </w:r>
      <w:r w:rsidR="009F68E4">
        <w:t>49</w:t>
      </w:r>
      <w:r w:rsidR="00786AD8">
        <w:t>–</w:t>
      </w:r>
      <w:r w:rsidR="009F68E4">
        <w:t>63</w:t>
      </w:r>
      <w:r>
        <w:tab/>
      </w:r>
      <w:r w:rsidR="00BB5CFE">
        <w:t>9</w:t>
      </w:r>
    </w:p>
    <w:p w:rsidR="0014282C" w:rsidRDefault="0014282C" w:rsidP="00840D9F">
      <w:pPr>
        <w:tabs>
          <w:tab w:val="right" w:pos="850"/>
          <w:tab w:val="left" w:pos="1134"/>
          <w:tab w:val="left" w:pos="1559"/>
          <w:tab w:val="left" w:pos="1984"/>
          <w:tab w:val="left" w:leader="dot" w:pos="7654"/>
          <w:tab w:val="right" w:pos="8929"/>
          <w:tab w:val="right" w:pos="9638"/>
        </w:tabs>
        <w:spacing w:after="120"/>
      </w:pPr>
      <w:r>
        <w:tab/>
        <w:t>V</w:t>
      </w:r>
      <w:r w:rsidRPr="00310C20">
        <w:t>.</w:t>
      </w:r>
      <w:r w:rsidRPr="00310C20">
        <w:tab/>
      </w:r>
      <w:r w:rsidR="00B25CF4">
        <w:t>Themes as priorities</w:t>
      </w:r>
      <w:r>
        <w:tab/>
      </w:r>
      <w:r>
        <w:tab/>
      </w:r>
      <w:r w:rsidR="009F68E4">
        <w:t>64–118</w:t>
      </w:r>
      <w:r>
        <w:tab/>
      </w:r>
      <w:r w:rsidR="009F68E4">
        <w:t>1</w:t>
      </w:r>
      <w:r w:rsidR="00214DF1">
        <w:t>1</w:t>
      </w:r>
    </w:p>
    <w:p w:rsidR="00B25CF4" w:rsidRPr="00015A03" w:rsidRDefault="00B25CF4" w:rsidP="00840D9F">
      <w:pPr>
        <w:tabs>
          <w:tab w:val="right" w:pos="850"/>
          <w:tab w:val="left" w:pos="1134"/>
          <w:tab w:val="left" w:pos="1559"/>
          <w:tab w:val="left" w:pos="1984"/>
          <w:tab w:val="left" w:leader="dot" w:pos="7654"/>
          <w:tab w:val="right" w:pos="8929"/>
          <w:tab w:val="right" w:pos="9638"/>
        </w:tabs>
        <w:spacing w:after="120"/>
      </w:pPr>
      <w:r w:rsidRPr="00015A03">
        <w:tab/>
      </w:r>
      <w:r w:rsidRPr="00015A03">
        <w:tab/>
        <w:t>A.</w:t>
      </w:r>
      <w:r w:rsidRPr="00015A03">
        <w:tab/>
      </w:r>
      <w:r>
        <w:t>Global health in the post-2015 agenda</w:t>
      </w:r>
      <w:r w:rsidRPr="00015A03">
        <w:tab/>
      </w:r>
      <w:r w:rsidRPr="00015A03">
        <w:tab/>
      </w:r>
      <w:r w:rsidR="00674AC7">
        <w:t>6</w:t>
      </w:r>
      <w:r w:rsidR="009F68E4">
        <w:t>4–67</w:t>
      </w:r>
      <w:r>
        <w:tab/>
      </w:r>
      <w:r w:rsidR="009F68E4">
        <w:t>1</w:t>
      </w:r>
      <w:r w:rsidR="00214DF1">
        <w:t>1</w:t>
      </w:r>
    </w:p>
    <w:p w:rsidR="00B25CF4" w:rsidRPr="00015A03" w:rsidRDefault="00B25CF4" w:rsidP="00B25CF4">
      <w:pPr>
        <w:tabs>
          <w:tab w:val="right" w:pos="850"/>
          <w:tab w:val="left" w:pos="1134"/>
          <w:tab w:val="left" w:pos="1559"/>
          <w:tab w:val="left" w:pos="1984"/>
          <w:tab w:val="left" w:leader="dot" w:pos="7654"/>
          <w:tab w:val="right" w:pos="8929"/>
          <w:tab w:val="right" w:pos="9638"/>
        </w:tabs>
        <w:spacing w:after="120"/>
      </w:pPr>
      <w:r w:rsidRPr="00015A03">
        <w:tab/>
      </w:r>
      <w:r w:rsidRPr="00015A03">
        <w:tab/>
        <w:t>B.</w:t>
      </w:r>
      <w:r w:rsidRPr="00015A03">
        <w:tab/>
      </w:r>
      <w:r w:rsidR="002D20AE">
        <w:t>The r</w:t>
      </w:r>
      <w:r>
        <w:t>ight to health and public policy</w:t>
      </w:r>
      <w:r w:rsidRPr="00015A03">
        <w:tab/>
      </w:r>
      <w:r w:rsidRPr="00015A03">
        <w:tab/>
      </w:r>
      <w:r w:rsidR="00674AC7">
        <w:t>6</w:t>
      </w:r>
      <w:r w:rsidR="009F68E4">
        <w:t>8–73</w:t>
      </w:r>
      <w:r>
        <w:tab/>
      </w:r>
      <w:r w:rsidR="007342BD">
        <w:t>12</w:t>
      </w:r>
    </w:p>
    <w:p w:rsidR="00B25CF4" w:rsidRPr="00015A03" w:rsidRDefault="00B25CF4" w:rsidP="00B25CF4">
      <w:pPr>
        <w:tabs>
          <w:tab w:val="right" w:pos="850"/>
          <w:tab w:val="left" w:pos="1134"/>
          <w:tab w:val="left" w:pos="1559"/>
          <w:tab w:val="left" w:pos="1984"/>
          <w:tab w:val="left" w:leader="dot" w:pos="7654"/>
          <w:tab w:val="right" w:pos="8929"/>
          <w:tab w:val="right" w:pos="9638"/>
        </w:tabs>
        <w:spacing w:after="120"/>
      </w:pPr>
      <w:r w:rsidRPr="00015A03">
        <w:tab/>
      </w:r>
      <w:r w:rsidRPr="00015A03">
        <w:tab/>
        <w:t>C.</w:t>
      </w:r>
      <w:r w:rsidRPr="00015A03">
        <w:tab/>
      </w:r>
      <w:r w:rsidR="00B81DEA">
        <w:t>Mental health and emotion</w:t>
      </w:r>
      <w:r w:rsidR="009F68E4">
        <w:t>al</w:t>
      </w:r>
      <w:r w:rsidR="00B81DEA">
        <w:t xml:space="preserve"> well-being</w:t>
      </w:r>
      <w:r w:rsidRPr="00015A03">
        <w:tab/>
      </w:r>
      <w:r w:rsidRPr="00015A03">
        <w:tab/>
      </w:r>
      <w:r w:rsidR="009F68E4">
        <w:t>74–85</w:t>
      </w:r>
      <w:r>
        <w:tab/>
      </w:r>
      <w:r w:rsidR="009F68E4">
        <w:t>13</w:t>
      </w:r>
    </w:p>
    <w:p w:rsidR="00B25CF4" w:rsidRDefault="00B25CF4" w:rsidP="00B25CF4">
      <w:pPr>
        <w:tabs>
          <w:tab w:val="right" w:pos="850"/>
          <w:tab w:val="left" w:pos="1134"/>
          <w:tab w:val="left" w:pos="1559"/>
          <w:tab w:val="left" w:pos="1984"/>
          <w:tab w:val="left" w:leader="dot" w:pos="7654"/>
          <w:tab w:val="right" w:pos="8929"/>
          <w:tab w:val="right" w:pos="9638"/>
        </w:tabs>
        <w:spacing w:after="120"/>
      </w:pPr>
      <w:r w:rsidRPr="00015A03">
        <w:tab/>
      </w:r>
      <w:r w:rsidRPr="00015A03">
        <w:tab/>
        <w:t>D.</w:t>
      </w:r>
      <w:r w:rsidRPr="00015A03">
        <w:tab/>
      </w:r>
      <w:r w:rsidR="00B81DEA">
        <w:t>The life-cycle approach</w:t>
      </w:r>
      <w:r w:rsidR="002D20AE">
        <w:t xml:space="preserve"> to the right to health</w:t>
      </w:r>
      <w:r>
        <w:tab/>
      </w:r>
      <w:r>
        <w:tab/>
      </w:r>
      <w:r w:rsidR="00674AC7">
        <w:t>8</w:t>
      </w:r>
      <w:r w:rsidR="009F68E4">
        <w:t>6–92</w:t>
      </w:r>
      <w:r>
        <w:tab/>
      </w:r>
      <w:r w:rsidR="009F68E4">
        <w:t>15</w:t>
      </w:r>
    </w:p>
    <w:p w:rsidR="00B25CF4" w:rsidRDefault="00B25CF4" w:rsidP="00B25CF4">
      <w:pPr>
        <w:tabs>
          <w:tab w:val="right" w:pos="850"/>
          <w:tab w:val="left" w:pos="1134"/>
          <w:tab w:val="left" w:pos="1559"/>
          <w:tab w:val="left" w:pos="1984"/>
          <w:tab w:val="left" w:leader="dot" w:pos="7654"/>
          <w:tab w:val="right" w:pos="8929"/>
          <w:tab w:val="right" w:pos="9638"/>
        </w:tabs>
        <w:spacing w:after="120"/>
      </w:pPr>
      <w:r>
        <w:tab/>
      </w:r>
      <w:r>
        <w:tab/>
        <w:t>E.</w:t>
      </w:r>
      <w:r>
        <w:tab/>
        <w:t>The right to health of persons with disabilities</w:t>
      </w:r>
      <w:r>
        <w:tab/>
      </w:r>
      <w:r>
        <w:tab/>
      </w:r>
      <w:r w:rsidR="00674AC7">
        <w:t>9</w:t>
      </w:r>
      <w:r w:rsidR="009F68E4">
        <w:t>3–100</w:t>
      </w:r>
      <w:r>
        <w:tab/>
      </w:r>
      <w:r w:rsidR="009F68E4">
        <w:t>16</w:t>
      </w:r>
    </w:p>
    <w:p w:rsidR="00B25CF4" w:rsidRDefault="00B25CF4" w:rsidP="00B25CF4">
      <w:pPr>
        <w:tabs>
          <w:tab w:val="right" w:pos="850"/>
          <w:tab w:val="left" w:pos="1134"/>
          <w:tab w:val="left" w:pos="1559"/>
          <w:tab w:val="left" w:pos="1984"/>
          <w:tab w:val="left" w:leader="dot" w:pos="7654"/>
          <w:tab w:val="right" w:pos="8929"/>
          <w:tab w:val="right" w:pos="9638"/>
        </w:tabs>
        <w:spacing w:after="120"/>
      </w:pPr>
      <w:r>
        <w:tab/>
      </w:r>
      <w:r>
        <w:tab/>
      </w:r>
      <w:r w:rsidRPr="00623353">
        <w:t>F.</w:t>
      </w:r>
      <w:r w:rsidRPr="00623353">
        <w:tab/>
      </w:r>
      <w:r>
        <w:t>Violence as a major obstacle for the reali</w:t>
      </w:r>
      <w:r w:rsidR="00214DF1">
        <w:t>z</w:t>
      </w:r>
      <w:r>
        <w:t>ation of the right to health</w:t>
      </w:r>
      <w:r>
        <w:tab/>
      </w:r>
      <w:r>
        <w:tab/>
      </w:r>
      <w:r w:rsidR="009F68E4">
        <w:t>101–109</w:t>
      </w:r>
      <w:r>
        <w:tab/>
      </w:r>
      <w:r w:rsidR="009F68E4">
        <w:t>17</w:t>
      </w:r>
    </w:p>
    <w:p w:rsidR="00B25CF4" w:rsidRDefault="00B25CF4" w:rsidP="00B25CF4">
      <w:pPr>
        <w:tabs>
          <w:tab w:val="right" w:pos="850"/>
          <w:tab w:val="left" w:pos="1134"/>
          <w:tab w:val="left" w:pos="1559"/>
          <w:tab w:val="left" w:pos="1984"/>
          <w:tab w:val="left" w:leader="dot" w:pos="7654"/>
          <w:tab w:val="right" w:pos="8929"/>
          <w:tab w:val="right" w:pos="9638"/>
        </w:tabs>
        <w:spacing w:after="120"/>
      </w:pPr>
      <w:r>
        <w:tab/>
      </w:r>
      <w:r>
        <w:tab/>
        <w:t>G.</w:t>
      </w:r>
      <w:r>
        <w:tab/>
        <w:t>The role of stakeholders</w:t>
      </w:r>
      <w:r>
        <w:tab/>
      </w:r>
      <w:r>
        <w:tab/>
      </w:r>
      <w:r w:rsidR="009F68E4">
        <w:t>110–118</w:t>
      </w:r>
      <w:r>
        <w:tab/>
      </w:r>
      <w:r w:rsidR="009F68E4">
        <w:t>18</w:t>
      </w:r>
    </w:p>
    <w:p w:rsidR="0014282C" w:rsidRDefault="0014282C" w:rsidP="0014282C">
      <w:pPr>
        <w:tabs>
          <w:tab w:val="right" w:pos="850"/>
          <w:tab w:val="left" w:pos="1134"/>
          <w:tab w:val="left" w:pos="1559"/>
          <w:tab w:val="left" w:pos="1984"/>
          <w:tab w:val="left" w:leader="dot" w:pos="7654"/>
          <w:tab w:val="right" w:pos="8929"/>
          <w:tab w:val="right" w:pos="9638"/>
        </w:tabs>
        <w:spacing w:after="120"/>
      </w:pPr>
      <w:r w:rsidRPr="00310C20">
        <w:tab/>
      </w:r>
      <w:r>
        <w:t>VI</w:t>
      </w:r>
      <w:r w:rsidRPr="00015A03">
        <w:t>.</w:t>
      </w:r>
      <w:r w:rsidRPr="00015A03">
        <w:tab/>
      </w:r>
      <w:r w:rsidR="00B25CF4" w:rsidRPr="004C7BA9">
        <w:t xml:space="preserve">Conclusions and </w:t>
      </w:r>
      <w:r w:rsidR="00B25CF4">
        <w:t>observations</w:t>
      </w:r>
      <w:r w:rsidRPr="00015A03">
        <w:tab/>
      </w:r>
      <w:r w:rsidRPr="00015A03">
        <w:tab/>
      </w:r>
      <w:r w:rsidR="009F68E4">
        <w:t>119–122</w:t>
      </w:r>
      <w:r>
        <w:tab/>
      </w:r>
      <w:r w:rsidR="009F68E4">
        <w:t>20</w:t>
      </w:r>
    </w:p>
    <w:p w:rsidR="00B25CF4" w:rsidRPr="00015A03" w:rsidRDefault="00B25CF4" w:rsidP="00B25CF4">
      <w:pPr>
        <w:tabs>
          <w:tab w:val="right" w:pos="850"/>
          <w:tab w:val="left" w:pos="1134"/>
          <w:tab w:val="left" w:pos="1559"/>
          <w:tab w:val="left" w:pos="1984"/>
          <w:tab w:val="left" w:leader="dot" w:pos="7654"/>
          <w:tab w:val="right" w:pos="8929"/>
          <w:tab w:val="right" w:pos="9638"/>
        </w:tabs>
        <w:spacing w:after="120"/>
      </w:pPr>
      <w:r w:rsidRPr="00015A03">
        <w:tab/>
      </w:r>
      <w:r w:rsidRPr="00015A03">
        <w:tab/>
        <w:t>A.</w:t>
      </w:r>
      <w:r w:rsidRPr="00015A03">
        <w:tab/>
      </w:r>
      <w:r w:rsidRPr="00B76FD9">
        <w:t>Conclusions</w:t>
      </w:r>
      <w:r w:rsidRPr="00015A03">
        <w:tab/>
      </w:r>
      <w:r w:rsidRPr="00015A03">
        <w:tab/>
      </w:r>
      <w:r w:rsidR="009F68E4">
        <w:t>119–121</w:t>
      </w:r>
      <w:r>
        <w:tab/>
      </w:r>
      <w:r w:rsidR="009F68E4">
        <w:t>20</w:t>
      </w:r>
    </w:p>
    <w:p w:rsidR="00B25CF4" w:rsidRPr="00015A03" w:rsidRDefault="00B25CF4" w:rsidP="00B25CF4">
      <w:pPr>
        <w:tabs>
          <w:tab w:val="right" w:pos="850"/>
          <w:tab w:val="left" w:pos="1134"/>
          <w:tab w:val="left" w:pos="1559"/>
          <w:tab w:val="left" w:pos="1984"/>
          <w:tab w:val="left" w:leader="dot" w:pos="7654"/>
          <w:tab w:val="right" w:pos="8929"/>
          <w:tab w:val="right" w:pos="9638"/>
        </w:tabs>
        <w:spacing w:after="120"/>
      </w:pPr>
      <w:r w:rsidRPr="00015A03">
        <w:tab/>
      </w:r>
      <w:r w:rsidRPr="00015A03">
        <w:tab/>
        <w:t>B.</w:t>
      </w:r>
      <w:r w:rsidRPr="00015A03">
        <w:tab/>
      </w:r>
      <w:r>
        <w:t>Observations</w:t>
      </w:r>
      <w:r w:rsidRPr="00015A03">
        <w:tab/>
      </w:r>
      <w:r w:rsidRPr="00015A03">
        <w:tab/>
      </w:r>
      <w:r w:rsidR="00674AC7">
        <w:t>12</w:t>
      </w:r>
      <w:r w:rsidR="009F68E4">
        <w:t>2</w:t>
      </w:r>
      <w:r>
        <w:tab/>
      </w:r>
      <w:r w:rsidR="009F68E4">
        <w:t>20</w:t>
      </w:r>
    </w:p>
    <w:p w:rsidR="004C7BA9" w:rsidRPr="00B76FD9" w:rsidRDefault="004C7BA9" w:rsidP="004C7BA9">
      <w:pPr>
        <w:pStyle w:val="HChG"/>
      </w:pPr>
      <w:r w:rsidRPr="00B76FD9">
        <w:br w:type="page"/>
      </w:r>
      <w:r w:rsidRPr="00B76FD9">
        <w:lastRenderedPageBreak/>
        <w:tab/>
        <w:t>I.</w:t>
      </w:r>
      <w:r w:rsidRPr="00B76FD9">
        <w:tab/>
        <w:t>Introduction</w:t>
      </w:r>
    </w:p>
    <w:p w:rsidR="004C7BA9" w:rsidRPr="004C7BA9" w:rsidRDefault="004C7BA9" w:rsidP="00D05FE0">
      <w:pPr>
        <w:pStyle w:val="SingleTxtG"/>
        <w:numPr>
          <w:ilvl w:val="0"/>
          <w:numId w:val="45"/>
        </w:numPr>
        <w:ind w:left="1134" w:firstLine="0"/>
      </w:pPr>
      <w:r w:rsidRPr="004C7BA9">
        <w:t xml:space="preserve">The present report is the </w:t>
      </w:r>
      <w:r w:rsidR="005C5F80">
        <w:t>first</w:t>
      </w:r>
      <w:r w:rsidRPr="004C7BA9">
        <w:t xml:space="preserve"> submitted to the Council by the </w:t>
      </w:r>
      <w:r w:rsidR="005C5F80">
        <w:t xml:space="preserve">newly appointed </w:t>
      </w:r>
      <w:r w:rsidRPr="004C7BA9">
        <w:t xml:space="preserve">Special Rapporteur, </w:t>
      </w:r>
      <w:r w:rsidR="005C5F80">
        <w:t xml:space="preserve">Dainius Pūras, </w:t>
      </w:r>
      <w:r w:rsidRPr="004C7BA9">
        <w:t xml:space="preserve">and </w:t>
      </w:r>
      <w:r w:rsidR="00D50F61">
        <w:rPr>
          <w:lang w:val="en-US"/>
        </w:rPr>
        <w:t xml:space="preserve">is </w:t>
      </w:r>
      <w:r w:rsidRPr="004C7BA9">
        <w:t xml:space="preserve">the </w:t>
      </w:r>
      <w:r w:rsidR="000408ED" w:rsidRPr="00EA3DE1">
        <w:t>twenty-fourth</w:t>
      </w:r>
      <w:r w:rsidRPr="004C7BA9">
        <w:t xml:space="preserve"> thematic report submitted by the mandate holder on </w:t>
      </w:r>
      <w:r w:rsidR="005C5F80">
        <w:t>the enjoyment of the right to health</w:t>
      </w:r>
      <w:r w:rsidRPr="004C7BA9">
        <w:t xml:space="preserve"> </w:t>
      </w:r>
      <w:r w:rsidRPr="00DD281B">
        <w:t xml:space="preserve">since </w:t>
      </w:r>
      <w:r w:rsidR="002B0032" w:rsidRPr="008A0770">
        <w:rPr>
          <w:lang w:val="en-GB"/>
        </w:rPr>
        <w:t xml:space="preserve">the establishment of the mandate in </w:t>
      </w:r>
      <w:r w:rsidRPr="00DD281B">
        <w:t>200</w:t>
      </w:r>
      <w:r w:rsidR="005C5F80" w:rsidRPr="00DD281B">
        <w:t>3</w:t>
      </w:r>
      <w:r w:rsidRPr="00DD281B">
        <w:t>.</w:t>
      </w:r>
      <w:r w:rsidRPr="004C7BA9">
        <w:t xml:space="preserve"> The report is submitted pursuant to </w:t>
      </w:r>
      <w:r w:rsidR="005C5F80" w:rsidRPr="00686084">
        <w:t xml:space="preserve">Council resolution </w:t>
      </w:r>
      <w:r w:rsidR="00DE6CC6" w:rsidRPr="00686084">
        <w:t>24/6</w:t>
      </w:r>
      <w:r w:rsidRPr="004C7BA9">
        <w:t xml:space="preserve">. </w:t>
      </w:r>
    </w:p>
    <w:p w:rsidR="00DE6CC6" w:rsidRPr="00A04ABE" w:rsidRDefault="00DE6CC6" w:rsidP="00D05FE0">
      <w:pPr>
        <w:pStyle w:val="SingleTxtG"/>
        <w:numPr>
          <w:ilvl w:val="0"/>
          <w:numId w:val="45"/>
        </w:numPr>
        <w:ind w:left="1134" w:firstLine="0"/>
        <w:rPr>
          <w:lang w:val="en-GB"/>
        </w:rPr>
      </w:pPr>
      <w:r>
        <w:t>The Special Rapporteur provides a</w:t>
      </w:r>
      <w:r w:rsidR="004D39D3" w:rsidRPr="00B76FD9">
        <w:rPr>
          <w:lang w:val="en-GB"/>
        </w:rPr>
        <w:t xml:space="preserve"> brief</w:t>
      </w:r>
      <w:r>
        <w:t xml:space="preserve"> account of his activities since his appointment, including communications, country visits and cooperation with the U</w:t>
      </w:r>
      <w:r w:rsidR="00D50F61">
        <w:rPr>
          <w:lang w:val="en-US"/>
        </w:rPr>
        <w:t xml:space="preserve">nited </w:t>
      </w:r>
      <w:r>
        <w:t>N</w:t>
      </w:r>
      <w:r w:rsidR="00D50F61">
        <w:rPr>
          <w:lang w:val="en-US"/>
        </w:rPr>
        <w:t>ations</w:t>
      </w:r>
      <w:r>
        <w:t xml:space="preserve"> syst</w:t>
      </w:r>
      <w:r w:rsidR="006058E4">
        <w:t>em and other key stakeholders.</w:t>
      </w:r>
    </w:p>
    <w:p w:rsidR="004C7BA9" w:rsidRPr="00A04ABE" w:rsidRDefault="005C5F80" w:rsidP="00D05FE0">
      <w:pPr>
        <w:pStyle w:val="SingleTxtG"/>
        <w:numPr>
          <w:ilvl w:val="0"/>
          <w:numId w:val="45"/>
        </w:numPr>
        <w:ind w:left="1134" w:firstLine="0"/>
        <w:rPr>
          <w:lang w:val="en-GB"/>
        </w:rPr>
      </w:pPr>
      <w:r>
        <w:t>T</w:t>
      </w:r>
      <w:r w:rsidR="004C7BA9" w:rsidRPr="004C7BA9">
        <w:t xml:space="preserve">he Special Rapporteur provides </w:t>
      </w:r>
      <w:r w:rsidR="00DE6CC6">
        <w:t>an overview of</w:t>
      </w:r>
      <w:r w:rsidR="004C7BA9" w:rsidRPr="004C7BA9">
        <w:t xml:space="preserve"> the work of the mandate since </w:t>
      </w:r>
      <w:r w:rsidR="00DE6CC6">
        <w:t>200</w:t>
      </w:r>
      <w:r w:rsidR="003576B3" w:rsidRPr="00B76FD9">
        <w:rPr>
          <w:lang w:val="en-GB"/>
        </w:rPr>
        <w:t>3</w:t>
      </w:r>
      <w:r w:rsidR="004C7BA9" w:rsidRPr="004C7BA9">
        <w:t xml:space="preserve">, focusing on the </w:t>
      </w:r>
      <w:r w:rsidR="00DE6CC6">
        <w:t>right to health framework</w:t>
      </w:r>
      <w:r w:rsidR="004C7BA9" w:rsidRPr="004C7BA9">
        <w:t xml:space="preserve">, </w:t>
      </w:r>
      <w:r w:rsidR="00DE6CC6">
        <w:t xml:space="preserve">and the development of the contours and content of the right to health. He then reflects on how he sees the way forward, based on the current context, </w:t>
      </w:r>
      <w:r w:rsidR="004C7BA9" w:rsidRPr="004C7BA9">
        <w:t xml:space="preserve">challenges </w:t>
      </w:r>
      <w:r w:rsidR="00DE6CC6">
        <w:t>and opportunities for the full reali</w:t>
      </w:r>
      <w:r w:rsidR="00686084">
        <w:rPr>
          <w:lang w:val="en-US"/>
        </w:rPr>
        <w:t>z</w:t>
      </w:r>
      <w:r w:rsidR="00DE6CC6">
        <w:t>ation of the right to health</w:t>
      </w:r>
      <w:r w:rsidR="004C7BA9" w:rsidRPr="004C7BA9">
        <w:t xml:space="preserve">. </w:t>
      </w:r>
      <w:r w:rsidR="004D39D3" w:rsidRPr="00B76FD9">
        <w:rPr>
          <w:lang w:val="en-GB"/>
        </w:rPr>
        <w:t>H</w:t>
      </w:r>
      <w:r w:rsidR="004D39D3" w:rsidRPr="004D39D3">
        <w:rPr>
          <w:lang w:val="en-GB"/>
        </w:rPr>
        <w:t>e lays out the main them</w:t>
      </w:r>
      <w:r w:rsidR="004D39D3" w:rsidRPr="00B76FD9">
        <w:rPr>
          <w:lang w:val="en-GB"/>
        </w:rPr>
        <w:t>e</w:t>
      </w:r>
      <w:r w:rsidR="004D39D3">
        <w:rPr>
          <w:lang w:val="en-GB"/>
        </w:rPr>
        <w:t>s</w:t>
      </w:r>
      <w:r w:rsidR="004D39D3" w:rsidRPr="00B76FD9">
        <w:rPr>
          <w:lang w:val="en-GB"/>
        </w:rPr>
        <w:t xml:space="preserve"> as priorities for the coming years.</w:t>
      </w:r>
      <w:r w:rsidR="00813F20">
        <w:rPr>
          <w:lang w:val="en-GB"/>
        </w:rPr>
        <w:t xml:space="preserve"> </w:t>
      </w:r>
      <w:r w:rsidR="004C7BA9" w:rsidRPr="004C7BA9">
        <w:t xml:space="preserve">In the </w:t>
      </w:r>
      <w:r w:rsidR="00661AD1">
        <w:t xml:space="preserve">final </w:t>
      </w:r>
      <w:r w:rsidR="003A0177">
        <w:t>chapter</w:t>
      </w:r>
      <w:r w:rsidR="004C7BA9" w:rsidRPr="004C7BA9">
        <w:t xml:space="preserve">, the Special Rapporteur provides </w:t>
      </w:r>
      <w:r w:rsidR="00DE6CC6">
        <w:t>his</w:t>
      </w:r>
      <w:r w:rsidR="004C7BA9" w:rsidRPr="004C7BA9">
        <w:t xml:space="preserve"> conclusions</w:t>
      </w:r>
      <w:r w:rsidR="004D39D3" w:rsidRPr="00B76FD9">
        <w:rPr>
          <w:lang w:val="en-GB"/>
        </w:rPr>
        <w:t xml:space="preserve"> and observations</w:t>
      </w:r>
      <w:r w:rsidR="006058E4">
        <w:t>.</w:t>
      </w:r>
    </w:p>
    <w:p w:rsidR="004C7BA9" w:rsidRPr="004C7BA9" w:rsidRDefault="004C7BA9" w:rsidP="00B25CF4">
      <w:pPr>
        <w:pStyle w:val="HChG"/>
      </w:pPr>
      <w:r w:rsidRPr="004C7BA9">
        <w:tab/>
        <w:t>II.</w:t>
      </w:r>
      <w:r w:rsidRPr="004C7BA9">
        <w:tab/>
        <w:t>Activities during the reporting period</w:t>
      </w:r>
    </w:p>
    <w:p w:rsidR="004C7BA9" w:rsidRPr="004C7BA9" w:rsidRDefault="004C7BA9" w:rsidP="004C7BA9">
      <w:pPr>
        <w:pStyle w:val="H1G"/>
      </w:pPr>
      <w:r w:rsidRPr="004C7BA9">
        <w:tab/>
        <w:t>A.</w:t>
      </w:r>
      <w:r w:rsidRPr="004C7BA9">
        <w:tab/>
        <w:t>Communications transmitted to States</w:t>
      </w:r>
    </w:p>
    <w:p w:rsidR="004C7BA9" w:rsidRPr="00B76FD9" w:rsidRDefault="00946DD1" w:rsidP="00686084">
      <w:pPr>
        <w:pStyle w:val="SingleTxtG"/>
        <w:numPr>
          <w:ilvl w:val="0"/>
          <w:numId w:val="45"/>
        </w:numPr>
        <w:ind w:left="1134" w:firstLine="0"/>
      </w:pPr>
      <w:bookmarkStart w:id="1" w:name="OLE_LINK1"/>
      <w:bookmarkStart w:id="2" w:name="OLE_LINK2"/>
      <w:r w:rsidRPr="00EA09C4">
        <w:rPr>
          <w:lang w:val="en-GB"/>
        </w:rPr>
        <w:t>During the reporting period, b</w:t>
      </w:r>
      <w:r w:rsidR="005C5F80" w:rsidRPr="00B76FD9">
        <w:t>etween 1 March 2014</w:t>
      </w:r>
      <w:r w:rsidR="004C7BA9" w:rsidRPr="00B76FD9">
        <w:t xml:space="preserve"> and </w:t>
      </w:r>
      <w:r w:rsidR="004D39D3" w:rsidRPr="00B76FD9">
        <w:rPr>
          <w:lang w:val="en-GB"/>
        </w:rPr>
        <w:t>28 February</w:t>
      </w:r>
      <w:r w:rsidR="005C5F80" w:rsidRPr="00B76FD9">
        <w:t xml:space="preserve"> 2015</w:t>
      </w:r>
      <w:r w:rsidR="004C7BA9" w:rsidRPr="00B76FD9">
        <w:t>, the Special Rapporteur</w:t>
      </w:r>
      <w:r w:rsidR="006B0F0C" w:rsidRPr="00B76FD9">
        <w:t>s</w:t>
      </w:r>
      <w:r w:rsidR="004C7BA9" w:rsidRPr="00B76FD9">
        <w:t xml:space="preserve"> sent </w:t>
      </w:r>
      <w:r w:rsidR="004D39D3" w:rsidRPr="00B76FD9">
        <w:rPr>
          <w:lang w:val="en-GB"/>
        </w:rPr>
        <w:t>72</w:t>
      </w:r>
      <w:r w:rsidR="00686084">
        <w:rPr>
          <w:lang w:val="en-GB"/>
        </w:rPr>
        <w:t xml:space="preserve"> </w:t>
      </w:r>
      <w:r w:rsidR="004C7BA9" w:rsidRPr="00B76FD9">
        <w:t xml:space="preserve">communications to </w:t>
      </w:r>
      <w:r w:rsidR="004D39D3" w:rsidRPr="00B76FD9">
        <w:rPr>
          <w:lang w:val="en-GB"/>
        </w:rPr>
        <w:t>39</w:t>
      </w:r>
      <w:r w:rsidR="004C7BA9" w:rsidRPr="00B76FD9">
        <w:t xml:space="preserve"> States. At the time of writing, </w:t>
      </w:r>
      <w:r w:rsidR="004D39D3" w:rsidRPr="00B76FD9">
        <w:rPr>
          <w:lang w:val="en-GB"/>
        </w:rPr>
        <w:t>36</w:t>
      </w:r>
      <w:r w:rsidR="005C5F80" w:rsidRPr="00B76FD9">
        <w:t xml:space="preserve"> </w:t>
      </w:r>
      <w:r w:rsidR="004C7BA9" w:rsidRPr="00B76FD9">
        <w:t xml:space="preserve">responses had been received, </w:t>
      </w:r>
      <w:r w:rsidR="00A51E1E" w:rsidRPr="00B76FD9">
        <w:t xml:space="preserve">indicating </w:t>
      </w:r>
      <w:r w:rsidR="004C7BA9" w:rsidRPr="00B76FD9">
        <w:t xml:space="preserve">a </w:t>
      </w:r>
      <w:r w:rsidR="004D39D3" w:rsidRPr="00B76FD9">
        <w:rPr>
          <w:lang w:val="en-GB"/>
        </w:rPr>
        <w:t>52</w:t>
      </w:r>
      <w:r w:rsidR="004C7BA9" w:rsidRPr="00B76FD9">
        <w:t xml:space="preserve"> per cent response rate</w:t>
      </w:r>
      <w:bookmarkEnd w:id="1"/>
      <w:bookmarkEnd w:id="2"/>
      <w:r w:rsidR="006B0F0C" w:rsidRPr="00B76FD9">
        <w:t>.</w:t>
      </w:r>
      <w:r w:rsidR="00813F20">
        <w:t xml:space="preserve"> </w:t>
      </w:r>
    </w:p>
    <w:p w:rsidR="004C7BA9" w:rsidRPr="00185C57" w:rsidRDefault="004C7BA9" w:rsidP="00185C57">
      <w:pPr>
        <w:pStyle w:val="H1G"/>
      </w:pPr>
      <w:r w:rsidRPr="00185C57">
        <w:tab/>
        <w:t>B.</w:t>
      </w:r>
      <w:r w:rsidRPr="00185C57">
        <w:tab/>
        <w:t>Country visits</w:t>
      </w:r>
    </w:p>
    <w:p w:rsidR="004C7BA9" w:rsidRPr="004C7BA9" w:rsidRDefault="004C7BA9" w:rsidP="00D05FE0">
      <w:pPr>
        <w:pStyle w:val="SingleTxtG"/>
        <w:numPr>
          <w:ilvl w:val="0"/>
          <w:numId w:val="45"/>
        </w:numPr>
        <w:ind w:left="1134" w:firstLine="0"/>
      </w:pPr>
      <w:r w:rsidRPr="004C7BA9">
        <w:t xml:space="preserve">During the reporting period, the Special Rapporteur visited </w:t>
      </w:r>
      <w:r w:rsidR="005C5F80">
        <w:t>Malaysia</w:t>
      </w:r>
      <w:r w:rsidRPr="004C7BA9">
        <w:t xml:space="preserve"> from </w:t>
      </w:r>
      <w:r w:rsidR="005C5F80">
        <w:t>1</w:t>
      </w:r>
      <w:r w:rsidRPr="004C7BA9">
        <w:t xml:space="preserve">9 </w:t>
      </w:r>
      <w:r w:rsidR="005C5F80">
        <w:t>November</w:t>
      </w:r>
      <w:r w:rsidRPr="004C7BA9">
        <w:t xml:space="preserve"> to </w:t>
      </w:r>
      <w:r w:rsidR="005C5F80">
        <w:t>2</w:t>
      </w:r>
      <w:r w:rsidRPr="004C7BA9">
        <w:t xml:space="preserve"> </w:t>
      </w:r>
      <w:r w:rsidR="005C5F80">
        <w:t>December 201</w:t>
      </w:r>
      <w:r w:rsidR="004D0BE9" w:rsidRPr="008A0770">
        <w:rPr>
          <w:lang w:val="en-GB"/>
        </w:rPr>
        <w:t>4</w:t>
      </w:r>
      <w:r w:rsidRPr="004C7BA9">
        <w:t xml:space="preserve">. </w:t>
      </w:r>
      <w:r w:rsidR="005C5F80">
        <w:t>He</w:t>
      </w:r>
      <w:r w:rsidRPr="004C7BA9">
        <w:t xml:space="preserve"> would like to thank </w:t>
      </w:r>
      <w:r w:rsidR="005C5F80">
        <w:t>the Government</w:t>
      </w:r>
      <w:r w:rsidRPr="004C7BA9">
        <w:t xml:space="preserve"> for </w:t>
      </w:r>
      <w:r w:rsidR="005C5F80">
        <w:t xml:space="preserve">extending this invitation </w:t>
      </w:r>
      <w:r w:rsidR="00661AD1">
        <w:t xml:space="preserve">and facilitating </w:t>
      </w:r>
      <w:r w:rsidR="004D0BE9" w:rsidRPr="00EA09C4">
        <w:rPr>
          <w:lang w:val="en-GB"/>
        </w:rPr>
        <w:t>the visit</w:t>
      </w:r>
      <w:r w:rsidRPr="004C7BA9">
        <w:t>.</w:t>
      </w:r>
      <w:r w:rsidR="005C5F80">
        <w:t xml:space="preserve"> A s</w:t>
      </w:r>
      <w:r w:rsidRPr="004C7BA9">
        <w:t>eparate report</w:t>
      </w:r>
      <w:r w:rsidR="005C5F80">
        <w:t xml:space="preserve"> on this visit</w:t>
      </w:r>
      <w:r w:rsidRPr="004C7BA9">
        <w:t xml:space="preserve"> </w:t>
      </w:r>
      <w:r w:rsidR="005C5F80">
        <w:t>has</w:t>
      </w:r>
      <w:r w:rsidRPr="004C7BA9">
        <w:t xml:space="preserve"> been submitted </w:t>
      </w:r>
      <w:r w:rsidR="003A0177">
        <w:t xml:space="preserve">as addenda 1 </w:t>
      </w:r>
      <w:r w:rsidR="005C5F80">
        <w:t>to the present report (A/HRC/29/33</w:t>
      </w:r>
      <w:r w:rsidR="003A0177">
        <w:t>/Add.</w:t>
      </w:r>
      <w:r w:rsidR="005C5F80">
        <w:t>1</w:t>
      </w:r>
      <w:r w:rsidR="00381968">
        <w:t>)</w:t>
      </w:r>
      <w:r w:rsidRPr="004C7BA9">
        <w:t>.</w:t>
      </w:r>
      <w:r w:rsidR="00186F31">
        <w:t xml:space="preserve"> </w:t>
      </w:r>
      <w:r w:rsidR="005C5F80">
        <w:t>C</w:t>
      </w:r>
      <w:r w:rsidR="00C4703B">
        <w:t xml:space="preserve">omments </w:t>
      </w:r>
      <w:r w:rsidR="005C5F80">
        <w:t xml:space="preserve">by the Government </w:t>
      </w:r>
      <w:r w:rsidR="00CA0DC2">
        <w:t xml:space="preserve">thereon </w:t>
      </w:r>
      <w:r w:rsidR="005C5F80">
        <w:t xml:space="preserve">have been submitted </w:t>
      </w:r>
      <w:r w:rsidR="00C4703B">
        <w:t>(</w:t>
      </w:r>
      <w:r w:rsidR="005C5F80">
        <w:t>A/HRC/2</w:t>
      </w:r>
      <w:r w:rsidR="003D1877">
        <w:rPr>
          <w:lang w:val="en-US"/>
        </w:rPr>
        <w:t>9</w:t>
      </w:r>
      <w:r w:rsidR="005C5F80">
        <w:t>/</w:t>
      </w:r>
      <w:r w:rsidR="003D1877">
        <w:rPr>
          <w:lang w:val="en-US"/>
        </w:rPr>
        <w:t>33</w:t>
      </w:r>
      <w:r w:rsidR="005C5F80">
        <w:t>/Add.2</w:t>
      </w:r>
      <w:r w:rsidR="00C4703B">
        <w:t>).</w:t>
      </w:r>
    </w:p>
    <w:p w:rsidR="004C7BA9" w:rsidRPr="004C7BA9" w:rsidRDefault="004C7BA9" w:rsidP="00D05FE0">
      <w:pPr>
        <w:pStyle w:val="SingleTxtG"/>
        <w:numPr>
          <w:ilvl w:val="0"/>
          <w:numId w:val="45"/>
        </w:numPr>
        <w:ind w:left="1134" w:firstLine="0"/>
      </w:pPr>
      <w:r w:rsidRPr="004C7BA9">
        <w:t>The Special Rapporteur wou</w:t>
      </w:r>
      <w:r w:rsidR="005C5F80">
        <w:t>ld like to thank the Government</w:t>
      </w:r>
      <w:r w:rsidRPr="004C7BA9">
        <w:t xml:space="preserve"> of </w:t>
      </w:r>
      <w:r w:rsidR="005C5F80">
        <w:t>Algeria</w:t>
      </w:r>
      <w:r w:rsidRPr="004C7BA9">
        <w:t xml:space="preserve"> for having </w:t>
      </w:r>
      <w:r w:rsidR="005C5F80">
        <w:t>extended an invitation</w:t>
      </w:r>
      <w:r w:rsidRPr="004C7BA9">
        <w:t xml:space="preserve"> to conduct </w:t>
      </w:r>
      <w:r w:rsidR="005C5F80">
        <w:t>a country visit, and hopes this visit will take place in the coming months</w:t>
      </w:r>
      <w:r w:rsidRPr="004C7BA9">
        <w:t>.</w:t>
      </w:r>
    </w:p>
    <w:p w:rsidR="004C7BA9" w:rsidRPr="004C7BA9" w:rsidRDefault="004C7BA9" w:rsidP="004C7BA9">
      <w:pPr>
        <w:pStyle w:val="H1G"/>
      </w:pPr>
      <w:r w:rsidRPr="004C7BA9">
        <w:tab/>
        <w:t>C.</w:t>
      </w:r>
      <w:r w:rsidRPr="004C7BA9">
        <w:tab/>
        <w:t>Cooperation with the United Nations system and intergovernmental organizations</w:t>
      </w:r>
    </w:p>
    <w:p w:rsidR="00C94185" w:rsidRPr="00EA3DE1" w:rsidRDefault="00C94185" w:rsidP="0053495E">
      <w:pPr>
        <w:pStyle w:val="SingleTxtG"/>
        <w:numPr>
          <w:ilvl w:val="0"/>
          <w:numId w:val="45"/>
        </w:numPr>
        <w:ind w:left="1134" w:firstLine="0"/>
      </w:pPr>
      <w:r w:rsidRPr="00EA3DE1">
        <w:t>The Special Rapporteur participated in sessions, meetings and events linked to the discharge of his mandate, including the induction course for new mandate</w:t>
      </w:r>
      <w:r w:rsidR="003D1877">
        <w:rPr>
          <w:lang w:val="en-US"/>
        </w:rPr>
        <w:t xml:space="preserve"> </w:t>
      </w:r>
      <w:r w:rsidRPr="00EA3DE1">
        <w:t>holders (3</w:t>
      </w:r>
      <w:r w:rsidR="003D1877">
        <w:rPr>
          <w:lang w:val="en-US"/>
        </w:rPr>
        <w:t>–</w:t>
      </w:r>
      <w:r w:rsidRPr="00EA3DE1">
        <w:t>5</w:t>
      </w:r>
      <w:r w:rsidR="00BE34DB" w:rsidRPr="00840D9F">
        <w:rPr>
          <w:lang w:val="en-US"/>
        </w:rPr>
        <w:t> </w:t>
      </w:r>
      <w:r w:rsidRPr="00EA3DE1">
        <w:t>September 2014); the 21st Annual Meeting of Special Procedures of the Human Rights Council (29 Septemb</w:t>
      </w:r>
      <w:r w:rsidR="003D1877">
        <w:rPr>
          <w:lang w:val="en-US"/>
        </w:rPr>
        <w:t>er–</w:t>
      </w:r>
      <w:r w:rsidRPr="00EA3DE1">
        <w:t xml:space="preserve">3 October 2014); and the </w:t>
      </w:r>
      <w:r w:rsidR="0053495E">
        <w:rPr>
          <w:lang w:val="en-US"/>
        </w:rPr>
        <w:t>sixty-ninth</w:t>
      </w:r>
      <w:r w:rsidR="0053495E" w:rsidRPr="00EA3DE1">
        <w:t xml:space="preserve"> session of the General Assembly (27</w:t>
      </w:r>
      <w:r w:rsidR="0053495E">
        <w:rPr>
          <w:lang w:val="en-US"/>
        </w:rPr>
        <w:t>–</w:t>
      </w:r>
      <w:r w:rsidR="0053495E" w:rsidRPr="00EA3DE1">
        <w:t>30 October 2014)</w:t>
      </w:r>
      <w:r w:rsidRPr="00EA3DE1">
        <w:t>.</w:t>
      </w:r>
    </w:p>
    <w:p w:rsidR="00C94185" w:rsidRDefault="00C94185" w:rsidP="000D1B34">
      <w:pPr>
        <w:pStyle w:val="SingleTxtG"/>
        <w:numPr>
          <w:ilvl w:val="0"/>
          <w:numId w:val="45"/>
        </w:numPr>
        <w:ind w:left="1134" w:firstLine="0"/>
      </w:pPr>
      <w:r>
        <w:t>In addition, on 18 September 2014, t</w:t>
      </w:r>
      <w:r w:rsidRPr="00B76FD9">
        <w:t xml:space="preserve">he Special Rapporteur participated as panellist in the </w:t>
      </w:r>
      <w:r w:rsidR="000D1B34">
        <w:rPr>
          <w:lang w:val="en-US"/>
        </w:rPr>
        <w:t>h</w:t>
      </w:r>
      <w:r w:rsidRPr="001246D1">
        <w:t>igh</w:t>
      </w:r>
      <w:r w:rsidR="000D1B34">
        <w:rPr>
          <w:lang w:val="en-US"/>
        </w:rPr>
        <w:t>-</w:t>
      </w:r>
      <w:r w:rsidRPr="001246D1">
        <w:t xml:space="preserve">level launch of the </w:t>
      </w:r>
      <w:r w:rsidR="000D1B34">
        <w:rPr>
          <w:lang w:val="en-US"/>
        </w:rPr>
        <w:t>t</w:t>
      </w:r>
      <w:r w:rsidRPr="001246D1">
        <w:t xml:space="preserve">echnical </w:t>
      </w:r>
      <w:r w:rsidR="000D1B34">
        <w:rPr>
          <w:lang w:val="en-US"/>
        </w:rPr>
        <w:t>g</w:t>
      </w:r>
      <w:r w:rsidRPr="001246D1">
        <w:t>uidance on the application of a human rights</w:t>
      </w:r>
      <w:r w:rsidR="000D1B34">
        <w:rPr>
          <w:lang w:val="en-US"/>
        </w:rPr>
        <w:t>-</w:t>
      </w:r>
      <w:r w:rsidRPr="001246D1">
        <w:t xml:space="preserve">based approach to </w:t>
      </w:r>
      <w:r w:rsidR="000D1B34">
        <w:rPr>
          <w:lang w:val="en-US"/>
        </w:rPr>
        <w:t>r</w:t>
      </w:r>
      <w:r w:rsidRPr="001246D1">
        <w:t xml:space="preserve">educe and </w:t>
      </w:r>
      <w:r w:rsidR="000D1B34">
        <w:rPr>
          <w:lang w:val="en-US"/>
        </w:rPr>
        <w:t>e</w:t>
      </w:r>
      <w:r w:rsidRPr="001246D1">
        <w:t xml:space="preserve">liminate </w:t>
      </w:r>
      <w:r w:rsidR="000D1B34">
        <w:rPr>
          <w:lang w:val="en-US"/>
        </w:rPr>
        <w:t>p</w:t>
      </w:r>
      <w:r w:rsidRPr="001246D1">
        <w:t xml:space="preserve">reventable </w:t>
      </w:r>
      <w:r w:rsidR="000D1B34">
        <w:rPr>
          <w:lang w:val="en-US"/>
        </w:rPr>
        <w:t>m</w:t>
      </w:r>
      <w:r w:rsidRPr="001246D1">
        <w:t>orta</w:t>
      </w:r>
      <w:r>
        <w:t xml:space="preserve">lity and </w:t>
      </w:r>
      <w:r w:rsidR="000D1B34">
        <w:rPr>
          <w:lang w:val="en-US"/>
        </w:rPr>
        <w:t>m</w:t>
      </w:r>
      <w:r>
        <w:t xml:space="preserve">orbidity of </w:t>
      </w:r>
      <w:r w:rsidR="000D1B34">
        <w:rPr>
          <w:lang w:val="en-US"/>
        </w:rPr>
        <w:t>c</w:t>
      </w:r>
      <w:r>
        <w:t>hildren u</w:t>
      </w:r>
      <w:r w:rsidRPr="001246D1">
        <w:t xml:space="preserve">nder 5 </w:t>
      </w:r>
      <w:r w:rsidR="000D1B34">
        <w:rPr>
          <w:lang w:val="en-US"/>
        </w:rPr>
        <w:t>y</w:t>
      </w:r>
      <w:r w:rsidRPr="001246D1">
        <w:t xml:space="preserve">ears of </w:t>
      </w:r>
      <w:r w:rsidR="000D1B34">
        <w:rPr>
          <w:lang w:val="en-US"/>
        </w:rPr>
        <w:t>a</w:t>
      </w:r>
      <w:r w:rsidRPr="001246D1">
        <w:t>ge</w:t>
      </w:r>
      <w:r>
        <w:t>, which took place in Geneva.</w:t>
      </w:r>
    </w:p>
    <w:p w:rsidR="00C94185" w:rsidRPr="00A04ABE" w:rsidRDefault="00C94185" w:rsidP="000D1B34">
      <w:pPr>
        <w:pStyle w:val="SingleTxtG"/>
        <w:numPr>
          <w:ilvl w:val="0"/>
          <w:numId w:val="45"/>
        </w:numPr>
        <w:ind w:left="1134" w:firstLine="0"/>
        <w:rPr>
          <w:lang w:val="en-GB"/>
        </w:rPr>
      </w:pPr>
      <w:r>
        <w:t xml:space="preserve">From 9 to 11 December 2014, the Special Rapporteur was invited to attend the Programme Coordinating Board </w:t>
      </w:r>
      <w:r w:rsidR="000D1B34">
        <w:rPr>
          <w:lang w:val="en-US"/>
        </w:rPr>
        <w:t>m</w:t>
      </w:r>
      <w:r>
        <w:t xml:space="preserve">eeting of </w:t>
      </w:r>
      <w:r w:rsidR="000D1B34">
        <w:rPr>
          <w:lang w:val="en-US"/>
        </w:rPr>
        <w:t xml:space="preserve">the Joint </w:t>
      </w:r>
      <w:r>
        <w:t>U</w:t>
      </w:r>
      <w:r w:rsidR="000D1B34">
        <w:rPr>
          <w:lang w:val="en-US"/>
        </w:rPr>
        <w:t xml:space="preserve">nited </w:t>
      </w:r>
      <w:r>
        <w:t>N</w:t>
      </w:r>
      <w:r w:rsidR="000D1B34">
        <w:rPr>
          <w:lang w:val="en-US"/>
        </w:rPr>
        <w:t>ations Programme on HIV/</w:t>
      </w:r>
      <w:r>
        <w:t>AIDS, which took place in Geneva. In the context of th</w:t>
      </w:r>
      <w:r w:rsidR="000D1B34">
        <w:rPr>
          <w:lang w:val="en-US"/>
        </w:rPr>
        <w:t>at</w:t>
      </w:r>
      <w:r>
        <w:t xml:space="preserve"> meeting, the Special Rapporteur participated in various meetings and events, inclu</w:t>
      </w:r>
      <w:r w:rsidR="006058E4">
        <w:t>ding on harm reduction issues.</w:t>
      </w:r>
    </w:p>
    <w:p w:rsidR="00C94185" w:rsidRPr="00A04ABE" w:rsidRDefault="000D1B34" w:rsidP="0053495E">
      <w:pPr>
        <w:pStyle w:val="SingleTxtG"/>
        <w:numPr>
          <w:ilvl w:val="0"/>
          <w:numId w:val="45"/>
        </w:numPr>
        <w:ind w:left="1134" w:firstLine="0"/>
        <w:rPr>
          <w:lang w:val="en-GB"/>
        </w:rPr>
      </w:pPr>
      <w:r>
        <w:rPr>
          <w:lang w:val="en-US"/>
        </w:rPr>
        <w:t>On</w:t>
      </w:r>
      <w:r>
        <w:t xml:space="preserve"> </w:t>
      </w:r>
      <w:r w:rsidR="00C94185">
        <w:t xml:space="preserve">16 </w:t>
      </w:r>
      <w:r>
        <w:rPr>
          <w:lang w:val="en-US"/>
        </w:rPr>
        <w:t>and</w:t>
      </w:r>
      <w:r>
        <w:t xml:space="preserve"> </w:t>
      </w:r>
      <w:r w:rsidR="00C94185">
        <w:t xml:space="preserve">17 October 2014, the Special Rapporteur was invited to participate in the </w:t>
      </w:r>
      <w:r w:rsidR="0053495E">
        <w:t xml:space="preserve">symposium on the </w:t>
      </w:r>
      <w:r w:rsidR="0053495E">
        <w:rPr>
          <w:lang w:val="en-US"/>
        </w:rPr>
        <w:t>r</w:t>
      </w:r>
      <w:r w:rsidR="0053495E" w:rsidRPr="005D401F">
        <w:t>ights of persons with psychosocial disabilities</w:t>
      </w:r>
      <w:r w:rsidR="00C94185">
        <w:t>, which was organize</w:t>
      </w:r>
      <w:r w:rsidR="006058E4">
        <w:t xml:space="preserve">d by OHCHR </w:t>
      </w:r>
      <w:r>
        <w:rPr>
          <w:lang w:val="en-US"/>
        </w:rPr>
        <w:t>Regional Office for Europe</w:t>
      </w:r>
      <w:r>
        <w:t xml:space="preserve"> </w:t>
      </w:r>
      <w:r w:rsidR="006058E4">
        <w:t>in Brussels.</w:t>
      </w:r>
    </w:p>
    <w:p w:rsidR="004C7BA9" w:rsidRPr="00A04ABE" w:rsidRDefault="00C94185" w:rsidP="00D05FE0">
      <w:pPr>
        <w:pStyle w:val="SingleTxtG"/>
        <w:numPr>
          <w:ilvl w:val="0"/>
          <w:numId w:val="45"/>
        </w:numPr>
        <w:ind w:left="1134" w:firstLine="0"/>
        <w:rPr>
          <w:lang w:val="en-GB"/>
        </w:rPr>
      </w:pPr>
      <w:r>
        <w:t xml:space="preserve">From 18 to 20 February, the Special Rapporteur participated as panellist at the 2015 Social Forum, which took place in Geneva and </w:t>
      </w:r>
      <w:r w:rsidRPr="002A5B11">
        <w:t>focused on access to medicines in the context of the right of everyone to the enjoyment of the highest attainable standard of physical and mental health, including</w:t>
      </w:r>
      <w:r>
        <w:t xml:space="preserve"> best practices in this regard</w:t>
      </w:r>
      <w:r w:rsidRPr="002A5B11">
        <w:t>.</w:t>
      </w:r>
    </w:p>
    <w:p w:rsidR="004C7BA9" w:rsidRPr="004C7BA9" w:rsidRDefault="004C7BA9" w:rsidP="00B61F25">
      <w:pPr>
        <w:pStyle w:val="H1G"/>
      </w:pPr>
      <w:r w:rsidRPr="004C7BA9">
        <w:tab/>
      </w:r>
      <w:r w:rsidR="00382E2E">
        <w:t>D</w:t>
      </w:r>
      <w:r w:rsidRPr="004C7BA9">
        <w:t>.</w:t>
      </w:r>
      <w:r w:rsidRPr="004C7BA9">
        <w:tab/>
        <w:t>Cooperation with non-governmental organizations</w:t>
      </w:r>
    </w:p>
    <w:p w:rsidR="00C94185" w:rsidRPr="00B76FD9" w:rsidRDefault="00C94185" w:rsidP="00D05FE0">
      <w:pPr>
        <w:pStyle w:val="SingleTxtG"/>
        <w:numPr>
          <w:ilvl w:val="0"/>
          <w:numId w:val="45"/>
        </w:numPr>
        <w:ind w:left="1134" w:firstLine="0"/>
      </w:pPr>
      <w:r>
        <w:t>On 3 October 2014, the Special Rapporteur participated in an event on “</w:t>
      </w:r>
      <w:r w:rsidRPr="001246D1">
        <w:t>Autism and Human Rights</w:t>
      </w:r>
      <w:r>
        <w:t xml:space="preserve"> throughout the Li</w:t>
      </w:r>
      <w:r w:rsidRPr="001246D1">
        <w:t>fe Course”</w:t>
      </w:r>
      <w:r>
        <w:t>, organized by the NGO Forum for Health and which took place in Geneva.</w:t>
      </w:r>
    </w:p>
    <w:p w:rsidR="004C7BA9" w:rsidRPr="004C7BA9" w:rsidRDefault="004C7BA9" w:rsidP="003D5ADC">
      <w:pPr>
        <w:pStyle w:val="HChG"/>
        <w:ind w:left="567" w:firstLine="0"/>
      </w:pPr>
      <w:r w:rsidRPr="000D1B34">
        <w:t>III.</w:t>
      </w:r>
      <w:r w:rsidRPr="000D1B34">
        <w:tab/>
      </w:r>
      <w:r w:rsidR="00402F9E" w:rsidRPr="000D1B34">
        <w:t>Overview of the work of the mandate (200</w:t>
      </w:r>
      <w:r w:rsidR="003576B3" w:rsidRPr="000D1B34">
        <w:t>3</w:t>
      </w:r>
      <w:r w:rsidR="00506993" w:rsidRPr="000D1B34">
        <w:t>–</w:t>
      </w:r>
      <w:r w:rsidR="00402F9E" w:rsidRPr="000D1B34">
        <w:t>2014)</w:t>
      </w:r>
    </w:p>
    <w:p w:rsidR="00402F9E" w:rsidRPr="00A04ABE" w:rsidRDefault="00402F9E" w:rsidP="00733059">
      <w:pPr>
        <w:pStyle w:val="SingleTxtG"/>
        <w:numPr>
          <w:ilvl w:val="0"/>
          <w:numId w:val="45"/>
        </w:numPr>
        <w:ind w:left="1134" w:firstLine="0"/>
        <w:rPr>
          <w:lang w:val="en-GB"/>
        </w:rPr>
      </w:pPr>
      <w:r w:rsidRPr="00402F9E">
        <w:t xml:space="preserve">The mandate of the Special Rapporteur on the right to of everyone to the enjoyment of the highest attainable standard of physical and mental health was originally established by the Commission on Human Rights in April 2002 </w:t>
      </w:r>
      <w:r w:rsidR="000D1B34">
        <w:rPr>
          <w:lang w:val="en-US"/>
        </w:rPr>
        <w:t>in</w:t>
      </w:r>
      <w:r w:rsidR="000D1B34" w:rsidRPr="00402F9E">
        <w:t xml:space="preserve"> </w:t>
      </w:r>
      <w:r w:rsidRPr="00402F9E">
        <w:t>resolution 2002/31</w:t>
      </w:r>
      <w:r>
        <w:t xml:space="preserve">, and renewed in 2005 </w:t>
      </w:r>
      <w:r w:rsidR="000D1B34">
        <w:rPr>
          <w:lang w:val="en-US"/>
        </w:rPr>
        <w:t>in</w:t>
      </w:r>
      <w:r w:rsidR="000D1B34">
        <w:t xml:space="preserve"> </w:t>
      </w:r>
      <w:r w:rsidR="003251AE" w:rsidRPr="000D1B34">
        <w:rPr>
          <w:lang w:val="en-US"/>
        </w:rPr>
        <w:t>r</w:t>
      </w:r>
      <w:r w:rsidRPr="000D1B34">
        <w:t>esolution 2005/24</w:t>
      </w:r>
      <w:r w:rsidRPr="00402F9E">
        <w:t xml:space="preserve">. Subsequent to the replacement of the Commission </w:t>
      </w:r>
      <w:r w:rsidR="000D1B34">
        <w:rPr>
          <w:lang w:val="en-US"/>
        </w:rPr>
        <w:t>with</w:t>
      </w:r>
      <w:r w:rsidR="000D1B34" w:rsidRPr="00402F9E">
        <w:t xml:space="preserve"> </w:t>
      </w:r>
      <w:r w:rsidRPr="00402F9E">
        <w:t xml:space="preserve">the Human Rights Council in June 2006, the mandate was endorsed and extended by the Council </w:t>
      </w:r>
      <w:r w:rsidR="00276097" w:rsidRPr="003D5ADC">
        <w:rPr>
          <w:lang w:val="en-GB"/>
        </w:rPr>
        <w:t xml:space="preserve">through </w:t>
      </w:r>
      <w:r w:rsidRPr="00402F9E">
        <w:t>resolution</w:t>
      </w:r>
      <w:r>
        <w:t>s</w:t>
      </w:r>
      <w:r w:rsidRPr="00402F9E">
        <w:t xml:space="preserve"> </w:t>
      </w:r>
      <w:r w:rsidRPr="000D1B34">
        <w:t>6/29, 15/22 and 24/6</w:t>
      </w:r>
      <w:r w:rsidR="006058E4">
        <w:t>.</w:t>
      </w:r>
    </w:p>
    <w:p w:rsidR="00276097" w:rsidRPr="00B76FD9" w:rsidRDefault="00B04F9D" w:rsidP="00D05FE0">
      <w:pPr>
        <w:pStyle w:val="SingleTxtG"/>
        <w:numPr>
          <w:ilvl w:val="0"/>
          <w:numId w:val="45"/>
        </w:numPr>
        <w:ind w:left="1134" w:firstLine="0"/>
      </w:pPr>
      <w:r w:rsidRPr="004C7BA9">
        <w:t xml:space="preserve">The </w:t>
      </w:r>
      <w:r>
        <w:t xml:space="preserve">new </w:t>
      </w:r>
      <w:r w:rsidRPr="004C7BA9">
        <w:t xml:space="preserve">Special Rapporteur was appointed in </w:t>
      </w:r>
      <w:r>
        <w:t>August 2014</w:t>
      </w:r>
      <w:r w:rsidRPr="004C7BA9">
        <w:t xml:space="preserve"> and feels privileged to have been given the opportunity to </w:t>
      </w:r>
      <w:r>
        <w:t xml:space="preserve">assess </w:t>
      </w:r>
      <w:r w:rsidRPr="004C7BA9">
        <w:t xml:space="preserve">the </w:t>
      </w:r>
      <w:r>
        <w:t>reali</w:t>
      </w:r>
      <w:r w:rsidR="003251AE">
        <w:rPr>
          <w:lang w:val="en-US"/>
        </w:rPr>
        <w:t>z</w:t>
      </w:r>
      <w:r>
        <w:t>ation of the right to health in the coming years</w:t>
      </w:r>
      <w:r w:rsidRPr="004C7BA9">
        <w:t xml:space="preserve">. </w:t>
      </w:r>
      <w:r>
        <w:t>He will make</w:t>
      </w:r>
      <w:r w:rsidRPr="004C7BA9">
        <w:t xml:space="preserve"> use of </w:t>
      </w:r>
      <w:r w:rsidR="008949FD">
        <w:t xml:space="preserve">his voice and of </w:t>
      </w:r>
      <w:r w:rsidRPr="004C7BA9">
        <w:t xml:space="preserve">all tools available to </w:t>
      </w:r>
      <w:r w:rsidR="008949FD">
        <w:t>discharge</w:t>
      </w:r>
      <w:r w:rsidRPr="004C7BA9">
        <w:t xml:space="preserve"> </w:t>
      </w:r>
      <w:r>
        <w:t>his</w:t>
      </w:r>
      <w:r w:rsidRPr="004C7BA9">
        <w:t xml:space="preserve"> mandate and </w:t>
      </w:r>
      <w:r w:rsidRPr="00B76FD9">
        <w:t>contribute to the full enjoyment of the right to health by all.</w:t>
      </w:r>
      <w:r w:rsidR="00813F20">
        <w:rPr>
          <w:lang w:val="en-GB"/>
        </w:rPr>
        <w:t xml:space="preserve"> </w:t>
      </w:r>
      <w:r w:rsidR="00276097" w:rsidRPr="00B76FD9">
        <w:rPr>
          <w:lang w:val="en-GB"/>
        </w:rPr>
        <w:t>In his first report to the Human Rights Council</w:t>
      </w:r>
      <w:r w:rsidR="00E0722D" w:rsidRPr="00B76FD9">
        <w:rPr>
          <w:lang w:val="en-GB"/>
        </w:rPr>
        <w:t>,</w:t>
      </w:r>
      <w:r w:rsidR="00276097" w:rsidRPr="00B76FD9">
        <w:rPr>
          <w:lang w:val="en-GB"/>
        </w:rPr>
        <w:t xml:space="preserve"> the Special Rapporteur focuses on the work of the mandate, including challenges and opportunities, and on how he sees the way forward in t</w:t>
      </w:r>
      <w:r w:rsidR="006058E4">
        <w:rPr>
          <w:lang w:val="en-GB"/>
        </w:rPr>
        <w:t>he discharge of his functions.</w:t>
      </w:r>
    </w:p>
    <w:p w:rsidR="004D0BE9" w:rsidRPr="008A0770" w:rsidRDefault="00402F9E" w:rsidP="00516379">
      <w:pPr>
        <w:pStyle w:val="SingleTxtG"/>
        <w:numPr>
          <w:ilvl w:val="0"/>
          <w:numId w:val="45"/>
        </w:numPr>
        <w:ind w:left="1134" w:firstLine="0"/>
        <w:rPr>
          <w:lang w:val="en-GB"/>
        </w:rPr>
      </w:pPr>
      <w:r w:rsidRPr="00B76FD9">
        <w:t>During the fi</w:t>
      </w:r>
      <w:r w:rsidR="00AA1700" w:rsidRPr="00B76FD9">
        <w:t xml:space="preserve">rst years of the </w:t>
      </w:r>
      <w:r w:rsidR="007F0E65" w:rsidRPr="00B76FD9">
        <w:t xml:space="preserve">existence of the </w:t>
      </w:r>
      <w:r w:rsidR="00AA1700" w:rsidRPr="00B76FD9">
        <w:t xml:space="preserve">mandate, the </w:t>
      </w:r>
      <w:r w:rsidR="00516379">
        <w:rPr>
          <w:lang w:val="en-US"/>
        </w:rPr>
        <w:t xml:space="preserve">first </w:t>
      </w:r>
      <w:r w:rsidR="00AA1700" w:rsidRPr="00B76FD9">
        <w:t>Special Rapporteur</w:t>
      </w:r>
      <w:r w:rsidRPr="00B76FD9">
        <w:t xml:space="preserve">, in collaboration with </w:t>
      </w:r>
      <w:r w:rsidR="00276097" w:rsidRPr="00B76FD9">
        <w:rPr>
          <w:lang w:val="en-GB"/>
        </w:rPr>
        <w:t xml:space="preserve">the </w:t>
      </w:r>
      <w:r w:rsidRPr="00B76FD9">
        <w:t xml:space="preserve">Committee on Economic, Social and Cultural Rights, </w:t>
      </w:r>
      <w:r w:rsidR="00276097" w:rsidRPr="00B76FD9">
        <w:rPr>
          <w:lang w:val="en-GB"/>
        </w:rPr>
        <w:t xml:space="preserve">the </w:t>
      </w:r>
      <w:r w:rsidRPr="00B76FD9">
        <w:t>W</w:t>
      </w:r>
      <w:r w:rsidR="00276097" w:rsidRPr="00B76FD9">
        <w:rPr>
          <w:lang w:val="en-GB"/>
        </w:rPr>
        <w:t xml:space="preserve">orld </w:t>
      </w:r>
      <w:r w:rsidRPr="00B76FD9">
        <w:t>H</w:t>
      </w:r>
      <w:r w:rsidR="00276097" w:rsidRPr="00B76FD9">
        <w:rPr>
          <w:lang w:val="en-GB"/>
        </w:rPr>
        <w:t xml:space="preserve">ealth </w:t>
      </w:r>
      <w:r w:rsidRPr="00B76FD9">
        <w:t>O</w:t>
      </w:r>
      <w:r w:rsidR="00276097" w:rsidRPr="00B76FD9">
        <w:rPr>
          <w:lang w:val="en-GB"/>
        </w:rPr>
        <w:t>rgani</w:t>
      </w:r>
      <w:r w:rsidR="003251AE">
        <w:rPr>
          <w:lang w:val="en-GB"/>
        </w:rPr>
        <w:t>z</w:t>
      </w:r>
      <w:r w:rsidR="00276097" w:rsidRPr="00B76FD9">
        <w:rPr>
          <w:lang w:val="en-GB"/>
        </w:rPr>
        <w:t>ation (WHO)</w:t>
      </w:r>
      <w:r w:rsidRPr="00B76FD9">
        <w:t xml:space="preserve">, civil society and </w:t>
      </w:r>
      <w:r w:rsidR="00276097" w:rsidRPr="00B76FD9">
        <w:rPr>
          <w:lang w:val="en-GB"/>
        </w:rPr>
        <w:t xml:space="preserve">the </w:t>
      </w:r>
      <w:r w:rsidRPr="00B76FD9">
        <w:t>academic sector, developed</w:t>
      </w:r>
      <w:r w:rsidR="00AA1700" w:rsidRPr="00B76FD9">
        <w:t xml:space="preserve"> </w:t>
      </w:r>
      <w:r w:rsidRPr="00B76FD9">
        <w:t xml:space="preserve">a </w:t>
      </w:r>
      <w:r w:rsidR="00AA1700" w:rsidRPr="00B76FD9">
        <w:t>framework</w:t>
      </w:r>
      <w:r w:rsidRPr="00B76FD9">
        <w:t xml:space="preserve"> </w:t>
      </w:r>
      <w:r w:rsidR="00AA1700" w:rsidRPr="00B76FD9">
        <w:t>for</w:t>
      </w:r>
      <w:r w:rsidRPr="00B76FD9">
        <w:t xml:space="preserve"> analysi</w:t>
      </w:r>
      <w:r w:rsidR="00AA1700" w:rsidRPr="00B76FD9">
        <w:t>ng</w:t>
      </w:r>
      <w:r w:rsidRPr="00B76FD9">
        <w:t xml:space="preserve"> the right to health with a view to making it easier to understand and apply to health-related policies, programmes and projects in practice.</w:t>
      </w:r>
    </w:p>
    <w:p w:rsidR="00A22935" w:rsidRPr="00D05FE0" w:rsidRDefault="00402F9E" w:rsidP="00733059">
      <w:pPr>
        <w:pStyle w:val="SingleTxtG"/>
        <w:numPr>
          <w:ilvl w:val="0"/>
          <w:numId w:val="45"/>
        </w:numPr>
        <w:ind w:left="1134" w:firstLine="0"/>
        <w:rPr>
          <w:lang w:val="en-GB"/>
        </w:rPr>
      </w:pPr>
      <w:r w:rsidRPr="00B76FD9">
        <w:t xml:space="preserve">The analytical framework that was developed </w:t>
      </w:r>
      <w:r w:rsidR="00A22935" w:rsidRPr="00B76FD9">
        <w:t>consists</w:t>
      </w:r>
      <w:r w:rsidR="007F0E65" w:rsidRPr="00B76FD9">
        <w:t xml:space="preserve"> of</w:t>
      </w:r>
      <w:r w:rsidRPr="00B76FD9">
        <w:t xml:space="preserve"> </w:t>
      </w:r>
      <w:r w:rsidR="00FC7148" w:rsidRPr="00B76FD9">
        <w:t>several</w:t>
      </w:r>
      <w:r w:rsidRPr="00B76FD9">
        <w:t xml:space="preserve"> key elements and has </w:t>
      </w:r>
      <w:r w:rsidR="00776B0D" w:rsidRPr="00B76FD9">
        <w:t xml:space="preserve">a </w:t>
      </w:r>
      <w:r w:rsidRPr="00B76FD9">
        <w:t xml:space="preserve">general </w:t>
      </w:r>
      <w:r w:rsidR="00276097" w:rsidRPr="00B76FD9">
        <w:rPr>
          <w:lang w:val="en-GB"/>
        </w:rPr>
        <w:t xml:space="preserve">and inclusive </w:t>
      </w:r>
      <w:r w:rsidRPr="00B76FD9">
        <w:t xml:space="preserve">application to all aspects of the </w:t>
      </w:r>
      <w:r w:rsidR="00AA1700" w:rsidRPr="00B76FD9">
        <w:t>right</w:t>
      </w:r>
      <w:r w:rsidRPr="00B76FD9">
        <w:t xml:space="preserve"> to health, including the unde</w:t>
      </w:r>
      <w:r w:rsidR="00A22935" w:rsidRPr="00B76FD9">
        <w:t xml:space="preserve">rlying </w:t>
      </w:r>
      <w:r w:rsidR="00776B0D" w:rsidRPr="00B76FD9">
        <w:t xml:space="preserve">and social </w:t>
      </w:r>
      <w:r w:rsidR="00A22935" w:rsidRPr="00B76FD9">
        <w:t>determinants of health</w:t>
      </w:r>
      <w:r w:rsidR="00276097" w:rsidRPr="00B76FD9">
        <w:rPr>
          <w:lang w:val="en-GB"/>
        </w:rPr>
        <w:t xml:space="preserve"> and timely and appropriate medical care</w:t>
      </w:r>
      <w:r w:rsidR="00776B0D" w:rsidRPr="00B76FD9">
        <w:t>.</w:t>
      </w:r>
      <w:r w:rsidR="00813F20">
        <w:t xml:space="preserve"> </w:t>
      </w:r>
      <w:r w:rsidR="00776B0D" w:rsidRPr="00B76FD9">
        <w:t>The framework</w:t>
      </w:r>
      <w:r w:rsidR="00FC7148" w:rsidRPr="00B76FD9">
        <w:t xml:space="preserve"> is intended to address the crucial </w:t>
      </w:r>
      <w:r w:rsidR="000732B5" w:rsidRPr="00B76FD9">
        <w:t>question</w:t>
      </w:r>
      <w:r w:rsidR="00FC7148" w:rsidRPr="00B76FD9">
        <w:t xml:space="preserve"> of what human rights in general, and what the right to health in particular, bring to policymaking process</w:t>
      </w:r>
      <w:r w:rsidR="00FF6EC3">
        <w:rPr>
          <w:lang w:val="en-US"/>
        </w:rPr>
        <w:t xml:space="preserve"> (see </w:t>
      </w:r>
      <w:r w:rsidR="00FF6EC3" w:rsidRPr="00840D9F">
        <w:rPr>
          <w:szCs w:val="18"/>
          <w:lang w:val="en-US"/>
        </w:rPr>
        <w:t>E/CN.4/2003/58, para. 9</w:t>
      </w:r>
      <w:r w:rsidR="00FF6EC3">
        <w:rPr>
          <w:szCs w:val="18"/>
          <w:lang w:val="en-US"/>
        </w:rPr>
        <w:t>)</w:t>
      </w:r>
      <w:r w:rsidR="000D1B34">
        <w:rPr>
          <w:lang w:val="en-US"/>
        </w:rPr>
        <w:t>.</w:t>
      </w:r>
      <w:r w:rsidR="00813F20">
        <w:t xml:space="preserve"> </w:t>
      </w:r>
      <w:r w:rsidR="00FC7148" w:rsidRPr="00B76FD9">
        <w:t>Th</w:t>
      </w:r>
      <w:r w:rsidR="000D1B34">
        <w:rPr>
          <w:lang w:val="en-US"/>
        </w:rPr>
        <w:t>at</w:t>
      </w:r>
      <w:r w:rsidR="00FC7148" w:rsidRPr="003D5ADC">
        <w:t xml:space="preserve"> question remains valid today and will continue guiding the w</w:t>
      </w:r>
      <w:r w:rsidR="006058E4">
        <w:t>ork of the Special Rapporteur.</w:t>
      </w:r>
    </w:p>
    <w:p w:rsidR="00276097" w:rsidRPr="00A04ABE" w:rsidRDefault="003576B3" w:rsidP="001E04B3">
      <w:pPr>
        <w:pStyle w:val="SingleTxtG"/>
        <w:numPr>
          <w:ilvl w:val="0"/>
          <w:numId w:val="45"/>
        </w:numPr>
        <w:ind w:left="1134" w:firstLine="0"/>
        <w:rPr>
          <w:lang w:val="en-GB"/>
        </w:rPr>
      </w:pPr>
      <w:r w:rsidRPr="00B76FD9">
        <w:rPr>
          <w:lang w:val="en-GB"/>
        </w:rPr>
        <w:t>T</w:t>
      </w:r>
      <w:r w:rsidR="000732B5">
        <w:t>he first mandate</w:t>
      </w:r>
      <w:r w:rsidR="00FF6EC3">
        <w:rPr>
          <w:lang w:val="en-US"/>
        </w:rPr>
        <w:t xml:space="preserve"> </w:t>
      </w:r>
      <w:r w:rsidR="000732B5">
        <w:t xml:space="preserve">holder </w:t>
      </w:r>
      <w:r w:rsidR="000732B5" w:rsidRPr="00402F9E">
        <w:t xml:space="preserve">identified three primary objectives for the mandate: to promote </w:t>
      </w:r>
      <w:r w:rsidR="008302CF" w:rsidRPr="00840D9F">
        <w:rPr>
          <w:lang w:val="en-US"/>
        </w:rPr>
        <w:t>—</w:t>
      </w:r>
      <w:r w:rsidR="000732B5" w:rsidRPr="00402F9E">
        <w:t xml:space="preserve"> and encourage others to promote </w:t>
      </w:r>
      <w:r w:rsidR="008302CF" w:rsidRPr="00840D9F">
        <w:rPr>
          <w:lang w:val="en-US"/>
        </w:rPr>
        <w:t>—</w:t>
      </w:r>
      <w:r w:rsidR="000732B5" w:rsidRPr="00402F9E">
        <w:t xml:space="preserve"> the right to health as a fundamental human right; to clarify the contours and content of the right to health; and to identify good practices for the operationalization of the right to health at the community, national and international levels</w:t>
      </w:r>
      <w:r w:rsidR="00FF6EC3">
        <w:rPr>
          <w:lang w:val="en-US"/>
        </w:rPr>
        <w:t xml:space="preserve"> (see </w:t>
      </w:r>
      <w:r w:rsidR="00FF6EC3" w:rsidRPr="005B68A6">
        <w:rPr>
          <w:szCs w:val="18"/>
          <w:lang w:val="en-US"/>
        </w:rPr>
        <w:t>E/CN.4/2003/58, para. 9</w:t>
      </w:r>
      <w:r w:rsidR="00FF6EC3">
        <w:rPr>
          <w:szCs w:val="18"/>
          <w:lang w:val="en-US"/>
        </w:rPr>
        <w:t>)</w:t>
      </w:r>
      <w:r w:rsidR="000732B5">
        <w:t>.</w:t>
      </w:r>
      <w:r w:rsidR="00402F9E" w:rsidRPr="00402F9E">
        <w:t xml:space="preserve"> The </w:t>
      </w:r>
      <w:r w:rsidR="0056605E" w:rsidRPr="00EA09C4">
        <w:rPr>
          <w:lang w:val="en-GB"/>
        </w:rPr>
        <w:t xml:space="preserve">then </w:t>
      </w:r>
      <w:r w:rsidR="00402F9E" w:rsidRPr="00402F9E">
        <w:t>Special Rapporteur explored th</w:t>
      </w:r>
      <w:r w:rsidR="00FF6EC3">
        <w:rPr>
          <w:lang w:val="en-US"/>
        </w:rPr>
        <w:t>o</w:t>
      </w:r>
      <w:r w:rsidR="00402F9E" w:rsidRPr="00402F9E">
        <w:t xml:space="preserve">se three objectives by way of two interrelated themes: the right to health </w:t>
      </w:r>
      <w:r w:rsidR="001E04B3">
        <w:rPr>
          <w:lang w:val="en-US"/>
        </w:rPr>
        <w:t>in relation to</w:t>
      </w:r>
      <w:r w:rsidR="001E04B3" w:rsidRPr="00402F9E">
        <w:t xml:space="preserve"> </w:t>
      </w:r>
      <w:r w:rsidR="00402F9E" w:rsidRPr="00402F9E">
        <w:t>poverty</w:t>
      </w:r>
      <w:r w:rsidR="000D1B34">
        <w:rPr>
          <w:lang w:val="en-US"/>
        </w:rPr>
        <w:t>,</w:t>
      </w:r>
      <w:r w:rsidR="00402F9E" w:rsidRPr="00402F9E">
        <w:t xml:space="preserve"> </w:t>
      </w:r>
      <w:r w:rsidR="00FC7148">
        <w:t>focusing on</w:t>
      </w:r>
      <w:r w:rsidR="00402F9E" w:rsidRPr="00402F9E">
        <w:t xml:space="preserve"> health-relat</w:t>
      </w:r>
      <w:r w:rsidR="00FC7148">
        <w:t>ed Millennium Development Goals</w:t>
      </w:r>
      <w:r w:rsidR="00402F9E" w:rsidRPr="00402F9E">
        <w:t>; and the right to health</w:t>
      </w:r>
      <w:r w:rsidR="001E04B3">
        <w:rPr>
          <w:lang w:val="en-US"/>
        </w:rPr>
        <w:t xml:space="preserve"> and the determinants of</w:t>
      </w:r>
      <w:r w:rsidR="00402F9E" w:rsidRPr="00402F9E">
        <w:t xml:space="preserve"> </w:t>
      </w:r>
      <w:r w:rsidR="00402F9E" w:rsidRPr="00EA09C4">
        <w:t>discrimination and stigma.</w:t>
      </w:r>
    </w:p>
    <w:p w:rsidR="004D0BE9" w:rsidRPr="00EA09C4" w:rsidRDefault="004D0BE9" w:rsidP="00733059">
      <w:pPr>
        <w:pStyle w:val="SingleTxtG"/>
        <w:numPr>
          <w:ilvl w:val="0"/>
          <w:numId w:val="45"/>
        </w:numPr>
        <w:ind w:left="1134" w:firstLine="0"/>
      </w:pPr>
      <w:r w:rsidRPr="00EA09C4">
        <w:t xml:space="preserve">Throughout his tenure, </w:t>
      </w:r>
      <w:r w:rsidR="00FF6EC3">
        <w:rPr>
          <w:lang w:val="en-US"/>
        </w:rPr>
        <w:t xml:space="preserve">the former Special Rapporteur </w:t>
      </w:r>
      <w:r w:rsidRPr="00EA09C4">
        <w:t>Paul Hunt distinguished between judicially oriented and policy</w:t>
      </w:r>
      <w:r w:rsidR="00FF6EC3">
        <w:rPr>
          <w:lang w:val="en-US"/>
        </w:rPr>
        <w:t>-</w:t>
      </w:r>
      <w:r w:rsidRPr="00EA09C4">
        <w:t xml:space="preserve">oriented processes. Although the two approaches are closely related and mutually reinforcing, the former aims to promote and protect the right to health via the </w:t>
      </w:r>
      <w:r w:rsidR="000D1B34">
        <w:rPr>
          <w:lang w:val="en-US"/>
        </w:rPr>
        <w:t>drawing up</w:t>
      </w:r>
      <w:r w:rsidR="000D1B34" w:rsidRPr="00EA09C4">
        <w:t xml:space="preserve"> </w:t>
      </w:r>
      <w:r w:rsidRPr="00EA09C4">
        <w:t>of rules and principles derived from case law, building up general guidance from the lessons learned via the resolution of particular disputes. Judicial and quasi-judicial forms of accountability exemplify this approach.</w:t>
      </w:r>
      <w:r w:rsidR="00813F20">
        <w:t xml:space="preserve"> </w:t>
      </w:r>
      <w:r w:rsidR="00E2782E" w:rsidRPr="00EA09C4">
        <w:rPr>
          <w:lang w:val="en-GB"/>
        </w:rPr>
        <w:t>The former Rapporteur</w:t>
      </w:r>
      <w:r w:rsidR="0056605E" w:rsidRPr="00EA09C4">
        <w:t xml:space="preserve"> also emphasi</w:t>
      </w:r>
      <w:r w:rsidR="005B4140">
        <w:rPr>
          <w:lang w:val="en-US"/>
        </w:rPr>
        <w:t>z</w:t>
      </w:r>
      <w:r w:rsidR="0056605E" w:rsidRPr="00EA09C4">
        <w:t>ed that the policy approach is not a soft option</w:t>
      </w:r>
      <w:r w:rsidR="00E2782E" w:rsidRPr="00EA09C4">
        <w:rPr>
          <w:lang w:val="en-GB"/>
        </w:rPr>
        <w:t>,</w:t>
      </w:r>
      <w:r w:rsidR="0056605E" w:rsidRPr="00EA09C4">
        <w:t xml:space="preserve"> on the contrary, it places a legal obligation on policymakers to ensure that a health system include</w:t>
      </w:r>
      <w:r w:rsidR="00E85A5C">
        <w:rPr>
          <w:lang w:val="en-US"/>
        </w:rPr>
        <w:t>s</w:t>
      </w:r>
      <w:r w:rsidR="0056605E" w:rsidRPr="00EA09C4">
        <w:t xml:space="preserve"> comprehensive health plan</w:t>
      </w:r>
      <w:r w:rsidR="00E2782E" w:rsidRPr="00EA09C4">
        <w:rPr>
          <w:lang w:val="en-GB"/>
        </w:rPr>
        <w:t>s</w:t>
      </w:r>
      <w:r w:rsidR="0056605E" w:rsidRPr="00EA09C4">
        <w:t xml:space="preserve"> encompassing the public and private sectors, outreach programmes for the disadvantaged and numerous other features demanded by the right to health. The policy approach is not without accountability: it </w:t>
      </w:r>
      <w:r w:rsidR="00E85A5C">
        <w:rPr>
          <w:lang w:val="en-US"/>
        </w:rPr>
        <w:t>requires</w:t>
      </w:r>
      <w:r w:rsidR="0056605E" w:rsidRPr="00EA09C4">
        <w:t xml:space="preserve"> that policymakers are subject to judicial and non-judicial forms of review.</w:t>
      </w:r>
    </w:p>
    <w:p w:rsidR="00402F9E" w:rsidRPr="00402F9E" w:rsidRDefault="00276097" w:rsidP="00840D9F">
      <w:pPr>
        <w:pStyle w:val="SingleTxtG"/>
        <w:numPr>
          <w:ilvl w:val="0"/>
          <w:numId w:val="45"/>
        </w:numPr>
        <w:ind w:left="1134" w:firstLine="0"/>
      </w:pPr>
      <w:r w:rsidRPr="00EA09C4">
        <w:rPr>
          <w:lang w:val="en-GB"/>
        </w:rPr>
        <w:t>The work of the mandate</w:t>
      </w:r>
      <w:r w:rsidR="000732B5" w:rsidRPr="00EA09C4">
        <w:t xml:space="preserve"> </w:t>
      </w:r>
      <w:r w:rsidRPr="00EA09C4">
        <w:rPr>
          <w:lang w:val="en-GB"/>
        </w:rPr>
        <w:t xml:space="preserve">has </w:t>
      </w:r>
      <w:r w:rsidR="008D7D90">
        <w:rPr>
          <w:lang w:val="en-GB"/>
        </w:rPr>
        <w:t>addressed</w:t>
      </w:r>
      <w:r w:rsidR="00E053C1">
        <w:rPr>
          <w:lang w:val="en-US"/>
        </w:rPr>
        <w:t xml:space="preserve"> the</w:t>
      </w:r>
      <w:r w:rsidR="000732B5" w:rsidRPr="00EA09C4">
        <w:t xml:space="preserve"> challenges and opportunities related to</w:t>
      </w:r>
      <w:r w:rsidR="000732B5" w:rsidRPr="00402F9E">
        <w:t xml:space="preserve"> progressive realization of the right to health and </w:t>
      </w:r>
      <w:r w:rsidR="000732B5">
        <w:t>th</w:t>
      </w:r>
      <w:r w:rsidR="00E053C1">
        <w:rPr>
          <w:lang w:val="en-US"/>
        </w:rPr>
        <w:t>os</w:t>
      </w:r>
      <w:r w:rsidR="000732B5">
        <w:t>e</w:t>
      </w:r>
      <w:r w:rsidR="000732B5" w:rsidRPr="00402F9E">
        <w:t xml:space="preserve"> obligations </w:t>
      </w:r>
      <w:r w:rsidR="00E85A5C">
        <w:rPr>
          <w:lang w:val="en-US"/>
        </w:rPr>
        <w:t>that have</w:t>
      </w:r>
      <w:r w:rsidR="00E85A5C" w:rsidRPr="00402F9E">
        <w:t xml:space="preserve"> </w:t>
      </w:r>
      <w:r w:rsidR="000732B5" w:rsidRPr="00402F9E">
        <w:t>immediate effect.</w:t>
      </w:r>
      <w:r w:rsidR="000732B5">
        <w:t xml:space="preserve"> </w:t>
      </w:r>
      <w:r w:rsidR="00402F9E" w:rsidRPr="00402F9E">
        <w:t xml:space="preserve">With regard to resource constraints and progressive realization, international human rights law recognizes that the realization of the right to health is subject </w:t>
      </w:r>
      <w:r w:rsidR="0056605E" w:rsidRPr="008A0770">
        <w:rPr>
          <w:lang w:val="en-GB"/>
        </w:rPr>
        <w:t xml:space="preserve">to </w:t>
      </w:r>
      <w:r w:rsidR="000A6AC2">
        <w:t>progressive reali</w:t>
      </w:r>
      <w:r w:rsidR="00E85A5C">
        <w:rPr>
          <w:lang w:val="en-US"/>
        </w:rPr>
        <w:t>z</w:t>
      </w:r>
      <w:r w:rsidR="000A6AC2">
        <w:t xml:space="preserve">ation based on </w:t>
      </w:r>
      <w:r w:rsidR="00402F9E" w:rsidRPr="00402F9E">
        <w:t>resource availability.</w:t>
      </w:r>
      <w:r w:rsidR="00813F20">
        <w:t xml:space="preserve"> </w:t>
      </w:r>
      <w:r w:rsidR="00402F9E" w:rsidRPr="00402F9E">
        <w:t>Th</w:t>
      </w:r>
      <w:r w:rsidR="00E053C1">
        <w:rPr>
          <w:lang w:val="en-US"/>
        </w:rPr>
        <w:t>at</w:t>
      </w:r>
      <w:r w:rsidR="00402F9E" w:rsidRPr="00402F9E">
        <w:t xml:space="preserve"> is why </w:t>
      </w:r>
      <w:r w:rsidR="00E053C1">
        <w:rPr>
          <w:lang w:val="en-US"/>
        </w:rPr>
        <w:t>a higher standard is required of</w:t>
      </w:r>
      <w:r w:rsidR="00402F9E" w:rsidRPr="00402F9E">
        <w:t xml:space="preserve"> a developed State today than is required of a developing State. However, </w:t>
      </w:r>
      <w:r w:rsidR="001A58F8">
        <w:rPr>
          <w:lang w:val="en-US"/>
        </w:rPr>
        <w:t>all</w:t>
      </w:r>
      <w:r w:rsidR="001A58F8" w:rsidRPr="00402F9E">
        <w:t xml:space="preserve"> </w:t>
      </w:r>
      <w:r w:rsidR="00402F9E" w:rsidRPr="00402F9E">
        <w:t>State</w:t>
      </w:r>
      <w:r w:rsidR="001A58F8">
        <w:rPr>
          <w:lang w:val="en-US"/>
        </w:rPr>
        <w:t>s</w:t>
      </w:r>
      <w:r w:rsidR="00AA1700">
        <w:t xml:space="preserve"> </w:t>
      </w:r>
      <w:r w:rsidR="001A58F8">
        <w:rPr>
          <w:lang w:val="en-US"/>
        </w:rPr>
        <w:t>are</w:t>
      </w:r>
      <w:r w:rsidR="001A58F8">
        <w:t xml:space="preserve"> </w:t>
      </w:r>
      <w:r w:rsidR="00AA1700">
        <w:t xml:space="preserve">obliged </w:t>
      </w:r>
      <w:r w:rsidR="00402F9E" w:rsidRPr="00402F9E">
        <w:t xml:space="preserve">to realize progressively the right to the </w:t>
      </w:r>
      <w:r w:rsidR="000A6AC2">
        <w:t>highest attainable standard of</w:t>
      </w:r>
      <w:r w:rsidR="00402F9E" w:rsidRPr="00402F9E">
        <w:t xml:space="preserve"> health. In order to measure progress, indicators and benchmark</w:t>
      </w:r>
      <w:r w:rsidR="000A6AC2">
        <w:t xml:space="preserve">s </w:t>
      </w:r>
      <w:r w:rsidR="00402F9E" w:rsidRPr="00402F9E">
        <w:t>need to be identified</w:t>
      </w:r>
      <w:r w:rsidR="000732B5">
        <w:t>, and the work of the first mandate</w:t>
      </w:r>
      <w:r w:rsidR="00E85A5C">
        <w:rPr>
          <w:lang w:val="en-US"/>
        </w:rPr>
        <w:t xml:space="preserve"> </w:t>
      </w:r>
      <w:r w:rsidR="000732B5">
        <w:t>holder in th</w:t>
      </w:r>
      <w:r w:rsidR="00E053C1">
        <w:rPr>
          <w:lang w:val="en-US"/>
        </w:rPr>
        <w:t>at</w:t>
      </w:r>
      <w:r w:rsidR="000732B5">
        <w:t xml:space="preserve"> regard continues to be </w:t>
      </w:r>
      <w:r w:rsidR="0056605E" w:rsidRPr="008A0770">
        <w:rPr>
          <w:lang w:val="en-GB"/>
        </w:rPr>
        <w:t xml:space="preserve">very </w:t>
      </w:r>
      <w:r w:rsidR="000732B5">
        <w:t>useful</w:t>
      </w:r>
      <w:r w:rsidR="00E85A5C">
        <w:rPr>
          <w:lang w:val="en-US"/>
        </w:rPr>
        <w:t xml:space="preserve"> (</w:t>
      </w:r>
      <w:r w:rsidR="00525693">
        <w:rPr>
          <w:lang w:val="en-US"/>
        </w:rPr>
        <w:t xml:space="preserve">see </w:t>
      </w:r>
      <w:r w:rsidR="00E85A5C" w:rsidRPr="00840D9F">
        <w:rPr>
          <w:szCs w:val="18"/>
          <w:lang w:val="en-US"/>
        </w:rPr>
        <w:t>A/</w:t>
      </w:r>
      <w:r w:rsidR="00E85A5C" w:rsidRPr="00E85A5C">
        <w:rPr>
          <w:szCs w:val="18"/>
          <w:lang w:val="en-US"/>
        </w:rPr>
        <w:t>58/427</w:t>
      </w:r>
      <w:r w:rsidR="00E85A5C" w:rsidRPr="00840D9F">
        <w:rPr>
          <w:szCs w:val="18"/>
          <w:lang w:val="en-US"/>
        </w:rPr>
        <w:t xml:space="preserve"> and E/CN.4/2006/58)</w:t>
      </w:r>
      <w:r w:rsidR="00402F9E" w:rsidRPr="00402F9E">
        <w:t>.</w:t>
      </w:r>
    </w:p>
    <w:p w:rsidR="00526E38" w:rsidRPr="00A04ABE" w:rsidRDefault="008B0FF7" w:rsidP="004A1191">
      <w:pPr>
        <w:pStyle w:val="SingleTxtG"/>
        <w:numPr>
          <w:ilvl w:val="0"/>
          <w:numId w:val="45"/>
        </w:numPr>
        <w:ind w:left="1134" w:firstLine="0"/>
        <w:rPr>
          <w:lang w:val="en-GB"/>
        </w:rPr>
      </w:pPr>
      <w:r>
        <w:t>Previous mandate</w:t>
      </w:r>
      <w:r w:rsidR="00525693">
        <w:rPr>
          <w:lang w:val="en-US"/>
        </w:rPr>
        <w:t xml:space="preserve"> </w:t>
      </w:r>
      <w:r>
        <w:t xml:space="preserve">holders </w:t>
      </w:r>
      <w:r w:rsidR="00402F9E" w:rsidRPr="00402F9E">
        <w:t xml:space="preserve">have </w:t>
      </w:r>
      <w:r w:rsidR="00525693">
        <w:rPr>
          <w:lang w:val="en-US"/>
        </w:rPr>
        <w:t>given details</w:t>
      </w:r>
      <w:r w:rsidR="00525693">
        <w:t xml:space="preserve"> </w:t>
      </w:r>
      <w:r w:rsidR="00402F9E" w:rsidRPr="00402F9E">
        <w:t>o</w:t>
      </w:r>
      <w:r w:rsidR="00525693">
        <w:rPr>
          <w:lang w:val="en-US"/>
        </w:rPr>
        <w:t>f</w:t>
      </w:r>
      <w:r w:rsidR="00402F9E" w:rsidRPr="00402F9E">
        <w:t xml:space="preserve"> </w:t>
      </w:r>
      <w:r w:rsidR="00E053C1">
        <w:rPr>
          <w:lang w:val="en-US"/>
        </w:rPr>
        <w:t xml:space="preserve">the </w:t>
      </w:r>
      <w:r w:rsidR="00402F9E" w:rsidRPr="00402F9E">
        <w:t xml:space="preserve">challenges and opportunities </w:t>
      </w:r>
      <w:r w:rsidR="008D7D90">
        <w:rPr>
          <w:lang w:val="en-US"/>
        </w:rPr>
        <w:t>that arise from</w:t>
      </w:r>
      <w:r w:rsidR="00402F9E" w:rsidRPr="00402F9E">
        <w:t xml:space="preserve"> the right to available, accessible</w:t>
      </w:r>
      <w:r w:rsidR="00AA1700">
        <w:t>, acceptable and good</w:t>
      </w:r>
      <w:r w:rsidR="00525693">
        <w:rPr>
          <w:lang w:val="en-US"/>
        </w:rPr>
        <w:t>-</w:t>
      </w:r>
      <w:r w:rsidR="00AA1700">
        <w:t>quality</w:t>
      </w:r>
      <w:r w:rsidR="000732B5">
        <w:t xml:space="preserve"> health</w:t>
      </w:r>
      <w:r w:rsidR="00525693">
        <w:rPr>
          <w:lang w:val="en-US"/>
        </w:rPr>
        <w:t>-</w:t>
      </w:r>
      <w:r w:rsidR="000732B5">
        <w:t>care services</w:t>
      </w:r>
      <w:r w:rsidR="00276097" w:rsidRPr="003D5ADC">
        <w:rPr>
          <w:lang w:val="en-GB"/>
        </w:rPr>
        <w:t>.</w:t>
      </w:r>
      <w:r w:rsidR="00813F20">
        <w:rPr>
          <w:lang w:val="en-GB"/>
        </w:rPr>
        <w:t xml:space="preserve"> </w:t>
      </w:r>
      <w:r w:rsidR="00525693">
        <w:rPr>
          <w:lang w:val="en-US"/>
        </w:rPr>
        <w:t>I</w:t>
      </w:r>
      <w:r w:rsidR="00E053C1">
        <w:t>n th</w:t>
      </w:r>
      <w:r w:rsidR="00E053C1">
        <w:rPr>
          <w:lang w:val="en-US"/>
        </w:rPr>
        <w:t>at</w:t>
      </w:r>
      <w:r w:rsidR="00525693" w:rsidRPr="00402F9E">
        <w:t xml:space="preserve"> regard</w:t>
      </w:r>
      <w:r w:rsidR="00525693">
        <w:t xml:space="preserve">, </w:t>
      </w:r>
      <w:r w:rsidR="00525693">
        <w:rPr>
          <w:lang w:val="en-US"/>
        </w:rPr>
        <w:t>h</w:t>
      </w:r>
      <w:r w:rsidR="00402F9E" w:rsidRPr="00402F9E">
        <w:t>ealth</w:t>
      </w:r>
      <w:r w:rsidR="00525693">
        <w:rPr>
          <w:lang w:val="en-US"/>
        </w:rPr>
        <w:t>-</w:t>
      </w:r>
      <w:r w:rsidR="00402F9E" w:rsidRPr="00402F9E">
        <w:t xml:space="preserve">care systems </w:t>
      </w:r>
      <w:r w:rsidR="00A564A1">
        <w:t>are</w:t>
      </w:r>
      <w:r w:rsidR="00526E38">
        <w:t xml:space="preserve"> at the heart o</w:t>
      </w:r>
      <w:r w:rsidR="00A564A1">
        <w:t>f the right to health and act</w:t>
      </w:r>
      <w:r w:rsidR="00526E38">
        <w:t xml:space="preserve"> as a fundamental building block of sustainable development, poverty reduction and economic prosperity</w:t>
      </w:r>
      <w:r w:rsidR="00525693">
        <w:rPr>
          <w:lang w:val="en-US"/>
        </w:rPr>
        <w:t xml:space="preserve"> (</w:t>
      </w:r>
      <w:r w:rsidR="00525693" w:rsidRPr="00840D9F">
        <w:rPr>
          <w:szCs w:val="18"/>
          <w:lang w:val="en-US"/>
        </w:rPr>
        <w:t>A/HRC/7/11, para. 12)</w:t>
      </w:r>
      <w:r w:rsidR="00526E38">
        <w:t>.</w:t>
      </w:r>
      <w:r w:rsidR="00813F20">
        <w:t xml:space="preserve"> </w:t>
      </w:r>
      <w:r w:rsidR="00526E38">
        <w:t xml:space="preserve">The principles embodied in the Alma-Ata Declaration on </w:t>
      </w:r>
      <w:r w:rsidR="001E04B3">
        <w:rPr>
          <w:lang w:val="en-US"/>
        </w:rPr>
        <w:t>P</w:t>
      </w:r>
      <w:r w:rsidR="00526E38">
        <w:t xml:space="preserve">rimary </w:t>
      </w:r>
      <w:r w:rsidR="001E04B3">
        <w:rPr>
          <w:lang w:val="en-US"/>
        </w:rPr>
        <w:t>H</w:t>
      </w:r>
      <w:r w:rsidR="00526E38">
        <w:t>ealth</w:t>
      </w:r>
      <w:r w:rsidR="001E04B3">
        <w:rPr>
          <w:lang w:val="en-US"/>
        </w:rPr>
        <w:t xml:space="preserve"> C</w:t>
      </w:r>
      <w:r w:rsidR="00526E38">
        <w:t xml:space="preserve">are (1978) and the </w:t>
      </w:r>
      <w:r w:rsidR="00660399">
        <w:t>Ottawa</w:t>
      </w:r>
      <w:r w:rsidR="00526E38">
        <w:t xml:space="preserve"> Charter for Health Promotion</w:t>
      </w:r>
      <w:r w:rsidR="006058E4">
        <w:t xml:space="preserve"> (1986) remain relevant today.</w:t>
      </w:r>
    </w:p>
    <w:p w:rsidR="00402F9E" w:rsidRDefault="00E851D3" w:rsidP="00F17632">
      <w:pPr>
        <w:pStyle w:val="SingleTxtG"/>
        <w:numPr>
          <w:ilvl w:val="0"/>
          <w:numId w:val="45"/>
        </w:numPr>
        <w:ind w:left="1134" w:firstLine="0"/>
      </w:pPr>
      <w:r>
        <w:t>T</w:t>
      </w:r>
      <w:r w:rsidR="005E6217">
        <w:t xml:space="preserve">he work of </w:t>
      </w:r>
      <w:r w:rsidR="00276097" w:rsidRPr="003D5ADC">
        <w:rPr>
          <w:lang w:val="en-GB"/>
        </w:rPr>
        <w:t>th</w:t>
      </w:r>
      <w:r w:rsidR="00276097">
        <w:rPr>
          <w:lang w:val="en-GB"/>
        </w:rPr>
        <w:t>e mandate</w:t>
      </w:r>
      <w:r w:rsidR="00526E38">
        <w:t xml:space="preserve"> ha</w:t>
      </w:r>
      <w:r w:rsidR="005E6217">
        <w:t>s</w:t>
      </w:r>
      <w:r w:rsidR="00526E38">
        <w:t xml:space="preserve"> </w:t>
      </w:r>
      <w:r>
        <w:t xml:space="preserve">also </w:t>
      </w:r>
      <w:r w:rsidR="00526E38">
        <w:t>addressed</w:t>
      </w:r>
      <w:r w:rsidR="008B0FF7">
        <w:t xml:space="preserve"> the challenges</w:t>
      </w:r>
      <w:r w:rsidR="00017AF9">
        <w:rPr>
          <w:lang w:val="en-US"/>
        </w:rPr>
        <w:t xml:space="preserve"> for States</w:t>
      </w:r>
      <w:r w:rsidR="008B0FF7">
        <w:t xml:space="preserve"> </w:t>
      </w:r>
      <w:r w:rsidR="00017AF9">
        <w:rPr>
          <w:lang w:val="en-US"/>
        </w:rPr>
        <w:t>in</w:t>
      </w:r>
      <w:r w:rsidR="00017AF9">
        <w:t xml:space="preserve"> </w:t>
      </w:r>
      <w:r w:rsidR="00813021">
        <w:t>reali</w:t>
      </w:r>
      <w:r w:rsidR="001E04B3">
        <w:rPr>
          <w:lang w:val="en-US"/>
        </w:rPr>
        <w:t>z</w:t>
      </w:r>
      <w:r w:rsidR="00813021">
        <w:t>ing the</w:t>
      </w:r>
      <w:r w:rsidR="00017AF9">
        <w:rPr>
          <w:lang w:val="en-US"/>
        </w:rPr>
        <w:t>ir</w:t>
      </w:r>
      <w:r w:rsidR="00813021">
        <w:t xml:space="preserve"> obligations to ensure that adequate funds are available for health in national budgets, </w:t>
      </w:r>
      <w:r w:rsidR="001E04B3">
        <w:rPr>
          <w:lang w:val="en-US"/>
        </w:rPr>
        <w:t>to safeguard</w:t>
      </w:r>
      <w:r w:rsidR="001E04B3">
        <w:t xml:space="preserve"> </w:t>
      </w:r>
      <w:r w:rsidR="00813021">
        <w:t xml:space="preserve">an equitable allocation of health resources and </w:t>
      </w:r>
      <w:r w:rsidR="001E04B3">
        <w:rPr>
          <w:lang w:val="en-US"/>
        </w:rPr>
        <w:t>to enhance</w:t>
      </w:r>
      <w:r w:rsidR="001E04B3">
        <w:t xml:space="preserve"> </w:t>
      </w:r>
      <w:r w:rsidR="00813021">
        <w:t>international cooperation to promote</w:t>
      </w:r>
      <w:r w:rsidR="00813F20">
        <w:t xml:space="preserve"> </w:t>
      </w:r>
      <w:r w:rsidR="00813021">
        <w:t>sustainable international funding for health</w:t>
      </w:r>
      <w:r w:rsidR="001E04B3">
        <w:rPr>
          <w:lang w:val="en-US"/>
        </w:rPr>
        <w:t xml:space="preserve"> (see A/67/302)</w:t>
      </w:r>
      <w:r w:rsidR="00813021">
        <w:t xml:space="preserve">. </w:t>
      </w:r>
    </w:p>
    <w:p w:rsidR="00A564A1" w:rsidRPr="00A04ABE" w:rsidRDefault="00276097" w:rsidP="00840D9F">
      <w:pPr>
        <w:pStyle w:val="SingleTxtG"/>
        <w:numPr>
          <w:ilvl w:val="0"/>
          <w:numId w:val="45"/>
        </w:numPr>
        <w:ind w:left="1134" w:firstLine="0"/>
        <w:rPr>
          <w:lang w:val="en-GB"/>
        </w:rPr>
      </w:pPr>
      <w:r w:rsidRPr="003D5ADC">
        <w:rPr>
          <w:lang w:val="en-GB"/>
        </w:rPr>
        <w:t xml:space="preserve">The work of </w:t>
      </w:r>
      <w:r w:rsidR="00017AF9">
        <w:rPr>
          <w:lang w:val="en-GB"/>
        </w:rPr>
        <w:t>the Special Rapporteur’s</w:t>
      </w:r>
      <w:r w:rsidR="00017AF9" w:rsidRPr="003D5ADC">
        <w:rPr>
          <w:lang w:val="en-GB"/>
        </w:rPr>
        <w:t xml:space="preserve"> </w:t>
      </w:r>
      <w:r w:rsidRPr="00276097">
        <w:rPr>
          <w:lang w:val="en-GB"/>
        </w:rPr>
        <w:t>predecessors</w:t>
      </w:r>
      <w:r w:rsidRPr="003D5ADC">
        <w:rPr>
          <w:lang w:val="en-GB"/>
        </w:rPr>
        <w:t xml:space="preserve"> has highlighted that o</w:t>
      </w:r>
      <w:r w:rsidR="00A564A1" w:rsidRPr="00402F9E">
        <w:t>ne of most important obligations of immediate effect related to right to health</w:t>
      </w:r>
      <w:r w:rsidR="002C44A3" w:rsidRPr="00B76FD9">
        <w:rPr>
          <w:lang w:val="en-GB"/>
        </w:rPr>
        <w:t xml:space="preserve"> </w:t>
      </w:r>
      <w:r w:rsidR="00A564A1" w:rsidRPr="00402F9E">
        <w:t>is the duty to avoid discrimination</w:t>
      </w:r>
      <w:r w:rsidR="00E924AC" w:rsidRPr="00840D9F">
        <w:rPr>
          <w:lang w:val="en-US"/>
        </w:rPr>
        <w:t>.</w:t>
      </w:r>
      <w:r w:rsidR="00A564A1">
        <w:rPr>
          <w:rStyle w:val="FootnoteReference"/>
        </w:rPr>
        <w:footnoteReference w:id="2"/>
      </w:r>
      <w:r w:rsidR="00A564A1">
        <w:t xml:space="preserve"> This means that, even in the presence </w:t>
      </w:r>
      <w:r w:rsidR="00A564A1" w:rsidRPr="00402F9E">
        <w:t>of resour</w:t>
      </w:r>
      <w:r w:rsidR="00A564A1">
        <w:t xml:space="preserve">ce constraints, </w:t>
      </w:r>
      <w:r w:rsidR="001A58F8">
        <w:rPr>
          <w:lang w:val="en-US"/>
        </w:rPr>
        <w:t>that</w:t>
      </w:r>
      <w:r w:rsidR="001A58F8">
        <w:t xml:space="preserve"> </w:t>
      </w:r>
      <w:r w:rsidR="00A564A1">
        <w:t>obligation</w:t>
      </w:r>
      <w:r w:rsidR="00A564A1" w:rsidRPr="00402F9E">
        <w:t xml:space="preserve"> </w:t>
      </w:r>
      <w:r w:rsidR="00A564A1">
        <w:t>should</w:t>
      </w:r>
      <w:r w:rsidR="00A564A1" w:rsidRPr="00402F9E">
        <w:t xml:space="preserve"> not </w:t>
      </w:r>
      <w:r w:rsidR="00A564A1">
        <w:t xml:space="preserve">be </w:t>
      </w:r>
      <w:r w:rsidR="00A564A1" w:rsidRPr="00402F9E">
        <w:t>subject to progressive realization.</w:t>
      </w:r>
      <w:r w:rsidR="00A564A1">
        <w:t xml:space="preserve"> Discrimination and stigma are considered as social determinants in the enjoyment of the right to health</w:t>
      </w:r>
      <w:r w:rsidR="001E04B3">
        <w:rPr>
          <w:lang w:val="en-US"/>
        </w:rPr>
        <w:t>,</w:t>
      </w:r>
      <w:r w:rsidR="00A564A1">
        <w:t xml:space="preserve"> as social inequalities and exclusion shape health outcomes and contribute to increasing the burden of disease borne by marginalized groups. In addition, some health conditions, such as mental health or HIV/AIDS, may involve exposure to compounded forms of discrimination and reinforce existing inequalities</w:t>
      </w:r>
      <w:r w:rsidR="001E04B3">
        <w:rPr>
          <w:lang w:val="en-US"/>
        </w:rPr>
        <w:t xml:space="preserve"> (</w:t>
      </w:r>
      <w:r w:rsidR="001E04B3" w:rsidRPr="00840D9F">
        <w:rPr>
          <w:szCs w:val="18"/>
          <w:lang w:val="en-US"/>
        </w:rPr>
        <w:t>E/CN.4/2003/58, para. </w:t>
      </w:r>
      <w:r w:rsidR="001E04B3" w:rsidRPr="00D05FE0">
        <w:rPr>
          <w:szCs w:val="18"/>
          <w:lang w:val="es-AR"/>
        </w:rPr>
        <w:t>59</w:t>
      </w:r>
      <w:r w:rsidR="001E04B3">
        <w:rPr>
          <w:szCs w:val="18"/>
          <w:lang w:val="es-AR"/>
        </w:rPr>
        <w:t>)</w:t>
      </w:r>
      <w:r w:rsidR="00A564A1">
        <w:t>.</w:t>
      </w:r>
    </w:p>
    <w:p w:rsidR="00276097" w:rsidRPr="00A04ABE" w:rsidRDefault="00A564A1" w:rsidP="00D05FE0">
      <w:pPr>
        <w:pStyle w:val="SingleTxtG"/>
        <w:numPr>
          <w:ilvl w:val="0"/>
          <w:numId w:val="45"/>
        </w:numPr>
        <w:ind w:left="1134" w:firstLine="0"/>
        <w:rPr>
          <w:lang w:val="en-GB"/>
        </w:rPr>
      </w:pPr>
      <w:r w:rsidRPr="00402F9E">
        <w:t xml:space="preserve">The </w:t>
      </w:r>
      <w:r>
        <w:t>work of previous mandate</w:t>
      </w:r>
      <w:r w:rsidR="001E04B3">
        <w:rPr>
          <w:lang w:val="en-US"/>
        </w:rPr>
        <w:t xml:space="preserve"> </w:t>
      </w:r>
      <w:r>
        <w:t>holders has</w:t>
      </w:r>
      <w:r w:rsidRPr="00402F9E">
        <w:t xml:space="preserve"> </w:t>
      </w:r>
      <w:r>
        <w:t>underlined</w:t>
      </w:r>
      <w:r w:rsidRPr="00402F9E">
        <w:t xml:space="preserve"> the need to </w:t>
      </w:r>
      <w:r>
        <w:t xml:space="preserve">respect, </w:t>
      </w:r>
      <w:r w:rsidRPr="00402F9E">
        <w:t xml:space="preserve">protect </w:t>
      </w:r>
      <w:r>
        <w:t xml:space="preserve">and fulfil the </w:t>
      </w:r>
      <w:r w:rsidR="0056605E" w:rsidRPr="00EA09C4">
        <w:rPr>
          <w:lang w:val="en-GB"/>
        </w:rPr>
        <w:t>enjoyment</w:t>
      </w:r>
      <w:r w:rsidR="0056605E" w:rsidRPr="008A0770">
        <w:rPr>
          <w:lang w:val="en-GB"/>
        </w:rPr>
        <w:t xml:space="preserve"> of </w:t>
      </w:r>
      <w:r w:rsidRPr="00402F9E">
        <w:t xml:space="preserve">right to health and other </w:t>
      </w:r>
      <w:r>
        <w:t xml:space="preserve">related </w:t>
      </w:r>
      <w:r w:rsidRPr="00402F9E">
        <w:t>rights of those groups who appear</w:t>
      </w:r>
      <w:r w:rsidR="00701685">
        <w:rPr>
          <w:lang w:val="en-US"/>
        </w:rPr>
        <w:t xml:space="preserve"> to be</w:t>
      </w:r>
      <w:r w:rsidRPr="00402F9E">
        <w:t xml:space="preserve"> in vulnerable situations and</w:t>
      </w:r>
      <w:r>
        <w:t xml:space="preserve"> face dis</w:t>
      </w:r>
      <w:r w:rsidRPr="00402F9E">
        <w:t>crimination in general</w:t>
      </w:r>
      <w:r>
        <w:t xml:space="preserve">, </w:t>
      </w:r>
      <w:r w:rsidRPr="00402F9E">
        <w:t>including in a</w:t>
      </w:r>
      <w:r>
        <w:t>c</w:t>
      </w:r>
      <w:r w:rsidR="006058E4">
        <w:t>cessing health</w:t>
      </w:r>
      <w:r w:rsidR="001E04B3">
        <w:rPr>
          <w:lang w:val="en-US"/>
        </w:rPr>
        <w:t>-</w:t>
      </w:r>
      <w:r w:rsidR="006058E4">
        <w:t>care services.</w:t>
      </w:r>
    </w:p>
    <w:p w:rsidR="00F0518C" w:rsidRPr="00A04ABE" w:rsidRDefault="00276097" w:rsidP="001E04B3">
      <w:pPr>
        <w:pStyle w:val="SingleTxtG"/>
        <w:numPr>
          <w:ilvl w:val="0"/>
          <w:numId w:val="45"/>
        </w:numPr>
        <w:ind w:left="1134" w:firstLine="0"/>
        <w:rPr>
          <w:lang w:val="en-GB"/>
        </w:rPr>
      </w:pPr>
      <w:r w:rsidRPr="003D5ADC">
        <w:rPr>
          <w:lang w:val="en-GB"/>
        </w:rPr>
        <w:t>Previous work</w:t>
      </w:r>
      <w:r w:rsidR="00B60A28">
        <w:t xml:space="preserve"> on the issue of sexual and reproductive health and rights, including on maternal mortality, has shown that human rights when applied to public health policies can save lives</w:t>
      </w:r>
      <w:r w:rsidR="00C6206E">
        <w:t xml:space="preserve"> </w:t>
      </w:r>
      <w:r w:rsidR="00581AC6">
        <w:t xml:space="preserve">by ensuring that </w:t>
      </w:r>
      <w:r w:rsidR="00C6206E">
        <w:t xml:space="preserve">health </w:t>
      </w:r>
      <w:r w:rsidR="00581AC6">
        <w:t>policies are equitable, inclusive, non-discriminatory, participatory and evidence-based</w:t>
      </w:r>
      <w:r w:rsidR="001E04B3">
        <w:rPr>
          <w:lang w:val="en-US"/>
        </w:rPr>
        <w:t xml:space="preserve"> (</w:t>
      </w:r>
      <w:r w:rsidR="001E04B3" w:rsidRPr="00840D9F">
        <w:rPr>
          <w:szCs w:val="18"/>
          <w:lang w:val="en-US"/>
        </w:rPr>
        <w:t>A/61/338, para. </w:t>
      </w:r>
      <w:r w:rsidR="001E04B3" w:rsidRPr="005B68A6">
        <w:rPr>
          <w:szCs w:val="18"/>
          <w:lang w:val="en-US"/>
        </w:rPr>
        <w:t>29</w:t>
      </w:r>
      <w:r w:rsidR="001E04B3">
        <w:rPr>
          <w:szCs w:val="18"/>
          <w:lang w:val="en-US"/>
        </w:rPr>
        <w:t>)</w:t>
      </w:r>
      <w:r w:rsidR="00B60A28">
        <w:t>.</w:t>
      </w:r>
      <w:r w:rsidR="00813F20">
        <w:t xml:space="preserve"> </w:t>
      </w:r>
      <w:r w:rsidR="003576B3">
        <w:t>Most of pregnancy-related deaths and many of the</w:t>
      </w:r>
      <w:r w:rsidR="001E04B3">
        <w:rPr>
          <w:lang w:val="en-US"/>
        </w:rPr>
        <w:t xml:space="preserve"> causes of</w:t>
      </w:r>
      <w:r w:rsidR="003576B3">
        <w:t xml:space="preserve"> under-</w:t>
      </w:r>
      <w:r w:rsidR="001E04B3">
        <w:rPr>
          <w:lang w:val="en-US"/>
        </w:rPr>
        <w:t>5</w:t>
      </w:r>
      <w:r w:rsidR="001E04B3">
        <w:t xml:space="preserve"> </w:t>
      </w:r>
      <w:r w:rsidR="003576B3">
        <w:t xml:space="preserve">mortality are avoidable. </w:t>
      </w:r>
      <w:r w:rsidR="0056605E" w:rsidRPr="00EA09C4">
        <w:rPr>
          <w:lang w:val="en-GB"/>
        </w:rPr>
        <w:t>Th</w:t>
      </w:r>
      <w:r w:rsidR="003576B3">
        <w:t xml:space="preserve">ose most at risk are groups living in poverty, </w:t>
      </w:r>
      <w:r w:rsidR="00AA4D52">
        <w:rPr>
          <w:lang w:val="en-US"/>
        </w:rPr>
        <w:t xml:space="preserve">groups </w:t>
      </w:r>
      <w:r w:rsidR="003576B3">
        <w:t>in rural areas</w:t>
      </w:r>
      <w:r w:rsidR="001E04B3">
        <w:rPr>
          <w:lang w:val="en-US"/>
        </w:rPr>
        <w:t xml:space="preserve"> and</w:t>
      </w:r>
      <w:r w:rsidR="003576B3">
        <w:t xml:space="preserve"> women from ethnic </w:t>
      </w:r>
      <w:r w:rsidR="007C7CBF">
        <w:rPr>
          <w:lang w:val="en-US"/>
        </w:rPr>
        <w:t xml:space="preserve">and religious </w:t>
      </w:r>
      <w:r w:rsidR="003576B3">
        <w:t xml:space="preserve">minorities or indigenous communities. </w:t>
      </w:r>
      <w:r w:rsidR="00947F84">
        <w:t>Women and children must be placed at the centre of an integrated approach to sexual and reproductive health and their ri</w:t>
      </w:r>
      <w:r w:rsidR="006058E4">
        <w:t>ghts must be fully recogni</w:t>
      </w:r>
      <w:r w:rsidR="001E04B3">
        <w:rPr>
          <w:lang w:val="en-US"/>
        </w:rPr>
        <w:t>z</w:t>
      </w:r>
      <w:r w:rsidR="006058E4">
        <w:t>ed.</w:t>
      </w:r>
    </w:p>
    <w:p w:rsidR="00F0518C" w:rsidRDefault="00276097" w:rsidP="00CB75BE">
      <w:pPr>
        <w:pStyle w:val="SingleTxtG"/>
        <w:numPr>
          <w:ilvl w:val="0"/>
          <w:numId w:val="45"/>
        </w:numPr>
        <w:ind w:left="1134" w:firstLine="0"/>
      </w:pPr>
      <w:r w:rsidRPr="003D5ADC">
        <w:rPr>
          <w:lang w:val="en-GB"/>
        </w:rPr>
        <w:t xml:space="preserve">Moreover, the work of the mandate has </w:t>
      </w:r>
      <w:r w:rsidR="003576B3" w:rsidRPr="007C06CF">
        <w:t>focused</w:t>
      </w:r>
      <w:r w:rsidR="003576B3">
        <w:t xml:space="preserve"> </w:t>
      </w:r>
      <w:r w:rsidR="003576B3" w:rsidRPr="007C06CF">
        <w:t>on the</w:t>
      </w:r>
      <w:r w:rsidR="003576B3">
        <w:t xml:space="preserve"> serious detrimental</w:t>
      </w:r>
      <w:r w:rsidR="003576B3" w:rsidRPr="007C06CF">
        <w:t xml:space="preserve"> impact </w:t>
      </w:r>
      <w:r w:rsidR="003576B3">
        <w:t>that</w:t>
      </w:r>
      <w:r w:rsidR="003576B3" w:rsidRPr="007C06CF">
        <w:t xml:space="preserve"> the criminali</w:t>
      </w:r>
      <w:r w:rsidR="001E04B3">
        <w:rPr>
          <w:lang w:val="en-US"/>
        </w:rPr>
        <w:t>z</w:t>
      </w:r>
      <w:r w:rsidR="003576B3" w:rsidRPr="007C06CF">
        <w:t xml:space="preserve">ation </w:t>
      </w:r>
      <w:r w:rsidR="003576B3">
        <w:t>of identities, behaviours and health status can have</w:t>
      </w:r>
      <w:r w:rsidR="003576B3" w:rsidRPr="00874845">
        <w:t xml:space="preserve"> </w:t>
      </w:r>
      <w:r w:rsidR="003576B3">
        <w:t>on</w:t>
      </w:r>
      <w:r w:rsidR="003576B3" w:rsidRPr="007C06CF">
        <w:t xml:space="preserve"> the </w:t>
      </w:r>
      <w:r w:rsidR="003576B3">
        <w:t xml:space="preserve">full </w:t>
      </w:r>
      <w:r w:rsidR="003576B3" w:rsidRPr="007C06CF">
        <w:t>e</w:t>
      </w:r>
      <w:r w:rsidR="003576B3">
        <w:t xml:space="preserve">njoyment of the right to health. </w:t>
      </w:r>
      <w:r w:rsidR="003576B3" w:rsidRPr="00B76FD9">
        <w:rPr>
          <w:lang w:val="en-GB"/>
        </w:rPr>
        <w:t>C</w:t>
      </w:r>
      <w:r w:rsidR="003576B3">
        <w:t xml:space="preserve">riminalization and restrictive laws </w:t>
      </w:r>
      <w:r w:rsidR="0056605E">
        <w:t xml:space="preserve">are ineffective as public health interventions </w:t>
      </w:r>
      <w:r w:rsidR="0056605E" w:rsidRPr="008A0770">
        <w:rPr>
          <w:lang w:val="en-GB"/>
        </w:rPr>
        <w:t xml:space="preserve">and </w:t>
      </w:r>
      <w:r w:rsidR="003576B3">
        <w:t xml:space="preserve">fuel underreporting of health indicators. </w:t>
      </w:r>
      <w:r w:rsidR="003576B3" w:rsidRPr="00B5129E">
        <w:rPr>
          <w:lang w:val="en-GB"/>
        </w:rPr>
        <w:t>For instance</w:t>
      </w:r>
      <w:r w:rsidR="003576B3">
        <w:rPr>
          <w:lang w:val="en-GB"/>
        </w:rPr>
        <w:t xml:space="preserve">, the work done has shown that </w:t>
      </w:r>
      <w:r w:rsidR="003576B3" w:rsidRPr="00B76FD9">
        <w:rPr>
          <w:lang w:val="en-GB"/>
        </w:rPr>
        <w:t>l</w:t>
      </w:r>
      <w:r w:rsidR="00F0518C">
        <w:t>egal restrictions on access to abortion services, comprehensive sexual and reproductive education and information, and contraception and family planning methods can have a serious detrimental impact on the enjoyment of the right to health</w:t>
      </w:r>
      <w:r w:rsidR="00D71A3A">
        <w:t>.</w:t>
      </w:r>
      <w:r w:rsidR="00D71A3A" w:rsidRPr="00D71A3A">
        <w:t xml:space="preserve"> </w:t>
      </w:r>
      <w:r w:rsidR="00D71A3A">
        <w:t>Evidence show</w:t>
      </w:r>
      <w:r w:rsidR="00971995" w:rsidRPr="003D5ADC">
        <w:rPr>
          <w:lang w:val="en-GB"/>
        </w:rPr>
        <w:t>s</w:t>
      </w:r>
      <w:r w:rsidR="00D71A3A">
        <w:t xml:space="preserve"> that this includes </w:t>
      </w:r>
      <w:r w:rsidR="00874845">
        <w:t xml:space="preserve">a </w:t>
      </w:r>
      <w:r w:rsidR="00D71A3A">
        <w:t>negative impact not only on access to goods, services and information, but also on the enjoyment of fundamental freedoms and entitlements, and on the di</w:t>
      </w:r>
      <w:r w:rsidR="00874845">
        <w:t>gnity and autonomy of individuals, in particular women</w:t>
      </w:r>
      <w:r w:rsidR="00B5129E">
        <w:rPr>
          <w:lang w:val="en-US"/>
        </w:rPr>
        <w:t xml:space="preserve"> (see A/66/254)</w:t>
      </w:r>
      <w:r w:rsidR="00D71A3A">
        <w:t>.</w:t>
      </w:r>
      <w:r w:rsidR="00F0518C">
        <w:t xml:space="preserve"> </w:t>
      </w:r>
    </w:p>
    <w:p w:rsidR="00971995" w:rsidRPr="00A04ABE" w:rsidRDefault="00166763" w:rsidP="00CB75BE">
      <w:pPr>
        <w:pStyle w:val="SingleTxtG"/>
        <w:numPr>
          <w:ilvl w:val="0"/>
          <w:numId w:val="45"/>
        </w:numPr>
        <w:ind w:left="1134" w:firstLine="0"/>
        <w:rPr>
          <w:lang w:val="en-GB"/>
        </w:rPr>
      </w:pPr>
      <w:r w:rsidRPr="00840D9F">
        <w:rPr>
          <w:lang w:val="en-GB"/>
        </w:rPr>
        <w:t>P</w:t>
      </w:r>
      <w:r>
        <w:rPr>
          <w:lang w:val="en-GB"/>
        </w:rPr>
        <w:t>revious</w:t>
      </w:r>
      <w:r w:rsidR="003576B3">
        <w:rPr>
          <w:lang w:val="en-GB"/>
        </w:rPr>
        <w:t xml:space="preserve"> mandate</w:t>
      </w:r>
      <w:r w:rsidR="00B5129E">
        <w:rPr>
          <w:lang w:val="en-GB"/>
        </w:rPr>
        <w:t xml:space="preserve"> holder</w:t>
      </w:r>
      <w:r>
        <w:rPr>
          <w:lang w:val="en-GB"/>
        </w:rPr>
        <w:t>s</w:t>
      </w:r>
      <w:r w:rsidR="003576B3">
        <w:rPr>
          <w:lang w:val="en-GB"/>
        </w:rPr>
        <w:t xml:space="preserve"> ha</w:t>
      </w:r>
      <w:r>
        <w:rPr>
          <w:lang w:val="en-GB"/>
        </w:rPr>
        <w:t>ve</w:t>
      </w:r>
      <w:r w:rsidR="00874845">
        <w:t xml:space="preserve"> </w:t>
      </w:r>
      <w:r w:rsidR="003576B3" w:rsidRPr="00B76FD9">
        <w:rPr>
          <w:lang w:val="en-GB"/>
        </w:rPr>
        <w:t>al</w:t>
      </w:r>
      <w:r w:rsidR="003576B3">
        <w:rPr>
          <w:lang w:val="en-GB"/>
        </w:rPr>
        <w:t xml:space="preserve">so </w:t>
      </w:r>
      <w:r w:rsidR="00874845">
        <w:t xml:space="preserve">looked into the </w:t>
      </w:r>
      <w:r w:rsidR="003576B3" w:rsidRPr="00B76FD9">
        <w:rPr>
          <w:lang w:val="en-GB"/>
        </w:rPr>
        <w:t>ne</w:t>
      </w:r>
      <w:r w:rsidR="003576B3">
        <w:rPr>
          <w:lang w:val="en-GB"/>
        </w:rPr>
        <w:t xml:space="preserve">gative impact of the </w:t>
      </w:r>
      <w:r w:rsidR="00874845">
        <w:t>criminali</w:t>
      </w:r>
      <w:r w:rsidR="00B5129E">
        <w:rPr>
          <w:lang w:val="en-US"/>
        </w:rPr>
        <w:t>z</w:t>
      </w:r>
      <w:r w:rsidR="00874845">
        <w:t>ation of consensual same-sex conduct, of</w:t>
      </w:r>
      <w:r w:rsidR="007C06CF" w:rsidRPr="007C06CF">
        <w:t xml:space="preserve"> sexual orientation and gender identity, of sex work and of HIV transmission</w:t>
      </w:r>
      <w:r w:rsidR="00B5129E">
        <w:rPr>
          <w:lang w:val="en-US"/>
        </w:rPr>
        <w:t xml:space="preserve"> (see A/HRC/14/20)</w:t>
      </w:r>
      <w:r w:rsidR="007C06CF" w:rsidRPr="007C06CF">
        <w:t xml:space="preserve">. </w:t>
      </w:r>
      <w:r w:rsidR="00B5129E">
        <w:rPr>
          <w:lang w:val="en-GB"/>
        </w:rPr>
        <w:t>Such work</w:t>
      </w:r>
      <w:r w:rsidR="00B5129E" w:rsidRPr="003D5ADC">
        <w:rPr>
          <w:lang w:val="en-GB"/>
        </w:rPr>
        <w:t xml:space="preserve"> </w:t>
      </w:r>
      <w:r w:rsidR="00971995" w:rsidRPr="003D5ADC">
        <w:rPr>
          <w:lang w:val="en-GB"/>
        </w:rPr>
        <w:t>has</w:t>
      </w:r>
      <w:r w:rsidR="00971995" w:rsidRPr="007C06CF">
        <w:t xml:space="preserve"> </w:t>
      </w:r>
      <w:r w:rsidR="007C06CF" w:rsidRPr="007C06CF">
        <w:t>show</w:t>
      </w:r>
      <w:r w:rsidR="00971995" w:rsidRPr="003D5ADC">
        <w:rPr>
          <w:lang w:val="en-GB"/>
        </w:rPr>
        <w:t>n</w:t>
      </w:r>
      <w:r w:rsidR="007C06CF" w:rsidRPr="007C06CF">
        <w:t xml:space="preserve"> that punitive policies and criminalization </w:t>
      </w:r>
      <w:r w:rsidR="00874845">
        <w:t xml:space="preserve">are not effective and </w:t>
      </w:r>
      <w:r w:rsidR="007C06CF" w:rsidRPr="007C06CF">
        <w:t xml:space="preserve">act as a barrier to access health services, fuel social stigma and exclusion and </w:t>
      </w:r>
      <w:r w:rsidR="006058E4">
        <w:t>lead to poor health outcomes.</w:t>
      </w:r>
    </w:p>
    <w:p w:rsidR="00402F9E" w:rsidRPr="008107F6" w:rsidRDefault="00E6504B" w:rsidP="00840D9F">
      <w:pPr>
        <w:pStyle w:val="SingleTxtG"/>
        <w:numPr>
          <w:ilvl w:val="0"/>
          <w:numId w:val="45"/>
        </w:numPr>
        <w:ind w:left="1134" w:firstLine="0"/>
      </w:pPr>
      <w:r w:rsidRPr="00E6504B">
        <w:t>On the issue of drug policy, t</w:t>
      </w:r>
      <w:r w:rsidR="00402F9E" w:rsidRPr="00E6504B">
        <w:t xml:space="preserve">he </w:t>
      </w:r>
      <w:r w:rsidR="003576B3" w:rsidRPr="00B76FD9">
        <w:rPr>
          <w:lang w:val="en-GB"/>
        </w:rPr>
        <w:t>w</w:t>
      </w:r>
      <w:r w:rsidR="003576B3">
        <w:rPr>
          <w:lang w:val="en-GB"/>
        </w:rPr>
        <w:t xml:space="preserve">ork of </w:t>
      </w:r>
      <w:r w:rsidR="00F2451F">
        <w:rPr>
          <w:lang w:val="en-GB"/>
        </w:rPr>
        <w:t xml:space="preserve">the Special Rapporteur’s </w:t>
      </w:r>
      <w:r w:rsidR="003576B3">
        <w:rPr>
          <w:lang w:val="en-GB"/>
        </w:rPr>
        <w:t xml:space="preserve">predecessors has shown that the </w:t>
      </w:r>
      <w:r w:rsidR="0087554E" w:rsidRPr="00E6504B">
        <w:t>current</w:t>
      </w:r>
      <w:r w:rsidR="00402F9E" w:rsidRPr="00E6504B">
        <w:t xml:space="preserve"> international system’s punitive regime</w:t>
      </w:r>
      <w:r w:rsidR="00F2451F">
        <w:rPr>
          <w:lang w:val="en-US"/>
        </w:rPr>
        <w:t>,</w:t>
      </w:r>
      <w:r w:rsidR="00402F9E" w:rsidRPr="00E6504B">
        <w:t xml:space="preserve"> </w:t>
      </w:r>
      <w:r w:rsidR="00F2451F">
        <w:rPr>
          <w:lang w:val="en-US"/>
        </w:rPr>
        <w:t>which</w:t>
      </w:r>
      <w:r w:rsidR="00F2451F" w:rsidRPr="00E6504B">
        <w:t xml:space="preserve"> </w:t>
      </w:r>
      <w:r w:rsidR="00402F9E" w:rsidRPr="00E6504B">
        <w:t>focuses on creating a drug-free world</w:t>
      </w:r>
      <w:r w:rsidR="00F2451F">
        <w:rPr>
          <w:lang w:val="en-US"/>
        </w:rPr>
        <w:t>,</w:t>
      </w:r>
      <w:r w:rsidR="00402F9E" w:rsidRPr="00E6504B">
        <w:t xml:space="preserve"> has failed </w:t>
      </w:r>
      <w:r w:rsidRPr="00E6504B">
        <w:t xml:space="preserve">mostly </w:t>
      </w:r>
      <w:r w:rsidR="00B5129E">
        <w:rPr>
          <w:lang w:val="en-US"/>
        </w:rPr>
        <w:t>owing</w:t>
      </w:r>
      <w:r w:rsidR="00B5129E" w:rsidRPr="00E6504B">
        <w:t xml:space="preserve"> </w:t>
      </w:r>
      <w:r w:rsidR="00402F9E" w:rsidRPr="00E6504B">
        <w:t>to ignorance of the realities surrounding drug use an</w:t>
      </w:r>
      <w:r w:rsidRPr="00E6504B">
        <w:t>d</w:t>
      </w:r>
      <w:r w:rsidR="00402F9E" w:rsidRPr="00E6504B">
        <w:t xml:space="preserve"> dependence</w:t>
      </w:r>
      <w:r w:rsidR="00B5129E">
        <w:rPr>
          <w:lang w:val="en-US"/>
        </w:rPr>
        <w:t xml:space="preserve"> (see A/65/255)</w:t>
      </w:r>
      <w:r w:rsidR="00402F9E" w:rsidRPr="00E6504B">
        <w:t>.</w:t>
      </w:r>
      <w:r w:rsidR="00813F20">
        <w:t xml:space="preserve"> </w:t>
      </w:r>
      <w:r w:rsidR="002C44A3" w:rsidRPr="008107F6">
        <w:rPr>
          <w:lang w:val="en-GB"/>
        </w:rPr>
        <w:t>T</w:t>
      </w:r>
      <w:r w:rsidR="002C44A3" w:rsidRPr="008107F6">
        <w:t>here</w:t>
      </w:r>
      <w:r w:rsidR="002C44A3" w:rsidRPr="00C15B6E">
        <w:t xml:space="preserve"> is a need for a shift in </w:t>
      </w:r>
      <w:r w:rsidR="00F2451F">
        <w:rPr>
          <w:lang w:val="en-US"/>
        </w:rPr>
        <w:t xml:space="preserve">the </w:t>
      </w:r>
      <w:r w:rsidR="002C44A3" w:rsidRPr="00C15B6E">
        <w:t>current drug control regime away from substance-oriented policies and an increased focus on human rights.</w:t>
      </w:r>
      <w:r w:rsidR="002C44A3" w:rsidRPr="00C15B6E">
        <w:rPr>
          <w:lang w:val="en-GB"/>
        </w:rPr>
        <w:t xml:space="preserve"> </w:t>
      </w:r>
      <w:r>
        <w:t>E</w:t>
      </w:r>
      <w:r w:rsidRPr="00E6504B">
        <w:t xml:space="preserve">vidence has shown that </w:t>
      </w:r>
      <w:r>
        <w:t xml:space="preserve">the </w:t>
      </w:r>
      <w:r w:rsidR="00402F9E" w:rsidRPr="00E6504B">
        <w:t>criminali</w:t>
      </w:r>
      <w:r w:rsidR="00B5129E">
        <w:rPr>
          <w:lang w:val="en-US"/>
        </w:rPr>
        <w:t>z</w:t>
      </w:r>
      <w:r w:rsidR="00402F9E" w:rsidRPr="00E6504B">
        <w:t xml:space="preserve">ation </w:t>
      </w:r>
      <w:r w:rsidRPr="00E6504B">
        <w:t>of certain behaviours leads to a</w:t>
      </w:r>
      <w:r w:rsidR="00402F9E" w:rsidRPr="00E6504B">
        <w:t xml:space="preserve"> reluctance </w:t>
      </w:r>
      <w:r w:rsidR="00F2451F">
        <w:rPr>
          <w:lang w:val="en-US"/>
        </w:rPr>
        <w:t>to</w:t>
      </w:r>
      <w:r w:rsidR="00F2451F" w:rsidRPr="00E6504B">
        <w:t xml:space="preserve"> </w:t>
      </w:r>
      <w:r w:rsidR="00402F9E" w:rsidRPr="00E6504B">
        <w:t>seek help</w:t>
      </w:r>
      <w:r w:rsidRPr="00E6504B">
        <w:t>, including health-related services</w:t>
      </w:r>
      <w:r w:rsidR="003576B3" w:rsidRPr="00B76FD9">
        <w:rPr>
          <w:lang w:val="en-GB"/>
        </w:rPr>
        <w:t>, and this should be a concern to the authorities</w:t>
      </w:r>
      <w:r w:rsidR="00402F9E" w:rsidRPr="00E6504B">
        <w:t xml:space="preserve">. </w:t>
      </w:r>
      <w:r w:rsidR="003576B3" w:rsidRPr="00B76FD9">
        <w:t xml:space="preserve">Pursuing overly punitive approaches has resulted in more health-related harms than those </w:t>
      </w:r>
      <w:r w:rsidR="00B5129E">
        <w:rPr>
          <w:lang w:val="en-US"/>
        </w:rPr>
        <w:t>the authorities</w:t>
      </w:r>
      <w:r w:rsidR="00B5129E" w:rsidRPr="00B76FD9">
        <w:t xml:space="preserve"> </w:t>
      </w:r>
      <w:r w:rsidR="003576B3" w:rsidRPr="00B76FD9">
        <w:t>seek to prevent.</w:t>
      </w:r>
    </w:p>
    <w:p w:rsidR="00457EC5" w:rsidRDefault="00990673" w:rsidP="00CB75BE">
      <w:pPr>
        <w:pStyle w:val="SingleTxtG"/>
        <w:numPr>
          <w:ilvl w:val="0"/>
          <w:numId w:val="45"/>
        </w:numPr>
        <w:ind w:left="1134" w:firstLine="0"/>
      </w:pPr>
      <w:r w:rsidRPr="00834AF7">
        <w:rPr>
          <w:lang w:val="en-GB"/>
        </w:rPr>
        <w:t>The important</w:t>
      </w:r>
      <w:r>
        <w:rPr>
          <w:lang w:val="en-GB"/>
        </w:rPr>
        <w:t xml:space="preserve"> </w:t>
      </w:r>
      <w:r w:rsidRPr="003D5ADC">
        <w:rPr>
          <w:lang w:val="en-GB"/>
        </w:rPr>
        <w:t>issue of a</w:t>
      </w:r>
      <w:r w:rsidR="00457EC5">
        <w:t xml:space="preserve">ccess to medicines </w:t>
      </w:r>
      <w:r w:rsidRPr="00990673">
        <w:rPr>
          <w:lang w:val="en-GB"/>
        </w:rPr>
        <w:t xml:space="preserve">has also been </w:t>
      </w:r>
      <w:r w:rsidRPr="003D5ADC">
        <w:rPr>
          <w:lang w:val="en-GB"/>
        </w:rPr>
        <w:t xml:space="preserve">part of the work of the mandate. </w:t>
      </w:r>
      <w:r w:rsidR="000E1C9B">
        <w:t xml:space="preserve">Medical care in the event of sickness </w:t>
      </w:r>
      <w:r w:rsidR="001368C6">
        <w:rPr>
          <w:lang w:val="en-US"/>
        </w:rPr>
        <w:t>and</w:t>
      </w:r>
      <w:r w:rsidR="000E1C9B">
        <w:t xml:space="preserve"> the prevention, treatment and control of diseases </w:t>
      </w:r>
      <w:r w:rsidR="001368C6">
        <w:t xml:space="preserve">depend </w:t>
      </w:r>
      <w:r w:rsidR="0087554E" w:rsidRPr="00EA09C4">
        <w:rPr>
          <w:lang w:val="en-GB"/>
        </w:rPr>
        <w:t xml:space="preserve">to a great extent </w:t>
      </w:r>
      <w:r w:rsidR="000E1C9B">
        <w:t>on timely access to quality medicines.</w:t>
      </w:r>
      <w:r w:rsidR="000E1C9B" w:rsidRPr="003D5ADC">
        <w:rPr>
          <w:lang w:val="en-GB"/>
        </w:rPr>
        <w:t xml:space="preserve"> </w:t>
      </w:r>
      <w:r w:rsidR="000E1C9B">
        <w:rPr>
          <w:lang w:val="en-GB"/>
        </w:rPr>
        <w:t xml:space="preserve">Despite progress made, </w:t>
      </w:r>
      <w:r w:rsidR="000E1C9B">
        <w:t xml:space="preserve">an estimated 2 billion people </w:t>
      </w:r>
      <w:r w:rsidR="001368C6">
        <w:rPr>
          <w:lang w:val="en-US"/>
        </w:rPr>
        <w:t xml:space="preserve">still </w:t>
      </w:r>
      <w:r w:rsidR="000E1C9B" w:rsidRPr="003D5ADC">
        <w:rPr>
          <w:lang w:val="en-GB"/>
        </w:rPr>
        <w:t>lack access to essential medicines</w:t>
      </w:r>
      <w:r w:rsidR="000E1C9B">
        <w:rPr>
          <w:lang w:val="en-GB"/>
        </w:rPr>
        <w:t>.</w:t>
      </w:r>
      <w:r w:rsidR="000E1C9B" w:rsidRPr="000E1C9B">
        <w:t xml:space="preserve"> </w:t>
      </w:r>
      <w:r w:rsidR="000E1C9B">
        <w:t>There remains an intrinsic link between poverty and the reali</w:t>
      </w:r>
      <w:r w:rsidR="001368C6">
        <w:rPr>
          <w:lang w:val="en-US"/>
        </w:rPr>
        <w:t>z</w:t>
      </w:r>
      <w:r w:rsidR="000E1C9B">
        <w:t xml:space="preserve">ation of the right </w:t>
      </w:r>
      <w:r w:rsidR="000E1C9B" w:rsidRPr="00496752">
        <w:rPr>
          <w:lang w:val="en-GB"/>
        </w:rPr>
        <w:t xml:space="preserve">to </w:t>
      </w:r>
      <w:r w:rsidR="000E1C9B">
        <w:t>health, where developing nations have the greatest need and</w:t>
      </w:r>
      <w:r w:rsidR="00F2451F">
        <w:rPr>
          <w:lang w:val="en-US"/>
        </w:rPr>
        <w:t xml:space="preserve"> the</w:t>
      </w:r>
      <w:r w:rsidR="000E1C9B">
        <w:t xml:space="preserve"> least access to medicines.</w:t>
      </w:r>
      <w:r w:rsidR="000E1C9B" w:rsidRPr="003D5ADC">
        <w:rPr>
          <w:lang w:val="en-GB"/>
        </w:rPr>
        <w:t xml:space="preserve"> </w:t>
      </w:r>
      <w:r w:rsidR="000124FC">
        <w:rPr>
          <w:lang w:val="en-GB"/>
        </w:rPr>
        <w:t>Previous mandate</w:t>
      </w:r>
      <w:r w:rsidR="001368C6">
        <w:rPr>
          <w:lang w:val="en-GB"/>
        </w:rPr>
        <w:t xml:space="preserve"> </w:t>
      </w:r>
      <w:r w:rsidR="000124FC">
        <w:rPr>
          <w:lang w:val="en-GB"/>
        </w:rPr>
        <w:t>holders, including Anand Grover,</w:t>
      </w:r>
      <w:r w:rsidR="000E1C9B" w:rsidRPr="003D5ADC">
        <w:rPr>
          <w:lang w:val="en-GB"/>
        </w:rPr>
        <w:t xml:space="preserve"> have </w:t>
      </w:r>
      <w:r w:rsidR="00D4753E">
        <w:rPr>
          <w:lang w:val="en-GB"/>
        </w:rPr>
        <w:t>given details of</w:t>
      </w:r>
      <w:r w:rsidR="00D4753E" w:rsidRPr="000E1C9B">
        <w:rPr>
          <w:lang w:val="en-GB"/>
        </w:rPr>
        <w:t xml:space="preserve"> </w:t>
      </w:r>
      <w:r w:rsidR="000E1C9B">
        <w:rPr>
          <w:lang w:val="en-GB"/>
        </w:rPr>
        <w:t>the different</w:t>
      </w:r>
      <w:r w:rsidR="000E1C9B" w:rsidRPr="003D5ADC">
        <w:rPr>
          <w:lang w:val="en-GB"/>
        </w:rPr>
        <w:t xml:space="preserve"> dimensions </w:t>
      </w:r>
      <w:r w:rsidR="000E1C9B">
        <w:rPr>
          <w:lang w:val="en-GB"/>
        </w:rPr>
        <w:t>of the issues</w:t>
      </w:r>
      <w:r w:rsidR="00D4753E">
        <w:rPr>
          <w:lang w:val="en-GB"/>
        </w:rPr>
        <w:t>,</w:t>
      </w:r>
      <w:r w:rsidR="000E1C9B">
        <w:rPr>
          <w:lang w:val="en-GB"/>
        </w:rPr>
        <w:t xml:space="preserve"> such as</w:t>
      </w:r>
      <w:r w:rsidR="00D4753E">
        <w:rPr>
          <w:lang w:val="en-GB"/>
        </w:rPr>
        <w:t>:</w:t>
      </w:r>
      <w:r w:rsidR="000E1C9B" w:rsidRPr="003D5ADC">
        <w:rPr>
          <w:lang w:val="en-GB"/>
        </w:rPr>
        <w:t xml:space="preserve"> the </w:t>
      </w:r>
      <w:r w:rsidR="000E1C9B">
        <w:rPr>
          <w:lang w:val="en-GB"/>
        </w:rPr>
        <w:t>role and responsibilities of pharmaceutical companies; the impact of intellectual property laws and free-trade agreements; and the implications and elements of a right-t</w:t>
      </w:r>
      <w:r w:rsidR="00E963F8">
        <w:rPr>
          <w:lang w:val="en-GB"/>
        </w:rPr>
        <w:t>o</w:t>
      </w:r>
      <w:r w:rsidR="000E1C9B">
        <w:rPr>
          <w:lang w:val="en-GB"/>
        </w:rPr>
        <w:t>-health approach to access to medicines</w:t>
      </w:r>
      <w:r w:rsidR="00D4753E">
        <w:rPr>
          <w:lang w:val="en-GB"/>
        </w:rPr>
        <w:t xml:space="preserve"> (see A/63/263, A/HRC/17/43 and A/HRC/23/42)</w:t>
      </w:r>
      <w:r w:rsidR="000E1C9B">
        <w:rPr>
          <w:lang w:val="en-GB"/>
        </w:rPr>
        <w:t xml:space="preserve">. </w:t>
      </w:r>
    </w:p>
    <w:p w:rsidR="00402F9E" w:rsidRPr="003D5ADC" w:rsidRDefault="007D4AAA" w:rsidP="00CB75BE">
      <w:pPr>
        <w:pStyle w:val="SingleTxtG"/>
        <w:numPr>
          <w:ilvl w:val="0"/>
          <w:numId w:val="45"/>
        </w:numPr>
        <w:ind w:left="1134" w:firstLine="0"/>
      </w:pPr>
      <w:r w:rsidRPr="003D5ADC">
        <w:rPr>
          <w:lang w:val="en-GB"/>
        </w:rPr>
        <w:t xml:space="preserve">During the past </w:t>
      </w:r>
      <w:r w:rsidR="00D4753E">
        <w:rPr>
          <w:lang w:val="en-GB"/>
        </w:rPr>
        <w:t>12</w:t>
      </w:r>
      <w:r w:rsidR="00D4753E" w:rsidRPr="003D5ADC">
        <w:rPr>
          <w:lang w:val="en-GB"/>
        </w:rPr>
        <w:t xml:space="preserve"> </w:t>
      </w:r>
      <w:r w:rsidRPr="003D5ADC">
        <w:rPr>
          <w:lang w:val="en-GB"/>
        </w:rPr>
        <w:t>years, t</w:t>
      </w:r>
      <w:r w:rsidR="00990673" w:rsidRPr="003D5ADC">
        <w:rPr>
          <w:lang w:val="en-GB"/>
        </w:rPr>
        <w:t>he work of the mandate has also</w:t>
      </w:r>
      <w:r w:rsidR="00402F9E" w:rsidRPr="003D5ADC">
        <w:t xml:space="preserve"> paid special attention to </w:t>
      </w:r>
      <w:r w:rsidR="00D4753E">
        <w:rPr>
          <w:lang w:val="en-US"/>
        </w:rPr>
        <w:t xml:space="preserve">two </w:t>
      </w:r>
      <w:r w:rsidR="003576B3" w:rsidRPr="00B76FD9">
        <w:rPr>
          <w:lang w:val="en-GB"/>
        </w:rPr>
        <w:t xml:space="preserve">other </w:t>
      </w:r>
      <w:r w:rsidR="00402F9E" w:rsidRPr="003D5ADC">
        <w:t>key element</w:t>
      </w:r>
      <w:r w:rsidR="00990673" w:rsidRPr="003D5ADC">
        <w:rPr>
          <w:lang w:val="en-GB"/>
        </w:rPr>
        <w:t>s</w:t>
      </w:r>
      <w:r w:rsidR="00402F9E" w:rsidRPr="003D5ADC">
        <w:t xml:space="preserve"> of the analytical </w:t>
      </w:r>
      <w:r w:rsidR="000E1C9B" w:rsidRPr="003D5ADC">
        <w:rPr>
          <w:lang w:val="en-GB"/>
        </w:rPr>
        <w:t xml:space="preserve">right-to-health </w:t>
      </w:r>
      <w:r w:rsidR="00402F9E" w:rsidRPr="003D5ADC">
        <w:t>framework</w:t>
      </w:r>
      <w:r w:rsidR="00D4753E">
        <w:rPr>
          <w:lang w:val="en-GB"/>
        </w:rPr>
        <w:t>:</w:t>
      </w:r>
      <w:r w:rsidR="00402F9E" w:rsidRPr="003D5ADC">
        <w:t xml:space="preserve"> monitoring and accountability.</w:t>
      </w:r>
      <w:r w:rsidR="00816C5A" w:rsidRPr="003D5ADC">
        <w:t xml:space="preserve"> </w:t>
      </w:r>
      <w:r w:rsidR="00402F9E" w:rsidRPr="003D5ADC">
        <w:t xml:space="preserve">Without monitoring and accountability, all </w:t>
      </w:r>
      <w:r w:rsidRPr="003D5ADC">
        <w:rPr>
          <w:lang w:val="en-GB"/>
        </w:rPr>
        <w:t xml:space="preserve">human rights </w:t>
      </w:r>
      <w:r w:rsidR="00402F9E" w:rsidRPr="003D5ADC">
        <w:t>norms and obligations are likely to become empty promises</w:t>
      </w:r>
      <w:r w:rsidRPr="003D5ADC">
        <w:rPr>
          <w:lang w:val="en-GB"/>
        </w:rPr>
        <w:t>.</w:t>
      </w:r>
      <w:r w:rsidRPr="007D4AAA">
        <w:rPr>
          <w:lang w:val="en-GB"/>
        </w:rPr>
        <w:t xml:space="preserve"> </w:t>
      </w:r>
      <w:r>
        <w:rPr>
          <w:lang w:val="en-GB"/>
        </w:rPr>
        <w:t xml:space="preserve">Accountability in respect of the right to health and </w:t>
      </w:r>
      <w:r w:rsidR="00D4753E">
        <w:rPr>
          <w:lang w:val="en-GB"/>
        </w:rPr>
        <w:t xml:space="preserve">a </w:t>
      </w:r>
      <w:r>
        <w:rPr>
          <w:lang w:val="en-GB"/>
        </w:rPr>
        <w:t>health system is often quite weak</w:t>
      </w:r>
      <w:r w:rsidR="00D4753E">
        <w:rPr>
          <w:lang w:val="en-GB"/>
        </w:rPr>
        <w:t xml:space="preserve"> (see A/63/263)</w:t>
      </w:r>
      <w:r>
        <w:rPr>
          <w:lang w:val="en-GB"/>
        </w:rPr>
        <w:t>.</w:t>
      </w:r>
      <w:r w:rsidR="00B514BB" w:rsidRPr="003D5ADC">
        <w:rPr>
          <w:lang w:val="en-GB"/>
        </w:rPr>
        <w:t xml:space="preserve"> </w:t>
      </w:r>
      <w:r w:rsidR="00C625BF">
        <w:rPr>
          <w:lang w:val="en-GB"/>
        </w:rPr>
        <w:t xml:space="preserve">Judicial accountability has been </w:t>
      </w:r>
      <w:r w:rsidR="006B7EFD">
        <w:rPr>
          <w:lang w:val="en-GB"/>
        </w:rPr>
        <w:t xml:space="preserve">highlighted </w:t>
      </w:r>
      <w:r w:rsidR="00E2782E">
        <w:rPr>
          <w:lang w:val="en-GB"/>
        </w:rPr>
        <w:t>by the work of the mandate</w:t>
      </w:r>
      <w:r w:rsidR="00D4753E">
        <w:rPr>
          <w:lang w:val="en-GB"/>
        </w:rPr>
        <w:t xml:space="preserve"> (see A/69/299)</w:t>
      </w:r>
      <w:r w:rsidR="00C625BF">
        <w:rPr>
          <w:lang w:val="en-GB"/>
        </w:rPr>
        <w:t xml:space="preserve"> but other forms of accountability, such as health impact assessments, have </w:t>
      </w:r>
      <w:r w:rsidR="006B7EFD">
        <w:rPr>
          <w:lang w:val="en-GB"/>
        </w:rPr>
        <w:t xml:space="preserve">also </w:t>
      </w:r>
      <w:r w:rsidR="00B253EB">
        <w:rPr>
          <w:lang w:val="en-GB"/>
        </w:rPr>
        <w:t xml:space="preserve">been </w:t>
      </w:r>
      <w:r w:rsidR="006B7EFD">
        <w:rPr>
          <w:lang w:val="en-GB"/>
        </w:rPr>
        <w:t>addressed</w:t>
      </w:r>
      <w:r w:rsidR="00C625BF">
        <w:rPr>
          <w:lang w:val="en-GB"/>
        </w:rPr>
        <w:t>, including during country visits</w:t>
      </w:r>
      <w:r w:rsidR="006C61C2">
        <w:rPr>
          <w:lang w:val="en-GB"/>
        </w:rPr>
        <w:t xml:space="preserve"> (Romania, Sweden and Uganda)</w:t>
      </w:r>
      <w:r w:rsidR="00E924AC">
        <w:rPr>
          <w:lang w:val="en-GB"/>
        </w:rPr>
        <w:t>.</w:t>
      </w:r>
    </w:p>
    <w:p w:rsidR="002A6BD7" w:rsidRPr="003237DD" w:rsidRDefault="007D4AAA" w:rsidP="00840D9F">
      <w:pPr>
        <w:pStyle w:val="SingleTxtG"/>
        <w:numPr>
          <w:ilvl w:val="0"/>
          <w:numId w:val="45"/>
        </w:numPr>
        <w:ind w:left="1134" w:firstLine="0"/>
      </w:pPr>
      <w:r>
        <w:t xml:space="preserve">Other thematic reports have explored the enjoyment of the right to health </w:t>
      </w:r>
      <w:r w:rsidRPr="003237DD">
        <w:t xml:space="preserve">and the underlying determinants, including water and sanitation, occupational health, </w:t>
      </w:r>
      <w:r w:rsidR="007808D0">
        <w:rPr>
          <w:lang w:val="en-US"/>
        </w:rPr>
        <w:t xml:space="preserve">the </w:t>
      </w:r>
      <w:r w:rsidRPr="003237DD">
        <w:t>right to health in conflict</w:t>
      </w:r>
      <w:r w:rsidR="007808D0">
        <w:rPr>
          <w:lang w:val="en-US"/>
        </w:rPr>
        <w:t>,</w:t>
      </w:r>
      <w:r w:rsidRPr="003237DD">
        <w:t xml:space="preserve"> unhealthy foods</w:t>
      </w:r>
      <w:r w:rsidR="00197B59" w:rsidRPr="008A0770">
        <w:rPr>
          <w:lang w:val="en-GB"/>
        </w:rPr>
        <w:t>,</w:t>
      </w:r>
      <w:r w:rsidR="007808D0">
        <w:rPr>
          <w:lang w:val="en-GB"/>
        </w:rPr>
        <w:t xml:space="preserve"> and</w:t>
      </w:r>
      <w:r w:rsidR="002C44A3" w:rsidRPr="003237DD">
        <w:t xml:space="preserve"> </w:t>
      </w:r>
      <w:r w:rsidRPr="003237DD">
        <w:t xml:space="preserve">the right to health </w:t>
      </w:r>
      <w:r>
        <w:t>of</w:t>
      </w:r>
      <w:r w:rsidRPr="00402F9E">
        <w:t xml:space="preserve"> migrants, </w:t>
      </w:r>
      <w:r>
        <w:t>older persons</w:t>
      </w:r>
      <w:r w:rsidR="00C625BF" w:rsidRPr="003D5ADC">
        <w:rPr>
          <w:lang w:val="en-GB"/>
        </w:rPr>
        <w:t xml:space="preserve"> and persons with psychosocial disabilities </w:t>
      </w:r>
      <w:r w:rsidR="007808D0">
        <w:rPr>
          <w:lang w:val="en-GB"/>
        </w:rPr>
        <w:t>(</w:t>
      </w:r>
      <w:r w:rsidR="00C625BF" w:rsidRPr="003D5ADC">
        <w:rPr>
          <w:lang w:val="en-GB"/>
        </w:rPr>
        <w:t>including the</w:t>
      </w:r>
      <w:r w:rsidR="006058E4">
        <w:rPr>
          <w:lang w:val="en-GB"/>
        </w:rPr>
        <w:t xml:space="preserve"> key issue of informed consent</w:t>
      </w:r>
      <w:r w:rsidR="007808D0">
        <w:rPr>
          <w:lang w:val="en-GB"/>
        </w:rPr>
        <w:t>)</w:t>
      </w:r>
      <w:r w:rsidR="006058E4">
        <w:rPr>
          <w:lang w:val="en-GB"/>
        </w:rPr>
        <w:t>.</w:t>
      </w:r>
    </w:p>
    <w:p w:rsidR="002A6BD7" w:rsidRPr="00EA09C4" w:rsidRDefault="003576B3" w:rsidP="00D05FE0">
      <w:pPr>
        <w:pStyle w:val="SingleTxtG"/>
        <w:numPr>
          <w:ilvl w:val="0"/>
          <w:numId w:val="45"/>
        </w:numPr>
        <w:ind w:left="1134" w:firstLine="0"/>
        <w:rPr>
          <w:lang w:val="en-GB"/>
        </w:rPr>
      </w:pPr>
      <w:r w:rsidRPr="00E0722D">
        <w:rPr>
          <w:lang w:val="en-GB"/>
        </w:rPr>
        <w:t>The Special Rapporteur concurs with his predecessors that a</w:t>
      </w:r>
      <w:r w:rsidRPr="007C06CF">
        <w:t xml:space="preserve"> comprehensive right-to-health approach</w:t>
      </w:r>
      <w:r>
        <w:t xml:space="preserve"> is necessary</w:t>
      </w:r>
      <w:r w:rsidR="00130331" w:rsidRPr="00B76FD9">
        <w:rPr>
          <w:lang w:val="en-GB"/>
        </w:rPr>
        <w:t>,</w:t>
      </w:r>
      <w:r>
        <w:t xml:space="preserve"> </w:t>
      </w:r>
      <w:r w:rsidRPr="00E0722D">
        <w:rPr>
          <w:lang w:val="en-GB"/>
        </w:rPr>
        <w:t>which</w:t>
      </w:r>
      <w:r>
        <w:t xml:space="preserve"> includes decriminali</w:t>
      </w:r>
      <w:r w:rsidR="006C61C2">
        <w:rPr>
          <w:lang w:val="en-US"/>
        </w:rPr>
        <w:t>z</w:t>
      </w:r>
      <w:r>
        <w:t xml:space="preserve">ation </w:t>
      </w:r>
      <w:r w:rsidR="00130331">
        <w:t xml:space="preserve">of </w:t>
      </w:r>
      <w:r w:rsidR="00E2782E">
        <w:rPr>
          <w:lang w:val="en-US"/>
        </w:rPr>
        <w:t>sexual orientation and gender</w:t>
      </w:r>
      <w:r w:rsidR="00E963F8">
        <w:rPr>
          <w:lang w:val="en-US"/>
        </w:rPr>
        <w:t xml:space="preserve"> </w:t>
      </w:r>
      <w:r w:rsidR="00130331">
        <w:t xml:space="preserve">identities, </w:t>
      </w:r>
      <w:r w:rsidR="00E2782E" w:rsidRPr="00EA09C4">
        <w:rPr>
          <w:lang w:val="en-GB"/>
        </w:rPr>
        <w:t xml:space="preserve">certain </w:t>
      </w:r>
      <w:r w:rsidR="00130331">
        <w:t>behaviours and health status</w:t>
      </w:r>
      <w:r w:rsidR="00130331" w:rsidRPr="00B76FD9">
        <w:rPr>
          <w:lang w:val="en-GB"/>
        </w:rPr>
        <w:t>,</w:t>
      </w:r>
      <w:r w:rsidR="00130331">
        <w:t xml:space="preserve"> </w:t>
      </w:r>
      <w:r w:rsidR="00130331" w:rsidRPr="00B76FD9">
        <w:rPr>
          <w:lang w:val="en-GB"/>
        </w:rPr>
        <w:t>as well as</w:t>
      </w:r>
      <w:r>
        <w:t xml:space="preserve"> the establishment of conducive legal and administrative frameworks with emphasis on</w:t>
      </w:r>
      <w:r w:rsidRPr="007C06CF">
        <w:t xml:space="preserve"> human rights education, </w:t>
      </w:r>
      <w:r w:rsidR="00130331" w:rsidRPr="00B76FD9">
        <w:rPr>
          <w:lang w:val="en-GB"/>
        </w:rPr>
        <w:t xml:space="preserve">meaningful </w:t>
      </w:r>
      <w:r w:rsidRPr="007C06CF">
        <w:t xml:space="preserve">participation </w:t>
      </w:r>
      <w:r w:rsidR="00130331" w:rsidRPr="00B76FD9">
        <w:rPr>
          <w:lang w:val="en-GB"/>
        </w:rPr>
        <w:t xml:space="preserve">and empowerment </w:t>
      </w:r>
      <w:r w:rsidRPr="007C06CF">
        <w:t xml:space="preserve">of </w:t>
      </w:r>
      <w:r>
        <w:t xml:space="preserve">the </w:t>
      </w:r>
      <w:r w:rsidRPr="007C06CF">
        <w:t xml:space="preserve">groups targeted, and </w:t>
      </w:r>
      <w:r>
        <w:t xml:space="preserve">serious </w:t>
      </w:r>
      <w:r w:rsidRPr="007C06CF">
        <w:t>efforts to reduce stigma and discrimination in society as a whole.</w:t>
      </w:r>
      <w:r>
        <w:t xml:space="preserve"> </w:t>
      </w:r>
    </w:p>
    <w:p w:rsidR="00A328A5" w:rsidRPr="0073018A" w:rsidRDefault="00B25CF4" w:rsidP="00B25CF4">
      <w:pPr>
        <w:pStyle w:val="HChG"/>
      </w:pPr>
      <w:r>
        <w:rPr>
          <w:sz w:val="32"/>
          <w:szCs w:val="32"/>
        </w:rPr>
        <w:tab/>
      </w:r>
      <w:r w:rsidRPr="00B25CF4">
        <w:rPr>
          <w:szCs w:val="28"/>
        </w:rPr>
        <w:t>IV</w:t>
      </w:r>
      <w:r>
        <w:rPr>
          <w:sz w:val="32"/>
          <w:szCs w:val="32"/>
        </w:rPr>
        <w:t>.</w:t>
      </w:r>
      <w:r>
        <w:rPr>
          <w:sz w:val="32"/>
          <w:szCs w:val="32"/>
        </w:rPr>
        <w:tab/>
      </w:r>
      <w:r w:rsidR="002A6BD7" w:rsidRPr="005C28B7">
        <w:t xml:space="preserve">The way forward: </w:t>
      </w:r>
      <w:r w:rsidR="00457EC5">
        <w:t>context,</w:t>
      </w:r>
      <w:r w:rsidR="002A6BD7" w:rsidRPr="005C28B7">
        <w:t xml:space="preserve"> challenges</w:t>
      </w:r>
      <w:r w:rsidR="0073018A">
        <w:t xml:space="preserve"> and opportunities</w:t>
      </w:r>
    </w:p>
    <w:p w:rsidR="002D4424" w:rsidRDefault="00B347BB" w:rsidP="00D05FE0">
      <w:pPr>
        <w:pStyle w:val="SingleTxtG"/>
        <w:numPr>
          <w:ilvl w:val="0"/>
          <w:numId w:val="45"/>
        </w:numPr>
        <w:ind w:left="1134" w:firstLine="0"/>
        <w:rPr>
          <w:lang w:val="en-GB"/>
        </w:rPr>
      </w:pPr>
      <w:r w:rsidRPr="00B76FD9">
        <w:t>In the words of Jonathan Mann “the human rights framework provides a more useful approach for analysing and responding to modern public health challenges than any framework thus far available with the biomedical tradition”</w:t>
      </w:r>
      <w:r w:rsidR="00BC0818" w:rsidRPr="00B76FD9">
        <w:rPr>
          <w:lang w:val="en-GB"/>
        </w:rPr>
        <w:t>.</w:t>
      </w:r>
      <w:r w:rsidR="00BC0818">
        <w:rPr>
          <w:rStyle w:val="FootnoteReference"/>
          <w:lang w:val="en-GB"/>
        </w:rPr>
        <w:footnoteReference w:id="3"/>
      </w:r>
      <w:r w:rsidR="00813F20">
        <w:rPr>
          <w:lang w:val="en-GB"/>
        </w:rPr>
        <w:t xml:space="preserve"> </w:t>
      </w:r>
      <w:r w:rsidR="00457EC5">
        <w:t>The Special Rapporteur</w:t>
      </w:r>
      <w:r w:rsidR="002A6BD7" w:rsidRPr="002A6BD7">
        <w:t xml:space="preserve"> will address </w:t>
      </w:r>
      <w:r w:rsidR="00457EC5">
        <w:t xml:space="preserve">the </w:t>
      </w:r>
      <w:r w:rsidR="002A6BD7" w:rsidRPr="002A6BD7">
        <w:t xml:space="preserve">most important issues related to </w:t>
      </w:r>
      <w:r w:rsidR="002D4424" w:rsidRPr="00EA09C4">
        <w:rPr>
          <w:lang w:val="en-GB"/>
        </w:rPr>
        <w:t>the discha</w:t>
      </w:r>
      <w:r w:rsidR="002D4424">
        <w:rPr>
          <w:lang w:val="en-GB"/>
        </w:rPr>
        <w:t>r</w:t>
      </w:r>
      <w:r w:rsidR="002D4424" w:rsidRPr="00EA09C4">
        <w:rPr>
          <w:lang w:val="en-GB"/>
        </w:rPr>
        <w:t xml:space="preserve">ge of </w:t>
      </w:r>
      <w:r w:rsidR="002A6BD7" w:rsidRPr="002A6BD7">
        <w:t xml:space="preserve">his mandate </w:t>
      </w:r>
      <w:r w:rsidR="00E2782E" w:rsidRPr="00EA09C4">
        <w:rPr>
          <w:lang w:val="en-GB"/>
        </w:rPr>
        <w:t>with th</w:t>
      </w:r>
      <w:r w:rsidR="006C61C2">
        <w:rPr>
          <w:lang w:val="en-GB"/>
        </w:rPr>
        <w:t>at</w:t>
      </w:r>
      <w:r w:rsidR="00E2782E" w:rsidRPr="00EA09C4">
        <w:rPr>
          <w:lang w:val="en-GB"/>
        </w:rPr>
        <w:t xml:space="preserve"> in mind</w:t>
      </w:r>
      <w:r w:rsidR="00457EC5" w:rsidRPr="00E0722D">
        <w:t>.</w:t>
      </w:r>
      <w:r w:rsidR="00813F20">
        <w:t xml:space="preserve"> </w:t>
      </w:r>
    </w:p>
    <w:p w:rsidR="00B57080" w:rsidRDefault="00E2782E" w:rsidP="00D05FE0">
      <w:pPr>
        <w:pStyle w:val="SingleTxtG"/>
        <w:numPr>
          <w:ilvl w:val="0"/>
          <w:numId w:val="45"/>
        </w:numPr>
        <w:ind w:left="1134" w:firstLine="0"/>
      </w:pPr>
      <w:r>
        <w:rPr>
          <w:lang w:val="en-GB"/>
        </w:rPr>
        <w:t>T</w:t>
      </w:r>
      <w:r w:rsidR="002C44A3" w:rsidRPr="00B76FD9">
        <w:rPr>
          <w:lang w:val="en-GB"/>
        </w:rPr>
        <w:t xml:space="preserve">he </w:t>
      </w:r>
      <w:r w:rsidR="002A6BD7" w:rsidRPr="002A6BD7">
        <w:t>right of everyone</w:t>
      </w:r>
      <w:r w:rsidR="00457EC5">
        <w:t xml:space="preserve"> to physical and mental health </w:t>
      </w:r>
      <w:r w:rsidR="002A6BD7" w:rsidRPr="002A6BD7">
        <w:t xml:space="preserve">can </w:t>
      </w:r>
      <w:r w:rsidR="00457EC5">
        <w:t xml:space="preserve">only </w:t>
      </w:r>
      <w:r w:rsidR="002A6BD7" w:rsidRPr="002A6BD7">
        <w:t xml:space="preserve">be </w:t>
      </w:r>
      <w:r w:rsidR="00457EC5">
        <w:t>reali</w:t>
      </w:r>
      <w:r w:rsidR="006C61C2">
        <w:rPr>
          <w:lang w:val="en-US"/>
        </w:rPr>
        <w:t>z</w:t>
      </w:r>
      <w:r w:rsidR="00457EC5">
        <w:t>ed</w:t>
      </w:r>
      <w:r w:rsidR="002A6BD7" w:rsidRPr="002A6BD7">
        <w:t xml:space="preserve"> through</w:t>
      </w:r>
      <w:r w:rsidR="00B57080">
        <w:t xml:space="preserve"> </w:t>
      </w:r>
      <w:r w:rsidR="002A6BD7" w:rsidRPr="002A6BD7">
        <w:t>concerted and sustained efforts</w:t>
      </w:r>
      <w:r w:rsidR="00457EC5">
        <w:t>, and shared responsibility by</w:t>
      </w:r>
      <w:r w:rsidR="002A6BD7" w:rsidRPr="002A6BD7">
        <w:t xml:space="preserve"> all stakeholders </w:t>
      </w:r>
      <w:r w:rsidR="00457EC5">
        <w:t>at national</w:t>
      </w:r>
      <w:r w:rsidR="00B57080">
        <w:t>, regional and</w:t>
      </w:r>
      <w:r w:rsidR="00457EC5">
        <w:t xml:space="preserve"> </w:t>
      </w:r>
      <w:r w:rsidR="00197B59" w:rsidRPr="00EA09C4">
        <w:rPr>
          <w:lang w:val="en-GB"/>
        </w:rPr>
        <w:t>univer</w:t>
      </w:r>
      <w:r w:rsidRPr="00EA09C4">
        <w:rPr>
          <w:lang w:val="en-GB"/>
        </w:rPr>
        <w:t>s</w:t>
      </w:r>
      <w:r w:rsidR="00197B59" w:rsidRPr="00EA09C4">
        <w:rPr>
          <w:lang w:val="en-GB"/>
        </w:rPr>
        <w:t>al</w:t>
      </w:r>
      <w:r w:rsidR="00197B59">
        <w:t xml:space="preserve"> </w:t>
      </w:r>
      <w:r w:rsidR="00457EC5">
        <w:t xml:space="preserve">levels. </w:t>
      </w:r>
      <w:r w:rsidR="00B57080">
        <w:t xml:space="preserve">It </w:t>
      </w:r>
      <w:r w:rsidR="00457EC5">
        <w:t>requires</w:t>
      </w:r>
      <w:r w:rsidR="002A6BD7" w:rsidRPr="002A6BD7">
        <w:t xml:space="preserve"> </w:t>
      </w:r>
      <w:r w:rsidR="00B57080">
        <w:t xml:space="preserve">an unequivocal </w:t>
      </w:r>
      <w:r w:rsidR="002A6BD7" w:rsidRPr="002A6BD7">
        <w:t xml:space="preserve">commitment to </w:t>
      </w:r>
      <w:r w:rsidR="00B57080">
        <w:t>the</w:t>
      </w:r>
      <w:r w:rsidR="002A6BD7" w:rsidRPr="002A6BD7">
        <w:t xml:space="preserve"> realization of universal human rights principles</w:t>
      </w:r>
      <w:r w:rsidR="00B57080">
        <w:t xml:space="preserve"> as</w:t>
      </w:r>
      <w:r w:rsidR="002A6BD7" w:rsidRPr="002A6BD7">
        <w:t xml:space="preserve"> enshrined in </w:t>
      </w:r>
      <w:r w:rsidR="00B57080">
        <w:t>the Universal Declaration on Human Rights</w:t>
      </w:r>
      <w:r w:rsidR="00946DD1" w:rsidRPr="00EA09C4">
        <w:rPr>
          <w:lang w:val="en-GB"/>
        </w:rPr>
        <w:t xml:space="preserve"> </w:t>
      </w:r>
      <w:r w:rsidR="00B57080">
        <w:t>and human rights law and standards</w:t>
      </w:r>
      <w:r w:rsidR="002A6BD7" w:rsidRPr="002A6BD7">
        <w:t>.</w:t>
      </w:r>
      <w:r w:rsidR="00B57080" w:rsidRPr="00B57080">
        <w:t xml:space="preserve"> </w:t>
      </w:r>
    </w:p>
    <w:p w:rsidR="00956B2E" w:rsidRPr="008107F6" w:rsidRDefault="002D4424" w:rsidP="00CB75BE">
      <w:pPr>
        <w:pStyle w:val="SingleTxtG"/>
        <w:numPr>
          <w:ilvl w:val="0"/>
          <w:numId w:val="45"/>
        </w:numPr>
        <w:ind w:left="1134" w:firstLine="0"/>
      </w:pPr>
      <w:r w:rsidRPr="00EA09C4">
        <w:rPr>
          <w:lang w:val="en-GB"/>
        </w:rPr>
        <w:t>B</w:t>
      </w:r>
      <w:r w:rsidR="002C44A3" w:rsidRPr="00A35F6C">
        <w:t xml:space="preserve">uilding on the work of his predecessors, </w:t>
      </w:r>
      <w:r w:rsidRPr="00EA09C4">
        <w:rPr>
          <w:lang w:val="en-GB"/>
        </w:rPr>
        <w:t>t</w:t>
      </w:r>
      <w:r w:rsidRPr="004D0D34">
        <w:t xml:space="preserve">he Special Rapporteur </w:t>
      </w:r>
      <w:r w:rsidR="00E2782E" w:rsidRPr="00EA09C4">
        <w:rPr>
          <w:lang w:val="en-GB"/>
        </w:rPr>
        <w:t>will</w:t>
      </w:r>
      <w:r w:rsidR="00276097" w:rsidRPr="00A35F6C">
        <w:t xml:space="preserve"> </w:t>
      </w:r>
      <w:r w:rsidR="00276097">
        <w:t>advocate for the application of the right to health framework to strengthen health system</w:t>
      </w:r>
      <w:r w:rsidR="00E963F8">
        <w:rPr>
          <w:lang w:val="en-US"/>
        </w:rPr>
        <w:t>s</w:t>
      </w:r>
      <w:r w:rsidR="00E1661C">
        <w:rPr>
          <w:lang w:val="en-US"/>
        </w:rPr>
        <w:t>,</w:t>
      </w:r>
      <w:r w:rsidRPr="00EA09C4">
        <w:rPr>
          <w:lang w:val="en-GB"/>
        </w:rPr>
        <w:t xml:space="preserve"> </w:t>
      </w:r>
      <w:r w:rsidR="00276097">
        <w:t>emphasi</w:t>
      </w:r>
      <w:r w:rsidR="00E1661C">
        <w:rPr>
          <w:lang w:val="en-US"/>
        </w:rPr>
        <w:t>zing</w:t>
      </w:r>
      <w:r w:rsidR="00276097">
        <w:t xml:space="preserve"> </w:t>
      </w:r>
      <w:r w:rsidRPr="00EA09C4">
        <w:rPr>
          <w:lang w:val="en-GB"/>
        </w:rPr>
        <w:t>the ne</w:t>
      </w:r>
      <w:r>
        <w:rPr>
          <w:lang w:val="en-GB"/>
        </w:rPr>
        <w:t>e</w:t>
      </w:r>
      <w:r w:rsidRPr="00EA09C4">
        <w:rPr>
          <w:lang w:val="en-GB"/>
        </w:rPr>
        <w:t xml:space="preserve">d to </w:t>
      </w:r>
      <w:r w:rsidR="00276097">
        <w:t>plac</w:t>
      </w:r>
      <w:r w:rsidRPr="00EA09C4">
        <w:rPr>
          <w:lang w:val="en-GB"/>
        </w:rPr>
        <w:t>e</w:t>
      </w:r>
      <w:r w:rsidR="00276097">
        <w:t xml:space="preserve"> the well-being of individuals and communities at the centre of</w:t>
      </w:r>
      <w:r w:rsidR="00E963F8">
        <w:rPr>
          <w:lang w:val="en-US"/>
        </w:rPr>
        <w:t xml:space="preserve"> </w:t>
      </w:r>
      <w:r w:rsidR="00276097">
        <w:t>health policies.</w:t>
      </w:r>
      <w:r w:rsidR="00813F20">
        <w:t xml:space="preserve"> </w:t>
      </w:r>
      <w:r w:rsidR="00276097">
        <w:t>He will look at processes within health system</w:t>
      </w:r>
      <w:r w:rsidR="00276097" w:rsidRPr="008107F6">
        <w:rPr>
          <w:lang w:val="en-GB"/>
        </w:rPr>
        <w:t>s</w:t>
      </w:r>
      <w:r w:rsidR="00E1661C">
        <w:rPr>
          <w:lang w:val="en-GB"/>
        </w:rPr>
        <w:t xml:space="preserve"> —</w:t>
      </w:r>
      <w:r w:rsidR="00276097">
        <w:t xml:space="preserve"> at how things are done</w:t>
      </w:r>
      <w:r w:rsidR="007E27C8" w:rsidRPr="00B76FD9">
        <w:rPr>
          <w:lang w:val="en-GB"/>
        </w:rPr>
        <w:t xml:space="preserve"> a</w:t>
      </w:r>
      <w:r w:rsidR="007E27C8">
        <w:rPr>
          <w:lang w:val="en-GB"/>
        </w:rPr>
        <w:t xml:space="preserve">nd </w:t>
      </w:r>
      <w:r w:rsidR="00E1661C">
        <w:rPr>
          <w:lang w:val="en-GB"/>
        </w:rPr>
        <w:t xml:space="preserve">the </w:t>
      </w:r>
      <w:r w:rsidR="007E27C8">
        <w:rPr>
          <w:lang w:val="en-GB"/>
        </w:rPr>
        <w:t>actors involved</w:t>
      </w:r>
      <w:r w:rsidR="00E1661C">
        <w:rPr>
          <w:lang w:val="en-GB"/>
        </w:rPr>
        <w:t xml:space="preserve"> —</w:t>
      </w:r>
      <w:r w:rsidR="00276097">
        <w:t xml:space="preserve"> with particular attention</w:t>
      </w:r>
      <w:r w:rsidR="00E1661C">
        <w:rPr>
          <w:lang w:val="en-US"/>
        </w:rPr>
        <w:t xml:space="preserve"> devoted</w:t>
      </w:r>
      <w:r w:rsidR="00276097">
        <w:t xml:space="preserve"> to access to information, participation</w:t>
      </w:r>
      <w:r w:rsidR="00813F20">
        <w:t xml:space="preserve"> </w:t>
      </w:r>
      <w:r w:rsidR="00276097">
        <w:t>and accountability mechanisms in place</w:t>
      </w:r>
      <w:r w:rsidR="00E1661C">
        <w:rPr>
          <w:lang w:val="en-US"/>
        </w:rPr>
        <w:t xml:space="preserve"> (see </w:t>
      </w:r>
      <w:r w:rsidR="007808D0">
        <w:rPr>
          <w:szCs w:val="18"/>
        </w:rPr>
        <w:t>A/HRC/7/11, paras. 38</w:t>
      </w:r>
      <w:r w:rsidR="007808D0">
        <w:rPr>
          <w:szCs w:val="18"/>
          <w:lang w:val="en-US"/>
        </w:rPr>
        <w:t>–</w:t>
      </w:r>
      <w:r w:rsidR="00E1661C" w:rsidRPr="00D05FE0">
        <w:rPr>
          <w:szCs w:val="18"/>
        </w:rPr>
        <w:t>64</w:t>
      </w:r>
      <w:r w:rsidR="00E1661C">
        <w:rPr>
          <w:szCs w:val="18"/>
          <w:lang w:val="en-US"/>
        </w:rPr>
        <w:t>)</w:t>
      </w:r>
      <w:r w:rsidR="00276097">
        <w:t>.</w:t>
      </w:r>
      <w:r w:rsidR="001D10DF" w:rsidRPr="008107F6">
        <w:t xml:space="preserve"> </w:t>
      </w:r>
    </w:p>
    <w:p w:rsidR="002A6BD7" w:rsidRPr="00E0722D" w:rsidRDefault="00B57080" w:rsidP="00CB75BE">
      <w:pPr>
        <w:pStyle w:val="SingleTxtG"/>
        <w:numPr>
          <w:ilvl w:val="0"/>
          <w:numId w:val="45"/>
        </w:numPr>
        <w:ind w:left="1134" w:firstLine="0"/>
      </w:pPr>
      <w:r w:rsidRPr="00E0722D">
        <w:t xml:space="preserve">The Special Rapporteur will </w:t>
      </w:r>
      <w:r w:rsidR="007E27C8" w:rsidRPr="00B76FD9">
        <w:rPr>
          <w:lang w:val="en-GB"/>
        </w:rPr>
        <w:t>continue</w:t>
      </w:r>
      <w:r w:rsidRPr="00E0722D">
        <w:t xml:space="preserve"> apply</w:t>
      </w:r>
      <w:r w:rsidR="007E27C8" w:rsidRPr="00B76FD9">
        <w:rPr>
          <w:lang w:val="en-GB"/>
        </w:rPr>
        <w:t>ing</w:t>
      </w:r>
      <w:r w:rsidRPr="00E0722D">
        <w:t xml:space="preserve"> a </w:t>
      </w:r>
      <w:r w:rsidR="002A6BD7" w:rsidRPr="00E0722D">
        <w:t xml:space="preserve">gender </w:t>
      </w:r>
      <w:r w:rsidRPr="00E0722D">
        <w:t>perspective</w:t>
      </w:r>
      <w:r w:rsidR="002A6BD7" w:rsidRPr="00E0722D">
        <w:t xml:space="preserve"> in his work, with a special focus on sexual and reproductive health and rights as an integ</w:t>
      </w:r>
      <w:r w:rsidRPr="00E0722D">
        <w:t>ral part of the right to health.</w:t>
      </w:r>
      <w:r w:rsidR="00813F20">
        <w:t xml:space="preserve"> </w:t>
      </w:r>
      <w:r w:rsidRPr="00E0722D">
        <w:t>He will</w:t>
      </w:r>
      <w:r w:rsidR="002A6BD7" w:rsidRPr="00E0722D">
        <w:t xml:space="preserve"> </w:t>
      </w:r>
      <w:r w:rsidR="007E27C8" w:rsidRPr="00B76FD9">
        <w:rPr>
          <w:lang w:val="en-GB"/>
        </w:rPr>
        <w:t xml:space="preserve">apply a </w:t>
      </w:r>
      <w:r w:rsidR="00E1661C" w:rsidRPr="00B76FD9">
        <w:rPr>
          <w:lang w:val="en-GB"/>
        </w:rPr>
        <w:t xml:space="preserve">life-cycle approach </w:t>
      </w:r>
      <w:r w:rsidR="007E27C8" w:rsidRPr="00B76FD9">
        <w:rPr>
          <w:lang w:val="en-GB"/>
        </w:rPr>
        <w:t>to his work</w:t>
      </w:r>
      <w:r w:rsidR="00E1661C">
        <w:rPr>
          <w:lang w:val="en-GB"/>
        </w:rPr>
        <w:t>,</w:t>
      </w:r>
      <w:r w:rsidR="007E27C8" w:rsidRPr="00B76FD9">
        <w:rPr>
          <w:lang w:val="en-GB"/>
        </w:rPr>
        <w:t xml:space="preserve"> </w:t>
      </w:r>
      <w:r w:rsidR="002A6BD7" w:rsidRPr="00E0722D">
        <w:t>pay</w:t>
      </w:r>
      <w:r w:rsidR="007E27C8" w:rsidRPr="00B76FD9">
        <w:rPr>
          <w:lang w:val="en-GB"/>
        </w:rPr>
        <w:t>ing</w:t>
      </w:r>
      <w:r w:rsidR="002A6BD7" w:rsidRPr="00E0722D">
        <w:t xml:space="preserve"> special attention to the needs of the children </w:t>
      </w:r>
      <w:r w:rsidR="007E27C8" w:rsidRPr="00B76FD9">
        <w:rPr>
          <w:lang w:val="en-GB"/>
        </w:rPr>
        <w:t xml:space="preserve">and adolescents </w:t>
      </w:r>
      <w:r w:rsidR="002A6BD7" w:rsidRPr="00E0722D">
        <w:t>in the rea</w:t>
      </w:r>
      <w:r w:rsidRPr="00E0722D">
        <w:t>lization of the right to health, and the needs of other groups</w:t>
      </w:r>
      <w:r w:rsidR="007E27C8" w:rsidRPr="00B76FD9">
        <w:t xml:space="preserve"> </w:t>
      </w:r>
      <w:r w:rsidR="007E27C8" w:rsidRPr="00B76FD9">
        <w:rPr>
          <w:lang w:val="en-GB"/>
        </w:rPr>
        <w:t xml:space="preserve">in </w:t>
      </w:r>
      <w:r w:rsidR="007E27C8" w:rsidRPr="00B76FD9">
        <w:t>vulnerable</w:t>
      </w:r>
      <w:r w:rsidR="007E27C8" w:rsidRPr="00B76FD9">
        <w:rPr>
          <w:lang w:val="en-GB"/>
        </w:rPr>
        <w:t xml:space="preserve"> situations</w:t>
      </w:r>
      <w:r w:rsidRPr="00E0722D">
        <w:t xml:space="preserve">, including </w:t>
      </w:r>
      <w:r w:rsidR="00956B2E" w:rsidRPr="00E0722D">
        <w:t>persons with disabilities.</w:t>
      </w:r>
      <w:r w:rsidR="00813F20">
        <w:t xml:space="preserve"> </w:t>
      </w:r>
      <w:r w:rsidR="007E27C8" w:rsidRPr="00B76FD9">
        <w:t xml:space="preserve">He will </w:t>
      </w:r>
      <w:r w:rsidR="007E27C8" w:rsidRPr="00B76FD9">
        <w:rPr>
          <w:lang w:val="en-GB"/>
        </w:rPr>
        <w:t xml:space="preserve">continue </w:t>
      </w:r>
      <w:r w:rsidR="007E27C8" w:rsidRPr="00B76FD9">
        <w:t>pay</w:t>
      </w:r>
      <w:r w:rsidR="007E27C8" w:rsidRPr="00B76FD9">
        <w:rPr>
          <w:lang w:val="en-GB"/>
        </w:rPr>
        <w:t>ing</w:t>
      </w:r>
      <w:r w:rsidR="007E27C8" w:rsidRPr="00B76FD9">
        <w:t xml:space="preserve"> attention to the issue of access to medicines, including access to essential and controlled medicines, and its human rights dimensions</w:t>
      </w:r>
      <w:r w:rsidR="007E27C8" w:rsidRPr="00B76FD9">
        <w:rPr>
          <w:lang w:val="en-GB"/>
        </w:rPr>
        <w:t>.</w:t>
      </w:r>
    </w:p>
    <w:p w:rsidR="00E0722D" w:rsidRPr="00A04ABE" w:rsidRDefault="001D10DF" w:rsidP="00CB75BE">
      <w:pPr>
        <w:pStyle w:val="SingleTxtG"/>
        <w:numPr>
          <w:ilvl w:val="0"/>
          <w:numId w:val="45"/>
        </w:numPr>
        <w:ind w:left="1134" w:firstLine="0"/>
        <w:rPr>
          <w:lang w:val="en-GB"/>
        </w:rPr>
      </w:pPr>
      <w:r>
        <w:t xml:space="preserve">In the current context of the shaping of the Sustainable Development Goals, the </w:t>
      </w:r>
      <w:r w:rsidR="002A6BD7" w:rsidRPr="002A6BD7">
        <w:t xml:space="preserve">realization of the right to health is </w:t>
      </w:r>
      <w:r>
        <w:t>extremely</w:t>
      </w:r>
      <w:r w:rsidR="002A6BD7" w:rsidRPr="002A6BD7">
        <w:t xml:space="preserve"> relevant</w:t>
      </w:r>
      <w:r>
        <w:t xml:space="preserve">, </w:t>
      </w:r>
      <w:r w:rsidR="002A6BD7" w:rsidRPr="002A6BD7">
        <w:t>both as precondition</w:t>
      </w:r>
      <w:r w:rsidR="00E1661C">
        <w:rPr>
          <w:lang w:val="en-US"/>
        </w:rPr>
        <w:t xml:space="preserve"> for,</w:t>
      </w:r>
      <w:r w:rsidR="002A6BD7" w:rsidRPr="002A6BD7">
        <w:t xml:space="preserve"> and as </w:t>
      </w:r>
      <w:r w:rsidR="00E1661C">
        <w:rPr>
          <w:lang w:val="en-US"/>
        </w:rPr>
        <w:t xml:space="preserve">an </w:t>
      </w:r>
      <w:r w:rsidR="002A6BD7" w:rsidRPr="002A6BD7">
        <w:t>outcome</w:t>
      </w:r>
      <w:r w:rsidR="002F2D44">
        <w:rPr>
          <w:lang w:val="en-US"/>
        </w:rPr>
        <w:t xml:space="preserve"> </w:t>
      </w:r>
      <w:r w:rsidR="00E1661C">
        <w:rPr>
          <w:lang w:val="en-US"/>
        </w:rPr>
        <w:t>of, a</w:t>
      </w:r>
      <w:r w:rsidR="00E1661C" w:rsidRPr="002A6BD7">
        <w:t xml:space="preserve"> </w:t>
      </w:r>
      <w:r>
        <w:t>successful</w:t>
      </w:r>
      <w:r w:rsidR="002F2D44">
        <w:rPr>
          <w:lang w:val="en-US"/>
        </w:rPr>
        <w:t xml:space="preserve"> process of achieving </w:t>
      </w:r>
      <w:r>
        <w:t xml:space="preserve">the </w:t>
      </w:r>
      <w:r w:rsidR="00E1661C">
        <w:t>Sustainable Development Goals</w:t>
      </w:r>
      <w:r w:rsidR="00E1661C">
        <w:rPr>
          <w:lang w:val="en-US"/>
        </w:rPr>
        <w:t xml:space="preserve"> </w:t>
      </w:r>
      <w:r>
        <w:t>and their main elements</w:t>
      </w:r>
      <w:r w:rsidR="00A328A5" w:rsidRPr="003D5ADC">
        <w:rPr>
          <w:lang w:val="en-GB"/>
        </w:rPr>
        <w:t>.</w:t>
      </w:r>
    </w:p>
    <w:p w:rsidR="005D6660" w:rsidRPr="005D6660" w:rsidRDefault="00B25CF4" w:rsidP="00B25CF4">
      <w:pPr>
        <w:pStyle w:val="H1G"/>
      </w:pPr>
      <w:r>
        <w:tab/>
        <w:t>A.</w:t>
      </w:r>
      <w:r>
        <w:tab/>
      </w:r>
      <w:r w:rsidR="003237DD" w:rsidRPr="003D5ADC">
        <w:t xml:space="preserve">The </w:t>
      </w:r>
      <w:r w:rsidR="005D6660" w:rsidRPr="005D6660">
        <w:t>policy approach</w:t>
      </w:r>
      <w:r w:rsidR="003237DD" w:rsidRPr="003D5ADC">
        <w:t xml:space="preserve"> to the right to health</w:t>
      </w:r>
    </w:p>
    <w:p w:rsidR="002A6BD7" w:rsidRPr="002A6BD7" w:rsidRDefault="002A6BD7" w:rsidP="00CB75BE">
      <w:pPr>
        <w:pStyle w:val="SingleTxtG"/>
        <w:numPr>
          <w:ilvl w:val="0"/>
          <w:numId w:val="45"/>
        </w:numPr>
        <w:ind w:left="1134" w:firstLine="0"/>
      </w:pPr>
      <w:r w:rsidRPr="002A6BD7">
        <w:t>There are different and equally relevant ways to</w:t>
      </w:r>
      <w:r>
        <w:t xml:space="preserve"> </w:t>
      </w:r>
      <w:r w:rsidRPr="002A6BD7">
        <w:t xml:space="preserve">apply </w:t>
      </w:r>
      <w:r w:rsidR="00E1661C">
        <w:rPr>
          <w:lang w:val="en-US"/>
        </w:rPr>
        <w:t xml:space="preserve">a </w:t>
      </w:r>
      <w:r w:rsidR="00D46195">
        <w:t>human rights</w:t>
      </w:r>
      <w:r w:rsidR="00E1661C">
        <w:rPr>
          <w:lang w:val="en-US"/>
        </w:rPr>
        <w:t>-</w:t>
      </w:r>
      <w:r w:rsidR="00750331">
        <w:rPr>
          <w:lang w:val="en-US"/>
        </w:rPr>
        <w:t>base</w:t>
      </w:r>
      <w:r w:rsidR="007B412E">
        <w:rPr>
          <w:lang w:val="en-US"/>
        </w:rPr>
        <w:t>d</w:t>
      </w:r>
      <w:r w:rsidR="00750331">
        <w:rPr>
          <w:lang w:val="en-US"/>
        </w:rPr>
        <w:t xml:space="preserve"> approach</w:t>
      </w:r>
      <w:r>
        <w:t xml:space="preserve"> </w:t>
      </w:r>
      <w:r w:rsidR="00D46195">
        <w:t>for</w:t>
      </w:r>
      <w:r w:rsidRPr="002A6BD7">
        <w:t xml:space="preserve"> improving </w:t>
      </w:r>
      <w:r w:rsidR="00D46195">
        <w:t xml:space="preserve">the </w:t>
      </w:r>
      <w:r w:rsidRPr="002A6BD7">
        <w:t>health of individuals and populations,</w:t>
      </w:r>
      <w:r w:rsidR="00D46195">
        <w:t xml:space="preserve"> and to promote </w:t>
      </w:r>
      <w:r w:rsidR="002C44A3" w:rsidRPr="00B76FD9">
        <w:rPr>
          <w:lang w:val="en-GB"/>
        </w:rPr>
        <w:t xml:space="preserve">the </w:t>
      </w:r>
      <w:r w:rsidR="00D46195">
        <w:t>right to health</w:t>
      </w:r>
      <w:r w:rsidRPr="002A6BD7">
        <w:t xml:space="preserve"> in everyday practices. One such approach is </w:t>
      </w:r>
      <w:r w:rsidR="00D46195">
        <w:t>looking at normative frameworks, including at the role of legislation and</w:t>
      </w:r>
      <w:r w:rsidRPr="002A6BD7">
        <w:t xml:space="preserve"> lit</w:t>
      </w:r>
      <w:r>
        <w:t xml:space="preserve">igation through </w:t>
      </w:r>
      <w:r w:rsidRPr="002A6BD7">
        <w:t>courts</w:t>
      </w:r>
      <w:r w:rsidR="00D46195">
        <w:t>,</w:t>
      </w:r>
      <w:r w:rsidRPr="002A6BD7">
        <w:t xml:space="preserve"> </w:t>
      </w:r>
      <w:r w:rsidR="002C44A3" w:rsidRPr="00B76FD9">
        <w:rPr>
          <w:lang w:val="en-GB"/>
        </w:rPr>
        <w:t>w</w:t>
      </w:r>
      <w:r w:rsidR="002C44A3">
        <w:rPr>
          <w:lang w:val="en-GB"/>
        </w:rPr>
        <w:t>h</w:t>
      </w:r>
      <w:r w:rsidR="002C44A3" w:rsidRPr="00B76FD9">
        <w:rPr>
          <w:lang w:val="en-GB"/>
        </w:rPr>
        <w:t>ich inter alia</w:t>
      </w:r>
      <w:r w:rsidR="00D46195">
        <w:t xml:space="preserve"> underlines the importance of </w:t>
      </w:r>
      <w:r w:rsidRPr="002A6BD7">
        <w:t>the justiciability of the right to health.</w:t>
      </w:r>
    </w:p>
    <w:p w:rsidR="002A6BD7" w:rsidRPr="002A6BD7" w:rsidRDefault="00197B59" w:rsidP="00D05FE0">
      <w:pPr>
        <w:pStyle w:val="SingleTxtG"/>
        <w:numPr>
          <w:ilvl w:val="0"/>
          <w:numId w:val="45"/>
        </w:numPr>
        <w:ind w:left="1134" w:firstLine="0"/>
      </w:pPr>
      <w:r w:rsidRPr="00EA09C4">
        <w:rPr>
          <w:lang w:val="en-GB"/>
        </w:rPr>
        <w:t>The approach</w:t>
      </w:r>
      <w:r w:rsidR="007304BA" w:rsidRPr="00EA09C4">
        <w:rPr>
          <w:lang w:val="en-GB"/>
        </w:rPr>
        <w:t xml:space="preserve"> </w:t>
      </w:r>
      <w:r w:rsidR="00F40ECD">
        <w:rPr>
          <w:lang w:val="en-GB"/>
        </w:rPr>
        <w:t xml:space="preserve">that </w:t>
      </w:r>
      <w:r w:rsidR="00D46195">
        <w:t>the Special Rapporteur will prioritize is what he calls the “policy approach”</w:t>
      </w:r>
      <w:r w:rsidR="00E1661C">
        <w:rPr>
          <w:lang w:val="en-US"/>
        </w:rPr>
        <w:t>,</w:t>
      </w:r>
      <w:r w:rsidR="007304BA" w:rsidRPr="00EA09C4">
        <w:rPr>
          <w:lang w:val="en-GB"/>
        </w:rPr>
        <w:t xml:space="preserve"> which</w:t>
      </w:r>
      <w:r w:rsidR="00D46195">
        <w:t xml:space="preserve"> </w:t>
      </w:r>
      <w:r w:rsidR="007304BA">
        <w:rPr>
          <w:lang w:val="en-GB"/>
        </w:rPr>
        <w:t>f</w:t>
      </w:r>
      <w:r w:rsidR="002A6BD7" w:rsidRPr="002A6BD7">
        <w:t>ocus</w:t>
      </w:r>
      <w:r w:rsidR="007304BA">
        <w:rPr>
          <w:lang w:val="en-GB"/>
        </w:rPr>
        <w:t>es</w:t>
      </w:r>
      <w:r w:rsidR="002A6BD7" w:rsidRPr="002A6BD7">
        <w:t xml:space="preserve"> on health and health-related policies</w:t>
      </w:r>
      <w:r w:rsidRPr="00EA09C4">
        <w:rPr>
          <w:lang w:val="en-GB"/>
        </w:rPr>
        <w:t>,</w:t>
      </w:r>
      <w:r w:rsidR="002A6BD7" w:rsidRPr="002A6BD7">
        <w:t xml:space="preserve"> includ</w:t>
      </w:r>
      <w:r w:rsidRPr="00EA09C4">
        <w:rPr>
          <w:lang w:val="en-GB"/>
        </w:rPr>
        <w:t>ing</w:t>
      </w:r>
      <w:r w:rsidR="002A6BD7" w:rsidRPr="002A6BD7">
        <w:t xml:space="preserve"> </w:t>
      </w:r>
      <w:r w:rsidR="00D46195">
        <w:t xml:space="preserve">the </w:t>
      </w:r>
      <w:r w:rsidR="002A6BD7" w:rsidRPr="002A6BD7">
        <w:t>analysis of processes and outcomes of</w:t>
      </w:r>
      <w:r w:rsidR="00813F20">
        <w:t xml:space="preserve"> </w:t>
      </w:r>
      <w:r w:rsidR="002A6BD7" w:rsidRPr="002A6BD7">
        <w:t>policies as they are</w:t>
      </w:r>
      <w:r w:rsidR="00D46195">
        <w:t xml:space="preserve"> formulated and implemented</w:t>
      </w:r>
      <w:r w:rsidR="007304BA">
        <w:rPr>
          <w:lang w:val="en-GB"/>
        </w:rPr>
        <w:t>.</w:t>
      </w:r>
      <w:r w:rsidR="00813F20">
        <w:rPr>
          <w:lang w:val="en-GB"/>
        </w:rPr>
        <w:t xml:space="preserve"> </w:t>
      </w:r>
      <w:r w:rsidR="007304BA">
        <w:rPr>
          <w:lang w:val="en-GB"/>
        </w:rPr>
        <w:t>I</w:t>
      </w:r>
      <w:r w:rsidRPr="00EA09C4">
        <w:rPr>
          <w:lang w:val="en-GB"/>
        </w:rPr>
        <w:t>t</w:t>
      </w:r>
      <w:r w:rsidR="007304BA" w:rsidRPr="00EA09C4">
        <w:rPr>
          <w:lang w:val="en-GB"/>
        </w:rPr>
        <w:t xml:space="preserve"> </w:t>
      </w:r>
      <w:r w:rsidRPr="00EA09C4">
        <w:rPr>
          <w:lang w:val="en-GB"/>
        </w:rPr>
        <w:t xml:space="preserve">will consider </w:t>
      </w:r>
      <w:r w:rsidR="00D46195">
        <w:t xml:space="preserve">whether </w:t>
      </w:r>
      <w:r w:rsidRPr="00EA09C4">
        <w:rPr>
          <w:lang w:val="en-GB"/>
        </w:rPr>
        <w:t xml:space="preserve">or not </w:t>
      </w:r>
      <w:r w:rsidR="00D46195">
        <w:t xml:space="preserve">these policies are based on </w:t>
      </w:r>
      <w:r w:rsidR="002A6BD7" w:rsidRPr="002A6BD7">
        <w:t>human rights principles and modern public health approach</w:t>
      </w:r>
      <w:r w:rsidR="00D46195">
        <w:t>es, including</w:t>
      </w:r>
      <w:r w:rsidR="002A6BD7" w:rsidRPr="002A6BD7">
        <w:t xml:space="preserve"> solid scientific evidence.</w:t>
      </w:r>
    </w:p>
    <w:p w:rsidR="002A6BD7" w:rsidRPr="002A6BD7" w:rsidRDefault="00EE6B6A" w:rsidP="00D05FE0">
      <w:pPr>
        <w:pStyle w:val="SingleTxtG"/>
        <w:numPr>
          <w:ilvl w:val="0"/>
          <w:numId w:val="45"/>
        </w:numPr>
        <w:ind w:left="1134" w:firstLine="0"/>
      </w:pPr>
      <w:r>
        <w:t>D</w:t>
      </w:r>
      <w:r w:rsidR="002A6BD7" w:rsidRPr="002A6BD7">
        <w:t>eparture from universal human rights principles</w:t>
      </w:r>
      <w:r w:rsidR="007E27C8" w:rsidRPr="00B76FD9">
        <w:rPr>
          <w:lang w:val="en-GB"/>
        </w:rPr>
        <w:t xml:space="preserve"> and standards</w:t>
      </w:r>
      <w:r>
        <w:t xml:space="preserve">, as enshrined in the Universal Declaration, </w:t>
      </w:r>
      <w:r w:rsidR="002A6BD7" w:rsidRPr="002A6BD7">
        <w:t xml:space="preserve">and from evidence provided by </w:t>
      </w:r>
      <w:r w:rsidR="00F40ECD">
        <w:rPr>
          <w:lang w:val="en-US"/>
        </w:rPr>
        <w:t xml:space="preserve">the </w:t>
      </w:r>
      <w:r w:rsidR="002A6BD7" w:rsidRPr="002A6BD7">
        <w:t>modern public health ap</w:t>
      </w:r>
      <w:r>
        <w:t xml:space="preserve">proach is a major obstacle for effective realization </w:t>
      </w:r>
      <w:r w:rsidR="002A6BD7" w:rsidRPr="002A6BD7">
        <w:t>of the right to health.</w:t>
      </w:r>
      <w:r w:rsidR="00813F20">
        <w:t xml:space="preserve"> </w:t>
      </w:r>
      <w:r>
        <w:t>The Special Rapporteur</w:t>
      </w:r>
      <w:r w:rsidR="002A6BD7" w:rsidRPr="002A6BD7">
        <w:t xml:space="preserve"> will </w:t>
      </w:r>
      <w:r>
        <w:t>use the</w:t>
      </w:r>
      <w:r w:rsidR="002A6BD7" w:rsidRPr="002A6BD7">
        <w:t xml:space="preserve"> right to health framework </w:t>
      </w:r>
      <w:r w:rsidR="007E27C8" w:rsidRPr="00B76FD9">
        <w:rPr>
          <w:lang w:val="en-GB"/>
        </w:rPr>
        <w:t xml:space="preserve">to </w:t>
      </w:r>
      <w:r w:rsidR="002C44A3" w:rsidRPr="002C44A3">
        <w:rPr>
          <w:lang w:val="en-GB"/>
        </w:rPr>
        <w:t>identify</w:t>
      </w:r>
      <w:r>
        <w:t xml:space="preserve"> good</w:t>
      </w:r>
      <w:r w:rsidR="002A6BD7" w:rsidRPr="002A6BD7">
        <w:t xml:space="preserve"> practices </w:t>
      </w:r>
      <w:r w:rsidR="007E27C8" w:rsidRPr="00B76FD9">
        <w:rPr>
          <w:lang w:val="en-GB"/>
        </w:rPr>
        <w:t>in the</w:t>
      </w:r>
      <w:r w:rsidR="002A6BD7" w:rsidRPr="002A6BD7">
        <w:t xml:space="preserve"> operational</w:t>
      </w:r>
      <w:r>
        <w:t>ization of modern principles of</w:t>
      </w:r>
      <w:r w:rsidR="002A6BD7" w:rsidRPr="002A6BD7">
        <w:t xml:space="preserve"> health promotion. </w:t>
      </w:r>
      <w:r w:rsidR="007E27C8" w:rsidRPr="00B76FD9">
        <w:rPr>
          <w:lang w:val="en-GB"/>
        </w:rPr>
        <w:t xml:space="preserve">He will underline </w:t>
      </w:r>
      <w:r w:rsidR="007E27C8">
        <w:rPr>
          <w:lang w:val="en-GB"/>
        </w:rPr>
        <w:t xml:space="preserve">the </w:t>
      </w:r>
      <w:r w:rsidR="007E27C8" w:rsidRPr="00B76FD9">
        <w:rPr>
          <w:lang w:val="en-GB"/>
        </w:rPr>
        <w:t>possible s</w:t>
      </w:r>
      <w:r w:rsidR="002A6BD7" w:rsidRPr="002A6BD7">
        <w:t>ynerg</w:t>
      </w:r>
      <w:r w:rsidR="007E27C8" w:rsidRPr="00B76FD9">
        <w:rPr>
          <w:lang w:val="en-GB"/>
        </w:rPr>
        <w:t>ies</w:t>
      </w:r>
      <w:r w:rsidR="002A6BD7" w:rsidRPr="002A6BD7">
        <w:t xml:space="preserve"> </w:t>
      </w:r>
      <w:r w:rsidR="007E27C8" w:rsidRPr="00B76FD9">
        <w:rPr>
          <w:lang w:val="en-GB"/>
        </w:rPr>
        <w:t>between the</w:t>
      </w:r>
      <w:r w:rsidR="002A6BD7" w:rsidRPr="002A6BD7">
        <w:t xml:space="preserve"> human rights and </w:t>
      </w:r>
      <w:r w:rsidR="007E27C8" w:rsidRPr="00B76FD9">
        <w:rPr>
          <w:lang w:val="en-GB"/>
        </w:rPr>
        <w:t xml:space="preserve">the </w:t>
      </w:r>
      <w:r w:rsidR="002A6BD7" w:rsidRPr="002A6BD7">
        <w:t>mo</w:t>
      </w:r>
      <w:r>
        <w:t xml:space="preserve">dern public health approaches for the </w:t>
      </w:r>
      <w:r w:rsidR="002A6BD7" w:rsidRPr="002A6BD7">
        <w:t>realization of the right to health</w:t>
      </w:r>
      <w:r>
        <w:t xml:space="preserve"> worldwide</w:t>
      </w:r>
      <w:r w:rsidR="002A6BD7" w:rsidRPr="002A6BD7">
        <w:t>.</w:t>
      </w:r>
    </w:p>
    <w:p w:rsidR="00AF4097" w:rsidRPr="00A04ABE" w:rsidRDefault="00EE6B6A" w:rsidP="00CB75BE">
      <w:pPr>
        <w:pStyle w:val="SingleTxtG"/>
        <w:numPr>
          <w:ilvl w:val="0"/>
          <w:numId w:val="45"/>
        </w:numPr>
        <w:ind w:left="1134" w:firstLine="0"/>
        <w:rPr>
          <w:lang w:val="en-GB"/>
        </w:rPr>
      </w:pPr>
      <w:r>
        <w:t>On</w:t>
      </w:r>
      <w:r w:rsidR="00965220">
        <w:t>e</w:t>
      </w:r>
      <w:r>
        <w:t xml:space="preserve"> the objectives of the Special Rapporteur will be</w:t>
      </w:r>
      <w:r w:rsidR="002A6BD7" w:rsidRPr="002A6BD7">
        <w:t xml:space="preserve"> to </w:t>
      </w:r>
      <w:r w:rsidR="000C71CC">
        <w:rPr>
          <w:lang w:val="en-US"/>
        </w:rPr>
        <w:t>examine</w:t>
      </w:r>
      <w:r w:rsidR="000C71CC" w:rsidRPr="002A6BD7">
        <w:t xml:space="preserve"> </w:t>
      </w:r>
      <w:r>
        <w:t>the “implementation gap”.</w:t>
      </w:r>
      <w:r w:rsidR="00813F20">
        <w:t xml:space="preserve"> </w:t>
      </w:r>
      <w:r>
        <w:t xml:space="preserve">The </w:t>
      </w:r>
      <w:r w:rsidR="002A6BD7" w:rsidRPr="002A6BD7">
        <w:t>human rights</w:t>
      </w:r>
      <w:r w:rsidR="000C71CC">
        <w:rPr>
          <w:lang w:val="en-US"/>
        </w:rPr>
        <w:t>-</w:t>
      </w:r>
      <w:r w:rsidR="002A6BD7" w:rsidRPr="002A6BD7">
        <w:t xml:space="preserve">based approach </w:t>
      </w:r>
      <w:r>
        <w:t>can</w:t>
      </w:r>
      <w:r w:rsidR="002A6BD7" w:rsidRPr="002A6BD7">
        <w:t xml:space="preserve"> be very effective in implementin</w:t>
      </w:r>
      <w:r>
        <w:t>g health policies and practices.</w:t>
      </w:r>
      <w:r w:rsidR="00813F20">
        <w:t xml:space="preserve"> </w:t>
      </w:r>
      <w:r>
        <w:t>However,</w:t>
      </w:r>
      <w:r w:rsidR="002A6BD7" w:rsidRPr="002A6BD7">
        <w:t xml:space="preserve"> while </w:t>
      </w:r>
      <w:r>
        <w:t xml:space="preserve">the </w:t>
      </w:r>
      <w:r w:rsidR="002A6BD7" w:rsidRPr="002A6BD7">
        <w:t xml:space="preserve">fundamental </w:t>
      </w:r>
      <w:r>
        <w:t>principles and the</w:t>
      </w:r>
      <w:r w:rsidR="002A6BD7" w:rsidRPr="002A6BD7">
        <w:t xml:space="preserve"> main processe</w:t>
      </w:r>
      <w:r>
        <w:t>s and mechanisms</w:t>
      </w:r>
      <w:r w:rsidR="000C71CC">
        <w:rPr>
          <w:lang w:val="en-US"/>
        </w:rPr>
        <w:t xml:space="preserve"> of the right to health</w:t>
      </w:r>
      <w:r>
        <w:t xml:space="preserve"> are</w:t>
      </w:r>
      <w:r w:rsidR="00AF4097">
        <w:t xml:space="preserve"> well</w:t>
      </w:r>
      <w:r>
        <w:t xml:space="preserve"> identified, there still remains a</w:t>
      </w:r>
      <w:r w:rsidR="002A6BD7" w:rsidRPr="002A6BD7">
        <w:t xml:space="preserve"> </w:t>
      </w:r>
      <w:r w:rsidR="00197B59" w:rsidRPr="00EA09C4">
        <w:rPr>
          <w:lang w:val="en-GB"/>
        </w:rPr>
        <w:t xml:space="preserve">significant </w:t>
      </w:r>
      <w:r w:rsidR="002A6BD7" w:rsidRPr="002A6BD7">
        <w:t xml:space="preserve">gap between </w:t>
      </w:r>
      <w:r>
        <w:t>the</w:t>
      </w:r>
      <w:r w:rsidR="002A6BD7" w:rsidRPr="002A6BD7">
        <w:t xml:space="preserve"> formulation of health polic</w:t>
      </w:r>
      <w:r>
        <w:t>ies and their</w:t>
      </w:r>
      <w:r w:rsidR="002A6BD7" w:rsidRPr="002A6BD7">
        <w:t xml:space="preserve"> </w:t>
      </w:r>
      <w:r w:rsidRPr="002A6BD7">
        <w:t xml:space="preserve">effective </w:t>
      </w:r>
      <w:r w:rsidR="002A6BD7" w:rsidRPr="002A6BD7">
        <w:t xml:space="preserve">implementation in everyday practice. </w:t>
      </w:r>
      <w:r>
        <w:t>While the f</w:t>
      </w:r>
      <w:r w:rsidR="002A6BD7" w:rsidRPr="002A6BD7">
        <w:t xml:space="preserve">ormulation </w:t>
      </w:r>
      <w:r>
        <w:t>of health policies may be satisfactory fr</w:t>
      </w:r>
      <w:r w:rsidR="007E27C8" w:rsidRPr="00B76FD9">
        <w:rPr>
          <w:lang w:val="en-GB"/>
        </w:rPr>
        <w:t>o</w:t>
      </w:r>
      <w:r>
        <w:t xml:space="preserve">m the </w:t>
      </w:r>
      <w:r w:rsidR="000C71CC">
        <w:t>perspective</w:t>
      </w:r>
      <w:r w:rsidR="000C71CC">
        <w:rPr>
          <w:lang w:val="en-US"/>
        </w:rPr>
        <w:t xml:space="preserve"> of the </w:t>
      </w:r>
      <w:r>
        <w:t>right to health, their effective implementation remains a</w:t>
      </w:r>
      <w:r w:rsidR="007E27C8" w:rsidRPr="00B76FD9">
        <w:rPr>
          <w:lang w:val="en-GB"/>
        </w:rPr>
        <w:t xml:space="preserve"> </w:t>
      </w:r>
      <w:r w:rsidR="000C71CC">
        <w:rPr>
          <w:lang w:val="en-GB"/>
        </w:rPr>
        <w:t>significant</w:t>
      </w:r>
      <w:r w:rsidR="000C71CC">
        <w:t xml:space="preserve"> </w:t>
      </w:r>
      <w:r w:rsidR="006058E4">
        <w:t>challenge.</w:t>
      </w:r>
    </w:p>
    <w:p w:rsidR="007E27C8" w:rsidRPr="00A04ABE" w:rsidRDefault="00197B59" w:rsidP="00CB75BE">
      <w:pPr>
        <w:pStyle w:val="SingleTxtG"/>
        <w:numPr>
          <w:ilvl w:val="0"/>
          <w:numId w:val="45"/>
        </w:numPr>
        <w:ind w:left="1134" w:firstLine="0"/>
        <w:rPr>
          <w:lang w:val="en-GB"/>
        </w:rPr>
      </w:pPr>
      <w:r w:rsidRPr="008A0770">
        <w:rPr>
          <w:lang w:val="en-GB"/>
        </w:rPr>
        <w:t>A</w:t>
      </w:r>
      <w:r w:rsidR="00EE6B6A">
        <w:t>ll</w:t>
      </w:r>
      <w:r w:rsidR="002A6BD7" w:rsidRPr="002A6BD7">
        <w:t xml:space="preserve"> too often</w:t>
      </w:r>
      <w:r w:rsidR="00EE6B6A">
        <w:t>, the</w:t>
      </w:r>
      <w:r w:rsidR="002A6BD7" w:rsidRPr="002A6BD7">
        <w:t xml:space="preserve"> failure to </w:t>
      </w:r>
      <w:r w:rsidR="00EE6B6A">
        <w:t>put</w:t>
      </w:r>
      <w:r w:rsidR="002A6BD7" w:rsidRPr="002A6BD7">
        <w:t xml:space="preserve"> basic principles </w:t>
      </w:r>
      <w:r w:rsidR="00EE6B6A">
        <w:t>into practice is</w:t>
      </w:r>
      <w:r w:rsidR="002A6BD7" w:rsidRPr="002A6BD7">
        <w:t xml:space="preserve"> not </w:t>
      </w:r>
      <w:r w:rsidR="00EE6B6A">
        <w:t>linked to</w:t>
      </w:r>
      <w:r w:rsidR="002A6BD7" w:rsidRPr="002A6BD7">
        <w:t xml:space="preserve"> financial obstacles</w:t>
      </w:r>
      <w:r w:rsidR="00F40ECD">
        <w:rPr>
          <w:lang w:val="en-US"/>
        </w:rPr>
        <w:t>,</w:t>
      </w:r>
      <w:r w:rsidR="002A6BD7" w:rsidRPr="002A6BD7">
        <w:t xml:space="preserve"> but </w:t>
      </w:r>
      <w:r w:rsidR="00F40ECD">
        <w:rPr>
          <w:lang w:val="en-US"/>
        </w:rPr>
        <w:t xml:space="preserve">is </w:t>
      </w:r>
      <w:r w:rsidR="00EE6B6A">
        <w:t xml:space="preserve">mostly </w:t>
      </w:r>
      <w:r w:rsidR="007E7952">
        <w:rPr>
          <w:lang w:val="en-US"/>
        </w:rPr>
        <w:t>owing</w:t>
      </w:r>
      <w:r w:rsidR="007E7952">
        <w:t xml:space="preserve"> </w:t>
      </w:r>
      <w:r w:rsidR="002A6BD7" w:rsidRPr="002A6BD7">
        <w:t>to prevailin</w:t>
      </w:r>
      <w:r w:rsidR="00EE6B6A">
        <w:t xml:space="preserve">g attitudes among stakeholders that </w:t>
      </w:r>
      <w:r w:rsidR="002A6BD7" w:rsidRPr="002A6BD7">
        <w:t>are not in line with human rights and public health principles.</w:t>
      </w:r>
      <w:r w:rsidR="00AF4097">
        <w:t xml:space="preserve"> </w:t>
      </w:r>
      <w:r w:rsidR="002C44A3" w:rsidRPr="00B76FD9">
        <w:rPr>
          <w:lang w:val="en-GB"/>
        </w:rPr>
        <w:t>The</w:t>
      </w:r>
      <w:r w:rsidR="00AF4097">
        <w:t xml:space="preserve"> Special Rapporteur will focus on the “implementation gap”</w:t>
      </w:r>
      <w:r w:rsidR="002C44A3" w:rsidRPr="00B76FD9">
        <w:rPr>
          <w:lang w:val="en-GB"/>
        </w:rPr>
        <w:t xml:space="preserve"> but</w:t>
      </w:r>
      <w:r w:rsidR="00AF4097">
        <w:t xml:space="preserve"> </w:t>
      </w:r>
      <w:r w:rsidR="002C44A3" w:rsidRPr="00B76FD9">
        <w:rPr>
          <w:lang w:val="en-GB"/>
        </w:rPr>
        <w:t xml:space="preserve">he </w:t>
      </w:r>
      <w:r w:rsidR="00AF4097">
        <w:t>will continue to</w:t>
      </w:r>
      <w:r w:rsidR="002A6BD7" w:rsidRPr="002A6BD7">
        <w:t xml:space="preserve"> </w:t>
      </w:r>
      <w:r w:rsidR="00AF4097">
        <w:t>underline, interpret and link</w:t>
      </w:r>
      <w:r w:rsidR="002A6BD7" w:rsidRPr="002A6BD7">
        <w:t xml:space="preserve"> </w:t>
      </w:r>
      <w:r w:rsidR="00AF4097">
        <w:t>the fundamental</w:t>
      </w:r>
      <w:r w:rsidR="002A6BD7" w:rsidRPr="002A6BD7">
        <w:t xml:space="preserve"> universal human rights principles </w:t>
      </w:r>
      <w:r w:rsidR="007E27C8" w:rsidRPr="00B76FD9">
        <w:rPr>
          <w:lang w:val="en-GB"/>
        </w:rPr>
        <w:t xml:space="preserve">and standards </w:t>
      </w:r>
      <w:r w:rsidR="002A6BD7" w:rsidRPr="002A6BD7">
        <w:t xml:space="preserve">with </w:t>
      </w:r>
      <w:r w:rsidR="00AF4097">
        <w:t xml:space="preserve">the </w:t>
      </w:r>
      <w:r w:rsidR="002A6BD7" w:rsidRPr="002A6BD7">
        <w:t>everyday practice of effective invest</w:t>
      </w:r>
      <w:r w:rsidR="00F40ECD">
        <w:rPr>
          <w:lang w:val="en-US"/>
        </w:rPr>
        <w:t>ment</w:t>
      </w:r>
      <w:r w:rsidR="002A6BD7" w:rsidRPr="002A6BD7">
        <w:t xml:space="preserve"> in </w:t>
      </w:r>
      <w:r w:rsidR="006058E4">
        <w:t>individual and societal health.</w:t>
      </w:r>
    </w:p>
    <w:p w:rsidR="002A6BD7" w:rsidRPr="00A04ABE" w:rsidRDefault="00AF4097" w:rsidP="00CB75BE">
      <w:pPr>
        <w:pStyle w:val="SingleTxtG"/>
        <w:numPr>
          <w:ilvl w:val="0"/>
          <w:numId w:val="45"/>
        </w:numPr>
        <w:ind w:left="1134" w:firstLine="0"/>
        <w:rPr>
          <w:lang w:val="en-GB"/>
        </w:rPr>
      </w:pPr>
      <w:r>
        <w:t xml:space="preserve">Despite the work </w:t>
      </w:r>
      <w:r w:rsidR="00A76860">
        <w:rPr>
          <w:lang w:val="en-US"/>
        </w:rPr>
        <w:t>o</w:t>
      </w:r>
      <w:r w:rsidR="007B412E">
        <w:rPr>
          <w:lang w:val="en-US"/>
        </w:rPr>
        <w:t>f</w:t>
      </w:r>
      <w:r>
        <w:t xml:space="preserve"> many who have</w:t>
      </w:r>
      <w:r w:rsidR="002A6BD7" w:rsidRPr="002A6BD7">
        <w:t xml:space="preserve"> convincingly hig</w:t>
      </w:r>
      <w:r w:rsidR="00965220">
        <w:t>h</w:t>
      </w:r>
      <w:r w:rsidR="002A6BD7" w:rsidRPr="002A6BD7">
        <w:t xml:space="preserve">lighted the need </w:t>
      </w:r>
      <w:r>
        <w:t xml:space="preserve">and benefits </w:t>
      </w:r>
      <w:r w:rsidR="002A6BD7" w:rsidRPr="002A6BD7">
        <w:t xml:space="preserve">to </w:t>
      </w:r>
      <w:r>
        <w:t>adhere to</w:t>
      </w:r>
      <w:r w:rsidR="002A6BD7" w:rsidRPr="002A6BD7">
        <w:t xml:space="preserve"> universal human rights principles, there </w:t>
      </w:r>
      <w:r>
        <w:t>continue</w:t>
      </w:r>
      <w:r w:rsidR="00F40ECD">
        <w:rPr>
          <w:lang w:val="en-US"/>
        </w:rPr>
        <w:t>s</w:t>
      </w:r>
      <w:r>
        <w:t xml:space="preserve"> to be</w:t>
      </w:r>
      <w:r w:rsidR="007E7952">
        <w:rPr>
          <w:lang w:val="en-US"/>
        </w:rPr>
        <w:t xml:space="preserve"> a</w:t>
      </w:r>
      <w:r w:rsidR="002A6BD7" w:rsidRPr="002A6BD7">
        <w:t xml:space="preserve"> tendenc</w:t>
      </w:r>
      <w:r w:rsidR="007E7952">
        <w:rPr>
          <w:lang w:val="en-US"/>
        </w:rPr>
        <w:t>y</w:t>
      </w:r>
      <w:r>
        <w:t xml:space="preserve"> </w:t>
      </w:r>
      <w:r w:rsidR="007E7952">
        <w:rPr>
          <w:lang w:val="en-US"/>
        </w:rPr>
        <w:t>to</w:t>
      </w:r>
      <w:r w:rsidR="007E7952" w:rsidRPr="002A6BD7">
        <w:t xml:space="preserve"> </w:t>
      </w:r>
      <w:r w:rsidR="002A6BD7" w:rsidRPr="002A6BD7">
        <w:t xml:space="preserve">apply and justify a narrow and selective approach to human rights, </w:t>
      </w:r>
      <w:r>
        <w:t xml:space="preserve">including </w:t>
      </w:r>
      <w:r w:rsidR="007E27C8" w:rsidRPr="00B76FD9">
        <w:rPr>
          <w:lang w:val="en-GB"/>
        </w:rPr>
        <w:t xml:space="preserve">to </w:t>
      </w:r>
      <w:r>
        <w:t>the right to health.</w:t>
      </w:r>
      <w:r w:rsidR="00813F20">
        <w:t xml:space="preserve"> </w:t>
      </w:r>
      <w:r>
        <w:t>Th</w:t>
      </w:r>
      <w:r w:rsidR="007E7952">
        <w:rPr>
          <w:lang w:val="en-US"/>
        </w:rPr>
        <w:t>at</w:t>
      </w:r>
      <w:r>
        <w:t xml:space="preserve"> tendenc</w:t>
      </w:r>
      <w:r w:rsidR="007E7952">
        <w:rPr>
          <w:lang w:val="en-US"/>
        </w:rPr>
        <w:t>y</w:t>
      </w:r>
      <w:r>
        <w:t xml:space="preserve"> ha</w:t>
      </w:r>
      <w:r w:rsidR="007E7952">
        <w:rPr>
          <w:lang w:val="en-US"/>
        </w:rPr>
        <w:t>s</w:t>
      </w:r>
      <w:r>
        <w:t xml:space="preserve"> </w:t>
      </w:r>
      <w:r w:rsidR="007E27C8" w:rsidRPr="00B76FD9">
        <w:rPr>
          <w:lang w:val="en-GB"/>
        </w:rPr>
        <w:t xml:space="preserve">been </w:t>
      </w:r>
      <w:r>
        <w:t>accentuated during the</w:t>
      </w:r>
      <w:r w:rsidRPr="002A6BD7">
        <w:t xml:space="preserve"> last decade</w:t>
      </w:r>
      <w:r>
        <w:t xml:space="preserve"> and question</w:t>
      </w:r>
      <w:r w:rsidR="007E7952">
        <w:rPr>
          <w:lang w:val="en-US"/>
        </w:rPr>
        <w:t>s</w:t>
      </w:r>
      <w:r w:rsidR="002A6BD7" w:rsidRPr="002A6BD7">
        <w:t xml:space="preserve"> the very essence of unive</w:t>
      </w:r>
      <w:r w:rsidR="00965220">
        <w:t>rsal human rights principles</w:t>
      </w:r>
      <w:r w:rsidR="007E27C8" w:rsidRPr="00B76FD9">
        <w:rPr>
          <w:lang w:val="en-GB"/>
        </w:rPr>
        <w:t xml:space="preserve"> and standards</w:t>
      </w:r>
      <w:r w:rsidR="006058E4">
        <w:t>.</w:t>
      </w:r>
    </w:p>
    <w:p w:rsidR="002A6BD7" w:rsidRPr="002A6BD7" w:rsidRDefault="00AF4097" w:rsidP="00840D9F">
      <w:pPr>
        <w:pStyle w:val="SingleTxtG"/>
        <w:numPr>
          <w:ilvl w:val="0"/>
          <w:numId w:val="45"/>
        </w:numPr>
        <w:ind w:left="1134" w:firstLine="0"/>
      </w:pPr>
      <w:r>
        <w:t xml:space="preserve">For example, </w:t>
      </w:r>
      <w:r w:rsidR="007E7952">
        <w:rPr>
          <w:lang w:val="en-US"/>
        </w:rPr>
        <w:t>such a</w:t>
      </w:r>
      <w:r w:rsidR="007E7952" w:rsidRPr="00B76FD9">
        <w:rPr>
          <w:lang w:val="en-GB"/>
        </w:rPr>
        <w:t xml:space="preserve"> </w:t>
      </w:r>
      <w:r>
        <w:t>retrogressive</w:t>
      </w:r>
      <w:r w:rsidR="002A6BD7" w:rsidRPr="002A6BD7">
        <w:t xml:space="preserve"> tendenc</w:t>
      </w:r>
      <w:r w:rsidR="007E7952">
        <w:rPr>
          <w:lang w:val="en-US"/>
        </w:rPr>
        <w:t>y</w:t>
      </w:r>
      <w:r w:rsidR="002A6BD7" w:rsidRPr="002A6BD7">
        <w:t xml:space="preserve"> ha</w:t>
      </w:r>
      <w:r w:rsidR="007E7952">
        <w:rPr>
          <w:lang w:val="en-US"/>
        </w:rPr>
        <w:t>s</w:t>
      </w:r>
      <w:r w:rsidR="002A6BD7" w:rsidRPr="002A6BD7">
        <w:t xml:space="preserve"> been observed in the area of sexual and reproductive health and rights, and with regard to discrimination </w:t>
      </w:r>
      <w:r w:rsidR="007E7952">
        <w:rPr>
          <w:lang w:val="en-US"/>
        </w:rPr>
        <w:t>against</w:t>
      </w:r>
      <w:r w:rsidR="007E7952" w:rsidRPr="002A6BD7">
        <w:t xml:space="preserve"> </w:t>
      </w:r>
      <w:r w:rsidR="002A6BD7" w:rsidRPr="002A6BD7">
        <w:t xml:space="preserve">groups in vulnerable situations, including children, documented and undocumented migrants, persons with disabilities and </w:t>
      </w:r>
      <w:r w:rsidR="00F40ECD">
        <w:rPr>
          <w:lang w:val="en-US"/>
        </w:rPr>
        <w:t>lesbian, gay, bisexual and transgender</w:t>
      </w:r>
      <w:r w:rsidR="00F40ECD" w:rsidRPr="002A6BD7">
        <w:t xml:space="preserve"> </w:t>
      </w:r>
      <w:r w:rsidR="002A6BD7" w:rsidRPr="002A6BD7">
        <w:t xml:space="preserve">persons. In his reports and </w:t>
      </w:r>
      <w:r w:rsidR="007E7952">
        <w:rPr>
          <w:lang w:val="en-US"/>
        </w:rPr>
        <w:t xml:space="preserve">through his </w:t>
      </w:r>
      <w:r w:rsidR="002A6BD7" w:rsidRPr="002A6BD7">
        <w:t>other activities</w:t>
      </w:r>
      <w:r>
        <w:t>, the Special Rapporteur</w:t>
      </w:r>
      <w:r w:rsidR="002A6BD7" w:rsidRPr="002A6BD7">
        <w:t xml:space="preserve"> will highlight the need and importance of applying the principle of </w:t>
      </w:r>
      <w:r w:rsidR="007E7952">
        <w:rPr>
          <w:lang w:val="en-US"/>
        </w:rPr>
        <w:t xml:space="preserve">the </w:t>
      </w:r>
      <w:r w:rsidRPr="002A6BD7">
        <w:t>interdependence</w:t>
      </w:r>
      <w:r w:rsidR="002A6BD7" w:rsidRPr="002A6BD7">
        <w:t xml:space="preserve"> and indivisibility of human rights, and </w:t>
      </w:r>
      <w:r w:rsidR="00AB2009" w:rsidRPr="008107F6">
        <w:rPr>
          <w:lang w:val="en-GB"/>
        </w:rPr>
        <w:t>will unde</w:t>
      </w:r>
      <w:r w:rsidR="00AB2009" w:rsidRPr="00B76FD9">
        <w:rPr>
          <w:lang w:val="en-GB"/>
        </w:rPr>
        <w:t>r</w:t>
      </w:r>
      <w:r w:rsidR="00AB2009">
        <w:rPr>
          <w:lang w:val="en-GB"/>
        </w:rPr>
        <w:t>l</w:t>
      </w:r>
      <w:r w:rsidR="00AB2009" w:rsidRPr="00B76FD9">
        <w:rPr>
          <w:lang w:val="en-GB"/>
        </w:rPr>
        <w:t xml:space="preserve">ine </w:t>
      </w:r>
      <w:r w:rsidR="002A6BD7" w:rsidRPr="002A6BD7">
        <w:t xml:space="preserve">how essential this is for the </w:t>
      </w:r>
      <w:r>
        <w:t>full reali</w:t>
      </w:r>
      <w:r w:rsidR="007E7952">
        <w:rPr>
          <w:lang w:val="en-US"/>
        </w:rPr>
        <w:t>z</w:t>
      </w:r>
      <w:r>
        <w:t xml:space="preserve">ation of the </w:t>
      </w:r>
      <w:r w:rsidR="002A6BD7" w:rsidRPr="002A6BD7">
        <w:t>right to health.</w:t>
      </w:r>
    </w:p>
    <w:p w:rsidR="002A6BD7" w:rsidRPr="00A04ABE" w:rsidRDefault="002A6BD7" w:rsidP="00CB75BE">
      <w:pPr>
        <w:pStyle w:val="SingleTxtG"/>
        <w:numPr>
          <w:ilvl w:val="0"/>
          <w:numId w:val="45"/>
        </w:numPr>
        <w:ind w:left="1134" w:firstLine="0"/>
        <w:rPr>
          <w:lang w:val="en-GB"/>
        </w:rPr>
      </w:pPr>
      <w:r w:rsidRPr="002A6BD7">
        <w:t xml:space="preserve">The </w:t>
      </w:r>
      <w:r w:rsidR="00AB43A2">
        <w:t>Special Rapporteur</w:t>
      </w:r>
      <w:r w:rsidRPr="002A6BD7">
        <w:t xml:space="preserve"> is concerned that this tendency to </w:t>
      </w:r>
      <w:r w:rsidR="00DE2C56">
        <w:rPr>
          <w:lang w:val="en-US"/>
        </w:rPr>
        <w:t xml:space="preserve">take </w:t>
      </w:r>
      <w:r w:rsidRPr="002A6BD7">
        <w:t xml:space="preserve">a selective approach to human rights has </w:t>
      </w:r>
      <w:r w:rsidR="00AB43A2">
        <w:t xml:space="preserve">its </w:t>
      </w:r>
      <w:r w:rsidRPr="002A6BD7">
        <w:t>most detrimental effects on those groups</w:t>
      </w:r>
      <w:r w:rsidR="00AB43A2">
        <w:t xml:space="preserve"> of population which face de</w:t>
      </w:r>
      <w:r w:rsidR="00DE2C56">
        <w:rPr>
          <w:lang w:val="en-US"/>
        </w:rPr>
        <w:t xml:space="preserve"> </w:t>
      </w:r>
      <w:r w:rsidR="00AB43A2">
        <w:t>jure or de</w:t>
      </w:r>
      <w:r w:rsidR="00DE2C56">
        <w:rPr>
          <w:lang w:val="en-US"/>
        </w:rPr>
        <w:t xml:space="preserve"> </w:t>
      </w:r>
      <w:r w:rsidR="00AB43A2">
        <w:t xml:space="preserve">facto </w:t>
      </w:r>
      <w:r w:rsidRPr="002A6BD7">
        <w:t xml:space="preserve">discrimination. </w:t>
      </w:r>
      <w:r w:rsidR="00197B59" w:rsidRPr="008A0770">
        <w:rPr>
          <w:lang w:val="en-GB"/>
        </w:rPr>
        <w:t>T</w:t>
      </w:r>
      <w:r w:rsidRPr="002A6BD7">
        <w:t>hese groups suffer from social exclusion, stigmatization and humiliation</w:t>
      </w:r>
      <w:r w:rsidR="00DE2C56">
        <w:rPr>
          <w:lang w:val="en-US"/>
        </w:rPr>
        <w:t>,</w:t>
      </w:r>
      <w:r w:rsidRPr="002A6BD7">
        <w:t xml:space="preserve"> which ha</w:t>
      </w:r>
      <w:r w:rsidR="00DE2C56">
        <w:rPr>
          <w:lang w:val="en-US"/>
        </w:rPr>
        <w:t>s</w:t>
      </w:r>
      <w:r w:rsidRPr="002A6BD7">
        <w:t xml:space="preserve"> </w:t>
      </w:r>
      <w:r w:rsidR="00AB43A2">
        <w:t xml:space="preserve">a </w:t>
      </w:r>
      <w:r w:rsidRPr="002A6BD7">
        <w:t>negative impact to their health status.</w:t>
      </w:r>
      <w:r w:rsidR="00AB43A2">
        <w:t xml:space="preserve"> </w:t>
      </w:r>
      <w:r w:rsidR="005E70C9">
        <w:t>T</w:t>
      </w:r>
      <w:r w:rsidR="00AB43A2">
        <w:t>hey are</w:t>
      </w:r>
      <w:r w:rsidR="005E70C9">
        <w:t xml:space="preserve"> often</w:t>
      </w:r>
      <w:r w:rsidR="00AB43A2">
        <w:t xml:space="preserve"> deprived</w:t>
      </w:r>
      <w:r w:rsidR="00AB43A2" w:rsidRPr="002A6BD7">
        <w:t xml:space="preserve"> of access to </w:t>
      </w:r>
      <w:r w:rsidR="00AB43A2">
        <w:t>health</w:t>
      </w:r>
      <w:r w:rsidR="00AB43A2" w:rsidRPr="002A6BD7">
        <w:t xml:space="preserve"> suppor</w:t>
      </w:r>
      <w:r w:rsidR="00AB43A2">
        <w:t xml:space="preserve">t and </w:t>
      </w:r>
      <w:r w:rsidR="003C6F08">
        <w:rPr>
          <w:lang w:val="en-US"/>
        </w:rPr>
        <w:t xml:space="preserve">the </w:t>
      </w:r>
      <w:r w:rsidR="00AB43A2">
        <w:t xml:space="preserve">care services they </w:t>
      </w:r>
      <w:r w:rsidR="00AB43A2" w:rsidRPr="002A6BD7">
        <w:t xml:space="preserve">need, and </w:t>
      </w:r>
      <w:r w:rsidR="00AB43A2">
        <w:t xml:space="preserve">of </w:t>
      </w:r>
      <w:r w:rsidR="00AB43A2" w:rsidRPr="002A6BD7">
        <w:t>meaningful participation</w:t>
      </w:r>
      <w:r w:rsidR="00AB2009" w:rsidRPr="00B76FD9">
        <w:rPr>
          <w:lang w:val="en-GB"/>
        </w:rPr>
        <w:t xml:space="preserve"> in processes that affect them</w:t>
      </w:r>
      <w:r w:rsidR="00AB43A2" w:rsidRPr="002A6BD7">
        <w:t>.</w:t>
      </w:r>
      <w:r w:rsidR="00AB43A2" w:rsidRPr="00AB43A2">
        <w:t xml:space="preserve"> </w:t>
      </w:r>
      <w:r w:rsidR="00AB43A2">
        <w:t>T</w:t>
      </w:r>
      <w:r w:rsidR="00AB43A2" w:rsidRPr="002A6BD7">
        <w:t>hese</w:t>
      </w:r>
      <w:r w:rsidR="00AB43A2">
        <w:t xml:space="preserve"> are the</w:t>
      </w:r>
      <w:r w:rsidR="00AB43A2" w:rsidRPr="002A6BD7">
        <w:t xml:space="preserve"> gro</w:t>
      </w:r>
      <w:r w:rsidR="00AB43A2">
        <w:t>ups in most need of quality and human rights</w:t>
      </w:r>
      <w:r w:rsidR="003C6F08">
        <w:rPr>
          <w:lang w:val="en-US"/>
        </w:rPr>
        <w:t>-</w:t>
      </w:r>
      <w:r w:rsidR="00AB43A2">
        <w:t>friendly</w:t>
      </w:r>
      <w:r w:rsidR="00AB43A2" w:rsidRPr="002A6BD7">
        <w:t xml:space="preserve"> health</w:t>
      </w:r>
      <w:r w:rsidR="003C6F08">
        <w:rPr>
          <w:lang w:val="en-US"/>
        </w:rPr>
        <w:t>-</w:t>
      </w:r>
      <w:r w:rsidR="00AB43A2" w:rsidRPr="002A6BD7">
        <w:t>care services</w:t>
      </w:r>
      <w:r w:rsidR="00AB43A2">
        <w:t xml:space="preserve"> precisely </w:t>
      </w:r>
      <w:r w:rsidR="003C6F08">
        <w:rPr>
          <w:lang w:val="en-US"/>
        </w:rPr>
        <w:t>because of</w:t>
      </w:r>
      <w:r w:rsidR="00AB43A2">
        <w:t xml:space="preserve"> their situation</w:t>
      </w:r>
      <w:r w:rsidR="006058E4">
        <w:t>.</w:t>
      </w:r>
    </w:p>
    <w:p w:rsidR="002A6BD7" w:rsidRPr="002A6BD7" w:rsidRDefault="002A6BD7" w:rsidP="00D05FE0">
      <w:pPr>
        <w:pStyle w:val="SingleTxtG"/>
        <w:numPr>
          <w:ilvl w:val="0"/>
          <w:numId w:val="45"/>
        </w:numPr>
        <w:ind w:left="1134" w:firstLine="0"/>
      </w:pPr>
      <w:r w:rsidRPr="002A6BD7">
        <w:t>This departure from universal hu</w:t>
      </w:r>
      <w:r w:rsidR="00AB43A2">
        <w:t xml:space="preserve">man rights principles and this </w:t>
      </w:r>
      <w:r w:rsidRPr="002A6BD7">
        <w:t>selective approach</w:t>
      </w:r>
      <w:r w:rsidR="00AB43A2">
        <w:t>,</w:t>
      </w:r>
      <w:r w:rsidRPr="002A6BD7">
        <w:t xml:space="preserve"> ignoring or not adequately addressing one or </w:t>
      </w:r>
      <w:r w:rsidR="00AB43A2">
        <w:t>more rights of a group of the population,</w:t>
      </w:r>
      <w:r w:rsidRPr="002A6BD7">
        <w:t xml:space="preserve"> </w:t>
      </w:r>
      <w:r w:rsidR="00AB43A2">
        <w:t>reinforces</w:t>
      </w:r>
      <w:r w:rsidRPr="002A6BD7">
        <w:t xml:space="preserve"> cycles of poverty, inequalities, social </w:t>
      </w:r>
      <w:r w:rsidR="00AB43A2" w:rsidRPr="002A6BD7">
        <w:t>exclusion</w:t>
      </w:r>
      <w:r w:rsidRPr="002A6BD7">
        <w:t>, discrim</w:t>
      </w:r>
      <w:r w:rsidR="00AB43A2">
        <w:t xml:space="preserve">ination and violence, and </w:t>
      </w:r>
      <w:r w:rsidRPr="002A6BD7">
        <w:t xml:space="preserve">in the longer run has </w:t>
      </w:r>
      <w:r w:rsidR="006A3BDA">
        <w:rPr>
          <w:lang w:val="en-US"/>
        </w:rPr>
        <w:t xml:space="preserve">a </w:t>
      </w:r>
      <w:r w:rsidRPr="002A6BD7">
        <w:t xml:space="preserve">negative impact on the health and development of society in general. </w:t>
      </w:r>
    </w:p>
    <w:p w:rsidR="00E17BAB" w:rsidRPr="00A04ABE" w:rsidRDefault="002A6BD7" w:rsidP="00CB75BE">
      <w:pPr>
        <w:pStyle w:val="SingleTxtG"/>
        <w:numPr>
          <w:ilvl w:val="0"/>
          <w:numId w:val="45"/>
        </w:numPr>
        <w:ind w:left="1134" w:firstLine="0"/>
        <w:rPr>
          <w:lang w:val="en-GB"/>
        </w:rPr>
      </w:pPr>
      <w:r w:rsidRPr="002A6BD7">
        <w:t xml:space="preserve">There are </w:t>
      </w:r>
      <w:r w:rsidR="0098188B">
        <w:t xml:space="preserve">good health practices worldwide that emerge </w:t>
      </w:r>
      <w:r w:rsidRPr="002A6BD7">
        <w:t>when cultu</w:t>
      </w:r>
      <w:r w:rsidR="00937848">
        <w:t xml:space="preserve">rally </w:t>
      </w:r>
      <w:r w:rsidR="00C02F5E">
        <w:t xml:space="preserve">and socially </w:t>
      </w:r>
      <w:r w:rsidR="00937848">
        <w:t>appropriate program</w:t>
      </w:r>
      <w:r w:rsidR="003C6F08">
        <w:rPr>
          <w:lang w:val="en-US"/>
        </w:rPr>
        <w:t>me</w:t>
      </w:r>
      <w:r w:rsidR="00937848">
        <w:t xml:space="preserve">s are </w:t>
      </w:r>
      <w:r w:rsidRPr="002A6BD7">
        <w:t>used</w:t>
      </w:r>
      <w:r w:rsidR="003C6F08">
        <w:rPr>
          <w:lang w:val="en-US"/>
        </w:rPr>
        <w:t>,</w:t>
      </w:r>
      <w:r w:rsidRPr="002A6BD7">
        <w:t xml:space="preserve"> </w:t>
      </w:r>
      <w:r w:rsidR="00937848">
        <w:t>involving</w:t>
      </w:r>
      <w:r w:rsidRPr="002A6BD7">
        <w:t xml:space="preserve"> </w:t>
      </w:r>
      <w:r w:rsidR="002C44A3" w:rsidRPr="00B76FD9">
        <w:rPr>
          <w:lang w:val="en-GB"/>
        </w:rPr>
        <w:t xml:space="preserve">and empowering </w:t>
      </w:r>
      <w:r w:rsidRPr="002A6BD7">
        <w:t>individu</w:t>
      </w:r>
      <w:r w:rsidR="00937848">
        <w:t>als, families and communities</w:t>
      </w:r>
      <w:r w:rsidR="002C44A3" w:rsidRPr="00B76FD9">
        <w:rPr>
          <w:lang w:val="en-GB"/>
        </w:rPr>
        <w:t>.</w:t>
      </w:r>
      <w:r w:rsidR="00813F20">
        <w:rPr>
          <w:lang w:val="en-GB"/>
        </w:rPr>
        <w:t xml:space="preserve"> </w:t>
      </w:r>
      <w:r w:rsidR="002C44A3">
        <w:rPr>
          <w:lang w:val="en-GB"/>
        </w:rPr>
        <w:t>These practices</w:t>
      </w:r>
      <w:r w:rsidRPr="002A6BD7">
        <w:t xml:space="preserve"> </w:t>
      </w:r>
      <w:r w:rsidR="0098188B">
        <w:t>challeng</w:t>
      </w:r>
      <w:r w:rsidR="002C44A3" w:rsidRPr="00B76FD9">
        <w:rPr>
          <w:lang w:val="en-GB"/>
        </w:rPr>
        <w:t>e</w:t>
      </w:r>
      <w:r w:rsidRPr="002A6BD7">
        <w:t xml:space="preserve"> traditional barriers between</w:t>
      </w:r>
      <w:r w:rsidR="0098188B">
        <w:t xml:space="preserve"> </w:t>
      </w:r>
      <w:r w:rsidRPr="002A6BD7">
        <w:t xml:space="preserve">health, </w:t>
      </w:r>
      <w:r w:rsidR="0098188B">
        <w:t>education, social welfare</w:t>
      </w:r>
      <w:r w:rsidR="005E70C9">
        <w:t xml:space="preserve"> and other sectors</w:t>
      </w:r>
      <w:r w:rsidR="00197B59" w:rsidRPr="008A0770">
        <w:rPr>
          <w:lang w:val="en-GB"/>
        </w:rPr>
        <w:t>.</w:t>
      </w:r>
      <w:r w:rsidRPr="002A6BD7">
        <w:t xml:space="preserve"> For example, effective program</w:t>
      </w:r>
      <w:r w:rsidR="003C6F08">
        <w:rPr>
          <w:lang w:val="en-US"/>
        </w:rPr>
        <w:t>me</w:t>
      </w:r>
      <w:r w:rsidRPr="002A6BD7">
        <w:t xml:space="preserve">s </w:t>
      </w:r>
      <w:r w:rsidR="00E17BAB">
        <w:t>can</w:t>
      </w:r>
      <w:r w:rsidRPr="002A6BD7">
        <w:t xml:space="preserve"> be developed </w:t>
      </w:r>
      <w:r w:rsidR="0098188B">
        <w:t>to</w:t>
      </w:r>
      <w:r w:rsidR="00937848">
        <w:t xml:space="preserve"> </w:t>
      </w:r>
      <w:r w:rsidR="008A7666">
        <w:t>enable community supp</w:t>
      </w:r>
      <w:r w:rsidRPr="002A6BD7">
        <w:t xml:space="preserve">ort for </w:t>
      </w:r>
      <w:r w:rsidR="003C6F08">
        <w:rPr>
          <w:lang w:val="en-US"/>
        </w:rPr>
        <w:t xml:space="preserve">preventing </w:t>
      </w:r>
      <w:r w:rsidRPr="002A6BD7">
        <w:t xml:space="preserve">violence, particularly </w:t>
      </w:r>
      <w:r w:rsidR="0098188B">
        <w:t xml:space="preserve">violence against </w:t>
      </w:r>
      <w:r w:rsidR="00E17BAB">
        <w:t>women and domestic violence. C</w:t>
      </w:r>
      <w:r w:rsidRPr="002A6BD7">
        <w:t>ommunity</w:t>
      </w:r>
      <w:r w:rsidR="003C6F08">
        <w:rPr>
          <w:lang w:val="en-US"/>
        </w:rPr>
        <w:t>-</w:t>
      </w:r>
      <w:r w:rsidRPr="002A6BD7">
        <w:t>based initiatives and neighbourhood prevention activities</w:t>
      </w:r>
      <w:r w:rsidR="00937848">
        <w:t xml:space="preserve"> </w:t>
      </w:r>
      <w:r w:rsidR="00E17BAB">
        <w:t xml:space="preserve">can also be designed </w:t>
      </w:r>
      <w:r w:rsidR="0098188B">
        <w:t xml:space="preserve">to </w:t>
      </w:r>
      <w:r w:rsidRPr="002A6BD7">
        <w:t>provide education for first</w:t>
      </w:r>
      <w:r w:rsidR="003C6F08">
        <w:rPr>
          <w:lang w:val="en-US"/>
        </w:rPr>
        <w:t>-</w:t>
      </w:r>
      <w:r w:rsidRPr="002A6BD7">
        <w:t>time parents</w:t>
      </w:r>
      <w:r w:rsidR="006A3BDA">
        <w:rPr>
          <w:lang w:val="en-US"/>
        </w:rPr>
        <w:t>,</w:t>
      </w:r>
      <w:r w:rsidRPr="002A6BD7">
        <w:t xml:space="preserve"> focusing on child-parent relationships</w:t>
      </w:r>
      <w:r w:rsidR="00E17BAB">
        <w:t>. Support</w:t>
      </w:r>
      <w:r w:rsidR="005E70C9">
        <w:t xml:space="preserve"> to</w:t>
      </w:r>
      <w:r w:rsidR="00E17BAB">
        <w:t xml:space="preserve"> </w:t>
      </w:r>
      <w:r w:rsidRPr="002A6BD7">
        <w:t xml:space="preserve">family planning activities </w:t>
      </w:r>
      <w:r w:rsidR="00E17BAB">
        <w:t xml:space="preserve">can be put in place </w:t>
      </w:r>
      <w:r w:rsidRPr="002A6BD7">
        <w:t>to pre</w:t>
      </w:r>
      <w:r w:rsidR="00E17BAB">
        <w:t>vent early or unwanted pregnancies</w:t>
      </w:r>
      <w:r w:rsidRPr="002A6BD7">
        <w:t xml:space="preserve"> through </w:t>
      </w:r>
      <w:r w:rsidR="00E17BAB">
        <w:t xml:space="preserve">the provision of comprehensive </w:t>
      </w:r>
      <w:r w:rsidR="002C44A3" w:rsidRPr="00B76FD9">
        <w:rPr>
          <w:lang w:val="en-GB"/>
        </w:rPr>
        <w:t xml:space="preserve">sexuality </w:t>
      </w:r>
      <w:r w:rsidRPr="002A6BD7">
        <w:t>education and</w:t>
      </w:r>
      <w:r w:rsidR="00E17BAB">
        <w:t xml:space="preserve"> information, and by providing</w:t>
      </w:r>
      <w:r w:rsidRPr="002A6BD7">
        <w:t xml:space="preserve"> access to </w:t>
      </w:r>
      <w:r w:rsidR="00E17BAB">
        <w:t xml:space="preserve">a varied range of </w:t>
      </w:r>
      <w:r w:rsidRPr="002A6BD7">
        <w:t>contraception</w:t>
      </w:r>
      <w:r w:rsidR="00937848">
        <w:t xml:space="preserve"> </w:t>
      </w:r>
      <w:r w:rsidR="006058E4">
        <w:t>methods.</w:t>
      </w:r>
    </w:p>
    <w:p w:rsidR="0098188B" w:rsidRPr="00A04ABE" w:rsidRDefault="00E17BAB" w:rsidP="00CB75BE">
      <w:pPr>
        <w:pStyle w:val="SingleTxtG"/>
        <w:numPr>
          <w:ilvl w:val="0"/>
          <w:numId w:val="45"/>
        </w:numPr>
        <w:ind w:left="1134" w:firstLine="0"/>
        <w:rPr>
          <w:lang w:val="en-GB"/>
        </w:rPr>
      </w:pPr>
      <w:r>
        <w:t>The</w:t>
      </w:r>
      <w:r w:rsidR="002A6BD7" w:rsidRPr="002A6BD7">
        <w:t xml:space="preserve"> cooperation between sectors</w:t>
      </w:r>
      <w:r>
        <w:t xml:space="preserve"> can also be </w:t>
      </w:r>
      <w:r w:rsidR="00197B59" w:rsidRPr="008A0770">
        <w:rPr>
          <w:lang w:val="en-GB"/>
        </w:rPr>
        <w:t>beneficial</w:t>
      </w:r>
      <w:r w:rsidR="00197B59">
        <w:t xml:space="preserve"> </w:t>
      </w:r>
      <w:r w:rsidR="00C02F5E">
        <w:t xml:space="preserve">to facilitate </w:t>
      </w:r>
      <w:r w:rsidR="002A6BD7" w:rsidRPr="002A6BD7">
        <w:t>access to preschool education, especially for children of families at risk</w:t>
      </w:r>
      <w:r w:rsidR="00C02F5E">
        <w:t>, and</w:t>
      </w:r>
      <w:r w:rsidR="00937848">
        <w:t xml:space="preserve"> </w:t>
      </w:r>
      <w:r w:rsidR="002A6BD7" w:rsidRPr="002A6BD7">
        <w:t>enable community readiness to accept and integrate children and adults with disabilities in</w:t>
      </w:r>
      <w:r w:rsidR="00C65CB7">
        <w:rPr>
          <w:lang w:val="en-US"/>
        </w:rPr>
        <w:t>to</w:t>
      </w:r>
      <w:r w:rsidR="002A6BD7" w:rsidRPr="002A6BD7">
        <w:t xml:space="preserve"> all of </w:t>
      </w:r>
      <w:r w:rsidR="00C65CB7">
        <w:rPr>
          <w:lang w:val="en-US"/>
        </w:rPr>
        <w:t xml:space="preserve">the </w:t>
      </w:r>
      <w:r w:rsidR="002A6BD7" w:rsidRPr="002A6BD7">
        <w:t>everyday life of the community</w:t>
      </w:r>
      <w:r w:rsidR="00C02F5E">
        <w:t>.</w:t>
      </w:r>
      <w:r w:rsidR="00937848">
        <w:t xml:space="preserve"> </w:t>
      </w:r>
      <w:r w:rsidR="00C02F5E">
        <w:t>This approach can also offer</w:t>
      </w:r>
      <w:r w:rsidR="002A6BD7" w:rsidRPr="002A6BD7">
        <w:t xml:space="preserve"> opportunities for adolescents and youth at risk </w:t>
      </w:r>
      <w:r>
        <w:t>to</w:t>
      </w:r>
      <w:r w:rsidR="002A6BD7" w:rsidRPr="002A6BD7">
        <w:t xml:space="preserve"> find </w:t>
      </w:r>
      <w:r w:rsidR="00C02F5E">
        <w:t>alternatives</w:t>
      </w:r>
      <w:r w:rsidR="002A6BD7" w:rsidRPr="002A6BD7">
        <w:t xml:space="preserve"> </w:t>
      </w:r>
      <w:r w:rsidR="00C02F5E">
        <w:t>to</w:t>
      </w:r>
      <w:r w:rsidR="002A6BD7" w:rsidRPr="002A6BD7">
        <w:t xml:space="preserve"> </w:t>
      </w:r>
      <w:r w:rsidR="00C02F5E">
        <w:t xml:space="preserve">youth </w:t>
      </w:r>
      <w:r w:rsidR="002A6BD7" w:rsidRPr="002A6BD7">
        <w:t>violence</w:t>
      </w:r>
      <w:r w:rsidR="00C02F5E">
        <w:t xml:space="preserve"> by engaging them in </w:t>
      </w:r>
      <w:r w:rsidR="00C02F5E" w:rsidRPr="002A6BD7">
        <w:t xml:space="preserve">community programmes </w:t>
      </w:r>
      <w:r w:rsidR="00C02F5E">
        <w:t>that support</w:t>
      </w:r>
      <w:r w:rsidR="00C02F5E" w:rsidRPr="002A6BD7">
        <w:t xml:space="preserve"> recreation centre</w:t>
      </w:r>
      <w:r w:rsidR="00C02F5E">
        <w:t>s</w:t>
      </w:r>
      <w:r w:rsidR="00C02F5E" w:rsidRPr="002A6BD7">
        <w:t xml:space="preserve"> for older </w:t>
      </w:r>
      <w:r w:rsidR="00C65CB7">
        <w:rPr>
          <w:lang w:val="en-US"/>
        </w:rPr>
        <w:t>persons,</w:t>
      </w:r>
      <w:r w:rsidR="00C02F5E">
        <w:t xml:space="preserve"> thus contributing to the reinforcement of intergenerational links and</w:t>
      </w:r>
      <w:r w:rsidR="00813F20">
        <w:rPr>
          <w:lang w:val="en-US"/>
        </w:rPr>
        <w:t xml:space="preserve"> </w:t>
      </w:r>
      <w:r w:rsidR="00E27166">
        <w:rPr>
          <w:lang w:val="en-US"/>
        </w:rPr>
        <w:t xml:space="preserve">improving </w:t>
      </w:r>
      <w:r w:rsidR="00C65CB7">
        <w:rPr>
          <w:lang w:val="en-US"/>
        </w:rPr>
        <w:t xml:space="preserve">the </w:t>
      </w:r>
      <w:r w:rsidR="00E27166">
        <w:rPr>
          <w:lang w:val="en-US"/>
        </w:rPr>
        <w:t>quality of hum</w:t>
      </w:r>
      <w:r w:rsidR="00E15A33">
        <w:rPr>
          <w:lang w:val="en-US"/>
        </w:rPr>
        <w:t>a</w:t>
      </w:r>
      <w:r w:rsidR="00E27166">
        <w:rPr>
          <w:lang w:val="en-US"/>
        </w:rPr>
        <w:t>n relationships in general.</w:t>
      </w:r>
    </w:p>
    <w:p w:rsidR="00AB2009" w:rsidRPr="008A0770" w:rsidRDefault="002C44A3" w:rsidP="00D05FE0">
      <w:pPr>
        <w:pStyle w:val="SingleTxtG"/>
        <w:numPr>
          <w:ilvl w:val="0"/>
          <w:numId w:val="45"/>
        </w:numPr>
        <w:ind w:left="1134" w:firstLine="0"/>
        <w:rPr>
          <w:lang w:val="en-GB"/>
        </w:rPr>
      </w:pPr>
      <w:r>
        <w:t xml:space="preserve">The “policy </w:t>
      </w:r>
      <w:r w:rsidRPr="002A6BD7">
        <w:t>approach</w:t>
      </w:r>
      <w:r>
        <w:t>”</w:t>
      </w:r>
      <w:r w:rsidR="00C65CB7">
        <w:rPr>
          <w:lang w:val="en-US"/>
        </w:rPr>
        <w:t>,</w:t>
      </w:r>
      <w:r w:rsidRPr="002A6BD7">
        <w:t xml:space="preserve"> if implemented e</w:t>
      </w:r>
      <w:r>
        <w:t xml:space="preserve">ffectively, </w:t>
      </w:r>
      <w:r w:rsidRPr="00B76FD9">
        <w:rPr>
          <w:lang w:val="en-GB"/>
        </w:rPr>
        <w:t>creates</w:t>
      </w:r>
      <w:r w:rsidRPr="002A6BD7">
        <w:t xml:space="preserve"> </w:t>
      </w:r>
      <w:r>
        <w:t>valuable opportunities for</w:t>
      </w:r>
      <w:r w:rsidRPr="002A6BD7">
        <w:t xml:space="preserve"> social</w:t>
      </w:r>
      <w:r>
        <w:t xml:space="preserve"> innovations through the empowerment of</w:t>
      </w:r>
      <w:r w:rsidRPr="002A6BD7">
        <w:t xml:space="preserve"> citizens, families, communities and societies at large</w:t>
      </w:r>
      <w:r>
        <w:t>.</w:t>
      </w:r>
      <w:r w:rsidR="00813F20">
        <w:t xml:space="preserve"> </w:t>
      </w:r>
      <w:r>
        <w:t>By</w:t>
      </w:r>
      <w:r w:rsidRPr="002A6BD7">
        <w:t xml:space="preserve"> using</w:t>
      </w:r>
      <w:r>
        <w:t xml:space="preserve"> modern concept</w:t>
      </w:r>
      <w:r w:rsidRPr="002A6BD7">
        <w:t>s of hea</w:t>
      </w:r>
      <w:r>
        <w:t xml:space="preserve">lth promotion and public health, this approach can also </w:t>
      </w:r>
      <w:r w:rsidRPr="002A6BD7">
        <w:t>facilitat</w:t>
      </w:r>
      <w:r>
        <w:t xml:space="preserve">e the </w:t>
      </w:r>
      <w:r w:rsidRPr="002A6BD7">
        <w:t xml:space="preserve">meaningful participation </w:t>
      </w:r>
      <w:r>
        <w:t xml:space="preserve">of all stakeholders </w:t>
      </w:r>
      <w:r w:rsidRPr="002A6BD7">
        <w:t xml:space="preserve">and </w:t>
      </w:r>
      <w:r>
        <w:t>reinforce the</w:t>
      </w:r>
      <w:r w:rsidRPr="002A6BD7">
        <w:t xml:space="preserve"> protective factors and resilience</w:t>
      </w:r>
      <w:r>
        <w:t xml:space="preserve"> of individuals and communities</w:t>
      </w:r>
      <w:r w:rsidR="00813F20" w:rsidRPr="00840D9F">
        <w:rPr>
          <w:lang w:val="en-US"/>
        </w:rPr>
        <w:t>.</w:t>
      </w:r>
    </w:p>
    <w:p w:rsidR="005D6660" w:rsidRPr="003D5ADC" w:rsidRDefault="00B25CF4" w:rsidP="00B25CF4">
      <w:pPr>
        <w:pStyle w:val="H1G"/>
      </w:pPr>
      <w:r>
        <w:tab/>
        <w:t>B.</w:t>
      </w:r>
      <w:r>
        <w:tab/>
      </w:r>
      <w:r w:rsidR="00734CAE" w:rsidRPr="003D5ADC">
        <w:t>R</w:t>
      </w:r>
      <w:r w:rsidR="002A6BD7" w:rsidRPr="003D5ADC">
        <w:t>ight to health</w:t>
      </w:r>
      <w:r w:rsidR="00734CAE" w:rsidRPr="003D5ADC">
        <w:t xml:space="preserve"> policies</w:t>
      </w:r>
      <w:r w:rsidR="002A6BD7" w:rsidRPr="003D5ADC">
        <w:t xml:space="preserve">: power asymmetries, unbalanced </w:t>
      </w:r>
      <w:r w:rsidR="005D6660" w:rsidRPr="003D5ADC">
        <w:t>approaches</w:t>
      </w:r>
      <w:r w:rsidR="002A6BD7" w:rsidRPr="003D5ADC">
        <w:t xml:space="preserve"> and other challenges </w:t>
      </w:r>
    </w:p>
    <w:p w:rsidR="002A6BD7" w:rsidRPr="002A6BD7" w:rsidRDefault="00C2225D" w:rsidP="00CB75BE">
      <w:pPr>
        <w:pStyle w:val="SingleTxtG"/>
        <w:numPr>
          <w:ilvl w:val="0"/>
          <w:numId w:val="45"/>
        </w:numPr>
        <w:ind w:left="1134" w:firstLine="0"/>
      </w:pPr>
      <w:r w:rsidRPr="00840D9F">
        <w:rPr>
          <w:lang w:val="en-GB"/>
        </w:rPr>
        <w:t>T</w:t>
      </w:r>
      <w:r w:rsidR="00AB2009" w:rsidRPr="00840D9F">
        <w:rPr>
          <w:lang w:val="en-GB"/>
        </w:rPr>
        <w:t>he</w:t>
      </w:r>
      <w:r w:rsidR="002A6BD7" w:rsidRPr="00840D9F">
        <w:t xml:space="preserve"> </w:t>
      </w:r>
      <w:r w:rsidR="00166763" w:rsidRPr="00840D9F">
        <w:rPr>
          <w:lang w:val="en-GB"/>
        </w:rPr>
        <w:t>implementation of evidence-based</w:t>
      </w:r>
      <w:r w:rsidR="005D6660" w:rsidRPr="00840D9F">
        <w:t xml:space="preserve"> medicine and public health</w:t>
      </w:r>
      <w:r w:rsidR="00166763" w:rsidRPr="00840D9F">
        <w:rPr>
          <w:lang w:val="en-GB"/>
        </w:rPr>
        <w:t xml:space="preserve"> science</w:t>
      </w:r>
      <w:r w:rsidR="005D6660" w:rsidRPr="00840D9F">
        <w:t xml:space="preserve"> is </w:t>
      </w:r>
      <w:r w:rsidR="000335EA" w:rsidRPr="00840D9F">
        <w:rPr>
          <w:lang w:val="en-GB"/>
        </w:rPr>
        <w:t xml:space="preserve">often </w:t>
      </w:r>
      <w:r w:rsidR="005D6660" w:rsidRPr="00840D9F">
        <w:t>hindered by the departure</w:t>
      </w:r>
      <w:r w:rsidR="002A6BD7" w:rsidRPr="00840D9F">
        <w:t xml:space="preserve"> </w:t>
      </w:r>
      <w:r w:rsidR="005D6660" w:rsidRPr="00840D9F">
        <w:t xml:space="preserve">from </w:t>
      </w:r>
      <w:r w:rsidR="00166763" w:rsidRPr="00840D9F">
        <w:rPr>
          <w:lang w:val="en-US"/>
        </w:rPr>
        <w:t xml:space="preserve">such </w:t>
      </w:r>
      <w:r w:rsidR="00773070" w:rsidRPr="00840D9F">
        <w:rPr>
          <w:lang w:val="en-US"/>
        </w:rPr>
        <w:t>evidence</w:t>
      </w:r>
      <w:r w:rsidR="00B64D4C">
        <w:rPr>
          <w:lang w:val="en-US"/>
        </w:rPr>
        <w:t>,</w:t>
      </w:r>
      <w:r w:rsidR="00734CAE" w:rsidRPr="00840D9F">
        <w:rPr>
          <w:lang w:val="en-GB"/>
        </w:rPr>
        <w:t xml:space="preserve"> </w:t>
      </w:r>
      <w:r w:rsidR="005D6660" w:rsidRPr="00840D9F">
        <w:t>result</w:t>
      </w:r>
      <w:r w:rsidR="00166763" w:rsidRPr="00840D9F">
        <w:rPr>
          <w:lang w:val="en-US"/>
        </w:rPr>
        <w:t>ing</w:t>
      </w:r>
      <w:r w:rsidR="005D6660" w:rsidRPr="00840D9F">
        <w:t xml:space="preserve"> in</w:t>
      </w:r>
      <w:r w:rsidR="002A6BD7" w:rsidRPr="00840D9F">
        <w:t xml:space="preserve"> unbalanced and selective policies and practices</w:t>
      </w:r>
      <w:r w:rsidR="006D1D16" w:rsidRPr="00840D9F">
        <w:rPr>
          <w:lang w:val="en-GB"/>
        </w:rPr>
        <w:t xml:space="preserve"> that </w:t>
      </w:r>
      <w:r w:rsidR="000335EA" w:rsidRPr="00840D9F">
        <w:rPr>
          <w:lang w:val="en-GB"/>
        </w:rPr>
        <w:t xml:space="preserve">hamper </w:t>
      </w:r>
      <w:r w:rsidR="00166763" w:rsidRPr="00840D9F">
        <w:rPr>
          <w:lang w:val="en-GB"/>
        </w:rPr>
        <w:t>the</w:t>
      </w:r>
      <w:r w:rsidR="00166763" w:rsidRPr="00840D9F">
        <w:t xml:space="preserve"> </w:t>
      </w:r>
      <w:r w:rsidR="006D1D16" w:rsidRPr="00840D9F">
        <w:rPr>
          <w:lang w:val="en-GB"/>
        </w:rPr>
        <w:t>full</w:t>
      </w:r>
      <w:r w:rsidR="00166763" w:rsidRPr="00840D9F">
        <w:t xml:space="preserve"> </w:t>
      </w:r>
      <w:r w:rsidR="00166763" w:rsidRPr="00840D9F">
        <w:rPr>
          <w:lang w:val="en-GB"/>
        </w:rPr>
        <w:t>reali</w:t>
      </w:r>
      <w:r w:rsidR="00516379" w:rsidRPr="00840D9F">
        <w:rPr>
          <w:lang w:val="en-GB"/>
        </w:rPr>
        <w:t>z</w:t>
      </w:r>
      <w:r w:rsidR="00166763" w:rsidRPr="00840D9F">
        <w:rPr>
          <w:lang w:val="en-GB"/>
        </w:rPr>
        <w:t>ation</w:t>
      </w:r>
      <w:r w:rsidR="00166763" w:rsidRPr="00840D9F">
        <w:t xml:space="preserve"> of human right</w:t>
      </w:r>
      <w:r w:rsidR="000335EA" w:rsidRPr="00840D9F">
        <w:rPr>
          <w:lang w:val="en-GB"/>
        </w:rPr>
        <w:t>s, including the right to health</w:t>
      </w:r>
      <w:r w:rsidR="002A6BD7" w:rsidRPr="00840D9F">
        <w:t>.</w:t>
      </w:r>
      <w:r w:rsidR="005D6660">
        <w:t xml:space="preserve"> </w:t>
      </w:r>
      <w:r w:rsidR="002A6BD7" w:rsidRPr="002A6BD7">
        <w:t xml:space="preserve">One way to </w:t>
      </w:r>
      <w:r w:rsidR="005D6660" w:rsidRPr="002A6BD7">
        <w:t>analyse</w:t>
      </w:r>
      <w:r w:rsidR="005D6660">
        <w:t xml:space="preserve"> the challenges</w:t>
      </w:r>
      <w:r w:rsidR="004B3D40">
        <w:rPr>
          <w:lang w:val="en-US"/>
        </w:rPr>
        <w:t xml:space="preserve"> to</w:t>
      </w:r>
      <w:r w:rsidR="005D6660">
        <w:t xml:space="preserve"> and opportunities for the</w:t>
      </w:r>
      <w:r w:rsidR="002A6BD7" w:rsidRPr="002A6BD7">
        <w:t xml:space="preserve"> effective realization of right to health is to</w:t>
      </w:r>
      <w:r w:rsidR="005D6660">
        <w:t xml:space="preserve"> </w:t>
      </w:r>
      <w:r w:rsidR="002A6BD7" w:rsidRPr="002A6BD7">
        <w:t>focus on the need to balance the importa</w:t>
      </w:r>
      <w:r w:rsidR="005D6660">
        <w:t xml:space="preserve">nt elements of the right </w:t>
      </w:r>
      <w:r w:rsidR="004B3D40">
        <w:rPr>
          <w:lang w:val="en-US"/>
        </w:rPr>
        <w:t>and</w:t>
      </w:r>
      <w:r w:rsidR="004B3D40">
        <w:t xml:space="preserve"> </w:t>
      </w:r>
      <w:r w:rsidR="005D6660">
        <w:t>to prevent</w:t>
      </w:r>
      <w:r w:rsidR="002A6BD7" w:rsidRPr="002A6BD7">
        <w:t xml:space="preserve"> tendencies and incentives which lead to power asymmetries and </w:t>
      </w:r>
      <w:r w:rsidR="005D6660">
        <w:t>unfair</w:t>
      </w:r>
      <w:r w:rsidR="002A6BD7" w:rsidRPr="002A6BD7">
        <w:t xml:space="preserve"> policies and practices.</w:t>
      </w:r>
    </w:p>
    <w:p w:rsidR="002A6BD7" w:rsidRPr="002A6BD7" w:rsidRDefault="005D6660" w:rsidP="00D05FE0">
      <w:pPr>
        <w:pStyle w:val="SingleTxtG"/>
        <w:numPr>
          <w:ilvl w:val="0"/>
          <w:numId w:val="45"/>
        </w:numPr>
        <w:ind w:left="1134" w:firstLine="0"/>
      </w:pPr>
      <w:r>
        <w:t xml:space="preserve">The </w:t>
      </w:r>
      <w:r w:rsidR="00D75AAB">
        <w:t>imbalances in</w:t>
      </w:r>
      <w:r>
        <w:t xml:space="preserve"> </w:t>
      </w:r>
      <w:r w:rsidR="00D75AAB">
        <w:t>health-related policies and practices are</w:t>
      </w:r>
      <w:r w:rsidR="002A6BD7" w:rsidRPr="002A6BD7">
        <w:t xml:space="preserve"> often a result of power struggle</w:t>
      </w:r>
      <w:r w:rsidR="00D75AAB">
        <w:t>s</w:t>
      </w:r>
      <w:r w:rsidR="002A6BD7" w:rsidRPr="002A6BD7">
        <w:t xml:space="preserve"> and an outcome and sign of</w:t>
      </w:r>
      <w:r w:rsidR="00E82203">
        <w:rPr>
          <w:lang w:val="en-US"/>
        </w:rPr>
        <w:t xml:space="preserve"> a</w:t>
      </w:r>
      <w:r w:rsidR="002A6BD7" w:rsidRPr="002A6BD7">
        <w:t xml:space="preserve"> lack of transparency, accountability and political will to follow established principles and standards.</w:t>
      </w:r>
      <w:r w:rsidR="00D75AAB">
        <w:t xml:space="preserve"> Such imbalances</w:t>
      </w:r>
      <w:r w:rsidR="002A6BD7" w:rsidRPr="002A6BD7">
        <w:t xml:space="preserve"> emerge </w:t>
      </w:r>
      <w:r w:rsidR="00D75AAB">
        <w:t xml:space="preserve">often </w:t>
      </w:r>
      <w:r w:rsidR="002A6BD7" w:rsidRPr="002A6BD7">
        <w:t>as a consequence of</w:t>
      </w:r>
      <w:r w:rsidR="00D75AAB">
        <w:t xml:space="preserve"> </w:t>
      </w:r>
      <w:r w:rsidR="002A6BD7" w:rsidRPr="002A6BD7">
        <w:t>a departure from a holistic approach to human rights</w:t>
      </w:r>
      <w:r w:rsidR="00D75AAB">
        <w:t xml:space="preserve">. This </w:t>
      </w:r>
      <w:r w:rsidR="002A6BD7" w:rsidRPr="002A6BD7">
        <w:t xml:space="preserve">is reinforced by power asymmetries between stakeholders and interest groups within and outside of health sector. These </w:t>
      </w:r>
      <w:r w:rsidR="00D75AAB">
        <w:t xml:space="preserve">selective </w:t>
      </w:r>
      <w:r w:rsidR="002A6BD7" w:rsidRPr="002A6BD7">
        <w:t xml:space="preserve">policies and practices </w:t>
      </w:r>
      <w:r w:rsidR="00D75AAB">
        <w:t xml:space="preserve">tend to </w:t>
      </w:r>
      <w:r w:rsidR="002A6BD7" w:rsidRPr="002A6BD7">
        <w:t xml:space="preserve">lead </w:t>
      </w:r>
      <w:r w:rsidR="00D75AAB">
        <w:t>to ineffective</w:t>
      </w:r>
      <w:r w:rsidR="00D75AAB" w:rsidRPr="002A6BD7">
        <w:t xml:space="preserve"> health policies and ineffective,</w:t>
      </w:r>
      <w:r w:rsidR="00D75AAB">
        <w:t xml:space="preserve"> </w:t>
      </w:r>
      <w:r w:rsidR="00D75AAB" w:rsidRPr="002A6BD7">
        <w:t>even harmful, health</w:t>
      </w:r>
      <w:r w:rsidR="004B3D40">
        <w:rPr>
          <w:lang w:val="en-US"/>
        </w:rPr>
        <w:t>-</w:t>
      </w:r>
      <w:r w:rsidR="00D75AAB" w:rsidRPr="002A6BD7">
        <w:t>care practices</w:t>
      </w:r>
      <w:r w:rsidR="00D75AAB">
        <w:t xml:space="preserve"> and</w:t>
      </w:r>
      <w:r w:rsidR="00D75AAB" w:rsidRPr="002A6BD7">
        <w:t xml:space="preserve"> </w:t>
      </w:r>
      <w:r w:rsidR="002A6BD7" w:rsidRPr="002A6BD7">
        <w:t>to vi</w:t>
      </w:r>
      <w:r w:rsidR="00D75AAB">
        <w:t>olations of human rights</w:t>
      </w:r>
      <w:r w:rsidR="002A6BD7" w:rsidRPr="002A6BD7">
        <w:t>.</w:t>
      </w:r>
    </w:p>
    <w:p w:rsidR="00282619" w:rsidRPr="0073018A" w:rsidRDefault="008B072C" w:rsidP="00CB75BE">
      <w:pPr>
        <w:pStyle w:val="SingleTxtG"/>
        <w:numPr>
          <w:ilvl w:val="0"/>
          <w:numId w:val="45"/>
        </w:numPr>
        <w:ind w:left="1134" w:firstLine="0"/>
      </w:pPr>
      <w:r w:rsidRPr="00B76FD9">
        <w:rPr>
          <w:lang w:val="en-GB"/>
        </w:rPr>
        <w:t>The Special Rapporteur is concerned</w:t>
      </w:r>
      <w:r w:rsidR="005D6660">
        <w:t xml:space="preserve"> </w:t>
      </w:r>
      <w:r w:rsidRPr="00B76FD9">
        <w:rPr>
          <w:lang w:val="en-GB"/>
        </w:rPr>
        <w:t>about instances of</w:t>
      </w:r>
      <w:r>
        <w:t xml:space="preserve"> </w:t>
      </w:r>
      <w:r w:rsidR="007304BA" w:rsidRPr="00EA09C4">
        <w:rPr>
          <w:lang w:val="en-GB"/>
        </w:rPr>
        <w:t>un</w:t>
      </w:r>
      <w:r w:rsidR="005D6660">
        <w:t>balance</w:t>
      </w:r>
      <w:r w:rsidR="00AB2009" w:rsidRPr="00B76FD9">
        <w:rPr>
          <w:lang w:val="en-GB"/>
        </w:rPr>
        <w:t>d</w:t>
      </w:r>
      <w:r w:rsidR="005D6660">
        <w:t xml:space="preserve"> </w:t>
      </w:r>
      <w:r w:rsidR="00D75AAB">
        <w:t>policies and practice</w:t>
      </w:r>
      <w:r w:rsidRPr="00B76FD9">
        <w:rPr>
          <w:lang w:val="en-GB"/>
        </w:rPr>
        <w:t>s</w:t>
      </w:r>
      <w:r w:rsidR="002A6BD7" w:rsidRPr="002A6BD7">
        <w:t xml:space="preserve"> </w:t>
      </w:r>
      <w:r w:rsidRPr="00B76FD9">
        <w:rPr>
          <w:lang w:val="en-GB"/>
        </w:rPr>
        <w:t xml:space="preserve">which seriously undermine the full </w:t>
      </w:r>
      <w:r w:rsidRPr="008107F6">
        <w:rPr>
          <w:lang w:val="en-GB"/>
        </w:rPr>
        <w:t>enjoyment</w:t>
      </w:r>
      <w:r w:rsidRPr="00B76FD9">
        <w:rPr>
          <w:lang w:val="en-GB"/>
        </w:rPr>
        <w:t xml:space="preserve"> of the right to health</w:t>
      </w:r>
      <w:r w:rsidR="002A6BD7" w:rsidRPr="002A6BD7">
        <w:t>.</w:t>
      </w:r>
      <w:r w:rsidR="00813F20">
        <w:t xml:space="preserve"> </w:t>
      </w:r>
      <w:r>
        <w:rPr>
          <w:lang w:val="en-GB"/>
        </w:rPr>
        <w:t xml:space="preserve">Those </w:t>
      </w:r>
      <w:r w:rsidR="007304BA">
        <w:rPr>
          <w:lang w:val="en-GB"/>
        </w:rPr>
        <w:t>im</w:t>
      </w:r>
      <w:r w:rsidR="002A6BD7" w:rsidRPr="002A6BD7">
        <w:t xml:space="preserve">balances </w:t>
      </w:r>
      <w:r w:rsidRPr="00B76FD9">
        <w:rPr>
          <w:lang w:val="en-GB"/>
        </w:rPr>
        <w:t>can</w:t>
      </w:r>
      <w:r>
        <w:t xml:space="preserve"> </w:t>
      </w:r>
      <w:r w:rsidR="002A6BD7" w:rsidRPr="002A6BD7">
        <w:t xml:space="preserve">lead to </w:t>
      </w:r>
      <w:r w:rsidR="00992A28">
        <w:t xml:space="preserve">an artificial </w:t>
      </w:r>
      <w:r w:rsidR="002A6BD7" w:rsidRPr="002A6BD7">
        <w:t xml:space="preserve">hierarchy and </w:t>
      </w:r>
      <w:r w:rsidR="00992A28">
        <w:t xml:space="preserve">a </w:t>
      </w:r>
      <w:r w:rsidR="002A6BD7" w:rsidRPr="002A6BD7">
        <w:t>select</w:t>
      </w:r>
      <w:r w:rsidR="00992A28">
        <w:t>ive approach to human rights</w:t>
      </w:r>
      <w:r w:rsidR="00D75AAB">
        <w:t xml:space="preserve"> </w:t>
      </w:r>
      <w:r w:rsidR="00CB090F">
        <w:t>prioriti</w:t>
      </w:r>
      <w:r w:rsidR="004B3D40">
        <w:rPr>
          <w:lang w:val="en-US"/>
        </w:rPr>
        <w:t>z</w:t>
      </w:r>
      <w:r w:rsidR="00CB090F">
        <w:t>ing</w:t>
      </w:r>
      <w:r w:rsidR="002A6BD7" w:rsidRPr="002A6BD7">
        <w:t xml:space="preserve"> one </w:t>
      </w:r>
      <w:r w:rsidR="00666279">
        <w:t>group of right</w:t>
      </w:r>
      <w:r w:rsidR="00992A28">
        <w:t>s</w:t>
      </w:r>
      <w:r w:rsidR="00666279">
        <w:t xml:space="preserve"> over another</w:t>
      </w:r>
      <w:r w:rsidRPr="00B76FD9">
        <w:rPr>
          <w:lang w:val="en-GB"/>
        </w:rPr>
        <w:t>,</w:t>
      </w:r>
      <w:r w:rsidR="002A6BD7" w:rsidRPr="002A6BD7">
        <w:t xml:space="preserve"> or </w:t>
      </w:r>
      <w:r w:rsidRPr="00B76FD9">
        <w:rPr>
          <w:lang w:val="en-GB"/>
        </w:rPr>
        <w:t>can set</w:t>
      </w:r>
      <w:r w:rsidRPr="002A6BD7">
        <w:t xml:space="preserve"> </w:t>
      </w:r>
      <w:r w:rsidR="00992A28" w:rsidRPr="002A6BD7">
        <w:t>different</w:t>
      </w:r>
      <w:r w:rsidR="00CB090F">
        <w:t xml:space="preserve"> human rights standards for different groups of the population</w:t>
      </w:r>
      <w:r w:rsidR="002A6BD7" w:rsidRPr="002A6BD7">
        <w:t>.</w:t>
      </w:r>
      <w:r w:rsidR="00992A28">
        <w:t xml:space="preserve"> </w:t>
      </w:r>
      <w:r w:rsidRPr="00B76FD9">
        <w:rPr>
          <w:lang w:val="en-GB"/>
        </w:rPr>
        <w:t xml:space="preserve">Some </w:t>
      </w:r>
      <w:r w:rsidR="007304BA">
        <w:rPr>
          <w:lang w:val="en-GB"/>
        </w:rPr>
        <w:t>im</w:t>
      </w:r>
      <w:r w:rsidR="007304BA" w:rsidRPr="002A6BD7">
        <w:t>balances</w:t>
      </w:r>
      <w:r w:rsidR="002A6BD7" w:rsidRPr="002A6BD7">
        <w:t xml:space="preserve"> and power asymmetries </w:t>
      </w:r>
      <w:r w:rsidRPr="00B76FD9">
        <w:rPr>
          <w:lang w:val="en-GB"/>
        </w:rPr>
        <w:t xml:space="preserve">are </w:t>
      </w:r>
      <w:r>
        <w:rPr>
          <w:lang w:val="en-GB"/>
        </w:rPr>
        <w:t xml:space="preserve">present </w:t>
      </w:r>
      <w:r w:rsidR="002A6BD7" w:rsidRPr="002A6BD7">
        <w:t xml:space="preserve">within </w:t>
      </w:r>
      <w:r w:rsidRPr="00B76FD9">
        <w:rPr>
          <w:lang w:val="en-GB"/>
        </w:rPr>
        <w:t xml:space="preserve">the different </w:t>
      </w:r>
      <w:r w:rsidR="002A6BD7" w:rsidRPr="002A6BD7">
        <w:t>elements of health systems</w:t>
      </w:r>
      <w:r w:rsidR="004B3D40">
        <w:rPr>
          <w:lang w:val="en-US"/>
        </w:rPr>
        <w:t>;</w:t>
      </w:r>
      <w:r w:rsidR="002A6BD7" w:rsidRPr="002A6BD7">
        <w:t xml:space="preserve"> </w:t>
      </w:r>
      <w:r w:rsidR="004B3D40">
        <w:rPr>
          <w:lang w:val="en-US"/>
        </w:rPr>
        <w:t>for example,</w:t>
      </w:r>
      <w:r w:rsidR="002A6BD7" w:rsidRPr="002A6BD7">
        <w:t xml:space="preserve"> primary </w:t>
      </w:r>
      <w:r w:rsidR="00992A28">
        <w:t xml:space="preserve">care </w:t>
      </w:r>
      <w:r>
        <w:rPr>
          <w:lang w:val="en-US"/>
        </w:rPr>
        <w:t xml:space="preserve">often </w:t>
      </w:r>
      <w:r w:rsidR="00142F6C">
        <w:rPr>
          <w:lang w:val="en-US"/>
        </w:rPr>
        <w:t>fail</w:t>
      </w:r>
      <w:r w:rsidR="004B3D40">
        <w:rPr>
          <w:lang w:val="en-US"/>
        </w:rPr>
        <w:t>s</w:t>
      </w:r>
      <w:r w:rsidR="00142F6C">
        <w:rPr>
          <w:lang w:val="en-US"/>
        </w:rPr>
        <w:t xml:space="preserve"> </w:t>
      </w:r>
      <w:r w:rsidR="004B3D40">
        <w:rPr>
          <w:lang w:val="en-US"/>
        </w:rPr>
        <w:t xml:space="preserve">to </w:t>
      </w:r>
      <w:r w:rsidR="00142F6C">
        <w:rPr>
          <w:lang w:val="en-US"/>
        </w:rPr>
        <w:t>compet</w:t>
      </w:r>
      <w:r w:rsidR="004B3D40">
        <w:rPr>
          <w:lang w:val="en-US"/>
        </w:rPr>
        <w:t>e</w:t>
      </w:r>
      <w:r w:rsidR="00142F6C">
        <w:rPr>
          <w:lang w:val="en-US"/>
        </w:rPr>
        <w:t xml:space="preserve"> for budget allocations with specialized medicine. </w:t>
      </w:r>
      <w:r w:rsidR="00574C18">
        <w:t>These i</w:t>
      </w:r>
      <w:r w:rsidR="002A6BD7" w:rsidRPr="002A6BD7">
        <w:t xml:space="preserve">mbalances have </w:t>
      </w:r>
      <w:r w:rsidRPr="00B76FD9">
        <w:rPr>
          <w:lang w:val="en-GB"/>
        </w:rPr>
        <w:t xml:space="preserve">also </w:t>
      </w:r>
      <w:r w:rsidR="00574C18" w:rsidRPr="002A6BD7">
        <w:t xml:space="preserve">historically </w:t>
      </w:r>
      <w:r w:rsidR="00574C18">
        <w:t>led to disparities</w:t>
      </w:r>
      <w:r w:rsidR="002A6BD7" w:rsidRPr="002A6BD7">
        <w:t xml:space="preserve"> </w:t>
      </w:r>
      <w:r w:rsidRPr="00B76FD9">
        <w:rPr>
          <w:lang w:val="en-GB"/>
        </w:rPr>
        <w:t>in</w:t>
      </w:r>
      <w:r w:rsidRPr="002A6BD7">
        <w:t xml:space="preserve"> </w:t>
      </w:r>
      <w:r w:rsidR="002A6BD7" w:rsidRPr="002A6BD7">
        <w:t>investing in physical and mental health</w:t>
      </w:r>
      <w:r w:rsidRPr="00B76FD9">
        <w:rPr>
          <w:lang w:val="en-GB"/>
        </w:rPr>
        <w:t>.</w:t>
      </w:r>
    </w:p>
    <w:p w:rsidR="00734CAE" w:rsidRDefault="00B25CF4" w:rsidP="00B25CF4">
      <w:pPr>
        <w:pStyle w:val="H23G"/>
      </w:pPr>
      <w:r>
        <w:tab/>
      </w:r>
      <w:r w:rsidR="004B3D40">
        <w:t>1.</w:t>
      </w:r>
      <w:r>
        <w:tab/>
      </w:r>
      <w:r w:rsidR="002A6BD7" w:rsidRPr="00CB090F">
        <w:t xml:space="preserve">No </w:t>
      </w:r>
      <w:r w:rsidR="00142F6C">
        <w:t>h</w:t>
      </w:r>
      <w:r w:rsidR="002A6BD7" w:rsidRPr="00CB090F">
        <w:t>ierarchy within human rights</w:t>
      </w:r>
    </w:p>
    <w:p w:rsidR="002A6BD7" w:rsidRPr="002A6BD7" w:rsidRDefault="00142F6C" w:rsidP="00840D9F">
      <w:pPr>
        <w:pStyle w:val="SingleTxtG"/>
        <w:numPr>
          <w:ilvl w:val="0"/>
          <w:numId w:val="45"/>
        </w:numPr>
        <w:ind w:left="1134" w:firstLine="0"/>
      </w:pPr>
      <w:r>
        <w:rPr>
          <w:lang w:val="en-US"/>
        </w:rPr>
        <w:t xml:space="preserve">Lessons should be learned from </w:t>
      </w:r>
      <w:r w:rsidR="002A6BD7" w:rsidRPr="002A6BD7">
        <w:t xml:space="preserve">past and </w:t>
      </w:r>
      <w:r w:rsidR="00574C18">
        <w:t xml:space="preserve">present </w:t>
      </w:r>
      <w:r w:rsidR="00962C70" w:rsidRPr="00B76FD9">
        <w:rPr>
          <w:lang w:val="en-GB"/>
        </w:rPr>
        <w:t>experiences</w:t>
      </w:r>
      <w:r w:rsidR="004B3D40">
        <w:rPr>
          <w:lang w:val="en-GB"/>
        </w:rPr>
        <w:t>,</w:t>
      </w:r>
      <w:r w:rsidR="00962C70" w:rsidRPr="00B76FD9">
        <w:rPr>
          <w:lang w:val="en-GB"/>
        </w:rPr>
        <w:t xml:space="preserve"> which </w:t>
      </w:r>
      <w:r w:rsidR="00574C18">
        <w:t>demonstrat</w:t>
      </w:r>
      <w:r w:rsidR="00962C70" w:rsidRPr="00B76FD9">
        <w:rPr>
          <w:lang w:val="en-GB"/>
        </w:rPr>
        <w:t>e</w:t>
      </w:r>
      <w:r w:rsidR="00574C18">
        <w:t xml:space="preserve"> that any </w:t>
      </w:r>
      <w:r w:rsidR="002A6BD7" w:rsidRPr="002A6BD7">
        <w:t xml:space="preserve">hierarchy </w:t>
      </w:r>
      <w:r w:rsidR="00962C70" w:rsidRPr="00B76FD9">
        <w:rPr>
          <w:lang w:val="en-GB"/>
        </w:rPr>
        <w:t>among human</w:t>
      </w:r>
      <w:r w:rsidR="00962C70" w:rsidRPr="002A6BD7">
        <w:t xml:space="preserve"> </w:t>
      </w:r>
      <w:r w:rsidR="002A6BD7" w:rsidRPr="002A6BD7">
        <w:t xml:space="preserve">rights, </w:t>
      </w:r>
      <w:r w:rsidR="004B3D40">
        <w:rPr>
          <w:lang w:val="en-US"/>
        </w:rPr>
        <w:t xml:space="preserve">a </w:t>
      </w:r>
      <w:r w:rsidR="002A6BD7" w:rsidRPr="002A6BD7">
        <w:t>prioritizing of one right or one group of right</w:t>
      </w:r>
      <w:r w:rsidR="00574C18">
        <w:t>s</w:t>
      </w:r>
      <w:r w:rsidR="002A6BD7" w:rsidRPr="002A6BD7">
        <w:t xml:space="preserve"> over another, lead</w:t>
      </w:r>
      <w:r w:rsidR="00962C70" w:rsidRPr="00B76FD9">
        <w:rPr>
          <w:lang w:val="en-GB"/>
        </w:rPr>
        <w:t xml:space="preserve">s </w:t>
      </w:r>
      <w:r w:rsidR="002A6BD7" w:rsidRPr="002A6BD7">
        <w:t>to detrimental outcomes and systemic vi</w:t>
      </w:r>
      <w:r w:rsidR="00574C18">
        <w:t xml:space="preserve">olations of human rights. </w:t>
      </w:r>
      <w:r w:rsidR="002D49D8">
        <w:rPr>
          <w:lang w:val="en-GB"/>
        </w:rPr>
        <w:t>S</w:t>
      </w:r>
      <w:r w:rsidR="00962C70" w:rsidRPr="00B76FD9">
        <w:rPr>
          <w:lang w:val="en-GB"/>
        </w:rPr>
        <w:t xml:space="preserve">elective </w:t>
      </w:r>
      <w:r w:rsidR="002A6BD7" w:rsidRPr="002A6BD7">
        <w:t xml:space="preserve">approaches deprive </w:t>
      </w:r>
      <w:r w:rsidR="00962C70" w:rsidRPr="00B76FD9">
        <w:rPr>
          <w:lang w:val="en-GB"/>
        </w:rPr>
        <w:t>certain groups</w:t>
      </w:r>
      <w:r w:rsidR="00962C70" w:rsidRPr="002A6BD7">
        <w:t xml:space="preserve"> </w:t>
      </w:r>
      <w:r w:rsidR="00C2225D" w:rsidRPr="008A0770">
        <w:rPr>
          <w:lang w:val="en-GB"/>
        </w:rPr>
        <w:t>o</w:t>
      </w:r>
      <w:r w:rsidR="002A6BD7" w:rsidRPr="002A6BD7">
        <w:t xml:space="preserve">f basic rights and undermine </w:t>
      </w:r>
      <w:r w:rsidR="00166763" w:rsidRPr="00840D9F">
        <w:rPr>
          <w:lang w:val="en-GB"/>
        </w:rPr>
        <w:t xml:space="preserve">the </w:t>
      </w:r>
      <w:r w:rsidR="00166763" w:rsidRPr="00840D9F">
        <w:t>meaningful participation and empowerment of all stakeholders</w:t>
      </w:r>
      <w:r w:rsidR="006D1D16" w:rsidRPr="00840D9F">
        <w:rPr>
          <w:lang w:val="en-GB"/>
        </w:rPr>
        <w:t>. Such participation and empowerment are</w:t>
      </w:r>
      <w:r w:rsidR="00166763" w:rsidRPr="00840D9F">
        <w:t xml:space="preserve"> </w:t>
      </w:r>
      <w:r w:rsidR="002A6BD7" w:rsidRPr="00840D9F">
        <w:t>crucial precondition</w:t>
      </w:r>
      <w:r w:rsidR="00E82203">
        <w:rPr>
          <w:lang w:val="en-US"/>
        </w:rPr>
        <w:t>s</w:t>
      </w:r>
      <w:r w:rsidR="002A6BD7" w:rsidRPr="00840D9F">
        <w:t xml:space="preserve"> </w:t>
      </w:r>
      <w:r w:rsidR="000335EA" w:rsidRPr="00840D9F">
        <w:rPr>
          <w:lang w:val="en-GB"/>
        </w:rPr>
        <w:t>for</w:t>
      </w:r>
      <w:r w:rsidR="002A6BD7" w:rsidRPr="00840D9F">
        <w:t xml:space="preserve"> </w:t>
      </w:r>
      <w:r w:rsidR="00166763" w:rsidRPr="00840D9F">
        <w:rPr>
          <w:lang w:val="en-GB"/>
        </w:rPr>
        <w:t xml:space="preserve">positive </w:t>
      </w:r>
      <w:r w:rsidR="002A6BD7" w:rsidRPr="00840D9F">
        <w:t xml:space="preserve">public policy outcomes, which </w:t>
      </w:r>
      <w:r w:rsidR="006D1D16" w:rsidRPr="00840D9F">
        <w:rPr>
          <w:lang w:val="en-GB"/>
        </w:rPr>
        <w:t>are</w:t>
      </w:r>
      <w:r w:rsidR="002A6BD7" w:rsidRPr="00840D9F">
        <w:t xml:space="preserve"> based on</w:t>
      </w:r>
      <w:r w:rsidR="00574C18">
        <w:t xml:space="preserve"> </w:t>
      </w:r>
      <w:r w:rsidR="00166763" w:rsidRPr="00840D9F">
        <w:rPr>
          <w:lang w:val="en-GB"/>
        </w:rPr>
        <w:t>the</w:t>
      </w:r>
      <w:r w:rsidR="00166763">
        <w:t xml:space="preserve"> </w:t>
      </w:r>
      <w:r w:rsidR="00574C18">
        <w:t>particular attention</w:t>
      </w:r>
      <w:r w:rsidR="002D49D8">
        <w:rPr>
          <w:lang w:val="en-US"/>
        </w:rPr>
        <w:t xml:space="preserve"> given</w:t>
      </w:r>
      <w:r w:rsidR="00574C18">
        <w:t xml:space="preserve"> to those in vulnerable situations</w:t>
      </w:r>
      <w:r w:rsidR="002A6BD7" w:rsidRPr="002A6BD7">
        <w:t>.</w:t>
      </w:r>
      <w:r w:rsidR="00166763" w:rsidRPr="00840D9F">
        <w:rPr>
          <w:lang w:val="en-GB"/>
        </w:rPr>
        <w:t xml:space="preserve"> </w:t>
      </w:r>
    </w:p>
    <w:p w:rsidR="002A6BD7" w:rsidRPr="002B649F" w:rsidRDefault="002A6BD7" w:rsidP="00CB75BE">
      <w:pPr>
        <w:pStyle w:val="SingleTxtG"/>
        <w:numPr>
          <w:ilvl w:val="0"/>
          <w:numId w:val="45"/>
        </w:numPr>
        <w:ind w:left="1134" w:firstLine="0"/>
      </w:pPr>
      <w:r w:rsidRPr="002A6BD7">
        <w:t xml:space="preserve">Many examples have been presented by </w:t>
      </w:r>
      <w:r w:rsidR="00574C18">
        <w:t xml:space="preserve">the </w:t>
      </w:r>
      <w:r w:rsidRPr="002A6BD7">
        <w:t>health and human rights movement of economic</w:t>
      </w:r>
      <w:r w:rsidR="00224826">
        <w:rPr>
          <w:lang w:val="en-US"/>
        </w:rPr>
        <w:t>,</w:t>
      </w:r>
      <w:r w:rsidRPr="002A6BD7">
        <w:t xml:space="preserve"> social and cultural rights </w:t>
      </w:r>
      <w:r w:rsidR="001224C3">
        <w:t>being neglected</w:t>
      </w:r>
      <w:r w:rsidR="00574C18">
        <w:t xml:space="preserve"> </w:t>
      </w:r>
      <w:r w:rsidRPr="002A6BD7">
        <w:t>since they w</w:t>
      </w:r>
      <w:r w:rsidR="001224C3">
        <w:t>ere perceived as not requiring immediate action based on erroneous interpretations of the fact that they were</w:t>
      </w:r>
      <w:r w:rsidRPr="002A6BD7">
        <w:t xml:space="preserve"> sub</w:t>
      </w:r>
      <w:r w:rsidR="001224C3">
        <w:t>ject to progressive realization</w:t>
      </w:r>
      <w:r w:rsidRPr="002A6BD7">
        <w:t>. Th</w:t>
      </w:r>
      <w:r w:rsidR="00224826">
        <w:rPr>
          <w:lang w:val="en-US"/>
        </w:rPr>
        <w:t>at</w:t>
      </w:r>
      <w:r w:rsidRPr="002A6BD7">
        <w:t xml:space="preserve"> tendency to undermine importance of economic, </w:t>
      </w:r>
      <w:r w:rsidRPr="002B649F">
        <w:t>social and cultural rights has led, and continues to lead, to a detrimental combination of poverty, inequalities and disempowerment of large groups of population</w:t>
      </w:r>
      <w:r w:rsidR="00224826">
        <w:rPr>
          <w:lang w:val="en-US"/>
        </w:rPr>
        <w:t>,</w:t>
      </w:r>
      <w:r w:rsidRPr="002B649F">
        <w:t xml:space="preserve"> </w:t>
      </w:r>
      <w:r w:rsidR="00224826">
        <w:rPr>
          <w:lang w:val="en-US"/>
        </w:rPr>
        <w:t>who</w:t>
      </w:r>
      <w:r w:rsidR="00224826" w:rsidRPr="002B649F">
        <w:t xml:space="preserve"> </w:t>
      </w:r>
      <w:r w:rsidRPr="002B649F">
        <w:t>will consequently suffer from poor health status</w:t>
      </w:r>
      <w:r w:rsidR="00443BEC" w:rsidRPr="00B76FD9">
        <w:rPr>
          <w:lang w:val="en-GB"/>
        </w:rPr>
        <w:t xml:space="preserve"> and b</w:t>
      </w:r>
      <w:r w:rsidR="00443BEC" w:rsidRPr="002B649F">
        <w:rPr>
          <w:lang w:val="en-GB"/>
        </w:rPr>
        <w:t xml:space="preserve">arriers </w:t>
      </w:r>
      <w:r w:rsidR="00224826">
        <w:rPr>
          <w:lang w:val="en-GB"/>
        </w:rPr>
        <w:t>to</w:t>
      </w:r>
      <w:r w:rsidR="00224826" w:rsidRPr="002B649F">
        <w:rPr>
          <w:lang w:val="en-GB"/>
        </w:rPr>
        <w:t xml:space="preserve"> </w:t>
      </w:r>
      <w:r w:rsidR="00443BEC" w:rsidRPr="002B649F">
        <w:rPr>
          <w:lang w:val="en-GB"/>
        </w:rPr>
        <w:t>access</w:t>
      </w:r>
      <w:r w:rsidR="00224826">
        <w:rPr>
          <w:lang w:val="en-GB"/>
        </w:rPr>
        <w:t>ing</w:t>
      </w:r>
      <w:r w:rsidR="00443BEC" w:rsidRPr="002B649F">
        <w:rPr>
          <w:lang w:val="en-GB"/>
        </w:rPr>
        <w:t xml:space="preserve"> health</w:t>
      </w:r>
      <w:r w:rsidR="00224826">
        <w:rPr>
          <w:lang w:val="en-GB"/>
        </w:rPr>
        <w:t>-</w:t>
      </w:r>
      <w:r w:rsidR="00443BEC" w:rsidRPr="002B649F">
        <w:rPr>
          <w:lang w:val="en-GB"/>
        </w:rPr>
        <w:t>care ser</w:t>
      </w:r>
      <w:r w:rsidR="00443BEC" w:rsidRPr="00B76FD9">
        <w:rPr>
          <w:lang w:val="en-GB"/>
        </w:rPr>
        <w:t>vices</w:t>
      </w:r>
      <w:r w:rsidRPr="002B649F">
        <w:t>.</w:t>
      </w:r>
    </w:p>
    <w:p w:rsidR="002B649F" w:rsidRPr="00A04ABE" w:rsidRDefault="002A6BD7" w:rsidP="00D05FE0">
      <w:pPr>
        <w:pStyle w:val="SingleTxtG"/>
        <w:numPr>
          <w:ilvl w:val="0"/>
          <w:numId w:val="45"/>
        </w:numPr>
        <w:ind w:left="1134" w:firstLine="0"/>
        <w:rPr>
          <w:lang w:val="en-GB"/>
        </w:rPr>
      </w:pPr>
      <w:r w:rsidRPr="002B649F">
        <w:t>The right to health approach, as a part of human rights</w:t>
      </w:r>
      <w:r w:rsidR="00224826">
        <w:rPr>
          <w:lang w:val="en-US"/>
        </w:rPr>
        <w:t>-</w:t>
      </w:r>
      <w:r w:rsidRPr="002B649F">
        <w:t xml:space="preserve">based approach, has emerged during recent decades </w:t>
      </w:r>
      <w:r w:rsidR="001224C3" w:rsidRPr="002B649F">
        <w:t xml:space="preserve">as a powerful tool to reinforce </w:t>
      </w:r>
      <w:r w:rsidRPr="002B649F">
        <w:t>the global goal of improving the healt</w:t>
      </w:r>
      <w:r w:rsidR="001224C3" w:rsidRPr="002B649F">
        <w:t xml:space="preserve">h and well-being of populations. </w:t>
      </w:r>
      <w:r w:rsidR="00C2225D" w:rsidRPr="008A0770">
        <w:rPr>
          <w:lang w:val="en-GB"/>
        </w:rPr>
        <w:t>However,</w:t>
      </w:r>
      <w:r w:rsidR="001224C3" w:rsidRPr="002B649F">
        <w:t xml:space="preserve"> it can also be used</w:t>
      </w:r>
      <w:r w:rsidRPr="002B649F">
        <w:t xml:space="preserve"> to monitor and</w:t>
      </w:r>
      <w:r w:rsidR="001224C3" w:rsidRPr="002B649F">
        <w:t xml:space="preserve"> prevent </w:t>
      </w:r>
      <w:r w:rsidRPr="002B649F">
        <w:t>those underlying health conditions and tendencies within health</w:t>
      </w:r>
      <w:r w:rsidR="00224826">
        <w:rPr>
          <w:lang w:val="en-US"/>
        </w:rPr>
        <w:t>-</w:t>
      </w:r>
      <w:r w:rsidRPr="002B649F">
        <w:t>care systems which</w:t>
      </w:r>
      <w:r w:rsidR="00813F20">
        <w:t xml:space="preserve"> </w:t>
      </w:r>
      <w:r w:rsidRPr="002B649F">
        <w:t xml:space="preserve">may lead to violations of human rights and </w:t>
      </w:r>
      <w:r w:rsidR="00997136" w:rsidRPr="00B76FD9">
        <w:rPr>
          <w:lang w:val="en-GB"/>
        </w:rPr>
        <w:t xml:space="preserve">to a </w:t>
      </w:r>
      <w:r w:rsidRPr="002B649F">
        <w:t>negative impact on the health of i</w:t>
      </w:r>
      <w:r w:rsidR="006058E4">
        <w:t>ndividuals and societies.</w:t>
      </w:r>
    </w:p>
    <w:p w:rsidR="002A6BD7" w:rsidRPr="002B649F" w:rsidRDefault="002B649F" w:rsidP="00CB75BE">
      <w:pPr>
        <w:pStyle w:val="SingleTxtG"/>
        <w:numPr>
          <w:ilvl w:val="0"/>
          <w:numId w:val="45"/>
        </w:numPr>
        <w:ind w:left="1134" w:firstLine="0"/>
      </w:pPr>
      <w:r w:rsidRPr="00536321">
        <w:rPr>
          <w:lang w:val="en-GB"/>
        </w:rPr>
        <w:t>In this regard</w:t>
      </w:r>
      <w:r>
        <w:rPr>
          <w:lang w:val="en-GB"/>
        </w:rPr>
        <w:t>,</w:t>
      </w:r>
      <w:r w:rsidRPr="002B649F">
        <w:t xml:space="preserve"> </w:t>
      </w:r>
      <w:r w:rsidRPr="00B76FD9">
        <w:rPr>
          <w:lang w:val="en-GB"/>
        </w:rPr>
        <w:t>t</w:t>
      </w:r>
      <w:r w:rsidR="001224C3" w:rsidRPr="002B649F">
        <w:t>he Special Rapporteur</w:t>
      </w:r>
      <w:r w:rsidR="002A6BD7" w:rsidRPr="002B649F">
        <w:t xml:space="preserve"> </w:t>
      </w:r>
      <w:r w:rsidR="001224C3" w:rsidRPr="002B649F">
        <w:t xml:space="preserve">will continue highlighting the </w:t>
      </w:r>
      <w:r w:rsidR="002A6BD7" w:rsidRPr="002B649F">
        <w:t>need to reduce poverty and inequ</w:t>
      </w:r>
      <w:r w:rsidR="00B82A96" w:rsidRPr="00B76FD9">
        <w:rPr>
          <w:lang w:val="en-GB"/>
        </w:rPr>
        <w:t>alit</w:t>
      </w:r>
      <w:r w:rsidR="002A6BD7" w:rsidRPr="002B649F">
        <w:t>ies, including those within and between regions and countries.</w:t>
      </w:r>
      <w:r w:rsidR="00813F20">
        <w:t xml:space="preserve"> </w:t>
      </w:r>
      <w:r w:rsidR="00697E7E">
        <w:rPr>
          <w:lang w:val="en-GB"/>
        </w:rPr>
        <w:t>H</w:t>
      </w:r>
      <w:r w:rsidRPr="00B76FD9">
        <w:rPr>
          <w:lang w:val="en-GB"/>
        </w:rPr>
        <w:t>e will do so by</w:t>
      </w:r>
      <w:r w:rsidRPr="002B649F">
        <w:t xml:space="preserve"> </w:t>
      </w:r>
      <w:r w:rsidRPr="00B76FD9">
        <w:rPr>
          <w:lang w:val="en-GB"/>
        </w:rPr>
        <w:t>analys</w:t>
      </w:r>
      <w:r>
        <w:rPr>
          <w:lang w:val="en-GB"/>
        </w:rPr>
        <w:t>ing</w:t>
      </w:r>
      <w:r w:rsidRPr="002B649F">
        <w:t xml:space="preserve"> the root causes of the gap between opportunities and reality, between evidence, policies and practices</w:t>
      </w:r>
      <w:r w:rsidR="00697E7E">
        <w:rPr>
          <w:lang w:val="en-US"/>
        </w:rPr>
        <w:t xml:space="preserve"> and</w:t>
      </w:r>
      <w:r w:rsidRPr="002B649F">
        <w:t xml:space="preserve"> between obligations of duty bearers and </w:t>
      </w:r>
      <w:r w:rsidRPr="002B649F">
        <w:rPr>
          <w:lang w:val="en-GB"/>
        </w:rPr>
        <w:t>effective</w:t>
      </w:r>
      <w:r w:rsidRPr="002B649F">
        <w:t xml:space="preserve"> implementation.</w:t>
      </w:r>
    </w:p>
    <w:p w:rsidR="002A6BD7" w:rsidRPr="002B649F" w:rsidRDefault="002A6BD7" w:rsidP="00CB75BE">
      <w:pPr>
        <w:pStyle w:val="SingleTxtG"/>
        <w:numPr>
          <w:ilvl w:val="0"/>
          <w:numId w:val="45"/>
        </w:numPr>
        <w:ind w:left="1134" w:firstLine="0"/>
      </w:pPr>
      <w:r w:rsidRPr="002B649F">
        <w:t xml:space="preserve">A recent example of </w:t>
      </w:r>
      <w:r w:rsidR="00697E7E">
        <w:rPr>
          <w:lang w:val="en-US"/>
        </w:rPr>
        <w:t>the</w:t>
      </w:r>
      <w:r w:rsidR="00697E7E" w:rsidRPr="002B649F">
        <w:t xml:space="preserve"> </w:t>
      </w:r>
      <w:r w:rsidRPr="002B649F">
        <w:t>detrimental effect of inequalities has been the Ebola epidemic in countries of Western Africa with weak health</w:t>
      </w:r>
      <w:r w:rsidR="00697E7E">
        <w:rPr>
          <w:lang w:val="en-US"/>
        </w:rPr>
        <w:t>-</w:t>
      </w:r>
      <w:r w:rsidRPr="002B649F">
        <w:t>care systems which were not able to adequately respond.</w:t>
      </w:r>
      <w:r w:rsidR="00813F20">
        <w:t xml:space="preserve"> </w:t>
      </w:r>
      <w:r w:rsidRPr="002B649F">
        <w:t>One of the lessons learned from th</w:t>
      </w:r>
      <w:r w:rsidR="00697E7E">
        <w:rPr>
          <w:lang w:val="en-US"/>
        </w:rPr>
        <w:t>at</w:t>
      </w:r>
      <w:r w:rsidRPr="002B649F">
        <w:t xml:space="preserve"> and other epidemic</w:t>
      </w:r>
      <w:r w:rsidR="00697E7E">
        <w:rPr>
          <w:lang w:val="en-US"/>
        </w:rPr>
        <w:t>s</w:t>
      </w:r>
      <w:r w:rsidRPr="002B649F">
        <w:t xml:space="preserve"> is the importance of social medicine</w:t>
      </w:r>
      <w:r w:rsidR="00730ACE" w:rsidRPr="002B649F">
        <w:t xml:space="preserve"> which, since the </w:t>
      </w:r>
      <w:r w:rsidR="00697E7E">
        <w:rPr>
          <w:lang w:val="en-US"/>
        </w:rPr>
        <w:t>nineteenth</w:t>
      </w:r>
      <w:r w:rsidR="00697E7E" w:rsidRPr="002B649F">
        <w:t xml:space="preserve"> </w:t>
      </w:r>
      <w:r w:rsidR="00730ACE" w:rsidRPr="002B649F">
        <w:t>century has highlighted that many diseases and epidemics are social diseases in their origin</w:t>
      </w:r>
      <w:r w:rsidR="00697E7E">
        <w:rPr>
          <w:lang w:val="en-US"/>
        </w:rPr>
        <w:t>;</w:t>
      </w:r>
      <w:r w:rsidR="00730ACE" w:rsidRPr="002B649F">
        <w:t xml:space="preserve"> </w:t>
      </w:r>
      <w:r w:rsidR="00265102" w:rsidRPr="002B649F">
        <w:t>therefore</w:t>
      </w:r>
      <w:r w:rsidR="00697E7E">
        <w:rPr>
          <w:lang w:val="en-US"/>
        </w:rPr>
        <w:t>,</w:t>
      </w:r>
      <w:r w:rsidR="00730ACE" w:rsidRPr="002B649F">
        <w:t xml:space="preserve"> primary prevention should properly address the social determinants of healt</w:t>
      </w:r>
      <w:r w:rsidR="00997136" w:rsidRPr="00B76FD9">
        <w:rPr>
          <w:lang w:val="en-GB"/>
        </w:rPr>
        <w:t xml:space="preserve">h </w:t>
      </w:r>
      <w:r w:rsidR="00997136">
        <w:rPr>
          <w:lang w:val="en-GB"/>
        </w:rPr>
        <w:t>and the con</w:t>
      </w:r>
      <w:r w:rsidR="006058E4">
        <w:rPr>
          <w:lang w:val="en-GB"/>
        </w:rPr>
        <w:t>text in which epidemics emerge.</w:t>
      </w:r>
    </w:p>
    <w:p w:rsidR="002A6BD7" w:rsidRPr="00A04ABE" w:rsidRDefault="00265102" w:rsidP="00D05FE0">
      <w:pPr>
        <w:pStyle w:val="SingleTxtG"/>
        <w:numPr>
          <w:ilvl w:val="0"/>
          <w:numId w:val="45"/>
        </w:numPr>
        <w:ind w:left="1134" w:firstLine="0"/>
        <w:rPr>
          <w:lang w:val="en-GB"/>
        </w:rPr>
      </w:pPr>
      <w:r w:rsidRPr="002B649F">
        <w:t xml:space="preserve">The </w:t>
      </w:r>
      <w:r w:rsidR="002A6BD7" w:rsidRPr="002B649F">
        <w:t>Ebola crisis has provided me</w:t>
      </w:r>
      <w:r w:rsidRPr="002B649F">
        <w:t>aningful lessons with regard to</w:t>
      </w:r>
      <w:r w:rsidR="002A6BD7" w:rsidRPr="002B649F">
        <w:t xml:space="preserve"> many elements of the</w:t>
      </w:r>
      <w:r w:rsidR="002A6BD7" w:rsidRPr="002A6BD7">
        <w:t xml:space="preserve"> right to health.</w:t>
      </w:r>
      <w:r w:rsidR="00813F20">
        <w:t xml:space="preserve"> </w:t>
      </w:r>
      <w:r w:rsidR="002A6BD7" w:rsidRPr="002A6BD7">
        <w:t xml:space="preserve">It </w:t>
      </w:r>
      <w:r>
        <w:t xml:space="preserve">has </w:t>
      </w:r>
      <w:r w:rsidR="002A6BD7" w:rsidRPr="002A6BD7">
        <w:t>questioned our</w:t>
      </w:r>
      <w:r>
        <w:t xml:space="preserve"> preparedness for emergencies at</w:t>
      </w:r>
      <w:r w:rsidR="002A6BD7" w:rsidRPr="002A6BD7">
        <w:t xml:space="preserve"> national</w:t>
      </w:r>
      <w:r w:rsidR="00C2225D" w:rsidRPr="008A0770">
        <w:rPr>
          <w:lang w:val="en-GB"/>
        </w:rPr>
        <w:t>, regional</w:t>
      </w:r>
      <w:r w:rsidR="002A6BD7" w:rsidRPr="002A6BD7">
        <w:t xml:space="preserve"> and global levels. It </w:t>
      </w:r>
      <w:r>
        <w:t>has raised important issues</w:t>
      </w:r>
      <w:r w:rsidR="00E039E6">
        <w:rPr>
          <w:lang w:val="en-US"/>
        </w:rPr>
        <w:t>,</w:t>
      </w:r>
      <w:r>
        <w:t xml:space="preserve"> such as</w:t>
      </w:r>
      <w:r w:rsidR="002A6BD7" w:rsidRPr="002A6BD7">
        <w:t xml:space="preserve"> access to information, trust in public aut</w:t>
      </w:r>
      <w:r>
        <w:t xml:space="preserve">horities and </w:t>
      </w:r>
      <w:r w:rsidR="002701FE">
        <w:t xml:space="preserve">safety of </w:t>
      </w:r>
      <w:r>
        <w:t>medical personnel, and it has reminded us of the importance of upholding the human rights of</w:t>
      </w:r>
      <w:r w:rsidR="002701FE">
        <w:t xml:space="preserve"> the</w:t>
      </w:r>
      <w:r w:rsidR="002A6BD7" w:rsidRPr="002A6BD7">
        <w:t xml:space="preserve"> affected </w:t>
      </w:r>
      <w:r>
        <w:t>populations</w:t>
      </w:r>
      <w:r w:rsidR="002A6BD7" w:rsidRPr="002A6BD7">
        <w:t xml:space="preserve"> in the context of public safety </w:t>
      </w:r>
      <w:r w:rsidR="002701FE">
        <w:t>concerns. The Ebola crisis</w:t>
      </w:r>
      <w:r>
        <w:t xml:space="preserve"> has once again</w:t>
      </w:r>
      <w:r w:rsidRPr="002A6BD7">
        <w:t xml:space="preserve"> </w:t>
      </w:r>
      <w:r>
        <w:t xml:space="preserve">raised </w:t>
      </w:r>
      <w:r w:rsidR="002A6BD7" w:rsidRPr="002A6BD7">
        <w:t xml:space="preserve">issue of </w:t>
      </w:r>
      <w:r>
        <w:t xml:space="preserve">the </w:t>
      </w:r>
      <w:r w:rsidR="002A6BD7" w:rsidRPr="002A6BD7">
        <w:t>responsibilit</w:t>
      </w:r>
      <w:r>
        <w:t xml:space="preserve">y and social accountability of key actors, including </w:t>
      </w:r>
      <w:r w:rsidR="002A6BD7" w:rsidRPr="002A6BD7">
        <w:t>pharmaceutical</w:t>
      </w:r>
      <w:r>
        <w:t xml:space="preserve"> </w:t>
      </w:r>
      <w:r w:rsidR="002A6BD7" w:rsidRPr="002A6BD7">
        <w:t xml:space="preserve">companies, and the need for </w:t>
      </w:r>
      <w:r w:rsidR="002701FE">
        <w:t xml:space="preserve">strong </w:t>
      </w:r>
      <w:r w:rsidR="002A6BD7" w:rsidRPr="002A6BD7">
        <w:t>public leadership in addressing global he</w:t>
      </w:r>
      <w:r w:rsidR="006058E4">
        <w:t>alth challenges.</w:t>
      </w:r>
    </w:p>
    <w:p w:rsidR="00290D78" w:rsidRPr="00EA09C4" w:rsidRDefault="00290D78" w:rsidP="00D05FE0">
      <w:pPr>
        <w:pStyle w:val="SingleTxtG"/>
        <w:numPr>
          <w:ilvl w:val="0"/>
          <w:numId w:val="45"/>
        </w:numPr>
        <w:ind w:left="1134" w:firstLine="0"/>
      </w:pPr>
      <w:r w:rsidRPr="00EA09C4">
        <w:t xml:space="preserve">Another example of </w:t>
      </w:r>
      <w:r w:rsidR="007304BA" w:rsidRPr="00EA09C4">
        <w:t xml:space="preserve">an </w:t>
      </w:r>
      <w:r w:rsidRPr="00EA09C4">
        <w:t>unbalance</w:t>
      </w:r>
      <w:r w:rsidR="00750331" w:rsidRPr="00EA09C4">
        <w:t>d</w:t>
      </w:r>
      <w:r w:rsidRPr="00EA09C4">
        <w:t xml:space="preserve"> approach </w:t>
      </w:r>
      <w:r w:rsidR="007304BA" w:rsidRPr="00EA09C4">
        <w:t xml:space="preserve">to human rights </w:t>
      </w:r>
      <w:r w:rsidRPr="00EA09C4">
        <w:t xml:space="preserve">is when </w:t>
      </w:r>
      <w:r w:rsidR="007304BA" w:rsidRPr="00EA09C4">
        <w:t xml:space="preserve">the </w:t>
      </w:r>
      <w:r w:rsidRPr="00EA09C4">
        <w:t xml:space="preserve">full realization </w:t>
      </w:r>
      <w:r w:rsidR="00B971BA" w:rsidRPr="00EA09C4">
        <w:t xml:space="preserve">of the right to health </w:t>
      </w:r>
      <w:r w:rsidRPr="00EA09C4">
        <w:t xml:space="preserve">is hindered by </w:t>
      </w:r>
      <w:r w:rsidR="007304BA" w:rsidRPr="00EA09C4">
        <w:rPr>
          <w:lang w:val="en-GB"/>
        </w:rPr>
        <w:t xml:space="preserve">undue restrictions in the </w:t>
      </w:r>
      <w:r w:rsidR="007304BA">
        <w:rPr>
          <w:lang w:val="en-GB"/>
        </w:rPr>
        <w:t xml:space="preserve">enjoyment </w:t>
      </w:r>
      <w:r w:rsidR="007304BA" w:rsidRPr="00EA09C4">
        <w:rPr>
          <w:lang w:val="en-GB"/>
        </w:rPr>
        <w:t>of</w:t>
      </w:r>
      <w:r w:rsidR="007304BA" w:rsidRPr="00EA09C4">
        <w:t xml:space="preserve"> </w:t>
      </w:r>
      <w:r w:rsidRPr="00EA09C4">
        <w:t>civil and political rights.</w:t>
      </w:r>
      <w:r w:rsidR="00B971BA" w:rsidRPr="00EA09C4">
        <w:t xml:space="preserve"> Th</w:t>
      </w:r>
      <w:r w:rsidR="00E039E6">
        <w:rPr>
          <w:lang w:val="en-US"/>
        </w:rPr>
        <w:t>at</w:t>
      </w:r>
      <w:r w:rsidR="00B971BA" w:rsidRPr="00EA09C4">
        <w:t xml:space="preserve"> </w:t>
      </w:r>
      <w:r w:rsidR="007304BA" w:rsidRPr="00EA09C4">
        <w:t>approach can</w:t>
      </w:r>
      <w:r w:rsidR="00B971BA" w:rsidRPr="00EA09C4">
        <w:t xml:space="preserve"> lead to </w:t>
      </w:r>
      <w:r w:rsidR="007304BA" w:rsidRPr="00EA09C4">
        <w:t xml:space="preserve">a </w:t>
      </w:r>
      <w:r w:rsidR="00B971BA" w:rsidRPr="00EA09C4">
        <w:t xml:space="preserve">failure in </w:t>
      </w:r>
      <w:r w:rsidR="007304BA" w:rsidRPr="00EA09C4">
        <w:t xml:space="preserve">the </w:t>
      </w:r>
      <w:r w:rsidR="007304BA" w:rsidRPr="00EA09C4">
        <w:rPr>
          <w:lang w:val="en-GB"/>
        </w:rPr>
        <w:t xml:space="preserve">implementation </w:t>
      </w:r>
      <w:r w:rsidR="007D673F" w:rsidRPr="00EA09C4">
        <w:t xml:space="preserve">of </w:t>
      </w:r>
      <w:r w:rsidR="007304BA" w:rsidRPr="00EA09C4">
        <w:t xml:space="preserve">the </w:t>
      </w:r>
      <w:r w:rsidR="007D673F" w:rsidRPr="00EA09C4">
        <w:t xml:space="preserve">principles of participation and empowerment </w:t>
      </w:r>
      <w:r w:rsidR="00721271" w:rsidRPr="00EA09C4">
        <w:t xml:space="preserve">and </w:t>
      </w:r>
      <w:r w:rsidR="007304BA" w:rsidRPr="00A35F6C">
        <w:rPr>
          <w:lang w:val="en-GB"/>
        </w:rPr>
        <w:t>it undermines the cru</w:t>
      </w:r>
      <w:r w:rsidR="007304BA" w:rsidRPr="00EA09C4">
        <w:rPr>
          <w:lang w:val="en-GB"/>
        </w:rPr>
        <w:t xml:space="preserve">cial role that </w:t>
      </w:r>
      <w:r w:rsidR="00721271" w:rsidRPr="00EA09C4">
        <w:t xml:space="preserve">civil society </w:t>
      </w:r>
      <w:r w:rsidR="007304BA" w:rsidRPr="00EA09C4">
        <w:rPr>
          <w:lang w:val="en-GB"/>
        </w:rPr>
        <w:t>can play in</w:t>
      </w:r>
      <w:r w:rsidR="008B494C" w:rsidRPr="00EA09C4">
        <w:t xml:space="preserve"> promot</w:t>
      </w:r>
      <w:r w:rsidR="007304BA" w:rsidRPr="00EA09C4">
        <w:rPr>
          <w:lang w:val="en-GB"/>
        </w:rPr>
        <w:t>ing</w:t>
      </w:r>
      <w:r w:rsidR="00721271" w:rsidRPr="00EA09C4">
        <w:t xml:space="preserve"> societal health and well</w:t>
      </w:r>
      <w:r w:rsidR="00F92750">
        <w:rPr>
          <w:lang w:val="en-US"/>
        </w:rPr>
        <w:t>-</w:t>
      </w:r>
      <w:r w:rsidR="00721271" w:rsidRPr="00EA09C4">
        <w:t>being.</w:t>
      </w:r>
    </w:p>
    <w:p w:rsidR="00282619" w:rsidRPr="00EA09C4" w:rsidRDefault="005017DD" w:rsidP="00CB75BE">
      <w:pPr>
        <w:pStyle w:val="SingleTxtG"/>
        <w:numPr>
          <w:ilvl w:val="0"/>
          <w:numId w:val="45"/>
        </w:numPr>
        <w:ind w:left="1134" w:firstLine="0"/>
        <w:rPr>
          <w:lang w:val="en-GB"/>
        </w:rPr>
      </w:pPr>
      <w:r w:rsidRPr="00B76FD9">
        <w:t xml:space="preserve">There is no hierarchy among human rights, and any attempt to </w:t>
      </w:r>
      <w:r w:rsidR="000278B1" w:rsidRPr="00EA09C4">
        <w:rPr>
          <w:lang w:val="en-GB"/>
        </w:rPr>
        <w:t xml:space="preserve">restrict or </w:t>
      </w:r>
      <w:r w:rsidR="00997136" w:rsidRPr="00B76FD9">
        <w:rPr>
          <w:lang w:val="en-GB"/>
        </w:rPr>
        <w:t>undermine</w:t>
      </w:r>
      <w:r w:rsidRPr="00B76FD9">
        <w:t xml:space="preserve">, intentionally or unintentionally, any of </w:t>
      </w:r>
      <w:r w:rsidRPr="00B76FD9">
        <w:rPr>
          <w:lang w:val="en-GB"/>
        </w:rPr>
        <w:t xml:space="preserve">the </w:t>
      </w:r>
      <w:r w:rsidRPr="00B76FD9">
        <w:t>basic human rights can have a harmful impact on individual and societal health and well-being. Th</w:t>
      </w:r>
      <w:r w:rsidR="00BB268A">
        <w:rPr>
          <w:lang w:val="en-US"/>
        </w:rPr>
        <w:t>at</w:t>
      </w:r>
      <w:r w:rsidRPr="00B76FD9">
        <w:t xml:space="preserve"> is why the best way of “vaccinating” health</w:t>
      </w:r>
      <w:r w:rsidR="00BB268A">
        <w:rPr>
          <w:lang w:val="en-US"/>
        </w:rPr>
        <w:t>-</w:t>
      </w:r>
      <w:r w:rsidRPr="00B76FD9">
        <w:t>care systems and policy decisions against a departure from agreed principles and standards is to systematically</w:t>
      </w:r>
      <w:r w:rsidR="0073018A">
        <w:t xml:space="preserve"> apply a human rights approach</w:t>
      </w:r>
      <w:r w:rsidR="007D673F">
        <w:rPr>
          <w:lang w:val="en-US"/>
        </w:rPr>
        <w:t xml:space="preserve"> in full accordance with universal principles enshrined in </w:t>
      </w:r>
      <w:r w:rsidR="006C61C2">
        <w:rPr>
          <w:lang w:val="en-US"/>
        </w:rPr>
        <w:t xml:space="preserve">the Universal Declaration of Human Rights </w:t>
      </w:r>
      <w:r w:rsidR="007D673F">
        <w:rPr>
          <w:lang w:val="en-US"/>
        </w:rPr>
        <w:t xml:space="preserve">and </w:t>
      </w:r>
      <w:r w:rsidR="000278B1">
        <w:rPr>
          <w:lang w:val="en-US"/>
        </w:rPr>
        <w:t>human rights co</w:t>
      </w:r>
      <w:r w:rsidR="007D673F">
        <w:rPr>
          <w:lang w:val="en-US"/>
        </w:rPr>
        <w:t>nventions</w:t>
      </w:r>
      <w:r w:rsidR="000278B1">
        <w:rPr>
          <w:lang w:val="en-US"/>
        </w:rPr>
        <w:t xml:space="preserve"> and treaties</w:t>
      </w:r>
      <w:r w:rsidR="0073018A">
        <w:t>.</w:t>
      </w:r>
    </w:p>
    <w:p w:rsidR="00734CAE" w:rsidRDefault="00B25CF4" w:rsidP="00B25CF4">
      <w:pPr>
        <w:pStyle w:val="H23G"/>
      </w:pPr>
      <w:r>
        <w:tab/>
      </w:r>
      <w:r w:rsidR="004B3D40">
        <w:t>2.</w:t>
      </w:r>
      <w:r>
        <w:tab/>
      </w:r>
      <w:r w:rsidR="009F3A94" w:rsidRPr="009F3A94">
        <w:t xml:space="preserve">Balancing </w:t>
      </w:r>
      <w:r w:rsidR="00282619">
        <w:t xml:space="preserve">the key </w:t>
      </w:r>
      <w:r w:rsidR="009F3A94" w:rsidRPr="009F3A94">
        <w:t>elements in the health</w:t>
      </w:r>
      <w:r w:rsidR="00BB268A">
        <w:t>-</w:t>
      </w:r>
      <w:r w:rsidR="009F3A94" w:rsidRPr="009F3A94">
        <w:t>care system</w:t>
      </w:r>
    </w:p>
    <w:p w:rsidR="009F3A94" w:rsidRPr="00A04ABE" w:rsidRDefault="003237DD" w:rsidP="00D05FE0">
      <w:pPr>
        <w:pStyle w:val="SingleTxtG"/>
        <w:numPr>
          <w:ilvl w:val="0"/>
          <w:numId w:val="45"/>
        </w:numPr>
        <w:ind w:left="1134" w:firstLine="0"/>
        <w:rPr>
          <w:lang w:val="en-GB"/>
        </w:rPr>
      </w:pPr>
      <w:r w:rsidRPr="00B76FD9">
        <w:rPr>
          <w:lang w:val="en-GB"/>
        </w:rPr>
        <w:t xml:space="preserve">All </w:t>
      </w:r>
      <w:r w:rsidR="002A6BD7" w:rsidRPr="002A6BD7">
        <w:t>key e</w:t>
      </w:r>
      <w:r w:rsidR="009F3A94">
        <w:t>lements of health</w:t>
      </w:r>
      <w:r w:rsidR="00EF2661">
        <w:rPr>
          <w:lang w:val="en-US"/>
        </w:rPr>
        <w:t>-</w:t>
      </w:r>
      <w:r w:rsidR="009F3A94">
        <w:t>care systems</w:t>
      </w:r>
      <w:r w:rsidR="00282619">
        <w:t xml:space="preserve"> must be balanced. Th</w:t>
      </w:r>
      <w:r w:rsidR="00EF2661">
        <w:rPr>
          <w:lang w:val="en-US"/>
        </w:rPr>
        <w:t>at</w:t>
      </w:r>
      <w:r w:rsidR="00282619">
        <w:t xml:space="preserve"> includes</w:t>
      </w:r>
      <w:r w:rsidR="009F3A94">
        <w:t xml:space="preserve"> </w:t>
      </w:r>
      <w:r w:rsidR="00282619">
        <w:t xml:space="preserve">the relationships between the curative and preventive aspects of </w:t>
      </w:r>
      <w:r w:rsidR="009F3A94">
        <w:t>h</w:t>
      </w:r>
      <w:r w:rsidR="002A6BD7" w:rsidRPr="002A6BD7">
        <w:t>ealth</w:t>
      </w:r>
      <w:r w:rsidR="00EF2661">
        <w:rPr>
          <w:lang w:val="en-US"/>
        </w:rPr>
        <w:t xml:space="preserve"> </w:t>
      </w:r>
      <w:r w:rsidR="00282619">
        <w:t>care</w:t>
      </w:r>
      <w:r w:rsidR="00717357">
        <w:rPr>
          <w:lang w:val="en-US"/>
        </w:rPr>
        <w:t>, so that power asymmetries do not weaken primary care and preventive medicine</w:t>
      </w:r>
      <w:r w:rsidR="001915F5">
        <w:rPr>
          <w:lang w:val="en-US"/>
        </w:rPr>
        <w:t xml:space="preserve">. </w:t>
      </w:r>
      <w:r w:rsidR="001915F5" w:rsidRPr="00B76FD9">
        <w:rPr>
          <w:lang w:val="en-GB"/>
        </w:rPr>
        <w:t>The m</w:t>
      </w:r>
      <w:r w:rsidR="002A6BD7" w:rsidRPr="002A6BD7">
        <w:t>odern public</w:t>
      </w:r>
      <w:r w:rsidR="00EF2661">
        <w:rPr>
          <w:lang w:val="en-US"/>
        </w:rPr>
        <w:t>-</w:t>
      </w:r>
      <w:r w:rsidR="002A6BD7" w:rsidRPr="002A6BD7">
        <w:t xml:space="preserve">health approach </w:t>
      </w:r>
      <w:r w:rsidR="001915F5" w:rsidRPr="00B76FD9">
        <w:rPr>
          <w:lang w:val="en-GB"/>
        </w:rPr>
        <w:t xml:space="preserve">should be </w:t>
      </w:r>
      <w:r w:rsidR="001915F5" w:rsidRPr="008107F6">
        <w:rPr>
          <w:lang w:val="en-GB"/>
        </w:rPr>
        <w:t>strengthened</w:t>
      </w:r>
      <w:r w:rsidR="001915F5" w:rsidRPr="00B76FD9">
        <w:rPr>
          <w:lang w:val="en-GB"/>
        </w:rPr>
        <w:t xml:space="preserve"> </w:t>
      </w:r>
      <w:r w:rsidR="002A6BD7" w:rsidRPr="002A6BD7">
        <w:t xml:space="preserve">and </w:t>
      </w:r>
      <w:r w:rsidR="00282619">
        <w:t xml:space="preserve">a </w:t>
      </w:r>
      <w:r w:rsidR="00810833" w:rsidRPr="008A0770">
        <w:rPr>
          <w:lang w:val="en-GB"/>
        </w:rPr>
        <w:t>right</w:t>
      </w:r>
      <w:r w:rsidR="009F3A94">
        <w:t xml:space="preserve"> balance between </w:t>
      </w:r>
      <w:r w:rsidR="002A6BD7" w:rsidRPr="002A6BD7">
        <w:t xml:space="preserve">all elements </w:t>
      </w:r>
      <w:r w:rsidR="001915F5" w:rsidRPr="00B76FD9">
        <w:rPr>
          <w:lang w:val="en-GB"/>
        </w:rPr>
        <w:t>of the health</w:t>
      </w:r>
      <w:r w:rsidR="00EF2661">
        <w:rPr>
          <w:lang w:val="en-GB"/>
        </w:rPr>
        <w:t>-</w:t>
      </w:r>
      <w:r w:rsidR="001915F5" w:rsidRPr="00B76FD9">
        <w:rPr>
          <w:lang w:val="en-GB"/>
        </w:rPr>
        <w:t xml:space="preserve">care system </w:t>
      </w:r>
      <w:r w:rsidR="001915F5">
        <w:rPr>
          <w:lang w:val="en-GB"/>
        </w:rPr>
        <w:t>should</w:t>
      </w:r>
      <w:r w:rsidR="001915F5" w:rsidRPr="00B76FD9">
        <w:rPr>
          <w:lang w:val="en-GB"/>
        </w:rPr>
        <w:t xml:space="preserve"> be ensured </w:t>
      </w:r>
      <w:r w:rsidR="002A6BD7" w:rsidRPr="002A6BD7">
        <w:t xml:space="preserve">so that </w:t>
      </w:r>
      <w:r w:rsidR="001915F5" w:rsidRPr="00B76FD9">
        <w:rPr>
          <w:lang w:val="en-GB"/>
        </w:rPr>
        <w:t xml:space="preserve">the </w:t>
      </w:r>
      <w:r w:rsidR="002A6BD7" w:rsidRPr="002A6BD7">
        <w:t>implementation of health policie</w:t>
      </w:r>
      <w:r w:rsidR="009F3A94">
        <w:t>s is not dominated by vertical “disease</w:t>
      </w:r>
      <w:r w:rsidR="00EF2661">
        <w:rPr>
          <w:lang w:val="en-US"/>
        </w:rPr>
        <w:t>-</w:t>
      </w:r>
      <w:r w:rsidR="009F3A94">
        <w:t>based”</w:t>
      </w:r>
      <w:r w:rsidR="002A6BD7" w:rsidRPr="002A6BD7">
        <w:t xml:space="preserve"> programmes and spe</w:t>
      </w:r>
      <w:r w:rsidR="006058E4">
        <w:t>cialized health</w:t>
      </w:r>
      <w:r w:rsidR="00EF2661">
        <w:rPr>
          <w:lang w:val="en-US"/>
        </w:rPr>
        <w:t>-</w:t>
      </w:r>
      <w:r w:rsidR="006058E4">
        <w:t>care services.</w:t>
      </w:r>
    </w:p>
    <w:p w:rsidR="002A6BD7" w:rsidRPr="00A04ABE" w:rsidRDefault="00282619" w:rsidP="00CB75BE">
      <w:pPr>
        <w:pStyle w:val="SingleTxtG"/>
        <w:numPr>
          <w:ilvl w:val="0"/>
          <w:numId w:val="45"/>
        </w:numPr>
        <w:ind w:left="1134" w:firstLine="0"/>
        <w:rPr>
          <w:lang w:val="en-GB"/>
        </w:rPr>
      </w:pPr>
      <w:r>
        <w:t>In addition, t</w:t>
      </w:r>
      <w:r w:rsidR="009F3A94">
        <w:t xml:space="preserve">he role of </w:t>
      </w:r>
      <w:r>
        <w:t xml:space="preserve">the </w:t>
      </w:r>
      <w:r w:rsidR="009F3A94">
        <w:t xml:space="preserve">health sector and </w:t>
      </w:r>
      <w:r>
        <w:t xml:space="preserve">that </w:t>
      </w:r>
      <w:r w:rsidR="002A6BD7" w:rsidRPr="002A6BD7">
        <w:t xml:space="preserve">of other sectors in improving </w:t>
      </w:r>
      <w:r>
        <w:t xml:space="preserve">the </w:t>
      </w:r>
      <w:r w:rsidR="002A6BD7" w:rsidRPr="002A6BD7">
        <w:t>health</w:t>
      </w:r>
      <w:r>
        <w:t xml:space="preserve"> of individuals and</w:t>
      </w:r>
      <w:r w:rsidR="009F3A94">
        <w:t xml:space="preserve"> populations must </w:t>
      </w:r>
      <w:r>
        <w:t xml:space="preserve">also </w:t>
      </w:r>
      <w:r w:rsidR="009F3A94">
        <w:t>be balanced. A m</w:t>
      </w:r>
      <w:r w:rsidR="002A6BD7" w:rsidRPr="002A6BD7">
        <w:t xml:space="preserve">odern understanding of </w:t>
      </w:r>
      <w:r w:rsidR="009F3A94">
        <w:t xml:space="preserve">the </w:t>
      </w:r>
      <w:r w:rsidR="002A6BD7" w:rsidRPr="002A6BD7">
        <w:t>effective</w:t>
      </w:r>
      <w:r w:rsidR="009F3A94">
        <w:t xml:space="preserve"> realization of right to health requires a “health in all policies” approach. To fully achieve goals, such as </w:t>
      </w:r>
      <w:r w:rsidR="002A6BD7" w:rsidRPr="002A6BD7">
        <w:t>to r</w:t>
      </w:r>
      <w:r w:rsidR="009F3A94">
        <w:t>educe infant or under-</w:t>
      </w:r>
      <w:r w:rsidR="002F1FD9">
        <w:rPr>
          <w:lang w:val="en-US"/>
        </w:rPr>
        <w:t>5</w:t>
      </w:r>
      <w:r w:rsidR="002A6BD7" w:rsidRPr="002A6BD7">
        <w:t xml:space="preserve"> mortality, improve mental health, reduce </w:t>
      </w:r>
      <w:r w:rsidR="00774BA5">
        <w:rPr>
          <w:lang w:val="en-US"/>
        </w:rPr>
        <w:t xml:space="preserve">the </w:t>
      </w:r>
      <w:r w:rsidR="002A6BD7" w:rsidRPr="002A6BD7">
        <w:t>burden of non</w:t>
      </w:r>
      <w:r w:rsidR="009F3A94">
        <w:t>-</w:t>
      </w:r>
      <w:r w:rsidR="002A6BD7" w:rsidRPr="002A6BD7">
        <w:t>communicable disease</w:t>
      </w:r>
      <w:r w:rsidR="007D673F">
        <w:rPr>
          <w:lang w:val="en-US"/>
        </w:rPr>
        <w:t>s</w:t>
      </w:r>
      <w:r w:rsidR="002A6BD7" w:rsidRPr="002A6BD7">
        <w:t xml:space="preserve"> or promote</w:t>
      </w:r>
      <w:r w:rsidR="00774BA5">
        <w:rPr>
          <w:lang w:val="en-US"/>
        </w:rPr>
        <w:t xml:space="preserve"> the</w:t>
      </w:r>
      <w:r w:rsidR="002A6BD7" w:rsidRPr="002A6BD7">
        <w:t xml:space="preserve"> health of older persons, all sectors and all branches respo</w:t>
      </w:r>
      <w:r w:rsidR="009F3A94">
        <w:t>n</w:t>
      </w:r>
      <w:r w:rsidR="002A6BD7" w:rsidRPr="002A6BD7">
        <w:t>sible for public policies need t</w:t>
      </w:r>
      <w:r w:rsidR="006058E4">
        <w:t>o be involved.</w:t>
      </w:r>
    </w:p>
    <w:p w:rsidR="00E57CC3" w:rsidRDefault="00282619" w:rsidP="00CB75BE">
      <w:pPr>
        <w:pStyle w:val="SingleTxtG"/>
        <w:numPr>
          <w:ilvl w:val="0"/>
          <w:numId w:val="45"/>
        </w:numPr>
        <w:ind w:left="1134" w:firstLine="0"/>
      </w:pPr>
      <w:r>
        <w:t>T</w:t>
      </w:r>
      <w:r w:rsidR="002A6BD7" w:rsidRPr="002A6BD7">
        <w:t>his does not mean that role of health sector should be restricted to specialized health care</w:t>
      </w:r>
      <w:r w:rsidR="009A033F">
        <w:t>. On the contrary, the scenario of</w:t>
      </w:r>
      <w:r w:rsidR="002A6BD7" w:rsidRPr="002A6BD7">
        <w:t xml:space="preserve"> ministries of health preoccupied mainly with meeting the need of specialized healt</w:t>
      </w:r>
      <w:r w:rsidR="009A033F">
        <w:t>h</w:t>
      </w:r>
      <w:r w:rsidR="00D9307D">
        <w:rPr>
          <w:lang w:val="en-US"/>
        </w:rPr>
        <w:t>-</w:t>
      </w:r>
      <w:r w:rsidR="009A033F">
        <w:t>care services is</w:t>
      </w:r>
      <w:r w:rsidR="002A6BD7" w:rsidRPr="002A6BD7">
        <w:t xml:space="preserve"> a</w:t>
      </w:r>
      <w:r>
        <w:t>n</w:t>
      </w:r>
      <w:r w:rsidR="002A6BD7" w:rsidRPr="002A6BD7">
        <w:t xml:space="preserve"> outdated one. The role of </w:t>
      </w:r>
      <w:r w:rsidR="00D9307D">
        <w:rPr>
          <w:lang w:val="en-US"/>
        </w:rPr>
        <w:t xml:space="preserve">the </w:t>
      </w:r>
      <w:r w:rsidR="002A6BD7" w:rsidRPr="002A6BD7">
        <w:t>health sector is becoming increasingly important in areas such as health promotion, prev</w:t>
      </w:r>
      <w:r w:rsidR="009A033F">
        <w:t xml:space="preserve">ention of health problems and </w:t>
      </w:r>
      <w:r w:rsidR="002A6BD7" w:rsidRPr="002A6BD7">
        <w:t>p</w:t>
      </w:r>
      <w:r w:rsidR="009A033F">
        <w:t xml:space="preserve">rotection </w:t>
      </w:r>
      <w:r w:rsidR="002A6BD7" w:rsidRPr="002A6BD7">
        <w:t>of human rights, especially within health</w:t>
      </w:r>
      <w:r w:rsidR="00D9307D">
        <w:rPr>
          <w:lang w:val="en-US"/>
        </w:rPr>
        <w:t>-</w:t>
      </w:r>
      <w:r w:rsidR="002A6BD7" w:rsidRPr="002A6BD7">
        <w:t>care services</w:t>
      </w:r>
      <w:r w:rsidR="00E66B6C">
        <w:t xml:space="preserve">, </w:t>
      </w:r>
      <w:r w:rsidR="009A033F">
        <w:t xml:space="preserve">with </w:t>
      </w:r>
      <w:r w:rsidR="00D9307D">
        <w:rPr>
          <w:lang w:val="en-US"/>
        </w:rPr>
        <w:t>particular</w:t>
      </w:r>
      <w:r w:rsidR="00D9307D">
        <w:t xml:space="preserve"> </w:t>
      </w:r>
      <w:r w:rsidR="009A033F">
        <w:t>attention</w:t>
      </w:r>
      <w:r w:rsidR="00D9307D">
        <w:rPr>
          <w:lang w:val="en-US"/>
        </w:rPr>
        <w:t xml:space="preserve"> given</w:t>
      </w:r>
      <w:r w:rsidR="009A033F">
        <w:t xml:space="preserve"> to</w:t>
      </w:r>
      <w:r w:rsidR="002A6BD7" w:rsidRPr="002A6BD7">
        <w:t xml:space="preserve"> the situation of marginaliz</w:t>
      </w:r>
      <w:r w:rsidR="009A033F">
        <w:t xml:space="preserve">ed groups. In the promotion of </w:t>
      </w:r>
      <w:r w:rsidR="00774BA5">
        <w:rPr>
          <w:lang w:val="en-US"/>
        </w:rPr>
        <w:t xml:space="preserve">a </w:t>
      </w:r>
      <w:r w:rsidR="009A033F">
        <w:t>“</w:t>
      </w:r>
      <w:r w:rsidR="002A6BD7" w:rsidRPr="002A6BD7">
        <w:t>health in all poli</w:t>
      </w:r>
      <w:r w:rsidR="009A033F">
        <w:t>cies”</w:t>
      </w:r>
      <w:r w:rsidR="002A6BD7" w:rsidRPr="002A6BD7">
        <w:t xml:space="preserve"> approach, the</w:t>
      </w:r>
      <w:r w:rsidR="009A033F">
        <w:t xml:space="preserve"> health sector should take the</w:t>
      </w:r>
      <w:r w:rsidR="002A6BD7" w:rsidRPr="002A6BD7">
        <w:t xml:space="preserve"> lead and share responsibility for</w:t>
      </w:r>
      <w:r w:rsidR="009A033F">
        <w:t xml:space="preserve"> </w:t>
      </w:r>
      <w:r w:rsidR="002A6BD7" w:rsidRPr="002A6BD7">
        <w:t xml:space="preserve">societal health with </w:t>
      </w:r>
      <w:r w:rsidR="00E57CC3">
        <w:t>other sectors</w:t>
      </w:r>
      <w:r w:rsidR="002A6BD7" w:rsidRPr="002A6BD7">
        <w:t>.</w:t>
      </w:r>
    </w:p>
    <w:p w:rsidR="00994504" w:rsidRPr="00A04ABE" w:rsidRDefault="00997136" w:rsidP="00D05FE0">
      <w:pPr>
        <w:pStyle w:val="SingleTxtG"/>
        <w:numPr>
          <w:ilvl w:val="0"/>
          <w:numId w:val="45"/>
        </w:numPr>
        <w:ind w:left="1134" w:firstLine="0"/>
        <w:rPr>
          <w:lang w:val="en-GB"/>
        </w:rPr>
      </w:pPr>
      <w:r w:rsidRPr="00B76FD9">
        <w:rPr>
          <w:lang w:val="en-GB"/>
        </w:rPr>
        <w:t>With all this in mind</w:t>
      </w:r>
      <w:r w:rsidR="00AC77E7">
        <w:t>, t</w:t>
      </w:r>
      <w:r w:rsidR="00E66B6C" w:rsidRPr="002A6BD7">
        <w:t>he S</w:t>
      </w:r>
      <w:r w:rsidR="00AC77E7">
        <w:t xml:space="preserve">pecial </w:t>
      </w:r>
      <w:r w:rsidR="00E66B6C" w:rsidRPr="002A6BD7">
        <w:t>R</w:t>
      </w:r>
      <w:r w:rsidR="00AC77E7">
        <w:t>apporteur</w:t>
      </w:r>
      <w:r w:rsidR="00E66B6C" w:rsidRPr="002A6BD7">
        <w:t xml:space="preserve"> is considering the analysis of the following themes</w:t>
      </w:r>
      <w:r w:rsidR="00AC77E7" w:rsidRPr="00AC77E7">
        <w:t xml:space="preserve"> </w:t>
      </w:r>
      <w:r w:rsidR="00AC77E7" w:rsidRPr="002A6BD7">
        <w:t xml:space="preserve">as </w:t>
      </w:r>
      <w:r w:rsidR="00994504" w:rsidRPr="00B76FD9">
        <w:rPr>
          <w:lang w:val="en-GB"/>
        </w:rPr>
        <w:t>some</w:t>
      </w:r>
      <w:r w:rsidR="00994504" w:rsidRPr="002A6BD7">
        <w:t xml:space="preserve"> </w:t>
      </w:r>
      <w:r w:rsidR="00AC77E7" w:rsidRPr="002A6BD7">
        <w:t>of his priorities</w:t>
      </w:r>
      <w:r w:rsidR="00E66B6C" w:rsidRPr="002A6BD7">
        <w:t>.</w:t>
      </w:r>
    </w:p>
    <w:p w:rsidR="00AC77E7" w:rsidRDefault="00B25CF4" w:rsidP="00B25CF4">
      <w:pPr>
        <w:pStyle w:val="HChG"/>
      </w:pPr>
      <w:r>
        <w:tab/>
        <w:t>V.</w:t>
      </w:r>
      <w:r>
        <w:tab/>
      </w:r>
      <w:r w:rsidR="002A6BD7" w:rsidRPr="00B76FD9">
        <w:t>Themes as priorities</w:t>
      </w:r>
    </w:p>
    <w:p w:rsidR="00A32BD5" w:rsidRPr="0073018A" w:rsidRDefault="00B25CF4" w:rsidP="00B25CF4">
      <w:pPr>
        <w:pStyle w:val="H1G"/>
      </w:pPr>
      <w:r w:rsidRPr="008A0770">
        <w:tab/>
        <w:t>A.</w:t>
      </w:r>
      <w:r w:rsidRPr="008A0770">
        <w:tab/>
      </w:r>
      <w:r w:rsidR="002A6BD7" w:rsidRPr="003D5ADC">
        <w:t xml:space="preserve">Global health </w:t>
      </w:r>
      <w:r w:rsidR="00B02FB8">
        <w:t>in</w:t>
      </w:r>
      <w:r w:rsidR="002A6BD7" w:rsidRPr="003D5ADC">
        <w:t xml:space="preserve"> </w:t>
      </w:r>
      <w:r w:rsidR="00E0722D" w:rsidRPr="00B76FD9">
        <w:t>the post-2015 agenda</w:t>
      </w:r>
    </w:p>
    <w:p w:rsidR="00A32BD5" w:rsidRPr="00A04ABE" w:rsidRDefault="00A32BD5" w:rsidP="00E1661C">
      <w:pPr>
        <w:pStyle w:val="SingleTxtG"/>
        <w:numPr>
          <w:ilvl w:val="0"/>
          <w:numId w:val="45"/>
        </w:numPr>
        <w:ind w:left="1134" w:firstLine="0"/>
        <w:rPr>
          <w:lang w:val="en-GB"/>
        </w:rPr>
      </w:pPr>
      <w:r>
        <w:t xml:space="preserve">The transition from </w:t>
      </w:r>
      <w:r w:rsidRPr="002A6BD7">
        <w:t>M</w:t>
      </w:r>
      <w:r w:rsidR="00FF6EC3">
        <w:rPr>
          <w:lang w:val="en-US"/>
        </w:rPr>
        <w:t xml:space="preserve">illennium </w:t>
      </w:r>
      <w:r w:rsidRPr="002A6BD7">
        <w:t>D</w:t>
      </w:r>
      <w:r w:rsidR="00FF6EC3">
        <w:rPr>
          <w:lang w:val="en-US"/>
        </w:rPr>
        <w:t xml:space="preserve">evelopment </w:t>
      </w:r>
      <w:r w:rsidRPr="002A6BD7">
        <w:t>G</w:t>
      </w:r>
      <w:r w:rsidR="00FF6EC3">
        <w:rPr>
          <w:lang w:val="en-US"/>
        </w:rPr>
        <w:t>oal</w:t>
      </w:r>
      <w:r w:rsidRPr="002A6BD7">
        <w:t xml:space="preserve">s to </w:t>
      </w:r>
      <w:r w:rsidR="00E1661C">
        <w:t>Sustainable Development Goals</w:t>
      </w:r>
      <w:r w:rsidR="00E1661C">
        <w:rPr>
          <w:lang w:val="en-US"/>
        </w:rPr>
        <w:t xml:space="preserve"> </w:t>
      </w:r>
      <w:r w:rsidRPr="002A6BD7">
        <w:t xml:space="preserve">is </w:t>
      </w:r>
      <w:r>
        <w:t xml:space="preserve">a unique opportunity to rethink </w:t>
      </w:r>
      <w:r w:rsidRPr="002A6BD7">
        <w:t xml:space="preserve">achievements and </w:t>
      </w:r>
      <w:r>
        <w:t>assess</w:t>
      </w:r>
      <w:r w:rsidR="00774BA5">
        <w:rPr>
          <w:lang w:val="en-US"/>
        </w:rPr>
        <w:t xml:space="preserve"> the</w:t>
      </w:r>
      <w:r w:rsidRPr="002A6BD7">
        <w:t xml:space="preserve"> remaining challenges affecting </w:t>
      </w:r>
      <w:r>
        <w:t xml:space="preserve">the right to </w:t>
      </w:r>
      <w:r w:rsidRPr="002A6BD7">
        <w:t>health and well</w:t>
      </w:r>
      <w:r w:rsidR="00D9307D">
        <w:rPr>
          <w:lang w:val="en-US"/>
        </w:rPr>
        <w:t>-</w:t>
      </w:r>
      <w:r w:rsidRPr="002A6BD7">
        <w:t xml:space="preserve">being of individuals and societies. In the decade </w:t>
      </w:r>
      <w:r w:rsidRPr="00EA09C4">
        <w:t>between 20</w:t>
      </w:r>
      <w:r w:rsidR="00EF5E46" w:rsidRPr="00EA09C4">
        <w:rPr>
          <w:lang w:val="en-GB"/>
        </w:rPr>
        <w:t>0</w:t>
      </w:r>
      <w:r w:rsidRPr="00EA09C4">
        <w:t>0 and 20</w:t>
      </w:r>
      <w:r w:rsidR="00EF5E46" w:rsidRPr="00EA09C4">
        <w:rPr>
          <w:lang w:val="en-GB"/>
        </w:rPr>
        <w:t>1</w:t>
      </w:r>
      <w:r w:rsidRPr="00EA09C4">
        <w:t>0,</w:t>
      </w:r>
      <w:r w:rsidRPr="002A6BD7">
        <w:t xml:space="preserve"> an estimated 3</w:t>
      </w:r>
      <w:r w:rsidR="00D9307D">
        <w:rPr>
          <w:lang w:val="en-US"/>
        </w:rPr>
        <w:t>.</w:t>
      </w:r>
      <w:r w:rsidRPr="002A6BD7">
        <w:t>3 million</w:t>
      </w:r>
      <w:r w:rsidR="00813F20">
        <w:t xml:space="preserve"> </w:t>
      </w:r>
      <w:r w:rsidRPr="002A6BD7">
        <w:t>deaths from malaria were averted and 22 million</w:t>
      </w:r>
      <w:r w:rsidR="00813F20">
        <w:t xml:space="preserve"> </w:t>
      </w:r>
      <w:r w:rsidRPr="002A6BD7">
        <w:t>lives were saved</w:t>
      </w:r>
      <w:r w:rsidR="00813F20">
        <w:t xml:space="preserve"> </w:t>
      </w:r>
      <w:r w:rsidRPr="002A6BD7">
        <w:t>in the fight against</w:t>
      </w:r>
      <w:r w:rsidR="00813F20">
        <w:t xml:space="preserve"> </w:t>
      </w:r>
      <w:r w:rsidRPr="002A6BD7">
        <w:t>tuberculosis.</w:t>
      </w:r>
      <w:r w:rsidR="00813F20">
        <w:t xml:space="preserve"> </w:t>
      </w:r>
      <w:r>
        <w:t>Access to retroviral therapy for</w:t>
      </w:r>
      <w:r w:rsidRPr="002A6BD7">
        <w:t xml:space="preserve"> HIV-infected people has saved 6</w:t>
      </w:r>
      <w:r w:rsidR="00D9307D">
        <w:rPr>
          <w:lang w:val="en-US"/>
        </w:rPr>
        <w:t>.</w:t>
      </w:r>
      <w:r w:rsidRPr="002A6BD7">
        <w:t xml:space="preserve">6 million lives since 1995. At the </w:t>
      </w:r>
      <w:r>
        <w:t xml:space="preserve">same time, access </w:t>
      </w:r>
      <w:r w:rsidRPr="002A6BD7">
        <w:t>to child and maternal health care has improved steadily</w:t>
      </w:r>
      <w:r w:rsidR="00813F20" w:rsidRPr="00840D9F">
        <w:rPr>
          <w:lang w:val="en-US"/>
        </w:rPr>
        <w:t>.</w:t>
      </w:r>
      <w:r>
        <w:rPr>
          <w:rStyle w:val="FootnoteReference"/>
        </w:rPr>
        <w:footnoteReference w:id="4"/>
      </w:r>
    </w:p>
    <w:p w:rsidR="00A32BD5" w:rsidRPr="002A6BD7" w:rsidRDefault="00A32BD5" w:rsidP="00840D9F">
      <w:pPr>
        <w:pStyle w:val="SingleTxtG"/>
        <w:numPr>
          <w:ilvl w:val="0"/>
          <w:numId w:val="45"/>
        </w:numPr>
        <w:ind w:left="1134" w:firstLine="0"/>
      </w:pPr>
      <w:r>
        <w:t>Since</w:t>
      </w:r>
      <w:r w:rsidRPr="002A6BD7">
        <w:t xml:space="preserve"> </w:t>
      </w:r>
      <w:r>
        <w:t xml:space="preserve">the end of </w:t>
      </w:r>
      <w:r w:rsidR="00D9307D">
        <w:rPr>
          <w:lang w:val="en-US"/>
        </w:rPr>
        <w:t>nineteen</w:t>
      </w:r>
      <w:r w:rsidRPr="002A6BD7">
        <w:t>th</w:t>
      </w:r>
      <w:r>
        <w:t xml:space="preserve"> century, s</w:t>
      </w:r>
      <w:r w:rsidRPr="002A6BD7">
        <w:t xml:space="preserve">cience and </w:t>
      </w:r>
      <w:r>
        <w:t xml:space="preserve">the </w:t>
      </w:r>
      <w:r w:rsidRPr="002A6BD7">
        <w:t xml:space="preserve">practice of medicine and public health have </w:t>
      </w:r>
      <w:r>
        <w:t>created enormous opportunities for</w:t>
      </w:r>
      <w:r w:rsidRPr="002A6BD7">
        <w:t xml:space="preserve"> preventing premature mortality and improving </w:t>
      </w:r>
      <w:r>
        <w:t xml:space="preserve">the </w:t>
      </w:r>
      <w:r w:rsidRPr="002A6BD7">
        <w:t xml:space="preserve">health and well-being of individuals and societies. Many scientific discoveries have been successfully </w:t>
      </w:r>
      <w:r>
        <w:t>put in</w:t>
      </w:r>
      <w:r w:rsidR="00774BA5">
        <w:rPr>
          <w:lang w:val="en-US"/>
        </w:rPr>
        <w:t>to</w:t>
      </w:r>
      <w:r>
        <w:t xml:space="preserve"> practice</w:t>
      </w:r>
      <w:r w:rsidR="00D9307D">
        <w:rPr>
          <w:lang w:val="en-US"/>
        </w:rPr>
        <w:t>,</w:t>
      </w:r>
      <w:r w:rsidRPr="002A6BD7">
        <w:t xml:space="preserve"> result</w:t>
      </w:r>
      <w:r>
        <w:t>ing in an overall increase of</w:t>
      </w:r>
      <w:r w:rsidRPr="002A6BD7">
        <w:t xml:space="preserve"> life expectanc</w:t>
      </w:r>
      <w:r w:rsidR="00D9307D">
        <w:rPr>
          <w:lang w:val="en-US"/>
        </w:rPr>
        <w:t>y</w:t>
      </w:r>
      <w:r w:rsidRPr="002A6BD7">
        <w:t xml:space="preserve">, </w:t>
      </w:r>
      <w:r>
        <w:t xml:space="preserve">a </w:t>
      </w:r>
      <w:r w:rsidRPr="002A6BD7">
        <w:t xml:space="preserve">reduction </w:t>
      </w:r>
      <w:r w:rsidR="00774BA5">
        <w:rPr>
          <w:lang w:val="en-US"/>
        </w:rPr>
        <w:t>in</w:t>
      </w:r>
      <w:r w:rsidR="00774BA5">
        <w:t xml:space="preserve"> </w:t>
      </w:r>
      <w:r>
        <w:t xml:space="preserve">maternal and child mortality, a successful </w:t>
      </w:r>
      <w:r w:rsidRPr="002A6BD7">
        <w:t>combat</w:t>
      </w:r>
      <w:r>
        <w:t xml:space="preserve"> against</w:t>
      </w:r>
      <w:r w:rsidRPr="002A6BD7">
        <w:t xml:space="preserve"> many infectious diseases and </w:t>
      </w:r>
      <w:r>
        <w:t xml:space="preserve">a general improvement of the quality of life of the world’s </w:t>
      </w:r>
      <w:r w:rsidRPr="002A6BD7">
        <w:t>population.</w:t>
      </w:r>
    </w:p>
    <w:p w:rsidR="00997136" w:rsidRPr="00CE6A27" w:rsidRDefault="00997136" w:rsidP="00840D9F">
      <w:pPr>
        <w:pStyle w:val="SingleTxtG"/>
        <w:numPr>
          <w:ilvl w:val="0"/>
          <w:numId w:val="45"/>
        </w:numPr>
        <w:ind w:left="1134" w:firstLine="0"/>
      </w:pPr>
      <w:r>
        <w:rPr>
          <w:lang w:val="en-GB"/>
        </w:rPr>
        <w:t>However, c</w:t>
      </w:r>
      <w:r w:rsidRPr="00CE6A27">
        <w:rPr>
          <w:lang w:val="en-GB"/>
        </w:rPr>
        <w:t>urrent r</w:t>
      </w:r>
      <w:r>
        <w:t xml:space="preserve">ates of preventable deaths </w:t>
      </w:r>
      <w:r w:rsidRPr="002A6BD7">
        <w:t>among newborns, children under</w:t>
      </w:r>
      <w:r w:rsidR="00D9307D">
        <w:rPr>
          <w:lang w:val="en-US"/>
        </w:rPr>
        <w:t xml:space="preserve"> 5</w:t>
      </w:r>
      <w:r>
        <w:t xml:space="preserve"> and adults </w:t>
      </w:r>
      <w:r w:rsidRPr="002A6BD7">
        <w:t>are still unacceptably high. Universal health</w:t>
      </w:r>
      <w:r w:rsidR="00D9307D">
        <w:rPr>
          <w:lang w:val="en-US"/>
        </w:rPr>
        <w:t>-</w:t>
      </w:r>
      <w:r w:rsidRPr="002A6BD7">
        <w:t>care cover</w:t>
      </w:r>
      <w:r>
        <w:t xml:space="preserve">age is still a dream for many. </w:t>
      </w:r>
      <w:r w:rsidRPr="002A6BD7">
        <w:t>The realization of</w:t>
      </w:r>
      <w:r>
        <w:t xml:space="preserve"> the right to health is impeded by many factors, and most of </w:t>
      </w:r>
      <w:r w:rsidRPr="002A6BD7">
        <w:t>the</w:t>
      </w:r>
      <w:r>
        <w:t xml:space="preserve">m are related to inequalities, </w:t>
      </w:r>
      <w:r w:rsidRPr="00CE6A27">
        <w:rPr>
          <w:lang w:val="en-GB"/>
        </w:rPr>
        <w:t>and</w:t>
      </w:r>
      <w:r>
        <w:t xml:space="preserve"> selective approaches to </w:t>
      </w:r>
      <w:r w:rsidRPr="002A6BD7">
        <w:t>human rights principles and existing scientific evidence.</w:t>
      </w:r>
      <w:r w:rsidR="00813F20">
        <w:t xml:space="preserve"> </w:t>
      </w:r>
      <w:r w:rsidRPr="002A6BD7">
        <w:t>This can and must be addressed w</w:t>
      </w:r>
      <w:r>
        <w:t>ith the strong commitment by States and concerted efforts by</w:t>
      </w:r>
      <w:r w:rsidRPr="002A6BD7">
        <w:t xml:space="preserve"> all stakeholders.</w:t>
      </w:r>
    </w:p>
    <w:p w:rsidR="00994504" w:rsidRPr="00A04ABE" w:rsidRDefault="00A32BD5" w:rsidP="00E1661C">
      <w:pPr>
        <w:pStyle w:val="SingleTxtG"/>
        <w:numPr>
          <w:ilvl w:val="0"/>
          <w:numId w:val="45"/>
        </w:numPr>
        <w:ind w:left="1134" w:firstLine="0"/>
        <w:rPr>
          <w:lang w:val="en-GB"/>
        </w:rPr>
      </w:pPr>
      <w:r w:rsidRPr="002A6BD7">
        <w:t xml:space="preserve">In </w:t>
      </w:r>
      <w:r>
        <w:t>the</w:t>
      </w:r>
      <w:r w:rsidRPr="002A6BD7">
        <w:t xml:space="preserve"> context</w:t>
      </w:r>
      <w:r>
        <w:t xml:space="preserve"> of the post-2015 age</w:t>
      </w:r>
      <w:r w:rsidRPr="002A6BD7">
        <w:t>nda</w:t>
      </w:r>
      <w:r>
        <w:t>,</w:t>
      </w:r>
      <w:r w:rsidRPr="002A6BD7">
        <w:t xml:space="preserve"> the right to health framework can be a useful and powerful analytical and operational tool for the transition to </w:t>
      </w:r>
      <w:r>
        <w:t xml:space="preserve">the </w:t>
      </w:r>
      <w:r w:rsidR="00E1661C">
        <w:t>Sustainable Development Goals</w:t>
      </w:r>
      <w:r>
        <w:t>.</w:t>
      </w:r>
      <w:r w:rsidRPr="002A6BD7">
        <w:t xml:space="preserve"> </w:t>
      </w:r>
      <w:r>
        <w:t>And the</w:t>
      </w:r>
      <w:r w:rsidRPr="002A6BD7">
        <w:t xml:space="preserve"> </w:t>
      </w:r>
      <w:r w:rsidR="00E1661C">
        <w:t>Sustainable Development Goals</w:t>
      </w:r>
      <w:r w:rsidR="00E1661C">
        <w:rPr>
          <w:lang w:val="en-US"/>
        </w:rPr>
        <w:t xml:space="preserve"> </w:t>
      </w:r>
      <w:r>
        <w:t xml:space="preserve">can be instrumental </w:t>
      </w:r>
      <w:r w:rsidRPr="002A6BD7">
        <w:t>for the effective and holistic reali</w:t>
      </w:r>
      <w:r w:rsidR="00D9307D">
        <w:rPr>
          <w:lang w:val="en-US"/>
        </w:rPr>
        <w:t>z</w:t>
      </w:r>
      <w:r w:rsidRPr="002A6BD7">
        <w:t>ation of the right to health</w:t>
      </w:r>
      <w:r>
        <w:t xml:space="preserve">, if human rights are effectively incorporated in </w:t>
      </w:r>
      <w:r w:rsidRPr="003728D4">
        <w:t>their conceptuali</w:t>
      </w:r>
      <w:r w:rsidR="00D9307D">
        <w:rPr>
          <w:lang w:val="en-US"/>
        </w:rPr>
        <w:t>z</w:t>
      </w:r>
      <w:r w:rsidRPr="003728D4">
        <w:t>ation</w:t>
      </w:r>
      <w:r w:rsidR="00810833" w:rsidRPr="008A0770">
        <w:rPr>
          <w:lang w:val="en-GB"/>
        </w:rPr>
        <w:t>.</w:t>
      </w:r>
    </w:p>
    <w:p w:rsidR="00FB38D1" w:rsidRPr="0073018A" w:rsidRDefault="00B25CF4" w:rsidP="00B25CF4">
      <w:pPr>
        <w:pStyle w:val="H1G"/>
      </w:pPr>
      <w:r>
        <w:tab/>
        <w:t>B.</w:t>
      </w:r>
      <w:r>
        <w:tab/>
      </w:r>
      <w:r w:rsidR="002D20AE">
        <w:t>The r</w:t>
      </w:r>
      <w:r w:rsidR="002A6BD7" w:rsidRPr="00734CAE">
        <w:t>ight to health and public policy</w:t>
      </w:r>
      <w:r w:rsidR="005F4023" w:rsidRPr="00734CAE">
        <w:t xml:space="preserve"> </w:t>
      </w:r>
    </w:p>
    <w:p w:rsidR="00A328A5" w:rsidRPr="007F3DA2" w:rsidRDefault="002A6BD7" w:rsidP="00840D9F">
      <w:pPr>
        <w:pStyle w:val="SingleTxtG"/>
        <w:numPr>
          <w:ilvl w:val="0"/>
          <w:numId w:val="45"/>
        </w:numPr>
        <w:ind w:left="1134" w:firstLine="0"/>
      </w:pPr>
      <w:r w:rsidRPr="007F3DA2">
        <w:t xml:space="preserve">Primary care is to be </w:t>
      </w:r>
      <w:r w:rsidR="005F4023">
        <w:rPr>
          <w:lang w:val="en-US"/>
        </w:rPr>
        <w:t xml:space="preserve">strengthened </w:t>
      </w:r>
      <w:r w:rsidRPr="007F3DA2">
        <w:t xml:space="preserve">in </w:t>
      </w:r>
      <w:r w:rsidR="004065AF" w:rsidRPr="00840D9F">
        <w:rPr>
          <w:lang w:val="en-GB"/>
        </w:rPr>
        <w:t xml:space="preserve">the </w:t>
      </w:r>
      <w:r w:rsidR="00D9307D">
        <w:rPr>
          <w:lang w:val="en-US"/>
        </w:rPr>
        <w:t>twenty-fir</w:t>
      </w:r>
      <w:r w:rsidRPr="007F3DA2">
        <w:t xml:space="preserve">st </w:t>
      </w:r>
      <w:r w:rsidR="00AC77E7">
        <w:t xml:space="preserve">century as the </w:t>
      </w:r>
      <w:r w:rsidR="00FB38D1">
        <w:rPr>
          <w:lang w:val="en-US"/>
        </w:rPr>
        <w:t xml:space="preserve">crucial cornerstone </w:t>
      </w:r>
      <w:r w:rsidRPr="007F3DA2">
        <w:t>of modern medicine and public h</w:t>
      </w:r>
      <w:r w:rsidR="00AC77E7">
        <w:t xml:space="preserve">ealth. </w:t>
      </w:r>
      <w:r w:rsidR="00A328A5" w:rsidRPr="00C766A8">
        <w:rPr>
          <w:lang w:val="en-GB"/>
        </w:rPr>
        <w:t xml:space="preserve">The </w:t>
      </w:r>
      <w:r w:rsidR="00A328A5" w:rsidRPr="00AC77E7">
        <w:t>Alma</w:t>
      </w:r>
      <w:r w:rsidR="003200F9" w:rsidRPr="00EA09C4">
        <w:rPr>
          <w:lang w:val="en-GB"/>
        </w:rPr>
        <w:t>-</w:t>
      </w:r>
      <w:r w:rsidR="00A328A5" w:rsidRPr="00AC77E7">
        <w:t xml:space="preserve">Ata Declaration and Ottawa Charter </w:t>
      </w:r>
      <w:r w:rsidR="00D9307D">
        <w:rPr>
          <w:lang w:val="en-US"/>
        </w:rPr>
        <w:t xml:space="preserve">for Health Promotion </w:t>
      </w:r>
      <w:r w:rsidR="00A328A5" w:rsidRPr="00AC77E7">
        <w:t xml:space="preserve">should be reaffirmed and </w:t>
      </w:r>
      <w:r w:rsidR="00A328A5" w:rsidRPr="007F3DA2">
        <w:t>the root causes of</w:t>
      </w:r>
      <w:r w:rsidR="005D3AF5">
        <w:rPr>
          <w:lang w:val="en-US"/>
        </w:rPr>
        <w:t xml:space="preserve"> the</w:t>
      </w:r>
      <w:r w:rsidR="00A328A5" w:rsidRPr="007F3DA2">
        <w:t xml:space="preserve"> rela</w:t>
      </w:r>
      <w:r w:rsidR="00A328A5">
        <w:t xml:space="preserve">tive failure </w:t>
      </w:r>
      <w:r w:rsidR="005D3AF5">
        <w:rPr>
          <w:lang w:val="en-US"/>
        </w:rPr>
        <w:t>to achieve</w:t>
      </w:r>
      <w:r w:rsidR="005D3AF5">
        <w:t xml:space="preserve"> </w:t>
      </w:r>
      <w:r w:rsidR="00A328A5">
        <w:t xml:space="preserve">commitments </w:t>
      </w:r>
      <w:r w:rsidR="005D3AF5">
        <w:rPr>
          <w:lang w:val="en-US"/>
        </w:rPr>
        <w:t>to</w:t>
      </w:r>
      <w:r w:rsidR="005D3AF5">
        <w:t xml:space="preserve"> </w:t>
      </w:r>
      <w:r w:rsidR="00A328A5">
        <w:t>“health for all</w:t>
      </w:r>
      <w:r w:rsidR="001F420F">
        <w:rPr>
          <w:lang w:val="en-US"/>
        </w:rPr>
        <w:t xml:space="preserve"> by </w:t>
      </w:r>
      <w:r w:rsidR="00A328A5">
        <w:t>2000”</w:t>
      </w:r>
      <w:r w:rsidR="00D9307D">
        <w:rPr>
          <w:lang w:val="en-US"/>
        </w:rPr>
        <w:t xml:space="preserve"> should be sought</w:t>
      </w:r>
      <w:r w:rsidR="00A328A5" w:rsidRPr="007F3DA2">
        <w:t>.</w:t>
      </w:r>
    </w:p>
    <w:p w:rsidR="00072ED4" w:rsidRPr="00A04ABE" w:rsidRDefault="00AC77E7" w:rsidP="00CB75BE">
      <w:pPr>
        <w:pStyle w:val="SingleTxtG"/>
        <w:numPr>
          <w:ilvl w:val="0"/>
          <w:numId w:val="45"/>
        </w:numPr>
        <w:ind w:left="1134" w:firstLine="0"/>
        <w:rPr>
          <w:lang w:val="en-GB"/>
        </w:rPr>
      </w:pPr>
      <w:r>
        <w:t xml:space="preserve">Without </w:t>
      </w:r>
      <w:r w:rsidR="008107F6" w:rsidRPr="00B76FD9">
        <w:rPr>
          <w:lang w:val="en-GB"/>
        </w:rPr>
        <w:t xml:space="preserve">a </w:t>
      </w:r>
      <w:r>
        <w:t>well-</w:t>
      </w:r>
      <w:r w:rsidRPr="007F3DA2">
        <w:t>established</w:t>
      </w:r>
      <w:r w:rsidR="002A6BD7" w:rsidRPr="007F3DA2">
        <w:t xml:space="preserve"> </w:t>
      </w:r>
      <w:r w:rsidR="005F4023">
        <w:rPr>
          <w:lang w:val="en-US"/>
        </w:rPr>
        <w:t xml:space="preserve">infrastructure </w:t>
      </w:r>
      <w:r w:rsidR="002A6BD7" w:rsidRPr="007F3DA2">
        <w:t xml:space="preserve">of primary </w:t>
      </w:r>
      <w:r w:rsidR="008107F6" w:rsidRPr="00B76FD9">
        <w:rPr>
          <w:lang w:val="en-GB"/>
        </w:rPr>
        <w:t>health</w:t>
      </w:r>
      <w:r w:rsidR="00D9307D">
        <w:rPr>
          <w:lang w:val="en-GB"/>
        </w:rPr>
        <w:t xml:space="preserve"> </w:t>
      </w:r>
      <w:r w:rsidR="002A6BD7" w:rsidRPr="007F3DA2">
        <w:t>care</w:t>
      </w:r>
      <w:r w:rsidR="008107F6" w:rsidRPr="00B76FD9">
        <w:rPr>
          <w:lang w:val="en-GB"/>
        </w:rPr>
        <w:t>,</w:t>
      </w:r>
      <w:r w:rsidR="002A6BD7" w:rsidRPr="007F3DA2">
        <w:t xml:space="preserve"> all achievements of </w:t>
      </w:r>
      <w:r>
        <w:t xml:space="preserve">modern science and </w:t>
      </w:r>
      <w:r w:rsidR="008107F6" w:rsidRPr="00B76FD9">
        <w:rPr>
          <w:lang w:val="en-GB"/>
        </w:rPr>
        <w:t xml:space="preserve">the </w:t>
      </w:r>
      <w:r>
        <w:t xml:space="preserve">practice of </w:t>
      </w:r>
      <w:r w:rsidR="002A6BD7" w:rsidRPr="007F3DA2">
        <w:t xml:space="preserve">medicine </w:t>
      </w:r>
      <w:r w:rsidR="00810833" w:rsidRPr="00EA09C4">
        <w:rPr>
          <w:lang w:val="en-GB"/>
        </w:rPr>
        <w:t xml:space="preserve">might </w:t>
      </w:r>
      <w:r w:rsidR="002A6BD7" w:rsidRPr="007F3DA2">
        <w:t>be co</w:t>
      </w:r>
      <w:r w:rsidR="00072ED4">
        <w:t xml:space="preserve">mpromised and </w:t>
      </w:r>
      <w:r w:rsidR="008107F6" w:rsidRPr="00B76FD9">
        <w:rPr>
          <w:lang w:val="en-GB"/>
        </w:rPr>
        <w:t>could</w:t>
      </w:r>
      <w:r w:rsidR="008107F6">
        <w:t xml:space="preserve"> </w:t>
      </w:r>
      <w:r w:rsidR="00072ED4">
        <w:t>be misused. When</w:t>
      </w:r>
      <w:r w:rsidR="002A6BD7" w:rsidRPr="007F3DA2">
        <w:t xml:space="preserve"> healt</w:t>
      </w:r>
      <w:r w:rsidR="0099045B" w:rsidRPr="00EA09C4">
        <w:rPr>
          <w:lang w:val="en-GB"/>
        </w:rPr>
        <w:t>h</w:t>
      </w:r>
      <w:r w:rsidR="002A6BD7" w:rsidRPr="007F3DA2">
        <w:t xml:space="preserve"> policy </w:t>
      </w:r>
      <w:r w:rsidR="0047308D" w:rsidRPr="00EA09C4">
        <w:rPr>
          <w:lang w:val="en-GB"/>
        </w:rPr>
        <w:t xml:space="preserve">chooses to </w:t>
      </w:r>
      <w:r w:rsidR="00FB7AAC">
        <w:t>prioriti</w:t>
      </w:r>
      <w:r w:rsidR="0047308D" w:rsidRPr="00EA09C4">
        <w:rPr>
          <w:lang w:val="en-GB"/>
        </w:rPr>
        <w:t>ze</w:t>
      </w:r>
      <w:r>
        <w:t xml:space="preserve"> specialized services,</w:t>
      </w:r>
      <w:r w:rsidR="001F0F3B" w:rsidRPr="00B76FD9">
        <w:rPr>
          <w:lang w:val="en-GB"/>
        </w:rPr>
        <w:t xml:space="preserve"> </w:t>
      </w:r>
      <w:r w:rsidR="002A6BD7" w:rsidRPr="007F3DA2">
        <w:t>the</w:t>
      </w:r>
      <w:r w:rsidR="00D9307D">
        <w:rPr>
          <w:lang w:val="en-US"/>
        </w:rPr>
        <w:t xml:space="preserve"> latter</w:t>
      </w:r>
      <w:r w:rsidR="00FB38D1">
        <w:rPr>
          <w:lang w:val="en-US"/>
        </w:rPr>
        <w:t xml:space="preserve"> tend to </w:t>
      </w:r>
      <w:r w:rsidR="002A6BD7" w:rsidRPr="007F3DA2">
        <w:t xml:space="preserve">function without </w:t>
      </w:r>
      <w:r w:rsidR="00072ED4">
        <w:t xml:space="preserve">the </w:t>
      </w:r>
      <w:r w:rsidR="002A6BD7" w:rsidRPr="007F3DA2">
        <w:t>necessary ethical and human rights safeguards</w:t>
      </w:r>
      <w:r w:rsidR="00D9307D">
        <w:rPr>
          <w:lang w:val="en-US"/>
        </w:rPr>
        <w:t>,</w:t>
      </w:r>
      <w:r w:rsidR="001F0F3B" w:rsidRPr="00B76FD9">
        <w:rPr>
          <w:lang w:val="en-GB"/>
        </w:rPr>
        <w:t xml:space="preserve"> </w:t>
      </w:r>
      <w:r w:rsidR="00FB38D1" w:rsidRPr="00E0722D">
        <w:rPr>
          <w:lang w:val="en-US"/>
        </w:rPr>
        <w:t>lead</w:t>
      </w:r>
      <w:r w:rsidR="001F0F3B" w:rsidRPr="00B76FD9">
        <w:rPr>
          <w:lang w:val="en-US"/>
        </w:rPr>
        <w:t>ing</w:t>
      </w:r>
      <w:r w:rsidR="00FB38D1" w:rsidRPr="00E0722D">
        <w:rPr>
          <w:lang w:val="en-US"/>
        </w:rPr>
        <w:t xml:space="preserve"> to </w:t>
      </w:r>
      <w:r w:rsidR="001F0F3B" w:rsidRPr="00B76FD9">
        <w:rPr>
          <w:lang w:val="en-US"/>
        </w:rPr>
        <w:t xml:space="preserve">barriers in access to services for </w:t>
      </w:r>
      <w:r w:rsidR="002A6BD7" w:rsidRPr="00E0722D">
        <w:t>people and gro</w:t>
      </w:r>
      <w:r w:rsidR="00072ED4" w:rsidRPr="00E0722D">
        <w:t>ups who have more health needs or</w:t>
      </w:r>
      <w:r w:rsidR="002A6BD7" w:rsidRPr="00E0722D">
        <w:t xml:space="preserve"> </w:t>
      </w:r>
      <w:r w:rsidR="008107F6" w:rsidRPr="00B76FD9">
        <w:rPr>
          <w:lang w:val="en-GB"/>
        </w:rPr>
        <w:t>to the</w:t>
      </w:r>
      <w:r w:rsidR="00072ED4" w:rsidRPr="00E0722D">
        <w:t xml:space="preserve"> </w:t>
      </w:r>
      <w:r w:rsidR="0047308D">
        <w:rPr>
          <w:lang w:val="en-GB"/>
        </w:rPr>
        <w:t>ineffective use</w:t>
      </w:r>
      <w:r w:rsidR="00813F20">
        <w:rPr>
          <w:lang w:val="en-GB"/>
        </w:rPr>
        <w:t xml:space="preserve"> </w:t>
      </w:r>
      <w:r w:rsidR="001F0F3B" w:rsidRPr="00B76FD9">
        <w:rPr>
          <w:lang w:val="en-GB"/>
        </w:rPr>
        <w:t>of those services</w:t>
      </w:r>
      <w:r w:rsidR="00072ED4" w:rsidRPr="00E0722D">
        <w:t xml:space="preserve">, </w:t>
      </w:r>
      <w:r w:rsidR="00FB7AAC" w:rsidRPr="00E0722D">
        <w:t xml:space="preserve">or </w:t>
      </w:r>
      <w:r w:rsidR="001F0F3B" w:rsidRPr="00B76FD9">
        <w:rPr>
          <w:lang w:val="en-GB"/>
        </w:rPr>
        <w:t xml:space="preserve">to </w:t>
      </w:r>
      <w:r w:rsidR="00FB7AAC" w:rsidRPr="00E0722D">
        <w:t>both.</w:t>
      </w:r>
    </w:p>
    <w:p w:rsidR="002A6BD7" w:rsidRPr="00A04ABE" w:rsidRDefault="001F0F3B" w:rsidP="00CB75BE">
      <w:pPr>
        <w:pStyle w:val="SingleTxtG"/>
        <w:numPr>
          <w:ilvl w:val="0"/>
          <w:numId w:val="45"/>
        </w:numPr>
        <w:ind w:left="1134" w:firstLine="0"/>
        <w:rPr>
          <w:lang w:val="en-GB"/>
        </w:rPr>
      </w:pPr>
      <w:r w:rsidRPr="008107F6">
        <w:rPr>
          <w:lang w:val="en-GB"/>
        </w:rPr>
        <w:t>The S</w:t>
      </w:r>
      <w:r w:rsidRPr="00B76FD9">
        <w:rPr>
          <w:lang w:val="en-GB"/>
        </w:rPr>
        <w:t>p</w:t>
      </w:r>
      <w:r>
        <w:rPr>
          <w:lang w:val="en-GB"/>
        </w:rPr>
        <w:t>e</w:t>
      </w:r>
      <w:r w:rsidRPr="00B76FD9">
        <w:rPr>
          <w:lang w:val="en-GB"/>
        </w:rPr>
        <w:t xml:space="preserve">cial Rapporteur is </w:t>
      </w:r>
      <w:r w:rsidR="008107F6">
        <w:rPr>
          <w:lang w:val="en-GB"/>
        </w:rPr>
        <w:t>co</w:t>
      </w:r>
      <w:r w:rsidRPr="008107F6">
        <w:rPr>
          <w:lang w:val="en-GB"/>
        </w:rPr>
        <w:t>n</w:t>
      </w:r>
      <w:r w:rsidR="008107F6">
        <w:rPr>
          <w:lang w:val="en-GB"/>
        </w:rPr>
        <w:t>cern</w:t>
      </w:r>
      <w:r w:rsidRPr="008107F6">
        <w:rPr>
          <w:lang w:val="en-GB"/>
        </w:rPr>
        <w:t>ed</w:t>
      </w:r>
      <w:r w:rsidRPr="00B76FD9">
        <w:rPr>
          <w:lang w:val="en-GB"/>
        </w:rPr>
        <w:t xml:space="preserve"> that</w:t>
      </w:r>
      <w:r w:rsidR="002A6BD7" w:rsidRPr="007F3DA2">
        <w:t xml:space="preserve"> </w:t>
      </w:r>
      <w:r w:rsidR="005F4023">
        <w:rPr>
          <w:lang w:val="en-US"/>
        </w:rPr>
        <w:t>primary care</w:t>
      </w:r>
      <w:r>
        <w:rPr>
          <w:lang w:val="en-US"/>
        </w:rPr>
        <w:t xml:space="preserve"> </w:t>
      </w:r>
      <w:r w:rsidR="005F4023">
        <w:rPr>
          <w:lang w:val="en-US"/>
        </w:rPr>
        <w:t>and</w:t>
      </w:r>
      <w:r w:rsidR="00D9307D">
        <w:rPr>
          <w:lang w:val="en-US"/>
        </w:rPr>
        <w:t xml:space="preserve"> the</w:t>
      </w:r>
      <w:r w:rsidR="005F4023">
        <w:rPr>
          <w:lang w:val="en-US"/>
        </w:rPr>
        <w:t xml:space="preserve"> modern </w:t>
      </w:r>
      <w:r w:rsidR="002A6BD7" w:rsidRPr="007F3DA2">
        <w:t xml:space="preserve">public health approach often </w:t>
      </w:r>
      <w:r w:rsidR="008107F6" w:rsidRPr="008107F6">
        <w:rPr>
          <w:lang w:val="en-GB"/>
        </w:rPr>
        <w:t>lose</w:t>
      </w:r>
      <w:r w:rsidRPr="007F3DA2">
        <w:t xml:space="preserve"> </w:t>
      </w:r>
      <w:r w:rsidR="002A6BD7" w:rsidRPr="007F3DA2">
        <w:t>t</w:t>
      </w:r>
      <w:r w:rsidR="00632088">
        <w:t xml:space="preserve">he battle for resources to the </w:t>
      </w:r>
      <w:r w:rsidR="002A6BD7" w:rsidRPr="007F3DA2">
        <w:t>biomedical</w:t>
      </w:r>
      <w:r w:rsidR="00632088">
        <w:t xml:space="preserve"> model and vertical programmes </w:t>
      </w:r>
      <w:r w:rsidR="002A6BD7" w:rsidRPr="007F3DA2">
        <w:t>of treatment of diseases through specialized health</w:t>
      </w:r>
      <w:r w:rsidR="00D9307D">
        <w:rPr>
          <w:lang w:val="en-US"/>
        </w:rPr>
        <w:t xml:space="preserve"> </w:t>
      </w:r>
      <w:r w:rsidR="002A6BD7" w:rsidRPr="007F3DA2">
        <w:t>care.</w:t>
      </w:r>
      <w:r w:rsidR="008107F6" w:rsidRPr="00B76FD9">
        <w:rPr>
          <w:lang w:val="en-GB"/>
        </w:rPr>
        <w:t xml:space="preserve"> When</w:t>
      </w:r>
      <w:r w:rsidR="008107F6">
        <w:rPr>
          <w:lang w:val="en-US"/>
        </w:rPr>
        <w:t xml:space="preserve"> r</w:t>
      </w:r>
      <w:r w:rsidR="002A6BD7" w:rsidRPr="007F3DA2">
        <w:t>esources</w:t>
      </w:r>
      <w:r w:rsidR="008107F6">
        <w:rPr>
          <w:lang w:val="en-US"/>
        </w:rPr>
        <w:t xml:space="preserve"> are </w:t>
      </w:r>
      <w:r w:rsidR="008107F6" w:rsidRPr="007F3DA2">
        <w:t>allocated</w:t>
      </w:r>
      <w:r w:rsidR="002A6BD7" w:rsidRPr="007F3DA2">
        <w:t xml:space="preserve"> </w:t>
      </w:r>
      <w:r w:rsidR="008107F6" w:rsidRPr="00B76FD9">
        <w:rPr>
          <w:lang w:val="en-GB"/>
        </w:rPr>
        <w:t>to</w:t>
      </w:r>
      <w:r w:rsidR="002A6BD7" w:rsidRPr="007F3DA2">
        <w:t xml:space="preserve"> specialized health</w:t>
      </w:r>
      <w:r w:rsidR="00D9307D">
        <w:rPr>
          <w:lang w:val="en-US"/>
        </w:rPr>
        <w:t xml:space="preserve"> </w:t>
      </w:r>
      <w:r w:rsidR="002A6BD7" w:rsidRPr="007F3DA2">
        <w:t>care</w:t>
      </w:r>
      <w:r w:rsidR="00D9307D">
        <w:rPr>
          <w:lang w:val="en-US"/>
        </w:rPr>
        <w:t>,</w:t>
      </w:r>
      <w:r w:rsidR="008107F6">
        <w:rPr>
          <w:lang w:val="en-GB"/>
        </w:rPr>
        <w:t xml:space="preserve"> </w:t>
      </w:r>
      <w:r w:rsidR="00D9307D">
        <w:rPr>
          <w:lang w:val="en-GB"/>
        </w:rPr>
        <w:t>that</w:t>
      </w:r>
      <w:r w:rsidR="00D9307D" w:rsidRPr="00B76FD9">
        <w:rPr>
          <w:lang w:val="en-GB"/>
        </w:rPr>
        <w:t xml:space="preserve"> </w:t>
      </w:r>
      <w:r w:rsidR="00810833">
        <w:rPr>
          <w:lang w:val="en-GB"/>
        </w:rPr>
        <w:t xml:space="preserve">may </w:t>
      </w:r>
      <w:r w:rsidR="0047308D" w:rsidRPr="00EA09C4">
        <w:rPr>
          <w:lang w:val="en-GB"/>
        </w:rPr>
        <w:t>reinforce</w:t>
      </w:r>
      <w:r w:rsidR="008107F6">
        <w:t xml:space="preserve"> power asymmetries and funding</w:t>
      </w:r>
      <w:r w:rsidR="008107F6">
        <w:rPr>
          <w:lang w:val="en-US"/>
        </w:rPr>
        <w:t xml:space="preserve"> imbalances</w:t>
      </w:r>
      <w:r w:rsidR="00D9307D">
        <w:rPr>
          <w:lang w:val="en-US"/>
        </w:rPr>
        <w:t>,</w:t>
      </w:r>
      <w:r w:rsidR="008107F6" w:rsidRPr="008107F6">
        <w:rPr>
          <w:lang w:val="en-GB"/>
        </w:rPr>
        <w:t xml:space="preserve"> </w:t>
      </w:r>
      <w:r w:rsidR="008107F6">
        <w:rPr>
          <w:lang w:val="en-GB"/>
        </w:rPr>
        <w:t>which often favour</w:t>
      </w:r>
      <w:r w:rsidR="002A6BD7" w:rsidRPr="007F3DA2">
        <w:t xml:space="preserve"> </w:t>
      </w:r>
      <w:r w:rsidR="005F4023">
        <w:rPr>
          <w:lang w:val="en-US"/>
        </w:rPr>
        <w:t xml:space="preserve">powerful groups representing </w:t>
      </w:r>
      <w:r w:rsidR="00B960AF">
        <w:t xml:space="preserve">vested </w:t>
      </w:r>
      <w:r w:rsidR="002A6BD7" w:rsidRPr="007F3DA2">
        <w:t>interest</w:t>
      </w:r>
      <w:r w:rsidR="008107F6" w:rsidRPr="00B76FD9">
        <w:rPr>
          <w:lang w:val="en-GB"/>
        </w:rPr>
        <w:t>s</w:t>
      </w:r>
      <w:r w:rsidR="008107F6">
        <w:rPr>
          <w:lang w:val="en-GB"/>
        </w:rPr>
        <w:t xml:space="preserve"> in the health sector and industry.</w:t>
      </w:r>
      <w:r w:rsidR="002A6BD7" w:rsidRPr="007F3DA2">
        <w:t xml:space="preserve"> States, when </w:t>
      </w:r>
      <w:r w:rsidR="008107F6" w:rsidRPr="00B76FD9">
        <w:rPr>
          <w:lang w:val="en-GB"/>
        </w:rPr>
        <w:t>meeting</w:t>
      </w:r>
      <w:r w:rsidR="002A6BD7" w:rsidRPr="007F3DA2">
        <w:t xml:space="preserve"> their obligation to protect, respect and </w:t>
      </w:r>
      <w:r w:rsidR="00B960AF" w:rsidRPr="007F3DA2">
        <w:t>fulfil</w:t>
      </w:r>
      <w:r w:rsidR="00B960AF">
        <w:t xml:space="preserve"> the enjoyment of the right to health</w:t>
      </w:r>
      <w:r w:rsidR="002A6BD7" w:rsidRPr="007F3DA2">
        <w:t>, should be aware of</w:t>
      </w:r>
      <w:r w:rsidR="008107F6" w:rsidRPr="00B76FD9">
        <w:rPr>
          <w:lang w:val="en-GB"/>
        </w:rPr>
        <w:t>,</w:t>
      </w:r>
      <w:r w:rsidR="002A6BD7" w:rsidRPr="007F3DA2">
        <w:t xml:space="preserve"> and be willing and able to ad</w:t>
      </w:r>
      <w:r w:rsidR="00B960AF">
        <w:t>dress</w:t>
      </w:r>
      <w:r w:rsidR="00D9307D">
        <w:rPr>
          <w:lang w:val="en-US"/>
        </w:rPr>
        <w:t>,</w:t>
      </w:r>
      <w:r w:rsidR="00B960AF">
        <w:t xml:space="preserve"> </w:t>
      </w:r>
      <w:r w:rsidR="008107F6" w:rsidRPr="00B76FD9">
        <w:rPr>
          <w:lang w:val="en-GB"/>
        </w:rPr>
        <w:t xml:space="preserve">such </w:t>
      </w:r>
      <w:r w:rsidR="00B960AF">
        <w:t xml:space="preserve">power asymmetries. </w:t>
      </w:r>
      <w:r w:rsidR="008A0770" w:rsidRPr="008A0770">
        <w:rPr>
          <w:lang w:val="en-GB"/>
        </w:rPr>
        <w:t>T</w:t>
      </w:r>
      <w:r w:rsidR="008A0770">
        <w:t>hey</w:t>
      </w:r>
      <w:r w:rsidR="00B960AF">
        <w:t xml:space="preserve"> should </w:t>
      </w:r>
      <w:r w:rsidR="00810833" w:rsidRPr="008A0770">
        <w:rPr>
          <w:lang w:val="en-GB"/>
        </w:rPr>
        <w:t xml:space="preserve">also </w:t>
      </w:r>
      <w:r w:rsidR="00B960AF">
        <w:t xml:space="preserve">provide mechanisms </w:t>
      </w:r>
      <w:r w:rsidR="008107F6" w:rsidRPr="00B76FD9">
        <w:rPr>
          <w:lang w:val="en-GB"/>
        </w:rPr>
        <w:t>for</w:t>
      </w:r>
      <w:r w:rsidR="002A6BD7" w:rsidRPr="007F3DA2">
        <w:t xml:space="preserve"> independent</w:t>
      </w:r>
      <w:r w:rsidR="008107F6" w:rsidRPr="00B76FD9">
        <w:rPr>
          <w:lang w:val="en-GB"/>
        </w:rPr>
        <w:t xml:space="preserve"> </w:t>
      </w:r>
      <w:r w:rsidR="002A6BD7" w:rsidRPr="007F3DA2">
        <w:t>moni</w:t>
      </w:r>
      <w:r w:rsidR="00B960AF">
        <w:t>toring</w:t>
      </w:r>
      <w:r w:rsidR="00D9307D">
        <w:rPr>
          <w:lang w:val="en-US"/>
        </w:rPr>
        <w:t>,</w:t>
      </w:r>
      <w:r w:rsidR="00B960AF">
        <w:t xml:space="preserve"> as </w:t>
      </w:r>
      <w:r w:rsidR="00D9307D">
        <w:rPr>
          <w:lang w:val="en-GB"/>
        </w:rPr>
        <w:t>such mechanisms</w:t>
      </w:r>
      <w:r w:rsidR="00D9307D" w:rsidRPr="00B76FD9">
        <w:rPr>
          <w:lang w:val="en-GB"/>
        </w:rPr>
        <w:t xml:space="preserve"> </w:t>
      </w:r>
      <w:r w:rsidR="008107F6" w:rsidRPr="00B76FD9">
        <w:rPr>
          <w:lang w:val="en-GB"/>
        </w:rPr>
        <w:t xml:space="preserve">are </w:t>
      </w:r>
      <w:r w:rsidR="00B960AF">
        <w:t xml:space="preserve">essential tools </w:t>
      </w:r>
      <w:r w:rsidR="00D9307D">
        <w:rPr>
          <w:lang w:val="en-GB"/>
        </w:rPr>
        <w:t>in</w:t>
      </w:r>
      <w:r w:rsidR="00D9307D" w:rsidRPr="00B76FD9">
        <w:rPr>
          <w:lang w:val="en-GB"/>
        </w:rPr>
        <w:t xml:space="preserve"> </w:t>
      </w:r>
      <w:r w:rsidR="008107F6" w:rsidRPr="00B76FD9">
        <w:rPr>
          <w:lang w:val="en-GB"/>
        </w:rPr>
        <w:t>ensur</w:t>
      </w:r>
      <w:r w:rsidR="00D9307D">
        <w:rPr>
          <w:lang w:val="en-GB"/>
        </w:rPr>
        <w:t>ing</w:t>
      </w:r>
      <w:r w:rsidR="008107F6">
        <w:t xml:space="preserve"> </w:t>
      </w:r>
      <w:r w:rsidR="006058E4">
        <w:t>accountability.</w:t>
      </w:r>
    </w:p>
    <w:p w:rsidR="002A6BD7" w:rsidRPr="007F3DA2" w:rsidRDefault="00B960AF" w:rsidP="00CB75BE">
      <w:pPr>
        <w:pStyle w:val="SingleTxtG"/>
        <w:numPr>
          <w:ilvl w:val="0"/>
          <w:numId w:val="45"/>
        </w:numPr>
        <w:ind w:left="1134" w:firstLine="0"/>
      </w:pPr>
      <w:r>
        <w:t>If th</w:t>
      </w:r>
      <w:r w:rsidR="00D9307D">
        <w:rPr>
          <w:lang w:val="en-US"/>
        </w:rPr>
        <w:t>at</w:t>
      </w:r>
      <w:r>
        <w:t xml:space="preserve"> does</w:t>
      </w:r>
      <w:r w:rsidR="002A6BD7" w:rsidRPr="007F3DA2">
        <w:t xml:space="preserve"> not happen</w:t>
      </w:r>
      <w:r w:rsidR="008107F6" w:rsidRPr="00B76FD9">
        <w:rPr>
          <w:lang w:val="en-GB"/>
        </w:rPr>
        <w:t>,</w:t>
      </w:r>
      <w:r w:rsidR="002A6BD7" w:rsidRPr="007F3DA2">
        <w:t xml:space="preserve"> </w:t>
      </w:r>
      <w:r w:rsidR="005F4023">
        <w:rPr>
          <w:lang w:val="en-US"/>
        </w:rPr>
        <w:t>power asymmetries a</w:t>
      </w:r>
      <w:r w:rsidR="008107F6">
        <w:rPr>
          <w:lang w:val="en-US"/>
        </w:rPr>
        <w:t>n</w:t>
      </w:r>
      <w:r w:rsidR="005F4023">
        <w:rPr>
          <w:lang w:val="en-US"/>
        </w:rPr>
        <w:t xml:space="preserve">d imbalances </w:t>
      </w:r>
      <w:r w:rsidR="002A6BD7" w:rsidRPr="007F3DA2">
        <w:t>may lea</w:t>
      </w:r>
      <w:r>
        <w:t>d to scenario</w:t>
      </w:r>
      <w:r w:rsidR="008107F6" w:rsidRPr="00B76FD9">
        <w:rPr>
          <w:lang w:val="en-GB"/>
        </w:rPr>
        <w:t>s</w:t>
      </w:r>
      <w:r>
        <w:t xml:space="preserve"> </w:t>
      </w:r>
      <w:r w:rsidR="00D630F1">
        <w:rPr>
          <w:lang w:val="en-US"/>
        </w:rPr>
        <w:t>whe</w:t>
      </w:r>
      <w:r w:rsidR="008107F6">
        <w:rPr>
          <w:lang w:val="en-US"/>
        </w:rPr>
        <w:t>re</w:t>
      </w:r>
      <w:r w:rsidR="008107F6" w:rsidRPr="00B76FD9">
        <w:rPr>
          <w:lang w:val="en-GB"/>
        </w:rPr>
        <w:t xml:space="preserve"> </w:t>
      </w:r>
      <w:r w:rsidR="00D9307D">
        <w:rPr>
          <w:lang w:val="en-GB"/>
        </w:rPr>
        <w:t>(</w:t>
      </w:r>
      <w:r w:rsidR="002A6BD7" w:rsidRPr="007F3DA2">
        <w:t>a) preference in allocating budgets is given to exp</w:t>
      </w:r>
      <w:r>
        <w:t xml:space="preserve">ensive biomedical technologies </w:t>
      </w:r>
      <w:r w:rsidR="002A6BD7" w:rsidRPr="007F3DA2">
        <w:t xml:space="preserve">which are not necessarily used in </w:t>
      </w:r>
      <w:r w:rsidR="00A86CC4">
        <w:rPr>
          <w:lang w:val="en-US"/>
        </w:rPr>
        <w:t xml:space="preserve">an </w:t>
      </w:r>
      <w:r w:rsidR="002A6BD7" w:rsidRPr="007F3DA2">
        <w:t>ethical and c</w:t>
      </w:r>
      <w:r>
        <w:t xml:space="preserve">ost-effective way; </w:t>
      </w:r>
      <w:r w:rsidR="00A86CC4">
        <w:rPr>
          <w:lang w:val="en-US"/>
        </w:rPr>
        <w:t>(</w:t>
      </w:r>
      <w:r>
        <w:t>b) there are increased</w:t>
      </w:r>
      <w:r w:rsidR="002A6BD7" w:rsidRPr="007F3DA2">
        <w:t xml:space="preserve"> incen</w:t>
      </w:r>
      <w:r>
        <w:t xml:space="preserve">tives for corruptive practices </w:t>
      </w:r>
      <w:r w:rsidR="002A6BD7" w:rsidRPr="007F3DA2">
        <w:t xml:space="preserve">when </w:t>
      </w:r>
      <w:r>
        <w:t xml:space="preserve">expensive specialized </w:t>
      </w:r>
      <w:r w:rsidR="002A6BD7" w:rsidRPr="007F3DA2">
        <w:t>health</w:t>
      </w:r>
      <w:r w:rsidR="00A86CC4">
        <w:rPr>
          <w:lang w:val="en-US"/>
        </w:rPr>
        <w:t>-</w:t>
      </w:r>
      <w:r w:rsidR="002A6BD7" w:rsidRPr="007F3DA2">
        <w:t>care inte</w:t>
      </w:r>
      <w:r>
        <w:t xml:space="preserve">rventions in public sector </w:t>
      </w:r>
      <w:r w:rsidR="00810833" w:rsidRPr="008A0770">
        <w:rPr>
          <w:lang w:val="en-GB"/>
        </w:rPr>
        <w:t>do not serve</w:t>
      </w:r>
      <w:r>
        <w:t xml:space="preserve"> those in</w:t>
      </w:r>
      <w:r w:rsidR="002A6BD7" w:rsidRPr="007F3DA2">
        <w:t xml:space="preserve"> most</w:t>
      </w:r>
      <w:r>
        <w:t xml:space="preserve"> need</w:t>
      </w:r>
      <w:r w:rsidR="002A6BD7" w:rsidRPr="007F3DA2">
        <w:t xml:space="preserve">; </w:t>
      </w:r>
      <w:r w:rsidR="00A86CC4">
        <w:rPr>
          <w:lang w:val="en-US"/>
        </w:rPr>
        <w:t>(</w:t>
      </w:r>
      <w:r w:rsidR="002A6BD7" w:rsidRPr="007F3DA2">
        <w:t xml:space="preserve">c) </w:t>
      </w:r>
      <w:r>
        <w:t>the</w:t>
      </w:r>
      <w:r w:rsidR="00813F20">
        <w:t xml:space="preserve"> </w:t>
      </w:r>
      <w:r w:rsidR="002A6BD7" w:rsidRPr="007F3DA2">
        <w:t>filters (tiers) in health</w:t>
      </w:r>
      <w:r w:rsidR="00A86CC4">
        <w:rPr>
          <w:lang w:val="en-US"/>
        </w:rPr>
        <w:t>-</w:t>
      </w:r>
      <w:r w:rsidR="002A6BD7" w:rsidRPr="007F3DA2">
        <w:t xml:space="preserve">care systems </w:t>
      </w:r>
      <w:r w:rsidR="008107F6" w:rsidRPr="00B76FD9">
        <w:rPr>
          <w:lang w:val="en-GB"/>
        </w:rPr>
        <w:t>do</w:t>
      </w:r>
      <w:r w:rsidR="008107F6" w:rsidRPr="007F3DA2">
        <w:t xml:space="preserve"> </w:t>
      </w:r>
      <w:r w:rsidR="002A6BD7" w:rsidRPr="007F3DA2">
        <w:t>not pro</w:t>
      </w:r>
      <w:r>
        <w:t xml:space="preserve">perly </w:t>
      </w:r>
      <w:r w:rsidR="008107F6" w:rsidRPr="00B76FD9">
        <w:rPr>
          <w:lang w:val="en-GB"/>
        </w:rPr>
        <w:t>function</w:t>
      </w:r>
      <w:r>
        <w:t>, and</w:t>
      </w:r>
      <w:r w:rsidR="00813F20">
        <w:t xml:space="preserve"> </w:t>
      </w:r>
      <w:r>
        <w:t>mild cases flow into specialized care</w:t>
      </w:r>
      <w:r w:rsidR="00A86CC4">
        <w:rPr>
          <w:lang w:val="en-US"/>
        </w:rPr>
        <w:t>,</w:t>
      </w:r>
      <w:r>
        <w:t xml:space="preserve"> </w:t>
      </w:r>
      <w:r w:rsidR="00A86CC4">
        <w:rPr>
          <w:lang w:val="en-US"/>
        </w:rPr>
        <w:t>placing</w:t>
      </w:r>
      <w:r w:rsidR="00A86CC4">
        <w:t xml:space="preserve"> </w:t>
      </w:r>
      <w:r>
        <w:t xml:space="preserve">the </w:t>
      </w:r>
      <w:r w:rsidR="002A6BD7" w:rsidRPr="007F3DA2">
        <w:t xml:space="preserve">entire </w:t>
      </w:r>
      <w:r>
        <w:t>health</w:t>
      </w:r>
      <w:r w:rsidR="00A86CC4">
        <w:rPr>
          <w:lang w:val="en-US"/>
        </w:rPr>
        <w:t>-</w:t>
      </w:r>
      <w:r>
        <w:t xml:space="preserve">care system at risk </w:t>
      </w:r>
      <w:r w:rsidR="002A6BD7" w:rsidRPr="007F3DA2">
        <w:t xml:space="preserve">of </w:t>
      </w:r>
      <w:r>
        <w:t xml:space="preserve">poor management </w:t>
      </w:r>
      <w:r w:rsidR="00A86CC4">
        <w:rPr>
          <w:lang w:val="en-US"/>
        </w:rPr>
        <w:t>of the</w:t>
      </w:r>
      <w:r>
        <w:t xml:space="preserve"> </w:t>
      </w:r>
      <w:r w:rsidR="002A6BD7" w:rsidRPr="007F3DA2">
        <w:t>principles of medical ethics and health economics. Th</w:t>
      </w:r>
      <w:r w:rsidR="00A86CC4">
        <w:rPr>
          <w:lang w:val="en-US"/>
        </w:rPr>
        <w:t>at</w:t>
      </w:r>
      <w:r w:rsidR="002A6BD7" w:rsidRPr="007F3DA2">
        <w:t xml:space="preserve"> has negative impact on </w:t>
      </w:r>
      <w:r w:rsidR="008107F6" w:rsidRPr="00B76FD9">
        <w:rPr>
          <w:lang w:val="en-GB"/>
        </w:rPr>
        <w:t xml:space="preserve">the full </w:t>
      </w:r>
      <w:r w:rsidR="002A6BD7" w:rsidRPr="007F3DA2">
        <w:t>realization of right to health and generate</w:t>
      </w:r>
      <w:r w:rsidR="008107F6" w:rsidRPr="00B76FD9">
        <w:rPr>
          <w:lang w:val="en-GB"/>
        </w:rPr>
        <w:t>s</w:t>
      </w:r>
      <w:r w:rsidR="002A6BD7" w:rsidRPr="007F3DA2">
        <w:t xml:space="preserve"> negative public health outcomes.</w:t>
      </w:r>
    </w:p>
    <w:p w:rsidR="00834AF7" w:rsidRPr="00A04ABE" w:rsidRDefault="00A328A5" w:rsidP="00CB75BE">
      <w:pPr>
        <w:pStyle w:val="SingleTxtG"/>
        <w:numPr>
          <w:ilvl w:val="0"/>
          <w:numId w:val="45"/>
        </w:numPr>
        <w:ind w:left="1134" w:firstLine="0"/>
        <w:rPr>
          <w:lang w:val="en-GB"/>
        </w:rPr>
      </w:pPr>
      <w:r w:rsidRPr="00997136">
        <w:rPr>
          <w:lang w:val="en-GB"/>
        </w:rPr>
        <w:t xml:space="preserve">The </w:t>
      </w:r>
      <w:r>
        <w:t>sustainable</w:t>
      </w:r>
      <w:r w:rsidR="00B960AF">
        <w:t xml:space="preserve"> implementation of </w:t>
      </w:r>
      <w:r w:rsidR="000377AF">
        <w:rPr>
          <w:lang w:val="en-US"/>
        </w:rPr>
        <w:t xml:space="preserve">a </w:t>
      </w:r>
      <w:r w:rsidR="002A6BD7" w:rsidRPr="007F3DA2">
        <w:t>modern public health approa</w:t>
      </w:r>
      <w:r w:rsidR="00B960AF">
        <w:t>ch is not only in line with human rights</w:t>
      </w:r>
      <w:r w:rsidR="002A6BD7" w:rsidRPr="007F3DA2">
        <w:t xml:space="preserve">, but is also </w:t>
      </w:r>
      <w:r w:rsidR="00B960AF" w:rsidRPr="007F3DA2">
        <w:t>a powerful</w:t>
      </w:r>
      <w:r w:rsidR="00B960AF">
        <w:t xml:space="preserve"> </w:t>
      </w:r>
      <w:r w:rsidR="002A6BD7" w:rsidRPr="007F3DA2">
        <w:t xml:space="preserve">way to </w:t>
      </w:r>
      <w:r w:rsidR="00B960AF">
        <w:t xml:space="preserve">develop and strengthen </w:t>
      </w:r>
      <w:r w:rsidR="002A6BD7" w:rsidRPr="007F3DA2">
        <w:t xml:space="preserve">social justice and social cohesion. </w:t>
      </w:r>
      <w:r w:rsidR="00B960AF">
        <w:t>In th</w:t>
      </w:r>
      <w:r w:rsidR="00A86CC4">
        <w:rPr>
          <w:lang w:val="en-US"/>
        </w:rPr>
        <w:t>at</w:t>
      </w:r>
      <w:r w:rsidR="00B960AF">
        <w:t xml:space="preserve"> regard, the importance of </w:t>
      </w:r>
      <w:r w:rsidR="002A6BD7" w:rsidRPr="007F3DA2">
        <w:t>universal health covera</w:t>
      </w:r>
      <w:r w:rsidR="00045198">
        <w:t>ge cannot be overestimated</w:t>
      </w:r>
      <w:r w:rsidR="002A6BD7" w:rsidRPr="007F3DA2">
        <w:t xml:space="preserve">. Since </w:t>
      </w:r>
      <w:r w:rsidR="00A86CC4">
        <w:rPr>
          <w:lang w:val="en-US"/>
        </w:rPr>
        <w:t>the International Conference on Primary Health Care</w:t>
      </w:r>
      <w:r w:rsidR="002A6BD7" w:rsidRPr="007F3DA2">
        <w:t xml:space="preserve">, there have been many </w:t>
      </w:r>
      <w:r w:rsidR="00045198">
        <w:t>achievements, but also failures</w:t>
      </w:r>
      <w:r w:rsidR="002A6BD7" w:rsidRPr="007F3DA2">
        <w:t>.</w:t>
      </w:r>
      <w:r w:rsidR="00813F20">
        <w:t xml:space="preserve"> </w:t>
      </w:r>
      <w:r w:rsidR="008107F6" w:rsidRPr="00B76FD9">
        <w:rPr>
          <w:lang w:val="en-GB"/>
        </w:rPr>
        <w:t>U</w:t>
      </w:r>
      <w:r w:rsidR="008107F6">
        <w:t xml:space="preserve">niversal coverage is </w:t>
      </w:r>
      <w:r w:rsidR="008107F6" w:rsidRPr="007F3DA2">
        <w:t>a c</w:t>
      </w:r>
      <w:r w:rsidR="008107F6">
        <w:t xml:space="preserve">entral component </w:t>
      </w:r>
      <w:r w:rsidR="008107F6" w:rsidRPr="007F3DA2">
        <w:t>of healthy public policies</w:t>
      </w:r>
      <w:r w:rsidR="008107F6">
        <w:t xml:space="preserve"> </w:t>
      </w:r>
      <w:r w:rsidR="008107F6" w:rsidRPr="00B76FD9">
        <w:rPr>
          <w:lang w:val="en-GB"/>
        </w:rPr>
        <w:t xml:space="preserve">and its global achievement </w:t>
      </w:r>
      <w:r w:rsidR="002A6BD7" w:rsidRPr="00B76FD9">
        <w:t>should be</w:t>
      </w:r>
      <w:r w:rsidR="00045198" w:rsidRPr="00B76FD9">
        <w:t xml:space="preserve"> seen as one of the main goals for the</w:t>
      </w:r>
      <w:r w:rsidR="002A6BD7" w:rsidRPr="00B76FD9">
        <w:t xml:space="preserve"> post-2015 agenda. </w:t>
      </w:r>
      <w:r w:rsidR="00045198" w:rsidRPr="00B76FD9">
        <w:t>H</w:t>
      </w:r>
      <w:r w:rsidR="002A6BD7" w:rsidRPr="00B76FD9">
        <w:t>owever</w:t>
      </w:r>
      <w:r w:rsidR="00045198" w:rsidRPr="00B76FD9">
        <w:t>,</w:t>
      </w:r>
      <w:r w:rsidR="00467BBC" w:rsidRPr="00B76FD9">
        <w:rPr>
          <w:lang w:val="en-GB"/>
        </w:rPr>
        <w:t xml:space="preserve"> </w:t>
      </w:r>
      <w:r w:rsidR="008107F6" w:rsidRPr="00B76FD9">
        <w:rPr>
          <w:lang w:val="en-GB"/>
        </w:rPr>
        <w:t>t</w:t>
      </w:r>
      <w:r w:rsidR="008107F6" w:rsidRPr="00B76FD9">
        <w:t xml:space="preserve">he Special Rapporteur </w:t>
      </w:r>
      <w:r w:rsidR="008107F6" w:rsidRPr="00B76FD9">
        <w:rPr>
          <w:lang w:val="en-GB"/>
        </w:rPr>
        <w:t>thinks that a</w:t>
      </w:r>
      <w:r w:rsidR="008107F6" w:rsidRPr="00B76FD9">
        <w:t xml:space="preserve"> </w:t>
      </w:r>
      <w:r w:rsidR="005F76EF" w:rsidRPr="00B76FD9">
        <w:rPr>
          <w:lang w:val="en-US"/>
        </w:rPr>
        <w:t xml:space="preserve">broader </w:t>
      </w:r>
      <w:r w:rsidR="008107F6" w:rsidRPr="00B76FD9">
        <w:t xml:space="preserve">holistic </w:t>
      </w:r>
      <w:r w:rsidR="005F76EF" w:rsidRPr="00B76FD9">
        <w:rPr>
          <w:lang w:val="en-US"/>
        </w:rPr>
        <w:t>approach</w:t>
      </w:r>
      <w:r w:rsidR="008107F6" w:rsidRPr="00B76FD9">
        <w:rPr>
          <w:lang w:val="en-US"/>
        </w:rPr>
        <w:t xml:space="preserve"> is needed </w:t>
      </w:r>
      <w:r w:rsidR="002A6BD7" w:rsidRPr="00B76FD9">
        <w:t xml:space="preserve">so that </w:t>
      </w:r>
      <w:r w:rsidR="00045198" w:rsidRPr="00B76FD9">
        <w:t>none, in particular those in vulnerable situations</w:t>
      </w:r>
      <w:r w:rsidR="002A6BD7" w:rsidRPr="00B76FD9">
        <w:t xml:space="preserve"> and</w:t>
      </w:r>
      <w:r w:rsidR="00045198" w:rsidRPr="00B76FD9">
        <w:t xml:space="preserve"> in most need of health</w:t>
      </w:r>
      <w:r w:rsidR="00A86CC4">
        <w:rPr>
          <w:lang w:val="en-US"/>
        </w:rPr>
        <w:t xml:space="preserve"> </w:t>
      </w:r>
      <w:r w:rsidR="00045198" w:rsidRPr="00B76FD9">
        <w:t>care,</w:t>
      </w:r>
      <w:r w:rsidR="002A6BD7" w:rsidRPr="00B76FD9">
        <w:t xml:space="preserve"> are not excluded </w:t>
      </w:r>
      <w:r w:rsidR="00045198" w:rsidRPr="00B76FD9">
        <w:t>neither de</w:t>
      </w:r>
      <w:r w:rsidR="00A86CC4">
        <w:rPr>
          <w:lang w:val="en-US"/>
        </w:rPr>
        <w:t xml:space="preserve"> </w:t>
      </w:r>
      <w:r w:rsidR="00045198" w:rsidRPr="00B76FD9">
        <w:t>jure nor de</w:t>
      </w:r>
      <w:r w:rsidR="00A86CC4">
        <w:rPr>
          <w:lang w:val="en-US"/>
        </w:rPr>
        <w:t xml:space="preserve"> </w:t>
      </w:r>
      <w:r w:rsidR="00045198" w:rsidRPr="00B76FD9">
        <w:t xml:space="preserve">facto </w:t>
      </w:r>
      <w:r w:rsidR="002A6BD7" w:rsidRPr="00B76FD9">
        <w:t>f</w:t>
      </w:r>
      <w:r w:rsidR="00045198" w:rsidRPr="00B76FD9">
        <w:t>rom access to quality services</w:t>
      </w:r>
      <w:r w:rsidR="006058E4">
        <w:t>.</w:t>
      </w:r>
    </w:p>
    <w:p w:rsidR="00834AF7" w:rsidRPr="00A04ABE" w:rsidRDefault="00834AF7" w:rsidP="00CB75BE">
      <w:pPr>
        <w:pStyle w:val="SingleTxtG"/>
        <w:numPr>
          <w:ilvl w:val="0"/>
          <w:numId w:val="45"/>
        </w:numPr>
        <w:ind w:left="1134" w:firstLine="0"/>
        <w:rPr>
          <w:lang w:val="en-GB"/>
        </w:rPr>
      </w:pPr>
      <w:r w:rsidRPr="00B76FD9">
        <w:rPr>
          <w:lang w:val="en-GB"/>
        </w:rPr>
        <w:t>A</w:t>
      </w:r>
      <w:r w:rsidRPr="00B76FD9">
        <w:t xml:space="preserve">ll international and national actors </w:t>
      </w:r>
      <w:r w:rsidRPr="00B76FD9">
        <w:rPr>
          <w:lang w:val="en-GB"/>
        </w:rPr>
        <w:t xml:space="preserve">should be mobilized </w:t>
      </w:r>
      <w:r w:rsidRPr="00B76FD9">
        <w:t xml:space="preserve">to reaffirm and revitalize </w:t>
      </w:r>
      <w:r w:rsidR="00A86CC4">
        <w:rPr>
          <w:lang w:val="en-US"/>
        </w:rPr>
        <w:t xml:space="preserve">the </w:t>
      </w:r>
      <w:r w:rsidRPr="00B76FD9">
        <w:t>decisions of</w:t>
      </w:r>
      <w:r w:rsidRPr="00B76FD9">
        <w:rPr>
          <w:lang w:val="en-GB"/>
        </w:rPr>
        <w:t xml:space="preserve"> the</w:t>
      </w:r>
      <w:r w:rsidRPr="00B76FD9">
        <w:t xml:space="preserve"> historic </w:t>
      </w:r>
      <w:r w:rsidR="00A86CC4">
        <w:rPr>
          <w:lang w:val="en-US"/>
        </w:rPr>
        <w:t>International Conference on Primary Health Care</w:t>
      </w:r>
      <w:r w:rsidRPr="00B76FD9">
        <w:t xml:space="preserve"> and </w:t>
      </w:r>
      <w:r w:rsidR="00A86CC4">
        <w:rPr>
          <w:lang w:val="en-US"/>
        </w:rPr>
        <w:t>International Conference on Health Promotion</w:t>
      </w:r>
      <w:r w:rsidRPr="00B76FD9">
        <w:t>.</w:t>
      </w:r>
      <w:r w:rsidR="00813F20">
        <w:t xml:space="preserve"> </w:t>
      </w:r>
      <w:r w:rsidRPr="00B76FD9">
        <w:rPr>
          <w:lang w:val="en-GB"/>
        </w:rPr>
        <w:t>The full enjoyment of the</w:t>
      </w:r>
      <w:r w:rsidRPr="00B76FD9">
        <w:t xml:space="preserve"> right to health </w:t>
      </w:r>
      <w:r w:rsidRPr="00B76FD9">
        <w:rPr>
          <w:lang w:val="en-GB"/>
        </w:rPr>
        <w:t>can only be</w:t>
      </w:r>
      <w:r w:rsidRPr="00B76FD9">
        <w:t xml:space="preserve"> operationalized through human rights</w:t>
      </w:r>
      <w:r w:rsidR="00A86CC4">
        <w:rPr>
          <w:lang w:val="en-US"/>
        </w:rPr>
        <w:t>-</w:t>
      </w:r>
      <w:r w:rsidRPr="00B76FD9">
        <w:t xml:space="preserve">friendly </w:t>
      </w:r>
      <w:r w:rsidR="006A68A2">
        <w:rPr>
          <w:lang w:val="en-US"/>
        </w:rPr>
        <w:t xml:space="preserve">and culturally relevant </w:t>
      </w:r>
      <w:r w:rsidRPr="00B76FD9">
        <w:t>health promotion policies that empower people to increase control over their li</w:t>
      </w:r>
      <w:r w:rsidRPr="00B76FD9">
        <w:rPr>
          <w:lang w:val="en-GB"/>
        </w:rPr>
        <w:t>ves</w:t>
      </w:r>
      <w:r w:rsidRPr="00B76FD9">
        <w:t xml:space="preserve"> and improv</w:t>
      </w:r>
      <w:r w:rsidR="006058E4">
        <w:t>e their health and well-being.</w:t>
      </w:r>
    </w:p>
    <w:p w:rsidR="000C36F3" w:rsidRPr="0073018A" w:rsidRDefault="00B25CF4" w:rsidP="00B25CF4">
      <w:pPr>
        <w:pStyle w:val="H1G"/>
      </w:pPr>
      <w:r>
        <w:tab/>
        <w:t>C.</w:t>
      </w:r>
      <w:r>
        <w:tab/>
      </w:r>
      <w:r w:rsidR="002A6BD7" w:rsidRPr="00B960AF">
        <w:t xml:space="preserve">Mental health and emotional well-being </w:t>
      </w:r>
    </w:p>
    <w:p w:rsidR="002A6BD7" w:rsidRPr="007F3DA2" w:rsidRDefault="00307DB7" w:rsidP="00D05FE0">
      <w:pPr>
        <w:pStyle w:val="SingleTxtG"/>
        <w:numPr>
          <w:ilvl w:val="0"/>
          <w:numId w:val="45"/>
        </w:numPr>
        <w:ind w:left="1134" w:firstLine="0"/>
      </w:pPr>
      <w:r>
        <w:t>The h</w:t>
      </w:r>
      <w:r w:rsidR="002A6BD7" w:rsidRPr="007F3DA2">
        <w:t xml:space="preserve">istorical divide, both in policies and practices, between mental and physical health has </w:t>
      </w:r>
      <w:r w:rsidR="00810833" w:rsidRPr="008A0770">
        <w:rPr>
          <w:lang w:val="en-GB"/>
        </w:rPr>
        <w:t xml:space="preserve">unfortunately </w:t>
      </w:r>
      <w:r w:rsidR="002A6BD7" w:rsidRPr="007F3DA2">
        <w:t>resulted in political, professional and geographical isolation, marginalization and stigmatization of mental health</w:t>
      </w:r>
      <w:r w:rsidR="00A86CC4">
        <w:rPr>
          <w:lang w:val="en-US"/>
        </w:rPr>
        <w:t xml:space="preserve"> </w:t>
      </w:r>
      <w:r w:rsidR="002A6BD7" w:rsidRPr="007F3DA2">
        <w:t>care.</w:t>
      </w:r>
    </w:p>
    <w:p w:rsidR="002A6BD7" w:rsidRPr="00A04ABE" w:rsidRDefault="00A86CC4" w:rsidP="00CB75BE">
      <w:pPr>
        <w:pStyle w:val="SingleTxtG"/>
        <w:numPr>
          <w:ilvl w:val="0"/>
          <w:numId w:val="45"/>
        </w:numPr>
        <w:ind w:left="1134" w:firstLine="0"/>
        <w:rPr>
          <w:lang w:val="en-GB"/>
        </w:rPr>
      </w:pPr>
      <w:r>
        <w:rPr>
          <w:lang w:val="en-US"/>
        </w:rPr>
        <w:t>The m</w:t>
      </w:r>
      <w:r w:rsidR="002A6BD7" w:rsidRPr="007F3DA2">
        <w:t xml:space="preserve">odern public mental health approach, which </w:t>
      </w:r>
      <w:r w:rsidR="009B1106">
        <w:t>emerged in the</w:t>
      </w:r>
      <w:r w:rsidR="002A6BD7" w:rsidRPr="007F3DA2">
        <w:t xml:space="preserve"> global scene in the end of </w:t>
      </w:r>
      <w:r>
        <w:rPr>
          <w:lang w:val="en-US"/>
        </w:rPr>
        <w:t>twentieth</w:t>
      </w:r>
      <w:r w:rsidR="002A6BD7" w:rsidRPr="007F3DA2">
        <w:t xml:space="preserve"> century with</w:t>
      </w:r>
      <w:r>
        <w:rPr>
          <w:lang w:val="en-US"/>
        </w:rPr>
        <w:t xml:space="preserve"> a</w:t>
      </w:r>
      <w:r w:rsidR="002A6BD7" w:rsidRPr="007F3DA2">
        <w:t xml:space="preserve"> critical mass of new evidence on </w:t>
      </w:r>
      <w:r w:rsidR="009B1106">
        <w:t xml:space="preserve">the </w:t>
      </w:r>
      <w:r w:rsidR="002A6BD7" w:rsidRPr="007F3DA2">
        <w:t xml:space="preserve">importance of mental health and </w:t>
      </w:r>
      <w:r w:rsidR="009B1106">
        <w:t xml:space="preserve">the </w:t>
      </w:r>
      <w:r w:rsidR="002A6BD7" w:rsidRPr="007F3DA2">
        <w:t>effectiveness of integrated approaches, still face</w:t>
      </w:r>
      <w:r w:rsidR="009B1106">
        <w:t>s enormous challenges</w:t>
      </w:r>
      <w:r w:rsidR="002A6BD7" w:rsidRPr="007F3DA2">
        <w:t xml:space="preserve">. It is </w:t>
      </w:r>
      <w:r w:rsidR="00810833" w:rsidRPr="008A0770">
        <w:rPr>
          <w:lang w:val="en-GB"/>
        </w:rPr>
        <w:t>regrettable</w:t>
      </w:r>
      <w:r w:rsidR="00810833" w:rsidRPr="007F3DA2">
        <w:t xml:space="preserve"> </w:t>
      </w:r>
      <w:r w:rsidR="002A6BD7" w:rsidRPr="007F3DA2">
        <w:t>that</w:t>
      </w:r>
      <w:r>
        <w:rPr>
          <w:lang w:val="en-US"/>
        </w:rPr>
        <w:t>,</w:t>
      </w:r>
      <w:r w:rsidR="002A6BD7" w:rsidRPr="007F3DA2">
        <w:t xml:space="preserve"> in many countries and regions of the world</w:t>
      </w:r>
      <w:r>
        <w:rPr>
          <w:lang w:val="en-US"/>
        </w:rPr>
        <w:t>,</w:t>
      </w:r>
      <w:r w:rsidR="002A6BD7" w:rsidRPr="007F3DA2">
        <w:t xml:space="preserve"> modern mental health</w:t>
      </w:r>
      <w:r>
        <w:rPr>
          <w:lang w:val="en-US"/>
        </w:rPr>
        <w:t xml:space="preserve"> care</w:t>
      </w:r>
      <w:r w:rsidR="002A6BD7" w:rsidRPr="007F3DA2">
        <w:t xml:space="preserve"> is still not</w:t>
      </w:r>
      <w:r w:rsidR="00A328A5" w:rsidRPr="003D5ADC">
        <w:rPr>
          <w:lang w:val="en-GB"/>
        </w:rPr>
        <w:t xml:space="preserve"> </w:t>
      </w:r>
      <w:r w:rsidR="002A6BD7" w:rsidRPr="007F3DA2">
        <w:t>available</w:t>
      </w:r>
      <w:r w:rsidR="009B1106">
        <w:t>.</w:t>
      </w:r>
      <w:r w:rsidR="00813F20">
        <w:t xml:space="preserve"> </w:t>
      </w:r>
      <w:r w:rsidR="009B1106">
        <w:t>Moreover,</w:t>
      </w:r>
      <w:r w:rsidR="002A6BD7" w:rsidRPr="007F3DA2">
        <w:t xml:space="preserve"> in countries which</w:t>
      </w:r>
      <w:r w:rsidR="009B1106">
        <w:t xml:space="preserve"> can</w:t>
      </w:r>
      <w:r w:rsidR="002A6BD7" w:rsidRPr="007F3DA2">
        <w:t xml:space="preserve"> afford to </w:t>
      </w:r>
      <w:r>
        <w:rPr>
          <w:lang w:val="en-US"/>
        </w:rPr>
        <w:t>give</w:t>
      </w:r>
      <w:r w:rsidRPr="007F3DA2">
        <w:t xml:space="preserve"> </w:t>
      </w:r>
      <w:r w:rsidR="002A6BD7" w:rsidRPr="007F3DA2">
        <w:t xml:space="preserve">resources </w:t>
      </w:r>
      <w:r>
        <w:rPr>
          <w:lang w:val="en-US"/>
        </w:rPr>
        <w:t>to</w:t>
      </w:r>
      <w:r w:rsidRPr="007F3DA2">
        <w:t xml:space="preserve"> </w:t>
      </w:r>
      <w:r w:rsidR="002A6BD7" w:rsidRPr="007F3DA2">
        <w:t>mental</w:t>
      </w:r>
      <w:r>
        <w:rPr>
          <w:lang w:val="en-US"/>
        </w:rPr>
        <w:t>-</w:t>
      </w:r>
      <w:r w:rsidR="002A6BD7" w:rsidRPr="007F3DA2">
        <w:t>health services, th</w:t>
      </w:r>
      <w:r w:rsidR="009E51A5">
        <w:rPr>
          <w:lang w:val="en-US"/>
        </w:rPr>
        <w:t>o</w:t>
      </w:r>
      <w:r w:rsidR="002A6BD7" w:rsidRPr="007F3DA2">
        <w:t xml:space="preserve">se resources are often </w:t>
      </w:r>
      <w:r w:rsidR="009B1106">
        <w:t xml:space="preserve">used to </w:t>
      </w:r>
      <w:r w:rsidR="002A6BD7" w:rsidRPr="007F3DA2">
        <w:t xml:space="preserve">support segregated psychiatric institutions </w:t>
      </w:r>
      <w:r w:rsidR="00A27592">
        <w:rPr>
          <w:lang w:val="en-US"/>
        </w:rPr>
        <w:t>where</w:t>
      </w:r>
      <w:r w:rsidR="00813F20">
        <w:rPr>
          <w:lang w:val="en-US"/>
        </w:rPr>
        <w:t xml:space="preserve"> </w:t>
      </w:r>
      <w:r w:rsidR="002A6BD7" w:rsidRPr="007F3DA2">
        <w:t xml:space="preserve">stigmatizing and human </w:t>
      </w:r>
      <w:r w:rsidR="009B1106" w:rsidRPr="007F3DA2">
        <w:t>rights</w:t>
      </w:r>
      <w:r w:rsidR="009E51A5">
        <w:rPr>
          <w:lang w:val="en-US"/>
        </w:rPr>
        <w:t>-</w:t>
      </w:r>
      <w:r w:rsidR="002A6BD7" w:rsidRPr="007F3DA2">
        <w:t xml:space="preserve">unfriendly </w:t>
      </w:r>
      <w:r w:rsidR="00467BBC" w:rsidRPr="00467BBC">
        <w:rPr>
          <w:lang w:val="en-GB"/>
        </w:rPr>
        <w:t>services</w:t>
      </w:r>
      <w:r w:rsidR="00A27592">
        <w:rPr>
          <w:lang w:val="en-US"/>
        </w:rPr>
        <w:t xml:space="preserve"> </w:t>
      </w:r>
      <w:r w:rsidR="00243AAF">
        <w:rPr>
          <w:lang w:val="en-US"/>
        </w:rPr>
        <w:t>are provided</w:t>
      </w:r>
      <w:r w:rsidR="00A27592">
        <w:rPr>
          <w:lang w:val="en-US"/>
        </w:rPr>
        <w:t>.</w:t>
      </w:r>
    </w:p>
    <w:p w:rsidR="002A6BD7" w:rsidRPr="007F3DA2" w:rsidRDefault="002A6BD7" w:rsidP="00CB75BE">
      <w:pPr>
        <w:pStyle w:val="SingleTxtG"/>
        <w:numPr>
          <w:ilvl w:val="0"/>
          <w:numId w:val="45"/>
        </w:numPr>
        <w:ind w:left="1134" w:firstLine="0"/>
      </w:pPr>
      <w:r w:rsidRPr="007F3DA2">
        <w:t>The S</w:t>
      </w:r>
      <w:r w:rsidR="009B1106">
        <w:t xml:space="preserve">pecial Rapporteur </w:t>
      </w:r>
      <w:r w:rsidRPr="007F3DA2">
        <w:t xml:space="preserve">would like to </w:t>
      </w:r>
      <w:r w:rsidR="007F3DA2" w:rsidRPr="007F3DA2">
        <w:t>highlight</w:t>
      </w:r>
      <w:r w:rsidR="009B1106">
        <w:t xml:space="preserve"> </w:t>
      </w:r>
      <w:r w:rsidRPr="007F3DA2">
        <w:t xml:space="preserve">two </w:t>
      </w:r>
      <w:r w:rsidR="009B1106">
        <w:t xml:space="preserve">key </w:t>
      </w:r>
      <w:r w:rsidRPr="007F3DA2">
        <w:t>message</w:t>
      </w:r>
      <w:r w:rsidR="009B1106">
        <w:t>s</w:t>
      </w:r>
      <w:r w:rsidRPr="007F3DA2">
        <w:t xml:space="preserve"> </w:t>
      </w:r>
      <w:r w:rsidR="009E51A5">
        <w:rPr>
          <w:lang w:val="en-US"/>
        </w:rPr>
        <w:t>of</w:t>
      </w:r>
      <w:r w:rsidR="009E51A5" w:rsidRPr="007F3DA2">
        <w:t xml:space="preserve"> </w:t>
      </w:r>
      <w:r w:rsidR="009E51A5">
        <w:rPr>
          <w:lang w:val="en-US"/>
        </w:rPr>
        <w:t xml:space="preserve">the </w:t>
      </w:r>
      <w:r w:rsidRPr="007F3DA2">
        <w:t>modern public mental</w:t>
      </w:r>
      <w:r w:rsidR="009E51A5">
        <w:rPr>
          <w:lang w:val="en-US"/>
        </w:rPr>
        <w:t>-</w:t>
      </w:r>
      <w:r w:rsidRPr="007F3DA2">
        <w:t>health approach. First</w:t>
      </w:r>
      <w:r w:rsidR="00810833" w:rsidRPr="008A0770">
        <w:rPr>
          <w:lang w:val="en-GB"/>
        </w:rPr>
        <w:t xml:space="preserve">ly, </w:t>
      </w:r>
      <w:r w:rsidRPr="007F3DA2">
        <w:t>there is no health without mental health. Second</w:t>
      </w:r>
      <w:r w:rsidR="00810833" w:rsidRPr="008A0770">
        <w:rPr>
          <w:lang w:val="en-GB"/>
        </w:rPr>
        <w:t>ly</w:t>
      </w:r>
      <w:r w:rsidR="009B1106">
        <w:t>,</w:t>
      </w:r>
      <w:r w:rsidR="00810833" w:rsidRPr="008A0770">
        <w:rPr>
          <w:lang w:val="en-GB"/>
        </w:rPr>
        <w:t xml:space="preserve"> </w:t>
      </w:r>
      <w:r w:rsidR="000C36F3">
        <w:rPr>
          <w:lang w:val="en-US"/>
        </w:rPr>
        <w:t xml:space="preserve">good </w:t>
      </w:r>
      <w:r w:rsidRPr="007F3DA2">
        <w:t xml:space="preserve">mental health </w:t>
      </w:r>
      <w:r w:rsidR="000C36F3">
        <w:rPr>
          <w:lang w:val="en-US"/>
        </w:rPr>
        <w:t>means much more than</w:t>
      </w:r>
      <w:r w:rsidR="00813F20">
        <w:rPr>
          <w:lang w:val="en-US"/>
        </w:rPr>
        <w:t xml:space="preserve"> </w:t>
      </w:r>
      <w:r w:rsidRPr="007F3DA2">
        <w:t xml:space="preserve">absence of a mental </w:t>
      </w:r>
      <w:r w:rsidR="00A27592" w:rsidRPr="00B76FD9">
        <w:rPr>
          <w:lang w:val="en-GB"/>
        </w:rPr>
        <w:t>impairment</w:t>
      </w:r>
      <w:r w:rsidRPr="007F3DA2">
        <w:t>.</w:t>
      </w:r>
    </w:p>
    <w:p w:rsidR="002A6BD7" w:rsidRPr="007F3DA2" w:rsidRDefault="009E51A5" w:rsidP="00CB75BE">
      <w:pPr>
        <w:pStyle w:val="SingleTxtG"/>
        <w:numPr>
          <w:ilvl w:val="0"/>
          <w:numId w:val="45"/>
        </w:numPr>
        <w:ind w:left="1134" w:firstLine="0"/>
      </w:pPr>
      <w:r>
        <w:rPr>
          <w:lang w:val="en-US"/>
        </w:rPr>
        <w:t>The m</w:t>
      </w:r>
      <w:r w:rsidR="002A6BD7" w:rsidRPr="007F3DA2">
        <w:t>odern understanding of mental health includes good emotional and social well-being, healthy non-violent relations betwe</w:t>
      </w:r>
      <w:r w:rsidR="00552560">
        <w:t>en individuals and groups, with</w:t>
      </w:r>
      <w:r w:rsidR="002A6BD7" w:rsidRPr="007F3DA2">
        <w:t xml:space="preserve"> mutual trust</w:t>
      </w:r>
      <w:r>
        <w:rPr>
          <w:lang w:val="en-US"/>
        </w:rPr>
        <w:t xml:space="preserve"> of</w:t>
      </w:r>
      <w:r w:rsidR="002A6BD7" w:rsidRPr="007F3DA2">
        <w:t>, tolerance</w:t>
      </w:r>
      <w:r>
        <w:rPr>
          <w:lang w:val="en-US"/>
        </w:rPr>
        <w:t xml:space="preserve"> of</w:t>
      </w:r>
      <w:r w:rsidR="002A6BD7" w:rsidRPr="007F3DA2">
        <w:t xml:space="preserve"> and respect </w:t>
      </w:r>
      <w:r>
        <w:rPr>
          <w:lang w:val="en-US"/>
        </w:rPr>
        <w:t>for</w:t>
      </w:r>
      <w:r w:rsidR="002A6BD7" w:rsidRPr="007F3DA2">
        <w:t xml:space="preserve"> </w:t>
      </w:r>
      <w:r w:rsidR="00684CC4">
        <w:rPr>
          <w:lang w:val="en-US"/>
        </w:rPr>
        <w:t xml:space="preserve">the </w:t>
      </w:r>
      <w:r w:rsidR="002A6BD7" w:rsidRPr="007F3DA2">
        <w:t>dignity of every person. In th</w:t>
      </w:r>
      <w:r>
        <w:rPr>
          <w:lang w:val="en-US"/>
        </w:rPr>
        <w:t>at</w:t>
      </w:r>
      <w:r w:rsidR="002A6BD7" w:rsidRPr="007F3DA2">
        <w:t xml:space="preserve"> regard</w:t>
      </w:r>
      <w:r w:rsidR="00552560">
        <w:t>,</w:t>
      </w:r>
      <w:r w:rsidR="002A6BD7" w:rsidRPr="007F3DA2">
        <w:t xml:space="preserve"> </w:t>
      </w:r>
      <w:r w:rsidR="00552560">
        <w:t>promot</w:t>
      </w:r>
      <w:r>
        <w:rPr>
          <w:lang w:val="en-US"/>
        </w:rPr>
        <w:t>ing</w:t>
      </w:r>
      <w:r w:rsidR="00552560">
        <w:t xml:space="preserve"> good mental health </w:t>
      </w:r>
      <w:r w:rsidR="00A27592" w:rsidRPr="00B76FD9">
        <w:rPr>
          <w:lang w:val="en-GB"/>
        </w:rPr>
        <w:t>should be</w:t>
      </w:r>
      <w:r w:rsidR="00813F20">
        <w:rPr>
          <w:lang w:val="en-US"/>
        </w:rPr>
        <w:t xml:space="preserve"> </w:t>
      </w:r>
      <w:r w:rsidR="002A6BD7" w:rsidRPr="007F3DA2">
        <w:t xml:space="preserve">a cross-cutting priority relevant to the </w:t>
      </w:r>
      <w:r w:rsidR="00552560" w:rsidRPr="007F3DA2">
        <w:t>sustainable</w:t>
      </w:r>
      <w:r w:rsidR="00552560">
        <w:t xml:space="preserve"> development agenda</w:t>
      </w:r>
      <w:r>
        <w:rPr>
          <w:lang w:val="en-US"/>
        </w:rPr>
        <w:t>,</w:t>
      </w:r>
      <w:r w:rsidR="002A6BD7" w:rsidRPr="007F3DA2">
        <w:t xml:space="preserve"> as </w:t>
      </w:r>
      <w:r w:rsidR="00552560">
        <w:t>it is of concern to many of its elements, including</w:t>
      </w:r>
      <w:r>
        <w:rPr>
          <w:lang w:val="en-US"/>
        </w:rPr>
        <w:t xml:space="preserve"> the</w:t>
      </w:r>
      <w:r w:rsidR="00552560">
        <w:t xml:space="preserve"> </w:t>
      </w:r>
      <w:r w:rsidR="00894502">
        <w:rPr>
          <w:lang w:val="en-US"/>
        </w:rPr>
        <w:t xml:space="preserve">protection of </w:t>
      </w:r>
      <w:r w:rsidR="002A6BD7" w:rsidRPr="007F3DA2">
        <w:t>dignity</w:t>
      </w:r>
      <w:r w:rsidR="00813F20">
        <w:rPr>
          <w:lang w:val="en-US"/>
        </w:rPr>
        <w:t xml:space="preserve"> </w:t>
      </w:r>
      <w:r w:rsidR="002A6BD7" w:rsidRPr="007F3DA2">
        <w:t xml:space="preserve">and </w:t>
      </w:r>
      <w:r w:rsidR="00552560">
        <w:t>people in order</w:t>
      </w:r>
      <w:r w:rsidR="002A6BD7" w:rsidRPr="007F3DA2">
        <w:t xml:space="preserve"> to ensu</w:t>
      </w:r>
      <w:r w:rsidR="00552560">
        <w:t>r</w:t>
      </w:r>
      <w:r w:rsidR="00684CC4">
        <w:rPr>
          <w:lang w:val="en-US"/>
        </w:rPr>
        <w:t>e</w:t>
      </w:r>
      <w:r w:rsidR="00813F20">
        <w:rPr>
          <w:lang w:val="en-US"/>
        </w:rPr>
        <w:t xml:space="preserve"> </w:t>
      </w:r>
      <w:r w:rsidR="00552560">
        <w:t>healthy lives</w:t>
      </w:r>
      <w:r w:rsidR="00894502">
        <w:rPr>
          <w:lang w:val="en-GB"/>
        </w:rPr>
        <w:t xml:space="preserve"> and</w:t>
      </w:r>
      <w:r w:rsidR="00552560">
        <w:t xml:space="preserve"> </w:t>
      </w:r>
      <w:r w:rsidR="002A6BD7" w:rsidRPr="007F3DA2">
        <w:t>strong inclu</w:t>
      </w:r>
      <w:r w:rsidR="00552560">
        <w:t>sive economies;</w:t>
      </w:r>
      <w:r w:rsidR="00813F20">
        <w:t xml:space="preserve"> </w:t>
      </w:r>
      <w:r w:rsidR="002A6BD7" w:rsidRPr="007F3DA2">
        <w:t>promot</w:t>
      </w:r>
      <w:r w:rsidR="00684CC4">
        <w:rPr>
          <w:lang w:val="en-US"/>
        </w:rPr>
        <w:t>e</w:t>
      </w:r>
      <w:r w:rsidR="002A6BD7" w:rsidRPr="007F3DA2">
        <w:t xml:space="preserve"> safe and peaceful societies and strong institutions</w:t>
      </w:r>
      <w:r w:rsidR="00A27592" w:rsidRPr="00B76FD9">
        <w:rPr>
          <w:lang w:val="en-GB"/>
        </w:rPr>
        <w:t>;</w:t>
      </w:r>
      <w:r w:rsidR="008A0770">
        <w:t xml:space="preserve"> and</w:t>
      </w:r>
      <w:r w:rsidR="008A0770" w:rsidRPr="008A0770">
        <w:rPr>
          <w:lang w:val="en-GB"/>
        </w:rPr>
        <w:t xml:space="preserve"> </w:t>
      </w:r>
      <w:r w:rsidR="00894502">
        <w:t>cataly</w:t>
      </w:r>
      <w:r>
        <w:rPr>
          <w:lang w:val="en-US"/>
        </w:rPr>
        <w:t>s</w:t>
      </w:r>
      <w:r w:rsidR="00684CC4">
        <w:rPr>
          <w:lang w:val="en-US"/>
        </w:rPr>
        <w:t>e</w:t>
      </w:r>
      <w:r w:rsidR="00894502">
        <w:rPr>
          <w:lang w:val="en-US"/>
        </w:rPr>
        <w:t xml:space="preserve"> </w:t>
      </w:r>
      <w:r w:rsidR="002A6BD7" w:rsidRPr="007F3DA2">
        <w:t>global solidarity for sustainable development</w:t>
      </w:r>
      <w:r>
        <w:rPr>
          <w:lang w:val="en-US"/>
        </w:rPr>
        <w:t xml:space="preserve"> (see </w:t>
      </w:r>
      <w:r w:rsidRPr="00D05FE0">
        <w:rPr>
          <w:szCs w:val="18"/>
          <w:lang w:val="en-GB"/>
        </w:rPr>
        <w:t>A/69/700</w:t>
      </w:r>
      <w:r>
        <w:rPr>
          <w:szCs w:val="18"/>
          <w:lang w:val="en-GB"/>
        </w:rPr>
        <w:t>)</w:t>
      </w:r>
      <w:r w:rsidR="002A6BD7" w:rsidRPr="007F3DA2">
        <w:t>.</w:t>
      </w:r>
    </w:p>
    <w:p w:rsidR="002A6BD7" w:rsidRPr="00A04ABE" w:rsidRDefault="002A6BD7" w:rsidP="00840D9F">
      <w:pPr>
        <w:pStyle w:val="SingleTxtG"/>
        <w:numPr>
          <w:ilvl w:val="0"/>
          <w:numId w:val="45"/>
        </w:numPr>
        <w:ind w:left="1134" w:firstLine="0"/>
        <w:rPr>
          <w:lang w:val="en-GB"/>
        </w:rPr>
      </w:pPr>
      <w:r w:rsidRPr="007F3DA2">
        <w:t xml:space="preserve">By investing in </w:t>
      </w:r>
      <w:r w:rsidR="009E51A5">
        <w:rPr>
          <w:lang w:val="en-US"/>
        </w:rPr>
        <w:t xml:space="preserve">the </w:t>
      </w:r>
      <w:r w:rsidRPr="007F3DA2">
        <w:t xml:space="preserve">good mental health of children and youth, </w:t>
      </w:r>
      <w:r w:rsidR="00684CC4">
        <w:rPr>
          <w:lang w:val="en-US"/>
        </w:rPr>
        <w:t>a substantial contribution is made</w:t>
      </w:r>
      <w:r w:rsidRPr="007F3DA2">
        <w:t xml:space="preserve"> not only to the sustainable </w:t>
      </w:r>
      <w:r w:rsidR="00A27592" w:rsidRPr="00B76FD9">
        <w:rPr>
          <w:lang w:val="en-GB"/>
        </w:rPr>
        <w:t>de</w:t>
      </w:r>
      <w:r w:rsidR="00A27592">
        <w:rPr>
          <w:lang w:val="en-GB"/>
        </w:rPr>
        <w:t>velopment of</w:t>
      </w:r>
      <w:r w:rsidRPr="007F3DA2">
        <w:t xml:space="preserve"> </w:t>
      </w:r>
      <w:r w:rsidR="00A27592" w:rsidRPr="00B76FD9">
        <w:rPr>
          <w:lang w:val="en-GB"/>
        </w:rPr>
        <w:t>ou</w:t>
      </w:r>
      <w:r w:rsidR="00A27592">
        <w:rPr>
          <w:lang w:val="en-GB"/>
        </w:rPr>
        <w:t xml:space="preserve">r </w:t>
      </w:r>
      <w:r w:rsidRPr="007F3DA2">
        <w:t>econom</w:t>
      </w:r>
      <w:r w:rsidR="00A27592" w:rsidRPr="00B76FD9">
        <w:rPr>
          <w:lang w:val="en-GB"/>
        </w:rPr>
        <w:t>i</w:t>
      </w:r>
      <w:r w:rsidR="00A27592">
        <w:rPr>
          <w:lang w:val="en-GB"/>
        </w:rPr>
        <w:t>es</w:t>
      </w:r>
      <w:r w:rsidRPr="007F3DA2">
        <w:t>, for which good emotional and cognitive abilities</w:t>
      </w:r>
      <w:r w:rsidR="009E51A5">
        <w:rPr>
          <w:lang w:val="en-US"/>
        </w:rPr>
        <w:t xml:space="preserve"> are needed</w:t>
      </w:r>
      <w:r w:rsidR="003C138A" w:rsidRPr="00B76FD9">
        <w:rPr>
          <w:lang w:val="en-GB"/>
        </w:rPr>
        <w:t>,</w:t>
      </w:r>
      <w:r w:rsidR="00A27592" w:rsidRPr="00B76FD9">
        <w:rPr>
          <w:lang w:val="en-GB"/>
        </w:rPr>
        <w:t xml:space="preserve"> </w:t>
      </w:r>
      <w:r w:rsidRPr="007F3DA2">
        <w:t>but also the root causes of</w:t>
      </w:r>
      <w:r w:rsidR="00224748" w:rsidRPr="00EA09C4">
        <w:rPr>
          <w:lang w:val="en-GB"/>
        </w:rPr>
        <w:t xml:space="preserve"> </w:t>
      </w:r>
      <w:r w:rsidR="0047308D" w:rsidRPr="00EA09C4">
        <w:rPr>
          <w:lang w:val="en-GB"/>
        </w:rPr>
        <w:t>intolerance and social exclusion</w:t>
      </w:r>
      <w:r w:rsidR="00684CC4">
        <w:rPr>
          <w:lang w:val="en-GB"/>
        </w:rPr>
        <w:t xml:space="preserve"> are addressed</w:t>
      </w:r>
      <w:r w:rsidR="0047308D" w:rsidRPr="00EA09C4">
        <w:rPr>
          <w:lang w:val="en-GB"/>
        </w:rPr>
        <w:t xml:space="preserve"> </w:t>
      </w:r>
      <w:r w:rsidR="0047308D">
        <w:rPr>
          <w:lang w:val="en-GB"/>
        </w:rPr>
        <w:t xml:space="preserve">and healthy and </w:t>
      </w:r>
      <w:r w:rsidR="00224748">
        <w:rPr>
          <w:lang w:val="en-GB"/>
        </w:rPr>
        <w:t>cohesive societies</w:t>
      </w:r>
      <w:r w:rsidR="00684CC4">
        <w:rPr>
          <w:lang w:val="en-GB"/>
        </w:rPr>
        <w:t xml:space="preserve"> promoted</w:t>
      </w:r>
      <w:r w:rsidR="0047308D" w:rsidRPr="007F3DA2">
        <w:t>.</w:t>
      </w:r>
    </w:p>
    <w:p w:rsidR="002A6BD7" w:rsidRPr="00A04ABE" w:rsidRDefault="002A6BD7" w:rsidP="00CB75BE">
      <w:pPr>
        <w:pStyle w:val="SingleTxtG"/>
        <w:numPr>
          <w:ilvl w:val="0"/>
          <w:numId w:val="45"/>
        </w:numPr>
        <w:ind w:left="1134" w:firstLine="0"/>
        <w:rPr>
          <w:lang w:val="en-GB"/>
        </w:rPr>
      </w:pPr>
      <w:r w:rsidRPr="007F3DA2">
        <w:t>It is estimated that the burden of mental</w:t>
      </w:r>
      <w:r w:rsidR="009E51A5">
        <w:rPr>
          <w:lang w:val="en-US"/>
        </w:rPr>
        <w:t>-</w:t>
      </w:r>
      <w:r w:rsidRPr="007F3DA2">
        <w:t>health problems and mental disabilities constitutes 14</w:t>
      </w:r>
      <w:r w:rsidR="009E51A5">
        <w:rPr>
          <w:lang w:val="en-US"/>
        </w:rPr>
        <w:t xml:space="preserve"> per cent</w:t>
      </w:r>
      <w:r w:rsidRPr="007F3DA2">
        <w:t xml:space="preserve"> of general burden of disease</w:t>
      </w:r>
      <w:r w:rsidR="00E924AC" w:rsidRPr="00840D9F">
        <w:rPr>
          <w:lang w:val="en-US"/>
        </w:rPr>
        <w:t>.</w:t>
      </w:r>
      <w:r w:rsidR="00552560">
        <w:rPr>
          <w:rStyle w:val="FootnoteReference"/>
        </w:rPr>
        <w:footnoteReference w:id="5"/>
      </w:r>
      <w:r w:rsidRPr="007F3DA2">
        <w:t xml:space="preserve"> </w:t>
      </w:r>
      <w:r w:rsidR="00EC1C41">
        <w:t xml:space="preserve">However, </w:t>
      </w:r>
      <w:r w:rsidRPr="007F3DA2">
        <w:t>compare</w:t>
      </w:r>
      <w:r w:rsidR="00EC1C41">
        <w:t>d</w:t>
      </w:r>
      <w:r w:rsidRPr="007F3DA2">
        <w:t xml:space="preserve"> with physical health, mental health </w:t>
      </w:r>
      <w:r w:rsidR="009E51A5">
        <w:rPr>
          <w:lang w:val="en-US"/>
        </w:rPr>
        <w:t>is given</w:t>
      </w:r>
      <w:r w:rsidR="009E51A5" w:rsidRPr="007F3DA2">
        <w:t xml:space="preserve"> </w:t>
      </w:r>
      <w:r w:rsidRPr="007F3DA2">
        <w:t>inadequate</w:t>
      </w:r>
      <w:r w:rsidR="00EC1C41">
        <w:t>ly</w:t>
      </w:r>
      <w:r w:rsidRPr="007F3DA2">
        <w:t xml:space="preserve"> low priority and insufficient</w:t>
      </w:r>
      <w:r w:rsidR="006058E4">
        <w:t xml:space="preserve"> human and financial resources.</w:t>
      </w:r>
    </w:p>
    <w:p w:rsidR="004265FD" w:rsidRPr="00A04ABE" w:rsidRDefault="00A27592" w:rsidP="00CB75BE">
      <w:pPr>
        <w:pStyle w:val="SingleTxtG"/>
        <w:numPr>
          <w:ilvl w:val="0"/>
          <w:numId w:val="45"/>
        </w:numPr>
        <w:ind w:left="1134" w:firstLine="0"/>
        <w:rPr>
          <w:lang w:val="en-GB"/>
        </w:rPr>
      </w:pPr>
      <w:r w:rsidRPr="00B76FD9">
        <w:rPr>
          <w:lang w:val="en-GB"/>
        </w:rPr>
        <w:t>The</w:t>
      </w:r>
      <w:r w:rsidR="004265FD">
        <w:t xml:space="preserve"> end of </w:t>
      </w:r>
      <w:r w:rsidR="009E51A5">
        <w:rPr>
          <w:lang w:val="en-US"/>
        </w:rPr>
        <w:t>twentieth</w:t>
      </w:r>
      <w:r w:rsidR="004265FD">
        <w:t xml:space="preserve"> century </w:t>
      </w:r>
      <w:r w:rsidR="002A6BD7" w:rsidRPr="007F3DA2">
        <w:t>brought two main m</w:t>
      </w:r>
      <w:r w:rsidR="00894502">
        <w:rPr>
          <w:lang w:val="en-US"/>
        </w:rPr>
        <w:t>e</w:t>
      </w:r>
      <w:r w:rsidR="002A6BD7" w:rsidRPr="007F3DA2">
        <w:t>ssages</w:t>
      </w:r>
      <w:r w:rsidRPr="00E0722D">
        <w:rPr>
          <w:lang w:val="en-GB"/>
        </w:rPr>
        <w:t xml:space="preserve"> to the internation</w:t>
      </w:r>
      <w:r w:rsidRPr="00B76FD9">
        <w:rPr>
          <w:lang w:val="en-GB"/>
        </w:rPr>
        <w:t>a</w:t>
      </w:r>
      <w:r>
        <w:rPr>
          <w:lang w:val="en-GB"/>
        </w:rPr>
        <w:t>l</w:t>
      </w:r>
      <w:r w:rsidRPr="00B76FD9">
        <w:rPr>
          <w:lang w:val="en-GB"/>
        </w:rPr>
        <w:t xml:space="preserve"> community.</w:t>
      </w:r>
      <w:r w:rsidR="002A6BD7" w:rsidRPr="007F3DA2">
        <w:t xml:space="preserve"> </w:t>
      </w:r>
      <w:r w:rsidR="004265FD">
        <w:t>The f</w:t>
      </w:r>
      <w:r w:rsidR="00552560">
        <w:t xml:space="preserve">irst message was </w:t>
      </w:r>
      <w:r w:rsidR="002A6BD7" w:rsidRPr="007F3DA2">
        <w:t xml:space="preserve">about </w:t>
      </w:r>
      <w:r w:rsidRPr="00B76FD9">
        <w:rPr>
          <w:lang w:val="en-GB"/>
        </w:rPr>
        <w:t xml:space="preserve">the </w:t>
      </w:r>
      <w:r w:rsidR="002A6BD7" w:rsidRPr="007F3DA2">
        <w:t>centrality of mental health in the modern health poli</w:t>
      </w:r>
      <w:r w:rsidR="004265FD">
        <w:t xml:space="preserve">cies, </w:t>
      </w:r>
      <w:r w:rsidRPr="00B76FD9">
        <w:rPr>
          <w:lang w:val="en-GB"/>
        </w:rPr>
        <w:t>based on</w:t>
      </w:r>
      <w:r w:rsidR="004265FD">
        <w:t xml:space="preserve"> the high burden of</w:t>
      </w:r>
      <w:r w:rsidR="002A6BD7" w:rsidRPr="007F3DA2">
        <w:t xml:space="preserve"> mental</w:t>
      </w:r>
      <w:r w:rsidR="009E51A5">
        <w:rPr>
          <w:lang w:val="en-US"/>
        </w:rPr>
        <w:t>-</w:t>
      </w:r>
      <w:r w:rsidR="002A6BD7" w:rsidRPr="007F3DA2">
        <w:t>health problems and mental dis</w:t>
      </w:r>
      <w:r w:rsidR="004265FD">
        <w:t xml:space="preserve">orders. The second message was </w:t>
      </w:r>
      <w:r w:rsidR="002A6BD7" w:rsidRPr="007F3DA2">
        <w:t xml:space="preserve">that, contrary to </w:t>
      </w:r>
      <w:r w:rsidR="009E51A5">
        <w:rPr>
          <w:lang w:val="en-US"/>
        </w:rPr>
        <w:t xml:space="preserve">the </w:t>
      </w:r>
      <w:r w:rsidR="002A6BD7" w:rsidRPr="007F3DA2">
        <w:t xml:space="preserve">previous </w:t>
      </w:r>
      <w:r w:rsidR="00552560" w:rsidRPr="007F3DA2">
        <w:t>understanding</w:t>
      </w:r>
      <w:r w:rsidR="002A6BD7" w:rsidRPr="007F3DA2">
        <w:t xml:space="preserve">, effective measures are possible if </w:t>
      </w:r>
      <w:r w:rsidR="00661044">
        <w:rPr>
          <w:lang w:val="en-US"/>
        </w:rPr>
        <w:t xml:space="preserve">outdated traditions are abandoned and </w:t>
      </w:r>
      <w:r w:rsidR="009E51A5">
        <w:rPr>
          <w:lang w:val="en-US"/>
        </w:rPr>
        <w:t xml:space="preserve">the </w:t>
      </w:r>
      <w:r w:rsidR="002A6BD7" w:rsidRPr="007F3DA2">
        <w:t xml:space="preserve">modern public health approach is applied. </w:t>
      </w:r>
      <w:r w:rsidR="004265FD">
        <w:t>I</w:t>
      </w:r>
      <w:r w:rsidR="002A6BD7" w:rsidRPr="007F3DA2">
        <w:t xml:space="preserve">n the </w:t>
      </w:r>
      <w:r w:rsidR="009E51A5">
        <w:rPr>
          <w:lang w:val="en-US"/>
        </w:rPr>
        <w:t>twenty-first</w:t>
      </w:r>
      <w:r w:rsidR="002A6BD7" w:rsidRPr="007F3DA2">
        <w:t xml:space="preserve"> century there is no place for psychiatric institutions based on stigma and segregation, and </w:t>
      </w:r>
      <w:r w:rsidR="004265FD">
        <w:t>there is a need</w:t>
      </w:r>
      <w:r w:rsidR="00661044">
        <w:rPr>
          <w:lang w:val="en-US"/>
        </w:rPr>
        <w:t>, in words of G.H.</w:t>
      </w:r>
      <w:r w:rsidR="00734CAE">
        <w:rPr>
          <w:lang w:val="en-US"/>
        </w:rPr>
        <w:t xml:space="preserve"> </w:t>
      </w:r>
      <w:r w:rsidR="00661044">
        <w:rPr>
          <w:lang w:val="en-US"/>
        </w:rPr>
        <w:t>Brundtland</w:t>
      </w:r>
      <w:r w:rsidR="00E406AA">
        <w:rPr>
          <w:lang w:val="en-US"/>
        </w:rPr>
        <w:t xml:space="preserve"> </w:t>
      </w:r>
      <w:r w:rsidR="004265FD">
        <w:t>“</w:t>
      </w:r>
      <w:r w:rsidR="002A6BD7" w:rsidRPr="007F3DA2">
        <w:t>to ensure that ours will be the last generation that allows shame and stigma to</w:t>
      </w:r>
      <w:r w:rsidR="007F3DA2">
        <w:t xml:space="preserve"> </w:t>
      </w:r>
      <w:r w:rsidR="002A6BD7" w:rsidRPr="007F3DA2">
        <w:t>rule over science and reason”</w:t>
      </w:r>
      <w:r w:rsidR="00E924AC" w:rsidRPr="00840D9F">
        <w:rPr>
          <w:lang w:val="en-US"/>
        </w:rPr>
        <w:t>.</w:t>
      </w:r>
      <w:r w:rsidR="004265FD">
        <w:rPr>
          <w:rStyle w:val="FootnoteReference"/>
        </w:rPr>
        <w:footnoteReference w:id="6"/>
      </w:r>
    </w:p>
    <w:p w:rsidR="002A6BD7" w:rsidRPr="007F3DA2" w:rsidRDefault="004265FD" w:rsidP="00CB75BE">
      <w:pPr>
        <w:pStyle w:val="SingleTxtG"/>
        <w:numPr>
          <w:ilvl w:val="0"/>
          <w:numId w:val="45"/>
        </w:numPr>
        <w:ind w:left="1134" w:firstLine="0"/>
      </w:pPr>
      <w:r>
        <w:t>H</w:t>
      </w:r>
      <w:r w:rsidR="002A6BD7" w:rsidRPr="007F3DA2">
        <w:t>owever, after more than a decade</w:t>
      </w:r>
      <w:r w:rsidR="00894502">
        <w:rPr>
          <w:lang w:val="en-US"/>
        </w:rPr>
        <w:t xml:space="preserve"> since </w:t>
      </w:r>
      <w:r w:rsidR="00EF5E46">
        <w:rPr>
          <w:lang w:val="en-US"/>
        </w:rPr>
        <w:t>the publication of the landmark</w:t>
      </w:r>
      <w:r w:rsidR="00691242">
        <w:rPr>
          <w:lang w:val="en-US"/>
        </w:rPr>
        <w:t xml:space="preserve"> </w:t>
      </w:r>
      <w:r w:rsidR="00894502" w:rsidRPr="00840D9F">
        <w:rPr>
          <w:i/>
          <w:iCs/>
          <w:lang w:val="en-US"/>
        </w:rPr>
        <w:t xml:space="preserve">World Health </w:t>
      </w:r>
      <w:r w:rsidR="00EF5E46" w:rsidRPr="00840D9F">
        <w:rPr>
          <w:i/>
          <w:iCs/>
          <w:lang w:val="en-US"/>
        </w:rPr>
        <w:t>R</w:t>
      </w:r>
      <w:r w:rsidR="00894502" w:rsidRPr="00840D9F">
        <w:rPr>
          <w:i/>
          <w:iCs/>
          <w:lang w:val="en-US"/>
        </w:rPr>
        <w:t>eport 2001</w:t>
      </w:r>
      <w:r w:rsidR="002A6BD7" w:rsidRPr="007F3DA2">
        <w:t>, me</w:t>
      </w:r>
      <w:r>
        <w:t xml:space="preserve">ntal health remains hostage </w:t>
      </w:r>
      <w:r w:rsidR="009E51A5">
        <w:rPr>
          <w:lang w:val="en-US"/>
        </w:rPr>
        <w:t>to</w:t>
      </w:r>
      <w:r w:rsidR="009E51A5" w:rsidRPr="007F3DA2">
        <w:t xml:space="preserve"> </w:t>
      </w:r>
      <w:r w:rsidR="002A6BD7" w:rsidRPr="007F3DA2">
        <w:t>outdated attitudes and inadequate services.</w:t>
      </w:r>
      <w:r w:rsidR="00813F20">
        <w:t xml:space="preserve"> </w:t>
      </w:r>
      <w:r w:rsidR="002A6BD7" w:rsidRPr="007F3DA2">
        <w:t>Studies show that</w:t>
      </w:r>
      <w:r w:rsidR="009E51A5">
        <w:rPr>
          <w:lang w:val="en-US"/>
        </w:rPr>
        <w:t>,</w:t>
      </w:r>
      <w:r w:rsidR="002A6BD7" w:rsidRPr="007F3DA2">
        <w:t xml:space="preserve"> in many instances</w:t>
      </w:r>
      <w:r w:rsidR="009E51A5">
        <w:rPr>
          <w:lang w:val="en-US"/>
        </w:rPr>
        <w:t>,</w:t>
      </w:r>
      <w:r w:rsidR="002A6BD7" w:rsidRPr="007F3DA2">
        <w:t xml:space="preserve"> there is either no access to mental health services at all, or th</w:t>
      </w:r>
      <w:r w:rsidR="009E51A5">
        <w:rPr>
          <w:lang w:val="en-US"/>
        </w:rPr>
        <w:t>o</w:t>
      </w:r>
      <w:r w:rsidR="002A6BD7" w:rsidRPr="007F3DA2">
        <w:t>se services are stigmati</w:t>
      </w:r>
      <w:r>
        <w:t>zing and violate human rights.</w:t>
      </w:r>
      <w:r>
        <w:rPr>
          <w:rStyle w:val="FootnoteReference"/>
        </w:rPr>
        <w:footnoteReference w:id="7"/>
      </w:r>
    </w:p>
    <w:p w:rsidR="00786D44" w:rsidRPr="007F3DA2" w:rsidRDefault="002A6BD7" w:rsidP="00CB75BE">
      <w:pPr>
        <w:pStyle w:val="SingleTxtG"/>
        <w:numPr>
          <w:ilvl w:val="0"/>
          <w:numId w:val="45"/>
        </w:numPr>
        <w:ind w:left="1134" w:firstLine="0"/>
      </w:pPr>
      <w:r w:rsidRPr="007F3DA2">
        <w:t xml:space="preserve">One of </w:t>
      </w:r>
      <w:r w:rsidR="00D56131">
        <w:rPr>
          <w:lang w:val="en-US"/>
        </w:rPr>
        <w:t>the significant</w:t>
      </w:r>
      <w:r w:rsidR="00D56131" w:rsidRPr="007F3DA2">
        <w:t xml:space="preserve"> </w:t>
      </w:r>
      <w:r w:rsidRPr="007F3DA2">
        <w:t xml:space="preserve">obstacles </w:t>
      </w:r>
      <w:r w:rsidR="00D56131">
        <w:rPr>
          <w:lang w:val="en-US"/>
        </w:rPr>
        <w:t>to</w:t>
      </w:r>
      <w:r w:rsidR="00D56131">
        <w:t xml:space="preserve"> </w:t>
      </w:r>
      <w:r w:rsidR="004265FD">
        <w:t>the</w:t>
      </w:r>
      <w:r w:rsidRPr="007F3DA2">
        <w:t xml:space="preserve"> implementation of modern public mental</w:t>
      </w:r>
      <w:r w:rsidR="00D56131">
        <w:rPr>
          <w:lang w:val="en-US"/>
        </w:rPr>
        <w:t>-</w:t>
      </w:r>
      <w:r w:rsidRPr="007F3DA2">
        <w:t xml:space="preserve">health principles is a lack of political will, including on global health agenda, to recognize </w:t>
      </w:r>
      <w:r w:rsidR="009F6AF6">
        <w:rPr>
          <w:lang w:val="en-US"/>
        </w:rPr>
        <w:t xml:space="preserve">the </w:t>
      </w:r>
      <w:r w:rsidRPr="007F3DA2">
        <w:t>centrality o</w:t>
      </w:r>
      <w:r w:rsidR="004265FD">
        <w:t>f</w:t>
      </w:r>
      <w:r w:rsidRPr="007F3DA2">
        <w:t xml:space="preserve"> mental health in</w:t>
      </w:r>
      <w:r w:rsidR="00D56131">
        <w:rPr>
          <w:lang w:val="en-US"/>
        </w:rPr>
        <w:t xml:space="preserve"> the</w:t>
      </w:r>
      <w:r w:rsidRPr="007F3DA2">
        <w:t xml:space="preserve"> full realization of the right to health and to implement </w:t>
      </w:r>
      <w:r w:rsidR="004265FD">
        <w:t xml:space="preserve">the </w:t>
      </w:r>
      <w:r w:rsidRPr="007F3DA2">
        <w:t xml:space="preserve">principle of </w:t>
      </w:r>
      <w:r w:rsidR="00A35F6C" w:rsidRPr="00EA09C4">
        <w:rPr>
          <w:lang w:val="en-GB"/>
        </w:rPr>
        <w:t>parity</w:t>
      </w:r>
      <w:r w:rsidR="008614FA" w:rsidRPr="00EA09C4">
        <w:rPr>
          <w:lang w:val="en-GB"/>
        </w:rPr>
        <w:t xml:space="preserve"> </w:t>
      </w:r>
      <w:r w:rsidRPr="007F3DA2">
        <w:t>between physical and mental health.</w:t>
      </w:r>
      <w:r w:rsidR="00786D44">
        <w:t xml:space="preserve"> The Special Rapporteur</w:t>
      </w:r>
      <w:r w:rsidR="00786D44" w:rsidRPr="007F3DA2">
        <w:t xml:space="preserve"> </w:t>
      </w:r>
      <w:r w:rsidR="00786D44">
        <w:t>is</w:t>
      </w:r>
      <w:r w:rsidR="00786D44" w:rsidRPr="007F3DA2">
        <w:t xml:space="preserve"> concern</w:t>
      </w:r>
      <w:r w:rsidR="00786D44">
        <w:t>ed</w:t>
      </w:r>
      <w:r w:rsidR="00786D44" w:rsidRPr="007F3DA2">
        <w:t xml:space="preserve"> that</w:t>
      </w:r>
      <w:r w:rsidR="00D56131">
        <w:rPr>
          <w:lang w:val="en-US"/>
        </w:rPr>
        <w:t>,</w:t>
      </w:r>
      <w:r w:rsidR="00786D44" w:rsidRPr="007F3DA2">
        <w:t xml:space="preserve"> despite </w:t>
      </w:r>
      <w:r w:rsidR="00D56131">
        <w:rPr>
          <w:lang w:val="en-US"/>
        </w:rPr>
        <w:t>clear</w:t>
      </w:r>
      <w:r w:rsidR="00D56131" w:rsidRPr="007F3DA2">
        <w:t xml:space="preserve"> </w:t>
      </w:r>
      <w:r w:rsidR="00786D44" w:rsidRPr="007F3DA2">
        <w:t xml:space="preserve">evidence </w:t>
      </w:r>
      <w:r w:rsidR="008614FA" w:rsidRPr="00EA09C4">
        <w:rPr>
          <w:lang w:val="en-GB"/>
        </w:rPr>
        <w:t>of</w:t>
      </w:r>
      <w:r w:rsidR="00786D44">
        <w:t xml:space="preserve"> </w:t>
      </w:r>
      <w:r w:rsidR="00D56131">
        <w:rPr>
          <w:lang w:val="en-US"/>
        </w:rPr>
        <w:t xml:space="preserve">the </w:t>
      </w:r>
      <w:r w:rsidR="00786D44">
        <w:t>increasingly heavy burden of</w:t>
      </w:r>
      <w:r w:rsidR="00786D44" w:rsidRPr="007F3DA2">
        <w:t xml:space="preserve"> mental ill-health,</w:t>
      </w:r>
      <w:r w:rsidR="00786D44">
        <w:t xml:space="preserve"> </w:t>
      </w:r>
      <w:r w:rsidR="00786D44" w:rsidRPr="007F3DA2">
        <w:t>many impo</w:t>
      </w:r>
      <w:r w:rsidR="00786D44">
        <w:t xml:space="preserve">rtant stakeholders continue to </w:t>
      </w:r>
      <w:r w:rsidR="00D630F1">
        <w:t>marginalize th</w:t>
      </w:r>
      <w:r w:rsidR="008614FA" w:rsidRPr="00EA09C4">
        <w:rPr>
          <w:lang w:val="en-GB"/>
        </w:rPr>
        <w:t>is</w:t>
      </w:r>
      <w:r w:rsidR="00D630F1">
        <w:t xml:space="preserve"> </w:t>
      </w:r>
      <w:r w:rsidR="00D630F1">
        <w:rPr>
          <w:lang w:val="en-US"/>
        </w:rPr>
        <w:t>field</w:t>
      </w:r>
      <w:r w:rsidR="00813F20">
        <w:rPr>
          <w:lang w:val="en-US"/>
        </w:rPr>
        <w:t xml:space="preserve"> </w:t>
      </w:r>
      <w:r w:rsidR="00786D44" w:rsidRPr="007F3DA2">
        <w:t>of health.</w:t>
      </w:r>
    </w:p>
    <w:p w:rsidR="002A6BD7" w:rsidRPr="00A04ABE" w:rsidRDefault="00D630F1" w:rsidP="00CB75BE">
      <w:pPr>
        <w:pStyle w:val="SingleTxtG"/>
        <w:numPr>
          <w:ilvl w:val="0"/>
          <w:numId w:val="45"/>
        </w:numPr>
        <w:ind w:left="1134" w:firstLine="0"/>
        <w:rPr>
          <w:lang w:val="en-GB"/>
        </w:rPr>
      </w:pPr>
      <w:r>
        <w:rPr>
          <w:lang w:val="en-US"/>
        </w:rPr>
        <w:t>M</w:t>
      </w:r>
      <w:r w:rsidR="002A6BD7" w:rsidRPr="007F3DA2">
        <w:t>ental health de</w:t>
      </w:r>
      <w:r w:rsidR="00EC4BBB">
        <w:t xml:space="preserve">serves much more attention and </w:t>
      </w:r>
      <w:r w:rsidR="002A6BD7" w:rsidRPr="007F3DA2">
        <w:t xml:space="preserve">must be </w:t>
      </w:r>
      <w:r w:rsidR="00C1700D" w:rsidRPr="00B76FD9">
        <w:rPr>
          <w:lang w:val="en-GB"/>
        </w:rPr>
        <w:t>ef</w:t>
      </w:r>
      <w:r w:rsidR="00C1700D">
        <w:rPr>
          <w:lang w:val="en-GB"/>
        </w:rPr>
        <w:t xml:space="preserve">fectively </w:t>
      </w:r>
      <w:r w:rsidR="00C1700D" w:rsidRPr="00B76FD9">
        <w:rPr>
          <w:lang w:val="en-GB"/>
        </w:rPr>
        <w:t>mainstreamed</w:t>
      </w:r>
      <w:r w:rsidR="00C1700D" w:rsidRPr="007F3DA2">
        <w:t xml:space="preserve"> </w:t>
      </w:r>
      <w:r w:rsidR="002A6BD7" w:rsidRPr="007F3DA2">
        <w:t>wit</w:t>
      </w:r>
      <w:r w:rsidR="00EC4BBB">
        <w:t xml:space="preserve">hin the </w:t>
      </w:r>
      <w:r w:rsidR="00E1661C">
        <w:t>Sustainable Development Goals</w:t>
      </w:r>
      <w:r w:rsidR="00E1661C">
        <w:rPr>
          <w:lang w:val="en-US"/>
        </w:rPr>
        <w:t xml:space="preserve"> </w:t>
      </w:r>
      <w:r w:rsidR="00C1700D" w:rsidRPr="007F3DA2">
        <w:t xml:space="preserve">through </w:t>
      </w:r>
      <w:r w:rsidR="00C1700D" w:rsidRPr="00B76FD9">
        <w:rPr>
          <w:lang w:val="en-GB"/>
        </w:rPr>
        <w:t>t</w:t>
      </w:r>
      <w:r w:rsidR="00C1700D">
        <w:rPr>
          <w:lang w:val="en-GB"/>
        </w:rPr>
        <w:t>he</w:t>
      </w:r>
      <w:r w:rsidR="00C1700D">
        <w:t xml:space="preserve"> goals and benchmarks</w:t>
      </w:r>
      <w:r w:rsidR="00C1700D" w:rsidRPr="007F3DA2">
        <w:t xml:space="preserve"> related to health and sustainable development</w:t>
      </w:r>
      <w:r w:rsidR="00C1700D" w:rsidRPr="00B76FD9">
        <w:rPr>
          <w:lang w:val="en-GB"/>
        </w:rPr>
        <w:t>.</w:t>
      </w:r>
      <w:r w:rsidR="00C1700D">
        <w:rPr>
          <w:lang w:val="en-GB"/>
        </w:rPr>
        <w:t xml:space="preserve"> </w:t>
      </w:r>
      <w:r w:rsidR="00C1700D" w:rsidRPr="00B76FD9">
        <w:rPr>
          <w:lang w:val="en-GB"/>
        </w:rPr>
        <w:t>Th</w:t>
      </w:r>
      <w:r w:rsidR="00C1700D">
        <w:rPr>
          <w:lang w:val="en-GB"/>
        </w:rPr>
        <w:t xml:space="preserve">e </w:t>
      </w:r>
      <w:r w:rsidR="00C1700D" w:rsidRPr="00B76FD9">
        <w:rPr>
          <w:lang w:val="en-GB"/>
        </w:rPr>
        <w:t>h</w:t>
      </w:r>
      <w:r w:rsidR="002A6BD7" w:rsidRPr="007F3DA2">
        <w:t>igh number of</w:t>
      </w:r>
      <w:r w:rsidR="00D26693">
        <w:t xml:space="preserve"> suicides and suicid</w:t>
      </w:r>
      <w:r w:rsidR="00D56131">
        <w:rPr>
          <w:lang w:val="en-US"/>
        </w:rPr>
        <w:t>e</w:t>
      </w:r>
      <w:r w:rsidR="00D26693">
        <w:t xml:space="preserve"> attempts are an indicator that the</w:t>
      </w:r>
      <w:r w:rsidR="002A6BD7" w:rsidRPr="007F3DA2">
        <w:t xml:space="preserve"> mental health of individuals and po</w:t>
      </w:r>
      <w:r w:rsidR="00D26693">
        <w:t xml:space="preserve">pulation needs to be addressed </w:t>
      </w:r>
      <w:r w:rsidR="002A6BD7" w:rsidRPr="007F3DA2">
        <w:t>very seriously.</w:t>
      </w:r>
      <w:r w:rsidR="00283DCA">
        <w:rPr>
          <w:rStyle w:val="FootnoteReference"/>
        </w:rPr>
        <w:footnoteReference w:id="8"/>
      </w:r>
      <w:r w:rsidR="00D26693">
        <w:t xml:space="preserve"> </w:t>
      </w:r>
      <w:r w:rsidR="008614FA">
        <w:rPr>
          <w:lang w:val="en-GB"/>
        </w:rPr>
        <w:t>Concerted</w:t>
      </w:r>
      <w:r w:rsidR="008614FA" w:rsidRPr="00B76FD9">
        <w:rPr>
          <w:lang w:val="en-GB"/>
        </w:rPr>
        <w:t xml:space="preserve"> </w:t>
      </w:r>
      <w:r w:rsidR="00C1700D" w:rsidRPr="00B76FD9">
        <w:rPr>
          <w:lang w:val="en-GB"/>
        </w:rPr>
        <w:t xml:space="preserve">and </w:t>
      </w:r>
      <w:r w:rsidR="00D1053C">
        <w:rPr>
          <w:lang w:val="en-GB"/>
        </w:rPr>
        <w:t>e</w:t>
      </w:r>
      <w:r w:rsidR="00C1700D" w:rsidRPr="00B76FD9">
        <w:rPr>
          <w:lang w:val="en-GB"/>
        </w:rPr>
        <w:t xml:space="preserve">ffective </w:t>
      </w:r>
      <w:r w:rsidR="002A6BD7" w:rsidRPr="007F3DA2">
        <w:t xml:space="preserve">measures need to be </w:t>
      </w:r>
      <w:r w:rsidR="00D56131">
        <w:rPr>
          <w:lang w:val="en-US"/>
        </w:rPr>
        <w:t>applied</w:t>
      </w:r>
      <w:r w:rsidR="00D56131">
        <w:t xml:space="preserve"> </w:t>
      </w:r>
      <w:r w:rsidR="00D26693">
        <w:t xml:space="preserve">to </w:t>
      </w:r>
      <w:r w:rsidR="00D56131">
        <w:rPr>
          <w:lang w:val="en-US"/>
        </w:rPr>
        <w:t xml:space="preserve">substantively </w:t>
      </w:r>
      <w:r w:rsidR="00C1700D" w:rsidRPr="00B76FD9">
        <w:rPr>
          <w:lang w:val="en-GB"/>
        </w:rPr>
        <w:t>address this</w:t>
      </w:r>
      <w:r w:rsidR="00813F20">
        <w:rPr>
          <w:lang w:val="en-GB"/>
        </w:rPr>
        <w:t xml:space="preserve"> </w:t>
      </w:r>
      <w:r w:rsidR="00D1053C">
        <w:rPr>
          <w:lang w:val="en-GB"/>
        </w:rPr>
        <w:t xml:space="preserve">challenge </w:t>
      </w:r>
      <w:r w:rsidR="00C1700D" w:rsidRPr="00B76FD9">
        <w:rPr>
          <w:lang w:val="en-GB"/>
        </w:rPr>
        <w:t xml:space="preserve">and </w:t>
      </w:r>
      <w:r w:rsidR="00D26693">
        <w:t>reduce</w:t>
      </w:r>
      <w:r w:rsidR="002A6BD7" w:rsidRPr="007F3DA2">
        <w:t xml:space="preserve"> </w:t>
      </w:r>
      <w:r w:rsidR="00D56131">
        <w:rPr>
          <w:lang w:val="en-US"/>
        </w:rPr>
        <w:t xml:space="preserve">the </w:t>
      </w:r>
      <w:r w:rsidR="002A6BD7" w:rsidRPr="007F3DA2">
        <w:t>numbers of su</w:t>
      </w:r>
      <w:r w:rsidR="00D26693">
        <w:t>i</w:t>
      </w:r>
      <w:r w:rsidR="002A6BD7" w:rsidRPr="007F3DA2">
        <w:t xml:space="preserve">cides, which have in many countries </w:t>
      </w:r>
      <w:r w:rsidR="00D56131" w:rsidRPr="007F3DA2">
        <w:t xml:space="preserve">reached </w:t>
      </w:r>
      <w:r w:rsidR="002A6BD7" w:rsidRPr="007F3DA2">
        <w:t>epidemic rates.</w:t>
      </w:r>
      <w:r w:rsidR="00813F20">
        <w:t xml:space="preserve"> </w:t>
      </w:r>
      <w:r w:rsidR="00D26693">
        <w:t>The Special Rapporteur</w:t>
      </w:r>
      <w:r w:rsidR="002A6BD7" w:rsidRPr="007F3DA2">
        <w:t xml:space="preserve"> will </w:t>
      </w:r>
      <w:r w:rsidR="00D56131">
        <w:rPr>
          <w:lang w:val="en-US"/>
        </w:rPr>
        <w:t>further analyse</w:t>
      </w:r>
      <w:r w:rsidR="002A6BD7" w:rsidRPr="007F3DA2">
        <w:t xml:space="preserve"> </w:t>
      </w:r>
      <w:r w:rsidR="00D26693">
        <w:t xml:space="preserve">the </w:t>
      </w:r>
      <w:r w:rsidR="002A6BD7" w:rsidRPr="007F3DA2">
        <w:t xml:space="preserve">relevance of </w:t>
      </w:r>
      <w:r w:rsidR="00D26693">
        <w:t>human rights</w:t>
      </w:r>
      <w:r w:rsidR="002A6BD7" w:rsidRPr="007F3DA2">
        <w:t xml:space="preserve"> in addressing s</w:t>
      </w:r>
      <w:r w:rsidR="00D26693">
        <w:t xml:space="preserve">uicide and </w:t>
      </w:r>
      <w:r w:rsidR="002A6BD7" w:rsidRPr="007F3DA2">
        <w:t>other me</w:t>
      </w:r>
      <w:r w:rsidR="00D26693">
        <w:t xml:space="preserve">ntal health </w:t>
      </w:r>
      <w:r w:rsidR="00B02C1F">
        <w:rPr>
          <w:lang w:val="en-US"/>
        </w:rPr>
        <w:t>issues as a public health challenge</w:t>
      </w:r>
      <w:r w:rsidR="00C1700D" w:rsidRPr="00B76FD9">
        <w:rPr>
          <w:lang w:val="en-GB"/>
        </w:rPr>
        <w:t>.</w:t>
      </w:r>
    </w:p>
    <w:p w:rsidR="007C6995" w:rsidRPr="00A04ABE" w:rsidRDefault="002A6BD7" w:rsidP="00CB75BE">
      <w:pPr>
        <w:pStyle w:val="SingleTxtG"/>
        <w:numPr>
          <w:ilvl w:val="0"/>
          <w:numId w:val="45"/>
        </w:numPr>
        <w:ind w:left="1134" w:firstLine="0"/>
        <w:rPr>
          <w:lang w:val="en-GB"/>
        </w:rPr>
      </w:pPr>
      <w:r w:rsidRPr="007F3DA2">
        <w:t>In some regions</w:t>
      </w:r>
      <w:r w:rsidR="0076604E">
        <w:t>,</w:t>
      </w:r>
      <w:r w:rsidRPr="007F3DA2">
        <w:t xml:space="preserve"> resources allocated to mental health care are use</w:t>
      </w:r>
      <w:r w:rsidR="0076604E">
        <w:t>d</w:t>
      </w:r>
      <w:r w:rsidR="00813F20">
        <w:t xml:space="preserve"> </w:t>
      </w:r>
      <w:r w:rsidR="0076604E">
        <w:t>ineffectively</w:t>
      </w:r>
      <w:r w:rsidR="00C1700D" w:rsidRPr="00B76FD9">
        <w:rPr>
          <w:lang w:val="en-GB"/>
        </w:rPr>
        <w:t xml:space="preserve"> and</w:t>
      </w:r>
      <w:r w:rsidR="0076604E">
        <w:t xml:space="preserve"> </w:t>
      </w:r>
      <w:r w:rsidR="00D1053C">
        <w:rPr>
          <w:lang w:val="en-US"/>
        </w:rPr>
        <w:t xml:space="preserve">predominantly </w:t>
      </w:r>
      <w:r w:rsidR="0076604E">
        <w:t>for maintaining</w:t>
      </w:r>
      <w:r w:rsidRPr="007F3DA2">
        <w:t xml:space="preserve"> large segregated psychiatric long-term care institutions and</w:t>
      </w:r>
      <w:r w:rsidR="0076604E">
        <w:t xml:space="preserve"> separate psychiatric hospitals. </w:t>
      </w:r>
      <w:r w:rsidR="00C00DB6">
        <w:rPr>
          <w:lang w:val="en-US"/>
        </w:rPr>
        <w:t>In such institutions, p</w:t>
      </w:r>
      <w:r w:rsidR="00D1053C">
        <w:rPr>
          <w:lang w:val="en-US"/>
        </w:rPr>
        <w:t xml:space="preserve">sychotropic medications are too often </w:t>
      </w:r>
      <w:r w:rsidR="00C00DB6">
        <w:rPr>
          <w:lang w:val="en-US"/>
        </w:rPr>
        <w:t>overprescribed</w:t>
      </w:r>
      <w:r w:rsidR="00D1053C">
        <w:rPr>
          <w:lang w:val="en-US"/>
        </w:rPr>
        <w:t xml:space="preserve">, including as a measure of chemical restraint or even as a punishment. </w:t>
      </w:r>
      <w:r w:rsidR="007C6995" w:rsidRPr="00B76FD9">
        <w:rPr>
          <w:lang w:val="en-GB"/>
        </w:rPr>
        <w:t>Th</w:t>
      </w:r>
      <w:r w:rsidR="00D56131">
        <w:rPr>
          <w:lang w:val="en-GB"/>
        </w:rPr>
        <w:t>at</w:t>
      </w:r>
      <w:r w:rsidR="007C6995" w:rsidRPr="00B76FD9">
        <w:rPr>
          <w:lang w:val="en-GB"/>
        </w:rPr>
        <w:t xml:space="preserve"> is an example of an </w:t>
      </w:r>
      <w:r w:rsidR="00467BBC">
        <w:rPr>
          <w:lang w:val="en-GB"/>
        </w:rPr>
        <w:t>i</w:t>
      </w:r>
      <w:r w:rsidR="008221E3">
        <w:rPr>
          <w:lang w:val="en-GB"/>
        </w:rPr>
        <w:t>m</w:t>
      </w:r>
      <w:r w:rsidR="007C6995">
        <w:t>b</w:t>
      </w:r>
      <w:r w:rsidR="007C6995" w:rsidRPr="007F3DA2">
        <w:t>alance</w:t>
      </w:r>
      <w:r w:rsidR="00D56131">
        <w:rPr>
          <w:lang w:val="en-US"/>
        </w:rPr>
        <w:t>:</w:t>
      </w:r>
      <w:r w:rsidR="007C6995" w:rsidRPr="007F3DA2">
        <w:t xml:space="preserve"> </w:t>
      </w:r>
      <w:r w:rsidR="00FA16E0">
        <w:rPr>
          <w:lang w:val="en-US"/>
        </w:rPr>
        <w:t>when resources are used for</w:t>
      </w:r>
      <w:r w:rsidR="007C6995" w:rsidRPr="007F3DA2">
        <w:t xml:space="preserve"> biomedical</w:t>
      </w:r>
      <w:r w:rsidR="00FA16E0">
        <w:rPr>
          <w:lang w:val="en-US"/>
        </w:rPr>
        <w:t xml:space="preserve"> interve</w:t>
      </w:r>
      <w:r w:rsidR="00691242">
        <w:rPr>
          <w:lang w:val="en-US"/>
        </w:rPr>
        <w:t>ntions and institutionalization</w:t>
      </w:r>
      <w:r w:rsidR="00FA16E0">
        <w:rPr>
          <w:lang w:val="en-US"/>
        </w:rPr>
        <w:t xml:space="preserve"> and not for </w:t>
      </w:r>
      <w:r w:rsidR="00C00DB6">
        <w:rPr>
          <w:lang w:val="en-US"/>
        </w:rPr>
        <w:t xml:space="preserve">the </w:t>
      </w:r>
      <w:r w:rsidR="00FA16E0">
        <w:rPr>
          <w:lang w:val="en-US"/>
        </w:rPr>
        <w:t xml:space="preserve">development of psychosocial interventions </w:t>
      </w:r>
      <w:r w:rsidR="00C00DB6">
        <w:rPr>
          <w:lang w:val="en-US"/>
        </w:rPr>
        <w:t>through</w:t>
      </w:r>
      <w:r w:rsidR="00FA16E0">
        <w:rPr>
          <w:lang w:val="en-US"/>
        </w:rPr>
        <w:t xml:space="preserve"> community</w:t>
      </w:r>
      <w:r w:rsidR="00D56131">
        <w:rPr>
          <w:lang w:val="en-US"/>
        </w:rPr>
        <w:t>-</w:t>
      </w:r>
      <w:r w:rsidR="00FA16E0">
        <w:rPr>
          <w:lang w:val="en-US"/>
        </w:rPr>
        <w:t>based services</w:t>
      </w:r>
      <w:r w:rsidR="00691242">
        <w:rPr>
          <w:lang w:val="en-US"/>
        </w:rPr>
        <w:t xml:space="preserve"> </w:t>
      </w:r>
      <w:r w:rsidR="00D56131">
        <w:rPr>
          <w:lang w:val="en-US"/>
        </w:rPr>
        <w:t>meeting more closely</w:t>
      </w:r>
      <w:r w:rsidR="00C00DB6">
        <w:rPr>
          <w:lang w:val="en-US"/>
        </w:rPr>
        <w:t xml:space="preserve"> the</w:t>
      </w:r>
      <w:r w:rsidR="00691242">
        <w:rPr>
          <w:lang w:val="en-US"/>
        </w:rPr>
        <w:t xml:space="preserve"> individual needs of people</w:t>
      </w:r>
      <w:r w:rsidR="00FA16E0">
        <w:rPr>
          <w:lang w:val="en-US"/>
        </w:rPr>
        <w:t xml:space="preserve">. Such imbalances </w:t>
      </w:r>
      <w:r w:rsidR="0014613B">
        <w:rPr>
          <w:lang w:val="en-US"/>
        </w:rPr>
        <w:t xml:space="preserve">feed ineffective systems, reinforce stigma and social exclusion and </w:t>
      </w:r>
      <w:r w:rsidR="00D1053C">
        <w:rPr>
          <w:lang w:val="en-US"/>
        </w:rPr>
        <w:t xml:space="preserve">lead to </w:t>
      </w:r>
      <w:r w:rsidR="00FA16E0">
        <w:rPr>
          <w:lang w:val="en-US"/>
        </w:rPr>
        <w:t xml:space="preserve">systemic </w:t>
      </w:r>
      <w:r w:rsidR="0014613B">
        <w:rPr>
          <w:lang w:val="en-US"/>
        </w:rPr>
        <w:t xml:space="preserve">violations of human rights, </w:t>
      </w:r>
      <w:r w:rsidR="00C00DB6">
        <w:rPr>
          <w:lang w:val="en-US"/>
        </w:rPr>
        <w:t>sometimes</w:t>
      </w:r>
      <w:r w:rsidR="00D1053C">
        <w:rPr>
          <w:lang w:val="en-US"/>
        </w:rPr>
        <w:t xml:space="preserve"> amount</w:t>
      </w:r>
      <w:r w:rsidR="0014613B">
        <w:rPr>
          <w:lang w:val="en-US"/>
        </w:rPr>
        <w:t xml:space="preserve">ing </w:t>
      </w:r>
      <w:r w:rsidR="00D1053C">
        <w:rPr>
          <w:lang w:val="en-US"/>
        </w:rPr>
        <w:t>to torture</w:t>
      </w:r>
      <w:r w:rsidR="00C00DB6">
        <w:rPr>
          <w:lang w:val="en-US"/>
        </w:rPr>
        <w:t xml:space="preserve"> or ill-treatment</w:t>
      </w:r>
      <w:r w:rsidR="00D1053C">
        <w:rPr>
          <w:lang w:val="en-US"/>
        </w:rPr>
        <w:t>.</w:t>
      </w:r>
    </w:p>
    <w:p w:rsidR="007C6995" w:rsidRPr="0073018A" w:rsidRDefault="00D26693" w:rsidP="00840D9F">
      <w:pPr>
        <w:pStyle w:val="SingleTxtG"/>
        <w:numPr>
          <w:ilvl w:val="0"/>
          <w:numId w:val="45"/>
        </w:numPr>
        <w:ind w:left="1134" w:firstLine="0"/>
        <w:rPr>
          <w:lang w:val="en-GB"/>
        </w:rPr>
      </w:pPr>
      <w:r w:rsidRPr="00A35F6C">
        <w:t>This</w:t>
      </w:r>
      <w:r w:rsidR="007C6995" w:rsidRPr="00A35F6C">
        <w:rPr>
          <w:lang w:val="en-GB"/>
        </w:rPr>
        <w:t>, once again,</w:t>
      </w:r>
      <w:r w:rsidRPr="00A35F6C">
        <w:t xml:space="preserve"> reflect</w:t>
      </w:r>
      <w:r w:rsidR="002C1C96" w:rsidRPr="00A35F6C">
        <w:t>s</w:t>
      </w:r>
      <w:r w:rsidRPr="00A35F6C">
        <w:t xml:space="preserve"> </w:t>
      </w:r>
      <w:r w:rsidR="002A6BD7" w:rsidRPr="00A35F6C">
        <w:t xml:space="preserve">power asymmetries between interest groups behind </w:t>
      </w:r>
      <w:r w:rsidR="0014613B">
        <w:rPr>
          <w:lang w:val="en-US"/>
        </w:rPr>
        <w:t xml:space="preserve">different </w:t>
      </w:r>
      <w:r w:rsidR="002A6BD7" w:rsidRPr="007F3DA2">
        <w:t xml:space="preserve">forms of </w:t>
      </w:r>
      <w:r w:rsidR="0014613B">
        <w:rPr>
          <w:lang w:val="en-US"/>
        </w:rPr>
        <w:t xml:space="preserve">services and </w:t>
      </w:r>
      <w:r w:rsidR="002A6BD7" w:rsidRPr="007F3DA2">
        <w:t xml:space="preserve">interventions, and </w:t>
      </w:r>
      <w:r w:rsidR="002C1C96">
        <w:t xml:space="preserve">a lack of transparency, </w:t>
      </w:r>
      <w:r w:rsidR="002A6BD7" w:rsidRPr="007F3DA2">
        <w:t>monitori</w:t>
      </w:r>
      <w:r w:rsidR="002C1C96">
        <w:t>ng and accountability</w:t>
      </w:r>
      <w:r w:rsidR="002A6BD7" w:rsidRPr="007F3DA2">
        <w:t xml:space="preserve"> in mental health</w:t>
      </w:r>
      <w:r w:rsidR="00D56131">
        <w:rPr>
          <w:lang w:val="en-US"/>
        </w:rPr>
        <w:t>-</w:t>
      </w:r>
      <w:r w:rsidR="002A6BD7" w:rsidRPr="007F3DA2">
        <w:t>care systems.</w:t>
      </w:r>
      <w:r w:rsidR="00813F20">
        <w:rPr>
          <w:lang w:val="en-GB"/>
        </w:rPr>
        <w:t xml:space="preserve"> </w:t>
      </w:r>
      <w:r w:rsidR="0014613B">
        <w:rPr>
          <w:lang w:val="en-US"/>
        </w:rPr>
        <w:t xml:space="preserve">WHO </w:t>
      </w:r>
      <w:r w:rsidR="002A6BD7" w:rsidRPr="007F3DA2">
        <w:t xml:space="preserve">recommendations </w:t>
      </w:r>
      <w:r w:rsidR="00C00DB6" w:rsidRPr="007F3DA2">
        <w:t xml:space="preserve">are very clear </w:t>
      </w:r>
      <w:r w:rsidR="002A6BD7" w:rsidRPr="007F3DA2">
        <w:t xml:space="preserve">about </w:t>
      </w:r>
      <w:r w:rsidR="002C1C96">
        <w:t>the five obligatory components</w:t>
      </w:r>
      <w:r w:rsidR="005A2625">
        <w:t xml:space="preserve"> of </w:t>
      </w:r>
      <w:r w:rsidR="002A6BD7" w:rsidRPr="007F3DA2">
        <w:t>community</w:t>
      </w:r>
      <w:r w:rsidR="00D56131">
        <w:rPr>
          <w:lang w:val="en-US"/>
        </w:rPr>
        <w:t>-</w:t>
      </w:r>
      <w:r w:rsidR="002A6BD7" w:rsidRPr="007F3DA2">
        <w:t>based care for persons with severe psychosocial disabilities</w:t>
      </w:r>
      <w:r w:rsidR="00C00DB6" w:rsidRPr="00A35F6C">
        <w:rPr>
          <w:lang w:val="en-GB"/>
        </w:rPr>
        <w:t>, whi</w:t>
      </w:r>
      <w:r w:rsidR="00C00DB6" w:rsidRPr="00EA09C4">
        <w:rPr>
          <w:lang w:val="en-GB"/>
        </w:rPr>
        <w:t>c</w:t>
      </w:r>
      <w:r w:rsidR="00C00DB6">
        <w:rPr>
          <w:lang w:val="en-GB"/>
        </w:rPr>
        <w:t>h</w:t>
      </w:r>
      <w:r w:rsidR="00C00DB6" w:rsidRPr="00A35F6C">
        <w:rPr>
          <w:lang w:val="en-GB"/>
        </w:rPr>
        <w:t xml:space="preserve"> </w:t>
      </w:r>
      <w:r w:rsidR="009F6AF6">
        <w:rPr>
          <w:lang w:val="en-GB"/>
        </w:rPr>
        <w:t>comprise</w:t>
      </w:r>
      <w:r w:rsidR="009F6AF6" w:rsidRPr="00EA09C4">
        <w:rPr>
          <w:lang w:val="en-GB"/>
        </w:rPr>
        <w:t xml:space="preserve"> </w:t>
      </w:r>
      <w:r w:rsidR="005243B7">
        <w:rPr>
          <w:lang w:val="en-US"/>
        </w:rPr>
        <w:t xml:space="preserve">access to psychotropic medications, psychotherapy, psychosocial rehabilitation, vocational rehabilitation and employment </w:t>
      </w:r>
      <w:r w:rsidR="00C00DB6">
        <w:rPr>
          <w:lang w:val="en-US"/>
        </w:rPr>
        <w:t xml:space="preserve">and </w:t>
      </w:r>
      <w:r w:rsidR="005243B7">
        <w:rPr>
          <w:lang w:val="en-US"/>
        </w:rPr>
        <w:t>supported housing. However</w:t>
      </w:r>
      <w:r w:rsidR="00C00DB6">
        <w:rPr>
          <w:lang w:val="en-US"/>
        </w:rPr>
        <w:t>,</w:t>
      </w:r>
      <w:r w:rsidR="002A6BD7" w:rsidRPr="007F3DA2">
        <w:t xml:space="preserve"> in many countries</w:t>
      </w:r>
      <w:r w:rsidR="00C00DB6" w:rsidRPr="00EA09C4">
        <w:rPr>
          <w:lang w:val="en-GB"/>
        </w:rPr>
        <w:t>,</w:t>
      </w:r>
      <w:r w:rsidR="002A6BD7" w:rsidRPr="007F3DA2">
        <w:t xml:space="preserve"> </w:t>
      </w:r>
      <w:r w:rsidR="00D56131">
        <w:rPr>
          <w:lang w:val="en-US"/>
        </w:rPr>
        <w:t>a number</w:t>
      </w:r>
      <w:r w:rsidR="00D56131" w:rsidRPr="00A328A5">
        <w:rPr>
          <w:lang w:val="en-US"/>
        </w:rPr>
        <w:t xml:space="preserve"> </w:t>
      </w:r>
      <w:r w:rsidR="002A6BD7" w:rsidRPr="007F3DA2">
        <w:t>of th</w:t>
      </w:r>
      <w:r w:rsidR="00D56131">
        <w:rPr>
          <w:lang w:val="en-US"/>
        </w:rPr>
        <w:t>o</w:t>
      </w:r>
      <w:r w:rsidR="002A6BD7" w:rsidRPr="007F3DA2">
        <w:t xml:space="preserve">se components are not </w:t>
      </w:r>
      <w:r w:rsidR="00691242">
        <w:rPr>
          <w:lang w:val="en-US"/>
        </w:rPr>
        <w:t xml:space="preserve">being </w:t>
      </w:r>
      <w:r w:rsidR="0014613B">
        <w:rPr>
          <w:lang w:val="en-US"/>
        </w:rPr>
        <w:t>implemented</w:t>
      </w:r>
      <w:r w:rsidR="002A6BD7" w:rsidRPr="007F3DA2">
        <w:t>.</w:t>
      </w:r>
      <w:r w:rsidR="0012550B">
        <w:rPr>
          <w:rStyle w:val="FootnoteReference"/>
        </w:rPr>
        <w:footnoteReference w:id="9"/>
      </w:r>
      <w:r w:rsidR="007C6995" w:rsidRPr="00B76FD9">
        <w:rPr>
          <w:lang w:val="en-GB"/>
        </w:rPr>
        <w:t xml:space="preserve"> </w:t>
      </w:r>
    </w:p>
    <w:p w:rsidR="000C69B2" w:rsidRPr="0073018A" w:rsidRDefault="00B25CF4" w:rsidP="00B25CF4">
      <w:pPr>
        <w:pStyle w:val="H1G"/>
      </w:pPr>
      <w:r>
        <w:tab/>
        <w:t>D.</w:t>
      </w:r>
      <w:r>
        <w:tab/>
      </w:r>
      <w:r w:rsidR="002D20AE">
        <w:t>The l</w:t>
      </w:r>
      <w:r w:rsidR="00212C76" w:rsidRPr="00B76FD9">
        <w:t>ife-c</w:t>
      </w:r>
      <w:r w:rsidR="004E63D0">
        <w:t xml:space="preserve">ycle </w:t>
      </w:r>
      <w:r w:rsidR="00212C76" w:rsidRPr="00B76FD9">
        <w:t>approach to the right to health</w:t>
      </w:r>
    </w:p>
    <w:p w:rsidR="002A6BD7" w:rsidRPr="00B76FD9" w:rsidRDefault="002A6BD7" w:rsidP="00840D9F">
      <w:pPr>
        <w:pStyle w:val="SingleTxtG"/>
        <w:numPr>
          <w:ilvl w:val="0"/>
          <w:numId w:val="45"/>
        </w:numPr>
        <w:ind w:left="1134" w:firstLine="0"/>
      </w:pPr>
      <w:r w:rsidRPr="007F3DA2">
        <w:t xml:space="preserve">There is </w:t>
      </w:r>
      <w:r w:rsidR="00212C76" w:rsidRPr="00B76FD9">
        <w:rPr>
          <w:lang w:val="en-GB"/>
        </w:rPr>
        <w:t xml:space="preserve">overwhelming </w:t>
      </w:r>
      <w:r w:rsidRPr="007F3DA2">
        <w:t>evidence</w:t>
      </w:r>
      <w:r w:rsidR="0076604E">
        <w:t xml:space="preserve"> </w:t>
      </w:r>
      <w:r w:rsidRPr="007F3DA2">
        <w:t xml:space="preserve">that many children </w:t>
      </w:r>
      <w:r w:rsidR="005A2625">
        <w:t>die</w:t>
      </w:r>
      <w:r w:rsidR="005A2625" w:rsidRPr="007F3DA2">
        <w:t xml:space="preserve"> too</w:t>
      </w:r>
      <w:r w:rsidRPr="007F3DA2">
        <w:t xml:space="preserve"> young</w:t>
      </w:r>
      <w:r w:rsidR="00212C76" w:rsidRPr="00B76FD9">
        <w:rPr>
          <w:lang w:val="en-GB"/>
        </w:rPr>
        <w:t xml:space="preserve"> from preventable causes</w:t>
      </w:r>
      <w:r w:rsidRPr="007F3DA2">
        <w:t xml:space="preserve"> </w:t>
      </w:r>
      <w:r w:rsidR="00212C76" w:rsidRPr="00B76FD9">
        <w:rPr>
          <w:lang w:val="en-GB"/>
        </w:rPr>
        <w:t>and/or suffer high levels of violence and insecurity.</w:t>
      </w:r>
      <w:r w:rsidR="00813F20">
        <w:rPr>
          <w:lang w:val="en-GB"/>
        </w:rPr>
        <w:t xml:space="preserve"> </w:t>
      </w:r>
      <w:r w:rsidR="00212C76">
        <w:rPr>
          <w:lang w:val="en-GB"/>
        </w:rPr>
        <w:t xml:space="preserve">Consequently, </w:t>
      </w:r>
      <w:r w:rsidR="00212C76" w:rsidRPr="00B76FD9">
        <w:rPr>
          <w:lang w:val="en-GB"/>
        </w:rPr>
        <w:t>the</w:t>
      </w:r>
      <w:r w:rsidRPr="007F3DA2">
        <w:t xml:space="preserve"> </w:t>
      </w:r>
      <w:r w:rsidR="005A2625">
        <w:t xml:space="preserve">health status, quality of life </w:t>
      </w:r>
      <w:r w:rsidRPr="007F3DA2">
        <w:t>and well-being of many individuals, grou</w:t>
      </w:r>
      <w:r w:rsidR="005A2625">
        <w:t xml:space="preserve">ps and entire societies </w:t>
      </w:r>
      <w:r w:rsidR="00467BBC" w:rsidRPr="00467BBC">
        <w:rPr>
          <w:lang w:val="en-GB"/>
        </w:rPr>
        <w:t>worldwide</w:t>
      </w:r>
      <w:r w:rsidR="00212C76" w:rsidRPr="00B76FD9">
        <w:rPr>
          <w:lang w:val="en-GB"/>
        </w:rPr>
        <w:t xml:space="preserve"> </w:t>
      </w:r>
      <w:r w:rsidR="005A2625">
        <w:t xml:space="preserve">remain </w:t>
      </w:r>
      <w:r w:rsidRPr="007F3DA2">
        <w:t>unacceptably low.</w:t>
      </w:r>
      <w:r w:rsidR="00813F20">
        <w:t xml:space="preserve"> </w:t>
      </w:r>
      <w:r w:rsidR="005A2625">
        <w:t>The Special Rapporteur believes that the l</w:t>
      </w:r>
      <w:r w:rsidRPr="007F3DA2">
        <w:t>ife</w:t>
      </w:r>
      <w:r w:rsidR="00D56131">
        <w:rPr>
          <w:lang w:val="en-US"/>
        </w:rPr>
        <w:t>-</w:t>
      </w:r>
      <w:r w:rsidRPr="007F3DA2">
        <w:t xml:space="preserve">cycle approach </w:t>
      </w:r>
      <w:r w:rsidR="00212C76" w:rsidRPr="00B76FD9">
        <w:rPr>
          <w:lang w:val="en-GB"/>
        </w:rPr>
        <w:t>can</w:t>
      </w:r>
      <w:r w:rsidR="00212C76">
        <w:t xml:space="preserve"> </w:t>
      </w:r>
      <w:r w:rsidR="0076604E">
        <w:t xml:space="preserve">be used as one method </w:t>
      </w:r>
      <w:r w:rsidR="005A2625">
        <w:t xml:space="preserve">to </w:t>
      </w:r>
      <w:r w:rsidR="0076604E">
        <w:t>id</w:t>
      </w:r>
      <w:r w:rsidR="0076604E" w:rsidRPr="007F3DA2">
        <w:t>entify</w:t>
      </w:r>
      <w:r w:rsidR="005A2625">
        <w:t xml:space="preserve"> the</w:t>
      </w:r>
      <w:r w:rsidRPr="007F3DA2">
        <w:t xml:space="preserve"> critical elements of </w:t>
      </w:r>
      <w:r w:rsidR="005A2625">
        <w:t xml:space="preserve">the </w:t>
      </w:r>
      <w:r w:rsidRPr="007F3DA2">
        <w:t xml:space="preserve">challenges and opportunities </w:t>
      </w:r>
      <w:r w:rsidR="005A2625">
        <w:t>for the</w:t>
      </w:r>
      <w:r w:rsidRPr="007F3DA2">
        <w:t xml:space="preserve"> reduction of preventable deaths and </w:t>
      </w:r>
      <w:r w:rsidR="005A2625">
        <w:t>the improvement of</w:t>
      </w:r>
      <w:r w:rsidRPr="007F3DA2">
        <w:t xml:space="preserve"> health indicators, well-being and quality of life.</w:t>
      </w:r>
    </w:p>
    <w:p w:rsidR="002A4FF3" w:rsidRPr="00EA09C4" w:rsidRDefault="00C00DB6" w:rsidP="00CB75BE">
      <w:pPr>
        <w:pStyle w:val="SingleTxtG"/>
        <w:numPr>
          <w:ilvl w:val="0"/>
          <w:numId w:val="45"/>
        </w:numPr>
        <w:ind w:left="1134" w:firstLine="0"/>
      </w:pPr>
      <w:r>
        <w:rPr>
          <w:lang w:val="en-GB"/>
        </w:rPr>
        <w:t>The Special Rapporteur</w:t>
      </w:r>
      <w:r w:rsidR="002A4FF3">
        <w:rPr>
          <w:lang w:val="en-GB"/>
        </w:rPr>
        <w:t xml:space="preserve"> is planning to </w:t>
      </w:r>
      <w:r>
        <w:rPr>
          <w:lang w:val="en-GB"/>
        </w:rPr>
        <w:t>address</w:t>
      </w:r>
      <w:r w:rsidR="002A4FF3">
        <w:rPr>
          <w:lang w:val="en-GB"/>
        </w:rPr>
        <w:t xml:space="preserve"> right-to</w:t>
      </w:r>
      <w:r w:rsidR="00D56131">
        <w:rPr>
          <w:lang w:val="en-GB"/>
        </w:rPr>
        <w:t>-</w:t>
      </w:r>
      <w:r w:rsidR="002A4FF3">
        <w:rPr>
          <w:lang w:val="en-GB"/>
        </w:rPr>
        <w:t>health challenges us</w:t>
      </w:r>
      <w:r>
        <w:rPr>
          <w:lang w:val="en-GB"/>
        </w:rPr>
        <w:t>ing</w:t>
      </w:r>
      <w:r w:rsidR="002A4FF3">
        <w:rPr>
          <w:lang w:val="en-GB"/>
        </w:rPr>
        <w:t>, among other methods, a life</w:t>
      </w:r>
      <w:r w:rsidR="00D56131">
        <w:rPr>
          <w:lang w:val="en-GB"/>
        </w:rPr>
        <w:t>-</w:t>
      </w:r>
      <w:r w:rsidR="002A4FF3">
        <w:rPr>
          <w:lang w:val="en-GB"/>
        </w:rPr>
        <w:t xml:space="preserve">cycle approach. </w:t>
      </w:r>
      <w:r w:rsidR="00D56131">
        <w:rPr>
          <w:lang w:val="en-GB"/>
        </w:rPr>
        <w:t>Such an</w:t>
      </w:r>
      <w:r w:rsidR="00D56131" w:rsidRPr="00A35F6C">
        <w:rPr>
          <w:lang w:val="en-GB"/>
        </w:rPr>
        <w:t xml:space="preserve"> </w:t>
      </w:r>
      <w:r w:rsidR="002A4FF3" w:rsidRPr="00A35F6C">
        <w:rPr>
          <w:lang w:val="en-GB"/>
        </w:rPr>
        <w:t xml:space="preserve">approach </w:t>
      </w:r>
      <w:r w:rsidR="003B6444" w:rsidRPr="00EA09C4">
        <w:rPr>
          <w:lang w:val="en-GB"/>
        </w:rPr>
        <w:t>helps</w:t>
      </w:r>
      <w:r w:rsidR="002A4FF3" w:rsidRPr="00A35F6C">
        <w:rPr>
          <w:lang w:val="en-GB"/>
        </w:rPr>
        <w:t xml:space="preserve"> identify critical elements of challenges and opportunities for full realization of the right to health.</w:t>
      </w:r>
      <w:r w:rsidR="002A4FF3">
        <w:rPr>
          <w:lang w:val="en-GB"/>
        </w:rPr>
        <w:t xml:space="preserve"> It is during some important stages of </w:t>
      </w:r>
      <w:r w:rsidR="003B6444">
        <w:rPr>
          <w:lang w:val="en-GB"/>
        </w:rPr>
        <w:t xml:space="preserve">the </w:t>
      </w:r>
      <w:r w:rsidR="002A4FF3">
        <w:rPr>
          <w:lang w:val="en-GB"/>
        </w:rPr>
        <w:t xml:space="preserve">life course that </w:t>
      </w:r>
      <w:r>
        <w:rPr>
          <w:lang w:val="en-GB"/>
        </w:rPr>
        <w:t xml:space="preserve">the </w:t>
      </w:r>
      <w:r w:rsidR="002A4FF3">
        <w:rPr>
          <w:lang w:val="en-GB"/>
        </w:rPr>
        <w:t xml:space="preserve">right to health needs to be </w:t>
      </w:r>
      <w:r>
        <w:rPr>
          <w:lang w:val="en-GB"/>
        </w:rPr>
        <w:t>particularly</w:t>
      </w:r>
      <w:r w:rsidR="002A4FF3">
        <w:rPr>
          <w:lang w:val="en-GB"/>
        </w:rPr>
        <w:t xml:space="preserve"> </w:t>
      </w:r>
      <w:r w:rsidR="00ED1237">
        <w:rPr>
          <w:lang w:val="en-GB"/>
        </w:rPr>
        <w:t>p</w:t>
      </w:r>
      <w:r w:rsidR="002A4FF3">
        <w:rPr>
          <w:lang w:val="en-GB"/>
        </w:rPr>
        <w:t>rotected</w:t>
      </w:r>
      <w:r w:rsidR="00D56131">
        <w:rPr>
          <w:lang w:val="en-GB"/>
        </w:rPr>
        <w:t>,</w:t>
      </w:r>
      <w:r>
        <w:rPr>
          <w:lang w:val="en-GB"/>
        </w:rPr>
        <w:t xml:space="preserve"> since</w:t>
      </w:r>
      <w:r w:rsidR="002A4FF3">
        <w:rPr>
          <w:lang w:val="en-GB"/>
        </w:rPr>
        <w:t xml:space="preserve"> during those stages there is a greater risk of violations of human rights, including the right to health. </w:t>
      </w:r>
      <w:r w:rsidR="00ED1237">
        <w:rPr>
          <w:lang w:val="en-GB"/>
        </w:rPr>
        <w:t xml:space="preserve">On the other hand, </w:t>
      </w:r>
      <w:r w:rsidR="003B6444">
        <w:rPr>
          <w:lang w:val="en-GB"/>
        </w:rPr>
        <w:t xml:space="preserve">interventions during </w:t>
      </w:r>
      <w:r w:rsidR="00ED1237">
        <w:rPr>
          <w:lang w:val="en-GB"/>
        </w:rPr>
        <w:t>th</w:t>
      </w:r>
      <w:r w:rsidR="00D56131">
        <w:rPr>
          <w:lang w:val="en-GB"/>
        </w:rPr>
        <w:t>o</w:t>
      </w:r>
      <w:r w:rsidR="00ED1237">
        <w:rPr>
          <w:lang w:val="en-GB"/>
        </w:rPr>
        <w:t xml:space="preserve">se critical stages </w:t>
      </w:r>
      <w:r w:rsidR="003B6444">
        <w:rPr>
          <w:lang w:val="en-GB"/>
        </w:rPr>
        <w:t xml:space="preserve">of life </w:t>
      </w:r>
      <w:r w:rsidR="00ED1237">
        <w:rPr>
          <w:lang w:val="en-GB"/>
        </w:rPr>
        <w:t xml:space="preserve">open </w:t>
      </w:r>
      <w:r w:rsidR="00D56131">
        <w:rPr>
          <w:lang w:val="en-GB"/>
        </w:rPr>
        <w:t xml:space="preserve">up </w:t>
      </w:r>
      <w:r w:rsidR="00ED1237">
        <w:rPr>
          <w:lang w:val="en-GB"/>
        </w:rPr>
        <w:t xml:space="preserve">new opportunities and offer </w:t>
      </w:r>
      <w:r w:rsidR="00ED1237" w:rsidRPr="00516379">
        <w:rPr>
          <w:lang w:val="en-GB"/>
        </w:rPr>
        <w:t xml:space="preserve">new </w:t>
      </w:r>
      <w:r w:rsidR="000335EA" w:rsidRPr="00840D9F">
        <w:rPr>
          <w:lang w:val="en-GB"/>
        </w:rPr>
        <w:t xml:space="preserve">health </w:t>
      </w:r>
      <w:r w:rsidR="00ED1237" w:rsidRPr="00840D9F">
        <w:rPr>
          <w:lang w:val="en-GB"/>
        </w:rPr>
        <w:t>protective</w:t>
      </w:r>
      <w:r w:rsidR="00ED1237" w:rsidRPr="00516379">
        <w:rPr>
          <w:lang w:val="en-GB"/>
        </w:rPr>
        <w:t xml:space="preserve"> factors</w:t>
      </w:r>
      <w:r w:rsidR="00ED1237">
        <w:rPr>
          <w:lang w:val="en-GB"/>
        </w:rPr>
        <w:t>.</w:t>
      </w:r>
      <w:r w:rsidR="00813F20">
        <w:rPr>
          <w:lang w:val="en-GB"/>
        </w:rPr>
        <w:t xml:space="preserve"> </w:t>
      </w:r>
      <w:r>
        <w:rPr>
          <w:lang w:val="en-GB"/>
        </w:rPr>
        <w:t>The l</w:t>
      </w:r>
      <w:r w:rsidR="002A4FF3">
        <w:rPr>
          <w:lang w:val="en-GB"/>
        </w:rPr>
        <w:t>ife-cycle approach</w:t>
      </w:r>
      <w:r w:rsidR="00982869">
        <w:rPr>
          <w:lang w:val="en-GB"/>
        </w:rPr>
        <w:t xml:space="preserve"> can help </w:t>
      </w:r>
      <w:r w:rsidR="003B6444">
        <w:rPr>
          <w:lang w:val="en-GB"/>
        </w:rPr>
        <w:t>in</w:t>
      </w:r>
      <w:r w:rsidR="00982869">
        <w:rPr>
          <w:lang w:val="en-GB"/>
        </w:rPr>
        <w:t xml:space="preserve"> </w:t>
      </w:r>
      <w:r w:rsidR="003B6444">
        <w:rPr>
          <w:lang w:val="en-GB"/>
        </w:rPr>
        <w:t xml:space="preserve">the </w:t>
      </w:r>
      <w:r w:rsidR="00982869">
        <w:rPr>
          <w:lang w:val="en-GB"/>
        </w:rPr>
        <w:t>prevention of chronic diseases in adult life through</w:t>
      </w:r>
      <w:r w:rsidR="00D56131">
        <w:rPr>
          <w:lang w:val="en-GB"/>
        </w:rPr>
        <w:t xml:space="preserve"> the</w:t>
      </w:r>
      <w:r w:rsidR="00982869">
        <w:rPr>
          <w:lang w:val="en-GB"/>
        </w:rPr>
        <w:t xml:space="preserve"> effective protection of children from early childhood adversities.</w:t>
      </w:r>
    </w:p>
    <w:p w:rsidR="002A6BD7" w:rsidRPr="007F3DA2" w:rsidRDefault="005A2625" w:rsidP="00D05FE0">
      <w:pPr>
        <w:pStyle w:val="SingleTxtG"/>
        <w:numPr>
          <w:ilvl w:val="0"/>
          <w:numId w:val="45"/>
        </w:numPr>
        <w:ind w:left="1134" w:firstLine="0"/>
      </w:pPr>
      <w:r w:rsidRPr="006F6A31">
        <w:t xml:space="preserve">In line with </w:t>
      </w:r>
      <w:r w:rsidR="00D56131">
        <w:rPr>
          <w:lang w:val="en-US"/>
        </w:rPr>
        <w:t xml:space="preserve">the </w:t>
      </w:r>
      <w:r w:rsidRPr="006F6A31">
        <w:t>life</w:t>
      </w:r>
      <w:r w:rsidR="00D56131">
        <w:rPr>
          <w:lang w:val="en-US"/>
        </w:rPr>
        <w:t>-</w:t>
      </w:r>
      <w:r w:rsidRPr="006F6A31">
        <w:t>cycle approach, the Special Rapporteur will dedicate his next thematic report to the challenges</w:t>
      </w:r>
      <w:r w:rsidR="009F6AF6">
        <w:rPr>
          <w:lang w:val="en-US"/>
        </w:rPr>
        <w:t xml:space="preserve"> to</w:t>
      </w:r>
      <w:r w:rsidRPr="006F6A31">
        <w:t>, opportunities</w:t>
      </w:r>
      <w:r w:rsidR="009F6AF6">
        <w:rPr>
          <w:lang w:val="en-US"/>
        </w:rPr>
        <w:t xml:space="preserve"> for</w:t>
      </w:r>
      <w:r w:rsidRPr="006F6A31">
        <w:t xml:space="preserve"> and best practices in promoting </w:t>
      </w:r>
      <w:r w:rsidR="00212C76" w:rsidRPr="00B76FD9">
        <w:rPr>
          <w:lang w:val="en-GB"/>
        </w:rPr>
        <w:t xml:space="preserve">the </w:t>
      </w:r>
      <w:r w:rsidRPr="006F6A31">
        <w:t>right to health in early childhood.</w:t>
      </w:r>
      <w:r w:rsidR="00813F20">
        <w:t xml:space="preserve"> </w:t>
      </w:r>
      <w:r>
        <w:t>He</w:t>
      </w:r>
      <w:r w:rsidR="002A6BD7" w:rsidRPr="007F3DA2">
        <w:t xml:space="preserve"> will </w:t>
      </w:r>
      <w:r w:rsidR="008614FA" w:rsidRPr="007F3DA2">
        <w:t>analyse</w:t>
      </w:r>
      <w:r w:rsidR="002A6BD7" w:rsidRPr="007F3DA2">
        <w:t xml:space="preserve"> two interdependent and indivisible rights direc</w:t>
      </w:r>
      <w:r>
        <w:t xml:space="preserve">tly related to </w:t>
      </w:r>
      <w:r w:rsidR="00212C76" w:rsidRPr="00B76FD9">
        <w:rPr>
          <w:lang w:val="en-GB"/>
        </w:rPr>
        <w:t xml:space="preserve">the </w:t>
      </w:r>
      <w:r>
        <w:t>right to health</w:t>
      </w:r>
      <w:r w:rsidR="00D56131">
        <w:rPr>
          <w:lang w:val="en-US"/>
        </w:rPr>
        <w:t>:</w:t>
      </w:r>
      <w:r>
        <w:t xml:space="preserve"> the</w:t>
      </w:r>
      <w:r w:rsidR="002A6BD7" w:rsidRPr="007F3DA2">
        <w:t xml:space="preserve"> right to sur</w:t>
      </w:r>
      <w:r>
        <w:t xml:space="preserve">vival and the right to development </w:t>
      </w:r>
      <w:r w:rsidR="002A6BD7" w:rsidRPr="007F3DA2">
        <w:t xml:space="preserve">during first </w:t>
      </w:r>
      <w:r>
        <w:t>five</w:t>
      </w:r>
      <w:r w:rsidR="002A6BD7" w:rsidRPr="007F3DA2">
        <w:t xml:space="preserve"> years of life.</w:t>
      </w:r>
    </w:p>
    <w:p w:rsidR="002A6BD7" w:rsidRPr="00A04ABE" w:rsidRDefault="00212C76" w:rsidP="00CB75BE">
      <w:pPr>
        <w:pStyle w:val="SingleTxtG"/>
        <w:numPr>
          <w:ilvl w:val="0"/>
          <w:numId w:val="45"/>
        </w:numPr>
        <w:ind w:left="1134" w:firstLine="0"/>
        <w:rPr>
          <w:lang w:val="en-GB"/>
        </w:rPr>
      </w:pPr>
      <w:r w:rsidRPr="00B76FD9">
        <w:rPr>
          <w:lang w:val="en-GB"/>
        </w:rPr>
        <w:t>The r</w:t>
      </w:r>
      <w:r w:rsidR="005A2625">
        <w:t xml:space="preserve">ight to </w:t>
      </w:r>
      <w:r>
        <w:t>survival</w:t>
      </w:r>
      <w:r w:rsidR="005A2625">
        <w:t xml:space="preserve"> relates to the prevention of infant and under-</w:t>
      </w:r>
      <w:r w:rsidR="00D56131">
        <w:rPr>
          <w:lang w:val="en-US"/>
        </w:rPr>
        <w:t>5</w:t>
      </w:r>
      <w:r w:rsidR="00D56131" w:rsidRPr="007F3DA2">
        <w:t xml:space="preserve"> </w:t>
      </w:r>
      <w:r w:rsidR="002A6BD7" w:rsidRPr="007F3DA2">
        <w:t>mortality. Despite many achievements in the field of medi</w:t>
      </w:r>
      <w:r w:rsidR="005A2625">
        <w:t xml:space="preserve">cine, </w:t>
      </w:r>
      <w:r w:rsidR="00D56131">
        <w:rPr>
          <w:lang w:val="en-GB"/>
        </w:rPr>
        <w:t>6</w:t>
      </w:r>
      <w:r w:rsidR="00D56131">
        <w:t xml:space="preserve"> </w:t>
      </w:r>
      <w:r w:rsidR="005A2625">
        <w:t xml:space="preserve">million children under </w:t>
      </w:r>
      <w:r w:rsidR="00D56131">
        <w:rPr>
          <w:lang w:val="en-US"/>
        </w:rPr>
        <w:t>5</w:t>
      </w:r>
      <w:r w:rsidR="00D56131" w:rsidRPr="007F3DA2">
        <w:t xml:space="preserve"> </w:t>
      </w:r>
      <w:r w:rsidR="005A2625" w:rsidRPr="007F3DA2">
        <w:t>die every</w:t>
      </w:r>
      <w:r w:rsidR="002A6BD7" w:rsidRPr="007F3DA2">
        <w:t xml:space="preserve"> year in the world. Th</w:t>
      </w:r>
      <w:r w:rsidR="00D56131">
        <w:rPr>
          <w:lang w:val="en-US"/>
        </w:rPr>
        <w:t>o</w:t>
      </w:r>
      <w:r w:rsidR="002A6BD7" w:rsidRPr="007F3DA2">
        <w:t xml:space="preserve">se children </w:t>
      </w:r>
      <w:r w:rsidR="006F6A31">
        <w:t xml:space="preserve">do not </w:t>
      </w:r>
      <w:r w:rsidR="002A6BD7" w:rsidRPr="007F3DA2">
        <w:t xml:space="preserve">die </w:t>
      </w:r>
      <w:r w:rsidR="006F6A31">
        <w:t>of unknown or incurable diseases or illnesses; they</w:t>
      </w:r>
      <w:r w:rsidR="002A6BD7" w:rsidRPr="007F3DA2">
        <w:t xml:space="preserve"> die because </w:t>
      </w:r>
      <w:r w:rsidR="005A2625" w:rsidRPr="007F3DA2">
        <w:t xml:space="preserve">of </w:t>
      </w:r>
      <w:r w:rsidR="006F6A31">
        <w:t xml:space="preserve">the </w:t>
      </w:r>
      <w:r w:rsidR="005A2625" w:rsidRPr="007F3DA2">
        <w:t>conditions</w:t>
      </w:r>
      <w:r w:rsidR="002A6BD7" w:rsidRPr="007F3DA2">
        <w:t xml:space="preserve"> in which the</w:t>
      </w:r>
      <w:r w:rsidR="00D56131">
        <w:rPr>
          <w:lang w:val="en-GB"/>
        </w:rPr>
        <w:t>y</w:t>
      </w:r>
      <w:r w:rsidR="002A6BD7" w:rsidRPr="007F3DA2">
        <w:t xml:space="preserve"> and their parents live and poor</w:t>
      </w:r>
      <w:r w:rsidR="006058E4">
        <w:t xml:space="preserve"> governance and accountability.</w:t>
      </w:r>
    </w:p>
    <w:p w:rsidR="002A6BD7" w:rsidRPr="00A04ABE" w:rsidRDefault="006F6A31" w:rsidP="00CB75BE">
      <w:pPr>
        <w:pStyle w:val="SingleTxtG"/>
        <w:numPr>
          <w:ilvl w:val="0"/>
          <w:numId w:val="45"/>
        </w:numPr>
        <w:ind w:left="1134" w:firstLine="0"/>
        <w:rPr>
          <w:lang w:val="en-GB"/>
        </w:rPr>
      </w:pPr>
      <w:r>
        <w:t xml:space="preserve">The launch of the </w:t>
      </w:r>
      <w:r w:rsidR="00D56131">
        <w:rPr>
          <w:lang w:val="en-US"/>
        </w:rPr>
        <w:t>t</w:t>
      </w:r>
      <w:r w:rsidR="002A6BD7" w:rsidRPr="007F3DA2">
        <w:t>echnical guidance on the application of a human rights-based approach to the implementation of policies and programmes to reduce and eliminate preventable mortality and morbidity o</w:t>
      </w:r>
      <w:r>
        <w:t>f children under 5 years of age</w:t>
      </w:r>
      <w:r w:rsidR="00D56131">
        <w:rPr>
          <w:lang w:val="en-US"/>
        </w:rPr>
        <w:t xml:space="preserve"> (A/HRC/27/31)</w:t>
      </w:r>
      <w:r w:rsidR="002A6BD7" w:rsidRPr="007F3DA2">
        <w:t xml:space="preserve"> </w:t>
      </w:r>
      <w:r>
        <w:t xml:space="preserve">in 2014 </w:t>
      </w:r>
      <w:r w:rsidR="002A6BD7" w:rsidRPr="007F3DA2">
        <w:t xml:space="preserve">is </w:t>
      </w:r>
      <w:r>
        <w:t>a</w:t>
      </w:r>
      <w:r w:rsidR="002A6BD7" w:rsidRPr="007F3DA2">
        <w:t xml:space="preserve"> serious attempt </w:t>
      </w:r>
      <w:r>
        <w:t>to put an end to the unacceptable</w:t>
      </w:r>
      <w:r w:rsidR="002A6BD7" w:rsidRPr="007F3DA2">
        <w:t xml:space="preserve"> epidemics of preventable d</w:t>
      </w:r>
      <w:r>
        <w:t>eaths of infants</w:t>
      </w:r>
      <w:r w:rsidR="002A6BD7" w:rsidRPr="007F3DA2">
        <w:t xml:space="preserve">. </w:t>
      </w:r>
      <w:r w:rsidR="008614FA" w:rsidRPr="008A0770">
        <w:rPr>
          <w:lang w:val="en-GB"/>
        </w:rPr>
        <w:t>T</w:t>
      </w:r>
      <w:r>
        <w:t>he h</w:t>
      </w:r>
      <w:r w:rsidR="002A6BD7" w:rsidRPr="007F3DA2">
        <w:t>uman rights</w:t>
      </w:r>
      <w:r w:rsidR="00D56131">
        <w:rPr>
          <w:lang w:val="en-US"/>
        </w:rPr>
        <w:t>-</w:t>
      </w:r>
      <w:r w:rsidR="002A6BD7" w:rsidRPr="007F3DA2">
        <w:t>based approach is critically important in th</w:t>
      </w:r>
      <w:r w:rsidR="00D56131">
        <w:rPr>
          <w:lang w:val="en-US"/>
        </w:rPr>
        <w:t>at</w:t>
      </w:r>
      <w:r w:rsidR="002A6BD7" w:rsidRPr="007F3DA2">
        <w:t xml:space="preserve"> regard</w:t>
      </w:r>
      <w:r>
        <w:t xml:space="preserve"> since</w:t>
      </w:r>
      <w:r w:rsidR="002A6BD7" w:rsidRPr="007F3DA2">
        <w:t xml:space="preserve"> child mortality is </w:t>
      </w:r>
      <w:r w:rsidR="00212C76" w:rsidRPr="007F3DA2">
        <w:t>intimately</w:t>
      </w:r>
      <w:r w:rsidR="002A6BD7" w:rsidRPr="007F3DA2">
        <w:t xml:space="preserve"> linked with human rights of women and </w:t>
      </w:r>
      <w:r>
        <w:t xml:space="preserve">the </w:t>
      </w:r>
      <w:r w:rsidR="002A6BD7" w:rsidRPr="007F3DA2">
        <w:t>wide</w:t>
      </w:r>
      <w:r>
        <w:t>spread discrimination against</w:t>
      </w:r>
      <w:r w:rsidR="002A6BD7" w:rsidRPr="007F3DA2">
        <w:t xml:space="preserve"> v</w:t>
      </w:r>
      <w:r w:rsidR="006058E4">
        <w:t>ulnerable groups of population.</w:t>
      </w:r>
    </w:p>
    <w:p w:rsidR="002A6BD7" w:rsidRPr="007F3DA2" w:rsidRDefault="00D56131" w:rsidP="00CB75BE">
      <w:pPr>
        <w:pStyle w:val="SingleTxtG"/>
        <w:numPr>
          <w:ilvl w:val="0"/>
          <w:numId w:val="45"/>
        </w:numPr>
        <w:ind w:left="1134" w:firstLine="0"/>
      </w:pPr>
      <w:r>
        <w:rPr>
          <w:lang w:val="en-US"/>
        </w:rPr>
        <w:t>The r</w:t>
      </w:r>
      <w:r w:rsidR="002A6BD7" w:rsidRPr="007F3DA2">
        <w:t xml:space="preserve">ight to holistic development is another equally important </w:t>
      </w:r>
      <w:r w:rsidR="006F6A31">
        <w:t>element of the right to health of children</w:t>
      </w:r>
      <w:r w:rsidR="002A6BD7" w:rsidRPr="007F3DA2">
        <w:t xml:space="preserve">. Children need to be protected through </w:t>
      </w:r>
      <w:r w:rsidR="00212C76" w:rsidRPr="00B76FD9">
        <w:rPr>
          <w:lang w:val="en-GB"/>
        </w:rPr>
        <w:t xml:space="preserve">the </w:t>
      </w:r>
      <w:r w:rsidR="002A6BD7" w:rsidRPr="007F3DA2">
        <w:t xml:space="preserve">promotion and </w:t>
      </w:r>
      <w:r w:rsidR="003B01D0">
        <w:t>protection</w:t>
      </w:r>
      <w:r w:rsidR="002A6BD7" w:rsidRPr="007F3DA2">
        <w:t xml:space="preserve"> of their economic, social and cultural rights. </w:t>
      </w:r>
      <w:r w:rsidR="008614FA">
        <w:rPr>
          <w:lang w:val="en-GB"/>
        </w:rPr>
        <w:t>Further</w:t>
      </w:r>
      <w:r>
        <w:rPr>
          <w:lang w:val="en-GB"/>
        </w:rPr>
        <w:t>more</w:t>
      </w:r>
      <w:r w:rsidR="00212C76" w:rsidRPr="00B76FD9">
        <w:rPr>
          <w:lang w:val="en-GB"/>
        </w:rPr>
        <w:t>, f</w:t>
      </w:r>
      <w:r w:rsidR="002A6BD7" w:rsidRPr="007F3DA2">
        <w:t xml:space="preserve">rom the moment of birth, </w:t>
      </w:r>
      <w:r w:rsidR="003B01D0">
        <w:t xml:space="preserve">children should </w:t>
      </w:r>
      <w:r w:rsidR="00212C76" w:rsidRPr="00B76FD9">
        <w:rPr>
          <w:lang w:val="en-GB"/>
        </w:rPr>
        <w:t xml:space="preserve">also </w:t>
      </w:r>
      <w:r w:rsidR="003B01D0">
        <w:t>be considered as citizens entitled to</w:t>
      </w:r>
      <w:r w:rsidR="002A6BD7" w:rsidRPr="007F3DA2">
        <w:t xml:space="preserve"> all rights</w:t>
      </w:r>
      <w:r w:rsidR="006F6A31">
        <w:t>,</w:t>
      </w:r>
      <w:r w:rsidR="002A6BD7" w:rsidRPr="007F3DA2">
        <w:t xml:space="preserve"> including civil rights and freedoms. </w:t>
      </w:r>
      <w:r w:rsidR="003B01D0">
        <w:t>Their r</w:t>
      </w:r>
      <w:r w:rsidR="002A6BD7" w:rsidRPr="007F3DA2">
        <w:t xml:space="preserve">ight to health should be promoted not only through </w:t>
      </w:r>
      <w:r w:rsidR="006F6A31">
        <w:t>the</w:t>
      </w:r>
      <w:r w:rsidR="002A6BD7" w:rsidRPr="007F3DA2">
        <w:t xml:space="preserve"> prevention </w:t>
      </w:r>
      <w:r w:rsidR="003B01D0">
        <w:t xml:space="preserve">of child mortality and morbidity but also </w:t>
      </w:r>
      <w:r w:rsidR="002A6BD7" w:rsidRPr="007F3DA2">
        <w:t xml:space="preserve">through </w:t>
      </w:r>
      <w:r w:rsidR="003B01D0">
        <w:t xml:space="preserve">the </w:t>
      </w:r>
      <w:r w:rsidR="002A6BD7" w:rsidRPr="007F3DA2">
        <w:t>protection of children</w:t>
      </w:r>
      <w:r>
        <w:rPr>
          <w:lang w:val="en-US"/>
        </w:rPr>
        <w:t>’</w:t>
      </w:r>
      <w:r w:rsidR="002A6BD7" w:rsidRPr="007F3DA2">
        <w:t>s right to holistic development.</w:t>
      </w:r>
    </w:p>
    <w:p w:rsidR="004E63D0" w:rsidRPr="00EA3DE1" w:rsidRDefault="005B001F" w:rsidP="00D05FE0">
      <w:pPr>
        <w:pStyle w:val="SingleTxtG"/>
        <w:numPr>
          <w:ilvl w:val="0"/>
          <w:numId w:val="45"/>
        </w:numPr>
        <w:ind w:left="1134" w:firstLine="0"/>
      </w:pPr>
      <w:r>
        <w:rPr>
          <w:lang w:val="en-GB"/>
        </w:rPr>
        <w:t>The l</w:t>
      </w:r>
      <w:r w:rsidR="004E63D0">
        <w:rPr>
          <w:lang w:val="en-GB"/>
        </w:rPr>
        <w:t xml:space="preserve">ife-cycle approach will be also </w:t>
      </w:r>
      <w:r w:rsidR="00507704">
        <w:rPr>
          <w:lang w:val="en-GB"/>
        </w:rPr>
        <w:t xml:space="preserve">be </w:t>
      </w:r>
      <w:r w:rsidR="004E63D0">
        <w:rPr>
          <w:lang w:val="en-GB"/>
        </w:rPr>
        <w:t xml:space="preserve">used in addressing </w:t>
      </w:r>
      <w:r>
        <w:rPr>
          <w:lang w:val="en-GB"/>
        </w:rPr>
        <w:t xml:space="preserve">the </w:t>
      </w:r>
      <w:r w:rsidR="004E63D0">
        <w:rPr>
          <w:lang w:val="en-GB"/>
        </w:rPr>
        <w:t>right of adolescent</w:t>
      </w:r>
      <w:r w:rsidR="00982869">
        <w:rPr>
          <w:lang w:val="en-GB"/>
        </w:rPr>
        <w:t>s</w:t>
      </w:r>
      <w:r w:rsidR="00813F20">
        <w:rPr>
          <w:lang w:val="en-GB"/>
        </w:rPr>
        <w:t xml:space="preserve"> </w:t>
      </w:r>
      <w:r w:rsidR="004E63D0">
        <w:rPr>
          <w:lang w:val="en-GB"/>
        </w:rPr>
        <w:t>and youth to health</w:t>
      </w:r>
      <w:r>
        <w:rPr>
          <w:lang w:val="en-GB"/>
        </w:rPr>
        <w:t>;</w:t>
      </w:r>
      <w:r w:rsidR="004E63D0">
        <w:rPr>
          <w:lang w:val="en-GB"/>
        </w:rPr>
        <w:t xml:space="preserve"> </w:t>
      </w:r>
      <w:r>
        <w:rPr>
          <w:lang w:val="en-GB"/>
        </w:rPr>
        <w:t>the</w:t>
      </w:r>
      <w:r w:rsidR="004E63D0">
        <w:rPr>
          <w:lang w:val="en-GB"/>
        </w:rPr>
        <w:t xml:space="preserve"> role of family</w:t>
      </w:r>
      <w:r w:rsidR="005A4950">
        <w:rPr>
          <w:lang w:val="en-GB"/>
        </w:rPr>
        <w:t xml:space="preserve"> and parenting</w:t>
      </w:r>
      <w:r>
        <w:rPr>
          <w:lang w:val="en-GB"/>
        </w:rPr>
        <w:t>;</w:t>
      </w:r>
      <w:r w:rsidR="004E63D0">
        <w:rPr>
          <w:lang w:val="en-GB"/>
        </w:rPr>
        <w:t xml:space="preserve"> </w:t>
      </w:r>
      <w:r w:rsidR="005A4950">
        <w:rPr>
          <w:lang w:val="en-GB"/>
        </w:rPr>
        <w:t>mental</w:t>
      </w:r>
      <w:r w:rsidR="00923E90">
        <w:rPr>
          <w:lang w:val="en-GB"/>
        </w:rPr>
        <w:t>-</w:t>
      </w:r>
      <w:r w:rsidR="005A4950">
        <w:rPr>
          <w:lang w:val="en-GB"/>
        </w:rPr>
        <w:t>health issues and ways to prevent violence as a public health problem</w:t>
      </w:r>
      <w:r>
        <w:rPr>
          <w:lang w:val="en-GB"/>
        </w:rPr>
        <w:t>;</w:t>
      </w:r>
      <w:r w:rsidR="005A4950">
        <w:rPr>
          <w:lang w:val="en-GB"/>
        </w:rPr>
        <w:t xml:space="preserve"> and</w:t>
      </w:r>
      <w:r w:rsidR="004E63D0">
        <w:rPr>
          <w:lang w:val="en-GB"/>
        </w:rPr>
        <w:t xml:space="preserve"> important issues </w:t>
      </w:r>
      <w:r>
        <w:rPr>
          <w:lang w:val="en-GB"/>
        </w:rPr>
        <w:t>around</w:t>
      </w:r>
      <w:r w:rsidR="004E63D0">
        <w:rPr>
          <w:lang w:val="en-GB"/>
        </w:rPr>
        <w:t xml:space="preserve"> health</w:t>
      </w:r>
      <w:r w:rsidR="00982869">
        <w:rPr>
          <w:lang w:val="en-GB"/>
        </w:rPr>
        <w:t>y</w:t>
      </w:r>
      <w:r w:rsidR="004E63D0">
        <w:rPr>
          <w:lang w:val="en-GB"/>
        </w:rPr>
        <w:t xml:space="preserve"> ag</w:t>
      </w:r>
      <w:r w:rsidR="00923E90">
        <w:rPr>
          <w:lang w:val="en-GB"/>
        </w:rPr>
        <w:t>e</w:t>
      </w:r>
      <w:r w:rsidR="004E63D0">
        <w:rPr>
          <w:lang w:val="en-GB"/>
        </w:rPr>
        <w:t>ing</w:t>
      </w:r>
      <w:r>
        <w:rPr>
          <w:lang w:val="en-GB"/>
        </w:rPr>
        <w:t>.</w:t>
      </w:r>
    </w:p>
    <w:p w:rsidR="00D41D5D" w:rsidRPr="00692DA5" w:rsidRDefault="007B55EB" w:rsidP="007B55EB">
      <w:pPr>
        <w:pStyle w:val="H1G"/>
      </w:pPr>
      <w:r>
        <w:tab/>
        <w:t>E</w:t>
      </w:r>
      <w:r w:rsidR="00B25CF4">
        <w:t>.</w:t>
      </w:r>
      <w:r w:rsidR="00B25CF4">
        <w:tab/>
      </w:r>
      <w:r w:rsidR="00314EE8">
        <w:t xml:space="preserve">The </w:t>
      </w:r>
      <w:r w:rsidR="00314EE8" w:rsidRPr="002462FB">
        <w:t xml:space="preserve">right to health </w:t>
      </w:r>
      <w:r w:rsidR="00314EE8">
        <w:t>of p</w:t>
      </w:r>
      <w:r w:rsidR="002A6BD7" w:rsidRPr="002462FB">
        <w:t xml:space="preserve">ersons with disabilities </w:t>
      </w:r>
    </w:p>
    <w:p w:rsidR="002A6BD7" w:rsidRPr="007F3DA2" w:rsidRDefault="002462FB" w:rsidP="00CB75BE">
      <w:pPr>
        <w:pStyle w:val="SingleTxtG"/>
        <w:numPr>
          <w:ilvl w:val="0"/>
          <w:numId w:val="45"/>
        </w:numPr>
        <w:ind w:left="1134" w:firstLine="0"/>
      </w:pPr>
      <w:r>
        <w:t>O</w:t>
      </w:r>
      <w:r w:rsidR="002A6BD7" w:rsidRPr="007F3DA2">
        <w:t xml:space="preserve">ne of priorities </w:t>
      </w:r>
      <w:r>
        <w:t>of the Special Rapporteur will be</w:t>
      </w:r>
      <w:r w:rsidR="002A6BD7" w:rsidRPr="007F3DA2">
        <w:t xml:space="preserve"> to </w:t>
      </w:r>
      <w:r w:rsidR="00212C76" w:rsidRPr="00B76FD9">
        <w:rPr>
          <w:lang w:val="en-GB"/>
        </w:rPr>
        <w:t>look into</w:t>
      </w:r>
      <w:r w:rsidR="002A6BD7" w:rsidRPr="007F3DA2">
        <w:t xml:space="preserve"> the role of </w:t>
      </w:r>
      <w:r w:rsidR="00212C76" w:rsidRPr="00B76FD9">
        <w:rPr>
          <w:lang w:val="en-GB"/>
        </w:rPr>
        <w:t xml:space="preserve">the </w:t>
      </w:r>
      <w:r w:rsidR="002A6BD7" w:rsidRPr="007F3DA2">
        <w:t xml:space="preserve">health sector and health professionals in the implementation of ambitious goals raised by the </w:t>
      </w:r>
      <w:r>
        <w:t xml:space="preserve">Convention of the Rights of Persons with Disabilities. He </w:t>
      </w:r>
      <w:r w:rsidR="00E049CE" w:rsidRPr="00B76FD9">
        <w:rPr>
          <w:lang w:val="en-GB"/>
        </w:rPr>
        <w:t>hopes to</w:t>
      </w:r>
      <w:r w:rsidR="00E049CE">
        <w:t xml:space="preserve"> </w:t>
      </w:r>
      <w:r>
        <w:t>address th</w:t>
      </w:r>
      <w:r w:rsidR="00923E90">
        <w:rPr>
          <w:lang w:val="en-US"/>
        </w:rPr>
        <w:t>at role</w:t>
      </w:r>
      <w:r>
        <w:t xml:space="preserve"> in close cooperation with the Special Rapporteur </w:t>
      </w:r>
      <w:r w:rsidR="002A6BD7" w:rsidRPr="007F3DA2">
        <w:t>on the rights of persons with disabilities</w:t>
      </w:r>
      <w:r>
        <w:t>,</w:t>
      </w:r>
      <w:r w:rsidR="002A6BD7" w:rsidRPr="007F3DA2">
        <w:t xml:space="preserve"> and other mandate holders</w:t>
      </w:r>
      <w:r>
        <w:t xml:space="preserve"> and U</w:t>
      </w:r>
      <w:r w:rsidR="00923E90">
        <w:rPr>
          <w:lang w:val="en-US"/>
        </w:rPr>
        <w:t xml:space="preserve">nited </w:t>
      </w:r>
      <w:r>
        <w:t>N</w:t>
      </w:r>
      <w:r w:rsidR="00923E90">
        <w:rPr>
          <w:lang w:val="en-US"/>
        </w:rPr>
        <w:t>ations</w:t>
      </w:r>
      <w:r>
        <w:t xml:space="preserve"> mechanisms</w:t>
      </w:r>
      <w:r w:rsidR="002A6BD7" w:rsidRPr="007F3DA2">
        <w:t>.</w:t>
      </w:r>
    </w:p>
    <w:p w:rsidR="005A4950" w:rsidRPr="00A04ABE" w:rsidRDefault="002A6BD7" w:rsidP="00840D9F">
      <w:pPr>
        <w:pStyle w:val="SingleTxtG"/>
        <w:numPr>
          <w:ilvl w:val="0"/>
          <w:numId w:val="45"/>
        </w:numPr>
        <w:ind w:left="1134" w:firstLine="0"/>
        <w:rPr>
          <w:lang w:val="en-GB"/>
        </w:rPr>
      </w:pPr>
      <w:r w:rsidRPr="00E0722D">
        <w:t>The human rights standards set</w:t>
      </w:r>
      <w:r w:rsidR="0006293B" w:rsidRPr="00E0722D">
        <w:t xml:space="preserve"> </w:t>
      </w:r>
      <w:r w:rsidR="00923E90">
        <w:rPr>
          <w:lang w:val="en-US"/>
        </w:rPr>
        <w:t>forth</w:t>
      </w:r>
      <w:r w:rsidR="00923E90" w:rsidRPr="00E0722D">
        <w:t xml:space="preserve"> </w:t>
      </w:r>
      <w:r w:rsidRPr="00E0722D">
        <w:t xml:space="preserve">by the </w:t>
      </w:r>
      <w:r w:rsidR="00923E90">
        <w:rPr>
          <w:lang w:val="en-US"/>
        </w:rPr>
        <w:t>Convention</w:t>
      </w:r>
      <w:r w:rsidR="00923E90">
        <w:t xml:space="preserve"> </w:t>
      </w:r>
      <w:r w:rsidR="00E049CE" w:rsidRPr="00B76FD9">
        <w:rPr>
          <w:lang w:val="en-GB"/>
        </w:rPr>
        <w:t>present a</w:t>
      </w:r>
      <w:r w:rsidRPr="00E0722D">
        <w:t xml:space="preserve"> good opportunity to rethink </w:t>
      </w:r>
      <w:r w:rsidR="0006293B" w:rsidRPr="00E0722D">
        <w:t>the historical legacy of previous</w:t>
      </w:r>
      <w:r w:rsidRPr="00E0722D">
        <w:t xml:space="preserve"> model</w:t>
      </w:r>
      <w:r w:rsidR="0006293B" w:rsidRPr="00E0722D">
        <w:t xml:space="preserve">s </w:t>
      </w:r>
      <w:r w:rsidRPr="00E0722D">
        <w:t xml:space="preserve">and to </w:t>
      </w:r>
      <w:r w:rsidR="0006293B" w:rsidRPr="00E0722D">
        <w:t>move away from</w:t>
      </w:r>
      <w:r w:rsidRPr="00E0722D">
        <w:t xml:space="preserve"> those </w:t>
      </w:r>
      <w:r w:rsidR="0006293B" w:rsidRPr="00E0722D">
        <w:t>health</w:t>
      </w:r>
      <w:r w:rsidR="00923E90">
        <w:rPr>
          <w:lang w:val="en-US"/>
        </w:rPr>
        <w:t>-</w:t>
      </w:r>
      <w:r w:rsidR="0006293B" w:rsidRPr="00E0722D">
        <w:t>care</w:t>
      </w:r>
      <w:r w:rsidRPr="00E0722D">
        <w:t xml:space="preserve"> practices which are against human </w:t>
      </w:r>
      <w:r w:rsidR="0006293B" w:rsidRPr="00E0722D">
        <w:t>rights</w:t>
      </w:r>
      <w:r w:rsidRPr="00E0722D">
        <w:t xml:space="preserve"> and</w:t>
      </w:r>
      <w:r w:rsidR="00813F20">
        <w:t xml:space="preserve"> </w:t>
      </w:r>
      <w:r w:rsidR="0006293B" w:rsidRPr="00E0722D">
        <w:t xml:space="preserve">the </w:t>
      </w:r>
      <w:r w:rsidRPr="00E0722D">
        <w:t xml:space="preserve">modern public health approach. </w:t>
      </w:r>
      <w:r w:rsidR="009F6AF6">
        <w:rPr>
          <w:lang w:val="en-US"/>
        </w:rPr>
        <w:t>There is</w:t>
      </w:r>
      <w:r w:rsidRPr="00E0722D">
        <w:t xml:space="preserve"> a unique and historic </w:t>
      </w:r>
      <w:r w:rsidR="00E049CE" w:rsidRPr="00B76FD9">
        <w:rPr>
          <w:lang w:val="en-GB"/>
        </w:rPr>
        <w:t>opportunity</w:t>
      </w:r>
      <w:r w:rsidR="00E049CE" w:rsidRPr="00E0722D">
        <w:t xml:space="preserve"> </w:t>
      </w:r>
      <w:r w:rsidRPr="00E0722D">
        <w:t xml:space="preserve">to end </w:t>
      </w:r>
      <w:r w:rsidR="0006293B" w:rsidRPr="00E0722D">
        <w:t>the</w:t>
      </w:r>
      <w:r w:rsidRPr="00E0722D">
        <w:t xml:space="preserve"> legacy of </w:t>
      </w:r>
      <w:r w:rsidR="0006293B" w:rsidRPr="00E0722D">
        <w:t xml:space="preserve">the </w:t>
      </w:r>
      <w:r w:rsidRPr="00E0722D">
        <w:t xml:space="preserve">overuse </w:t>
      </w:r>
      <w:r w:rsidR="0006293B" w:rsidRPr="00E0722D">
        <w:t xml:space="preserve">and misuse of </w:t>
      </w:r>
      <w:r w:rsidR="0022324E" w:rsidRPr="00E0722D">
        <w:t xml:space="preserve">the </w:t>
      </w:r>
      <w:r w:rsidR="0006293B" w:rsidRPr="00E0722D">
        <w:t>biomedical model</w:t>
      </w:r>
      <w:r w:rsidR="00E049CE" w:rsidRPr="00B76FD9">
        <w:rPr>
          <w:lang w:val="en-GB"/>
        </w:rPr>
        <w:t>.</w:t>
      </w:r>
    </w:p>
    <w:p w:rsidR="005A4950" w:rsidRPr="00EA09C4" w:rsidRDefault="005A4950" w:rsidP="00D05FE0">
      <w:pPr>
        <w:pStyle w:val="SingleTxtG"/>
        <w:numPr>
          <w:ilvl w:val="0"/>
          <w:numId w:val="45"/>
        </w:numPr>
        <w:ind w:left="1134" w:firstLine="0"/>
        <w:rPr>
          <w:lang w:val="en-US"/>
        </w:rPr>
      </w:pPr>
      <w:r w:rsidRPr="00A35F6C">
        <w:rPr>
          <w:lang w:val="en-US"/>
        </w:rPr>
        <w:t>All persons with disabilities have a right to health, including to quality health</w:t>
      </w:r>
      <w:r w:rsidR="00923E90">
        <w:rPr>
          <w:lang w:val="en-US"/>
        </w:rPr>
        <w:t>-</w:t>
      </w:r>
      <w:r w:rsidRPr="00A35F6C">
        <w:rPr>
          <w:lang w:val="en-US"/>
        </w:rPr>
        <w:t>care services</w:t>
      </w:r>
      <w:r w:rsidR="007B2F55" w:rsidRPr="00A35F6C">
        <w:rPr>
          <w:lang w:val="en-US"/>
        </w:rPr>
        <w:t>.</w:t>
      </w:r>
      <w:r w:rsidRPr="00A35F6C">
        <w:rPr>
          <w:lang w:val="en-US"/>
        </w:rPr>
        <w:t xml:space="preserve"> </w:t>
      </w:r>
      <w:r w:rsidR="007B2F55" w:rsidRPr="00A35F6C">
        <w:rPr>
          <w:lang w:val="en-US"/>
        </w:rPr>
        <w:t>I</w:t>
      </w:r>
      <w:r w:rsidRPr="00A35F6C">
        <w:rPr>
          <w:lang w:val="en-US"/>
        </w:rPr>
        <w:t>n th</w:t>
      </w:r>
      <w:r w:rsidR="00923E90">
        <w:rPr>
          <w:lang w:val="en-US"/>
        </w:rPr>
        <w:t>at</w:t>
      </w:r>
      <w:r w:rsidRPr="00A35F6C">
        <w:rPr>
          <w:lang w:val="en-US"/>
        </w:rPr>
        <w:t xml:space="preserve"> regard</w:t>
      </w:r>
      <w:r w:rsidR="007B2F55" w:rsidRPr="00A35F6C">
        <w:rPr>
          <w:lang w:val="en-US"/>
        </w:rPr>
        <w:t>,</w:t>
      </w:r>
      <w:r w:rsidRPr="00A35F6C">
        <w:rPr>
          <w:lang w:val="en-US"/>
        </w:rPr>
        <w:t xml:space="preserve"> </w:t>
      </w:r>
      <w:r w:rsidR="007B2F55" w:rsidRPr="00A35F6C">
        <w:rPr>
          <w:lang w:val="en-US"/>
        </w:rPr>
        <w:t xml:space="preserve">persons with disabilities </w:t>
      </w:r>
      <w:r w:rsidRPr="00A35F6C">
        <w:rPr>
          <w:lang w:val="en-US"/>
        </w:rPr>
        <w:t>should not be discriminated</w:t>
      </w:r>
      <w:r w:rsidR="00923E90">
        <w:rPr>
          <w:lang w:val="en-US"/>
        </w:rPr>
        <w:t xml:space="preserve"> against</w:t>
      </w:r>
      <w:r w:rsidRPr="00A35F6C">
        <w:rPr>
          <w:lang w:val="en-US"/>
        </w:rPr>
        <w:t xml:space="preserve"> and</w:t>
      </w:r>
      <w:r>
        <w:rPr>
          <w:lang w:val="en-US"/>
        </w:rPr>
        <w:t xml:space="preserve"> </w:t>
      </w:r>
      <w:r w:rsidR="007B2F55">
        <w:rPr>
          <w:lang w:val="en-US"/>
        </w:rPr>
        <w:t xml:space="preserve">should </w:t>
      </w:r>
      <w:r>
        <w:rPr>
          <w:lang w:val="en-US"/>
        </w:rPr>
        <w:t>enjoy th</w:t>
      </w:r>
      <w:r w:rsidR="00923E90">
        <w:rPr>
          <w:lang w:val="en-US"/>
        </w:rPr>
        <w:t>at</w:t>
      </w:r>
      <w:r>
        <w:rPr>
          <w:lang w:val="en-US"/>
        </w:rPr>
        <w:t xml:space="preserve"> right </w:t>
      </w:r>
      <w:r w:rsidR="00077CF8">
        <w:rPr>
          <w:lang w:val="en-US"/>
        </w:rPr>
        <w:t>in their communit</w:t>
      </w:r>
      <w:r w:rsidR="007B2F55">
        <w:rPr>
          <w:lang w:val="en-US"/>
        </w:rPr>
        <w:t>ies</w:t>
      </w:r>
      <w:r w:rsidR="00077CF8">
        <w:rPr>
          <w:lang w:val="en-US"/>
        </w:rPr>
        <w:t xml:space="preserve"> </w:t>
      </w:r>
      <w:r>
        <w:rPr>
          <w:lang w:val="en-US"/>
        </w:rPr>
        <w:t>as persons without di</w:t>
      </w:r>
      <w:r w:rsidR="00077CF8">
        <w:rPr>
          <w:lang w:val="en-US"/>
        </w:rPr>
        <w:t>s</w:t>
      </w:r>
      <w:r>
        <w:rPr>
          <w:lang w:val="en-US"/>
        </w:rPr>
        <w:t>abilities do</w:t>
      </w:r>
      <w:r w:rsidR="00077CF8">
        <w:rPr>
          <w:lang w:val="en-US"/>
        </w:rPr>
        <w:t>.</w:t>
      </w:r>
      <w:r w:rsidR="00813F20">
        <w:rPr>
          <w:lang w:val="en-US"/>
        </w:rPr>
        <w:t xml:space="preserve"> </w:t>
      </w:r>
      <w:r w:rsidR="007B2F55">
        <w:rPr>
          <w:lang w:val="en-US"/>
        </w:rPr>
        <w:t>The Special Rapporteur i</w:t>
      </w:r>
      <w:r w:rsidR="009F6AF6">
        <w:rPr>
          <w:lang w:val="en-US"/>
        </w:rPr>
        <w:t>s</w:t>
      </w:r>
      <w:r w:rsidR="007B2F55">
        <w:rPr>
          <w:lang w:val="en-US"/>
        </w:rPr>
        <w:t xml:space="preserve"> concerned that a</w:t>
      </w:r>
      <w:r w:rsidR="00077CF8">
        <w:rPr>
          <w:lang w:val="en-US"/>
        </w:rPr>
        <w:t xml:space="preserve">ll too often children and adults with different forms of disabilities are deprived of </w:t>
      </w:r>
      <w:r w:rsidR="007B2F55">
        <w:rPr>
          <w:lang w:val="en-US"/>
        </w:rPr>
        <w:t xml:space="preserve">the </w:t>
      </w:r>
      <w:r w:rsidR="00077CF8">
        <w:rPr>
          <w:lang w:val="en-US"/>
        </w:rPr>
        <w:t xml:space="preserve">full realization to </w:t>
      </w:r>
      <w:r w:rsidR="007B2F55">
        <w:rPr>
          <w:lang w:val="en-US"/>
        </w:rPr>
        <w:t>the</w:t>
      </w:r>
      <w:r w:rsidR="00077CF8">
        <w:rPr>
          <w:lang w:val="en-US"/>
        </w:rPr>
        <w:t xml:space="preserve"> right</w:t>
      </w:r>
      <w:r w:rsidR="007B2F55">
        <w:rPr>
          <w:lang w:val="en-US"/>
        </w:rPr>
        <w:t xml:space="preserve"> to health</w:t>
      </w:r>
      <w:r w:rsidR="00077CF8">
        <w:rPr>
          <w:lang w:val="en-US"/>
        </w:rPr>
        <w:t>.</w:t>
      </w:r>
      <w:r w:rsidR="00813F20">
        <w:rPr>
          <w:lang w:val="en-US"/>
        </w:rPr>
        <w:t xml:space="preserve"> </w:t>
      </w:r>
      <w:r w:rsidR="007B2F55" w:rsidRPr="00EA09C4">
        <w:rPr>
          <w:lang w:val="en-US"/>
        </w:rPr>
        <w:t>He</w:t>
      </w:r>
      <w:r w:rsidR="00077CF8" w:rsidRPr="00EA09C4">
        <w:rPr>
          <w:lang w:val="en-US"/>
        </w:rPr>
        <w:t xml:space="preserve"> will address th</w:t>
      </w:r>
      <w:r w:rsidR="00923E90">
        <w:rPr>
          <w:lang w:val="en-US"/>
        </w:rPr>
        <w:t>at</w:t>
      </w:r>
      <w:r w:rsidR="00077CF8" w:rsidRPr="00EA09C4">
        <w:rPr>
          <w:lang w:val="en-US"/>
        </w:rPr>
        <w:t xml:space="preserve"> serious </w:t>
      </w:r>
      <w:r w:rsidR="007B2F55" w:rsidRPr="00EA09C4">
        <w:rPr>
          <w:lang w:val="en-US"/>
        </w:rPr>
        <w:t>issue, with a particular focus on the</w:t>
      </w:r>
      <w:r w:rsidR="00077CF8" w:rsidRPr="00EA09C4">
        <w:rPr>
          <w:lang w:val="en-US"/>
        </w:rPr>
        <w:t xml:space="preserve"> rights of persons with psychosocial and intellectual disabilities</w:t>
      </w:r>
      <w:r w:rsidR="00813F20">
        <w:rPr>
          <w:lang w:val="en-US"/>
        </w:rPr>
        <w:t>.</w:t>
      </w:r>
    </w:p>
    <w:p w:rsidR="002A6BD7" w:rsidRPr="007F3DA2" w:rsidRDefault="002A6BD7" w:rsidP="00CB75BE">
      <w:pPr>
        <w:pStyle w:val="SingleTxtG"/>
        <w:numPr>
          <w:ilvl w:val="0"/>
          <w:numId w:val="45"/>
        </w:numPr>
        <w:ind w:left="1134" w:firstLine="0"/>
      </w:pPr>
      <w:r w:rsidRPr="00E0722D">
        <w:t xml:space="preserve">The </w:t>
      </w:r>
      <w:r w:rsidR="00923E90">
        <w:rPr>
          <w:lang w:val="en-US"/>
        </w:rPr>
        <w:t>Convention</w:t>
      </w:r>
      <w:r w:rsidR="00923E90" w:rsidRPr="00E0722D">
        <w:t xml:space="preserve"> </w:t>
      </w:r>
      <w:r w:rsidR="0022324E" w:rsidRPr="00E0722D">
        <w:t>is challenging</w:t>
      </w:r>
      <w:r w:rsidRPr="00E0722D">
        <w:t xml:space="preserve"> </w:t>
      </w:r>
      <w:r w:rsidR="0022324E" w:rsidRPr="00E0722D">
        <w:t>traditional</w:t>
      </w:r>
      <w:r w:rsidRPr="00E0722D">
        <w:t xml:space="preserve"> practices of psychiatry, </w:t>
      </w:r>
      <w:r w:rsidR="0022324E" w:rsidRPr="00E0722D">
        <w:t>both at the</w:t>
      </w:r>
      <w:r w:rsidRPr="00E0722D">
        <w:t xml:space="preserve"> scien</w:t>
      </w:r>
      <w:r w:rsidR="009178E8" w:rsidRPr="00E0722D">
        <w:rPr>
          <w:lang w:val="en-US"/>
        </w:rPr>
        <w:t>tific</w:t>
      </w:r>
      <w:r w:rsidRPr="00E0722D">
        <w:t xml:space="preserve"> and clinical</w:t>
      </w:r>
      <w:r w:rsidR="00923E90">
        <w:rPr>
          <w:lang w:val="en-US"/>
        </w:rPr>
        <w:t>-</w:t>
      </w:r>
      <w:r w:rsidRPr="00E0722D">
        <w:t>practice</w:t>
      </w:r>
      <w:r w:rsidR="0022324E" w:rsidRPr="00E0722D">
        <w:t xml:space="preserve"> levels</w:t>
      </w:r>
      <w:r w:rsidRPr="00E0722D">
        <w:t>.</w:t>
      </w:r>
      <w:r w:rsidR="00813F20">
        <w:t xml:space="preserve"> </w:t>
      </w:r>
      <w:r w:rsidRPr="00E0722D">
        <w:t>In th</w:t>
      </w:r>
      <w:r w:rsidR="00923E90">
        <w:rPr>
          <w:lang w:val="en-US"/>
        </w:rPr>
        <w:t>at</w:t>
      </w:r>
      <w:r w:rsidRPr="00E0722D">
        <w:t xml:space="preserve"> regard</w:t>
      </w:r>
      <w:r w:rsidR="0022324E" w:rsidRPr="00E0722D">
        <w:t>,</w:t>
      </w:r>
      <w:r w:rsidRPr="00E0722D">
        <w:t xml:space="preserve"> there is a serious need t</w:t>
      </w:r>
      <w:r w:rsidR="0022324E" w:rsidRPr="00E0722D">
        <w:t>o discuss</w:t>
      </w:r>
      <w:r w:rsidRPr="00E0722D">
        <w:t xml:space="preserve"> issues related to human rights in psychiatry and to develop mechanisms for </w:t>
      </w:r>
      <w:r w:rsidR="0022324E" w:rsidRPr="00E0722D">
        <w:t>the</w:t>
      </w:r>
      <w:r w:rsidR="002B6B1E">
        <w:rPr>
          <w:lang w:val="en-US"/>
        </w:rPr>
        <w:t xml:space="preserve"> effective</w:t>
      </w:r>
      <w:r w:rsidR="0022324E" w:rsidRPr="00E0722D">
        <w:t xml:space="preserve"> </w:t>
      </w:r>
      <w:r w:rsidRPr="00E0722D">
        <w:t xml:space="preserve">protection of </w:t>
      </w:r>
      <w:r w:rsidR="0022324E" w:rsidRPr="00E0722D">
        <w:t xml:space="preserve">the </w:t>
      </w:r>
      <w:r w:rsidRPr="00E0722D">
        <w:t>rights of persons with</w:t>
      </w:r>
      <w:r w:rsidRPr="007F3DA2">
        <w:t xml:space="preserve"> mental disabilities.</w:t>
      </w:r>
    </w:p>
    <w:p w:rsidR="0022324E" w:rsidRPr="00EA09C4" w:rsidRDefault="0022324E" w:rsidP="00CB75BE">
      <w:pPr>
        <w:pStyle w:val="SingleTxtG"/>
        <w:numPr>
          <w:ilvl w:val="0"/>
          <w:numId w:val="45"/>
        </w:numPr>
        <w:ind w:left="1134" w:firstLine="0"/>
        <w:rPr>
          <w:lang w:val="en-US"/>
        </w:rPr>
      </w:pPr>
      <w:r>
        <w:t>The h</w:t>
      </w:r>
      <w:r w:rsidR="002A6BD7" w:rsidRPr="007F3DA2">
        <w:t>istory of psychiatry demonstrates that</w:t>
      </w:r>
      <w:r w:rsidR="00923E90">
        <w:rPr>
          <w:lang w:val="en-US"/>
        </w:rPr>
        <w:t xml:space="preserve"> the</w:t>
      </w:r>
      <w:r w:rsidR="002A6BD7" w:rsidRPr="007F3DA2">
        <w:t xml:space="preserve"> good intentions of </w:t>
      </w:r>
      <w:r w:rsidR="002A6BD7" w:rsidRPr="00EA09C4">
        <w:t xml:space="preserve">service providers </w:t>
      </w:r>
      <w:r w:rsidR="007B2F55" w:rsidRPr="00EA09C4">
        <w:rPr>
          <w:lang w:val="en-GB"/>
        </w:rPr>
        <w:t>can</w:t>
      </w:r>
      <w:r w:rsidR="007B2F55" w:rsidRPr="00EA09C4">
        <w:t xml:space="preserve"> </w:t>
      </w:r>
      <w:r w:rsidR="002A6BD7" w:rsidRPr="00EA09C4">
        <w:t>turn into violations of</w:t>
      </w:r>
      <w:r w:rsidR="00D90D7D">
        <w:rPr>
          <w:lang w:val="en-US"/>
        </w:rPr>
        <w:t xml:space="preserve"> the</w:t>
      </w:r>
      <w:r w:rsidR="002A6BD7" w:rsidRPr="00EA09C4">
        <w:t xml:space="preserve"> human rights of </w:t>
      </w:r>
      <w:r w:rsidRPr="00EA09C4">
        <w:t>service users</w:t>
      </w:r>
      <w:r w:rsidR="002A6BD7" w:rsidRPr="00EA09C4">
        <w:t>. The</w:t>
      </w:r>
      <w:r w:rsidR="002A6BD7" w:rsidRPr="007F3DA2">
        <w:t xml:space="preserve"> traditional argument</w:t>
      </w:r>
      <w:r w:rsidR="002B6B1E">
        <w:rPr>
          <w:lang w:val="en-US"/>
        </w:rPr>
        <w:t>s</w:t>
      </w:r>
      <w:r w:rsidR="002A6BD7" w:rsidRPr="007F3DA2">
        <w:t xml:space="preserve"> </w:t>
      </w:r>
      <w:r w:rsidR="00314EE8" w:rsidRPr="00B76FD9">
        <w:rPr>
          <w:lang w:val="en-GB"/>
        </w:rPr>
        <w:t xml:space="preserve">that </w:t>
      </w:r>
      <w:r w:rsidR="002A6BD7" w:rsidRPr="007F3DA2">
        <w:t xml:space="preserve">restrict </w:t>
      </w:r>
      <w:r w:rsidR="00912F5D" w:rsidRPr="00EA09C4">
        <w:rPr>
          <w:lang w:val="en-GB"/>
        </w:rPr>
        <w:t xml:space="preserve">the </w:t>
      </w:r>
      <w:r w:rsidR="002A6BD7" w:rsidRPr="007F3DA2">
        <w:t>human rights o</w:t>
      </w:r>
      <w:r w:rsidR="00314EE8" w:rsidRPr="00B76FD9">
        <w:rPr>
          <w:lang w:val="en-GB"/>
        </w:rPr>
        <w:t>f</w:t>
      </w:r>
      <w:r w:rsidR="002A6BD7" w:rsidRPr="007F3DA2">
        <w:t xml:space="preserve"> persons </w:t>
      </w:r>
      <w:r w:rsidRPr="007F3DA2">
        <w:t>diagnosed</w:t>
      </w:r>
      <w:r w:rsidR="002A6BD7" w:rsidRPr="007F3DA2">
        <w:t xml:space="preserve"> with </w:t>
      </w:r>
      <w:r w:rsidR="00314EE8" w:rsidRPr="00B76FD9">
        <w:rPr>
          <w:lang w:val="en-GB"/>
        </w:rPr>
        <w:t xml:space="preserve">psychosocial </w:t>
      </w:r>
      <w:r w:rsidR="00314EE8">
        <w:t xml:space="preserve">and intellectual </w:t>
      </w:r>
      <w:r w:rsidR="00314EE8" w:rsidRPr="00B76FD9">
        <w:rPr>
          <w:lang w:val="en-GB"/>
        </w:rPr>
        <w:t>disabilities</w:t>
      </w:r>
      <w:r w:rsidR="00912F5D">
        <w:rPr>
          <w:lang w:val="en-GB"/>
        </w:rPr>
        <w:t>, which are</w:t>
      </w:r>
      <w:r w:rsidR="00314EE8" w:rsidRPr="00314EE8">
        <w:rPr>
          <w:lang w:val="en-GB"/>
        </w:rPr>
        <w:t xml:space="preserve"> </w:t>
      </w:r>
      <w:r w:rsidR="00912F5D">
        <w:rPr>
          <w:lang w:val="en-US"/>
        </w:rPr>
        <w:t>based on</w:t>
      </w:r>
      <w:r w:rsidR="002B6B1E">
        <w:rPr>
          <w:lang w:val="en-US"/>
        </w:rPr>
        <w:t xml:space="preserve"> </w:t>
      </w:r>
      <w:r w:rsidR="00D90D7D">
        <w:rPr>
          <w:lang w:val="en-US"/>
        </w:rPr>
        <w:t xml:space="preserve">the </w:t>
      </w:r>
      <w:r w:rsidR="002B6B1E">
        <w:rPr>
          <w:lang w:val="en-US"/>
        </w:rPr>
        <w:t>medical necessity</w:t>
      </w:r>
      <w:r w:rsidR="00912F5D">
        <w:rPr>
          <w:lang w:val="en-US"/>
        </w:rPr>
        <w:t xml:space="preserve"> </w:t>
      </w:r>
      <w:r w:rsidR="002B6B1E">
        <w:rPr>
          <w:lang w:val="en-US"/>
        </w:rPr>
        <w:t>to provide th</w:t>
      </w:r>
      <w:r w:rsidR="00923E90">
        <w:rPr>
          <w:lang w:val="en-US"/>
        </w:rPr>
        <w:t>o</w:t>
      </w:r>
      <w:r w:rsidR="002B6B1E">
        <w:rPr>
          <w:lang w:val="en-US"/>
        </w:rPr>
        <w:t xml:space="preserve">se persons with necessary treatment and/or </w:t>
      </w:r>
      <w:r w:rsidR="002A6BD7" w:rsidRPr="007F3DA2">
        <w:t xml:space="preserve">to protect </w:t>
      </w:r>
      <w:r w:rsidR="002B6B1E">
        <w:rPr>
          <w:lang w:val="en-US"/>
        </w:rPr>
        <w:t xml:space="preserve">his/her or </w:t>
      </w:r>
      <w:r w:rsidR="002A6BD7" w:rsidRPr="007F3DA2">
        <w:t>public safety</w:t>
      </w:r>
      <w:r>
        <w:t xml:space="preserve">, </w:t>
      </w:r>
      <w:r w:rsidR="002B6B1E">
        <w:rPr>
          <w:lang w:val="en-US"/>
        </w:rPr>
        <w:t>are now</w:t>
      </w:r>
      <w:r>
        <w:t xml:space="preserve"> seriously being questioned</w:t>
      </w:r>
      <w:r w:rsidR="002B6B1E">
        <w:rPr>
          <w:lang w:val="en-US"/>
        </w:rPr>
        <w:t xml:space="preserve"> as</w:t>
      </w:r>
      <w:r w:rsidR="002A6BD7" w:rsidRPr="007F3DA2">
        <w:t xml:space="preserve"> </w:t>
      </w:r>
      <w:r w:rsidR="002B6B1E">
        <w:rPr>
          <w:lang w:val="en-US"/>
        </w:rPr>
        <w:t>they are not in</w:t>
      </w:r>
      <w:r w:rsidR="00982869">
        <w:rPr>
          <w:lang w:val="en-US"/>
        </w:rPr>
        <w:t xml:space="preserve"> </w:t>
      </w:r>
      <w:r w:rsidR="002B6B1E">
        <w:rPr>
          <w:lang w:val="en-US"/>
        </w:rPr>
        <w:t xml:space="preserve">conformity with the </w:t>
      </w:r>
      <w:r w:rsidR="00923E90">
        <w:rPr>
          <w:lang w:val="en-US"/>
        </w:rPr>
        <w:t>Convention</w:t>
      </w:r>
      <w:r w:rsidR="002B6B1E">
        <w:rPr>
          <w:lang w:val="en-US"/>
        </w:rPr>
        <w:t>.</w:t>
      </w:r>
    </w:p>
    <w:p w:rsidR="002A6BD7" w:rsidRPr="007F3DA2" w:rsidRDefault="00314EE8" w:rsidP="00D05FE0">
      <w:pPr>
        <w:pStyle w:val="SingleTxtG"/>
        <w:numPr>
          <w:ilvl w:val="0"/>
          <w:numId w:val="45"/>
        </w:numPr>
        <w:ind w:left="1134" w:firstLine="0"/>
      </w:pPr>
      <w:r w:rsidRPr="00B76FD9">
        <w:rPr>
          <w:lang w:val="en-GB"/>
        </w:rPr>
        <w:t>T</w:t>
      </w:r>
      <w:r w:rsidR="0022324E">
        <w:t xml:space="preserve">he Special Rapporteur believes that a </w:t>
      </w:r>
      <w:r w:rsidR="002A6BD7" w:rsidRPr="007F3DA2">
        <w:t xml:space="preserve">serious multi-stakeholder dialogue </w:t>
      </w:r>
      <w:r w:rsidR="0022324E">
        <w:t xml:space="preserve">about the future </w:t>
      </w:r>
      <w:r w:rsidR="00FB3E02">
        <w:rPr>
          <w:lang w:val="en-US"/>
        </w:rPr>
        <w:t xml:space="preserve">models and practices </w:t>
      </w:r>
      <w:r w:rsidR="0022324E">
        <w:t xml:space="preserve">of </w:t>
      </w:r>
      <w:r w:rsidR="002A6BD7" w:rsidRPr="007F3DA2">
        <w:t xml:space="preserve">psychiatry </w:t>
      </w:r>
      <w:r w:rsidR="0022324E">
        <w:t>is needed to address the situation</w:t>
      </w:r>
      <w:r w:rsidR="002A6BD7" w:rsidRPr="007F3DA2">
        <w:t xml:space="preserve"> in many countries </w:t>
      </w:r>
      <w:r w:rsidR="0022324E">
        <w:t>where</w:t>
      </w:r>
      <w:r w:rsidR="002A6BD7" w:rsidRPr="007F3DA2">
        <w:t xml:space="preserve"> exceptions</w:t>
      </w:r>
      <w:r w:rsidR="00FB3E02">
        <w:rPr>
          <w:lang w:val="en-US"/>
        </w:rPr>
        <w:t xml:space="preserve">, </w:t>
      </w:r>
      <w:r>
        <w:rPr>
          <w:lang w:val="en-US"/>
        </w:rPr>
        <w:t>allow</w:t>
      </w:r>
      <w:r w:rsidR="00A4732A">
        <w:rPr>
          <w:lang w:val="en-US"/>
        </w:rPr>
        <w:t>ing</w:t>
      </w:r>
      <w:r>
        <w:rPr>
          <w:lang w:val="en-US"/>
        </w:rPr>
        <w:t xml:space="preserve"> the </w:t>
      </w:r>
      <w:r w:rsidR="00FB3E02">
        <w:rPr>
          <w:lang w:val="en-US"/>
        </w:rPr>
        <w:t>restrict</w:t>
      </w:r>
      <w:r>
        <w:rPr>
          <w:lang w:val="en-US"/>
        </w:rPr>
        <w:t>ion of</w:t>
      </w:r>
      <w:r w:rsidR="00FB3E02">
        <w:rPr>
          <w:lang w:val="en-US"/>
        </w:rPr>
        <w:t xml:space="preserve"> </w:t>
      </w:r>
      <w:r w:rsidR="00D90D7D">
        <w:rPr>
          <w:lang w:val="en-US"/>
        </w:rPr>
        <w:t xml:space="preserve">the </w:t>
      </w:r>
      <w:r w:rsidR="00FB3E02">
        <w:rPr>
          <w:lang w:val="en-US"/>
        </w:rPr>
        <w:t xml:space="preserve">human rights of service users, </w:t>
      </w:r>
      <w:r w:rsidR="009178E8">
        <w:rPr>
          <w:lang w:val="en-US"/>
        </w:rPr>
        <w:t xml:space="preserve">sadly </w:t>
      </w:r>
      <w:r w:rsidR="002A6BD7" w:rsidRPr="007F3DA2">
        <w:t xml:space="preserve">turn into </w:t>
      </w:r>
      <w:r w:rsidR="0022324E">
        <w:t>rules</w:t>
      </w:r>
      <w:r w:rsidRPr="00B76FD9">
        <w:rPr>
          <w:lang w:val="en-GB"/>
        </w:rPr>
        <w:t>,</w:t>
      </w:r>
      <w:r w:rsidR="0022324E">
        <w:t xml:space="preserve"> and persons with </w:t>
      </w:r>
      <w:r w:rsidR="002A6BD7" w:rsidRPr="007F3DA2">
        <w:t>ps</w:t>
      </w:r>
      <w:r w:rsidR="0022324E">
        <w:t>ychosocial and intellectual dis</w:t>
      </w:r>
      <w:r w:rsidR="002A6BD7" w:rsidRPr="007F3DA2">
        <w:t xml:space="preserve">abilities suffer from systemic </w:t>
      </w:r>
      <w:r w:rsidR="00A4732A" w:rsidRPr="00EA09C4">
        <w:rPr>
          <w:lang w:val="en-GB"/>
        </w:rPr>
        <w:t xml:space="preserve">or ad hoc </w:t>
      </w:r>
      <w:r w:rsidR="002A6BD7" w:rsidRPr="007F3DA2">
        <w:t>violation</w:t>
      </w:r>
      <w:r w:rsidRPr="00B76FD9">
        <w:rPr>
          <w:lang w:val="en-GB"/>
        </w:rPr>
        <w:t>s</w:t>
      </w:r>
      <w:r w:rsidR="002A6BD7" w:rsidRPr="007F3DA2">
        <w:t xml:space="preserve"> of their </w:t>
      </w:r>
      <w:r w:rsidR="0022324E">
        <w:t>rights</w:t>
      </w:r>
      <w:r w:rsidR="00FB3E02">
        <w:rPr>
          <w:lang w:val="en-US"/>
        </w:rPr>
        <w:t>.</w:t>
      </w:r>
    </w:p>
    <w:p w:rsidR="002A6BD7" w:rsidRPr="003D5ADC" w:rsidRDefault="002A6BD7" w:rsidP="00D05FE0">
      <w:pPr>
        <w:pStyle w:val="SingleTxtG"/>
        <w:numPr>
          <w:ilvl w:val="0"/>
          <w:numId w:val="45"/>
        </w:numPr>
        <w:ind w:left="1134" w:firstLine="0"/>
        <w:rPr>
          <w:lang w:val="en-US"/>
        </w:rPr>
      </w:pPr>
      <w:r w:rsidRPr="007F3DA2">
        <w:t xml:space="preserve">A large number </w:t>
      </w:r>
      <w:r w:rsidR="0022324E">
        <w:t xml:space="preserve">of </w:t>
      </w:r>
      <w:r w:rsidRPr="007F3DA2">
        <w:t>person</w:t>
      </w:r>
      <w:r w:rsidR="0022324E">
        <w:t>s</w:t>
      </w:r>
      <w:r w:rsidRPr="007F3DA2">
        <w:t xml:space="preserve"> with psychosocial disabilities are deprived of their liberty in closed institutions and are deprived of legal capacity on the ground</w:t>
      </w:r>
      <w:r w:rsidR="0022324E">
        <w:t>s</w:t>
      </w:r>
      <w:r w:rsidRPr="007F3DA2">
        <w:t xml:space="preserve"> of their medical diagnosis</w:t>
      </w:r>
      <w:r w:rsidR="0022324E">
        <w:t>. This</w:t>
      </w:r>
      <w:r w:rsidRPr="007F3DA2">
        <w:t xml:space="preserve"> is an illustration of </w:t>
      </w:r>
      <w:r w:rsidR="0022324E">
        <w:t xml:space="preserve">the </w:t>
      </w:r>
      <w:r w:rsidRPr="007F3DA2">
        <w:t>misus</w:t>
      </w:r>
      <w:r w:rsidR="0022324E">
        <w:t>e of the</w:t>
      </w:r>
      <w:r w:rsidRPr="007F3DA2">
        <w:t xml:space="preserve"> science </w:t>
      </w:r>
      <w:r w:rsidR="008B4716">
        <w:rPr>
          <w:lang w:val="en-US"/>
        </w:rPr>
        <w:t xml:space="preserve">and practice </w:t>
      </w:r>
      <w:r w:rsidRPr="007F3DA2">
        <w:t xml:space="preserve">of medicine, </w:t>
      </w:r>
      <w:r w:rsidR="0022324E">
        <w:t xml:space="preserve">and </w:t>
      </w:r>
      <w:r w:rsidR="00314EE8" w:rsidRPr="00B76FD9">
        <w:rPr>
          <w:lang w:val="en-GB"/>
        </w:rPr>
        <w:t xml:space="preserve">it </w:t>
      </w:r>
      <w:r w:rsidR="0022324E">
        <w:t>highlights the need to re-evaluate th</w:t>
      </w:r>
      <w:r w:rsidRPr="007F3DA2">
        <w:t xml:space="preserve">e role of </w:t>
      </w:r>
      <w:r w:rsidR="0022324E">
        <w:t>the current</w:t>
      </w:r>
      <w:r w:rsidR="00813F20">
        <w:t xml:space="preserve"> </w:t>
      </w:r>
      <w:r w:rsidR="00FB3E02" w:rsidRPr="00FB3E02">
        <w:rPr>
          <w:lang w:val="en-US"/>
        </w:rPr>
        <w:t>bio</w:t>
      </w:r>
      <w:r w:rsidRPr="007F3DA2">
        <w:t>medical model</w:t>
      </w:r>
      <w:r w:rsidR="0022324E">
        <w:t xml:space="preserve"> as dominating the mental</w:t>
      </w:r>
      <w:r w:rsidR="00923E90">
        <w:rPr>
          <w:lang w:val="en-US"/>
        </w:rPr>
        <w:t>-</w:t>
      </w:r>
      <w:r w:rsidR="0022324E">
        <w:t>health</w:t>
      </w:r>
      <w:r w:rsidR="00FB3E02" w:rsidRPr="00FB3E02">
        <w:rPr>
          <w:lang w:val="en-US"/>
        </w:rPr>
        <w:t xml:space="preserve"> scene</w:t>
      </w:r>
      <w:r w:rsidRPr="007F3DA2">
        <w:t xml:space="preserve">. </w:t>
      </w:r>
      <w:r w:rsidR="00243AAF">
        <w:rPr>
          <w:lang w:val="en-US"/>
        </w:rPr>
        <w:t>Alternative models</w:t>
      </w:r>
      <w:r w:rsidR="00314EE8">
        <w:rPr>
          <w:lang w:val="en-US"/>
        </w:rPr>
        <w:t>, with</w:t>
      </w:r>
      <w:r w:rsidR="00486530">
        <w:rPr>
          <w:lang w:val="en-US"/>
        </w:rPr>
        <w:t xml:space="preserve"> a</w:t>
      </w:r>
      <w:r w:rsidR="00314EE8">
        <w:rPr>
          <w:lang w:val="en-US"/>
        </w:rPr>
        <w:t xml:space="preserve"> strong </w:t>
      </w:r>
      <w:r w:rsidR="0078287E">
        <w:rPr>
          <w:lang w:val="en-US"/>
        </w:rPr>
        <w:t xml:space="preserve">focus on </w:t>
      </w:r>
      <w:r w:rsidR="00314EE8">
        <w:rPr>
          <w:lang w:val="en-US"/>
        </w:rPr>
        <w:t>human rights</w:t>
      </w:r>
      <w:r w:rsidR="0078287E">
        <w:rPr>
          <w:lang w:val="en-US"/>
        </w:rPr>
        <w:t>, experiences and relationships</w:t>
      </w:r>
      <w:r w:rsidR="00B63B15">
        <w:rPr>
          <w:lang w:val="en-US"/>
        </w:rPr>
        <w:t xml:space="preserve"> and which take</w:t>
      </w:r>
      <w:r w:rsidR="0078287E">
        <w:rPr>
          <w:lang w:val="en-US"/>
        </w:rPr>
        <w:t xml:space="preserve"> social context</w:t>
      </w:r>
      <w:r w:rsidR="00B63B15">
        <w:rPr>
          <w:lang w:val="en-US"/>
        </w:rPr>
        <w:t>s</w:t>
      </w:r>
      <w:r w:rsidR="0078287E">
        <w:rPr>
          <w:lang w:val="en-US"/>
        </w:rPr>
        <w:t xml:space="preserve"> into account,</w:t>
      </w:r>
      <w:r w:rsidR="00B63B15">
        <w:rPr>
          <w:lang w:val="en-US"/>
        </w:rPr>
        <w:t xml:space="preserve"> </w:t>
      </w:r>
      <w:r w:rsidR="00243AAF">
        <w:rPr>
          <w:lang w:val="en-US"/>
        </w:rPr>
        <w:t xml:space="preserve">should be considered </w:t>
      </w:r>
      <w:r w:rsidR="00314EE8">
        <w:rPr>
          <w:lang w:val="en-US"/>
        </w:rPr>
        <w:t xml:space="preserve">to </w:t>
      </w:r>
      <w:r w:rsidR="00A4732A">
        <w:rPr>
          <w:lang w:val="en-US"/>
        </w:rPr>
        <w:t>advance</w:t>
      </w:r>
      <w:r w:rsidR="00314EE8">
        <w:rPr>
          <w:lang w:val="en-US"/>
        </w:rPr>
        <w:t xml:space="preserve"> current </w:t>
      </w:r>
      <w:r w:rsidR="00243AAF">
        <w:rPr>
          <w:lang w:val="en-US"/>
        </w:rPr>
        <w:t>research and practice.</w:t>
      </w:r>
    </w:p>
    <w:p w:rsidR="00E848BF" w:rsidRPr="00A04ABE" w:rsidRDefault="00A05605" w:rsidP="00CB75BE">
      <w:pPr>
        <w:pStyle w:val="SingleTxtG"/>
        <w:numPr>
          <w:ilvl w:val="0"/>
          <w:numId w:val="45"/>
        </w:numPr>
        <w:ind w:left="1134" w:firstLine="0"/>
        <w:rPr>
          <w:lang w:val="en-GB"/>
        </w:rPr>
      </w:pPr>
      <w:r>
        <w:rPr>
          <w:lang w:val="en-US"/>
        </w:rPr>
        <w:t>T</w:t>
      </w:r>
      <w:r w:rsidR="002A6BD7" w:rsidRPr="003D5ADC">
        <w:rPr>
          <w:lang w:val="en-US"/>
        </w:rPr>
        <w:t>he issue of</w:t>
      </w:r>
      <w:r w:rsidR="002A6BD7" w:rsidRPr="007F3DA2">
        <w:t xml:space="preserve"> shared responsibility</w:t>
      </w:r>
      <w:r w:rsidR="00FB3E02">
        <w:rPr>
          <w:lang w:val="en-US"/>
        </w:rPr>
        <w:t xml:space="preserve"> </w:t>
      </w:r>
      <w:r w:rsidR="00486530">
        <w:rPr>
          <w:lang w:val="en-US"/>
        </w:rPr>
        <w:t xml:space="preserve">is </w:t>
      </w:r>
      <w:r w:rsidR="00FB3E02">
        <w:rPr>
          <w:lang w:val="en-US"/>
        </w:rPr>
        <w:t>as a crucial one</w:t>
      </w:r>
      <w:r w:rsidR="002A6BD7" w:rsidRPr="007F3DA2">
        <w:t>. Representatives of professional</w:t>
      </w:r>
      <w:r w:rsidRPr="00B76FD9">
        <w:rPr>
          <w:lang w:val="en-GB"/>
        </w:rPr>
        <w:t xml:space="preserve"> </w:t>
      </w:r>
      <w:r>
        <w:rPr>
          <w:lang w:val="en-GB"/>
        </w:rPr>
        <w:t>health</w:t>
      </w:r>
      <w:r w:rsidR="00486530">
        <w:rPr>
          <w:lang w:val="en-GB"/>
        </w:rPr>
        <w:t>-</w:t>
      </w:r>
      <w:r>
        <w:rPr>
          <w:lang w:val="en-GB"/>
        </w:rPr>
        <w:t>care</w:t>
      </w:r>
      <w:r w:rsidR="002A6BD7" w:rsidRPr="007F3DA2">
        <w:t xml:space="preserve"> groups</w:t>
      </w:r>
      <w:r w:rsidRPr="00B76FD9">
        <w:rPr>
          <w:lang w:val="en-GB"/>
        </w:rPr>
        <w:t>, including</w:t>
      </w:r>
      <w:r w:rsidR="002A6BD7" w:rsidRPr="003D5ADC">
        <w:rPr>
          <w:lang w:val="en-US"/>
        </w:rPr>
        <w:t xml:space="preserve"> </w:t>
      </w:r>
      <w:r w:rsidR="00314EE8" w:rsidRPr="003D5ADC">
        <w:rPr>
          <w:lang w:val="en-US"/>
        </w:rPr>
        <w:t>psychiatry</w:t>
      </w:r>
      <w:r w:rsidR="00B63B15">
        <w:rPr>
          <w:lang w:val="en-US"/>
        </w:rPr>
        <w:t>,</w:t>
      </w:r>
      <w:r w:rsidR="002A6BD7" w:rsidRPr="007F3DA2">
        <w:t xml:space="preserve"> should agree that </w:t>
      </w:r>
      <w:r w:rsidR="00A4732A" w:rsidRPr="00EA09C4">
        <w:rPr>
          <w:lang w:val="en-GB"/>
        </w:rPr>
        <w:t>it</w:t>
      </w:r>
      <w:r w:rsidR="002A6BD7" w:rsidRPr="007F3DA2">
        <w:t xml:space="preserve"> is i</w:t>
      </w:r>
      <w:r w:rsidR="002A6BD7" w:rsidRPr="003D5ADC">
        <w:rPr>
          <w:lang w:val="en-US"/>
        </w:rPr>
        <w:t xml:space="preserve">n </w:t>
      </w:r>
      <w:r w:rsidR="00486530">
        <w:rPr>
          <w:lang w:val="en-US"/>
        </w:rPr>
        <w:t>the</w:t>
      </w:r>
      <w:r w:rsidR="002A6BD7" w:rsidRPr="003D5ADC">
        <w:rPr>
          <w:lang w:val="en-US"/>
        </w:rPr>
        <w:t xml:space="preserve"> in</w:t>
      </w:r>
      <w:r w:rsidR="002A6BD7" w:rsidRPr="007F3DA2">
        <w:t>terest</w:t>
      </w:r>
      <w:r w:rsidR="00486530">
        <w:rPr>
          <w:lang w:val="en-US"/>
        </w:rPr>
        <w:t xml:space="preserve"> of all</w:t>
      </w:r>
      <w:r w:rsidR="002A6BD7" w:rsidRPr="007F3DA2">
        <w:t xml:space="preserve"> to </w:t>
      </w:r>
      <w:r w:rsidR="009178E8">
        <w:rPr>
          <w:lang w:val="en-US"/>
        </w:rPr>
        <w:t>de-monopolize</w:t>
      </w:r>
      <w:r>
        <w:rPr>
          <w:lang w:val="en-US"/>
        </w:rPr>
        <w:t xml:space="preserve"> </w:t>
      </w:r>
      <w:r w:rsidR="00486530">
        <w:rPr>
          <w:lang w:val="en-US"/>
        </w:rPr>
        <w:t xml:space="preserve">the </w:t>
      </w:r>
      <w:r w:rsidR="009178E8">
        <w:rPr>
          <w:lang w:val="en-US"/>
        </w:rPr>
        <w:t>de</w:t>
      </w:r>
      <w:r w:rsidR="009178E8" w:rsidRPr="00FB3E02">
        <w:rPr>
          <w:lang w:val="en-US"/>
        </w:rPr>
        <w:t xml:space="preserve">cision-making </w:t>
      </w:r>
      <w:r w:rsidR="009178E8">
        <w:rPr>
          <w:lang w:val="en-US"/>
        </w:rPr>
        <w:t>process and to</w:t>
      </w:r>
      <w:r>
        <w:rPr>
          <w:lang w:val="en-US"/>
        </w:rPr>
        <w:t xml:space="preserve"> </w:t>
      </w:r>
      <w:r w:rsidR="009178E8">
        <w:rPr>
          <w:lang w:val="en-US"/>
        </w:rPr>
        <w:t xml:space="preserve">develop mechanisms </w:t>
      </w:r>
      <w:r w:rsidR="00486530">
        <w:rPr>
          <w:lang w:val="en-US"/>
        </w:rPr>
        <w:t xml:space="preserve">for </w:t>
      </w:r>
      <w:r w:rsidR="002A6BD7" w:rsidRPr="007F3DA2">
        <w:t>shar</w:t>
      </w:r>
      <w:r w:rsidR="00486530">
        <w:rPr>
          <w:lang w:val="en-US"/>
        </w:rPr>
        <w:t>ing</w:t>
      </w:r>
      <w:r w:rsidR="009178E8">
        <w:rPr>
          <w:lang w:val="en-US"/>
        </w:rPr>
        <w:t xml:space="preserve"> competence</w:t>
      </w:r>
      <w:r w:rsidR="00B463E8">
        <w:rPr>
          <w:lang w:val="en-US"/>
        </w:rPr>
        <w:t>s</w:t>
      </w:r>
      <w:r w:rsidR="009178E8">
        <w:rPr>
          <w:lang w:val="en-US"/>
        </w:rPr>
        <w:t xml:space="preserve"> and </w:t>
      </w:r>
      <w:r w:rsidR="002A6BD7" w:rsidRPr="007F3DA2">
        <w:t>res</w:t>
      </w:r>
      <w:r w:rsidR="00E848BF">
        <w:t>ponsibilit</w:t>
      </w:r>
      <w:r w:rsidR="00B463E8">
        <w:rPr>
          <w:lang w:val="en-US"/>
        </w:rPr>
        <w:t>ies</w:t>
      </w:r>
      <w:r w:rsidR="00E848BF">
        <w:t xml:space="preserve"> </w:t>
      </w:r>
      <w:r w:rsidR="009178E8">
        <w:rPr>
          <w:lang w:val="en-US"/>
        </w:rPr>
        <w:t>between actors</w:t>
      </w:r>
      <w:r w:rsidR="00E848BF">
        <w:t>,</w:t>
      </w:r>
      <w:r w:rsidR="00486530">
        <w:rPr>
          <w:lang w:val="en-US"/>
        </w:rPr>
        <w:t xml:space="preserve"> </w:t>
      </w:r>
      <w:r w:rsidR="002A6BD7" w:rsidRPr="007F3DA2">
        <w:t xml:space="preserve">including </w:t>
      </w:r>
      <w:r w:rsidR="009178E8">
        <w:rPr>
          <w:lang w:val="en-US"/>
        </w:rPr>
        <w:t>providers and</w:t>
      </w:r>
      <w:r w:rsidR="00813F20">
        <w:rPr>
          <w:lang w:val="en-US"/>
        </w:rPr>
        <w:t xml:space="preserve"> </w:t>
      </w:r>
      <w:r w:rsidR="002A6BD7" w:rsidRPr="007F3DA2">
        <w:t>users of services, policymakers and</w:t>
      </w:r>
      <w:r w:rsidR="00813F20">
        <w:t xml:space="preserve"> </w:t>
      </w:r>
      <w:r w:rsidR="002A6BD7" w:rsidRPr="007F3DA2">
        <w:t>civil society.</w:t>
      </w:r>
    </w:p>
    <w:p w:rsidR="008E231B" w:rsidRDefault="007B55EB" w:rsidP="00AF0671">
      <w:pPr>
        <w:pStyle w:val="H1G"/>
      </w:pPr>
      <w:r>
        <w:tab/>
        <w:t>F</w:t>
      </w:r>
      <w:r w:rsidR="00AF0671">
        <w:t>.</w:t>
      </w:r>
      <w:r w:rsidR="00AF0671">
        <w:tab/>
      </w:r>
      <w:r w:rsidR="002A6BD7" w:rsidRPr="002462FB">
        <w:t xml:space="preserve">Violence as a major obstacle for </w:t>
      </w:r>
      <w:r w:rsidR="003C138A">
        <w:t xml:space="preserve">the </w:t>
      </w:r>
      <w:r w:rsidR="002A6BD7" w:rsidRPr="002462FB">
        <w:t xml:space="preserve">realization of the right to health </w:t>
      </w:r>
    </w:p>
    <w:p w:rsidR="002A6BD7" w:rsidRPr="00D05FE0" w:rsidRDefault="002A6BD7" w:rsidP="00CB75BE">
      <w:pPr>
        <w:pStyle w:val="SingleTxtG"/>
        <w:numPr>
          <w:ilvl w:val="0"/>
          <w:numId w:val="45"/>
        </w:numPr>
        <w:ind w:left="1134" w:firstLine="0"/>
        <w:rPr>
          <w:lang w:val="en-US"/>
        </w:rPr>
      </w:pPr>
      <w:r w:rsidRPr="007F3DA2">
        <w:t xml:space="preserve">Protection from all forms of violence is considered by the </w:t>
      </w:r>
      <w:r w:rsidR="00E848BF">
        <w:t>Special Rapporteur</w:t>
      </w:r>
      <w:r w:rsidRPr="007F3DA2">
        <w:t xml:space="preserve"> as a cross-cutting issue </w:t>
      </w:r>
      <w:r w:rsidR="00E848BF">
        <w:t>present in</w:t>
      </w:r>
      <w:r w:rsidRPr="007F3DA2">
        <w:t xml:space="preserve"> all key elements of the realization of the right to health.</w:t>
      </w:r>
      <w:r w:rsidR="00813F20">
        <w:t xml:space="preserve"> </w:t>
      </w:r>
      <w:r w:rsidR="00996405" w:rsidRPr="00EA09C4">
        <w:rPr>
          <w:lang w:val="en-GB"/>
        </w:rPr>
        <w:t xml:space="preserve">As the </w:t>
      </w:r>
      <w:r w:rsidR="00996405">
        <w:rPr>
          <w:lang w:val="en-GB"/>
        </w:rPr>
        <w:t>U</w:t>
      </w:r>
      <w:r w:rsidR="00486530">
        <w:rPr>
          <w:lang w:val="en-GB"/>
        </w:rPr>
        <w:t xml:space="preserve">nited </w:t>
      </w:r>
      <w:r w:rsidR="00996405">
        <w:rPr>
          <w:lang w:val="en-GB"/>
        </w:rPr>
        <w:t>N</w:t>
      </w:r>
      <w:r w:rsidR="00486530">
        <w:rPr>
          <w:lang w:val="en-GB"/>
        </w:rPr>
        <w:t>ations</w:t>
      </w:r>
      <w:r w:rsidR="00996405">
        <w:rPr>
          <w:lang w:val="en-GB"/>
        </w:rPr>
        <w:t xml:space="preserve"> </w:t>
      </w:r>
      <w:r w:rsidR="00996405" w:rsidRPr="00EA09C4">
        <w:rPr>
          <w:lang w:val="en-GB"/>
        </w:rPr>
        <w:t xml:space="preserve">High Commissioner </w:t>
      </w:r>
      <w:r w:rsidR="00996405">
        <w:rPr>
          <w:lang w:val="en-GB"/>
        </w:rPr>
        <w:t xml:space="preserve">for Human Rights </w:t>
      </w:r>
      <w:r w:rsidR="00996405" w:rsidRPr="00EA09C4">
        <w:rPr>
          <w:lang w:val="en-GB"/>
        </w:rPr>
        <w:t xml:space="preserve">has recently </w:t>
      </w:r>
      <w:r w:rsidR="00996405" w:rsidRPr="00996405">
        <w:rPr>
          <w:lang w:val="en-GB"/>
        </w:rPr>
        <w:t>underlined</w:t>
      </w:r>
      <w:r w:rsidR="00996405" w:rsidRPr="00EA09C4">
        <w:rPr>
          <w:lang w:val="en-GB"/>
        </w:rPr>
        <w:t xml:space="preserve">, </w:t>
      </w:r>
      <w:r w:rsidR="00996405">
        <w:rPr>
          <w:lang w:val="en-GB"/>
        </w:rPr>
        <w:t xml:space="preserve">violence and </w:t>
      </w:r>
      <w:r w:rsidR="00996405" w:rsidRPr="00EA09C4">
        <w:rPr>
          <w:lang w:val="en-GB"/>
        </w:rPr>
        <w:t xml:space="preserve">human rights violations </w:t>
      </w:r>
      <w:r w:rsidR="00996405">
        <w:rPr>
          <w:lang w:val="en-GB"/>
        </w:rPr>
        <w:t>are often rooted in the deprivation and discrimination of individuals and communities.</w:t>
      </w:r>
      <w:r w:rsidR="00813F20">
        <w:rPr>
          <w:lang w:val="en-GB"/>
        </w:rPr>
        <w:t xml:space="preserve"> </w:t>
      </w:r>
      <w:r w:rsidR="00996405">
        <w:rPr>
          <w:lang w:val="en-GB"/>
        </w:rPr>
        <w:t>Such violations are not generated spontaneously but “result from policy choices which limit freedoms and participation, and create obstacles to the fair sharing of resources and opportunities”.</w:t>
      </w:r>
      <w:r w:rsidR="00EA323E">
        <w:rPr>
          <w:rStyle w:val="FootnoteReference"/>
          <w:lang w:val="en-GB"/>
        </w:rPr>
        <w:footnoteReference w:id="10"/>
      </w:r>
      <w:r w:rsidR="00813F20">
        <w:rPr>
          <w:lang w:val="en-GB"/>
        </w:rPr>
        <w:t xml:space="preserve"> </w:t>
      </w:r>
      <w:r w:rsidR="00B30D61" w:rsidRPr="00EA09C4">
        <w:rPr>
          <w:lang w:val="en-GB"/>
        </w:rPr>
        <w:t>V</w:t>
      </w:r>
      <w:r w:rsidRPr="007F3DA2">
        <w:t>iolence needs to be addressed in a comprehensive and proactive way</w:t>
      </w:r>
      <w:r w:rsidR="00E848BF">
        <w:t>, not only as a</w:t>
      </w:r>
      <w:r w:rsidRPr="007F3DA2">
        <w:t xml:space="preserve"> cause of serious violations of human rights, but also as a consequence of</w:t>
      </w:r>
      <w:r w:rsidR="00486530">
        <w:rPr>
          <w:lang w:val="en-US"/>
        </w:rPr>
        <w:t xml:space="preserve"> a</w:t>
      </w:r>
      <w:r w:rsidR="00E848BF">
        <w:t xml:space="preserve"> lack of politic</w:t>
      </w:r>
      <w:r w:rsidRPr="007F3DA2">
        <w:t>al</w:t>
      </w:r>
      <w:r w:rsidR="00E848BF">
        <w:t xml:space="preserve"> will to effectively invest in </w:t>
      </w:r>
      <w:r w:rsidR="00996405" w:rsidRPr="00EA09C4">
        <w:rPr>
          <w:lang w:val="en-GB"/>
        </w:rPr>
        <w:t xml:space="preserve">human rights, including </w:t>
      </w:r>
      <w:r w:rsidR="00996405">
        <w:rPr>
          <w:lang w:val="en-GB"/>
        </w:rPr>
        <w:t xml:space="preserve">the </w:t>
      </w:r>
      <w:r w:rsidR="00996405" w:rsidRPr="00D05FE0">
        <w:rPr>
          <w:lang w:val="en-US"/>
        </w:rPr>
        <w:t xml:space="preserve">right to </w:t>
      </w:r>
      <w:r w:rsidRPr="00D05FE0">
        <w:rPr>
          <w:lang w:val="en-US"/>
        </w:rPr>
        <w:t>health.</w:t>
      </w:r>
    </w:p>
    <w:p w:rsidR="00E848BF" w:rsidRDefault="00B63B15" w:rsidP="00CB75BE">
      <w:pPr>
        <w:pStyle w:val="SingleTxtG"/>
        <w:numPr>
          <w:ilvl w:val="0"/>
          <w:numId w:val="45"/>
        </w:numPr>
        <w:ind w:left="1134" w:firstLine="0"/>
      </w:pPr>
      <w:r w:rsidRPr="00EA09C4">
        <w:rPr>
          <w:lang w:val="en-GB"/>
        </w:rPr>
        <w:t xml:space="preserve">It </w:t>
      </w:r>
      <w:r w:rsidRPr="00A35F6C">
        <w:rPr>
          <w:lang w:val="en-GB"/>
        </w:rPr>
        <w:t>was</w:t>
      </w:r>
      <w:r w:rsidR="00486530">
        <w:rPr>
          <w:lang w:val="en-GB"/>
        </w:rPr>
        <w:t xml:space="preserve"> not</w:t>
      </w:r>
      <w:r>
        <w:rPr>
          <w:lang w:val="en-GB"/>
        </w:rPr>
        <w:t xml:space="preserve"> </w:t>
      </w:r>
      <w:r w:rsidRPr="00EA09C4">
        <w:rPr>
          <w:lang w:val="en-GB"/>
        </w:rPr>
        <w:t>u</w:t>
      </w:r>
      <w:r w:rsidR="002A6BD7" w:rsidRPr="007F3DA2">
        <w:t xml:space="preserve">ntil the end </w:t>
      </w:r>
      <w:r w:rsidR="00E848BF">
        <w:t>of the</w:t>
      </w:r>
      <w:r w:rsidR="002A6BD7" w:rsidRPr="007F3DA2">
        <w:t xml:space="preserve"> </w:t>
      </w:r>
      <w:r w:rsidR="00486530">
        <w:rPr>
          <w:lang w:val="en-US"/>
        </w:rPr>
        <w:t>twentieth</w:t>
      </w:r>
      <w:r w:rsidR="002A6BD7" w:rsidRPr="007F3DA2">
        <w:t xml:space="preserve"> century </w:t>
      </w:r>
      <w:r w:rsidRPr="00EA09C4">
        <w:rPr>
          <w:lang w:val="en-GB"/>
        </w:rPr>
        <w:t xml:space="preserve">that </w:t>
      </w:r>
      <w:r w:rsidR="00486530">
        <w:rPr>
          <w:lang w:val="en-US"/>
        </w:rPr>
        <w:t>the</w:t>
      </w:r>
      <w:r w:rsidR="002A6BD7" w:rsidRPr="007F3DA2">
        <w:t xml:space="preserve"> close link between violence and health</w:t>
      </w:r>
      <w:r w:rsidR="00486530">
        <w:rPr>
          <w:lang w:val="en-US"/>
        </w:rPr>
        <w:t xml:space="preserve"> began to be sufficiently understood</w:t>
      </w:r>
      <w:r w:rsidR="002A6BD7" w:rsidRPr="007F3DA2">
        <w:t>.</w:t>
      </w:r>
      <w:r w:rsidR="00813F20">
        <w:t xml:space="preserve"> </w:t>
      </w:r>
      <w:r w:rsidR="002A6BD7" w:rsidRPr="007F3DA2">
        <w:t xml:space="preserve">Interestingly, as health and human rights </w:t>
      </w:r>
      <w:r w:rsidR="00E848BF">
        <w:t>came</w:t>
      </w:r>
      <w:r w:rsidR="002A6BD7" w:rsidRPr="007F3DA2">
        <w:t xml:space="preserve"> closer</w:t>
      </w:r>
      <w:r w:rsidR="00E848BF">
        <w:t xml:space="preserve">, a similar tendency </w:t>
      </w:r>
      <w:r w:rsidR="00486530">
        <w:rPr>
          <w:lang w:val="en-US"/>
        </w:rPr>
        <w:t>could</w:t>
      </w:r>
      <w:r w:rsidR="00486530" w:rsidRPr="007F3DA2">
        <w:t xml:space="preserve"> </w:t>
      </w:r>
      <w:r w:rsidR="002A6BD7" w:rsidRPr="007F3DA2">
        <w:t xml:space="preserve">be observed </w:t>
      </w:r>
      <w:r w:rsidR="008E231B">
        <w:rPr>
          <w:lang w:val="en-US"/>
        </w:rPr>
        <w:t>by the turn of centur</w:t>
      </w:r>
      <w:r>
        <w:rPr>
          <w:lang w:val="en-US"/>
        </w:rPr>
        <w:t>y</w:t>
      </w:r>
      <w:r w:rsidR="008E231B">
        <w:rPr>
          <w:lang w:val="en-US"/>
        </w:rPr>
        <w:t xml:space="preserve"> </w:t>
      </w:r>
      <w:r w:rsidR="00E848BF">
        <w:t xml:space="preserve">when </w:t>
      </w:r>
      <w:r w:rsidR="002A6BD7" w:rsidRPr="007F3DA2">
        <w:t xml:space="preserve">violence </w:t>
      </w:r>
      <w:r w:rsidR="00486530">
        <w:rPr>
          <w:lang w:val="en-GB"/>
        </w:rPr>
        <w:t>wa</w:t>
      </w:r>
      <w:r w:rsidR="00F073F7" w:rsidRPr="00B76FD9">
        <w:rPr>
          <w:lang w:val="en-GB"/>
        </w:rPr>
        <w:t xml:space="preserve">s finally seen </w:t>
      </w:r>
      <w:r w:rsidR="002A6BD7" w:rsidRPr="007F3DA2">
        <w:t xml:space="preserve">as a public health </w:t>
      </w:r>
      <w:r w:rsidR="00F073F7" w:rsidRPr="00B76FD9">
        <w:rPr>
          <w:lang w:val="en-GB"/>
        </w:rPr>
        <w:t>concern</w:t>
      </w:r>
      <w:r w:rsidR="002A6BD7" w:rsidRPr="007F3DA2">
        <w:t xml:space="preserve">. </w:t>
      </w:r>
      <w:r w:rsidR="0084537A" w:rsidRPr="007F3DA2">
        <w:t>In 1996</w:t>
      </w:r>
      <w:r w:rsidR="0084537A">
        <w:t>, the World Health Assembly declared violence as “</w:t>
      </w:r>
      <w:r w:rsidR="0084537A" w:rsidRPr="007F3DA2">
        <w:t xml:space="preserve">a leading </w:t>
      </w:r>
      <w:r w:rsidR="0084537A">
        <w:t>worldwide public health problem”</w:t>
      </w:r>
      <w:r w:rsidR="00E924AC" w:rsidRPr="00840D9F">
        <w:rPr>
          <w:lang w:val="en-US"/>
        </w:rPr>
        <w:t>.</w:t>
      </w:r>
      <w:r w:rsidR="0084537A">
        <w:rPr>
          <w:rStyle w:val="FootnoteReference"/>
        </w:rPr>
        <w:footnoteReference w:id="11"/>
      </w:r>
      <w:r w:rsidR="00813F20">
        <w:t xml:space="preserve"> </w:t>
      </w:r>
      <w:r w:rsidR="0084537A">
        <w:t>Since then, the burden of violence</w:t>
      </w:r>
      <w:r w:rsidR="0084537A" w:rsidRPr="00B76FD9">
        <w:rPr>
          <w:lang w:val="en-GB"/>
        </w:rPr>
        <w:t xml:space="preserve"> has been documented</w:t>
      </w:r>
      <w:r w:rsidR="0084537A" w:rsidRPr="007F3DA2">
        <w:t xml:space="preserve"> </w:t>
      </w:r>
      <w:r w:rsidR="0084537A" w:rsidRPr="00B76FD9">
        <w:rPr>
          <w:lang w:val="en-GB"/>
        </w:rPr>
        <w:t>and</w:t>
      </w:r>
      <w:r w:rsidR="0084537A" w:rsidRPr="007F3DA2">
        <w:t xml:space="preserve"> the effectivene</w:t>
      </w:r>
      <w:r w:rsidR="0084537A">
        <w:t>ss of program</w:t>
      </w:r>
      <w:r w:rsidR="00486530">
        <w:rPr>
          <w:lang w:val="en-US"/>
        </w:rPr>
        <w:t>me</w:t>
      </w:r>
      <w:r w:rsidR="0084537A">
        <w:t>s</w:t>
      </w:r>
      <w:r w:rsidR="0084537A" w:rsidRPr="00B76FD9">
        <w:rPr>
          <w:lang w:val="en-GB"/>
        </w:rPr>
        <w:t>,</w:t>
      </w:r>
      <w:r w:rsidR="0084537A">
        <w:t xml:space="preserve"> with particular</w:t>
      </w:r>
      <w:r w:rsidR="0084537A" w:rsidRPr="007F3DA2">
        <w:t xml:space="preserve"> attention</w:t>
      </w:r>
      <w:r w:rsidR="00486530">
        <w:rPr>
          <w:lang w:val="en-US"/>
        </w:rPr>
        <w:t xml:space="preserve"> devoted</w:t>
      </w:r>
      <w:r w:rsidR="0084537A" w:rsidRPr="007F3DA2">
        <w:t xml:space="preserve"> to women and children </w:t>
      </w:r>
      <w:r w:rsidR="0084537A">
        <w:t>and community</w:t>
      </w:r>
      <w:r w:rsidR="00486530">
        <w:rPr>
          <w:lang w:val="en-US"/>
        </w:rPr>
        <w:t>-</w:t>
      </w:r>
      <w:r w:rsidR="0084537A">
        <w:t>based initiatives</w:t>
      </w:r>
      <w:r w:rsidR="000000ED">
        <w:rPr>
          <w:lang w:val="en-US"/>
        </w:rPr>
        <w:t>,</w:t>
      </w:r>
      <w:r w:rsidR="0084537A" w:rsidRPr="00B76FD9">
        <w:rPr>
          <w:lang w:val="en-GB"/>
        </w:rPr>
        <w:t xml:space="preserve"> has been asse</w:t>
      </w:r>
      <w:r w:rsidR="0084537A">
        <w:rPr>
          <w:lang w:val="en-GB"/>
        </w:rPr>
        <w:t>sse</w:t>
      </w:r>
      <w:r w:rsidR="0084537A" w:rsidRPr="00B76FD9">
        <w:rPr>
          <w:lang w:val="en-GB"/>
        </w:rPr>
        <w:t>d</w:t>
      </w:r>
      <w:r w:rsidR="0084537A">
        <w:rPr>
          <w:lang w:val="en-US"/>
        </w:rPr>
        <w:t>.</w:t>
      </w:r>
    </w:p>
    <w:p w:rsidR="001C2524" w:rsidRDefault="00A328AC" w:rsidP="00D05FE0">
      <w:pPr>
        <w:pStyle w:val="SingleTxtG"/>
        <w:numPr>
          <w:ilvl w:val="0"/>
          <w:numId w:val="45"/>
        </w:numPr>
        <w:ind w:left="1134" w:firstLine="0"/>
      </w:pPr>
      <w:r w:rsidRPr="00B76FD9">
        <w:rPr>
          <w:lang w:val="en-GB"/>
        </w:rPr>
        <w:t>E</w:t>
      </w:r>
      <w:r>
        <w:rPr>
          <w:lang w:val="en-GB"/>
        </w:rPr>
        <w:t>vidence has shown that</w:t>
      </w:r>
      <w:r w:rsidR="00486530">
        <w:rPr>
          <w:lang w:val="en-GB"/>
        </w:rPr>
        <w:t>,</w:t>
      </w:r>
      <w:r>
        <w:rPr>
          <w:lang w:val="en-GB"/>
        </w:rPr>
        <w:t xml:space="preserve"> </w:t>
      </w:r>
      <w:r w:rsidR="00B63B15" w:rsidRPr="00EA09C4">
        <w:rPr>
          <w:lang w:val="en-GB"/>
        </w:rPr>
        <w:t>wh</w:t>
      </w:r>
      <w:r w:rsidR="00B63B15">
        <w:rPr>
          <w:lang w:val="en-GB"/>
        </w:rPr>
        <w:t>en</w:t>
      </w:r>
      <w:r w:rsidR="001C2524" w:rsidRPr="007F3DA2">
        <w:t xml:space="preserve"> violence is addressed proactively as a public health</w:t>
      </w:r>
      <w:r w:rsidR="001C2524">
        <w:t xml:space="preserve"> issue</w:t>
      </w:r>
      <w:r w:rsidR="00486530">
        <w:rPr>
          <w:lang w:val="en-US"/>
        </w:rPr>
        <w:t>,</w:t>
      </w:r>
      <w:r w:rsidR="001C2524" w:rsidRPr="007F3DA2">
        <w:t xml:space="preserve"> there are </w:t>
      </w:r>
      <w:r w:rsidR="001C2524">
        <w:t>more</w:t>
      </w:r>
      <w:r w:rsidR="001C2524" w:rsidRPr="007F3DA2">
        <w:t xml:space="preserve"> opportunities to break the cycle of violence, poverty and helplessness and</w:t>
      </w:r>
      <w:r w:rsidR="001C2524">
        <w:t>,</w:t>
      </w:r>
      <w:r w:rsidR="001C2524" w:rsidRPr="007F3DA2">
        <w:t xml:space="preserve"> in the longer run</w:t>
      </w:r>
      <w:r w:rsidR="001C2524">
        <w:t>,</w:t>
      </w:r>
      <w:r w:rsidR="001C2524" w:rsidRPr="007F3DA2">
        <w:t xml:space="preserve"> to significantly reduce </w:t>
      </w:r>
      <w:r w:rsidR="001C2524">
        <w:t>the</w:t>
      </w:r>
      <w:r w:rsidR="001C2524" w:rsidRPr="007F3DA2">
        <w:t xml:space="preserve"> prevalence of all forms of violence, including collective violence.</w:t>
      </w:r>
      <w:r w:rsidR="00571F7C">
        <w:rPr>
          <w:rStyle w:val="FootnoteReference"/>
        </w:rPr>
        <w:footnoteReference w:id="12"/>
      </w:r>
      <w:r w:rsidR="00E848BF">
        <w:t xml:space="preserve"> </w:t>
      </w:r>
    </w:p>
    <w:p w:rsidR="002A6BD7" w:rsidRPr="007F3DA2" w:rsidRDefault="002A6BD7" w:rsidP="00840D9F">
      <w:pPr>
        <w:pStyle w:val="SingleTxtG"/>
        <w:numPr>
          <w:ilvl w:val="0"/>
          <w:numId w:val="45"/>
        </w:numPr>
        <w:ind w:left="1134" w:firstLine="0"/>
      </w:pPr>
      <w:r w:rsidRPr="007F3DA2">
        <w:t xml:space="preserve">All forms of violence are harmful and detrimental to </w:t>
      </w:r>
      <w:r w:rsidR="00571F7C">
        <w:t xml:space="preserve">the </w:t>
      </w:r>
      <w:r w:rsidRPr="007F3DA2">
        <w:t xml:space="preserve">health and development of human beings, starting from </w:t>
      </w:r>
      <w:r w:rsidR="00A328AC" w:rsidRPr="00B76FD9">
        <w:rPr>
          <w:lang w:val="en-GB"/>
        </w:rPr>
        <w:t xml:space="preserve">the </w:t>
      </w:r>
      <w:r w:rsidRPr="007F3DA2">
        <w:t xml:space="preserve">youngest children. Early childhood adversities, including </w:t>
      </w:r>
      <w:r w:rsidR="00A328AC" w:rsidRPr="00B76FD9">
        <w:rPr>
          <w:lang w:val="en-GB"/>
        </w:rPr>
        <w:t xml:space="preserve">all </w:t>
      </w:r>
      <w:r w:rsidRPr="007F3DA2">
        <w:t xml:space="preserve">forms of violence </w:t>
      </w:r>
      <w:r w:rsidR="00571F7C" w:rsidRPr="007F3DA2">
        <w:t>against</w:t>
      </w:r>
      <w:r w:rsidRPr="007F3DA2">
        <w:t xml:space="preserve"> children</w:t>
      </w:r>
      <w:r w:rsidR="000000ED">
        <w:rPr>
          <w:lang w:val="en-US"/>
        </w:rPr>
        <w:t>,</w:t>
      </w:r>
      <w:r w:rsidRPr="007F3DA2">
        <w:t xml:space="preserve"> </w:t>
      </w:r>
      <w:r w:rsidR="00571F7C" w:rsidRPr="007F3DA2">
        <w:t xml:space="preserve">such </w:t>
      </w:r>
      <w:r w:rsidRPr="007F3DA2">
        <w:t xml:space="preserve">as physical and emotional abuse and chronic neglect, if </w:t>
      </w:r>
      <w:r w:rsidR="00571F7C">
        <w:t xml:space="preserve">they are </w:t>
      </w:r>
      <w:r w:rsidRPr="007F3DA2">
        <w:t xml:space="preserve">not </w:t>
      </w:r>
      <w:r w:rsidR="00A328AC">
        <w:t xml:space="preserve">timely </w:t>
      </w:r>
      <w:r w:rsidRPr="007F3DA2">
        <w:t>addressed by healthy public policies,</w:t>
      </w:r>
      <w:r w:rsidR="00571F7C">
        <w:t xml:space="preserve"> can</w:t>
      </w:r>
      <w:r w:rsidRPr="007F3DA2">
        <w:t xml:space="preserve"> result in chronic diseases</w:t>
      </w:r>
      <w:r w:rsidR="000000ED">
        <w:rPr>
          <w:lang w:val="en-US"/>
        </w:rPr>
        <w:t xml:space="preserve"> in the adult</w:t>
      </w:r>
      <w:r w:rsidRPr="007F3DA2">
        <w:t xml:space="preserve"> affecting both physical and ment</w:t>
      </w:r>
      <w:r w:rsidR="00571F7C">
        <w:t>al health</w:t>
      </w:r>
      <w:r w:rsidRPr="007F3DA2">
        <w:t xml:space="preserve">. </w:t>
      </w:r>
    </w:p>
    <w:p w:rsidR="002A6BD7" w:rsidRPr="007F3DA2" w:rsidRDefault="00E65292" w:rsidP="00D05FE0">
      <w:pPr>
        <w:pStyle w:val="SingleTxtG"/>
        <w:numPr>
          <w:ilvl w:val="0"/>
          <w:numId w:val="45"/>
        </w:numPr>
        <w:ind w:left="1134" w:firstLine="0"/>
      </w:pPr>
      <w:r w:rsidRPr="00E0722D">
        <w:rPr>
          <w:lang w:val="en-GB"/>
        </w:rPr>
        <w:t>T</w:t>
      </w:r>
      <w:r>
        <w:t>he human rights approach</w:t>
      </w:r>
      <w:r w:rsidRPr="007F3DA2">
        <w:t xml:space="preserve">, </w:t>
      </w:r>
      <w:r>
        <w:rPr>
          <w:lang w:val="en-GB"/>
        </w:rPr>
        <w:t xml:space="preserve">together with </w:t>
      </w:r>
      <w:r w:rsidR="005E0814">
        <w:rPr>
          <w:lang w:val="en-GB"/>
        </w:rPr>
        <w:t xml:space="preserve">the </w:t>
      </w:r>
      <w:r w:rsidR="00A328AC" w:rsidRPr="00B76FD9">
        <w:rPr>
          <w:lang w:val="en-GB"/>
        </w:rPr>
        <w:t>m</w:t>
      </w:r>
      <w:r w:rsidR="002A6BD7" w:rsidRPr="007F3DA2">
        <w:t>odern</w:t>
      </w:r>
      <w:r w:rsidR="00867FB7">
        <w:rPr>
          <w:lang w:val="en-US"/>
        </w:rPr>
        <w:t xml:space="preserve"> understanding of</w:t>
      </w:r>
      <w:r w:rsidR="002A6BD7" w:rsidRPr="007F3DA2">
        <w:t xml:space="preserve"> public health, warns against </w:t>
      </w:r>
      <w:r w:rsidRPr="00B76FD9">
        <w:rPr>
          <w:lang w:val="en-GB"/>
        </w:rPr>
        <w:t>typifying</w:t>
      </w:r>
      <w:r w:rsidR="002A6BD7" w:rsidRPr="007F3DA2">
        <w:t xml:space="preserve"> </w:t>
      </w:r>
      <w:r w:rsidR="00571F7C">
        <w:t xml:space="preserve">violence into </w:t>
      </w:r>
      <w:r w:rsidR="002A6BD7" w:rsidRPr="007F3DA2">
        <w:t>severe forms and those forms whi</w:t>
      </w:r>
      <w:r w:rsidR="00571F7C">
        <w:t>ch are considered to be “milder”</w:t>
      </w:r>
      <w:r w:rsidR="002A6BD7" w:rsidRPr="007F3DA2">
        <w:t xml:space="preserve"> and thus </w:t>
      </w:r>
      <w:r w:rsidR="00195771">
        <w:rPr>
          <w:lang w:val="en-US"/>
        </w:rPr>
        <w:t xml:space="preserve">perceived as </w:t>
      </w:r>
      <w:r w:rsidR="002A6BD7" w:rsidRPr="007F3DA2">
        <w:t>not harmful. Th</w:t>
      </w:r>
      <w:r w:rsidR="00486530">
        <w:rPr>
          <w:lang w:val="en-US"/>
        </w:rPr>
        <w:t>at</w:t>
      </w:r>
      <w:r w:rsidR="002A6BD7" w:rsidRPr="007F3DA2">
        <w:t xml:space="preserve"> </w:t>
      </w:r>
      <w:r w:rsidR="00ED2D5D" w:rsidRPr="00B76FD9">
        <w:rPr>
          <w:lang w:val="en-GB"/>
        </w:rPr>
        <w:t xml:space="preserve">can </w:t>
      </w:r>
      <w:r w:rsidR="002A6BD7" w:rsidRPr="007F3DA2">
        <w:t xml:space="preserve">lead to </w:t>
      </w:r>
      <w:r w:rsidR="001C2524">
        <w:t xml:space="preserve">the </w:t>
      </w:r>
      <w:r w:rsidR="002A6BD7" w:rsidRPr="007F3DA2">
        <w:t xml:space="preserve">proliferation of practices which </w:t>
      </w:r>
      <w:r w:rsidR="00195771">
        <w:rPr>
          <w:lang w:val="en-US"/>
        </w:rPr>
        <w:t xml:space="preserve">are </w:t>
      </w:r>
      <w:r w:rsidR="002A6BD7" w:rsidRPr="007F3DA2">
        <w:t>justif</w:t>
      </w:r>
      <w:r w:rsidR="00195771">
        <w:rPr>
          <w:lang w:val="en-US"/>
        </w:rPr>
        <w:t>ied</w:t>
      </w:r>
      <w:r w:rsidR="002A6BD7" w:rsidRPr="007F3DA2">
        <w:t xml:space="preserve"> as being </w:t>
      </w:r>
      <w:r w:rsidR="001C2524">
        <w:t>“</w:t>
      </w:r>
      <w:r w:rsidR="002A6BD7" w:rsidRPr="007F3DA2">
        <w:t>mild</w:t>
      </w:r>
      <w:r w:rsidR="001C2524">
        <w:t>”</w:t>
      </w:r>
      <w:r w:rsidR="002A6BD7" w:rsidRPr="007F3DA2">
        <w:t xml:space="preserve"> </w:t>
      </w:r>
      <w:r w:rsidR="00195771">
        <w:rPr>
          <w:lang w:val="en-US"/>
        </w:rPr>
        <w:t xml:space="preserve">forms of violence </w:t>
      </w:r>
      <w:r w:rsidR="002A6BD7" w:rsidRPr="007F3DA2">
        <w:t>and thus tolerated or even recommended</w:t>
      </w:r>
      <w:r w:rsidR="00195771">
        <w:rPr>
          <w:lang w:val="en-US"/>
        </w:rPr>
        <w:t>,</w:t>
      </w:r>
      <w:r w:rsidR="00813F20">
        <w:rPr>
          <w:lang w:val="en-US"/>
        </w:rPr>
        <w:t xml:space="preserve"> </w:t>
      </w:r>
      <w:r w:rsidR="002A6BD7" w:rsidRPr="007F3DA2">
        <w:t>such as</w:t>
      </w:r>
      <w:r w:rsidR="00CC36F2">
        <w:t xml:space="preserve"> </w:t>
      </w:r>
      <w:r w:rsidR="002A6BD7" w:rsidRPr="007F3DA2">
        <w:t>domestic violence against women,</w:t>
      </w:r>
      <w:r w:rsidR="00813F20">
        <w:t xml:space="preserve"> </w:t>
      </w:r>
      <w:r w:rsidR="00CC36F2">
        <w:t>female genital mutilation or the institutional care of young children</w:t>
      </w:r>
      <w:r w:rsidR="002A6BD7" w:rsidRPr="007F3DA2">
        <w:t>.</w:t>
      </w:r>
    </w:p>
    <w:p w:rsidR="009832CA" w:rsidRPr="00A04ABE" w:rsidRDefault="002A6BD7" w:rsidP="00CB75BE">
      <w:pPr>
        <w:pStyle w:val="SingleTxtG"/>
        <w:numPr>
          <w:ilvl w:val="0"/>
          <w:numId w:val="45"/>
        </w:numPr>
        <w:ind w:left="1134" w:firstLine="0"/>
        <w:rPr>
          <w:lang w:val="en-GB"/>
        </w:rPr>
      </w:pPr>
      <w:r w:rsidRPr="007F3DA2">
        <w:t xml:space="preserve">From </w:t>
      </w:r>
      <w:r w:rsidR="009832CA">
        <w:t xml:space="preserve">the </w:t>
      </w:r>
      <w:r w:rsidRPr="007F3DA2">
        <w:t>public health per</w:t>
      </w:r>
      <w:r w:rsidR="00CC36F2">
        <w:t xml:space="preserve">spective, </w:t>
      </w:r>
      <w:r w:rsidR="009832CA">
        <w:t xml:space="preserve">the </w:t>
      </w:r>
      <w:r w:rsidR="00CC36F2">
        <w:t xml:space="preserve">cumulative effect of </w:t>
      </w:r>
      <w:r w:rsidR="009832CA">
        <w:t>a large number of “mild cases”</w:t>
      </w:r>
      <w:r w:rsidRPr="007F3DA2">
        <w:t xml:space="preserve"> </w:t>
      </w:r>
      <w:r w:rsidR="009832CA">
        <w:t>generates a</w:t>
      </w:r>
      <w:r w:rsidRPr="007F3DA2">
        <w:t xml:space="preserve"> heavier burden for </w:t>
      </w:r>
      <w:r w:rsidR="003C138A" w:rsidRPr="00B76FD9">
        <w:rPr>
          <w:lang w:val="en-GB"/>
        </w:rPr>
        <w:t xml:space="preserve">the </w:t>
      </w:r>
      <w:r w:rsidRPr="007F3DA2">
        <w:t>health of popula</w:t>
      </w:r>
      <w:r w:rsidR="009832CA">
        <w:t>tion than a smaller number of “severe cases”</w:t>
      </w:r>
      <w:r w:rsidRPr="007F3DA2">
        <w:t>.</w:t>
      </w:r>
      <w:r w:rsidR="006C1891">
        <w:rPr>
          <w:rStyle w:val="FootnoteReference"/>
        </w:rPr>
        <w:footnoteReference w:id="13"/>
      </w:r>
      <w:r w:rsidR="00813F20">
        <w:t xml:space="preserve"> </w:t>
      </w:r>
      <w:r w:rsidR="009832CA">
        <w:t>T</w:t>
      </w:r>
      <w:r w:rsidRPr="007F3DA2">
        <w:t>he practice of tolerating and justifying</w:t>
      </w:r>
      <w:r w:rsidR="00ED2D5D" w:rsidRPr="00B76FD9">
        <w:rPr>
          <w:lang w:val="en-GB"/>
        </w:rPr>
        <w:t xml:space="preserve"> milder</w:t>
      </w:r>
      <w:r w:rsidRPr="007F3DA2">
        <w:t xml:space="preserve"> forms of violence </w:t>
      </w:r>
      <w:r w:rsidR="009832CA">
        <w:t xml:space="preserve">can </w:t>
      </w:r>
      <w:r w:rsidRPr="007F3DA2">
        <w:t>pave the way to severe violations of human rights</w:t>
      </w:r>
      <w:r w:rsidR="009832CA">
        <w:t>,</w:t>
      </w:r>
      <w:r w:rsidRPr="007F3DA2">
        <w:t xml:space="preserve"> </w:t>
      </w:r>
      <w:r w:rsidR="009832CA">
        <w:t xml:space="preserve">which can </w:t>
      </w:r>
      <w:r w:rsidRPr="007F3DA2">
        <w:t>amount</w:t>
      </w:r>
      <w:r w:rsidR="009832CA">
        <w:t xml:space="preserve"> </w:t>
      </w:r>
      <w:r w:rsidRPr="007F3DA2">
        <w:t>to grave violations and</w:t>
      </w:r>
      <w:r w:rsidR="009832CA">
        <w:t xml:space="preserve"> even atrocities</w:t>
      </w:r>
      <w:r w:rsidR="006058E4">
        <w:t>.</w:t>
      </w:r>
    </w:p>
    <w:p w:rsidR="00B30D61" w:rsidRPr="00EA09C4" w:rsidRDefault="002A6BD7" w:rsidP="00CB75BE">
      <w:pPr>
        <w:pStyle w:val="SingleTxtG"/>
        <w:numPr>
          <w:ilvl w:val="0"/>
          <w:numId w:val="45"/>
        </w:numPr>
        <w:ind w:left="1134" w:firstLine="0"/>
        <w:rPr>
          <w:lang w:val="en-US"/>
        </w:rPr>
      </w:pPr>
      <w:r w:rsidRPr="007F3DA2">
        <w:t xml:space="preserve">Any form of violence, including collective violence, </w:t>
      </w:r>
      <w:r w:rsidR="009832CA">
        <w:t xml:space="preserve">does not originate in a vacuum. Violence </w:t>
      </w:r>
      <w:r w:rsidRPr="007F3DA2">
        <w:t xml:space="preserve">has roots in unhealthy relationships </w:t>
      </w:r>
      <w:r w:rsidR="009832CA">
        <w:t>amongst</w:t>
      </w:r>
      <w:r w:rsidRPr="007F3DA2">
        <w:t xml:space="preserve"> individuals</w:t>
      </w:r>
      <w:r w:rsidR="009832CA">
        <w:t>,</w:t>
      </w:r>
      <w:r w:rsidRPr="007F3DA2">
        <w:t xml:space="preserve"> and is reinforced by the failure to promote and protect good</w:t>
      </w:r>
      <w:r w:rsidR="001D23A0">
        <w:rPr>
          <w:lang w:val="en-US"/>
        </w:rPr>
        <w:t>-</w:t>
      </w:r>
      <w:r w:rsidRPr="007F3DA2">
        <w:t xml:space="preserve">quality human relations, </w:t>
      </w:r>
      <w:r w:rsidR="009832CA">
        <w:t xml:space="preserve">starting with </w:t>
      </w:r>
      <w:r w:rsidR="007144E1">
        <w:rPr>
          <w:lang w:val="en-US"/>
        </w:rPr>
        <w:t xml:space="preserve">relationships between </w:t>
      </w:r>
      <w:r w:rsidR="009832CA">
        <w:t>a</w:t>
      </w:r>
      <w:r w:rsidR="007144E1">
        <w:rPr>
          <w:lang w:val="en-US"/>
        </w:rPr>
        <w:t xml:space="preserve">n infant and </w:t>
      </w:r>
      <w:r w:rsidR="00ED2D5D" w:rsidRPr="00B76FD9">
        <w:rPr>
          <w:lang w:val="en-GB"/>
        </w:rPr>
        <w:t>the</w:t>
      </w:r>
      <w:r w:rsidR="009832CA">
        <w:t xml:space="preserve"> </w:t>
      </w:r>
      <w:r w:rsidRPr="007F3DA2">
        <w:t xml:space="preserve">primary caregiver. </w:t>
      </w:r>
      <w:r w:rsidR="009832CA">
        <w:t>The c</w:t>
      </w:r>
      <w:r w:rsidRPr="007F3DA2">
        <w:t xml:space="preserve">ycle of violence is reinforced when children grow up </w:t>
      </w:r>
      <w:r w:rsidR="00786AD8" w:rsidRPr="00840D9F">
        <w:rPr>
          <w:lang w:val="en-US"/>
        </w:rPr>
        <w:t>—</w:t>
      </w:r>
      <w:r w:rsidRPr="007F3DA2">
        <w:t xml:space="preserve"> whether in families or in institutions </w:t>
      </w:r>
      <w:r w:rsidR="00786AD8" w:rsidRPr="00840D9F">
        <w:rPr>
          <w:lang w:val="en-US"/>
        </w:rPr>
        <w:t>—</w:t>
      </w:r>
      <w:r w:rsidRPr="007F3DA2">
        <w:t xml:space="preserve"> without </w:t>
      </w:r>
      <w:r w:rsidR="001D23A0">
        <w:rPr>
          <w:lang w:val="en-US"/>
        </w:rPr>
        <w:t xml:space="preserve">having </w:t>
      </w:r>
      <w:r w:rsidRPr="007F3DA2">
        <w:t>their basic needs</w:t>
      </w:r>
      <w:r w:rsidR="001D23A0">
        <w:rPr>
          <w:lang w:val="en-US"/>
        </w:rPr>
        <w:t xml:space="preserve"> satisfied</w:t>
      </w:r>
      <w:r w:rsidR="009832CA">
        <w:t>,</w:t>
      </w:r>
      <w:r w:rsidRPr="007F3DA2">
        <w:t xml:space="preserve"> which include not only </w:t>
      </w:r>
      <w:r w:rsidR="00ED2D5D" w:rsidRPr="00B76FD9">
        <w:rPr>
          <w:lang w:val="en-GB"/>
        </w:rPr>
        <w:t>the</w:t>
      </w:r>
      <w:r w:rsidRPr="007F3DA2">
        <w:t xml:space="preserve"> need to </w:t>
      </w:r>
      <w:r w:rsidR="009832CA">
        <w:t>survive, but the</w:t>
      </w:r>
      <w:r w:rsidRPr="007F3DA2">
        <w:t xml:space="preserve"> need to feel secure and </w:t>
      </w:r>
      <w:r w:rsidR="00DC7749">
        <w:rPr>
          <w:lang w:val="en-US"/>
        </w:rPr>
        <w:t xml:space="preserve">thus </w:t>
      </w:r>
      <w:r w:rsidRPr="007F3DA2">
        <w:t>to</w:t>
      </w:r>
      <w:r w:rsidR="00813F20">
        <w:t xml:space="preserve"> </w:t>
      </w:r>
      <w:r w:rsidR="00DC7749">
        <w:rPr>
          <w:lang w:val="en-US"/>
        </w:rPr>
        <w:t xml:space="preserve">enjoy </w:t>
      </w:r>
      <w:r w:rsidR="00946DD1">
        <w:rPr>
          <w:lang w:val="en-US"/>
        </w:rPr>
        <w:t xml:space="preserve">the </w:t>
      </w:r>
      <w:r w:rsidR="00DC7749">
        <w:rPr>
          <w:lang w:val="en-US"/>
        </w:rPr>
        <w:t>right to healthy development</w:t>
      </w:r>
      <w:r w:rsidR="00AE1385">
        <w:rPr>
          <w:lang w:val="en-US"/>
        </w:rPr>
        <w:t>.</w:t>
      </w:r>
    </w:p>
    <w:p w:rsidR="002A6BD7" w:rsidRPr="00A04ABE" w:rsidRDefault="009832CA" w:rsidP="00CB75BE">
      <w:pPr>
        <w:pStyle w:val="SingleTxtG"/>
        <w:numPr>
          <w:ilvl w:val="0"/>
          <w:numId w:val="45"/>
        </w:numPr>
        <w:ind w:left="1134" w:firstLine="0"/>
        <w:rPr>
          <w:lang w:val="en-GB"/>
        </w:rPr>
      </w:pPr>
      <w:r>
        <w:t>T</w:t>
      </w:r>
      <w:r w:rsidRPr="007F3DA2">
        <w:t>he most powerful</w:t>
      </w:r>
      <w:r w:rsidR="001D23A0">
        <w:rPr>
          <w:lang w:val="en-US"/>
        </w:rPr>
        <w:t xml:space="preserve"> way of</w:t>
      </w:r>
      <w:r w:rsidRPr="007F3DA2">
        <w:t xml:space="preserve"> prevent</w:t>
      </w:r>
      <w:r w:rsidR="001D23A0">
        <w:rPr>
          <w:lang w:val="en-US"/>
        </w:rPr>
        <w:t>ing</w:t>
      </w:r>
      <w:r w:rsidRPr="007F3DA2">
        <w:t xml:space="preserve"> </w:t>
      </w:r>
      <w:r>
        <w:t xml:space="preserve">the </w:t>
      </w:r>
      <w:r w:rsidRPr="007F3DA2">
        <w:t xml:space="preserve">epidemics of </w:t>
      </w:r>
      <w:r w:rsidR="00860296" w:rsidRPr="007F3DA2">
        <w:t>violence</w:t>
      </w:r>
      <w:r w:rsidRPr="007F3DA2">
        <w:t xml:space="preserve"> an</w:t>
      </w:r>
      <w:r>
        <w:t xml:space="preserve">d different forms of insecurity in </w:t>
      </w:r>
      <w:r w:rsidR="00860296">
        <w:t xml:space="preserve">the </w:t>
      </w:r>
      <w:r>
        <w:t xml:space="preserve">modern world is the provision of </w:t>
      </w:r>
      <w:r w:rsidR="00ED2D5D" w:rsidRPr="00B76FD9">
        <w:rPr>
          <w:lang w:val="en-GB"/>
        </w:rPr>
        <w:t xml:space="preserve">holistic </w:t>
      </w:r>
      <w:r>
        <w:t>s</w:t>
      </w:r>
      <w:r w:rsidR="002A6BD7" w:rsidRPr="007F3DA2">
        <w:t xml:space="preserve">upport to all </w:t>
      </w:r>
      <w:r w:rsidR="00ED2D5D" w:rsidRPr="00B76FD9">
        <w:rPr>
          <w:lang w:val="en-GB"/>
        </w:rPr>
        <w:t xml:space="preserve">forms of </w:t>
      </w:r>
      <w:r w:rsidR="002A6BD7" w:rsidRPr="007F3DA2">
        <w:t>famil</w:t>
      </w:r>
      <w:r w:rsidR="00ED2D5D" w:rsidRPr="00B76FD9">
        <w:rPr>
          <w:lang w:val="en-GB"/>
        </w:rPr>
        <w:t>y unit</w:t>
      </w:r>
      <w:r w:rsidR="00ED2D5D">
        <w:rPr>
          <w:lang w:val="en-GB"/>
        </w:rPr>
        <w:t xml:space="preserve">, </w:t>
      </w:r>
      <w:r w:rsidR="002A6BD7" w:rsidRPr="007F3DA2">
        <w:t>including</w:t>
      </w:r>
      <w:r>
        <w:t xml:space="preserve"> </w:t>
      </w:r>
      <w:r w:rsidRPr="007F3DA2">
        <w:t xml:space="preserve">access to food, </w:t>
      </w:r>
      <w:r>
        <w:t xml:space="preserve">shelter, </w:t>
      </w:r>
      <w:r w:rsidRPr="007F3DA2">
        <w:t>health</w:t>
      </w:r>
      <w:r w:rsidR="001D23A0">
        <w:rPr>
          <w:lang w:val="en-US"/>
        </w:rPr>
        <w:t xml:space="preserve"> </w:t>
      </w:r>
      <w:r w:rsidRPr="007F3DA2">
        <w:t xml:space="preserve">care </w:t>
      </w:r>
      <w:r>
        <w:t>and education, but also the</w:t>
      </w:r>
      <w:r w:rsidR="002A6BD7" w:rsidRPr="007F3DA2">
        <w:t xml:space="preserve"> provisi</w:t>
      </w:r>
      <w:r>
        <w:t xml:space="preserve">on of basic </w:t>
      </w:r>
      <w:r w:rsidR="001D23A0">
        <w:t>parenting</w:t>
      </w:r>
      <w:r w:rsidR="001D23A0">
        <w:rPr>
          <w:lang w:val="en-US"/>
        </w:rPr>
        <w:t xml:space="preserve"> </w:t>
      </w:r>
      <w:r>
        <w:t>skills.</w:t>
      </w:r>
      <w:r w:rsidR="00813F20">
        <w:t xml:space="preserve"> </w:t>
      </w:r>
      <w:r w:rsidR="00860296">
        <w:t>The</w:t>
      </w:r>
      <w:r w:rsidR="002A6BD7" w:rsidRPr="007F3DA2">
        <w:t xml:space="preserve"> quality of relationships between individuals </w:t>
      </w:r>
      <w:r w:rsidR="00860296">
        <w:t xml:space="preserve">in society </w:t>
      </w:r>
      <w:r w:rsidR="002A6BD7" w:rsidRPr="007F3DA2">
        <w:t xml:space="preserve">is an </w:t>
      </w:r>
      <w:r w:rsidR="00860296">
        <w:t xml:space="preserve">increasingly important element </w:t>
      </w:r>
      <w:r w:rsidR="002A6BD7" w:rsidRPr="007F3DA2">
        <w:t xml:space="preserve">in </w:t>
      </w:r>
      <w:r w:rsidR="00860296">
        <w:t>the</w:t>
      </w:r>
      <w:r w:rsidR="002A6BD7" w:rsidRPr="007F3DA2">
        <w:t xml:space="preserve"> realization of the right to health and </w:t>
      </w:r>
      <w:r w:rsidR="000000ED">
        <w:rPr>
          <w:lang w:val="en-US"/>
        </w:rPr>
        <w:t xml:space="preserve">the </w:t>
      </w:r>
      <w:r w:rsidR="002A6BD7" w:rsidRPr="007F3DA2">
        <w:t>preven</w:t>
      </w:r>
      <w:r w:rsidR="00860296">
        <w:t xml:space="preserve">tion of the cycle of violence. </w:t>
      </w:r>
      <w:r w:rsidR="001D23A0">
        <w:rPr>
          <w:lang w:val="en-US"/>
        </w:rPr>
        <w:t>The r</w:t>
      </w:r>
      <w:r w:rsidR="002A6BD7" w:rsidRPr="007F3DA2">
        <w:t xml:space="preserve">ight to </w:t>
      </w:r>
      <w:r w:rsidR="00860296">
        <w:t xml:space="preserve">a </w:t>
      </w:r>
      <w:r w:rsidR="002A6BD7" w:rsidRPr="007F3DA2">
        <w:t>healthy environment should include not only</w:t>
      </w:r>
      <w:r w:rsidR="00FC4F80" w:rsidRPr="00B76FD9">
        <w:rPr>
          <w:lang w:val="en-GB"/>
        </w:rPr>
        <w:t xml:space="preserve"> the</w:t>
      </w:r>
      <w:r w:rsidR="002A6BD7" w:rsidRPr="007F3DA2">
        <w:t xml:space="preserve"> physical environment, but also</w:t>
      </w:r>
      <w:r w:rsidR="00FC4F80" w:rsidRPr="00B76FD9">
        <w:rPr>
          <w:lang w:val="en-GB"/>
        </w:rPr>
        <w:t xml:space="preserve"> the</w:t>
      </w:r>
      <w:r w:rsidR="002A6BD7" w:rsidRPr="007F3DA2">
        <w:t xml:space="preserve"> emotional and psychosoci</w:t>
      </w:r>
      <w:r w:rsidR="00860296">
        <w:t>al environment in all settings, famil</w:t>
      </w:r>
      <w:r w:rsidR="00FC4F80" w:rsidRPr="00B76FD9">
        <w:rPr>
          <w:lang w:val="en-GB"/>
        </w:rPr>
        <w:t>y units</w:t>
      </w:r>
      <w:r w:rsidR="00860296">
        <w:t xml:space="preserve">, schools, workplace, </w:t>
      </w:r>
      <w:r w:rsidR="002A6BD7" w:rsidRPr="007F3DA2">
        <w:t>communities</w:t>
      </w:r>
      <w:r w:rsidR="00860296">
        <w:t xml:space="preserve"> and societies at large</w:t>
      </w:r>
      <w:r w:rsidR="006058E4">
        <w:t>.</w:t>
      </w:r>
    </w:p>
    <w:p w:rsidR="00860296" w:rsidRPr="00A04ABE" w:rsidRDefault="00860296" w:rsidP="00840D9F">
      <w:pPr>
        <w:pStyle w:val="SingleTxtG"/>
        <w:numPr>
          <w:ilvl w:val="0"/>
          <w:numId w:val="45"/>
        </w:numPr>
        <w:ind w:left="1134" w:firstLine="0"/>
        <w:rPr>
          <w:lang w:val="en-GB"/>
        </w:rPr>
      </w:pPr>
      <w:r>
        <w:t xml:space="preserve">The </w:t>
      </w:r>
      <w:r w:rsidRPr="007F3DA2">
        <w:t xml:space="preserve">resilience and </w:t>
      </w:r>
      <w:r>
        <w:t xml:space="preserve">the </w:t>
      </w:r>
      <w:r w:rsidRPr="007F3DA2">
        <w:t>protective factors in individuals, famil</w:t>
      </w:r>
      <w:r w:rsidR="00946DD1">
        <w:rPr>
          <w:lang w:val="en-GB"/>
        </w:rPr>
        <w:t>ies</w:t>
      </w:r>
      <w:r w:rsidR="00C00339" w:rsidRPr="00B76FD9">
        <w:rPr>
          <w:lang w:val="en-GB"/>
        </w:rPr>
        <w:t xml:space="preserve"> </w:t>
      </w:r>
      <w:r w:rsidRPr="007F3DA2">
        <w:t xml:space="preserve">communities and </w:t>
      </w:r>
      <w:r>
        <w:t>societies need to be promoted, and more investment</w:t>
      </w:r>
      <w:r w:rsidR="002A6BD7" w:rsidRPr="007F3DA2">
        <w:t xml:space="preserve"> in healthy human relationships, emotional and social well-being and social capital</w:t>
      </w:r>
      <w:r>
        <w:t xml:space="preserve"> is required</w:t>
      </w:r>
      <w:r w:rsidR="002A6BD7" w:rsidRPr="007F3DA2">
        <w:t xml:space="preserve">. </w:t>
      </w:r>
      <w:r>
        <w:t>The e</w:t>
      </w:r>
      <w:r w:rsidR="002A6BD7" w:rsidRPr="007F3DA2">
        <w:t xml:space="preserve">mpowerment of all </w:t>
      </w:r>
      <w:r>
        <w:t>stakeholders</w:t>
      </w:r>
      <w:r w:rsidR="001D23A0">
        <w:rPr>
          <w:lang w:val="en-GB"/>
        </w:rPr>
        <w:t xml:space="preserve"> — </w:t>
      </w:r>
      <w:r w:rsidR="002A6BD7" w:rsidRPr="007F3DA2">
        <w:t>without exception</w:t>
      </w:r>
      <w:r w:rsidR="001D23A0">
        <w:rPr>
          <w:lang w:val="en-GB"/>
        </w:rPr>
        <w:t xml:space="preserve"> — </w:t>
      </w:r>
      <w:r w:rsidR="002A6BD7" w:rsidRPr="007F3DA2">
        <w:t>is an effective way of addressing major public health threats and violati</w:t>
      </w:r>
      <w:r w:rsidR="009832CA">
        <w:t xml:space="preserve">ons of human rights, including </w:t>
      </w:r>
      <w:r w:rsidR="00C00339" w:rsidRPr="00B76FD9">
        <w:rPr>
          <w:lang w:val="en-GB"/>
        </w:rPr>
        <w:t xml:space="preserve">the </w:t>
      </w:r>
      <w:r w:rsidR="00692DA5">
        <w:t>right to health.</w:t>
      </w:r>
    </w:p>
    <w:p w:rsidR="002A6BD7" w:rsidRPr="00692DA5" w:rsidRDefault="007B55EB" w:rsidP="00AF0671">
      <w:pPr>
        <w:pStyle w:val="H1G"/>
      </w:pPr>
      <w:r>
        <w:tab/>
        <w:t>G</w:t>
      </w:r>
      <w:r w:rsidR="00AF0671">
        <w:t>.</w:t>
      </w:r>
      <w:r w:rsidR="00AF0671">
        <w:tab/>
      </w:r>
      <w:r w:rsidR="00160559">
        <w:t>The r</w:t>
      </w:r>
      <w:r w:rsidR="002A6BD7" w:rsidRPr="00860296">
        <w:t xml:space="preserve">ole of stakeholders </w:t>
      </w:r>
    </w:p>
    <w:p w:rsidR="00014BFD" w:rsidRPr="00B76FD9" w:rsidRDefault="0076258E" w:rsidP="00CB75BE">
      <w:pPr>
        <w:pStyle w:val="SingleTxtG"/>
        <w:numPr>
          <w:ilvl w:val="0"/>
          <w:numId w:val="45"/>
        </w:numPr>
        <w:ind w:left="1134" w:firstLine="0"/>
      </w:pPr>
      <w:r>
        <w:t xml:space="preserve">The Special Rapporteur considers the </w:t>
      </w:r>
      <w:r w:rsidRPr="007F3DA2">
        <w:t>active and informed participation of all stakeholders</w:t>
      </w:r>
      <w:r>
        <w:t xml:space="preserve"> </w:t>
      </w:r>
      <w:r w:rsidR="001D23A0">
        <w:rPr>
          <w:lang w:val="en-US"/>
        </w:rPr>
        <w:t>to be</w:t>
      </w:r>
      <w:r w:rsidR="001D23A0">
        <w:t xml:space="preserve"> </w:t>
      </w:r>
      <w:r>
        <w:t xml:space="preserve">one of the </w:t>
      </w:r>
      <w:r w:rsidRPr="007F3DA2">
        <w:t>key element</w:t>
      </w:r>
      <w:r>
        <w:t>s</w:t>
      </w:r>
      <w:r w:rsidRPr="007F3DA2">
        <w:t xml:space="preserve"> of </w:t>
      </w:r>
      <w:r>
        <w:t xml:space="preserve">the </w:t>
      </w:r>
      <w:r w:rsidRPr="007F3DA2">
        <w:t>analytical framework of the right to health.</w:t>
      </w:r>
      <w:r w:rsidR="00813F20">
        <w:t xml:space="preserve"> </w:t>
      </w:r>
      <w:r w:rsidR="002A6BD7" w:rsidRPr="007F3DA2">
        <w:t xml:space="preserve">There </w:t>
      </w:r>
      <w:r>
        <w:t>is</w:t>
      </w:r>
      <w:r w:rsidR="002A6BD7" w:rsidRPr="007F3DA2">
        <w:t xml:space="preserve"> growing understanding </w:t>
      </w:r>
      <w:r>
        <w:t xml:space="preserve">and evidence </w:t>
      </w:r>
      <w:r w:rsidR="002A6BD7" w:rsidRPr="007F3DA2">
        <w:t xml:space="preserve">that </w:t>
      </w:r>
      <w:r>
        <w:t>top-down</w:t>
      </w:r>
      <w:r w:rsidR="002A6BD7" w:rsidRPr="007F3DA2">
        <w:t xml:space="preserve"> relations between governments and local authorities </w:t>
      </w:r>
      <w:r w:rsidR="00014BFD" w:rsidRPr="00B76FD9">
        <w:rPr>
          <w:lang w:val="en-GB"/>
        </w:rPr>
        <w:t>and populations, including</w:t>
      </w:r>
      <w:r w:rsidR="00014BFD" w:rsidRPr="007F3DA2">
        <w:t xml:space="preserve"> </w:t>
      </w:r>
      <w:r w:rsidR="002A6BD7" w:rsidRPr="007F3DA2">
        <w:t>civil society</w:t>
      </w:r>
      <w:r w:rsidR="001D23A0">
        <w:rPr>
          <w:lang w:val="en-US"/>
        </w:rPr>
        <w:t>,</w:t>
      </w:r>
      <w:r w:rsidR="002A6BD7" w:rsidRPr="007F3DA2">
        <w:t xml:space="preserve"> </w:t>
      </w:r>
      <w:r w:rsidR="001D23A0">
        <w:rPr>
          <w:lang w:val="en-US"/>
        </w:rPr>
        <w:t>and</w:t>
      </w:r>
      <w:r w:rsidR="001D23A0" w:rsidRPr="007F3DA2">
        <w:t xml:space="preserve"> </w:t>
      </w:r>
      <w:r w:rsidR="002A6BD7" w:rsidRPr="007F3DA2">
        <w:t xml:space="preserve">paternalistic relations between </w:t>
      </w:r>
      <w:r w:rsidR="00946DD1" w:rsidRPr="00EA09C4">
        <w:rPr>
          <w:lang w:val="en-GB"/>
        </w:rPr>
        <w:t>health personnel</w:t>
      </w:r>
      <w:r w:rsidR="002A6BD7" w:rsidRPr="007F3DA2">
        <w:t xml:space="preserve"> and users of health</w:t>
      </w:r>
      <w:r w:rsidR="001D23A0">
        <w:rPr>
          <w:lang w:val="en-US"/>
        </w:rPr>
        <w:t>-</w:t>
      </w:r>
      <w:r w:rsidR="002A6BD7" w:rsidRPr="007F3DA2">
        <w:t xml:space="preserve">care services </w:t>
      </w:r>
      <w:r>
        <w:t>do</w:t>
      </w:r>
      <w:r w:rsidR="002A6BD7" w:rsidRPr="007F3DA2">
        <w:t xml:space="preserve"> not effectively contribute to the realization of the right to health. </w:t>
      </w:r>
    </w:p>
    <w:p w:rsidR="002A6BD7" w:rsidRPr="007F3DA2" w:rsidRDefault="002A6BD7" w:rsidP="00D05FE0">
      <w:pPr>
        <w:pStyle w:val="SingleTxtG"/>
        <w:numPr>
          <w:ilvl w:val="0"/>
          <w:numId w:val="45"/>
        </w:numPr>
        <w:ind w:left="1134" w:firstLine="0"/>
      </w:pPr>
      <w:r w:rsidRPr="007F3DA2">
        <w:t xml:space="preserve">The </w:t>
      </w:r>
      <w:r w:rsidR="0076258E">
        <w:t xml:space="preserve">meaningful </w:t>
      </w:r>
      <w:r w:rsidRPr="007F3DA2">
        <w:t xml:space="preserve">involvement of all actors and the empowerment </w:t>
      </w:r>
      <w:r w:rsidR="0076258E">
        <w:t>of</w:t>
      </w:r>
      <w:r w:rsidRPr="007F3DA2">
        <w:t xml:space="preserve"> those who </w:t>
      </w:r>
      <w:r w:rsidR="0076258E" w:rsidRPr="007F3DA2">
        <w:t>make</w:t>
      </w:r>
      <w:r w:rsidR="0076258E">
        <w:t xml:space="preserve"> use of </w:t>
      </w:r>
      <w:r w:rsidR="0076258E" w:rsidRPr="007F3DA2">
        <w:t>services</w:t>
      </w:r>
      <w:r w:rsidRPr="007F3DA2">
        <w:t>, especially the poor and other groups</w:t>
      </w:r>
      <w:r w:rsidR="0076258E">
        <w:t xml:space="preserve"> in vulnerable situations, is </w:t>
      </w:r>
      <w:r w:rsidRPr="007F3DA2">
        <w:t>a</w:t>
      </w:r>
      <w:r w:rsidR="0076258E">
        <w:t xml:space="preserve"> </w:t>
      </w:r>
      <w:r w:rsidRPr="007F3DA2">
        <w:t>crucial precondition for the</w:t>
      </w:r>
      <w:r w:rsidR="0076258E">
        <w:t xml:space="preserve"> </w:t>
      </w:r>
      <w:r w:rsidR="00877165">
        <w:t xml:space="preserve">full </w:t>
      </w:r>
      <w:r w:rsidRPr="007F3DA2">
        <w:t>realization of the enjoyment by everyone of the right to health and other rights.</w:t>
      </w:r>
    </w:p>
    <w:p w:rsidR="002A6BD7" w:rsidRPr="00A04ABE" w:rsidRDefault="004A6675" w:rsidP="00CB75BE">
      <w:pPr>
        <w:pStyle w:val="SingleTxtG"/>
        <w:numPr>
          <w:ilvl w:val="0"/>
          <w:numId w:val="45"/>
        </w:numPr>
        <w:ind w:left="1134" w:firstLine="0"/>
        <w:rPr>
          <w:lang w:val="en-GB"/>
        </w:rPr>
      </w:pPr>
      <w:r>
        <w:t>C</w:t>
      </w:r>
      <w:r w:rsidR="002A6BD7" w:rsidRPr="007F3DA2">
        <w:t xml:space="preserve">ivil society actors should be able to do their work for the promotion and protection of human rights, including the right to health, in safe and enabling </w:t>
      </w:r>
      <w:r w:rsidR="0076258E" w:rsidRPr="007F3DA2">
        <w:t>environments</w:t>
      </w:r>
      <w:r w:rsidR="002A6BD7" w:rsidRPr="007F3DA2">
        <w:t xml:space="preserve"> and should not suffer from criminalization, stigmati</w:t>
      </w:r>
      <w:r w:rsidR="001D23A0">
        <w:rPr>
          <w:lang w:val="en-US"/>
        </w:rPr>
        <w:t>z</w:t>
      </w:r>
      <w:r w:rsidR="002A6BD7" w:rsidRPr="007F3DA2">
        <w:t>ation or harassment of any sort because of the work that they do</w:t>
      </w:r>
      <w:r w:rsidR="001D23A0">
        <w:rPr>
          <w:lang w:val="en-US"/>
        </w:rPr>
        <w:t xml:space="preserve"> (see the report of the Special Rapporteur on the situation of human rights defenders, A/HRC/25/55)</w:t>
      </w:r>
      <w:r w:rsidR="002A6BD7" w:rsidRPr="007F3DA2">
        <w:t xml:space="preserve">. </w:t>
      </w:r>
      <w:r>
        <w:t>The Special Rapporteur</w:t>
      </w:r>
      <w:r w:rsidR="002A6BD7" w:rsidRPr="007F3DA2">
        <w:t xml:space="preserve"> believes that there is a clear and direct link between the environment in which civil society operates in a given country and the level of reali</w:t>
      </w:r>
      <w:r w:rsidR="001D23A0">
        <w:rPr>
          <w:lang w:val="en-US"/>
        </w:rPr>
        <w:t>z</w:t>
      </w:r>
      <w:r w:rsidR="002A6BD7" w:rsidRPr="007F3DA2">
        <w:t xml:space="preserve">ation of basic rights and freedoms, not only of the public freedoms </w:t>
      </w:r>
      <w:r w:rsidR="00877165">
        <w:t>that are necessary</w:t>
      </w:r>
      <w:r w:rsidR="002A6BD7" w:rsidRPr="007F3DA2">
        <w:t xml:space="preserve"> to advocat</w:t>
      </w:r>
      <w:r w:rsidR="001D23A0">
        <w:rPr>
          <w:lang w:val="en-US"/>
        </w:rPr>
        <w:t>ing</w:t>
      </w:r>
      <w:r w:rsidR="002A6BD7" w:rsidRPr="007F3DA2">
        <w:t xml:space="preserve"> for human rights, but also of the</w:t>
      </w:r>
      <w:r w:rsidR="00877165">
        <w:t xml:space="preserve"> specific</w:t>
      </w:r>
      <w:r w:rsidR="002A6BD7" w:rsidRPr="007F3DA2">
        <w:t xml:space="preserve"> rights </w:t>
      </w:r>
      <w:r w:rsidR="001D23A0">
        <w:rPr>
          <w:lang w:val="en-US"/>
        </w:rPr>
        <w:t xml:space="preserve">for which </w:t>
      </w:r>
      <w:r w:rsidR="002A6BD7" w:rsidRPr="007F3DA2">
        <w:t>they advocate.</w:t>
      </w:r>
      <w:r w:rsidR="00813F20">
        <w:t xml:space="preserve"> </w:t>
      </w:r>
      <w:r w:rsidR="002A6BD7" w:rsidRPr="007F3DA2">
        <w:t>If civil society actors are harassed or persecuted due to their work advocating for and promoting the right to health, th</w:t>
      </w:r>
      <w:r w:rsidR="001D23A0">
        <w:rPr>
          <w:lang w:val="en-US"/>
        </w:rPr>
        <w:t>at</w:t>
      </w:r>
      <w:r w:rsidR="002A6BD7" w:rsidRPr="007F3DA2">
        <w:t xml:space="preserve"> is a symptom of important gaps in the re</w:t>
      </w:r>
      <w:r w:rsidR="006058E4">
        <w:t>ali</w:t>
      </w:r>
      <w:r w:rsidR="001D23A0">
        <w:rPr>
          <w:lang w:val="en-US"/>
        </w:rPr>
        <w:t>z</w:t>
      </w:r>
      <w:r w:rsidR="006058E4">
        <w:t>ation of the right itself.</w:t>
      </w:r>
    </w:p>
    <w:p w:rsidR="002A6BD7" w:rsidRPr="007F3DA2" w:rsidRDefault="00877165" w:rsidP="00840D9F">
      <w:pPr>
        <w:pStyle w:val="SingleTxtG"/>
        <w:numPr>
          <w:ilvl w:val="0"/>
          <w:numId w:val="45"/>
        </w:numPr>
        <w:ind w:left="1134" w:firstLine="0"/>
      </w:pPr>
      <w:r>
        <w:t>It is crucial to</w:t>
      </w:r>
      <w:r w:rsidR="002A6BD7" w:rsidRPr="007F3DA2">
        <w:t xml:space="preserve"> strengthen</w:t>
      </w:r>
      <w:r>
        <w:t xml:space="preserve"> the</w:t>
      </w:r>
      <w:r w:rsidR="002A6BD7" w:rsidRPr="007F3DA2">
        <w:t xml:space="preserve"> tru</w:t>
      </w:r>
      <w:r>
        <w:t xml:space="preserve">st </w:t>
      </w:r>
      <w:r w:rsidR="006D5663" w:rsidRPr="00B76FD9">
        <w:rPr>
          <w:lang w:val="en-GB"/>
        </w:rPr>
        <w:t xml:space="preserve">and cooperation </w:t>
      </w:r>
      <w:r>
        <w:t xml:space="preserve">between public institutions and </w:t>
      </w:r>
      <w:r w:rsidR="002A6BD7" w:rsidRPr="007F3DA2">
        <w:t xml:space="preserve">those representing the </w:t>
      </w:r>
      <w:r>
        <w:t>S</w:t>
      </w:r>
      <w:r w:rsidR="002A6BD7" w:rsidRPr="007F3DA2">
        <w:t>tate</w:t>
      </w:r>
      <w:r>
        <w:t xml:space="preserve"> and civil society </w:t>
      </w:r>
      <w:r w:rsidR="00014BFD" w:rsidRPr="00B76FD9">
        <w:rPr>
          <w:lang w:val="en-GB"/>
        </w:rPr>
        <w:t>actors</w:t>
      </w:r>
      <w:r w:rsidR="00014BFD">
        <w:t xml:space="preserve"> </w:t>
      </w:r>
      <w:r>
        <w:t>representing</w:t>
      </w:r>
      <w:r w:rsidR="002A6BD7" w:rsidRPr="007F3DA2">
        <w:t xml:space="preserve"> </w:t>
      </w:r>
      <w:r>
        <w:t>the general public,</w:t>
      </w:r>
      <w:r w:rsidR="002A6BD7" w:rsidRPr="007F3DA2">
        <w:t xml:space="preserve"> including </w:t>
      </w:r>
      <w:r w:rsidR="00014BFD" w:rsidRPr="00B76FD9">
        <w:rPr>
          <w:lang w:val="en-GB"/>
        </w:rPr>
        <w:t xml:space="preserve">the </w:t>
      </w:r>
      <w:r w:rsidR="002A6BD7" w:rsidRPr="007F3DA2">
        <w:t xml:space="preserve">most </w:t>
      </w:r>
      <w:r w:rsidR="00014BFD" w:rsidRPr="00B76FD9">
        <w:rPr>
          <w:lang w:val="en-GB"/>
        </w:rPr>
        <w:t>disadvantaged</w:t>
      </w:r>
      <w:r w:rsidR="00014BFD" w:rsidRPr="007F3DA2">
        <w:t xml:space="preserve"> </w:t>
      </w:r>
      <w:r w:rsidR="002A6BD7" w:rsidRPr="007F3DA2">
        <w:t>groups of society</w:t>
      </w:r>
      <w:r>
        <w:t>.</w:t>
      </w:r>
      <w:r w:rsidR="00813F20">
        <w:t xml:space="preserve"> </w:t>
      </w:r>
      <w:r>
        <w:t xml:space="preserve">The importance </w:t>
      </w:r>
      <w:r w:rsidR="00CB75BE">
        <w:rPr>
          <w:lang w:val="en-US"/>
        </w:rPr>
        <w:t>there</w:t>
      </w:r>
      <w:r>
        <w:t xml:space="preserve">of should not be </w:t>
      </w:r>
      <w:r w:rsidR="00CB75BE">
        <w:rPr>
          <w:lang w:val="en-US"/>
        </w:rPr>
        <w:t>under</w:t>
      </w:r>
      <w:r>
        <w:t>estimated.</w:t>
      </w:r>
      <w:r w:rsidR="00813F20">
        <w:t xml:space="preserve"> </w:t>
      </w:r>
      <w:r>
        <w:t xml:space="preserve">Civil society </w:t>
      </w:r>
      <w:r w:rsidR="002A6BD7" w:rsidRPr="007F3DA2">
        <w:t>play</w:t>
      </w:r>
      <w:r>
        <w:t>s a key role as agent of change, advocates good</w:t>
      </w:r>
      <w:r w:rsidR="002A6BD7" w:rsidRPr="007F3DA2">
        <w:t xml:space="preserve"> practices, </w:t>
      </w:r>
      <w:r w:rsidR="002A6BD7" w:rsidRPr="003C138A">
        <w:t xml:space="preserve">provides </w:t>
      </w:r>
      <w:r w:rsidR="002A6BD7" w:rsidRPr="007F3DA2">
        <w:t>independen</w:t>
      </w:r>
      <w:r>
        <w:t>t monitoring and, in many instances,</w:t>
      </w:r>
      <w:r w:rsidR="002A6BD7" w:rsidRPr="007F3DA2">
        <w:t xml:space="preserve"> </w:t>
      </w:r>
      <w:r>
        <w:t xml:space="preserve">provides </w:t>
      </w:r>
      <w:r w:rsidR="00CB75BE">
        <w:rPr>
          <w:lang w:val="en-US"/>
        </w:rPr>
        <w:t>necessary</w:t>
      </w:r>
      <w:r w:rsidR="002A6BD7" w:rsidRPr="007F3DA2">
        <w:t xml:space="preserve"> services. </w:t>
      </w:r>
      <w:r w:rsidRPr="007F3DA2">
        <w:t>Trustful partnership</w:t>
      </w:r>
      <w:r>
        <w:t xml:space="preserve">s between </w:t>
      </w:r>
      <w:r w:rsidR="00CB75BE" w:rsidRPr="00B76FD9">
        <w:rPr>
          <w:lang w:val="en-GB"/>
        </w:rPr>
        <w:t>g</w:t>
      </w:r>
      <w:r w:rsidR="00CB75BE">
        <w:t xml:space="preserve">overnment </w:t>
      </w:r>
      <w:r>
        <w:t>agencies,</w:t>
      </w:r>
      <w:r w:rsidR="002A6BD7" w:rsidRPr="007F3DA2">
        <w:t xml:space="preserve"> </w:t>
      </w:r>
      <w:r>
        <w:t>S</w:t>
      </w:r>
      <w:r w:rsidR="002A6BD7" w:rsidRPr="007F3DA2">
        <w:t>tate</w:t>
      </w:r>
      <w:r>
        <w:t>-run health</w:t>
      </w:r>
      <w:r w:rsidR="00CB75BE">
        <w:rPr>
          <w:lang w:val="en-US"/>
        </w:rPr>
        <w:t>-</w:t>
      </w:r>
      <w:r>
        <w:t>care services and</w:t>
      </w:r>
      <w:r w:rsidR="002A6BD7" w:rsidRPr="007F3DA2">
        <w:t xml:space="preserve"> </w:t>
      </w:r>
      <w:r>
        <w:t>the non-</w:t>
      </w:r>
      <w:r w:rsidR="002A6BD7" w:rsidRPr="007F3DA2">
        <w:t>profit sector</w:t>
      </w:r>
      <w:r>
        <w:t>, including civil society,</w:t>
      </w:r>
      <w:r w:rsidR="002A6BD7" w:rsidRPr="007F3DA2">
        <w:t xml:space="preserve"> </w:t>
      </w:r>
      <w:r w:rsidR="00E477F1">
        <w:rPr>
          <w:lang w:val="en-US"/>
        </w:rPr>
        <w:t>constitute</w:t>
      </w:r>
      <w:r w:rsidR="00E477F1" w:rsidRPr="007F3DA2">
        <w:t xml:space="preserve"> </w:t>
      </w:r>
      <w:r w:rsidR="002A6BD7" w:rsidRPr="007F3DA2">
        <w:t xml:space="preserve">one of </w:t>
      </w:r>
      <w:r>
        <w:t xml:space="preserve">the </w:t>
      </w:r>
      <w:r w:rsidR="002A6BD7" w:rsidRPr="007F3DA2">
        <w:t xml:space="preserve">cornerstones of effective health systems and </w:t>
      </w:r>
      <w:r>
        <w:t xml:space="preserve">act as </w:t>
      </w:r>
      <w:r w:rsidR="002A6BD7" w:rsidRPr="007F3DA2">
        <w:t xml:space="preserve">a guarantee for </w:t>
      </w:r>
      <w:r>
        <w:t xml:space="preserve">the </w:t>
      </w:r>
      <w:r w:rsidR="002A6BD7" w:rsidRPr="007F3DA2">
        <w:t>effective realization of health-related human rights.</w:t>
      </w:r>
    </w:p>
    <w:p w:rsidR="002A6BD7" w:rsidRPr="00A04ABE" w:rsidRDefault="00B77BBA" w:rsidP="00840D9F">
      <w:pPr>
        <w:pStyle w:val="SingleTxtG"/>
        <w:numPr>
          <w:ilvl w:val="0"/>
          <w:numId w:val="45"/>
        </w:numPr>
        <w:ind w:left="1134" w:firstLine="0"/>
        <w:rPr>
          <w:lang w:val="en-GB"/>
        </w:rPr>
      </w:pPr>
      <w:r>
        <w:t xml:space="preserve">The </w:t>
      </w:r>
      <w:r w:rsidR="002A6BD7" w:rsidRPr="007F3DA2">
        <w:t>role of medica</w:t>
      </w:r>
      <w:r w:rsidR="00877165">
        <w:t>l doctors and other health</w:t>
      </w:r>
      <w:r w:rsidR="00CB75BE">
        <w:rPr>
          <w:lang w:val="en-US"/>
        </w:rPr>
        <w:t>-</w:t>
      </w:r>
      <w:r w:rsidR="00877165">
        <w:t xml:space="preserve">care </w:t>
      </w:r>
      <w:r>
        <w:t xml:space="preserve">professionals </w:t>
      </w:r>
      <w:r w:rsidR="003C138A" w:rsidRPr="00B76FD9">
        <w:rPr>
          <w:lang w:val="en-GB"/>
        </w:rPr>
        <w:t>is also</w:t>
      </w:r>
      <w:r w:rsidR="003C138A">
        <w:t xml:space="preserve"> </w:t>
      </w:r>
      <w:r>
        <w:t>crucial</w:t>
      </w:r>
      <w:r w:rsidR="002A6BD7" w:rsidRPr="007F3DA2">
        <w:t>.</w:t>
      </w:r>
      <w:r w:rsidR="00813F20">
        <w:t xml:space="preserve"> </w:t>
      </w:r>
      <w:r w:rsidR="002A6BD7" w:rsidRPr="007F3DA2">
        <w:t xml:space="preserve">With </w:t>
      </w:r>
      <w:r>
        <w:t xml:space="preserve">the </w:t>
      </w:r>
      <w:r w:rsidR="00BC194F">
        <w:t>ongoing</w:t>
      </w:r>
      <w:r w:rsidR="002A6BD7" w:rsidRPr="007F3DA2">
        <w:t xml:space="preserve"> change of paradigm</w:t>
      </w:r>
      <w:r>
        <w:t xml:space="preserve">, </w:t>
      </w:r>
      <w:r w:rsidR="002A6BD7" w:rsidRPr="007F3DA2">
        <w:t xml:space="preserve">from paternalistic </w:t>
      </w:r>
      <w:r w:rsidR="00BC194F">
        <w:t xml:space="preserve">top-down </w:t>
      </w:r>
      <w:r w:rsidR="002A6BD7" w:rsidRPr="007F3DA2">
        <w:t>medicine to partnership</w:t>
      </w:r>
      <w:r w:rsidR="00BC194F">
        <w:t xml:space="preserve"> </w:t>
      </w:r>
      <w:r w:rsidR="002A6BD7" w:rsidRPr="007F3DA2">
        <w:t>between health</w:t>
      </w:r>
      <w:r w:rsidR="00CB75BE">
        <w:rPr>
          <w:lang w:val="en-US"/>
        </w:rPr>
        <w:t>-</w:t>
      </w:r>
      <w:r w:rsidR="002A6BD7" w:rsidRPr="007F3DA2">
        <w:t xml:space="preserve">care providers and users, </w:t>
      </w:r>
      <w:r>
        <w:t>the</w:t>
      </w:r>
      <w:r w:rsidR="002A6BD7" w:rsidRPr="007F3DA2">
        <w:t xml:space="preserve"> medical profession </w:t>
      </w:r>
      <w:r>
        <w:t>should</w:t>
      </w:r>
      <w:r w:rsidR="002A6BD7" w:rsidRPr="007F3DA2">
        <w:t xml:space="preserve"> reconsider some </w:t>
      </w:r>
      <w:r>
        <w:t xml:space="preserve">of </w:t>
      </w:r>
      <w:r w:rsidR="00241EAD">
        <w:rPr>
          <w:lang w:val="en-US"/>
        </w:rPr>
        <w:t>its</w:t>
      </w:r>
      <w:r w:rsidR="00241EAD">
        <w:t xml:space="preserve"> </w:t>
      </w:r>
      <w:r w:rsidR="002A6BD7" w:rsidRPr="007F3DA2">
        <w:t>traditional views.</w:t>
      </w:r>
      <w:r w:rsidR="00813F20">
        <w:t xml:space="preserve"> </w:t>
      </w:r>
      <w:r w:rsidR="00014BFD">
        <w:rPr>
          <w:lang w:val="en-US"/>
        </w:rPr>
        <w:t>H</w:t>
      </w:r>
      <w:r w:rsidR="0027013C">
        <w:rPr>
          <w:lang w:val="en-US"/>
        </w:rPr>
        <w:t>ealth</w:t>
      </w:r>
      <w:r w:rsidR="00CB75BE">
        <w:rPr>
          <w:lang w:val="en-US"/>
        </w:rPr>
        <w:t>-</w:t>
      </w:r>
      <w:r w:rsidR="0027013C">
        <w:rPr>
          <w:lang w:val="en-US"/>
        </w:rPr>
        <w:t xml:space="preserve">care professionals need to strengthen effective </w:t>
      </w:r>
      <w:r w:rsidR="002A6BD7" w:rsidRPr="007F3DA2">
        <w:t>self-regulat</w:t>
      </w:r>
      <w:r w:rsidR="0027013C">
        <w:rPr>
          <w:lang w:val="en-US"/>
        </w:rPr>
        <w:t xml:space="preserve">ory </w:t>
      </w:r>
      <w:r w:rsidR="002A6BD7" w:rsidRPr="007F3DA2">
        <w:t xml:space="preserve">practices and capacity-building </w:t>
      </w:r>
      <w:r w:rsidR="00014BFD" w:rsidRPr="00B76FD9">
        <w:rPr>
          <w:lang w:val="en-GB"/>
        </w:rPr>
        <w:t xml:space="preserve">activities </w:t>
      </w:r>
      <w:r w:rsidR="002A6BD7" w:rsidRPr="007F3DA2">
        <w:t>within t</w:t>
      </w:r>
      <w:r w:rsidR="000101AA">
        <w:t>he</w:t>
      </w:r>
      <w:r w:rsidR="0027013C">
        <w:rPr>
          <w:lang w:val="en-US"/>
        </w:rPr>
        <w:t>ir</w:t>
      </w:r>
      <w:r w:rsidR="000101AA">
        <w:t xml:space="preserve"> profession</w:t>
      </w:r>
      <w:r w:rsidR="0027013C">
        <w:rPr>
          <w:lang w:val="en-US"/>
        </w:rPr>
        <w:t>s</w:t>
      </w:r>
      <w:r w:rsidR="000101AA">
        <w:t xml:space="preserve"> so as to </w:t>
      </w:r>
      <w:r w:rsidR="00530B30">
        <w:rPr>
          <w:lang w:val="en-US"/>
        </w:rPr>
        <w:t xml:space="preserve">promote </w:t>
      </w:r>
      <w:r w:rsidR="00014BFD">
        <w:rPr>
          <w:lang w:val="en-US"/>
        </w:rPr>
        <w:t xml:space="preserve">the </w:t>
      </w:r>
      <w:r w:rsidR="00530B30">
        <w:rPr>
          <w:lang w:val="en-US"/>
        </w:rPr>
        <w:t xml:space="preserve">best traditions of medicine and </w:t>
      </w:r>
      <w:r w:rsidR="000101AA">
        <w:t xml:space="preserve">prevent </w:t>
      </w:r>
      <w:r w:rsidR="002A6BD7" w:rsidRPr="007F3DA2">
        <w:t>ethical miscondu</w:t>
      </w:r>
      <w:r w:rsidR="006058E4">
        <w:t>ct and human rights violations.</w:t>
      </w:r>
    </w:p>
    <w:p w:rsidR="00371569" w:rsidRPr="00A04ABE" w:rsidRDefault="00241EAD" w:rsidP="00840D9F">
      <w:pPr>
        <w:pStyle w:val="SingleTxtG"/>
        <w:numPr>
          <w:ilvl w:val="0"/>
          <w:numId w:val="45"/>
        </w:numPr>
        <w:ind w:left="1134" w:firstLine="0"/>
        <w:rPr>
          <w:lang w:val="en-GB"/>
        </w:rPr>
      </w:pPr>
      <w:r>
        <w:rPr>
          <w:lang w:val="en-US"/>
        </w:rPr>
        <w:t>E</w:t>
      </w:r>
      <w:r w:rsidR="002A6BD7" w:rsidRPr="007F3DA2">
        <w:t xml:space="preserve">ducation </w:t>
      </w:r>
      <w:r w:rsidR="004350B6" w:rsidRPr="00B76FD9">
        <w:rPr>
          <w:lang w:val="en-GB"/>
        </w:rPr>
        <w:t>in the health</w:t>
      </w:r>
      <w:r w:rsidR="00CB75BE">
        <w:rPr>
          <w:lang w:val="en-GB"/>
        </w:rPr>
        <w:t>-</w:t>
      </w:r>
      <w:r w:rsidR="004350B6" w:rsidRPr="00B76FD9">
        <w:rPr>
          <w:lang w:val="en-GB"/>
        </w:rPr>
        <w:t xml:space="preserve">care sector </w:t>
      </w:r>
      <w:r w:rsidR="002A6BD7" w:rsidRPr="007F3DA2">
        <w:t>is one important element</w:t>
      </w:r>
      <w:r>
        <w:rPr>
          <w:lang w:val="en-US"/>
        </w:rPr>
        <w:t xml:space="preserve"> in that regard</w:t>
      </w:r>
      <w:r w:rsidR="002A6BD7" w:rsidRPr="007F3DA2">
        <w:t>. The doctrine of</w:t>
      </w:r>
      <w:r w:rsidR="00CB75BE">
        <w:rPr>
          <w:lang w:val="en-US"/>
        </w:rPr>
        <w:t xml:space="preserve"> the</w:t>
      </w:r>
      <w:r w:rsidR="002A6BD7" w:rsidRPr="007F3DA2">
        <w:t xml:space="preserve"> </w:t>
      </w:r>
      <w:r w:rsidR="006E35A6">
        <w:t>“five star doctor”</w:t>
      </w:r>
      <w:r w:rsidR="00FB617C">
        <w:rPr>
          <w:rStyle w:val="FootnoteReference"/>
        </w:rPr>
        <w:footnoteReference w:id="14"/>
      </w:r>
      <w:r w:rsidR="002A6BD7" w:rsidRPr="007F3DA2">
        <w:t xml:space="preserve"> needs to be reaffirmed in the light of translating </w:t>
      </w:r>
      <w:r w:rsidR="00371569">
        <w:t xml:space="preserve">modern values and scientific </w:t>
      </w:r>
      <w:r w:rsidR="002A6BD7" w:rsidRPr="007F3DA2">
        <w:t>evidence into everyday medical practice.</w:t>
      </w:r>
      <w:r w:rsidR="00371569">
        <w:t xml:space="preserve"> Modern medical doctors need</w:t>
      </w:r>
      <w:r w:rsidR="002A6BD7" w:rsidRPr="007F3DA2">
        <w:t xml:space="preserve"> to be not only good clinician</w:t>
      </w:r>
      <w:r w:rsidR="00371569">
        <w:t>s</w:t>
      </w:r>
      <w:r w:rsidR="002A6BD7" w:rsidRPr="007F3DA2">
        <w:t xml:space="preserve"> but also</w:t>
      </w:r>
      <w:r w:rsidR="00371569">
        <w:t xml:space="preserve"> effective community leaders, communicators, </w:t>
      </w:r>
      <w:r w:rsidR="002A6BD7" w:rsidRPr="007F3DA2">
        <w:t xml:space="preserve">decision makers </w:t>
      </w:r>
      <w:r w:rsidR="00371569">
        <w:t>and managers. Th</w:t>
      </w:r>
      <w:r w:rsidR="00CB75BE">
        <w:rPr>
          <w:lang w:val="en-US"/>
        </w:rPr>
        <w:t>at</w:t>
      </w:r>
      <w:r w:rsidR="00371569">
        <w:t xml:space="preserve"> doctrine </w:t>
      </w:r>
      <w:r w:rsidR="002A6BD7" w:rsidRPr="007F3DA2">
        <w:t>should be complem</w:t>
      </w:r>
      <w:r w:rsidR="00371569">
        <w:t xml:space="preserve">ented </w:t>
      </w:r>
      <w:r w:rsidR="00CB75BE">
        <w:rPr>
          <w:lang w:val="en-US"/>
        </w:rPr>
        <w:t>by</w:t>
      </w:r>
      <w:r w:rsidR="00CB75BE">
        <w:t xml:space="preserve"> </w:t>
      </w:r>
      <w:r w:rsidR="00CB75BE">
        <w:rPr>
          <w:lang w:val="en-US"/>
        </w:rPr>
        <w:t xml:space="preserve">a </w:t>
      </w:r>
      <w:r w:rsidR="00371569">
        <w:t>strong human rights</w:t>
      </w:r>
      <w:r w:rsidR="00CB75BE">
        <w:rPr>
          <w:lang w:val="en-US"/>
        </w:rPr>
        <w:t>-</w:t>
      </w:r>
      <w:r w:rsidR="002A6BD7" w:rsidRPr="007F3DA2">
        <w:t>based approach and evid</w:t>
      </w:r>
      <w:r w:rsidR="006058E4">
        <w:t>ence</w:t>
      </w:r>
      <w:r w:rsidR="00CB75BE">
        <w:rPr>
          <w:lang w:val="en-US"/>
        </w:rPr>
        <w:t xml:space="preserve"> gained</w:t>
      </w:r>
      <w:r w:rsidR="006058E4">
        <w:t xml:space="preserve"> from</w:t>
      </w:r>
      <w:r w:rsidR="00CB75BE">
        <w:rPr>
          <w:lang w:val="en-US"/>
        </w:rPr>
        <w:t xml:space="preserve"> the</w:t>
      </w:r>
      <w:r w:rsidR="006058E4">
        <w:t xml:space="preserve"> modern public health</w:t>
      </w:r>
      <w:r w:rsidR="00CB75BE">
        <w:rPr>
          <w:lang w:val="en-US"/>
        </w:rPr>
        <w:t xml:space="preserve"> approach</w:t>
      </w:r>
      <w:r w:rsidR="006058E4">
        <w:t>.</w:t>
      </w:r>
    </w:p>
    <w:p w:rsidR="00205210" w:rsidRPr="00A04ABE" w:rsidRDefault="002A6BD7" w:rsidP="00CB75BE">
      <w:pPr>
        <w:pStyle w:val="SingleTxtG"/>
        <w:numPr>
          <w:ilvl w:val="0"/>
          <w:numId w:val="45"/>
        </w:numPr>
        <w:ind w:left="1134" w:firstLine="0"/>
        <w:rPr>
          <w:lang w:val="en-GB"/>
        </w:rPr>
      </w:pPr>
      <w:r w:rsidRPr="007F3DA2">
        <w:t xml:space="preserve">Strengthening </w:t>
      </w:r>
      <w:r w:rsidR="00371569">
        <w:t>the</w:t>
      </w:r>
      <w:r w:rsidRPr="007F3DA2">
        <w:t xml:space="preserve"> human rights dimension in </w:t>
      </w:r>
      <w:r w:rsidR="004350B6" w:rsidRPr="00E0722D">
        <w:rPr>
          <w:lang w:val="en-GB"/>
        </w:rPr>
        <w:t>heal</w:t>
      </w:r>
      <w:r w:rsidR="004350B6" w:rsidRPr="00B76FD9">
        <w:rPr>
          <w:lang w:val="en-GB"/>
        </w:rPr>
        <w:t>th</w:t>
      </w:r>
      <w:r w:rsidR="00CB75BE">
        <w:rPr>
          <w:lang w:val="en-GB"/>
        </w:rPr>
        <w:t>-</w:t>
      </w:r>
      <w:r w:rsidR="004350B6" w:rsidRPr="00B76FD9">
        <w:rPr>
          <w:lang w:val="en-GB"/>
        </w:rPr>
        <w:t>care</w:t>
      </w:r>
      <w:r w:rsidR="004350B6" w:rsidRPr="007F3DA2">
        <w:t xml:space="preserve"> </w:t>
      </w:r>
      <w:r w:rsidRPr="007F3DA2">
        <w:t xml:space="preserve">education </w:t>
      </w:r>
      <w:r w:rsidR="00371569">
        <w:t xml:space="preserve">curricula </w:t>
      </w:r>
      <w:r w:rsidRPr="007F3DA2">
        <w:t xml:space="preserve">would be in </w:t>
      </w:r>
      <w:r w:rsidR="00371569">
        <w:t xml:space="preserve">the </w:t>
      </w:r>
      <w:r w:rsidRPr="007F3DA2">
        <w:t xml:space="preserve">interests not only users of health services but also of medical doctors and other </w:t>
      </w:r>
      <w:r w:rsidR="00CB75BE">
        <w:rPr>
          <w:lang w:val="en-US"/>
        </w:rPr>
        <w:t xml:space="preserve">members of the </w:t>
      </w:r>
      <w:r w:rsidRPr="007F3DA2">
        <w:t>health</w:t>
      </w:r>
      <w:r w:rsidR="00CB75BE">
        <w:rPr>
          <w:lang w:val="en-US"/>
        </w:rPr>
        <w:t>-</w:t>
      </w:r>
      <w:r w:rsidRPr="007F3DA2">
        <w:t>c</w:t>
      </w:r>
      <w:r w:rsidR="00371569">
        <w:t xml:space="preserve">are workforce. </w:t>
      </w:r>
      <w:r w:rsidRPr="007F3DA2">
        <w:t xml:space="preserve">Medical education, as well as </w:t>
      </w:r>
      <w:r w:rsidR="00AD2EA4">
        <w:rPr>
          <w:lang w:val="en-US"/>
        </w:rPr>
        <w:t xml:space="preserve">medical and </w:t>
      </w:r>
      <w:r w:rsidRPr="007F3DA2">
        <w:t xml:space="preserve">health research, should </w:t>
      </w:r>
      <w:r w:rsidR="004F6278">
        <w:t xml:space="preserve">help in </w:t>
      </w:r>
      <w:r w:rsidR="00151542">
        <w:t xml:space="preserve">providing tools to </w:t>
      </w:r>
      <w:r w:rsidR="004F6278">
        <w:t xml:space="preserve">address </w:t>
      </w:r>
      <w:r w:rsidRPr="007F3DA2">
        <w:t>imbal</w:t>
      </w:r>
      <w:r w:rsidR="004F6278">
        <w:t xml:space="preserve">ances </w:t>
      </w:r>
      <w:r w:rsidR="006E35A6">
        <w:t xml:space="preserve">when power asymmetries </w:t>
      </w:r>
      <w:r w:rsidRPr="007F3DA2">
        <w:t xml:space="preserve">lead to </w:t>
      </w:r>
      <w:r w:rsidR="006E35A6">
        <w:t>too much</w:t>
      </w:r>
      <w:r w:rsidR="00CB75BE">
        <w:rPr>
          <w:lang w:val="en-US"/>
        </w:rPr>
        <w:t xml:space="preserve"> focus</w:t>
      </w:r>
      <w:r w:rsidR="006E35A6">
        <w:t xml:space="preserve"> on </w:t>
      </w:r>
      <w:r w:rsidR="00CB75BE">
        <w:rPr>
          <w:lang w:val="en-US"/>
        </w:rPr>
        <w:t xml:space="preserve">the </w:t>
      </w:r>
      <w:r w:rsidR="00140C5C">
        <w:rPr>
          <w:lang w:val="en-US"/>
        </w:rPr>
        <w:t>tertiary level of health</w:t>
      </w:r>
      <w:r w:rsidR="00CB75BE">
        <w:rPr>
          <w:lang w:val="en-US"/>
        </w:rPr>
        <w:t xml:space="preserve"> </w:t>
      </w:r>
      <w:r w:rsidR="00140C5C">
        <w:rPr>
          <w:lang w:val="en-US"/>
        </w:rPr>
        <w:t>care</w:t>
      </w:r>
      <w:r w:rsidRPr="007F3DA2">
        <w:t xml:space="preserve">, biomedical technologies and other components of </w:t>
      </w:r>
      <w:r w:rsidR="00CB75BE">
        <w:rPr>
          <w:lang w:val="en-US"/>
        </w:rPr>
        <w:t xml:space="preserve">the </w:t>
      </w:r>
      <w:r w:rsidRPr="007F3DA2">
        <w:t>excessiv</w:t>
      </w:r>
      <w:r w:rsidR="006058E4">
        <w:t>ely exploited biomedical model.</w:t>
      </w:r>
    </w:p>
    <w:p w:rsidR="002A6BD7" w:rsidRPr="007F3DA2" w:rsidRDefault="00241EAD" w:rsidP="00840D9F">
      <w:pPr>
        <w:pStyle w:val="SingleTxtG"/>
        <w:numPr>
          <w:ilvl w:val="0"/>
          <w:numId w:val="45"/>
        </w:numPr>
        <w:ind w:left="1134" w:firstLine="0"/>
      </w:pPr>
      <w:r>
        <w:rPr>
          <w:lang w:val="en-US"/>
        </w:rPr>
        <w:t>T</w:t>
      </w:r>
      <w:r w:rsidR="00205210">
        <w:rPr>
          <w:lang w:val="en-US"/>
        </w:rPr>
        <w:t xml:space="preserve">he </w:t>
      </w:r>
      <w:r w:rsidR="00AD2EA4">
        <w:rPr>
          <w:lang w:val="en-US"/>
        </w:rPr>
        <w:t xml:space="preserve">Edinburgh </w:t>
      </w:r>
      <w:r w:rsidR="00205210">
        <w:rPr>
          <w:lang w:val="en-US"/>
        </w:rPr>
        <w:t>D</w:t>
      </w:r>
      <w:r w:rsidR="00AD2EA4">
        <w:rPr>
          <w:lang w:val="en-US"/>
        </w:rPr>
        <w:t>eclaration</w:t>
      </w:r>
      <w:r w:rsidR="008B5BB9">
        <w:rPr>
          <w:lang w:val="en-US"/>
        </w:rPr>
        <w:t xml:space="preserve"> on medical education</w:t>
      </w:r>
      <w:r w:rsidR="00481893">
        <w:rPr>
          <w:rStyle w:val="FootnoteReference"/>
          <w:lang w:val="en-US"/>
        </w:rPr>
        <w:footnoteReference w:id="15"/>
      </w:r>
      <w:r w:rsidR="00AD2EA4">
        <w:rPr>
          <w:lang w:val="en-US"/>
        </w:rPr>
        <w:t xml:space="preserve"> </w:t>
      </w:r>
      <w:r>
        <w:rPr>
          <w:lang w:val="en-US"/>
        </w:rPr>
        <w:t xml:space="preserve">should be recalled </w:t>
      </w:r>
      <w:r w:rsidR="00AD2EA4">
        <w:rPr>
          <w:lang w:val="en-US"/>
        </w:rPr>
        <w:t xml:space="preserve">and education and research </w:t>
      </w:r>
      <w:r>
        <w:rPr>
          <w:lang w:val="en-US"/>
        </w:rPr>
        <w:t xml:space="preserve">reoriented </w:t>
      </w:r>
      <w:r w:rsidR="002A6BD7" w:rsidRPr="007F3DA2">
        <w:t xml:space="preserve">to </w:t>
      </w:r>
      <w:r w:rsidR="00205210" w:rsidRPr="00B76FD9">
        <w:rPr>
          <w:lang w:val="en-GB"/>
        </w:rPr>
        <w:t xml:space="preserve">the </w:t>
      </w:r>
      <w:r w:rsidR="00140C5C">
        <w:rPr>
          <w:lang w:val="en-US"/>
        </w:rPr>
        <w:t xml:space="preserve">basics of social medicine through training in </w:t>
      </w:r>
      <w:r w:rsidR="002A6BD7" w:rsidRPr="007F3DA2">
        <w:t>community</w:t>
      </w:r>
      <w:r w:rsidR="00AD2EA4">
        <w:rPr>
          <w:lang w:val="en-US"/>
        </w:rPr>
        <w:t xml:space="preserve"> settings </w:t>
      </w:r>
      <w:r w:rsidR="002A6BD7" w:rsidRPr="007F3DA2">
        <w:t xml:space="preserve">and </w:t>
      </w:r>
      <w:r w:rsidR="00140C5C">
        <w:rPr>
          <w:lang w:val="en-US"/>
        </w:rPr>
        <w:t xml:space="preserve">fostering </w:t>
      </w:r>
      <w:r w:rsidR="002A6BD7" w:rsidRPr="007F3DA2">
        <w:t xml:space="preserve">social sciences and qualitative methods, </w:t>
      </w:r>
      <w:r w:rsidR="00151542">
        <w:t xml:space="preserve">which are as relevant as </w:t>
      </w:r>
      <w:r w:rsidR="006E35A6" w:rsidRPr="007F3DA2">
        <w:t>biomedical</w:t>
      </w:r>
      <w:r w:rsidR="00151542">
        <w:t xml:space="preserve"> sciences and quantitative </w:t>
      </w:r>
      <w:r w:rsidR="002A6BD7" w:rsidRPr="007F3DA2">
        <w:t>research. Th</w:t>
      </w:r>
      <w:r w:rsidR="006E4683">
        <w:rPr>
          <w:lang w:val="en-US"/>
        </w:rPr>
        <w:t>at</w:t>
      </w:r>
      <w:r w:rsidR="002A6BD7" w:rsidRPr="007F3DA2">
        <w:t xml:space="preserve"> would </w:t>
      </w:r>
      <w:r w:rsidR="00151542">
        <w:t>help</w:t>
      </w:r>
      <w:r w:rsidR="002A6BD7" w:rsidRPr="007F3DA2">
        <w:t xml:space="preserve"> in restoring</w:t>
      </w:r>
      <w:r w:rsidR="006E4683">
        <w:rPr>
          <w:lang w:val="en-US"/>
        </w:rPr>
        <w:t xml:space="preserve"> the</w:t>
      </w:r>
      <w:r w:rsidR="002A6BD7" w:rsidRPr="007F3DA2">
        <w:t xml:space="preserve"> bala</w:t>
      </w:r>
      <w:r w:rsidR="00151542">
        <w:t xml:space="preserve">nce </w:t>
      </w:r>
      <w:r w:rsidR="006E4683">
        <w:rPr>
          <w:lang w:val="en-US"/>
        </w:rPr>
        <w:t>with</w:t>
      </w:r>
      <w:r w:rsidR="00205210" w:rsidRPr="00B76FD9">
        <w:rPr>
          <w:lang w:val="en-GB"/>
        </w:rPr>
        <w:t xml:space="preserve"> a</w:t>
      </w:r>
      <w:r w:rsidR="00151542">
        <w:t xml:space="preserve"> holistic approach</w:t>
      </w:r>
      <w:r w:rsidR="002A6BD7" w:rsidRPr="007F3DA2">
        <w:t xml:space="preserve"> to promot</w:t>
      </w:r>
      <w:r>
        <w:rPr>
          <w:lang w:val="en-GB"/>
        </w:rPr>
        <w:t>ing</w:t>
      </w:r>
      <w:r w:rsidR="002A6BD7" w:rsidRPr="007F3DA2">
        <w:t xml:space="preserve"> </w:t>
      </w:r>
      <w:r w:rsidR="00151542">
        <w:t xml:space="preserve">the </w:t>
      </w:r>
      <w:r w:rsidR="002A6BD7" w:rsidRPr="007F3DA2">
        <w:t xml:space="preserve">health </w:t>
      </w:r>
      <w:r w:rsidR="00205210" w:rsidRPr="00B76FD9">
        <w:rPr>
          <w:lang w:val="en-GB"/>
        </w:rPr>
        <w:t xml:space="preserve">and well-being </w:t>
      </w:r>
      <w:r w:rsidR="002A6BD7" w:rsidRPr="007F3DA2">
        <w:t>of individuals and societies</w:t>
      </w:r>
      <w:r w:rsidR="00205210" w:rsidRPr="00B76FD9">
        <w:rPr>
          <w:lang w:val="en-GB"/>
        </w:rPr>
        <w:t>.</w:t>
      </w:r>
      <w:r w:rsidR="002A6BD7" w:rsidRPr="007F3DA2">
        <w:t xml:space="preserve"> </w:t>
      </w:r>
    </w:p>
    <w:p w:rsidR="00614ED3" w:rsidRPr="007F3DA2" w:rsidRDefault="00205210" w:rsidP="006E4683">
      <w:pPr>
        <w:pStyle w:val="SingleTxtG"/>
        <w:numPr>
          <w:ilvl w:val="0"/>
          <w:numId w:val="45"/>
        </w:numPr>
        <w:ind w:left="1134" w:firstLine="0"/>
      </w:pPr>
      <w:r>
        <w:t>The r</w:t>
      </w:r>
      <w:r w:rsidRPr="007F3DA2">
        <w:t>ole</w:t>
      </w:r>
      <w:r>
        <w:t xml:space="preserve"> of private companies, such as </w:t>
      </w:r>
      <w:r w:rsidRPr="007F3DA2">
        <w:t xml:space="preserve">pharmaceutical </w:t>
      </w:r>
      <w:r w:rsidR="009A412D" w:rsidRPr="008A0770">
        <w:rPr>
          <w:lang w:val="en-GB"/>
        </w:rPr>
        <w:t>ones</w:t>
      </w:r>
      <w:r>
        <w:t>, should also be highlighted</w:t>
      </w:r>
      <w:r w:rsidRPr="007F3DA2">
        <w:t>.</w:t>
      </w:r>
      <w:r w:rsidR="00813F20">
        <w:t xml:space="preserve"> </w:t>
      </w:r>
      <w:r>
        <w:t>The work of previous mandate</w:t>
      </w:r>
      <w:r w:rsidR="006E4683">
        <w:rPr>
          <w:lang w:val="en-US"/>
        </w:rPr>
        <w:t xml:space="preserve"> </w:t>
      </w:r>
      <w:r>
        <w:t xml:space="preserve">holders has been crucial to underline </w:t>
      </w:r>
      <w:r w:rsidRPr="007F3DA2">
        <w:t>their duties with regard to right to health</w:t>
      </w:r>
      <w:r>
        <w:t>, in particular the Human Rights Guidelines for P</w:t>
      </w:r>
      <w:r w:rsidRPr="007F3DA2">
        <w:t>harmaceutical</w:t>
      </w:r>
      <w:r>
        <w:t xml:space="preserve"> Companies in relation to </w:t>
      </w:r>
      <w:r w:rsidR="006E4683">
        <w:rPr>
          <w:lang w:val="en-US"/>
        </w:rPr>
        <w:t>A</w:t>
      </w:r>
      <w:r>
        <w:t xml:space="preserve">ccess to </w:t>
      </w:r>
      <w:r w:rsidR="006E4683">
        <w:rPr>
          <w:lang w:val="en-US"/>
        </w:rPr>
        <w:t>Medicines (A/63/263, annex)</w:t>
      </w:r>
      <w:r>
        <w:t xml:space="preserve">. </w:t>
      </w:r>
      <w:r w:rsidR="00614ED3" w:rsidRPr="00614ED3">
        <w:t>The Special Rapporteur will be addressing th</w:t>
      </w:r>
      <w:r w:rsidR="006E4683">
        <w:rPr>
          <w:lang w:val="en-US"/>
        </w:rPr>
        <w:t>o</w:t>
      </w:r>
      <w:r w:rsidR="00614ED3" w:rsidRPr="00614ED3">
        <w:t>se issues with a view to ending unacceptable practices and entrenched misconceptions.</w:t>
      </w:r>
    </w:p>
    <w:p w:rsidR="004C7BA9" w:rsidRPr="004C7BA9" w:rsidRDefault="00165CB0" w:rsidP="00C0638B">
      <w:pPr>
        <w:pStyle w:val="HChG"/>
      </w:pPr>
      <w:r>
        <w:tab/>
      </w:r>
      <w:r w:rsidR="004C7BA9" w:rsidRPr="004C7BA9">
        <w:t>V</w:t>
      </w:r>
      <w:r w:rsidR="00AF0671">
        <w:t>I</w:t>
      </w:r>
      <w:r w:rsidR="004C7BA9" w:rsidRPr="004C7BA9">
        <w:t>.</w:t>
      </w:r>
      <w:r w:rsidR="004C7BA9" w:rsidRPr="004C7BA9">
        <w:tab/>
        <w:t xml:space="preserve">Conclusions and </w:t>
      </w:r>
      <w:r w:rsidR="003861D9">
        <w:t>observations</w:t>
      </w:r>
    </w:p>
    <w:p w:rsidR="004C7BA9" w:rsidRPr="004C7BA9" w:rsidRDefault="004C7BA9" w:rsidP="00C0638B">
      <w:pPr>
        <w:pStyle w:val="H1G"/>
      </w:pPr>
      <w:r w:rsidRPr="004C7BA9">
        <w:tab/>
        <w:t>A.</w:t>
      </w:r>
      <w:r w:rsidRPr="004C7BA9">
        <w:tab/>
        <w:t>Conclusions</w:t>
      </w:r>
    </w:p>
    <w:p w:rsidR="00776203" w:rsidRPr="003D5E31" w:rsidRDefault="00052D61" w:rsidP="00CB75BE">
      <w:pPr>
        <w:pStyle w:val="SingleTxtG"/>
        <w:numPr>
          <w:ilvl w:val="0"/>
          <w:numId w:val="45"/>
        </w:numPr>
        <w:ind w:left="1134" w:firstLine="0"/>
        <w:rPr>
          <w:b/>
          <w:lang w:val="en-GB"/>
        </w:rPr>
      </w:pPr>
      <w:r w:rsidRPr="00B76FD9">
        <w:rPr>
          <w:b/>
        </w:rPr>
        <w:t xml:space="preserve">Over the past few decades, measurable improvements have been </w:t>
      </w:r>
      <w:r w:rsidR="00136563" w:rsidRPr="00B76FD9">
        <w:rPr>
          <w:b/>
          <w:lang w:val="en-GB"/>
        </w:rPr>
        <w:t>made</w:t>
      </w:r>
      <w:r w:rsidR="00136563" w:rsidRPr="00B76FD9">
        <w:rPr>
          <w:b/>
        </w:rPr>
        <w:t xml:space="preserve"> </w:t>
      </w:r>
      <w:r w:rsidRPr="00B76FD9">
        <w:rPr>
          <w:b/>
        </w:rPr>
        <w:t xml:space="preserve">in health indicators and the realization of the right to health worldwide. This has enabled </w:t>
      </w:r>
      <w:r w:rsidR="00136563" w:rsidRPr="00B76FD9">
        <w:rPr>
          <w:b/>
          <w:lang w:val="en-GB"/>
        </w:rPr>
        <w:t>important progress in</w:t>
      </w:r>
      <w:r w:rsidR="0037653B" w:rsidRPr="00B76FD9">
        <w:rPr>
          <w:b/>
        </w:rPr>
        <w:t xml:space="preserve"> </w:t>
      </w:r>
      <w:r w:rsidRPr="00B76FD9">
        <w:rPr>
          <w:b/>
        </w:rPr>
        <w:t>development goals</w:t>
      </w:r>
      <w:r w:rsidR="00136563" w:rsidRPr="00B76FD9">
        <w:rPr>
          <w:b/>
          <w:lang w:val="en-GB"/>
        </w:rPr>
        <w:t>,</w:t>
      </w:r>
      <w:r w:rsidRPr="00B76FD9">
        <w:rPr>
          <w:b/>
        </w:rPr>
        <w:t xml:space="preserve"> and the introduction in many countries of health</w:t>
      </w:r>
      <w:r w:rsidR="00AD4E9A">
        <w:rPr>
          <w:b/>
          <w:lang w:val="en-US"/>
        </w:rPr>
        <w:t>-</w:t>
      </w:r>
      <w:r w:rsidRPr="00B76FD9">
        <w:rPr>
          <w:b/>
        </w:rPr>
        <w:t>related public policies with a human rights and modern public health approach</w:t>
      </w:r>
      <w:r w:rsidR="00D92FC2" w:rsidRPr="00B76FD9">
        <w:rPr>
          <w:b/>
        </w:rPr>
        <w:t>.</w:t>
      </w:r>
    </w:p>
    <w:p w:rsidR="004C7BA9" w:rsidRPr="00A04ABE" w:rsidRDefault="00555B5E" w:rsidP="00CB75BE">
      <w:pPr>
        <w:pStyle w:val="SingleTxtG"/>
        <w:numPr>
          <w:ilvl w:val="0"/>
          <w:numId w:val="45"/>
        </w:numPr>
        <w:ind w:left="1134" w:firstLine="0"/>
        <w:rPr>
          <w:b/>
          <w:lang w:val="en-GB"/>
        </w:rPr>
      </w:pPr>
      <w:r w:rsidRPr="00B76FD9">
        <w:rPr>
          <w:b/>
          <w:lang w:val="en-GB"/>
        </w:rPr>
        <w:t>Moreover, t</w:t>
      </w:r>
      <w:r w:rsidR="00C746A6" w:rsidRPr="00B76FD9">
        <w:rPr>
          <w:b/>
        </w:rPr>
        <w:t xml:space="preserve">he </w:t>
      </w:r>
      <w:r w:rsidR="00AD4E9A">
        <w:rPr>
          <w:b/>
          <w:lang w:val="en-US"/>
        </w:rPr>
        <w:t>p</w:t>
      </w:r>
      <w:r w:rsidR="00C746A6" w:rsidRPr="00B76FD9">
        <w:rPr>
          <w:b/>
        </w:rPr>
        <w:t xml:space="preserve">ast </w:t>
      </w:r>
      <w:r w:rsidR="00AD4E9A">
        <w:rPr>
          <w:b/>
          <w:lang w:val="en-US"/>
        </w:rPr>
        <w:t>12</w:t>
      </w:r>
      <w:r w:rsidR="00AD4E9A" w:rsidRPr="00B76FD9">
        <w:rPr>
          <w:b/>
        </w:rPr>
        <w:t xml:space="preserve"> </w:t>
      </w:r>
      <w:r w:rsidR="00C746A6" w:rsidRPr="00B76FD9">
        <w:rPr>
          <w:b/>
        </w:rPr>
        <w:t xml:space="preserve">years have </w:t>
      </w:r>
      <w:r w:rsidR="00B347BB" w:rsidRPr="00B76FD9">
        <w:rPr>
          <w:b/>
          <w:lang w:val="en-GB"/>
        </w:rPr>
        <w:t xml:space="preserve">implied the consolidation </w:t>
      </w:r>
      <w:r w:rsidR="00C746A6" w:rsidRPr="00B76FD9">
        <w:rPr>
          <w:b/>
        </w:rPr>
        <w:t xml:space="preserve">of the </w:t>
      </w:r>
      <w:r w:rsidR="00AD4E9A" w:rsidRPr="00B76FD9">
        <w:rPr>
          <w:b/>
        </w:rPr>
        <w:t xml:space="preserve">framework </w:t>
      </w:r>
      <w:r w:rsidR="00AD4E9A">
        <w:rPr>
          <w:b/>
          <w:lang w:val="en-US"/>
        </w:rPr>
        <w:t xml:space="preserve">of the </w:t>
      </w:r>
      <w:r w:rsidR="00C746A6" w:rsidRPr="00B76FD9">
        <w:rPr>
          <w:b/>
        </w:rPr>
        <w:t>right to health</w:t>
      </w:r>
      <w:r w:rsidR="00AD4E9A">
        <w:rPr>
          <w:b/>
          <w:lang w:val="en-US"/>
        </w:rPr>
        <w:t>,</w:t>
      </w:r>
      <w:r w:rsidR="00C746A6" w:rsidRPr="00B76FD9">
        <w:rPr>
          <w:b/>
        </w:rPr>
        <w:t xml:space="preserve"> based on the key role of human rights in policymaking</w:t>
      </w:r>
      <w:r w:rsidR="00D92FC2" w:rsidRPr="00B76FD9">
        <w:rPr>
          <w:b/>
        </w:rPr>
        <w:t>.</w:t>
      </w:r>
      <w:r w:rsidR="00C746A6" w:rsidRPr="00B76FD9">
        <w:rPr>
          <w:b/>
        </w:rPr>
        <w:t xml:space="preserve"> </w:t>
      </w:r>
      <w:r w:rsidR="004C7BA9" w:rsidRPr="00160559">
        <w:rPr>
          <w:b/>
        </w:rPr>
        <w:t xml:space="preserve">The Special Rapporteur </w:t>
      </w:r>
      <w:r w:rsidR="00165CB0" w:rsidRPr="00160559">
        <w:rPr>
          <w:b/>
        </w:rPr>
        <w:t xml:space="preserve">hopes to </w:t>
      </w:r>
      <w:r w:rsidR="00160559" w:rsidRPr="00B76FD9">
        <w:rPr>
          <w:b/>
          <w:lang w:val="en-GB"/>
        </w:rPr>
        <w:t xml:space="preserve">continue contributing </w:t>
      </w:r>
      <w:r w:rsidR="00165CB0" w:rsidRPr="00160559">
        <w:rPr>
          <w:b/>
        </w:rPr>
        <w:t>to the full reali</w:t>
      </w:r>
      <w:r w:rsidR="00AD4E9A">
        <w:rPr>
          <w:b/>
          <w:lang w:val="en-US"/>
        </w:rPr>
        <w:t>z</w:t>
      </w:r>
      <w:r w:rsidR="00165CB0" w:rsidRPr="00160559">
        <w:rPr>
          <w:b/>
        </w:rPr>
        <w:t>ation of the right to health and related rights</w:t>
      </w:r>
      <w:r w:rsidR="008842F4" w:rsidRPr="00160559">
        <w:rPr>
          <w:b/>
        </w:rPr>
        <w:t xml:space="preserve"> by</w:t>
      </w:r>
      <w:r w:rsidR="00C746A6" w:rsidRPr="00160559">
        <w:rPr>
          <w:b/>
        </w:rPr>
        <w:t xml:space="preserve"> </w:t>
      </w:r>
      <w:r w:rsidR="004C7BA9" w:rsidRPr="00160559">
        <w:rPr>
          <w:b/>
        </w:rPr>
        <w:t>provid</w:t>
      </w:r>
      <w:r w:rsidR="00160559" w:rsidRPr="00B76FD9">
        <w:rPr>
          <w:b/>
          <w:lang w:val="en-GB"/>
        </w:rPr>
        <w:t>ing</w:t>
      </w:r>
      <w:r w:rsidR="004C7BA9" w:rsidRPr="00160559">
        <w:rPr>
          <w:b/>
        </w:rPr>
        <w:t xml:space="preserve"> guidance on how to</w:t>
      </w:r>
      <w:r w:rsidR="00165CB0" w:rsidRPr="00160559">
        <w:rPr>
          <w:b/>
        </w:rPr>
        <w:t xml:space="preserve"> address current challenges and </w:t>
      </w:r>
      <w:r w:rsidR="008842F4" w:rsidRPr="00160559">
        <w:rPr>
          <w:b/>
        </w:rPr>
        <w:t xml:space="preserve">how to </w:t>
      </w:r>
      <w:r w:rsidR="00C746A6" w:rsidRPr="00160559">
        <w:rPr>
          <w:b/>
        </w:rPr>
        <w:t xml:space="preserve">exploit </w:t>
      </w:r>
      <w:r w:rsidR="00165CB0" w:rsidRPr="00160559">
        <w:rPr>
          <w:b/>
        </w:rPr>
        <w:t>existing opportunities</w:t>
      </w:r>
      <w:r w:rsidR="00160559" w:rsidRPr="00B76FD9">
        <w:rPr>
          <w:b/>
          <w:lang w:val="en-GB"/>
        </w:rPr>
        <w:t>.</w:t>
      </w:r>
      <w:r w:rsidR="006058E4">
        <w:rPr>
          <w:b/>
          <w:lang w:val="en-GB"/>
        </w:rPr>
        <w:t xml:space="preserve"> </w:t>
      </w:r>
    </w:p>
    <w:p w:rsidR="008C5DC7" w:rsidRPr="00A04ABE" w:rsidRDefault="004C7BA9" w:rsidP="00D05FE0">
      <w:pPr>
        <w:pStyle w:val="SingleTxtG"/>
        <w:numPr>
          <w:ilvl w:val="0"/>
          <w:numId w:val="45"/>
        </w:numPr>
        <w:ind w:left="1134" w:firstLine="0"/>
        <w:rPr>
          <w:b/>
          <w:lang w:val="en-GB"/>
        </w:rPr>
      </w:pPr>
      <w:r w:rsidRPr="00E0722D">
        <w:rPr>
          <w:b/>
        </w:rPr>
        <w:t xml:space="preserve">States have the primary responsibility to ensure </w:t>
      </w:r>
      <w:r w:rsidR="003861D9" w:rsidRPr="00E0722D">
        <w:rPr>
          <w:b/>
        </w:rPr>
        <w:t>a conducive environment for the full reali</w:t>
      </w:r>
      <w:r w:rsidR="00AD4E9A">
        <w:rPr>
          <w:b/>
          <w:lang w:val="en-US"/>
        </w:rPr>
        <w:t>z</w:t>
      </w:r>
      <w:r w:rsidR="003861D9" w:rsidRPr="00E0722D">
        <w:rPr>
          <w:b/>
        </w:rPr>
        <w:t xml:space="preserve">ation of the right to health, and related rights. </w:t>
      </w:r>
      <w:r w:rsidR="00C746A6" w:rsidRPr="00E0722D">
        <w:rPr>
          <w:b/>
        </w:rPr>
        <w:t xml:space="preserve">But the role of </w:t>
      </w:r>
      <w:r w:rsidR="00136563" w:rsidRPr="00B76FD9">
        <w:rPr>
          <w:b/>
          <w:lang w:val="en-GB"/>
        </w:rPr>
        <w:t>other</w:t>
      </w:r>
      <w:r w:rsidR="00136563" w:rsidRPr="00E0722D">
        <w:rPr>
          <w:b/>
        </w:rPr>
        <w:t xml:space="preserve"> </w:t>
      </w:r>
      <w:r w:rsidR="00C746A6" w:rsidRPr="00E0722D">
        <w:rPr>
          <w:b/>
        </w:rPr>
        <w:t>stakehold</w:t>
      </w:r>
      <w:r w:rsidR="006058E4">
        <w:rPr>
          <w:b/>
        </w:rPr>
        <w:t>ers is crucial in this respect.</w:t>
      </w:r>
    </w:p>
    <w:p w:rsidR="004C7BA9" w:rsidRPr="004C7BA9" w:rsidRDefault="004C7BA9" w:rsidP="00C0638B">
      <w:pPr>
        <w:pStyle w:val="H1G"/>
      </w:pPr>
      <w:r w:rsidRPr="004C7BA9">
        <w:tab/>
        <w:t>B.</w:t>
      </w:r>
      <w:r w:rsidRPr="004C7BA9">
        <w:tab/>
      </w:r>
      <w:r w:rsidR="00160559">
        <w:t>O</w:t>
      </w:r>
      <w:r w:rsidR="003861D9">
        <w:t>bservations</w:t>
      </w:r>
    </w:p>
    <w:p w:rsidR="0066683F" w:rsidRPr="00A04ABE" w:rsidRDefault="0066683F" w:rsidP="00D05FE0">
      <w:pPr>
        <w:pStyle w:val="SingleTxtG"/>
        <w:numPr>
          <w:ilvl w:val="0"/>
          <w:numId w:val="45"/>
        </w:numPr>
        <w:ind w:left="1134" w:firstLine="0"/>
        <w:rPr>
          <w:b/>
          <w:lang w:val="en-GB"/>
        </w:rPr>
      </w:pPr>
      <w:r w:rsidRPr="00A35F6C">
        <w:rPr>
          <w:b/>
        </w:rPr>
        <w:t>In th</w:t>
      </w:r>
      <w:r w:rsidR="00AD4E9A">
        <w:rPr>
          <w:b/>
          <w:lang w:val="en-US"/>
        </w:rPr>
        <w:t>at</w:t>
      </w:r>
      <w:r w:rsidRPr="00A35F6C">
        <w:rPr>
          <w:b/>
        </w:rPr>
        <w:t xml:space="preserve"> </w:t>
      </w:r>
      <w:r w:rsidRPr="00A35F6C">
        <w:rPr>
          <w:b/>
          <w:lang w:val="en-GB"/>
        </w:rPr>
        <w:t>connection</w:t>
      </w:r>
      <w:r w:rsidRPr="00A35F6C">
        <w:rPr>
          <w:b/>
        </w:rPr>
        <w:t xml:space="preserve">, </w:t>
      </w:r>
      <w:r w:rsidRPr="00A35F6C">
        <w:rPr>
          <w:b/>
          <w:lang w:val="en-GB"/>
        </w:rPr>
        <w:t xml:space="preserve">at the outset of his tenure, </w:t>
      </w:r>
      <w:r w:rsidRPr="00A35F6C">
        <w:rPr>
          <w:b/>
        </w:rPr>
        <w:t>the Special Rapporteur would</w:t>
      </w:r>
      <w:r w:rsidRPr="00E0722D">
        <w:rPr>
          <w:b/>
        </w:rPr>
        <w:t xml:space="preserve"> like to put forward </w:t>
      </w:r>
      <w:r w:rsidRPr="00B76FD9">
        <w:rPr>
          <w:b/>
          <w:lang w:val="en-GB"/>
        </w:rPr>
        <w:t>the following</w:t>
      </w:r>
      <w:r w:rsidRPr="00E0722D">
        <w:rPr>
          <w:b/>
        </w:rPr>
        <w:t xml:space="preserve"> observations</w:t>
      </w:r>
      <w:r w:rsidRPr="00B76FD9">
        <w:rPr>
          <w:b/>
          <w:lang w:val="en-GB"/>
        </w:rPr>
        <w:t>:</w:t>
      </w:r>
    </w:p>
    <w:p w:rsidR="00136563" w:rsidRPr="0004620E" w:rsidRDefault="00136563" w:rsidP="00CB75BE">
      <w:pPr>
        <w:pStyle w:val="SingleTxtG"/>
        <w:numPr>
          <w:ilvl w:val="0"/>
          <w:numId w:val="39"/>
        </w:numPr>
        <w:ind w:left="1134" w:firstLine="567"/>
        <w:rPr>
          <w:b/>
          <w:lang w:val="en-US"/>
        </w:rPr>
      </w:pPr>
      <w:r w:rsidRPr="0004620E">
        <w:rPr>
          <w:b/>
          <w:lang w:val="en-US"/>
        </w:rPr>
        <w:t xml:space="preserve">Departure from universal human right principles and standards, as enshrined in </w:t>
      </w:r>
      <w:r w:rsidR="006C61C2">
        <w:rPr>
          <w:b/>
          <w:lang w:val="en-US"/>
        </w:rPr>
        <w:t>the Universal Declaration of Human Rights</w:t>
      </w:r>
      <w:r w:rsidRPr="0004620E">
        <w:rPr>
          <w:b/>
          <w:lang w:val="en-US"/>
        </w:rPr>
        <w:t xml:space="preserve">, and from evidence provided by </w:t>
      </w:r>
      <w:r w:rsidR="00252FE3">
        <w:rPr>
          <w:b/>
          <w:lang w:val="en-US"/>
        </w:rPr>
        <w:t xml:space="preserve">the </w:t>
      </w:r>
      <w:r w:rsidRPr="0004620E">
        <w:rPr>
          <w:b/>
          <w:lang w:val="en-US"/>
        </w:rPr>
        <w:t>modern public health approach is a</w:t>
      </w:r>
      <w:r w:rsidR="00813F20">
        <w:rPr>
          <w:b/>
          <w:lang w:val="en-US"/>
        </w:rPr>
        <w:t xml:space="preserve"> </w:t>
      </w:r>
      <w:r w:rsidRPr="0004620E">
        <w:rPr>
          <w:b/>
          <w:lang w:val="en-US"/>
        </w:rPr>
        <w:t>major obstacle for effective realization o</w:t>
      </w:r>
      <w:r w:rsidR="006058E4">
        <w:rPr>
          <w:b/>
          <w:lang w:val="en-US"/>
        </w:rPr>
        <w:t>f the right to health</w:t>
      </w:r>
      <w:r w:rsidR="00FB6396">
        <w:rPr>
          <w:b/>
          <w:lang w:val="en-US"/>
        </w:rPr>
        <w:t>;</w:t>
      </w:r>
    </w:p>
    <w:p w:rsidR="00136563" w:rsidRPr="00892579" w:rsidRDefault="00136563" w:rsidP="00CB75BE">
      <w:pPr>
        <w:pStyle w:val="SingleTxtG"/>
        <w:numPr>
          <w:ilvl w:val="0"/>
          <w:numId w:val="39"/>
        </w:numPr>
        <w:ind w:left="1134" w:firstLine="567"/>
        <w:rPr>
          <w:b/>
          <w:lang w:val="en-US"/>
        </w:rPr>
      </w:pPr>
      <w:r>
        <w:rPr>
          <w:b/>
          <w:lang w:val="en-US"/>
        </w:rPr>
        <w:t>History and evidence show that s</w:t>
      </w:r>
      <w:r w:rsidRPr="00892579">
        <w:rPr>
          <w:b/>
          <w:lang w:val="en-US"/>
        </w:rPr>
        <w:t xml:space="preserve">elective approaches to human rights reinforce the cycle of poverty, inequalities, social exclusion, discrimination and violence and </w:t>
      </w:r>
      <w:r>
        <w:rPr>
          <w:b/>
          <w:lang w:val="en-US"/>
        </w:rPr>
        <w:t>are detrimental</w:t>
      </w:r>
      <w:r w:rsidRPr="00892579">
        <w:rPr>
          <w:b/>
          <w:lang w:val="en-US"/>
        </w:rPr>
        <w:t xml:space="preserve"> </w:t>
      </w:r>
      <w:r>
        <w:rPr>
          <w:b/>
          <w:lang w:val="en-US"/>
        </w:rPr>
        <w:t>to</w:t>
      </w:r>
      <w:r w:rsidRPr="00892579">
        <w:rPr>
          <w:b/>
          <w:lang w:val="en-US"/>
        </w:rPr>
        <w:t xml:space="preserve"> the full en</w:t>
      </w:r>
      <w:r w:rsidR="006058E4">
        <w:rPr>
          <w:b/>
          <w:lang w:val="en-US"/>
        </w:rPr>
        <w:t>joyment of the right to health;</w:t>
      </w:r>
    </w:p>
    <w:p w:rsidR="00B50687" w:rsidRPr="00B76FD9" w:rsidRDefault="00DB7113" w:rsidP="00D05FE0">
      <w:pPr>
        <w:pStyle w:val="SingleTxtG"/>
        <w:numPr>
          <w:ilvl w:val="0"/>
          <w:numId w:val="39"/>
        </w:numPr>
        <w:ind w:left="1134" w:firstLine="567"/>
        <w:rPr>
          <w:b/>
        </w:rPr>
      </w:pPr>
      <w:r w:rsidRPr="00B76FD9">
        <w:rPr>
          <w:b/>
        </w:rPr>
        <w:t>Inequalities and discrimination</w:t>
      </w:r>
      <w:r w:rsidR="00B50687" w:rsidRPr="00B76FD9">
        <w:rPr>
          <w:b/>
        </w:rPr>
        <w:t xml:space="preserve"> remain</w:t>
      </w:r>
      <w:r w:rsidR="00624E79" w:rsidRPr="00B76FD9">
        <w:rPr>
          <w:b/>
        </w:rPr>
        <w:t xml:space="preserve"> a crucial fa</w:t>
      </w:r>
      <w:r w:rsidR="00B50687" w:rsidRPr="00B76FD9">
        <w:rPr>
          <w:b/>
        </w:rPr>
        <w:t>ctor</w:t>
      </w:r>
      <w:r w:rsidRPr="00B76FD9">
        <w:rPr>
          <w:b/>
        </w:rPr>
        <w:t xml:space="preserve"> </w:t>
      </w:r>
      <w:r w:rsidR="00B50687" w:rsidRPr="00B76FD9">
        <w:rPr>
          <w:b/>
        </w:rPr>
        <w:t xml:space="preserve">impeding </w:t>
      </w:r>
      <w:r w:rsidRPr="00B76FD9">
        <w:rPr>
          <w:b/>
        </w:rPr>
        <w:t xml:space="preserve">the full </w:t>
      </w:r>
      <w:r w:rsidR="00B50687" w:rsidRPr="00B76FD9">
        <w:rPr>
          <w:b/>
        </w:rPr>
        <w:t xml:space="preserve">realization of the </w:t>
      </w:r>
      <w:r w:rsidR="00624E79" w:rsidRPr="00B76FD9">
        <w:rPr>
          <w:b/>
        </w:rPr>
        <w:t>right</w:t>
      </w:r>
      <w:r w:rsidR="00B50687" w:rsidRPr="00B76FD9">
        <w:rPr>
          <w:b/>
        </w:rPr>
        <w:t xml:space="preserve"> to health threatening </w:t>
      </w:r>
      <w:r w:rsidRPr="00B76FD9">
        <w:rPr>
          <w:b/>
        </w:rPr>
        <w:t xml:space="preserve">the healthy </w:t>
      </w:r>
      <w:r w:rsidR="00B50687" w:rsidRPr="00B76FD9">
        <w:rPr>
          <w:b/>
        </w:rPr>
        <w:t>development of individuals and societies</w:t>
      </w:r>
      <w:r w:rsidRPr="00B76FD9">
        <w:rPr>
          <w:b/>
        </w:rPr>
        <w:t>;</w:t>
      </w:r>
    </w:p>
    <w:p w:rsidR="00136563" w:rsidRPr="00892579" w:rsidRDefault="00136563" w:rsidP="00D05FE0">
      <w:pPr>
        <w:pStyle w:val="SingleTxtG"/>
        <w:numPr>
          <w:ilvl w:val="0"/>
          <w:numId w:val="39"/>
        </w:numPr>
        <w:ind w:left="1134" w:firstLine="567"/>
        <w:rPr>
          <w:b/>
        </w:rPr>
      </w:pPr>
      <w:r w:rsidRPr="00B76FD9">
        <w:rPr>
          <w:b/>
          <w:lang w:val="en-GB"/>
        </w:rPr>
        <w:t>U</w:t>
      </w:r>
      <w:r w:rsidR="009A412D" w:rsidRPr="00892579">
        <w:rPr>
          <w:b/>
        </w:rPr>
        <w:t>nequivocal</w:t>
      </w:r>
      <w:r w:rsidRPr="00892579">
        <w:rPr>
          <w:b/>
        </w:rPr>
        <w:t xml:space="preserve"> political will to apply human rights principles and standards to </w:t>
      </w:r>
      <w:r w:rsidRPr="00B76FD9">
        <w:rPr>
          <w:b/>
          <w:lang w:val="en-GB"/>
        </w:rPr>
        <w:t xml:space="preserve">normative frameworks and </w:t>
      </w:r>
      <w:r w:rsidR="006D5663">
        <w:rPr>
          <w:b/>
        </w:rPr>
        <w:t>public policies</w:t>
      </w:r>
      <w:r w:rsidRPr="00892579">
        <w:rPr>
          <w:b/>
        </w:rPr>
        <w:t xml:space="preserve"> </w:t>
      </w:r>
      <w:r w:rsidRPr="00B76FD9">
        <w:rPr>
          <w:b/>
          <w:lang w:val="en-GB"/>
        </w:rPr>
        <w:t xml:space="preserve">is key in </w:t>
      </w:r>
      <w:r w:rsidRPr="00892579">
        <w:rPr>
          <w:b/>
        </w:rPr>
        <w:t>address</w:t>
      </w:r>
      <w:r w:rsidRPr="00B76FD9">
        <w:rPr>
          <w:b/>
          <w:lang w:val="en-GB"/>
        </w:rPr>
        <w:t>ing</w:t>
      </w:r>
      <w:r w:rsidRPr="00892579">
        <w:rPr>
          <w:b/>
        </w:rPr>
        <w:t xml:space="preserve"> existing</w:t>
      </w:r>
      <w:r w:rsidRPr="00B76FD9">
        <w:rPr>
          <w:b/>
          <w:lang w:val="en-GB"/>
        </w:rPr>
        <w:t xml:space="preserve"> </w:t>
      </w:r>
      <w:r w:rsidRPr="00892579">
        <w:rPr>
          <w:b/>
        </w:rPr>
        <w:t>imbalances and power asymmetries in the formulation and implementation of health</w:t>
      </w:r>
      <w:r w:rsidR="00AD4E9A">
        <w:rPr>
          <w:b/>
          <w:lang w:val="en-US"/>
        </w:rPr>
        <w:t>-</w:t>
      </w:r>
      <w:r w:rsidRPr="00892579">
        <w:rPr>
          <w:b/>
        </w:rPr>
        <w:t>related public policies;</w:t>
      </w:r>
    </w:p>
    <w:p w:rsidR="00B50687" w:rsidRPr="00B76FD9" w:rsidRDefault="006D5663" w:rsidP="00D05FE0">
      <w:pPr>
        <w:pStyle w:val="SingleTxtG"/>
        <w:numPr>
          <w:ilvl w:val="0"/>
          <w:numId w:val="39"/>
        </w:numPr>
        <w:ind w:left="1134" w:firstLine="567"/>
        <w:rPr>
          <w:b/>
        </w:rPr>
      </w:pPr>
      <w:r w:rsidRPr="00B76FD9">
        <w:rPr>
          <w:b/>
          <w:lang w:val="en-GB"/>
        </w:rPr>
        <w:t>T</w:t>
      </w:r>
      <w:r w:rsidR="00DB7113" w:rsidRPr="00B76FD9">
        <w:rPr>
          <w:b/>
        </w:rPr>
        <w:t>he meaningful</w:t>
      </w:r>
      <w:r w:rsidR="00B50687" w:rsidRPr="00B76FD9">
        <w:rPr>
          <w:b/>
        </w:rPr>
        <w:t xml:space="preserve"> participation </w:t>
      </w:r>
      <w:r w:rsidR="00136563" w:rsidRPr="00B76FD9">
        <w:rPr>
          <w:b/>
          <w:lang w:val="en-GB"/>
        </w:rPr>
        <w:t xml:space="preserve">and empowerment </w:t>
      </w:r>
      <w:r w:rsidR="00DB7113" w:rsidRPr="00B76FD9">
        <w:rPr>
          <w:b/>
        </w:rPr>
        <w:t>of all stakeholders should be promoted, in particular of groups in vulnerable situations,</w:t>
      </w:r>
      <w:r w:rsidR="00B50687" w:rsidRPr="00B76FD9">
        <w:rPr>
          <w:b/>
        </w:rPr>
        <w:t xml:space="preserve"> </w:t>
      </w:r>
      <w:r w:rsidR="00DB7113" w:rsidRPr="00B76FD9">
        <w:rPr>
          <w:b/>
        </w:rPr>
        <w:t xml:space="preserve">and effective monitoring and accountability mechanisms </w:t>
      </w:r>
      <w:r w:rsidR="00313E10" w:rsidRPr="00B76FD9">
        <w:rPr>
          <w:b/>
        </w:rPr>
        <w:t xml:space="preserve">need to be in place </w:t>
      </w:r>
      <w:r w:rsidR="00C746A6" w:rsidRPr="00B76FD9">
        <w:rPr>
          <w:b/>
        </w:rPr>
        <w:t xml:space="preserve">to </w:t>
      </w:r>
      <w:r w:rsidR="00313E10" w:rsidRPr="00B76FD9">
        <w:rPr>
          <w:b/>
        </w:rPr>
        <w:t xml:space="preserve">ensure </w:t>
      </w:r>
      <w:r w:rsidR="00C746A6" w:rsidRPr="00B76FD9">
        <w:rPr>
          <w:b/>
        </w:rPr>
        <w:t>the full reali</w:t>
      </w:r>
      <w:r w:rsidR="00224826">
        <w:rPr>
          <w:b/>
          <w:lang w:val="en-US"/>
        </w:rPr>
        <w:t>z</w:t>
      </w:r>
      <w:r w:rsidR="00C746A6" w:rsidRPr="00B76FD9">
        <w:rPr>
          <w:b/>
        </w:rPr>
        <w:t>ation of the right to health</w:t>
      </w:r>
      <w:r w:rsidR="00DB7113" w:rsidRPr="00B76FD9">
        <w:rPr>
          <w:b/>
        </w:rPr>
        <w:t>;</w:t>
      </w:r>
    </w:p>
    <w:p w:rsidR="00B50687" w:rsidRPr="00B76FD9" w:rsidRDefault="00DB7113" w:rsidP="00D05FE0">
      <w:pPr>
        <w:pStyle w:val="SingleTxtG"/>
        <w:numPr>
          <w:ilvl w:val="0"/>
          <w:numId w:val="39"/>
        </w:numPr>
        <w:ind w:left="1134" w:firstLine="567"/>
        <w:rPr>
          <w:b/>
        </w:rPr>
      </w:pPr>
      <w:r w:rsidRPr="00B76FD9">
        <w:rPr>
          <w:b/>
        </w:rPr>
        <w:t>The a</w:t>
      </w:r>
      <w:r w:rsidR="00624E79" w:rsidRPr="00B76FD9">
        <w:rPr>
          <w:b/>
        </w:rPr>
        <w:t>nalysis of</w:t>
      </w:r>
      <w:r w:rsidR="00B50687" w:rsidRPr="00B76FD9">
        <w:rPr>
          <w:b/>
        </w:rPr>
        <w:t xml:space="preserve"> </w:t>
      </w:r>
      <w:r w:rsidRPr="00B76FD9">
        <w:rPr>
          <w:b/>
        </w:rPr>
        <w:t>the f</w:t>
      </w:r>
      <w:r w:rsidR="00B50687" w:rsidRPr="00B76FD9">
        <w:rPr>
          <w:b/>
        </w:rPr>
        <w:t>unctioning and financing of</w:t>
      </w:r>
      <w:r w:rsidR="00F45B03" w:rsidRPr="00B76FD9">
        <w:rPr>
          <w:b/>
        </w:rPr>
        <w:t xml:space="preserve"> health</w:t>
      </w:r>
      <w:r w:rsidR="00224826">
        <w:rPr>
          <w:b/>
          <w:lang w:val="en-US"/>
        </w:rPr>
        <w:t>-</w:t>
      </w:r>
      <w:r w:rsidR="00F45B03" w:rsidRPr="00B76FD9">
        <w:rPr>
          <w:b/>
        </w:rPr>
        <w:t>care systems</w:t>
      </w:r>
      <w:r w:rsidRPr="00B76FD9">
        <w:rPr>
          <w:b/>
        </w:rPr>
        <w:t>,</w:t>
      </w:r>
      <w:r w:rsidR="00F45B03" w:rsidRPr="00B76FD9">
        <w:rPr>
          <w:b/>
        </w:rPr>
        <w:t xml:space="preserve"> and the</w:t>
      </w:r>
      <w:r w:rsidR="00B50687" w:rsidRPr="00B76FD9">
        <w:rPr>
          <w:b/>
        </w:rPr>
        <w:t xml:space="preserve"> need to </w:t>
      </w:r>
      <w:r w:rsidR="00052D61" w:rsidRPr="00B76FD9">
        <w:rPr>
          <w:b/>
        </w:rPr>
        <w:t>ensure the</w:t>
      </w:r>
      <w:r w:rsidR="00B50687" w:rsidRPr="00B76FD9">
        <w:rPr>
          <w:b/>
        </w:rPr>
        <w:t xml:space="preserve"> right to available, accessibl</w:t>
      </w:r>
      <w:r w:rsidR="00F45B03" w:rsidRPr="00B76FD9">
        <w:rPr>
          <w:b/>
        </w:rPr>
        <w:t>e, acceptable and good</w:t>
      </w:r>
      <w:r w:rsidR="00224826">
        <w:rPr>
          <w:b/>
          <w:lang w:val="en-US"/>
        </w:rPr>
        <w:t>-</w:t>
      </w:r>
      <w:r w:rsidR="00F45B03" w:rsidRPr="00B76FD9">
        <w:rPr>
          <w:b/>
        </w:rPr>
        <w:t xml:space="preserve">quality </w:t>
      </w:r>
      <w:r w:rsidR="00B50687" w:rsidRPr="00B76FD9">
        <w:rPr>
          <w:b/>
        </w:rPr>
        <w:t>health</w:t>
      </w:r>
      <w:r w:rsidR="00224826">
        <w:rPr>
          <w:b/>
          <w:lang w:val="en-US"/>
        </w:rPr>
        <w:t>-</w:t>
      </w:r>
      <w:r w:rsidR="00B50687" w:rsidRPr="00B76FD9">
        <w:rPr>
          <w:b/>
        </w:rPr>
        <w:t>care services</w:t>
      </w:r>
      <w:r w:rsidR="00052D61" w:rsidRPr="00B76FD9">
        <w:rPr>
          <w:b/>
        </w:rPr>
        <w:t xml:space="preserve"> remain crucial</w:t>
      </w:r>
      <w:r w:rsidR="003661DB" w:rsidRPr="00B76FD9">
        <w:rPr>
          <w:b/>
        </w:rPr>
        <w:t>;</w:t>
      </w:r>
    </w:p>
    <w:p w:rsidR="001104C9" w:rsidRDefault="001104C9" w:rsidP="00D05FE0">
      <w:pPr>
        <w:pStyle w:val="SingleTxtG"/>
        <w:numPr>
          <w:ilvl w:val="0"/>
          <w:numId w:val="39"/>
        </w:numPr>
        <w:ind w:left="1134" w:firstLine="567"/>
        <w:rPr>
          <w:b/>
          <w:lang w:val="en-US"/>
        </w:rPr>
      </w:pPr>
      <w:r w:rsidRPr="009D65F6">
        <w:rPr>
          <w:b/>
        </w:rPr>
        <w:t xml:space="preserve">The </w:t>
      </w:r>
      <w:r w:rsidRPr="009D65F6">
        <w:rPr>
          <w:b/>
          <w:lang w:val="en-GB"/>
        </w:rPr>
        <w:t xml:space="preserve">policy </w:t>
      </w:r>
      <w:r w:rsidRPr="009D65F6">
        <w:rPr>
          <w:b/>
        </w:rPr>
        <w:t xml:space="preserve">approach, if implemented effectively and creatively, opens </w:t>
      </w:r>
      <w:r w:rsidR="00224826">
        <w:rPr>
          <w:b/>
          <w:lang w:val="en-US"/>
        </w:rPr>
        <w:t xml:space="preserve">up </w:t>
      </w:r>
      <w:r w:rsidRPr="009D65F6">
        <w:rPr>
          <w:b/>
        </w:rPr>
        <w:t>valuable</w:t>
      </w:r>
      <w:r w:rsidRPr="009D65F6">
        <w:rPr>
          <w:b/>
          <w:lang w:val="en-US"/>
        </w:rPr>
        <w:t xml:space="preserve"> opportunities for social innovations, through the empowerment of individuals, comm</w:t>
      </w:r>
      <w:r w:rsidR="006058E4">
        <w:rPr>
          <w:b/>
          <w:lang w:val="en-US"/>
        </w:rPr>
        <w:t>unities and societies at large;</w:t>
      </w:r>
    </w:p>
    <w:p w:rsidR="00136563" w:rsidRPr="0001319B" w:rsidRDefault="006D5663" w:rsidP="00D05FE0">
      <w:pPr>
        <w:pStyle w:val="SingleTxtG"/>
        <w:numPr>
          <w:ilvl w:val="0"/>
          <w:numId w:val="39"/>
        </w:numPr>
        <w:ind w:left="1134" w:firstLine="567"/>
        <w:rPr>
          <w:b/>
          <w:lang w:val="en-US"/>
        </w:rPr>
      </w:pPr>
      <w:r w:rsidRPr="008C28C8">
        <w:rPr>
          <w:b/>
          <w:lang w:val="en-US"/>
        </w:rPr>
        <w:t>The role of health sector is becoming increasingly important</w:t>
      </w:r>
      <w:r w:rsidR="00224826">
        <w:rPr>
          <w:b/>
          <w:lang w:val="en-US"/>
        </w:rPr>
        <w:t>,</w:t>
      </w:r>
      <w:r w:rsidRPr="008C28C8">
        <w:rPr>
          <w:b/>
          <w:lang w:val="en-US"/>
        </w:rPr>
        <w:t xml:space="preserve"> including for the promotion and protection of human rights, in particular of marginalized groups. The health sector should take the leadership in the promotion of “health in all policies” approach;</w:t>
      </w:r>
    </w:p>
    <w:p w:rsidR="00235ABC" w:rsidRPr="00B76FD9" w:rsidRDefault="00235ABC" w:rsidP="00CB75BE">
      <w:pPr>
        <w:pStyle w:val="SingleTxtG"/>
        <w:numPr>
          <w:ilvl w:val="0"/>
          <w:numId w:val="39"/>
        </w:numPr>
        <w:ind w:left="1134" w:firstLine="567"/>
        <w:rPr>
          <w:b/>
          <w:lang w:val="en-US"/>
        </w:rPr>
      </w:pPr>
      <w:r w:rsidRPr="00B76FD9">
        <w:rPr>
          <w:b/>
          <w:lang w:val="en-US"/>
        </w:rPr>
        <w:t xml:space="preserve">Primary care needs to be strengthened as </w:t>
      </w:r>
      <w:r w:rsidR="00B35ED5" w:rsidRPr="00B76FD9">
        <w:rPr>
          <w:b/>
          <w:lang w:val="en-US"/>
        </w:rPr>
        <w:t xml:space="preserve">a </w:t>
      </w:r>
      <w:r w:rsidRPr="00B76FD9">
        <w:rPr>
          <w:b/>
          <w:lang w:val="en-US"/>
        </w:rPr>
        <w:t xml:space="preserve">crucial cornerstone of health system, enabling </w:t>
      </w:r>
      <w:r w:rsidR="00224826">
        <w:rPr>
          <w:b/>
          <w:lang w:val="en-US"/>
        </w:rPr>
        <w:t>the</w:t>
      </w:r>
      <w:r w:rsidR="00224826" w:rsidRPr="00B76FD9">
        <w:rPr>
          <w:b/>
          <w:lang w:val="en-US"/>
        </w:rPr>
        <w:t xml:space="preserve"> </w:t>
      </w:r>
      <w:r w:rsidRPr="00B76FD9">
        <w:rPr>
          <w:b/>
          <w:lang w:val="en-US"/>
        </w:rPr>
        <w:t>effective use</w:t>
      </w:r>
      <w:r w:rsidR="00136563">
        <w:rPr>
          <w:b/>
          <w:lang w:val="en-US"/>
        </w:rPr>
        <w:t xml:space="preserve"> of</w:t>
      </w:r>
      <w:r w:rsidRPr="00B76FD9">
        <w:rPr>
          <w:b/>
          <w:lang w:val="en-US"/>
        </w:rPr>
        <w:t xml:space="preserve"> discoveries of modern medicine and public health</w:t>
      </w:r>
      <w:r w:rsidR="00B35ED5" w:rsidRPr="00B76FD9">
        <w:rPr>
          <w:b/>
          <w:lang w:val="en-US"/>
        </w:rPr>
        <w:t>;</w:t>
      </w:r>
    </w:p>
    <w:p w:rsidR="00235ABC" w:rsidRPr="00B76FD9" w:rsidRDefault="00136563" w:rsidP="00D05FE0">
      <w:pPr>
        <w:pStyle w:val="SingleTxtG"/>
        <w:numPr>
          <w:ilvl w:val="0"/>
          <w:numId w:val="39"/>
        </w:numPr>
        <w:ind w:left="1134" w:firstLine="567"/>
        <w:rPr>
          <w:b/>
          <w:lang w:val="en-US"/>
        </w:rPr>
      </w:pPr>
      <w:r w:rsidRPr="007D7F17">
        <w:rPr>
          <w:b/>
          <w:lang w:val="en-US"/>
        </w:rPr>
        <w:t>Achieving universal health coverage is one of the main goals and processes</w:t>
      </w:r>
      <w:r w:rsidR="00813F20">
        <w:rPr>
          <w:b/>
          <w:lang w:val="en-US"/>
        </w:rPr>
        <w:t xml:space="preserve"> </w:t>
      </w:r>
      <w:r w:rsidRPr="007D7F17">
        <w:rPr>
          <w:b/>
          <w:lang w:val="en-US"/>
        </w:rPr>
        <w:t>for the post-2015 agenda</w:t>
      </w:r>
      <w:r>
        <w:rPr>
          <w:b/>
          <w:lang w:val="en-US"/>
        </w:rPr>
        <w:t>; and</w:t>
      </w:r>
      <w:r w:rsidRPr="00B76FD9" w:rsidDel="00136563">
        <w:rPr>
          <w:b/>
          <w:lang w:val="en-US"/>
        </w:rPr>
        <w:t xml:space="preserve"> </w:t>
      </w:r>
      <w:r>
        <w:rPr>
          <w:b/>
          <w:lang w:val="en-US"/>
        </w:rPr>
        <w:t>commitments</w:t>
      </w:r>
      <w:r w:rsidRPr="00B76FD9">
        <w:rPr>
          <w:b/>
          <w:lang w:val="en-US"/>
        </w:rPr>
        <w:t xml:space="preserve"> </w:t>
      </w:r>
      <w:r w:rsidR="00235ABC" w:rsidRPr="00B76FD9">
        <w:rPr>
          <w:b/>
          <w:lang w:val="en-US"/>
        </w:rPr>
        <w:t xml:space="preserve">made </w:t>
      </w:r>
      <w:r>
        <w:rPr>
          <w:b/>
          <w:lang w:val="en-US"/>
        </w:rPr>
        <w:t>in</w:t>
      </w:r>
      <w:r w:rsidRPr="00B76FD9">
        <w:rPr>
          <w:b/>
          <w:lang w:val="en-US"/>
        </w:rPr>
        <w:t xml:space="preserve"> </w:t>
      </w:r>
      <w:r>
        <w:rPr>
          <w:b/>
          <w:lang w:val="en-US"/>
        </w:rPr>
        <w:t xml:space="preserve">the </w:t>
      </w:r>
      <w:r w:rsidR="00235ABC" w:rsidRPr="00B76FD9">
        <w:rPr>
          <w:b/>
          <w:lang w:val="en-US"/>
        </w:rPr>
        <w:t>Alma</w:t>
      </w:r>
      <w:r>
        <w:rPr>
          <w:b/>
          <w:lang w:val="en-US"/>
        </w:rPr>
        <w:t>-</w:t>
      </w:r>
      <w:r w:rsidR="00B35ED5" w:rsidRPr="00B76FD9">
        <w:rPr>
          <w:b/>
          <w:lang w:val="en-US"/>
        </w:rPr>
        <w:t>A</w:t>
      </w:r>
      <w:r w:rsidR="00235ABC" w:rsidRPr="00B76FD9">
        <w:rPr>
          <w:b/>
          <w:lang w:val="en-US"/>
        </w:rPr>
        <w:t>ta Declaration and Ottawa C</w:t>
      </w:r>
      <w:r w:rsidR="00201CBC" w:rsidRPr="00B76FD9">
        <w:rPr>
          <w:b/>
          <w:lang w:val="en-US"/>
        </w:rPr>
        <w:t>harter</w:t>
      </w:r>
      <w:r w:rsidR="00224826">
        <w:rPr>
          <w:b/>
          <w:lang w:val="en-US"/>
        </w:rPr>
        <w:t xml:space="preserve"> for Health Promotion</w:t>
      </w:r>
      <w:r w:rsidR="00201CBC" w:rsidRPr="00B76FD9">
        <w:rPr>
          <w:b/>
          <w:lang w:val="en-US"/>
        </w:rPr>
        <w:t xml:space="preserve"> should be reaffirmed and revitalized by all stakeholders</w:t>
      </w:r>
      <w:r w:rsidR="00B35ED5" w:rsidRPr="00B76FD9">
        <w:rPr>
          <w:b/>
          <w:lang w:val="en-US"/>
        </w:rPr>
        <w:t>;</w:t>
      </w:r>
    </w:p>
    <w:p w:rsidR="00A35F6C" w:rsidRPr="00ED5118" w:rsidRDefault="00A35F6C" w:rsidP="00CB75BE">
      <w:pPr>
        <w:pStyle w:val="SingleTxtG"/>
        <w:numPr>
          <w:ilvl w:val="0"/>
          <w:numId w:val="39"/>
        </w:numPr>
        <w:ind w:left="1134" w:firstLine="567"/>
        <w:rPr>
          <w:b/>
          <w:lang w:val="en-US"/>
        </w:rPr>
      </w:pPr>
      <w:r w:rsidRPr="00ED5118">
        <w:rPr>
          <w:b/>
          <w:lang w:val="en-US"/>
        </w:rPr>
        <w:t xml:space="preserve">There is no health without mental health. Good mental health means much more than the absence of mental impairment. Modern understanding of mental health includes good emotional and social well-being </w:t>
      </w:r>
      <w:r>
        <w:rPr>
          <w:b/>
          <w:lang w:val="en-US"/>
        </w:rPr>
        <w:t xml:space="preserve">and </w:t>
      </w:r>
      <w:r w:rsidRPr="00ED5118">
        <w:rPr>
          <w:b/>
          <w:lang w:val="en-US"/>
        </w:rPr>
        <w:t xml:space="preserve">healthy non-violent relations between individuals and groups with mutual trust, tolerance and respect </w:t>
      </w:r>
      <w:r w:rsidR="00224826">
        <w:rPr>
          <w:b/>
          <w:lang w:val="en-US"/>
        </w:rPr>
        <w:t>of</w:t>
      </w:r>
      <w:r w:rsidR="00224826" w:rsidRPr="00ED5118">
        <w:rPr>
          <w:b/>
          <w:lang w:val="en-US"/>
        </w:rPr>
        <w:t xml:space="preserve"> </w:t>
      </w:r>
      <w:r>
        <w:rPr>
          <w:b/>
          <w:lang w:val="en-US"/>
        </w:rPr>
        <w:t xml:space="preserve">the </w:t>
      </w:r>
      <w:r w:rsidRPr="00ED5118">
        <w:rPr>
          <w:b/>
          <w:lang w:val="en-US"/>
        </w:rPr>
        <w:t>dignity of every person</w:t>
      </w:r>
      <w:r>
        <w:rPr>
          <w:b/>
          <w:lang w:val="en-US"/>
        </w:rPr>
        <w:t>;</w:t>
      </w:r>
    </w:p>
    <w:p w:rsidR="00CB5064" w:rsidRPr="00A35F6C" w:rsidRDefault="00136563" w:rsidP="00E1661C">
      <w:pPr>
        <w:pStyle w:val="SingleTxtG"/>
        <w:numPr>
          <w:ilvl w:val="0"/>
          <w:numId w:val="39"/>
        </w:numPr>
        <w:ind w:left="1134" w:firstLine="567"/>
        <w:rPr>
          <w:b/>
          <w:lang w:val="en-US"/>
        </w:rPr>
      </w:pPr>
      <w:r w:rsidRPr="00A35F6C">
        <w:rPr>
          <w:b/>
          <w:lang w:val="en-US"/>
        </w:rPr>
        <w:t xml:space="preserve">Mental health is relevant to many key elements of the post-2015 agenda and the formulation of the </w:t>
      </w:r>
      <w:r w:rsidR="00E1661C" w:rsidRPr="00E1661C">
        <w:rPr>
          <w:b/>
          <w:lang w:val="en-GB"/>
        </w:rPr>
        <w:t>Sustainable Development Goals</w:t>
      </w:r>
      <w:r w:rsidRPr="00A35F6C">
        <w:rPr>
          <w:b/>
          <w:lang w:val="en-US"/>
        </w:rPr>
        <w:t xml:space="preserve">; and it should be </w:t>
      </w:r>
      <w:r w:rsidR="00CB5064" w:rsidRPr="00A35F6C">
        <w:rPr>
          <w:b/>
          <w:lang w:val="en-US"/>
        </w:rPr>
        <w:t>a new priority in public policies addressed in parity with</w:t>
      </w:r>
      <w:r w:rsidR="009A412D" w:rsidRPr="00A35F6C">
        <w:rPr>
          <w:b/>
          <w:lang w:val="en-US"/>
        </w:rPr>
        <w:t xml:space="preserve"> </w:t>
      </w:r>
      <w:r w:rsidR="00963AB1" w:rsidRPr="00A35F6C">
        <w:rPr>
          <w:b/>
          <w:lang w:val="en-US"/>
        </w:rPr>
        <w:t xml:space="preserve">physical </w:t>
      </w:r>
      <w:r w:rsidR="00CB5064" w:rsidRPr="00A35F6C">
        <w:rPr>
          <w:b/>
          <w:lang w:val="en-US"/>
        </w:rPr>
        <w:t>health</w:t>
      </w:r>
      <w:r w:rsidR="00963AB1" w:rsidRPr="00A35F6C">
        <w:rPr>
          <w:b/>
          <w:lang w:val="en-US"/>
        </w:rPr>
        <w:t>;</w:t>
      </w:r>
    </w:p>
    <w:p w:rsidR="00CB5064" w:rsidRPr="00B76FD9" w:rsidRDefault="00136563" w:rsidP="00D05FE0">
      <w:pPr>
        <w:pStyle w:val="SingleTxtG"/>
        <w:numPr>
          <w:ilvl w:val="0"/>
          <w:numId w:val="39"/>
        </w:numPr>
        <w:ind w:left="1134" w:firstLine="567"/>
        <w:rPr>
          <w:b/>
          <w:lang w:val="en-US"/>
        </w:rPr>
      </w:pPr>
      <w:r>
        <w:rPr>
          <w:b/>
          <w:lang w:val="en-US"/>
        </w:rPr>
        <w:t>T</w:t>
      </w:r>
      <w:r w:rsidR="00D9394A" w:rsidRPr="00B76FD9">
        <w:rPr>
          <w:b/>
          <w:lang w:val="en-US"/>
        </w:rPr>
        <w:t>he</w:t>
      </w:r>
      <w:r w:rsidR="00CB5064" w:rsidRPr="00B76FD9">
        <w:rPr>
          <w:b/>
          <w:lang w:val="en-US"/>
        </w:rPr>
        <w:t xml:space="preserve"> </w:t>
      </w:r>
      <w:r>
        <w:rPr>
          <w:b/>
          <w:lang w:val="en-US"/>
        </w:rPr>
        <w:t xml:space="preserve">effective </w:t>
      </w:r>
      <w:r w:rsidR="00CB5064" w:rsidRPr="00B76FD9">
        <w:rPr>
          <w:b/>
          <w:lang w:val="en-US"/>
        </w:rPr>
        <w:t>promotion and protection of the rights of children</w:t>
      </w:r>
      <w:r w:rsidR="00D9394A" w:rsidRPr="00B76FD9">
        <w:rPr>
          <w:b/>
          <w:lang w:val="en-US"/>
        </w:rPr>
        <w:t xml:space="preserve"> and adolescents offers huge potential for the full realization of the right to health</w:t>
      </w:r>
      <w:r>
        <w:rPr>
          <w:b/>
          <w:lang w:val="en-US"/>
        </w:rPr>
        <w:t xml:space="preserve"> in our societies</w:t>
      </w:r>
      <w:r w:rsidR="00CB5064" w:rsidRPr="00B76FD9">
        <w:rPr>
          <w:b/>
          <w:lang w:val="en-US"/>
        </w:rPr>
        <w:t>.</w:t>
      </w:r>
      <w:r w:rsidR="00813F20">
        <w:rPr>
          <w:b/>
          <w:lang w:val="en-US"/>
        </w:rPr>
        <w:t xml:space="preserve"> </w:t>
      </w:r>
      <w:r w:rsidR="00CB5064" w:rsidRPr="00B76FD9">
        <w:rPr>
          <w:b/>
          <w:lang w:val="en-US"/>
        </w:rPr>
        <w:t xml:space="preserve">Synergies between the right to survival and right to holistic development need to drive </w:t>
      </w:r>
      <w:r w:rsidR="006D1D16">
        <w:rPr>
          <w:b/>
          <w:lang w:val="en-US"/>
        </w:rPr>
        <w:t>cross-sectoral</w:t>
      </w:r>
      <w:r w:rsidR="00CB5064" w:rsidRPr="00B76FD9">
        <w:rPr>
          <w:b/>
          <w:lang w:val="en-US"/>
        </w:rPr>
        <w:t xml:space="preserve"> policies and accountability mechanisms</w:t>
      </w:r>
      <w:r w:rsidR="006B7D14">
        <w:rPr>
          <w:b/>
          <w:lang w:val="en-US"/>
        </w:rPr>
        <w:t>;</w:t>
      </w:r>
    </w:p>
    <w:p w:rsidR="009D5E10" w:rsidRPr="00B76FD9" w:rsidRDefault="00D9394A" w:rsidP="00CB75BE">
      <w:pPr>
        <w:pStyle w:val="SingleTxtG"/>
        <w:numPr>
          <w:ilvl w:val="0"/>
          <w:numId w:val="39"/>
        </w:numPr>
        <w:ind w:left="1134" w:firstLine="567"/>
        <w:rPr>
          <w:b/>
          <w:lang w:val="en-US"/>
        </w:rPr>
      </w:pPr>
      <w:r>
        <w:rPr>
          <w:b/>
          <w:lang w:val="en-US"/>
        </w:rPr>
        <w:t>The r</w:t>
      </w:r>
      <w:r w:rsidR="009D5E10" w:rsidRPr="00B76FD9">
        <w:rPr>
          <w:b/>
          <w:lang w:val="en-US"/>
        </w:rPr>
        <w:t>ights of persons with disabilities are of a special relevance to the right to health and should be protected and promoted through th</w:t>
      </w:r>
      <w:r w:rsidR="00A123CD" w:rsidRPr="00B76FD9">
        <w:rPr>
          <w:b/>
          <w:lang w:val="en-US"/>
        </w:rPr>
        <w:t>e</w:t>
      </w:r>
      <w:r w:rsidR="009D5E10" w:rsidRPr="00B76FD9">
        <w:rPr>
          <w:b/>
          <w:lang w:val="en-US"/>
        </w:rPr>
        <w:t xml:space="preserve"> lens of the </w:t>
      </w:r>
      <w:r w:rsidR="00224826">
        <w:rPr>
          <w:b/>
          <w:lang w:val="en-US"/>
        </w:rPr>
        <w:t>Convention on the Rights of Persons with Disabilities</w:t>
      </w:r>
      <w:r w:rsidR="009D5E10" w:rsidRPr="00B76FD9">
        <w:rPr>
          <w:b/>
          <w:lang w:val="en-US"/>
        </w:rPr>
        <w:t>. In th</w:t>
      </w:r>
      <w:r w:rsidR="00224826">
        <w:rPr>
          <w:b/>
          <w:lang w:val="en-US"/>
        </w:rPr>
        <w:t>at</w:t>
      </w:r>
      <w:r w:rsidR="009D5E10" w:rsidRPr="00B76FD9">
        <w:rPr>
          <w:b/>
          <w:lang w:val="en-US"/>
        </w:rPr>
        <w:t xml:space="preserve"> regard</w:t>
      </w:r>
      <w:r>
        <w:rPr>
          <w:b/>
          <w:lang w:val="en-US"/>
        </w:rPr>
        <w:t>, the</w:t>
      </w:r>
      <w:r w:rsidR="009D5E10" w:rsidRPr="00B76FD9">
        <w:rPr>
          <w:b/>
          <w:lang w:val="en-US"/>
        </w:rPr>
        <w:t xml:space="preserve"> role of health</w:t>
      </w:r>
      <w:r w:rsidR="00224826">
        <w:rPr>
          <w:b/>
          <w:lang w:val="en-US"/>
        </w:rPr>
        <w:t>-</w:t>
      </w:r>
      <w:r w:rsidR="009D5E10" w:rsidRPr="00B76FD9">
        <w:rPr>
          <w:b/>
          <w:lang w:val="en-US"/>
        </w:rPr>
        <w:t xml:space="preserve">care services and professionals and the role of </w:t>
      </w:r>
      <w:r w:rsidR="00224826">
        <w:rPr>
          <w:b/>
          <w:lang w:val="en-US"/>
        </w:rPr>
        <w:t xml:space="preserve">the </w:t>
      </w:r>
      <w:r w:rsidR="009D5E10" w:rsidRPr="00B76FD9">
        <w:rPr>
          <w:b/>
          <w:lang w:val="en-US"/>
        </w:rPr>
        <w:t>biomedical model</w:t>
      </w:r>
      <w:r w:rsidR="003D5ADC" w:rsidRPr="00B76FD9">
        <w:rPr>
          <w:b/>
          <w:lang w:val="en-US"/>
        </w:rPr>
        <w:t xml:space="preserve"> </w:t>
      </w:r>
      <w:r w:rsidR="009D5E10" w:rsidRPr="00B76FD9">
        <w:rPr>
          <w:b/>
          <w:lang w:val="en-US"/>
        </w:rPr>
        <w:t>need to be reconsidered</w:t>
      </w:r>
      <w:r>
        <w:rPr>
          <w:b/>
          <w:lang w:val="en-US"/>
        </w:rPr>
        <w:t>;</w:t>
      </w:r>
    </w:p>
    <w:p w:rsidR="00DA2DCA" w:rsidRDefault="00E25ACE" w:rsidP="00840D9F">
      <w:pPr>
        <w:pStyle w:val="SingleTxtG"/>
        <w:numPr>
          <w:ilvl w:val="0"/>
          <w:numId w:val="39"/>
        </w:numPr>
        <w:ind w:left="1134" w:firstLine="567"/>
        <w:rPr>
          <w:lang w:val="en-US"/>
        </w:rPr>
      </w:pPr>
      <w:r w:rsidRPr="00B76FD9">
        <w:rPr>
          <w:b/>
          <w:lang w:val="en-US"/>
        </w:rPr>
        <w:t>Violence</w:t>
      </w:r>
      <w:r w:rsidR="00DA2DCA" w:rsidRPr="00E0722D">
        <w:rPr>
          <w:b/>
          <w:lang w:val="en-US"/>
        </w:rPr>
        <w:t>,</w:t>
      </w:r>
      <w:r w:rsidRPr="00B76FD9">
        <w:rPr>
          <w:b/>
          <w:lang w:val="en-US"/>
        </w:rPr>
        <w:t xml:space="preserve"> </w:t>
      </w:r>
      <w:r w:rsidR="00DA2DCA" w:rsidRPr="00E0722D">
        <w:rPr>
          <w:b/>
          <w:lang w:val="en-US"/>
        </w:rPr>
        <w:t xml:space="preserve">as a public health </w:t>
      </w:r>
      <w:r w:rsidR="006D5663">
        <w:rPr>
          <w:b/>
          <w:lang w:val="en-US"/>
        </w:rPr>
        <w:t>problem</w:t>
      </w:r>
      <w:r w:rsidR="00DA2DCA" w:rsidRPr="00E0722D">
        <w:rPr>
          <w:b/>
          <w:lang w:val="en-US"/>
        </w:rPr>
        <w:t xml:space="preserve">, </w:t>
      </w:r>
      <w:r w:rsidRPr="00B76FD9">
        <w:rPr>
          <w:b/>
          <w:lang w:val="en-US"/>
        </w:rPr>
        <w:t>need</w:t>
      </w:r>
      <w:r w:rsidR="00D9394A" w:rsidRPr="00E0722D">
        <w:rPr>
          <w:b/>
          <w:lang w:val="en-US"/>
        </w:rPr>
        <w:t>s</w:t>
      </w:r>
      <w:r w:rsidRPr="00B76FD9">
        <w:rPr>
          <w:b/>
          <w:lang w:val="en-US"/>
        </w:rPr>
        <w:t xml:space="preserve"> to be addressed with concerted efforts </w:t>
      </w:r>
      <w:r w:rsidR="00D9394A" w:rsidRPr="00E0722D">
        <w:rPr>
          <w:b/>
          <w:lang w:val="en-US"/>
        </w:rPr>
        <w:t>by</w:t>
      </w:r>
      <w:r w:rsidRPr="00B76FD9">
        <w:rPr>
          <w:b/>
          <w:lang w:val="en-US"/>
        </w:rPr>
        <w:t xml:space="preserve"> all actors as a human rights challenge, having a detrimental impact </w:t>
      </w:r>
      <w:r w:rsidR="00454FBA">
        <w:rPr>
          <w:b/>
          <w:lang w:val="en-US"/>
        </w:rPr>
        <w:t>on</w:t>
      </w:r>
      <w:r w:rsidR="00454FBA" w:rsidRPr="00B76FD9">
        <w:rPr>
          <w:b/>
          <w:lang w:val="en-US"/>
        </w:rPr>
        <w:t xml:space="preserve"> </w:t>
      </w:r>
      <w:r w:rsidR="00DA2DCA" w:rsidRPr="00E0722D">
        <w:rPr>
          <w:b/>
          <w:lang w:val="en-US"/>
        </w:rPr>
        <w:t xml:space="preserve">the </w:t>
      </w:r>
      <w:r w:rsidRPr="00B76FD9">
        <w:rPr>
          <w:b/>
          <w:lang w:val="en-US"/>
        </w:rPr>
        <w:t xml:space="preserve">health of individuals and societies. </w:t>
      </w:r>
      <w:r w:rsidR="00DA2DCA" w:rsidRPr="00E0722D">
        <w:rPr>
          <w:b/>
          <w:lang w:val="en-US"/>
        </w:rPr>
        <w:t>There should be no excuse or justification for any form of violence</w:t>
      </w:r>
      <w:r w:rsidR="006D5663">
        <w:rPr>
          <w:b/>
          <w:lang w:val="en-US"/>
        </w:rPr>
        <w:t>;</w:t>
      </w:r>
    </w:p>
    <w:p w:rsidR="00B347BB" w:rsidRPr="00B76FD9" w:rsidRDefault="00B347BB" w:rsidP="00840D9F">
      <w:pPr>
        <w:pStyle w:val="SingleTxtG"/>
        <w:numPr>
          <w:ilvl w:val="0"/>
          <w:numId w:val="39"/>
        </w:numPr>
        <w:ind w:left="1134" w:firstLine="567"/>
        <w:rPr>
          <w:b/>
          <w:lang w:val="en-US"/>
        </w:rPr>
      </w:pPr>
      <w:r w:rsidRPr="00B76FD9">
        <w:rPr>
          <w:b/>
          <w:lang w:val="en-US"/>
        </w:rPr>
        <w:t>Trustful partnerships between</w:t>
      </w:r>
      <w:r w:rsidR="00555B5E">
        <w:rPr>
          <w:b/>
          <w:lang w:val="en-US"/>
        </w:rPr>
        <w:t xml:space="preserve"> the</w:t>
      </w:r>
      <w:r w:rsidR="00625F8F">
        <w:rPr>
          <w:b/>
          <w:lang w:val="en-US"/>
        </w:rPr>
        <w:t xml:space="preserve"> policymakers responsible for</w:t>
      </w:r>
      <w:r w:rsidR="00454FBA">
        <w:rPr>
          <w:b/>
          <w:lang w:val="en-US"/>
        </w:rPr>
        <w:t xml:space="preserve"> the</w:t>
      </w:r>
      <w:r w:rsidR="00625F8F">
        <w:rPr>
          <w:b/>
          <w:lang w:val="en-US"/>
        </w:rPr>
        <w:t xml:space="preserve"> </w:t>
      </w:r>
      <w:r w:rsidRPr="00B76FD9">
        <w:rPr>
          <w:b/>
          <w:lang w:val="en-US"/>
        </w:rPr>
        <w:t xml:space="preserve">health </w:t>
      </w:r>
      <w:r w:rsidR="002F7950">
        <w:rPr>
          <w:b/>
          <w:lang w:val="en-US"/>
        </w:rPr>
        <w:t>s</w:t>
      </w:r>
      <w:r w:rsidRPr="00B76FD9">
        <w:rPr>
          <w:b/>
          <w:lang w:val="en-US"/>
        </w:rPr>
        <w:t>ector</w:t>
      </w:r>
      <w:r w:rsidR="002F7950">
        <w:rPr>
          <w:b/>
          <w:lang w:val="en-US"/>
        </w:rPr>
        <w:t xml:space="preserve"> and</w:t>
      </w:r>
      <w:r w:rsidRPr="00B76FD9">
        <w:rPr>
          <w:b/>
          <w:lang w:val="en-US"/>
        </w:rPr>
        <w:t xml:space="preserve"> civil society</w:t>
      </w:r>
      <w:r w:rsidR="002F7950">
        <w:rPr>
          <w:b/>
          <w:lang w:val="en-US"/>
        </w:rPr>
        <w:t xml:space="preserve"> actors</w:t>
      </w:r>
      <w:r w:rsidRPr="00B76FD9">
        <w:rPr>
          <w:b/>
          <w:lang w:val="en-US"/>
        </w:rPr>
        <w:t xml:space="preserve">, </w:t>
      </w:r>
      <w:r w:rsidR="002F7950">
        <w:rPr>
          <w:b/>
          <w:lang w:val="en-US"/>
        </w:rPr>
        <w:t xml:space="preserve">including </w:t>
      </w:r>
      <w:r w:rsidR="00224826">
        <w:rPr>
          <w:b/>
          <w:lang w:val="en-US"/>
        </w:rPr>
        <w:t>non-governmental organizations</w:t>
      </w:r>
      <w:r w:rsidR="002F7950">
        <w:rPr>
          <w:b/>
          <w:lang w:val="en-US"/>
        </w:rPr>
        <w:t xml:space="preserve">, academia and professional associations, </w:t>
      </w:r>
      <w:r w:rsidR="00454FBA">
        <w:rPr>
          <w:b/>
          <w:lang w:val="en-US"/>
        </w:rPr>
        <w:t>constitute</w:t>
      </w:r>
      <w:r w:rsidR="00454FBA" w:rsidRPr="00B76FD9">
        <w:rPr>
          <w:b/>
          <w:lang w:val="en-US"/>
        </w:rPr>
        <w:t xml:space="preserve"> </w:t>
      </w:r>
      <w:r w:rsidRPr="00B76FD9">
        <w:rPr>
          <w:b/>
          <w:lang w:val="en-US"/>
        </w:rPr>
        <w:t xml:space="preserve">one of the cornerstones of effective health systems, and act as a guarantee for the </w:t>
      </w:r>
      <w:r w:rsidR="00555B5E">
        <w:rPr>
          <w:b/>
          <w:lang w:val="en-US"/>
        </w:rPr>
        <w:t>full</w:t>
      </w:r>
      <w:r w:rsidRPr="00B76FD9">
        <w:rPr>
          <w:b/>
          <w:lang w:val="en-US"/>
        </w:rPr>
        <w:t xml:space="preserve"> realization of </w:t>
      </w:r>
      <w:r w:rsidR="00555B5E">
        <w:rPr>
          <w:b/>
          <w:lang w:val="en-US"/>
        </w:rPr>
        <w:t>the right to health and rel</w:t>
      </w:r>
      <w:r w:rsidR="00555B5E" w:rsidRPr="00B76FD9">
        <w:rPr>
          <w:b/>
          <w:lang w:val="en-US"/>
        </w:rPr>
        <w:t xml:space="preserve">ated </w:t>
      </w:r>
      <w:r w:rsidRPr="00B76FD9">
        <w:rPr>
          <w:b/>
          <w:lang w:val="en-US"/>
        </w:rPr>
        <w:t>rights</w:t>
      </w:r>
      <w:r w:rsidR="0066683F">
        <w:rPr>
          <w:b/>
          <w:lang w:val="en-US"/>
        </w:rPr>
        <w:t>.</w:t>
      </w:r>
    </w:p>
    <w:p w:rsidR="00CF586F" w:rsidRPr="00692DA5" w:rsidRDefault="00692DA5" w:rsidP="00692DA5">
      <w:pPr>
        <w:pStyle w:val="SingleTxtG"/>
        <w:spacing w:before="240" w:after="0"/>
        <w:jc w:val="center"/>
        <w:rPr>
          <w:u w:val="single"/>
        </w:rPr>
      </w:pPr>
      <w:r>
        <w:rPr>
          <w:u w:val="single"/>
        </w:rPr>
        <w:tab/>
      </w:r>
      <w:r>
        <w:rPr>
          <w:u w:val="single"/>
        </w:rPr>
        <w:tab/>
      </w:r>
      <w:r>
        <w:rPr>
          <w:u w:val="single"/>
        </w:rPr>
        <w:tab/>
      </w:r>
    </w:p>
    <w:sectPr w:rsidR="00CF586F" w:rsidRPr="00692DA5" w:rsidSect="00813F2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53" w:rsidRDefault="00155053"/>
  </w:endnote>
  <w:endnote w:type="continuationSeparator" w:id="0">
    <w:p w:rsidR="00155053" w:rsidRDefault="00155053"/>
  </w:endnote>
  <w:endnote w:type="continuationNotice" w:id="1">
    <w:p w:rsidR="00155053" w:rsidRDefault="00155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E" w:rsidRPr="004C7BA9" w:rsidRDefault="00CB75BE" w:rsidP="004C7BA9">
    <w:pPr>
      <w:pStyle w:val="Footer"/>
      <w:tabs>
        <w:tab w:val="right" w:pos="9638"/>
      </w:tabs>
    </w:pPr>
    <w:r w:rsidRPr="004C7BA9">
      <w:rPr>
        <w:b/>
        <w:sz w:val="18"/>
      </w:rPr>
      <w:fldChar w:fldCharType="begin"/>
    </w:r>
    <w:r w:rsidRPr="004C7BA9">
      <w:rPr>
        <w:b/>
        <w:sz w:val="18"/>
      </w:rPr>
      <w:instrText xml:space="preserve"> PAGE  \* MERGEFORMAT </w:instrText>
    </w:r>
    <w:r w:rsidRPr="004C7BA9">
      <w:rPr>
        <w:b/>
        <w:sz w:val="18"/>
      </w:rPr>
      <w:fldChar w:fldCharType="separate"/>
    </w:r>
    <w:r w:rsidR="0053191E">
      <w:rPr>
        <w:b/>
        <w:noProof/>
        <w:sz w:val="18"/>
      </w:rPr>
      <w:t>20</w:t>
    </w:r>
    <w:r w:rsidRPr="004C7B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E" w:rsidRPr="004C7BA9" w:rsidRDefault="00CB75BE" w:rsidP="004C7BA9">
    <w:pPr>
      <w:pStyle w:val="Footer"/>
      <w:tabs>
        <w:tab w:val="right" w:pos="9638"/>
      </w:tabs>
      <w:rPr>
        <w:b/>
        <w:sz w:val="18"/>
      </w:rPr>
    </w:pPr>
    <w:r>
      <w:tab/>
    </w:r>
    <w:r w:rsidRPr="004C7BA9">
      <w:rPr>
        <w:b/>
        <w:sz w:val="18"/>
      </w:rPr>
      <w:fldChar w:fldCharType="begin"/>
    </w:r>
    <w:r w:rsidRPr="004C7BA9">
      <w:rPr>
        <w:b/>
        <w:sz w:val="18"/>
      </w:rPr>
      <w:instrText xml:space="preserve"> PAGE  \* MERGEFORMAT </w:instrText>
    </w:r>
    <w:r w:rsidRPr="004C7BA9">
      <w:rPr>
        <w:b/>
        <w:sz w:val="18"/>
      </w:rPr>
      <w:fldChar w:fldCharType="separate"/>
    </w:r>
    <w:r w:rsidR="0053191E">
      <w:rPr>
        <w:b/>
        <w:noProof/>
        <w:sz w:val="18"/>
      </w:rPr>
      <w:t>21</w:t>
    </w:r>
    <w:r w:rsidRPr="004C7B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E" w:rsidRPr="00F91C65" w:rsidRDefault="002D4F8D" w:rsidP="00A04ABE">
    <w:r>
      <w:rPr>
        <w:noProof/>
        <w:lang w:eastAsia="en-GB"/>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CB75BE">
      <w:t>GE.15-</w:t>
    </w:r>
    <w:r w:rsidR="0023592E">
      <w:t>07062</w:t>
    </w:r>
    <w:r w:rsidR="00C2657D">
      <w:t xml:space="preserve"> </w:t>
    </w:r>
    <w:r w:rsidR="0023592E">
      <w:t xml:space="preserve"> (E)</w:t>
    </w:r>
    <w:r w:rsidR="00C2657D">
      <w:br/>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r w:rsidR="00C2657D" w:rsidRPr="00C2657D">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53" w:rsidRPr="000B175B" w:rsidRDefault="00155053" w:rsidP="000B175B">
      <w:pPr>
        <w:tabs>
          <w:tab w:val="right" w:pos="2155"/>
        </w:tabs>
        <w:spacing w:after="80"/>
        <w:ind w:left="680"/>
        <w:rPr>
          <w:u w:val="single"/>
        </w:rPr>
      </w:pPr>
      <w:r>
        <w:rPr>
          <w:u w:val="single"/>
        </w:rPr>
        <w:tab/>
      </w:r>
    </w:p>
  </w:footnote>
  <w:footnote w:type="continuationSeparator" w:id="0">
    <w:p w:rsidR="00155053" w:rsidRPr="00FC68B7" w:rsidRDefault="00155053" w:rsidP="00FC68B7">
      <w:pPr>
        <w:tabs>
          <w:tab w:val="left" w:pos="2155"/>
        </w:tabs>
        <w:spacing w:after="80"/>
        <w:ind w:left="680"/>
        <w:rPr>
          <w:u w:val="single"/>
        </w:rPr>
      </w:pPr>
      <w:r>
        <w:rPr>
          <w:u w:val="single"/>
        </w:rPr>
        <w:tab/>
      </w:r>
    </w:p>
  </w:footnote>
  <w:footnote w:type="continuationNotice" w:id="1">
    <w:p w:rsidR="00155053" w:rsidRDefault="00155053"/>
  </w:footnote>
  <w:footnote w:id="2">
    <w:p w:rsidR="00CB75BE" w:rsidRPr="00D05FE0" w:rsidRDefault="00CB75BE" w:rsidP="00516379">
      <w:pPr>
        <w:pStyle w:val="FootnoteText"/>
        <w:rPr>
          <w:szCs w:val="18"/>
          <w:lang w:val="es-ES"/>
        </w:rPr>
      </w:pPr>
      <w:r w:rsidRPr="00840D9F">
        <w:rPr>
          <w:szCs w:val="18"/>
          <w:lang w:val="es-ES"/>
        </w:rPr>
        <w:tab/>
      </w:r>
      <w:r w:rsidRPr="00D05FE0">
        <w:rPr>
          <w:rStyle w:val="FootnoteReference"/>
          <w:szCs w:val="18"/>
        </w:rPr>
        <w:footnoteRef/>
      </w:r>
      <w:r w:rsidRPr="00840D9F">
        <w:rPr>
          <w:szCs w:val="18"/>
        </w:rPr>
        <w:tab/>
      </w:r>
      <w:r w:rsidR="00516379" w:rsidRPr="00840D9F">
        <w:rPr>
          <w:szCs w:val="18"/>
        </w:rPr>
        <w:t>See Committee on Econo</w:t>
      </w:r>
      <w:r w:rsidR="00516379" w:rsidRPr="00516379">
        <w:rPr>
          <w:szCs w:val="18"/>
        </w:rPr>
        <w:t>mic Social and Cultural  R</w:t>
      </w:r>
      <w:r w:rsidR="00516379">
        <w:rPr>
          <w:szCs w:val="18"/>
        </w:rPr>
        <w:t>ights, general comment No. 14</w:t>
      </w:r>
      <w:r w:rsidR="00516379" w:rsidRPr="00840D9F">
        <w:rPr>
          <w:szCs w:val="18"/>
        </w:rPr>
        <w:t xml:space="preserve"> </w:t>
      </w:r>
      <w:r w:rsidR="00516379">
        <w:rPr>
          <w:szCs w:val="18"/>
        </w:rPr>
        <w:t>(</w:t>
      </w:r>
      <w:r w:rsidRPr="00840D9F">
        <w:rPr>
          <w:szCs w:val="18"/>
        </w:rPr>
        <w:t>2000</w:t>
      </w:r>
      <w:r w:rsidR="00516379">
        <w:rPr>
          <w:szCs w:val="18"/>
        </w:rPr>
        <w:t xml:space="preserve">) on </w:t>
      </w:r>
      <w:r w:rsidR="00516379" w:rsidRPr="00516379">
        <w:rPr>
          <w:szCs w:val="18"/>
          <w:lang w:val="en-GB"/>
        </w:rPr>
        <w:t>the right to the highest attainable standard of health</w:t>
      </w:r>
      <w:r w:rsidRPr="00840D9F">
        <w:rPr>
          <w:szCs w:val="18"/>
        </w:rPr>
        <w:t>, para. </w:t>
      </w:r>
      <w:r w:rsidRPr="00516379">
        <w:rPr>
          <w:szCs w:val="18"/>
          <w:lang w:val="es-ES"/>
        </w:rPr>
        <w:t>43.</w:t>
      </w:r>
    </w:p>
  </w:footnote>
  <w:footnote w:id="3">
    <w:p w:rsidR="00CB75BE" w:rsidRPr="00D05FE0" w:rsidRDefault="00CB75BE">
      <w:pPr>
        <w:pStyle w:val="FootnoteText"/>
        <w:rPr>
          <w:szCs w:val="18"/>
          <w:lang w:val="en-GB"/>
        </w:rPr>
      </w:pPr>
      <w:r w:rsidRPr="00840D9F">
        <w:rPr>
          <w:szCs w:val="18"/>
        </w:rPr>
        <w:tab/>
      </w:r>
      <w:r w:rsidRPr="00D05FE0">
        <w:rPr>
          <w:rStyle w:val="FootnoteReference"/>
          <w:szCs w:val="18"/>
        </w:rPr>
        <w:footnoteRef/>
      </w:r>
      <w:r w:rsidRPr="00840D9F">
        <w:rPr>
          <w:szCs w:val="18"/>
        </w:rPr>
        <w:tab/>
      </w:r>
      <w:r w:rsidRPr="00D05FE0">
        <w:rPr>
          <w:szCs w:val="18"/>
        </w:rPr>
        <w:t>Mann</w:t>
      </w:r>
      <w:r>
        <w:rPr>
          <w:szCs w:val="18"/>
        </w:rPr>
        <w:t>,</w:t>
      </w:r>
      <w:r w:rsidRPr="00D05FE0">
        <w:rPr>
          <w:szCs w:val="18"/>
        </w:rPr>
        <w:t xml:space="preserve"> “Health and human rights. Protecting human rights is essential for promoting health”,</w:t>
      </w:r>
      <w:r w:rsidRPr="00D05FE0">
        <w:rPr>
          <w:szCs w:val="18"/>
          <w:lang w:val="en-GB"/>
        </w:rPr>
        <w:t xml:space="preserve"> </w:t>
      </w:r>
      <w:r w:rsidRPr="00840D9F">
        <w:rPr>
          <w:i/>
          <w:iCs/>
          <w:szCs w:val="18"/>
          <w:lang w:val="en-GB"/>
        </w:rPr>
        <w:t>British Medical Journal</w:t>
      </w:r>
      <w:r>
        <w:rPr>
          <w:szCs w:val="18"/>
          <w:lang w:val="en-GB"/>
        </w:rPr>
        <w:t>, No.</w:t>
      </w:r>
      <w:r w:rsidRPr="00D05FE0">
        <w:rPr>
          <w:szCs w:val="18"/>
          <w:lang w:val="en-GB"/>
        </w:rPr>
        <w:t xml:space="preserve"> 312</w:t>
      </w:r>
      <w:r>
        <w:rPr>
          <w:szCs w:val="18"/>
          <w:lang w:val="en-GB"/>
        </w:rPr>
        <w:t xml:space="preserve"> (1996), pp.</w:t>
      </w:r>
      <w:r w:rsidRPr="00D05FE0">
        <w:rPr>
          <w:szCs w:val="18"/>
          <w:lang w:val="en-GB"/>
        </w:rPr>
        <w:t xml:space="preserve"> 924</w:t>
      </w:r>
      <w:r>
        <w:rPr>
          <w:szCs w:val="18"/>
          <w:lang w:val="en-GB"/>
        </w:rPr>
        <w:t>–92</w:t>
      </w:r>
      <w:r w:rsidRPr="00D05FE0">
        <w:rPr>
          <w:szCs w:val="18"/>
          <w:lang w:val="en-GB"/>
        </w:rPr>
        <w:t>5.</w:t>
      </w:r>
    </w:p>
  </w:footnote>
  <w:footnote w:id="4">
    <w:p w:rsidR="00CB75BE" w:rsidRPr="00D05FE0" w:rsidRDefault="00CB75BE" w:rsidP="00CB75BE">
      <w:pPr>
        <w:pStyle w:val="FootnoteText"/>
        <w:rPr>
          <w:szCs w:val="18"/>
        </w:rPr>
      </w:pPr>
      <w:r w:rsidRPr="00D05FE0">
        <w:rPr>
          <w:szCs w:val="18"/>
        </w:rPr>
        <w:tab/>
      </w:r>
      <w:r w:rsidRPr="00D05FE0">
        <w:rPr>
          <w:rStyle w:val="FootnoteReference"/>
          <w:szCs w:val="18"/>
        </w:rPr>
        <w:footnoteRef/>
      </w:r>
      <w:r w:rsidRPr="00D05FE0">
        <w:rPr>
          <w:szCs w:val="18"/>
          <w:lang w:val="en-GB"/>
        </w:rPr>
        <w:tab/>
      </w:r>
      <w:r w:rsidRPr="00840D9F">
        <w:rPr>
          <w:i/>
          <w:iCs/>
          <w:szCs w:val="18"/>
        </w:rPr>
        <w:t>Millennium Development Report 2014</w:t>
      </w:r>
      <w:r w:rsidRPr="00D05FE0">
        <w:rPr>
          <w:szCs w:val="18"/>
        </w:rPr>
        <w:t xml:space="preserve">, quoted in </w:t>
      </w:r>
      <w:r>
        <w:rPr>
          <w:szCs w:val="18"/>
        </w:rPr>
        <w:t>“The road to dignity by 2030: ending poverty, transforming all lives and protecting the planet”, s</w:t>
      </w:r>
      <w:r w:rsidRPr="00D05FE0">
        <w:rPr>
          <w:szCs w:val="18"/>
        </w:rPr>
        <w:t>ynthesis report</w:t>
      </w:r>
      <w:r>
        <w:rPr>
          <w:szCs w:val="18"/>
        </w:rPr>
        <w:t xml:space="preserve"> of the Secretary-General on the post-2015 sustainable development agenda (A/69/700)</w:t>
      </w:r>
      <w:r w:rsidRPr="00D05FE0">
        <w:rPr>
          <w:szCs w:val="18"/>
        </w:rPr>
        <w:t>, para. 17.</w:t>
      </w:r>
    </w:p>
  </w:footnote>
  <w:footnote w:id="5">
    <w:p w:rsidR="00CB75BE" w:rsidRPr="00D05FE0" w:rsidRDefault="00CB75BE" w:rsidP="00CB75BE">
      <w:pPr>
        <w:pStyle w:val="FootnoteText"/>
        <w:rPr>
          <w:szCs w:val="18"/>
        </w:rPr>
      </w:pPr>
      <w:r w:rsidRPr="00D05FE0">
        <w:rPr>
          <w:szCs w:val="18"/>
        </w:rPr>
        <w:tab/>
      </w:r>
      <w:r w:rsidRPr="00D05FE0">
        <w:rPr>
          <w:rStyle w:val="FootnoteReference"/>
          <w:szCs w:val="18"/>
        </w:rPr>
        <w:footnoteRef/>
      </w:r>
      <w:r w:rsidRPr="00840D9F">
        <w:rPr>
          <w:szCs w:val="18"/>
        </w:rPr>
        <w:tab/>
      </w:r>
      <w:r w:rsidRPr="00D05FE0">
        <w:rPr>
          <w:szCs w:val="18"/>
        </w:rPr>
        <w:t xml:space="preserve">WHO estimates available </w:t>
      </w:r>
      <w:r>
        <w:rPr>
          <w:szCs w:val="18"/>
        </w:rPr>
        <w:t>from</w:t>
      </w:r>
      <w:r w:rsidRPr="00D05FE0">
        <w:rPr>
          <w:szCs w:val="18"/>
        </w:rPr>
        <w:t xml:space="preserve"> </w:t>
      </w:r>
      <w:hyperlink r:id="rId1" w:history="1">
        <w:r w:rsidRPr="00C61AB9">
          <w:rPr>
            <w:rStyle w:val="Hyperlink"/>
            <w:szCs w:val="18"/>
          </w:rPr>
          <w:t>www.who.int/mental_health/mhgap/en/</w:t>
        </w:r>
      </w:hyperlink>
      <w:r w:rsidRPr="00D05FE0">
        <w:rPr>
          <w:szCs w:val="18"/>
        </w:rPr>
        <w:t>.</w:t>
      </w:r>
    </w:p>
  </w:footnote>
  <w:footnote w:id="6">
    <w:p w:rsidR="00CB75BE" w:rsidRPr="00D05FE0" w:rsidRDefault="00CB75BE" w:rsidP="00CB75BE">
      <w:pPr>
        <w:pStyle w:val="FootnoteText"/>
        <w:rPr>
          <w:szCs w:val="18"/>
          <w:lang w:val="en-GB"/>
        </w:rPr>
      </w:pPr>
      <w:r w:rsidRPr="00D05FE0">
        <w:rPr>
          <w:szCs w:val="18"/>
        </w:rPr>
        <w:tab/>
      </w:r>
      <w:r w:rsidRPr="00D05FE0">
        <w:rPr>
          <w:rStyle w:val="FootnoteReference"/>
          <w:szCs w:val="18"/>
        </w:rPr>
        <w:footnoteRef/>
      </w:r>
      <w:r w:rsidRPr="00840D9F">
        <w:rPr>
          <w:szCs w:val="18"/>
        </w:rPr>
        <w:tab/>
      </w:r>
      <w:r w:rsidRPr="00840D9F">
        <w:rPr>
          <w:i/>
          <w:iCs/>
          <w:szCs w:val="18"/>
        </w:rPr>
        <w:t xml:space="preserve">World </w:t>
      </w:r>
      <w:r w:rsidRPr="00840D9F">
        <w:rPr>
          <w:i/>
          <w:iCs/>
          <w:szCs w:val="18"/>
          <w:lang w:val="en-GB"/>
        </w:rPr>
        <w:t>H</w:t>
      </w:r>
      <w:r w:rsidRPr="00840D9F">
        <w:rPr>
          <w:i/>
          <w:iCs/>
          <w:szCs w:val="18"/>
        </w:rPr>
        <w:t>ealth Report</w:t>
      </w:r>
      <w:r w:rsidRPr="00840D9F">
        <w:rPr>
          <w:i/>
          <w:iCs/>
          <w:szCs w:val="18"/>
          <w:lang w:val="en-GB"/>
        </w:rPr>
        <w:t xml:space="preserve"> 2001:</w:t>
      </w:r>
      <w:r w:rsidRPr="00840D9F">
        <w:rPr>
          <w:i/>
          <w:iCs/>
          <w:szCs w:val="18"/>
        </w:rPr>
        <w:t xml:space="preserve"> Mental Health: New Understanding, New Hope</w:t>
      </w:r>
      <w:r>
        <w:rPr>
          <w:i/>
          <w:iCs/>
          <w:szCs w:val="18"/>
        </w:rPr>
        <w:t xml:space="preserve"> </w:t>
      </w:r>
      <w:r>
        <w:rPr>
          <w:szCs w:val="18"/>
        </w:rPr>
        <w:t>(Geneva, Switzerland, 2001)</w:t>
      </w:r>
      <w:r w:rsidRPr="00D05FE0">
        <w:rPr>
          <w:szCs w:val="18"/>
          <w:lang w:val="en-GB"/>
        </w:rPr>
        <w:t xml:space="preserve">, </w:t>
      </w:r>
      <w:r>
        <w:rPr>
          <w:szCs w:val="18"/>
          <w:lang w:val="en-GB"/>
        </w:rPr>
        <w:t>p. x</w:t>
      </w:r>
      <w:r w:rsidRPr="00D05FE0">
        <w:rPr>
          <w:szCs w:val="18"/>
          <w:lang w:val="en-GB"/>
        </w:rPr>
        <w:t>.</w:t>
      </w:r>
    </w:p>
  </w:footnote>
  <w:footnote w:id="7">
    <w:p w:rsidR="00CB75BE" w:rsidRPr="00D05FE0" w:rsidRDefault="00CB75BE" w:rsidP="00CB75BE">
      <w:pPr>
        <w:pStyle w:val="FootnoteText"/>
        <w:rPr>
          <w:szCs w:val="18"/>
        </w:rPr>
      </w:pPr>
      <w:r w:rsidRPr="00D05FE0">
        <w:rPr>
          <w:szCs w:val="18"/>
          <w:lang w:val="en-GB"/>
        </w:rPr>
        <w:tab/>
      </w:r>
      <w:r w:rsidRPr="00D05FE0">
        <w:rPr>
          <w:rStyle w:val="FootnoteReference"/>
          <w:szCs w:val="18"/>
        </w:rPr>
        <w:footnoteRef/>
      </w:r>
      <w:r w:rsidRPr="00D05FE0">
        <w:rPr>
          <w:szCs w:val="18"/>
          <w:lang w:val="en-GB"/>
        </w:rPr>
        <w:tab/>
      </w:r>
      <w:r w:rsidRPr="00D05FE0">
        <w:rPr>
          <w:szCs w:val="18"/>
        </w:rPr>
        <w:t xml:space="preserve">Saraceno B., van Ommeren, M., Batniji, R., Cohen, A., Gureje, O., Mahoney, J., Sridhar, D., Chris Underhill, Ch., “Barriers to improvement of mental health services in low-income and middle-income countries”, </w:t>
      </w:r>
      <w:r w:rsidRPr="00840D9F">
        <w:rPr>
          <w:i/>
          <w:iCs/>
          <w:szCs w:val="18"/>
        </w:rPr>
        <w:t>The Lancet</w:t>
      </w:r>
      <w:r w:rsidRPr="00D05FE0">
        <w:rPr>
          <w:szCs w:val="18"/>
        </w:rPr>
        <w:t xml:space="preserve">, </w:t>
      </w:r>
      <w:r>
        <w:rPr>
          <w:szCs w:val="18"/>
        </w:rPr>
        <w:t>v</w:t>
      </w:r>
      <w:r w:rsidRPr="00D05FE0">
        <w:rPr>
          <w:szCs w:val="18"/>
        </w:rPr>
        <w:t>ol</w:t>
      </w:r>
      <w:r>
        <w:rPr>
          <w:szCs w:val="18"/>
        </w:rPr>
        <w:t>.</w:t>
      </w:r>
      <w:r w:rsidRPr="00D05FE0">
        <w:rPr>
          <w:szCs w:val="18"/>
        </w:rPr>
        <w:t xml:space="preserve"> 370</w:t>
      </w:r>
      <w:r>
        <w:rPr>
          <w:szCs w:val="18"/>
        </w:rPr>
        <w:t xml:space="preserve"> (2007)</w:t>
      </w:r>
      <w:r w:rsidRPr="00D05FE0">
        <w:rPr>
          <w:szCs w:val="18"/>
        </w:rPr>
        <w:t xml:space="preserve">, </w:t>
      </w:r>
      <w:r>
        <w:rPr>
          <w:szCs w:val="18"/>
        </w:rPr>
        <w:t xml:space="preserve">pp. </w:t>
      </w:r>
      <w:r w:rsidRPr="00D05FE0">
        <w:rPr>
          <w:szCs w:val="18"/>
        </w:rPr>
        <w:t>1164–1174.</w:t>
      </w:r>
    </w:p>
  </w:footnote>
  <w:footnote w:id="8">
    <w:p w:rsidR="00CB75BE" w:rsidRPr="00840D9F" w:rsidRDefault="00CB75BE" w:rsidP="00CB75BE">
      <w:pPr>
        <w:pStyle w:val="FootnoteText"/>
        <w:widowControl w:val="0"/>
        <w:tabs>
          <w:tab w:val="clear" w:pos="1021"/>
          <w:tab w:val="right" w:pos="1020"/>
        </w:tabs>
        <w:rPr>
          <w:szCs w:val="18"/>
        </w:rPr>
      </w:pPr>
      <w:r w:rsidRPr="00D05FE0">
        <w:rPr>
          <w:szCs w:val="18"/>
        </w:rPr>
        <w:tab/>
      </w:r>
      <w:r w:rsidRPr="00D05FE0">
        <w:rPr>
          <w:rStyle w:val="FootnoteReference"/>
          <w:szCs w:val="18"/>
        </w:rPr>
        <w:footnoteRef/>
      </w:r>
      <w:r w:rsidRPr="00D05FE0">
        <w:rPr>
          <w:szCs w:val="18"/>
        </w:rPr>
        <w:tab/>
      </w:r>
      <w:r>
        <w:rPr>
          <w:szCs w:val="18"/>
        </w:rPr>
        <w:t xml:space="preserve">See </w:t>
      </w:r>
      <w:r w:rsidRPr="00D05FE0">
        <w:rPr>
          <w:szCs w:val="18"/>
        </w:rPr>
        <w:t>WHO</w:t>
      </w:r>
      <w:r>
        <w:rPr>
          <w:szCs w:val="18"/>
        </w:rPr>
        <w:t>,</w:t>
      </w:r>
      <w:r w:rsidRPr="00D05FE0">
        <w:rPr>
          <w:szCs w:val="18"/>
        </w:rPr>
        <w:t xml:space="preserve"> “Preventing suicide — a global imperative” </w:t>
      </w:r>
      <w:r>
        <w:rPr>
          <w:szCs w:val="18"/>
        </w:rPr>
        <w:t>(</w:t>
      </w:r>
      <w:r w:rsidRPr="00D05FE0">
        <w:rPr>
          <w:szCs w:val="18"/>
        </w:rPr>
        <w:t>2014</w:t>
      </w:r>
      <w:r>
        <w:rPr>
          <w:szCs w:val="18"/>
        </w:rPr>
        <w:t>)</w:t>
      </w:r>
      <w:r w:rsidRPr="00D05FE0">
        <w:rPr>
          <w:szCs w:val="18"/>
        </w:rPr>
        <w:t>.</w:t>
      </w:r>
    </w:p>
  </w:footnote>
  <w:footnote w:id="9">
    <w:p w:rsidR="00CB75BE" w:rsidRPr="00840D9F" w:rsidRDefault="00CB75BE" w:rsidP="00CB75BE">
      <w:pPr>
        <w:pStyle w:val="FootnoteText"/>
        <w:widowControl w:val="0"/>
        <w:tabs>
          <w:tab w:val="clear" w:pos="1021"/>
          <w:tab w:val="right" w:pos="1020"/>
        </w:tabs>
        <w:rPr>
          <w:szCs w:val="18"/>
        </w:rPr>
      </w:pPr>
      <w:r w:rsidRPr="00D05FE0">
        <w:rPr>
          <w:szCs w:val="18"/>
        </w:rPr>
        <w:tab/>
      </w:r>
      <w:r w:rsidRPr="00D05FE0">
        <w:rPr>
          <w:rStyle w:val="FootnoteReference"/>
          <w:szCs w:val="18"/>
        </w:rPr>
        <w:footnoteRef/>
      </w:r>
      <w:r w:rsidRPr="00D05FE0">
        <w:rPr>
          <w:szCs w:val="18"/>
        </w:rPr>
        <w:tab/>
      </w:r>
      <w:r>
        <w:rPr>
          <w:szCs w:val="18"/>
        </w:rPr>
        <w:t>See WHO,</w:t>
      </w:r>
      <w:r w:rsidRPr="00D05FE0">
        <w:rPr>
          <w:szCs w:val="18"/>
        </w:rPr>
        <w:t xml:space="preserve"> </w:t>
      </w:r>
      <w:r w:rsidRPr="00840D9F">
        <w:rPr>
          <w:i/>
          <w:iCs/>
          <w:szCs w:val="18"/>
        </w:rPr>
        <w:t>World Health Report 2001</w:t>
      </w:r>
      <w:r w:rsidRPr="00840D9F">
        <w:rPr>
          <w:szCs w:val="18"/>
        </w:rPr>
        <w:t>.</w:t>
      </w:r>
    </w:p>
  </w:footnote>
  <w:footnote w:id="10">
    <w:p w:rsidR="00CB75BE" w:rsidRPr="00D05FE0" w:rsidRDefault="00CB75BE" w:rsidP="00CB75BE">
      <w:pPr>
        <w:pStyle w:val="FootnoteText"/>
        <w:widowControl w:val="0"/>
        <w:tabs>
          <w:tab w:val="clear" w:pos="1021"/>
          <w:tab w:val="right" w:pos="1020"/>
        </w:tabs>
        <w:rPr>
          <w:szCs w:val="18"/>
          <w:lang w:val="en-GB"/>
        </w:rPr>
      </w:pPr>
      <w:r w:rsidRPr="00D05FE0">
        <w:rPr>
          <w:szCs w:val="18"/>
        </w:rPr>
        <w:tab/>
      </w:r>
      <w:r w:rsidRPr="00D05FE0">
        <w:rPr>
          <w:rStyle w:val="FootnoteReference"/>
          <w:szCs w:val="18"/>
        </w:rPr>
        <w:footnoteRef/>
      </w:r>
      <w:r w:rsidRPr="00D05FE0">
        <w:rPr>
          <w:szCs w:val="18"/>
        </w:rPr>
        <w:tab/>
      </w:r>
      <w:r w:rsidRPr="00D05FE0">
        <w:rPr>
          <w:szCs w:val="18"/>
          <w:lang w:val="en-GB"/>
        </w:rPr>
        <w:t>U</w:t>
      </w:r>
      <w:r>
        <w:rPr>
          <w:szCs w:val="18"/>
          <w:lang w:val="en-GB"/>
        </w:rPr>
        <w:t xml:space="preserve">nited </w:t>
      </w:r>
      <w:r w:rsidRPr="00D05FE0">
        <w:rPr>
          <w:szCs w:val="18"/>
          <w:lang w:val="en-GB"/>
        </w:rPr>
        <w:t>N</w:t>
      </w:r>
      <w:r>
        <w:rPr>
          <w:szCs w:val="18"/>
          <w:lang w:val="en-GB"/>
        </w:rPr>
        <w:t>ations</w:t>
      </w:r>
      <w:r w:rsidRPr="00D05FE0">
        <w:rPr>
          <w:szCs w:val="18"/>
          <w:lang w:val="en-GB"/>
        </w:rPr>
        <w:t xml:space="preserve"> High Commissioner for Human Rights</w:t>
      </w:r>
      <w:r w:rsidRPr="00D05FE0">
        <w:rPr>
          <w:szCs w:val="18"/>
        </w:rPr>
        <w:t xml:space="preserve">, </w:t>
      </w:r>
      <w:r>
        <w:rPr>
          <w:szCs w:val="18"/>
        </w:rPr>
        <w:t>o</w:t>
      </w:r>
      <w:r w:rsidRPr="00D05FE0">
        <w:rPr>
          <w:szCs w:val="18"/>
        </w:rPr>
        <w:t>pening speech to the high</w:t>
      </w:r>
      <w:r>
        <w:rPr>
          <w:szCs w:val="18"/>
        </w:rPr>
        <w:t>-</w:t>
      </w:r>
      <w:r w:rsidRPr="00D05FE0">
        <w:rPr>
          <w:szCs w:val="18"/>
        </w:rPr>
        <w:t xml:space="preserve">level segment of the </w:t>
      </w:r>
      <w:r>
        <w:rPr>
          <w:szCs w:val="18"/>
          <w:lang w:val="en-GB"/>
        </w:rPr>
        <w:t>twenty-eighth</w:t>
      </w:r>
      <w:r w:rsidRPr="00D05FE0">
        <w:rPr>
          <w:szCs w:val="18"/>
          <w:lang w:val="en-GB"/>
        </w:rPr>
        <w:t xml:space="preserve"> session of the </w:t>
      </w:r>
      <w:r w:rsidRPr="00D05FE0">
        <w:rPr>
          <w:szCs w:val="18"/>
        </w:rPr>
        <w:t>Human Rights Council</w:t>
      </w:r>
      <w:r w:rsidRPr="00D05FE0">
        <w:rPr>
          <w:szCs w:val="18"/>
          <w:lang w:val="en-GB"/>
        </w:rPr>
        <w:t>, 2 March 2015.</w:t>
      </w:r>
    </w:p>
  </w:footnote>
  <w:footnote w:id="11">
    <w:p w:rsidR="00CB75BE" w:rsidRPr="00840D9F" w:rsidRDefault="00CB75BE" w:rsidP="00CB75BE">
      <w:pPr>
        <w:pStyle w:val="FootnoteText"/>
        <w:rPr>
          <w:szCs w:val="18"/>
        </w:rPr>
      </w:pPr>
      <w:r w:rsidRPr="00D05FE0">
        <w:rPr>
          <w:szCs w:val="18"/>
        </w:rPr>
        <w:tab/>
      </w:r>
      <w:r w:rsidRPr="00D05FE0">
        <w:rPr>
          <w:rStyle w:val="FootnoteReference"/>
          <w:szCs w:val="18"/>
        </w:rPr>
        <w:footnoteRef/>
      </w:r>
      <w:r w:rsidRPr="00840D9F">
        <w:rPr>
          <w:szCs w:val="18"/>
        </w:rPr>
        <w:tab/>
      </w:r>
      <w:r>
        <w:rPr>
          <w:szCs w:val="18"/>
        </w:rPr>
        <w:t>World Health Assembly</w:t>
      </w:r>
      <w:r w:rsidRPr="00D05FE0">
        <w:rPr>
          <w:szCs w:val="18"/>
        </w:rPr>
        <w:t xml:space="preserve"> </w:t>
      </w:r>
      <w:r>
        <w:rPr>
          <w:szCs w:val="18"/>
        </w:rPr>
        <w:t>r</w:t>
      </w:r>
      <w:r w:rsidRPr="00D05FE0">
        <w:rPr>
          <w:szCs w:val="18"/>
        </w:rPr>
        <w:t xml:space="preserve">esolution 49.25 </w:t>
      </w:r>
      <w:r w:rsidRPr="00840D9F">
        <w:rPr>
          <w:szCs w:val="18"/>
        </w:rPr>
        <w:t>(1996).</w:t>
      </w:r>
    </w:p>
  </w:footnote>
  <w:footnote w:id="12">
    <w:p w:rsidR="00CB75BE" w:rsidRPr="00D05FE0" w:rsidRDefault="00CB75BE" w:rsidP="00840D9F">
      <w:pPr>
        <w:pStyle w:val="FootnoteText"/>
        <w:rPr>
          <w:szCs w:val="18"/>
        </w:rPr>
      </w:pPr>
      <w:r w:rsidRPr="00D05FE0">
        <w:rPr>
          <w:szCs w:val="18"/>
        </w:rPr>
        <w:tab/>
      </w:r>
      <w:r w:rsidRPr="00D05FE0">
        <w:rPr>
          <w:rStyle w:val="FootnoteReference"/>
          <w:szCs w:val="18"/>
        </w:rPr>
        <w:footnoteRef/>
      </w:r>
      <w:r w:rsidRPr="00CE3E05">
        <w:rPr>
          <w:szCs w:val="18"/>
        </w:rPr>
        <w:tab/>
        <w:t>See Etienne G. Krug</w:t>
      </w:r>
      <w:r w:rsidR="000000ED" w:rsidRPr="00CE3E05">
        <w:rPr>
          <w:szCs w:val="18"/>
        </w:rPr>
        <w:t xml:space="preserve"> et al.</w:t>
      </w:r>
      <w:r w:rsidRPr="00CE3E05">
        <w:rPr>
          <w:szCs w:val="18"/>
        </w:rPr>
        <w:t xml:space="preserve"> </w:t>
      </w:r>
      <w:r>
        <w:rPr>
          <w:szCs w:val="18"/>
        </w:rPr>
        <w:t>(eds.),</w:t>
      </w:r>
      <w:r w:rsidRPr="00D05FE0">
        <w:rPr>
          <w:szCs w:val="18"/>
        </w:rPr>
        <w:t xml:space="preserve"> </w:t>
      </w:r>
      <w:r>
        <w:rPr>
          <w:szCs w:val="18"/>
        </w:rPr>
        <w:t xml:space="preserve">“World </w:t>
      </w:r>
      <w:r w:rsidRPr="00D05FE0">
        <w:rPr>
          <w:szCs w:val="18"/>
        </w:rPr>
        <w:t>report on health and violence</w:t>
      </w:r>
      <w:r>
        <w:rPr>
          <w:szCs w:val="18"/>
        </w:rPr>
        <w:t>” (WHO, Geneva, 2002).</w:t>
      </w:r>
      <w:r w:rsidRPr="00D05FE0">
        <w:rPr>
          <w:szCs w:val="18"/>
        </w:rPr>
        <w:t xml:space="preserve"> </w:t>
      </w:r>
      <w:r>
        <w:rPr>
          <w:szCs w:val="18"/>
        </w:rPr>
        <w:t>A</w:t>
      </w:r>
      <w:r w:rsidRPr="00D05FE0">
        <w:rPr>
          <w:szCs w:val="18"/>
        </w:rPr>
        <w:t xml:space="preserve">vailable </w:t>
      </w:r>
      <w:r>
        <w:rPr>
          <w:szCs w:val="18"/>
        </w:rPr>
        <w:t>from</w:t>
      </w:r>
      <w:r w:rsidRPr="00D05FE0">
        <w:rPr>
          <w:szCs w:val="18"/>
        </w:rPr>
        <w:t xml:space="preserve"> www.who.int/violence_injury_prevention/violence/world_report/en/.</w:t>
      </w:r>
    </w:p>
  </w:footnote>
  <w:footnote w:id="13">
    <w:p w:rsidR="00CB75BE" w:rsidRPr="00840D9F" w:rsidRDefault="00CB75BE" w:rsidP="006C1891">
      <w:pPr>
        <w:pStyle w:val="FootnoteText"/>
        <w:widowControl w:val="0"/>
        <w:tabs>
          <w:tab w:val="clear" w:pos="1021"/>
          <w:tab w:val="right" w:pos="1020"/>
        </w:tabs>
        <w:rPr>
          <w:szCs w:val="18"/>
        </w:rPr>
      </w:pPr>
      <w:r w:rsidRPr="00D05FE0">
        <w:rPr>
          <w:szCs w:val="18"/>
        </w:rPr>
        <w:tab/>
      </w:r>
      <w:r w:rsidRPr="00D05FE0">
        <w:rPr>
          <w:rStyle w:val="FootnoteReference"/>
          <w:szCs w:val="18"/>
        </w:rPr>
        <w:footnoteRef/>
      </w:r>
      <w:r w:rsidRPr="00D05FE0">
        <w:rPr>
          <w:szCs w:val="18"/>
        </w:rPr>
        <w:tab/>
      </w:r>
      <w:r>
        <w:rPr>
          <w:szCs w:val="18"/>
        </w:rPr>
        <w:t xml:space="preserve">See </w:t>
      </w:r>
      <w:r w:rsidRPr="00D05FE0">
        <w:rPr>
          <w:szCs w:val="18"/>
        </w:rPr>
        <w:t>Geoffrey Rose</w:t>
      </w:r>
      <w:r>
        <w:rPr>
          <w:szCs w:val="18"/>
        </w:rPr>
        <w:t>,</w:t>
      </w:r>
      <w:r w:rsidRPr="00D05FE0">
        <w:rPr>
          <w:szCs w:val="18"/>
        </w:rPr>
        <w:t xml:space="preserve"> “A large number of people exposed to al small risk may generate many more cases than a small number exposed to a high risk”, in </w:t>
      </w:r>
      <w:r w:rsidRPr="00840D9F">
        <w:rPr>
          <w:i/>
          <w:iCs/>
          <w:szCs w:val="18"/>
        </w:rPr>
        <w:t>The Strategy of Preventive Medicine</w:t>
      </w:r>
      <w:r w:rsidRPr="00D05FE0">
        <w:rPr>
          <w:szCs w:val="18"/>
        </w:rPr>
        <w:t xml:space="preserve"> </w:t>
      </w:r>
      <w:r>
        <w:rPr>
          <w:szCs w:val="18"/>
        </w:rPr>
        <w:t>(</w:t>
      </w:r>
      <w:r w:rsidRPr="00D05FE0">
        <w:rPr>
          <w:szCs w:val="18"/>
        </w:rPr>
        <w:t>Oxford University Press, 1992</w:t>
      </w:r>
      <w:r>
        <w:rPr>
          <w:szCs w:val="18"/>
        </w:rPr>
        <w:t>)</w:t>
      </w:r>
      <w:r w:rsidRPr="00D05FE0">
        <w:rPr>
          <w:szCs w:val="18"/>
        </w:rPr>
        <w:t>.</w:t>
      </w:r>
    </w:p>
  </w:footnote>
  <w:footnote w:id="14">
    <w:p w:rsidR="00CB75BE" w:rsidRPr="00840D9F" w:rsidRDefault="00CB75BE" w:rsidP="00CB75BE">
      <w:pPr>
        <w:pStyle w:val="FootnoteText"/>
        <w:widowControl w:val="0"/>
        <w:tabs>
          <w:tab w:val="clear" w:pos="1021"/>
          <w:tab w:val="right" w:pos="1020"/>
        </w:tabs>
        <w:rPr>
          <w:szCs w:val="18"/>
        </w:rPr>
      </w:pPr>
      <w:r w:rsidRPr="00D05FE0">
        <w:rPr>
          <w:szCs w:val="18"/>
        </w:rPr>
        <w:tab/>
      </w:r>
      <w:r w:rsidRPr="00D05FE0">
        <w:rPr>
          <w:rStyle w:val="FootnoteReference"/>
          <w:szCs w:val="18"/>
        </w:rPr>
        <w:footnoteRef/>
      </w:r>
      <w:r w:rsidRPr="00D05FE0">
        <w:rPr>
          <w:szCs w:val="18"/>
        </w:rPr>
        <w:tab/>
      </w:r>
      <w:r>
        <w:rPr>
          <w:szCs w:val="18"/>
        </w:rPr>
        <w:t xml:space="preserve">Dr. Charles </w:t>
      </w:r>
      <w:r w:rsidRPr="00D05FE0">
        <w:rPr>
          <w:szCs w:val="18"/>
        </w:rPr>
        <w:t>Boelen</w:t>
      </w:r>
      <w:r>
        <w:rPr>
          <w:szCs w:val="18"/>
        </w:rPr>
        <w:t>,</w:t>
      </w:r>
      <w:r w:rsidRPr="00D05FE0">
        <w:rPr>
          <w:szCs w:val="18"/>
        </w:rPr>
        <w:t xml:space="preserve"> “The five-star doctor: An asset to health care reform?” </w:t>
      </w:r>
      <w:r>
        <w:rPr>
          <w:szCs w:val="18"/>
        </w:rPr>
        <w:t>(</w:t>
      </w:r>
      <w:r w:rsidRPr="00D05FE0">
        <w:rPr>
          <w:szCs w:val="18"/>
        </w:rPr>
        <w:t>WHO</w:t>
      </w:r>
      <w:r>
        <w:rPr>
          <w:szCs w:val="18"/>
        </w:rPr>
        <w:t>, Geneva). A</w:t>
      </w:r>
      <w:r w:rsidRPr="00D05FE0">
        <w:rPr>
          <w:szCs w:val="18"/>
        </w:rPr>
        <w:t xml:space="preserve">vailable </w:t>
      </w:r>
      <w:r>
        <w:rPr>
          <w:szCs w:val="18"/>
        </w:rPr>
        <w:t>from</w:t>
      </w:r>
      <w:r w:rsidRPr="00D05FE0">
        <w:rPr>
          <w:szCs w:val="18"/>
          <w:lang w:val="en-GB"/>
        </w:rPr>
        <w:t xml:space="preserve"> </w:t>
      </w:r>
      <w:r w:rsidRPr="00D05FE0">
        <w:rPr>
          <w:szCs w:val="18"/>
        </w:rPr>
        <w:t>www.who.int/hrh/en/HRDJ_1_1_02.pdf.</w:t>
      </w:r>
    </w:p>
  </w:footnote>
  <w:footnote w:id="15">
    <w:p w:rsidR="00CB75BE" w:rsidRPr="00840D9F" w:rsidRDefault="00CB75BE" w:rsidP="00CB75BE">
      <w:pPr>
        <w:pStyle w:val="FootnoteText"/>
        <w:rPr>
          <w:szCs w:val="18"/>
          <w:u w:val="words"/>
        </w:rPr>
      </w:pPr>
      <w:r w:rsidRPr="00D05FE0">
        <w:rPr>
          <w:szCs w:val="18"/>
          <w:lang w:val="en-GB"/>
        </w:rPr>
        <w:tab/>
      </w:r>
      <w:r w:rsidRPr="00D05FE0">
        <w:rPr>
          <w:rStyle w:val="FootnoteReference"/>
          <w:szCs w:val="18"/>
        </w:rPr>
        <w:footnoteRef/>
      </w:r>
      <w:r w:rsidRPr="00D05FE0">
        <w:rPr>
          <w:szCs w:val="18"/>
          <w:lang w:val="en-GB"/>
        </w:rPr>
        <w:tab/>
      </w:r>
      <w:r>
        <w:rPr>
          <w:szCs w:val="18"/>
          <w:lang w:val="en-GB"/>
        </w:rPr>
        <w:t xml:space="preserve">See </w:t>
      </w:r>
      <w:r>
        <w:rPr>
          <w:szCs w:val="18"/>
        </w:rPr>
        <w:t>World Health Assembly</w:t>
      </w:r>
      <w:r w:rsidRPr="00840D9F">
        <w:rPr>
          <w:szCs w:val="18"/>
        </w:rPr>
        <w:t xml:space="preserve"> </w:t>
      </w:r>
      <w:r>
        <w:rPr>
          <w:szCs w:val="18"/>
        </w:rPr>
        <w:t>r</w:t>
      </w:r>
      <w:r w:rsidRPr="00840D9F">
        <w:rPr>
          <w:szCs w:val="18"/>
        </w:rPr>
        <w:t>esolution 42.39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E" w:rsidRPr="004C7BA9" w:rsidRDefault="00CB75BE">
    <w:pPr>
      <w:pStyle w:val="Header"/>
    </w:pPr>
    <w:r>
      <w:t>A/HRC/29/33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BE" w:rsidRPr="004C7BA9" w:rsidRDefault="00CB75BE" w:rsidP="004C7BA9">
    <w:pPr>
      <w:pStyle w:val="Header"/>
      <w:jc w:val="right"/>
    </w:pPr>
    <w:r>
      <w:t>A/HRC/29/33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0597E"/>
    <w:multiLevelType w:val="hybridMultilevel"/>
    <w:tmpl w:val="451E0D7E"/>
    <w:lvl w:ilvl="0" w:tplc="91AE2E7A">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nsid w:val="02C74E15"/>
    <w:multiLevelType w:val="hybridMultilevel"/>
    <w:tmpl w:val="7A22E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4B2521E"/>
    <w:multiLevelType w:val="hybridMultilevel"/>
    <w:tmpl w:val="FEB885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06A805BD"/>
    <w:multiLevelType w:val="multilevel"/>
    <w:tmpl w:val="BA8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8F466C"/>
    <w:multiLevelType w:val="hybridMultilevel"/>
    <w:tmpl w:val="30EAECE4"/>
    <w:lvl w:ilvl="0" w:tplc="B580A4A8">
      <w:start w:val="2"/>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E5402D"/>
    <w:multiLevelType w:val="hybridMultilevel"/>
    <w:tmpl w:val="AC70E7A6"/>
    <w:lvl w:ilvl="0" w:tplc="8780A7A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9F15B1F"/>
    <w:multiLevelType w:val="hybridMultilevel"/>
    <w:tmpl w:val="08D2A170"/>
    <w:lvl w:ilvl="0" w:tplc="91AE2E7A">
      <w:start w:val="2"/>
      <w:numFmt w:val="bullet"/>
      <w:lvlText w:val="-"/>
      <w:lvlJc w:val="left"/>
      <w:pPr>
        <w:ind w:left="2061" w:hanging="360"/>
      </w:pPr>
      <w:rPr>
        <w:rFonts w:ascii="Times New Roman" w:eastAsia="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1AA02F11"/>
    <w:multiLevelType w:val="hybridMultilevel"/>
    <w:tmpl w:val="FF54EC2C"/>
    <w:lvl w:ilvl="0" w:tplc="31E6C27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972E3A"/>
    <w:multiLevelType w:val="hybridMultilevel"/>
    <w:tmpl w:val="78D06976"/>
    <w:lvl w:ilvl="0" w:tplc="717E6F38">
      <w:start w:val="1"/>
      <w:numFmt w:val="decimal"/>
      <w:lvlText w:val="%1."/>
      <w:lvlJc w:val="left"/>
      <w:pPr>
        <w:tabs>
          <w:tab w:val="num" w:pos="1070"/>
        </w:tabs>
        <w:ind w:left="1070" w:hanging="360"/>
      </w:pPr>
      <w:rPr>
        <w:rFonts w:hint="default"/>
        <w:b w:val="0"/>
        <w:bCs/>
      </w:rPr>
    </w:lvl>
    <w:lvl w:ilvl="1" w:tplc="04090019">
      <w:start w:val="1"/>
      <w:numFmt w:val="lowerLetter"/>
      <w:lvlText w:val="%2."/>
      <w:lvlJc w:val="left"/>
      <w:pPr>
        <w:tabs>
          <w:tab w:val="num" w:pos="2574"/>
        </w:tabs>
        <w:ind w:left="2574" w:hanging="360"/>
      </w:pPr>
    </w:lvl>
    <w:lvl w:ilvl="2" w:tplc="674EBC78">
      <w:start w:val="1"/>
      <w:numFmt w:val="upperLetter"/>
      <w:lvlText w:val="%3."/>
      <w:lvlJc w:val="left"/>
      <w:pPr>
        <w:ind w:left="3474" w:hanging="360"/>
      </w:pPr>
      <w:rPr>
        <w:rFonts w:hint="default"/>
        <w:b w:val="0"/>
        <w:i w:val="0"/>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3">
    <w:nsid w:val="280043A1"/>
    <w:multiLevelType w:val="hybridMultilevel"/>
    <w:tmpl w:val="FE5EFAF4"/>
    <w:lvl w:ilvl="0" w:tplc="C3BC7514">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E2B06"/>
    <w:multiLevelType w:val="hybridMultilevel"/>
    <w:tmpl w:val="C284E41A"/>
    <w:lvl w:ilvl="0" w:tplc="48B22504">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B8631E3"/>
    <w:multiLevelType w:val="hybridMultilevel"/>
    <w:tmpl w:val="353A458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3DB179CB"/>
    <w:multiLevelType w:val="hybridMultilevel"/>
    <w:tmpl w:val="53706B3C"/>
    <w:lvl w:ilvl="0" w:tplc="8FECC850">
      <w:start w:val="1"/>
      <w:numFmt w:val="upperLetter"/>
      <w:lvlText w:val="%1."/>
      <w:lvlJc w:val="left"/>
      <w:pPr>
        <w:tabs>
          <w:tab w:val="num" w:pos="1211"/>
        </w:tabs>
        <w:ind w:left="1211" w:hanging="360"/>
      </w:pPr>
      <w:rPr>
        <w:rFonts w:hint="default"/>
        <w:b w:val="0"/>
        <w:bCs/>
      </w:rPr>
    </w:lvl>
    <w:lvl w:ilvl="1" w:tplc="04090019">
      <w:start w:val="1"/>
      <w:numFmt w:val="lowerLetter"/>
      <w:lvlText w:val="%2."/>
      <w:lvlJc w:val="left"/>
      <w:pPr>
        <w:tabs>
          <w:tab w:val="num" w:pos="2574"/>
        </w:tabs>
        <w:ind w:left="2574" w:hanging="360"/>
      </w:pPr>
    </w:lvl>
    <w:lvl w:ilvl="2" w:tplc="674EBC78">
      <w:start w:val="1"/>
      <w:numFmt w:val="upperLetter"/>
      <w:lvlText w:val="%3."/>
      <w:lvlJc w:val="left"/>
      <w:pPr>
        <w:ind w:left="3474" w:hanging="360"/>
      </w:pPr>
      <w:rPr>
        <w:rFonts w:hint="default"/>
        <w:b w:val="0"/>
        <w:i w:val="0"/>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nsid w:val="3E62655F"/>
    <w:multiLevelType w:val="hybridMultilevel"/>
    <w:tmpl w:val="79BC831C"/>
    <w:lvl w:ilvl="0" w:tplc="44B8C842">
      <w:start w:val="1"/>
      <w:numFmt w:val="decimal"/>
      <w:lvlText w:val="%1."/>
      <w:lvlJc w:val="left"/>
      <w:pPr>
        <w:ind w:left="72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E8B16DC"/>
    <w:multiLevelType w:val="hybridMultilevel"/>
    <w:tmpl w:val="4C2A3DA2"/>
    <w:lvl w:ilvl="0" w:tplc="5DCCB43E">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44D26655"/>
    <w:multiLevelType w:val="hybridMultilevel"/>
    <w:tmpl w:val="24A4F6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nsid w:val="46A85BE0"/>
    <w:multiLevelType w:val="hybridMultilevel"/>
    <w:tmpl w:val="AB4C054C"/>
    <w:lvl w:ilvl="0" w:tplc="2948110E">
      <w:start w:val="1"/>
      <w:numFmt w:val="upperLetter"/>
      <w:lvlText w:val="%1."/>
      <w:lvlJc w:val="left"/>
      <w:pPr>
        <w:ind w:left="1500" w:hanging="360"/>
      </w:pPr>
      <w:rPr>
        <w:rFonts w:hint="default"/>
      </w:rPr>
    </w:lvl>
    <w:lvl w:ilvl="1" w:tplc="100C0019" w:tentative="1">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22">
    <w:nsid w:val="4B385A71"/>
    <w:multiLevelType w:val="hybridMultilevel"/>
    <w:tmpl w:val="B890DD6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50075CCB"/>
    <w:multiLevelType w:val="multilevel"/>
    <w:tmpl w:val="579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9C7F96"/>
    <w:multiLevelType w:val="hybridMultilevel"/>
    <w:tmpl w:val="917E14CE"/>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553D5D19"/>
    <w:multiLevelType w:val="multilevel"/>
    <w:tmpl w:val="9E7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B61E7"/>
    <w:multiLevelType w:val="hybridMultilevel"/>
    <w:tmpl w:val="D638A022"/>
    <w:lvl w:ilvl="0" w:tplc="EB3E3CB8">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5736725C"/>
    <w:multiLevelType w:val="hybridMultilevel"/>
    <w:tmpl w:val="5ACA685E"/>
    <w:lvl w:ilvl="0" w:tplc="3A0ADF98">
      <w:start w:val="1"/>
      <w:numFmt w:val="lowerLetter"/>
      <w:lvlText w:val="(%1)"/>
      <w:lvlJc w:val="left"/>
      <w:pPr>
        <w:ind w:left="1494" w:hanging="360"/>
      </w:pPr>
      <w:rPr>
        <w:rFonts w:ascii="Times New Roman" w:eastAsia="Times New Roman" w:hAnsi="Times New Roman" w:cs="Times New Roman"/>
        <w:b/>
        <w:bCs/>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nsid w:val="59BE0879"/>
    <w:multiLevelType w:val="hybridMultilevel"/>
    <w:tmpl w:val="7414AAFC"/>
    <w:lvl w:ilvl="0" w:tplc="4F02682A">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9">
    <w:nsid w:val="5AC45AF9"/>
    <w:multiLevelType w:val="hybridMultilevel"/>
    <w:tmpl w:val="D16CD95A"/>
    <w:lvl w:ilvl="0" w:tplc="2948110E">
      <w:start w:val="1"/>
      <w:numFmt w:val="upperLetter"/>
      <w:lvlText w:val="%1."/>
      <w:lvlJc w:val="left"/>
      <w:pPr>
        <w:ind w:left="1500" w:hanging="360"/>
      </w:pPr>
      <w:rPr>
        <w:rFonts w:hint="default"/>
      </w:rPr>
    </w:lvl>
    <w:lvl w:ilvl="1" w:tplc="100C0019">
      <w:start w:val="1"/>
      <w:numFmt w:val="lowerLetter"/>
      <w:lvlText w:val="%2."/>
      <w:lvlJc w:val="left"/>
      <w:pPr>
        <w:ind w:left="2220" w:hanging="360"/>
      </w:pPr>
    </w:lvl>
    <w:lvl w:ilvl="2" w:tplc="100C001B" w:tentative="1">
      <w:start w:val="1"/>
      <w:numFmt w:val="lowerRoman"/>
      <w:lvlText w:val="%3."/>
      <w:lvlJc w:val="right"/>
      <w:pPr>
        <w:ind w:left="2940" w:hanging="180"/>
      </w:pPr>
    </w:lvl>
    <w:lvl w:ilvl="3" w:tplc="100C000F" w:tentative="1">
      <w:start w:val="1"/>
      <w:numFmt w:val="decimal"/>
      <w:lvlText w:val="%4."/>
      <w:lvlJc w:val="left"/>
      <w:pPr>
        <w:ind w:left="3660" w:hanging="360"/>
      </w:pPr>
    </w:lvl>
    <w:lvl w:ilvl="4" w:tplc="100C0019" w:tentative="1">
      <w:start w:val="1"/>
      <w:numFmt w:val="lowerLetter"/>
      <w:lvlText w:val="%5."/>
      <w:lvlJc w:val="left"/>
      <w:pPr>
        <w:ind w:left="4380" w:hanging="360"/>
      </w:pPr>
    </w:lvl>
    <w:lvl w:ilvl="5" w:tplc="100C001B" w:tentative="1">
      <w:start w:val="1"/>
      <w:numFmt w:val="lowerRoman"/>
      <w:lvlText w:val="%6."/>
      <w:lvlJc w:val="right"/>
      <w:pPr>
        <w:ind w:left="5100" w:hanging="180"/>
      </w:pPr>
    </w:lvl>
    <w:lvl w:ilvl="6" w:tplc="100C000F" w:tentative="1">
      <w:start w:val="1"/>
      <w:numFmt w:val="decimal"/>
      <w:lvlText w:val="%7."/>
      <w:lvlJc w:val="left"/>
      <w:pPr>
        <w:ind w:left="5820" w:hanging="360"/>
      </w:pPr>
    </w:lvl>
    <w:lvl w:ilvl="7" w:tplc="100C0019" w:tentative="1">
      <w:start w:val="1"/>
      <w:numFmt w:val="lowerLetter"/>
      <w:lvlText w:val="%8."/>
      <w:lvlJc w:val="left"/>
      <w:pPr>
        <w:ind w:left="6540" w:hanging="360"/>
      </w:pPr>
    </w:lvl>
    <w:lvl w:ilvl="8" w:tplc="100C001B" w:tentative="1">
      <w:start w:val="1"/>
      <w:numFmt w:val="lowerRoman"/>
      <w:lvlText w:val="%9."/>
      <w:lvlJc w:val="right"/>
      <w:pPr>
        <w:ind w:left="7260" w:hanging="180"/>
      </w:pPr>
    </w:lvl>
  </w:abstractNum>
  <w:abstractNum w:abstractNumId="30">
    <w:nsid w:val="5DDC7DF6"/>
    <w:multiLevelType w:val="hybridMultilevel"/>
    <w:tmpl w:val="7414AAFC"/>
    <w:lvl w:ilvl="0" w:tplc="4F02682A">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1">
    <w:nsid w:val="5E64756F"/>
    <w:multiLevelType w:val="hybridMultilevel"/>
    <w:tmpl w:val="7250FC88"/>
    <w:lvl w:ilvl="0" w:tplc="FA9CDB38">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nsid w:val="5E7F74C3"/>
    <w:multiLevelType w:val="hybridMultilevel"/>
    <w:tmpl w:val="7CC654B4"/>
    <w:lvl w:ilvl="0" w:tplc="6FCC5AB8">
      <w:start w:val="1"/>
      <w:numFmt w:val="upperLetter"/>
      <w:lvlText w:val="%1."/>
      <w:lvlJc w:val="left"/>
      <w:pPr>
        <w:tabs>
          <w:tab w:val="num" w:pos="1211"/>
        </w:tabs>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1137C2"/>
    <w:multiLevelType w:val="hybridMultilevel"/>
    <w:tmpl w:val="78D06976"/>
    <w:lvl w:ilvl="0" w:tplc="717E6F38">
      <w:start w:val="1"/>
      <w:numFmt w:val="decimal"/>
      <w:lvlText w:val="%1."/>
      <w:lvlJc w:val="left"/>
      <w:pPr>
        <w:tabs>
          <w:tab w:val="num" w:pos="1070"/>
        </w:tabs>
        <w:ind w:left="1070" w:hanging="360"/>
      </w:pPr>
      <w:rPr>
        <w:rFonts w:hint="default"/>
        <w:b w:val="0"/>
        <w:bCs/>
      </w:rPr>
    </w:lvl>
    <w:lvl w:ilvl="1" w:tplc="04090019">
      <w:start w:val="1"/>
      <w:numFmt w:val="lowerLetter"/>
      <w:lvlText w:val="%2."/>
      <w:lvlJc w:val="left"/>
      <w:pPr>
        <w:tabs>
          <w:tab w:val="num" w:pos="2574"/>
        </w:tabs>
        <w:ind w:left="2574" w:hanging="360"/>
      </w:pPr>
    </w:lvl>
    <w:lvl w:ilvl="2" w:tplc="674EBC78">
      <w:start w:val="1"/>
      <w:numFmt w:val="upperLetter"/>
      <w:lvlText w:val="%3."/>
      <w:lvlJc w:val="left"/>
      <w:pPr>
        <w:ind w:left="3474" w:hanging="360"/>
      </w:pPr>
      <w:rPr>
        <w:rFonts w:hint="default"/>
        <w:b w:val="0"/>
        <w:i w:val="0"/>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4">
    <w:nsid w:val="635172DA"/>
    <w:multiLevelType w:val="hybridMultilevel"/>
    <w:tmpl w:val="2E9A4A1A"/>
    <w:lvl w:ilvl="0" w:tplc="A39C21A6">
      <w:start w:val="4"/>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9373CEB"/>
    <w:multiLevelType w:val="hybridMultilevel"/>
    <w:tmpl w:val="78D06976"/>
    <w:lvl w:ilvl="0" w:tplc="717E6F38">
      <w:start w:val="1"/>
      <w:numFmt w:val="decimal"/>
      <w:lvlText w:val="%1."/>
      <w:lvlJc w:val="left"/>
      <w:pPr>
        <w:tabs>
          <w:tab w:val="num" w:pos="1070"/>
        </w:tabs>
        <w:ind w:left="1070" w:hanging="360"/>
      </w:pPr>
      <w:rPr>
        <w:rFonts w:hint="default"/>
        <w:b w:val="0"/>
        <w:bCs/>
      </w:rPr>
    </w:lvl>
    <w:lvl w:ilvl="1" w:tplc="04090019">
      <w:start w:val="1"/>
      <w:numFmt w:val="lowerLetter"/>
      <w:lvlText w:val="%2."/>
      <w:lvlJc w:val="left"/>
      <w:pPr>
        <w:tabs>
          <w:tab w:val="num" w:pos="2574"/>
        </w:tabs>
        <w:ind w:left="2574" w:hanging="360"/>
      </w:pPr>
    </w:lvl>
    <w:lvl w:ilvl="2" w:tplc="674EBC78">
      <w:start w:val="1"/>
      <w:numFmt w:val="upperLetter"/>
      <w:lvlText w:val="%3."/>
      <w:lvlJc w:val="left"/>
      <w:pPr>
        <w:ind w:left="3474" w:hanging="360"/>
      </w:pPr>
      <w:rPr>
        <w:rFonts w:hint="default"/>
        <w:b w:val="0"/>
        <w:i w:val="0"/>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7">
    <w:nsid w:val="6BAF5ADE"/>
    <w:multiLevelType w:val="hybridMultilevel"/>
    <w:tmpl w:val="2B6E65DA"/>
    <w:lvl w:ilvl="0" w:tplc="31F62C92">
      <w:start w:val="2"/>
      <w:numFmt w:val="bullet"/>
      <w:lvlText w:val="-"/>
      <w:lvlJc w:val="left"/>
      <w:pPr>
        <w:ind w:left="1494" w:hanging="360"/>
      </w:pPr>
      <w:rPr>
        <w:rFonts w:ascii="Times New Roman" w:eastAsia="Times New Roman" w:hAnsi="Times New Roman" w:cs="Times New Roman"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8">
    <w:nsid w:val="6BC3640D"/>
    <w:multiLevelType w:val="hybridMultilevel"/>
    <w:tmpl w:val="C1600EB0"/>
    <w:lvl w:ilvl="0" w:tplc="717E6F38">
      <w:start w:val="1"/>
      <w:numFmt w:val="decimal"/>
      <w:lvlText w:val="%1."/>
      <w:lvlJc w:val="left"/>
      <w:pPr>
        <w:tabs>
          <w:tab w:val="num" w:pos="1070"/>
        </w:tabs>
        <w:ind w:left="1070" w:hanging="360"/>
      </w:pPr>
      <w:rPr>
        <w:rFonts w:hint="default"/>
        <w:b w:val="0"/>
        <w:bCs/>
      </w:rPr>
    </w:lvl>
    <w:lvl w:ilvl="1" w:tplc="04090019">
      <w:start w:val="1"/>
      <w:numFmt w:val="lowerLetter"/>
      <w:lvlText w:val="%2."/>
      <w:lvlJc w:val="left"/>
      <w:pPr>
        <w:tabs>
          <w:tab w:val="num" w:pos="2574"/>
        </w:tabs>
        <w:ind w:left="2574" w:hanging="360"/>
      </w:pPr>
    </w:lvl>
    <w:lvl w:ilvl="2" w:tplc="674EBC78">
      <w:start w:val="1"/>
      <w:numFmt w:val="upperLetter"/>
      <w:lvlText w:val="%3."/>
      <w:lvlJc w:val="left"/>
      <w:pPr>
        <w:ind w:left="3474" w:hanging="360"/>
      </w:pPr>
      <w:rPr>
        <w:rFonts w:hint="default"/>
        <w:b w:val="0"/>
        <w:i w:val="0"/>
      </w:rPr>
    </w:lvl>
    <w:lvl w:ilvl="3" w:tplc="0409000F">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D9831F2"/>
    <w:multiLevelType w:val="hybridMultilevel"/>
    <w:tmpl w:val="3E6E572A"/>
    <w:lvl w:ilvl="0" w:tplc="CEA65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281B38"/>
    <w:multiLevelType w:val="hybridMultilevel"/>
    <w:tmpl w:val="F44CA3F0"/>
    <w:lvl w:ilvl="0" w:tplc="CCBCE962">
      <w:start w:val="1"/>
      <w:numFmt w:val="upp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nsid w:val="6F722B1E"/>
    <w:multiLevelType w:val="hybridMultilevel"/>
    <w:tmpl w:val="917E14CE"/>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3">
    <w:nsid w:val="7946426A"/>
    <w:multiLevelType w:val="hybridMultilevel"/>
    <w:tmpl w:val="A378AB40"/>
    <w:lvl w:ilvl="0" w:tplc="E0EEAC2C">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4">
    <w:nsid w:val="7BB9451E"/>
    <w:multiLevelType w:val="hybridMultilevel"/>
    <w:tmpl w:val="5F12ABCC"/>
    <w:lvl w:ilvl="0" w:tplc="506461D4">
      <w:start w:val="9"/>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4"/>
  </w:num>
  <w:num w:numId="2">
    <w:abstractNumId w:val="11"/>
  </w:num>
  <w:num w:numId="3">
    <w:abstractNumId w:val="39"/>
  </w:num>
  <w:num w:numId="4">
    <w:abstractNumId w:val="7"/>
  </w:num>
  <w:num w:numId="5">
    <w:abstractNumId w:val="0"/>
  </w:num>
  <w:num w:numId="6">
    <w:abstractNumId w:val="3"/>
  </w:num>
  <w:num w:numId="7">
    <w:abstractNumId w:val="35"/>
  </w:num>
  <w:num w:numId="8">
    <w:abstractNumId w:val="42"/>
  </w:num>
  <w:num w:numId="9">
    <w:abstractNumId w:val="1"/>
  </w:num>
  <w:num w:numId="10">
    <w:abstractNumId w:val="31"/>
  </w:num>
  <w:num w:numId="11">
    <w:abstractNumId w:val="6"/>
  </w:num>
  <w:num w:numId="12">
    <w:abstractNumId w:val="24"/>
  </w:num>
  <w:num w:numId="13">
    <w:abstractNumId w:val="34"/>
  </w:num>
  <w:num w:numId="14">
    <w:abstractNumId w:val="44"/>
  </w:num>
  <w:num w:numId="15">
    <w:abstractNumId w:val="18"/>
  </w:num>
  <w:num w:numId="16">
    <w:abstractNumId w:val="8"/>
  </w:num>
  <w:num w:numId="17">
    <w:abstractNumId w:val="41"/>
  </w:num>
  <w:num w:numId="18">
    <w:abstractNumId w:val="26"/>
  </w:num>
  <w:num w:numId="19">
    <w:abstractNumId w:val="9"/>
  </w:num>
  <w:num w:numId="20">
    <w:abstractNumId w:val="40"/>
  </w:num>
  <w:num w:numId="21">
    <w:abstractNumId w:val="28"/>
  </w:num>
  <w:num w:numId="22">
    <w:abstractNumId w:val="30"/>
  </w:num>
  <w:num w:numId="23">
    <w:abstractNumId w:val="37"/>
  </w:num>
  <w:num w:numId="24">
    <w:abstractNumId w:val="21"/>
  </w:num>
  <w:num w:numId="25">
    <w:abstractNumId w:val="29"/>
  </w:num>
  <w:num w:numId="26">
    <w:abstractNumId w:val="33"/>
  </w:num>
  <w:num w:numId="27">
    <w:abstractNumId w:val="19"/>
  </w:num>
  <w:num w:numId="28">
    <w:abstractNumId w:val="13"/>
  </w:num>
  <w:num w:numId="29">
    <w:abstractNumId w:val="10"/>
  </w:num>
  <w:num w:numId="30">
    <w:abstractNumId w:val="25"/>
  </w:num>
  <w:num w:numId="31">
    <w:abstractNumId w:val="2"/>
  </w:num>
  <w:num w:numId="32">
    <w:abstractNumId w:val="5"/>
  </w:num>
  <w:num w:numId="33">
    <w:abstractNumId w:val="23"/>
  </w:num>
  <w:num w:numId="34">
    <w:abstractNumId w:val="43"/>
  </w:num>
  <w:num w:numId="35">
    <w:abstractNumId w:val="17"/>
  </w:num>
  <w:num w:numId="36">
    <w:abstractNumId w:val="36"/>
  </w:num>
  <w:num w:numId="37">
    <w:abstractNumId w:val="12"/>
  </w:num>
  <w:num w:numId="38">
    <w:abstractNumId w:val="32"/>
  </w:num>
  <w:num w:numId="39">
    <w:abstractNumId w:val="27"/>
  </w:num>
  <w:num w:numId="40">
    <w:abstractNumId w:val="38"/>
  </w:num>
  <w:num w:numId="41">
    <w:abstractNumId w:val="16"/>
  </w:num>
  <w:num w:numId="42">
    <w:abstractNumId w:val="20"/>
  </w:num>
  <w:num w:numId="43">
    <w:abstractNumId w:val="22"/>
  </w:num>
  <w:num w:numId="44">
    <w:abstractNumId w:val="4"/>
  </w:num>
  <w:num w:numId="4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A9"/>
    <w:rsid w:val="000000ED"/>
    <w:rsid w:val="00003144"/>
    <w:rsid w:val="00004E96"/>
    <w:rsid w:val="00007F7F"/>
    <w:rsid w:val="000101AA"/>
    <w:rsid w:val="00011B48"/>
    <w:rsid w:val="000124FC"/>
    <w:rsid w:val="0001319B"/>
    <w:rsid w:val="00014BFD"/>
    <w:rsid w:val="00016A06"/>
    <w:rsid w:val="00017AF9"/>
    <w:rsid w:val="00020A54"/>
    <w:rsid w:val="00020DD2"/>
    <w:rsid w:val="00022DB5"/>
    <w:rsid w:val="000278B1"/>
    <w:rsid w:val="00030095"/>
    <w:rsid w:val="00030C89"/>
    <w:rsid w:val="000335EA"/>
    <w:rsid w:val="00035FBE"/>
    <w:rsid w:val="000377AF"/>
    <w:rsid w:val="00037943"/>
    <w:rsid w:val="000403D1"/>
    <w:rsid w:val="000408ED"/>
    <w:rsid w:val="00043799"/>
    <w:rsid w:val="000445F6"/>
    <w:rsid w:val="000449AA"/>
    <w:rsid w:val="00045198"/>
    <w:rsid w:val="00050F6B"/>
    <w:rsid w:val="00052C63"/>
    <w:rsid w:val="00052D61"/>
    <w:rsid w:val="00060007"/>
    <w:rsid w:val="00061082"/>
    <w:rsid w:val="0006293B"/>
    <w:rsid w:val="00065C5E"/>
    <w:rsid w:val="000724E1"/>
    <w:rsid w:val="00072C8C"/>
    <w:rsid w:val="00072ED4"/>
    <w:rsid w:val="000732B5"/>
    <w:rsid w:val="00073E70"/>
    <w:rsid w:val="00076043"/>
    <w:rsid w:val="00076D00"/>
    <w:rsid w:val="00077CF8"/>
    <w:rsid w:val="000827A5"/>
    <w:rsid w:val="000876EB"/>
    <w:rsid w:val="00091419"/>
    <w:rsid w:val="000931C0"/>
    <w:rsid w:val="0009538C"/>
    <w:rsid w:val="000963E8"/>
    <w:rsid w:val="000A07AD"/>
    <w:rsid w:val="000A0A2C"/>
    <w:rsid w:val="000A4CF1"/>
    <w:rsid w:val="000A6AC2"/>
    <w:rsid w:val="000B175B"/>
    <w:rsid w:val="000B2296"/>
    <w:rsid w:val="000B3A0F"/>
    <w:rsid w:val="000B4A3B"/>
    <w:rsid w:val="000B767D"/>
    <w:rsid w:val="000C1492"/>
    <w:rsid w:val="000C36F3"/>
    <w:rsid w:val="000C63EB"/>
    <w:rsid w:val="000C69B2"/>
    <w:rsid w:val="000C71CC"/>
    <w:rsid w:val="000D1063"/>
    <w:rsid w:val="000D1851"/>
    <w:rsid w:val="000D1B34"/>
    <w:rsid w:val="000D24AB"/>
    <w:rsid w:val="000E0415"/>
    <w:rsid w:val="000E07AE"/>
    <w:rsid w:val="000E1C9B"/>
    <w:rsid w:val="000E372D"/>
    <w:rsid w:val="000F253A"/>
    <w:rsid w:val="00100611"/>
    <w:rsid w:val="00104170"/>
    <w:rsid w:val="0010665D"/>
    <w:rsid w:val="00106FFC"/>
    <w:rsid w:val="001104C9"/>
    <w:rsid w:val="00110E84"/>
    <w:rsid w:val="00117A68"/>
    <w:rsid w:val="00121848"/>
    <w:rsid w:val="001224C3"/>
    <w:rsid w:val="0012550B"/>
    <w:rsid w:val="00126DF1"/>
    <w:rsid w:val="00130331"/>
    <w:rsid w:val="00136563"/>
    <w:rsid w:val="001368C6"/>
    <w:rsid w:val="00140C5C"/>
    <w:rsid w:val="0014282C"/>
    <w:rsid w:val="00142F6C"/>
    <w:rsid w:val="0014613B"/>
    <w:rsid w:val="00146D32"/>
    <w:rsid w:val="0015032F"/>
    <w:rsid w:val="001509BA"/>
    <w:rsid w:val="00151542"/>
    <w:rsid w:val="00155053"/>
    <w:rsid w:val="001558DD"/>
    <w:rsid w:val="001564DE"/>
    <w:rsid w:val="00160559"/>
    <w:rsid w:val="00165CB0"/>
    <w:rsid w:val="00166763"/>
    <w:rsid w:val="001701FD"/>
    <w:rsid w:val="001740EE"/>
    <w:rsid w:val="0017599A"/>
    <w:rsid w:val="00177B01"/>
    <w:rsid w:val="00183E42"/>
    <w:rsid w:val="00184BAE"/>
    <w:rsid w:val="00184F60"/>
    <w:rsid w:val="00185A94"/>
    <w:rsid w:val="00185C57"/>
    <w:rsid w:val="00186B2E"/>
    <w:rsid w:val="00186F31"/>
    <w:rsid w:val="001915F5"/>
    <w:rsid w:val="00192999"/>
    <w:rsid w:val="00195771"/>
    <w:rsid w:val="00197B59"/>
    <w:rsid w:val="001A58F8"/>
    <w:rsid w:val="001B2B78"/>
    <w:rsid w:val="001B4B04"/>
    <w:rsid w:val="001C2524"/>
    <w:rsid w:val="001C6663"/>
    <w:rsid w:val="001C7895"/>
    <w:rsid w:val="001D0EB5"/>
    <w:rsid w:val="001D10DF"/>
    <w:rsid w:val="001D23A0"/>
    <w:rsid w:val="001D26DF"/>
    <w:rsid w:val="001D5834"/>
    <w:rsid w:val="001E04B3"/>
    <w:rsid w:val="001E2790"/>
    <w:rsid w:val="001F0387"/>
    <w:rsid w:val="001F0F3B"/>
    <w:rsid w:val="001F101D"/>
    <w:rsid w:val="001F2EB4"/>
    <w:rsid w:val="001F3A07"/>
    <w:rsid w:val="001F420F"/>
    <w:rsid w:val="00201CBC"/>
    <w:rsid w:val="00205210"/>
    <w:rsid w:val="00206695"/>
    <w:rsid w:val="00207FD8"/>
    <w:rsid w:val="00211E0B"/>
    <w:rsid w:val="00211E72"/>
    <w:rsid w:val="00212C76"/>
    <w:rsid w:val="00214047"/>
    <w:rsid w:val="00214DF1"/>
    <w:rsid w:val="0022130F"/>
    <w:rsid w:val="002213CE"/>
    <w:rsid w:val="0022324E"/>
    <w:rsid w:val="00224748"/>
    <w:rsid w:val="00224826"/>
    <w:rsid w:val="00232A42"/>
    <w:rsid w:val="00235921"/>
    <w:rsid w:val="0023592E"/>
    <w:rsid w:val="00235ABC"/>
    <w:rsid w:val="00237785"/>
    <w:rsid w:val="002410DD"/>
    <w:rsid w:val="00241466"/>
    <w:rsid w:val="00241EAD"/>
    <w:rsid w:val="00243AAF"/>
    <w:rsid w:val="002462FB"/>
    <w:rsid w:val="00252085"/>
    <w:rsid w:val="00252FE3"/>
    <w:rsid w:val="00253D58"/>
    <w:rsid w:val="00254739"/>
    <w:rsid w:val="00265102"/>
    <w:rsid w:val="00265959"/>
    <w:rsid w:val="00267445"/>
    <w:rsid w:val="0027013C"/>
    <w:rsid w:val="002701FE"/>
    <w:rsid w:val="002705F1"/>
    <w:rsid w:val="00270B07"/>
    <w:rsid w:val="00276097"/>
    <w:rsid w:val="0027725F"/>
    <w:rsid w:val="00281215"/>
    <w:rsid w:val="00282619"/>
    <w:rsid w:val="00283DCA"/>
    <w:rsid w:val="00286121"/>
    <w:rsid w:val="00290BE0"/>
    <w:rsid w:val="00290D78"/>
    <w:rsid w:val="00291FC1"/>
    <w:rsid w:val="00293896"/>
    <w:rsid w:val="00293D43"/>
    <w:rsid w:val="00293F88"/>
    <w:rsid w:val="002A2449"/>
    <w:rsid w:val="002A462D"/>
    <w:rsid w:val="002A4FF3"/>
    <w:rsid w:val="002A6BD7"/>
    <w:rsid w:val="002B0032"/>
    <w:rsid w:val="002B2213"/>
    <w:rsid w:val="002B2AD3"/>
    <w:rsid w:val="002B649F"/>
    <w:rsid w:val="002B6B1E"/>
    <w:rsid w:val="002C1C96"/>
    <w:rsid w:val="002C21F0"/>
    <w:rsid w:val="002C44A3"/>
    <w:rsid w:val="002C6D67"/>
    <w:rsid w:val="002C6FC9"/>
    <w:rsid w:val="002D20AE"/>
    <w:rsid w:val="002D4424"/>
    <w:rsid w:val="002D49D8"/>
    <w:rsid w:val="002D4F8D"/>
    <w:rsid w:val="002D7239"/>
    <w:rsid w:val="002E4CB4"/>
    <w:rsid w:val="002F1FD9"/>
    <w:rsid w:val="002F2D44"/>
    <w:rsid w:val="002F3CB3"/>
    <w:rsid w:val="002F4C35"/>
    <w:rsid w:val="002F7950"/>
    <w:rsid w:val="00300997"/>
    <w:rsid w:val="00303BFF"/>
    <w:rsid w:val="00307DB7"/>
    <w:rsid w:val="003107FA"/>
    <w:rsid w:val="00312C8B"/>
    <w:rsid w:val="00313E10"/>
    <w:rsid w:val="00314AB9"/>
    <w:rsid w:val="00314EE8"/>
    <w:rsid w:val="003175ED"/>
    <w:rsid w:val="00317977"/>
    <w:rsid w:val="003200F9"/>
    <w:rsid w:val="003229D8"/>
    <w:rsid w:val="003237DD"/>
    <w:rsid w:val="003251AE"/>
    <w:rsid w:val="003307D9"/>
    <w:rsid w:val="003314D1"/>
    <w:rsid w:val="00334367"/>
    <w:rsid w:val="00335A2F"/>
    <w:rsid w:val="0034117F"/>
    <w:rsid w:val="00341937"/>
    <w:rsid w:val="0034334F"/>
    <w:rsid w:val="00343B4A"/>
    <w:rsid w:val="00346DF1"/>
    <w:rsid w:val="0035010A"/>
    <w:rsid w:val="003516F2"/>
    <w:rsid w:val="003536FD"/>
    <w:rsid w:val="003576B3"/>
    <w:rsid w:val="00357C0B"/>
    <w:rsid w:val="00357EC5"/>
    <w:rsid w:val="003659CD"/>
    <w:rsid w:val="003661DB"/>
    <w:rsid w:val="0037084B"/>
    <w:rsid w:val="00371569"/>
    <w:rsid w:val="003721B5"/>
    <w:rsid w:val="003728D4"/>
    <w:rsid w:val="0037653B"/>
    <w:rsid w:val="00376C9B"/>
    <w:rsid w:val="00377419"/>
    <w:rsid w:val="00381968"/>
    <w:rsid w:val="00382220"/>
    <w:rsid w:val="00382E2E"/>
    <w:rsid w:val="0038312C"/>
    <w:rsid w:val="00383724"/>
    <w:rsid w:val="003861D9"/>
    <w:rsid w:val="003904D3"/>
    <w:rsid w:val="00390F92"/>
    <w:rsid w:val="0039277A"/>
    <w:rsid w:val="003940DF"/>
    <w:rsid w:val="00394607"/>
    <w:rsid w:val="00395155"/>
    <w:rsid w:val="003972E0"/>
    <w:rsid w:val="003973B2"/>
    <w:rsid w:val="003975ED"/>
    <w:rsid w:val="003A0177"/>
    <w:rsid w:val="003B01D0"/>
    <w:rsid w:val="003B5714"/>
    <w:rsid w:val="003B60EC"/>
    <w:rsid w:val="003B6444"/>
    <w:rsid w:val="003C138A"/>
    <w:rsid w:val="003C2CC4"/>
    <w:rsid w:val="003C6F08"/>
    <w:rsid w:val="003D1877"/>
    <w:rsid w:val="003D4B23"/>
    <w:rsid w:val="003D5ADC"/>
    <w:rsid w:val="003D5E31"/>
    <w:rsid w:val="003E06D9"/>
    <w:rsid w:val="003E2D0B"/>
    <w:rsid w:val="003E5A3A"/>
    <w:rsid w:val="003F2D1B"/>
    <w:rsid w:val="00402F9E"/>
    <w:rsid w:val="00405C5E"/>
    <w:rsid w:val="004065AF"/>
    <w:rsid w:val="00413C4C"/>
    <w:rsid w:val="00415843"/>
    <w:rsid w:val="00420C2C"/>
    <w:rsid w:val="00424C80"/>
    <w:rsid w:val="004265FD"/>
    <w:rsid w:val="0042736B"/>
    <w:rsid w:val="004325CB"/>
    <w:rsid w:val="00432FDF"/>
    <w:rsid w:val="004349B6"/>
    <w:rsid w:val="004350B6"/>
    <w:rsid w:val="00437A75"/>
    <w:rsid w:val="004403F2"/>
    <w:rsid w:val="00443BEC"/>
    <w:rsid w:val="0044503A"/>
    <w:rsid w:val="00446DE4"/>
    <w:rsid w:val="004470E7"/>
    <w:rsid w:val="00447761"/>
    <w:rsid w:val="00450CEE"/>
    <w:rsid w:val="00451EC3"/>
    <w:rsid w:val="00454FBA"/>
    <w:rsid w:val="00457EC5"/>
    <w:rsid w:val="0046074E"/>
    <w:rsid w:val="00467BBC"/>
    <w:rsid w:val="004721B1"/>
    <w:rsid w:val="00472A21"/>
    <w:rsid w:val="0047308D"/>
    <w:rsid w:val="00473BB6"/>
    <w:rsid w:val="0047476A"/>
    <w:rsid w:val="00480659"/>
    <w:rsid w:val="00481893"/>
    <w:rsid w:val="004859EC"/>
    <w:rsid w:val="00486530"/>
    <w:rsid w:val="00496A15"/>
    <w:rsid w:val="004A1191"/>
    <w:rsid w:val="004A28E9"/>
    <w:rsid w:val="004A4DA4"/>
    <w:rsid w:val="004A6675"/>
    <w:rsid w:val="004B1013"/>
    <w:rsid w:val="004B3D40"/>
    <w:rsid w:val="004B75D2"/>
    <w:rsid w:val="004C2054"/>
    <w:rsid w:val="004C3848"/>
    <w:rsid w:val="004C6E8A"/>
    <w:rsid w:val="004C7BA9"/>
    <w:rsid w:val="004C7F5D"/>
    <w:rsid w:val="004D0984"/>
    <w:rsid w:val="004D0BE9"/>
    <w:rsid w:val="004D1140"/>
    <w:rsid w:val="004D39D3"/>
    <w:rsid w:val="004E4614"/>
    <w:rsid w:val="004E63D0"/>
    <w:rsid w:val="004E649C"/>
    <w:rsid w:val="004F150B"/>
    <w:rsid w:val="004F55ED"/>
    <w:rsid w:val="004F5CA4"/>
    <w:rsid w:val="004F6278"/>
    <w:rsid w:val="004F7CF9"/>
    <w:rsid w:val="0050168D"/>
    <w:rsid w:val="005017DD"/>
    <w:rsid w:val="00506993"/>
    <w:rsid w:val="00507704"/>
    <w:rsid w:val="00507B33"/>
    <w:rsid w:val="0051053F"/>
    <w:rsid w:val="005115F0"/>
    <w:rsid w:val="005135C9"/>
    <w:rsid w:val="00516379"/>
    <w:rsid w:val="0052176C"/>
    <w:rsid w:val="005243B7"/>
    <w:rsid w:val="00525693"/>
    <w:rsid w:val="00525A29"/>
    <w:rsid w:val="005261E5"/>
    <w:rsid w:val="00526E38"/>
    <w:rsid w:val="0052774B"/>
    <w:rsid w:val="00530AC0"/>
    <w:rsid w:val="00530B30"/>
    <w:rsid w:val="0053191E"/>
    <w:rsid w:val="0053495E"/>
    <w:rsid w:val="0053610A"/>
    <w:rsid w:val="0053665F"/>
    <w:rsid w:val="005420F2"/>
    <w:rsid w:val="00542574"/>
    <w:rsid w:val="005436AB"/>
    <w:rsid w:val="00546DBF"/>
    <w:rsid w:val="00552560"/>
    <w:rsid w:val="00553D76"/>
    <w:rsid w:val="005552B5"/>
    <w:rsid w:val="00555B5E"/>
    <w:rsid w:val="00560A0E"/>
    <w:rsid w:val="0056117B"/>
    <w:rsid w:val="00561B6B"/>
    <w:rsid w:val="0056605E"/>
    <w:rsid w:val="00567476"/>
    <w:rsid w:val="00571365"/>
    <w:rsid w:val="00571F7C"/>
    <w:rsid w:val="00574C18"/>
    <w:rsid w:val="00581AC6"/>
    <w:rsid w:val="00583058"/>
    <w:rsid w:val="005937F6"/>
    <w:rsid w:val="00594E9A"/>
    <w:rsid w:val="005A12DD"/>
    <w:rsid w:val="005A1979"/>
    <w:rsid w:val="005A2625"/>
    <w:rsid w:val="005A4950"/>
    <w:rsid w:val="005A7DB6"/>
    <w:rsid w:val="005B001F"/>
    <w:rsid w:val="005B2DFD"/>
    <w:rsid w:val="005B3DB3"/>
    <w:rsid w:val="005B4140"/>
    <w:rsid w:val="005B5E6A"/>
    <w:rsid w:val="005B6E48"/>
    <w:rsid w:val="005C2031"/>
    <w:rsid w:val="005C3BFF"/>
    <w:rsid w:val="005C5F80"/>
    <w:rsid w:val="005C6588"/>
    <w:rsid w:val="005D3AF5"/>
    <w:rsid w:val="005D5714"/>
    <w:rsid w:val="005D6660"/>
    <w:rsid w:val="005E0814"/>
    <w:rsid w:val="005E1712"/>
    <w:rsid w:val="005E2983"/>
    <w:rsid w:val="005E4DE9"/>
    <w:rsid w:val="005E60F4"/>
    <w:rsid w:val="005E6217"/>
    <w:rsid w:val="005E6877"/>
    <w:rsid w:val="005E70C9"/>
    <w:rsid w:val="005F18C5"/>
    <w:rsid w:val="005F350E"/>
    <w:rsid w:val="005F4023"/>
    <w:rsid w:val="005F76EF"/>
    <w:rsid w:val="006058E4"/>
    <w:rsid w:val="00610B16"/>
    <w:rsid w:val="00611FC4"/>
    <w:rsid w:val="00612D78"/>
    <w:rsid w:val="00614AAC"/>
    <w:rsid w:val="00614ED3"/>
    <w:rsid w:val="00615B05"/>
    <w:rsid w:val="006176FB"/>
    <w:rsid w:val="00617E3E"/>
    <w:rsid w:val="00624E79"/>
    <w:rsid w:val="00625F8F"/>
    <w:rsid w:val="0063113B"/>
    <w:rsid w:val="0063122C"/>
    <w:rsid w:val="00632088"/>
    <w:rsid w:val="00633897"/>
    <w:rsid w:val="00640B26"/>
    <w:rsid w:val="00642B7E"/>
    <w:rsid w:val="0064397F"/>
    <w:rsid w:val="006474C9"/>
    <w:rsid w:val="00653C33"/>
    <w:rsid w:val="0065710F"/>
    <w:rsid w:val="00660399"/>
    <w:rsid w:val="00661044"/>
    <w:rsid w:val="00661AD1"/>
    <w:rsid w:val="00663AB7"/>
    <w:rsid w:val="00666279"/>
    <w:rsid w:val="0066683F"/>
    <w:rsid w:val="00670741"/>
    <w:rsid w:val="00674AC7"/>
    <w:rsid w:val="00675711"/>
    <w:rsid w:val="00676B3C"/>
    <w:rsid w:val="006820CD"/>
    <w:rsid w:val="00684CC4"/>
    <w:rsid w:val="00686084"/>
    <w:rsid w:val="006860A7"/>
    <w:rsid w:val="00691242"/>
    <w:rsid w:val="00692DA5"/>
    <w:rsid w:val="00694A16"/>
    <w:rsid w:val="00696BD6"/>
    <w:rsid w:val="00697E7E"/>
    <w:rsid w:val="006A3BDA"/>
    <w:rsid w:val="006A4D9D"/>
    <w:rsid w:val="006A67E5"/>
    <w:rsid w:val="006A68A2"/>
    <w:rsid w:val="006A6B9D"/>
    <w:rsid w:val="006A7392"/>
    <w:rsid w:val="006A7FA8"/>
    <w:rsid w:val="006B0F0C"/>
    <w:rsid w:val="006B3189"/>
    <w:rsid w:val="006B68F3"/>
    <w:rsid w:val="006B79D3"/>
    <w:rsid w:val="006B7D14"/>
    <w:rsid w:val="006B7D65"/>
    <w:rsid w:val="006B7EFD"/>
    <w:rsid w:val="006C1891"/>
    <w:rsid w:val="006C43E0"/>
    <w:rsid w:val="006C572D"/>
    <w:rsid w:val="006C61C2"/>
    <w:rsid w:val="006D18A5"/>
    <w:rsid w:val="006D1D16"/>
    <w:rsid w:val="006D5663"/>
    <w:rsid w:val="006D6DA6"/>
    <w:rsid w:val="006D7469"/>
    <w:rsid w:val="006E35A6"/>
    <w:rsid w:val="006E4683"/>
    <w:rsid w:val="006E564B"/>
    <w:rsid w:val="006E74E9"/>
    <w:rsid w:val="006F13F0"/>
    <w:rsid w:val="006F3701"/>
    <w:rsid w:val="006F4415"/>
    <w:rsid w:val="006F5035"/>
    <w:rsid w:val="006F5CFC"/>
    <w:rsid w:val="006F6A31"/>
    <w:rsid w:val="00701685"/>
    <w:rsid w:val="00702958"/>
    <w:rsid w:val="007065EB"/>
    <w:rsid w:val="007144E1"/>
    <w:rsid w:val="00717357"/>
    <w:rsid w:val="00720183"/>
    <w:rsid w:val="00721271"/>
    <w:rsid w:val="0072632A"/>
    <w:rsid w:val="0072664C"/>
    <w:rsid w:val="0073018A"/>
    <w:rsid w:val="007304BA"/>
    <w:rsid w:val="00730ABB"/>
    <w:rsid w:val="00730ACE"/>
    <w:rsid w:val="00733059"/>
    <w:rsid w:val="007342BD"/>
    <w:rsid w:val="00734CAE"/>
    <w:rsid w:val="0074200B"/>
    <w:rsid w:val="00743FA2"/>
    <w:rsid w:val="007478F8"/>
    <w:rsid w:val="00750331"/>
    <w:rsid w:val="0076258E"/>
    <w:rsid w:val="0076520C"/>
    <w:rsid w:val="0076604E"/>
    <w:rsid w:val="00773070"/>
    <w:rsid w:val="00774BA5"/>
    <w:rsid w:val="00776203"/>
    <w:rsid w:val="00776B0D"/>
    <w:rsid w:val="007808D0"/>
    <w:rsid w:val="00781639"/>
    <w:rsid w:val="0078287E"/>
    <w:rsid w:val="00785502"/>
    <w:rsid w:val="00786AD8"/>
    <w:rsid w:val="00786D44"/>
    <w:rsid w:val="00791D7D"/>
    <w:rsid w:val="00795B8B"/>
    <w:rsid w:val="007A4EEC"/>
    <w:rsid w:val="007A5567"/>
    <w:rsid w:val="007A6296"/>
    <w:rsid w:val="007B0A5A"/>
    <w:rsid w:val="007B2F55"/>
    <w:rsid w:val="007B412E"/>
    <w:rsid w:val="007B55EB"/>
    <w:rsid w:val="007B6BA5"/>
    <w:rsid w:val="007C06CF"/>
    <w:rsid w:val="007C126B"/>
    <w:rsid w:val="007C1441"/>
    <w:rsid w:val="007C1B62"/>
    <w:rsid w:val="007C3390"/>
    <w:rsid w:val="007C4F4B"/>
    <w:rsid w:val="007C6995"/>
    <w:rsid w:val="007C7CBF"/>
    <w:rsid w:val="007D2CDC"/>
    <w:rsid w:val="007D4AAA"/>
    <w:rsid w:val="007D5327"/>
    <w:rsid w:val="007D673F"/>
    <w:rsid w:val="007D745A"/>
    <w:rsid w:val="007E029E"/>
    <w:rsid w:val="007E27C8"/>
    <w:rsid w:val="007E516B"/>
    <w:rsid w:val="007E715C"/>
    <w:rsid w:val="007E7952"/>
    <w:rsid w:val="007F0E65"/>
    <w:rsid w:val="007F3DA2"/>
    <w:rsid w:val="007F52E6"/>
    <w:rsid w:val="007F633B"/>
    <w:rsid w:val="007F6611"/>
    <w:rsid w:val="007F7C45"/>
    <w:rsid w:val="00810734"/>
    <w:rsid w:val="008107F6"/>
    <w:rsid w:val="00810833"/>
    <w:rsid w:val="00813021"/>
    <w:rsid w:val="00813F20"/>
    <w:rsid w:val="008155C3"/>
    <w:rsid w:val="00816C5A"/>
    <w:rsid w:val="008175E9"/>
    <w:rsid w:val="008221E3"/>
    <w:rsid w:val="0082243E"/>
    <w:rsid w:val="00823D2F"/>
    <w:rsid w:val="008242D7"/>
    <w:rsid w:val="00826FA6"/>
    <w:rsid w:val="008302CF"/>
    <w:rsid w:val="008327DA"/>
    <w:rsid w:val="00834393"/>
    <w:rsid w:val="00834AF7"/>
    <w:rsid w:val="00835EAF"/>
    <w:rsid w:val="00840D9F"/>
    <w:rsid w:val="0084537A"/>
    <w:rsid w:val="008479E1"/>
    <w:rsid w:val="00856CD2"/>
    <w:rsid w:val="00860296"/>
    <w:rsid w:val="008614FA"/>
    <w:rsid w:val="008615E3"/>
    <w:rsid w:val="00861BC6"/>
    <w:rsid w:val="00867129"/>
    <w:rsid w:val="00867FB7"/>
    <w:rsid w:val="00871FD5"/>
    <w:rsid w:val="00872099"/>
    <w:rsid w:val="00874845"/>
    <w:rsid w:val="0087554E"/>
    <w:rsid w:val="00877122"/>
    <w:rsid w:val="00877165"/>
    <w:rsid w:val="00877420"/>
    <w:rsid w:val="008842F4"/>
    <w:rsid w:val="008902B9"/>
    <w:rsid w:val="00894502"/>
    <w:rsid w:val="008949FD"/>
    <w:rsid w:val="00895B70"/>
    <w:rsid w:val="008979B1"/>
    <w:rsid w:val="008A0770"/>
    <w:rsid w:val="008A2357"/>
    <w:rsid w:val="008A6B25"/>
    <w:rsid w:val="008A6C4F"/>
    <w:rsid w:val="008A7666"/>
    <w:rsid w:val="008B042E"/>
    <w:rsid w:val="008B072C"/>
    <w:rsid w:val="008B0FF7"/>
    <w:rsid w:val="008B20CA"/>
    <w:rsid w:val="008B4716"/>
    <w:rsid w:val="008B494C"/>
    <w:rsid w:val="008B5BB9"/>
    <w:rsid w:val="008C1E4D"/>
    <w:rsid w:val="008C248B"/>
    <w:rsid w:val="008C28C8"/>
    <w:rsid w:val="008C3672"/>
    <w:rsid w:val="008C5DC7"/>
    <w:rsid w:val="008C5E8F"/>
    <w:rsid w:val="008D26F3"/>
    <w:rsid w:val="008D29D4"/>
    <w:rsid w:val="008D52B2"/>
    <w:rsid w:val="008D7619"/>
    <w:rsid w:val="008D7D90"/>
    <w:rsid w:val="008E0E46"/>
    <w:rsid w:val="008E231B"/>
    <w:rsid w:val="00901A25"/>
    <w:rsid w:val="00904182"/>
    <w:rsid w:val="0090452C"/>
    <w:rsid w:val="00907C3F"/>
    <w:rsid w:val="00911F2E"/>
    <w:rsid w:val="00912F5D"/>
    <w:rsid w:val="0091390B"/>
    <w:rsid w:val="009178E8"/>
    <w:rsid w:val="00920209"/>
    <w:rsid w:val="0092237C"/>
    <w:rsid w:val="00923E90"/>
    <w:rsid w:val="00936D1E"/>
    <w:rsid w:val="0093707B"/>
    <w:rsid w:val="00937848"/>
    <w:rsid w:val="009400EB"/>
    <w:rsid w:val="009427E3"/>
    <w:rsid w:val="00946DD1"/>
    <w:rsid w:val="00947F84"/>
    <w:rsid w:val="0095417A"/>
    <w:rsid w:val="009554A0"/>
    <w:rsid w:val="00956A54"/>
    <w:rsid w:val="00956B2E"/>
    <w:rsid w:val="00956D9B"/>
    <w:rsid w:val="00962C70"/>
    <w:rsid w:val="0096322E"/>
    <w:rsid w:val="00963775"/>
    <w:rsid w:val="00963AB1"/>
    <w:rsid w:val="00963CBA"/>
    <w:rsid w:val="00964E29"/>
    <w:rsid w:val="00965220"/>
    <w:rsid w:val="009654B7"/>
    <w:rsid w:val="00967AB9"/>
    <w:rsid w:val="00971995"/>
    <w:rsid w:val="009753DB"/>
    <w:rsid w:val="0098188B"/>
    <w:rsid w:val="00982869"/>
    <w:rsid w:val="009832CA"/>
    <w:rsid w:val="0099045B"/>
    <w:rsid w:val="00990673"/>
    <w:rsid w:val="00991261"/>
    <w:rsid w:val="00992A28"/>
    <w:rsid w:val="00994382"/>
    <w:rsid w:val="00994504"/>
    <w:rsid w:val="00996141"/>
    <w:rsid w:val="00996405"/>
    <w:rsid w:val="00997136"/>
    <w:rsid w:val="009A033F"/>
    <w:rsid w:val="009A0B83"/>
    <w:rsid w:val="009A362B"/>
    <w:rsid w:val="009A412D"/>
    <w:rsid w:val="009A4669"/>
    <w:rsid w:val="009B1106"/>
    <w:rsid w:val="009B3800"/>
    <w:rsid w:val="009B3DF4"/>
    <w:rsid w:val="009B63E8"/>
    <w:rsid w:val="009D10AF"/>
    <w:rsid w:val="009D22AC"/>
    <w:rsid w:val="009D27CC"/>
    <w:rsid w:val="009D50DB"/>
    <w:rsid w:val="009D5E10"/>
    <w:rsid w:val="009D64B5"/>
    <w:rsid w:val="009E016C"/>
    <w:rsid w:val="009E1C4E"/>
    <w:rsid w:val="009E51A5"/>
    <w:rsid w:val="009F03C2"/>
    <w:rsid w:val="009F3A94"/>
    <w:rsid w:val="009F619F"/>
    <w:rsid w:val="009F68E4"/>
    <w:rsid w:val="009F6AF6"/>
    <w:rsid w:val="009F6C20"/>
    <w:rsid w:val="009F7C52"/>
    <w:rsid w:val="00A000C4"/>
    <w:rsid w:val="00A04ABE"/>
    <w:rsid w:val="00A05605"/>
    <w:rsid w:val="00A05E0B"/>
    <w:rsid w:val="00A123CD"/>
    <w:rsid w:val="00A1427D"/>
    <w:rsid w:val="00A20385"/>
    <w:rsid w:val="00A22935"/>
    <w:rsid w:val="00A27592"/>
    <w:rsid w:val="00A328A5"/>
    <w:rsid w:val="00A328AC"/>
    <w:rsid w:val="00A32BD5"/>
    <w:rsid w:val="00A331A3"/>
    <w:rsid w:val="00A35F6C"/>
    <w:rsid w:val="00A37269"/>
    <w:rsid w:val="00A403EC"/>
    <w:rsid w:val="00A4634F"/>
    <w:rsid w:val="00A4732A"/>
    <w:rsid w:val="00A51CF3"/>
    <w:rsid w:val="00A51E1E"/>
    <w:rsid w:val="00A53A4A"/>
    <w:rsid w:val="00A564A1"/>
    <w:rsid w:val="00A571DF"/>
    <w:rsid w:val="00A60F09"/>
    <w:rsid w:val="00A63DE7"/>
    <w:rsid w:val="00A70299"/>
    <w:rsid w:val="00A7039A"/>
    <w:rsid w:val="00A70B9E"/>
    <w:rsid w:val="00A72F22"/>
    <w:rsid w:val="00A748A6"/>
    <w:rsid w:val="00A76860"/>
    <w:rsid w:val="00A77825"/>
    <w:rsid w:val="00A85B4F"/>
    <w:rsid w:val="00A86CC4"/>
    <w:rsid w:val="00A879A4"/>
    <w:rsid w:val="00A87E95"/>
    <w:rsid w:val="00A92E29"/>
    <w:rsid w:val="00A93C02"/>
    <w:rsid w:val="00A966E2"/>
    <w:rsid w:val="00AA1700"/>
    <w:rsid w:val="00AA2AC3"/>
    <w:rsid w:val="00AA4D52"/>
    <w:rsid w:val="00AB2009"/>
    <w:rsid w:val="00AB208F"/>
    <w:rsid w:val="00AB2568"/>
    <w:rsid w:val="00AB43A2"/>
    <w:rsid w:val="00AC5430"/>
    <w:rsid w:val="00AC77E7"/>
    <w:rsid w:val="00AD09E9"/>
    <w:rsid w:val="00AD2EA4"/>
    <w:rsid w:val="00AD46D5"/>
    <w:rsid w:val="00AD4E9A"/>
    <w:rsid w:val="00AE1385"/>
    <w:rsid w:val="00AE14DA"/>
    <w:rsid w:val="00AE281C"/>
    <w:rsid w:val="00AE50D4"/>
    <w:rsid w:val="00AF0576"/>
    <w:rsid w:val="00AF0671"/>
    <w:rsid w:val="00AF3829"/>
    <w:rsid w:val="00AF4097"/>
    <w:rsid w:val="00AF483E"/>
    <w:rsid w:val="00AF58FF"/>
    <w:rsid w:val="00AF6ED5"/>
    <w:rsid w:val="00B007ED"/>
    <w:rsid w:val="00B02C1F"/>
    <w:rsid w:val="00B02D72"/>
    <w:rsid w:val="00B02FB8"/>
    <w:rsid w:val="00B03600"/>
    <w:rsid w:val="00B037F0"/>
    <w:rsid w:val="00B04F9D"/>
    <w:rsid w:val="00B16361"/>
    <w:rsid w:val="00B223C1"/>
    <w:rsid w:val="00B22AB9"/>
    <w:rsid w:val="00B2327D"/>
    <w:rsid w:val="00B238F6"/>
    <w:rsid w:val="00B253EB"/>
    <w:rsid w:val="00B25CF4"/>
    <w:rsid w:val="00B2718F"/>
    <w:rsid w:val="00B275AF"/>
    <w:rsid w:val="00B30179"/>
    <w:rsid w:val="00B30D61"/>
    <w:rsid w:val="00B3317B"/>
    <w:rsid w:val="00B334DC"/>
    <w:rsid w:val="00B347BB"/>
    <w:rsid w:val="00B35ED5"/>
    <w:rsid w:val="00B35EE0"/>
    <w:rsid w:val="00B3631A"/>
    <w:rsid w:val="00B36EED"/>
    <w:rsid w:val="00B4453B"/>
    <w:rsid w:val="00B463E8"/>
    <w:rsid w:val="00B50687"/>
    <w:rsid w:val="00B5111E"/>
    <w:rsid w:val="00B5120A"/>
    <w:rsid w:val="00B5129E"/>
    <w:rsid w:val="00B514BB"/>
    <w:rsid w:val="00B53013"/>
    <w:rsid w:val="00B56536"/>
    <w:rsid w:val="00B57080"/>
    <w:rsid w:val="00B60A28"/>
    <w:rsid w:val="00B61453"/>
    <w:rsid w:val="00B615E9"/>
    <w:rsid w:val="00B61845"/>
    <w:rsid w:val="00B61F25"/>
    <w:rsid w:val="00B63B15"/>
    <w:rsid w:val="00B64D4C"/>
    <w:rsid w:val="00B67F5E"/>
    <w:rsid w:val="00B73E65"/>
    <w:rsid w:val="00B74EDD"/>
    <w:rsid w:val="00B76FD9"/>
    <w:rsid w:val="00B77BBA"/>
    <w:rsid w:val="00B81DEA"/>
    <w:rsid w:val="00B81E12"/>
    <w:rsid w:val="00B82A96"/>
    <w:rsid w:val="00B87110"/>
    <w:rsid w:val="00B87124"/>
    <w:rsid w:val="00B945DF"/>
    <w:rsid w:val="00B960AF"/>
    <w:rsid w:val="00B971BA"/>
    <w:rsid w:val="00B97FA8"/>
    <w:rsid w:val="00BA6AB6"/>
    <w:rsid w:val="00BB268A"/>
    <w:rsid w:val="00BB5CFE"/>
    <w:rsid w:val="00BB637D"/>
    <w:rsid w:val="00BB773A"/>
    <w:rsid w:val="00BC0818"/>
    <w:rsid w:val="00BC1385"/>
    <w:rsid w:val="00BC194F"/>
    <w:rsid w:val="00BC74E9"/>
    <w:rsid w:val="00BD4C95"/>
    <w:rsid w:val="00BD7042"/>
    <w:rsid w:val="00BE1539"/>
    <w:rsid w:val="00BE34DB"/>
    <w:rsid w:val="00BE618E"/>
    <w:rsid w:val="00BF021B"/>
    <w:rsid w:val="00BF5F3F"/>
    <w:rsid w:val="00C00339"/>
    <w:rsid w:val="00C00DB6"/>
    <w:rsid w:val="00C02F5E"/>
    <w:rsid w:val="00C0638B"/>
    <w:rsid w:val="00C07AC8"/>
    <w:rsid w:val="00C125EC"/>
    <w:rsid w:val="00C16E9B"/>
    <w:rsid w:val="00C1700D"/>
    <w:rsid w:val="00C2225D"/>
    <w:rsid w:val="00C24693"/>
    <w:rsid w:val="00C2657D"/>
    <w:rsid w:val="00C26672"/>
    <w:rsid w:val="00C33D22"/>
    <w:rsid w:val="00C35F0B"/>
    <w:rsid w:val="00C44465"/>
    <w:rsid w:val="00C45D7D"/>
    <w:rsid w:val="00C463DD"/>
    <w:rsid w:val="00C4703B"/>
    <w:rsid w:val="00C51383"/>
    <w:rsid w:val="00C52723"/>
    <w:rsid w:val="00C6206E"/>
    <w:rsid w:val="00C625BF"/>
    <w:rsid w:val="00C64458"/>
    <w:rsid w:val="00C65CB7"/>
    <w:rsid w:val="00C745C3"/>
    <w:rsid w:val="00C746A6"/>
    <w:rsid w:val="00C75D8F"/>
    <w:rsid w:val="00C75E4D"/>
    <w:rsid w:val="00C77655"/>
    <w:rsid w:val="00C93294"/>
    <w:rsid w:val="00C93AA7"/>
    <w:rsid w:val="00C94185"/>
    <w:rsid w:val="00CA0DC2"/>
    <w:rsid w:val="00CA2A58"/>
    <w:rsid w:val="00CA5C7B"/>
    <w:rsid w:val="00CB090F"/>
    <w:rsid w:val="00CB49E0"/>
    <w:rsid w:val="00CB5064"/>
    <w:rsid w:val="00CB60A7"/>
    <w:rsid w:val="00CB75BE"/>
    <w:rsid w:val="00CC0B55"/>
    <w:rsid w:val="00CC36F2"/>
    <w:rsid w:val="00CC388E"/>
    <w:rsid w:val="00CC5797"/>
    <w:rsid w:val="00CC7D94"/>
    <w:rsid w:val="00CD181F"/>
    <w:rsid w:val="00CD320E"/>
    <w:rsid w:val="00CD5635"/>
    <w:rsid w:val="00CD6995"/>
    <w:rsid w:val="00CD6A94"/>
    <w:rsid w:val="00CE3E05"/>
    <w:rsid w:val="00CE4A8F"/>
    <w:rsid w:val="00CF0214"/>
    <w:rsid w:val="00CF3C74"/>
    <w:rsid w:val="00CF586F"/>
    <w:rsid w:val="00CF7D43"/>
    <w:rsid w:val="00D01689"/>
    <w:rsid w:val="00D02168"/>
    <w:rsid w:val="00D05FE0"/>
    <w:rsid w:val="00D1053C"/>
    <w:rsid w:val="00D11129"/>
    <w:rsid w:val="00D14848"/>
    <w:rsid w:val="00D15E78"/>
    <w:rsid w:val="00D163D1"/>
    <w:rsid w:val="00D2031B"/>
    <w:rsid w:val="00D22332"/>
    <w:rsid w:val="00D226FD"/>
    <w:rsid w:val="00D25FE2"/>
    <w:rsid w:val="00D26600"/>
    <w:rsid w:val="00D26693"/>
    <w:rsid w:val="00D41D5D"/>
    <w:rsid w:val="00D43252"/>
    <w:rsid w:val="00D434CF"/>
    <w:rsid w:val="00D436DC"/>
    <w:rsid w:val="00D46195"/>
    <w:rsid w:val="00D4753E"/>
    <w:rsid w:val="00D50F61"/>
    <w:rsid w:val="00D550F9"/>
    <w:rsid w:val="00D552CC"/>
    <w:rsid w:val="00D56131"/>
    <w:rsid w:val="00D572B0"/>
    <w:rsid w:val="00D62E90"/>
    <w:rsid w:val="00D630F1"/>
    <w:rsid w:val="00D71A3A"/>
    <w:rsid w:val="00D72614"/>
    <w:rsid w:val="00D75AAB"/>
    <w:rsid w:val="00D75EAB"/>
    <w:rsid w:val="00D76BE5"/>
    <w:rsid w:val="00D83ADB"/>
    <w:rsid w:val="00D90646"/>
    <w:rsid w:val="00D90D7D"/>
    <w:rsid w:val="00D91099"/>
    <w:rsid w:val="00D921AD"/>
    <w:rsid w:val="00D92FC2"/>
    <w:rsid w:val="00D9307D"/>
    <w:rsid w:val="00D9394A"/>
    <w:rsid w:val="00D94D7A"/>
    <w:rsid w:val="00D97378"/>
    <w:rsid w:val="00D978C6"/>
    <w:rsid w:val="00DA2DCA"/>
    <w:rsid w:val="00DA67AD"/>
    <w:rsid w:val="00DB016C"/>
    <w:rsid w:val="00DB0B7F"/>
    <w:rsid w:val="00DB18CE"/>
    <w:rsid w:val="00DB6E51"/>
    <w:rsid w:val="00DB7113"/>
    <w:rsid w:val="00DC2060"/>
    <w:rsid w:val="00DC3A47"/>
    <w:rsid w:val="00DC44E1"/>
    <w:rsid w:val="00DC7749"/>
    <w:rsid w:val="00DD281B"/>
    <w:rsid w:val="00DE2C56"/>
    <w:rsid w:val="00DE2DD2"/>
    <w:rsid w:val="00DE3EC0"/>
    <w:rsid w:val="00DE5939"/>
    <w:rsid w:val="00DE6CC6"/>
    <w:rsid w:val="00DE7FD1"/>
    <w:rsid w:val="00DF16BA"/>
    <w:rsid w:val="00DF1891"/>
    <w:rsid w:val="00E039E6"/>
    <w:rsid w:val="00E049CE"/>
    <w:rsid w:val="00E053C1"/>
    <w:rsid w:val="00E0722D"/>
    <w:rsid w:val="00E11438"/>
    <w:rsid w:val="00E11593"/>
    <w:rsid w:val="00E12B6B"/>
    <w:rsid w:val="00E130AB"/>
    <w:rsid w:val="00E14AA2"/>
    <w:rsid w:val="00E15A33"/>
    <w:rsid w:val="00E1661C"/>
    <w:rsid w:val="00E17BAB"/>
    <w:rsid w:val="00E25ACE"/>
    <w:rsid w:val="00E27166"/>
    <w:rsid w:val="00E2782E"/>
    <w:rsid w:val="00E36F78"/>
    <w:rsid w:val="00E37DFA"/>
    <w:rsid w:val="00E406AA"/>
    <w:rsid w:val="00E438D9"/>
    <w:rsid w:val="00E477F1"/>
    <w:rsid w:val="00E5644E"/>
    <w:rsid w:val="00E57CC3"/>
    <w:rsid w:val="00E6504B"/>
    <w:rsid w:val="00E65292"/>
    <w:rsid w:val="00E66B6C"/>
    <w:rsid w:val="00E7260F"/>
    <w:rsid w:val="00E73CE1"/>
    <w:rsid w:val="00E73F0E"/>
    <w:rsid w:val="00E806EE"/>
    <w:rsid w:val="00E81476"/>
    <w:rsid w:val="00E82203"/>
    <w:rsid w:val="00E848BF"/>
    <w:rsid w:val="00E851D3"/>
    <w:rsid w:val="00E85A5C"/>
    <w:rsid w:val="00E871BE"/>
    <w:rsid w:val="00E878F8"/>
    <w:rsid w:val="00E924AC"/>
    <w:rsid w:val="00E936BF"/>
    <w:rsid w:val="00E963F8"/>
    <w:rsid w:val="00E96630"/>
    <w:rsid w:val="00E96BE6"/>
    <w:rsid w:val="00E97B23"/>
    <w:rsid w:val="00EA09C4"/>
    <w:rsid w:val="00EA2A01"/>
    <w:rsid w:val="00EA323E"/>
    <w:rsid w:val="00EA3DE1"/>
    <w:rsid w:val="00EB01DE"/>
    <w:rsid w:val="00EB0FB9"/>
    <w:rsid w:val="00EB7B28"/>
    <w:rsid w:val="00EC1C41"/>
    <w:rsid w:val="00EC4BBB"/>
    <w:rsid w:val="00EC7F71"/>
    <w:rsid w:val="00ED0CA9"/>
    <w:rsid w:val="00ED1237"/>
    <w:rsid w:val="00ED2D5D"/>
    <w:rsid w:val="00ED7A2A"/>
    <w:rsid w:val="00EE4D62"/>
    <w:rsid w:val="00EE664E"/>
    <w:rsid w:val="00EE6B6A"/>
    <w:rsid w:val="00EF1D7F"/>
    <w:rsid w:val="00EF2340"/>
    <w:rsid w:val="00EF2661"/>
    <w:rsid w:val="00EF5BDB"/>
    <w:rsid w:val="00EF5E46"/>
    <w:rsid w:val="00F01671"/>
    <w:rsid w:val="00F0293B"/>
    <w:rsid w:val="00F0518C"/>
    <w:rsid w:val="00F073F7"/>
    <w:rsid w:val="00F07FD9"/>
    <w:rsid w:val="00F12530"/>
    <w:rsid w:val="00F17632"/>
    <w:rsid w:val="00F22201"/>
    <w:rsid w:val="00F23933"/>
    <w:rsid w:val="00F24090"/>
    <w:rsid w:val="00F24119"/>
    <w:rsid w:val="00F2451F"/>
    <w:rsid w:val="00F307BB"/>
    <w:rsid w:val="00F326B0"/>
    <w:rsid w:val="00F40E75"/>
    <w:rsid w:val="00F40ECD"/>
    <w:rsid w:val="00F42CD9"/>
    <w:rsid w:val="00F45B03"/>
    <w:rsid w:val="00F52936"/>
    <w:rsid w:val="00F53E07"/>
    <w:rsid w:val="00F559FC"/>
    <w:rsid w:val="00F57970"/>
    <w:rsid w:val="00F57A3E"/>
    <w:rsid w:val="00F63314"/>
    <w:rsid w:val="00F64EA6"/>
    <w:rsid w:val="00F677CB"/>
    <w:rsid w:val="00F70832"/>
    <w:rsid w:val="00F84BEC"/>
    <w:rsid w:val="00F92750"/>
    <w:rsid w:val="00FA16E0"/>
    <w:rsid w:val="00FA7DF3"/>
    <w:rsid w:val="00FB38D1"/>
    <w:rsid w:val="00FB3E02"/>
    <w:rsid w:val="00FB617C"/>
    <w:rsid w:val="00FB6396"/>
    <w:rsid w:val="00FB7AAC"/>
    <w:rsid w:val="00FC0E9A"/>
    <w:rsid w:val="00FC4F80"/>
    <w:rsid w:val="00FC68B7"/>
    <w:rsid w:val="00FC7148"/>
    <w:rsid w:val="00FD0B9B"/>
    <w:rsid w:val="00FD0CA2"/>
    <w:rsid w:val="00FD2404"/>
    <w:rsid w:val="00FD2FC6"/>
    <w:rsid w:val="00FD7C12"/>
    <w:rsid w:val="00FE7F64"/>
    <w:rsid w:val="00FF3B36"/>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rPr>
      <w:lang w:val="x-none"/>
    </w:r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rPr>
      <w:lang w:val="x-none"/>
    </w:rPr>
  </w:style>
  <w:style w:type="paragraph" w:styleId="Heading5">
    <w:name w:val="heading 5"/>
    <w:basedOn w:val="Normal"/>
    <w:next w:val="Normal"/>
    <w:link w:val="Heading5Char"/>
    <w:qFormat/>
    <w:rsid w:val="00CF0214"/>
    <w:pPr>
      <w:spacing w:line="240" w:lineRule="auto"/>
      <w:outlineLvl w:val="4"/>
    </w:pPr>
    <w:rPr>
      <w:lang w:val="x-none"/>
    </w:rPr>
  </w:style>
  <w:style w:type="paragraph" w:styleId="Heading6">
    <w:name w:val="heading 6"/>
    <w:basedOn w:val="Normal"/>
    <w:next w:val="Normal"/>
    <w:link w:val="Heading6Char"/>
    <w:qFormat/>
    <w:rsid w:val="00CF0214"/>
    <w:pPr>
      <w:spacing w:line="240" w:lineRule="auto"/>
      <w:outlineLvl w:val="5"/>
    </w:pPr>
    <w:rPr>
      <w:lang w:val="x-none"/>
    </w:rPr>
  </w:style>
  <w:style w:type="paragraph" w:styleId="Heading7">
    <w:name w:val="heading 7"/>
    <w:basedOn w:val="Normal"/>
    <w:next w:val="Normal"/>
    <w:link w:val="Heading7Char"/>
    <w:qFormat/>
    <w:rsid w:val="00CF0214"/>
    <w:pPr>
      <w:spacing w:line="240" w:lineRule="auto"/>
      <w:outlineLvl w:val="6"/>
    </w:pPr>
    <w:rPr>
      <w:lang w:val="x-none"/>
    </w:rPr>
  </w:style>
  <w:style w:type="paragraph" w:styleId="Heading8">
    <w:name w:val="heading 8"/>
    <w:basedOn w:val="Normal"/>
    <w:next w:val="Normal"/>
    <w:link w:val="Heading8Char"/>
    <w:qFormat/>
    <w:rsid w:val="00CF0214"/>
    <w:pPr>
      <w:spacing w:line="240" w:lineRule="auto"/>
      <w:outlineLvl w:val="7"/>
    </w:pPr>
    <w:rPr>
      <w:lang w:val="x-none"/>
    </w:rPr>
  </w:style>
  <w:style w:type="paragraph" w:styleId="Heading9">
    <w:name w:val="heading 9"/>
    <w:basedOn w:val="Normal"/>
    <w:next w:val="Normal"/>
    <w:link w:val="Heading9Char"/>
    <w:qFormat/>
    <w:rsid w:val="00CF0214"/>
    <w:pPr>
      <w:spacing w:line="240" w:lineRule="auto"/>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E5A3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3E5A3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4C7BA9"/>
    <w:rPr>
      <w:lang w:eastAsia="en-US"/>
    </w:rPr>
  </w:style>
  <w:style w:type="character" w:customStyle="1" w:styleId="Heading2Char">
    <w:name w:val="Heading 2 Char"/>
    <w:link w:val="Heading2"/>
    <w:rsid w:val="004C7BA9"/>
    <w:rPr>
      <w:lang w:eastAsia="en-US"/>
    </w:rPr>
  </w:style>
  <w:style w:type="character" w:customStyle="1" w:styleId="Heading3Char">
    <w:name w:val="Heading 3 Char"/>
    <w:link w:val="Heading3"/>
    <w:rsid w:val="004C7BA9"/>
    <w:rPr>
      <w:lang w:eastAsia="en-US"/>
    </w:rPr>
  </w:style>
  <w:style w:type="character" w:customStyle="1" w:styleId="Heading4Char">
    <w:name w:val="Heading 4 Char"/>
    <w:link w:val="Heading4"/>
    <w:rsid w:val="004C7BA9"/>
    <w:rPr>
      <w:lang w:eastAsia="en-US"/>
    </w:rPr>
  </w:style>
  <w:style w:type="character" w:customStyle="1" w:styleId="Heading5Char">
    <w:name w:val="Heading 5 Char"/>
    <w:link w:val="Heading5"/>
    <w:rsid w:val="004C7BA9"/>
    <w:rPr>
      <w:lang w:eastAsia="en-US"/>
    </w:rPr>
  </w:style>
  <w:style w:type="character" w:customStyle="1" w:styleId="Heading6Char">
    <w:name w:val="Heading 6 Char"/>
    <w:link w:val="Heading6"/>
    <w:rsid w:val="004C7BA9"/>
    <w:rPr>
      <w:lang w:eastAsia="en-US"/>
    </w:rPr>
  </w:style>
  <w:style w:type="character" w:customStyle="1" w:styleId="Heading7Char">
    <w:name w:val="Heading 7 Char"/>
    <w:link w:val="Heading7"/>
    <w:rsid w:val="004C7BA9"/>
    <w:rPr>
      <w:lang w:eastAsia="en-US"/>
    </w:rPr>
  </w:style>
  <w:style w:type="character" w:customStyle="1" w:styleId="Heading8Char">
    <w:name w:val="Heading 8 Char"/>
    <w:link w:val="Heading8"/>
    <w:rsid w:val="004C7BA9"/>
    <w:rPr>
      <w:lang w:eastAsia="en-US"/>
    </w:rPr>
  </w:style>
  <w:style w:type="character" w:customStyle="1" w:styleId="Heading9Char">
    <w:name w:val="Heading 9 Char"/>
    <w:link w:val="Heading9"/>
    <w:rsid w:val="004C7BA9"/>
    <w:rPr>
      <w:lang w:eastAsia="en-US"/>
    </w:rPr>
  </w:style>
  <w:style w:type="character" w:customStyle="1" w:styleId="HeaderChar">
    <w:name w:val="Header Char"/>
    <w:aliases w:val="6_G Char"/>
    <w:link w:val="Header"/>
    <w:rsid w:val="004C7BA9"/>
    <w:rPr>
      <w:b/>
      <w:sz w:val="18"/>
      <w:lang w:eastAsia="en-US"/>
    </w:rPr>
  </w:style>
  <w:style w:type="character" w:customStyle="1" w:styleId="FootnoteTextChar">
    <w:name w:val="Footnote Text Char"/>
    <w:aliases w:val="5_G Char"/>
    <w:link w:val="FootnoteText"/>
    <w:rsid w:val="004C7BA9"/>
    <w:rPr>
      <w:rFonts w:eastAsia="SimSun"/>
      <w:sz w:val="18"/>
    </w:rPr>
  </w:style>
  <w:style w:type="character" w:customStyle="1" w:styleId="EndnoteTextChar">
    <w:name w:val="Endnote Text Char"/>
    <w:aliases w:val="2_G Char"/>
    <w:link w:val="EndnoteText"/>
    <w:rsid w:val="004C7BA9"/>
    <w:rPr>
      <w:sz w:val="18"/>
      <w:lang w:eastAsia="en-US"/>
    </w:rPr>
  </w:style>
  <w:style w:type="character" w:customStyle="1" w:styleId="FooterChar">
    <w:name w:val="Footer Char"/>
    <w:aliases w:val="3_G Char"/>
    <w:link w:val="Footer"/>
    <w:rsid w:val="004C7BA9"/>
    <w:rPr>
      <w:sz w:val="16"/>
      <w:lang w:eastAsia="en-US"/>
    </w:rPr>
  </w:style>
  <w:style w:type="paragraph" w:styleId="BodyText">
    <w:name w:val="Body Text"/>
    <w:basedOn w:val="Normal"/>
    <w:link w:val="BodyTextChar"/>
    <w:rsid w:val="004C7BA9"/>
    <w:pPr>
      <w:widowControl w:val="0"/>
      <w:spacing w:after="120" w:line="240" w:lineRule="auto"/>
    </w:pPr>
    <w:rPr>
      <w:rFonts w:eastAsia="Lucida Sans Unicode"/>
      <w:sz w:val="24"/>
      <w:lang w:val="x-none" w:eastAsia="ar-SA"/>
    </w:rPr>
  </w:style>
  <w:style w:type="character" w:customStyle="1" w:styleId="BodyTextChar">
    <w:name w:val="Body Text Char"/>
    <w:link w:val="BodyText"/>
    <w:rsid w:val="004C7BA9"/>
    <w:rPr>
      <w:rFonts w:eastAsia="Lucida Sans Unicode" w:cs="Tahoma"/>
      <w:sz w:val="24"/>
      <w:lang w:eastAsia="ar-SA"/>
    </w:rPr>
  </w:style>
  <w:style w:type="character" w:customStyle="1" w:styleId="SingleTxtGChar">
    <w:name w:val="_ Single Txt_G Char"/>
    <w:link w:val="SingleTxtG"/>
    <w:rsid w:val="004C7BA9"/>
    <w:rPr>
      <w:lang w:eastAsia="en-US"/>
    </w:rPr>
  </w:style>
  <w:style w:type="character" w:customStyle="1" w:styleId="apple-style-span">
    <w:name w:val="apple-style-span"/>
    <w:rsid w:val="004C7BA9"/>
  </w:style>
  <w:style w:type="character" w:styleId="CommentReference">
    <w:name w:val="annotation reference"/>
    <w:uiPriority w:val="99"/>
    <w:unhideWhenUsed/>
    <w:rsid w:val="004C7BA9"/>
    <w:rPr>
      <w:sz w:val="16"/>
      <w:szCs w:val="16"/>
    </w:rPr>
  </w:style>
  <w:style w:type="paragraph" w:styleId="CommentText">
    <w:name w:val="annotation text"/>
    <w:basedOn w:val="Normal"/>
    <w:link w:val="CommentTextChar"/>
    <w:uiPriority w:val="99"/>
    <w:unhideWhenUsed/>
    <w:rsid w:val="004C7BA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4C7BA9"/>
    <w:rPr>
      <w:rFonts w:ascii="Calibri" w:eastAsia="Calibri" w:hAnsi="Calibri"/>
      <w:lang w:eastAsia="en-US"/>
    </w:rPr>
  </w:style>
  <w:style w:type="paragraph" w:styleId="BalloonText">
    <w:name w:val="Balloon Text"/>
    <w:basedOn w:val="Normal"/>
    <w:link w:val="BalloonTextChar"/>
    <w:uiPriority w:val="99"/>
    <w:rsid w:val="004C7BA9"/>
    <w:pPr>
      <w:spacing w:line="240" w:lineRule="auto"/>
    </w:pPr>
    <w:rPr>
      <w:rFonts w:ascii="Tahoma" w:hAnsi="Tahoma"/>
      <w:sz w:val="16"/>
      <w:szCs w:val="16"/>
      <w:lang w:val="x-none"/>
    </w:rPr>
  </w:style>
  <w:style w:type="character" w:customStyle="1" w:styleId="BalloonTextChar">
    <w:name w:val="Balloon Text Char"/>
    <w:link w:val="BalloonText"/>
    <w:uiPriority w:val="99"/>
    <w:rsid w:val="004C7BA9"/>
    <w:rPr>
      <w:rFonts w:ascii="Tahoma" w:hAnsi="Tahoma" w:cs="Tahoma"/>
      <w:sz w:val="16"/>
      <w:szCs w:val="16"/>
      <w:lang w:eastAsia="en-US"/>
    </w:rPr>
  </w:style>
  <w:style w:type="paragraph" w:styleId="ListParagraph">
    <w:name w:val="List Paragraph"/>
    <w:basedOn w:val="Normal"/>
    <w:uiPriority w:val="34"/>
    <w:qFormat/>
    <w:rsid w:val="004C7BA9"/>
    <w:pPr>
      <w:suppressAutoHyphens w:val="0"/>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rsid w:val="004C7BA9"/>
    <w:pPr>
      <w:suppressAutoHyphens/>
      <w:spacing w:after="0" w:line="240" w:lineRule="atLeast"/>
    </w:pPr>
    <w:rPr>
      <w:b/>
      <w:bCs/>
    </w:rPr>
  </w:style>
  <w:style w:type="character" w:customStyle="1" w:styleId="CommentSubjectChar">
    <w:name w:val="Comment Subject Char"/>
    <w:link w:val="CommentSubject"/>
    <w:uiPriority w:val="99"/>
    <w:rsid w:val="004C7BA9"/>
    <w:rPr>
      <w:rFonts w:ascii="Calibri" w:eastAsia="Calibri" w:hAnsi="Calibri"/>
      <w:b/>
      <w:bCs/>
      <w:lang w:eastAsia="en-US"/>
    </w:rPr>
  </w:style>
  <w:style w:type="paragraph" w:styleId="Revision">
    <w:name w:val="Revision"/>
    <w:hidden/>
    <w:uiPriority w:val="99"/>
    <w:semiHidden/>
    <w:rsid w:val="004C7BA9"/>
    <w:rPr>
      <w:lang w:eastAsia="en-US"/>
    </w:rPr>
  </w:style>
  <w:style w:type="paragraph" w:customStyle="1" w:styleId="Rvision1">
    <w:name w:val="Révision1"/>
    <w:hidden/>
    <w:uiPriority w:val="99"/>
    <w:semiHidden/>
    <w:rsid w:val="002E4CB4"/>
    <w:rPr>
      <w:lang w:eastAsia="en-US"/>
    </w:rPr>
  </w:style>
  <w:style w:type="character" w:customStyle="1" w:styleId="apple-converted-space">
    <w:name w:val="apple-converted-space"/>
    <w:rsid w:val="002A6BD7"/>
  </w:style>
  <w:style w:type="paragraph" w:customStyle="1" w:styleId="Default">
    <w:name w:val="Default"/>
    <w:rsid w:val="002A6BD7"/>
    <w:pPr>
      <w:autoSpaceDE w:val="0"/>
      <w:autoSpaceDN w:val="0"/>
      <w:adjustRightInd w:val="0"/>
    </w:pPr>
    <w:rPr>
      <w:color w:val="000000"/>
      <w:sz w:val="24"/>
      <w:szCs w:val="24"/>
      <w:lang w:val="lt-LT" w:eastAsia="lt-LT"/>
    </w:rPr>
  </w:style>
  <w:style w:type="paragraph" w:customStyle="1" w:styleId="Pa3">
    <w:name w:val="Pa3"/>
    <w:basedOn w:val="Default"/>
    <w:next w:val="Default"/>
    <w:uiPriority w:val="99"/>
    <w:rsid w:val="002A6BD7"/>
    <w:pPr>
      <w:spacing w:line="241" w:lineRule="atLeast"/>
    </w:pPr>
    <w:rPr>
      <w:rFonts w:ascii="Minion Pro" w:eastAsia="Calibri" w:hAnsi="Minion Pro"/>
      <w:color w:val="auto"/>
      <w:lang w:eastAsia="en-US"/>
    </w:rPr>
  </w:style>
  <w:style w:type="character" w:customStyle="1" w:styleId="A2">
    <w:name w:val="A2"/>
    <w:uiPriority w:val="99"/>
    <w:rsid w:val="002A6BD7"/>
    <w:rPr>
      <w:rFonts w:cs="Minion Pro"/>
      <w:color w:val="000000"/>
      <w:sz w:val="26"/>
      <w:szCs w:val="26"/>
    </w:rPr>
  </w:style>
  <w:style w:type="character" w:styleId="Strong">
    <w:name w:val="Strong"/>
    <w:uiPriority w:val="99"/>
    <w:qFormat/>
    <w:rsid w:val="00AE14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99"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rPr>
      <w:lang w:val="x-none"/>
    </w:rPr>
  </w:style>
  <w:style w:type="paragraph" w:styleId="Heading3">
    <w:name w:val="heading 3"/>
    <w:basedOn w:val="Normal"/>
    <w:next w:val="Normal"/>
    <w:link w:val="Heading3Char"/>
    <w:qFormat/>
    <w:rsid w:val="00CF0214"/>
    <w:pPr>
      <w:spacing w:line="240" w:lineRule="auto"/>
      <w:outlineLvl w:val="2"/>
    </w:pPr>
    <w:rPr>
      <w:lang w:val="x-none"/>
    </w:rPr>
  </w:style>
  <w:style w:type="paragraph" w:styleId="Heading4">
    <w:name w:val="heading 4"/>
    <w:basedOn w:val="Normal"/>
    <w:next w:val="Normal"/>
    <w:link w:val="Heading4Char"/>
    <w:qFormat/>
    <w:rsid w:val="00CF0214"/>
    <w:pPr>
      <w:spacing w:line="240" w:lineRule="auto"/>
      <w:outlineLvl w:val="3"/>
    </w:pPr>
    <w:rPr>
      <w:lang w:val="x-none"/>
    </w:rPr>
  </w:style>
  <w:style w:type="paragraph" w:styleId="Heading5">
    <w:name w:val="heading 5"/>
    <w:basedOn w:val="Normal"/>
    <w:next w:val="Normal"/>
    <w:link w:val="Heading5Char"/>
    <w:qFormat/>
    <w:rsid w:val="00CF0214"/>
    <w:pPr>
      <w:spacing w:line="240" w:lineRule="auto"/>
      <w:outlineLvl w:val="4"/>
    </w:pPr>
    <w:rPr>
      <w:lang w:val="x-none"/>
    </w:rPr>
  </w:style>
  <w:style w:type="paragraph" w:styleId="Heading6">
    <w:name w:val="heading 6"/>
    <w:basedOn w:val="Normal"/>
    <w:next w:val="Normal"/>
    <w:link w:val="Heading6Char"/>
    <w:qFormat/>
    <w:rsid w:val="00CF0214"/>
    <w:pPr>
      <w:spacing w:line="240" w:lineRule="auto"/>
      <w:outlineLvl w:val="5"/>
    </w:pPr>
    <w:rPr>
      <w:lang w:val="x-none"/>
    </w:rPr>
  </w:style>
  <w:style w:type="paragraph" w:styleId="Heading7">
    <w:name w:val="heading 7"/>
    <w:basedOn w:val="Normal"/>
    <w:next w:val="Normal"/>
    <w:link w:val="Heading7Char"/>
    <w:qFormat/>
    <w:rsid w:val="00CF0214"/>
    <w:pPr>
      <w:spacing w:line="240" w:lineRule="auto"/>
      <w:outlineLvl w:val="6"/>
    </w:pPr>
    <w:rPr>
      <w:lang w:val="x-none"/>
    </w:rPr>
  </w:style>
  <w:style w:type="paragraph" w:styleId="Heading8">
    <w:name w:val="heading 8"/>
    <w:basedOn w:val="Normal"/>
    <w:next w:val="Normal"/>
    <w:link w:val="Heading8Char"/>
    <w:qFormat/>
    <w:rsid w:val="00CF0214"/>
    <w:pPr>
      <w:spacing w:line="240" w:lineRule="auto"/>
      <w:outlineLvl w:val="7"/>
    </w:pPr>
    <w:rPr>
      <w:lang w:val="x-none"/>
    </w:rPr>
  </w:style>
  <w:style w:type="paragraph" w:styleId="Heading9">
    <w:name w:val="heading 9"/>
    <w:basedOn w:val="Normal"/>
    <w:next w:val="Normal"/>
    <w:link w:val="Heading9Char"/>
    <w:qFormat/>
    <w:rsid w:val="00CF0214"/>
    <w:pPr>
      <w:spacing w:line="240" w:lineRule="auto"/>
      <w:outlineLvl w:val="8"/>
    </w:pPr>
    <w:rPr>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3E5A3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3E5A3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eading1Char">
    <w:name w:val="Heading 1 Char"/>
    <w:aliases w:val="Table_G Char"/>
    <w:link w:val="Heading1"/>
    <w:rsid w:val="004C7BA9"/>
    <w:rPr>
      <w:lang w:eastAsia="en-US"/>
    </w:rPr>
  </w:style>
  <w:style w:type="character" w:customStyle="1" w:styleId="Heading2Char">
    <w:name w:val="Heading 2 Char"/>
    <w:link w:val="Heading2"/>
    <w:rsid w:val="004C7BA9"/>
    <w:rPr>
      <w:lang w:eastAsia="en-US"/>
    </w:rPr>
  </w:style>
  <w:style w:type="character" w:customStyle="1" w:styleId="Heading3Char">
    <w:name w:val="Heading 3 Char"/>
    <w:link w:val="Heading3"/>
    <w:rsid w:val="004C7BA9"/>
    <w:rPr>
      <w:lang w:eastAsia="en-US"/>
    </w:rPr>
  </w:style>
  <w:style w:type="character" w:customStyle="1" w:styleId="Heading4Char">
    <w:name w:val="Heading 4 Char"/>
    <w:link w:val="Heading4"/>
    <w:rsid w:val="004C7BA9"/>
    <w:rPr>
      <w:lang w:eastAsia="en-US"/>
    </w:rPr>
  </w:style>
  <w:style w:type="character" w:customStyle="1" w:styleId="Heading5Char">
    <w:name w:val="Heading 5 Char"/>
    <w:link w:val="Heading5"/>
    <w:rsid w:val="004C7BA9"/>
    <w:rPr>
      <w:lang w:eastAsia="en-US"/>
    </w:rPr>
  </w:style>
  <w:style w:type="character" w:customStyle="1" w:styleId="Heading6Char">
    <w:name w:val="Heading 6 Char"/>
    <w:link w:val="Heading6"/>
    <w:rsid w:val="004C7BA9"/>
    <w:rPr>
      <w:lang w:eastAsia="en-US"/>
    </w:rPr>
  </w:style>
  <w:style w:type="character" w:customStyle="1" w:styleId="Heading7Char">
    <w:name w:val="Heading 7 Char"/>
    <w:link w:val="Heading7"/>
    <w:rsid w:val="004C7BA9"/>
    <w:rPr>
      <w:lang w:eastAsia="en-US"/>
    </w:rPr>
  </w:style>
  <w:style w:type="character" w:customStyle="1" w:styleId="Heading8Char">
    <w:name w:val="Heading 8 Char"/>
    <w:link w:val="Heading8"/>
    <w:rsid w:val="004C7BA9"/>
    <w:rPr>
      <w:lang w:eastAsia="en-US"/>
    </w:rPr>
  </w:style>
  <w:style w:type="character" w:customStyle="1" w:styleId="Heading9Char">
    <w:name w:val="Heading 9 Char"/>
    <w:link w:val="Heading9"/>
    <w:rsid w:val="004C7BA9"/>
    <w:rPr>
      <w:lang w:eastAsia="en-US"/>
    </w:rPr>
  </w:style>
  <w:style w:type="character" w:customStyle="1" w:styleId="HeaderChar">
    <w:name w:val="Header Char"/>
    <w:aliases w:val="6_G Char"/>
    <w:link w:val="Header"/>
    <w:rsid w:val="004C7BA9"/>
    <w:rPr>
      <w:b/>
      <w:sz w:val="18"/>
      <w:lang w:eastAsia="en-US"/>
    </w:rPr>
  </w:style>
  <w:style w:type="character" w:customStyle="1" w:styleId="FootnoteTextChar">
    <w:name w:val="Footnote Text Char"/>
    <w:aliases w:val="5_G Char"/>
    <w:link w:val="FootnoteText"/>
    <w:rsid w:val="004C7BA9"/>
    <w:rPr>
      <w:rFonts w:eastAsia="SimSun"/>
      <w:sz w:val="18"/>
    </w:rPr>
  </w:style>
  <w:style w:type="character" w:customStyle="1" w:styleId="EndnoteTextChar">
    <w:name w:val="Endnote Text Char"/>
    <w:aliases w:val="2_G Char"/>
    <w:link w:val="EndnoteText"/>
    <w:rsid w:val="004C7BA9"/>
    <w:rPr>
      <w:sz w:val="18"/>
      <w:lang w:eastAsia="en-US"/>
    </w:rPr>
  </w:style>
  <w:style w:type="character" w:customStyle="1" w:styleId="FooterChar">
    <w:name w:val="Footer Char"/>
    <w:aliases w:val="3_G Char"/>
    <w:link w:val="Footer"/>
    <w:rsid w:val="004C7BA9"/>
    <w:rPr>
      <w:sz w:val="16"/>
      <w:lang w:eastAsia="en-US"/>
    </w:rPr>
  </w:style>
  <w:style w:type="paragraph" w:styleId="BodyText">
    <w:name w:val="Body Text"/>
    <w:basedOn w:val="Normal"/>
    <w:link w:val="BodyTextChar"/>
    <w:rsid w:val="004C7BA9"/>
    <w:pPr>
      <w:widowControl w:val="0"/>
      <w:spacing w:after="120" w:line="240" w:lineRule="auto"/>
    </w:pPr>
    <w:rPr>
      <w:rFonts w:eastAsia="Lucida Sans Unicode"/>
      <w:sz w:val="24"/>
      <w:lang w:val="x-none" w:eastAsia="ar-SA"/>
    </w:rPr>
  </w:style>
  <w:style w:type="character" w:customStyle="1" w:styleId="BodyTextChar">
    <w:name w:val="Body Text Char"/>
    <w:link w:val="BodyText"/>
    <w:rsid w:val="004C7BA9"/>
    <w:rPr>
      <w:rFonts w:eastAsia="Lucida Sans Unicode" w:cs="Tahoma"/>
      <w:sz w:val="24"/>
      <w:lang w:eastAsia="ar-SA"/>
    </w:rPr>
  </w:style>
  <w:style w:type="character" w:customStyle="1" w:styleId="SingleTxtGChar">
    <w:name w:val="_ Single Txt_G Char"/>
    <w:link w:val="SingleTxtG"/>
    <w:rsid w:val="004C7BA9"/>
    <w:rPr>
      <w:lang w:eastAsia="en-US"/>
    </w:rPr>
  </w:style>
  <w:style w:type="character" w:customStyle="1" w:styleId="apple-style-span">
    <w:name w:val="apple-style-span"/>
    <w:rsid w:val="004C7BA9"/>
  </w:style>
  <w:style w:type="character" w:styleId="CommentReference">
    <w:name w:val="annotation reference"/>
    <w:uiPriority w:val="99"/>
    <w:unhideWhenUsed/>
    <w:rsid w:val="004C7BA9"/>
    <w:rPr>
      <w:sz w:val="16"/>
      <w:szCs w:val="16"/>
    </w:rPr>
  </w:style>
  <w:style w:type="paragraph" w:styleId="CommentText">
    <w:name w:val="annotation text"/>
    <w:basedOn w:val="Normal"/>
    <w:link w:val="CommentTextChar"/>
    <w:uiPriority w:val="99"/>
    <w:unhideWhenUsed/>
    <w:rsid w:val="004C7BA9"/>
    <w:pPr>
      <w:suppressAutoHyphens w:val="0"/>
      <w:spacing w:after="200" w:line="276" w:lineRule="auto"/>
    </w:pPr>
    <w:rPr>
      <w:rFonts w:ascii="Calibri" w:eastAsia="Calibri" w:hAnsi="Calibri"/>
      <w:lang w:val="x-none"/>
    </w:rPr>
  </w:style>
  <w:style w:type="character" w:customStyle="1" w:styleId="CommentTextChar">
    <w:name w:val="Comment Text Char"/>
    <w:link w:val="CommentText"/>
    <w:uiPriority w:val="99"/>
    <w:rsid w:val="004C7BA9"/>
    <w:rPr>
      <w:rFonts w:ascii="Calibri" w:eastAsia="Calibri" w:hAnsi="Calibri"/>
      <w:lang w:eastAsia="en-US"/>
    </w:rPr>
  </w:style>
  <w:style w:type="paragraph" w:styleId="BalloonText">
    <w:name w:val="Balloon Text"/>
    <w:basedOn w:val="Normal"/>
    <w:link w:val="BalloonTextChar"/>
    <w:uiPriority w:val="99"/>
    <w:rsid w:val="004C7BA9"/>
    <w:pPr>
      <w:spacing w:line="240" w:lineRule="auto"/>
    </w:pPr>
    <w:rPr>
      <w:rFonts w:ascii="Tahoma" w:hAnsi="Tahoma"/>
      <w:sz w:val="16"/>
      <w:szCs w:val="16"/>
      <w:lang w:val="x-none"/>
    </w:rPr>
  </w:style>
  <w:style w:type="character" w:customStyle="1" w:styleId="BalloonTextChar">
    <w:name w:val="Balloon Text Char"/>
    <w:link w:val="BalloonText"/>
    <w:uiPriority w:val="99"/>
    <w:rsid w:val="004C7BA9"/>
    <w:rPr>
      <w:rFonts w:ascii="Tahoma" w:hAnsi="Tahoma" w:cs="Tahoma"/>
      <w:sz w:val="16"/>
      <w:szCs w:val="16"/>
      <w:lang w:eastAsia="en-US"/>
    </w:rPr>
  </w:style>
  <w:style w:type="paragraph" w:styleId="ListParagraph">
    <w:name w:val="List Paragraph"/>
    <w:basedOn w:val="Normal"/>
    <w:uiPriority w:val="34"/>
    <w:qFormat/>
    <w:rsid w:val="004C7BA9"/>
    <w:pPr>
      <w:suppressAutoHyphens w:val="0"/>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rsid w:val="004C7BA9"/>
    <w:pPr>
      <w:suppressAutoHyphens/>
      <w:spacing w:after="0" w:line="240" w:lineRule="atLeast"/>
    </w:pPr>
    <w:rPr>
      <w:b/>
      <w:bCs/>
    </w:rPr>
  </w:style>
  <w:style w:type="character" w:customStyle="1" w:styleId="CommentSubjectChar">
    <w:name w:val="Comment Subject Char"/>
    <w:link w:val="CommentSubject"/>
    <w:uiPriority w:val="99"/>
    <w:rsid w:val="004C7BA9"/>
    <w:rPr>
      <w:rFonts w:ascii="Calibri" w:eastAsia="Calibri" w:hAnsi="Calibri"/>
      <w:b/>
      <w:bCs/>
      <w:lang w:eastAsia="en-US"/>
    </w:rPr>
  </w:style>
  <w:style w:type="paragraph" w:styleId="Revision">
    <w:name w:val="Revision"/>
    <w:hidden/>
    <w:uiPriority w:val="99"/>
    <w:semiHidden/>
    <w:rsid w:val="004C7BA9"/>
    <w:rPr>
      <w:lang w:eastAsia="en-US"/>
    </w:rPr>
  </w:style>
  <w:style w:type="paragraph" w:customStyle="1" w:styleId="Rvision1">
    <w:name w:val="Révision1"/>
    <w:hidden/>
    <w:uiPriority w:val="99"/>
    <w:semiHidden/>
    <w:rsid w:val="002E4CB4"/>
    <w:rPr>
      <w:lang w:eastAsia="en-US"/>
    </w:rPr>
  </w:style>
  <w:style w:type="character" w:customStyle="1" w:styleId="apple-converted-space">
    <w:name w:val="apple-converted-space"/>
    <w:rsid w:val="002A6BD7"/>
  </w:style>
  <w:style w:type="paragraph" w:customStyle="1" w:styleId="Default">
    <w:name w:val="Default"/>
    <w:rsid w:val="002A6BD7"/>
    <w:pPr>
      <w:autoSpaceDE w:val="0"/>
      <w:autoSpaceDN w:val="0"/>
      <w:adjustRightInd w:val="0"/>
    </w:pPr>
    <w:rPr>
      <w:color w:val="000000"/>
      <w:sz w:val="24"/>
      <w:szCs w:val="24"/>
      <w:lang w:val="lt-LT" w:eastAsia="lt-LT"/>
    </w:rPr>
  </w:style>
  <w:style w:type="paragraph" w:customStyle="1" w:styleId="Pa3">
    <w:name w:val="Pa3"/>
    <w:basedOn w:val="Default"/>
    <w:next w:val="Default"/>
    <w:uiPriority w:val="99"/>
    <w:rsid w:val="002A6BD7"/>
    <w:pPr>
      <w:spacing w:line="241" w:lineRule="atLeast"/>
    </w:pPr>
    <w:rPr>
      <w:rFonts w:ascii="Minion Pro" w:eastAsia="Calibri" w:hAnsi="Minion Pro"/>
      <w:color w:val="auto"/>
      <w:lang w:eastAsia="en-US"/>
    </w:rPr>
  </w:style>
  <w:style w:type="character" w:customStyle="1" w:styleId="A2">
    <w:name w:val="A2"/>
    <w:uiPriority w:val="99"/>
    <w:rsid w:val="002A6BD7"/>
    <w:rPr>
      <w:rFonts w:cs="Minion Pro"/>
      <w:color w:val="000000"/>
      <w:sz w:val="26"/>
      <w:szCs w:val="26"/>
    </w:rPr>
  </w:style>
  <w:style w:type="character" w:styleId="Strong">
    <w:name w:val="Strong"/>
    <w:uiPriority w:val="99"/>
    <w:qFormat/>
    <w:rsid w:val="00AE1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ntal_health/mhga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3945-E693-437E-A29A-2258484A7B18}"/>
</file>

<file path=customXml/itemProps2.xml><?xml version="1.0" encoding="utf-8"?>
<ds:datastoreItem xmlns:ds="http://schemas.openxmlformats.org/officeDocument/2006/customXml" ds:itemID="{73E22EA6-3C5B-42BE-9852-D097365AF362}"/>
</file>

<file path=customXml/itemProps3.xml><?xml version="1.0" encoding="utf-8"?>
<ds:datastoreItem xmlns:ds="http://schemas.openxmlformats.org/officeDocument/2006/customXml" ds:itemID="{022F4890-CA84-46DE-B510-966FDFA06E42}"/>
</file>

<file path=customXml/itemProps4.xml><?xml version="1.0" encoding="utf-8"?>
<ds:datastoreItem xmlns:ds="http://schemas.openxmlformats.org/officeDocument/2006/customXml" ds:itemID="{225262B4-3055-417F-B83C-A34746CB0814}"/>
</file>

<file path=docProps/app.xml><?xml version="1.0" encoding="utf-8"?>
<Properties xmlns="http://schemas.openxmlformats.org/officeDocument/2006/extended-properties" xmlns:vt="http://schemas.openxmlformats.org/officeDocument/2006/docPropsVTypes">
  <Template>A_E.dotm</Template>
  <TotalTime>1</TotalTime>
  <Pages>21</Pages>
  <Words>11632</Words>
  <Characters>56532</Characters>
  <Application>Microsoft Office Word</Application>
  <DocSecurity>0</DocSecurity>
  <Lines>1284</Lines>
  <Paragraphs>668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67496</CharactersWithSpaces>
  <SharedDoc>false</SharedDoc>
  <HLinks>
    <vt:vector size="6" baseType="variant">
      <vt:variant>
        <vt:i4>4325424</vt:i4>
      </vt:variant>
      <vt:variant>
        <vt:i4>0</vt:i4>
      </vt:variant>
      <vt:variant>
        <vt:i4>0</vt:i4>
      </vt:variant>
      <vt:variant>
        <vt:i4>5</vt:i4>
      </vt:variant>
      <vt:variant>
        <vt:lpwstr>http://www.who.int/mental_health/mhgap/en/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of everyone to the enjoyment of the highest attainable standard of physical and mental health, Dainius Pūras in English</dc:title>
  <dc:creator>Paloma Diego-Fernandez</dc:creator>
  <cp:lastModifiedBy>Temporaire</cp:lastModifiedBy>
  <cp:revision>2</cp:revision>
  <cp:lastPrinted>2015-03-17T13:45:00Z</cp:lastPrinted>
  <dcterms:created xsi:type="dcterms:W3CDTF">2015-04-02T14:34:00Z</dcterms:created>
  <dcterms:modified xsi:type="dcterms:W3CDTF">2015-04-02T14:34:00Z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