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r w:rsidR="00E07245">
              <w:fldChar w:fldCharType="begin"/>
            </w:r>
            <w:r w:rsidR="00E07245">
              <w:instrText xml:space="preserve"> FILLIN  "Введите часть символа после A/HRC/"  \* MERGEFORMAT </w:instrText>
            </w:r>
            <w:r w:rsidR="00E07245">
              <w:fldChar w:fldCharType="separate"/>
            </w:r>
            <w:r w:rsidR="00CB0DBA">
              <w:t>29/39</w:t>
            </w:r>
            <w:r w:rsidR="00E07245">
              <w:fldChar w:fldCharType="end"/>
            </w:r>
          </w:p>
        </w:tc>
      </w:tr>
      <w:tr w:rsidR="003A0687" w:rsidRPr="00635870" w:rsidTr="00FF6864">
        <w:trPr>
          <w:trHeight w:val="256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EC33D7" wp14:editId="648D920D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E07245">
              <w:fldChar w:fldCharType="separate"/>
            </w:r>
            <w:r>
              <w:fldChar w:fldCharType="end"/>
            </w:r>
            <w:bookmarkEnd w:id="0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>
              <w:rPr>
                <w:lang w:val="en-US"/>
              </w:rPr>
              <w:fldChar w:fldCharType="separate"/>
            </w:r>
            <w:r w:rsidR="00CB0DBA">
              <w:rPr>
                <w:lang w:val="en-US"/>
              </w:rPr>
              <w:t>7 May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>
              <w:t xml:space="preserve">: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E07245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FF6864">
      <w:pPr>
        <w:spacing w:before="90" w:line="230" w:lineRule="atLeast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>Двадцать девятая сессия</w:t>
      </w:r>
    </w:p>
    <w:p w:rsidR="00CB0DBA" w:rsidRDefault="00CB0DBA" w:rsidP="00CB0DBA">
      <w:pPr>
        <w:spacing w:line="230" w:lineRule="atLeast"/>
      </w:pPr>
      <w:r>
        <w:t>Пункты 2 и 3 повестки дня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>Ежегодный доклад Верховного комиссара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>Организации Объединенных Наций по правам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>человека и доклады Управления Верховного</w:t>
      </w:r>
    </w:p>
    <w:p w:rsidR="00CB0DBA" w:rsidRPr="00CB0DBA" w:rsidRDefault="00CB0DBA" w:rsidP="00FF6864">
      <w:pPr>
        <w:spacing w:after="90" w:line="230" w:lineRule="atLeast"/>
        <w:rPr>
          <w:b/>
        </w:rPr>
      </w:pPr>
      <w:r w:rsidRPr="00CB0DBA">
        <w:rPr>
          <w:b/>
        </w:rPr>
        <w:t>комиссара и Генерального секретаря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 xml:space="preserve">Поощрение и защита всех прав человека, </w:t>
      </w:r>
    </w:p>
    <w:p w:rsidR="00CB0DBA" w:rsidRPr="00CB0DBA" w:rsidRDefault="00CB0DBA" w:rsidP="00CB0DBA">
      <w:pPr>
        <w:spacing w:line="230" w:lineRule="atLeast"/>
        <w:rPr>
          <w:b/>
        </w:rPr>
      </w:pPr>
      <w:r w:rsidRPr="00CB0DBA">
        <w:rPr>
          <w:b/>
        </w:rPr>
        <w:t>гражданских, политических, экономических,</w:t>
      </w:r>
    </w:p>
    <w:p w:rsidR="00CB0DBA" w:rsidRPr="00E07245" w:rsidRDefault="00CB0DBA" w:rsidP="00CB0DBA">
      <w:pPr>
        <w:spacing w:line="230" w:lineRule="atLeast"/>
        <w:rPr>
          <w:b/>
        </w:rPr>
      </w:pPr>
      <w:r w:rsidRPr="00CB0DBA">
        <w:rPr>
          <w:b/>
        </w:rPr>
        <w:t xml:space="preserve">социальных и культурных прав, </w:t>
      </w:r>
      <w:r w:rsidRPr="00CB0DBA">
        <w:rPr>
          <w:b/>
        </w:rPr>
        <w:br/>
        <w:t>включая право на развитие</w:t>
      </w:r>
    </w:p>
    <w:p w:rsidR="00CB0DBA" w:rsidRPr="00CB0DBA" w:rsidRDefault="00CB0DBA" w:rsidP="00FF6864">
      <w:pPr>
        <w:pStyle w:val="HChGR"/>
        <w:spacing w:before="320" w:after="200" w:line="280" w:lineRule="exact"/>
      </w:pPr>
      <w:r w:rsidRPr="00E07245">
        <w:tab/>
      </w:r>
      <w:r w:rsidRPr="00E07245">
        <w:tab/>
      </w:r>
      <w:r w:rsidRPr="00CB0DBA">
        <w:t xml:space="preserve">Доклад о ходе работы Верховного комиссара Организации Объединенных Наций </w:t>
      </w:r>
      <w:r>
        <w:t>по правам человека по вопросу о</w:t>
      </w:r>
      <w:r w:rsidR="00FF6864">
        <w:t xml:space="preserve"> </w:t>
      </w:r>
      <w:r>
        <w:t>правовых вариантах и</w:t>
      </w:r>
      <w:r>
        <w:rPr>
          <w:lang w:val="en-US"/>
        </w:rPr>
        <w:t> </w:t>
      </w:r>
      <w:r w:rsidRPr="00CB0DBA">
        <w:t>практич</w:t>
      </w:r>
      <w:r>
        <w:t>еских мерах улучшения доступа к</w:t>
      </w:r>
      <w:r>
        <w:rPr>
          <w:lang w:val="en-US"/>
        </w:rPr>
        <w:t> </w:t>
      </w:r>
      <w:r w:rsidRPr="00CB0DBA">
        <w:t>средствам правовой защиты для жертв нарушений прав человека, связанных с предпринимательской деятельностью</w:t>
      </w:r>
    </w:p>
    <w:tbl>
      <w:tblPr>
        <w:tblStyle w:val="a8"/>
        <w:tblW w:w="0" w:type="auto"/>
        <w:tblBorders>
          <w:insideH w:val="none" w:sz="0" w:space="0" w:color="auto"/>
        </w:tblBorders>
        <w:tblLook w:val="05E0" w:firstRow="1" w:lastRow="1" w:firstColumn="1" w:lastColumn="1" w:noHBand="0" w:noVBand="1"/>
      </w:tblPr>
      <w:tblGrid>
        <w:gridCol w:w="9855"/>
      </w:tblGrid>
      <w:tr w:rsidR="00CB0DBA" w:rsidTr="00CB0DBA">
        <w:tc>
          <w:tcPr>
            <w:tcW w:w="9855" w:type="dxa"/>
            <w:shd w:val="clear" w:color="auto" w:fill="auto"/>
          </w:tcPr>
          <w:p w:rsidR="00CB0DBA" w:rsidRPr="00CB0DBA" w:rsidRDefault="00CB0DBA" w:rsidP="00FF6864">
            <w:pPr>
              <w:suppressAutoHyphens/>
              <w:spacing w:before="200" w:after="90" w:line="220" w:lineRule="atLeast"/>
              <w:ind w:left="255"/>
              <w:rPr>
                <w:i/>
                <w:sz w:val="24"/>
                <w:lang w:val="en-US"/>
              </w:rPr>
            </w:pPr>
            <w:r w:rsidRPr="00CB0DBA">
              <w:rPr>
                <w:i/>
                <w:sz w:val="24"/>
                <w:lang w:val="en-US"/>
              </w:rPr>
              <w:t>Резюме</w:t>
            </w:r>
          </w:p>
        </w:tc>
      </w:tr>
      <w:tr w:rsidR="00CB0DBA" w:rsidTr="00CB0DBA">
        <w:tc>
          <w:tcPr>
            <w:tcW w:w="9855" w:type="dxa"/>
            <w:shd w:val="clear" w:color="auto" w:fill="auto"/>
          </w:tcPr>
          <w:p w:rsidR="00CB0DBA" w:rsidRPr="00E07245" w:rsidRDefault="00CB0DBA" w:rsidP="00FF6864">
            <w:pPr>
              <w:pStyle w:val="SingleTxtGR"/>
              <w:spacing w:after="90" w:line="230" w:lineRule="atLeast"/>
            </w:pPr>
            <w:r>
              <w:rPr>
                <w:lang w:val="en-US"/>
              </w:rPr>
              <w:tab/>
            </w:r>
            <w:r w:rsidRPr="00CB0DBA">
              <w:rPr>
                <w:spacing w:val="3"/>
              </w:rPr>
              <w:t>Настоящий доклад представляется в соответствии с пунктом 7 резол</w:t>
            </w:r>
            <w:r w:rsidRPr="00CB0DBA">
              <w:rPr>
                <w:spacing w:val="3"/>
              </w:rPr>
              <w:t>ю</w:t>
            </w:r>
            <w:r w:rsidRPr="00CB0DBA">
              <w:rPr>
                <w:spacing w:val="3"/>
              </w:rPr>
              <w:t>ции</w:t>
            </w:r>
            <w:r w:rsidRPr="00CB0DBA">
              <w:rPr>
                <w:spacing w:val="3"/>
                <w:lang w:val="en-US"/>
              </w:rPr>
              <w:t> </w:t>
            </w:r>
            <w:r w:rsidRPr="00CB0DBA">
              <w:rPr>
                <w:spacing w:val="3"/>
              </w:rPr>
              <w:t>26/22</w:t>
            </w:r>
            <w:r w:rsidRPr="00CB0DBA">
              <w:t xml:space="preserve"> Совета по правам человека, в котором Совет просил Верховного к</w:t>
            </w:r>
            <w:r w:rsidRPr="00CB0DBA">
              <w:t>о</w:t>
            </w:r>
            <w:r w:rsidRPr="00CB0DBA">
              <w:t>миссара Организации Объединенных Наций по правам человека продолжать работу с целью способствовать задействованию и использованию полного ди</w:t>
            </w:r>
            <w:r w:rsidRPr="00CB0DBA">
              <w:t>а</w:t>
            </w:r>
            <w:r w:rsidRPr="00CB0DBA">
              <w:t>пазона правовых вариантов и практических мер для обеспечения более эффе</w:t>
            </w:r>
            <w:r w:rsidRPr="00CB0DBA">
              <w:t>к</w:t>
            </w:r>
            <w:r w:rsidRPr="00CB0DBA">
              <w:t>тивного доступа к средствам правовой защиты для жертв нарушений прав чел</w:t>
            </w:r>
            <w:r w:rsidRPr="00CB0DBA">
              <w:t>о</w:t>
            </w:r>
            <w:r w:rsidRPr="00CB0DBA">
              <w:t>века, связанных с предпринимательской деятельностью. В докладе содержится информация о проекте Управления Верховного комиссара Организации Об</w:t>
            </w:r>
            <w:r w:rsidRPr="00CB0DBA">
              <w:t>ъ</w:t>
            </w:r>
            <w:r w:rsidRPr="00CB0DBA">
              <w:t>единенных Наций по правам человека в области ответственности и правовой защиты, который касается корпоративной ответственности и доступа к суде</w:t>
            </w:r>
            <w:r w:rsidRPr="00CB0DBA">
              <w:t>б</w:t>
            </w:r>
            <w:r w:rsidRPr="00CB0DBA">
              <w:t>ным средствам правовой защиты в случаях причастности предприятий к сер</w:t>
            </w:r>
            <w:r w:rsidRPr="00CB0DBA">
              <w:t>ь</w:t>
            </w:r>
            <w:r w:rsidRPr="00CB0DBA">
              <w:t>езным нарушениям прав человека. В нем излагаются основные направления д</w:t>
            </w:r>
            <w:r w:rsidRPr="00CB0DBA">
              <w:t>е</w:t>
            </w:r>
            <w:r w:rsidRPr="00CB0DBA">
              <w:t>ятельности в рамках проекта, его два дополнительных исследовательских пр</w:t>
            </w:r>
            <w:r w:rsidRPr="00CB0DBA">
              <w:t>о</w:t>
            </w:r>
            <w:r w:rsidRPr="00CB0DBA">
              <w:t>цесса сбора данных и материалов для проекта и о достигнутом к настоящему времени прогрессе, а также представлены первоначальные выводы и намечены основные области для дальнейшего изучения, вырисовывающиеся по итогам первоначальных исследований и обследований в двух из шести направлений деятельности.</w:t>
            </w:r>
          </w:p>
        </w:tc>
      </w:tr>
    </w:tbl>
    <w:p w:rsidR="00CB0DBA" w:rsidRDefault="00FF6864" w:rsidP="00FF6864">
      <w:pPr>
        <w:suppressAutoHyphens/>
        <w:spacing w:after="120"/>
        <w:rPr>
          <w:sz w:val="28"/>
        </w:rPr>
      </w:pPr>
      <w:r>
        <w:rPr>
          <w:sz w:val="28"/>
        </w:rPr>
        <w:lastRenderedPageBreak/>
        <w:t>Содержание</w:t>
      </w:r>
    </w:p>
    <w:p w:rsidR="00FF6864" w:rsidRDefault="00FF6864" w:rsidP="00FF6864">
      <w:pPr>
        <w:tabs>
          <w:tab w:val="right" w:pos="8929"/>
          <w:tab w:val="right" w:pos="9638"/>
        </w:tabs>
        <w:suppressAutoHyphens/>
        <w:spacing w:after="120"/>
        <w:ind w:left="283"/>
      </w:pPr>
      <w:r>
        <w:rPr>
          <w:i/>
          <w:sz w:val="18"/>
        </w:rPr>
        <w:tab/>
        <w:t>Пункты</w:t>
      </w:r>
      <w:r>
        <w:rPr>
          <w:i/>
          <w:sz w:val="18"/>
        </w:rPr>
        <w:tab/>
        <w:t>Стр.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FF6864">
        <w:t>I</w:t>
      </w:r>
      <w:r w:rsidRPr="00CB0DBA">
        <w:t>.</w:t>
      </w:r>
      <w:r w:rsidRPr="00CB0DBA">
        <w:tab/>
        <w:t>Введение</w:t>
      </w:r>
      <w:r w:rsidRPr="00CB0DBA">
        <w:tab/>
      </w:r>
      <w:r w:rsidRPr="00CB0DBA">
        <w:tab/>
        <w:t>1−12</w:t>
      </w:r>
      <w:r w:rsidRPr="00CB0DBA">
        <w:tab/>
      </w:r>
      <w:r w:rsidR="007F70D8">
        <w:t>3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A</w:t>
      </w:r>
      <w:r w:rsidRPr="00CB0DBA">
        <w:t>.</w:t>
      </w:r>
      <w:r w:rsidRPr="00CB0DBA">
        <w:tab/>
        <w:t>История вопроса и мандат</w:t>
      </w:r>
      <w:r w:rsidRPr="00CB0DBA">
        <w:tab/>
      </w:r>
      <w:r w:rsidRPr="00CB0DBA">
        <w:tab/>
        <w:t>1–5</w:t>
      </w:r>
      <w:r w:rsidRPr="00CB0DBA">
        <w:tab/>
      </w:r>
      <w:r w:rsidR="007F70D8">
        <w:t>3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B</w:t>
      </w:r>
      <w:r w:rsidRPr="00CB0DBA">
        <w:t>.</w:t>
      </w:r>
      <w:r w:rsidRPr="00CB0DBA">
        <w:tab/>
        <w:t>Цели и охват</w:t>
      </w:r>
      <w:r w:rsidRPr="00CB0DBA">
        <w:tab/>
      </w:r>
      <w:r w:rsidRPr="00CB0DBA">
        <w:tab/>
        <w:t>6–12</w:t>
      </w:r>
      <w:r w:rsidRPr="00CB0DBA">
        <w:tab/>
      </w:r>
      <w:r w:rsidR="007F70D8">
        <w:t>5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FF6864">
        <w:t>II</w:t>
      </w:r>
      <w:r w:rsidRPr="00CB0DBA">
        <w:t>.</w:t>
      </w:r>
      <w:r w:rsidRPr="00CB0DBA">
        <w:tab/>
        <w:t>Проект в области ответственности и правовой защиты</w:t>
      </w:r>
      <w:r w:rsidRPr="00CB0DBA">
        <w:tab/>
      </w:r>
      <w:r w:rsidRPr="00CB0DBA">
        <w:tab/>
        <w:t>13–22</w:t>
      </w:r>
      <w:r w:rsidRPr="00CB0DBA">
        <w:tab/>
      </w:r>
      <w:r w:rsidR="007F70D8">
        <w:t>7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A</w:t>
      </w:r>
      <w:r w:rsidRPr="00CB0DBA">
        <w:t>.</w:t>
      </w:r>
      <w:r w:rsidRPr="00CB0DBA">
        <w:tab/>
      </w:r>
      <w:r w:rsidR="007F70D8">
        <w:t>Рассмотрение составляющих</w:t>
      </w:r>
      <w:r w:rsidRPr="00CB0DBA">
        <w:t xml:space="preserve"> проекта</w:t>
      </w:r>
      <w:r w:rsidRPr="00CB0DBA">
        <w:tab/>
      </w:r>
      <w:r w:rsidRPr="00CB0DBA">
        <w:tab/>
        <w:t>13</w:t>
      </w:r>
      <w:r w:rsidRPr="00CB0DBA">
        <w:tab/>
      </w:r>
      <w:r w:rsidR="007F70D8">
        <w:t>7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B</w:t>
      </w:r>
      <w:r w:rsidRPr="00CB0DBA">
        <w:t>.</w:t>
      </w:r>
      <w:r w:rsidRPr="00CB0DBA">
        <w:tab/>
        <w:t xml:space="preserve">Глобальные интернет-консультации и подробный </w:t>
      </w:r>
      <w:r w:rsidR="007F70D8">
        <w:br/>
      </w:r>
      <w:r w:rsidRPr="00CB0DBA">
        <w:tab/>
      </w:r>
      <w:r w:rsidRPr="00CB0DBA">
        <w:tab/>
      </w:r>
      <w:r w:rsidRPr="00CB0DBA">
        <w:tab/>
      </w:r>
      <w:r w:rsidR="007F70D8">
        <w:t>сопоставительный</w:t>
      </w:r>
      <w:r w:rsidRPr="00CB0DBA">
        <w:t xml:space="preserve"> процес</w:t>
      </w:r>
      <w:bookmarkStart w:id="2" w:name="_GoBack"/>
      <w:bookmarkEnd w:id="2"/>
      <w:r w:rsidRPr="00CB0DBA">
        <w:t>с</w:t>
      </w:r>
      <w:r w:rsidRPr="00CB0DBA">
        <w:tab/>
      </w:r>
      <w:r w:rsidRPr="00CB0DBA">
        <w:tab/>
        <w:t>14–20</w:t>
      </w:r>
      <w:r w:rsidRPr="00CB0DBA">
        <w:tab/>
      </w:r>
      <w:r w:rsidR="007F70D8">
        <w:t>8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C</w:t>
      </w:r>
      <w:r w:rsidRPr="00CB0DBA">
        <w:t>.</w:t>
      </w:r>
      <w:r w:rsidRPr="00CB0DBA">
        <w:tab/>
        <w:t>Будущие консультации и последующие шаги</w:t>
      </w:r>
      <w:r w:rsidRPr="00CB0DBA">
        <w:tab/>
      </w:r>
      <w:r w:rsidRPr="00CB0DBA">
        <w:tab/>
        <w:t>21–22</w:t>
      </w:r>
      <w:r w:rsidRPr="00CB0DBA">
        <w:tab/>
      </w:r>
      <w:r w:rsidR="007F70D8">
        <w:t>10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FF6864">
        <w:t>III</w:t>
      </w:r>
      <w:r w:rsidRPr="00CB0DBA">
        <w:t>.</w:t>
      </w:r>
      <w:r w:rsidRPr="00CB0DBA">
        <w:tab/>
        <w:t>Предварительн</w:t>
      </w:r>
      <w:r w:rsidR="007F70D8">
        <w:t>ы</w:t>
      </w:r>
      <w:r w:rsidRPr="00CB0DBA">
        <w:t>е исследовани</w:t>
      </w:r>
      <w:r w:rsidR="007F70D8">
        <w:t>я</w:t>
      </w:r>
      <w:r w:rsidRPr="00CB0DBA">
        <w:t>: ключевые выводы и проблемы</w:t>
      </w:r>
      <w:r w:rsidRPr="00CB0DBA">
        <w:tab/>
      </w:r>
      <w:r w:rsidRPr="00CB0DBA">
        <w:tab/>
        <w:t>23–46</w:t>
      </w:r>
      <w:r w:rsidRPr="00CB0DBA">
        <w:tab/>
      </w:r>
      <w:r w:rsidR="007F70D8">
        <w:t>10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A</w:t>
      </w:r>
      <w:r w:rsidRPr="00CB0DBA">
        <w:t>.</w:t>
      </w:r>
      <w:r w:rsidRPr="00CB0DBA">
        <w:tab/>
        <w:t xml:space="preserve">Предварительная работа, касающаяся </w:t>
      </w:r>
      <w:r w:rsidR="007F70D8">
        <w:t>составляющей</w:t>
      </w:r>
      <w:r w:rsidRPr="00CB0DBA">
        <w:t xml:space="preserve"> 2 проекта:</w:t>
      </w:r>
      <w:r w:rsidR="00FF6864">
        <w:br/>
      </w:r>
      <w:r w:rsidRPr="00CB0DBA">
        <w:tab/>
      </w:r>
      <w:r w:rsidRPr="00CB0DBA">
        <w:tab/>
      </w:r>
      <w:r w:rsidRPr="00CB0DBA">
        <w:tab/>
        <w:t>роль и ответственность заинтересованных государств</w:t>
      </w:r>
      <w:r w:rsidRPr="00CB0DBA">
        <w:tab/>
      </w:r>
      <w:r w:rsidRPr="00CB0DBA">
        <w:tab/>
        <w:t>23–32</w:t>
      </w:r>
      <w:r w:rsidRPr="00CB0DBA">
        <w:tab/>
      </w:r>
      <w:r w:rsidR="007F70D8">
        <w:t>10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B</w:t>
      </w:r>
      <w:r w:rsidRPr="00CB0DBA">
        <w:t>.</w:t>
      </w:r>
      <w:r w:rsidRPr="00CB0DBA">
        <w:tab/>
        <w:t xml:space="preserve">Обзор </w:t>
      </w:r>
      <w:r w:rsidR="007F70D8">
        <w:t>при</w:t>
      </w:r>
      <w:r w:rsidRPr="00CB0DBA">
        <w:t xml:space="preserve">вступления государств в судебные дела в связи </w:t>
      </w:r>
      <w:r w:rsidR="00FF6864">
        <w:br/>
      </w:r>
      <w:r w:rsidRPr="00CB0DBA">
        <w:tab/>
      </w:r>
      <w:r w:rsidRPr="00CB0DBA">
        <w:tab/>
      </w:r>
      <w:r w:rsidRPr="00CB0DBA">
        <w:tab/>
        <w:t xml:space="preserve">с осуществлением </w:t>
      </w:r>
      <w:r w:rsidR="007F70D8">
        <w:t xml:space="preserve">экстерриториальной юрисдикции </w:t>
      </w:r>
      <w:r w:rsidRPr="00CB0DBA">
        <w:t xml:space="preserve">судами </w:t>
      </w:r>
      <w:r w:rsidR="007F70D8">
        <w:br/>
      </w:r>
      <w:r w:rsidR="007F70D8">
        <w:tab/>
      </w:r>
      <w:r w:rsidR="007F70D8">
        <w:tab/>
      </w:r>
      <w:r w:rsidR="007F70D8">
        <w:tab/>
      </w:r>
      <w:r w:rsidRPr="00CB0DBA">
        <w:t xml:space="preserve">Соединенных Штатов </w:t>
      </w:r>
      <w:r w:rsidR="007F70D8">
        <w:t>согласно</w:t>
      </w:r>
      <w:r w:rsidRPr="00CB0DBA">
        <w:t xml:space="preserve"> </w:t>
      </w:r>
      <w:r w:rsidR="007F70D8">
        <w:t>з</w:t>
      </w:r>
      <w:r w:rsidRPr="00CB0DBA">
        <w:t xml:space="preserve">акону о правонарушениях </w:t>
      </w:r>
      <w:r w:rsidR="007F70D8">
        <w:br/>
      </w:r>
      <w:r w:rsidR="007F70D8">
        <w:tab/>
      </w:r>
      <w:r w:rsidR="007F70D8">
        <w:tab/>
      </w:r>
      <w:r w:rsidR="007F70D8">
        <w:tab/>
      </w:r>
      <w:r w:rsidRPr="00CB0DBA">
        <w:t>в отношении иностранных граждан</w:t>
      </w:r>
      <w:r w:rsidRPr="00CB0DBA">
        <w:tab/>
      </w:r>
      <w:r w:rsidRPr="00CB0DBA">
        <w:tab/>
        <w:t>33–37</w:t>
      </w:r>
      <w:r w:rsidRPr="00CB0DBA">
        <w:tab/>
      </w:r>
      <w:r w:rsidR="007F70D8">
        <w:t>13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C</w:t>
      </w:r>
      <w:r w:rsidRPr="00CB0DBA">
        <w:t>.</w:t>
      </w:r>
      <w:r w:rsidRPr="00CB0DBA">
        <w:tab/>
      </w:r>
      <w:r w:rsidR="007F70D8">
        <w:t>Обследование, касающееся</w:t>
      </w:r>
      <w:r w:rsidRPr="00CB0DBA">
        <w:t xml:space="preserve"> ключевых положений отдельных </w:t>
      </w:r>
      <w:r w:rsidR="00FF6864">
        <w:br/>
      </w:r>
      <w:r w:rsidRPr="00CB0DBA">
        <w:tab/>
      </w:r>
      <w:r w:rsidRPr="00CB0DBA">
        <w:tab/>
      </w:r>
      <w:r w:rsidRPr="00CB0DBA">
        <w:tab/>
      </w:r>
      <w:r w:rsidR="007F70D8" w:rsidRPr="00CB0DBA">
        <w:t xml:space="preserve">договоров </w:t>
      </w:r>
      <w:r w:rsidRPr="00CB0DBA">
        <w:t xml:space="preserve">Международной организации труда и практики </w:t>
      </w:r>
      <w:r w:rsidR="00FF6864">
        <w:br/>
      </w:r>
      <w:r w:rsidRPr="00CB0DBA">
        <w:tab/>
      </w:r>
      <w:r w:rsidRPr="00CB0DBA">
        <w:tab/>
      </w:r>
      <w:r w:rsidRPr="00CB0DBA">
        <w:tab/>
      </w:r>
      <w:r w:rsidR="007F70D8" w:rsidRPr="00CB0DBA">
        <w:t xml:space="preserve">государств </w:t>
      </w:r>
      <w:r w:rsidRPr="00CB0DBA">
        <w:t>по их применению</w:t>
      </w:r>
      <w:r w:rsidRPr="00CB0DBA">
        <w:tab/>
      </w:r>
      <w:r w:rsidRPr="00CB0DBA">
        <w:tab/>
        <w:t>38–40</w:t>
      </w:r>
      <w:r w:rsidRPr="00CB0DBA">
        <w:tab/>
      </w:r>
      <w:r w:rsidR="007F70D8">
        <w:t>16</w:t>
      </w:r>
    </w:p>
    <w:p w:rsidR="00CB0DBA" w:rsidRPr="00CB0DBA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CB0DBA">
        <w:tab/>
      </w:r>
      <w:r w:rsidRPr="00FF6864">
        <w:t>D</w:t>
      </w:r>
      <w:r w:rsidRPr="00CB0DBA">
        <w:t>.</w:t>
      </w:r>
      <w:r w:rsidRPr="00CB0DBA">
        <w:tab/>
        <w:t xml:space="preserve">Предварительная работа, касающаяся </w:t>
      </w:r>
      <w:r w:rsidR="007F70D8">
        <w:t>составляющей</w:t>
      </w:r>
      <w:r w:rsidRPr="00CB0DBA">
        <w:t xml:space="preserve"> 3 проекта:</w:t>
      </w:r>
      <w:r w:rsidR="00FF6864">
        <w:br/>
      </w:r>
      <w:r w:rsidRPr="00CB0DBA">
        <w:tab/>
      </w:r>
      <w:r w:rsidRPr="00CB0DBA">
        <w:tab/>
      </w:r>
      <w:r w:rsidRPr="00CB0DBA">
        <w:tab/>
        <w:t xml:space="preserve">преодоление финансовых препятствий для </w:t>
      </w:r>
      <w:r w:rsidR="007F70D8">
        <w:t>подачи иска</w:t>
      </w:r>
      <w:r w:rsidRPr="00CB0DBA">
        <w:tab/>
      </w:r>
      <w:r w:rsidRPr="00CB0DBA">
        <w:tab/>
        <w:t>41–46</w:t>
      </w:r>
      <w:r w:rsidRPr="00CB0DBA">
        <w:tab/>
      </w:r>
      <w:r w:rsidR="007F70D8">
        <w:t>17</w:t>
      </w:r>
    </w:p>
    <w:p w:rsidR="00CB0DBA" w:rsidRPr="00FF6864" w:rsidRDefault="00CB0DBA" w:rsidP="00FF6864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CB0DBA">
        <w:tab/>
      </w:r>
      <w:r w:rsidRPr="00FF6864">
        <w:t>IV.</w:t>
      </w:r>
      <w:r w:rsidRPr="00FF6864">
        <w:tab/>
        <w:t>Заключительные замечания</w:t>
      </w:r>
      <w:r w:rsidRPr="00FF6864">
        <w:tab/>
      </w:r>
      <w:r w:rsidRPr="00FF6864">
        <w:tab/>
        <w:t>47–53</w:t>
      </w:r>
      <w:r w:rsidRPr="00FF6864">
        <w:tab/>
      </w:r>
      <w:r w:rsidR="007F70D8">
        <w:t>19</w:t>
      </w:r>
    </w:p>
    <w:p w:rsidR="00CB0DBA" w:rsidRPr="00CB0DBA" w:rsidRDefault="00FF6864" w:rsidP="00FF6864">
      <w:pPr>
        <w:pStyle w:val="HChGR"/>
      </w:pPr>
      <w:r w:rsidRPr="00E07245">
        <w:br w:type="page"/>
      </w:r>
      <w:r w:rsidR="00CB0DBA" w:rsidRPr="00E07245">
        <w:lastRenderedPageBreak/>
        <w:tab/>
      </w:r>
      <w:r w:rsidR="00CB0DBA" w:rsidRPr="00CB0DBA">
        <w:rPr>
          <w:lang w:val="en-US"/>
        </w:rPr>
        <w:t>I</w:t>
      </w:r>
      <w:r w:rsidR="00CB0DBA" w:rsidRPr="00CB0DBA">
        <w:t>.</w:t>
      </w:r>
      <w:r w:rsidR="00CB0DBA" w:rsidRPr="00CB0DBA">
        <w:tab/>
        <w:t>Введение</w:t>
      </w:r>
    </w:p>
    <w:p w:rsidR="00CB0DBA" w:rsidRPr="00CB0DBA" w:rsidRDefault="00CB0DBA" w:rsidP="00FF6864">
      <w:pPr>
        <w:pStyle w:val="H1GR"/>
      </w:pPr>
      <w:r w:rsidRPr="00CB0DBA">
        <w:tab/>
      </w:r>
      <w:r w:rsidRPr="00CB0DBA">
        <w:rPr>
          <w:lang w:val="en-US"/>
        </w:rPr>
        <w:t>A</w:t>
      </w:r>
      <w:r w:rsidRPr="00CB0DBA">
        <w:t>.</w:t>
      </w:r>
      <w:r w:rsidRPr="00CB0DBA">
        <w:tab/>
        <w:t>История вопроса и мандат</w:t>
      </w:r>
    </w:p>
    <w:p w:rsidR="00CB0DBA" w:rsidRPr="00CB0DBA" w:rsidRDefault="00CB0DBA" w:rsidP="00CB0DBA">
      <w:pPr>
        <w:pStyle w:val="SingleTxtGR"/>
      </w:pPr>
      <w:r w:rsidRPr="00CB0DBA">
        <w:t>1.</w:t>
      </w:r>
      <w:r w:rsidRPr="00CB0DBA">
        <w:tab/>
        <w:t>Обеспечение доступа к эффективным средствам правовой защиты для лиц, которые пострадали от нарушений прав человека, связанных с предприни</w:t>
      </w:r>
      <w:r w:rsidR="00C03AE2">
        <w:t>-</w:t>
      </w:r>
      <w:r w:rsidRPr="00CB0DBA">
        <w:t>мательской деятельностью, является одной из трех составляющих Руководящих принципов предпринимательской деятельности в аспекте права человека (</w:t>
      </w:r>
      <w:r w:rsidRPr="00CB0DBA">
        <w:rPr>
          <w:lang w:val="en-US"/>
        </w:rPr>
        <w:t>A</w:t>
      </w:r>
      <w:r w:rsidRPr="00CB0DBA">
        <w:t>/</w:t>
      </w:r>
      <w:r w:rsidRPr="00CB0DBA">
        <w:rPr>
          <w:lang w:val="en-US"/>
        </w:rPr>
        <w:t>HRC</w:t>
      </w:r>
      <w:r w:rsidRPr="00CB0DBA">
        <w:t>/17/31, приложение), которые были одобрены в июне 2011 года Советом по правам человека. Право жертв нарушений прав человека на правовую защ</w:t>
      </w:r>
      <w:r w:rsidRPr="00CB0DBA">
        <w:t>и</w:t>
      </w:r>
      <w:r w:rsidRPr="00CB0DBA">
        <w:t>ту − ключевой принцип международной системы прав человека. В Руководящих принципах признается, что обеспечение доступа к эффективным средствам правовой защиты составляет часть обязанности всех государств по предотвр</w:t>
      </w:r>
      <w:r w:rsidRPr="00CB0DBA">
        <w:t>а</w:t>
      </w:r>
      <w:r w:rsidRPr="00CB0DBA">
        <w:t>щению нарушений прав человека на своей территории и/или в своей юрисди</w:t>
      </w:r>
      <w:r w:rsidRPr="00CB0DBA">
        <w:t>к</w:t>
      </w:r>
      <w:r w:rsidRPr="00CB0DBA">
        <w:t>ции третьими сторонами, включая предприятия. В руководящем принципе 26 предусматривается, что при устранении связанных с предпринимательской де</w:t>
      </w:r>
      <w:r w:rsidRPr="00CB0DBA">
        <w:t>я</w:t>
      </w:r>
      <w:r w:rsidRPr="00CB0DBA">
        <w:t>тельностью нарушений прав человека государствам следует принимать надл</w:t>
      </w:r>
      <w:r w:rsidRPr="00CB0DBA">
        <w:t>е</w:t>
      </w:r>
      <w:r w:rsidRPr="00CB0DBA">
        <w:t>жащие меры для обеспечения эффективности национальных судебных мех</w:t>
      </w:r>
      <w:r w:rsidRPr="00CB0DBA">
        <w:t>а</w:t>
      </w:r>
      <w:r w:rsidRPr="00CB0DBA">
        <w:t>низмов, в том числе за счет изыскания способов снижения правовых, практич</w:t>
      </w:r>
      <w:r w:rsidRPr="00CB0DBA">
        <w:t>е</w:t>
      </w:r>
      <w:r w:rsidRPr="00CB0DBA">
        <w:t xml:space="preserve">ских и других соответствующих барьеров, которые могли бы явиться причиной отказа в доступе к правовой защите. </w:t>
      </w:r>
    </w:p>
    <w:p w:rsidR="00CB0DBA" w:rsidRPr="00CB0DBA" w:rsidRDefault="00CB0DBA" w:rsidP="00CB0DBA">
      <w:pPr>
        <w:pStyle w:val="SingleTxtGR"/>
      </w:pPr>
      <w:r w:rsidRPr="00CB0DBA">
        <w:t>2.</w:t>
      </w:r>
      <w:r w:rsidRPr="00CB0DBA">
        <w:tab/>
        <w:t>В комментарии к руководящему принципу 26 освещаются проблемы, с которыми сталкиваются частные лица, пытающиеся получить доступ к сре</w:t>
      </w:r>
      <w:r w:rsidRPr="00CB0DBA">
        <w:t>д</w:t>
      </w:r>
      <w:r w:rsidRPr="00CB0DBA">
        <w:t>ствам правовой защиты в случаях нарушений прав человека, связанных с пре</w:t>
      </w:r>
      <w:r w:rsidRPr="00CB0DBA">
        <w:t>д</w:t>
      </w:r>
      <w:r w:rsidRPr="00CB0DBA">
        <w:t>принимательской деятельностью. Проведенные организациями гражданского общества и другими организациями всесторонние исследования о доступности и полезности судебных механизмов как средств получения правовой защиты в случаях нарушений прав человека, связанных с предпринимательской деятел</w:t>
      </w:r>
      <w:r w:rsidRPr="00CB0DBA">
        <w:t>ь</w:t>
      </w:r>
      <w:r w:rsidRPr="00CB0DBA">
        <w:t>ностью, подтвердили, что пострадавшие от таких нарушений зачастую испыт</w:t>
      </w:r>
      <w:r w:rsidRPr="00CB0DBA">
        <w:t>ы</w:t>
      </w:r>
      <w:r w:rsidRPr="00CB0DBA">
        <w:t>вают трудности в получении доступа к эффективным средствам правовой защ</w:t>
      </w:r>
      <w:r w:rsidRPr="00CB0DBA">
        <w:t>и</w:t>
      </w:r>
      <w:r w:rsidRPr="00CB0DBA">
        <w:t>ты. Особые проблемы были отмечены в случаях, которые могут приравниваться к грубым нарушениям прав человека и международным преступлениям, когда совокупное воздействие таких факторов, как отсутствие адекватно функцион</w:t>
      </w:r>
      <w:r w:rsidRPr="00CB0DBA">
        <w:t>и</w:t>
      </w:r>
      <w:r w:rsidRPr="00CB0DBA">
        <w:t>рующих национальных судебных механизмов, отсутствие ясности относител</w:t>
      </w:r>
      <w:r w:rsidRPr="00CB0DBA">
        <w:t>ь</w:t>
      </w:r>
      <w:r w:rsidR="00FF6864">
        <w:t>но соответ</w:t>
      </w:r>
      <w:r w:rsidRPr="00CB0DBA">
        <w:t>ствующих правовых стандартов и опасения мести жертвам и свид</w:t>
      </w:r>
      <w:r w:rsidRPr="00CB0DBA">
        <w:t>е</w:t>
      </w:r>
      <w:r w:rsidRPr="00C03AE2">
        <w:rPr>
          <w:spacing w:val="2"/>
        </w:rPr>
        <w:t>телям, зачастую препятствует жертвам получить какое-либо возмещение ущерба.</w:t>
      </w:r>
    </w:p>
    <w:p w:rsidR="00CB0DBA" w:rsidRPr="00CB0DBA" w:rsidRDefault="00CB0DBA" w:rsidP="00CB0DBA">
      <w:pPr>
        <w:pStyle w:val="SingleTxtGR"/>
      </w:pPr>
      <w:r w:rsidRPr="00CB0DBA">
        <w:t>3.</w:t>
      </w:r>
      <w:r w:rsidRPr="00CB0DBA">
        <w:tab/>
        <w:t>В рамках своего основного мандата по продвижению защиты и поощр</w:t>
      </w:r>
      <w:r w:rsidRPr="00CB0DBA">
        <w:t>е</w:t>
      </w:r>
      <w:r w:rsidRPr="00CB0DBA">
        <w:t>ния прав человека в глобальном масштабе и своей текущей работы по соде</w:t>
      </w:r>
      <w:r w:rsidRPr="00CB0DBA">
        <w:t>й</w:t>
      </w:r>
      <w:r w:rsidRPr="00CB0DBA">
        <w:t>ствию применению Руководящих принципов в 2013 году Управление Верховн</w:t>
      </w:r>
      <w:r w:rsidRPr="00CB0DBA">
        <w:t>о</w:t>
      </w:r>
      <w:r w:rsidRPr="00CB0DBA">
        <w:t>го комиссара Организации Объединенных Наций по правам человека (УВКПЧ) заказало первоначальное исследование об эффективности национальных суде</w:t>
      </w:r>
      <w:r w:rsidRPr="00CB0DBA">
        <w:t>б</w:t>
      </w:r>
      <w:r w:rsidRPr="00CB0DBA">
        <w:t>ных механизмов в случаях предполагаемой причастности предприятий к гр</w:t>
      </w:r>
      <w:r w:rsidRPr="00CB0DBA">
        <w:t>у</w:t>
      </w:r>
      <w:r w:rsidRPr="00CB0DBA">
        <w:t>бым нарушениям прав человека</w:t>
      </w:r>
      <w:r w:rsidR="00C03AE2">
        <w:rPr>
          <w:rStyle w:val="ab"/>
        </w:rPr>
        <w:footnoteReference w:id="1"/>
      </w:r>
      <w:r w:rsidRPr="00CB0DBA">
        <w:t xml:space="preserve">. По итогам рассмотрения фактических данных </w:t>
      </w:r>
      <w:r w:rsidRPr="00CB0DBA">
        <w:lastRenderedPageBreak/>
        <w:t>в 11 различных юрисдикциях и по 40 судебным делам в исследовании сделан вывод, что нынешняя система правовой защиты в таких видах дел в национал</w:t>
      </w:r>
      <w:r w:rsidRPr="00CB0DBA">
        <w:t>ь</w:t>
      </w:r>
      <w:r w:rsidRPr="00CB0DBA">
        <w:t>ном праве является "фрагментарной, непрогнозируемой, зачастую неэффекти</w:t>
      </w:r>
      <w:r w:rsidRPr="00CB0DBA">
        <w:t>в</w:t>
      </w:r>
      <w:r w:rsidRPr="00CB0DBA">
        <w:t>ной и хрупкой"</w:t>
      </w:r>
      <w:r w:rsidR="00C03AE2">
        <w:rPr>
          <w:rStyle w:val="ab"/>
        </w:rPr>
        <w:footnoteReference w:id="2"/>
      </w:r>
      <w:r w:rsidRPr="00CB0DBA">
        <w:t>. В нем обозначен ряд областей, в которых дальнейшее разъя</w:t>
      </w:r>
      <w:r w:rsidRPr="00CB0DBA">
        <w:t>с</w:t>
      </w:r>
      <w:r w:rsidRPr="00CB0DBA">
        <w:t>нение политики и принципов может помочь улучшить доступ к правовой защ</w:t>
      </w:r>
      <w:r w:rsidRPr="00CB0DBA">
        <w:t>и</w:t>
      </w:r>
      <w:r w:rsidRPr="00CB0DBA">
        <w:t>те для жертв, а также содержится призыв уделять большее внимание причинам, объясняющим, очевидно, весьма низкое число предприятий, привлеченных в национальных судах к ответственности в связи с их причастностью к грубым нарушениям прав человека. После опубликова</w:t>
      </w:r>
      <w:r w:rsidR="00C03AE2">
        <w:t>ния исследования в феврале 2014 </w:t>
      </w:r>
      <w:r w:rsidRPr="00CB0DBA">
        <w:t>года УВКПЧ предложило всем заинтересованным сторонам высказаться по поводу основных выводов</w:t>
      </w:r>
      <w:r w:rsidR="00C03AE2">
        <w:rPr>
          <w:rStyle w:val="ab"/>
        </w:rPr>
        <w:footnoteReference w:id="3"/>
      </w:r>
      <w:r w:rsidRPr="00CB0DBA">
        <w:t>. Этот процесс открытых консультаций состоялся в первой половине 2014 года. На базе выводов исследования и представлений, полученных от заинтересованных сторон, УВКПЧ разработало планы дальне</w:t>
      </w:r>
      <w:r w:rsidRPr="00CB0DBA">
        <w:t>й</w:t>
      </w:r>
      <w:r w:rsidRPr="00CB0DBA">
        <w:t>шей работы, которые в сентябре 2014 года прошли процесс экспертного обзора. В состав группы УВКПЧ по экспертному обзору вошли представители гос</w:t>
      </w:r>
      <w:r w:rsidRPr="00CB0DBA">
        <w:t>у</w:t>
      </w:r>
      <w:r w:rsidRPr="00CB0DBA">
        <w:t>дарств, учреждений Организации Объединенных Наций, предпринимательских организаций, профсоюзов, юридических фирм, коллегий адвокатов, академич</w:t>
      </w:r>
      <w:r w:rsidRPr="00CB0DBA">
        <w:t>е</w:t>
      </w:r>
      <w:r w:rsidRPr="00CB0DBA">
        <w:t xml:space="preserve">ских учреждений и групп гражданского общества. </w:t>
      </w:r>
    </w:p>
    <w:p w:rsidR="00CB0DBA" w:rsidRPr="00CB0DBA" w:rsidRDefault="00CB0DBA" w:rsidP="00CB0DBA">
      <w:pPr>
        <w:pStyle w:val="SingleTxtGR"/>
      </w:pPr>
      <w:r w:rsidRPr="00CB0DBA">
        <w:t>4.</w:t>
      </w:r>
      <w:r w:rsidRPr="00CB0DBA">
        <w:tab/>
        <w:t>Признавая необходимость повышения международного внимания к в</w:t>
      </w:r>
      <w:r w:rsidRPr="00CB0DBA">
        <w:t>о</w:t>
      </w:r>
      <w:r w:rsidRPr="00CB0DBA">
        <w:t>просу о доступе к правовой защите и разработке дополнительных руководящих указаний о реализации Руководящих принципов в части доступа к правовой защите, Совет по правам человека в пункте 7 своей резолюции 26/22 просил Верховного комиссара продолжать работу с целью способствовать задействов</w:t>
      </w:r>
      <w:r w:rsidRPr="00CB0DBA">
        <w:t>а</w:t>
      </w:r>
      <w:r w:rsidRPr="00CB0DBA">
        <w:t>нию и использованию полного диапазона правовых вариантов и практических мер для обеспечения более эффективного доступа к средствам правовой защ</w:t>
      </w:r>
      <w:r w:rsidRPr="00CB0DBA">
        <w:t>и</w:t>
      </w:r>
      <w:r w:rsidRPr="00CB0DBA">
        <w:t>ты для жертв нарушений прав человека, связанных с предпринимательской де</w:t>
      </w:r>
      <w:r w:rsidRPr="00CB0DBA">
        <w:t>я</w:t>
      </w:r>
      <w:r w:rsidRPr="00CB0DBA">
        <w:t>тельностью, в сотрудничестве с Рабочей группой по вопросу о правах человека и транснациональных корпорациях и других предприятиях организовать ко</w:t>
      </w:r>
      <w:r w:rsidRPr="00CB0DBA">
        <w:t>н</w:t>
      </w:r>
      <w:r w:rsidRPr="00CB0DBA">
        <w:t>сультации с экспертами, государствами и другими соответствующими заинт</w:t>
      </w:r>
      <w:r w:rsidRPr="00CB0DBA">
        <w:t>е</w:t>
      </w:r>
      <w:r w:rsidRPr="00CB0DBA">
        <w:t>ресованными сторонами в целях содействия взаимопониманию и более шир</w:t>
      </w:r>
      <w:r w:rsidRPr="00CB0DBA">
        <w:t>о</w:t>
      </w:r>
      <w:r w:rsidRPr="00CB0DBA">
        <w:t xml:space="preserve">кому консенсусу в отношении различных точек зрения. Совет также обратился с просьбой к Верховному комиссару опубликовать доклад о ходе работы по этому вопросу до двадцать девятой сессии Совета и представить окончательный доклад на рассмотрение его тридцать второй сессии. </w:t>
      </w:r>
    </w:p>
    <w:p w:rsidR="00CB0DBA" w:rsidRPr="00CB0DBA" w:rsidRDefault="00CB0DBA" w:rsidP="00CB0DBA">
      <w:pPr>
        <w:pStyle w:val="SingleTxtGR"/>
      </w:pPr>
      <w:r w:rsidRPr="00CB0DBA">
        <w:t>5.</w:t>
      </w:r>
      <w:r w:rsidRPr="00CB0DBA">
        <w:tab/>
        <w:t>В ноябре 2014 года УВКПЧ, реагируя на проблемы, выявленные в перв</w:t>
      </w:r>
      <w:r w:rsidRPr="00CB0DBA">
        <w:t>о</w:t>
      </w:r>
      <w:r w:rsidRPr="00CB0DBA">
        <w:t xml:space="preserve">начальном исследовании, последующих представлениях и в ходе экспертных совещаний, а также в соответствии с полученным от Совета по правам человека мандатом, начало проект в области ответственности и правовой защиты в целях </w:t>
      </w:r>
      <w:r w:rsidRPr="00CB0DBA">
        <w:lastRenderedPageBreak/>
        <w:t>содействия более справедливым и более эффективным ответным правовым м</w:t>
      </w:r>
      <w:r w:rsidRPr="00CB0DBA">
        <w:t>е</w:t>
      </w:r>
      <w:r w:rsidRPr="00CB0DBA">
        <w:t>рам на национальном уровне для жертв связанных с предпринимательской де</w:t>
      </w:r>
      <w:r w:rsidRPr="00CB0DBA">
        <w:t>я</w:t>
      </w:r>
      <w:r w:rsidRPr="00CB0DBA">
        <w:t>тельностью нарушений прав человека, особенно в случаях серьезных наруш</w:t>
      </w:r>
      <w:r w:rsidRPr="00CB0DBA">
        <w:t>е</w:t>
      </w:r>
      <w:r w:rsidRPr="00CB0DBA">
        <w:t>ний. В соответствии с резолюцией 26/22 Совета УВКПЧ представит доклад о результатах и выводах проекта на тридцать второй сессии Совета. В настоящем докладе содержится обзор проекта, информация о его охвате и методике, д</w:t>
      </w:r>
      <w:r w:rsidRPr="00CB0DBA">
        <w:t>о</w:t>
      </w:r>
      <w:r w:rsidRPr="00CB0DBA">
        <w:t xml:space="preserve">стигнутом к настоящему времени прогрессе и основных выводах, вытекающих из различных направлений предварительной исследовательской деятельности. </w:t>
      </w:r>
    </w:p>
    <w:p w:rsidR="00CB0DBA" w:rsidRPr="00CB0DBA" w:rsidRDefault="00CB0DBA" w:rsidP="00C03AE2">
      <w:pPr>
        <w:pStyle w:val="H1GR"/>
      </w:pPr>
      <w:r w:rsidRPr="00CB0DBA">
        <w:tab/>
      </w:r>
      <w:r w:rsidRPr="00CB0DBA">
        <w:rPr>
          <w:lang w:val="en-US"/>
        </w:rPr>
        <w:t>B</w:t>
      </w:r>
      <w:r w:rsidRPr="00CB0DBA">
        <w:t>.</w:t>
      </w:r>
      <w:r w:rsidRPr="00CB0DBA">
        <w:tab/>
        <w:t>Цели и охват</w:t>
      </w:r>
    </w:p>
    <w:p w:rsidR="00CB0DBA" w:rsidRPr="00CB0DBA" w:rsidRDefault="00CB0DBA" w:rsidP="00CB0DBA">
      <w:pPr>
        <w:pStyle w:val="SingleTxtGR"/>
      </w:pPr>
      <w:r w:rsidRPr="00CB0DBA">
        <w:t>6.</w:t>
      </w:r>
      <w:r w:rsidRPr="00CB0DBA">
        <w:tab/>
        <w:t>Общая цель проекта в области ответственности и правовой защиты с</w:t>
      </w:r>
      <w:r w:rsidRPr="00CB0DBA">
        <w:t>о</w:t>
      </w:r>
      <w:r w:rsidRPr="00CB0DBA">
        <w:t>стоит в разработке рекомендаций и руководящих указаний для государств по вопросу о достижении более справедливой и более эффективной системы средств правовой защиты в национальном законодательстве в случаях наруш</w:t>
      </w:r>
      <w:r w:rsidRPr="00CB0DBA">
        <w:t>е</w:t>
      </w:r>
      <w:r w:rsidRPr="00CB0DBA">
        <w:t xml:space="preserve">ний прав человека, связанных с предпринимательской деятельностью, особенно в ситуациях серьезных нарушений. </w:t>
      </w:r>
    </w:p>
    <w:p w:rsidR="00CB0DBA" w:rsidRDefault="00CB0DBA" w:rsidP="00CB0DBA">
      <w:pPr>
        <w:pStyle w:val="SingleTxtGR"/>
      </w:pPr>
      <w:r w:rsidRPr="00CB0DBA">
        <w:t>7.</w:t>
      </w:r>
      <w:r w:rsidRPr="00CB0DBA">
        <w:tab/>
        <w:t>Под понятием "более справедливая и более эффективная система средств правовой защиты в национальном законодательстве" УВКПЧ понимает такую систему, в рамках которой все жертвы без какой бы то ни было дискриминации имеют доступ к эффективному средству правовой защиты, и никто не получает отказа в доступе к правосудию по причине своего местонахождения; жертвы в состоянии добиваться правосудия вне зависимости от своих финансовых ресу</w:t>
      </w:r>
      <w:r w:rsidRPr="00CB0DBA">
        <w:t>р</w:t>
      </w:r>
      <w:r w:rsidRPr="00CB0DBA">
        <w:t>сов; которая основана на четких стандартах корпоративного поведения; в кот</w:t>
      </w:r>
      <w:r w:rsidRPr="00CB0DBA">
        <w:t>о</w:t>
      </w:r>
      <w:r w:rsidRPr="00CB0DBA">
        <w:t>рой правоприменение и санкции обеспечивают ответственность и содействуют предотвращению дальнейшего ущерба.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8.</w:t>
      </w:r>
      <w:r w:rsidRPr="00A87B17">
        <w:rPr>
          <w:bCs/>
          <w:w w:val="100"/>
        </w:rPr>
        <w:tab/>
      </w:r>
      <w:r w:rsidRPr="00A87B17">
        <w:rPr>
          <w:w w:val="100"/>
        </w:rPr>
        <w:t>В этой связи проект ставит две ключевые цели: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C03AE2">
        <w:rPr>
          <w:w w:val="100"/>
        </w:rPr>
        <w:tab/>
      </w:r>
      <w:r w:rsidRPr="00A87B17">
        <w:rPr>
          <w:w w:val="100"/>
          <w:lang w:val="en-GB"/>
        </w:rPr>
        <w:t>a</w:t>
      </w:r>
      <w:r w:rsidRPr="00A87B17">
        <w:rPr>
          <w:w w:val="100"/>
        </w:rPr>
        <w:t>)</w:t>
      </w:r>
      <w:r w:rsidRPr="00A87B17">
        <w:rPr>
          <w:w w:val="100"/>
        </w:rPr>
        <w:tab/>
        <w:t>разъяснить стандарты и критерии корпоративной юридической о</w:t>
      </w:r>
      <w:r w:rsidRPr="00A87B17">
        <w:rPr>
          <w:w w:val="100"/>
        </w:rPr>
        <w:t>т</w:t>
      </w:r>
      <w:r w:rsidRPr="00A87B17">
        <w:rPr>
          <w:w w:val="100"/>
        </w:rPr>
        <w:t xml:space="preserve">ветственности </w:t>
      </w:r>
      <w:r>
        <w:rPr>
          <w:w w:val="100"/>
        </w:rPr>
        <w:t>в</w:t>
      </w:r>
      <w:r w:rsidRPr="00A87B17">
        <w:rPr>
          <w:w w:val="100"/>
        </w:rPr>
        <w:t xml:space="preserve"> национальном законодательств</w:t>
      </w:r>
      <w:r>
        <w:rPr>
          <w:w w:val="100"/>
        </w:rPr>
        <w:t>е;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w w:val="100"/>
        </w:rPr>
        <w:tab/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)</w:t>
      </w:r>
      <w:r w:rsidRPr="00A87B17">
        <w:rPr>
          <w:w w:val="100"/>
        </w:rPr>
        <w:tab/>
        <w:t>разработать надежные и выполнимые на практике рекомендации и руководящие указания для государств в отношении каждого из шести компоне</w:t>
      </w:r>
      <w:r w:rsidRPr="00A87B17">
        <w:rPr>
          <w:w w:val="100"/>
        </w:rPr>
        <w:t>н</w:t>
      </w:r>
      <w:r w:rsidRPr="00A87B17">
        <w:rPr>
          <w:w w:val="100"/>
        </w:rPr>
        <w:t xml:space="preserve">тов проекта (см. раздел </w:t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A</w:t>
      </w:r>
      <w:r w:rsidRPr="00A87B17">
        <w:rPr>
          <w:w w:val="100"/>
        </w:rPr>
        <w:t>), чтобы обеспечить более активное и последовател</w:t>
      </w:r>
      <w:r w:rsidRPr="00A87B17">
        <w:rPr>
          <w:w w:val="100"/>
        </w:rPr>
        <w:t>ь</w:t>
      </w:r>
      <w:r w:rsidRPr="00A87B17">
        <w:rPr>
          <w:w w:val="100"/>
        </w:rPr>
        <w:t>ное осуществление Руководящих принципов, в особенности когда это касается причастности предпринимательской деятельности к серьезным нарушениям прав человека.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9.</w:t>
      </w:r>
      <w:r w:rsidRPr="00A87B17">
        <w:rPr>
          <w:bCs/>
          <w:w w:val="100"/>
        </w:rPr>
        <w:tab/>
      </w:r>
      <w:r w:rsidRPr="00A87B17">
        <w:rPr>
          <w:w w:val="100"/>
        </w:rPr>
        <w:t>Решение сконцентрироваться на случаях серьезных нарушений прав чел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века было принято, прежде всего, по стратегическим, </w:t>
      </w:r>
      <w:r>
        <w:rPr>
          <w:w w:val="100"/>
        </w:rPr>
        <w:t>имеющим существенный характер</w:t>
      </w:r>
      <w:r w:rsidRPr="00A87B17">
        <w:rPr>
          <w:w w:val="100"/>
        </w:rPr>
        <w:t xml:space="preserve"> и методологическим соображениям. Во-первых, </w:t>
      </w:r>
      <w:r>
        <w:rPr>
          <w:w w:val="100"/>
        </w:rPr>
        <w:t>определение</w:t>
      </w:r>
      <w:r w:rsidRPr="00A87B17">
        <w:rPr>
          <w:w w:val="100"/>
        </w:rPr>
        <w:t xml:space="preserve"> такого приоритета обосновывается тяжестью воздействия таких нарушений на жертв. Во-вторых, как отмечалось выше, причастность предпринимательской деятельн</w:t>
      </w:r>
      <w:r w:rsidRPr="00A87B17">
        <w:rPr>
          <w:w w:val="100"/>
        </w:rPr>
        <w:t>о</w:t>
      </w:r>
      <w:r w:rsidRPr="00A87B17">
        <w:rPr>
          <w:w w:val="100"/>
        </w:rPr>
        <w:t xml:space="preserve">сти к грубым нарушениям прав человека </w:t>
      </w:r>
      <w:r>
        <w:rPr>
          <w:w w:val="100"/>
        </w:rPr>
        <w:t xml:space="preserve">создает особую группу проблем </w:t>
      </w:r>
      <w:r w:rsidRPr="00A87B17">
        <w:rPr>
          <w:w w:val="100"/>
        </w:rPr>
        <w:t>в обл</w:t>
      </w:r>
      <w:r w:rsidRPr="00A87B17">
        <w:rPr>
          <w:w w:val="100"/>
        </w:rPr>
        <w:t>а</w:t>
      </w:r>
      <w:r w:rsidRPr="00A87B17">
        <w:rPr>
          <w:w w:val="100"/>
        </w:rPr>
        <w:t>сти доступа к правовой защите. В-третьих, уже предпринятые многими госуда</w:t>
      </w:r>
      <w:r w:rsidRPr="00A87B17">
        <w:rPr>
          <w:w w:val="100"/>
        </w:rPr>
        <w:t>р</w:t>
      </w:r>
      <w:r w:rsidRPr="00A87B17">
        <w:rPr>
          <w:w w:val="100"/>
        </w:rPr>
        <w:t xml:space="preserve">ствами меры по обеспечению наказуемости международных преступлений на национальном уровне дают основания предполагать, что </w:t>
      </w:r>
      <w:r>
        <w:rPr>
          <w:w w:val="100"/>
        </w:rPr>
        <w:t>заострение внимания</w:t>
      </w:r>
      <w:r w:rsidRPr="00A87B17">
        <w:rPr>
          <w:w w:val="100"/>
        </w:rPr>
        <w:t xml:space="preserve"> на наиболее серьезных формах нарушений прав человека станет наиболее полезной и показательной отправной точкой для всестороннего сравнительного анализа. Однако это ни в коем случае не подразумевает, что </w:t>
      </w:r>
      <w:r>
        <w:rPr>
          <w:w w:val="100"/>
        </w:rPr>
        <w:t xml:space="preserve">регулятивные меры государств должны застраховать только </w:t>
      </w:r>
      <w:r w:rsidRPr="00A87B17">
        <w:rPr>
          <w:w w:val="100"/>
        </w:rPr>
        <w:t xml:space="preserve">связанные с предпринимательской деятельностью серьезные нарушения прав человека. Напротив, осознавая, что в Руководящих принципах рассматривается </w:t>
      </w:r>
      <w:r>
        <w:rPr>
          <w:w w:val="100"/>
        </w:rPr>
        <w:t>весь спектр</w:t>
      </w:r>
      <w:r w:rsidRPr="00A87B17">
        <w:rPr>
          <w:w w:val="100"/>
        </w:rPr>
        <w:t xml:space="preserve"> связанных с предпринимательской де</w:t>
      </w:r>
      <w:r w:rsidRPr="00A87B17">
        <w:rPr>
          <w:w w:val="100"/>
        </w:rPr>
        <w:t>я</w:t>
      </w:r>
      <w:r w:rsidRPr="00A87B17">
        <w:rPr>
          <w:w w:val="100"/>
        </w:rPr>
        <w:lastRenderedPageBreak/>
        <w:t xml:space="preserve">тельностью правозащитных последствий и что во многих контекстах невозможно или нежелательно </w:t>
      </w:r>
      <w:r>
        <w:rPr>
          <w:w w:val="100"/>
        </w:rPr>
        <w:t>выделять</w:t>
      </w:r>
      <w:r w:rsidRPr="00A87B17">
        <w:rPr>
          <w:w w:val="100"/>
        </w:rPr>
        <w:t xml:space="preserve"> специализированные режимы для отдельных видов нарушений прав человека, УВКПЧ будет изучать результаты проекта в области ответственности и правовой защиты </w:t>
      </w:r>
      <w:r>
        <w:rPr>
          <w:w w:val="100"/>
        </w:rPr>
        <w:t xml:space="preserve">в плане уроков, касающихся значения для </w:t>
      </w:r>
      <w:r w:rsidRPr="00A87B17">
        <w:rPr>
          <w:w w:val="100"/>
        </w:rPr>
        <w:t>доступа к средствам правовой защиты не только</w:t>
      </w:r>
      <w:r>
        <w:rPr>
          <w:w w:val="100"/>
        </w:rPr>
        <w:t xml:space="preserve"> в наиболее серьезных случаях.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10.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Проект в области ответственности и правовой защиты будет сосредоточен на судебных механизмах получения доступа к правовой защите. Это не </w:t>
      </w:r>
      <w:r>
        <w:rPr>
          <w:w w:val="100"/>
        </w:rPr>
        <w:t>принижает значение</w:t>
      </w:r>
      <w:r w:rsidRPr="00A87B17">
        <w:rPr>
          <w:w w:val="100"/>
        </w:rPr>
        <w:t xml:space="preserve"> внесудебных механизмов, которые, как отмечается в руководящем при</w:t>
      </w:r>
      <w:r w:rsidRPr="00A87B17">
        <w:rPr>
          <w:w w:val="100"/>
        </w:rPr>
        <w:t>н</w:t>
      </w:r>
      <w:r w:rsidRPr="00A87B17">
        <w:rPr>
          <w:w w:val="100"/>
        </w:rPr>
        <w:t>ципе 27, являются частью общей государственной системы правовой защиты в случаях нарушений прав человека, связанных с предпринимательской деятельн</w:t>
      </w:r>
      <w:r w:rsidRPr="00A87B17">
        <w:rPr>
          <w:w w:val="100"/>
        </w:rPr>
        <w:t>о</w:t>
      </w:r>
      <w:r w:rsidRPr="00A87B17">
        <w:rPr>
          <w:w w:val="100"/>
        </w:rPr>
        <w:t>стью. Тем не менее</w:t>
      </w:r>
      <w:r>
        <w:rPr>
          <w:w w:val="100"/>
        </w:rPr>
        <w:t xml:space="preserve"> в свете того, что проект призван в первую очередь затрагивать </w:t>
      </w:r>
      <w:r w:rsidRPr="00A87B17">
        <w:rPr>
          <w:w w:val="100"/>
        </w:rPr>
        <w:t>наиболее серьез</w:t>
      </w:r>
      <w:r>
        <w:rPr>
          <w:w w:val="100"/>
        </w:rPr>
        <w:t>ные случаи нарушения</w:t>
      </w:r>
      <w:r w:rsidRPr="00A87B17">
        <w:rPr>
          <w:w w:val="100"/>
        </w:rPr>
        <w:t xml:space="preserve"> прав человека, которые по уже своему х</w:t>
      </w:r>
      <w:r w:rsidRPr="00A87B17">
        <w:rPr>
          <w:w w:val="100"/>
        </w:rPr>
        <w:t>а</w:t>
      </w:r>
      <w:r w:rsidRPr="00A87B17">
        <w:rPr>
          <w:w w:val="100"/>
        </w:rPr>
        <w:t>рактеру могут вызывать вопросы о возможных преступных деяниях, целесообра</w:t>
      </w:r>
      <w:r w:rsidRPr="00A87B17">
        <w:rPr>
          <w:w w:val="100"/>
        </w:rPr>
        <w:t>з</w:t>
      </w:r>
      <w:r w:rsidRPr="00A87B17">
        <w:rPr>
          <w:w w:val="100"/>
        </w:rPr>
        <w:t xml:space="preserve">но </w:t>
      </w:r>
      <w:r>
        <w:rPr>
          <w:w w:val="100"/>
        </w:rPr>
        <w:t>сосредоточить внимание</w:t>
      </w:r>
      <w:r w:rsidRPr="00A87B17">
        <w:rPr>
          <w:w w:val="100"/>
        </w:rPr>
        <w:t xml:space="preserve"> на национальных механизмах, отвечающих за прим</w:t>
      </w:r>
      <w:r w:rsidRPr="00A87B17">
        <w:rPr>
          <w:w w:val="100"/>
        </w:rPr>
        <w:t>е</w:t>
      </w:r>
      <w:r w:rsidRPr="00A87B17">
        <w:rPr>
          <w:w w:val="100"/>
        </w:rPr>
        <w:t xml:space="preserve">нение уголовного права. Будут собраны (см. раздел </w:t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)</w:t>
      </w:r>
      <w:r>
        <w:rPr>
          <w:w w:val="100"/>
        </w:rPr>
        <w:t xml:space="preserve"> </w:t>
      </w:r>
      <w:r w:rsidRPr="00A87B17">
        <w:rPr>
          <w:w w:val="100"/>
        </w:rPr>
        <w:t>данные об использовании внесудебных механизмов, поскольку УВКПЧ признает роль, которую могут и</w:t>
      </w:r>
      <w:r w:rsidRPr="00A87B17">
        <w:rPr>
          <w:w w:val="100"/>
        </w:rPr>
        <w:t>г</w:t>
      </w:r>
      <w:r w:rsidRPr="00A87B17">
        <w:rPr>
          <w:w w:val="100"/>
        </w:rPr>
        <w:t>рать данные механизмы в сокращении издержек</w:t>
      </w:r>
      <w:r w:rsidR="00191B0A">
        <w:rPr>
          <w:w w:val="100"/>
        </w:rPr>
        <w:t>, связанных с</w:t>
      </w:r>
      <w:r w:rsidRPr="00A87B17">
        <w:rPr>
          <w:w w:val="100"/>
        </w:rPr>
        <w:t xml:space="preserve"> разрешение</w:t>
      </w:r>
      <w:r w:rsidR="00191B0A">
        <w:rPr>
          <w:w w:val="100"/>
        </w:rPr>
        <w:t>м</w:t>
      </w:r>
      <w:r w:rsidRPr="00A87B17">
        <w:rPr>
          <w:w w:val="100"/>
        </w:rPr>
        <w:t xml:space="preserve"> сп</w:t>
      </w:r>
      <w:r w:rsidRPr="00A87B17">
        <w:rPr>
          <w:w w:val="100"/>
        </w:rPr>
        <w:t>о</w:t>
      </w:r>
      <w:r w:rsidRPr="00A87B17">
        <w:rPr>
          <w:w w:val="100"/>
        </w:rPr>
        <w:t>ров</w:t>
      </w:r>
      <w:r w:rsidR="00191B0A">
        <w:rPr>
          <w:w w:val="100"/>
        </w:rPr>
        <w:t>,</w:t>
      </w:r>
      <w:r w:rsidRPr="00A87B17">
        <w:rPr>
          <w:w w:val="100"/>
        </w:rPr>
        <w:t xml:space="preserve"> и в создании бо</w:t>
      </w:r>
      <w:r w:rsidR="00191B0A">
        <w:rPr>
          <w:w w:val="100"/>
        </w:rPr>
        <w:t>́</w:t>
      </w:r>
      <w:r w:rsidRPr="00A87B17">
        <w:rPr>
          <w:w w:val="100"/>
        </w:rPr>
        <w:t>льших возможностей для доступа жертв к эффективным сре</w:t>
      </w:r>
      <w:r w:rsidRPr="00A87B17">
        <w:rPr>
          <w:w w:val="100"/>
        </w:rPr>
        <w:t>д</w:t>
      </w:r>
      <w:r w:rsidRPr="00A87B17">
        <w:rPr>
          <w:w w:val="100"/>
        </w:rPr>
        <w:t>ствам право</w:t>
      </w:r>
      <w:r>
        <w:rPr>
          <w:w w:val="100"/>
        </w:rPr>
        <w:t>вой защиты. Вместе с тем</w:t>
      </w:r>
      <w:r w:rsidRPr="00A87B17">
        <w:rPr>
          <w:w w:val="100"/>
        </w:rPr>
        <w:t xml:space="preserve"> внесудебные механизмы должны подде</w:t>
      </w:r>
      <w:r w:rsidRPr="00A87B17">
        <w:rPr>
          <w:w w:val="100"/>
        </w:rPr>
        <w:t>р</w:t>
      </w:r>
      <w:r w:rsidRPr="00A87B17">
        <w:rPr>
          <w:w w:val="100"/>
        </w:rPr>
        <w:t>живаться эффективными судебными механизмами, чтобы государства могли э</w:t>
      </w:r>
      <w:r w:rsidRPr="00A87B17">
        <w:rPr>
          <w:w w:val="100"/>
        </w:rPr>
        <w:t>ф</w:t>
      </w:r>
      <w:r w:rsidRPr="00A87B17">
        <w:rPr>
          <w:w w:val="100"/>
        </w:rPr>
        <w:t xml:space="preserve">фективно привлекать предприятия к ответственности и обеспечивать доступ к правовой защите в наиболее серьезных случаях нарушений прав человека. 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11.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Наконец, хотя проект </w:t>
      </w:r>
      <w:r>
        <w:rPr>
          <w:w w:val="100"/>
        </w:rPr>
        <w:t>посвящен вопросам</w:t>
      </w:r>
      <w:r w:rsidRPr="00A87B17">
        <w:rPr>
          <w:w w:val="100"/>
        </w:rPr>
        <w:t xml:space="preserve"> доступа к правовой защите, как государствам, так и предприятиям необходимо приложить согласованные и </w:t>
      </w:r>
      <w:r>
        <w:rPr>
          <w:w w:val="100"/>
        </w:rPr>
        <w:t>более активные</w:t>
      </w:r>
      <w:r w:rsidRPr="00A87B17">
        <w:rPr>
          <w:w w:val="100"/>
        </w:rPr>
        <w:t xml:space="preserve"> усилия для развития более совершенной превентивной практики и п</w:t>
      </w:r>
      <w:r w:rsidRPr="00A87B17">
        <w:rPr>
          <w:w w:val="100"/>
        </w:rPr>
        <w:t>о</w:t>
      </w:r>
      <w:r w:rsidRPr="00A87B17">
        <w:rPr>
          <w:w w:val="100"/>
        </w:rPr>
        <w:t>литики в отношении связанных с предпринимательской деятельностью наруш</w:t>
      </w:r>
      <w:r w:rsidRPr="00A87B17">
        <w:rPr>
          <w:w w:val="100"/>
        </w:rPr>
        <w:t>е</w:t>
      </w:r>
      <w:r w:rsidRPr="00A87B17">
        <w:rPr>
          <w:w w:val="100"/>
        </w:rPr>
        <w:t xml:space="preserve">ний прав человека. </w:t>
      </w:r>
      <w:r>
        <w:rPr>
          <w:w w:val="100"/>
        </w:rPr>
        <w:t xml:space="preserve">Хотя </w:t>
      </w:r>
      <w:r w:rsidRPr="00A87B17">
        <w:rPr>
          <w:w w:val="100"/>
        </w:rPr>
        <w:t>развитие превентивной практики и политики выходит за рамки про</w:t>
      </w:r>
      <w:r>
        <w:rPr>
          <w:w w:val="100"/>
        </w:rPr>
        <w:t>екта, его методика</w:t>
      </w:r>
      <w:r w:rsidRPr="00A87B17">
        <w:rPr>
          <w:w w:val="100"/>
        </w:rPr>
        <w:t xml:space="preserve"> признает возможн</w:t>
      </w:r>
      <w:r>
        <w:rPr>
          <w:w w:val="100"/>
        </w:rPr>
        <w:t>ую</w:t>
      </w:r>
      <w:r w:rsidRPr="00A87B17">
        <w:rPr>
          <w:w w:val="100"/>
        </w:rPr>
        <w:t xml:space="preserve"> взаимосвяз</w:t>
      </w:r>
      <w:r>
        <w:rPr>
          <w:w w:val="100"/>
        </w:rPr>
        <w:t>ь</w:t>
      </w:r>
      <w:r w:rsidRPr="00A87B17">
        <w:rPr>
          <w:w w:val="100"/>
        </w:rPr>
        <w:t xml:space="preserve"> между превенти</w:t>
      </w:r>
      <w:r w:rsidRPr="00A87B17">
        <w:rPr>
          <w:w w:val="100"/>
        </w:rPr>
        <w:t>в</w:t>
      </w:r>
      <w:r w:rsidRPr="00A87B17">
        <w:rPr>
          <w:w w:val="100"/>
        </w:rPr>
        <w:t>ными усилиями предприятия и его правовыми рисками и юридической отве</w:t>
      </w:r>
      <w:r w:rsidRPr="00A87B17">
        <w:rPr>
          <w:w w:val="100"/>
        </w:rPr>
        <w:t>т</w:t>
      </w:r>
      <w:r w:rsidRPr="00A87B17">
        <w:rPr>
          <w:w w:val="100"/>
        </w:rPr>
        <w:t>ственностью. В рамках проекта буд</w:t>
      </w:r>
      <w:r>
        <w:rPr>
          <w:w w:val="100"/>
        </w:rPr>
        <w:t>у</w:t>
      </w:r>
      <w:r w:rsidRPr="00A87B17">
        <w:rPr>
          <w:w w:val="100"/>
        </w:rPr>
        <w:t>т собран</w:t>
      </w:r>
      <w:r>
        <w:rPr>
          <w:w w:val="100"/>
        </w:rPr>
        <w:t>ы</w:t>
      </w:r>
      <w:r w:rsidRPr="00A87B17">
        <w:rPr>
          <w:w w:val="100"/>
        </w:rPr>
        <w:t xml:space="preserve"> вклад</w:t>
      </w:r>
      <w:r>
        <w:rPr>
          <w:w w:val="100"/>
        </w:rPr>
        <w:t>ы</w:t>
      </w:r>
      <w:r w:rsidRPr="00A87B17">
        <w:rPr>
          <w:w w:val="100"/>
        </w:rPr>
        <w:t xml:space="preserve"> многих </w:t>
      </w:r>
      <w:r>
        <w:rPr>
          <w:w w:val="100"/>
        </w:rPr>
        <w:t xml:space="preserve">разных </w:t>
      </w:r>
      <w:r w:rsidRPr="00A87B17">
        <w:rPr>
          <w:w w:val="100"/>
        </w:rPr>
        <w:t>юрисди</w:t>
      </w:r>
      <w:r w:rsidRPr="00A87B17">
        <w:rPr>
          <w:w w:val="100"/>
        </w:rPr>
        <w:t>к</w:t>
      </w:r>
      <w:r w:rsidRPr="00A87B17">
        <w:rPr>
          <w:w w:val="100"/>
        </w:rPr>
        <w:t>ций по таким вопросам как значение, которое должн</w:t>
      </w:r>
      <w:r>
        <w:rPr>
          <w:w w:val="100"/>
        </w:rPr>
        <w:t>ое внимание к правам</w:t>
      </w:r>
      <w:r w:rsidRPr="00A87B17">
        <w:rPr>
          <w:w w:val="100"/>
        </w:rPr>
        <w:t xml:space="preserve"> чел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века </w:t>
      </w:r>
      <w:r>
        <w:rPr>
          <w:w w:val="100"/>
        </w:rPr>
        <w:t xml:space="preserve">может иметь для </w:t>
      </w:r>
      <w:r w:rsidRPr="00A87B17">
        <w:rPr>
          <w:w w:val="100"/>
        </w:rPr>
        <w:t>юридическ</w:t>
      </w:r>
      <w:r>
        <w:rPr>
          <w:w w:val="100"/>
        </w:rPr>
        <w:t>ой</w:t>
      </w:r>
      <w:r w:rsidRPr="00A87B17">
        <w:rPr>
          <w:w w:val="100"/>
        </w:rPr>
        <w:t xml:space="preserve"> ответственност</w:t>
      </w:r>
      <w:r>
        <w:rPr>
          <w:w w:val="100"/>
        </w:rPr>
        <w:t>и</w:t>
      </w:r>
      <w:r w:rsidRPr="00A87B17">
        <w:rPr>
          <w:w w:val="100"/>
        </w:rPr>
        <w:t xml:space="preserve"> и применени</w:t>
      </w:r>
      <w:r>
        <w:rPr>
          <w:w w:val="100"/>
        </w:rPr>
        <w:t>я</w:t>
      </w:r>
      <w:r w:rsidRPr="00A87B17">
        <w:rPr>
          <w:w w:val="100"/>
        </w:rPr>
        <w:t xml:space="preserve"> санкций, в ц</w:t>
      </w:r>
      <w:r w:rsidRPr="00A87B17">
        <w:rPr>
          <w:w w:val="100"/>
        </w:rPr>
        <w:t>е</w:t>
      </w:r>
      <w:r w:rsidRPr="00A87B17">
        <w:rPr>
          <w:w w:val="100"/>
        </w:rPr>
        <w:t xml:space="preserve">лях </w:t>
      </w:r>
      <w:r>
        <w:rPr>
          <w:w w:val="100"/>
        </w:rPr>
        <w:t xml:space="preserve">более глубокого </w:t>
      </w:r>
      <w:r w:rsidRPr="00A87B17">
        <w:rPr>
          <w:w w:val="100"/>
        </w:rPr>
        <w:t>изучения существующих связей между предупреждением и юридической ответственностью. Это</w:t>
      </w:r>
      <w:r>
        <w:rPr>
          <w:w w:val="100"/>
        </w:rPr>
        <w:t xml:space="preserve"> должно</w:t>
      </w:r>
      <w:r w:rsidRPr="00A87B17">
        <w:rPr>
          <w:w w:val="100"/>
        </w:rPr>
        <w:t xml:space="preserve"> будет обеспеч</w:t>
      </w:r>
      <w:r>
        <w:rPr>
          <w:w w:val="100"/>
        </w:rPr>
        <w:t>ить</w:t>
      </w:r>
      <w:r w:rsidRPr="00A87B17">
        <w:rPr>
          <w:w w:val="100"/>
        </w:rPr>
        <w:t>, чтобы в вытек</w:t>
      </w:r>
      <w:r w:rsidRPr="00A87B17">
        <w:rPr>
          <w:w w:val="100"/>
        </w:rPr>
        <w:t>а</w:t>
      </w:r>
      <w:r w:rsidRPr="00A87B17">
        <w:rPr>
          <w:w w:val="100"/>
        </w:rPr>
        <w:t xml:space="preserve">ющих из проекта практических рекомендациях по мере возможности </w:t>
      </w:r>
      <w:r>
        <w:rPr>
          <w:w w:val="100"/>
        </w:rPr>
        <w:t>затрагив</w:t>
      </w:r>
      <w:r>
        <w:rPr>
          <w:w w:val="100"/>
        </w:rPr>
        <w:t>а</w:t>
      </w:r>
      <w:r>
        <w:rPr>
          <w:w w:val="100"/>
        </w:rPr>
        <w:t xml:space="preserve">лась </w:t>
      </w:r>
      <w:r w:rsidRPr="00A87B17">
        <w:rPr>
          <w:w w:val="100"/>
        </w:rPr>
        <w:t>необходимост</w:t>
      </w:r>
      <w:r>
        <w:rPr>
          <w:w w:val="100"/>
        </w:rPr>
        <w:t>ь</w:t>
      </w:r>
      <w:r w:rsidRPr="00A87B17">
        <w:rPr>
          <w:w w:val="100"/>
        </w:rPr>
        <w:t xml:space="preserve"> как предупре</w:t>
      </w:r>
      <w:r w:rsidR="00C67F60">
        <w:rPr>
          <w:w w:val="100"/>
        </w:rPr>
        <w:t xml:space="preserve">ждения, так и правовой защиты. 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12.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Мандат проекта в области ответственности и правовой защиты </w:t>
      </w:r>
      <w:r>
        <w:rPr>
          <w:w w:val="100"/>
        </w:rPr>
        <w:t>имеет о</w:t>
      </w:r>
      <w:r>
        <w:rPr>
          <w:w w:val="100"/>
        </w:rPr>
        <w:t>т</w:t>
      </w:r>
      <w:r>
        <w:rPr>
          <w:w w:val="100"/>
        </w:rPr>
        <w:t>дельный характер по отношению</w:t>
      </w:r>
      <w:r w:rsidRPr="00A87B17">
        <w:rPr>
          <w:w w:val="100"/>
        </w:rPr>
        <w:t xml:space="preserve"> к решению Совета по правам человека в его р</w:t>
      </w:r>
      <w:r w:rsidRPr="00A87B17">
        <w:rPr>
          <w:w w:val="100"/>
        </w:rPr>
        <w:t>е</w:t>
      </w:r>
      <w:r w:rsidRPr="00A87B17">
        <w:rPr>
          <w:w w:val="100"/>
        </w:rPr>
        <w:t>золюции 26/9 об учреждении межправительственной рабочей группы открытого состава по разработке международного юридически обязывающего документа о правах человека и транснациональных корпорациях и других предпри</w:t>
      </w:r>
      <w:r>
        <w:rPr>
          <w:w w:val="100"/>
        </w:rPr>
        <w:t>ятиях, но может дополнять его.</w:t>
      </w:r>
      <w:r w:rsidRPr="00A87B17">
        <w:rPr>
          <w:w w:val="100"/>
        </w:rPr>
        <w:t xml:space="preserve"> Проект не связан с переговорами по данному </w:t>
      </w:r>
      <w:r>
        <w:rPr>
          <w:w w:val="100"/>
        </w:rPr>
        <w:t>юридическому акту</w:t>
      </w:r>
      <w:r w:rsidRPr="00A87B17">
        <w:rPr>
          <w:w w:val="100"/>
        </w:rPr>
        <w:t>. Тем не ме</w:t>
      </w:r>
      <w:r>
        <w:rPr>
          <w:w w:val="100"/>
        </w:rPr>
        <w:t>нее</w:t>
      </w:r>
      <w:r w:rsidRPr="00A87B17">
        <w:rPr>
          <w:w w:val="100"/>
        </w:rPr>
        <w:t xml:space="preserve"> межправительственная рабочая группа может опираться на м</w:t>
      </w:r>
      <w:r w:rsidRPr="00A87B17">
        <w:rPr>
          <w:w w:val="100"/>
        </w:rPr>
        <w:t>а</w:t>
      </w:r>
      <w:r w:rsidRPr="00A87B17">
        <w:rPr>
          <w:w w:val="100"/>
        </w:rPr>
        <w:t>териалы проекта в своих дискуссиях, если она примет соответствующее решение по данному вопросу.</w:t>
      </w:r>
      <w:r w:rsidR="00C67F60">
        <w:rPr>
          <w:w w:val="100"/>
        </w:rPr>
        <w:t xml:space="preserve"> </w:t>
      </w:r>
    </w:p>
    <w:p w:rsidR="00C03AE2" w:rsidRPr="00A87B17" w:rsidRDefault="00C03AE2" w:rsidP="00C03AE2">
      <w:pPr>
        <w:pStyle w:val="HChGR"/>
        <w:rPr>
          <w:w w:val="100"/>
        </w:rPr>
      </w:pPr>
      <w:r w:rsidRPr="00A87B17">
        <w:rPr>
          <w:w w:val="100"/>
        </w:rPr>
        <w:lastRenderedPageBreak/>
        <w:tab/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</w:rPr>
        <w:tab/>
        <w:t>Проект в области от</w:t>
      </w:r>
      <w:r w:rsidR="00191B0A">
        <w:rPr>
          <w:w w:val="100"/>
        </w:rPr>
        <w:t>ветственности и правовой защиты</w:t>
      </w:r>
    </w:p>
    <w:p w:rsidR="00C03AE2" w:rsidRPr="00A87B17" w:rsidRDefault="00C03AE2" w:rsidP="00C03AE2">
      <w:pPr>
        <w:pStyle w:val="H1GR"/>
        <w:rPr>
          <w:w w:val="100"/>
        </w:rPr>
      </w:pPr>
      <w:r w:rsidRPr="00A87B17">
        <w:rPr>
          <w:w w:val="100"/>
        </w:rPr>
        <w:tab/>
      </w:r>
      <w:r w:rsidRPr="00A87B17">
        <w:rPr>
          <w:w w:val="100"/>
          <w:lang w:val="en-GB"/>
        </w:rPr>
        <w:t>A</w:t>
      </w:r>
      <w:r w:rsidRPr="00A87B17">
        <w:rPr>
          <w:w w:val="100"/>
        </w:rPr>
        <w:t>.</w:t>
      </w:r>
      <w:r w:rsidRPr="00A87B17">
        <w:rPr>
          <w:w w:val="100"/>
        </w:rPr>
        <w:tab/>
      </w:r>
      <w:r>
        <w:rPr>
          <w:w w:val="100"/>
        </w:rPr>
        <w:t>Рассмотрение составляющих</w:t>
      </w:r>
      <w:r w:rsidRPr="00A87B17">
        <w:rPr>
          <w:w w:val="100"/>
        </w:rPr>
        <w:t xml:space="preserve"> проекта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13.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Проект в области ответственности и правовой защиты </w:t>
      </w:r>
      <w:r>
        <w:rPr>
          <w:w w:val="100"/>
        </w:rPr>
        <w:t>имеет шесть</w:t>
      </w:r>
      <w:r w:rsidRPr="00A87B17">
        <w:rPr>
          <w:w w:val="100"/>
        </w:rPr>
        <w:t xml:space="preserve"> отдел</w:t>
      </w:r>
      <w:r w:rsidRPr="00A87B17">
        <w:rPr>
          <w:w w:val="100"/>
        </w:rPr>
        <w:t>ь</w:t>
      </w:r>
      <w:r w:rsidRPr="00A87B17">
        <w:rPr>
          <w:w w:val="100"/>
        </w:rPr>
        <w:t xml:space="preserve">ных, но взаимосвязанных </w:t>
      </w:r>
      <w:r>
        <w:rPr>
          <w:w w:val="100"/>
        </w:rPr>
        <w:t>составляющих</w:t>
      </w:r>
      <w:r w:rsidRPr="00A87B17">
        <w:rPr>
          <w:w w:val="100"/>
        </w:rPr>
        <w:t>. Кажд</w:t>
      </w:r>
      <w:r>
        <w:rPr>
          <w:w w:val="100"/>
        </w:rPr>
        <w:t>ая из них была выбрана</w:t>
      </w:r>
      <w:r w:rsidRPr="00A87B17">
        <w:rPr>
          <w:w w:val="100"/>
        </w:rPr>
        <w:t xml:space="preserve"> на основе вопросов, которые определены в исследовании и в ходе консультаций как треб</w:t>
      </w:r>
      <w:r w:rsidRPr="00A87B17">
        <w:rPr>
          <w:w w:val="100"/>
        </w:rPr>
        <w:t>у</w:t>
      </w:r>
      <w:r w:rsidRPr="00A87B17">
        <w:rPr>
          <w:w w:val="100"/>
        </w:rPr>
        <w:t xml:space="preserve">ющие дальнейшего разъяснения с точки зрения политики и принципов. Выбор </w:t>
      </w:r>
      <w:r>
        <w:rPr>
          <w:w w:val="100"/>
        </w:rPr>
        <w:t>с</w:t>
      </w:r>
      <w:r>
        <w:rPr>
          <w:w w:val="100"/>
        </w:rPr>
        <w:t>о</w:t>
      </w:r>
      <w:r>
        <w:rPr>
          <w:w w:val="100"/>
        </w:rPr>
        <w:t>ставляющих</w:t>
      </w:r>
      <w:r w:rsidRPr="00A87B17">
        <w:rPr>
          <w:w w:val="100"/>
        </w:rPr>
        <w:t xml:space="preserve"> также был обусловлен их стратегическим значением и потенциалом </w:t>
      </w:r>
      <w:r>
        <w:rPr>
          <w:w w:val="100"/>
        </w:rPr>
        <w:t>в плане</w:t>
      </w:r>
      <w:r w:rsidRPr="00A87B17">
        <w:rPr>
          <w:w w:val="100"/>
        </w:rPr>
        <w:t xml:space="preserve"> достижени</w:t>
      </w:r>
      <w:r>
        <w:rPr>
          <w:w w:val="100"/>
        </w:rPr>
        <w:t>я</w:t>
      </w:r>
      <w:r w:rsidRPr="00A87B17">
        <w:rPr>
          <w:w w:val="100"/>
        </w:rPr>
        <w:t xml:space="preserve"> таких результатов, которые могут оказать практическое поз</w:t>
      </w:r>
      <w:r w:rsidRPr="00A87B17">
        <w:rPr>
          <w:w w:val="100"/>
        </w:rPr>
        <w:t>и</w:t>
      </w:r>
      <w:r w:rsidRPr="00A87B17">
        <w:rPr>
          <w:w w:val="100"/>
        </w:rPr>
        <w:t>тивное воздействие на затронутые заинтересованные стороны в краткосрочной и среднесрочной перспективе. Кажд</w:t>
      </w:r>
      <w:r>
        <w:rPr>
          <w:w w:val="100"/>
        </w:rPr>
        <w:t>ая составляющая</w:t>
      </w:r>
      <w:r w:rsidRPr="00A87B17">
        <w:rPr>
          <w:w w:val="100"/>
        </w:rPr>
        <w:t xml:space="preserve"> обособлен</w:t>
      </w:r>
      <w:r>
        <w:rPr>
          <w:w w:val="100"/>
        </w:rPr>
        <w:t>а</w:t>
      </w:r>
      <w:r w:rsidRPr="00A87B17">
        <w:rPr>
          <w:w w:val="100"/>
        </w:rPr>
        <w:t xml:space="preserve"> и имеет свою со</w:t>
      </w:r>
      <w:r w:rsidRPr="00A87B17">
        <w:rPr>
          <w:w w:val="100"/>
        </w:rPr>
        <w:t>б</w:t>
      </w:r>
      <w:r w:rsidRPr="00A87B17">
        <w:rPr>
          <w:w w:val="100"/>
        </w:rPr>
        <w:t>ственную метод</w:t>
      </w:r>
      <w:r>
        <w:rPr>
          <w:w w:val="100"/>
        </w:rPr>
        <w:t>ику</w:t>
      </w:r>
      <w:r w:rsidRPr="00A87B17">
        <w:rPr>
          <w:w w:val="100"/>
        </w:rPr>
        <w:t>, но при этом все они существенным образом связаны друг с другом. Во всех случаях метод</w:t>
      </w:r>
      <w:r>
        <w:rPr>
          <w:w w:val="100"/>
        </w:rPr>
        <w:t>ика</w:t>
      </w:r>
      <w:r w:rsidRPr="00A87B17">
        <w:rPr>
          <w:w w:val="100"/>
        </w:rPr>
        <w:t xml:space="preserve"> основывается на всеобъемлющем вкладе мн</w:t>
      </w:r>
      <w:r w:rsidRPr="00A87B17">
        <w:rPr>
          <w:w w:val="100"/>
        </w:rPr>
        <w:t>о</w:t>
      </w:r>
      <w:r w:rsidRPr="00A87B17">
        <w:rPr>
          <w:w w:val="100"/>
        </w:rPr>
        <w:t>гих заинтере</w:t>
      </w:r>
      <w:r>
        <w:rPr>
          <w:w w:val="100"/>
        </w:rPr>
        <w:t>сованных сторон и</w:t>
      </w:r>
      <w:r w:rsidRPr="00A87B17">
        <w:rPr>
          <w:w w:val="100"/>
        </w:rPr>
        <w:t xml:space="preserve"> экспертов и на всеохватных консультациях с н</w:t>
      </w:r>
      <w:r w:rsidRPr="00A87B17">
        <w:rPr>
          <w:w w:val="100"/>
        </w:rPr>
        <w:t>и</w:t>
      </w:r>
      <w:r w:rsidRPr="00A87B17">
        <w:rPr>
          <w:w w:val="100"/>
        </w:rPr>
        <w:t xml:space="preserve">ми. Шесть </w:t>
      </w:r>
      <w:r>
        <w:rPr>
          <w:w w:val="100"/>
        </w:rPr>
        <w:t>составляющих</w:t>
      </w:r>
      <w:r w:rsidRPr="00A87B17">
        <w:rPr>
          <w:w w:val="100"/>
        </w:rPr>
        <w:t xml:space="preserve"> проекта являются следующими: 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a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1 проекта</w:t>
      </w:r>
      <w:r>
        <w:rPr>
          <w:w w:val="100"/>
        </w:rPr>
        <w:t xml:space="preserve">: </w:t>
      </w:r>
      <w:r w:rsidRPr="00A87B17">
        <w:rPr>
          <w:w w:val="100"/>
        </w:rPr>
        <w:t>крит</w:t>
      </w:r>
      <w:r>
        <w:rPr>
          <w:w w:val="100"/>
        </w:rPr>
        <w:t>ерии</w:t>
      </w:r>
      <w:r w:rsidRPr="00A87B17">
        <w:rPr>
          <w:w w:val="100"/>
        </w:rPr>
        <w:t xml:space="preserve"> национального законодательства в области корпоративно</w:t>
      </w:r>
      <w:r>
        <w:rPr>
          <w:w w:val="100"/>
        </w:rPr>
        <w:t>й ответственности. В рамках этой составляющей</w:t>
      </w:r>
      <w:r w:rsidRPr="00A87B17">
        <w:rPr>
          <w:w w:val="100"/>
        </w:rPr>
        <w:t xml:space="preserve"> будет </w:t>
      </w:r>
      <w:r>
        <w:rPr>
          <w:w w:val="100"/>
        </w:rPr>
        <w:t>уточнено</w:t>
      </w:r>
      <w:r w:rsidRPr="00A87B17">
        <w:rPr>
          <w:w w:val="100"/>
        </w:rPr>
        <w:t xml:space="preserve">, каким образом национальные правовые системы </w:t>
      </w:r>
      <w:r>
        <w:rPr>
          <w:w w:val="100"/>
        </w:rPr>
        <w:t>устанавливают</w:t>
      </w:r>
      <w:r w:rsidRPr="00A87B17">
        <w:rPr>
          <w:w w:val="100"/>
        </w:rPr>
        <w:t xml:space="preserve"> и оц</w:t>
      </w:r>
      <w:r w:rsidRPr="00A87B17">
        <w:rPr>
          <w:w w:val="100"/>
        </w:rPr>
        <w:t>е</w:t>
      </w:r>
      <w:r w:rsidRPr="00A87B17">
        <w:rPr>
          <w:w w:val="100"/>
        </w:rPr>
        <w:t xml:space="preserve">нивают корпоративную юридическую ответственность за серьезные нарушения прав человека. </w:t>
      </w:r>
      <w:r>
        <w:rPr>
          <w:w w:val="100"/>
        </w:rPr>
        <w:t>Здесь будут</w:t>
      </w:r>
      <w:r w:rsidRPr="00A87B17">
        <w:rPr>
          <w:w w:val="100"/>
        </w:rPr>
        <w:t xml:space="preserve"> </w:t>
      </w:r>
      <w:r w:rsidR="00191B0A">
        <w:rPr>
          <w:w w:val="100"/>
        </w:rPr>
        <w:t xml:space="preserve">определены </w:t>
      </w:r>
      <w:r w:rsidRPr="00A87B17">
        <w:rPr>
          <w:w w:val="100"/>
        </w:rPr>
        <w:t>образцы надлежащей практики для орие</w:t>
      </w:r>
      <w:r w:rsidRPr="00A87B17">
        <w:rPr>
          <w:w w:val="100"/>
        </w:rPr>
        <w:t>н</w:t>
      </w:r>
      <w:r w:rsidRPr="00A87B17">
        <w:rPr>
          <w:w w:val="100"/>
        </w:rPr>
        <w:t>тирования государств относительно факторов, которые следует учитывать при проведении оценки корпоративной ответственности в случаях предполагаемой причастности предприятий к серьезным нарушениям прав человека. Информация будет собрана в основном за счет глобальных интернет-консультаций и подробн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го сравнительного процесса, который описывается ниже (см. раздел </w:t>
      </w:r>
      <w:r w:rsidRPr="00A87B17">
        <w:rPr>
          <w:w w:val="100"/>
          <w:lang w:val="fr-FR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US"/>
        </w:rPr>
        <w:t>B</w:t>
      </w:r>
      <w:r w:rsidRPr="00A87B17">
        <w:rPr>
          <w:w w:val="100"/>
        </w:rPr>
        <w:t>);</w:t>
      </w:r>
      <w:r w:rsidR="00C67F60">
        <w:rPr>
          <w:w w:val="100"/>
        </w:rPr>
        <w:t xml:space="preserve"> 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2 проекта</w:t>
      </w:r>
      <w:r>
        <w:rPr>
          <w:w w:val="100"/>
        </w:rPr>
        <w:t>:</w:t>
      </w:r>
      <w:r w:rsidRPr="00A87B17">
        <w:rPr>
          <w:w w:val="100"/>
        </w:rPr>
        <w:t xml:space="preserve"> </w:t>
      </w:r>
      <w:r>
        <w:rPr>
          <w:w w:val="100"/>
        </w:rPr>
        <w:t>роль и ответственность</w:t>
      </w:r>
      <w:r w:rsidRPr="00A87B17">
        <w:rPr>
          <w:w w:val="100"/>
        </w:rPr>
        <w:t xml:space="preserve"> заинтересованных государств. В р</w:t>
      </w:r>
      <w:r>
        <w:rPr>
          <w:w w:val="100"/>
        </w:rPr>
        <w:t>амках этой составляющей</w:t>
      </w:r>
      <w:r w:rsidRPr="00A87B17">
        <w:rPr>
          <w:w w:val="100"/>
        </w:rPr>
        <w:t xml:space="preserve"> будет изучена практика и позиция гос</w:t>
      </w:r>
      <w:r w:rsidRPr="00A87B17">
        <w:rPr>
          <w:w w:val="100"/>
        </w:rPr>
        <w:t>у</w:t>
      </w:r>
      <w:r w:rsidRPr="00A87B17">
        <w:rPr>
          <w:w w:val="100"/>
        </w:rPr>
        <w:t>дарств в отношении надлежащего применения экстерриториальной юрисдикции и национальных мер с экстерри</w:t>
      </w:r>
      <w:r>
        <w:rPr>
          <w:w w:val="100"/>
        </w:rPr>
        <w:t>ториальными последствиями. На ее</w:t>
      </w:r>
      <w:r w:rsidRPr="00A87B17">
        <w:rPr>
          <w:w w:val="100"/>
        </w:rPr>
        <w:t xml:space="preserve"> основе будут определены образцы надлежащей практики</w:t>
      </w:r>
      <w:r>
        <w:rPr>
          <w:w w:val="100"/>
        </w:rPr>
        <w:t>, призванные</w:t>
      </w:r>
      <w:r w:rsidRPr="00A87B17">
        <w:rPr>
          <w:w w:val="100"/>
        </w:rPr>
        <w:t xml:space="preserve"> ориентирова</w:t>
      </w:r>
      <w:r>
        <w:rPr>
          <w:w w:val="100"/>
        </w:rPr>
        <w:t xml:space="preserve">ть </w:t>
      </w:r>
      <w:r w:rsidRPr="00A87B17">
        <w:rPr>
          <w:w w:val="100"/>
        </w:rPr>
        <w:t>госуда</w:t>
      </w:r>
      <w:r w:rsidRPr="00A87B17">
        <w:rPr>
          <w:w w:val="100"/>
        </w:rPr>
        <w:t>р</w:t>
      </w:r>
      <w:r w:rsidRPr="00A87B17">
        <w:rPr>
          <w:w w:val="100"/>
        </w:rPr>
        <w:t>ств</w:t>
      </w:r>
      <w:r>
        <w:rPr>
          <w:w w:val="100"/>
        </w:rPr>
        <w:t>а в решении международных дел, и</w:t>
      </w:r>
      <w:r w:rsidRPr="00A87B17">
        <w:rPr>
          <w:w w:val="100"/>
        </w:rPr>
        <w:t xml:space="preserve"> изучены возможные модели междунаро</w:t>
      </w:r>
      <w:r w:rsidRPr="00A87B17">
        <w:rPr>
          <w:w w:val="100"/>
        </w:rPr>
        <w:t>д</w:t>
      </w:r>
      <w:r w:rsidRPr="00A87B17">
        <w:rPr>
          <w:w w:val="100"/>
        </w:rPr>
        <w:t>ного и двустороннего сотрудничества. Анализ будет прово</w:t>
      </w:r>
      <w:r>
        <w:rPr>
          <w:w w:val="100"/>
        </w:rPr>
        <w:t>диться, главным обр</w:t>
      </w:r>
      <w:r>
        <w:rPr>
          <w:w w:val="100"/>
        </w:rPr>
        <w:t>а</w:t>
      </w:r>
      <w:r>
        <w:rPr>
          <w:w w:val="100"/>
        </w:rPr>
        <w:t>зом, в виде личных контактов</w:t>
      </w:r>
      <w:r w:rsidRPr="00A87B17">
        <w:rPr>
          <w:w w:val="100"/>
        </w:rPr>
        <w:t xml:space="preserve"> с представителями правительств, котор</w:t>
      </w:r>
      <w:r>
        <w:rPr>
          <w:w w:val="100"/>
        </w:rPr>
        <w:t>ые</w:t>
      </w:r>
      <w:r w:rsidRPr="00A87B17">
        <w:rPr>
          <w:w w:val="100"/>
        </w:rPr>
        <w:t xml:space="preserve"> буд</w:t>
      </w:r>
      <w:r>
        <w:rPr>
          <w:w w:val="100"/>
        </w:rPr>
        <w:t>у</w:t>
      </w:r>
      <w:r w:rsidRPr="00A87B17">
        <w:rPr>
          <w:w w:val="100"/>
        </w:rPr>
        <w:t>т д</w:t>
      </w:r>
      <w:r w:rsidRPr="00A87B17">
        <w:rPr>
          <w:w w:val="100"/>
        </w:rPr>
        <w:t>о</w:t>
      </w:r>
      <w:r w:rsidRPr="00A87B17">
        <w:rPr>
          <w:w w:val="100"/>
        </w:rPr>
        <w:t>полняться консультациями и дискуссиями с различными заинтересованными ст</w:t>
      </w:r>
      <w:r w:rsidRPr="00A87B17">
        <w:rPr>
          <w:w w:val="100"/>
        </w:rPr>
        <w:t>о</w:t>
      </w:r>
      <w:r w:rsidRPr="00A87B17">
        <w:rPr>
          <w:w w:val="100"/>
        </w:rPr>
        <w:t>ро</w:t>
      </w:r>
      <w:r>
        <w:rPr>
          <w:w w:val="100"/>
        </w:rPr>
        <w:t>нами. Были</w:t>
      </w:r>
      <w:r w:rsidRPr="00A87B17">
        <w:rPr>
          <w:w w:val="100"/>
        </w:rPr>
        <w:t xml:space="preserve"> проведен</w:t>
      </w:r>
      <w:r>
        <w:rPr>
          <w:w w:val="100"/>
        </w:rPr>
        <w:t>ы</w:t>
      </w:r>
      <w:r w:rsidRPr="00A87B17">
        <w:rPr>
          <w:w w:val="100"/>
        </w:rPr>
        <w:t xml:space="preserve"> предвари</w:t>
      </w:r>
      <w:r>
        <w:rPr>
          <w:w w:val="100"/>
        </w:rPr>
        <w:t>тельны</w:t>
      </w:r>
      <w:r w:rsidRPr="00A87B17">
        <w:rPr>
          <w:w w:val="100"/>
        </w:rPr>
        <w:t>е исследовани</w:t>
      </w:r>
      <w:r>
        <w:rPr>
          <w:w w:val="100"/>
        </w:rPr>
        <w:t>я</w:t>
      </w:r>
      <w:r w:rsidRPr="00A87B17">
        <w:rPr>
          <w:w w:val="100"/>
        </w:rPr>
        <w:t xml:space="preserve"> практики государств </w:t>
      </w:r>
      <w:r>
        <w:rPr>
          <w:w w:val="100"/>
        </w:rPr>
        <w:t>в</w:t>
      </w:r>
      <w:r w:rsidRPr="00A87B17">
        <w:rPr>
          <w:w w:val="100"/>
        </w:rPr>
        <w:t xml:space="preserve"> вопрос</w:t>
      </w:r>
      <w:r>
        <w:rPr>
          <w:w w:val="100"/>
        </w:rPr>
        <w:t>ах трудовых прав</w:t>
      </w:r>
      <w:r w:rsidRPr="00A87B17">
        <w:rPr>
          <w:w w:val="100"/>
        </w:rPr>
        <w:t xml:space="preserve"> и текущей практики и позиций государств в отношении применения экстерриториальной юрисдикции, примеры которых приводятся </w:t>
      </w:r>
      <w:r>
        <w:rPr>
          <w:w w:val="100"/>
        </w:rPr>
        <w:t>в в</w:t>
      </w:r>
      <w:r>
        <w:rPr>
          <w:w w:val="100"/>
        </w:rPr>
        <w:t>и</w:t>
      </w:r>
      <w:r>
        <w:rPr>
          <w:w w:val="100"/>
        </w:rPr>
        <w:t xml:space="preserve">де записок </w:t>
      </w:r>
      <w:r w:rsidRPr="00A87B17">
        <w:rPr>
          <w:w w:val="100"/>
          <w:lang w:val="en-GB"/>
        </w:rPr>
        <w:t>amicus</w:t>
      </w:r>
      <w:r w:rsidRPr="00A87B17">
        <w:rPr>
          <w:w w:val="100"/>
        </w:rPr>
        <w:t xml:space="preserve"> </w:t>
      </w:r>
      <w:r w:rsidRPr="00A87B17">
        <w:rPr>
          <w:w w:val="100"/>
          <w:lang w:val="en-GB"/>
        </w:rPr>
        <w:t>curiae</w:t>
      </w:r>
      <w:r w:rsidRPr="00A87B17">
        <w:rPr>
          <w:w w:val="100"/>
        </w:rPr>
        <w:t xml:space="preserve"> суверенных государств </w:t>
      </w:r>
      <w:r>
        <w:rPr>
          <w:w w:val="100"/>
        </w:rPr>
        <w:t xml:space="preserve">в делах, затрагивающих закон о </w:t>
      </w:r>
      <w:r w:rsidRPr="00A87B17">
        <w:rPr>
          <w:w w:val="100"/>
        </w:rPr>
        <w:t>правонарушениях в отношении иностранных граждан в судах Соединенных Шт</w:t>
      </w:r>
      <w:r w:rsidRPr="00A87B17">
        <w:rPr>
          <w:w w:val="100"/>
        </w:rPr>
        <w:t>а</w:t>
      </w:r>
      <w:r w:rsidRPr="00A87B17">
        <w:rPr>
          <w:w w:val="100"/>
        </w:rPr>
        <w:t xml:space="preserve">тов Америки. Выводы </w:t>
      </w:r>
      <w:r>
        <w:rPr>
          <w:w w:val="100"/>
        </w:rPr>
        <w:t xml:space="preserve">этих </w:t>
      </w:r>
      <w:r w:rsidRPr="00A87B17">
        <w:rPr>
          <w:w w:val="100"/>
        </w:rPr>
        <w:t>предварительн</w:t>
      </w:r>
      <w:r>
        <w:rPr>
          <w:w w:val="100"/>
        </w:rPr>
        <w:t>ых</w:t>
      </w:r>
      <w:r w:rsidRPr="00A87B17">
        <w:rPr>
          <w:w w:val="100"/>
        </w:rPr>
        <w:t xml:space="preserve"> исследова</w:t>
      </w:r>
      <w:r>
        <w:rPr>
          <w:w w:val="100"/>
        </w:rPr>
        <w:t>ний</w:t>
      </w:r>
      <w:r w:rsidRPr="00A87B17">
        <w:rPr>
          <w:w w:val="100"/>
        </w:rPr>
        <w:t xml:space="preserve"> будут использованы для будущей работы и дискуссий (см. разделы </w:t>
      </w:r>
      <w:r w:rsidRPr="00A87B17">
        <w:rPr>
          <w:w w:val="100"/>
          <w:lang w:val="en-GB"/>
        </w:rPr>
        <w:t>III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-</w:t>
      </w:r>
      <w:r w:rsidRPr="00A87B17">
        <w:rPr>
          <w:w w:val="100"/>
          <w:lang w:val="en-GB"/>
        </w:rPr>
        <w:t>C</w:t>
      </w:r>
      <w:r w:rsidRPr="00A87B17">
        <w:rPr>
          <w:w w:val="100"/>
        </w:rPr>
        <w:t>);</w:t>
      </w:r>
      <w:r w:rsidR="00C67F60">
        <w:rPr>
          <w:w w:val="100"/>
        </w:rPr>
        <w:t xml:space="preserve"> 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c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3 проекта</w:t>
      </w:r>
      <w:r>
        <w:rPr>
          <w:w w:val="100"/>
        </w:rPr>
        <w:t>:</w:t>
      </w:r>
      <w:r w:rsidRPr="00A87B17">
        <w:rPr>
          <w:w w:val="100"/>
        </w:rPr>
        <w:t xml:space="preserve"> преодолени</w:t>
      </w:r>
      <w:r>
        <w:rPr>
          <w:w w:val="100"/>
        </w:rPr>
        <w:t>е</w:t>
      </w:r>
      <w:r w:rsidRPr="00A87B17">
        <w:rPr>
          <w:w w:val="100"/>
        </w:rPr>
        <w:t xml:space="preserve"> финансовых препятствий для </w:t>
      </w:r>
      <w:r>
        <w:rPr>
          <w:w w:val="100"/>
        </w:rPr>
        <w:t>подачи исковых заявлений. В рамках этой составляющей</w:t>
      </w:r>
      <w:r w:rsidRPr="00A87B17">
        <w:rPr>
          <w:w w:val="100"/>
        </w:rPr>
        <w:t xml:space="preserve"> будут рассмотрены стр</w:t>
      </w:r>
      <w:r w:rsidRPr="00A87B17">
        <w:rPr>
          <w:w w:val="100"/>
        </w:rPr>
        <w:t>а</w:t>
      </w:r>
      <w:r w:rsidRPr="00A87B17">
        <w:rPr>
          <w:w w:val="100"/>
        </w:rPr>
        <w:t>тегии и практика оказани</w:t>
      </w:r>
      <w:r>
        <w:rPr>
          <w:w w:val="100"/>
        </w:rPr>
        <w:t>я</w:t>
      </w:r>
      <w:r w:rsidRPr="00A87B17">
        <w:rPr>
          <w:w w:val="100"/>
        </w:rPr>
        <w:t xml:space="preserve"> содействия истцам, которые в ином случае были бы лишены доступа к судебным механизмам в силу судебных издержек, а его резул</w:t>
      </w:r>
      <w:r w:rsidRPr="00A87B17">
        <w:rPr>
          <w:w w:val="100"/>
        </w:rPr>
        <w:t>ь</w:t>
      </w:r>
      <w:r w:rsidRPr="00A87B17">
        <w:rPr>
          <w:w w:val="100"/>
        </w:rPr>
        <w:t>татом станут руко</w:t>
      </w:r>
      <w:r>
        <w:rPr>
          <w:w w:val="100"/>
        </w:rPr>
        <w:t>водящие указания о "</w:t>
      </w:r>
      <w:r w:rsidRPr="00A87B17">
        <w:rPr>
          <w:w w:val="100"/>
        </w:rPr>
        <w:t>минимальных мерах</w:t>
      </w:r>
      <w:r>
        <w:rPr>
          <w:w w:val="100"/>
        </w:rPr>
        <w:t>" и "</w:t>
      </w:r>
      <w:r w:rsidRPr="00A87B17">
        <w:rPr>
          <w:w w:val="100"/>
        </w:rPr>
        <w:t>вариантах надл</w:t>
      </w:r>
      <w:r w:rsidRPr="00A87B17">
        <w:rPr>
          <w:w w:val="100"/>
        </w:rPr>
        <w:t>е</w:t>
      </w:r>
      <w:r w:rsidRPr="00A87B17">
        <w:rPr>
          <w:w w:val="100"/>
        </w:rPr>
        <w:t>жащей практи</w:t>
      </w:r>
      <w:r>
        <w:rPr>
          <w:w w:val="100"/>
        </w:rPr>
        <w:t>ки"</w:t>
      </w:r>
      <w:r w:rsidRPr="00A87B17">
        <w:rPr>
          <w:w w:val="100"/>
        </w:rPr>
        <w:t xml:space="preserve"> для государств. Информация будет собрана, главным образом, посредством глобальных интернет-консультаций и подробного </w:t>
      </w:r>
      <w:r>
        <w:rPr>
          <w:w w:val="100"/>
        </w:rPr>
        <w:t>сопоставительного</w:t>
      </w:r>
      <w:r w:rsidRPr="00A87B17">
        <w:rPr>
          <w:w w:val="100"/>
        </w:rPr>
        <w:t xml:space="preserve"> процесса, описанного ниже (см. раздел </w:t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 xml:space="preserve">). Для дополнения данных процессов </w:t>
      </w:r>
      <w:r w:rsidRPr="00A87B17">
        <w:rPr>
          <w:w w:val="100"/>
        </w:rPr>
        <w:lastRenderedPageBreak/>
        <w:t xml:space="preserve">УВКПЧ также провело обзор недавнего </w:t>
      </w:r>
      <w:r>
        <w:rPr>
          <w:w w:val="100"/>
        </w:rPr>
        <w:t>сопоставительного</w:t>
      </w:r>
      <w:r w:rsidRPr="00A87B17">
        <w:rPr>
          <w:w w:val="100"/>
        </w:rPr>
        <w:t xml:space="preserve"> исследования о сто</w:t>
      </w:r>
      <w:r w:rsidRPr="00A87B17">
        <w:rPr>
          <w:w w:val="100"/>
        </w:rPr>
        <w:t>и</w:t>
      </w:r>
      <w:r w:rsidRPr="00A87B17">
        <w:rPr>
          <w:w w:val="100"/>
        </w:rPr>
        <w:t xml:space="preserve">мости подачи судебных исков в соответствии с частным правом (см. раздел </w:t>
      </w:r>
      <w:r w:rsidRPr="00A87B17">
        <w:rPr>
          <w:w w:val="100"/>
          <w:lang w:val="en-US"/>
        </w:rPr>
        <w:t>III</w:t>
      </w:r>
      <w:r w:rsidRPr="00A87B17">
        <w:rPr>
          <w:w w:val="100"/>
        </w:rPr>
        <w:t xml:space="preserve">); 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d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4 проекта</w:t>
      </w:r>
      <w:r>
        <w:rPr>
          <w:w w:val="100"/>
        </w:rPr>
        <w:t xml:space="preserve">: </w:t>
      </w:r>
      <w:r w:rsidRPr="00A87B17">
        <w:rPr>
          <w:w w:val="100"/>
        </w:rPr>
        <w:t>уголовны</w:t>
      </w:r>
      <w:r>
        <w:rPr>
          <w:w w:val="100"/>
        </w:rPr>
        <w:t>е</w:t>
      </w:r>
      <w:r w:rsidRPr="00A87B17">
        <w:rPr>
          <w:w w:val="100"/>
        </w:rPr>
        <w:t xml:space="preserve"> наказания. В рамках данно</w:t>
      </w:r>
      <w:r>
        <w:rPr>
          <w:w w:val="100"/>
        </w:rPr>
        <w:t>й с</w:t>
      </w:r>
      <w:r>
        <w:rPr>
          <w:w w:val="100"/>
        </w:rPr>
        <w:t>о</w:t>
      </w:r>
      <w:r>
        <w:rPr>
          <w:w w:val="100"/>
        </w:rPr>
        <w:t>ставляющей</w:t>
      </w:r>
      <w:r w:rsidRPr="00A87B17">
        <w:rPr>
          <w:w w:val="100"/>
        </w:rPr>
        <w:t xml:space="preserve"> будет проведен обзор текущей и </w:t>
      </w:r>
      <w:r>
        <w:rPr>
          <w:w w:val="100"/>
        </w:rPr>
        <w:t>новой</w:t>
      </w:r>
      <w:r w:rsidRPr="00A87B17">
        <w:rPr>
          <w:w w:val="100"/>
        </w:rPr>
        <w:t xml:space="preserve"> практики государств в обл</w:t>
      </w:r>
      <w:r w:rsidRPr="00A87B17">
        <w:rPr>
          <w:w w:val="100"/>
        </w:rPr>
        <w:t>а</w:t>
      </w:r>
      <w:r w:rsidRPr="00A87B17">
        <w:rPr>
          <w:w w:val="100"/>
        </w:rPr>
        <w:t>сти уголовного наказания корпораций за серьезные нарушения прав человека и опреде</w:t>
      </w:r>
      <w:r>
        <w:rPr>
          <w:w w:val="100"/>
        </w:rPr>
        <w:t>лены "модели надлежащей практики"</w:t>
      </w:r>
      <w:r w:rsidRPr="00A87B17">
        <w:rPr>
          <w:w w:val="100"/>
        </w:rPr>
        <w:t xml:space="preserve"> для государств с учетом новаций в других областях уголовного права. Информация будет собрана, главным образом, посредством глобальных интернет-консультаций и подробного </w:t>
      </w:r>
      <w:r>
        <w:rPr>
          <w:w w:val="100"/>
        </w:rPr>
        <w:t>сопоставительного</w:t>
      </w:r>
      <w:r w:rsidRPr="00A87B17">
        <w:rPr>
          <w:w w:val="100"/>
        </w:rPr>
        <w:t xml:space="preserve"> процесса, описанного ниже (см. раздел </w:t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 xml:space="preserve">); 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e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5 проекта</w:t>
      </w:r>
      <w:r>
        <w:rPr>
          <w:w w:val="100"/>
        </w:rPr>
        <w:t>:</w:t>
      </w:r>
      <w:r w:rsidRPr="00A87B17">
        <w:rPr>
          <w:w w:val="100"/>
        </w:rPr>
        <w:t xml:space="preserve"> гражданско-правовы</w:t>
      </w:r>
      <w:r>
        <w:rPr>
          <w:w w:val="100"/>
        </w:rPr>
        <w:t>е средства</w:t>
      </w:r>
      <w:r w:rsidRPr="00A87B17">
        <w:rPr>
          <w:w w:val="100"/>
        </w:rPr>
        <w:t xml:space="preserve"> защи</w:t>
      </w:r>
      <w:r>
        <w:rPr>
          <w:w w:val="100"/>
        </w:rPr>
        <w:t>ты. В </w:t>
      </w:r>
      <w:r w:rsidRPr="00A87B17">
        <w:rPr>
          <w:w w:val="100"/>
        </w:rPr>
        <w:t>рамках данно</w:t>
      </w:r>
      <w:r>
        <w:rPr>
          <w:w w:val="100"/>
        </w:rPr>
        <w:t>й составляющей</w:t>
      </w:r>
      <w:r w:rsidRPr="00A87B17">
        <w:rPr>
          <w:w w:val="100"/>
        </w:rPr>
        <w:t xml:space="preserve"> будет проведен обзор текущей и </w:t>
      </w:r>
      <w:r>
        <w:rPr>
          <w:w w:val="100"/>
        </w:rPr>
        <w:t xml:space="preserve">новой </w:t>
      </w:r>
      <w:r w:rsidRPr="00A87B17">
        <w:rPr>
          <w:w w:val="100"/>
        </w:rPr>
        <w:t>практики государств в области возмещения ущерба по гражданскому праву (частному пр</w:t>
      </w:r>
      <w:r w:rsidRPr="00A87B17">
        <w:rPr>
          <w:w w:val="100"/>
        </w:rPr>
        <w:t>а</w:t>
      </w:r>
      <w:r w:rsidRPr="00A87B17">
        <w:rPr>
          <w:w w:val="100"/>
        </w:rPr>
        <w:t xml:space="preserve">ву) в случаях нанесения серьезного вреда </w:t>
      </w:r>
      <w:r>
        <w:rPr>
          <w:w w:val="100"/>
        </w:rPr>
        <w:t xml:space="preserve">в результате нарушения прав человека </w:t>
      </w:r>
      <w:r w:rsidRPr="00A87B17">
        <w:rPr>
          <w:w w:val="100"/>
        </w:rPr>
        <w:t>со стороны компаний, изучена роль национальных судебных механизмов в обл</w:t>
      </w:r>
      <w:r w:rsidRPr="00A87B17">
        <w:rPr>
          <w:w w:val="100"/>
        </w:rPr>
        <w:t>а</w:t>
      </w:r>
      <w:r w:rsidRPr="00A87B17">
        <w:rPr>
          <w:w w:val="100"/>
        </w:rPr>
        <w:t>сти надзора за осуществлением решений об урегулировании споров и выплаты присужденн</w:t>
      </w:r>
      <w:r>
        <w:rPr>
          <w:w w:val="100"/>
        </w:rPr>
        <w:t>ого возмещения, а также определены возможные "</w:t>
      </w:r>
      <w:r w:rsidRPr="00A87B17">
        <w:rPr>
          <w:w w:val="100"/>
        </w:rPr>
        <w:t>модели надлежащей практики</w:t>
      </w:r>
      <w:r>
        <w:rPr>
          <w:w w:val="100"/>
        </w:rPr>
        <w:t>"</w:t>
      </w:r>
      <w:r w:rsidRPr="00A87B17">
        <w:rPr>
          <w:w w:val="100"/>
        </w:rPr>
        <w:t xml:space="preserve"> для государств с учетом новаций в других областях частного права. Информация будет собрана, главным образом, посредством глобальных интернет-консультаций и подробного сравнительного процесса, описанного ниже (см. ра</w:t>
      </w:r>
      <w:r w:rsidRPr="00A87B17">
        <w:rPr>
          <w:w w:val="100"/>
        </w:rPr>
        <w:t>з</w:t>
      </w:r>
      <w:r w:rsidRPr="00A87B17">
        <w:rPr>
          <w:w w:val="100"/>
        </w:rPr>
        <w:t xml:space="preserve">дел </w:t>
      </w:r>
      <w:r w:rsidRPr="00A87B17">
        <w:rPr>
          <w:w w:val="100"/>
          <w:lang w:val="en-GB"/>
        </w:rPr>
        <w:t>II</w:t>
      </w:r>
      <w:r w:rsidRPr="00A87B17">
        <w:rPr>
          <w:w w:val="100"/>
        </w:rPr>
        <w:t>.</w:t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);</w:t>
      </w:r>
    </w:p>
    <w:p w:rsidR="00C03AE2" w:rsidRPr="00A87B17" w:rsidRDefault="00C03AE2" w:rsidP="00C03AE2">
      <w:pPr>
        <w:pStyle w:val="SingleTxtGR"/>
        <w:rPr>
          <w:w w:val="100"/>
        </w:rPr>
      </w:pPr>
      <w:r>
        <w:rPr>
          <w:w w:val="100"/>
        </w:rPr>
        <w:tab/>
      </w:r>
      <w:r w:rsidRPr="00A87B17">
        <w:rPr>
          <w:w w:val="100"/>
          <w:lang w:val="en-GB"/>
        </w:rPr>
        <w:t>f</w:t>
      </w:r>
      <w:r w:rsidRPr="00A87B17">
        <w:rPr>
          <w:w w:val="100"/>
        </w:rPr>
        <w:t>)</w:t>
      </w:r>
      <w:r w:rsidRPr="00A87B17">
        <w:rPr>
          <w:w w:val="100"/>
        </w:rPr>
        <w:tab/>
      </w:r>
      <w:r>
        <w:rPr>
          <w:w w:val="100"/>
        </w:rPr>
        <w:t>составляющая</w:t>
      </w:r>
      <w:r w:rsidRPr="00A87B17">
        <w:rPr>
          <w:w w:val="100"/>
        </w:rPr>
        <w:t xml:space="preserve"> 6 проекта</w:t>
      </w:r>
      <w:r>
        <w:rPr>
          <w:w w:val="100"/>
        </w:rPr>
        <w:t>:</w:t>
      </w:r>
      <w:r w:rsidRPr="00A87B17">
        <w:rPr>
          <w:w w:val="100"/>
        </w:rPr>
        <w:t xml:space="preserve"> практик</w:t>
      </w:r>
      <w:r>
        <w:rPr>
          <w:w w:val="100"/>
        </w:rPr>
        <w:t>а</w:t>
      </w:r>
      <w:r w:rsidRPr="00A87B17">
        <w:rPr>
          <w:w w:val="100"/>
        </w:rPr>
        <w:t xml:space="preserve"> и политик</w:t>
      </w:r>
      <w:r>
        <w:rPr>
          <w:w w:val="100"/>
        </w:rPr>
        <w:t>а</w:t>
      </w:r>
      <w:r w:rsidRPr="00A87B17">
        <w:rPr>
          <w:w w:val="100"/>
        </w:rPr>
        <w:t xml:space="preserve"> национальных орг</w:t>
      </w:r>
      <w:r w:rsidRPr="00A87B17">
        <w:rPr>
          <w:w w:val="100"/>
        </w:rPr>
        <w:t>а</w:t>
      </w:r>
      <w:r w:rsidRPr="00A87B17">
        <w:rPr>
          <w:w w:val="100"/>
        </w:rPr>
        <w:t xml:space="preserve">нов уголовного </w:t>
      </w:r>
      <w:r>
        <w:rPr>
          <w:w w:val="100"/>
        </w:rPr>
        <w:t>правосудия</w:t>
      </w:r>
      <w:r w:rsidRPr="00A87B17">
        <w:rPr>
          <w:w w:val="100"/>
        </w:rPr>
        <w:t>. Данн</w:t>
      </w:r>
      <w:r>
        <w:rPr>
          <w:w w:val="100"/>
        </w:rPr>
        <w:t xml:space="preserve">ая составляющая направлена </w:t>
      </w:r>
      <w:r w:rsidRPr="00A87B17">
        <w:rPr>
          <w:w w:val="100"/>
        </w:rPr>
        <w:t>на изучение пр</w:t>
      </w:r>
      <w:r w:rsidRPr="00A87B17">
        <w:rPr>
          <w:w w:val="100"/>
        </w:rPr>
        <w:t>и</w:t>
      </w:r>
      <w:r w:rsidRPr="00A87B17">
        <w:rPr>
          <w:w w:val="100"/>
        </w:rPr>
        <w:t xml:space="preserve">чин, </w:t>
      </w:r>
      <w:r>
        <w:rPr>
          <w:w w:val="100"/>
        </w:rPr>
        <w:t>очевидно, весьма низкого</w:t>
      </w:r>
      <w:r w:rsidRPr="00A87B17">
        <w:rPr>
          <w:w w:val="100"/>
        </w:rPr>
        <w:t xml:space="preserve"> уровн</w:t>
      </w:r>
      <w:r>
        <w:rPr>
          <w:w w:val="100"/>
        </w:rPr>
        <w:t>я</w:t>
      </w:r>
      <w:r w:rsidRPr="00A87B17">
        <w:rPr>
          <w:w w:val="100"/>
        </w:rPr>
        <w:t xml:space="preserve"> активности национальных органов уголо</w:t>
      </w:r>
      <w:r w:rsidRPr="00A87B17">
        <w:rPr>
          <w:w w:val="100"/>
        </w:rPr>
        <w:t>в</w:t>
      </w:r>
      <w:r w:rsidRPr="00A87B17">
        <w:rPr>
          <w:w w:val="100"/>
        </w:rPr>
        <w:t>ной юстиции в отношении предполагаемой причастности предприятий к грубым нарушениям прав человека. Он</w:t>
      </w:r>
      <w:r>
        <w:rPr>
          <w:w w:val="100"/>
        </w:rPr>
        <w:t>а</w:t>
      </w:r>
      <w:r w:rsidRPr="00A87B17">
        <w:rPr>
          <w:w w:val="100"/>
        </w:rPr>
        <w:t xml:space="preserve"> направлен</w:t>
      </w:r>
      <w:r>
        <w:rPr>
          <w:w w:val="100"/>
        </w:rPr>
        <w:t>а</w:t>
      </w:r>
      <w:r w:rsidRPr="00A87B17">
        <w:rPr>
          <w:w w:val="100"/>
        </w:rPr>
        <w:t xml:space="preserve"> на </w:t>
      </w:r>
      <w:r>
        <w:rPr>
          <w:w w:val="100"/>
        </w:rPr>
        <w:t>выявление проблем</w:t>
      </w:r>
      <w:r w:rsidRPr="00A87B17">
        <w:rPr>
          <w:w w:val="100"/>
        </w:rPr>
        <w:t xml:space="preserve">, с которыми сталкиваются </w:t>
      </w:r>
      <w:r>
        <w:rPr>
          <w:w w:val="100"/>
        </w:rPr>
        <w:t>органы прокуратуры</w:t>
      </w:r>
      <w:r w:rsidRPr="00A87B17">
        <w:rPr>
          <w:w w:val="100"/>
        </w:rPr>
        <w:t xml:space="preserve"> в таких случаях, и разработку набора рекоме</w:t>
      </w:r>
      <w:r w:rsidRPr="00A87B17">
        <w:rPr>
          <w:w w:val="100"/>
        </w:rPr>
        <w:t>н</w:t>
      </w:r>
      <w:r w:rsidRPr="00A87B17">
        <w:rPr>
          <w:w w:val="100"/>
        </w:rPr>
        <w:t xml:space="preserve">даций для государств о том, как приступить к </w:t>
      </w:r>
      <w:r>
        <w:rPr>
          <w:w w:val="100"/>
        </w:rPr>
        <w:t>решению этих проблем</w:t>
      </w:r>
      <w:r w:rsidRPr="00A87B17">
        <w:rPr>
          <w:w w:val="100"/>
        </w:rPr>
        <w:t>. Сбор и</w:t>
      </w:r>
      <w:r w:rsidRPr="00A87B17">
        <w:rPr>
          <w:w w:val="100"/>
        </w:rPr>
        <w:t>н</w:t>
      </w:r>
      <w:r w:rsidRPr="00A87B17">
        <w:rPr>
          <w:w w:val="100"/>
        </w:rPr>
        <w:t xml:space="preserve">формации и анализ будут проведены, главным образом, за счет </w:t>
      </w:r>
      <w:r>
        <w:rPr>
          <w:w w:val="100"/>
        </w:rPr>
        <w:t xml:space="preserve">личных контактов </w:t>
      </w:r>
      <w:r w:rsidRPr="00A87B17">
        <w:rPr>
          <w:w w:val="100"/>
        </w:rPr>
        <w:t>с прокурорами и другими экспертами</w:t>
      </w:r>
      <w:r>
        <w:rPr>
          <w:w w:val="100"/>
        </w:rPr>
        <w:t>, представляющими</w:t>
      </w:r>
      <w:r w:rsidRPr="00A87B17">
        <w:rPr>
          <w:w w:val="100"/>
        </w:rPr>
        <w:t xml:space="preserve"> правоохранительны</w:t>
      </w:r>
      <w:r>
        <w:rPr>
          <w:w w:val="100"/>
        </w:rPr>
        <w:t>е</w:t>
      </w:r>
      <w:r w:rsidRPr="00A87B17">
        <w:rPr>
          <w:w w:val="100"/>
        </w:rPr>
        <w:t xml:space="preserve"> о</w:t>
      </w:r>
      <w:r w:rsidRPr="00A87B17">
        <w:rPr>
          <w:w w:val="100"/>
        </w:rPr>
        <w:t>р</w:t>
      </w:r>
      <w:r w:rsidRPr="00A87B17">
        <w:rPr>
          <w:w w:val="100"/>
        </w:rPr>
        <w:t>ган</w:t>
      </w:r>
      <w:r>
        <w:rPr>
          <w:w w:val="100"/>
        </w:rPr>
        <w:t>ы</w:t>
      </w:r>
      <w:r w:rsidRPr="00A87B17">
        <w:rPr>
          <w:w w:val="100"/>
        </w:rPr>
        <w:t>, регулирую</w:t>
      </w:r>
      <w:r>
        <w:rPr>
          <w:w w:val="100"/>
        </w:rPr>
        <w:t>щие</w:t>
      </w:r>
      <w:r w:rsidRPr="00A87B17">
        <w:rPr>
          <w:w w:val="100"/>
        </w:rPr>
        <w:t xml:space="preserve"> орган</w:t>
      </w:r>
      <w:r>
        <w:rPr>
          <w:w w:val="100"/>
        </w:rPr>
        <w:t>ы</w:t>
      </w:r>
      <w:r w:rsidRPr="00A87B17">
        <w:rPr>
          <w:w w:val="100"/>
        </w:rPr>
        <w:t xml:space="preserve"> и академически</w:t>
      </w:r>
      <w:r>
        <w:rPr>
          <w:w w:val="100"/>
        </w:rPr>
        <w:t>е</w:t>
      </w:r>
      <w:r w:rsidRPr="00A87B17">
        <w:rPr>
          <w:w w:val="100"/>
        </w:rPr>
        <w:t xml:space="preserve"> учреждени</w:t>
      </w:r>
      <w:r>
        <w:rPr>
          <w:w w:val="100"/>
        </w:rPr>
        <w:t>я</w:t>
      </w:r>
      <w:r w:rsidRPr="00A87B17">
        <w:rPr>
          <w:w w:val="100"/>
        </w:rPr>
        <w:t>.</w:t>
      </w:r>
      <w:r w:rsidR="00C67F60">
        <w:rPr>
          <w:w w:val="100"/>
        </w:rPr>
        <w:t xml:space="preserve"> </w:t>
      </w:r>
    </w:p>
    <w:p w:rsidR="00C03AE2" w:rsidRPr="00A87B17" w:rsidRDefault="00C03AE2" w:rsidP="00C03AE2">
      <w:pPr>
        <w:pStyle w:val="H1GR"/>
        <w:rPr>
          <w:w w:val="100"/>
        </w:rPr>
      </w:pPr>
      <w:r w:rsidRPr="00A87B17">
        <w:rPr>
          <w:w w:val="100"/>
        </w:rPr>
        <w:tab/>
      </w:r>
      <w:r w:rsidRPr="00A87B17">
        <w:rPr>
          <w:w w:val="100"/>
          <w:lang w:val="en-GB"/>
        </w:rPr>
        <w:t>B</w:t>
      </w:r>
      <w:r w:rsidRPr="00A87B17">
        <w:rPr>
          <w:w w:val="100"/>
        </w:rPr>
        <w:t>.</w:t>
      </w:r>
      <w:r w:rsidRPr="00A87B17">
        <w:rPr>
          <w:w w:val="100"/>
        </w:rPr>
        <w:tab/>
        <w:t xml:space="preserve">Глобальные интернет-консультации и подробный </w:t>
      </w:r>
      <w:r w:rsidR="00191B0A">
        <w:rPr>
          <w:w w:val="100"/>
        </w:rPr>
        <w:t>сопоставительный</w:t>
      </w:r>
      <w:r w:rsidRPr="00A87B17">
        <w:rPr>
          <w:w w:val="100"/>
        </w:rPr>
        <w:t xml:space="preserve"> процесс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14.</w:t>
      </w:r>
      <w:r w:rsidRPr="00A87B17">
        <w:rPr>
          <w:bCs/>
          <w:w w:val="100"/>
        </w:rPr>
        <w:tab/>
      </w:r>
      <w:r w:rsidRPr="00A87B17">
        <w:rPr>
          <w:w w:val="100"/>
        </w:rPr>
        <w:t>Исследовательский процесс в рамках проекта в области ответственности и правовой защиты был разработан для обеспечения того, чтобы любые рекоменд</w:t>
      </w:r>
      <w:r w:rsidRPr="00A87B17">
        <w:rPr>
          <w:w w:val="100"/>
        </w:rPr>
        <w:t>о</w:t>
      </w:r>
      <w:r w:rsidRPr="00A87B17">
        <w:rPr>
          <w:w w:val="100"/>
        </w:rPr>
        <w:t>ванные действия носили целенаправленный характер и могли улучшить на пра</w:t>
      </w:r>
      <w:r w:rsidRPr="00A87B17">
        <w:rPr>
          <w:w w:val="100"/>
        </w:rPr>
        <w:t>к</w:t>
      </w:r>
      <w:r w:rsidRPr="00A87B17">
        <w:rPr>
          <w:w w:val="100"/>
        </w:rPr>
        <w:t>тике доступ жертв к правосудию. Требующееся правовое, практическое или те</w:t>
      </w:r>
      <w:r w:rsidRPr="00A87B17">
        <w:rPr>
          <w:w w:val="100"/>
        </w:rPr>
        <w:t>х</w:t>
      </w:r>
      <w:r w:rsidRPr="00A87B17">
        <w:rPr>
          <w:w w:val="100"/>
        </w:rPr>
        <w:t>нологическое вмешательство должно соответствовать местным потребностям, структурам и условиям. Необходимо знание местных особенностей и понимание сути проблемы</w:t>
      </w:r>
      <w:r>
        <w:rPr>
          <w:w w:val="100"/>
        </w:rPr>
        <w:t xml:space="preserve"> для обеспечения </w:t>
      </w:r>
      <w:r w:rsidRPr="00A87B17">
        <w:rPr>
          <w:w w:val="100"/>
        </w:rPr>
        <w:t>реализуемост</w:t>
      </w:r>
      <w:r>
        <w:rPr>
          <w:w w:val="100"/>
        </w:rPr>
        <w:t>и</w:t>
      </w:r>
      <w:r w:rsidRPr="00A87B17">
        <w:rPr>
          <w:w w:val="100"/>
        </w:rPr>
        <w:t xml:space="preserve"> предложений и получени</w:t>
      </w:r>
      <w:r>
        <w:rPr>
          <w:w w:val="100"/>
        </w:rPr>
        <w:t>я</w:t>
      </w:r>
      <w:r w:rsidRPr="00A87B17">
        <w:rPr>
          <w:w w:val="100"/>
        </w:rPr>
        <w:t xml:space="preserve"> жела</w:t>
      </w:r>
      <w:r w:rsidRPr="00A87B17">
        <w:rPr>
          <w:w w:val="100"/>
        </w:rPr>
        <w:t>е</w:t>
      </w:r>
      <w:r w:rsidRPr="00A87B17">
        <w:rPr>
          <w:w w:val="100"/>
        </w:rPr>
        <w:t>мых результатов. Это требует взаимодействия с экспертами</w:t>
      </w:r>
      <w:r>
        <w:rPr>
          <w:w w:val="100"/>
        </w:rPr>
        <w:t>, представляющи</w:t>
      </w:r>
      <w:r w:rsidR="00191B0A">
        <w:rPr>
          <w:w w:val="100"/>
        </w:rPr>
        <w:t>ми</w:t>
      </w:r>
      <w:r>
        <w:rPr>
          <w:w w:val="100"/>
        </w:rPr>
        <w:t xml:space="preserve"> широкий круг</w:t>
      </w:r>
      <w:r w:rsidRPr="00A87B17">
        <w:rPr>
          <w:w w:val="100"/>
        </w:rPr>
        <w:t xml:space="preserve"> юрисдикций,</w:t>
      </w:r>
      <w:r>
        <w:rPr>
          <w:w w:val="100"/>
        </w:rPr>
        <w:t xml:space="preserve"> различные</w:t>
      </w:r>
      <w:r w:rsidRPr="00A87B17">
        <w:rPr>
          <w:w w:val="100"/>
        </w:rPr>
        <w:t xml:space="preserve"> географически</w:t>
      </w:r>
      <w:r>
        <w:rPr>
          <w:w w:val="100"/>
        </w:rPr>
        <w:t>е</w:t>
      </w:r>
      <w:r w:rsidRPr="00A87B17">
        <w:rPr>
          <w:w w:val="100"/>
        </w:rPr>
        <w:t xml:space="preserve"> зон</w:t>
      </w:r>
      <w:r>
        <w:rPr>
          <w:w w:val="100"/>
        </w:rPr>
        <w:t>ы</w:t>
      </w:r>
      <w:r w:rsidRPr="00A87B17">
        <w:rPr>
          <w:w w:val="100"/>
        </w:rPr>
        <w:t>, право</w:t>
      </w:r>
      <w:r>
        <w:rPr>
          <w:w w:val="100"/>
        </w:rPr>
        <w:t>вые</w:t>
      </w:r>
      <w:r w:rsidRPr="00A87B17">
        <w:rPr>
          <w:w w:val="100"/>
        </w:rPr>
        <w:t xml:space="preserve"> систем</w:t>
      </w:r>
      <w:r>
        <w:rPr>
          <w:w w:val="100"/>
        </w:rPr>
        <w:t>ы</w:t>
      </w:r>
      <w:r w:rsidRPr="00A87B17">
        <w:rPr>
          <w:w w:val="100"/>
        </w:rPr>
        <w:t xml:space="preserve"> и традици</w:t>
      </w:r>
      <w:r>
        <w:rPr>
          <w:w w:val="100"/>
        </w:rPr>
        <w:t>и</w:t>
      </w:r>
      <w:r w:rsidRPr="00A87B17">
        <w:rPr>
          <w:w w:val="100"/>
        </w:rPr>
        <w:t xml:space="preserve">, </w:t>
      </w:r>
      <w:r>
        <w:rPr>
          <w:w w:val="100"/>
        </w:rPr>
        <w:t xml:space="preserve">а также </w:t>
      </w:r>
      <w:r w:rsidRPr="00A87B17">
        <w:rPr>
          <w:w w:val="100"/>
        </w:rPr>
        <w:t>государства</w:t>
      </w:r>
      <w:r>
        <w:rPr>
          <w:w w:val="100"/>
        </w:rPr>
        <w:t xml:space="preserve"> на разных этапах</w:t>
      </w:r>
      <w:r w:rsidR="00191B0A">
        <w:rPr>
          <w:w w:val="100"/>
        </w:rPr>
        <w:t xml:space="preserve"> экономического развития.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15.</w:t>
      </w:r>
      <w:r w:rsidRPr="00A87B17">
        <w:rPr>
          <w:bCs/>
          <w:w w:val="100"/>
        </w:rPr>
        <w:tab/>
      </w:r>
      <w:r w:rsidRPr="00A87B17">
        <w:rPr>
          <w:w w:val="100"/>
        </w:rPr>
        <w:t>Для максим</w:t>
      </w:r>
      <w:r>
        <w:rPr>
          <w:w w:val="100"/>
        </w:rPr>
        <w:t>ального использования имеющихся ресурсов и времени</w:t>
      </w:r>
      <w:r w:rsidRPr="00A87B17">
        <w:rPr>
          <w:w w:val="100"/>
        </w:rPr>
        <w:t xml:space="preserve"> сбор информации по четырем из шести проектов осуществляется </w:t>
      </w:r>
      <w:r>
        <w:rPr>
          <w:w w:val="100"/>
        </w:rPr>
        <w:t xml:space="preserve">в рамках </w:t>
      </w:r>
      <w:r w:rsidRPr="00A87B17">
        <w:rPr>
          <w:w w:val="100"/>
        </w:rPr>
        <w:t xml:space="preserve">двух </w:t>
      </w:r>
      <w:r>
        <w:rPr>
          <w:w w:val="100"/>
        </w:rPr>
        <w:t>допо</w:t>
      </w:r>
      <w:r>
        <w:rPr>
          <w:w w:val="100"/>
        </w:rPr>
        <w:t>л</w:t>
      </w:r>
      <w:r>
        <w:rPr>
          <w:w w:val="100"/>
        </w:rPr>
        <w:t>нительных</w:t>
      </w:r>
      <w:r w:rsidRPr="00A87B17">
        <w:rPr>
          <w:w w:val="100"/>
        </w:rPr>
        <w:t xml:space="preserve"> исследовательских процессов: глобальных интернет-консультаций, к</w:t>
      </w:r>
      <w:r w:rsidRPr="00A87B17">
        <w:rPr>
          <w:w w:val="100"/>
        </w:rPr>
        <w:t>о</w:t>
      </w:r>
      <w:r w:rsidRPr="00A87B17">
        <w:rPr>
          <w:w w:val="100"/>
        </w:rPr>
        <w:t xml:space="preserve">торые состоят в </w:t>
      </w:r>
      <w:r w:rsidR="00191B0A">
        <w:rPr>
          <w:w w:val="100"/>
        </w:rPr>
        <w:t xml:space="preserve">проведении глобального </w:t>
      </w:r>
      <w:r>
        <w:rPr>
          <w:w w:val="100"/>
        </w:rPr>
        <w:t>интерактивного обследования</w:t>
      </w:r>
      <w:r w:rsidRPr="00A87B17">
        <w:rPr>
          <w:w w:val="100"/>
        </w:rPr>
        <w:t>; и п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дробного </w:t>
      </w:r>
      <w:r>
        <w:rPr>
          <w:w w:val="100"/>
        </w:rPr>
        <w:t>сопоставительного</w:t>
      </w:r>
      <w:r w:rsidRPr="00A87B17">
        <w:rPr>
          <w:w w:val="100"/>
        </w:rPr>
        <w:t xml:space="preserve"> процесса, представляющего собой специализир</w:t>
      </w:r>
      <w:r w:rsidRPr="00A87B17">
        <w:rPr>
          <w:w w:val="100"/>
        </w:rPr>
        <w:t>о</w:t>
      </w:r>
      <w:r w:rsidRPr="00A87B17">
        <w:rPr>
          <w:w w:val="100"/>
        </w:rPr>
        <w:lastRenderedPageBreak/>
        <w:t>ванный исследовательский процесс в</w:t>
      </w:r>
      <w:r>
        <w:rPr>
          <w:w w:val="100"/>
        </w:rPr>
        <w:t xml:space="preserve">сестороннего изучения </w:t>
      </w:r>
      <w:r w:rsidRPr="00A87B17">
        <w:rPr>
          <w:w w:val="100"/>
        </w:rPr>
        <w:t>25 отобранных юри</w:t>
      </w:r>
      <w:r w:rsidRPr="00A87B17">
        <w:rPr>
          <w:w w:val="100"/>
        </w:rPr>
        <w:t>с</w:t>
      </w:r>
      <w:r w:rsidRPr="00A87B17">
        <w:rPr>
          <w:w w:val="100"/>
        </w:rPr>
        <w:t>дикций.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16.</w:t>
      </w:r>
      <w:r w:rsidRPr="00A87B17">
        <w:rPr>
          <w:bCs/>
          <w:w w:val="100"/>
        </w:rPr>
        <w:tab/>
      </w:r>
      <w:r w:rsidRPr="00A87B17">
        <w:rPr>
          <w:w w:val="100"/>
        </w:rPr>
        <w:t>Информация в рамках обоих процессов будет рассмотрена и проанализир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вана экспертами из академических кругов, которые согласились пожертвовать свое время и </w:t>
      </w:r>
      <w:r>
        <w:rPr>
          <w:w w:val="100"/>
        </w:rPr>
        <w:t>знания</w:t>
      </w:r>
      <w:r w:rsidRPr="00A87B17">
        <w:rPr>
          <w:w w:val="100"/>
        </w:rPr>
        <w:t xml:space="preserve"> для проекта. Метод</w:t>
      </w:r>
      <w:r>
        <w:rPr>
          <w:w w:val="100"/>
        </w:rPr>
        <w:t>ика процессов</w:t>
      </w:r>
      <w:r w:rsidRPr="00A87B17">
        <w:rPr>
          <w:w w:val="100"/>
        </w:rPr>
        <w:t xml:space="preserve"> направлена на включение широкого </w:t>
      </w:r>
      <w:r>
        <w:rPr>
          <w:w w:val="100"/>
        </w:rPr>
        <w:t>круга</w:t>
      </w:r>
      <w:r w:rsidRPr="00A87B17">
        <w:rPr>
          <w:w w:val="100"/>
        </w:rPr>
        <w:t xml:space="preserve"> заинтересованных сторон в процесс исследования и сбора и</w:t>
      </w:r>
      <w:r w:rsidRPr="00A87B17">
        <w:rPr>
          <w:w w:val="100"/>
        </w:rPr>
        <w:t>н</w:t>
      </w:r>
      <w:r w:rsidRPr="00A87B17">
        <w:rPr>
          <w:w w:val="100"/>
        </w:rPr>
        <w:t xml:space="preserve">формации и на всестороннее обсуждение ими всех выводов. Оба процесса будут продолжаться до августа 2015 года, после чего УВКПЧ </w:t>
      </w:r>
      <w:r>
        <w:rPr>
          <w:w w:val="100"/>
        </w:rPr>
        <w:t>начнет специальный</w:t>
      </w:r>
      <w:r w:rsidRPr="00A87B17">
        <w:rPr>
          <w:w w:val="100"/>
        </w:rPr>
        <w:t xml:space="preserve"> ан</w:t>
      </w:r>
      <w:r w:rsidRPr="00A87B17">
        <w:rPr>
          <w:w w:val="100"/>
        </w:rPr>
        <w:t>а</w:t>
      </w:r>
      <w:r w:rsidRPr="00A87B17">
        <w:rPr>
          <w:w w:val="100"/>
        </w:rPr>
        <w:t>лиз проекта в сотрудничестве с заинтересованными сторонами и</w:t>
      </w:r>
      <w:r w:rsidR="00C67F60">
        <w:rPr>
          <w:w w:val="100"/>
        </w:rPr>
        <w:t xml:space="preserve"> академическими специалистами. 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17.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На </w:t>
      </w:r>
      <w:r>
        <w:rPr>
          <w:w w:val="100"/>
        </w:rPr>
        <w:t>момент</w:t>
      </w:r>
      <w:r w:rsidRPr="00A87B17">
        <w:rPr>
          <w:w w:val="100"/>
        </w:rPr>
        <w:t xml:space="preserve"> представления настоящего доклада</w:t>
      </w:r>
      <w:r>
        <w:rPr>
          <w:w w:val="100"/>
        </w:rPr>
        <w:t xml:space="preserve"> шла подготовка </w:t>
      </w:r>
      <w:r w:rsidRPr="00A87B17">
        <w:rPr>
          <w:w w:val="100"/>
        </w:rPr>
        <w:t>глобальны</w:t>
      </w:r>
      <w:r>
        <w:rPr>
          <w:w w:val="100"/>
        </w:rPr>
        <w:t>х</w:t>
      </w:r>
      <w:r w:rsidRPr="00A87B17">
        <w:rPr>
          <w:w w:val="100"/>
        </w:rPr>
        <w:t xml:space="preserve"> интер</w:t>
      </w:r>
      <w:r>
        <w:rPr>
          <w:w w:val="100"/>
        </w:rPr>
        <w:t xml:space="preserve">нет-консультаций, которые предполагалось начать </w:t>
      </w:r>
      <w:r w:rsidRPr="00A87B17">
        <w:rPr>
          <w:w w:val="100"/>
        </w:rPr>
        <w:t>в конце апреля 2015 года. Консультации представляют собой глобальное интернет-</w:t>
      </w:r>
      <w:r>
        <w:rPr>
          <w:w w:val="100"/>
        </w:rPr>
        <w:t>обследование</w:t>
      </w:r>
      <w:r w:rsidRPr="00A87B17">
        <w:rPr>
          <w:w w:val="100"/>
        </w:rPr>
        <w:t xml:space="preserve"> на англи</w:t>
      </w:r>
      <w:r w:rsidRPr="00A87B17">
        <w:rPr>
          <w:w w:val="100"/>
        </w:rPr>
        <w:t>й</w:t>
      </w:r>
      <w:r w:rsidRPr="00A87B17">
        <w:rPr>
          <w:w w:val="100"/>
        </w:rPr>
        <w:t>ском, французском и испанском языках, в рамках которого все заинтересованные стороны, осведомленные о ситуации в каких-либо юрисдикциях, могут предста</w:t>
      </w:r>
      <w:r w:rsidRPr="00A87B17">
        <w:rPr>
          <w:w w:val="100"/>
        </w:rPr>
        <w:t>в</w:t>
      </w:r>
      <w:r w:rsidRPr="00A87B17">
        <w:rPr>
          <w:w w:val="100"/>
        </w:rPr>
        <w:t xml:space="preserve">лять информацию. </w:t>
      </w:r>
      <w:r>
        <w:rPr>
          <w:w w:val="100"/>
        </w:rPr>
        <w:t>Об</w:t>
      </w:r>
      <w:r w:rsidRPr="00A87B17">
        <w:rPr>
          <w:w w:val="100"/>
        </w:rPr>
        <w:t xml:space="preserve">следование </w:t>
      </w:r>
      <w:r>
        <w:rPr>
          <w:w w:val="100"/>
        </w:rPr>
        <w:t>охватывает</w:t>
      </w:r>
      <w:r w:rsidRPr="00A87B17">
        <w:rPr>
          <w:w w:val="100"/>
        </w:rPr>
        <w:t xml:space="preserve"> критерии оценки корпоративной юридической ответственности по уголовному, квазиуголовному и гражданскому праву; варианты финансирования подачи судебных исков; уголовные и квазиуг</w:t>
      </w:r>
      <w:r w:rsidRPr="00A87B17">
        <w:rPr>
          <w:w w:val="100"/>
        </w:rPr>
        <w:t>о</w:t>
      </w:r>
      <w:r w:rsidRPr="00A87B17">
        <w:rPr>
          <w:w w:val="100"/>
        </w:rPr>
        <w:t>ловные наказания; гражданско-правовые средства защиты; вопросы, относящиеся к работе национальных органов прокуратуры по возбуждению дел в отношении предприятий. Консультации продолжатся до 1 августа 2015 года.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18.</w:t>
      </w:r>
      <w:r w:rsidRPr="00A87B17">
        <w:rPr>
          <w:bCs/>
          <w:w w:val="100"/>
        </w:rPr>
        <w:tab/>
      </w:r>
      <w:r w:rsidRPr="00A87B17">
        <w:rPr>
          <w:w w:val="100"/>
        </w:rPr>
        <w:t>УВКПЧ призывает все заинтересованные стороны, в частности государства, поддерживать реализацию проекта</w:t>
      </w:r>
      <w:r>
        <w:rPr>
          <w:w w:val="100"/>
        </w:rPr>
        <w:t>,</w:t>
      </w:r>
      <w:r w:rsidRPr="00A87B17">
        <w:rPr>
          <w:w w:val="100"/>
        </w:rPr>
        <w:t xml:space="preserve"> представл</w:t>
      </w:r>
      <w:r>
        <w:rPr>
          <w:w w:val="100"/>
        </w:rPr>
        <w:t>яя информацию</w:t>
      </w:r>
      <w:r w:rsidRPr="00A87B17">
        <w:rPr>
          <w:w w:val="100"/>
        </w:rPr>
        <w:t xml:space="preserve"> в рамках глобал</w:t>
      </w:r>
      <w:r w:rsidRPr="00A87B17">
        <w:rPr>
          <w:w w:val="100"/>
        </w:rPr>
        <w:t>ь</w:t>
      </w:r>
      <w:r w:rsidRPr="00A87B17">
        <w:rPr>
          <w:w w:val="100"/>
        </w:rPr>
        <w:t xml:space="preserve">ных интернет-консультаций. Сбор информации по широкому кругу юрисдикций </w:t>
      </w:r>
      <w:r>
        <w:rPr>
          <w:w w:val="100"/>
        </w:rPr>
        <w:t>крайне важен</w:t>
      </w:r>
      <w:r w:rsidRPr="00A87B17">
        <w:rPr>
          <w:w w:val="100"/>
        </w:rPr>
        <w:t xml:space="preserve"> для содействия обеспечени</w:t>
      </w:r>
      <w:r>
        <w:rPr>
          <w:w w:val="100"/>
        </w:rPr>
        <w:t>ю</w:t>
      </w:r>
      <w:r w:rsidRPr="00A87B17">
        <w:rPr>
          <w:w w:val="100"/>
        </w:rPr>
        <w:t xml:space="preserve"> того, чтобы в рекомендациях по ка</w:t>
      </w:r>
      <w:r w:rsidRPr="00A87B17">
        <w:rPr>
          <w:w w:val="100"/>
        </w:rPr>
        <w:t>ж</w:t>
      </w:r>
      <w:r w:rsidRPr="00A87B17">
        <w:rPr>
          <w:w w:val="100"/>
        </w:rPr>
        <w:t>дому проекту учитывались реалии на местах. Глобальные интернет-консультации ставят целью обеспечить сбор данных из как можно более широкого круга юри</w:t>
      </w:r>
      <w:r w:rsidRPr="00A87B17">
        <w:rPr>
          <w:w w:val="100"/>
        </w:rPr>
        <w:t>с</w:t>
      </w:r>
      <w:r w:rsidRPr="00A87B17">
        <w:rPr>
          <w:w w:val="100"/>
        </w:rPr>
        <w:t>д</w:t>
      </w:r>
      <w:r>
        <w:rPr>
          <w:w w:val="100"/>
        </w:rPr>
        <w:t>икций,</w:t>
      </w:r>
      <w:r w:rsidRPr="00A87B17">
        <w:rPr>
          <w:w w:val="100"/>
        </w:rPr>
        <w:t xml:space="preserve"> чтобы возможные выводы и заключения принимали во внимание шир</w:t>
      </w:r>
      <w:r w:rsidRPr="00A87B17">
        <w:rPr>
          <w:w w:val="100"/>
        </w:rPr>
        <w:t>о</w:t>
      </w:r>
      <w:r w:rsidRPr="00A87B17">
        <w:rPr>
          <w:w w:val="100"/>
        </w:rPr>
        <w:t xml:space="preserve">кий </w:t>
      </w:r>
      <w:r>
        <w:rPr>
          <w:w w:val="100"/>
        </w:rPr>
        <w:t>круг</w:t>
      </w:r>
      <w:r w:rsidRPr="00A87B17">
        <w:rPr>
          <w:w w:val="100"/>
        </w:rPr>
        <w:t xml:space="preserve"> правовых традиций и систем, отвечали реальным ситуациям, которые имеют место в различных государствах, и соответствовали своему назначению для всех государств. Они также дают возможность всем заинтересованным стор</w:t>
      </w:r>
      <w:r w:rsidRPr="00A87B17">
        <w:rPr>
          <w:w w:val="100"/>
        </w:rPr>
        <w:t>о</w:t>
      </w:r>
      <w:r>
        <w:rPr>
          <w:w w:val="100"/>
        </w:rPr>
        <w:t>нам предоставить комментарии о возможностях и проблемах</w:t>
      </w:r>
      <w:r w:rsidRPr="00A87B17">
        <w:rPr>
          <w:w w:val="100"/>
        </w:rPr>
        <w:t>, а также информ</w:t>
      </w:r>
      <w:r w:rsidRPr="00A87B17">
        <w:rPr>
          <w:w w:val="100"/>
        </w:rPr>
        <w:t>а</w:t>
      </w:r>
      <w:r w:rsidRPr="00A87B17">
        <w:rPr>
          <w:w w:val="100"/>
        </w:rPr>
        <w:t>цию о соответствующих случаях и ситуациях, с которыми они столкнулись.</w:t>
      </w:r>
    </w:p>
    <w:p w:rsidR="00C03AE2" w:rsidRPr="00A87B17" w:rsidRDefault="00C03AE2" w:rsidP="00C03AE2">
      <w:pPr>
        <w:pStyle w:val="SingleTxtGR"/>
        <w:rPr>
          <w:w w:val="100"/>
        </w:rPr>
      </w:pPr>
      <w:r w:rsidRPr="00A87B17">
        <w:rPr>
          <w:bCs/>
          <w:w w:val="100"/>
        </w:rPr>
        <w:t>19.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Подробный </w:t>
      </w:r>
      <w:r>
        <w:rPr>
          <w:w w:val="100"/>
        </w:rPr>
        <w:t>сопоставительный</w:t>
      </w:r>
      <w:r w:rsidRPr="00A87B17">
        <w:rPr>
          <w:w w:val="100"/>
        </w:rPr>
        <w:t xml:space="preserve"> процесс представляет собой </w:t>
      </w:r>
      <w:r>
        <w:rPr>
          <w:w w:val="100"/>
        </w:rPr>
        <w:t>конкретную углубленную</w:t>
      </w:r>
      <w:r w:rsidRPr="00A87B17">
        <w:rPr>
          <w:w w:val="100"/>
        </w:rPr>
        <w:t xml:space="preserve"> исследовательскую работу, заключающуюся в проведении эксперт</w:t>
      </w:r>
      <w:r w:rsidRPr="00A87B17">
        <w:rPr>
          <w:w w:val="100"/>
        </w:rPr>
        <w:t>а</w:t>
      </w:r>
      <w:r w:rsidRPr="00A87B17">
        <w:rPr>
          <w:w w:val="100"/>
        </w:rPr>
        <w:t>ми</w:t>
      </w:r>
      <w:r>
        <w:rPr>
          <w:w w:val="100"/>
        </w:rPr>
        <w:t>-правоведами</w:t>
      </w:r>
      <w:r w:rsidRPr="00A87B17">
        <w:rPr>
          <w:w w:val="100"/>
        </w:rPr>
        <w:t xml:space="preserve"> юридического исследования в отношении 25 отобранных юри</w:t>
      </w:r>
      <w:r w:rsidRPr="00A87B17">
        <w:rPr>
          <w:w w:val="100"/>
        </w:rPr>
        <w:t>с</w:t>
      </w:r>
      <w:r w:rsidRPr="00A87B17">
        <w:rPr>
          <w:w w:val="100"/>
        </w:rPr>
        <w:t xml:space="preserve">дикций, результаты которого будут использованы для сравнительного анализа. Эти 25 юрисдикций </w:t>
      </w:r>
      <w:r>
        <w:rPr>
          <w:w w:val="100"/>
        </w:rPr>
        <w:t xml:space="preserve">были тщательно выбраны для </w:t>
      </w:r>
      <w:r w:rsidRPr="00A87B17">
        <w:rPr>
          <w:w w:val="100"/>
        </w:rPr>
        <w:t>отражения географического и регионального многообразия, а также разнообразия правовых систем и традиций и уровней экономического развития. Процесс состоит из двух направлений, пе</w:t>
      </w:r>
      <w:r w:rsidRPr="00A87B17">
        <w:rPr>
          <w:w w:val="100"/>
        </w:rPr>
        <w:t>р</w:t>
      </w:r>
      <w:r w:rsidRPr="00A87B17">
        <w:rPr>
          <w:w w:val="100"/>
        </w:rPr>
        <w:t xml:space="preserve">вое из которых </w:t>
      </w:r>
      <w:r>
        <w:rPr>
          <w:w w:val="100"/>
        </w:rPr>
        <w:t xml:space="preserve">− юридическое </w:t>
      </w:r>
      <w:r w:rsidRPr="00A87B17">
        <w:rPr>
          <w:w w:val="100"/>
        </w:rPr>
        <w:t>исследова</w:t>
      </w:r>
      <w:r>
        <w:rPr>
          <w:w w:val="100"/>
        </w:rPr>
        <w:t>ние</w:t>
      </w:r>
      <w:r w:rsidRPr="00A87B17">
        <w:rPr>
          <w:w w:val="100"/>
        </w:rPr>
        <w:t xml:space="preserve"> действующих законов в отобранных юрисдикциях, а второе –</w:t>
      </w:r>
      <w:r>
        <w:rPr>
          <w:w w:val="100"/>
        </w:rPr>
        <w:t xml:space="preserve"> </w:t>
      </w:r>
      <w:r w:rsidRPr="00A87B17">
        <w:rPr>
          <w:w w:val="100"/>
        </w:rPr>
        <w:t xml:space="preserve">сбор </w:t>
      </w:r>
      <w:r>
        <w:rPr>
          <w:w w:val="100"/>
        </w:rPr>
        <w:t>примеров</w:t>
      </w:r>
      <w:r w:rsidRPr="00A87B17">
        <w:rPr>
          <w:w w:val="100"/>
        </w:rPr>
        <w:t xml:space="preserve"> практического опыта и точек зрения а</w:t>
      </w:r>
      <w:r w:rsidRPr="00A87B17">
        <w:rPr>
          <w:w w:val="100"/>
        </w:rPr>
        <w:t>д</w:t>
      </w:r>
      <w:r w:rsidRPr="00A87B17">
        <w:rPr>
          <w:w w:val="100"/>
        </w:rPr>
        <w:t xml:space="preserve">вокатов, отстаивающих публичные интересы, и других лиц, представляющих в судах жертв связанных с предпринимательской деятельностью нарушений прав человека. </w:t>
      </w:r>
    </w:p>
    <w:p w:rsidR="00C03AE2" w:rsidRPr="000450D1" w:rsidRDefault="00C03AE2" w:rsidP="00C03AE2">
      <w:pPr>
        <w:pStyle w:val="SingleTxtGR"/>
      </w:pPr>
      <w:r w:rsidRPr="00A87B17">
        <w:rPr>
          <w:bCs/>
          <w:w w:val="100"/>
        </w:rPr>
        <w:t>20.</w:t>
      </w:r>
      <w:r w:rsidRPr="00A87B17">
        <w:rPr>
          <w:bCs/>
          <w:w w:val="100"/>
        </w:rPr>
        <w:tab/>
      </w:r>
      <w:r w:rsidRPr="00A87B17">
        <w:rPr>
          <w:w w:val="100"/>
        </w:rPr>
        <w:t xml:space="preserve">На </w:t>
      </w:r>
      <w:r>
        <w:rPr>
          <w:w w:val="100"/>
        </w:rPr>
        <w:t>момент</w:t>
      </w:r>
      <w:r w:rsidRPr="00A87B17">
        <w:rPr>
          <w:w w:val="100"/>
        </w:rPr>
        <w:t xml:space="preserve"> представления настоящего доклада подробный </w:t>
      </w:r>
      <w:r>
        <w:rPr>
          <w:w w:val="100"/>
        </w:rPr>
        <w:t>сопоставител</w:t>
      </w:r>
      <w:r>
        <w:rPr>
          <w:w w:val="100"/>
        </w:rPr>
        <w:t>ь</w:t>
      </w:r>
      <w:r>
        <w:rPr>
          <w:w w:val="100"/>
        </w:rPr>
        <w:t>ный</w:t>
      </w:r>
      <w:r w:rsidRPr="00A87B17">
        <w:rPr>
          <w:w w:val="100"/>
        </w:rPr>
        <w:t xml:space="preserve"> процесс начался для большинства из отобранных юрисдикций. После пре</w:t>
      </w:r>
      <w:r w:rsidRPr="00A87B17">
        <w:rPr>
          <w:w w:val="100"/>
        </w:rPr>
        <w:t>д</w:t>
      </w:r>
      <w:r w:rsidRPr="00A87B17">
        <w:rPr>
          <w:w w:val="100"/>
        </w:rPr>
        <w:t xml:space="preserve">ставления докладов о результатах двух направлений процесса УВКПЧ перейдет к работе с академическими кругами для </w:t>
      </w:r>
      <w:r>
        <w:rPr>
          <w:w w:val="100"/>
        </w:rPr>
        <w:t>анализа</w:t>
      </w:r>
      <w:r w:rsidRPr="00A87B17">
        <w:rPr>
          <w:w w:val="100"/>
        </w:rPr>
        <w:t xml:space="preserve"> полученной информации и оказ</w:t>
      </w:r>
      <w:r w:rsidRPr="00A87B17">
        <w:rPr>
          <w:w w:val="100"/>
        </w:rPr>
        <w:t>а</w:t>
      </w:r>
      <w:r w:rsidRPr="00A87B17">
        <w:rPr>
          <w:w w:val="100"/>
        </w:rPr>
        <w:t>ния содействия в деле ее увязывания с контекстом общей правовой системы и б</w:t>
      </w:r>
      <w:r w:rsidRPr="00A87B17">
        <w:rPr>
          <w:w w:val="100"/>
        </w:rPr>
        <w:t>о</w:t>
      </w:r>
      <w:r w:rsidRPr="00A87B17">
        <w:rPr>
          <w:w w:val="100"/>
        </w:rPr>
        <w:t>лее широк</w:t>
      </w:r>
      <w:r>
        <w:rPr>
          <w:w w:val="100"/>
        </w:rPr>
        <w:t>ой социально-</w:t>
      </w:r>
      <w:r w:rsidRPr="00A87B17">
        <w:rPr>
          <w:w w:val="100"/>
        </w:rPr>
        <w:t>экономическ</w:t>
      </w:r>
      <w:r>
        <w:rPr>
          <w:w w:val="100"/>
        </w:rPr>
        <w:t>ой проблематикой</w:t>
      </w:r>
      <w:r w:rsidRPr="00A87B17">
        <w:rPr>
          <w:w w:val="100"/>
        </w:rPr>
        <w:t xml:space="preserve"> каждой из юрисдикций.</w:t>
      </w:r>
    </w:p>
    <w:p w:rsidR="00191B0A" w:rsidRPr="00251A8D" w:rsidRDefault="00191B0A" w:rsidP="00191B0A">
      <w:pPr>
        <w:pStyle w:val="H1GR"/>
      </w:pPr>
      <w:r w:rsidRPr="00251A8D">
        <w:lastRenderedPageBreak/>
        <w:tab/>
      </w:r>
      <w:r w:rsidRPr="00251A8D">
        <w:rPr>
          <w:lang w:val="en-GB"/>
        </w:rPr>
        <w:t>C</w:t>
      </w:r>
      <w:r w:rsidRPr="00251A8D">
        <w:t>.</w:t>
      </w:r>
      <w:r w:rsidRPr="00251A8D">
        <w:tab/>
        <w:t>Будущие консультации и последующие шаги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21.</w:t>
      </w:r>
      <w:r w:rsidRPr="00251A8D">
        <w:rPr>
          <w:bCs/>
        </w:rPr>
        <w:tab/>
      </w:r>
      <w:r w:rsidRPr="00251A8D">
        <w:t>При условии получения достаточных ресурсов УВКПЧ планирует пров</w:t>
      </w:r>
      <w:r w:rsidRPr="00251A8D">
        <w:t>е</w:t>
      </w:r>
      <w:r w:rsidRPr="00251A8D">
        <w:t>сти экспертные совещания и консультации по каждому из шести проектов, к</w:t>
      </w:r>
      <w:r w:rsidRPr="00251A8D">
        <w:t>о</w:t>
      </w:r>
      <w:r w:rsidRPr="00251A8D">
        <w:t>торые начнутся с сентября 2015 года и завершатся к первому кварталу 2016 г</w:t>
      </w:r>
      <w:r w:rsidRPr="00251A8D">
        <w:t>о</w:t>
      </w:r>
      <w:r w:rsidRPr="00251A8D">
        <w:t>да. В сотрудничестве с Рабочей группой по вопросу о правах человека и тран</w:t>
      </w:r>
      <w:r w:rsidRPr="00251A8D">
        <w:t>с</w:t>
      </w:r>
      <w:r w:rsidRPr="00251A8D">
        <w:t>национальных корпорациях и других предприятиях первоначальные выводы и аналитические выкладки, вытекающие из процессов в рамках проекта в области ответственности и правовой защиты, будут представлены на Форуме по вопр</w:t>
      </w:r>
      <w:r w:rsidRPr="00251A8D">
        <w:t>о</w:t>
      </w:r>
      <w:r w:rsidRPr="00251A8D">
        <w:t>сам предпринимательской деятельности и прав человека, который пройдет в Женеве 16</w:t>
      </w:r>
      <w:r>
        <w:t>−</w:t>
      </w:r>
      <w:r w:rsidRPr="00251A8D">
        <w:t>18 ноября 2015 года, для обеспечения публичного формата диску</w:t>
      </w:r>
      <w:r w:rsidRPr="00251A8D">
        <w:t>с</w:t>
      </w:r>
      <w:r w:rsidRPr="00251A8D">
        <w:t xml:space="preserve">сий между различными заинтересованными сторонами. 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22.</w:t>
      </w:r>
      <w:r w:rsidRPr="00251A8D">
        <w:rPr>
          <w:bCs/>
        </w:rPr>
        <w:tab/>
      </w:r>
      <w:r w:rsidRPr="00251A8D">
        <w:t>Первоначальные выводы и области для дальнейшего изучения, которые вытекают из предпринятой к настоящему времени работы, освещаются в разд</w:t>
      </w:r>
      <w:r w:rsidRPr="00251A8D">
        <w:t>е</w:t>
      </w:r>
      <w:r w:rsidRPr="00251A8D">
        <w:t xml:space="preserve">ле </w:t>
      </w:r>
      <w:r w:rsidRPr="00251A8D">
        <w:rPr>
          <w:lang w:val="en-US"/>
        </w:rPr>
        <w:t>III</w:t>
      </w:r>
      <w:r w:rsidRPr="00251A8D">
        <w:t xml:space="preserve"> ниже. </w:t>
      </w:r>
    </w:p>
    <w:p w:rsidR="00191B0A" w:rsidRPr="00251A8D" w:rsidRDefault="00191B0A" w:rsidP="00191B0A">
      <w:pPr>
        <w:pStyle w:val="HChGR"/>
      </w:pPr>
      <w:r w:rsidRPr="00251A8D">
        <w:tab/>
      </w:r>
      <w:r w:rsidRPr="00251A8D">
        <w:rPr>
          <w:lang w:val="en-GB"/>
        </w:rPr>
        <w:t>III</w:t>
      </w:r>
      <w:r w:rsidRPr="00251A8D">
        <w:t>.</w:t>
      </w:r>
      <w:r w:rsidRPr="00251A8D">
        <w:tab/>
        <w:t>Предварительные исследования: ключевые выводы и проблемы</w:t>
      </w:r>
    </w:p>
    <w:p w:rsidR="00191B0A" w:rsidRPr="00251A8D" w:rsidRDefault="00191B0A" w:rsidP="00191B0A">
      <w:pPr>
        <w:pStyle w:val="H1GR"/>
      </w:pPr>
      <w:r w:rsidRPr="00251A8D">
        <w:tab/>
      </w:r>
      <w:r w:rsidRPr="00251A8D">
        <w:rPr>
          <w:lang w:val="en-GB"/>
        </w:rPr>
        <w:t>A</w:t>
      </w:r>
      <w:r w:rsidRPr="00251A8D">
        <w:t>.</w:t>
      </w:r>
      <w:r w:rsidRPr="00251A8D">
        <w:tab/>
        <w:t>Предварительная работа, касающаяся составляющей 2 проекта: роль и ответственность заинтересованных государств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23.</w:t>
      </w:r>
      <w:r w:rsidRPr="00251A8D">
        <w:rPr>
          <w:bCs/>
        </w:rPr>
        <w:tab/>
      </w:r>
      <w:r w:rsidRPr="00251A8D">
        <w:t>Как отмечалось выше, в рамках составляющей 2 проекта будут изучены позиции и практика государств в отношении надлежащего применения эксте</w:t>
      </w:r>
      <w:r w:rsidRPr="00251A8D">
        <w:t>р</w:t>
      </w:r>
      <w:r w:rsidRPr="00251A8D">
        <w:t>риториальной юрисдикции и национальных мер с экстерриториальными п</w:t>
      </w:r>
      <w:r w:rsidRPr="00251A8D">
        <w:t>о</w:t>
      </w:r>
      <w:r w:rsidRPr="00251A8D">
        <w:t>следствиями. На его основе будут определены образцы надлежащей практики, которые дали бы государствам ориентиры в вопросе урегулирования междун</w:t>
      </w:r>
      <w:r w:rsidRPr="00251A8D">
        <w:t>а</w:t>
      </w:r>
      <w:r w:rsidRPr="00251A8D">
        <w:t>родных дел</w:t>
      </w:r>
      <w:r>
        <w:t>,</w:t>
      </w:r>
      <w:r w:rsidRPr="00251A8D">
        <w:t xml:space="preserve"> и изучены возможные модели международного и двустороннего сотрудничества.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24.</w:t>
      </w:r>
      <w:r w:rsidRPr="00251A8D">
        <w:rPr>
          <w:bCs/>
        </w:rPr>
        <w:tab/>
      </w:r>
      <w:r w:rsidRPr="00251A8D">
        <w:t>Международный элемент имеется не во всех делах, затрагивающих утверждения о связанных с предпринимательской деятельностью нарушениях прав человека. В тех делах, когда все их участники находятся в одной юрисди</w:t>
      </w:r>
      <w:r w:rsidRPr="00251A8D">
        <w:t>к</w:t>
      </w:r>
      <w:r w:rsidRPr="00251A8D">
        <w:t>ции, а имеющие отношение к делу факты имели место там же, вопросы эксте</w:t>
      </w:r>
      <w:r w:rsidRPr="00251A8D">
        <w:t>р</w:t>
      </w:r>
      <w:r w:rsidRPr="00251A8D">
        <w:t>риториальной юрисдикции и международного сотрудничества могут не возн</w:t>
      </w:r>
      <w:r w:rsidRPr="00251A8D">
        <w:t>и</w:t>
      </w:r>
      <w:r w:rsidRPr="00251A8D">
        <w:t>кать. Вместе с тем дела о причастности предпринимательской деятельности к серьезным нарушениям прав человека зачастую содержат международный эл</w:t>
      </w:r>
      <w:r w:rsidRPr="00251A8D">
        <w:t>е</w:t>
      </w:r>
      <w:r w:rsidRPr="00251A8D">
        <w:t>мент. Во многих ситуациях это происходит потому, что участники дела нах</w:t>
      </w:r>
      <w:r w:rsidRPr="00251A8D">
        <w:t>о</w:t>
      </w:r>
      <w:r w:rsidRPr="00251A8D">
        <w:t>дятся в двух или более юрисдикциях, или же факторы, связанные с судебным процессом или спором (такие, как материальные действия или решения), пре</w:t>
      </w:r>
      <w:r w:rsidRPr="00251A8D">
        <w:t>д</w:t>
      </w:r>
      <w:r w:rsidRPr="00251A8D">
        <w:t>положительно имели место в разных юрисдикциях.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25.</w:t>
      </w:r>
      <w:r w:rsidRPr="00251A8D">
        <w:rPr>
          <w:bCs/>
        </w:rPr>
        <w:tab/>
      </w:r>
      <w:r w:rsidRPr="00251A8D">
        <w:t>Дела с международным элементом вызывают особый комплекс сложн</w:t>
      </w:r>
      <w:r w:rsidRPr="00251A8D">
        <w:t>о</w:t>
      </w:r>
      <w:r w:rsidRPr="00251A8D">
        <w:t>стей для национальных правоохранительных органов, прокуроров и жертв. В</w:t>
      </w:r>
      <w:r>
        <w:t> </w:t>
      </w:r>
      <w:r w:rsidRPr="00251A8D">
        <w:t>проведенных организациями гражданского общества и другими субъектами всесторонних исследованиях задокументированы многие возникающие здесь трудности, связанные с доступом к судебной защите по такого рода делам. В</w:t>
      </w:r>
      <w:r>
        <w:t> </w:t>
      </w:r>
      <w:r w:rsidRPr="00251A8D">
        <w:t>их</w:t>
      </w:r>
      <w:r>
        <w:t> </w:t>
      </w:r>
      <w:r w:rsidRPr="00251A8D">
        <w:t>числе − трудности юридического плана (такие, как установление подсу</w:t>
      </w:r>
      <w:r w:rsidRPr="00251A8D">
        <w:t>д</w:t>
      </w:r>
      <w:r w:rsidRPr="00251A8D">
        <w:t>ности по кругу лиц и предметной подсудности, правильное определение круга правовых норм, применимых к данному делу, и проблемы, связанные с прав</w:t>
      </w:r>
      <w:r w:rsidRPr="00251A8D">
        <w:t>о</w:t>
      </w:r>
      <w:r w:rsidRPr="00251A8D">
        <w:t xml:space="preserve">применением) и многие практические и логистические вопросы, касающиеся сбора информации и наличия свидетелей. 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lastRenderedPageBreak/>
        <w:t>26.</w:t>
      </w:r>
      <w:r w:rsidRPr="00251A8D">
        <w:rPr>
          <w:bCs/>
        </w:rPr>
        <w:tab/>
      </w:r>
      <w:r w:rsidRPr="00251A8D">
        <w:t>Именно на этом фоне ведутся нынешние дискуссии о надлежащем пр</w:t>
      </w:r>
      <w:r w:rsidRPr="00251A8D">
        <w:t>и</w:t>
      </w:r>
      <w:r w:rsidRPr="00251A8D">
        <w:t>менении экстерриториальной юрисдикции по делам о нарушениях прав челов</w:t>
      </w:r>
      <w:r w:rsidRPr="00251A8D">
        <w:t>е</w:t>
      </w:r>
      <w:r w:rsidRPr="00251A8D">
        <w:t>ка, связанных с предпринимательской деятельностью. Ключевой целью соста</w:t>
      </w:r>
      <w:r w:rsidRPr="00251A8D">
        <w:t>в</w:t>
      </w:r>
      <w:r w:rsidRPr="00251A8D">
        <w:t>ляющей 2 проекта станет поиск способов использования существующей пра</w:t>
      </w:r>
      <w:r w:rsidRPr="00251A8D">
        <w:t>к</w:t>
      </w:r>
      <w:r w:rsidRPr="00251A8D">
        <w:t>тики государств, в том числе в других нормативно-правовых областях, в кач</w:t>
      </w:r>
      <w:r w:rsidRPr="00251A8D">
        <w:t>е</w:t>
      </w:r>
      <w:r w:rsidRPr="00251A8D">
        <w:t>стве основы для выдвижения практических решений по устранению трудн</w:t>
      </w:r>
      <w:r w:rsidRPr="00251A8D">
        <w:t>о</w:t>
      </w:r>
      <w:r w:rsidRPr="00251A8D">
        <w:t xml:space="preserve">стей, которые зачастую возникают в делах с международным элементом. 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27.</w:t>
      </w:r>
      <w:r w:rsidRPr="00251A8D">
        <w:rPr>
          <w:bCs/>
        </w:rPr>
        <w:tab/>
      </w:r>
      <w:r w:rsidRPr="00251A8D">
        <w:t>В качестве отправной точки составляющей 2 проекта рассматривается руководящий принцип 2, в котором содержится призыв к государствам четко заявить, что они ожидают от всех предприятий, домицилированных на их те</w:t>
      </w:r>
      <w:r w:rsidRPr="00251A8D">
        <w:t>р</w:t>
      </w:r>
      <w:r w:rsidRPr="00251A8D">
        <w:t>ритории и/или находящихся под их юрисдикцией, соблюдения прав человека в своей деятельности. В комментарии к данному принципу отмечается, что гос</w:t>
      </w:r>
      <w:r w:rsidRPr="00251A8D">
        <w:t>у</w:t>
      </w:r>
      <w:r w:rsidRPr="00251A8D">
        <w:t>дарства заняли в этом отношении самые разные подходы, включая создание уголовных режимов, позволяющих привлекать к ответственности по признаку гражданства нарушителя независимо от места совершения правонарушения. Подчеркивается также, что предполагаемая и фактическая оправданность де</w:t>
      </w:r>
      <w:r w:rsidRPr="00251A8D">
        <w:t>й</w:t>
      </w:r>
      <w:r w:rsidRPr="00251A8D">
        <w:t>ствий государств может зависеть от различных факторов, например от того, предусмотрены ли они многосторонними соглашениями. Ряд договорных орг</w:t>
      </w:r>
      <w:r w:rsidRPr="00251A8D">
        <w:t>а</w:t>
      </w:r>
      <w:r w:rsidRPr="00251A8D">
        <w:t>нов, контролирующих осуществление основных международных договоров о правах человека, также придерживаются того мнения, что обязательства гос</w:t>
      </w:r>
      <w:r w:rsidRPr="00251A8D">
        <w:t>у</w:t>
      </w:r>
      <w:r w:rsidRPr="00251A8D">
        <w:t>дарств − участников соответствующих договоров включают принятие надл</w:t>
      </w:r>
      <w:r w:rsidRPr="00251A8D">
        <w:t>е</w:t>
      </w:r>
      <w:r w:rsidRPr="00251A8D">
        <w:t>жащих мер по обеспечению того, чтобы деятельность предприятий, домицил</w:t>
      </w:r>
      <w:r w:rsidRPr="00251A8D">
        <w:t>и</w:t>
      </w:r>
      <w:r w:rsidRPr="00251A8D">
        <w:t>рованных на их территории или находящихся под их юрисдикцией, не ущемл</w:t>
      </w:r>
      <w:r w:rsidRPr="00251A8D">
        <w:t>я</w:t>
      </w:r>
      <w:r w:rsidRPr="00251A8D">
        <w:t>ла права человека в других странах</w:t>
      </w:r>
      <w:r w:rsidRPr="00326F0F">
        <w:rPr>
          <w:sz w:val="18"/>
          <w:szCs w:val="18"/>
          <w:vertAlign w:val="superscript"/>
          <w:lang w:val="en-GB"/>
        </w:rPr>
        <w:footnoteReference w:id="4"/>
      </w:r>
      <w:r>
        <w:t>.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28.</w:t>
      </w:r>
      <w:r w:rsidRPr="00251A8D">
        <w:rPr>
          <w:bCs/>
        </w:rPr>
        <w:tab/>
      </w:r>
      <w:r w:rsidRPr="00251A8D">
        <w:t>В руководящем принципе 7 задан важный дополнительный контекст для составляющей 2 проекта: в нем устанавливается, что ввиду повышенного риска совершения грубых нарушений прав человека в районах, затронутых конфли</w:t>
      </w:r>
      <w:r w:rsidRPr="00251A8D">
        <w:t>к</w:t>
      </w:r>
      <w:r w:rsidRPr="00251A8D">
        <w:t>том, государствам следует способствовать обеспечению того, чтобы предпри</w:t>
      </w:r>
      <w:r w:rsidRPr="00251A8D">
        <w:t>я</w:t>
      </w:r>
      <w:r w:rsidRPr="00251A8D">
        <w:t>тия, действующие в таких районах, не участвовали в совершении подобных нарушений, в частности путем обеспечения эффективности проводимой пол</w:t>
      </w:r>
      <w:r w:rsidRPr="00251A8D">
        <w:t>и</w:t>
      </w:r>
      <w:r w:rsidRPr="00251A8D">
        <w:t>тики, законодательства, подзаконных актов и мер правоприменения в деле устранения риска участия предприятий в совершении грубых нарушений прав человека. Кроме того, в руководящем принципе 26 оговаривается, что госуда</w:t>
      </w:r>
      <w:r w:rsidRPr="00251A8D">
        <w:t>р</w:t>
      </w:r>
      <w:r w:rsidRPr="00251A8D">
        <w:t>ствам следует изыскивать способы снижения правовых, практических и других соответствующих барьеров, которые могли бы явиться причиной отказа в д</w:t>
      </w:r>
      <w:r w:rsidRPr="00251A8D">
        <w:t>о</w:t>
      </w:r>
      <w:r w:rsidRPr="00251A8D">
        <w:t xml:space="preserve">ступе к средствам правовой защиты. В комментарии к принципу 26 отмечается, </w:t>
      </w:r>
      <w:r w:rsidRPr="00251A8D">
        <w:lastRenderedPageBreak/>
        <w:t>что правовые барьеры могут возникать, например, в случаях, когда истцы ста</w:t>
      </w:r>
      <w:r w:rsidRPr="00251A8D">
        <w:t>л</w:t>
      </w:r>
      <w:r w:rsidRPr="00251A8D">
        <w:t>киваются с отказом в правосудии в принимающем государстве и не могут пол</w:t>
      </w:r>
      <w:r w:rsidRPr="00251A8D">
        <w:t>у</w:t>
      </w:r>
      <w:r w:rsidRPr="00251A8D">
        <w:t>чить доступ к судам государства происхождения независимо от существа пр</w:t>
      </w:r>
      <w:r w:rsidRPr="00251A8D">
        <w:t>е</w:t>
      </w:r>
      <w:r w:rsidRPr="00251A8D">
        <w:t>тензии.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29.</w:t>
      </w:r>
      <w:r w:rsidRPr="00251A8D">
        <w:rPr>
          <w:bCs/>
        </w:rPr>
        <w:tab/>
      </w:r>
      <w:r w:rsidRPr="00251A8D">
        <w:t>Предыдущие исследования практики государств в других нормативно-правовых областях помогли пролить свет на применение государствами эксте</w:t>
      </w:r>
      <w:r w:rsidRPr="00251A8D">
        <w:t>р</w:t>
      </w:r>
      <w:r w:rsidRPr="00251A8D">
        <w:t>риториальной юрисдикции и национальных мер с экстерриториальными п</w:t>
      </w:r>
      <w:r w:rsidRPr="00251A8D">
        <w:t>о</w:t>
      </w:r>
      <w:r w:rsidRPr="00251A8D">
        <w:t>следствиями на практике</w:t>
      </w:r>
      <w:r w:rsidRPr="00326F0F">
        <w:rPr>
          <w:sz w:val="18"/>
          <w:szCs w:val="18"/>
          <w:vertAlign w:val="superscript"/>
          <w:lang w:val="en-GB"/>
        </w:rPr>
        <w:footnoteReference w:id="5"/>
      </w:r>
      <w:r>
        <w:t>.</w:t>
      </w:r>
      <w:r w:rsidRPr="00251A8D">
        <w:t xml:space="preserve"> В последние годы государства все в большей степени готовы применять прямую экстерриториальную юрисдикцию в отношении пр</w:t>
      </w:r>
      <w:r w:rsidRPr="00251A8D">
        <w:t>е</w:t>
      </w:r>
      <w:r w:rsidRPr="00251A8D">
        <w:t>ступной деятельности, такой как терроризм, отмывание денег, коррупция, гр</w:t>
      </w:r>
      <w:r w:rsidRPr="00251A8D">
        <w:t>у</w:t>
      </w:r>
      <w:r w:rsidRPr="00251A8D">
        <w:t>бые нарушения прав человека и сексуальные преступления против детей. При</w:t>
      </w:r>
      <w:r>
        <w:t> </w:t>
      </w:r>
      <w:r w:rsidRPr="00251A8D">
        <w:t>рассмотрении этих различных областей можно выявить отдельные тенде</w:t>
      </w:r>
      <w:r w:rsidRPr="00251A8D">
        <w:t>н</w:t>
      </w:r>
      <w:r w:rsidRPr="00251A8D">
        <w:t>ции, касающиеся применения экстерриториальной юрисдикции и национал</w:t>
      </w:r>
      <w:r w:rsidRPr="00251A8D">
        <w:t>ь</w:t>
      </w:r>
      <w:r w:rsidRPr="00251A8D">
        <w:t>ных мер с экстерриториальными последствиями и реакции на эти меры. Например, данные меры рассматриваются затронутыми государствами скорее как обоснованные, если они санкционированы в рамках двустороннего или многостороннего режима, предназначены для разрешения вопросов, вызыва</w:t>
      </w:r>
      <w:r w:rsidRPr="00251A8D">
        <w:t>ю</w:t>
      </w:r>
      <w:r w:rsidRPr="00251A8D">
        <w:t>щих международную озабоченность (нежели затрагивающих, прежде всего, национальные интересы), были разработаны в консультациях с другими гос</w:t>
      </w:r>
      <w:r w:rsidRPr="00251A8D">
        <w:t>у</w:t>
      </w:r>
      <w:r w:rsidRPr="00251A8D">
        <w:t>дарствами и учитывают их интересы и включают процедуры разрешения ко</w:t>
      </w:r>
      <w:r w:rsidRPr="00251A8D">
        <w:t>н</w:t>
      </w:r>
      <w:r w:rsidRPr="00251A8D">
        <w:t xml:space="preserve">фликтующих юрисдикционных притязаний. 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30.</w:t>
      </w:r>
      <w:r w:rsidRPr="00251A8D">
        <w:rPr>
          <w:bCs/>
        </w:rPr>
        <w:tab/>
      </w:r>
      <w:r w:rsidRPr="00251A8D">
        <w:t>В этих исследованиях также освещены различные возможности, которые могут иметься у государств для преодоления практических проблем, обычно возникающих в трансграничных делах. Например, в делах о взяточничестве и коррупции правоохранительными органами различных стран проведены со</w:t>
      </w:r>
      <w:r w:rsidRPr="00251A8D">
        <w:t>в</w:t>
      </w:r>
      <w:r w:rsidRPr="00251A8D">
        <w:t>местные расследования и заключены соглашения по конкретным вопросам, к</w:t>
      </w:r>
      <w:r w:rsidRPr="00251A8D">
        <w:t>а</w:t>
      </w:r>
      <w:r w:rsidRPr="00251A8D">
        <w:t>сающиеся надлежащих стратегий правоприменения и совместного установл</w:t>
      </w:r>
      <w:r w:rsidRPr="00251A8D">
        <w:t>е</w:t>
      </w:r>
      <w:r w:rsidRPr="00251A8D">
        <w:t xml:space="preserve">ния финансовых санкций. </w:t>
      </w:r>
    </w:p>
    <w:p w:rsidR="00191B0A" w:rsidRPr="00251A8D" w:rsidRDefault="00191B0A" w:rsidP="00191B0A">
      <w:pPr>
        <w:pStyle w:val="SingleTxtGR"/>
      </w:pPr>
      <w:r w:rsidRPr="00251A8D">
        <w:rPr>
          <w:bCs/>
        </w:rPr>
        <w:t>31.</w:t>
      </w:r>
      <w:r w:rsidRPr="00251A8D">
        <w:rPr>
          <w:bCs/>
        </w:rPr>
        <w:tab/>
      </w:r>
      <w:r w:rsidRPr="00251A8D">
        <w:t>Основываясь на рекомендациях, вытекающих из заказанного УВКПЧ в 2013 году первоначального исследования об эффективности национальных с</w:t>
      </w:r>
      <w:r w:rsidRPr="00251A8D">
        <w:t>у</w:t>
      </w:r>
      <w:r w:rsidRPr="00251A8D">
        <w:t>дебных механизмов, в рамках составляющей 2 проекта будет рассмотрен в</w:t>
      </w:r>
      <w:r w:rsidRPr="00251A8D">
        <w:t>о</w:t>
      </w:r>
      <w:r w:rsidRPr="00251A8D">
        <w:t>прос о том, в какой мере можно использовать модели международного сотру</w:t>
      </w:r>
      <w:r w:rsidRPr="00251A8D">
        <w:t>д</w:t>
      </w:r>
      <w:r w:rsidRPr="00251A8D">
        <w:t>ничества и опыт в области применения экстерриториальной юрисдикции в др</w:t>
      </w:r>
      <w:r w:rsidRPr="00251A8D">
        <w:t>у</w:t>
      </w:r>
      <w:r w:rsidRPr="00251A8D">
        <w:t>гих сферах нормативно-правового регулирования для содействия в преодолении трудностей, связанных с международными делами о связанных с предприним</w:t>
      </w:r>
      <w:r w:rsidRPr="00251A8D">
        <w:t>а</w:t>
      </w:r>
      <w:r w:rsidRPr="00251A8D">
        <w:t xml:space="preserve">тельской деятельностью серьезных нарушениях прав человека. </w:t>
      </w:r>
    </w:p>
    <w:p w:rsidR="00191B0A" w:rsidRPr="000450D1" w:rsidRDefault="00191B0A" w:rsidP="00191B0A">
      <w:pPr>
        <w:pStyle w:val="SingleTxtGR"/>
      </w:pPr>
      <w:r w:rsidRPr="00251A8D">
        <w:rPr>
          <w:bCs/>
        </w:rPr>
        <w:t>32.</w:t>
      </w:r>
      <w:r w:rsidRPr="00251A8D">
        <w:rPr>
          <w:bCs/>
        </w:rPr>
        <w:tab/>
      </w:r>
      <w:r w:rsidRPr="00251A8D">
        <w:t>На время представления настоящего доклада было завершено два отдел</w:t>
      </w:r>
      <w:r w:rsidRPr="00251A8D">
        <w:t>ь</w:t>
      </w:r>
      <w:r w:rsidRPr="00251A8D">
        <w:t xml:space="preserve">ных предварительных исследования по составляющей 2 проекта. Хотя в них рассматриваются совершенно разные вопросы, они имеют единую исходную цель, а именно </w:t>
      </w:r>
      <w:r>
        <w:t>−</w:t>
      </w:r>
      <w:r w:rsidRPr="00251A8D">
        <w:t xml:space="preserve"> собрать практические свидетельства, которые могут пролить свет на практику и позиции государств в отношении надлежащего применения экстерриториальной юрисдикции и национальных мер с экстерриториальными последствиями. </w:t>
      </w:r>
    </w:p>
    <w:p w:rsidR="00C03AE2" w:rsidRDefault="00191B0A" w:rsidP="00191B0A">
      <w:pPr>
        <w:pStyle w:val="H1GR"/>
      </w:pPr>
      <w:r>
        <w:lastRenderedPageBreak/>
        <w:tab/>
        <w:t>B</w:t>
      </w:r>
      <w:r w:rsidRPr="00522D9B">
        <w:t>.</w:t>
      </w:r>
      <w:r w:rsidRPr="00522D9B">
        <w:tab/>
      </w:r>
      <w:r>
        <w:t>Обзор</w:t>
      </w:r>
      <w:r w:rsidRPr="00522D9B">
        <w:t xml:space="preserve"> </w:t>
      </w:r>
      <w:r>
        <w:t>привступления государств в судебные дела</w:t>
      </w:r>
      <w:r w:rsidRPr="00522D9B">
        <w:t xml:space="preserve"> </w:t>
      </w:r>
      <w:r>
        <w:t>в</w:t>
      </w:r>
      <w:r w:rsidRPr="00522D9B">
        <w:t xml:space="preserve"> </w:t>
      </w:r>
      <w:r>
        <w:t>связи</w:t>
      </w:r>
      <w:r w:rsidRPr="00522D9B">
        <w:t xml:space="preserve"> </w:t>
      </w:r>
      <w:r>
        <w:t>с осуществлением</w:t>
      </w:r>
      <w:r w:rsidRPr="00522D9B">
        <w:t xml:space="preserve"> </w:t>
      </w:r>
      <w:r>
        <w:t>экстерриториальной</w:t>
      </w:r>
      <w:r w:rsidRPr="00522D9B">
        <w:t xml:space="preserve"> </w:t>
      </w:r>
      <w:r>
        <w:t>юрисдикции</w:t>
      </w:r>
      <w:r w:rsidRPr="00522D9B">
        <w:t xml:space="preserve"> </w:t>
      </w:r>
      <w:r>
        <w:t>судами</w:t>
      </w:r>
      <w:r w:rsidRPr="00522D9B">
        <w:t xml:space="preserve"> </w:t>
      </w:r>
      <w:r>
        <w:t>Соединенных</w:t>
      </w:r>
      <w:r w:rsidRPr="00522D9B">
        <w:t xml:space="preserve"> </w:t>
      </w:r>
      <w:r>
        <w:t>Штатов</w:t>
      </w:r>
      <w:r w:rsidRPr="00522D9B">
        <w:t xml:space="preserve"> </w:t>
      </w:r>
      <w:r>
        <w:t>согласно закону о правонарушениях в отношении иностранных граждан</w:t>
      </w:r>
    </w:p>
    <w:p w:rsidR="00191B0A" w:rsidRDefault="00191B0A" w:rsidP="00CB0DBA">
      <w:pPr>
        <w:pStyle w:val="SingleTxtGR"/>
      </w:pPr>
      <w:r>
        <w:t>3</w:t>
      </w:r>
      <w:r w:rsidRPr="00016CFE">
        <w:t>3.</w:t>
      </w:r>
      <w:r w:rsidRPr="00016CFE">
        <w:tab/>
        <w:t>Закон о правонарушениях в отношении иностранных граждан (Свод з</w:t>
      </w:r>
      <w:r w:rsidRPr="00016CFE">
        <w:t>а</w:t>
      </w:r>
      <w:r w:rsidRPr="00016CFE">
        <w:t>конов Соединенных Штатов, глава 28, раздел 1350) наделяет федеральные суды первой инстанции Соединенных Штатов компетенцией по рассмотрению л</w:t>
      </w:r>
      <w:r w:rsidRPr="00016CFE">
        <w:t>ю</w:t>
      </w:r>
      <w:r w:rsidRPr="00016CFE">
        <w:t>бых гражданских исков иностранцев только в отношении правонарушений, квалифицируемых как таковые согласно международному праву или договору Соединенных Штатов. В последние десятилетия истцы пытались использовать этот закон для подачи в суды Соединенных Штатов исков о нарушении прав ч</w:t>
      </w:r>
      <w:r w:rsidRPr="00016CFE">
        <w:t>е</w:t>
      </w:r>
      <w:r w:rsidRPr="00016CFE">
        <w:t>ловека, совершенных за рубежом, в том числе в делах по заявлениям о наруш</w:t>
      </w:r>
      <w:r w:rsidRPr="00016CFE">
        <w:t>е</w:t>
      </w:r>
      <w:r w:rsidRPr="00016CFE">
        <w:t>нии прав человека предприятиями, домицилированными за пределами Соед</w:t>
      </w:r>
      <w:r w:rsidRPr="00016CFE">
        <w:t>и</w:t>
      </w:r>
      <w:r w:rsidRPr="00016CFE">
        <w:t>ненных Штатов. Хотя число выигранных дел невелико, потерпевшие и их пре</w:t>
      </w:r>
      <w:r w:rsidRPr="00016CFE">
        <w:t>д</w:t>
      </w:r>
      <w:r w:rsidRPr="00016CFE">
        <w:t>ставители рассматривают закон в качестве важного средства возмещения уще</w:t>
      </w:r>
      <w:r w:rsidRPr="00016CFE">
        <w:t>р</w:t>
      </w:r>
      <w:r w:rsidRPr="00016CFE">
        <w:t>ба в случаях, когда истцы не могут получить правовую защиту в судах госуда</w:t>
      </w:r>
      <w:r w:rsidRPr="00016CFE">
        <w:t>р</w:t>
      </w:r>
      <w:r w:rsidRPr="00016CFE">
        <w:t>ства, в котором произошло предполагаемое нарушение. По своей природе да</w:t>
      </w:r>
      <w:r w:rsidRPr="00016CFE">
        <w:t>н</w:t>
      </w:r>
      <w:r w:rsidRPr="00016CFE">
        <w:t>ные дела затрагивают вопросы о надлежащем осуществлении экстерриториал</w:t>
      </w:r>
      <w:r w:rsidRPr="00016CFE">
        <w:t>ь</w:t>
      </w:r>
      <w:r w:rsidRPr="00016CFE">
        <w:t>ной юрисдикции. По ряду дел, касающихся закона, государства и государстве</w:t>
      </w:r>
      <w:r w:rsidRPr="00016CFE">
        <w:t>н</w:t>
      </w:r>
      <w:r w:rsidRPr="00016CFE">
        <w:t>ные учреждения вступали в судебный процесс посредством писем, заявлений или (чаще всего) записок amicus curiae с выражением мнений относительно надлежащих пределов юрисдикции по конкретным делам или же по более о</w:t>
      </w:r>
      <w:r w:rsidRPr="00016CFE">
        <w:t>б</w:t>
      </w:r>
      <w:r w:rsidRPr="00016CFE">
        <w:t>щим принципиальным вопросам. Цель данного исследования состояла в том, чтобы провести обзор как можно большего числа случаев привступления гос</w:t>
      </w:r>
      <w:r w:rsidRPr="00016CFE">
        <w:t>у</w:t>
      </w:r>
      <w:r w:rsidRPr="00016CFE">
        <w:t>дарств в такие судебные дела и на этой основе попытаться прояснить прошлую и нынешнюю практику государств и их позиции в связи с применением эксте</w:t>
      </w:r>
      <w:r w:rsidRPr="00016CFE">
        <w:t>р</w:t>
      </w:r>
      <w:r w:rsidRPr="00016CFE">
        <w:t>риториальной юрисдикции по делам о предполагаемой связи предпринимател</w:t>
      </w:r>
      <w:r w:rsidRPr="00016CFE">
        <w:t>ь</w:t>
      </w:r>
      <w:r w:rsidRPr="00016CFE">
        <w:t>ской деятельности с серьезными нарушениями прав человека. В частности:</w:t>
      </w:r>
    </w:p>
    <w:p w:rsidR="00191B0A" w:rsidRDefault="00191B0A" w:rsidP="00CB0DBA">
      <w:pPr>
        <w:pStyle w:val="SingleTxtGR"/>
      </w:pPr>
      <w:r>
        <w:tab/>
      </w:r>
      <w:r w:rsidRPr="00016CFE">
        <w:t>a)</w:t>
      </w:r>
      <w:r w:rsidRPr="00016CFE">
        <w:tab/>
        <w:t>В чем заключаются основные аргументы "за" и "против" примен</w:t>
      </w:r>
      <w:r w:rsidRPr="00016CFE">
        <w:t>е</w:t>
      </w:r>
      <w:r w:rsidRPr="00016CFE">
        <w:t>ния экстерриториальной юрисдикции по делам о правах человека?</w:t>
      </w:r>
    </w:p>
    <w:p w:rsidR="00191B0A" w:rsidRDefault="00191B0A" w:rsidP="00CB0DBA">
      <w:pPr>
        <w:pStyle w:val="SingleTxtGR"/>
      </w:pPr>
      <w:r>
        <w:tab/>
      </w:r>
      <w:r w:rsidRPr="00016CFE">
        <w:t>b)</w:t>
      </w:r>
      <w:r w:rsidRPr="00016CFE">
        <w:tab/>
        <w:t>Чем отличаются эти аргументы от аргументов "за" и "против" эк</w:t>
      </w:r>
      <w:r w:rsidRPr="00016CFE">
        <w:t>с</w:t>
      </w:r>
      <w:r w:rsidRPr="00016CFE">
        <w:t>территориальной юрисдикции в других сферах нормативно-правового регул</w:t>
      </w:r>
      <w:r w:rsidRPr="00016CFE">
        <w:t>и</w:t>
      </w:r>
      <w:r w:rsidRPr="00016CFE">
        <w:t>рования?</w:t>
      </w:r>
    </w:p>
    <w:p w:rsidR="00191B0A" w:rsidRDefault="00191B0A" w:rsidP="00CB0DBA">
      <w:pPr>
        <w:pStyle w:val="SingleTxtGR"/>
      </w:pPr>
      <w:r>
        <w:tab/>
      </w:r>
      <w:r w:rsidRPr="00016CFE">
        <w:t>c)</w:t>
      </w:r>
      <w:r w:rsidRPr="00016CFE">
        <w:tab/>
        <w:t>Какова достигнутая степень консенсуса между государствами в о</w:t>
      </w:r>
      <w:r w:rsidRPr="00016CFE">
        <w:t>т</w:t>
      </w:r>
      <w:r w:rsidRPr="00016CFE">
        <w:t>ношении обстоятельств, в которых применение экстерриториальной юрисди</w:t>
      </w:r>
      <w:r w:rsidRPr="00016CFE">
        <w:t>к</w:t>
      </w:r>
      <w:r w:rsidRPr="00016CFE">
        <w:t>ции должно запрещаться, допускаться или поощряться в делах о правах челов</w:t>
      </w:r>
      <w:r w:rsidRPr="00016CFE">
        <w:t>е</w:t>
      </w:r>
      <w:r w:rsidRPr="00016CFE">
        <w:t>ка, и в отношении ограничений, которые необходимо при этом соблюдать?</w:t>
      </w:r>
    </w:p>
    <w:p w:rsidR="00191B0A" w:rsidRDefault="00191B0A" w:rsidP="00CB0DBA">
      <w:pPr>
        <w:pStyle w:val="SingleTxtGR"/>
      </w:pPr>
      <w:r>
        <w:tab/>
      </w:r>
      <w:r w:rsidRPr="00016CFE">
        <w:t>d)</w:t>
      </w:r>
      <w:r w:rsidRPr="00016CFE">
        <w:tab/>
        <w:t>В чем, по мнению государств, состоят наилучшие гарантии от "н</w:t>
      </w:r>
      <w:r w:rsidRPr="00016CFE">
        <w:t>е</w:t>
      </w:r>
      <w:r w:rsidRPr="00016CFE">
        <w:t>обоснованных" исков в рамках экс</w:t>
      </w:r>
      <w:r>
        <w:t>территориальной юрисдикции</w:t>
      </w:r>
      <w:r w:rsidRPr="00016CFE">
        <w:t xml:space="preserve"> и каким обр</w:t>
      </w:r>
      <w:r w:rsidRPr="00016CFE">
        <w:t>а</w:t>
      </w:r>
      <w:r w:rsidRPr="00016CFE">
        <w:t>зом могут разрешаться юрисдикционные конфликты?</w:t>
      </w:r>
    </w:p>
    <w:p w:rsidR="00191B0A" w:rsidRDefault="00191B0A" w:rsidP="00CB0DBA">
      <w:pPr>
        <w:pStyle w:val="SingleTxtGR"/>
      </w:pPr>
      <w:r w:rsidRPr="00016CFE">
        <w:t>34.</w:t>
      </w:r>
      <w:r w:rsidRPr="00016CFE">
        <w:tab/>
        <w:t>Обзор был проведен в апреле 2015 года. С помощью информации, соде</w:t>
      </w:r>
      <w:r w:rsidRPr="00016CFE">
        <w:t>р</w:t>
      </w:r>
      <w:r w:rsidRPr="00016CFE">
        <w:t>жащейся в правовых базах данных, было установлено около 30 случаев всту</w:t>
      </w:r>
      <w:r w:rsidRPr="00016CFE">
        <w:t>п</w:t>
      </w:r>
      <w:r w:rsidRPr="00016CFE">
        <w:t>ления государств в рассмотрение юрисдикционных вопросов по, как минимум, 10 отдельным судебным делам. Затем эти записки и представления (из 12 ра</w:t>
      </w:r>
      <w:r w:rsidRPr="00016CFE">
        <w:t>з</w:t>
      </w:r>
      <w:r w:rsidRPr="00016CFE">
        <w:t>личных юрисдикций) были изучены; были также отмечены аргументы "за" и "против" экстерриториальной юрисдикции и комментарии и озабоченности по конкретным делам. Признается, что все эти записки amicus curiae и другие формы привступления в дело относились к правовому контексту, предшеств</w:t>
      </w:r>
      <w:r w:rsidRPr="00016CFE">
        <w:t>о</w:t>
      </w:r>
      <w:r w:rsidRPr="00016CFE">
        <w:t xml:space="preserve">вавшему важнейшему прецедентному решению Верховного суда Соединенных </w:t>
      </w:r>
      <w:r w:rsidRPr="00016CFE">
        <w:lastRenderedPageBreak/>
        <w:t xml:space="preserve">Штатов 2013 года по делу </w:t>
      </w:r>
      <w:r w:rsidRPr="00191B0A">
        <w:rPr>
          <w:i/>
        </w:rPr>
        <w:t>Kiobel v. Royal Dutch Petroleum</w:t>
      </w:r>
      <w:r>
        <w:t>. Тем не менее</w:t>
      </w:r>
      <w:r w:rsidRPr="00016CFE">
        <w:t xml:space="preserve"> это не уменьшает значения данных документов как свидетельств прошлой и ныне</w:t>
      </w:r>
      <w:r w:rsidRPr="00016CFE">
        <w:t>ш</w:t>
      </w:r>
      <w:r w:rsidRPr="00016CFE">
        <w:t>ней практики и позиций государств в отношении применения экстерриториал</w:t>
      </w:r>
      <w:r w:rsidRPr="00016CFE">
        <w:t>ь</w:t>
      </w:r>
      <w:r w:rsidRPr="00016CFE">
        <w:t>ной юрисдикции по гражданским делам, в которых выдвигаются утверждения о причастности предпринимательской деятельности к серьезным нарушениям прав человека.</w:t>
      </w:r>
    </w:p>
    <w:p w:rsidR="00191B0A" w:rsidRDefault="00191B0A" w:rsidP="00CB0DBA">
      <w:pPr>
        <w:pStyle w:val="SingleTxtGR"/>
      </w:pPr>
      <w:r w:rsidRPr="00016CFE">
        <w:t>35.</w:t>
      </w:r>
      <w:r w:rsidRPr="00016CFE">
        <w:tab/>
        <w:t>Лишь небольшое число государств привступали в дела, связанные с зак</w:t>
      </w:r>
      <w:r w:rsidRPr="00016CFE">
        <w:t>о</w:t>
      </w:r>
      <w:r w:rsidRPr="00016CFE">
        <w:t>ном о правонарушениях иностранных граждан, по юрисдикционным вопросам. Среди них к настоящему времени чаще всего в судебные дела привступали С</w:t>
      </w:r>
      <w:r w:rsidRPr="00016CFE">
        <w:t>о</w:t>
      </w:r>
      <w:r w:rsidRPr="00016CFE">
        <w:t xml:space="preserve">единенные Штаты, за которыми следуют государства, где домицилированы компании </w:t>
      </w:r>
      <w:r>
        <w:t xml:space="preserve">− </w:t>
      </w:r>
      <w:r w:rsidRPr="00016CFE">
        <w:t>ответчики по конкретным делам. Совсем незначительное число государств когда-либо пытались вступить в дела, связанные с законом о прав</w:t>
      </w:r>
      <w:r w:rsidRPr="00016CFE">
        <w:t>о</w:t>
      </w:r>
      <w:r w:rsidRPr="00016CFE">
        <w:t>нарушениях иностранных граждан и касающиеся действий и предполагаемых нарушений на их территории. Поэтому нельзя сделать какие-либо окончател</w:t>
      </w:r>
      <w:r w:rsidRPr="00016CFE">
        <w:t>ь</w:t>
      </w:r>
      <w:r w:rsidRPr="00016CFE">
        <w:t>ные выводы о пределах возможного консенсуса относительно применения эк</w:t>
      </w:r>
      <w:r w:rsidRPr="00016CFE">
        <w:t>с</w:t>
      </w:r>
      <w:r w:rsidRPr="00016CFE">
        <w:t>территориальной юрисдикции по делам о правах человека только на основании этих данных. Следует также признать, что эти записи охватывают период н</w:t>
      </w:r>
      <w:r w:rsidRPr="00016CFE">
        <w:t>е</w:t>
      </w:r>
      <w:r w:rsidRPr="00016CFE">
        <w:t>скольких десятилетий и что взгляды и позиции в рамках государства могут пр</w:t>
      </w:r>
      <w:r w:rsidRPr="00016CFE">
        <w:t>е</w:t>
      </w:r>
      <w:r w:rsidRPr="00016CFE">
        <w:t>терпевать изменения, в особенности в случаях смены правительства</w:t>
      </w:r>
      <w:r>
        <w:t>. Вместе с тем</w:t>
      </w:r>
      <w:r w:rsidRPr="00016CFE">
        <w:t xml:space="preserve"> полученные по итогам исследования данные все-таки помогают понять, в каких категориях дел имелись возражения на применение экстерриториальной юрисдикции, какова была степень возражений по различным видам дел и в к</w:t>
      </w:r>
      <w:r w:rsidRPr="00016CFE">
        <w:t>а</w:t>
      </w:r>
      <w:r w:rsidRPr="00016CFE">
        <w:t>ких категориях дел осуществление экстерриториальной предметной юрисди</w:t>
      </w:r>
      <w:r w:rsidRPr="00016CFE">
        <w:t>к</w:t>
      </w:r>
      <w:r w:rsidRPr="00016CFE">
        <w:t>ции скорее принималось.</w:t>
      </w:r>
    </w:p>
    <w:p w:rsidR="00191B0A" w:rsidRDefault="00191B0A" w:rsidP="00CB0DBA">
      <w:pPr>
        <w:pStyle w:val="SingleTxtGR"/>
      </w:pPr>
      <w:r w:rsidRPr="005401CB">
        <w:t>36.</w:t>
      </w:r>
      <w:r w:rsidRPr="005401CB">
        <w:tab/>
        <w:t xml:space="preserve">На основе записок </w:t>
      </w:r>
      <w:r w:rsidRPr="00016CFE">
        <w:t>amicus</w:t>
      </w:r>
      <w:r w:rsidRPr="005401CB">
        <w:t xml:space="preserve"> </w:t>
      </w:r>
      <w:r w:rsidRPr="00016CFE">
        <w:t>curiae</w:t>
      </w:r>
      <w:r w:rsidRPr="005401CB">
        <w:t xml:space="preserve"> и других видов привступления в пр</w:t>
      </w:r>
      <w:r w:rsidRPr="005401CB">
        <w:t>о</w:t>
      </w:r>
      <w:r w:rsidRPr="005401CB">
        <w:t>цесс, которые были рассмотрены в ходе данного исследования, приведенная ниже схема является попыткой показать возможное место различных категорий дел в спектре возможных позиций государств по отношению к осуществлению предметной экстерриториальной юрисдикции в делах о предполагаемой корп</w:t>
      </w:r>
      <w:r w:rsidRPr="005401CB">
        <w:t>о</w:t>
      </w:r>
      <w:r w:rsidRPr="005401CB">
        <w:t>ративной причастности к серьезным нарушениям прав человека − от "запр</w:t>
      </w:r>
      <w:r w:rsidRPr="005401CB">
        <w:t>е</w:t>
      </w:r>
      <w:r w:rsidRPr="005401CB">
        <w:t>щенной", с одной стороны, и до "требуемой" − с другой. Исследование не в</w:t>
      </w:r>
      <w:r w:rsidRPr="005401CB">
        <w:t>ы</w:t>
      </w:r>
      <w:r w:rsidRPr="005401CB">
        <w:t>явило каких-либо свидетельств практики государств, дающих основание пре</w:t>
      </w:r>
      <w:r w:rsidRPr="005401CB">
        <w:t>д</w:t>
      </w:r>
      <w:r w:rsidRPr="005401CB">
        <w:t>полагать наличие связанных с предпринимательской деятельностью правоз</w:t>
      </w:r>
      <w:r w:rsidRPr="005401CB">
        <w:t>а</w:t>
      </w:r>
      <w:r w:rsidRPr="005401CB">
        <w:t>щитных дел, в отношении которых осуществление предметной экстерритор</w:t>
      </w:r>
      <w:r w:rsidRPr="005401CB">
        <w:t>и</w:t>
      </w:r>
      <w:r w:rsidRPr="005401CB">
        <w:t>альной юрисдикции требуется в соответствии с обычным международным пр</w:t>
      </w:r>
      <w:r w:rsidRPr="005401CB">
        <w:t>а</w:t>
      </w:r>
      <w:r w:rsidRPr="005401CB">
        <w:t>вом или даже рекомендуется по принципиал</w:t>
      </w:r>
      <w:r>
        <w:t>ьным соображениям. Вместе с тем</w:t>
      </w:r>
      <w:r w:rsidRPr="005401CB">
        <w:t xml:space="preserve"> существует ряд других возможных категорий дел, которые относятся к пром</w:t>
      </w:r>
      <w:r w:rsidRPr="005401CB">
        <w:t>е</w:t>
      </w:r>
      <w:r w:rsidRPr="005401CB">
        <w:t>жуточной части спектра между "запрещенной" и "допускаемой" экстерритор</w:t>
      </w:r>
      <w:r w:rsidRPr="005401CB">
        <w:t>и</w:t>
      </w:r>
      <w:r w:rsidRPr="005401CB">
        <w:t>альной юрисдикцией.</w:t>
      </w:r>
    </w:p>
    <w:p w:rsidR="00191B0A" w:rsidRDefault="00191B0A" w:rsidP="00191B0A">
      <w:pPr>
        <w:pStyle w:val="1"/>
        <w:suppressAutoHyphens/>
        <w:spacing w:after="120"/>
        <w:ind w:left="1134" w:right="1134"/>
        <w:jc w:val="left"/>
      </w:pPr>
      <w:r w:rsidRPr="00830D22">
        <w:lastRenderedPageBreak/>
        <w:t>Иллюстрация возможного спектра по</w:t>
      </w:r>
      <w:r w:rsidR="002556B3">
        <w:t>зиций государств по отношению к </w:t>
      </w:r>
      <w:r w:rsidRPr="00830D22">
        <w:t>осуществлению экстерриториальной юрисдикции в различных ситуациях в соответствии с информаци</w:t>
      </w:r>
      <w:r w:rsidR="002556B3">
        <w:t>ей о привступлении государств в </w:t>
      </w:r>
      <w:r w:rsidRPr="00830D22">
        <w:t>судебные дела, связанные с законом о правонарушениях в отношении иностранных граждан</w:t>
      </w:r>
    </w:p>
    <w:p w:rsidR="002556B3" w:rsidRDefault="00C67F60" w:rsidP="002556B3">
      <w:pPr>
        <w:pStyle w:val="SingleTxtG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D1D63" wp14:editId="6B5D30EF">
                <wp:simplePos x="0" y="0"/>
                <wp:positionH relativeFrom="column">
                  <wp:posOffset>766449</wp:posOffset>
                </wp:positionH>
                <wp:positionV relativeFrom="paragraph">
                  <wp:posOffset>887265</wp:posOffset>
                </wp:positionV>
                <wp:extent cx="914400" cy="767080"/>
                <wp:effectExtent l="0" t="0" r="19050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9C1808" w:rsidRDefault="002556B3" w:rsidP="007061E0">
                            <w:pPr>
                              <w:spacing w:before="40" w:line="120" w:lineRule="exact"/>
                              <w:ind w:left="57"/>
                              <w:rPr>
                                <w:sz w:val="11"/>
                                <w:szCs w:val="11"/>
                              </w:rPr>
                            </w:pPr>
                            <w:r w:rsidRPr="009C1808">
                              <w:rPr>
                                <w:sz w:val="11"/>
                                <w:szCs w:val="11"/>
                              </w:rPr>
                              <w:t>"Дела с тремя иностра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ными элементами", св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я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 xml:space="preserve">занные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с 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вопросами пов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е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дения зарубежного пр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а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вительства в случаях наличия эффективных средств правовой защиты в государстве территор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альной юрисдикции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0.35pt;margin-top:69.85pt;width:1in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" fillcolor="white [3201]" strokeweight=".25pt">
                <v:textbox inset="0,0,0,0">
                  <w:txbxContent>
                    <w:p w:rsidR="002556B3" w:rsidRPr="009C1808" w:rsidRDefault="002556B3" w:rsidP="007061E0">
                      <w:pPr>
                        <w:spacing w:before="40" w:line="120" w:lineRule="exact"/>
                        <w:ind w:left="57"/>
                        <w:rPr>
                          <w:sz w:val="11"/>
                          <w:szCs w:val="11"/>
                        </w:rPr>
                      </w:pPr>
                      <w:r w:rsidRPr="009C1808">
                        <w:rPr>
                          <w:sz w:val="11"/>
                          <w:szCs w:val="11"/>
                        </w:rPr>
                        <w:t>"Дела с тремя иностра</w:t>
                      </w:r>
                      <w:r w:rsidRPr="009C1808">
                        <w:rPr>
                          <w:sz w:val="11"/>
                          <w:szCs w:val="11"/>
                        </w:rPr>
                        <w:t>н</w:t>
                      </w:r>
                      <w:r w:rsidRPr="009C1808">
                        <w:rPr>
                          <w:sz w:val="11"/>
                          <w:szCs w:val="11"/>
                        </w:rPr>
                        <w:t>ными элементами", св</w:t>
                      </w:r>
                      <w:r w:rsidRPr="009C1808">
                        <w:rPr>
                          <w:sz w:val="11"/>
                          <w:szCs w:val="11"/>
                        </w:rPr>
                        <w:t>я</w:t>
                      </w:r>
                      <w:r w:rsidRPr="009C1808">
                        <w:rPr>
                          <w:sz w:val="11"/>
                          <w:szCs w:val="11"/>
                        </w:rPr>
                        <w:t xml:space="preserve">занные </w:t>
                      </w:r>
                      <w:r>
                        <w:rPr>
                          <w:sz w:val="11"/>
                          <w:szCs w:val="11"/>
                        </w:rPr>
                        <w:t xml:space="preserve">с </w:t>
                      </w:r>
                      <w:r w:rsidRPr="009C1808">
                        <w:rPr>
                          <w:sz w:val="11"/>
                          <w:szCs w:val="11"/>
                        </w:rPr>
                        <w:t>вопросами пов</w:t>
                      </w:r>
                      <w:r w:rsidRPr="009C1808">
                        <w:rPr>
                          <w:sz w:val="11"/>
                          <w:szCs w:val="11"/>
                        </w:rPr>
                        <w:t>е</w:t>
                      </w:r>
                      <w:r w:rsidRPr="009C1808">
                        <w:rPr>
                          <w:sz w:val="11"/>
                          <w:szCs w:val="11"/>
                        </w:rPr>
                        <w:t>дения зарубежного пр</w:t>
                      </w:r>
                      <w:r w:rsidRPr="009C1808">
                        <w:rPr>
                          <w:sz w:val="11"/>
                          <w:szCs w:val="11"/>
                        </w:rPr>
                        <w:t>а</w:t>
                      </w:r>
                      <w:r w:rsidRPr="009C1808">
                        <w:rPr>
                          <w:sz w:val="11"/>
                          <w:szCs w:val="11"/>
                        </w:rPr>
                        <w:t>вительства в случаях наличия эффе</w:t>
                      </w:r>
                      <w:r w:rsidRPr="009C1808">
                        <w:rPr>
                          <w:sz w:val="11"/>
                          <w:szCs w:val="11"/>
                        </w:rPr>
                        <w:t>к</w:t>
                      </w:r>
                      <w:r w:rsidRPr="009C1808">
                        <w:rPr>
                          <w:sz w:val="11"/>
                          <w:szCs w:val="11"/>
                        </w:rPr>
                        <w:t>тивных средств правовой защиты в государстве территор</w:t>
                      </w:r>
                      <w:r w:rsidRPr="009C1808">
                        <w:rPr>
                          <w:sz w:val="11"/>
                          <w:szCs w:val="11"/>
                        </w:rPr>
                        <w:t>и</w:t>
                      </w:r>
                      <w:r w:rsidRPr="009C1808">
                        <w:rPr>
                          <w:sz w:val="11"/>
                          <w:szCs w:val="11"/>
                        </w:rPr>
                        <w:t>альной юрисдикции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AB79E" wp14:editId="27F2F580">
                <wp:simplePos x="0" y="0"/>
                <wp:positionH relativeFrom="column">
                  <wp:posOffset>2058869</wp:posOffset>
                </wp:positionH>
                <wp:positionV relativeFrom="paragraph">
                  <wp:posOffset>979215</wp:posOffset>
                </wp:positionV>
                <wp:extent cx="871039" cy="791799"/>
                <wp:effectExtent l="0" t="0" r="24765" b="2794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039" cy="7917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7061E0">
                            <w:pPr>
                              <w:spacing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9C1808">
                              <w:rPr>
                                <w:sz w:val="11"/>
                                <w:szCs w:val="11"/>
                              </w:rPr>
                              <w:t>"Дела с тремя иностра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ными элементами",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 имеющие определенную фактическую связь с государством суда, в случаях отсутствия эффективных средств правовой защиты в государстве территор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альной юрисдикции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162.1pt;margin-top:77.1pt;width:68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" fillcolor="white [3201]" strokecolor="black [3213]" strokeweight=".25pt">
                <v:textbox inset="0,0,0,0">
                  <w:txbxContent>
                    <w:p w:rsidR="002556B3" w:rsidRPr="00737BE2" w:rsidRDefault="002556B3" w:rsidP="007061E0">
                      <w:pPr>
                        <w:spacing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9C1808">
                        <w:rPr>
                          <w:sz w:val="11"/>
                          <w:szCs w:val="11"/>
                        </w:rPr>
                        <w:t>"Дела с тремя иностра</w:t>
                      </w:r>
                      <w:r w:rsidRPr="009C1808">
                        <w:rPr>
                          <w:sz w:val="11"/>
                          <w:szCs w:val="11"/>
                        </w:rPr>
                        <w:t>н</w:t>
                      </w:r>
                      <w:r w:rsidRPr="009C1808">
                        <w:rPr>
                          <w:sz w:val="11"/>
                          <w:szCs w:val="11"/>
                        </w:rPr>
                        <w:t>ными элемент</w:t>
                      </w:r>
                      <w:r w:rsidRPr="009C1808">
                        <w:rPr>
                          <w:sz w:val="11"/>
                          <w:szCs w:val="11"/>
                        </w:rPr>
                        <w:t>а</w:t>
                      </w:r>
                      <w:r w:rsidRPr="009C1808">
                        <w:rPr>
                          <w:sz w:val="11"/>
                          <w:szCs w:val="11"/>
                        </w:rPr>
                        <w:t>ми",</w:t>
                      </w:r>
                      <w:r>
                        <w:rPr>
                          <w:sz w:val="11"/>
                          <w:szCs w:val="11"/>
                        </w:rPr>
                        <w:t xml:space="preserve"> имеющие опред</w:t>
                      </w:r>
                      <w:r>
                        <w:rPr>
                          <w:sz w:val="11"/>
                          <w:szCs w:val="11"/>
                        </w:rPr>
                        <w:t>е</w:t>
                      </w:r>
                      <w:r>
                        <w:rPr>
                          <w:sz w:val="11"/>
                          <w:szCs w:val="11"/>
                        </w:rPr>
                        <w:t>ленную фактическую связь с государством суда, в </w:t>
                      </w:r>
                      <w:r>
                        <w:rPr>
                          <w:sz w:val="11"/>
                          <w:szCs w:val="11"/>
                        </w:rPr>
                        <w:t>случаях отсу</w:t>
                      </w:r>
                      <w:r>
                        <w:rPr>
                          <w:sz w:val="11"/>
                          <w:szCs w:val="11"/>
                        </w:rPr>
                        <w:t>т</w:t>
                      </w:r>
                      <w:r>
                        <w:rPr>
                          <w:sz w:val="11"/>
                          <w:szCs w:val="11"/>
                        </w:rPr>
                        <w:t>ствия эффективных средств правовой защиты в государстве территор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альной юрисдикции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105D2" wp14:editId="3E09065B">
                <wp:simplePos x="0" y="0"/>
                <wp:positionH relativeFrom="column">
                  <wp:posOffset>3592748</wp:posOffset>
                </wp:positionH>
                <wp:positionV relativeFrom="paragraph">
                  <wp:posOffset>1875155</wp:posOffset>
                </wp:positionV>
                <wp:extent cx="1139160" cy="953934"/>
                <wp:effectExtent l="0" t="0" r="23495" b="1778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60" cy="953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2556B3">
                            <w:pPr>
                              <w:spacing w:before="40"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Дела, вытекающие из действий, которые приравниваются к международным преступлениям и совершаются за пределами государства суда при отсутствии эффективных средств правовой защиты в каком бы то ни было государстве, имеющем более тесную фактическую связь с предметом 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282.9pt;margin-top:147.65pt;width:89.7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" fillcolor="white [3201]" strokecolor="black [3213]" strokeweight=".25pt">
                <v:textbox inset="0,0,0,0">
                  <w:txbxContent>
                    <w:p w:rsidR="002556B3" w:rsidRPr="00737BE2" w:rsidRDefault="002556B3" w:rsidP="002556B3">
                      <w:pPr>
                        <w:spacing w:before="40"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Дела, вытекающие из действий, которые приравниваются к международным преступлениям и совершаются за пределами государства суда при отсутствии эффективных средств правовой защиты в каком бы то ни было государстве, имеющем более тесную фактическую связь с предметом иска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5AC51" wp14:editId="3AF0A8C5">
                <wp:simplePos x="0" y="0"/>
                <wp:positionH relativeFrom="column">
                  <wp:posOffset>2951090</wp:posOffset>
                </wp:positionH>
                <wp:positionV relativeFrom="paragraph">
                  <wp:posOffset>1875991</wp:posOffset>
                </wp:positionV>
                <wp:extent cx="611260" cy="599552"/>
                <wp:effectExtent l="0" t="0" r="17780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60" cy="599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2556B3">
                            <w:pPr>
                              <w:spacing w:before="80"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Дела компаний, домицилирова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ных в госуда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стве суда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232.35pt;margin-top:147.7pt;width:48.1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" fillcolor="white [3201]" strokecolor="black [3213]" strokeweight=".25pt">
                <v:textbox inset="0,0,0,0">
                  <w:txbxContent>
                    <w:p w:rsidR="002556B3" w:rsidRPr="00737BE2" w:rsidRDefault="002556B3" w:rsidP="002556B3">
                      <w:pPr>
                        <w:spacing w:before="80"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Дела компаний, домицилирова</w:t>
                      </w:r>
                      <w:r>
                        <w:rPr>
                          <w:sz w:val="11"/>
                          <w:szCs w:val="11"/>
                        </w:rPr>
                        <w:t>н</w:t>
                      </w:r>
                      <w:r>
                        <w:rPr>
                          <w:sz w:val="11"/>
                          <w:szCs w:val="11"/>
                        </w:rPr>
                        <w:t>ных в госуда</w:t>
                      </w:r>
                      <w:r>
                        <w:rPr>
                          <w:sz w:val="11"/>
                          <w:szCs w:val="11"/>
                        </w:rPr>
                        <w:t>р</w:t>
                      </w:r>
                      <w:r>
                        <w:rPr>
                          <w:sz w:val="11"/>
                          <w:szCs w:val="11"/>
                        </w:rPr>
                        <w:t>стве суда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76575" wp14:editId="0E4C15D2">
                <wp:simplePos x="0" y="0"/>
                <wp:positionH relativeFrom="column">
                  <wp:posOffset>1991153</wp:posOffset>
                </wp:positionH>
                <wp:positionV relativeFrom="paragraph">
                  <wp:posOffset>1835251</wp:posOffset>
                </wp:positionV>
                <wp:extent cx="896564" cy="1072916"/>
                <wp:effectExtent l="0" t="0" r="18415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564" cy="1072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2556B3">
                            <w:pPr>
                              <w:spacing w:before="40"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9C1808">
                              <w:rPr>
                                <w:sz w:val="11"/>
                                <w:szCs w:val="11"/>
                              </w:rPr>
                              <w:t>"Дела с тремя иностра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ными элементами",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 св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я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занные с вопросами поведения зарубежного правительства при отсу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т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ствии эффективных средств правовой защиты в государстве территор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альной юрисдикции или любом другом госуда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стве, имеющем более тесную фактическую связь с предметом 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156.8pt;margin-top:144.5pt;width:70.6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" fillcolor="white [3201]" strokecolor="black [3213]" strokeweight=".25pt">
                <v:textbox inset="0,0,0,0">
                  <w:txbxContent>
                    <w:p w:rsidR="002556B3" w:rsidRPr="00737BE2" w:rsidRDefault="002556B3" w:rsidP="002556B3">
                      <w:pPr>
                        <w:spacing w:before="40"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9C1808">
                        <w:rPr>
                          <w:sz w:val="11"/>
                          <w:szCs w:val="11"/>
                        </w:rPr>
                        <w:t>"Дела с тремя иностра</w:t>
                      </w:r>
                      <w:r w:rsidRPr="009C1808">
                        <w:rPr>
                          <w:sz w:val="11"/>
                          <w:szCs w:val="11"/>
                        </w:rPr>
                        <w:t>н</w:t>
                      </w:r>
                      <w:r w:rsidRPr="009C1808">
                        <w:rPr>
                          <w:sz w:val="11"/>
                          <w:szCs w:val="11"/>
                        </w:rPr>
                        <w:t>ными элементами",</w:t>
                      </w:r>
                      <w:r>
                        <w:rPr>
                          <w:sz w:val="11"/>
                          <w:szCs w:val="11"/>
                        </w:rPr>
                        <w:t xml:space="preserve"> св</w:t>
                      </w:r>
                      <w:r>
                        <w:rPr>
                          <w:sz w:val="11"/>
                          <w:szCs w:val="11"/>
                        </w:rPr>
                        <w:t>я</w:t>
                      </w:r>
                      <w:r>
                        <w:rPr>
                          <w:sz w:val="11"/>
                          <w:szCs w:val="11"/>
                        </w:rPr>
                        <w:t>занные с вопросами поведения зарубежного правительства при отсу</w:t>
                      </w:r>
                      <w:r>
                        <w:rPr>
                          <w:sz w:val="11"/>
                          <w:szCs w:val="11"/>
                        </w:rPr>
                        <w:t>т</w:t>
                      </w:r>
                      <w:r>
                        <w:rPr>
                          <w:sz w:val="11"/>
                          <w:szCs w:val="11"/>
                        </w:rPr>
                        <w:t>ствии эффективных средств правовой защиты в государстве территор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альной юрисдикции или любом другом госуда</w:t>
                      </w:r>
                      <w:r>
                        <w:rPr>
                          <w:sz w:val="11"/>
                          <w:szCs w:val="11"/>
                        </w:rPr>
                        <w:t>р</w:t>
                      </w:r>
                      <w:r>
                        <w:rPr>
                          <w:sz w:val="11"/>
                          <w:szCs w:val="11"/>
                        </w:rPr>
                        <w:t>стве, имеющем более тесную фактическую связь с предметом иска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DC460" wp14:editId="17935B5D">
                <wp:simplePos x="0" y="0"/>
                <wp:positionH relativeFrom="column">
                  <wp:posOffset>1116965</wp:posOffset>
                </wp:positionH>
                <wp:positionV relativeFrom="paragraph">
                  <wp:posOffset>1710608</wp:posOffset>
                </wp:positionV>
                <wp:extent cx="823595" cy="910352"/>
                <wp:effectExtent l="0" t="0" r="14605" b="2349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910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7061E0">
                            <w:pPr>
                              <w:spacing w:before="40"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9C1808">
                              <w:rPr>
                                <w:sz w:val="11"/>
                                <w:szCs w:val="11"/>
                              </w:rPr>
                              <w:t>"Дела с тремя ин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о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странными элемент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а</w:t>
                            </w:r>
                            <w:r w:rsidRPr="009C1808">
                              <w:rPr>
                                <w:sz w:val="11"/>
                                <w:szCs w:val="11"/>
                              </w:rPr>
                              <w:t>ми",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 связанные с в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о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просами поведения зарубежного прав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тельства в случаях отсутствия эффекти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в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ных средств правовой защиты в государстве территориальной юрисдикции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87.95pt;margin-top:134.7pt;width:64.8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" fillcolor="white [3201]" strokecolor="black [3213]" strokeweight=".25pt">
                <v:textbox inset="0,0,0,0">
                  <w:txbxContent>
                    <w:p w:rsidR="002556B3" w:rsidRPr="00737BE2" w:rsidRDefault="002556B3" w:rsidP="007061E0">
                      <w:pPr>
                        <w:spacing w:before="40"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9C1808">
                        <w:rPr>
                          <w:sz w:val="11"/>
                          <w:szCs w:val="11"/>
                        </w:rPr>
                        <w:t>"Дела с тремя ин</w:t>
                      </w:r>
                      <w:r w:rsidRPr="009C1808">
                        <w:rPr>
                          <w:sz w:val="11"/>
                          <w:szCs w:val="11"/>
                        </w:rPr>
                        <w:t>о</w:t>
                      </w:r>
                      <w:r w:rsidRPr="009C1808">
                        <w:rPr>
                          <w:sz w:val="11"/>
                          <w:szCs w:val="11"/>
                        </w:rPr>
                        <w:t>странными элемент</w:t>
                      </w:r>
                      <w:r w:rsidRPr="009C1808">
                        <w:rPr>
                          <w:sz w:val="11"/>
                          <w:szCs w:val="11"/>
                        </w:rPr>
                        <w:t>а</w:t>
                      </w:r>
                      <w:r w:rsidRPr="009C1808">
                        <w:rPr>
                          <w:sz w:val="11"/>
                          <w:szCs w:val="11"/>
                        </w:rPr>
                        <w:t>ми",</w:t>
                      </w:r>
                      <w:r>
                        <w:rPr>
                          <w:sz w:val="11"/>
                          <w:szCs w:val="11"/>
                        </w:rPr>
                        <w:t xml:space="preserve"> связанные с в</w:t>
                      </w:r>
                      <w:r>
                        <w:rPr>
                          <w:sz w:val="11"/>
                          <w:szCs w:val="11"/>
                        </w:rPr>
                        <w:t>о</w:t>
                      </w:r>
                      <w:r>
                        <w:rPr>
                          <w:sz w:val="11"/>
                          <w:szCs w:val="11"/>
                        </w:rPr>
                        <w:t>просами поведения зарубежного прав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тельства в случаях отсутствия эффекти</w:t>
                      </w:r>
                      <w:r>
                        <w:rPr>
                          <w:sz w:val="11"/>
                          <w:szCs w:val="11"/>
                        </w:rPr>
                        <w:t>в</w:t>
                      </w:r>
                      <w:r>
                        <w:rPr>
                          <w:sz w:val="11"/>
                          <w:szCs w:val="11"/>
                        </w:rPr>
                        <w:t>ных средств правовой защиты в государстве территориальной юрисдикции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4B304" wp14:editId="19F444B9">
                <wp:simplePos x="0" y="0"/>
                <wp:positionH relativeFrom="column">
                  <wp:posOffset>3037098</wp:posOffset>
                </wp:positionH>
                <wp:positionV relativeFrom="paragraph">
                  <wp:posOffset>955443</wp:posOffset>
                </wp:positionV>
                <wp:extent cx="896022" cy="884334"/>
                <wp:effectExtent l="0" t="0" r="18415" b="114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022" cy="884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737BE2" w:rsidRDefault="002556B3" w:rsidP="007061E0">
                            <w:pPr>
                              <w:spacing w:before="40" w:line="120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Дела компаний, домиц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и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лированных в госуда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стве суда, в случаях наличия эффективных средств правовой защиты в любом другом госуда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р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стве, имеющем более тесную фактическую связь с предметом 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39.15pt;margin-top:75.25pt;width:70.55pt;height:6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" fillcolor="white [3201]" strokecolor="black [3213]" strokeweight=".25pt">
                <v:textbox inset="0,0,0,0">
                  <w:txbxContent>
                    <w:p w:rsidR="002556B3" w:rsidRPr="00737BE2" w:rsidRDefault="002556B3" w:rsidP="007061E0">
                      <w:pPr>
                        <w:spacing w:before="40" w:line="120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1"/>
                          <w:szCs w:val="11"/>
                        </w:rPr>
                        <w:t>Дела компаний, домиц</w:t>
                      </w:r>
                      <w:r>
                        <w:rPr>
                          <w:sz w:val="11"/>
                          <w:szCs w:val="11"/>
                        </w:rPr>
                        <w:t>и</w:t>
                      </w:r>
                      <w:r>
                        <w:rPr>
                          <w:sz w:val="11"/>
                          <w:szCs w:val="11"/>
                        </w:rPr>
                        <w:t>лированных в госуда</w:t>
                      </w:r>
                      <w:r>
                        <w:rPr>
                          <w:sz w:val="11"/>
                          <w:szCs w:val="11"/>
                        </w:rPr>
                        <w:t>р</w:t>
                      </w:r>
                      <w:r>
                        <w:rPr>
                          <w:sz w:val="11"/>
                          <w:szCs w:val="11"/>
                        </w:rPr>
                        <w:t>стве суда, в случаях наличия эффективных средств правовой защиты в любом другом госуда</w:t>
                      </w:r>
                      <w:r>
                        <w:rPr>
                          <w:sz w:val="11"/>
                          <w:szCs w:val="11"/>
                        </w:rPr>
                        <w:t>р</w:t>
                      </w:r>
                      <w:r>
                        <w:rPr>
                          <w:sz w:val="11"/>
                          <w:szCs w:val="11"/>
                        </w:rPr>
                        <w:t>стве, имеющем более тесную фактическую связь с предметом иска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CB9EE" wp14:editId="1DB5EC07">
                <wp:simplePos x="0" y="0"/>
                <wp:positionH relativeFrom="column">
                  <wp:posOffset>1117803</wp:posOffset>
                </wp:positionH>
                <wp:positionV relativeFrom="paragraph">
                  <wp:posOffset>130857</wp:posOffset>
                </wp:positionV>
                <wp:extent cx="4392611" cy="185124"/>
                <wp:effectExtent l="0" t="0" r="8255" b="57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611" cy="185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Pr="00DA26F4" w:rsidRDefault="002556B3" w:rsidP="008458B3">
                            <w:pPr>
                              <w:tabs>
                                <w:tab w:val="left" w:pos="2030"/>
                                <w:tab w:val="left" w:pos="3969"/>
                                <w:tab w:val="left" w:pos="5954"/>
                              </w:tabs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Запрещается</w:t>
                            </w:r>
                            <w:r w:rsidRPr="00F400D1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Допускается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458B3">
                              <w:rPr>
                                <w:b/>
                                <w:sz w:val="16"/>
                                <w:szCs w:val="16"/>
                              </w:rPr>
                              <w:t>Рекомендуется</w:t>
                            </w:r>
                            <w:r w:rsidR="008458B3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400D1">
                              <w:rPr>
                                <w:b/>
                                <w:sz w:val="16"/>
                                <w:szCs w:val="16"/>
                              </w:rPr>
                              <w:t>Требуе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88pt;margin-top:10.3pt;width:345.85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" fillcolor="white [3201]" stroked="f" strokeweight=".5pt">
                <v:textbox inset="0,0,0,0">
                  <w:txbxContent>
                    <w:p w:rsidR="002556B3" w:rsidRPr="00DA26F4" w:rsidRDefault="002556B3" w:rsidP="008458B3">
                      <w:pPr>
                        <w:tabs>
                          <w:tab w:val="left" w:pos="2030"/>
                          <w:tab w:val="left" w:pos="3969"/>
                          <w:tab w:val="left" w:pos="5954"/>
                        </w:tabs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Запрещается</w:t>
                      </w:r>
                      <w:r w:rsidRPr="00F400D1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>Допускается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8458B3">
                        <w:rPr>
                          <w:b/>
                          <w:sz w:val="16"/>
                          <w:szCs w:val="16"/>
                        </w:rPr>
                        <w:t>Рекомендуется</w:t>
                      </w:r>
                      <w:r w:rsidR="008458B3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F400D1">
                        <w:rPr>
                          <w:b/>
                          <w:sz w:val="16"/>
                          <w:szCs w:val="16"/>
                        </w:rPr>
                        <w:t>Треб</w:t>
                      </w:r>
                      <w:r w:rsidRPr="00F400D1">
                        <w:rPr>
                          <w:b/>
                          <w:sz w:val="16"/>
                          <w:szCs w:val="16"/>
                        </w:rPr>
                        <w:t>у</w:t>
                      </w:r>
                      <w:r w:rsidRPr="00F400D1">
                        <w:rPr>
                          <w:b/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тся</w:t>
                      </w:r>
                    </w:p>
                  </w:txbxContent>
                </v:textbox>
              </v:shape>
            </w:pict>
          </mc:Fallback>
        </mc:AlternateContent>
      </w:r>
      <w:r w:rsidR="002556B3">
        <w:rPr>
          <w:rFonts w:ascii="Arial" w:hAnsi="Arial" w:cs="Arial"/>
          <w:b/>
          <w:noProof/>
          <w:lang w:eastAsia="ru-RU"/>
        </w:rPr>
        <w:drawing>
          <wp:inline distT="0" distB="0" distL="0" distR="0" wp14:anchorId="672C9917" wp14:editId="34F9EB50">
            <wp:extent cx="4925695" cy="2950845"/>
            <wp:effectExtent l="19050" t="19050" r="27305" b="209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9508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61E0" w:rsidRPr="006C6D05" w:rsidRDefault="007061E0" w:rsidP="007061E0">
      <w:pPr>
        <w:pStyle w:val="SingleTxtGR"/>
        <w:suppressAutoHyphens/>
        <w:spacing w:line="220" w:lineRule="atLeast"/>
        <w:ind w:firstLine="142"/>
        <w:jc w:val="left"/>
        <w:rPr>
          <w:sz w:val="18"/>
          <w:szCs w:val="18"/>
        </w:rPr>
      </w:pPr>
      <w:r w:rsidRPr="006C6D05">
        <w:rPr>
          <w:bCs/>
          <w:i/>
          <w:iCs/>
          <w:sz w:val="18"/>
          <w:szCs w:val="18"/>
        </w:rPr>
        <w:t>Примечание</w:t>
      </w:r>
      <w:r w:rsidRPr="007061E0">
        <w:rPr>
          <w:bCs/>
          <w:i/>
          <w:sz w:val="18"/>
          <w:szCs w:val="18"/>
        </w:rPr>
        <w:t>:</w:t>
      </w:r>
      <w:r w:rsidRPr="006C6D05">
        <w:rPr>
          <w:sz w:val="18"/>
          <w:szCs w:val="18"/>
        </w:rPr>
        <w:t xml:space="preserve"> Данная схема подготовлена только для обсуждения. Она основывается на</w:t>
      </w:r>
      <w:r>
        <w:rPr>
          <w:sz w:val="18"/>
          <w:szCs w:val="18"/>
        </w:rPr>
        <w:t> </w:t>
      </w:r>
      <w:r w:rsidRPr="006C6D05">
        <w:rPr>
          <w:sz w:val="18"/>
          <w:szCs w:val="18"/>
        </w:rPr>
        <w:t>признаках, выведенных из содержания представлений государств в связи с их привступлением в дела, возбужденные на основании закона о правонарушениях в отношении иностранных граждан, которые, как признается выше, были поданы только со стороны незначительного числа заинтересованных государств. Она не представляет и</w:t>
      </w:r>
      <w:r>
        <w:rPr>
          <w:sz w:val="18"/>
          <w:szCs w:val="18"/>
        </w:rPr>
        <w:t> </w:t>
      </w:r>
      <w:r w:rsidRPr="006C6D05">
        <w:rPr>
          <w:sz w:val="18"/>
          <w:szCs w:val="18"/>
        </w:rPr>
        <w:t xml:space="preserve">не должна рассматриваться как представляющая мнение УВКПЧ относительно правомерности или желательности (либо неправомерности и нежелательности) осуществления экстерриториальной юрисдикции в различных ситуациях или критериев, которые должны применяться для определения правомерности. В приведенной выше схеме термин "дела с тремя иностранными элементами" используется в отношении дел, в которых иск подается иностранными истцами против иностранных ответчиков и касается иностранной предпринимательской деятельности. 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37.</w:t>
      </w:r>
      <w:r w:rsidRPr="006C6D05">
        <w:rPr>
          <w:bCs/>
        </w:rPr>
        <w:tab/>
      </w:r>
      <w:r w:rsidRPr="006C6D05">
        <w:t xml:space="preserve">Кроме того, обзор записок </w:t>
      </w:r>
      <w:r w:rsidRPr="006C6D05">
        <w:rPr>
          <w:lang w:val="en-GB"/>
        </w:rPr>
        <w:t>amicus</w:t>
      </w:r>
      <w:r w:rsidRPr="006C6D05">
        <w:t xml:space="preserve"> </w:t>
      </w:r>
      <w:r w:rsidRPr="006C6D05">
        <w:rPr>
          <w:lang w:val="en-GB"/>
        </w:rPr>
        <w:t>curiae</w:t>
      </w:r>
      <w:r w:rsidRPr="006C6D05">
        <w:t xml:space="preserve"> выявляет отдельные сферы н</w:t>
      </w:r>
      <w:r w:rsidRPr="006C6D05">
        <w:t>е</w:t>
      </w:r>
      <w:r w:rsidRPr="006C6D05">
        <w:t>определенности и возможные различия в подходах государств к таким ключ</w:t>
      </w:r>
      <w:r w:rsidRPr="006C6D05">
        <w:t>е</w:t>
      </w:r>
      <w:r w:rsidRPr="006C6D05">
        <w:t>вым вопросам</w:t>
      </w:r>
      <w:r>
        <w:t>,</w:t>
      </w:r>
      <w:r w:rsidRPr="006C6D05">
        <w:t xml:space="preserve"> как </w:t>
      </w:r>
      <w:r>
        <w:t>"</w:t>
      </w:r>
      <w:r w:rsidRPr="006C6D05">
        <w:t>универсальная гражданская юрисдикция</w:t>
      </w:r>
      <w:r>
        <w:t>"</w:t>
      </w:r>
      <w:r w:rsidRPr="006C6D05">
        <w:t xml:space="preserve">, применимость доктрины </w:t>
      </w:r>
      <w:r>
        <w:t>"</w:t>
      </w:r>
      <w:r w:rsidRPr="006C6D05">
        <w:t>исчерпания средств правовой защиты</w:t>
      </w:r>
      <w:r>
        <w:t>"</w:t>
      </w:r>
      <w:r w:rsidRPr="006C6D05">
        <w:t>, степень требующейся фа</w:t>
      </w:r>
      <w:r w:rsidRPr="006C6D05">
        <w:t>к</w:t>
      </w:r>
      <w:r w:rsidRPr="006C6D05">
        <w:t>тической связи между иском и государством, где происходит судебное разбир</w:t>
      </w:r>
      <w:r w:rsidRPr="006C6D05">
        <w:t>а</w:t>
      </w:r>
      <w:r w:rsidRPr="006C6D05">
        <w:t xml:space="preserve">тельство (т.е. </w:t>
      </w:r>
      <w:r>
        <w:t>"</w:t>
      </w:r>
      <w:r w:rsidRPr="006C6D05">
        <w:t>государством суда</w:t>
      </w:r>
      <w:r>
        <w:t>"</w:t>
      </w:r>
      <w:r w:rsidRPr="006C6D05">
        <w:t>), чтобы суды государства суда могли вообще осуществлять такую юрисдикцию, и, наконец, пределы возможного влияния х</w:t>
      </w:r>
      <w:r w:rsidRPr="006C6D05">
        <w:t>а</w:t>
      </w:r>
      <w:r w:rsidRPr="006C6D05">
        <w:t>рактера и серьезности нарушения на способы применения юрисдикционных норм. Вопросы, вытекающие из этого исследования и касающиеся этих ко</w:t>
      </w:r>
      <w:r w:rsidRPr="006C6D05">
        <w:t>н</w:t>
      </w:r>
      <w:r w:rsidRPr="006C6D05">
        <w:t>кретных проблем, а также общие выводы исследования будут рассмотрены б</w:t>
      </w:r>
      <w:r w:rsidRPr="006C6D05">
        <w:t>о</w:t>
      </w:r>
      <w:r w:rsidRPr="006C6D05">
        <w:t>лее комплексно в ходе интерактивных заседаний с представителями правител</w:t>
      </w:r>
      <w:r w:rsidRPr="006C6D05">
        <w:t>ь</w:t>
      </w:r>
      <w:r w:rsidRPr="006C6D05">
        <w:t>ств, которые должны состояться позже в 2015 году (при условии получения УВКПЧ достаточного финансирования) в рамках запланированной программы работы по составляющей 2 проекта.</w:t>
      </w:r>
    </w:p>
    <w:p w:rsidR="007061E0" w:rsidRPr="006C6D05" w:rsidRDefault="007061E0" w:rsidP="007061E0">
      <w:pPr>
        <w:pStyle w:val="H1GR"/>
      </w:pPr>
      <w:r w:rsidRPr="006C6D05">
        <w:lastRenderedPageBreak/>
        <w:tab/>
      </w:r>
      <w:r w:rsidRPr="006C6D05">
        <w:rPr>
          <w:lang w:val="en-GB"/>
        </w:rPr>
        <w:t>C</w:t>
      </w:r>
      <w:r w:rsidRPr="006C6D05">
        <w:t>.</w:t>
      </w:r>
      <w:r w:rsidRPr="006C6D05">
        <w:tab/>
        <w:t xml:space="preserve">Обследование, касающееся ключевых положений отдельных договоров Международной организации труда и практики государств по их применению 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38.</w:t>
      </w:r>
      <w:r w:rsidRPr="006C6D05">
        <w:rPr>
          <w:bCs/>
        </w:rPr>
        <w:tab/>
      </w:r>
      <w:r w:rsidRPr="006C6D05">
        <w:t>В рамках предварительной работы по составляющей 2 проекта УВКПЧ определило необходимость лучшего понимания степени уже имеющегося с</w:t>
      </w:r>
      <w:r w:rsidRPr="006C6D05">
        <w:t>о</w:t>
      </w:r>
      <w:r w:rsidRPr="006C6D05">
        <w:t>трудничества государств в отношении связанных с предпринимательской де</w:t>
      </w:r>
      <w:r w:rsidRPr="006C6D05">
        <w:t>я</w:t>
      </w:r>
      <w:r w:rsidRPr="006C6D05">
        <w:t>тельностью нарушений прав человека и различных форм, которое это сотру</w:t>
      </w:r>
      <w:r w:rsidRPr="006C6D05">
        <w:t>д</w:t>
      </w:r>
      <w:r w:rsidRPr="006C6D05">
        <w:t>ничество может принимать. В этих целях УВКПЧ провело обследование, кас</w:t>
      </w:r>
      <w:r w:rsidRPr="006C6D05">
        <w:t>а</w:t>
      </w:r>
      <w:r w:rsidRPr="006C6D05">
        <w:t>ющееся положений отдельных договоров и протоколов Международной орган</w:t>
      </w:r>
      <w:r w:rsidRPr="006C6D05">
        <w:t>и</w:t>
      </w:r>
      <w:r w:rsidRPr="006C6D05">
        <w:t>зации труда (МОТ), направленных на борьбу с двумя конкретными видами св</w:t>
      </w:r>
      <w:r w:rsidRPr="006C6D05">
        <w:t>я</w:t>
      </w:r>
      <w:r w:rsidRPr="006C6D05">
        <w:t>занных с предпринимательской деятельностью нарушений прав человека, а</w:t>
      </w:r>
      <w:r>
        <w:t> </w:t>
      </w:r>
      <w:r w:rsidRPr="006C6D05">
        <w:t>именно с принудительным трудом и наихудшими формами детского труда</w:t>
      </w:r>
      <w:r w:rsidRPr="006C6D05">
        <w:rPr>
          <w:sz w:val="18"/>
          <w:szCs w:val="18"/>
          <w:vertAlign w:val="superscript"/>
          <w:lang w:val="en-GB"/>
        </w:rPr>
        <w:footnoteReference w:id="6"/>
      </w:r>
      <w:r>
        <w:t>,</w:t>
      </w:r>
      <w:r w:rsidRPr="006C6D05">
        <w:t xml:space="preserve"> и практики государств по их применению. Цели обследования состояли в след</w:t>
      </w:r>
      <w:r w:rsidRPr="006C6D05">
        <w:t>у</w:t>
      </w:r>
      <w:r w:rsidRPr="006C6D05">
        <w:t>ющем:</w:t>
      </w:r>
      <w:r w:rsidR="00C67F60">
        <w:t xml:space="preserve"> </w:t>
      </w:r>
    </w:p>
    <w:p w:rsidR="007061E0" w:rsidRPr="006C6D05" w:rsidRDefault="007061E0" w:rsidP="007061E0">
      <w:pPr>
        <w:pStyle w:val="SingleTxtGR"/>
      </w:pPr>
      <w:r w:rsidRPr="006C6D05">
        <w:tab/>
      </w:r>
      <w:r w:rsidRPr="006C6D05">
        <w:rPr>
          <w:lang w:val="en-GB"/>
        </w:rPr>
        <w:t>a</w:t>
      </w:r>
      <w:r w:rsidRPr="006C6D05">
        <w:t>)</w:t>
      </w:r>
      <w:r w:rsidRPr="006C6D05">
        <w:tab/>
        <w:t>изучить подход некоторых договоров МОТ к международным в</w:t>
      </w:r>
      <w:r w:rsidRPr="006C6D05">
        <w:t>о</w:t>
      </w:r>
      <w:r w:rsidRPr="006C6D05">
        <w:t>просам и проблемам, в частности пределы, в которых государства-участники должны регулировать деятельность сторон-нерезидентов и сотрудничать в в</w:t>
      </w:r>
      <w:r w:rsidRPr="006C6D05">
        <w:t>о</w:t>
      </w:r>
      <w:r w:rsidRPr="006C6D05">
        <w:t xml:space="preserve">просах выявления, расследования и пресечения правонарушений; </w:t>
      </w:r>
    </w:p>
    <w:p w:rsidR="007061E0" w:rsidRPr="006C6D05" w:rsidRDefault="007061E0" w:rsidP="007061E0">
      <w:pPr>
        <w:pStyle w:val="SingleTxtGR"/>
      </w:pPr>
      <w:r w:rsidRPr="006C6D05">
        <w:tab/>
      </w:r>
      <w:r w:rsidRPr="006C6D05">
        <w:rPr>
          <w:lang w:val="en-GB"/>
        </w:rPr>
        <w:t>b</w:t>
      </w:r>
      <w:r w:rsidRPr="006C6D05">
        <w:t>)</w:t>
      </w:r>
      <w:r w:rsidRPr="006C6D05">
        <w:tab/>
        <w:t>разъяснить географический охват договорных положений, каса</w:t>
      </w:r>
      <w:r w:rsidRPr="006C6D05">
        <w:t>ю</w:t>
      </w:r>
      <w:r w:rsidRPr="006C6D05">
        <w:t xml:space="preserve">щихся доступа к правовой защите; </w:t>
      </w:r>
    </w:p>
    <w:p w:rsidR="007061E0" w:rsidRPr="006C6D05" w:rsidRDefault="007061E0" w:rsidP="007061E0">
      <w:pPr>
        <w:pStyle w:val="SingleTxtGR"/>
      </w:pPr>
      <w:r w:rsidRPr="006C6D05">
        <w:tab/>
      </w:r>
      <w:r w:rsidRPr="006C6D05">
        <w:rPr>
          <w:lang w:val="en-GB"/>
        </w:rPr>
        <w:t>c</w:t>
      </w:r>
      <w:r w:rsidRPr="006C6D05">
        <w:t>)</w:t>
      </w:r>
      <w:r w:rsidRPr="006C6D05">
        <w:tab/>
        <w:t>собрать информацию о практике государств в соответствии с этими договорными положениями в целях получения представления о том, как гос</w:t>
      </w:r>
      <w:r w:rsidRPr="006C6D05">
        <w:t>у</w:t>
      </w:r>
      <w:r w:rsidRPr="006C6D05">
        <w:t>дарства-участники толкуют свои договорные обязательства в области регулир</w:t>
      </w:r>
      <w:r w:rsidRPr="006C6D05">
        <w:t>о</w:t>
      </w:r>
      <w:r w:rsidRPr="006C6D05">
        <w:t>вания и осуществления правовой защит</w:t>
      </w:r>
      <w:r w:rsidR="00C67F60">
        <w:t xml:space="preserve">ы и доступа к ней на практике. 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39.</w:t>
      </w:r>
      <w:r w:rsidRPr="006C6D05">
        <w:rPr>
          <w:bCs/>
        </w:rPr>
        <w:tab/>
      </w:r>
      <w:r w:rsidRPr="006C6D05">
        <w:t>УВКПЧ реализовало проект в феврале−марте 2015 года в форме "каб</w:t>
      </w:r>
      <w:r w:rsidRPr="006C6D05">
        <w:t>и</w:t>
      </w:r>
      <w:r w:rsidRPr="006C6D05">
        <w:t>нетного анализа" при вкладе МОТ. Анализ международных договоров был с</w:t>
      </w:r>
      <w:r w:rsidRPr="006C6D05">
        <w:t>о</w:t>
      </w:r>
      <w:r w:rsidRPr="006C6D05">
        <w:t>средоточен на основных договорах и рекомендациях МОТ, касающихся прин</w:t>
      </w:r>
      <w:r w:rsidRPr="006C6D05">
        <w:t>у</w:t>
      </w:r>
      <w:r w:rsidRPr="006C6D05">
        <w:t>дительного труда и наихудших форм детского труда. Кроме того, поскольку трудящиеся-мигранты и члены общин коренных народов подвергаются особому риску таких нарушений прав человека, были также проанализированы догов</w:t>
      </w:r>
      <w:r w:rsidRPr="006C6D05">
        <w:t>о</w:t>
      </w:r>
      <w:r w:rsidRPr="006C6D05">
        <w:t xml:space="preserve">ры МОТ, касающиеся этих групп. Для лучшего понимания практики государств в этих приоритетных сферах после этого был проведен анализ самых последних комментариев договорных мониторинговых органов МОТ в отношении </w:t>
      </w:r>
      <w:r>
        <w:t>от</w:t>
      </w:r>
      <w:r>
        <w:t>о</w:t>
      </w:r>
      <w:r>
        <w:t>бранной</w:t>
      </w:r>
      <w:r w:rsidRPr="006C6D05">
        <w:t xml:space="preserve"> группы 35 юрисдикций (которая включала 25 приоритетных юрисди</w:t>
      </w:r>
      <w:r w:rsidRPr="006C6D05">
        <w:t>к</w:t>
      </w:r>
      <w:r w:rsidRPr="006C6D05">
        <w:t xml:space="preserve">ций, отобранных для целей подробного сопоставительного процесса). 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40.</w:t>
      </w:r>
      <w:r w:rsidRPr="006C6D05">
        <w:rPr>
          <w:bCs/>
        </w:rPr>
        <w:tab/>
      </w:r>
      <w:r w:rsidRPr="006C6D05">
        <w:t>Результаты предварительного исследования указывает на то, что даже в тех случаях, когда государствам-участникам настоятельно рекомендуется ра</w:t>
      </w:r>
      <w:r w:rsidRPr="006C6D05">
        <w:t>с</w:t>
      </w:r>
      <w:r w:rsidRPr="006C6D05">
        <w:t>смотреть вопрос о применении экстерриториальной юрисдикции для борьбы с серьезными нарушениями прав человека со стороны своих собственных гра</w:t>
      </w:r>
      <w:r w:rsidRPr="006C6D05">
        <w:t>ж</w:t>
      </w:r>
      <w:r w:rsidRPr="006C6D05">
        <w:t>дан, такой метод регулирования редко используется на практике и при этом только в отношении узкого круга правонарушений. Как представляется, прим</w:t>
      </w:r>
      <w:r w:rsidRPr="006C6D05">
        <w:t>е</w:t>
      </w:r>
      <w:r w:rsidRPr="006C6D05">
        <w:t>няемые государствами-участниками меры в отношении предприятий практич</w:t>
      </w:r>
      <w:r w:rsidRPr="006C6D05">
        <w:t>е</w:t>
      </w:r>
      <w:r w:rsidRPr="006C6D05">
        <w:t xml:space="preserve">ски полностью ограничиваются случаями, затрагивающими права человека в пределах национальной территории. В ходе обследования не было выявлено никаких примеров мер, принятых конкретно в связи с экстерриториальными последствиями деятельности предприятий, хотя были определены примеры </w:t>
      </w:r>
      <w:r w:rsidRPr="006C6D05">
        <w:lastRenderedPageBreak/>
        <w:t>"национальных мер с экстерриториальными последствиями", такие как инфо</w:t>
      </w:r>
      <w:r w:rsidRPr="006C6D05">
        <w:t>р</w:t>
      </w:r>
      <w:r w:rsidRPr="006C6D05">
        <w:t>мационные кампании среди населения, осуществляемые через зарубежные д</w:t>
      </w:r>
      <w:r w:rsidRPr="006C6D05">
        <w:t>и</w:t>
      </w:r>
      <w:r w:rsidRPr="006C6D05">
        <w:t>пломатические представительства, и строгий контроль за организациями по подбору персонала. Кроме того, в обследовании были выявлены многообразные примеры инициатив в области международного и регионального сотруднич</w:t>
      </w:r>
      <w:r w:rsidRPr="006C6D05">
        <w:t>е</w:t>
      </w:r>
      <w:r w:rsidRPr="006C6D05">
        <w:t>ства. Они включают в себя инициативы по сбору информации и ее обмену для помощи в раскрытии преступлений, проекты по техническому содействию, укреплению потенциала и повышению осведомленности, двусторонние и рег</w:t>
      </w:r>
      <w:r w:rsidRPr="006C6D05">
        <w:t>и</w:t>
      </w:r>
      <w:r w:rsidRPr="006C6D05">
        <w:t>ональные соглашения, охватывающие оперативные вопросы, а также инициат</w:t>
      </w:r>
      <w:r w:rsidRPr="006C6D05">
        <w:t>и</w:t>
      </w:r>
      <w:r w:rsidRPr="006C6D05">
        <w:t>вы, направленные на информирование людей об их правах и жертв нарушений о местах получения помощи.</w:t>
      </w:r>
    </w:p>
    <w:p w:rsidR="007061E0" w:rsidRPr="006C6D05" w:rsidRDefault="007061E0" w:rsidP="007061E0">
      <w:pPr>
        <w:pStyle w:val="H1GR"/>
      </w:pPr>
      <w:r w:rsidRPr="006C6D05">
        <w:tab/>
      </w:r>
      <w:r w:rsidRPr="006C6D05">
        <w:rPr>
          <w:lang w:val="en-GB"/>
        </w:rPr>
        <w:t>D</w:t>
      </w:r>
      <w:r w:rsidRPr="006C6D05">
        <w:t>.</w:t>
      </w:r>
      <w:r w:rsidRPr="006C6D05">
        <w:tab/>
        <w:t>Предварительная работа, касающаяся составляющей 3 проекта: преодоление финансовых препятствий для подачи иска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41.</w:t>
      </w:r>
      <w:r w:rsidRPr="006C6D05">
        <w:rPr>
          <w:bCs/>
        </w:rPr>
        <w:tab/>
      </w:r>
      <w:r w:rsidRPr="006C6D05">
        <w:t>Последовательное изучение барьеров для доступа к правовой защите, включая первоначальное исследование, проведенное по заказу УВКПЧ в 2013</w:t>
      </w:r>
      <w:r>
        <w:t> </w:t>
      </w:r>
      <w:r w:rsidRPr="006C6D05">
        <w:t>году, подтверждает, что финансовые препятствия для подачи судебных и</w:t>
      </w:r>
      <w:r w:rsidRPr="006C6D05">
        <w:t>с</w:t>
      </w:r>
      <w:r w:rsidRPr="006C6D05">
        <w:t>ков могут относиться к числу проблем, которые сложнее всего преодолеть на практике. Это также признается в Руководящих принципах. В комментарии к принципу 26 отмечается, что практические и процедурные барьеры, препя</w:t>
      </w:r>
      <w:r w:rsidRPr="006C6D05">
        <w:t>т</w:t>
      </w:r>
      <w:r w:rsidRPr="006C6D05">
        <w:t>ствующие доступу к судебным средствам правовой защиты, могут возникать в случаях, когда издержки, связанные с подачей иска, намного превышают уст</w:t>
      </w:r>
      <w:r w:rsidRPr="006C6D05">
        <w:t>а</w:t>
      </w:r>
      <w:r w:rsidRPr="006C6D05">
        <w:t>новленную величину, служащую сдерживающим фактором от подачи необосн</w:t>
      </w:r>
      <w:r w:rsidRPr="006C6D05">
        <w:t>о</w:t>
      </w:r>
      <w:r w:rsidRPr="006C6D05">
        <w:t>ванных исков</w:t>
      </w:r>
      <w:r>
        <w:t>,</w:t>
      </w:r>
      <w:r w:rsidRPr="006C6D05">
        <w:t xml:space="preserve"> и/или не могут быть снижены до разумных уровней с помощью поддержки правительства, "рыночных" механизмов (например, страховое п</w:t>
      </w:r>
      <w:r w:rsidRPr="006C6D05">
        <w:t>о</w:t>
      </w:r>
      <w:r w:rsidRPr="006C6D05">
        <w:t>крытие издержек судебного разбирательства и структура тарифов на юридич</w:t>
      </w:r>
      <w:r w:rsidRPr="006C6D05">
        <w:t>е</w:t>
      </w:r>
      <w:r w:rsidRPr="006C6D05">
        <w:t>ск</w:t>
      </w:r>
      <w:r w:rsidR="00C67F60">
        <w:t>ие услуги) или других средств.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42.</w:t>
      </w:r>
      <w:r w:rsidRPr="006C6D05">
        <w:rPr>
          <w:bCs/>
        </w:rPr>
        <w:tab/>
      </w:r>
      <w:r w:rsidRPr="006C6D05">
        <w:t>В первоначальном исследовании, проведенном по заказу УВКПЧ в 2013</w:t>
      </w:r>
      <w:r>
        <w:t> </w:t>
      </w:r>
      <w:r w:rsidRPr="006C6D05">
        <w:t>году, освещаются многочисленные различия между юрисдикциями в плане охвата предпринятых государствами мер по сокращению финансовых препя</w:t>
      </w:r>
      <w:r w:rsidRPr="006C6D05">
        <w:t>т</w:t>
      </w:r>
      <w:r w:rsidRPr="006C6D05">
        <w:t>ствий для подачи судебных исков, а также доступности и эффективности ра</w:t>
      </w:r>
      <w:r w:rsidRPr="006C6D05">
        <w:t>з</w:t>
      </w:r>
      <w:r w:rsidRPr="006C6D05">
        <w:t>личных способов снижения издержек и финансовых рисков на практике. Эти различия (наряду с другими определенными в исследовании факторами) ус</w:t>
      </w:r>
      <w:r w:rsidRPr="006C6D05">
        <w:t>у</w:t>
      </w:r>
      <w:r w:rsidRPr="006C6D05">
        <w:t>губляют ряд структурных проблем во всей национальной системе правовой з</w:t>
      </w:r>
      <w:r w:rsidRPr="006C6D05">
        <w:t>а</w:t>
      </w:r>
      <w:r w:rsidRPr="006C6D05">
        <w:t>щиты, в том числе неравенство в уровнях законодательной защиты и, вероятно, расхождения в моделях использования судебных механизмов, которые могут воздействовать на развитие законодательства и доступ к правосудию в долг</w:t>
      </w:r>
      <w:r w:rsidRPr="006C6D05">
        <w:t>о</w:t>
      </w:r>
      <w:r w:rsidRPr="006C6D05">
        <w:t>срочной перспективе. В силу краткосрочного, среднесрочного и долгосрочного стратегического значени</w:t>
      </w:r>
      <w:r>
        <w:t>я вопросов финансирования судов</w:t>
      </w:r>
      <w:r w:rsidRPr="006C6D05">
        <w:t xml:space="preserve"> преодоление фина</w:t>
      </w:r>
      <w:r w:rsidRPr="006C6D05">
        <w:t>н</w:t>
      </w:r>
      <w:r w:rsidRPr="006C6D05">
        <w:t>совых препятствий для подачи судебных исков стало ключевой темой будущей работы УВКПЧ и в качестве таковой будет рассматриваться в контексте целев</w:t>
      </w:r>
      <w:r w:rsidRPr="006C6D05">
        <w:t>о</w:t>
      </w:r>
      <w:r w:rsidRPr="006C6D05">
        <w:t>го направления работы в проекте УВКПЧ в области ответственности и прав</w:t>
      </w:r>
      <w:r w:rsidRPr="006C6D05">
        <w:t>о</w:t>
      </w:r>
      <w:r w:rsidRPr="006C6D05">
        <w:t>вой защиты. В рамках составляющей 3 проекта будут изучены стратегии и практика по оказанию содействия истцам, которые в противном случае были бы лишены доступа к судебным механизмам в силу судебных издержек, а его р</w:t>
      </w:r>
      <w:r w:rsidRPr="006C6D05">
        <w:t>е</w:t>
      </w:r>
      <w:r w:rsidRPr="006C6D05">
        <w:t xml:space="preserve">зультатом станут руководящие указания по вопросам </w:t>
      </w:r>
      <w:r>
        <w:t>"</w:t>
      </w:r>
      <w:r w:rsidRPr="006C6D05">
        <w:t>минимальных мер</w:t>
      </w:r>
      <w:r>
        <w:t>"</w:t>
      </w:r>
      <w:r w:rsidRPr="006C6D05">
        <w:t xml:space="preserve"> и </w:t>
      </w:r>
      <w:r>
        <w:t>"</w:t>
      </w:r>
      <w:r w:rsidRPr="006C6D05">
        <w:t>вариантов надлежащей практики</w:t>
      </w:r>
      <w:r>
        <w:t>" для государств.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43.</w:t>
      </w:r>
      <w:r w:rsidRPr="006C6D05">
        <w:rPr>
          <w:bCs/>
        </w:rPr>
        <w:tab/>
      </w:r>
      <w:r w:rsidRPr="006C6D05">
        <w:t>УВКПЧ определило необходимость проведения дальнейших исследов</w:t>
      </w:r>
      <w:r w:rsidRPr="006C6D05">
        <w:t>а</w:t>
      </w:r>
      <w:r w:rsidRPr="006C6D05">
        <w:t xml:space="preserve">ний не только в отношении эффективности различных нормативно-правовых </w:t>
      </w:r>
      <w:r w:rsidRPr="006C6D05">
        <w:lastRenderedPageBreak/>
        <w:t>вариантов, но и в отношении пакетов вариантов, которые в своей совокупности, скорее всего, приведут к оптимальным результатам и к возможности осущест</w:t>
      </w:r>
      <w:r w:rsidRPr="006C6D05">
        <w:t>в</w:t>
      </w:r>
      <w:r w:rsidRPr="006C6D05">
        <w:t>ления этих вариантов при разных правовых структурах и режимах и уровнях экономического развития. Посредством глобальных интернет-консультаций б</w:t>
      </w:r>
      <w:r w:rsidRPr="006C6D05">
        <w:t>у</w:t>
      </w:r>
      <w:r w:rsidRPr="006C6D05">
        <w:t>дет собрана подробная информация (по таким вопросам</w:t>
      </w:r>
      <w:r>
        <w:t>,</w:t>
      </w:r>
      <w:r w:rsidRPr="006C6D05">
        <w:t xml:space="preserve"> как наличие госуда</w:t>
      </w:r>
      <w:r w:rsidRPr="006C6D05">
        <w:t>р</w:t>
      </w:r>
      <w:r w:rsidRPr="006C6D05">
        <w:t>ственной поддержки по делам о предпринимательской деятельности и правах человека, другие независимые источники финансирования, помощь на безво</w:t>
      </w:r>
      <w:r w:rsidRPr="006C6D05">
        <w:t>з</w:t>
      </w:r>
      <w:r w:rsidRPr="006C6D05">
        <w:t>мездной основе, выплата "гонорара успеха" в случае выигрыша дела, правила перераспределения издержек и другие методы и нормы, которые оказывают воздействие на судебные издержки частных истцов) из максимально возможн</w:t>
      </w:r>
      <w:r w:rsidRPr="006C6D05">
        <w:t>о</w:t>
      </w:r>
      <w:r w:rsidRPr="006C6D05">
        <w:t>го числа различных юрисдикций по всему миру, а в отношении 25 отобранных юрисдикций – с помощью подробного сопоставительного процесса. В рамках этих процессов будет запрошено мнение заинтересованных сторон об эффе</w:t>
      </w:r>
      <w:r w:rsidRPr="006C6D05">
        <w:t>к</w:t>
      </w:r>
      <w:r w:rsidRPr="006C6D05">
        <w:t>тивности различных мер и пакетов мер и на предмет способов их соверше</w:t>
      </w:r>
      <w:r w:rsidRPr="006C6D05">
        <w:t>н</w:t>
      </w:r>
      <w:r w:rsidRPr="006C6D05">
        <w:t>ствования. Эти отклики будут учтены при разработке вышеуказанных практ</w:t>
      </w:r>
      <w:r w:rsidRPr="006C6D05">
        <w:t>и</w:t>
      </w:r>
      <w:r w:rsidR="00C67F60">
        <w:t xml:space="preserve">ческих руководящих указаний. </w:t>
      </w:r>
    </w:p>
    <w:p w:rsidR="007061E0" w:rsidRPr="006C6D05" w:rsidRDefault="007061E0" w:rsidP="007061E0">
      <w:pPr>
        <w:pStyle w:val="SingleTxtGR"/>
      </w:pPr>
      <w:r w:rsidRPr="006C6D05">
        <w:rPr>
          <w:bCs/>
        </w:rPr>
        <w:t>44.</w:t>
      </w:r>
      <w:r w:rsidRPr="006C6D05">
        <w:rPr>
          <w:bCs/>
        </w:rPr>
        <w:tab/>
      </w:r>
      <w:r w:rsidRPr="006C6D05">
        <w:t>На исследовательскую методику УВКПЧ в отношении составляющей 3 проекта повлияло предыдущее и текущее изучение вопроса о финансовых и</w:t>
      </w:r>
      <w:r w:rsidRPr="006C6D05">
        <w:t>з</w:t>
      </w:r>
      <w:r w:rsidRPr="006C6D05">
        <w:t>держках гражданского и уголовного судебного разбирательства на национал</w:t>
      </w:r>
      <w:r w:rsidRPr="006C6D05">
        <w:t>ь</w:t>
      </w:r>
      <w:r w:rsidRPr="006C6D05">
        <w:t xml:space="preserve">ном уровне. Предварительная работа по </w:t>
      </w:r>
      <w:r>
        <w:t xml:space="preserve">этой </w:t>
      </w:r>
      <w:r w:rsidRPr="006C6D05">
        <w:t>составляющей включала в себя обзор данных и результатов исследований, составленный в течение 2009 года научными работниками Оксфордского университета на основе изучения изде</w:t>
      </w:r>
      <w:r w:rsidRPr="006C6D05">
        <w:t>р</w:t>
      </w:r>
      <w:r w:rsidRPr="006C6D05">
        <w:t>жек, связанных с подачей исков, и финансирования гражданского судебного разбирательства в более чем 30</w:t>
      </w:r>
      <w:r>
        <w:t xml:space="preserve"> </w:t>
      </w:r>
      <w:r w:rsidRPr="006C6D05">
        <w:t>юрисдикциях по всему миру</w:t>
      </w:r>
      <w:r w:rsidRPr="006C6D05">
        <w:rPr>
          <w:sz w:val="18"/>
          <w:szCs w:val="18"/>
          <w:vertAlign w:val="superscript"/>
          <w:lang w:val="en-GB"/>
        </w:rPr>
        <w:footnoteReference w:id="7"/>
      </w:r>
      <w:r w:rsidRPr="006C6D05">
        <w:t>.</w:t>
      </w:r>
    </w:p>
    <w:p w:rsidR="007061E0" w:rsidRPr="006C6D05" w:rsidRDefault="007061E0" w:rsidP="007061E0">
      <w:pPr>
        <w:pStyle w:val="SingleTxtGR"/>
      </w:pPr>
      <w:r w:rsidRPr="006C6D05">
        <w:t>45.</w:t>
      </w:r>
      <w:r w:rsidRPr="006C6D05">
        <w:tab/>
        <w:t>В оксфордском исследовании освещается ряд тенденций</w:t>
      </w:r>
      <w:r>
        <w:t>,</w:t>
      </w:r>
      <w:r w:rsidRPr="006C6D05">
        <w:t xml:space="preserve"> актуальных для будущей работы по проекту в области ответственности и правовой защиты. В</w:t>
      </w:r>
      <w:r>
        <w:t> </w:t>
      </w:r>
      <w:r w:rsidRPr="006C6D05">
        <w:t>их числе − существенное ограничение доступности юридической помощи, которое имеет место во многих государствах, растущий интерес к условному адвокатскому гонорару (в том числе в государствах, где традиционно наблюд</w:t>
      </w:r>
      <w:r w:rsidRPr="006C6D05">
        <w:t>а</w:t>
      </w:r>
      <w:r w:rsidRPr="006C6D05">
        <w:t>лось активное неприятие обществом идеи выплаты адвокатского гонорара за счет суммы возмещения ущерба), развитие событий на рынках страхового обеспечения издержек судебного разбирательства и появление независимых структур, финансирующих судебные издержки. Другие аналитические нарабо</w:t>
      </w:r>
      <w:r w:rsidRPr="006C6D05">
        <w:t>т</w:t>
      </w:r>
      <w:r w:rsidRPr="006C6D05">
        <w:t>ки оксфордского исследования имеют более общее значение для проекта, вкл</w:t>
      </w:r>
      <w:r w:rsidRPr="006C6D05">
        <w:t>ю</w:t>
      </w:r>
      <w:r w:rsidRPr="006C6D05">
        <w:t>чая непреднамеренные последствия, которые могут вытекать из бессистемной нормативно-правовой реформы, и необходимость надлежащего понимания св</w:t>
      </w:r>
      <w:r w:rsidRPr="006C6D05">
        <w:t>я</w:t>
      </w:r>
      <w:r w:rsidRPr="006C6D05">
        <w:t>зей между различными мерами в области доступа к правосудию, которые затр</w:t>
      </w:r>
      <w:r w:rsidRPr="006C6D05">
        <w:t>а</w:t>
      </w:r>
      <w:r w:rsidRPr="006C6D05">
        <w:t>гивают их эффективность на практике. Наконец, в оксфордском исследовании напоминается, что проблемы финансовых препятствий для подачи судебных и</w:t>
      </w:r>
      <w:r w:rsidRPr="006C6D05">
        <w:t>с</w:t>
      </w:r>
      <w:r w:rsidRPr="006C6D05">
        <w:t>ков не могут быть полностью отделены от более общих вопросов, касающихся структуры и эффективности систем возмещения гражданского ущерба. Причина этого − наличие многочисленных аспектов гражданского процесса и правовых принципов, рассматриваемых в других направлениях работы по проекту (см.</w:t>
      </w:r>
      <w:r>
        <w:t> </w:t>
      </w:r>
      <w:r w:rsidRPr="006C6D05">
        <w:t xml:space="preserve">раздел </w:t>
      </w:r>
      <w:r w:rsidRPr="006C6D05">
        <w:rPr>
          <w:lang w:val="en-GB"/>
        </w:rPr>
        <w:t>II</w:t>
      </w:r>
      <w:r w:rsidRPr="006C6D05">
        <w:t xml:space="preserve">.А), которые будут воздействовать на судебные издержки и уровни финансового риска истцов. </w:t>
      </w:r>
    </w:p>
    <w:p w:rsidR="007061E0" w:rsidRPr="006C6D05" w:rsidRDefault="007061E0" w:rsidP="007061E0">
      <w:pPr>
        <w:pStyle w:val="SingleTxtGR"/>
      </w:pPr>
      <w:r w:rsidRPr="006C6D05">
        <w:t>46.</w:t>
      </w:r>
      <w:r w:rsidRPr="006C6D05">
        <w:tab/>
        <w:t>Хотя это потенциально вызывает на порядок больше вопросов, чем может в реальности покрыть проект в области ответственности и правовой защиты, УВКПЧ признает важность мер по повышению эффективности и снижению и</w:t>
      </w:r>
      <w:r w:rsidRPr="006C6D05">
        <w:t>з</w:t>
      </w:r>
      <w:r w:rsidRPr="006C6D05">
        <w:t>держек в рамках всеобъемлющей стратегии по устранению финансовых пр</w:t>
      </w:r>
      <w:r w:rsidRPr="006C6D05">
        <w:t>е</w:t>
      </w:r>
      <w:r w:rsidRPr="006C6D05">
        <w:lastRenderedPageBreak/>
        <w:t>пятствий для подачи судебных исков. В этой связи УВКПЧ будет вести сбор информации и откликов о национальных инициативах по улучшению эффе</w:t>
      </w:r>
      <w:r w:rsidRPr="006C6D05">
        <w:t>к</w:t>
      </w:r>
      <w:r w:rsidRPr="006C6D05">
        <w:t>тивности и функционирования судебных механизмов, особенно в контексте дел, касающихся связанных с предпринимательской деятельностью нарушений прав человека, в дополнение к информации о различных вариантах финансирования. Будет, в частности, вестись сбор информации о том, как судебные механизмы в настоящее время используют технологические и другие достижения для раци</w:t>
      </w:r>
      <w:r w:rsidRPr="006C6D05">
        <w:t>о</w:t>
      </w:r>
      <w:r w:rsidRPr="006C6D05">
        <w:t xml:space="preserve">нализации и упрощения судебного разбирательства или рассматривают вопрос об их использовании. </w:t>
      </w:r>
    </w:p>
    <w:p w:rsidR="007061E0" w:rsidRPr="006C6D05" w:rsidRDefault="007061E0" w:rsidP="007061E0">
      <w:pPr>
        <w:pStyle w:val="HChGR"/>
      </w:pPr>
      <w:r w:rsidRPr="006C6D05">
        <w:tab/>
      </w:r>
      <w:r w:rsidRPr="006C6D05">
        <w:rPr>
          <w:lang w:val="en-GB"/>
        </w:rPr>
        <w:t>IV</w:t>
      </w:r>
      <w:r w:rsidRPr="006C6D05">
        <w:t>.</w:t>
      </w:r>
      <w:r w:rsidRPr="006C6D05">
        <w:tab/>
        <w:t xml:space="preserve">Заключительные замечания 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47.</w:t>
      </w:r>
      <w:r w:rsidRPr="006C6D05">
        <w:tab/>
      </w:r>
      <w:r w:rsidRPr="006C6D05">
        <w:rPr>
          <w:b/>
        </w:rPr>
        <w:t>Признавая необходимость усиления международного внимания к в</w:t>
      </w:r>
      <w:r w:rsidRPr="006C6D05">
        <w:rPr>
          <w:b/>
        </w:rPr>
        <w:t>о</w:t>
      </w:r>
      <w:r w:rsidRPr="006C6D05">
        <w:rPr>
          <w:b/>
        </w:rPr>
        <w:t>просу о доступе к правовой защите в случаях последствий, связанных с предпринимательской деятельностью для прав человека, и реагируя на р</w:t>
      </w:r>
      <w:r w:rsidRPr="006C6D05">
        <w:rPr>
          <w:b/>
        </w:rPr>
        <w:t>е</w:t>
      </w:r>
      <w:r w:rsidRPr="006C6D05">
        <w:rPr>
          <w:b/>
        </w:rPr>
        <w:t>золюцию 26/22 Совета по правам человека, УВКПЧ начало проект в обл</w:t>
      </w:r>
      <w:r w:rsidRPr="006C6D05">
        <w:rPr>
          <w:b/>
        </w:rPr>
        <w:t>а</w:t>
      </w:r>
      <w:r w:rsidRPr="006C6D05">
        <w:rPr>
          <w:b/>
        </w:rPr>
        <w:t>сти ответственности и правовой защиты. Проект направлен на содействие тому, чтобы национальные правовые ответные меры стали более справе</w:t>
      </w:r>
      <w:r w:rsidRPr="006C6D05">
        <w:rPr>
          <w:b/>
        </w:rPr>
        <w:t>д</w:t>
      </w:r>
      <w:r w:rsidRPr="006C6D05">
        <w:rPr>
          <w:b/>
        </w:rPr>
        <w:t>ливыми, более доступными и более эффективными для жертв связанных с предпринимательской деятельностью нарушений прав человека, особенно в случаях серьезных нарушений. В соответствии с полученным от Совета мандатом УВКПЧ представит выводы и полученные данные по итогам проекта в окончательном докладе для рассмотрения Советом на его три</w:t>
      </w:r>
      <w:r w:rsidRPr="006C6D05">
        <w:rPr>
          <w:b/>
        </w:rPr>
        <w:t>д</w:t>
      </w:r>
      <w:r w:rsidRPr="006C6D05">
        <w:rPr>
          <w:b/>
        </w:rPr>
        <w:t>цать второй сессии. Настоящий доклад содержит рассмотрение охвата, ц</w:t>
      </w:r>
      <w:r w:rsidRPr="006C6D05">
        <w:rPr>
          <w:b/>
        </w:rPr>
        <w:t>е</w:t>
      </w:r>
      <w:r w:rsidR="00C67F60">
        <w:rPr>
          <w:b/>
        </w:rPr>
        <w:t>лей и продвижения проекта.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48.</w:t>
      </w:r>
      <w:r w:rsidRPr="006C6D05">
        <w:tab/>
      </w:r>
      <w:r w:rsidRPr="006C6D05">
        <w:rPr>
          <w:b/>
        </w:rPr>
        <w:t>Значительная часть информации в рамках проекта в области отве</w:t>
      </w:r>
      <w:r w:rsidRPr="006C6D05">
        <w:rPr>
          <w:b/>
        </w:rPr>
        <w:t>т</w:t>
      </w:r>
      <w:r w:rsidRPr="006C6D05">
        <w:rPr>
          <w:b/>
        </w:rPr>
        <w:t>ственности и правовой защиты будет собрана с помощью двух общих пр</w:t>
      </w:r>
      <w:r w:rsidRPr="006C6D05">
        <w:rPr>
          <w:b/>
        </w:rPr>
        <w:t>о</w:t>
      </w:r>
      <w:r w:rsidRPr="006C6D05">
        <w:rPr>
          <w:b/>
        </w:rPr>
        <w:t>цессов: глобальных интернет-консультаций в форме глобального интера</w:t>
      </w:r>
      <w:r w:rsidRPr="006C6D05">
        <w:rPr>
          <w:b/>
        </w:rPr>
        <w:t>к</w:t>
      </w:r>
      <w:r w:rsidRPr="006C6D05">
        <w:rPr>
          <w:b/>
        </w:rPr>
        <w:t>тивного опроса и подробного сопоставительного процесса, который явл</w:t>
      </w:r>
      <w:r w:rsidRPr="006C6D05">
        <w:rPr>
          <w:b/>
        </w:rPr>
        <w:t>я</w:t>
      </w:r>
      <w:r w:rsidRPr="006C6D05">
        <w:rPr>
          <w:b/>
        </w:rPr>
        <w:t>ется более специализированным углубленным исследовательским проце</w:t>
      </w:r>
      <w:r w:rsidRPr="006C6D05">
        <w:rPr>
          <w:b/>
        </w:rPr>
        <w:t>с</w:t>
      </w:r>
      <w:r w:rsidRPr="006C6D05">
        <w:rPr>
          <w:b/>
        </w:rPr>
        <w:t>сом применительно к 25 отобранным юрисдикциям. Глобальные интернет-консультации будут открыты до 1 августа 2015 года, к ним можно получить доступ через веб-сайт УВКПЧ. УВКПЧ призывает все государства запо</w:t>
      </w:r>
      <w:r w:rsidRPr="006C6D05">
        <w:rPr>
          <w:b/>
        </w:rPr>
        <w:t>л</w:t>
      </w:r>
      <w:r w:rsidRPr="006C6D05">
        <w:rPr>
          <w:b/>
        </w:rPr>
        <w:t>нить анкет</w:t>
      </w:r>
      <w:r>
        <w:rPr>
          <w:b/>
        </w:rPr>
        <w:t>у</w:t>
      </w:r>
      <w:r w:rsidRPr="006C6D05">
        <w:rPr>
          <w:b/>
        </w:rPr>
        <w:t xml:space="preserve"> опроса для содействия тому, чтобы полученные по итогам пр</w:t>
      </w:r>
      <w:r w:rsidRPr="006C6D05">
        <w:rPr>
          <w:b/>
        </w:rPr>
        <w:t>о</w:t>
      </w:r>
      <w:r w:rsidRPr="006C6D05">
        <w:rPr>
          <w:b/>
        </w:rPr>
        <w:t>екта данные имели как можно более широкую исследовательскую базу и отражали ситуацию в широком круге юрисдикций. УВКПЧ также приз</w:t>
      </w:r>
      <w:r w:rsidRPr="006C6D05">
        <w:rPr>
          <w:b/>
        </w:rPr>
        <w:t>ы</w:t>
      </w:r>
      <w:r w:rsidRPr="006C6D05">
        <w:rPr>
          <w:b/>
        </w:rPr>
        <w:t>вает все другие заинтересованные стороны, включая адвокатов, научных работников, представителей профсоюзов, организации гражданского общ</w:t>
      </w:r>
      <w:r w:rsidRPr="006C6D05">
        <w:rPr>
          <w:b/>
        </w:rPr>
        <w:t>е</w:t>
      </w:r>
      <w:r w:rsidRPr="006C6D05">
        <w:rPr>
          <w:b/>
        </w:rPr>
        <w:t>ства, заинтересованных лиц, предприятия и предпринимательские орган</w:t>
      </w:r>
      <w:r w:rsidRPr="006C6D05">
        <w:rPr>
          <w:b/>
        </w:rPr>
        <w:t>и</w:t>
      </w:r>
      <w:r w:rsidRPr="006C6D05">
        <w:rPr>
          <w:b/>
        </w:rPr>
        <w:t>зации и прочих субъекто</w:t>
      </w:r>
      <w:r w:rsidR="00C67F60">
        <w:rPr>
          <w:b/>
        </w:rPr>
        <w:t>в, ответить на вопросы анкеты.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49.</w:t>
      </w:r>
      <w:r w:rsidRPr="006C6D05">
        <w:tab/>
      </w:r>
      <w:r w:rsidRPr="006C6D05">
        <w:rPr>
          <w:b/>
        </w:rPr>
        <w:t>Для проекта в области ответственности и правовой защиты был с</w:t>
      </w:r>
      <w:r w:rsidRPr="006C6D05">
        <w:rPr>
          <w:b/>
        </w:rPr>
        <w:t>о</w:t>
      </w:r>
      <w:r w:rsidRPr="006C6D05">
        <w:rPr>
          <w:b/>
        </w:rPr>
        <w:t>здан онлайновый информационный узел, которым служит специальный портал на сайте Центра информационных ресурсов по предпринимател</w:t>
      </w:r>
      <w:r w:rsidRPr="006C6D05">
        <w:rPr>
          <w:b/>
        </w:rPr>
        <w:t>ь</w:t>
      </w:r>
      <w:r w:rsidRPr="006C6D05">
        <w:rPr>
          <w:b/>
        </w:rPr>
        <w:t>ской деятельности и правам человека</w:t>
      </w:r>
      <w:r w:rsidRPr="006C6D05">
        <w:rPr>
          <w:sz w:val="18"/>
          <w:szCs w:val="18"/>
          <w:vertAlign w:val="superscript"/>
          <w:lang w:val="en-GB"/>
        </w:rPr>
        <w:footnoteReference w:id="8"/>
      </w:r>
      <w:r w:rsidRPr="006C6D05">
        <w:rPr>
          <w:b/>
        </w:rPr>
        <w:t>. На данном веб-сайте и на веб-сайте УВКПЧ содержится основная информация о проекте, которая будет обно</w:t>
      </w:r>
      <w:r w:rsidRPr="006C6D05">
        <w:rPr>
          <w:b/>
        </w:rPr>
        <w:t>в</w:t>
      </w:r>
      <w:r w:rsidR="00C67F60">
        <w:rPr>
          <w:b/>
        </w:rPr>
        <w:t>ляться по ходу работы.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50.</w:t>
      </w:r>
      <w:r w:rsidRPr="006C6D05">
        <w:tab/>
      </w:r>
      <w:r w:rsidRPr="006C6D05">
        <w:rPr>
          <w:b/>
        </w:rPr>
        <w:t>Выводы предварительной работы, проведенной в рамках составл</w:t>
      </w:r>
      <w:r w:rsidRPr="006C6D05">
        <w:rPr>
          <w:b/>
        </w:rPr>
        <w:t>я</w:t>
      </w:r>
      <w:r w:rsidRPr="006C6D05">
        <w:rPr>
          <w:b/>
        </w:rPr>
        <w:t>ющей 2 проекта (см. пункты 33</w:t>
      </w:r>
      <w:r>
        <w:rPr>
          <w:b/>
        </w:rPr>
        <w:t>−</w:t>
      </w:r>
      <w:r w:rsidRPr="006C6D05">
        <w:rPr>
          <w:b/>
        </w:rPr>
        <w:t>40)</w:t>
      </w:r>
      <w:r>
        <w:rPr>
          <w:b/>
        </w:rPr>
        <w:t>,</w:t>
      </w:r>
      <w:r w:rsidRPr="006C6D05">
        <w:rPr>
          <w:b/>
        </w:rPr>
        <w:t xml:space="preserve"> будут использованы для содействия в </w:t>
      </w:r>
      <w:r w:rsidRPr="006C6D05">
        <w:rPr>
          <w:b/>
        </w:rPr>
        <w:lastRenderedPageBreak/>
        <w:t>подготовке дискуссий и предоставления практического контекста для и</w:t>
      </w:r>
      <w:r w:rsidRPr="006C6D05">
        <w:rPr>
          <w:b/>
        </w:rPr>
        <w:t>н</w:t>
      </w:r>
      <w:r w:rsidRPr="006C6D05">
        <w:rPr>
          <w:b/>
        </w:rPr>
        <w:t>терактивного рабочего совещания о международных нормативно-правовых и правоприменительных вопросах и задачах, возникающих в связи со св</w:t>
      </w:r>
      <w:r w:rsidRPr="006C6D05">
        <w:rPr>
          <w:b/>
        </w:rPr>
        <w:t>я</w:t>
      </w:r>
      <w:r w:rsidRPr="006C6D05">
        <w:rPr>
          <w:b/>
        </w:rPr>
        <w:t>зью предпринимательской деятельности с грубыми нарушениями прав ч</w:t>
      </w:r>
      <w:r w:rsidRPr="006C6D05">
        <w:rPr>
          <w:b/>
        </w:rPr>
        <w:t>е</w:t>
      </w:r>
      <w:r w:rsidRPr="006C6D05">
        <w:rPr>
          <w:b/>
        </w:rPr>
        <w:t>ловека. Проведение этих дискуссий запланировано на конец 2015 года при условии, что УВКПЧ получит на эти цели необходимые финансовые ресу</w:t>
      </w:r>
      <w:r w:rsidRPr="006C6D05">
        <w:rPr>
          <w:b/>
        </w:rPr>
        <w:t>р</w:t>
      </w:r>
      <w:r w:rsidRPr="006C6D05">
        <w:rPr>
          <w:b/>
        </w:rPr>
        <w:t xml:space="preserve">сы. Цели этих рабочих совещаний будут состоять в следующем: 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rPr>
          <w:bCs/>
        </w:rPr>
        <w:tab/>
      </w:r>
      <w:r w:rsidRPr="006C6D05">
        <w:rPr>
          <w:bCs/>
          <w:lang w:val="en-GB"/>
        </w:rPr>
        <w:t>a</w:t>
      </w:r>
      <w:r w:rsidRPr="006C6D05">
        <w:rPr>
          <w:bCs/>
        </w:rPr>
        <w:t>)</w:t>
      </w:r>
      <w:r w:rsidRPr="006C6D05">
        <w:rPr>
          <w:bCs/>
        </w:rPr>
        <w:tab/>
      </w:r>
      <w:r w:rsidRPr="006C6D05">
        <w:rPr>
          <w:b/>
        </w:rPr>
        <w:t>разъяснить правовые и практические проблемы, которые м</w:t>
      </w:r>
      <w:r w:rsidRPr="006C6D05">
        <w:rPr>
          <w:b/>
        </w:rPr>
        <w:t>о</w:t>
      </w:r>
      <w:r w:rsidRPr="006C6D05">
        <w:rPr>
          <w:b/>
        </w:rPr>
        <w:t>гут возникать в трансграничных делах;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rPr>
          <w:bCs/>
        </w:rPr>
        <w:tab/>
      </w:r>
      <w:r w:rsidRPr="006C6D05">
        <w:rPr>
          <w:bCs/>
          <w:lang w:val="en-GB"/>
        </w:rPr>
        <w:t>b</w:t>
      </w:r>
      <w:r w:rsidRPr="006C6D05">
        <w:rPr>
          <w:bCs/>
        </w:rPr>
        <w:t>)</w:t>
      </w:r>
      <w:r w:rsidRPr="006C6D05">
        <w:rPr>
          <w:b/>
        </w:rPr>
        <w:tab/>
        <w:t>понять способы, с помощью которых существующие взгляды на роли и ответственность будут, вероятно, влиять на ответные меры гос</w:t>
      </w:r>
      <w:r w:rsidRPr="006C6D05">
        <w:rPr>
          <w:b/>
        </w:rPr>
        <w:t>у</w:t>
      </w:r>
      <w:r w:rsidRPr="006C6D05">
        <w:rPr>
          <w:b/>
        </w:rPr>
        <w:t>дарств;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rPr>
          <w:bCs/>
        </w:rPr>
        <w:tab/>
      </w:r>
      <w:r w:rsidRPr="006C6D05">
        <w:rPr>
          <w:bCs/>
          <w:lang w:val="en-GB"/>
        </w:rPr>
        <w:t>c</w:t>
      </w:r>
      <w:r w:rsidRPr="006C6D05">
        <w:rPr>
          <w:bCs/>
        </w:rPr>
        <w:t>)</w:t>
      </w:r>
      <w:r w:rsidRPr="006C6D05">
        <w:rPr>
          <w:b/>
        </w:rPr>
        <w:tab/>
        <w:t>использовать опыт в других нормативно-правовых сферах в целях рассмотрения возможных путей совместной работы государств для устранения трудностей, возникающих в делах с международным элеме</w:t>
      </w:r>
      <w:r w:rsidRPr="006C6D05">
        <w:rPr>
          <w:b/>
        </w:rPr>
        <w:t>н</w:t>
      </w:r>
      <w:r w:rsidRPr="006C6D05">
        <w:rPr>
          <w:b/>
        </w:rPr>
        <w:t>том;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rPr>
          <w:bCs/>
        </w:rPr>
        <w:tab/>
      </w:r>
      <w:r w:rsidRPr="006C6D05">
        <w:rPr>
          <w:bCs/>
          <w:lang w:val="en-GB"/>
        </w:rPr>
        <w:t>d</w:t>
      </w:r>
      <w:r w:rsidRPr="006C6D05">
        <w:rPr>
          <w:bCs/>
        </w:rPr>
        <w:t>)</w:t>
      </w:r>
      <w:r w:rsidRPr="006C6D05">
        <w:rPr>
          <w:b/>
        </w:rPr>
        <w:tab/>
        <w:t>опробовать различные возможные модели международного с</w:t>
      </w:r>
      <w:r w:rsidRPr="006C6D05">
        <w:rPr>
          <w:b/>
        </w:rPr>
        <w:t>о</w:t>
      </w:r>
      <w:r w:rsidRPr="006C6D05">
        <w:rPr>
          <w:b/>
        </w:rPr>
        <w:t>трудничества и предоставить участникам возможность отреагировать на них;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rPr>
          <w:bCs/>
        </w:rPr>
        <w:tab/>
      </w:r>
      <w:r w:rsidRPr="006C6D05">
        <w:rPr>
          <w:bCs/>
          <w:lang w:val="en-GB"/>
        </w:rPr>
        <w:t>e</w:t>
      </w:r>
      <w:r w:rsidRPr="006C6D05">
        <w:rPr>
          <w:bCs/>
        </w:rPr>
        <w:t>)</w:t>
      </w:r>
      <w:r w:rsidRPr="006C6D05">
        <w:rPr>
          <w:b/>
        </w:rPr>
        <w:tab/>
        <w:t>определить возможные элементы принципиальной основы для надлежащих действий в об</w:t>
      </w:r>
      <w:r w:rsidR="00C67F60">
        <w:rPr>
          <w:b/>
        </w:rPr>
        <w:t xml:space="preserve">ласти </w:t>
      </w:r>
      <w:proofErr w:type="spellStart"/>
      <w:r w:rsidR="00C67F60">
        <w:rPr>
          <w:b/>
        </w:rPr>
        <w:t>юрисдикционных</w:t>
      </w:r>
      <w:proofErr w:type="spellEnd"/>
      <w:r w:rsidR="00C67F60">
        <w:rPr>
          <w:b/>
        </w:rPr>
        <w:t xml:space="preserve"> вопросов.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51.</w:t>
      </w:r>
      <w:r w:rsidRPr="006C6D05">
        <w:tab/>
      </w:r>
      <w:r w:rsidRPr="006C6D05">
        <w:rPr>
          <w:b/>
        </w:rPr>
        <w:t>Предварительная работа по составляющей 3 проекта (см. пун</w:t>
      </w:r>
      <w:r w:rsidRPr="006C6D05">
        <w:rPr>
          <w:b/>
        </w:rPr>
        <w:t>к</w:t>
      </w:r>
      <w:r w:rsidRPr="006C6D05">
        <w:rPr>
          <w:b/>
        </w:rPr>
        <w:t>ты</w:t>
      </w:r>
      <w:r>
        <w:rPr>
          <w:b/>
        </w:rPr>
        <w:t> </w:t>
      </w:r>
      <w:r w:rsidRPr="006C6D05">
        <w:rPr>
          <w:b/>
        </w:rPr>
        <w:t>41−46) позволит эффективно и рационально развивать данную часть проекта на основе предыдущих академических исследований. Как отмеч</w:t>
      </w:r>
      <w:r w:rsidRPr="006C6D05">
        <w:rPr>
          <w:b/>
        </w:rPr>
        <w:t>а</w:t>
      </w:r>
      <w:r w:rsidRPr="006C6D05">
        <w:rPr>
          <w:b/>
        </w:rPr>
        <w:t>лось выше, анализ оксфордского исследования стал важным подспорьем в разработке соответствующих элементов подробного сопоставительного процесса и гло</w:t>
      </w:r>
      <w:r w:rsidR="00C67F60">
        <w:rPr>
          <w:b/>
        </w:rPr>
        <w:t>бальных интернет-консультаций.</w:t>
      </w:r>
    </w:p>
    <w:p w:rsidR="007061E0" w:rsidRPr="006C6D05" w:rsidRDefault="007061E0" w:rsidP="007061E0">
      <w:pPr>
        <w:pStyle w:val="SingleTxtGR"/>
        <w:rPr>
          <w:b/>
        </w:rPr>
      </w:pPr>
      <w:r w:rsidRPr="006C6D05">
        <w:t>52.</w:t>
      </w:r>
      <w:r w:rsidRPr="006C6D05">
        <w:tab/>
      </w:r>
      <w:r w:rsidRPr="006C6D05">
        <w:rPr>
          <w:b/>
        </w:rPr>
        <w:t>Проект в области ответственности и правовой защиты состоит из шести направлений работы (см. п</w:t>
      </w:r>
      <w:r>
        <w:rPr>
          <w:b/>
        </w:rPr>
        <w:t>ункт</w:t>
      </w:r>
      <w:r w:rsidRPr="006C6D05">
        <w:rPr>
          <w:b/>
        </w:rPr>
        <w:t xml:space="preserve"> 13). Каждое из них было отобрано на основе вопросов, которые были определены в предыдущем исследовании УВКПЧ как требующие дальнейшего разъяснения с точки зрения полит</w:t>
      </w:r>
      <w:r w:rsidRPr="006C6D05">
        <w:rPr>
          <w:b/>
        </w:rPr>
        <w:t>и</w:t>
      </w:r>
      <w:r w:rsidRPr="006C6D05">
        <w:rPr>
          <w:b/>
        </w:rPr>
        <w:t>ки и принципов, а также в силу их стратегического значения. Каждый пр</w:t>
      </w:r>
      <w:r w:rsidRPr="006C6D05">
        <w:rPr>
          <w:b/>
        </w:rPr>
        <w:t>о</w:t>
      </w:r>
      <w:r w:rsidRPr="006C6D05">
        <w:rPr>
          <w:b/>
        </w:rPr>
        <w:t>ект обособлен и имеет свою собственную методику, но при этом между н</w:t>
      </w:r>
      <w:r w:rsidRPr="006C6D05">
        <w:rPr>
          <w:b/>
        </w:rPr>
        <w:t>и</w:t>
      </w:r>
      <w:r w:rsidRPr="006C6D05">
        <w:rPr>
          <w:b/>
        </w:rPr>
        <w:t xml:space="preserve">ми существует важная взаимосвязь. </w:t>
      </w:r>
    </w:p>
    <w:p w:rsidR="007061E0" w:rsidRDefault="007061E0" w:rsidP="007061E0">
      <w:pPr>
        <w:pStyle w:val="SingleTxtGR"/>
        <w:rPr>
          <w:b/>
        </w:rPr>
      </w:pPr>
      <w:r w:rsidRPr="006C6D05">
        <w:t>53.</w:t>
      </w:r>
      <w:r w:rsidRPr="006C6D05">
        <w:tab/>
      </w:r>
      <w:r w:rsidRPr="006C6D05">
        <w:rPr>
          <w:b/>
        </w:rPr>
        <w:t>Полученные данные по шести направлениям работы, а также любые рекомендации и руководящие указания, вытекающие из этой работы, ст</w:t>
      </w:r>
      <w:r w:rsidRPr="006C6D05">
        <w:rPr>
          <w:b/>
        </w:rPr>
        <w:t>а</w:t>
      </w:r>
      <w:r w:rsidRPr="006C6D05">
        <w:rPr>
          <w:b/>
        </w:rPr>
        <w:t>нут предметом консультаций заинтересованных сторон в период с сентября 2015 года по первый квартал 2016 года. Кроме того, первоначальные выв</w:t>
      </w:r>
      <w:r w:rsidRPr="006C6D05">
        <w:rPr>
          <w:b/>
        </w:rPr>
        <w:t>о</w:t>
      </w:r>
      <w:r w:rsidRPr="006C6D05">
        <w:rPr>
          <w:b/>
        </w:rPr>
        <w:t>ды и аналитические выкладки в рамках этих проектов будут представлены на Форуме по вопросам предпринимательской деятельности и прав чел</w:t>
      </w:r>
      <w:r w:rsidRPr="006C6D05">
        <w:rPr>
          <w:b/>
        </w:rPr>
        <w:t>о</w:t>
      </w:r>
      <w:r w:rsidRPr="006C6D05">
        <w:rPr>
          <w:b/>
        </w:rPr>
        <w:t>века, который состоится в Женеве 16</w:t>
      </w:r>
      <w:r>
        <w:rPr>
          <w:b/>
        </w:rPr>
        <w:t>−</w:t>
      </w:r>
      <w:r w:rsidRPr="006C6D05">
        <w:rPr>
          <w:b/>
        </w:rPr>
        <w:t>18 ноября 2015 года, для проведения консультаций между заинтересованными сторонами в открытом формате.</w:t>
      </w:r>
    </w:p>
    <w:p w:rsidR="00191B0A" w:rsidRPr="00CB0DBA" w:rsidRDefault="007061E0" w:rsidP="007061E0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91B0A" w:rsidRPr="00CB0DBA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0A" w:rsidRDefault="00191B0A">
      <w:r>
        <w:rPr>
          <w:lang w:val="en-US"/>
        </w:rPr>
        <w:tab/>
      </w:r>
      <w:r>
        <w:separator/>
      </w:r>
    </w:p>
  </w:endnote>
  <w:endnote w:type="continuationSeparator" w:id="0">
    <w:p w:rsidR="00191B0A" w:rsidRDefault="001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39T30Lfz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A" w:rsidRPr="007061E0" w:rsidRDefault="00191B0A" w:rsidP="00E147C1">
    <w:pPr>
      <w:pStyle w:val="ac"/>
      <w:rPr>
        <w:lang w:val="ru-RU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E07245">
      <w:rPr>
        <w:rStyle w:val="ad"/>
        <w:noProof/>
      </w:rPr>
      <w:t>2</w:t>
    </w:r>
    <w:r>
      <w:rPr>
        <w:rStyle w:val="ad"/>
      </w:rPr>
      <w:fldChar w:fldCharType="end"/>
    </w:r>
    <w:r>
      <w:rPr>
        <w:lang w:val="en-US"/>
      </w:rPr>
      <w:tab/>
      <w:t>GE.15-</w:t>
    </w:r>
    <w:r w:rsidR="007061E0">
      <w:rPr>
        <w:lang w:val="ru-RU"/>
      </w:rPr>
      <w:t>09102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A" w:rsidRPr="009A6F4A" w:rsidRDefault="00191B0A" w:rsidP="00E147C1">
    <w:pPr>
      <w:pStyle w:val="ac"/>
      <w:rPr>
        <w:lang w:val="en-US"/>
      </w:rPr>
    </w:pPr>
    <w:r>
      <w:rPr>
        <w:lang w:val="en-US"/>
      </w:rPr>
      <w:t>GE.15-</w:t>
    </w:r>
    <w:r w:rsidR="007061E0">
      <w:rPr>
        <w:lang w:val="ru-RU"/>
      </w:rPr>
      <w:t>09102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E07245">
      <w:rPr>
        <w:rStyle w:val="ad"/>
        <w:noProof/>
      </w:rPr>
      <w:t>19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91"/>
      <w:gridCol w:w="4656"/>
      <w:gridCol w:w="1208"/>
    </w:tblGrid>
    <w:tr w:rsidR="00191B0A" w:rsidTr="00036FE6">
      <w:trPr>
        <w:trHeight w:val="438"/>
      </w:trPr>
      <w:tc>
        <w:tcPr>
          <w:tcW w:w="4068" w:type="dxa"/>
          <w:vAlign w:val="bottom"/>
        </w:tcPr>
        <w:p w:rsidR="00191B0A" w:rsidRPr="006D4931" w:rsidRDefault="00191B0A" w:rsidP="00CB0DBA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09102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040615  050615</w:t>
          </w:r>
        </w:p>
      </w:tc>
      <w:tc>
        <w:tcPr>
          <w:tcW w:w="4663" w:type="dxa"/>
          <w:vMerge w:val="restart"/>
          <w:vAlign w:val="bottom"/>
        </w:tcPr>
        <w:p w:rsidR="00191B0A" w:rsidRDefault="00191B0A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4DE8E62B" wp14:editId="7AD2E525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191B0A" w:rsidRDefault="00191B0A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630523" cy="630523"/>
                <wp:effectExtent l="0" t="0" r="0" b="0"/>
                <wp:docPr id="3" name="Рисунок 3" descr="http://undocs.org/m2/QRCode2.ashx?DS=A/HRC/29/39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39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893" cy="628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1B0A" w:rsidRPr="00797A78" w:rsidTr="00036FE6">
      <w:tc>
        <w:tcPr>
          <w:tcW w:w="4068" w:type="dxa"/>
          <w:vAlign w:val="bottom"/>
        </w:tcPr>
        <w:p w:rsidR="00191B0A" w:rsidRPr="00CB0DBA" w:rsidRDefault="00191B0A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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CB0DBA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191B0A" w:rsidRDefault="00191B0A" w:rsidP="00036FE6"/>
      </w:tc>
      <w:tc>
        <w:tcPr>
          <w:tcW w:w="1124" w:type="dxa"/>
          <w:vMerge/>
        </w:tcPr>
        <w:p w:rsidR="00191B0A" w:rsidRDefault="00191B0A" w:rsidP="00036FE6"/>
      </w:tc>
    </w:tr>
  </w:tbl>
  <w:p w:rsidR="00191B0A" w:rsidRDefault="00191B0A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0A" w:rsidRPr="00F71F63" w:rsidRDefault="00191B0A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191B0A" w:rsidRPr="00F71F63" w:rsidRDefault="00191B0A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191B0A" w:rsidRPr="00635E86" w:rsidRDefault="00191B0A" w:rsidP="00635E86">
      <w:pPr>
        <w:pStyle w:val="ac"/>
      </w:pPr>
    </w:p>
  </w:footnote>
  <w:footnote w:id="1">
    <w:p w:rsidR="00191B0A" w:rsidRPr="00C03AE2" w:rsidRDefault="00191B0A" w:rsidP="00C03AE2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>
        <w:tab/>
        <w:t>Jennifer Zerk, "Corporate liability for gross human rights abuses: towards a fairer and more effective system of domestic law remedies", исследование, подготовленное для УВКПЧ в</w:t>
      </w:r>
      <w:r w:rsidRPr="00C03AE2">
        <w:rPr>
          <w:lang w:val="en-US"/>
        </w:rPr>
        <w:t> </w:t>
      </w:r>
      <w:r>
        <w:t>феврале 2014 года (</w:t>
      </w:r>
      <w:hyperlink r:id="rId1" w:history="1">
        <w:r w:rsidRPr="00C03AE2">
          <w:rPr>
            <w:rStyle w:val="aff7"/>
            <w:u w:val="none"/>
          </w:rPr>
          <w:t>http://www.ohchr.org/EN/Issues/Business/Pages/OHCHRstudyon</w:t>
        </w:r>
      </w:hyperlink>
      <w:r w:rsidRPr="00C03AE2">
        <w:rPr>
          <w:lang w:val="en-US"/>
        </w:rPr>
        <w:br/>
      </w:r>
      <w:r>
        <w:t>domesticlawremedies</w:t>
      </w:r>
      <w:r w:rsidRPr="00C03AE2">
        <w:rPr>
          <w:lang w:val="en-US"/>
        </w:rPr>
        <w:t>.</w:t>
      </w:r>
      <w:r>
        <w:t>aspx</w:t>
      </w:r>
      <w:r w:rsidRPr="00C03AE2">
        <w:rPr>
          <w:lang w:val="en-US"/>
        </w:rPr>
        <w:t xml:space="preserve">). </w:t>
      </w:r>
      <w:r w:rsidRPr="00C03AE2">
        <w:rPr>
          <w:lang w:val="ru-RU"/>
        </w:rPr>
        <w:t xml:space="preserve">Автор отмечает, что в своем "Пояснительном руководстве по вопросу корпоративной ответственности в области соблюдения прав человека" УВКПЧ указывает на отсутствие в международном праве единого определения грубых нарушений прав человека. При этом автор не пытается установить свое собственное определение. Вместе с тем в соответствии с "Пояснительным руководством" такие нарушения, как правило, состоят в следующей практике: геноцид, рабство и схожая с рабством практика, внесудебные или произвольные казни, пытки, насильственные исчезновения, произвольное и продолжительное лишение свободы и систематическая дискриминация. Другие виды нарушений прав человека, в том числе нарушения экономических, социальных и культурных прав, также могут относиться к грубым нарушениям, если они носят тяжкий и систематический характер, например, если они совершаются в широком масштабе или направлены на конкретные группы населения. "Пояснительное руководство" размещено по адресу </w:t>
      </w:r>
      <w:r>
        <w:t>www</w:t>
      </w:r>
      <w:r w:rsidRPr="00C03AE2">
        <w:rPr>
          <w:lang w:val="ru-RU"/>
        </w:rPr>
        <w:t>.</w:t>
      </w:r>
      <w:r>
        <w:t>ohchr</w:t>
      </w:r>
      <w:r w:rsidRPr="00C03AE2">
        <w:rPr>
          <w:lang w:val="ru-RU"/>
        </w:rPr>
        <w:t>.</w:t>
      </w:r>
      <w:r>
        <w:t>org</w:t>
      </w:r>
      <w:r w:rsidRPr="00C03AE2">
        <w:rPr>
          <w:lang w:val="ru-RU"/>
        </w:rPr>
        <w:t>/</w:t>
      </w:r>
      <w:r>
        <w:t>Documents</w:t>
      </w:r>
      <w:r w:rsidRPr="00C03AE2">
        <w:rPr>
          <w:lang w:val="ru-RU"/>
        </w:rPr>
        <w:t>/</w:t>
      </w:r>
      <w:r>
        <w:rPr>
          <w:lang w:val="ru-RU"/>
        </w:rPr>
        <w:br/>
      </w:r>
      <w:r>
        <w:t>Publications</w:t>
      </w:r>
      <w:r w:rsidRPr="00C03AE2">
        <w:rPr>
          <w:lang w:val="ru-RU"/>
        </w:rPr>
        <w:t>/</w:t>
      </w:r>
      <w:r>
        <w:t>HR</w:t>
      </w:r>
      <w:r w:rsidRPr="00C03AE2">
        <w:rPr>
          <w:lang w:val="ru-RU"/>
        </w:rPr>
        <w:t>.</w:t>
      </w:r>
      <w:r>
        <w:t>PUB</w:t>
      </w:r>
      <w:r w:rsidRPr="00C03AE2">
        <w:rPr>
          <w:lang w:val="ru-RU"/>
        </w:rPr>
        <w:t>.12.2_</w:t>
      </w:r>
      <w:r>
        <w:t>En</w:t>
      </w:r>
      <w:r w:rsidRPr="00C03AE2">
        <w:rPr>
          <w:lang w:val="ru-RU"/>
        </w:rPr>
        <w:t>.</w:t>
      </w:r>
      <w:r>
        <w:t>pdf</w:t>
      </w:r>
      <w:r w:rsidRPr="00C03AE2">
        <w:rPr>
          <w:lang w:val="ru-RU"/>
        </w:rPr>
        <w:t>.</w:t>
      </w:r>
    </w:p>
  </w:footnote>
  <w:footnote w:id="2">
    <w:p w:rsidR="00191B0A" w:rsidRPr="00C03AE2" w:rsidRDefault="00191B0A">
      <w:pPr>
        <w:pStyle w:val="af"/>
        <w:rPr>
          <w:lang w:val="en-US"/>
        </w:rPr>
      </w:pPr>
      <w:r w:rsidRPr="00E07245">
        <w:rPr>
          <w:lang w:val="ru-RU"/>
        </w:rPr>
        <w:tab/>
      </w:r>
      <w:r>
        <w:rPr>
          <w:rStyle w:val="ab"/>
        </w:rPr>
        <w:footnoteRef/>
      </w:r>
      <w:r>
        <w:tab/>
      </w:r>
      <w:r w:rsidRPr="00C03AE2">
        <w:t>Jennifer Zerk, “Corporate liability for gross human rights abuses”, p. 7.</w:t>
      </w:r>
    </w:p>
  </w:footnote>
  <w:footnote w:id="3">
    <w:p w:rsidR="00191B0A" w:rsidRPr="00C03AE2" w:rsidRDefault="00191B0A" w:rsidP="00C03AE2">
      <w:pPr>
        <w:pStyle w:val="af"/>
        <w:rPr>
          <w:lang w:val="ru-RU"/>
        </w:rPr>
      </w:pPr>
      <w:r>
        <w:tab/>
      </w:r>
      <w:r>
        <w:rPr>
          <w:rStyle w:val="ab"/>
        </w:rPr>
        <w:footnoteRef/>
      </w:r>
      <w:r w:rsidRPr="00C03AE2">
        <w:rPr>
          <w:lang w:val="ru-RU"/>
        </w:rPr>
        <w:tab/>
        <w:t xml:space="preserve">Резюме представлений размещено по адресу </w:t>
      </w:r>
      <w:r>
        <w:t>www</w:t>
      </w:r>
      <w:r w:rsidRPr="00C03AE2">
        <w:rPr>
          <w:lang w:val="ru-RU"/>
        </w:rPr>
        <w:t>.</w:t>
      </w:r>
      <w:r>
        <w:t>ohchr</w:t>
      </w:r>
      <w:r w:rsidRPr="00C03AE2">
        <w:rPr>
          <w:lang w:val="ru-RU"/>
        </w:rPr>
        <w:t>.</w:t>
      </w:r>
      <w:r>
        <w:t>org</w:t>
      </w:r>
      <w:r w:rsidRPr="00C03AE2">
        <w:rPr>
          <w:lang w:val="ru-RU"/>
        </w:rPr>
        <w:t>/</w:t>
      </w:r>
      <w:r>
        <w:t>Documents</w:t>
      </w:r>
      <w:r w:rsidRPr="00C03AE2">
        <w:rPr>
          <w:lang w:val="ru-RU"/>
        </w:rPr>
        <w:t>/</w:t>
      </w:r>
      <w:r>
        <w:t>Issues</w:t>
      </w:r>
      <w:r w:rsidRPr="00C03AE2">
        <w:rPr>
          <w:lang w:val="ru-RU"/>
        </w:rPr>
        <w:t>/</w:t>
      </w:r>
      <w:r>
        <w:rPr>
          <w:lang w:val="ru-RU"/>
        </w:rPr>
        <w:br/>
      </w:r>
      <w:r>
        <w:t>Business</w:t>
      </w:r>
      <w:r w:rsidRPr="00C03AE2">
        <w:rPr>
          <w:lang w:val="ru-RU"/>
        </w:rPr>
        <w:t>/</w:t>
      </w:r>
      <w:r>
        <w:t>DomesticLawRemedies</w:t>
      </w:r>
      <w:r w:rsidRPr="00C03AE2">
        <w:rPr>
          <w:lang w:val="ru-RU"/>
        </w:rPr>
        <w:t>/</w:t>
      </w:r>
      <w:r>
        <w:t>RemedyProject</w:t>
      </w:r>
      <w:r w:rsidRPr="00C03AE2">
        <w:rPr>
          <w:lang w:val="ru-RU"/>
        </w:rPr>
        <w:t>1.</w:t>
      </w:r>
      <w:r>
        <w:t>pdf</w:t>
      </w:r>
      <w:r w:rsidRPr="00C03AE2">
        <w:rPr>
          <w:lang w:val="ru-RU"/>
        </w:rPr>
        <w:t>.</w:t>
      </w:r>
    </w:p>
  </w:footnote>
  <w:footnote w:id="4">
    <w:p w:rsidR="00191B0A" w:rsidRPr="00F942EF" w:rsidRDefault="00191B0A" w:rsidP="00191B0A">
      <w:pPr>
        <w:pStyle w:val="af"/>
        <w:rPr>
          <w:lang w:val="ru-RU"/>
        </w:rPr>
      </w:pPr>
      <w:r w:rsidRPr="00D9350B">
        <w:rPr>
          <w:lang w:val="ru-RU"/>
        </w:rPr>
        <w:tab/>
      </w:r>
      <w:r w:rsidRPr="004D5CBE">
        <w:rPr>
          <w:vertAlign w:val="superscript"/>
        </w:rPr>
        <w:footnoteRef/>
      </w:r>
      <w:r w:rsidRPr="00A439F8">
        <w:rPr>
          <w:lang w:val="ru-RU"/>
        </w:rPr>
        <w:tab/>
      </w:r>
      <w:r>
        <w:rPr>
          <w:lang w:val="ru-RU"/>
        </w:rPr>
        <w:t>См</w:t>
      </w:r>
      <w:r w:rsidRPr="00A439F8">
        <w:rPr>
          <w:lang w:val="ru-RU"/>
        </w:rPr>
        <w:t xml:space="preserve">. </w:t>
      </w:r>
      <w:r>
        <w:rPr>
          <w:lang w:val="ru-RU"/>
        </w:rPr>
        <w:t>замечание</w:t>
      </w:r>
      <w:r w:rsidRPr="00A439F8">
        <w:rPr>
          <w:lang w:val="ru-RU"/>
        </w:rPr>
        <w:t xml:space="preserve"> </w:t>
      </w:r>
      <w:r>
        <w:rPr>
          <w:lang w:val="ru-RU"/>
        </w:rPr>
        <w:t>общего</w:t>
      </w:r>
      <w:r w:rsidRPr="00A439F8">
        <w:rPr>
          <w:lang w:val="ru-RU"/>
        </w:rPr>
        <w:t xml:space="preserve"> </w:t>
      </w:r>
      <w:r>
        <w:rPr>
          <w:lang w:val="ru-RU"/>
        </w:rPr>
        <w:t>порядка</w:t>
      </w:r>
      <w:r w:rsidRPr="00A439F8">
        <w:rPr>
          <w:lang w:val="ru-RU"/>
        </w:rPr>
        <w:t xml:space="preserve"> № 15 </w:t>
      </w:r>
      <w:r>
        <w:rPr>
          <w:lang w:val="ru-RU"/>
        </w:rPr>
        <w:t>Комитета</w:t>
      </w:r>
      <w:r w:rsidRPr="00A439F8">
        <w:rPr>
          <w:lang w:val="ru-RU"/>
        </w:rPr>
        <w:t xml:space="preserve"> </w:t>
      </w:r>
      <w:r>
        <w:rPr>
          <w:lang w:val="ru-RU"/>
        </w:rPr>
        <w:t>по</w:t>
      </w:r>
      <w:r w:rsidRPr="00A439F8">
        <w:rPr>
          <w:lang w:val="ru-RU"/>
        </w:rPr>
        <w:t xml:space="preserve"> </w:t>
      </w:r>
      <w:r>
        <w:rPr>
          <w:lang w:val="ru-RU"/>
        </w:rPr>
        <w:t>экономическим</w:t>
      </w:r>
      <w:r w:rsidRPr="00A439F8">
        <w:rPr>
          <w:lang w:val="ru-RU"/>
        </w:rPr>
        <w:t xml:space="preserve">, </w:t>
      </w:r>
      <w:r>
        <w:rPr>
          <w:lang w:val="ru-RU"/>
        </w:rPr>
        <w:t>социальным</w:t>
      </w:r>
      <w:r w:rsidRPr="00A439F8">
        <w:rPr>
          <w:lang w:val="ru-RU"/>
        </w:rPr>
        <w:t xml:space="preserve"> </w:t>
      </w:r>
      <w:r>
        <w:rPr>
          <w:lang w:val="ru-RU"/>
        </w:rPr>
        <w:t>и</w:t>
      </w:r>
      <w:r w:rsidRPr="00A439F8">
        <w:rPr>
          <w:lang w:val="ru-RU"/>
        </w:rPr>
        <w:t xml:space="preserve"> </w:t>
      </w:r>
      <w:r>
        <w:rPr>
          <w:lang w:val="ru-RU"/>
        </w:rPr>
        <w:t>культурным</w:t>
      </w:r>
      <w:r w:rsidRPr="00A439F8">
        <w:rPr>
          <w:lang w:val="ru-RU"/>
        </w:rPr>
        <w:t xml:space="preserve"> </w:t>
      </w:r>
      <w:r>
        <w:rPr>
          <w:lang w:val="ru-RU"/>
        </w:rPr>
        <w:t>правам</w:t>
      </w:r>
      <w:r w:rsidRPr="00A439F8">
        <w:rPr>
          <w:lang w:val="ru-RU"/>
        </w:rPr>
        <w:t xml:space="preserve"> </w:t>
      </w:r>
      <w:r>
        <w:rPr>
          <w:lang w:val="ru-RU"/>
        </w:rPr>
        <w:t>и</w:t>
      </w:r>
      <w:r w:rsidRPr="00A439F8">
        <w:rPr>
          <w:lang w:val="ru-RU"/>
        </w:rPr>
        <w:t xml:space="preserve"> </w:t>
      </w:r>
      <w:r>
        <w:rPr>
          <w:lang w:val="ru-RU"/>
        </w:rPr>
        <w:t>Заявление</w:t>
      </w:r>
      <w:r w:rsidRPr="00A439F8">
        <w:rPr>
          <w:lang w:val="ru-RU"/>
        </w:rPr>
        <w:t xml:space="preserve"> </w:t>
      </w:r>
      <w:r>
        <w:rPr>
          <w:lang w:val="ru-RU"/>
        </w:rPr>
        <w:t>Комитета</w:t>
      </w:r>
      <w:r w:rsidRPr="00A439F8">
        <w:rPr>
          <w:lang w:val="ru-RU"/>
        </w:rPr>
        <w:t xml:space="preserve"> </w:t>
      </w:r>
      <w:r>
        <w:rPr>
          <w:lang w:val="ru-RU"/>
        </w:rPr>
        <w:t>об</w:t>
      </w:r>
      <w:r w:rsidRPr="00A439F8">
        <w:rPr>
          <w:lang w:val="ru-RU"/>
        </w:rPr>
        <w:t xml:space="preserve"> </w:t>
      </w:r>
      <w:r>
        <w:rPr>
          <w:lang w:val="ru-RU"/>
        </w:rPr>
        <w:t>обязательствах</w:t>
      </w:r>
      <w:r w:rsidRPr="00A439F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A439F8">
        <w:rPr>
          <w:lang w:val="ru-RU"/>
        </w:rPr>
        <w:t>-</w:t>
      </w:r>
      <w:r>
        <w:rPr>
          <w:lang w:val="ru-RU"/>
        </w:rPr>
        <w:t>участников</w:t>
      </w:r>
      <w:r w:rsidRPr="00A439F8">
        <w:rPr>
          <w:lang w:val="ru-RU"/>
        </w:rPr>
        <w:t xml:space="preserve"> </w:t>
      </w:r>
      <w:r>
        <w:rPr>
          <w:lang w:val="ru-RU"/>
        </w:rPr>
        <w:t>в отношении</w:t>
      </w:r>
      <w:r w:rsidRPr="00A439F8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A439F8">
        <w:rPr>
          <w:lang w:val="ru-RU"/>
        </w:rPr>
        <w:t xml:space="preserve"> </w:t>
      </w:r>
      <w:r>
        <w:rPr>
          <w:lang w:val="ru-RU"/>
        </w:rPr>
        <w:t>сектора и экономических, социальных и культурных прав</w:t>
      </w:r>
      <w:r w:rsidRPr="00A439F8">
        <w:rPr>
          <w:lang w:val="ru-RU"/>
        </w:rPr>
        <w:t xml:space="preserve"> (</w:t>
      </w:r>
      <w:r>
        <w:t>E</w:t>
      </w:r>
      <w:r w:rsidRPr="00A439F8">
        <w:rPr>
          <w:lang w:val="ru-RU"/>
        </w:rPr>
        <w:t>/</w:t>
      </w:r>
      <w:r>
        <w:t>C</w:t>
      </w:r>
      <w:r w:rsidRPr="00A439F8">
        <w:rPr>
          <w:lang w:val="ru-RU"/>
        </w:rPr>
        <w:t>.12/2011/1)</w:t>
      </w:r>
      <w:r>
        <w:rPr>
          <w:lang w:val="ru-RU"/>
        </w:rPr>
        <w:t>, а также замечание общего порядка № 16 Комитета по правам ребенка</w:t>
      </w:r>
      <w:r w:rsidRPr="00A439F8">
        <w:rPr>
          <w:lang w:val="ru-RU"/>
        </w:rPr>
        <w:t xml:space="preserve">. </w:t>
      </w:r>
      <w:r>
        <w:rPr>
          <w:lang w:val="ru-RU"/>
        </w:rPr>
        <w:t>Ряд</w:t>
      </w:r>
      <w:r w:rsidRPr="00A439F8">
        <w:rPr>
          <w:lang w:val="ru-RU"/>
        </w:rPr>
        <w:t xml:space="preserve"> </w:t>
      </w:r>
      <w:r>
        <w:rPr>
          <w:lang w:val="ru-RU"/>
        </w:rPr>
        <w:t>договорных</w:t>
      </w:r>
      <w:r w:rsidRPr="00A439F8">
        <w:rPr>
          <w:lang w:val="ru-RU"/>
        </w:rPr>
        <w:t xml:space="preserve"> </w:t>
      </w:r>
      <w:r>
        <w:rPr>
          <w:lang w:val="ru-RU"/>
        </w:rPr>
        <w:t>органов</w:t>
      </w:r>
      <w:r w:rsidRPr="00A439F8">
        <w:rPr>
          <w:lang w:val="ru-RU"/>
        </w:rPr>
        <w:t xml:space="preserve"> </w:t>
      </w:r>
      <w:r>
        <w:rPr>
          <w:lang w:val="ru-RU"/>
        </w:rPr>
        <w:t>рекомендовали</w:t>
      </w:r>
      <w:r w:rsidRPr="00A439F8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A439F8">
        <w:rPr>
          <w:lang w:val="ru-RU"/>
        </w:rPr>
        <w:t xml:space="preserve"> </w:t>
      </w:r>
      <w:r>
        <w:rPr>
          <w:lang w:val="ru-RU"/>
        </w:rPr>
        <w:t>принять</w:t>
      </w:r>
      <w:r w:rsidRPr="00A439F8">
        <w:rPr>
          <w:lang w:val="ru-RU"/>
        </w:rPr>
        <w:t xml:space="preserve"> </w:t>
      </w:r>
      <w:r>
        <w:rPr>
          <w:lang w:val="ru-RU"/>
        </w:rPr>
        <w:t xml:space="preserve">надлежащие меры по регулированию экстерриториальных действий предприятий, домицилированных на их территории или находящихся под их юрисдикцией (см., например, </w:t>
      </w:r>
      <w:r w:rsidRPr="004D5CBE">
        <w:t>CERD</w:t>
      </w:r>
      <w:r w:rsidRPr="00487176">
        <w:rPr>
          <w:lang w:val="ru-RU"/>
        </w:rPr>
        <w:t>/</w:t>
      </w:r>
      <w:r w:rsidRPr="004D5CBE">
        <w:t>C</w:t>
      </w:r>
      <w:r w:rsidRPr="00487176">
        <w:rPr>
          <w:lang w:val="ru-RU"/>
        </w:rPr>
        <w:t>/</w:t>
      </w:r>
      <w:r w:rsidRPr="004D5CBE">
        <w:t>AUS</w:t>
      </w:r>
      <w:r w:rsidRPr="00487176">
        <w:rPr>
          <w:lang w:val="ru-RU"/>
        </w:rPr>
        <w:t>/</w:t>
      </w:r>
      <w:r w:rsidRPr="004D5CBE">
        <w:t>CO</w:t>
      </w:r>
      <w:r w:rsidRPr="00487176">
        <w:rPr>
          <w:lang w:val="ru-RU"/>
        </w:rPr>
        <w:t xml:space="preserve">/15-17, </w:t>
      </w:r>
      <w:r>
        <w:rPr>
          <w:lang w:val="ru-RU"/>
        </w:rPr>
        <w:t>пункт</w:t>
      </w:r>
      <w:r>
        <w:t> </w:t>
      </w:r>
      <w:r w:rsidRPr="006B0B41">
        <w:rPr>
          <w:lang w:val="ru-RU"/>
        </w:rPr>
        <w:t xml:space="preserve">13; </w:t>
      </w:r>
      <w:r>
        <w:rPr>
          <w:lang w:val="es-ES"/>
        </w:rPr>
        <w:t>CRC</w:t>
      </w:r>
      <w:r w:rsidRPr="006B0B41">
        <w:rPr>
          <w:lang w:val="ru-RU"/>
        </w:rPr>
        <w:t>/</w:t>
      </w:r>
      <w:r>
        <w:rPr>
          <w:lang w:val="es-ES"/>
        </w:rPr>
        <w:t>C</w:t>
      </w:r>
      <w:r w:rsidRPr="006B0B41">
        <w:rPr>
          <w:lang w:val="ru-RU"/>
        </w:rPr>
        <w:t>/</w:t>
      </w:r>
      <w:r>
        <w:rPr>
          <w:lang w:val="es-ES"/>
        </w:rPr>
        <w:t>AZE</w:t>
      </w:r>
      <w:r w:rsidRPr="006B0B41">
        <w:rPr>
          <w:lang w:val="ru-RU"/>
        </w:rPr>
        <w:t>/</w:t>
      </w:r>
      <w:r>
        <w:rPr>
          <w:lang w:val="es-ES"/>
        </w:rPr>
        <w:t>CO</w:t>
      </w:r>
      <w:r w:rsidRPr="006B0B41">
        <w:rPr>
          <w:lang w:val="ru-RU"/>
        </w:rPr>
        <w:t xml:space="preserve">/3-4, </w:t>
      </w:r>
      <w:r>
        <w:rPr>
          <w:lang w:val="ru-RU"/>
        </w:rPr>
        <w:t>пункт</w:t>
      </w:r>
      <w:r w:rsidRPr="006B0B41">
        <w:rPr>
          <w:lang w:val="ru-RU"/>
        </w:rPr>
        <w:t xml:space="preserve"> 29; </w:t>
      </w:r>
      <w:r>
        <w:rPr>
          <w:lang w:val="es-ES"/>
        </w:rPr>
        <w:t>CRC</w:t>
      </w:r>
      <w:r w:rsidRPr="006B0B41">
        <w:rPr>
          <w:lang w:val="ru-RU"/>
        </w:rPr>
        <w:t>/</w:t>
      </w:r>
      <w:r>
        <w:rPr>
          <w:lang w:val="es-ES"/>
        </w:rPr>
        <w:t>C</w:t>
      </w:r>
      <w:r w:rsidRPr="006B0B41">
        <w:rPr>
          <w:lang w:val="ru-RU"/>
        </w:rPr>
        <w:t>/</w:t>
      </w:r>
      <w:r>
        <w:rPr>
          <w:lang w:val="es-ES"/>
        </w:rPr>
        <w:t>BHR</w:t>
      </w:r>
      <w:r w:rsidRPr="006B0B41">
        <w:rPr>
          <w:lang w:val="ru-RU"/>
        </w:rPr>
        <w:t>/</w:t>
      </w:r>
      <w:r>
        <w:rPr>
          <w:lang w:val="es-ES"/>
        </w:rPr>
        <w:t>CO</w:t>
      </w:r>
      <w:r w:rsidRPr="006B0B41">
        <w:rPr>
          <w:lang w:val="ru-RU"/>
        </w:rPr>
        <w:t xml:space="preserve">/2-3, </w:t>
      </w:r>
      <w:r>
        <w:rPr>
          <w:lang w:val="ru-RU"/>
        </w:rPr>
        <w:t>пункт</w:t>
      </w:r>
      <w:r w:rsidRPr="004D5CBE">
        <w:rPr>
          <w:lang w:val="es-ES"/>
        </w:rPr>
        <w:t> </w:t>
      </w:r>
      <w:r w:rsidRPr="00487176">
        <w:rPr>
          <w:lang w:val="ru-RU"/>
        </w:rPr>
        <w:t xml:space="preserve">21; </w:t>
      </w:r>
      <w:r w:rsidRPr="004D5CBE">
        <w:t>CRC</w:t>
      </w:r>
      <w:r w:rsidRPr="00487176">
        <w:rPr>
          <w:lang w:val="ru-RU"/>
        </w:rPr>
        <w:t>/</w:t>
      </w:r>
      <w:r w:rsidRPr="004D5CBE">
        <w:t>C</w:t>
      </w:r>
      <w:r w:rsidRPr="00487176">
        <w:rPr>
          <w:lang w:val="ru-RU"/>
        </w:rPr>
        <w:t>/</w:t>
      </w:r>
      <w:r w:rsidRPr="004D5CBE">
        <w:t>ITA</w:t>
      </w:r>
      <w:r w:rsidRPr="00487176">
        <w:rPr>
          <w:lang w:val="ru-RU"/>
        </w:rPr>
        <w:t>/</w:t>
      </w:r>
      <w:r w:rsidRPr="004D5CBE">
        <w:t>CO</w:t>
      </w:r>
      <w:r w:rsidRPr="00487176">
        <w:rPr>
          <w:lang w:val="ru-RU"/>
        </w:rPr>
        <w:t xml:space="preserve">/3-4, </w:t>
      </w:r>
      <w:r>
        <w:rPr>
          <w:lang w:val="ru-RU"/>
        </w:rPr>
        <w:t>пункт</w:t>
      </w:r>
      <w:r>
        <w:t> </w:t>
      </w:r>
      <w:r w:rsidRPr="00487176">
        <w:rPr>
          <w:lang w:val="ru-RU"/>
        </w:rPr>
        <w:t xml:space="preserve">25; </w:t>
      </w:r>
      <w:r w:rsidRPr="004D5CBE">
        <w:t>CRC</w:t>
      </w:r>
      <w:r w:rsidRPr="00487176">
        <w:rPr>
          <w:lang w:val="ru-RU"/>
        </w:rPr>
        <w:t>/</w:t>
      </w:r>
      <w:r w:rsidRPr="004D5CBE">
        <w:t>C</w:t>
      </w:r>
      <w:r w:rsidRPr="00487176">
        <w:rPr>
          <w:lang w:val="ru-RU"/>
        </w:rPr>
        <w:t>/</w:t>
      </w:r>
      <w:r w:rsidRPr="004D5CBE">
        <w:t>KOR</w:t>
      </w:r>
      <w:r w:rsidRPr="00487176">
        <w:rPr>
          <w:lang w:val="ru-RU"/>
        </w:rPr>
        <w:t>/</w:t>
      </w:r>
      <w:r w:rsidRPr="004D5CBE">
        <w:t>CO</w:t>
      </w:r>
      <w:r w:rsidRPr="00487176">
        <w:rPr>
          <w:lang w:val="ru-RU"/>
        </w:rPr>
        <w:t xml:space="preserve">/3-4, </w:t>
      </w:r>
      <w:r w:rsidRPr="00F942EF">
        <w:rPr>
          <w:lang w:val="ru-RU"/>
        </w:rPr>
        <w:t>п</w:t>
      </w:r>
      <w:r>
        <w:rPr>
          <w:lang w:val="ru-RU"/>
        </w:rPr>
        <w:t>ункт</w:t>
      </w:r>
      <w:r>
        <w:t> </w:t>
      </w:r>
      <w:r w:rsidRPr="00487176">
        <w:rPr>
          <w:lang w:val="ru-RU"/>
        </w:rPr>
        <w:t xml:space="preserve">27). </w:t>
      </w:r>
      <w:r>
        <w:rPr>
          <w:lang w:val="ru-RU"/>
        </w:rPr>
        <w:t>Ряд</w:t>
      </w:r>
      <w:r w:rsidRPr="00F942EF">
        <w:rPr>
          <w:lang w:val="ru-RU"/>
        </w:rPr>
        <w:t xml:space="preserve"> </w:t>
      </w:r>
      <w:r>
        <w:rPr>
          <w:lang w:val="ru-RU"/>
        </w:rPr>
        <w:t>правозащитников и</w:t>
      </w:r>
      <w:r w:rsidRPr="00F942EF">
        <w:rPr>
          <w:lang w:val="ru-RU"/>
        </w:rPr>
        <w:t xml:space="preserve"> </w:t>
      </w:r>
      <w:r>
        <w:rPr>
          <w:lang w:val="ru-RU"/>
        </w:rPr>
        <w:t>экспертов</w:t>
      </w:r>
      <w:r w:rsidRPr="00F942EF">
        <w:rPr>
          <w:lang w:val="ru-RU"/>
        </w:rPr>
        <w:t xml:space="preserve"> </w:t>
      </w:r>
      <w:r>
        <w:rPr>
          <w:lang w:val="ru-RU"/>
        </w:rPr>
        <w:t>в области прав человека также</w:t>
      </w:r>
      <w:r w:rsidRPr="00F942EF">
        <w:rPr>
          <w:lang w:val="ru-RU"/>
        </w:rPr>
        <w:t xml:space="preserve"> </w:t>
      </w:r>
      <w:r>
        <w:rPr>
          <w:lang w:val="ru-RU"/>
        </w:rPr>
        <w:t>одобрили</w:t>
      </w:r>
      <w:r w:rsidRPr="00F942EF">
        <w:rPr>
          <w:lang w:val="ru-RU"/>
        </w:rPr>
        <w:t xml:space="preserve"> </w:t>
      </w:r>
      <w:r>
        <w:rPr>
          <w:lang w:val="ru-RU"/>
        </w:rPr>
        <w:t>Маастрихтские</w:t>
      </w:r>
      <w:r w:rsidRPr="00F942EF">
        <w:rPr>
          <w:lang w:val="ru-RU"/>
        </w:rPr>
        <w:t xml:space="preserve"> </w:t>
      </w:r>
      <w:r>
        <w:rPr>
          <w:lang w:val="ru-RU"/>
        </w:rPr>
        <w:t>принципы</w:t>
      </w:r>
      <w:r w:rsidRPr="00F942EF">
        <w:rPr>
          <w:lang w:val="ru-RU"/>
        </w:rPr>
        <w:t xml:space="preserve"> </w:t>
      </w:r>
      <w:r>
        <w:rPr>
          <w:lang w:val="ru-RU"/>
        </w:rPr>
        <w:t>экстерриториальных</w:t>
      </w:r>
      <w:r w:rsidRPr="00F942EF">
        <w:rPr>
          <w:lang w:val="ru-RU"/>
        </w:rPr>
        <w:t xml:space="preserve"> </w:t>
      </w:r>
      <w:r>
        <w:rPr>
          <w:lang w:val="ru-RU"/>
        </w:rPr>
        <w:t>обязательств</w:t>
      </w:r>
      <w:r w:rsidRPr="00F942EF">
        <w:rPr>
          <w:lang w:val="ru-RU"/>
        </w:rPr>
        <w:t xml:space="preserve"> </w:t>
      </w:r>
      <w:r>
        <w:rPr>
          <w:lang w:val="ru-RU"/>
        </w:rPr>
        <w:t xml:space="preserve">государств в области экономических, социальных и культурных прав, в том числе в контексте деятельности негосударственных субъектов. Хотя эти принципы не были одобрены и приняты системой Организации Объединенных Наций, они предоставляют информацию о взглядах многих правозащитных экспертов на вопрос экстерриториальной ответственности по договорам о правах человека.  </w:t>
      </w:r>
    </w:p>
  </w:footnote>
  <w:footnote w:id="5">
    <w:p w:rsidR="00191B0A" w:rsidRDefault="00191B0A" w:rsidP="00191B0A">
      <w:pPr>
        <w:pStyle w:val="af"/>
      </w:pPr>
      <w:r w:rsidRPr="00F942EF">
        <w:rPr>
          <w:lang w:val="ru-RU"/>
        </w:rPr>
        <w:tab/>
      </w:r>
      <w:r w:rsidRPr="004D5CBE">
        <w:rPr>
          <w:rStyle w:val="ab"/>
        </w:rPr>
        <w:footnoteRef/>
      </w:r>
      <w:r w:rsidRPr="004D5CBE">
        <w:tab/>
      </w:r>
      <w:r>
        <w:t xml:space="preserve">Jennifer </w:t>
      </w:r>
      <w:r w:rsidRPr="004D5CBE">
        <w:t xml:space="preserve">Zerk, “Extraterritorial </w:t>
      </w:r>
      <w:r>
        <w:t>j</w:t>
      </w:r>
      <w:r w:rsidRPr="004D5CBE">
        <w:t xml:space="preserve">urisdiction: </w:t>
      </w:r>
      <w:r>
        <w:t>l</w:t>
      </w:r>
      <w:r w:rsidRPr="004D5CBE">
        <w:t xml:space="preserve">essons for the </w:t>
      </w:r>
      <w:r>
        <w:t>b</w:t>
      </w:r>
      <w:r w:rsidRPr="004D5CBE">
        <w:t xml:space="preserve">usiness and </w:t>
      </w:r>
      <w:r>
        <w:t>h</w:t>
      </w:r>
      <w:r w:rsidRPr="004D5CBE">
        <w:t xml:space="preserve">uman </w:t>
      </w:r>
      <w:r>
        <w:t>r</w:t>
      </w:r>
      <w:r w:rsidRPr="004D5CBE">
        <w:t xml:space="preserve">ights </w:t>
      </w:r>
      <w:r>
        <w:t>s</w:t>
      </w:r>
      <w:r w:rsidRPr="004D5CBE">
        <w:t xml:space="preserve">phere from </w:t>
      </w:r>
      <w:r>
        <w:t>s</w:t>
      </w:r>
      <w:r w:rsidRPr="004D5CBE">
        <w:t xml:space="preserve">ix </w:t>
      </w:r>
      <w:r>
        <w:t>r</w:t>
      </w:r>
      <w:r w:rsidRPr="004D5CBE">
        <w:t xml:space="preserve">egulatory </w:t>
      </w:r>
      <w:r>
        <w:t>a</w:t>
      </w:r>
      <w:r w:rsidRPr="004D5CBE">
        <w:t xml:space="preserve">reas”, June 2010 </w:t>
      </w:r>
    </w:p>
    <w:p w:rsidR="00191B0A" w:rsidRPr="004D5CBE" w:rsidRDefault="00191B0A" w:rsidP="00191B0A">
      <w:pPr>
        <w:pStyle w:val="af"/>
      </w:pPr>
      <w:r>
        <w:tab/>
      </w:r>
      <w:r>
        <w:tab/>
        <w:t>(</w:t>
      </w:r>
      <w:hyperlink r:id="rId2" w:history="1">
        <w:r w:rsidRPr="00AF57F0">
          <w:rPr>
            <w:rStyle w:val="aff7"/>
            <w:u w:val="none"/>
          </w:rPr>
          <w:t>www.hks.harvard.edu/m-rcbg/CSRI/publications/workingpaper_59_zerk.pdf</w:t>
        </w:r>
      </w:hyperlink>
      <w:r w:rsidRPr="00AF57F0">
        <w:t>)</w:t>
      </w:r>
      <w:r w:rsidRPr="00AF57F0">
        <w:rPr>
          <w:rStyle w:val="aff7"/>
          <w:u w:val="none"/>
        </w:rPr>
        <w:t>.</w:t>
      </w:r>
    </w:p>
  </w:footnote>
  <w:footnote w:id="6">
    <w:p w:rsidR="007061E0" w:rsidRPr="004B7635" w:rsidRDefault="007061E0" w:rsidP="007061E0">
      <w:pPr>
        <w:pStyle w:val="af"/>
        <w:rPr>
          <w:lang w:val="ru-RU"/>
        </w:rPr>
      </w:pPr>
      <w:r w:rsidRPr="004D5CBE">
        <w:tab/>
      </w:r>
      <w:r w:rsidRPr="004D5CBE">
        <w:rPr>
          <w:rStyle w:val="ab"/>
        </w:rPr>
        <w:footnoteRef/>
      </w:r>
      <w:r w:rsidRPr="004B7635">
        <w:rPr>
          <w:lang w:val="ru-RU"/>
        </w:rPr>
        <w:tab/>
      </w:r>
      <w:r>
        <w:rPr>
          <w:lang w:val="ru-RU"/>
        </w:rPr>
        <w:t>Полный текст</w:t>
      </w:r>
      <w:r w:rsidRPr="004B7635">
        <w:rPr>
          <w:lang w:val="ru-RU"/>
        </w:rPr>
        <w:t xml:space="preserve"> </w:t>
      </w:r>
      <w:r>
        <w:rPr>
          <w:lang w:val="ru-RU"/>
        </w:rPr>
        <w:t>обследования размещен по адресу</w:t>
      </w:r>
      <w:r w:rsidRPr="004B7635">
        <w:rPr>
          <w:lang w:val="ru-RU"/>
        </w:rPr>
        <w:t xml:space="preserve"> </w:t>
      </w:r>
      <w:r w:rsidRPr="004D5CBE">
        <w:t>www</w:t>
      </w:r>
      <w:r w:rsidRPr="004B7635">
        <w:rPr>
          <w:lang w:val="ru-RU"/>
        </w:rPr>
        <w:t>.</w:t>
      </w:r>
      <w:r w:rsidRPr="004D5CBE">
        <w:t>ohchr</w:t>
      </w:r>
      <w:r w:rsidRPr="004B7635">
        <w:rPr>
          <w:lang w:val="ru-RU"/>
        </w:rPr>
        <w:t>.</w:t>
      </w:r>
      <w:r w:rsidRPr="004D5CBE">
        <w:t>org</w:t>
      </w:r>
      <w:r w:rsidRPr="004B7635">
        <w:rPr>
          <w:lang w:val="ru-RU"/>
        </w:rPr>
        <w:t>/</w:t>
      </w:r>
      <w:r w:rsidRPr="004D5CBE">
        <w:t>EN</w:t>
      </w:r>
      <w:r w:rsidRPr="004B7635">
        <w:rPr>
          <w:lang w:val="ru-RU"/>
        </w:rPr>
        <w:t>/</w:t>
      </w:r>
      <w:r w:rsidRPr="004D5CBE">
        <w:t>Issues</w:t>
      </w:r>
      <w:r w:rsidRPr="004B7635">
        <w:rPr>
          <w:lang w:val="ru-RU"/>
        </w:rPr>
        <w:t>/</w:t>
      </w:r>
      <w:r w:rsidRPr="004D5CBE">
        <w:t>Business</w:t>
      </w:r>
      <w:r w:rsidRPr="004B7635">
        <w:rPr>
          <w:lang w:val="ru-RU"/>
        </w:rPr>
        <w:t>/</w:t>
      </w:r>
      <w:r>
        <w:rPr>
          <w:lang w:val="ru-RU"/>
        </w:rPr>
        <w:br/>
      </w:r>
      <w:r w:rsidRPr="004D5CBE">
        <w:t>Pages</w:t>
      </w:r>
      <w:r w:rsidRPr="004B7635">
        <w:rPr>
          <w:lang w:val="ru-RU"/>
        </w:rPr>
        <w:t>/</w:t>
      </w:r>
      <w:r w:rsidRPr="004D5CBE">
        <w:t>OHCHRstudyondomesticlawremedies</w:t>
      </w:r>
      <w:r w:rsidRPr="004B7635">
        <w:rPr>
          <w:lang w:val="ru-RU"/>
        </w:rPr>
        <w:t>.</w:t>
      </w:r>
      <w:r w:rsidRPr="004D5CBE">
        <w:t>aspx</w:t>
      </w:r>
      <w:r w:rsidRPr="004B7635">
        <w:rPr>
          <w:lang w:val="ru-RU"/>
        </w:rPr>
        <w:t>.</w:t>
      </w:r>
    </w:p>
  </w:footnote>
  <w:footnote w:id="7">
    <w:p w:rsidR="007061E0" w:rsidRPr="004D5CBE" w:rsidRDefault="007061E0" w:rsidP="007061E0">
      <w:pPr>
        <w:pStyle w:val="af"/>
        <w:jc w:val="both"/>
      </w:pPr>
      <w:r w:rsidRPr="004B7635">
        <w:rPr>
          <w:lang w:val="ru-RU"/>
        </w:rPr>
        <w:tab/>
      </w:r>
      <w:r w:rsidRPr="004D5CBE">
        <w:rPr>
          <w:rStyle w:val="ab"/>
        </w:rPr>
        <w:footnoteRef/>
      </w:r>
      <w:r w:rsidRPr="004D5CBE">
        <w:tab/>
      </w:r>
      <w:r>
        <w:t xml:space="preserve">Christopher </w:t>
      </w:r>
      <w:r w:rsidRPr="004D5CBE">
        <w:t xml:space="preserve">Hodges, </w:t>
      </w:r>
      <w:r>
        <w:t xml:space="preserve">Stefan </w:t>
      </w:r>
      <w:r w:rsidRPr="004D5CBE">
        <w:t xml:space="preserve">Vogenauer and </w:t>
      </w:r>
      <w:r>
        <w:t xml:space="preserve">Magdalena </w:t>
      </w:r>
      <w:r w:rsidRPr="004D5CBE">
        <w:t>Tulibacka</w:t>
      </w:r>
      <w:r>
        <w:t xml:space="preserve">, eds., </w:t>
      </w:r>
      <w:r w:rsidRPr="004D5CBE">
        <w:rPr>
          <w:i/>
          <w:iCs/>
        </w:rPr>
        <w:t xml:space="preserve">The Costs and Funding of Civil Litigation: </w:t>
      </w:r>
      <w:r>
        <w:rPr>
          <w:i/>
          <w:iCs/>
        </w:rPr>
        <w:t>a</w:t>
      </w:r>
      <w:r w:rsidRPr="004D5CBE">
        <w:rPr>
          <w:i/>
          <w:iCs/>
        </w:rPr>
        <w:t> Comparative Perspective</w:t>
      </w:r>
      <w:r w:rsidRPr="004D5CBE">
        <w:t xml:space="preserve"> (</w:t>
      </w:r>
      <w:r>
        <w:t xml:space="preserve">Oxford, </w:t>
      </w:r>
      <w:r w:rsidRPr="004D5CBE">
        <w:t>Hart Publishing, 2010).</w:t>
      </w:r>
    </w:p>
  </w:footnote>
  <w:footnote w:id="8">
    <w:p w:rsidR="007061E0" w:rsidRPr="00E43838" w:rsidRDefault="007061E0" w:rsidP="007061E0">
      <w:pPr>
        <w:pStyle w:val="af"/>
        <w:rPr>
          <w:szCs w:val="18"/>
          <w:lang w:val="ru-RU"/>
        </w:rPr>
      </w:pPr>
      <w:r w:rsidRPr="004D5CBE">
        <w:rPr>
          <w:sz w:val="20"/>
        </w:rPr>
        <w:tab/>
      </w:r>
      <w:r w:rsidRPr="004D5CBE">
        <w:rPr>
          <w:rStyle w:val="ab"/>
          <w:szCs w:val="18"/>
        </w:rPr>
        <w:footnoteRef/>
      </w:r>
      <w:r w:rsidRPr="00E43838">
        <w:rPr>
          <w:sz w:val="20"/>
          <w:lang w:val="ru-RU"/>
        </w:rPr>
        <w:tab/>
      </w:r>
      <w:r>
        <w:rPr>
          <w:szCs w:val="18"/>
          <w:lang w:val="ru-RU"/>
        </w:rPr>
        <w:t>См.</w:t>
      </w:r>
      <w:r w:rsidRPr="00E43838">
        <w:rPr>
          <w:szCs w:val="18"/>
          <w:lang w:val="ru-RU"/>
        </w:rPr>
        <w:t xml:space="preserve"> </w:t>
      </w:r>
      <w:r w:rsidR="00E07245">
        <w:fldChar w:fldCharType="begin"/>
      </w:r>
      <w:r w:rsidR="00E07245" w:rsidRPr="00E07245">
        <w:rPr>
          <w:lang w:val="ru-RU"/>
        </w:rPr>
        <w:instrText xml:space="preserve"> </w:instrText>
      </w:r>
      <w:r w:rsidR="00E07245">
        <w:instrText>HYPERLINK</w:instrText>
      </w:r>
      <w:r w:rsidR="00E07245" w:rsidRPr="00E07245">
        <w:rPr>
          <w:lang w:val="ru-RU"/>
        </w:rPr>
        <w:instrText xml:space="preserve"> "</w:instrText>
      </w:r>
      <w:r w:rsidR="00E07245">
        <w:instrText>http</w:instrText>
      </w:r>
      <w:r w:rsidR="00E07245" w:rsidRPr="00E07245">
        <w:rPr>
          <w:lang w:val="ru-RU"/>
        </w:rPr>
        <w:instrText>://</w:instrText>
      </w:r>
      <w:r w:rsidR="00E07245">
        <w:instrText>business</w:instrText>
      </w:r>
      <w:r w:rsidR="00E07245" w:rsidRPr="00E07245">
        <w:rPr>
          <w:lang w:val="ru-RU"/>
        </w:rPr>
        <w:instrText>-</w:instrText>
      </w:r>
      <w:r w:rsidR="00E07245">
        <w:instrText>humanrights</w:instrText>
      </w:r>
      <w:r w:rsidR="00E07245" w:rsidRPr="00E07245">
        <w:rPr>
          <w:lang w:val="ru-RU"/>
        </w:rPr>
        <w:instrText>.</w:instrText>
      </w:r>
      <w:r w:rsidR="00E07245">
        <w:instrText>org</w:instrText>
      </w:r>
      <w:r w:rsidR="00E07245" w:rsidRPr="00E07245">
        <w:rPr>
          <w:lang w:val="ru-RU"/>
        </w:rPr>
        <w:instrText>/</w:instrText>
      </w:r>
      <w:r w:rsidR="00E07245">
        <w:instrText>en</w:instrText>
      </w:r>
      <w:r w:rsidR="00E07245" w:rsidRPr="00E07245">
        <w:rPr>
          <w:lang w:val="ru-RU"/>
        </w:rPr>
        <w:instrText>/</w:instrText>
      </w:r>
      <w:r w:rsidR="00E07245">
        <w:instrText>ohchr</w:instrText>
      </w:r>
      <w:r w:rsidR="00E07245" w:rsidRPr="00E07245">
        <w:rPr>
          <w:lang w:val="ru-RU"/>
        </w:rPr>
        <w:instrText>-</w:instrText>
      </w:r>
      <w:r w:rsidR="00E07245">
        <w:instrText>launches</w:instrText>
      </w:r>
      <w:r w:rsidR="00E07245" w:rsidRPr="00E07245">
        <w:rPr>
          <w:lang w:val="ru-RU"/>
        </w:rPr>
        <w:instrText>-%</w:instrText>
      </w:r>
      <w:r w:rsidR="00E07245">
        <w:instrText>E</w:instrText>
      </w:r>
      <w:r w:rsidR="00E07245" w:rsidRPr="00E07245">
        <w:rPr>
          <w:lang w:val="ru-RU"/>
        </w:rPr>
        <w:instrText>2%80%9</w:instrText>
      </w:r>
      <w:r w:rsidR="00E07245">
        <w:instrText>Caccountability</w:instrText>
      </w:r>
      <w:r w:rsidR="00E07245" w:rsidRPr="00E07245">
        <w:rPr>
          <w:lang w:val="ru-RU"/>
        </w:rPr>
        <w:instrText>-</w:instrText>
      </w:r>
      <w:r w:rsidR="00E07245">
        <w:instrText>and</w:instrText>
      </w:r>
      <w:r w:rsidR="00E07245" w:rsidRPr="00E07245">
        <w:rPr>
          <w:lang w:val="ru-RU"/>
        </w:rPr>
        <w:instrText>-</w:instrText>
      </w:r>
      <w:r w:rsidR="00E07245">
        <w:instrText>remedy</w:instrText>
      </w:r>
      <w:r w:rsidR="00E07245" w:rsidRPr="00E07245">
        <w:rPr>
          <w:lang w:val="ru-RU"/>
        </w:rPr>
        <w:instrText>-</w:instrText>
      </w:r>
      <w:r w:rsidR="00E07245">
        <w:instrText>project</w:instrText>
      </w:r>
      <w:r w:rsidR="00E07245" w:rsidRPr="00E07245">
        <w:rPr>
          <w:lang w:val="ru-RU"/>
        </w:rPr>
        <w:instrText>%</w:instrText>
      </w:r>
      <w:r w:rsidR="00E07245">
        <w:instrText>E</w:instrText>
      </w:r>
      <w:r w:rsidR="00E07245" w:rsidRPr="00E07245">
        <w:rPr>
          <w:lang w:val="ru-RU"/>
        </w:rPr>
        <w:instrText>2%80%9</w:instrText>
      </w:r>
      <w:r w:rsidR="00E07245">
        <w:instrText>D</w:instrText>
      </w:r>
      <w:r w:rsidR="00E07245" w:rsidRPr="00E07245">
        <w:rPr>
          <w:lang w:val="ru-RU"/>
        </w:rPr>
        <w:instrText xml:space="preserve">" </w:instrText>
      </w:r>
      <w:r w:rsidR="00E07245">
        <w:fldChar w:fldCharType="separate"/>
      </w:r>
      <w:r w:rsidRPr="007061E0">
        <w:rPr>
          <w:rStyle w:val="aff7"/>
          <w:szCs w:val="18"/>
          <w:u w:val="none"/>
        </w:rPr>
        <w:t>http</w:t>
      </w:r>
      <w:r w:rsidRPr="007061E0">
        <w:rPr>
          <w:rStyle w:val="aff7"/>
          <w:szCs w:val="18"/>
          <w:u w:val="none"/>
          <w:lang w:val="ru-RU"/>
        </w:rPr>
        <w:t>://</w:t>
      </w:r>
      <w:r w:rsidRPr="007061E0">
        <w:rPr>
          <w:rStyle w:val="aff7"/>
          <w:szCs w:val="18"/>
          <w:u w:val="none"/>
        </w:rPr>
        <w:t>business</w:t>
      </w:r>
      <w:r w:rsidRPr="007061E0">
        <w:rPr>
          <w:rStyle w:val="aff7"/>
          <w:szCs w:val="18"/>
          <w:u w:val="none"/>
          <w:lang w:val="ru-RU"/>
        </w:rPr>
        <w:t>-</w:t>
      </w:r>
      <w:r w:rsidRPr="007061E0">
        <w:rPr>
          <w:rStyle w:val="aff7"/>
          <w:szCs w:val="18"/>
          <w:u w:val="none"/>
        </w:rPr>
        <w:t>humanrights</w:t>
      </w:r>
      <w:r w:rsidRPr="007061E0">
        <w:rPr>
          <w:rStyle w:val="aff7"/>
          <w:szCs w:val="18"/>
          <w:u w:val="none"/>
          <w:lang w:val="ru-RU"/>
        </w:rPr>
        <w:t>.</w:t>
      </w:r>
      <w:r w:rsidRPr="007061E0">
        <w:rPr>
          <w:rStyle w:val="aff7"/>
          <w:szCs w:val="18"/>
          <w:u w:val="none"/>
        </w:rPr>
        <w:t>org</w:t>
      </w:r>
      <w:r w:rsidRPr="007061E0">
        <w:rPr>
          <w:rStyle w:val="aff7"/>
          <w:szCs w:val="18"/>
          <w:u w:val="none"/>
          <w:lang w:val="ru-RU"/>
        </w:rPr>
        <w:t>/</w:t>
      </w:r>
      <w:r w:rsidRPr="007061E0">
        <w:rPr>
          <w:rStyle w:val="aff7"/>
          <w:szCs w:val="18"/>
          <w:u w:val="none"/>
        </w:rPr>
        <w:t>en</w:t>
      </w:r>
      <w:r w:rsidRPr="007061E0">
        <w:rPr>
          <w:rStyle w:val="aff7"/>
          <w:szCs w:val="18"/>
          <w:u w:val="none"/>
          <w:lang w:val="ru-RU"/>
        </w:rPr>
        <w:t>/</w:t>
      </w:r>
      <w:r w:rsidRPr="007061E0">
        <w:rPr>
          <w:rStyle w:val="aff7"/>
          <w:szCs w:val="18"/>
          <w:u w:val="none"/>
        </w:rPr>
        <w:t>ohchr</w:t>
      </w:r>
      <w:r w:rsidRPr="007061E0">
        <w:rPr>
          <w:rStyle w:val="aff7"/>
          <w:szCs w:val="18"/>
          <w:u w:val="none"/>
          <w:lang w:val="ru-RU"/>
        </w:rPr>
        <w:t>-</w:t>
      </w:r>
      <w:r w:rsidRPr="007061E0">
        <w:rPr>
          <w:rStyle w:val="aff7"/>
          <w:szCs w:val="18"/>
          <w:u w:val="none"/>
        </w:rPr>
        <w:t>launches</w:t>
      </w:r>
      <w:r w:rsidRPr="007061E0">
        <w:rPr>
          <w:rStyle w:val="aff7"/>
          <w:szCs w:val="18"/>
          <w:u w:val="none"/>
          <w:lang w:val="ru-RU"/>
        </w:rPr>
        <w:t>-%</w:t>
      </w:r>
      <w:r w:rsidRPr="007061E0">
        <w:rPr>
          <w:rStyle w:val="aff7"/>
          <w:szCs w:val="18"/>
          <w:u w:val="none"/>
        </w:rPr>
        <w:t>E</w:t>
      </w:r>
      <w:r w:rsidRPr="007061E0">
        <w:rPr>
          <w:rStyle w:val="aff7"/>
          <w:szCs w:val="18"/>
          <w:u w:val="none"/>
          <w:lang w:val="ru-RU"/>
        </w:rPr>
        <w:t>2%80%9</w:t>
      </w:r>
      <w:r w:rsidRPr="007061E0">
        <w:rPr>
          <w:rStyle w:val="aff7"/>
          <w:szCs w:val="18"/>
          <w:u w:val="none"/>
        </w:rPr>
        <w:t>Caccountability</w:t>
      </w:r>
      <w:r w:rsidRPr="007061E0">
        <w:rPr>
          <w:rStyle w:val="aff7"/>
          <w:szCs w:val="18"/>
          <w:u w:val="none"/>
          <w:lang w:val="ru-RU"/>
        </w:rPr>
        <w:t>-</w:t>
      </w:r>
      <w:r w:rsidRPr="007061E0">
        <w:rPr>
          <w:rStyle w:val="aff7"/>
          <w:szCs w:val="18"/>
          <w:u w:val="none"/>
        </w:rPr>
        <w:t>and</w:t>
      </w:r>
      <w:r w:rsidRPr="007061E0">
        <w:rPr>
          <w:rStyle w:val="aff7"/>
          <w:szCs w:val="18"/>
          <w:u w:val="none"/>
          <w:lang w:val="ru-RU"/>
        </w:rPr>
        <w:t>-</w:t>
      </w:r>
      <w:r w:rsidRPr="007061E0">
        <w:rPr>
          <w:rStyle w:val="aff7"/>
          <w:szCs w:val="18"/>
          <w:u w:val="none"/>
        </w:rPr>
        <w:t>remedy</w:t>
      </w:r>
      <w:r w:rsidRPr="007061E0">
        <w:rPr>
          <w:rStyle w:val="aff7"/>
          <w:szCs w:val="18"/>
          <w:u w:val="none"/>
          <w:lang w:val="ru-RU"/>
        </w:rPr>
        <w:t>-</w:t>
      </w:r>
      <w:r w:rsidRPr="007061E0">
        <w:rPr>
          <w:rStyle w:val="aff7"/>
          <w:szCs w:val="18"/>
          <w:u w:val="none"/>
        </w:rPr>
        <w:t>project</w:t>
      </w:r>
      <w:r w:rsidRPr="007061E0">
        <w:rPr>
          <w:rStyle w:val="aff7"/>
          <w:szCs w:val="18"/>
          <w:u w:val="none"/>
          <w:lang w:val="ru-RU"/>
        </w:rPr>
        <w:t>%</w:t>
      </w:r>
      <w:r w:rsidRPr="007061E0">
        <w:rPr>
          <w:rStyle w:val="aff7"/>
          <w:szCs w:val="18"/>
          <w:u w:val="none"/>
        </w:rPr>
        <w:t>E</w:t>
      </w:r>
      <w:r w:rsidRPr="007061E0">
        <w:rPr>
          <w:rStyle w:val="aff7"/>
          <w:szCs w:val="18"/>
          <w:u w:val="none"/>
          <w:lang w:val="ru-RU"/>
        </w:rPr>
        <w:t>2%80%9</w:t>
      </w:r>
      <w:r w:rsidRPr="007061E0">
        <w:rPr>
          <w:rStyle w:val="aff7"/>
          <w:szCs w:val="18"/>
          <w:u w:val="none"/>
        </w:rPr>
        <w:t>D</w:t>
      </w:r>
      <w:r w:rsidR="00E07245">
        <w:rPr>
          <w:rStyle w:val="aff7"/>
          <w:szCs w:val="18"/>
          <w:u w:val="none"/>
        </w:rPr>
        <w:fldChar w:fldCharType="end"/>
      </w:r>
      <w:r w:rsidRPr="007061E0">
        <w:rPr>
          <w:rStyle w:val="aff7"/>
          <w:szCs w:val="18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A" w:rsidRPr="004D6DD6" w:rsidRDefault="00191B0A">
    <w:pPr>
      <w:pStyle w:val="a9"/>
      <w:rPr>
        <w:lang w:val="en-US"/>
      </w:rPr>
    </w:pPr>
    <w:r>
      <w:rPr>
        <w:lang w:val="en-US"/>
      </w:rPr>
      <w:t>A/HRC/29/39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0A" w:rsidRPr="007061E0" w:rsidRDefault="00191B0A">
    <w:pPr>
      <w:pStyle w:val="a9"/>
      <w:rPr>
        <w:lang w:val="ru-RU"/>
      </w:rPr>
    </w:pPr>
    <w:r>
      <w:rPr>
        <w:lang w:val="en-US"/>
      </w:rPr>
      <w:tab/>
      <w:t>A/HRC/</w:t>
    </w:r>
    <w:r w:rsidR="007061E0">
      <w:rPr>
        <w:lang w:val="ru-RU"/>
      </w:rPr>
      <w:t>29/39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A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3DDF"/>
    <w:rsid w:val="000A60A0"/>
    <w:rsid w:val="000C3688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1B0A"/>
    <w:rsid w:val="00192ABD"/>
    <w:rsid w:val="001A75D5"/>
    <w:rsid w:val="001A7D40"/>
    <w:rsid w:val="001D07F7"/>
    <w:rsid w:val="001D3017"/>
    <w:rsid w:val="001D7B8F"/>
    <w:rsid w:val="001E48EE"/>
    <w:rsid w:val="001F2D04"/>
    <w:rsid w:val="0020059C"/>
    <w:rsid w:val="002019BD"/>
    <w:rsid w:val="00232D42"/>
    <w:rsid w:val="00237334"/>
    <w:rsid w:val="002444F4"/>
    <w:rsid w:val="002556B3"/>
    <w:rsid w:val="002629A0"/>
    <w:rsid w:val="00267F74"/>
    <w:rsid w:val="00275E48"/>
    <w:rsid w:val="0028492B"/>
    <w:rsid w:val="00291C8F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618E"/>
    <w:rsid w:val="005769CB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74AB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61E0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0D8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58B3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B1D9B"/>
    <w:rsid w:val="009B4074"/>
    <w:rsid w:val="009C146E"/>
    <w:rsid w:val="009C30BB"/>
    <w:rsid w:val="009C60BE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B5BF0"/>
    <w:rsid w:val="00AC1C95"/>
    <w:rsid w:val="00AC2CCB"/>
    <w:rsid w:val="00AC443A"/>
    <w:rsid w:val="00AE60E2"/>
    <w:rsid w:val="00AF57F0"/>
    <w:rsid w:val="00B0169F"/>
    <w:rsid w:val="00B05F21"/>
    <w:rsid w:val="00B14EA9"/>
    <w:rsid w:val="00B30A3C"/>
    <w:rsid w:val="00B731EC"/>
    <w:rsid w:val="00B81305"/>
    <w:rsid w:val="00BB17DC"/>
    <w:rsid w:val="00BB1AF9"/>
    <w:rsid w:val="00BB4C4A"/>
    <w:rsid w:val="00BD3CAE"/>
    <w:rsid w:val="00BD5F3C"/>
    <w:rsid w:val="00C03AE2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67F60"/>
    <w:rsid w:val="00C75CB2"/>
    <w:rsid w:val="00C90723"/>
    <w:rsid w:val="00C90D5C"/>
    <w:rsid w:val="00CA609E"/>
    <w:rsid w:val="00CA7DA4"/>
    <w:rsid w:val="00CB0DBA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07245"/>
    <w:rsid w:val="00E11679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864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link w:val="af0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character" w:customStyle="1" w:styleId="af0">
    <w:name w:val="Текст сноски Знак"/>
    <w:aliases w:val="5_GR Знак"/>
    <w:basedOn w:val="a3"/>
    <w:link w:val="af"/>
    <w:rsid w:val="00191B0A"/>
    <w:rPr>
      <w:spacing w:val="5"/>
      <w:w w:val="104"/>
      <w:kern w:val="14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link w:val="af0"/>
    <w:qFormat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qFormat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3"/>
    <w:qFormat/>
    <w:rsid w:val="007E71C9"/>
    <w:rPr>
      <w:i/>
      <w:iCs/>
    </w:rPr>
  </w:style>
  <w:style w:type="paragraph" w:styleId="af2">
    <w:name w:val="Note Heading"/>
    <w:basedOn w:val="a2"/>
    <w:next w:val="a2"/>
    <w:semiHidden/>
    <w:rsid w:val="007E71C9"/>
  </w:style>
  <w:style w:type="table" w:styleId="af3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4">
    <w:name w:val="Body Text"/>
    <w:basedOn w:val="a2"/>
    <w:semiHidden/>
    <w:rsid w:val="007E71C9"/>
  </w:style>
  <w:style w:type="paragraph" w:styleId="af5">
    <w:name w:val="Body Text First Indent"/>
    <w:basedOn w:val="af4"/>
    <w:semiHidden/>
    <w:rsid w:val="007E71C9"/>
    <w:pPr>
      <w:ind w:firstLine="210"/>
    </w:pPr>
  </w:style>
  <w:style w:type="paragraph" w:styleId="af6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6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7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rmal (Web)"/>
    <w:basedOn w:val="a2"/>
    <w:semiHidden/>
    <w:rsid w:val="007E71C9"/>
    <w:rPr>
      <w:sz w:val="24"/>
    </w:rPr>
  </w:style>
  <w:style w:type="paragraph" w:styleId="afa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b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c">
    <w:name w:val="Signature"/>
    <w:basedOn w:val="a2"/>
    <w:semiHidden/>
    <w:rsid w:val="007E71C9"/>
    <w:pPr>
      <w:ind w:left="4252"/>
    </w:pPr>
  </w:style>
  <w:style w:type="paragraph" w:styleId="afd">
    <w:name w:val="Salutation"/>
    <w:basedOn w:val="a2"/>
    <w:next w:val="a2"/>
    <w:semiHidden/>
    <w:rsid w:val="007E71C9"/>
  </w:style>
  <w:style w:type="paragraph" w:styleId="afe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f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0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2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4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5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6">
    <w:name w:val="E-mail Signature"/>
    <w:basedOn w:val="a2"/>
    <w:semiHidden/>
    <w:rsid w:val="007E71C9"/>
  </w:style>
  <w:style w:type="character" w:styleId="aff7">
    <w:name w:val="Hyperlink"/>
    <w:basedOn w:val="a3"/>
    <w:uiPriority w:val="99"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8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9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a">
    <w:name w:val="Plain Text"/>
    <w:basedOn w:val="a2"/>
    <w:semiHidden/>
    <w:rsid w:val="007E71C9"/>
    <w:rPr>
      <w:rFonts w:ascii="Courier New" w:hAnsi="Courier New" w:cs="Courier New"/>
    </w:rPr>
  </w:style>
  <w:style w:type="paragraph" w:styleId="affb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c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d">
    <w:name w:val="Balloon Text"/>
    <w:basedOn w:val="a2"/>
    <w:link w:val="affe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3"/>
    <w:link w:val="affd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character" w:customStyle="1" w:styleId="af0">
    <w:name w:val="Текст сноски Знак"/>
    <w:aliases w:val="5_GR Знак"/>
    <w:basedOn w:val="a3"/>
    <w:link w:val="af"/>
    <w:rsid w:val="00191B0A"/>
    <w:rPr>
      <w:spacing w:val="5"/>
      <w:w w:val="104"/>
      <w:kern w:val="14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s.harvard.edu/m-rcbg/CSRI/publications/workingpaper_59_zerk.pdf" TargetMode="External"/><Relationship Id="rId1" Type="http://schemas.openxmlformats.org/officeDocument/2006/relationships/hyperlink" Target="http://www.ohchr.org/EN/Issues/Business/Pages/OHCHRstudy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D84AB-B0B6-4C85-9DF2-1775B985FCEF}"/>
</file>

<file path=customXml/itemProps2.xml><?xml version="1.0" encoding="utf-8"?>
<ds:datastoreItem xmlns:ds="http://schemas.openxmlformats.org/officeDocument/2006/customXml" ds:itemID="{787EEA84-98B9-4660-9194-DDAB33851555}"/>
</file>

<file path=customXml/itemProps3.xml><?xml version="1.0" encoding="utf-8"?>
<ds:datastoreItem xmlns:ds="http://schemas.openxmlformats.org/officeDocument/2006/customXml" ds:itemID="{AD7EE162-F213-4D8C-9E09-5FB5C65454F5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2</TotalTime>
  <Pages>20</Pages>
  <Words>7055</Words>
  <Characters>49884</Characters>
  <Application>Microsoft Office Word</Application>
  <DocSecurity>0</DocSecurity>
  <Lines>867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1509102</vt:lpstr>
    </vt:vector>
  </TitlesOfParts>
  <Company>CSD</Company>
  <LinksUpToDate>false</LinksUpToDate>
  <CharactersWithSpaces>56943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of the United Nations High Commissioner for Human Rights on legal options in Russian</dc:title>
  <dc:subject>A/HRC/29/39</dc:subject>
  <dc:creator>Petelina Anna</dc:creator>
  <dc:description>Final</dc:description>
  <cp:lastModifiedBy>Petelina Anna</cp:lastModifiedBy>
  <cp:revision>3</cp:revision>
  <cp:lastPrinted>2015-06-05T13:36:00Z</cp:lastPrinted>
  <dcterms:created xsi:type="dcterms:W3CDTF">2015-06-05T13:36:00Z</dcterms:created>
  <dcterms:modified xsi:type="dcterms:W3CDTF">2015-06-05T13:38:00Z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33800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