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089" w:rsidRPr="00D532F1" w:rsidRDefault="00D87089" w:rsidP="00D87089">
      <w:pPr>
        <w:spacing w:line="240" w:lineRule="auto"/>
        <w:rPr>
          <w:sz w:val="6"/>
        </w:rPr>
        <w:sectPr w:rsidR="00D87089" w:rsidRPr="00D532F1" w:rsidSect="004533D5">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bookmarkStart w:id="0" w:name="_GoBack"/>
      <w:bookmarkEnd w:id="0"/>
    </w:p>
    <w:p w:rsidR="00D87089" w:rsidRPr="00D532F1" w:rsidRDefault="00D87089" w:rsidP="00D87089">
      <w:pPr>
        <w:pStyle w:val="H1"/>
      </w:pPr>
      <w:r w:rsidRPr="00D532F1">
        <w:lastRenderedPageBreak/>
        <w:t>Consejo de Derechos Humanos</w:t>
      </w:r>
    </w:p>
    <w:p w:rsidR="00D87089" w:rsidRPr="00D532F1" w:rsidRDefault="00D532F1" w:rsidP="00D87089">
      <w:pPr>
        <w:pStyle w:val="H23"/>
        <w:rPr>
          <w:b w:val="0"/>
        </w:rPr>
      </w:pPr>
      <w:r>
        <w:t>13</w:t>
      </w:r>
      <w:r w:rsidR="002D690D" w:rsidRPr="002D690D">
        <w:rPr>
          <w:vertAlign w:val="superscript"/>
        </w:rPr>
        <w:t>er</w:t>
      </w:r>
      <w:r w:rsidR="00D87089" w:rsidRPr="00D532F1">
        <w:t xml:space="preserve"> período de sesiones</w:t>
      </w:r>
      <w:r w:rsidR="00D87089" w:rsidRPr="00D532F1">
        <w:br/>
      </w:r>
      <w:r w:rsidR="00D87089" w:rsidRPr="00D532F1">
        <w:rPr>
          <w:b w:val="0"/>
        </w:rPr>
        <w:t xml:space="preserve">Tema </w:t>
      </w:r>
      <w:r>
        <w:rPr>
          <w:b w:val="0"/>
        </w:rPr>
        <w:t xml:space="preserve">6 </w:t>
      </w:r>
      <w:r w:rsidR="00D87089" w:rsidRPr="00D532F1">
        <w:rPr>
          <w:b w:val="0"/>
        </w:rPr>
        <w:t>de la agenda</w:t>
      </w:r>
    </w:p>
    <w:p w:rsidR="00D87089" w:rsidRDefault="00C80432" w:rsidP="00D87089">
      <w:pPr>
        <w:rPr>
          <w:b/>
        </w:rPr>
      </w:pPr>
      <w:r>
        <w:rPr>
          <w:b/>
        </w:rPr>
        <w:t>Examen P</w:t>
      </w:r>
      <w:r w:rsidR="00D532F1" w:rsidRPr="00D532F1">
        <w:rPr>
          <w:b/>
        </w:rPr>
        <w:t xml:space="preserve">eriódico </w:t>
      </w:r>
      <w:r>
        <w:rPr>
          <w:b/>
        </w:rPr>
        <w:t>U</w:t>
      </w:r>
      <w:r w:rsidR="00D532F1" w:rsidRPr="00D532F1">
        <w:rPr>
          <w:b/>
        </w:rPr>
        <w:t>niversal</w:t>
      </w:r>
    </w:p>
    <w:p w:rsidR="00D532F1" w:rsidRPr="00D532F1" w:rsidRDefault="00D532F1" w:rsidP="00D532F1">
      <w:pPr>
        <w:spacing w:line="120" w:lineRule="exact"/>
        <w:rPr>
          <w:b/>
          <w:sz w:val="10"/>
        </w:rPr>
      </w:pPr>
    </w:p>
    <w:p w:rsidR="00D532F1" w:rsidRPr="00D532F1" w:rsidRDefault="00D532F1" w:rsidP="00D532F1">
      <w:pPr>
        <w:spacing w:line="120" w:lineRule="exact"/>
        <w:rPr>
          <w:sz w:val="10"/>
        </w:rPr>
      </w:pPr>
    </w:p>
    <w:p w:rsidR="00D532F1" w:rsidRPr="00D532F1" w:rsidRDefault="00D532F1" w:rsidP="00D532F1">
      <w:pPr>
        <w:spacing w:line="120" w:lineRule="exact"/>
        <w:rPr>
          <w:sz w:val="10"/>
        </w:rPr>
      </w:pPr>
    </w:p>
    <w:p w:rsidR="00D532F1" w:rsidRDefault="00D532F1" w:rsidP="00D532F1">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380" w:lineRule="exact"/>
        <w:ind w:left="1267" w:right="1267" w:hanging="1267"/>
        <w:rPr>
          <w:vertAlign w:val="superscript"/>
        </w:rPr>
      </w:pPr>
      <w:r>
        <w:tab/>
      </w:r>
      <w:r>
        <w:tab/>
      </w:r>
      <w:r w:rsidRPr="00D532F1">
        <w:t>Informe del Grupo de Trabajo sobre el</w:t>
      </w:r>
      <w:r>
        <w:t> </w:t>
      </w:r>
      <w:r w:rsidRPr="00D532F1">
        <w:t>Examen</w:t>
      </w:r>
      <w:r>
        <w:t> </w:t>
      </w:r>
      <w:r w:rsidRPr="00D532F1">
        <w:t>Periódico Universal</w:t>
      </w:r>
      <w:r w:rsidRPr="004B4D8E">
        <w:rPr>
          <w:rStyle w:val="FootnoteReference"/>
          <w:b w:val="0"/>
          <w:sz w:val="20"/>
          <w:szCs w:val="20"/>
          <w:vertAlign w:val="baseline"/>
        </w:rPr>
        <w:footnoteReference w:customMarkFollows="1" w:id="1"/>
        <w:t>*</w:t>
      </w:r>
    </w:p>
    <w:p w:rsidR="0078718E" w:rsidRPr="0078718E" w:rsidRDefault="0078718E" w:rsidP="0078718E">
      <w:pPr>
        <w:pStyle w:val="SingleTxt"/>
        <w:spacing w:after="0" w:line="120" w:lineRule="exact"/>
        <w:rPr>
          <w:sz w:val="10"/>
        </w:rPr>
      </w:pPr>
    </w:p>
    <w:p w:rsidR="0078718E" w:rsidRPr="0078718E" w:rsidRDefault="0078718E" w:rsidP="0078718E">
      <w:pPr>
        <w:pStyle w:val="SingleTxt"/>
        <w:spacing w:after="0" w:line="120" w:lineRule="exact"/>
        <w:rPr>
          <w:sz w:val="10"/>
        </w:rPr>
      </w:pPr>
    </w:p>
    <w:p w:rsidR="00D532F1" w:rsidRDefault="00D532F1" w:rsidP="0078718E">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380" w:lineRule="exact"/>
        <w:ind w:left="1267" w:right="1267" w:hanging="1267"/>
      </w:pPr>
      <w:r w:rsidRPr="00D532F1">
        <w:tab/>
      </w:r>
      <w:r w:rsidRPr="00D532F1">
        <w:tab/>
        <w:t>Croacia</w:t>
      </w:r>
    </w:p>
    <w:p w:rsidR="0078718E" w:rsidRPr="0078718E" w:rsidRDefault="0078718E" w:rsidP="0078718E">
      <w:pPr>
        <w:pStyle w:val="SingleTxt"/>
        <w:spacing w:after="0" w:line="120" w:lineRule="exact"/>
        <w:rPr>
          <w:sz w:val="10"/>
        </w:rPr>
      </w:pPr>
    </w:p>
    <w:p w:rsidR="0078718E" w:rsidRPr="0078718E" w:rsidRDefault="0078718E" w:rsidP="0078718E">
      <w:pPr>
        <w:pStyle w:val="SingleTxt"/>
        <w:spacing w:after="0" w:line="120" w:lineRule="exact"/>
        <w:rPr>
          <w:sz w:val="10"/>
        </w:rPr>
      </w:pPr>
    </w:p>
    <w:p w:rsidR="00D532F1" w:rsidRDefault="00D532F1" w:rsidP="0078718E">
      <w:pPr>
        <w:pStyle w:val="Sponsors"/>
      </w:pPr>
      <w:r w:rsidRPr="00D532F1">
        <w:tab/>
      </w:r>
      <w:r w:rsidRPr="00D532F1">
        <w:tab/>
        <w:t>Adición</w:t>
      </w:r>
    </w:p>
    <w:p w:rsidR="0078718E" w:rsidRPr="0078718E" w:rsidRDefault="0078718E" w:rsidP="0078718E">
      <w:pPr>
        <w:pStyle w:val="Sponsors"/>
        <w:spacing w:line="120" w:lineRule="exact"/>
        <w:rPr>
          <w:sz w:val="10"/>
        </w:rPr>
      </w:pPr>
    </w:p>
    <w:p w:rsidR="0078718E" w:rsidRPr="0078718E" w:rsidRDefault="0078718E" w:rsidP="0078718E">
      <w:pPr>
        <w:pStyle w:val="Sponsors"/>
        <w:spacing w:line="120" w:lineRule="exact"/>
        <w:rPr>
          <w:sz w:val="10"/>
        </w:rPr>
      </w:pPr>
    </w:p>
    <w:p w:rsidR="00D532F1" w:rsidRPr="00D532F1" w:rsidRDefault="00D532F1" w:rsidP="0078718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D532F1">
        <w:tab/>
      </w:r>
      <w:r w:rsidRPr="00D532F1">
        <w:tab/>
        <w:t xml:space="preserve">Observaciones sobre las conclusiones o recomendaciones, </w:t>
      </w:r>
      <w:r w:rsidR="004B4D8E">
        <w:t>los </w:t>
      </w:r>
      <w:r w:rsidRPr="00D532F1">
        <w:t xml:space="preserve">compromisos voluntarios y </w:t>
      </w:r>
      <w:r w:rsidR="004B4D8E">
        <w:t xml:space="preserve">las </w:t>
      </w:r>
      <w:r w:rsidRPr="00D532F1">
        <w:t>respuestas del Estado</w:t>
      </w:r>
      <w:r w:rsidR="004B4D8E">
        <w:br/>
      </w:r>
      <w:r w:rsidRPr="00D532F1">
        <w:t>examinado</w:t>
      </w:r>
    </w:p>
    <w:p w:rsidR="00D532F1" w:rsidRPr="00D532F1" w:rsidRDefault="00D532F1" w:rsidP="00D532F1">
      <w:pPr>
        <w:pStyle w:val="SingleTxt"/>
      </w:pPr>
      <w:r w:rsidRPr="00D532F1">
        <w:br w:type="page"/>
      </w:r>
      <w:r w:rsidRPr="00D532F1">
        <w:lastRenderedPageBreak/>
        <w:t>1</w:t>
      </w:r>
      <w:r w:rsidR="00C80432">
        <w:t>.</w:t>
      </w:r>
      <w:r w:rsidR="006C5B2C">
        <w:tab/>
      </w:r>
      <w:r w:rsidRPr="00D532F1">
        <w:t xml:space="preserve">El Gobierno de la República de Croacia acoge con satisfacción las recomendaciones formuladas en el segundo ciclo del examen periódico universal </w:t>
      </w:r>
      <w:r w:rsidR="004B4D8E">
        <w:t>de</w:t>
      </w:r>
      <w:r w:rsidRPr="00D532F1">
        <w:t xml:space="preserve"> resultas del debate interactivo </w:t>
      </w:r>
      <w:r w:rsidR="004B4D8E">
        <w:t xml:space="preserve">que tuvo lugar </w:t>
      </w:r>
      <w:r w:rsidRPr="00D532F1">
        <w:t>con los países interesados el 12 de mayo de 2015. Conforme a las reglas establecidas, Croacia se complace en ofrecer sus respuestas.</w:t>
      </w:r>
    </w:p>
    <w:p w:rsidR="00D532F1" w:rsidRPr="00D532F1" w:rsidRDefault="00D532F1" w:rsidP="00D532F1">
      <w:pPr>
        <w:pStyle w:val="SingleTxt"/>
      </w:pPr>
      <w:r w:rsidRPr="00D532F1">
        <w:t>2</w:t>
      </w:r>
      <w:r w:rsidR="00C80432">
        <w:t>.</w:t>
      </w:r>
      <w:r w:rsidR="006C5B2C">
        <w:tab/>
      </w:r>
      <w:r w:rsidRPr="00D532F1">
        <w:t xml:space="preserve">La República de Croacia mantiene un sólido compromiso con el examen periódico universal, que ha respaldado desde su creación. El examen periódico universal es un mecanismo singular y fundamental que trata a todos los países en pie de igualdad en lo que respecta a la situación y aplicación de los derechos humanos. También lo consideramos </w:t>
      </w:r>
      <w:r w:rsidR="004B4D8E">
        <w:t>e</w:t>
      </w:r>
      <w:r w:rsidRPr="00D532F1">
        <w:t>l instrumento más eficaz para seguir mejorando la situación de los derechos humanos en todos los países, al fomentar un constante debate nacional con tod</w:t>
      </w:r>
      <w:r w:rsidR="004B4D8E">
        <w:t>a</w:t>
      </w:r>
      <w:r w:rsidRPr="00D532F1">
        <w:t>s l</w:t>
      </w:r>
      <w:r w:rsidR="004B4D8E">
        <w:t xml:space="preserve">as entidades interesadas, entre ellas </w:t>
      </w:r>
      <w:r w:rsidRPr="00D532F1">
        <w:t>la institución nacional de derechos humanos y las organizaciones de la sociedad civil.</w:t>
      </w:r>
    </w:p>
    <w:p w:rsidR="00D532F1" w:rsidRPr="00D532F1" w:rsidRDefault="00D532F1" w:rsidP="00D532F1">
      <w:pPr>
        <w:pStyle w:val="SingleTxt"/>
      </w:pPr>
      <w:r w:rsidRPr="00D532F1">
        <w:t>3</w:t>
      </w:r>
      <w:r w:rsidR="00C80432">
        <w:t>.</w:t>
      </w:r>
      <w:r w:rsidR="006C5B2C">
        <w:tab/>
      </w:r>
      <w:r w:rsidRPr="00D532F1">
        <w:t xml:space="preserve">El Gobierno de la </w:t>
      </w:r>
      <w:r w:rsidRPr="00C80432">
        <w:rPr>
          <w:b/>
        </w:rPr>
        <w:t>República de Croacia</w:t>
      </w:r>
      <w:r w:rsidRPr="00D532F1">
        <w:rPr>
          <w:b/>
        </w:rPr>
        <w:t xml:space="preserve"> ha examinado atentamente y con su mejor disposición</w:t>
      </w:r>
      <w:r w:rsidRPr="00D532F1">
        <w:t xml:space="preserve"> </w:t>
      </w:r>
      <w:r w:rsidRPr="00C80432">
        <w:rPr>
          <w:b/>
        </w:rPr>
        <w:t>las 167 recomendaciones</w:t>
      </w:r>
      <w:r w:rsidRPr="00D532F1">
        <w:t xml:space="preserve">, </w:t>
      </w:r>
      <w:r w:rsidR="004B4D8E">
        <w:t xml:space="preserve">en </w:t>
      </w:r>
      <w:r w:rsidRPr="00D532F1">
        <w:t xml:space="preserve">estrecha </w:t>
      </w:r>
      <w:r w:rsidR="004B4D8E">
        <w:t xml:space="preserve">colaboración con todas las entidades interesadas </w:t>
      </w:r>
      <w:r w:rsidRPr="00D532F1">
        <w:t xml:space="preserve">del país en el marco de un proceso de consultas intenso y fructífero. Tenemos la satisfacción de anunciar que finalmente, gracias a dicho proceso, la República de Croacia </w:t>
      </w:r>
      <w:r w:rsidRPr="00D532F1">
        <w:rPr>
          <w:b/>
        </w:rPr>
        <w:t xml:space="preserve">ha </w:t>
      </w:r>
      <w:r w:rsidR="004B4D8E">
        <w:rPr>
          <w:b/>
        </w:rPr>
        <w:t xml:space="preserve">podido </w:t>
      </w:r>
      <w:r w:rsidRPr="00D532F1">
        <w:rPr>
          <w:b/>
        </w:rPr>
        <w:t>aceptar plena o parcialmente 162</w:t>
      </w:r>
      <w:r w:rsidR="00C80432">
        <w:rPr>
          <w:b/>
        </w:rPr>
        <w:t> </w:t>
      </w:r>
      <w:r w:rsidRPr="00D532F1">
        <w:rPr>
          <w:b/>
        </w:rPr>
        <w:t>recomendaciones</w:t>
      </w:r>
      <w:r w:rsidRPr="00D532F1">
        <w:t>.</w:t>
      </w:r>
    </w:p>
    <w:p w:rsidR="00D532F1" w:rsidRPr="00D532F1" w:rsidRDefault="00D532F1" w:rsidP="00D532F1">
      <w:pPr>
        <w:pStyle w:val="SingleTxt"/>
      </w:pPr>
      <w:r w:rsidRPr="00D532F1">
        <w:t>4</w:t>
      </w:r>
      <w:r w:rsidR="00C80432">
        <w:t>.</w:t>
      </w:r>
      <w:r w:rsidR="006C5B2C">
        <w:tab/>
      </w:r>
      <w:r w:rsidRPr="00D532F1">
        <w:t xml:space="preserve">La República de Croacia ha estructurado esta adición con arreglo a las indicaciones de los grupos que constituimos para facilitar el proceso interno de consulta, </w:t>
      </w:r>
      <w:r w:rsidR="004B4D8E">
        <w:t xml:space="preserve">a fin de </w:t>
      </w:r>
      <w:r w:rsidRPr="00D532F1">
        <w:t xml:space="preserve">reflejar mejor los </w:t>
      </w:r>
      <w:r w:rsidR="00B512A3">
        <w:t xml:space="preserve">principales temas de interés </w:t>
      </w:r>
      <w:r w:rsidRPr="00D532F1">
        <w:t xml:space="preserve">y consolidar la responsabilidad de los órganos públicos competentes respecto </w:t>
      </w:r>
      <w:r w:rsidR="00B512A3">
        <w:t>de</w:t>
      </w:r>
      <w:r w:rsidRPr="00D532F1">
        <w:t xml:space="preserve"> cada recomendación concreta.</w:t>
      </w:r>
    </w:p>
    <w:p w:rsidR="00D532F1" w:rsidRPr="00D532F1" w:rsidRDefault="00D532F1" w:rsidP="00D532F1">
      <w:pPr>
        <w:pStyle w:val="SingleTxt"/>
      </w:pPr>
      <w:r w:rsidRPr="00D532F1">
        <w:t>5</w:t>
      </w:r>
      <w:r w:rsidR="00C80432">
        <w:t>.</w:t>
      </w:r>
      <w:r w:rsidR="006C5B2C">
        <w:tab/>
      </w:r>
      <w:r w:rsidRPr="00D532F1">
        <w:t>Las recomendaciones aceptadas por la República de Croacia son aquellas que apoyamos y estamos en condiciones de aplicar globalmente en el marco de una práctica regular. Entre estas, figuran las recomendaciones ya aplicadas o actualmente en proceso de aplicación.</w:t>
      </w:r>
    </w:p>
    <w:p w:rsidR="00D532F1" w:rsidRPr="00D532F1" w:rsidRDefault="00D532F1" w:rsidP="00D532F1">
      <w:pPr>
        <w:pStyle w:val="SingleTxt"/>
      </w:pPr>
      <w:r w:rsidRPr="00D532F1">
        <w:t>6</w:t>
      </w:r>
      <w:r w:rsidR="00C80432">
        <w:t>.</w:t>
      </w:r>
      <w:r w:rsidR="006C5B2C">
        <w:tab/>
      </w:r>
      <w:r w:rsidRPr="00D532F1">
        <w:t xml:space="preserve">Las recomendaciones que la República de Croacia acepta parcialmente son aquellas que apoyamos pero, por el momento, </w:t>
      </w:r>
      <w:r w:rsidR="00B512A3">
        <w:t xml:space="preserve">solo podemos </w:t>
      </w:r>
      <w:r w:rsidRPr="00D532F1">
        <w:t>aplicar más que parcialmente debido a la persistencia de determinados factores (de tipo jurídico o práctico).</w:t>
      </w:r>
    </w:p>
    <w:p w:rsidR="00D532F1" w:rsidRPr="00D532F1" w:rsidRDefault="00D532F1" w:rsidP="00D532F1">
      <w:pPr>
        <w:pStyle w:val="SingleTxt"/>
      </w:pPr>
      <w:r w:rsidRPr="00D532F1">
        <w:t>7</w:t>
      </w:r>
      <w:r w:rsidR="00C80432">
        <w:t>.</w:t>
      </w:r>
      <w:r w:rsidR="006C5B2C">
        <w:tab/>
      </w:r>
      <w:r w:rsidRPr="00D532F1">
        <w:t>Las recomendaciones que no cuentan con el apoyo de la República de Croacia y que por consiguiente no aceptamos son aquellas que no podemos poner en práctica, ya sea por una cuestión de principio o por considerar que la situación sobre el terreno no se compadece con la intención expresada por la recomendación. Sea cual sea la razón</w:t>
      </w:r>
      <w:r w:rsidR="00B512A3">
        <w:t>,</w:t>
      </w:r>
      <w:r w:rsidRPr="00D532F1">
        <w:t xml:space="preserve"> queda explicada de manera detallada en esta </w:t>
      </w:r>
      <w:proofErr w:type="spellStart"/>
      <w:r w:rsidRPr="00D532F1">
        <w:t>adición</w:t>
      </w:r>
      <w:proofErr w:type="spellEnd"/>
      <w:r w:rsidRPr="00D532F1">
        <w:t>.</w:t>
      </w:r>
    </w:p>
    <w:p w:rsidR="00D532F1" w:rsidRPr="00D532F1" w:rsidRDefault="00D532F1" w:rsidP="00D532F1">
      <w:pPr>
        <w:pStyle w:val="SingleTxt"/>
      </w:pPr>
      <w:r w:rsidRPr="00D532F1">
        <w:t>8</w:t>
      </w:r>
      <w:r w:rsidR="00C80432">
        <w:t>.</w:t>
      </w:r>
      <w:r w:rsidR="006C5B2C">
        <w:tab/>
      </w:r>
      <w:r w:rsidRPr="00D532F1">
        <w:t>En su calidad de miembro activo de la comunidad internacional y de candidato al Consejo de Derechos Humanos para el período 2017-2019, la República de Croacia también se ha comprometido voluntariamente a actualizar el segundo examen periódico universal mediante su informe de mitad de período.</w:t>
      </w:r>
    </w:p>
    <w:p w:rsidR="00D532F1" w:rsidRDefault="00D532F1" w:rsidP="00D532F1">
      <w:pPr>
        <w:pStyle w:val="SingleTxt"/>
      </w:pPr>
      <w:r w:rsidRPr="00D532F1">
        <w:t>9</w:t>
      </w:r>
      <w:r w:rsidR="00C80432">
        <w:t>.</w:t>
      </w:r>
      <w:r w:rsidR="006C5B2C">
        <w:tab/>
      </w:r>
      <w:r w:rsidRPr="00D532F1">
        <w:t xml:space="preserve">Por último, de conformidad con lo dispuesto en los párrafos 27 y 32 del anexo de la resolución 5/1 del Consejo y del párrafo 16 del anexo de la resolución 65/281 de la Asamblea General de las Naciones Unidas, la República de Croacia </w:t>
      </w:r>
      <w:r w:rsidR="00B512A3">
        <w:t xml:space="preserve">se complace en comunicar </w:t>
      </w:r>
      <w:r w:rsidRPr="00D532F1">
        <w:t xml:space="preserve">su posición y </w:t>
      </w:r>
      <w:r w:rsidR="00B512A3">
        <w:t xml:space="preserve">en dar </w:t>
      </w:r>
      <w:r w:rsidRPr="00D532F1">
        <w:t>las siguientes respuestas, que será</w:t>
      </w:r>
      <w:r w:rsidR="00B512A3">
        <w:t>n incluidas en el informe final.</w:t>
      </w:r>
    </w:p>
    <w:p w:rsidR="004B4D8E" w:rsidRPr="004B4D8E" w:rsidRDefault="004B4D8E" w:rsidP="004B4D8E">
      <w:pPr>
        <w:pStyle w:val="SingleTxt"/>
        <w:spacing w:after="0" w:line="120" w:lineRule="exact"/>
        <w:rPr>
          <w:sz w:val="10"/>
        </w:rPr>
      </w:pPr>
    </w:p>
    <w:p w:rsidR="00D532F1" w:rsidRDefault="00D532F1" w:rsidP="00B512A3">
      <w:pPr>
        <w:pStyle w:val="Sponsors"/>
      </w:pPr>
      <w:r w:rsidRPr="00D532F1">
        <w:lastRenderedPageBreak/>
        <w:tab/>
      </w:r>
      <w:r w:rsidRPr="00D532F1">
        <w:tab/>
        <w:t>Ratificación y proceso de presentación de informes</w:t>
      </w:r>
    </w:p>
    <w:p w:rsidR="004B4D8E" w:rsidRPr="004B4D8E" w:rsidRDefault="004B4D8E" w:rsidP="00B512A3">
      <w:pPr>
        <w:pStyle w:val="Sponsors"/>
        <w:spacing w:line="120" w:lineRule="exact"/>
        <w:rPr>
          <w:sz w:val="10"/>
        </w:rPr>
      </w:pPr>
    </w:p>
    <w:p w:rsidR="00D532F1" w:rsidRPr="00D532F1" w:rsidRDefault="00D532F1" w:rsidP="00B512A3">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w:t>
      </w:r>
      <w:r w:rsidRPr="00D532F1">
        <w:tab/>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99.2</w:t>
      </w:r>
      <w:r w:rsidRPr="00D532F1">
        <w:tab/>
        <w:t>Aceptada, en proceso de aplicación.</w:t>
      </w:r>
    </w:p>
    <w:p w:rsidR="00D532F1" w:rsidRPr="00D532F1" w:rsidRDefault="00D532F1" w:rsidP="00D532F1">
      <w:pPr>
        <w:pStyle w:val="SingleTxt"/>
      </w:pPr>
      <w:r w:rsidRPr="00D532F1">
        <w:t xml:space="preserve">Croacia figura entre los primeros países que firmaron la Convención en 2007. Sin embargo, el proceso de armonización de la legislación nacional, en particular de la legislación penal, sigue en fase de discusión y la ratificación </w:t>
      </w:r>
      <w:r w:rsidR="0053310E">
        <w:t>se está examinando</w:t>
      </w:r>
      <w:r w:rsidRPr="00D532F1">
        <w:t>.</w:t>
      </w:r>
    </w:p>
    <w:p w:rsidR="00D532F1" w:rsidRPr="00B512A3"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w:t>
      </w:r>
      <w:r w:rsidR="00B512A3">
        <w:t>3</w:t>
      </w:r>
      <w:r w:rsidRPr="00B512A3">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99.4</w:t>
      </w:r>
      <w:r w:rsidRPr="00D532F1">
        <w:tab/>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99.5</w:t>
      </w:r>
      <w:r w:rsidRPr="00D532F1">
        <w:tab/>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99.6</w:t>
      </w:r>
      <w:r w:rsidRPr="00D532F1">
        <w:tab/>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99.7</w:t>
      </w:r>
      <w:r w:rsidRPr="00D532F1">
        <w:tab/>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99.8</w:t>
      </w:r>
      <w:r w:rsidRPr="00D532F1">
        <w:tab/>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99.11</w:t>
      </w:r>
      <w:r w:rsidRPr="00D532F1">
        <w:tab/>
        <w:t>Aceptada, en proceso de aplicación.</w:t>
      </w:r>
    </w:p>
    <w:p w:rsidR="00D532F1" w:rsidRPr="00D532F1" w:rsidRDefault="00D532F1" w:rsidP="00D532F1">
      <w:pPr>
        <w:pStyle w:val="SingleTxt"/>
      </w:pPr>
      <w:r w:rsidRPr="00D532F1">
        <w:t xml:space="preserve">Croacia participó activamente en el proceso de redacción del Protocolo Facultativo y ha apoyado sin reservas su adopción. Por otro lado, </w:t>
      </w:r>
      <w:r w:rsidR="00541267">
        <w:t xml:space="preserve">hay un alto grado de </w:t>
      </w:r>
      <w:r w:rsidRPr="00D532F1">
        <w:t>supervisión internacional de</w:t>
      </w:r>
      <w:r w:rsidR="00541267">
        <w:t xml:space="preserve">l ejercicio </w:t>
      </w:r>
      <w:r w:rsidRPr="00D532F1">
        <w:t xml:space="preserve">de los derechos económicos y sociales, ya que es de los pocos países europeos que permite la presentación de reclamaciones colectivas en virtud de la Carta Social Europea (Consejo de Europa). De conformidad con el Protocolo recientemente entrado en vigor (mayo de 2013), se está examinando el grado de compatibilidad de la legislación y las prácticas nacionales de los organismos competentes con vistas a adoptar una decisión sobre este sistema de supervisión innovador basado en denuncias individuales. </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rPr>
          <w:bCs/>
        </w:rPr>
        <w:t>99.</w:t>
      </w:r>
      <w:r w:rsidRPr="00B512A3">
        <w:t>9</w:t>
      </w:r>
      <w:r w:rsidRPr="00B512A3">
        <w:tab/>
      </w:r>
      <w:r w:rsidRPr="00D532F1">
        <w:t>Se acepta parcialmente (</w:t>
      </w:r>
      <w:r w:rsidR="00C80432">
        <w:t>v</w:t>
      </w:r>
      <w:r w:rsidRPr="00D532F1">
        <w:t>éase: 11)</w:t>
      </w:r>
      <w:r w:rsidR="00C80432">
        <w:t>.</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99.10</w:t>
      </w:r>
      <w:r w:rsidRPr="00D532F1">
        <w:tab/>
        <w:t>Se acepta parcialmente (</w:t>
      </w:r>
      <w:r w:rsidR="00C80432">
        <w:t>v</w:t>
      </w:r>
      <w:r w:rsidRPr="00D532F1">
        <w:t>éase: 11)</w:t>
      </w:r>
      <w:r w:rsidR="00C80432">
        <w:t>.</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99.12</w:t>
      </w:r>
      <w:r w:rsidRPr="00D532F1">
        <w:tab/>
        <w:t>Aceptada, en proceso de aplicación.</w:t>
      </w:r>
    </w:p>
    <w:p w:rsidR="00D532F1" w:rsidRPr="00D532F1" w:rsidRDefault="00D532F1" w:rsidP="00D532F1">
      <w:pPr>
        <w:pStyle w:val="SingleTxt"/>
      </w:pPr>
      <w:r w:rsidRPr="00D532F1">
        <w:t xml:space="preserve">La República de Croacia </w:t>
      </w:r>
      <w:r w:rsidR="00541267">
        <w:t xml:space="preserve">fue </w:t>
      </w:r>
      <w:r w:rsidRPr="00D532F1">
        <w:t xml:space="preserve">desde el principio uno de los países que apoyaban el proceso de redacción del Protocolo Facultativo y en diciembre de 2013 </w:t>
      </w:r>
      <w:r w:rsidR="00541267">
        <w:t>procedió a firmarlo</w:t>
      </w:r>
      <w:r w:rsidRPr="00D532F1">
        <w:t xml:space="preserve">. Para el período siguiente se han previsto actividades preparatorias relacionadas con la ratificación del Protocolo (que seguirán consolidando el sistema de protección de los niños) y </w:t>
      </w:r>
      <w:r w:rsidR="00541267">
        <w:t xml:space="preserve">se reconoce </w:t>
      </w:r>
      <w:r w:rsidRPr="00D532F1">
        <w:t>la necesidad de aportar los recursos administrativos, institucionales, profesionales y financieros para su aplicación práctica.</w:t>
      </w:r>
    </w:p>
    <w:p w:rsidR="00D532F1" w:rsidRPr="00B512A3"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99.13</w:t>
      </w:r>
      <w:r w:rsidRPr="00D532F1">
        <w:tab/>
        <w:t>Aceptada, en proceso de aplicación (</w:t>
      </w:r>
      <w:r w:rsidR="00C80432">
        <w:t>v</w:t>
      </w:r>
      <w:r w:rsidRPr="00D532F1">
        <w:t>éase</w:t>
      </w:r>
      <w:r w:rsidR="00CC261D" w:rsidRPr="00D532F1">
        <w:t>: 12</w:t>
      </w:r>
      <w:r w:rsidRPr="00D532F1">
        <w:t>)</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B512A3">
        <w:t>99.15</w:t>
      </w:r>
      <w:r w:rsidRPr="00B512A3">
        <w:tab/>
      </w:r>
      <w:r w:rsidRPr="00D532F1">
        <w:t>No se acepta.</w:t>
      </w:r>
    </w:p>
    <w:p w:rsidR="00D532F1" w:rsidRPr="00D532F1" w:rsidRDefault="00D532F1" w:rsidP="00D532F1">
      <w:pPr>
        <w:pStyle w:val="SingleTxt"/>
      </w:pPr>
      <w:r w:rsidRPr="00D532F1">
        <w:t>Seguimos considerando que es posible dispensar protección jurídica adecuada a los migrantes a nivel nacional, manteniendo presentes los grandes principios y las normas modernas de derechos humanos exigibles tratándose de un grupo social especialmente vulnerable. Por el momento, la posibilidad de ratificar esta Convención no figura entre nuestras prioridades.</w:t>
      </w:r>
    </w:p>
    <w:p w:rsidR="00D532F1" w:rsidRPr="00B512A3"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99.14</w:t>
      </w:r>
      <w:r w:rsidRPr="00D532F1">
        <w:tab/>
        <w:t>No se acepta (</w:t>
      </w:r>
      <w:r w:rsidR="00C80432">
        <w:t>v</w:t>
      </w:r>
      <w:r w:rsidRPr="00D532F1">
        <w:t>éase: 15)</w:t>
      </w:r>
      <w:r w:rsidR="00C80432">
        <w:t>.</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99.17</w:t>
      </w:r>
      <w:r w:rsidRPr="00D532F1">
        <w:tab/>
        <w:t>Aceptada y aplicada.</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99.18</w:t>
      </w:r>
      <w:r w:rsidRPr="00D532F1">
        <w:tab/>
        <w:t>Aceptada, en proceso de aplicación.</w:t>
      </w:r>
    </w:p>
    <w:p w:rsidR="00D532F1" w:rsidRPr="00D532F1" w:rsidRDefault="00B512A3"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t>99.19</w:t>
      </w:r>
      <w:r w:rsidR="00D532F1" w:rsidRPr="00D532F1">
        <w:tab/>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99.22</w:t>
      </w:r>
      <w:r w:rsidRPr="00D532F1">
        <w:tab/>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99.23</w:t>
      </w:r>
      <w:r w:rsidRPr="00D532F1">
        <w:tab/>
        <w:t>Se acepta parcialmente.</w:t>
      </w:r>
    </w:p>
    <w:p w:rsidR="00D532F1" w:rsidRPr="00D532F1" w:rsidRDefault="00D532F1" w:rsidP="00D532F1">
      <w:pPr>
        <w:pStyle w:val="SingleTxt"/>
      </w:pPr>
      <w:r w:rsidRPr="00D532F1">
        <w:t xml:space="preserve">La Oficina de Derechos Humanos y de Derechos de las Minorías Nacionales del Gobierno de la República de Croacia establecerá un </w:t>
      </w:r>
      <w:r w:rsidR="00C80432">
        <w:t>g</w:t>
      </w:r>
      <w:r w:rsidRPr="00D532F1">
        <w:t xml:space="preserve">rupo de </w:t>
      </w:r>
      <w:r w:rsidR="00C80432">
        <w:t>t</w:t>
      </w:r>
      <w:r w:rsidRPr="00D532F1">
        <w:t xml:space="preserve">rabajo compuesto por los ministerios competentes para decidir si se </w:t>
      </w:r>
      <w:r w:rsidR="00541267">
        <w:t xml:space="preserve">pone en práctica </w:t>
      </w:r>
      <w:r w:rsidRPr="00D532F1">
        <w:t xml:space="preserve">la recomendación. </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99.16</w:t>
      </w:r>
      <w:r w:rsidRPr="00D532F1">
        <w:tab/>
        <w:t>No se acepta.</w:t>
      </w:r>
    </w:p>
    <w:p w:rsidR="00D532F1" w:rsidRPr="00D532F1" w:rsidRDefault="00D532F1" w:rsidP="00D532F1">
      <w:pPr>
        <w:pStyle w:val="SingleTxt"/>
      </w:pPr>
      <w:r w:rsidRPr="00D532F1">
        <w:t xml:space="preserve">Por el momento, la República de Croacia considera suficiente el marco legal vigente y no </w:t>
      </w:r>
      <w:r w:rsidR="00541267">
        <w:t xml:space="preserve">se propone </w:t>
      </w:r>
      <w:r w:rsidRPr="00D532F1">
        <w:t xml:space="preserve">ratificar este Convenio. Además, nuestra legislación no reconoce el término de trabajadoras y trabajadores domésticos. </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99.65</w:t>
      </w:r>
      <w:r w:rsidRPr="00D532F1">
        <w:tab/>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99.66</w:t>
      </w:r>
      <w:r w:rsidRPr="00D532F1">
        <w:tab/>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99.41</w:t>
      </w:r>
      <w:r w:rsidRPr="00D532F1">
        <w:tab/>
        <w:t>No se acepta.</w:t>
      </w:r>
    </w:p>
    <w:p w:rsidR="00D532F1" w:rsidRPr="00D532F1" w:rsidRDefault="00D532F1" w:rsidP="00D532F1">
      <w:pPr>
        <w:pStyle w:val="SingleTxt"/>
      </w:pPr>
      <w:r w:rsidRPr="00D532F1">
        <w:t xml:space="preserve">Aplicamos un </w:t>
      </w:r>
      <w:r w:rsidR="00541267">
        <w:t xml:space="preserve">criterio </w:t>
      </w:r>
      <w:r w:rsidRPr="00D532F1">
        <w:t xml:space="preserve">diferente. Los ministerios son los organismos públicos competentes encargados, en función </w:t>
      </w:r>
      <w:r w:rsidR="00541267">
        <w:t>de</w:t>
      </w:r>
      <w:r w:rsidRPr="00D532F1">
        <w:t xml:space="preserve"> su respectivo ámbito de competencia, tanto de</w:t>
      </w:r>
      <w:r w:rsidR="00541267">
        <w:t xml:space="preserve"> las cuestiones de </w:t>
      </w:r>
      <w:r w:rsidRPr="00D532F1">
        <w:t>fondo como de la aplicación de las disposiciones de ciertas convenciones de derechos humanos. Son precisamente los ministerios los principales responsables de preparar los borradores de los informes nacionales. A ellos corresponde organizar la preparación de los proyectos, ya sea a través de grupos de redacción interministeriales o en estrecha cooperación con tod</w:t>
      </w:r>
      <w:r w:rsidR="009F7256">
        <w:t>a</w:t>
      </w:r>
      <w:r w:rsidRPr="00D532F1">
        <w:t xml:space="preserve">s las demás partes interesadas. Por último, el Ministerio de Relaciones Exteriores y </w:t>
      </w:r>
      <w:proofErr w:type="gramStart"/>
      <w:r w:rsidRPr="00D532F1">
        <w:t>Europeas</w:t>
      </w:r>
      <w:proofErr w:type="gramEnd"/>
      <w:r w:rsidRPr="00D532F1">
        <w:t xml:space="preserve"> se encarga de la coordinación de los informes.</w:t>
      </w:r>
    </w:p>
    <w:p w:rsid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99.64</w:t>
      </w:r>
      <w:r w:rsidRPr="00D532F1">
        <w:tab/>
        <w:t>Aceptada, en proceso de aplicación.</w:t>
      </w:r>
    </w:p>
    <w:p w:rsidR="004B4D8E" w:rsidRPr="004B4D8E" w:rsidRDefault="004B4D8E" w:rsidP="004B4D8E">
      <w:pPr>
        <w:pStyle w:val="SingleTxt"/>
        <w:spacing w:after="0" w:line="120" w:lineRule="exact"/>
        <w:rPr>
          <w:sz w:val="10"/>
        </w:rPr>
      </w:pPr>
    </w:p>
    <w:p w:rsidR="00D532F1" w:rsidRDefault="00D532F1" w:rsidP="004B4D8E">
      <w:pPr>
        <w:pStyle w:val="Sponsors"/>
      </w:pPr>
      <w:r w:rsidRPr="00D532F1">
        <w:tab/>
      </w:r>
      <w:r w:rsidRPr="00D532F1">
        <w:tab/>
        <w:t xml:space="preserve">Marco legislativo e institucional </w:t>
      </w:r>
    </w:p>
    <w:p w:rsidR="004B4D8E" w:rsidRPr="004B4D8E" w:rsidRDefault="004B4D8E" w:rsidP="004B4D8E">
      <w:pPr>
        <w:pStyle w:val="Sponsors"/>
        <w:spacing w:line="120" w:lineRule="exact"/>
        <w:rPr>
          <w:sz w:val="10"/>
        </w:rPr>
      </w:pP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99.24</w:t>
      </w:r>
      <w:r w:rsidRPr="00D532F1">
        <w:tab/>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99.43</w:t>
      </w:r>
      <w:r w:rsidRPr="00D532F1">
        <w:tab/>
        <w:t>Aceptada y aplicada.</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99.36</w:t>
      </w:r>
      <w:r w:rsidRPr="00D532F1">
        <w:tab/>
        <w:t xml:space="preserve">Aceptada y aplicada. </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99.44</w:t>
      </w:r>
      <w:r w:rsidRPr="00D532F1">
        <w:tab/>
        <w:t>Se acepta parcialmente.</w:t>
      </w:r>
    </w:p>
    <w:p w:rsidR="00D532F1" w:rsidRPr="00D532F1" w:rsidRDefault="00D532F1" w:rsidP="00D532F1">
      <w:pPr>
        <w:pStyle w:val="SingleTxt"/>
      </w:pPr>
      <w:r w:rsidRPr="00D532F1">
        <w:t xml:space="preserve">En la actualidad, el Gobierno de la República de Croacia supervisa periódicamente </w:t>
      </w:r>
      <w:r w:rsidR="00541267">
        <w:t>los</w:t>
      </w:r>
      <w:r w:rsidRPr="00D532F1">
        <w:t xml:space="preserve"> avances mediante indicadores ya establecidos en sus diferentes planes nacionales, y en particular el Programa Nacional de Protección y Promoción de los Derechos Humanos. No obstante, las autoridades competentes considerarán a su debido tiempo esta recomendación por lo que respecta a las inquietudes expresadas sobre la elaboración de indicadores concretos de derechos humanos (de conformidad con el instrumento del ACNUDH: </w:t>
      </w:r>
      <w:r w:rsidR="00CC261D">
        <w:t>“</w:t>
      </w:r>
      <w:r w:rsidRPr="00D532F1">
        <w:t>Indicadores de derechos humanos: Guía para la medición y la aplicación</w:t>
      </w:r>
      <w:r w:rsidR="00CC261D">
        <w:t>”</w:t>
      </w:r>
      <w:r w:rsidRPr="00D532F1">
        <w:t xml:space="preserve">). </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99.45</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99.42</w:t>
      </w:r>
      <w:r w:rsidR="006C5B2C">
        <w:tab/>
      </w:r>
      <w:r w:rsidRPr="00D532F1">
        <w:t>Aceptada y aplicada.</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99.37</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99.38</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99.39</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99.40</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99.122</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99.123</w:t>
      </w:r>
      <w:r w:rsidR="006C5B2C">
        <w:tab/>
      </w:r>
      <w:r w:rsidRPr="00D532F1">
        <w:t>Aceptada, en proceso de aplicación.</w:t>
      </w:r>
    </w:p>
    <w:p w:rsid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99.118</w:t>
      </w:r>
      <w:r w:rsidR="006C5B2C">
        <w:tab/>
      </w:r>
      <w:r w:rsidRPr="00D532F1">
        <w:t>Aceptada, en proceso de aplicación.</w:t>
      </w:r>
    </w:p>
    <w:p w:rsidR="004B4D8E" w:rsidRPr="004B4D8E" w:rsidRDefault="004B4D8E" w:rsidP="004B4D8E">
      <w:pPr>
        <w:pStyle w:val="SingleTxt"/>
        <w:spacing w:after="0" w:line="120" w:lineRule="exact"/>
        <w:rPr>
          <w:sz w:val="10"/>
        </w:rPr>
      </w:pPr>
    </w:p>
    <w:p w:rsidR="00D532F1" w:rsidRDefault="00D532F1" w:rsidP="004B4D8E">
      <w:pPr>
        <w:pStyle w:val="Sponsors"/>
      </w:pPr>
      <w:r w:rsidRPr="00D532F1">
        <w:tab/>
      </w:r>
      <w:r w:rsidRPr="00D532F1">
        <w:tab/>
        <w:t>Discriminación</w:t>
      </w:r>
    </w:p>
    <w:p w:rsidR="004B4D8E" w:rsidRPr="004B4D8E" w:rsidRDefault="004B4D8E" w:rsidP="004B4D8E">
      <w:pPr>
        <w:pStyle w:val="Sponsors"/>
        <w:spacing w:line="120" w:lineRule="exact"/>
        <w:rPr>
          <w:sz w:val="10"/>
        </w:rPr>
      </w:pP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99.55</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99.57</w:t>
      </w:r>
      <w:r w:rsidR="006C5B2C">
        <w:tab/>
      </w:r>
      <w:r w:rsidRPr="00D532F1">
        <w:t>Aceptada, en proceso de aplicación.</w:t>
      </w:r>
    </w:p>
    <w:p w:rsid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99.73</w:t>
      </w:r>
      <w:r w:rsidR="006C5B2C">
        <w:tab/>
      </w:r>
      <w:r w:rsidRPr="00D532F1">
        <w:t>Aceptada, en proceso de aplicación.</w:t>
      </w:r>
    </w:p>
    <w:p w:rsidR="004B4D8E" w:rsidRPr="004B4D8E" w:rsidRDefault="004B4D8E" w:rsidP="004B4D8E">
      <w:pPr>
        <w:pStyle w:val="SingleTxt"/>
        <w:spacing w:after="0" w:line="120" w:lineRule="exact"/>
        <w:rPr>
          <w:sz w:val="10"/>
        </w:rPr>
      </w:pPr>
    </w:p>
    <w:p w:rsidR="00D532F1" w:rsidRDefault="00D532F1" w:rsidP="004B4D8E">
      <w:pPr>
        <w:pStyle w:val="Sponsors"/>
      </w:pPr>
      <w:r w:rsidRPr="00D532F1">
        <w:tab/>
      </w:r>
      <w:r w:rsidRPr="00D532F1">
        <w:tab/>
        <w:t xml:space="preserve">Delitos motivados por el odio, incitación al odio y difamación </w:t>
      </w:r>
    </w:p>
    <w:p w:rsidR="004B4D8E" w:rsidRPr="004B4D8E" w:rsidRDefault="004B4D8E" w:rsidP="004B4D8E">
      <w:pPr>
        <w:pStyle w:val="Sponsors"/>
        <w:spacing w:line="120" w:lineRule="exact"/>
        <w:rPr>
          <w:sz w:val="10"/>
        </w:rPr>
      </w:pP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99.76</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99.102</w:t>
      </w:r>
      <w:r w:rsidR="006C5B2C">
        <w:tab/>
      </w:r>
      <w:r w:rsidRPr="00D532F1">
        <w:t>Aceptada y aplicada.</w:t>
      </w:r>
    </w:p>
    <w:p w:rsidR="00D532F1" w:rsidRPr="00B512A3"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99.103</w:t>
      </w:r>
      <w:r w:rsidR="006C5B2C">
        <w:tab/>
      </w:r>
      <w:r w:rsidRPr="00D532F1">
        <w:t>Aceptada y aplicada.</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99.106</w:t>
      </w:r>
      <w:r w:rsidR="006C5B2C">
        <w:tab/>
      </w:r>
      <w:r w:rsidRPr="00D532F1">
        <w:t>Aceptada y aplicada.</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99.33</w:t>
      </w:r>
      <w:r w:rsidR="006C5B2C">
        <w:tab/>
      </w:r>
      <w:r w:rsidRPr="00D532F1">
        <w:t>Se acepta parcialmente.</w:t>
      </w:r>
    </w:p>
    <w:p w:rsidR="00D532F1" w:rsidRPr="00D532F1" w:rsidRDefault="00D532F1" w:rsidP="00D532F1">
      <w:pPr>
        <w:pStyle w:val="SingleTxt"/>
      </w:pPr>
      <w:r w:rsidRPr="00D532F1">
        <w:t>El Código Penal (en vigor desde el 1 de enero de 2013) establece una solución ya adoptada por diferentes legislaciones europeas (en Suiza, Alemania, Austria, Eslovenia, etc.), que distinguen entre la difamación y la injuria. La legislación penal croata ha quedado pues plenamente armonizada con la legislación penal europea moderna.</w:t>
      </w:r>
    </w:p>
    <w:p w:rsidR="00D532F1" w:rsidRPr="00D532F1" w:rsidRDefault="00C80432" w:rsidP="00D532F1">
      <w:pPr>
        <w:pStyle w:val="SingleTxt"/>
      </w:pPr>
      <w:r>
        <w:t>Por otro lado, la Ley de E</w:t>
      </w:r>
      <w:r w:rsidR="00D532F1" w:rsidRPr="00D532F1">
        <w:t xml:space="preserve">nmiendas al Código Penal, aprobada en 2015, ha introducido una enmienda relativa al delito de difamación grave (se ha agregado la palabra </w:t>
      </w:r>
      <w:r w:rsidR="00CC261D">
        <w:t>“</w:t>
      </w:r>
      <w:r w:rsidR="00D532F1" w:rsidRPr="00D532F1">
        <w:t>grave</w:t>
      </w:r>
      <w:r w:rsidR="00CC261D">
        <w:t>”</w:t>
      </w:r>
      <w:r w:rsidR="00D532F1" w:rsidRPr="00D532F1">
        <w:t xml:space="preserve"> al delito penal de difamación). El propósito era precisar con mayor claridad las circunstancias eximentes de los delitos de difamación.</w:t>
      </w:r>
    </w:p>
    <w:p w:rsidR="00D532F1" w:rsidRPr="00D532F1" w:rsidRDefault="00D532F1" w:rsidP="00D532F1">
      <w:pPr>
        <w:pStyle w:val="SingleTxt"/>
      </w:pPr>
      <w:r w:rsidRPr="00D532F1">
        <w:t xml:space="preserve">En particular, se ha simplificado la disposición relativa </w:t>
      </w:r>
      <w:r w:rsidR="00541267">
        <w:t xml:space="preserve">a </w:t>
      </w:r>
      <w:r w:rsidRPr="00D532F1">
        <w:t xml:space="preserve">las circunstancias eximentes del delito de difamación. Ahora se requiere que el autor del delito pruebe </w:t>
      </w:r>
      <w:r w:rsidR="00541267">
        <w:t xml:space="preserve">que las </w:t>
      </w:r>
      <w:r w:rsidRPr="00D532F1">
        <w:t xml:space="preserve">afirmaciones que </w:t>
      </w:r>
      <w:r w:rsidR="00541267">
        <w:t xml:space="preserve">hizo o divulgó son veraces o que había </w:t>
      </w:r>
      <w:r w:rsidRPr="00D532F1">
        <w:t xml:space="preserve">razones </w:t>
      </w:r>
      <w:r w:rsidR="00541267">
        <w:t>de peso por las cuales creía que lo eran</w:t>
      </w:r>
      <w:r w:rsidRPr="00D532F1">
        <w:t>.</w:t>
      </w:r>
    </w:p>
    <w:p w:rsidR="00D532F1" w:rsidRPr="00D532F1" w:rsidRDefault="00D532F1" w:rsidP="00D532F1">
      <w:pPr>
        <w:pStyle w:val="SingleTxt"/>
      </w:pPr>
      <w:r w:rsidRPr="00D532F1">
        <w:t>Las enmiendas incluyen además un nuevo artículo, que establece las circunstancias eximentes para los delitos de injuria y difamación grave. Así pues, no se considerarán constitutiv</w:t>
      </w:r>
      <w:r w:rsidR="00541267">
        <w:t>a</w:t>
      </w:r>
      <w:r w:rsidRPr="00D532F1">
        <w:t xml:space="preserve">s de los delitos de injuria y difamación grave las afirmaciones </w:t>
      </w:r>
      <w:r w:rsidR="00541267">
        <w:t xml:space="preserve">hechas </w:t>
      </w:r>
      <w:r w:rsidRPr="00D532F1">
        <w:t xml:space="preserve">en artículos académicos, técnicos o literarios, obras de arte o información pública, ni las </w:t>
      </w:r>
      <w:r w:rsidR="00541267">
        <w:t xml:space="preserve">hechas en el </w:t>
      </w:r>
      <w:r w:rsidRPr="00D532F1">
        <w:t xml:space="preserve">desempeño de funciones establecidas por ley, de una actividad política </w:t>
      </w:r>
      <w:r w:rsidR="00541267">
        <w:t>u</w:t>
      </w:r>
      <w:r w:rsidRPr="00D532F1">
        <w:t xml:space="preserve"> otras actividades de índole pública o social, de una labor periodística o de defensa de derechos, siempre y cuando </w:t>
      </w:r>
      <w:r w:rsidR="00541267">
        <w:t>se hayan hecho</w:t>
      </w:r>
      <w:r w:rsidRPr="00D532F1">
        <w:t xml:space="preserve"> en aras del interés público o por otros motivos justificados. De este modo, se ha reducido el espectro de actos </w:t>
      </w:r>
      <w:r w:rsidR="00541267">
        <w:t xml:space="preserve">que abarca </w:t>
      </w:r>
      <w:r w:rsidRPr="00D532F1">
        <w:t xml:space="preserve">el delito de difamación grave. Únicamente se tipifican </w:t>
      </w:r>
      <w:r w:rsidR="00541267">
        <w:t xml:space="preserve">las infracciones </w:t>
      </w:r>
      <w:r w:rsidRPr="00D532F1">
        <w:t>graves del derecho al honor y a la reputación.</w:t>
      </w:r>
    </w:p>
    <w:p w:rsidR="00D532F1" w:rsidRPr="00D532F1" w:rsidRDefault="00D532F1" w:rsidP="00D532F1">
      <w:pPr>
        <w:pStyle w:val="SingleTxt"/>
      </w:pPr>
      <w:r w:rsidRPr="00D532F1">
        <w:t xml:space="preserve">Es importante destacar que las sanciones previstas para los delitos contra el honor y la reputación, entre los cuales figura el delito penal de difamación grave, no van más allá de la imposición de multas, lo cual indica que dichos delitos son tratados como </w:t>
      </w:r>
      <w:proofErr w:type="gramStart"/>
      <w:r w:rsidRPr="00D532F1">
        <w:t>faltas</w:t>
      </w:r>
      <w:proofErr w:type="gramEnd"/>
      <w:r w:rsidRPr="00D532F1">
        <w:t>. El hecho de que figuren en el Código Penal se explica por su mayor peligro social, a diferencia de las faltas.</w:t>
      </w:r>
    </w:p>
    <w:p w:rsidR="00D532F1" w:rsidRDefault="00D532F1" w:rsidP="00D532F1">
      <w:pPr>
        <w:pStyle w:val="SingleTxt"/>
      </w:pPr>
      <w:r w:rsidRPr="00D532F1">
        <w:t>99.34</w:t>
      </w:r>
      <w:r w:rsidR="006C5B2C">
        <w:tab/>
      </w:r>
      <w:r w:rsidRPr="00D532F1">
        <w:t>Se acepta parcialmente (</w:t>
      </w:r>
      <w:r w:rsidR="00C80432">
        <w:t>v</w:t>
      </w:r>
      <w:r w:rsidRPr="00D532F1">
        <w:t>éase: 33)</w:t>
      </w:r>
      <w:r w:rsidR="00C80432">
        <w:t>.</w:t>
      </w:r>
    </w:p>
    <w:p w:rsidR="004B4D8E" w:rsidRPr="004B4D8E" w:rsidRDefault="004B4D8E" w:rsidP="004B4D8E">
      <w:pPr>
        <w:pStyle w:val="SingleTxt"/>
        <w:spacing w:after="0" w:line="120" w:lineRule="exact"/>
        <w:rPr>
          <w:sz w:val="10"/>
        </w:rPr>
      </w:pPr>
    </w:p>
    <w:p w:rsidR="00D532F1" w:rsidRDefault="00D532F1" w:rsidP="004B4D8E">
      <w:pPr>
        <w:pStyle w:val="Sponsors"/>
      </w:pPr>
      <w:r w:rsidRPr="00D532F1">
        <w:tab/>
      </w:r>
      <w:r w:rsidRPr="00D532F1">
        <w:tab/>
        <w:t>Prisiones/Tortura</w:t>
      </w:r>
    </w:p>
    <w:p w:rsidR="004B4D8E" w:rsidRPr="004B4D8E" w:rsidRDefault="004B4D8E" w:rsidP="004B4D8E">
      <w:pPr>
        <w:pStyle w:val="Sponsors"/>
        <w:spacing w:line="120" w:lineRule="exact"/>
        <w:rPr>
          <w:sz w:val="10"/>
        </w:rPr>
      </w:pP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99.94</w:t>
      </w:r>
      <w:r w:rsidR="006C5B2C">
        <w:tab/>
      </w:r>
      <w:r w:rsidRPr="00D532F1">
        <w:t>Aceptada y aplicada.</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99.31</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99.79</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99.80</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99.78</w:t>
      </w:r>
      <w:r w:rsidR="006C5B2C">
        <w:tab/>
      </w:r>
      <w:r w:rsidRPr="00D532F1">
        <w:t>Aceptada, en proceso de aplicación.</w:t>
      </w:r>
    </w:p>
    <w:p w:rsid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99.88</w:t>
      </w:r>
      <w:r w:rsidR="006C5B2C">
        <w:tab/>
      </w:r>
      <w:r w:rsidRPr="00D532F1">
        <w:t>Aceptada, en proceso de aplicación.</w:t>
      </w:r>
    </w:p>
    <w:p w:rsidR="004B4D8E" w:rsidRPr="004B4D8E" w:rsidRDefault="004B4D8E" w:rsidP="004B4D8E">
      <w:pPr>
        <w:pStyle w:val="SingleTxt"/>
        <w:spacing w:after="0" w:line="120" w:lineRule="exact"/>
        <w:rPr>
          <w:sz w:val="10"/>
        </w:rPr>
      </w:pPr>
    </w:p>
    <w:p w:rsidR="00D532F1" w:rsidRDefault="00D532F1" w:rsidP="004B4D8E">
      <w:pPr>
        <w:pStyle w:val="Sponsors"/>
      </w:pPr>
      <w:r w:rsidRPr="00D532F1">
        <w:tab/>
      </w:r>
      <w:r w:rsidRPr="00D532F1">
        <w:tab/>
        <w:t>Violencia doméstica</w:t>
      </w:r>
    </w:p>
    <w:p w:rsidR="004B4D8E" w:rsidRPr="004B4D8E" w:rsidRDefault="004B4D8E" w:rsidP="004B4D8E">
      <w:pPr>
        <w:pStyle w:val="Sponsors"/>
        <w:spacing w:line="120" w:lineRule="exact"/>
        <w:rPr>
          <w:sz w:val="10"/>
        </w:rPr>
      </w:pP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99.108</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99.82</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99.50</w:t>
      </w:r>
      <w:r w:rsidR="006C5B2C">
        <w:tab/>
      </w:r>
      <w:r w:rsidRPr="00D532F1">
        <w:t>Aceptada y aplicada.</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99.51</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99.84</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99.29</w:t>
      </w:r>
      <w:r w:rsidR="006C5B2C">
        <w:tab/>
      </w:r>
      <w:r w:rsidRPr="00D532F1">
        <w:t>Aceptada.</w:t>
      </w:r>
    </w:p>
    <w:p w:rsidR="00D532F1" w:rsidRPr="00D532F1" w:rsidRDefault="00D532F1" w:rsidP="00D532F1">
      <w:pPr>
        <w:pStyle w:val="SingleTxt"/>
      </w:pPr>
      <w:r w:rsidRPr="00D532F1">
        <w:t xml:space="preserve">Se está </w:t>
      </w:r>
      <w:r w:rsidR="00541267">
        <w:t>formulando</w:t>
      </w:r>
      <w:r w:rsidR="00C80432">
        <w:t xml:space="preserve"> el nuevo p</w:t>
      </w:r>
      <w:r w:rsidRPr="00D532F1">
        <w:t>lan nacional de lucha contra la discriminación.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99.25</w:t>
      </w:r>
      <w:r w:rsidR="006C5B2C">
        <w:tab/>
      </w:r>
      <w:r w:rsidRPr="00D532F1">
        <w:t>Aceptada y aplicada.</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99.28</w:t>
      </w:r>
      <w:r w:rsidR="006C5B2C">
        <w:tab/>
      </w:r>
      <w:r w:rsidRPr="00D532F1">
        <w:t>Aceptada y aplicada.</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99.86</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99.61</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99.30</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99.20</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99.52</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99.96</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99.27</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99.93</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99.109</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99.21</w:t>
      </w:r>
      <w:r w:rsidR="006C5B2C">
        <w:tab/>
      </w:r>
      <w:r w:rsidRPr="00D532F1">
        <w:t>Aceptada, en proceso de aplicación.</w:t>
      </w:r>
    </w:p>
    <w:p w:rsid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99.58</w:t>
      </w:r>
      <w:r w:rsidR="006C5B2C">
        <w:tab/>
      </w:r>
      <w:r w:rsidRPr="00D532F1">
        <w:t>Aceptada, en proceso de aplicación.</w:t>
      </w:r>
    </w:p>
    <w:p w:rsidR="004B4D8E" w:rsidRPr="004B4D8E" w:rsidRDefault="004B4D8E" w:rsidP="004B4D8E">
      <w:pPr>
        <w:pStyle w:val="SingleTxt"/>
        <w:spacing w:after="0" w:line="120" w:lineRule="exact"/>
        <w:rPr>
          <w:sz w:val="10"/>
        </w:rPr>
      </w:pPr>
    </w:p>
    <w:p w:rsidR="00D532F1" w:rsidRDefault="00D532F1" w:rsidP="004B4D8E">
      <w:pPr>
        <w:pStyle w:val="Sponsors"/>
      </w:pPr>
      <w:r w:rsidRPr="00D532F1">
        <w:tab/>
      </w:r>
      <w:r w:rsidRPr="00D532F1">
        <w:tab/>
        <w:t>Derechos de la mujer</w:t>
      </w:r>
    </w:p>
    <w:p w:rsidR="004B4D8E" w:rsidRPr="004B4D8E" w:rsidRDefault="004B4D8E" w:rsidP="004B4D8E">
      <w:pPr>
        <w:pStyle w:val="Sponsors"/>
        <w:spacing w:line="120" w:lineRule="exact"/>
        <w:rPr>
          <w:sz w:val="10"/>
        </w:rPr>
      </w:pP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99.68</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99.67</w:t>
      </w:r>
      <w:r w:rsidR="006C5B2C">
        <w:tab/>
      </w:r>
      <w:r w:rsidRPr="00D532F1">
        <w:t xml:space="preserve"> 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99.59</w:t>
      </w:r>
      <w:r w:rsidR="006C5B2C">
        <w:tab/>
      </w:r>
      <w:r w:rsidRPr="00D532F1">
        <w:t xml:space="preserve"> 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99.53</w:t>
      </w:r>
      <w:r w:rsidR="006C5B2C">
        <w:tab/>
      </w:r>
      <w:r w:rsidRPr="00D532F1">
        <w:t xml:space="preserve"> 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99.69</w:t>
      </w:r>
      <w:r w:rsidR="006C5B2C">
        <w:tab/>
      </w:r>
      <w:r w:rsidRPr="00D532F1">
        <w:t xml:space="preserve"> 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99.70</w:t>
      </w:r>
      <w:r w:rsidR="006C5B2C">
        <w:tab/>
      </w:r>
      <w:r w:rsidRPr="00D532F1">
        <w:t xml:space="preserve"> 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99.74</w:t>
      </w:r>
      <w:r w:rsidR="006C5B2C">
        <w:tab/>
      </w:r>
      <w:r w:rsidRPr="00D532F1">
        <w:t xml:space="preserve"> 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99.71</w:t>
      </w:r>
      <w:r w:rsidR="006C5B2C">
        <w:tab/>
      </w:r>
      <w:r w:rsidRPr="00D532F1">
        <w:t xml:space="preserve"> Aceptada y aplicada. (Véase: Ley del </w:t>
      </w:r>
      <w:r w:rsidR="00C80432">
        <w:t>T</w:t>
      </w:r>
      <w:r w:rsidRPr="00D532F1">
        <w:t>rabajo, 2014.)</w:t>
      </w:r>
    </w:p>
    <w:p w:rsidR="00D532F1" w:rsidRPr="00D532F1" w:rsidRDefault="00D532F1" w:rsidP="00CC261D">
      <w:pPr>
        <w:pStyle w:val="SingleTxt"/>
        <w:keepNext/>
        <w:keepLines/>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99.113</w:t>
      </w:r>
      <w:r w:rsidR="006C5B2C">
        <w:tab/>
      </w:r>
      <w:r w:rsidRPr="00D532F1">
        <w:t>Aceptada y aplicada.</w:t>
      </w:r>
    </w:p>
    <w:p w:rsidR="00D532F1" w:rsidRPr="00D532F1" w:rsidRDefault="00D532F1" w:rsidP="00D532F1">
      <w:pPr>
        <w:pStyle w:val="SingleTxt"/>
      </w:pPr>
      <w:r w:rsidRPr="00D532F1">
        <w:t xml:space="preserve">Aceptada, en particular mediante </w:t>
      </w:r>
      <w:r w:rsidR="00CC261D">
        <w:t xml:space="preserve">medidas activas en el mercado de trabajo y empleos creados </w:t>
      </w:r>
      <w:r w:rsidRPr="00D532F1">
        <w:t xml:space="preserve">específicamente para mujeres desempleadas. </w:t>
      </w:r>
    </w:p>
    <w:p w:rsid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99.114</w:t>
      </w:r>
      <w:r w:rsidR="006C5B2C">
        <w:tab/>
      </w:r>
      <w:r w:rsidRPr="00D532F1">
        <w:t>Aceptada, en proceso de aplicación.</w:t>
      </w:r>
    </w:p>
    <w:p w:rsidR="004B4D8E" w:rsidRPr="004B4D8E" w:rsidRDefault="004B4D8E" w:rsidP="004B4D8E">
      <w:pPr>
        <w:pStyle w:val="SingleTxt"/>
        <w:spacing w:after="0" w:line="120" w:lineRule="exact"/>
        <w:rPr>
          <w:sz w:val="10"/>
        </w:rPr>
      </w:pPr>
    </w:p>
    <w:p w:rsidR="00D532F1" w:rsidRDefault="00D532F1" w:rsidP="004B4D8E">
      <w:pPr>
        <w:pStyle w:val="Sponsors"/>
      </w:pPr>
      <w:r w:rsidRPr="00D532F1">
        <w:tab/>
      </w:r>
      <w:r w:rsidRPr="00D532F1">
        <w:tab/>
        <w:t>Niños</w:t>
      </w:r>
    </w:p>
    <w:p w:rsidR="004B4D8E" w:rsidRPr="004B4D8E" w:rsidRDefault="004B4D8E" w:rsidP="004B4D8E">
      <w:pPr>
        <w:pStyle w:val="Sponsors"/>
        <w:spacing w:line="120" w:lineRule="exact"/>
        <w:rPr>
          <w:sz w:val="10"/>
        </w:rPr>
      </w:pP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99.46</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99.62</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99.54</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99.48</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99.49</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99.81</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99.83</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99.72</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99.87</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99.121</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99.124</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99.125</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99.112</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99.126</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99.127</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99.128</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99.129</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99.165</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99.119</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99.130</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99.140</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99.137</w:t>
      </w:r>
      <w:r w:rsidR="006C5B2C">
        <w:tab/>
      </w:r>
      <w:r w:rsidRPr="00D532F1">
        <w:t>Aceptada, en proceso de aplicación.</w:t>
      </w:r>
    </w:p>
    <w:p w:rsid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99.147</w:t>
      </w:r>
      <w:r w:rsidR="006C5B2C">
        <w:tab/>
      </w:r>
      <w:r w:rsidRPr="00D532F1">
        <w:t>Aceptada, en proceso de aplicación.</w:t>
      </w:r>
    </w:p>
    <w:p w:rsidR="004B4D8E" w:rsidRPr="004B4D8E" w:rsidRDefault="004B4D8E" w:rsidP="004B4D8E">
      <w:pPr>
        <w:pStyle w:val="SingleTxt"/>
        <w:spacing w:after="0" w:line="120" w:lineRule="exact"/>
        <w:rPr>
          <w:sz w:val="10"/>
        </w:rPr>
      </w:pPr>
    </w:p>
    <w:p w:rsidR="00D532F1" w:rsidRDefault="00D532F1" w:rsidP="004B4D8E">
      <w:pPr>
        <w:pStyle w:val="Sponsors"/>
      </w:pPr>
      <w:r w:rsidRPr="00D532F1">
        <w:tab/>
      </w:r>
      <w:r w:rsidRPr="00D532F1">
        <w:tab/>
        <w:t>Discapacidades</w:t>
      </w:r>
    </w:p>
    <w:p w:rsidR="004B4D8E" w:rsidRPr="004B4D8E" w:rsidRDefault="004B4D8E" w:rsidP="004B4D8E">
      <w:pPr>
        <w:pStyle w:val="Sponsors"/>
        <w:spacing w:line="120" w:lineRule="exact"/>
        <w:rPr>
          <w:sz w:val="10"/>
        </w:rPr>
      </w:pP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99.47</w:t>
      </w:r>
      <w:r w:rsidR="006C5B2C">
        <w:tab/>
      </w:r>
      <w:r w:rsidRPr="00D532F1">
        <w:t>Aceptada y aplicada.</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99.63</w:t>
      </w:r>
      <w:r w:rsidR="006C5B2C">
        <w:tab/>
      </w:r>
      <w:r w:rsidRPr="00D532F1">
        <w:t>Aceptada y aplicada.</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99.32</w:t>
      </w:r>
      <w:r w:rsidR="006C5B2C">
        <w:tab/>
      </w:r>
      <w:r w:rsidRPr="00D532F1">
        <w:t>Aceptada y aplicada.</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99.131</w:t>
      </w:r>
      <w:r w:rsidR="006C5B2C">
        <w:tab/>
      </w:r>
      <w:r w:rsidRPr="00D532F1">
        <w:t>Aceptada y aplicada.</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99.133</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99.132</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99.134</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99.136</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99.135</w:t>
      </w:r>
      <w:r w:rsidR="006C5B2C">
        <w:tab/>
      </w:r>
      <w:r w:rsidRPr="00D532F1">
        <w:t>Aceptada y aplicada.</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99.138</w:t>
      </w:r>
      <w:r w:rsidR="006C5B2C">
        <w:tab/>
      </w:r>
      <w:r w:rsidRPr="00D532F1">
        <w:t>Aceptada y aplicada.</w:t>
      </w:r>
    </w:p>
    <w:p w:rsidR="00D532F1" w:rsidRPr="00D532F1" w:rsidRDefault="00D532F1" w:rsidP="00D532F1">
      <w:pPr>
        <w:pStyle w:val="SingleTxt"/>
      </w:pPr>
      <w:r w:rsidRPr="00D532F1">
        <w:t>Se aplica, en particular por medio de la</w:t>
      </w:r>
      <w:r w:rsidR="0053310E">
        <w:t xml:space="preserve"> </w:t>
      </w:r>
      <w:r w:rsidRPr="00D532F1">
        <w:t xml:space="preserve">Ley sobre la </w:t>
      </w:r>
      <w:r w:rsidR="00C80432">
        <w:t>R</w:t>
      </w:r>
      <w:r w:rsidRPr="00D532F1">
        <w:t xml:space="preserve">eadaptación </w:t>
      </w:r>
      <w:r w:rsidR="00C80432">
        <w:t>P</w:t>
      </w:r>
      <w:r w:rsidRPr="00D532F1">
        <w:t xml:space="preserve">rofesional y el </w:t>
      </w:r>
      <w:r w:rsidR="00C80432">
        <w:t>E</w:t>
      </w:r>
      <w:r w:rsidRPr="00D532F1">
        <w:t xml:space="preserve">mpleo de </w:t>
      </w:r>
      <w:r w:rsidR="00C80432">
        <w:t>P</w:t>
      </w:r>
      <w:r w:rsidRPr="00D532F1">
        <w:t xml:space="preserve">ersonas </w:t>
      </w:r>
      <w:r w:rsidR="00C80432">
        <w:t>I</w:t>
      </w:r>
      <w:r w:rsidRPr="00D532F1">
        <w:t>nválidas.</w:t>
      </w:r>
    </w:p>
    <w:p w:rsid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99.139</w:t>
      </w:r>
      <w:r w:rsidR="006C5B2C">
        <w:tab/>
      </w:r>
      <w:r w:rsidRPr="00D532F1">
        <w:t>Aceptada, en proceso de aplicación.</w:t>
      </w:r>
    </w:p>
    <w:p w:rsidR="004B4D8E" w:rsidRPr="004B4D8E" w:rsidRDefault="004B4D8E" w:rsidP="004B4D8E">
      <w:pPr>
        <w:pStyle w:val="SingleTxt"/>
        <w:spacing w:after="0" w:line="120" w:lineRule="exact"/>
        <w:rPr>
          <w:sz w:val="10"/>
        </w:rPr>
      </w:pPr>
    </w:p>
    <w:p w:rsidR="00D532F1" w:rsidRDefault="00D532F1" w:rsidP="004B4D8E">
      <w:pPr>
        <w:pStyle w:val="Sponsors"/>
      </w:pPr>
      <w:r w:rsidRPr="00D532F1">
        <w:tab/>
      </w:r>
      <w:r w:rsidRPr="00D532F1">
        <w:tab/>
        <w:t xml:space="preserve">Personas LGBT </w:t>
      </w:r>
    </w:p>
    <w:p w:rsidR="004B4D8E" w:rsidRPr="004B4D8E" w:rsidRDefault="004B4D8E" w:rsidP="004B4D8E">
      <w:pPr>
        <w:pStyle w:val="Sponsors"/>
        <w:spacing w:line="120" w:lineRule="exact"/>
        <w:rPr>
          <w:sz w:val="10"/>
        </w:rPr>
      </w:pP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99.77</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99.111</w:t>
      </w:r>
      <w:r w:rsidR="006C5B2C">
        <w:tab/>
      </w:r>
      <w:r w:rsidRPr="00D532F1">
        <w:t>No se acepta</w:t>
      </w:r>
      <w:r w:rsidRPr="00B512A3">
        <w:t>.</w:t>
      </w:r>
    </w:p>
    <w:p w:rsidR="00D532F1" w:rsidRDefault="00D532F1" w:rsidP="00D532F1">
      <w:pPr>
        <w:pStyle w:val="SingleTxt"/>
      </w:pPr>
      <w:r w:rsidRPr="00D532F1">
        <w:t xml:space="preserve">La República de Croacia aplica desde 2007 un sistema de registro de todos los crímenes motivados por el odio. Desde entonces han quedado registrados todos los delitos y faltas cometidos por motivos de raza, color, religión, origen nacional o étnico, discapacidad, género, orientación sexual o identidad de género. En el registro correspondiente a este período no aparece ningún agente de las fuerzas del orden imputado por delitos o faltas motivados por el odio. Por otro lado, desde 2006 la </w:t>
      </w:r>
      <w:r w:rsidR="00C80432">
        <w:t>p</w:t>
      </w:r>
      <w:r w:rsidRPr="00D532F1">
        <w:t>olicía croata imparte formación sobre este tipo de delitos a sus agentes en la Academia de Policía. Así pues, no aceptamos la recomendación 111, ya que no hemos registrado ningún delito motivado por el odio cometido por agentes de las fuerzas del orden contra personas LGBT o miembros de minorías étnicas.</w:t>
      </w:r>
    </w:p>
    <w:p w:rsidR="004B4D8E" w:rsidRPr="004B4D8E" w:rsidRDefault="004B4D8E" w:rsidP="004B4D8E">
      <w:pPr>
        <w:pStyle w:val="SingleTxt"/>
        <w:spacing w:after="0" w:line="120" w:lineRule="exact"/>
        <w:rPr>
          <w:sz w:val="10"/>
        </w:rPr>
      </w:pPr>
    </w:p>
    <w:p w:rsidR="00D532F1" w:rsidRDefault="00D532F1" w:rsidP="004B4D8E">
      <w:pPr>
        <w:pStyle w:val="Sponsors"/>
      </w:pPr>
      <w:r w:rsidRPr="00D532F1">
        <w:tab/>
      </w:r>
      <w:r w:rsidRPr="00D532F1">
        <w:tab/>
        <w:t>Trata de personas</w:t>
      </w:r>
    </w:p>
    <w:p w:rsidR="004B4D8E" w:rsidRPr="004B4D8E" w:rsidRDefault="004B4D8E" w:rsidP="004B4D8E">
      <w:pPr>
        <w:pStyle w:val="Sponsors"/>
        <w:spacing w:line="120" w:lineRule="exact"/>
        <w:rPr>
          <w:sz w:val="10"/>
        </w:rPr>
      </w:pP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99.91</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99.85</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99.75</w:t>
      </w:r>
      <w:r w:rsidR="006C5B2C">
        <w:tab/>
      </w:r>
      <w:r w:rsidRPr="00D532F1">
        <w:t>Aceptada, en proceso de aplicación.</w:t>
      </w:r>
    </w:p>
    <w:p w:rsid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99.110</w:t>
      </w:r>
      <w:r w:rsidR="006C5B2C">
        <w:tab/>
      </w:r>
      <w:r w:rsidRPr="00D532F1">
        <w:t>Aceptada, en proceso de aplicación.</w:t>
      </w:r>
    </w:p>
    <w:p w:rsidR="004B4D8E" w:rsidRPr="004B4D8E" w:rsidRDefault="004B4D8E" w:rsidP="004B4D8E">
      <w:pPr>
        <w:pStyle w:val="SingleTxt"/>
        <w:spacing w:after="0" w:line="120" w:lineRule="exact"/>
        <w:rPr>
          <w:sz w:val="10"/>
        </w:rPr>
      </w:pPr>
    </w:p>
    <w:p w:rsidR="00D532F1" w:rsidRDefault="00D532F1" w:rsidP="004B4D8E">
      <w:pPr>
        <w:pStyle w:val="Sponsors"/>
      </w:pPr>
      <w:r w:rsidRPr="00D532F1">
        <w:tab/>
      </w:r>
      <w:r w:rsidRPr="00D532F1">
        <w:tab/>
        <w:t>Minorías nacionales</w:t>
      </w:r>
    </w:p>
    <w:p w:rsidR="004B4D8E" w:rsidRPr="004B4D8E" w:rsidRDefault="004B4D8E" w:rsidP="004B4D8E">
      <w:pPr>
        <w:pStyle w:val="Sponsors"/>
        <w:spacing w:line="120" w:lineRule="exact"/>
        <w:rPr>
          <w:sz w:val="10"/>
        </w:rPr>
      </w:pP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99.146</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99.56</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99.150</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99.154</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99.141</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99.152</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99.142</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99.144</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99.155</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99.143</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99.145</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99.149</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99.151</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99.153</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99.156</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99.157</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99.148</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99.166</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99.60</w:t>
      </w:r>
      <w:r w:rsidR="006C5B2C">
        <w:tab/>
      </w:r>
      <w:r w:rsidRPr="00D532F1">
        <w:t xml:space="preserve">Aceptada, en proceso de aplicación. </w:t>
      </w:r>
    </w:p>
    <w:p w:rsidR="00D532F1" w:rsidRPr="00D532F1" w:rsidRDefault="00D532F1" w:rsidP="00D532F1">
      <w:pPr>
        <w:pStyle w:val="SingleTxt"/>
      </w:pPr>
      <w:r w:rsidRPr="00D532F1">
        <w:t xml:space="preserve">Comentario: La Ley de </w:t>
      </w:r>
      <w:r w:rsidR="00C80432">
        <w:t>B</w:t>
      </w:r>
      <w:r w:rsidRPr="00D532F1">
        <w:t xml:space="preserve">ienestar </w:t>
      </w:r>
      <w:r w:rsidR="00C80432">
        <w:t>S</w:t>
      </w:r>
      <w:r w:rsidRPr="00D532F1">
        <w:t>ocial no considera grupos vulnerables a las minorías nacionales en cuanto tales</w:t>
      </w:r>
      <w:r w:rsidR="00CC261D">
        <w:t xml:space="preserve"> y sus miembros, al</w:t>
      </w:r>
      <w:r w:rsidRPr="00D532F1">
        <w:t xml:space="preserve"> igual que cualquier otro ciudadano croata, </w:t>
      </w:r>
      <w:r w:rsidR="00CC261D">
        <w:t xml:space="preserve">pueden obtener </w:t>
      </w:r>
      <w:r w:rsidRPr="00D532F1">
        <w:t>prestaciones del sistema de asistencia social exclusivamente en razón de determinadas privaciones sociales definidas por ley.</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99.115</w:t>
      </w:r>
      <w:r w:rsidR="006C5B2C">
        <w:tab/>
      </w:r>
      <w:r w:rsidRPr="00D532F1">
        <w:t>Aceptada, en proceso de aplicación.</w:t>
      </w:r>
    </w:p>
    <w:p w:rsid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99.116</w:t>
      </w:r>
      <w:r w:rsidR="006C5B2C">
        <w:tab/>
      </w:r>
      <w:r w:rsidRPr="00D532F1">
        <w:t>Aceptada, en proceso de aplicación.</w:t>
      </w:r>
    </w:p>
    <w:p w:rsidR="004B4D8E" w:rsidRPr="004B4D8E" w:rsidRDefault="004B4D8E" w:rsidP="004B4D8E">
      <w:pPr>
        <w:pStyle w:val="SingleTxt"/>
        <w:spacing w:after="0" w:line="120" w:lineRule="exact"/>
        <w:rPr>
          <w:sz w:val="10"/>
        </w:rPr>
      </w:pPr>
    </w:p>
    <w:p w:rsidR="00D532F1" w:rsidRDefault="00D532F1" w:rsidP="004B4D8E">
      <w:pPr>
        <w:pStyle w:val="Sponsors"/>
      </w:pPr>
      <w:r w:rsidRPr="00D532F1">
        <w:tab/>
      </w:r>
      <w:r w:rsidRPr="00D532F1">
        <w:tab/>
        <w:t xml:space="preserve">Refugiados y repatriados </w:t>
      </w:r>
    </w:p>
    <w:p w:rsidR="004B4D8E" w:rsidRPr="004B4D8E" w:rsidRDefault="004B4D8E" w:rsidP="004B4D8E">
      <w:pPr>
        <w:pStyle w:val="Sponsors"/>
        <w:spacing w:line="120" w:lineRule="exact"/>
        <w:rPr>
          <w:sz w:val="10"/>
        </w:rPr>
      </w:pP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99.162</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99.163</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99.161</w:t>
      </w:r>
      <w:r w:rsidR="006C5B2C">
        <w:tab/>
      </w:r>
      <w:r w:rsidRPr="00D532F1">
        <w:t>Aceptada, en proceso de aplicación.</w:t>
      </w:r>
    </w:p>
    <w:p w:rsidR="00D532F1" w:rsidRPr="00D532F1" w:rsidRDefault="00CC261D" w:rsidP="00D532F1">
      <w:pPr>
        <w:pStyle w:val="SingleTxt"/>
      </w:pPr>
      <w:r>
        <w:t xml:space="preserve">Se trata en particular del </w:t>
      </w:r>
      <w:r w:rsidR="00D532F1" w:rsidRPr="00D532F1">
        <w:t xml:space="preserve">Plan Nacional de Viviendas y </w:t>
      </w:r>
      <w:r w:rsidR="00C80432">
        <w:t>e</w:t>
      </w:r>
      <w:r w:rsidR="00D532F1" w:rsidRPr="00D532F1">
        <w:t>l Plan Regional de Viviendas.</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99.117</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99.120</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99.164</w:t>
      </w:r>
      <w:r w:rsidR="006C5B2C">
        <w:tab/>
      </w:r>
      <w:r w:rsidRPr="00D532F1">
        <w:t>Aceptada, en proceso de aplicación.</w:t>
      </w:r>
    </w:p>
    <w:p w:rsid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99.167</w:t>
      </w:r>
      <w:r w:rsidR="006C5B2C">
        <w:tab/>
      </w:r>
      <w:r w:rsidRPr="00D532F1">
        <w:t>Aceptada, en proceso de aplicación.</w:t>
      </w:r>
    </w:p>
    <w:p w:rsidR="004B4D8E" w:rsidRPr="004B4D8E" w:rsidRDefault="004B4D8E" w:rsidP="004B4D8E">
      <w:pPr>
        <w:pStyle w:val="SingleTxt"/>
        <w:spacing w:after="0" w:line="120" w:lineRule="exact"/>
        <w:rPr>
          <w:sz w:val="10"/>
        </w:rPr>
      </w:pPr>
    </w:p>
    <w:p w:rsidR="00D532F1" w:rsidRDefault="00D532F1" w:rsidP="004B4D8E">
      <w:pPr>
        <w:pStyle w:val="Sponsors"/>
      </w:pPr>
      <w:r w:rsidRPr="00D532F1">
        <w:tab/>
      </w:r>
      <w:r w:rsidRPr="00D532F1">
        <w:tab/>
        <w:t>Migrantes y solicitantes de asilo</w:t>
      </w:r>
    </w:p>
    <w:p w:rsidR="004B4D8E" w:rsidRPr="004B4D8E" w:rsidRDefault="004B4D8E" w:rsidP="004B4D8E">
      <w:pPr>
        <w:pStyle w:val="Sponsors"/>
        <w:spacing w:line="120" w:lineRule="exact"/>
        <w:rPr>
          <w:sz w:val="10"/>
        </w:rPr>
      </w:pP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99.158</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99.160</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99.35</w:t>
      </w:r>
      <w:r w:rsidR="006C5B2C">
        <w:tab/>
      </w:r>
      <w:r w:rsidRPr="00D532F1">
        <w:t>Aceptada y aplicada.</w:t>
      </w:r>
    </w:p>
    <w:p w:rsid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99.159</w:t>
      </w:r>
      <w:r w:rsidR="006C5B2C">
        <w:tab/>
      </w:r>
      <w:r w:rsidRPr="00D532F1">
        <w:t>Aceptada y aplicada</w:t>
      </w:r>
      <w:r w:rsidR="004B4D8E">
        <w:t>.</w:t>
      </w:r>
    </w:p>
    <w:p w:rsidR="004B4D8E" w:rsidRPr="004B4D8E" w:rsidRDefault="004B4D8E" w:rsidP="004B4D8E">
      <w:pPr>
        <w:pStyle w:val="SingleTxt"/>
        <w:spacing w:after="0" w:line="120" w:lineRule="exact"/>
        <w:rPr>
          <w:sz w:val="10"/>
        </w:rPr>
      </w:pPr>
    </w:p>
    <w:p w:rsidR="00D532F1" w:rsidRDefault="00D532F1" w:rsidP="004B4D8E">
      <w:pPr>
        <w:pStyle w:val="Sponsors"/>
      </w:pPr>
      <w:r w:rsidRPr="00D532F1">
        <w:tab/>
      </w:r>
      <w:r w:rsidRPr="00D532F1">
        <w:tab/>
        <w:t>Crímenes de guerra y</w:t>
      </w:r>
      <w:r w:rsidR="0053310E">
        <w:t xml:space="preserve"> </w:t>
      </w:r>
      <w:r w:rsidRPr="00D532F1">
        <w:t>personas desaparecidas</w:t>
      </w:r>
    </w:p>
    <w:p w:rsidR="004B4D8E" w:rsidRPr="004B4D8E" w:rsidRDefault="004B4D8E" w:rsidP="004B4D8E">
      <w:pPr>
        <w:pStyle w:val="Sponsors"/>
        <w:spacing w:line="120" w:lineRule="exact"/>
        <w:rPr>
          <w:sz w:val="10"/>
        </w:rPr>
      </w:pP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99.26</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99.95</w:t>
      </w:r>
      <w:r w:rsidR="006C5B2C">
        <w:tab/>
      </w:r>
      <w:r w:rsidRPr="00D532F1">
        <w:t>Aceptada y aplicada.</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99.105</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99.97</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99.98</w:t>
      </w:r>
      <w:r w:rsidR="006C5B2C">
        <w:tab/>
      </w:r>
      <w:r w:rsidRPr="00D532F1">
        <w:t>Aceptada y aplicada.</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99.100</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99.101</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99.92</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99.107</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99.89</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99.99</w:t>
      </w:r>
      <w:r w:rsidR="006C5B2C">
        <w:tab/>
      </w:r>
      <w:r w:rsidRPr="00D532F1">
        <w:t>Aceptada, en proceso de aplicación.</w:t>
      </w:r>
    </w:p>
    <w:p w:rsidR="00D532F1" w:rsidRP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99.90</w:t>
      </w:r>
      <w:r w:rsidR="006C5B2C">
        <w:tab/>
      </w:r>
      <w:r w:rsidRPr="00D532F1">
        <w:t>Aceptada, en proceso de aplicación.</w:t>
      </w:r>
    </w:p>
    <w:p w:rsidR="00D532F1" w:rsidRDefault="00D532F1" w:rsidP="00B512A3">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070"/>
        </w:tabs>
      </w:pPr>
      <w:r w:rsidRPr="00D532F1">
        <w:t>99.104</w:t>
      </w:r>
      <w:r w:rsidR="006C5B2C">
        <w:tab/>
      </w:r>
      <w:r w:rsidRPr="00D532F1">
        <w:t>Aceptada, en proceso de aplicación.</w:t>
      </w:r>
    </w:p>
    <w:p w:rsidR="004B4D8E" w:rsidRPr="00D532F1" w:rsidRDefault="004B4D8E" w:rsidP="00D532F1">
      <w:pPr>
        <w:pStyle w:val="SingleTxt"/>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4B4D8E" w:rsidRPr="00D532F1" w:rsidSect="004533D5">
      <w:endnotePr>
        <w:numFmt w:val="decimal"/>
      </w:endnotePr>
      <w:type w:val="continuous"/>
      <w:pgSz w:w="11909" w:h="16834" w:code="1"/>
      <w:pgMar w:top="1742" w:right="936" w:bottom="1898" w:left="936" w:header="576" w:footer="103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08A" w:rsidRDefault="0028408A" w:rsidP="008F1E8F">
      <w:pPr>
        <w:spacing w:line="240" w:lineRule="auto"/>
      </w:pPr>
      <w:r>
        <w:separator/>
      </w:r>
    </w:p>
  </w:endnote>
  <w:endnote w:type="continuationSeparator" w:id="0">
    <w:p w:rsidR="0028408A" w:rsidRDefault="0028408A"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D87089" w:rsidTr="00D87089">
      <w:trPr>
        <w:jc w:val="center"/>
      </w:trPr>
      <w:tc>
        <w:tcPr>
          <w:tcW w:w="5126" w:type="dxa"/>
          <w:shd w:val="clear" w:color="auto" w:fill="auto"/>
        </w:tcPr>
        <w:p w:rsidR="00D87089" w:rsidRPr="00D87089" w:rsidRDefault="00D87089" w:rsidP="00D87089">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48238C">
            <w:rPr>
              <w:b w:val="0"/>
              <w:color w:val="000000"/>
              <w:w w:val="103"/>
              <w:sz w:val="14"/>
            </w:rPr>
            <w:t>GE.15-15088</w:t>
          </w:r>
          <w:r>
            <w:rPr>
              <w:b w:val="0"/>
              <w:color w:val="000000"/>
              <w:w w:val="103"/>
              <w:sz w:val="14"/>
            </w:rPr>
            <w:fldChar w:fldCharType="end"/>
          </w:r>
        </w:p>
      </w:tc>
      <w:tc>
        <w:tcPr>
          <w:tcW w:w="5127" w:type="dxa"/>
          <w:shd w:val="clear" w:color="auto" w:fill="auto"/>
        </w:tcPr>
        <w:p w:rsidR="00D87089" w:rsidRPr="00D87089" w:rsidRDefault="00D87089" w:rsidP="00D87089">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2E7133">
            <w:rPr>
              <w:color w:val="000000"/>
              <w:w w:val="103"/>
            </w:rPr>
            <w:t>10</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2E7133">
            <w:rPr>
              <w:color w:val="000000"/>
              <w:w w:val="103"/>
            </w:rPr>
            <w:t>10</w:t>
          </w:r>
          <w:r>
            <w:rPr>
              <w:color w:val="000000"/>
              <w:w w:val="103"/>
            </w:rPr>
            <w:fldChar w:fldCharType="end"/>
          </w:r>
        </w:p>
      </w:tc>
    </w:tr>
  </w:tbl>
  <w:p w:rsidR="00D87089" w:rsidRPr="00D87089" w:rsidRDefault="00D87089" w:rsidP="00D870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D87089" w:rsidTr="00D87089">
      <w:trPr>
        <w:jc w:val="center"/>
      </w:trPr>
      <w:tc>
        <w:tcPr>
          <w:tcW w:w="5126" w:type="dxa"/>
          <w:shd w:val="clear" w:color="auto" w:fill="auto"/>
        </w:tcPr>
        <w:p w:rsidR="00D87089" w:rsidRPr="00D87089" w:rsidRDefault="00D87089" w:rsidP="00D87089">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2E7133">
            <w:rPr>
              <w:color w:val="000000"/>
              <w:w w:val="103"/>
            </w:rPr>
            <w:t>9</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2E7133">
            <w:rPr>
              <w:color w:val="000000"/>
              <w:w w:val="103"/>
            </w:rPr>
            <w:t>9</w:t>
          </w:r>
          <w:r>
            <w:rPr>
              <w:color w:val="000000"/>
              <w:w w:val="103"/>
            </w:rPr>
            <w:fldChar w:fldCharType="end"/>
          </w:r>
        </w:p>
      </w:tc>
      <w:tc>
        <w:tcPr>
          <w:tcW w:w="5127" w:type="dxa"/>
          <w:shd w:val="clear" w:color="auto" w:fill="auto"/>
        </w:tcPr>
        <w:p w:rsidR="00D87089" w:rsidRPr="00D87089" w:rsidRDefault="00D87089" w:rsidP="00D87089">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48238C">
            <w:rPr>
              <w:b w:val="0"/>
              <w:color w:val="000000"/>
              <w:w w:val="103"/>
              <w:sz w:val="14"/>
            </w:rPr>
            <w:t>GE.15-15088</w:t>
          </w:r>
          <w:r>
            <w:rPr>
              <w:b w:val="0"/>
              <w:color w:val="000000"/>
              <w:w w:val="103"/>
              <w:sz w:val="14"/>
            </w:rPr>
            <w:fldChar w:fldCharType="end"/>
          </w:r>
        </w:p>
      </w:tc>
    </w:tr>
  </w:tbl>
  <w:p w:rsidR="00D87089" w:rsidRPr="00D87089" w:rsidRDefault="00D87089" w:rsidP="00D870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089" w:rsidRPr="00D87089" w:rsidRDefault="00D87089" w:rsidP="00D87089">
    <w:pPr>
      <w:pStyle w:val="Footer"/>
      <w:spacing w:line="120" w:lineRule="exact"/>
      <w:rPr>
        <w:b w:val="0"/>
        <w:sz w:val="10"/>
      </w:rPr>
    </w:pPr>
    <w:r>
      <w:rPr>
        <w:b w:val="0"/>
        <w:sz w:val="10"/>
        <w:lang w:val="en-GB" w:eastAsia="en-GB"/>
      </w:rPr>
      <w:drawing>
        <wp:anchor distT="0" distB="0" distL="114300" distR="114300" simplePos="0" relativeHeight="251658240" behindDoc="0" locked="0" layoutInCell="1" allowOverlap="1" wp14:anchorId="6CD1419F" wp14:editId="32CF6161">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14/Add.1&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4/Add.1&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D87089" w:rsidTr="00D87089">
      <w:tc>
        <w:tcPr>
          <w:tcW w:w="3859" w:type="dxa"/>
        </w:tcPr>
        <w:p w:rsidR="00D87089" w:rsidRDefault="00D87089" w:rsidP="00D87089">
          <w:pPr>
            <w:pStyle w:val="ReleaseDate"/>
          </w:pPr>
          <w:r>
            <w:t xml:space="preserve">GE.15-15088 (S)    </w:t>
          </w:r>
          <w:r w:rsidR="00D532F1">
            <w:t>17</w:t>
          </w:r>
          <w:r>
            <w:t xml:space="preserve">0915    </w:t>
          </w:r>
          <w:r w:rsidR="00CC261D">
            <w:t>21</w:t>
          </w:r>
          <w:r>
            <w:t>0915</w:t>
          </w:r>
        </w:p>
        <w:p w:rsidR="00D87089" w:rsidRPr="00D87089" w:rsidRDefault="00D87089" w:rsidP="00D87089">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*1515088*</w:t>
          </w:r>
        </w:p>
      </w:tc>
      <w:tc>
        <w:tcPr>
          <w:tcW w:w="5127" w:type="dxa"/>
        </w:tcPr>
        <w:p w:rsidR="00D87089" w:rsidRDefault="00D87089" w:rsidP="00D87089">
          <w:pPr>
            <w:pStyle w:val="Footer"/>
            <w:jc w:val="right"/>
            <w:rPr>
              <w:b w:val="0"/>
              <w:sz w:val="20"/>
            </w:rPr>
          </w:pPr>
          <w:r>
            <w:rPr>
              <w:b w:val="0"/>
              <w:sz w:val="20"/>
              <w:lang w:val="en-GB" w:eastAsia="en-GB"/>
            </w:rPr>
            <w:drawing>
              <wp:inline distT="0" distB="0" distL="0" distR="0" wp14:anchorId="58D7A060" wp14:editId="6330706B">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D87089" w:rsidRPr="00D87089" w:rsidRDefault="00D87089" w:rsidP="00D87089">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08A" w:rsidRPr="0078718E" w:rsidRDefault="0078718E" w:rsidP="0078718E">
      <w:pPr>
        <w:pStyle w:val="Footer"/>
        <w:spacing w:after="80"/>
        <w:ind w:left="792"/>
        <w:rPr>
          <w:sz w:val="16"/>
        </w:rPr>
      </w:pPr>
      <w:r w:rsidRPr="0078718E">
        <w:rPr>
          <w:sz w:val="16"/>
        </w:rPr>
        <w:t>__________________</w:t>
      </w:r>
    </w:p>
  </w:footnote>
  <w:footnote w:type="continuationSeparator" w:id="0">
    <w:p w:rsidR="0028408A" w:rsidRPr="0078718E" w:rsidRDefault="0078718E" w:rsidP="0078718E">
      <w:pPr>
        <w:pStyle w:val="Footer"/>
        <w:spacing w:after="80"/>
        <w:ind w:left="792"/>
        <w:rPr>
          <w:sz w:val="16"/>
        </w:rPr>
      </w:pPr>
      <w:r w:rsidRPr="0078718E">
        <w:rPr>
          <w:sz w:val="16"/>
        </w:rPr>
        <w:t>__________________</w:t>
      </w:r>
    </w:p>
  </w:footnote>
  <w:footnote w:id="1">
    <w:p w:rsidR="00D532F1" w:rsidRPr="000919A2" w:rsidRDefault="00D532F1" w:rsidP="0078718E">
      <w:pPr>
        <w:pStyle w:val="FootnoteText"/>
        <w:tabs>
          <w:tab w:val="clear" w:pos="418"/>
          <w:tab w:val="right" w:pos="1195"/>
          <w:tab w:val="left" w:pos="1267"/>
          <w:tab w:val="left" w:pos="1742"/>
          <w:tab w:val="left" w:pos="2218"/>
          <w:tab w:val="left" w:pos="2693"/>
        </w:tabs>
        <w:ind w:left="1267" w:right="1267" w:hanging="432"/>
        <w:rPr>
          <w:szCs w:val="18"/>
        </w:rPr>
      </w:pPr>
      <w:r>
        <w:tab/>
      </w:r>
      <w:r w:rsidRPr="0078718E">
        <w:rPr>
          <w:rStyle w:val="FootnoteReference"/>
          <w:szCs w:val="17"/>
          <w:vertAlign w:val="baseline"/>
        </w:rPr>
        <w:t>*</w:t>
      </w:r>
      <w:r w:rsidRPr="000919A2">
        <w:rPr>
          <w:sz w:val="20"/>
        </w:rPr>
        <w:tab/>
      </w:r>
      <w:r w:rsidRPr="000919A2">
        <w:rPr>
          <w:szCs w:val="18"/>
        </w:rPr>
        <w:t>El presente documento no fue objeto de revisión editorial antes de ser enviado a los servicios de traducción de las Naciones Unidas.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D87089" w:rsidTr="00D87089">
      <w:trPr>
        <w:trHeight w:hRule="exact" w:val="864"/>
        <w:jc w:val="center"/>
      </w:trPr>
      <w:tc>
        <w:tcPr>
          <w:tcW w:w="4882" w:type="dxa"/>
          <w:shd w:val="clear" w:color="auto" w:fill="auto"/>
          <w:vAlign w:val="bottom"/>
        </w:tcPr>
        <w:p w:rsidR="00D87089" w:rsidRPr="00D87089" w:rsidRDefault="00D87089" w:rsidP="00D87089">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48238C">
            <w:rPr>
              <w:b/>
              <w:color w:val="000000"/>
            </w:rPr>
            <w:t>A/HRC/30/14/Add.1</w:t>
          </w:r>
          <w:r>
            <w:rPr>
              <w:b/>
              <w:color w:val="000000"/>
            </w:rPr>
            <w:fldChar w:fldCharType="end"/>
          </w:r>
        </w:p>
      </w:tc>
      <w:tc>
        <w:tcPr>
          <w:tcW w:w="5127" w:type="dxa"/>
          <w:shd w:val="clear" w:color="auto" w:fill="auto"/>
          <w:vAlign w:val="bottom"/>
        </w:tcPr>
        <w:p w:rsidR="00D87089" w:rsidRDefault="00D87089" w:rsidP="00D87089">
          <w:pPr>
            <w:pStyle w:val="Header"/>
          </w:pPr>
        </w:p>
      </w:tc>
    </w:tr>
  </w:tbl>
  <w:p w:rsidR="00D87089" w:rsidRPr="00D87089" w:rsidRDefault="00D87089" w:rsidP="00D87089">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D87089" w:rsidTr="00D87089">
      <w:trPr>
        <w:trHeight w:hRule="exact" w:val="864"/>
        <w:jc w:val="center"/>
      </w:trPr>
      <w:tc>
        <w:tcPr>
          <w:tcW w:w="4882" w:type="dxa"/>
          <w:shd w:val="clear" w:color="auto" w:fill="auto"/>
          <w:vAlign w:val="bottom"/>
        </w:tcPr>
        <w:p w:rsidR="00D87089" w:rsidRDefault="00D87089" w:rsidP="00D87089">
          <w:pPr>
            <w:pStyle w:val="Header"/>
          </w:pPr>
        </w:p>
      </w:tc>
      <w:tc>
        <w:tcPr>
          <w:tcW w:w="5127" w:type="dxa"/>
          <w:shd w:val="clear" w:color="auto" w:fill="auto"/>
          <w:vAlign w:val="bottom"/>
        </w:tcPr>
        <w:p w:rsidR="00D87089" w:rsidRPr="00D87089" w:rsidRDefault="00D87089" w:rsidP="00D87089">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48238C">
            <w:rPr>
              <w:b/>
              <w:color w:val="000000"/>
            </w:rPr>
            <w:t>A/HRC/30/14/Add.1</w:t>
          </w:r>
          <w:r>
            <w:rPr>
              <w:b/>
              <w:color w:val="000000"/>
            </w:rPr>
            <w:fldChar w:fldCharType="end"/>
          </w:r>
        </w:p>
      </w:tc>
    </w:tr>
  </w:tbl>
  <w:p w:rsidR="00D87089" w:rsidRPr="00D87089" w:rsidRDefault="00D87089" w:rsidP="00D87089">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D87089" w:rsidTr="00D87089">
      <w:trPr>
        <w:trHeight w:hRule="exact" w:val="864"/>
      </w:trPr>
      <w:tc>
        <w:tcPr>
          <w:tcW w:w="1267" w:type="dxa"/>
          <w:tcBorders>
            <w:bottom w:val="single" w:sz="4" w:space="0" w:color="auto"/>
          </w:tcBorders>
          <w:shd w:val="clear" w:color="auto" w:fill="auto"/>
          <w:vAlign w:val="bottom"/>
        </w:tcPr>
        <w:p w:rsidR="00D87089" w:rsidRDefault="00D87089" w:rsidP="00D87089">
          <w:pPr>
            <w:pStyle w:val="Header"/>
            <w:spacing w:after="120"/>
          </w:pPr>
        </w:p>
      </w:tc>
      <w:tc>
        <w:tcPr>
          <w:tcW w:w="2059" w:type="dxa"/>
          <w:tcBorders>
            <w:bottom w:val="single" w:sz="4" w:space="0" w:color="auto"/>
          </w:tcBorders>
          <w:shd w:val="clear" w:color="auto" w:fill="auto"/>
          <w:vAlign w:val="bottom"/>
        </w:tcPr>
        <w:p w:rsidR="00D87089" w:rsidRPr="00D87089" w:rsidRDefault="00D87089" w:rsidP="00D87089">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D87089" w:rsidRDefault="00D87089" w:rsidP="00D87089">
          <w:pPr>
            <w:pStyle w:val="Header"/>
            <w:spacing w:after="120"/>
          </w:pPr>
        </w:p>
      </w:tc>
      <w:tc>
        <w:tcPr>
          <w:tcW w:w="6653" w:type="dxa"/>
          <w:gridSpan w:val="4"/>
          <w:tcBorders>
            <w:bottom w:val="single" w:sz="4" w:space="0" w:color="auto"/>
          </w:tcBorders>
          <w:shd w:val="clear" w:color="auto" w:fill="auto"/>
          <w:vAlign w:val="bottom"/>
        </w:tcPr>
        <w:p w:rsidR="00D87089" w:rsidRPr="00D87089" w:rsidRDefault="00D87089" w:rsidP="00D87089">
          <w:pPr>
            <w:spacing w:after="80" w:line="240" w:lineRule="auto"/>
            <w:jc w:val="right"/>
            <w:rPr>
              <w:position w:val="-4"/>
            </w:rPr>
          </w:pPr>
          <w:r>
            <w:rPr>
              <w:position w:val="-4"/>
              <w:sz w:val="40"/>
            </w:rPr>
            <w:t>A</w:t>
          </w:r>
          <w:r>
            <w:rPr>
              <w:position w:val="-4"/>
            </w:rPr>
            <w:t>/HRC/30/14/Add.1</w:t>
          </w:r>
        </w:p>
      </w:tc>
    </w:tr>
    <w:tr w:rsidR="00D87089" w:rsidRPr="00D87089" w:rsidTr="00D87089">
      <w:trPr>
        <w:gridAfter w:val="1"/>
        <w:wAfter w:w="18" w:type="dxa"/>
        <w:trHeight w:hRule="exact" w:val="2880"/>
      </w:trPr>
      <w:tc>
        <w:tcPr>
          <w:tcW w:w="1267" w:type="dxa"/>
          <w:tcBorders>
            <w:top w:val="single" w:sz="4" w:space="0" w:color="auto"/>
            <w:bottom w:val="single" w:sz="12" w:space="0" w:color="auto"/>
          </w:tcBorders>
          <w:shd w:val="clear" w:color="auto" w:fill="auto"/>
        </w:tcPr>
        <w:p w:rsidR="00D87089" w:rsidRPr="00D87089" w:rsidRDefault="00D87089" w:rsidP="00D87089">
          <w:pPr>
            <w:pStyle w:val="Header"/>
            <w:spacing w:before="120"/>
            <w:jc w:val="center"/>
          </w:pPr>
          <w:r>
            <w:t xml:space="preserve"> </w:t>
          </w:r>
          <w:r>
            <w:rPr>
              <w:lang w:val="en-GB" w:eastAsia="en-GB"/>
            </w:rPr>
            <w:drawing>
              <wp:inline distT="0" distB="0" distL="0" distR="0" wp14:anchorId="4A9297CF" wp14:editId="74D6BB02">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D87089" w:rsidRPr="00D87089" w:rsidRDefault="00D87089" w:rsidP="00D87089">
          <w:pPr>
            <w:pStyle w:val="XLarge"/>
            <w:spacing w:before="109"/>
          </w:pPr>
          <w:r>
            <w:t>Asamblea General</w:t>
          </w:r>
        </w:p>
      </w:tc>
      <w:tc>
        <w:tcPr>
          <w:tcW w:w="245" w:type="dxa"/>
          <w:tcBorders>
            <w:top w:val="single" w:sz="4" w:space="0" w:color="auto"/>
            <w:bottom w:val="single" w:sz="12" w:space="0" w:color="auto"/>
          </w:tcBorders>
          <w:shd w:val="clear" w:color="auto" w:fill="auto"/>
        </w:tcPr>
        <w:p w:rsidR="00D87089" w:rsidRPr="00D87089" w:rsidRDefault="00D87089" w:rsidP="00D87089">
          <w:pPr>
            <w:pStyle w:val="Header"/>
            <w:spacing w:before="109"/>
          </w:pPr>
        </w:p>
      </w:tc>
      <w:tc>
        <w:tcPr>
          <w:tcW w:w="3280" w:type="dxa"/>
          <w:tcBorders>
            <w:top w:val="single" w:sz="4" w:space="0" w:color="auto"/>
            <w:bottom w:val="single" w:sz="12" w:space="0" w:color="auto"/>
          </w:tcBorders>
          <w:shd w:val="clear" w:color="auto" w:fill="auto"/>
        </w:tcPr>
        <w:p w:rsidR="00D87089" w:rsidRDefault="00D87089" w:rsidP="00D87089">
          <w:pPr>
            <w:pStyle w:val="Distribution"/>
            <w:spacing w:before="240"/>
          </w:pPr>
          <w:proofErr w:type="spellStart"/>
          <w:r>
            <w:t>Distr</w:t>
          </w:r>
          <w:proofErr w:type="spellEnd"/>
          <w:r>
            <w:t>. general</w:t>
          </w:r>
        </w:p>
        <w:p w:rsidR="00D87089" w:rsidRDefault="00D87089" w:rsidP="00D87089">
          <w:pPr>
            <w:pStyle w:val="Publication"/>
          </w:pPr>
          <w:r>
            <w:t>7 de septiembre de 2015</w:t>
          </w:r>
        </w:p>
        <w:p w:rsidR="00D87089" w:rsidRDefault="00D87089" w:rsidP="00D87089">
          <w:r>
            <w:t>Español</w:t>
          </w:r>
        </w:p>
        <w:p w:rsidR="00D87089" w:rsidRDefault="00D87089" w:rsidP="00D87089">
          <w:pPr>
            <w:pStyle w:val="Original"/>
          </w:pPr>
          <w:r>
            <w:t>Original: inglés</w:t>
          </w:r>
        </w:p>
        <w:p w:rsidR="00D87089" w:rsidRPr="00D87089" w:rsidRDefault="00D87089" w:rsidP="00D87089"/>
      </w:tc>
    </w:tr>
  </w:tbl>
  <w:p w:rsidR="00D87089" w:rsidRPr="00D87089" w:rsidRDefault="00D87089" w:rsidP="00D87089">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1">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2">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3">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4">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5">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14337"/>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5088*"/>
    <w:docVar w:name="CreationDt" w:val="9/18/2015 5:21: PM"/>
    <w:docVar w:name="DocCategory" w:val="Doc"/>
    <w:docVar w:name="DocType" w:val="Final"/>
    <w:docVar w:name="DutyStation" w:val="Geneva"/>
    <w:docVar w:name="FooterJN" w:val="GE.15-15088"/>
    <w:docVar w:name="jobn" w:val="GE.15-15088 (S)"/>
    <w:docVar w:name="jobnDT" w:val="GE.15-15088 (S)   180915"/>
    <w:docVar w:name="jobnDTDT" w:val="GE.15-15088 (S)   180915   180915"/>
    <w:docVar w:name="JobNo" w:val="GE.1515088S"/>
    <w:docVar w:name="JobNo2" w:val="15200575:21: PM"/>
    <w:docVar w:name="LocalDrive" w:val="0"/>
    <w:docVar w:name="OandT" w:val="cb"/>
    <w:docVar w:name="PaperSize" w:val="A4"/>
    <w:docVar w:name="sss1" w:val="A/HRC/30/14/Add.1"/>
    <w:docVar w:name="sss2" w:val="-"/>
    <w:docVar w:name="Symbol1" w:val="A/HRC/30/14/Add.1"/>
    <w:docVar w:name="Symbol2" w:val="-"/>
  </w:docVars>
  <w:rsids>
    <w:rsidRoot w:val="0028408A"/>
    <w:rsid w:val="0000104C"/>
    <w:rsid w:val="00001CC4"/>
    <w:rsid w:val="000025A2"/>
    <w:rsid w:val="00002B98"/>
    <w:rsid w:val="0000430F"/>
    <w:rsid w:val="00005995"/>
    <w:rsid w:val="0001023A"/>
    <w:rsid w:val="00011ED9"/>
    <w:rsid w:val="000145F1"/>
    <w:rsid w:val="0001710A"/>
    <w:rsid w:val="00023216"/>
    <w:rsid w:val="00025DF8"/>
    <w:rsid w:val="00026454"/>
    <w:rsid w:val="000271D6"/>
    <w:rsid w:val="00033058"/>
    <w:rsid w:val="000336E0"/>
    <w:rsid w:val="0003430A"/>
    <w:rsid w:val="000349DD"/>
    <w:rsid w:val="00035AAF"/>
    <w:rsid w:val="00040B8F"/>
    <w:rsid w:val="00043D79"/>
    <w:rsid w:val="00044517"/>
    <w:rsid w:val="0005203D"/>
    <w:rsid w:val="000534EB"/>
    <w:rsid w:val="00054DB8"/>
    <w:rsid w:val="0006088E"/>
    <w:rsid w:val="00061177"/>
    <w:rsid w:val="000637D6"/>
    <w:rsid w:val="000667E7"/>
    <w:rsid w:val="00067D9C"/>
    <w:rsid w:val="000724E5"/>
    <w:rsid w:val="00076C30"/>
    <w:rsid w:val="00076E01"/>
    <w:rsid w:val="000806AC"/>
    <w:rsid w:val="000871C1"/>
    <w:rsid w:val="0009032B"/>
    <w:rsid w:val="000A0C7C"/>
    <w:rsid w:val="000A1971"/>
    <w:rsid w:val="000A53F1"/>
    <w:rsid w:val="000A6B28"/>
    <w:rsid w:val="000B0965"/>
    <w:rsid w:val="000B2A4E"/>
    <w:rsid w:val="000B71D9"/>
    <w:rsid w:val="000C1009"/>
    <w:rsid w:val="000C4DCC"/>
    <w:rsid w:val="000C6904"/>
    <w:rsid w:val="000D11F7"/>
    <w:rsid w:val="000D1E48"/>
    <w:rsid w:val="000D21E6"/>
    <w:rsid w:val="000D4A11"/>
    <w:rsid w:val="000D64ED"/>
    <w:rsid w:val="000D686E"/>
    <w:rsid w:val="000E5000"/>
    <w:rsid w:val="000E66F5"/>
    <w:rsid w:val="000E67FD"/>
    <w:rsid w:val="000E6FEB"/>
    <w:rsid w:val="000F5982"/>
    <w:rsid w:val="000F7375"/>
    <w:rsid w:val="00101405"/>
    <w:rsid w:val="00102135"/>
    <w:rsid w:val="001023C5"/>
    <w:rsid w:val="00107739"/>
    <w:rsid w:val="001109AD"/>
    <w:rsid w:val="00111CCB"/>
    <w:rsid w:val="001179C3"/>
    <w:rsid w:val="001259AF"/>
    <w:rsid w:val="00127EBE"/>
    <w:rsid w:val="00135E50"/>
    <w:rsid w:val="00140F45"/>
    <w:rsid w:val="00143B7C"/>
    <w:rsid w:val="00144177"/>
    <w:rsid w:val="0014610D"/>
    <w:rsid w:val="001471F6"/>
    <w:rsid w:val="00147CC5"/>
    <w:rsid w:val="00152E53"/>
    <w:rsid w:val="00153EA2"/>
    <w:rsid w:val="00153FD7"/>
    <w:rsid w:val="00154204"/>
    <w:rsid w:val="001561B2"/>
    <w:rsid w:val="0015662C"/>
    <w:rsid w:val="001571BC"/>
    <w:rsid w:val="001701FE"/>
    <w:rsid w:val="00170784"/>
    <w:rsid w:val="00174971"/>
    <w:rsid w:val="0017756D"/>
    <w:rsid w:val="00177A61"/>
    <w:rsid w:val="0018579A"/>
    <w:rsid w:val="00186A14"/>
    <w:rsid w:val="00187C4A"/>
    <w:rsid w:val="00190B00"/>
    <w:rsid w:val="00195EFF"/>
    <w:rsid w:val="001A2E38"/>
    <w:rsid w:val="001A2FAC"/>
    <w:rsid w:val="001A546F"/>
    <w:rsid w:val="001A72EA"/>
    <w:rsid w:val="001B2FC3"/>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4835"/>
    <w:rsid w:val="001F0EC3"/>
    <w:rsid w:val="001F1D4C"/>
    <w:rsid w:val="001F2FC0"/>
    <w:rsid w:val="001F74B0"/>
    <w:rsid w:val="00200A61"/>
    <w:rsid w:val="0020684C"/>
    <w:rsid w:val="002070C6"/>
    <w:rsid w:val="00214AF3"/>
    <w:rsid w:val="00217E05"/>
    <w:rsid w:val="0022060C"/>
    <w:rsid w:val="002277C7"/>
    <w:rsid w:val="002345EA"/>
    <w:rsid w:val="00240653"/>
    <w:rsid w:val="00242088"/>
    <w:rsid w:val="0024283D"/>
    <w:rsid w:val="00244CF4"/>
    <w:rsid w:val="00247894"/>
    <w:rsid w:val="00251995"/>
    <w:rsid w:val="0025615B"/>
    <w:rsid w:val="00260DF5"/>
    <w:rsid w:val="00261CCA"/>
    <w:rsid w:val="002639B8"/>
    <w:rsid w:val="002652F7"/>
    <w:rsid w:val="00266F6B"/>
    <w:rsid w:val="00272964"/>
    <w:rsid w:val="002744AC"/>
    <w:rsid w:val="00276848"/>
    <w:rsid w:val="00283B0F"/>
    <w:rsid w:val="0028408A"/>
    <w:rsid w:val="002841B4"/>
    <w:rsid w:val="0028737C"/>
    <w:rsid w:val="00295FD6"/>
    <w:rsid w:val="00297ED1"/>
    <w:rsid w:val="002A2E26"/>
    <w:rsid w:val="002A7DDE"/>
    <w:rsid w:val="002B0F08"/>
    <w:rsid w:val="002B105C"/>
    <w:rsid w:val="002B1378"/>
    <w:rsid w:val="002B1548"/>
    <w:rsid w:val="002B2680"/>
    <w:rsid w:val="002B6B53"/>
    <w:rsid w:val="002B7407"/>
    <w:rsid w:val="002C2CAF"/>
    <w:rsid w:val="002C345B"/>
    <w:rsid w:val="002C379E"/>
    <w:rsid w:val="002C3E79"/>
    <w:rsid w:val="002D3F35"/>
    <w:rsid w:val="002D422C"/>
    <w:rsid w:val="002D56D8"/>
    <w:rsid w:val="002D690D"/>
    <w:rsid w:val="002E1262"/>
    <w:rsid w:val="002E2A29"/>
    <w:rsid w:val="002E6792"/>
    <w:rsid w:val="002E7133"/>
    <w:rsid w:val="002F0A5D"/>
    <w:rsid w:val="002F4C08"/>
    <w:rsid w:val="003034FD"/>
    <w:rsid w:val="00303A2A"/>
    <w:rsid w:val="00327A13"/>
    <w:rsid w:val="00330167"/>
    <w:rsid w:val="00332BD8"/>
    <w:rsid w:val="003359DE"/>
    <w:rsid w:val="003363C7"/>
    <w:rsid w:val="00343253"/>
    <w:rsid w:val="003452B8"/>
    <w:rsid w:val="0034771F"/>
    <w:rsid w:val="00347865"/>
    <w:rsid w:val="0035601E"/>
    <w:rsid w:val="003626AF"/>
    <w:rsid w:val="00363CCE"/>
    <w:rsid w:val="00364682"/>
    <w:rsid w:val="00364F73"/>
    <w:rsid w:val="00365806"/>
    <w:rsid w:val="00367739"/>
    <w:rsid w:val="0037312C"/>
    <w:rsid w:val="0037429E"/>
    <w:rsid w:val="003754AD"/>
    <w:rsid w:val="00375801"/>
    <w:rsid w:val="003779EE"/>
    <w:rsid w:val="00377C84"/>
    <w:rsid w:val="00383890"/>
    <w:rsid w:val="003926E1"/>
    <w:rsid w:val="00396585"/>
    <w:rsid w:val="003965EE"/>
    <w:rsid w:val="00397636"/>
    <w:rsid w:val="003A1259"/>
    <w:rsid w:val="003A5CE7"/>
    <w:rsid w:val="003B613E"/>
    <w:rsid w:val="003C12C7"/>
    <w:rsid w:val="003C2AA1"/>
    <w:rsid w:val="003C2D96"/>
    <w:rsid w:val="003C473B"/>
    <w:rsid w:val="003C4940"/>
    <w:rsid w:val="003C5008"/>
    <w:rsid w:val="003C67B3"/>
    <w:rsid w:val="003D0989"/>
    <w:rsid w:val="003D1093"/>
    <w:rsid w:val="003D2D4A"/>
    <w:rsid w:val="003E5AAE"/>
    <w:rsid w:val="003E60D2"/>
    <w:rsid w:val="003E7A69"/>
    <w:rsid w:val="003F2A56"/>
    <w:rsid w:val="003F3052"/>
    <w:rsid w:val="003F3C3C"/>
    <w:rsid w:val="00400307"/>
    <w:rsid w:val="00400A6A"/>
    <w:rsid w:val="00403D85"/>
    <w:rsid w:val="00404990"/>
    <w:rsid w:val="0040564F"/>
    <w:rsid w:val="004057C7"/>
    <w:rsid w:val="004072AB"/>
    <w:rsid w:val="004211F7"/>
    <w:rsid w:val="0042642D"/>
    <w:rsid w:val="00431501"/>
    <w:rsid w:val="004318E8"/>
    <w:rsid w:val="00433FB5"/>
    <w:rsid w:val="00434234"/>
    <w:rsid w:val="004374B8"/>
    <w:rsid w:val="00437612"/>
    <w:rsid w:val="00443CA4"/>
    <w:rsid w:val="004450AF"/>
    <w:rsid w:val="004452B0"/>
    <w:rsid w:val="004465F9"/>
    <w:rsid w:val="00451290"/>
    <w:rsid w:val="0045204A"/>
    <w:rsid w:val="004533D5"/>
    <w:rsid w:val="0045650A"/>
    <w:rsid w:val="00456674"/>
    <w:rsid w:val="00460AD1"/>
    <w:rsid w:val="00465121"/>
    <w:rsid w:val="00466635"/>
    <w:rsid w:val="00467907"/>
    <w:rsid w:val="004700F4"/>
    <w:rsid w:val="004713D8"/>
    <w:rsid w:val="00471F9B"/>
    <w:rsid w:val="00474035"/>
    <w:rsid w:val="00474F6E"/>
    <w:rsid w:val="00476219"/>
    <w:rsid w:val="004762F7"/>
    <w:rsid w:val="004806A1"/>
    <w:rsid w:val="0048238C"/>
    <w:rsid w:val="004836F3"/>
    <w:rsid w:val="00484133"/>
    <w:rsid w:val="004843EE"/>
    <w:rsid w:val="00486DF8"/>
    <w:rsid w:val="00490E18"/>
    <w:rsid w:val="0049207E"/>
    <w:rsid w:val="00496527"/>
    <w:rsid w:val="004A146B"/>
    <w:rsid w:val="004A3174"/>
    <w:rsid w:val="004A7C6C"/>
    <w:rsid w:val="004B2460"/>
    <w:rsid w:val="004B47A3"/>
    <w:rsid w:val="004B4D8E"/>
    <w:rsid w:val="004B7559"/>
    <w:rsid w:val="004C1BCD"/>
    <w:rsid w:val="004C75AE"/>
    <w:rsid w:val="004C7731"/>
    <w:rsid w:val="004C7EA8"/>
    <w:rsid w:val="004D4AC0"/>
    <w:rsid w:val="004D6407"/>
    <w:rsid w:val="004D779E"/>
    <w:rsid w:val="004E4F87"/>
    <w:rsid w:val="004E6C35"/>
    <w:rsid w:val="004E757B"/>
    <w:rsid w:val="004F14EE"/>
    <w:rsid w:val="004F4843"/>
    <w:rsid w:val="004F4A39"/>
    <w:rsid w:val="0050020B"/>
    <w:rsid w:val="00500463"/>
    <w:rsid w:val="005053EA"/>
    <w:rsid w:val="005056C9"/>
    <w:rsid w:val="0050627B"/>
    <w:rsid w:val="00506C71"/>
    <w:rsid w:val="00506F95"/>
    <w:rsid w:val="00507265"/>
    <w:rsid w:val="00507434"/>
    <w:rsid w:val="00511D5E"/>
    <w:rsid w:val="005130D6"/>
    <w:rsid w:val="00522CE1"/>
    <w:rsid w:val="00523F4C"/>
    <w:rsid w:val="00524C14"/>
    <w:rsid w:val="00531F88"/>
    <w:rsid w:val="0053310E"/>
    <w:rsid w:val="00533E81"/>
    <w:rsid w:val="00534962"/>
    <w:rsid w:val="00534D37"/>
    <w:rsid w:val="00535721"/>
    <w:rsid w:val="0054067F"/>
    <w:rsid w:val="00541267"/>
    <w:rsid w:val="00542A52"/>
    <w:rsid w:val="00543025"/>
    <w:rsid w:val="005434BC"/>
    <w:rsid w:val="0054650A"/>
    <w:rsid w:val="005466CD"/>
    <w:rsid w:val="0054783D"/>
    <w:rsid w:val="00550243"/>
    <w:rsid w:val="00552359"/>
    <w:rsid w:val="00552711"/>
    <w:rsid w:val="00556B04"/>
    <w:rsid w:val="00556CEB"/>
    <w:rsid w:val="00562263"/>
    <w:rsid w:val="005625F8"/>
    <w:rsid w:val="00562CA9"/>
    <w:rsid w:val="00565717"/>
    <w:rsid w:val="00567942"/>
    <w:rsid w:val="00571A1C"/>
    <w:rsid w:val="00571DC3"/>
    <w:rsid w:val="00571F2A"/>
    <w:rsid w:val="005737E7"/>
    <w:rsid w:val="00573ECA"/>
    <w:rsid w:val="00576731"/>
    <w:rsid w:val="0058043D"/>
    <w:rsid w:val="00582B10"/>
    <w:rsid w:val="00585931"/>
    <w:rsid w:val="00587E23"/>
    <w:rsid w:val="005906B3"/>
    <w:rsid w:val="00595DE1"/>
    <w:rsid w:val="00596535"/>
    <w:rsid w:val="00596BFD"/>
    <w:rsid w:val="005A1929"/>
    <w:rsid w:val="005A651B"/>
    <w:rsid w:val="005B68DB"/>
    <w:rsid w:val="005C547D"/>
    <w:rsid w:val="005D3721"/>
    <w:rsid w:val="005D63A4"/>
    <w:rsid w:val="005E4F7D"/>
    <w:rsid w:val="005E6371"/>
    <w:rsid w:val="005E6B39"/>
    <w:rsid w:val="005E7C8B"/>
    <w:rsid w:val="005F4603"/>
    <w:rsid w:val="005F6986"/>
    <w:rsid w:val="00601523"/>
    <w:rsid w:val="006111BB"/>
    <w:rsid w:val="0061177D"/>
    <w:rsid w:val="00612DA1"/>
    <w:rsid w:val="00614C74"/>
    <w:rsid w:val="00616088"/>
    <w:rsid w:val="006169F5"/>
    <w:rsid w:val="00620953"/>
    <w:rsid w:val="00626449"/>
    <w:rsid w:val="00630C54"/>
    <w:rsid w:val="00630CE1"/>
    <w:rsid w:val="00631114"/>
    <w:rsid w:val="0063405C"/>
    <w:rsid w:val="00636DA1"/>
    <w:rsid w:val="00637AB0"/>
    <w:rsid w:val="00641130"/>
    <w:rsid w:val="006429E9"/>
    <w:rsid w:val="00643833"/>
    <w:rsid w:val="00645DF2"/>
    <w:rsid w:val="006463C7"/>
    <w:rsid w:val="006471BF"/>
    <w:rsid w:val="006510D7"/>
    <w:rsid w:val="00651574"/>
    <w:rsid w:val="006533BB"/>
    <w:rsid w:val="00653EF9"/>
    <w:rsid w:val="00664183"/>
    <w:rsid w:val="00666B35"/>
    <w:rsid w:val="00671096"/>
    <w:rsid w:val="00672CCA"/>
    <w:rsid w:val="00677761"/>
    <w:rsid w:val="006807E7"/>
    <w:rsid w:val="00680FD1"/>
    <w:rsid w:val="00682F18"/>
    <w:rsid w:val="006878DB"/>
    <w:rsid w:val="0069047A"/>
    <w:rsid w:val="006956F4"/>
    <w:rsid w:val="00696921"/>
    <w:rsid w:val="006A3096"/>
    <w:rsid w:val="006A3806"/>
    <w:rsid w:val="006B08F8"/>
    <w:rsid w:val="006B7D41"/>
    <w:rsid w:val="006C3274"/>
    <w:rsid w:val="006C3A65"/>
    <w:rsid w:val="006C4163"/>
    <w:rsid w:val="006C5B2C"/>
    <w:rsid w:val="006C6173"/>
    <w:rsid w:val="006D3321"/>
    <w:rsid w:val="006E0E95"/>
    <w:rsid w:val="006E0EF0"/>
    <w:rsid w:val="006E296C"/>
    <w:rsid w:val="006E3436"/>
    <w:rsid w:val="006E39F5"/>
    <w:rsid w:val="006E66D5"/>
    <w:rsid w:val="006E689B"/>
    <w:rsid w:val="006F171A"/>
    <w:rsid w:val="006F36E2"/>
    <w:rsid w:val="006F4381"/>
    <w:rsid w:val="006F5827"/>
    <w:rsid w:val="0070417F"/>
    <w:rsid w:val="0070602F"/>
    <w:rsid w:val="007070B8"/>
    <w:rsid w:val="007142B6"/>
    <w:rsid w:val="00716C1C"/>
    <w:rsid w:val="0072046A"/>
    <w:rsid w:val="00723B89"/>
    <w:rsid w:val="007253D7"/>
    <w:rsid w:val="00732348"/>
    <w:rsid w:val="0073329F"/>
    <w:rsid w:val="0073710F"/>
    <w:rsid w:val="0074000F"/>
    <w:rsid w:val="007401AE"/>
    <w:rsid w:val="007502C6"/>
    <w:rsid w:val="00750DA9"/>
    <w:rsid w:val="00754308"/>
    <w:rsid w:val="007549E2"/>
    <w:rsid w:val="00754F43"/>
    <w:rsid w:val="007577D7"/>
    <w:rsid w:val="00765F44"/>
    <w:rsid w:val="00776DCA"/>
    <w:rsid w:val="00777C17"/>
    <w:rsid w:val="00777C5C"/>
    <w:rsid w:val="00781040"/>
    <w:rsid w:val="00781DFE"/>
    <w:rsid w:val="0078718E"/>
    <w:rsid w:val="00793FFF"/>
    <w:rsid w:val="007A384D"/>
    <w:rsid w:val="007A7681"/>
    <w:rsid w:val="007B04E8"/>
    <w:rsid w:val="007B2E44"/>
    <w:rsid w:val="007B3555"/>
    <w:rsid w:val="007B4E24"/>
    <w:rsid w:val="007B5BC1"/>
    <w:rsid w:val="007B6129"/>
    <w:rsid w:val="007C51E9"/>
    <w:rsid w:val="007C566A"/>
    <w:rsid w:val="007C7D32"/>
    <w:rsid w:val="007D0893"/>
    <w:rsid w:val="007D4943"/>
    <w:rsid w:val="007D59F4"/>
    <w:rsid w:val="007E282F"/>
    <w:rsid w:val="007E31CA"/>
    <w:rsid w:val="007E322D"/>
    <w:rsid w:val="007E4015"/>
    <w:rsid w:val="007E5F23"/>
    <w:rsid w:val="007E671C"/>
    <w:rsid w:val="007F42D3"/>
    <w:rsid w:val="007F5AF9"/>
    <w:rsid w:val="00801B3F"/>
    <w:rsid w:val="00813690"/>
    <w:rsid w:val="00813C40"/>
    <w:rsid w:val="00815287"/>
    <w:rsid w:val="00815EA8"/>
    <w:rsid w:val="00817D11"/>
    <w:rsid w:val="00821E34"/>
    <w:rsid w:val="00823340"/>
    <w:rsid w:val="00823BE3"/>
    <w:rsid w:val="00824B02"/>
    <w:rsid w:val="008305DF"/>
    <w:rsid w:val="00832268"/>
    <w:rsid w:val="00833B57"/>
    <w:rsid w:val="00834163"/>
    <w:rsid w:val="00834408"/>
    <w:rsid w:val="0083457C"/>
    <w:rsid w:val="008463C4"/>
    <w:rsid w:val="008466A7"/>
    <w:rsid w:val="00850504"/>
    <w:rsid w:val="0085192D"/>
    <w:rsid w:val="008521F6"/>
    <w:rsid w:val="008539AC"/>
    <w:rsid w:val="00860B12"/>
    <w:rsid w:val="0086143E"/>
    <w:rsid w:val="008620C3"/>
    <w:rsid w:val="0086249C"/>
    <w:rsid w:val="00863869"/>
    <w:rsid w:val="00871928"/>
    <w:rsid w:val="00872139"/>
    <w:rsid w:val="00875415"/>
    <w:rsid w:val="00875F65"/>
    <w:rsid w:val="00880535"/>
    <w:rsid w:val="0089324E"/>
    <w:rsid w:val="00894D50"/>
    <w:rsid w:val="00897EE4"/>
    <w:rsid w:val="008A2A83"/>
    <w:rsid w:val="008A2C2B"/>
    <w:rsid w:val="008A5EA2"/>
    <w:rsid w:val="008A680C"/>
    <w:rsid w:val="008B30AC"/>
    <w:rsid w:val="008B3D57"/>
    <w:rsid w:val="008B59F9"/>
    <w:rsid w:val="008B5FC3"/>
    <w:rsid w:val="008C1BC4"/>
    <w:rsid w:val="008C70A0"/>
    <w:rsid w:val="008D0F57"/>
    <w:rsid w:val="008D17EE"/>
    <w:rsid w:val="008D1C04"/>
    <w:rsid w:val="008D2AE1"/>
    <w:rsid w:val="008D436B"/>
    <w:rsid w:val="008D53A0"/>
    <w:rsid w:val="008E2B2E"/>
    <w:rsid w:val="008E37CD"/>
    <w:rsid w:val="008E41D0"/>
    <w:rsid w:val="008F1890"/>
    <w:rsid w:val="008F1E8F"/>
    <w:rsid w:val="008F2959"/>
    <w:rsid w:val="008F7AE0"/>
    <w:rsid w:val="008F7DC0"/>
    <w:rsid w:val="00900BCE"/>
    <w:rsid w:val="0090577F"/>
    <w:rsid w:val="00906D4E"/>
    <w:rsid w:val="00912204"/>
    <w:rsid w:val="00913197"/>
    <w:rsid w:val="0091591F"/>
    <w:rsid w:val="00917F05"/>
    <w:rsid w:val="00917F62"/>
    <w:rsid w:val="009226E3"/>
    <w:rsid w:val="00925606"/>
    <w:rsid w:val="00926916"/>
    <w:rsid w:val="0092733C"/>
    <w:rsid w:val="00927C68"/>
    <w:rsid w:val="0093190E"/>
    <w:rsid w:val="00931AC8"/>
    <w:rsid w:val="00934B5B"/>
    <w:rsid w:val="00935619"/>
    <w:rsid w:val="00935AD9"/>
    <w:rsid w:val="00936752"/>
    <w:rsid w:val="00936782"/>
    <w:rsid w:val="00937166"/>
    <w:rsid w:val="00942639"/>
    <w:rsid w:val="0094747E"/>
    <w:rsid w:val="00950936"/>
    <w:rsid w:val="00952BAE"/>
    <w:rsid w:val="009540A8"/>
    <w:rsid w:val="00961828"/>
    <w:rsid w:val="0098045D"/>
    <w:rsid w:val="0098055D"/>
    <w:rsid w:val="00984E6C"/>
    <w:rsid w:val="00991572"/>
    <w:rsid w:val="00995BD2"/>
    <w:rsid w:val="009A54AA"/>
    <w:rsid w:val="009A73EA"/>
    <w:rsid w:val="009A7735"/>
    <w:rsid w:val="009B1C06"/>
    <w:rsid w:val="009B26B8"/>
    <w:rsid w:val="009B26E0"/>
    <w:rsid w:val="009B6140"/>
    <w:rsid w:val="009C0D3E"/>
    <w:rsid w:val="009C31A4"/>
    <w:rsid w:val="009C3306"/>
    <w:rsid w:val="009C3952"/>
    <w:rsid w:val="009C558E"/>
    <w:rsid w:val="009D32AC"/>
    <w:rsid w:val="009D5257"/>
    <w:rsid w:val="009D6DC5"/>
    <w:rsid w:val="009D7DE0"/>
    <w:rsid w:val="009E11DA"/>
    <w:rsid w:val="009E300B"/>
    <w:rsid w:val="009E5765"/>
    <w:rsid w:val="009E6D58"/>
    <w:rsid w:val="009F0782"/>
    <w:rsid w:val="009F3F73"/>
    <w:rsid w:val="009F6D65"/>
    <w:rsid w:val="009F701F"/>
    <w:rsid w:val="009F7256"/>
    <w:rsid w:val="009F75FD"/>
    <w:rsid w:val="009F793E"/>
    <w:rsid w:val="00A01177"/>
    <w:rsid w:val="00A0166A"/>
    <w:rsid w:val="00A01C7B"/>
    <w:rsid w:val="00A02FF4"/>
    <w:rsid w:val="00A058FF"/>
    <w:rsid w:val="00A10FDF"/>
    <w:rsid w:val="00A138BA"/>
    <w:rsid w:val="00A17B2C"/>
    <w:rsid w:val="00A21683"/>
    <w:rsid w:val="00A24508"/>
    <w:rsid w:val="00A26619"/>
    <w:rsid w:val="00A3163E"/>
    <w:rsid w:val="00A4039A"/>
    <w:rsid w:val="00A5353F"/>
    <w:rsid w:val="00A5537A"/>
    <w:rsid w:val="00A607E7"/>
    <w:rsid w:val="00A627D6"/>
    <w:rsid w:val="00A64E36"/>
    <w:rsid w:val="00A65B90"/>
    <w:rsid w:val="00A65C9E"/>
    <w:rsid w:val="00A6761C"/>
    <w:rsid w:val="00A71D7C"/>
    <w:rsid w:val="00A81007"/>
    <w:rsid w:val="00A84D3A"/>
    <w:rsid w:val="00A8503D"/>
    <w:rsid w:val="00A86FEA"/>
    <w:rsid w:val="00A875E5"/>
    <w:rsid w:val="00A9599A"/>
    <w:rsid w:val="00AA0543"/>
    <w:rsid w:val="00AA3114"/>
    <w:rsid w:val="00AA7DC9"/>
    <w:rsid w:val="00AB0ED1"/>
    <w:rsid w:val="00AB7836"/>
    <w:rsid w:val="00AC3F53"/>
    <w:rsid w:val="00AC4B6E"/>
    <w:rsid w:val="00AC5CBF"/>
    <w:rsid w:val="00AC6AD9"/>
    <w:rsid w:val="00AD0BE5"/>
    <w:rsid w:val="00AD37F0"/>
    <w:rsid w:val="00AD5D6A"/>
    <w:rsid w:val="00AD778A"/>
    <w:rsid w:val="00AE52EC"/>
    <w:rsid w:val="00AE6D02"/>
    <w:rsid w:val="00AF0741"/>
    <w:rsid w:val="00AF1C63"/>
    <w:rsid w:val="00AF7054"/>
    <w:rsid w:val="00B11C44"/>
    <w:rsid w:val="00B151F5"/>
    <w:rsid w:val="00B232EC"/>
    <w:rsid w:val="00B308D0"/>
    <w:rsid w:val="00B34BCE"/>
    <w:rsid w:val="00B35DD0"/>
    <w:rsid w:val="00B367B0"/>
    <w:rsid w:val="00B42469"/>
    <w:rsid w:val="00B426AB"/>
    <w:rsid w:val="00B44E52"/>
    <w:rsid w:val="00B47A82"/>
    <w:rsid w:val="00B512A3"/>
    <w:rsid w:val="00B57DFF"/>
    <w:rsid w:val="00B6163A"/>
    <w:rsid w:val="00B63CDA"/>
    <w:rsid w:val="00B645EF"/>
    <w:rsid w:val="00B7700F"/>
    <w:rsid w:val="00B77D31"/>
    <w:rsid w:val="00B8368A"/>
    <w:rsid w:val="00B91514"/>
    <w:rsid w:val="00B9503A"/>
    <w:rsid w:val="00BA68A6"/>
    <w:rsid w:val="00BB0959"/>
    <w:rsid w:val="00BB23DE"/>
    <w:rsid w:val="00BC0F7D"/>
    <w:rsid w:val="00BC2142"/>
    <w:rsid w:val="00BC31B5"/>
    <w:rsid w:val="00BC40A4"/>
    <w:rsid w:val="00BC515D"/>
    <w:rsid w:val="00BC5963"/>
    <w:rsid w:val="00BC60F3"/>
    <w:rsid w:val="00BC6A42"/>
    <w:rsid w:val="00BC7B5B"/>
    <w:rsid w:val="00BD4396"/>
    <w:rsid w:val="00BD47B9"/>
    <w:rsid w:val="00BE0EA5"/>
    <w:rsid w:val="00BE2BF9"/>
    <w:rsid w:val="00BE32B5"/>
    <w:rsid w:val="00BE41BC"/>
    <w:rsid w:val="00BF1D37"/>
    <w:rsid w:val="00BF32B0"/>
    <w:rsid w:val="00BF438B"/>
    <w:rsid w:val="00BF5A1E"/>
    <w:rsid w:val="00C0050E"/>
    <w:rsid w:val="00C00E6C"/>
    <w:rsid w:val="00C02367"/>
    <w:rsid w:val="00C053A0"/>
    <w:rsid w:val="00C10265"/>
    <w:rsid w:val="00C127DC"/>
    <w:rsid w:val="00C13D38"/>
    <w:rsid w:val="00C13D48"/>
    <w:rsid w:val="00C154A9"/>
    <w:rsid w:val="00C161D9"/>
    <w:rsid w:val="00C22EDA"/>
    <w:rsid w:val="00C24049"/>
    <w:rsid w:val="00C2551F"/>
    <w:rsid w:val="00C2704A"/>
    <w:rsid w:val="00C32D88"/>
    <w:rsid w:val="00C35339"/>
    <w:rsid w:val="00C36A7F"/>
    <w:rsid w:val="00C41651"/>
    <w:rsid w:val="00C468A1"/>
    <w:rsid w:val="00C51D2E"/>
    <w:rsid w:val="00C55BFC"/>
    <w:rsid w:val="00C56024"/>
    <w:rsid w:val="00C6016B"/>
    <w:rsid w:val="00C71D8C"/>
    <w:rsid w:val="00C72875"/>
    <w:rsid w:val="00C72AD9"/>
    <w:rsid w:val="00C7369D"/>
    <w:rsid w:val="00C80432"/>
    <w:rsid w:val="00C8131F"/>
    <w:rsid w:val="00C833E6"/>
    <w:rsid w:val="00C847F0"/>
    <w:rsid w:val="00C859E1"/>
    <w:rsid w:val="00C86A01"/>
    <w:rsid w:val="00C903E1"/>
    <w:rsid w:val="00C91CE9"/>
    <w:rsid w:val="00C92DF7"/>
    <w:rsid w:val="00C94035"/>
    <w:rsid w:val="00C9498D"/>
    <w:rsid w:val="00C94BB6"/>
    <w:rsid w:val="00C95408"/>
    <w:rsid w:val="00C95E8C"/>
    <w:rsid w:val="00CA12C8"/>
    <w:rsid w:val="00CA2127"/>
    <w:rsid w:val="00CA5568"/>
    <w:rsid w:val="00CA5A12"/>
    <w:rsid w:val="00CB5C47"/>
    <w:rsid w:val="00CC261D"/>
    <w:rsid w:val="00CC5750"/>
    <w:rsid w:val="00CC67D4"/>
    <w:rsid w:val="00CC6DBC"/>
    <w:rsid w:val="00CD1545"/>
    <w:rsid w:val="00CD2C4C"/>
    <w:rsid w:val="00CD4760"/>
    <w:rsid w:val="00CD57FF"/>
    <w:rsid w:val="00CD5ACA"/>
    <w:rsid w:val="00CD7F4C"/>
    <w:rsid w:val="00CE0045"/>
    <w:rsid w:val="00CE1381"/>
    <w:rsid w:val="00CE2A43"/>
    <w:rsid w:val="00CE4E1A"/>
    <w:rsid w:val="00D00E66"/>
    <w:rsid w:val="00D02C41"/>
    <w:rsid w:val="00D037B1"/>
    <w:rsid w:val="00D051A5"/>
    <w:rsid w:val="00D139B1"/>
    <w:rsid w:val="00D15615"/>
    <w:rsid w:val="00D15BA7"/>
    <w:rsid w:val="00D1714E"/>
    <w:rsid w:val="00D2412C"/>
    <w:rsid w:val="00D27113"/>
    <w:rsid w:val="00D27C55"/>
    <w:rsid w:val="00D30E8B"/>
    <w:rsid w:val="00D316E6"/>
    <w:rsid w:val="00D32925"/>
    <w:rsid w:val="00D36FEB"/>
    <w:rsid w:val="00D40561"/>
    <w:rsid w:val="00D42CA0"/>
    <w:rsid w:val="00D42E58"/>
    <w:rsid w:val="00D450BF"/>
    <w:rsid w:val="00D5080B"/>
    <w:rsid w:val="00D532F1"/>
    <w:rsid w:val="00D535F0"/>
    <w:rsid w:val="00D60200"/>
    <w:rsid w:val="00D621E4"/>
    <w:rsid w:val="00D66326"/>
    <w:rsid w:val="00D75748"/>
    <w:rsid w:val="00D75DCF"/>
    <w:rsid w:val="00D81FDD"/>
    <w:rsid w:val="00D82D56"/>
    <w:rsid w:val="00D83A97"/>
    <w:rsid w:val="00D84103"/>
    <w:rsid w:val="00D87089"/>
    <w:rsid w:val="00D93984"/>
    <w:rsid w:val="00D95982"/>
    <w:rsid w:val="00DA0BDF"/>
    <w:rsid w:val="00DA0F47"/>
    <w:rsid w:val="00DA1417"/>
    <w:rsid w:val="00DA212D"/>
    <w:rsid w:val="00DA4419"/>
    <w:rsid w:val="00DA5058"/>
    <w:rsid w:val="00DA7865"/>
    <w:rsid w:val="00DA7DFA"/>
    <w:rsid w:val="00DB2B5E"/>
    <w:rsid w:val="00DB2EA7"/>
    <w:rsid w:val="00DC0389"/>
    <w:rsid w:val="00DC070F"/>
    <w:rsid w:val="00DC425C"/>
    <w:rsid w:val="00DC4973"/>
    <w:rsid w:val="00DC4B85"/>
    <w:rsid w:val="00DC52AB"/>
    <w:rsid w:val="00DC6A91"/>
    <w:rsid w:val="00DD5564"/>
    <w:rsid w:val="00DD5908"/>
    <w:rsid w:val="00DD5DA8"/>
    <w:rsid w:val="00DD76B9"/>
    <w:rsid w:val="00DE6AD7"/>
    <w:rsid w:val="00DE7D2F"/>
    <w:rsid w:val="00DF00C0"/>
    <w:rsid w:val="00DF33AF"/>
    <w:rsid w:val="00DF4C48"/>
    <w:rsid w:val="00DF74B2"/>
    <w:rsid w:val="00DF7A50"/>
    <w:rsid w:val="00E0123F"/>
    <w:rsid w:val="00E01FF9"/>
    <w:rsid w:val="00E04ABB"/>
    <w:rsid w:val="00E054C0"/>
    <w:rsid w:val="00E05743"/>
    <w:rsid w:val="00E119D6"/>
    <w:rsid w:val="00E11A78"/>
    <w:rsid w:val="00E1561C"/>
    <w:rsid w:val="00E22845"/>
    <w:rsid w:val="00E241A1"/>
    <w:rsid w:val="00E26954"/>
    <w:rsid w:val="00E31D49"/>
    <w:rsid w:val="00E35244"/>
    <w:rsid w:val="00E42271"/>
    <w:rsid w:val="00E427B7"/>
    <w:rsid w:val="00E50390"/>
    <w:rsid w:val="00E51BC9"/>
    <w:rsid w:val="00E54F48"/>
    <w:rsid w:val="00E606CA"/>
    <w:rsid w:val="00E6115F"/>
    <w:rsid w:val="00E65BE8"/>
    <w:rsid w:val="00E70B1D"/>
    <w:rsid w:val="00E72F59"/>
    <w:rsid w:val="00E73276"/>
    <w:rsid w:val="00E73409"/>
    <w:rsid w:val="00E73A8A"/>
    <w:rsid w:val="00E774C3"/>
    <w:rsid w:val="00E8075A"/>
    <w:rsid w:val="00E82666"/>
    <w:rsid w:val="00E8338A"/>
    <w:rsid w:val="00E84B10"/>
    <w:rsid w:val="00E875CB"/>
    <w:rsid w:val="00E926C5"/>
    <w:rsid w:val="00E932A5"/>
    <w:rsid w:val="00E96210"/>
    <w:rsid w:val="00EA2C66"/>
    <w:rsid w:val="00EA425E"/>
    <w:rsid w:val="00EA60AF"/>
    <w:rsid w:val="00EB158E"/>
    <w:rsid w:val="00EB3BF0"/>
    <w:rsid w:val="00EB48D9"/>
    <w:rsid w:val="00EB5A41"/>
    <w:rsid w:val="00EC0D8B"/>
    <w:rsid w:val="00EC3D06"/>
    <w:rsid w:val="00ED1F10"/>
    <w:rsid w:val="00ED3CA7"/>
    <w:rsid w:val="00ED4905"/>
    <w:rsid w:val="00ED6290"/>
    <w:rsid w:val="00ED7A82"/>
    <w:rsid w:val="00EE1800"/>
    <w:rsid w:val="00EE3038"/>
    <w:rsid w:val="00EE707B"/>
    <w:rsid w:val="00EF5CB7"/>
    <w:rsid w:val="00EF68AA"/>
    <w:rsid w:val="00F03369"/>
    <w:rsid w:val="00F061A0"/>
    <w:rsid w:val="00F06B9B"/>
    <w:rsid w:val="00F07B3F"/>
    <w:rsid w:val="00F11159"/>
    <w:rsid w:val="00F118F9"/>
    <w:rsid w:val="00F14B66"/>
    <w:rsid w:val="00F16127"/>
    <w:rsid w:val="00F20CFF"/>
    <w:rsid w:val="00F21DF3"/>
    <w:rsid w:val="00F249E4"/>
    <w:rsid w:val="00F254E2"/>
    <w:rsid w:val="00F274AF"/>
    <w:rsid w:val="00F3021B"/>
    <w:rsid w:val="00F3034B"/>
    <w:rsid w:val="00F35068"/>
    <w:rsid w:val="00F35B3D"/>
    <w:rsid w:val="00F378BF"/>
    <w:rsid w:val="00F40902"/>
    <w:rsid w:val="00F44608"/>
    <w:rsid w:val="00F446FD"/>
    <w:rsid w:val="00F448BB"/>
    <w:rsid w:val="00F44E91"/>
    <w:rsid w:val="00F45262"/>
    <w:rsid w:val="00F47FCF"/>
    <w:rsid w:val="00F532D8"/>
    <w:rsid w:val="00F55A8D"/>
    <w:rsid w:val="00F564E9"/>
    <w:rsid w:val="00F60962"/>
    <w:rsid w:val="00F61A78"/>
    <w:rsid w:val="00F624F3"/>
    <w:rsid w:val="00F659BF"/>
    <w:rsid w:val="00F66F3D"/>
    <w:rsid w:val="00F73315"/>
    <w:rsid w:val="00F82AFC"/>
    <w:rsid w:val="00F82B13"/>
    <w:rsid w:val="00F9064B"/>
    <w:rsid w:val="00F918A1"/>
    <w:rsid w:val="00F91BA8"/>
    <w:rsid w:val="00F920FD"/>
    <w:rsid w:val="00F92E1F"/>
    <w:rsid w:val="00F936E2"/>
    <w:rsid w:val="00F93DB3"/>
    <w:rsid w:val="00FA1384"/>
    <w:rsid w:val="00FA4010"/>
    <w:rsid w:val="00FA4383"/>
    <w:rsid w:val="00FA5E33"/>
    <w:rsid w:val="00FB22DA"/>
    <w:rsid w:val="00FB255D"/>
    <w:rsid w:val="00FB2CE9"/>
    <w:rsid w:val="00FB667B"/>
    <w:rsid w:val="00FC4C00"/>
    <w:rsid w:val="00FD0A87"/>
    <w:rsid w:val="00FD17C3"/>
    <w:rsid w:val="00FD1A5F"/>
    <w:rsid w:val="00FD6A19"/>
    <w:rsid w:val="00FD76C7"/>
    <w:rsid w:val="00FE0627"/>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Normal"/>
    <w:qFormat/>
    <w:rsid w:val="00E26954"/>
    <w:pPr>
      <w:spacing w:line="300" w:lineRule="exact"/>
    </w:pPr>
    <w:rPr>
      <w:spacing w:val="-2"/>
      <w:sz w:val="28"/>
    </w:rPr>
  </w:style>
  <w:style w:type="paragraph" w:customStyle="1" w:styleId="HM">
    <w:name w:val="_ H __M"/>
    <w:basedOn w:val="HCh"/>
    <w:next w:val="SingleTxt"/>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D87089"/>
    <w:pPr>
      <w:spacing w:line="240" w:lineRule="auto"/>
    </w:pPr>
    <w:rPr>
      <w:szCs w:val="20"/>
    </w:rPr>
  </w:style>
  <w:style w:type="character" w:customStyle="1" w:styleId="CommentTextChar">
    <w:name w:val="Comment Text Char"/>
    <w:basedOn w:val="DefaultParagraphFont"/>
    <w:link w:val="CommentText"/>
    <w:rsid w:val="00D87089"/>
    <w:rPr>
      <w:rFonts w:ascii="Times New Roman" w:hAnsi="Times New Roman"/>
      <w:spacing w:val="4"/>
      <w:w w:val="103"/>
      <w:lang w:val="es-ES"/>
    </w:rPr>
  </w:style>
  <w:style w:type="paragraph" w:styleId="CommentSubject">
    <w:name w:val="annotation subject"/>
    <w:basedOn w:val="CommentText"/>
    <w:next w:val="CommentText"/>
    <w:link w:val="CommentSubjectChar"/>
    <w:rsid w:val="00D87089"/>
    <w:rPr>
      <w:b/>
      <w:bCs/>
    </w:rPr>
  </w:style>
  <w:style w:type="character" w:customStyle="1" w:styleId="CommentSubjectChar">
    <w:name w:val="Comment Subject Char"/>
    <w:basedOn w:val="CommentTextChar"/>
    <w:link w:val="CommentSubject"/>
    <w:rsid w:val="00D87089"/>
    <w:rPr>
      <w:rFonts w:ascii="Times New Roman" w:hAnsi="Times New Roman"/>
      <w:b/>
      <w:bCs/>
      <w:spacing w:val="4"/>
      <w:w w:val="103"/>
      <w:lang w:val="es-ES"/>
    </w:rPr>
  </w:style>
  <w:style w:type="paragraph" w:styleId="Revision">
    <w:name w:val="Revision"/>
    <w:hidden/>
    <w:uiPriority w:val="99"/>
    <w:semiHidden/>
    <w:rsid w:val="00CC261D"/>
    <w:rPr>
      <w:rFonts w:ascii="Times New Roman" w:hAnsi="Times New Roman"/>
      <w:spacing w:val="4"/>
      <w:w w:val="103"/>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Normal"/>
    <w:qFormat/>
    <w:rsid w:val="00E26954"/>
    <w:pPr>
      <w:spacing w:line="300" w:lineRule="exact"/>
    </w:pPr>
    <w:rPr>
      <w:spacing w:val="-2"/>
      <w:sz w:val="28"/>
    </w:rPr>
  </w:style>
  <w:style w:type="paragraph" w:customStyle="1" w:styleId="HM">
    <w:name w:val="_ H __M"/>
    <w:basedOn w:val="HCh"/>
    <w:next w:val="SingleTxt"/>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D87089"/>
    <w:pPr>
      <w:spacing w:line="240" w:lineRule="auto"/>
    </w:pPr>
    <w:rPr>
      <w:szCs w:val="20"/>
    </w:rPr>
  </w:style>
  <w:style w:type="character" w:customStyle="1" w:styleId="CommentTextChar">
    <w:name w:val="Comment Text Char"/>
    <w:basedOn w:val="DefaultParagraphFont"/>
    <w:link w:val="CommentText"/>
    <w:rsid w:val="00D87089"/>
    <w:rPr>
      <w:rFonts w:ascii="Times New Roman" w:hAnsi="Times New Roman"/>
      <w:spacing w:val="4"/>
      <w:w w:val="103"/>
      <w:lang w:val="es-ES"/>
    </w:rPr>
  </w:style>
  <w:style w:type="paragraph" w:styleId="CommentSubject">
    <w:name w:val="annotation subject"/>
    <w:basedOn w:val="CommentText"/>
    <w:next w:val="CommentText"/>
    <w:link w:val="CommentSubjectChar"/>
    <w:rsid w:val="00D87089"/>
    <w:rPr>
      <w:b/>
      <w:bCs/>
    </w:rPr>
  </w:style>
  <w:style w:type="character" w:customStyle="1" w:styleId="CommentSubjectChar">
    <w:name w:val="Comment Subject Char"/>
    <w:basedOn w:val="CommentTextChar"/>
    <w:link w:val="CommentSubject"/>
    <w:rsid w:val="00D87089"/>
    <w:rPr>
      <w:rFonts w:ascii="Times New Roman" w:hAnsi="Times New Roman"/>
      <w:b/>
      <w:bCs/>
      <w:spacing w:val="4"/>
      <w:w w:val="103"/>
      <w:lang w:val="es-ES"/>
    </w:rPr>
  </w:style>
  <w:style w:type="paragraph" w:styleId="Revision">
    <w:name w:val="Revision"/>
    <w:hidden/>
    <w:uiPriority w:val="99"/>
    <w:semiHidden/>
    <w:rsid w:val="00CC261D"/>
    <w:rPr>
      <w:rFonts w:ascii="Times New Roman" w:hAnsi="Times New Roman"/>
      <w:spacing w:val="4"/>
      <w:w w:val="103"/>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64A13-A1C2-471B-A900-0DC883589446}"/>
</file>

<file path=customXml/itemProps2.xml><?xml version="1.0" encoding="utf-8"?>
<ds:datastoreItem xmlns:ds="http://schemas.openxmlformats.org/officeDocument/2006/customXml" ds:itemID="{C328CA60-501C-4A76-908A-101BCE95B0EC}"/>
</file>

<file path=customXml/itemProps3.xml><?xml version="1.0" encoding="utf-8"?>
<ds:datastoreItem xmlns:ds="http://schemas.openxmlformats.org/officeDocument/2006/customXml" ds:itemID="{5D287E2D-6170-45AC-B864-0E680E43B5F7}"/>
</file>

<file path=customXml/itemProps4.xml><?xml version="1.0" encoding="utf-8"?>
<ds:datastoreItem xmlns:ds="http://schemas.openxmlformats.org/officeDocument/2006/customXml" ds:itemID="{1CDF3A7A-B476-4990-9FDE-2A837F774B54}"/>
</file>

<file path=docProps/app.xml><?xml version="1.0" encoding="utf-8"?>
<Properties xmlns="http://schemas.openxmlformats.org/officeDocument/2006/extended-properties" xmlns:vt="http://schemas.openxmlformats.org/officeDocument/2006/docPropsVTypes">
  <Template>Normal</Template>
  <TotalTime>1</TotalTime>
  <Pages>10</Pages>
  <Words>2659</Words>
  <Characters>15157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17781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 Views on conclusions and/or recommendations, voluntary commitments and replies presented by the State under review in Spanish</dc:title>
  <dc:creator>Bragunde</dc:creator>
  <cp:lastModifiedBy>Valeriano De Castro</cp:lastModifiedBy>
  <cp:revision>2</cp:revision>
  <cp:lastPrinted>2015-09-21T11:47:00Z</cp:lastPrinted>
  <dcterms:created xsi:type="dcterms:W3CDTF">2015-10-30T09:23:00Z</dcterms:created>
  <dcterms:modified xsi:type="dcterms:W3CDTF">2015-10-30T09:23:00Z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1515088</vt:lpwstr>
  </property>
  <property fmtid="{D5CDD505-2E9C-101B-9397-08002B2CF9AE}" pid="3" name="ODSRefJobNo">
    <vt:lpwstr>1520057</vt:lpwstr>
  </property>
  <property fmtid="{D5CDD505-2E9C-101B-9397-08002B2CF9AE}" pid="4" name="Symbol1">
    <vt:lpwstr>A/HRC/30/14/Add.1</vt:lpwstr>
  </property>
  <property fmtid="{D5CDD505-2E9C-101B-9397-08002B2CF9AE}" pid="5" name="Symbol2">
    <vt:lpwstr/>
  </property>
  <property fmtid="{D5CDD505-2E9C-101B-9397-08002B2CF9AE}" pid="6" name="Translator">
    <vt:lpwstr/>
  </property>
  <property fmtid="{D5CDD505-2E9C-101B-9397-08002B2CF9AE}" pid="7" name="Operator">
    <vt:lpwstr>cb</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7 de septiembre de 2015</vt:lpwstr>
  </property>
  <property fmtid="{D5CDD505-2E9C-101B-9397-08002B2CF9AE}" pid="12" name="Original">
    <vt:lpwstr>inglés</vt:lpwstr>
  </property>
  <property fmtid="{D5CDD505-2E9C-101B-9397-08002B2CF9AE}" pid="13" name="Release Date">
    <vt:lpwstr>180915</vt:lpwstr>
  </property>
  <property fmtid="{D5CDD505-2E9C-101B-9397-08002B2CF9AE}" pid="14" name="ContentTypeId">
    <vt:lpwstr>0x010100EF670F518423CB4F888C4265EEC2C475</vt:lpwstr>
  </property>
  <property fmtid="{D5CDD505-2E9C-101B-9397-08002B2CF9AE}" pid="15" name="Order">
    <vt:r8>56000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