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FA" w:rsidRPr="00CE6931" w:rsidRDefault="00F221FA" w:rsidP="00F221FA">
      <w:pPr>
        <w:spacing w:line="240" w:lineRule="auto"/>
        <w:rPr>
          <w:sz w:val="2"/>
          <w:lang w:val="fr-CH"/>
        </w:rPr>
        <w:sectPr w:rsidR="00F221FA" w:rsidRPr="00CE6931" w:rsidSect="00F221F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F221FA" w:rsidRDefault="00F221FA" w:rsidP="00F221FA">
      <w:pPr>
        <w:pStyle w:val="H1"/>
      </w:pPr>
      <w:r>
        <w:lastRenderedPageBreak/>
        <w:t>Conseil des droits de l’homme</w:t>
      </w:r>
    </w:p>
    <w:p w:rsidR="00414E00" w:rsidRPr="001B02A7" w:rsidRDefault="00414E00" w:rsidP="00414E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Pr>
          <w:lang w:val="fr-FR"/>
        </w:rPr>
        <w:t>Trentième</w:t>
      </w:r>
      <w:r w:rsidRPr="001B02A7">
        <w:rPr>
          <w:lang w:val="fr-FR"/>
        </w:rPr>
        <w:t xml:space="preserve"> session</w:t>
      </w:r>
    </w:p>
    <w:p w:rsidR="00414E00" w:rsidRPr="00D619AA" w:rsidRDefault="00414E00" w:rsidP="00414E00">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D619AA">
        <w:rPr>
          <w:lang w:val="fr-FR"/>
        </w:rPr>
        <w:t>Point</w:t>
      </w:r>
      <w:r>
        <w:rPr>
          <w:lang w:val="fr-FR"/>
        </w:rPr>
        <w:t> </w:t>
      </w:r>
      <w:r w:rsidRPr="00D619AA">
        <w:rPr>
          <w:lang w:val="fr-FR"/>
        </w:rPr>
        <w:t>1 de l</w:t>
      </w:r>
      <w:r>
        <w:rPr>
          <w:lang w:val="fr-FR"/>
        </w:rPr>
        <w:t>’</w:t>
      </w:r>
      <w:r w:rsidRPr="00D619AA">
        <w:rPr>
          <w:lang w:val="fr-FR"/>
        </w:rPr>
        <w:t>ordre du jour</w:t>
      </w:r>
    </w:p>
    <w:p w:rsidR="00414E00" w:rsidRDefault="00414E00" w:rsidP="00414E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D619AA">
        <w:rPr>
          <w:lang w:val="fr-FR"/>
        </w:rPr>
        <w:t>Questions d</w:t>
      </w:r>
      <w:r>
        <w:rPr>
          <w:lang w:val="fr-FR"/>
        </w:rPr>
        <w:t>’</w:t>
      </w:r>
      <w:r w:rsidRPr="00D619AA">
        <w:rPr>
          <w:lang w:val="fr-FR"/>
        </w:rPr>
        <w:t>organisation et de procédure</w:t>
      </w:r>
    </w:p>
    <w:p w:rsidR="00414E00" w:rsidRPr="00414E00" w:rsidRDefault="00414E00" w:rsidP="00414E00">
      <w:pPr>
        <w:spacing w:line="120" w:lineRule="exact"/>
        <w:rPr>
          <w:sz w:val="10"/>
          <w:lang w:val="fr-FR"/>
        </w:rPr>
      </w:pPr>
    </w:p>
    <w:p w:rsidR="00414E00" w:rsidRPr="00414E00" w:rsidRDefault="00414E00" w:rsidP="00414E00">
      <w:pPr>
        <w:spacing w:line="120" w:lineRule="exact"/>
        <w:rPr>
          <w:sz w:val="10"/>
          <w:lang w:val="fr-FR"/>
        </w:rPr>
      </w:pPr>
    </w:p>
    <w:p w:rsidR="00414E00" w:rsidRPr="00414E00" w:rsidRDefault="00414E00" w:rsidP="00414E00">
      <w:pPr>
        <w:spacing w:line="120" w:lineRule="exact"/>
        <w:rPr>
          <w:sz w:val="10"/>
          <w:lang w:val="fr-FR"/>
        </w:rPr>
      </w:pPr>
    </w:p>
    <w:p w:rsidR="00414E00" w:rsidRDefault="00414E00" w:rsidP="00414E00">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D619AA">
        <w:rPr>
          <w:lang w:val="fr-FR"/>
        </w:rPr>
        <w:t xml:space="preserve">Ordre du jour annoté de la </w:t>
      </w:r>
      <w:r>
        <w:rPr>
          <w:lang w:val="fr-FR"/>
        </w:rPr>
        <w:t>trentième</w:t>
      </w:r>
      <w:r w:rsidRPr="00D619AA">
        <w:rPr>
          <w:lang w:val="fr-FR"/>
        </w:rPr>
        <w:t xml:space="preserve"> session </w:t>
      </w:r>
      <w:r>
        <w:rPr>
          <w:lang w:val="fr-FR"/>
        </w:rPr>
        <w:br/>
      </w:r>
      <w:r w:rsidRPr="00D619AA">
        <w:rPr>
          <w:lang w:val="fr-FR"/>
        </w:rPr>
        <w:t>du Conseil des droits de l</w:t>
      </w:r>
      <w:r>
        <w:rPr>
          <w:lang w:val="fr-FR"/>
        </w:rPr>
        <w:t>’</w:t>
      </w:r>
      <w:r w:rsidRPr="00D619AA">
        <w:rPr>
          <w:lang w:val="fr-FR"/>
        </w:rPr>
        <w:t>homme</w:t>
      </w:r>
    </w:p>
    <w:p w:rsidR="00414E00" w:rsidRPr="00414E00" w:rsidRDefault="00414E00" w:rsidP="00414E00">
      <w:pPr>
        <w:spacing w:line="120" w:lineRule="exact"/>
        <w:rPr>
          <w:sz w:val="10"/>
          <w:lang w:val="fr-FR"/>
        </w:rPr>
      </w:pPr>
    </w:p>
    <w:p w:rsidR="00414E00" w:rsidRPr="00414E00" w:rsidRDefault="00414E00" w:rsidP="00414E00">
      <w:pPr>
        <w:spacing w:line="120" w:lineRule="exact"/>
        <w:rPr>
          <w:sz w:val="10"/>
          <w:lang w:val="fr-FR"/>
        </w:rPr>
      </w:pPr>
    </w:p>
    <w:p w:rsidR="00F221FA" w:rsidRDefault="00414E00" w:rsidP="00414E00">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Pr>
          <w:lang w:val="fr-FR"/>
        </w:rPr>
        <w:tab/>
      </w:r>
      <w:r>
        <w:rPr>
          <w:lang w:val="fr-FR"/>
        </w:rPr>
        <w:tab/>
      </w:r>
      <w:r w:rsidRPr="00D619AA">
        <w:rPr>
          <w:lang w:val="fr-FR"/>
        </w:rPr>
        <w:t>Note du Secrétaire général</w:t>
      </w:r>
    </w:p>
    <w:p w:rsidR="00414E00" w:rsidRPr="00414E00" w:rsidRDefault="00414E00" w:rsidP="00414E00">
      <w:pPr>
        <w:pStyle w:val="SingleTxt"/>
        <w:spacing w:after="0" w:line="120" w:lineRule="exact"/>
        <w:rPr>
          <w:sz w:val="10"/>
          <w:lang w:val="fr-FR"/>
        </w:rPr>
      </w:pPr>
    </w:p>
    <w:p w:rsidR="00414E00" w:rsidRPr="00414E00" w:rsidRDefault="00414E00" w:rsidP="00414E00">
      <w:pPr>
        <w:pStyle w:val="SingleTxt"/>
        <w:spacing w:after="0" w:line="120" w:lineRule="exact"/>
        <w:rPr>
          <w:sz w:val="10"/>
          <w:lang w:val="fr-FR"/>
        </w:rPr>
      </w:pPr>
    </w:p>
    <w:p w:rsidR="00414E00" w:rsidRPr="00414E00" w:rsidRDefault="00414E00" w:rsidP="00414E00">
      <w:pPr>
        <w:pStyle w:val="HCH"/>
        <w:spacing w:after="120"/>
        <w:rPr>
          <w:lang w:val="fr-FR"/>
        </w:rPr>
      </w:pPr>
      <w:r>
        <w:rPr>
          <w:lang w:val="fr-FR"/>
        </w:rPr>
        <w:br w:type="page"/>
      </w:r>
      <w:r>
        <w:rPr>
          <w:lang w:val="fr-FR"/>
        </w:rPr>
        <w:lastRenderedPageBreak/>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414E00" w:rsidRPr="00414E00" w:rsidTr="00414E00">
        <w:tc>
          <w:tcPr>
            <w:tcW w:w="1060" w:type="dxa"/>
            <w:shd w:val="clear" w:color="auto" w:fill="auto"/>
          </w:tcPr>
          <w:p w:rsidR="00414E00" w:rsidRPr="00414E00" w:rsidRDefault="00414E00" w:rsidP="00414E00">
            <w:pPr>
              <w:spacing w:after="120" w:line="240" w:lineRule="auto"/>
              <w:jc w:val="right"/>
              <w:rPr>
                <w:i/>
                <w:sz w:val="14"/>
                <w:lang w:val="fr-FR"/>
              </w:rPr>
            </w:pPr>
          </w:p>
        </w:tc>
        <w:tc>
          <w:tcPr>
            <w:tcW w:w="7315" w:type="dxa"/>
            <w:shd w:val="clear" w:color="auto" w:fill="auto"/>
          </w:tcPr>
          <w:p w:rsidR="00414E00" w:rsidRPr="00414E00" w:rsidRDefault="00414E00" w:rsidP="00414E00">
            <w:pPr>
              <w:spacing w:after="120" w:line="240" w:lineRule="auto"/>
              <w:rPr>
                <w:i/>
                <w:sz w:val="14"/>
                <w:lang w:val="fr-FR"/>
              </w:rPr>
            </w:pPr>
          </w:p>
        </w:tc>
        <w:tc>
          <w:tcPr>
            <w:tcW w:w="994" w:type="dxa"/>
            <w:shd w:val="clear" w:color="auto" w:fill="auto"/>
          </w:tcPr>
          <w:p w:rsidR="00414E00" w:rsidRPr="00414E00" w:rsidRDefault="00414E00" w:rsidP="00414E00">
            <w:pPr>
              <w:spacing w:after="120" w:line="240" w:lineRule="auto"/>
              <w:jc w:val="right"/>
              <w:rPr>
                <w:i/>
                <w:sz w:val="14"/>
                <w:lang w:val="fr-FR"/>
              </w:rPr>
            </w:pPr>
          </w:p>
        </w:tc>
        <w:tc>
          <w:tcPr>
            <w:tcW w:w="657" w:type="dxa"/>
            <w:shd w:val="clear" w:color="auto" w:fill="auto"/>
          </w:tcPr>
          <w:p w:rsidR="00414E00" w:rsidRPr="00414E00" w:rsidRDefault="00414E00" w:rsidP="00414E00">
            <w:pPr>
              <w:spacing w:after="120" w:line="240" w:lineRule="auto"/>
              <w:jc w:val="right"/>
              <w:rPr>
                <w:i/>
                <w:sz w:val="14"/>
                <w:lang w:val="fr-FR"/>
              </w:rPr>
            </w:pPr>
            <w:r>
              <w:rPr>
                <w:i/>
                <w:sz w:val="14"/>
                <w:lang w:val="fr-FR"/>
              </w:rPr>
              <w:t>Page</w:t>
            </w:r>
          </w:p>
        </w:tc>
      </w:tr>
      <w:tr w:rsidR="00414E00" w:rsidRPr="00414E00" w:rsidTr="00414E00">
        <w:tc>
          <w:tcPr>
            <w:tcW w:w="9369" w:type="dxa"/>
            <w:gridSpan w:val="3"/>
            <w:shd w:val="clear" w:color="auto" w:fill="auto"/>
          </w:tcPr>
          <w:p w:rsidR="00414E00" w:rsidRPr="00414E00" w:rsidRDefault="00B312B0" w:rsidP="00414E00">
            <w:pPr>
              <w:pStyle w:val="ListParagraph"/>
              <w:numPr>
                <w:ilvl w:val="0"/>
                <w:numId w:val="7"/>
              </w:numPr>
              <w:tabs>
                <w:tab w:val="right" w:pos="1080"/>
                <w:tab w:val="left" w:pos="1296"/>
                <w:tab w:val="left" w:pos="1728"/>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676011" w:rsidRPr="00676011">
              <w:rPr>
                <w:lang w:val="fr-FR"/>
              </w:rPr>
              <w:t>Questions d’organisation et de procédure</w:t>
            </w:r>
            <w:r w:rsidR="00344615">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676011" w:rsidP="00344615">
            <w:pPr>
              <w:pStyle w:val="ListParagraph"/>
              <w:numPr>
                <w:ilvl w:val="1"/>
                <w:numId w:val="7"/>
              </w:numPr>
              <w:tabs>
                <w:tab w:val="right" w:pos="1080"/>
                <w:tab w:val="left" w:pos="1296"/>
                <w:tab w:val="left" w:pos="2160"/>
                <w:tab w:val="left" w:pos="2592"/>
                <w:tab w:val="left" w:pos="3024"/>
                <w:tab w:val="left" w:pos="3456"/>
                <w:tab w:val="right" w:leader="dot" w:pos="9374"/>
              </w:tabs>
              <w:suppressAutoHyphens/>
              <w:spacing w:after="120"/>
              <w:rPr>
                <w:lang w:val="fr-FR"/>
              </w:rPr>
            </w:pPr>
            <w:r w:rsidRPr="00676011">
              <w:rPr>
                <w:lang w:val="fr-FR"/>
              </w:rPr>
              <w:t>Date et lieu de la session</w:t>
            </w:r>
            <w:r w:rsidR="00344615">
              <w:rPr>
                <w:spacing w:val="60"/>
                <w:sz w:val="17"/>
                <w:lang w:val="fr-FR"/>
              </w:rPr>
              <w:tab/>
            </w:r>
            <w:r w:rsidR="00344615">
              <w:rPr>
                <w:spacing w:val="60"/>
                <w:sz w:val="17"/>
                <w:lang w:val="fr-FR"/>
              </w:rPr>
              <w:tab/>
            </w:r>
            <w:r w:rsidR="00344615">
              <w:rPr>
                <w:spacing w:val="60"/>
                <w:sz w:val="17"/>
                <w:lang w:val="fr-FR"/>
              </w:rPr>
              <w:tab/>
            </w:r>
            <w:r w:rsidR="00344615">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6B570B" w:rsidP="006B570B">
            <w:pPr>
              <w:pStyle w:val="ListParagraph"/>
              <w:numPr>
                <w:ilvl w:val="1"/>
                <w:numId w:val="7"/>
              </w:numPr>
              <w:tabs>
                <w:tab w:val="right" w:pos="1080"/>
                <w:tab w:val="left" w:pos="1296"/>
                <w:tab w:val="left" w:pos="2160"/>
                <w:tab w:val="left" w:pos="2592"/>
                <w:tab w:val="left" w:pos="3024"/>
                <w:tab w:val="left" w:pos="3456"/>
                <w:tab w:val="left" w:pos="3888"/>
                <w:tab w:val="right" w:leader="dot" w:pos="9374"/>
              </w:tabs>
              <w:suppressAutoHyphens/>
              <w:spacing w:after="120"/>
              <w:rPr>
                <w:lang w:val="fr-FR"/>
              </w:rPr>
            </w:pPr>
            <w:r w:rsidRPr="009C3EF4">
              <w:rPr>
                <w:lang w:val="fr-FR"/>
              </w:rPr>
              <w:t>Ordre du jour de la session</w:t>
            </w:r>
            <w:r>
              <w:rPr>
                <w:spacing w:val="60"/>
                <w:sz w:val="17"/>
                <w:lang w:val="fr-FR"/>
              </w:rPr>
              <w:tab/>
            </w:r>
            <w:r>
              <w:rPr>
                <w:spacing w:val="60"/>
                <w:sz w:val="17"/>
                <w:lang w:val="fr-FR"/>
              </w:rPr>
              <w:tab/>
            </w:r>
            <w:r>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5832E0" w:rsidP="00414E00">
            <w:pPr>
              <w:pStyle w:val="ListParagraph"/>
              <w:numPr>
                <w:ilvl w:val="1"/>
                <w:numId w:val="7"/>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5832E0">
              <w:rPr>
                <w:lang w:val="fr-FR"/>
              </w:rPr>
              <w:t>Composition du Conseil des droits de l’homme</w:t>
            </w:r>
            <w:r>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5832E0" w:rsidP="00414E00">
            <w:pPr>
              <w:pStyle w:val="ListParagraph"/>
              <w:numPr>
                <w:ilvl w:val="1"/>
                <w:numId w:val="7"/>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9C3EF4">
              <w:rPr>
                <w:lang w:val="fr-FR"/>
              </w:rPr>
              <w:t>Bureau du Conseil des droits de l</w:t>
            </w:r>
            <w:r>
              <w:rPr>
                <w:lang w:val="fr-FR"/>
              </w:rPr>
              <w:t>’</w:t>
            </w:r>
            <w:r w:rsidRPr="009C3EF4">
              <w:rPr>
                <w:lang w:val="fr-FR"/>
              </w:rPr>
              <w:t>homme</w:t>
            </w:r>
            <w:r>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5832E0" w:rsidP="00414E00">
            <w:pPr>
              <w:pStyle w:val="ListParagraph"/>
              <w:numPr>
                <w:ilvl w:val="1"/>
                <w:numId w:val="7"/>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DC6231">
              <w:rPr>
                <w:lang w:val="fr-FR"/>
              </w:rPr>
              <w:t>Sélection et nomination des titulaires de mandat</w:t>
            </w:r>
            <w:r>
              <w:rPr>
                <w:spacing w:val="60"/>
                <w:sz w:val="17"/>
                <w:lang w:val="fr-FR"/>
              </w:rPr>
              <w:tab/>
            </w:r>
          </w:p>
        </w:tc>
        <w:tc>
          <w:tcPr>
            <w:tcW w:w="657" w:type="dxa"/>
            <w:shd w:val="clear" w:color="auto" w:fill="auto"/>
            <w:vAlign w:val="bottom"/>
          </w:tcPr>
          <w:p w:rsidR="00414E00" w:rsidRPr="00414E00" w:rsidRDefault="005F3706" w:rsidP="00414E00">
            <w:pPr>
              <w:spacing w:after="120"/>
              <w:ind w:right="40"/>
              <w:jc w:val="right"/>
              <w:rPr>
                <w:lang w:val="fr-FR"/>
              </w:rPr>
            </w:pPr>
            <w:r>
              <w:rPr>
                <w:lang w:val="fr-FR"/>
              </w:rPr>
              <w:t>3</w:t>
            </w:r>
          </w:p>
        </w:tc>
      </w:tr>
      <w:tr w:rsidR="00414E00" w:rsidRPr="00414E00" w:rsidTr="00414E00">
        <w:tc>
          <w:tcPr>
            <w:tcW w:w="9369" w:type="dxa"/>
            <w:gridSpan w:val="3"/>
            <w:shd w:val="clear" w:color="auto" w:fill="auto"/>
          </w:tcPr>
          <w:p w:rsidR="00414E00" w:rsidRPr="00414E00" w:rsidRDefault="005832E0" w:rsidP="005832E0">
            <w:pPr>
              <w:pStyle w:val="ListParagraph"/>
              <w:numPr>
                <w:ilvl w:val="1"/>
                <w:numId w:val="7"/>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510E86">
              <w:t>Élection des membres du Comité consultatif du Conseil des droits de l</w:t>
            </w:r>
            <w:r>
              <w:t>’</w:t>
            </w:r>
            <w:r w:rsidRPr="00510E86">
              <w:t>homme</w:t>
            </w:r>
            <w:r w:rsidR="005F370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4</w:t>
            </w:r>
          </w:p>
        </w:tc>
      </w:tr>
      <w:tr w:rsidR="00414E00" w:rsidRPr="00414E00" w:rsidTr="00414E00">
        <w:tc>
          <w:tcPr>
            <w:tcW w:w="9369" w:type="dxa"/>
            <w:gridSpan w:val="3"/>
            <w:shd w:val="clear" w:color="auto" w:fill="auto"/>
          </w:tcPr>
          <w:p w:rsidR="00414E00" w:rsidRPr="00414E00" w:rsidRDefault="005832E0" w:rsidP="005832E0">
            <w:pPr>
              <w:pStyle w:val="ListParagraph"/>
              <w:numPr>
                <w:ilvl w:val="1"/>
                <w:numId w:val="7"/>
              </w:numPr>
              <w:tabs>
                <w:tab w:val="right" w:pos="1080"/>
                <w:tab w:val="left" w:pos="1296"/>
                <w:tab w:val="left" w:pos="2160"/>
                <w:tab w:val="left" w:pos="2592"/>
                <w:tab w:val="left" w:pos="3024"/>
                <w:tab w:val="left" w:pos="3456"/>
                <w:tab w:val="right" w:leader="dot" w:pos="9374"/>
              </w:tabs>
              <w:suppressAutoHyphens/>
              <w:spacing w:after="120"/>
              <w:rPr>
                <w:lang w:val="fr-FR"/>
              </w:rPr>
            </w:pPr>
            <w:r w:rsidRPr="00EF65A9">
              <w:rPr>
                <w:lang w:val="fr-FR"/>
              </w:rPr>
              <w:t>Rapport de la session</w:t>
            </w:r>
            <w:r>
              <w:rPr>
                <w:spacing w:val="60"/>
                <w:sz w:val="17"/>
                <w:lang w:val="fr-FR"/>
              </w:rPr>
              <w:tab/>
            </w:r>
            <w:r>
              <w:rPr>
                <w:spacing w:val="60"/>
                <w:sz w:val="17"/>
                <w:lang w:val="fr-FR"/>
              </w:rPr>
              <w:tab/>
            </w:r>
            <w:r>
              <w:rPr>
                <w:spacing w:val="60"/>
                <w:sz w:val="17"/>
                <w:lang w:val="fr-FR"/>
              </w:rPr>
              <w:tab/>
            </w:r>
            <w:r>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5</w:t>
            </w:r>
          </w:p>
        </w:tc>
      </w:tr>
      <w:tr w:rsidR="00414E00" w:rsidRPr="00414E00" w:rsidTr="00414E00">
        <w:tc>
          <w:tcPr>
            <w:tcW w:w="9369" w:type="dxa"/>
            <w:gridSpan w:val="3"/>
            <w:shd w:val="clear" w:color="auto" w:fill="auto"/>
          </w:tcPr>
          <w:p w:rsidR="00414E00" w:rsidRPr="00414E00" w:rsidRDefault="00B312B0" w:rsidP="007C7AED">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7C7AED" w:rsidRPr="007C7AED">
              <w:rPr>
                <w:lang w:val="fr-FR"/>
              </w:rPr>
              <w:t>Rapport annuel du Haut-Commissaire des Nations Unies aux droits de l’homme et rapports du Haut-Commissariat et du Secrétaire général</w:t>
            </w:r>
            <w:r w:rsidR="007C7AED">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5</w:t>
            </w:r>
          </w:p>
        </w:tc>
      </w:tr>
      <w:tr w:rsidR="00414E00" w:rsidRPr="00414E00" w:rsidTr="00414E00">
        <w:tc>
          <w:tcPr>
            <w:tcW w:w="9369" w:type="dxa"/>
            <w:gridSpan w:val="3"/>
            <w:shd w:val="clear" w:color="auto" w:fill="auto"/>
          </w:tcPr>
          <w:p w:rsidR="00414E00" w:rsidRPr="00414E00" w:rsidRDefault="00B312B0" w:rsidP="008A3852">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8A3852" w:rsidRPr="002B66FE">
              <w:rPr>
                <w:lang w:val="fr-FR"/>
              </w:rPr>
              <w:t>Promotion et protection de tous les droits de l</w:t>
            </w:r>
            <w:r w:rsidR="008A3852">
              <w:rPr>
                <w:lang w:val="fr-FR"/>
              </w:rPr>
              <w:t>’</w:t>
            </w:r>
            <w:r w:rsidR="008A3852" w:rsidRPr="002B66FE">
              <w:rPr>
                <w:lang w:val="fr-FR"/>
              </w:rPr>
              <w:t>homme, civils, politiques, économiques, sociaux et culturels, y compris le droit au développement</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10</w:t>
            </w:r>
          </w:p>
        </w:tc>
      </w:tr>
      <w:tr w:rsidR="00414E00" w:rsidRPr="00414E00" w:rsidTr="00414E00">
        <w:tc>
          <w:tcPr>
            <w:tcW w:w="9369" w:type="dxa"/>
            <w:gridSpan w:val="3"/>
            <w:shd w:val="clear" w:color="auto" w:fill="auto"/>
          </w:tcPr>
          <w:p w:rsidR="00414E00" w:rsidRPr="00414E00" w:rsidRDefault="008A3852" w:rsidP="008A3852">
            <w:pPr>
              <w:pStyle w:val="ListParagraph"/>
              <w:numPr>
                <w:ilvl w:val="1"/>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8A3852">
              <w:rPr>
                <w:lang w:val="fr-FR"/>
              </w:rPr>
              <w:t>Droits économiques, sociaux et culturels</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10</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left" w:pos="3024"/>
                <w:tab w:val="left" w:pos="3456"/>
                <w:tab w:val="left" w:pos="3888"/>
                <w:tab w:val="right" w:leader="dot" w:pos="9374"/>
              </w:tabs>
              <w:suppressAutoHyphens/>
              <w:spacing w:after="120"/>
              <w:rPr>
                <w:lang w:val="fr-FR"/>
              </w:rPr>
            </w:pPr>
            <w:r w:rsidRPr="00105612">
              <w:rPr>
                <w:lang w:val="fr-FR"/>
              </w:rPr>
              <w:t>Droits civils et politiques</w:t>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11</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left" w:pos="3024"/>
                <w:tab w:val="left" w:pos="3456"/>
                <w:tab w:val="right" w:leader="dot" w:pos="9374"/>
              </w:tabs>
              <w:suppressAutoHyphens/>
              <w:spacing w:after="120"/>
              <w:rPr>
                <w:lang w:val="fr-FR"/>
              </w:rPr>
            </w:pPr>
            <w:r w:rsidRPr="00105612">
              <w:rPr>
                <w:lang w:val="fr-FR"/>
              </w:rPr>
              <w:t>Droit</w:t>
            </w:r>
            <w:r>
              <w:rPr>
                <w:lang w:val="fr-FR"/>
              </w:rPr>
              <w:t xml:space="preserve"> au développement</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12</w:t>
            </w:r>
          </w:p>
        </w:tc>
      </w:tr>
      <w:tr w:rsidR="00414E00" w:rsidRPr="00414E00" w:rsidTr="00414E00">
        <w:tc>
          <w:tcPr>
            <w:tcW w:w="9369" w:type="dxa"/>
            <w:gridSpan w:val="3"/>
            <w:shd w:val="clear" w:color="auto" w:fill="auto"/>
          </w:tcPr>
          <w:p w:rsidR="00414E00" w:rsidRPr="00414E00" w:rsidRDefault="008A3852" w:rsidP="00414E00">
            <w:pPr>
              <w:pStyle w:val="ListParagraph"/>
              <w:numPr>
                <w:ilvl w:val="1"/>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610A40">
              <w:t>Droits des peuples et de groupes et individus particuliers</w:t>
            </w:r>
            <w:r w:rsidR="005F370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12</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right" w:leader="dot" w:pos="9374"/>
              </w:tabs>
              <w:suppressAutoHyphens/>
              <w:spacing w:after="120"/>
              <w:rPr>
                <w:lang w:val="fr-FR"/>
              </w:rPr>
            </w:pPr>
            <w:r w:rsidRPr="0058156F">
              <w:rPr>
                <w:lang w:val="fr-FR"/>
              </w:rPr>
              <w:t>Interdépendance des droits de l</w:t>
            </w:r>
            <w:r>
              <w:rPr>
                <w:lang w:val="fr-FR"/>
              </w:rPr>
              <w:t>’</w:t>
            </w:r>
            <w:r w:rsidRPr="0058156F">
              <w:rPr>
                <w:lang w:val="fr-FR"/>
              </w:rPr>
              <w:t>homme et des questions</w:t>
            </w:r>
            <w:r>
              <w:rPr>
                <w:lang w:val="fr-FR"/>
              </w:rPr>
              <w:t xml:space="preserve"> </w:t>
            </w:r>
            <w:r w:rsidRPr="0058156F">
              <w:rPr>
                <w:lang w:val="fr-FR"/>
              </w:rPr>
              <w:t>thématiques relatives aux droits de l</w:t>
            </w:r>
            <w:r>
              <w:rPr>
                <w:lang w:val="fr-FR"/>
              </w:rPr>
              <w:t>’</w:t>
            </w:r>
            <w:r w:rsidRPr="0058156F">
              <w:rPr>
                <w:lang w:val="fr-FR"/>
              </w:rPr>
              <w:t>homme</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13</w:t>
            </w:r>
          </w:p>
        </w:tc>
      </w:tr>
      <w:tr w:rsidR="00414E00" w:rsidRPr="00414E00" w:rsidTr="00414E00">
        <w:tc>
          <w:tcPr>
            <w:tcW w:w="9369" w:type="dxa"/>
            <w:gridSpan w:val="3"/>
            <w:shd w:val="clear" w:color="auto" w:fill="auto"/>
          </w:tcPr>
          <w:p w:rsidR="00414E00" w:rsidRPr="00414E00" w:rsidRDefault="00676011" w:rsidP="008A3852">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8A3852" w:rsidRPr="00EB1CC8">
              <w:rPr>
                <w:lang w:val="fr-FR"/>
              </w:rPr>
              <w:t>Situations relatives aux droits de l</w:t>
            </w:r>
            <w:r w:rsidR="008A3852">
              <w:rPr>
                <w:lang w:val="fr-FR"/>
              </w:rPr>
              <w:t>’</w:t>
            </w:r>
            <w:r w:rsidR="008A3852" w:rsidRPr="00EB1CC8">
              <w:rPr>
                <w:lang w:val="fr-FR"/>
              </w:rPr>
              <w:t>homme qui requièrent l</w:t>
            </w:r>
            <w:r w:rsidR="008A3852">
              <w:rPr>
                <w:lang w:val="fr-FR"/>
              </w:rPr>
              <w:t>’</w:t>
            </w:r>
            <w:r w:rsidR="008A3852" w:rsidRPr="00EB1CC8">
              <w:rPr>
                <w:lang w:val="fr-FR"/>
              </w:rPr>
              <w:t>attention du Conseil</w:t>
            </w:r>
            <w:r w:rsidR="005F370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15</w:t>
            </w:r>
          </w:p>
        </w:tc>
      </w:tr>
      <w:tr w:rsidR="00414E00" w:rsidRPr="00414E00" w:rsidTr="00414E00">
        <w:tc>
          <w:tcPr>
            <w:tcW w:w="9369" w:type="dxa"/>
            <w:gridSpan w:val="3"/>
            <w:shd w:val="clear" w:color="auto" w:fill="auto"/>
          </w:tcPr>
          <w:p w:rsidR="00414E00" w:rsidRPr="00414E00" w:rsidRDefault="00676011" w:rsidP="00414E00">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8A3852" w:rsidRPr="00B23FAE">
              <w:rPr>
                <w:lang w:val="fr-FR"/>
              </w:rPr>
              <w:t>Organes et mécanismes des droits de</w:t>
            </w:r>
            <w:r w:rsidR="008A3852">
              <w:rPr>
                <w:lang w:val="fr-FR"/>
              </w:rPr>
              <w:t xml:space="preserve"> </w:t>
            </w:r>
            <w:r w:rsidR="008A3852" w:rsidRPr="00B23FAE">
              <w:rPr>
                <w:lang w:val="fr-FR"/>
              </w:rPr>
              <w:t>l</w:t>
            </w:r>
            <w:r w:rsidR="008A3852">
              <w:rPr>
                <w:lang w:val="fr-FR"/>
              </w:rPr>
              <w:t>’</w:t>
            </w:r>
            <w:r w:rsidR="008A3852" w:rsidRPr="00B23FAE">
              <w:rPr>
                <w:lang w:val="fr-FR"/>
              </w:rPr>
              <w:t>homme</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15</w:t>
            </w:r>
          </w:p>
        </w:tc>
      </w:tr>
      <w:tr w:rsidR="00414E00" w:rsidRPr="00414E00" w:rsidTr="00414E00">
        <w:tc>
          <w:tcPr>
            <w:tcW w:w="9369" w:type="dxa"/>
            <w:gridSpan w:val="3"/>
            <w:shd w:val="clear" w:color="auto" w:fill="auto"/>
          </w:tcPr>
          <w:p w:rsidR="00414E00" w:rsidRPr="00414E00" w:rsidRDefault="008A3852" w:rsidP="00414E00">
            <w:pPr>
              <w:pStyle w:val="ListParagraph"/>
              <w:numPr>
                <w:ilvl w:val="1"/>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sidRPr="005E7B8D">
              <w:t>Mécanisme d</w:t>
            </w:r>
            <w:r>
              <w:t>’</w:t>
            </w:r>
            <w:r w:rsidRPr="005E7B8D">
              <w:t>experts sur les droits des peuples autochtones</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15</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left" w:pos="3024"/>
                <w:tab w:val="right" w:leader="dot" w:pos="9374"/>
              </w:tabs>
              <w:suppressAutoHyphens/>
              <w:spacing w:after="120"/>
              <w:rPr>
                <w:lang w:val="fr-FR"/>
              </w:rPr>
            </w:pPr>
            <w:r>
              <w:rPr>
                <w:lang w:val="fr-FR"/>
              </w:rPr>
              <w:t>Comité consultatif</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16</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left" w:pos="3024"/>
                <w:tab w:val="right" w:leader="dot" w:pos="9374"/>
              </w:tabs>
              <w:suppressAutoHyphens/>
              <w:spacing w:after="120"/>
              <w:rPr>
                <w:lang w:val="fr-FR"/>
              </w:rPr>
            </w:pPr>
            <w:r w:rsidRPr="009E60FB">
              <w:rPr>
                <w:lang w:eastAsia="en-GB"/>
              </w:rPr>
              <w:t>Procédure de requête</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16</w:t>
            </w:r>
          </w:p>
        </w:tc>
      </w:tr>
      <w:tr w:rsidR="00414E00" w:rsidRPr="00414E00" w:rsidTr="00414E00">
        <w:tc>
          <w:tcPr>
            <w:tcW w:w="9369" w:type="dxa"/>
            <w:gridSpan w:val="3"/>
            <w:shd w:val="clear" w:color="auto" w:fill="auto"/>
          </w:tcPr>
          <w:p w:rsidR="00414E00" w:rsidRPr="00414E00" w:rsidRDefault="008A3852" w:rsidP="00D05A36">
            <w:pPr>
              <w:pStyle w:val="ListParagraph"/>
              <w:numPr>
                <w:ilvl w:val="1"/>
                <w:numId w:val="7"/>
              </w:numPr>
              <w:tabs>
                <w:tab w:val="right" w:pos="1080"/>
                <w:tab w:val="left" w:pos="2160"/>
                <w:tab w:val="left" w:pos="2592"/>
                <w:tab w:val="left" w:pos="3024"/>
                <w:tab w:val="left" w:pos="3456"/>
                <w:tab w:val="right" w:leader="dot" w:pos="9374"/>
              </w:tabs>
              <w:suppressAutoHyphens/>
              <w:spacing w:after="120"/>
              <w:rPr>
                <w:lang w:val="fr-FR"/>
              </w:rPr>
            </w:pPr>
            <w:r w:rsidRPr="00364FDB">
              <w:t>Procédures spéciales</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17</w:t>
            </w:r>
          </w:p>
        </w:tc>
      </w:tr>
      <w:tr w:rsidR="00414E00" w:rsidRPr="00414E00" w:rsidTr="00414E00">
        <w:tc>
          <w:tcPr>
            <w:tcW w:w="9369" w:type="dxa"/>
            <w:gridSpan w:val="3"/>
            <w:shd w:val="clear" w:color="auto" w:fill="auto"/>
          </w:tcPr>
          <w:p w:rsidR="00414E00" w:rsidRPr="00414E00" w:rsidRDefault="00676011" w:rsidP="00D05A36">
            <w:pPr>
              <w:pStyle w:val="ListParagraph"/>
              <w:numPr>
                <w:ilvl w:val="1"/>
                <w:numId w:val="7"/>
              </w:numPr>
              <w:tabs>
                <w:tab w:val="right" w:pos="1080"/>
                <w:tab w:val="left" w:pos="2160"/>
                <w:tab w:val="left" w:pos="2592"/>
                <w:tab w:val="left" w:pos="3024"/>
                <w:tab w:val="left" w:pos="3456"/>
                <w:tab w:val="left" w:pos="3888"/>
                <w:tab w:val="left" w:pos="4320"/>
                <w:tab w:val="right" w:leader="dot" w:pos="9374"/>
              </w:tabs>
              <w:suppressAutoHyphens/>
              <w:spacing w:after="120"/>
              <w:rPr>
                <w:lang w:val="fr-FR"/>
              </w:rPr>
            </w:pPr>
            <w:r w:rsidRPr="008A3852">
              <w:rPr>
                <w:lang w:val="fr-FR"/>
              </w:rPr>
              <w:t>Groupe de travail</w:t>
            </w:r>
            <w:r w:rsidRPr="00CE6931">
              <w:rPr>
                <w:lang w:val="es-AR"/>
              </w:rPr>
              <w:t xml:space="preserve"> intergouvernemental</w:t>
            </w:r>
            <w:r w:rsidRPr="008A3852">
              <w:rPr>
                <w:lang w:val="fr-FR"/>
              </w:rPr>
              <w:t xml:space="preserve"> à composition non limitée chargé d’un projet de</w:t>
            </w:r>
            <w:r w:rsidR="008A3852" w:rsidRPr="008A3852">
              <w:rPr>
                <w:lang w:val="fr-FR"/>
              </w:rPr>
              <w:t xml:space="preserve"> </w:t>
            </w:r>
            <w:r w:rsidRPr="008A3852">
              <w:rPr>
                <w:lang w:val="fr-FR"/>
              </w:rPr>
              <w:t>déclaration des Nations Unies sur les droits des paysans et</w:t>
            </w:r>
            <w:r w:rsidR="008A3852" w:rsidRPr="008A3852">
              <w:rPr>
                <w:lang w:val="fr-FR"/>
              </w:rPr>
              <w:t xml:space="preserve"> </w:t>
            </w:r>
            <w:r w:rsidRPr="008A3852">
              <w:rPr>
                <w:lang w:val="fr-FR"/>
              </w:rPr>
              <w:t>des autres personnes</w:t>
            </w:r>
            <w:r w:rsidR="008A3852" w:rsidRPr="008A3852">
              <w:rPr>
                <w:lang w:val="fr-FR"/>
              </w:rPr>
              <w:t xml:space="preserve"> </w:t>
            </w:r>
            <w:r w:rsidRPr="008A3852">
              <w:rPr>
                <w:lang w:val="fr-FR"/>
              </w:rPr>
              <w:t>travaillant dans les zones rurales</w:t>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17</w:t>
            </w:r>
          </w:p>
        </w:tc>
      </w:tr>
      <w:tr w:rsidR="00414E00" w:rsidRPr="00414E00" w:rsidTr="00414E00">
        <w:tc>
          <w:tcPr>
            <w:tcW w:w="9369" w:type="dxa"/>
            <w:gridSpan w:val="3"/>
            <w:shd w:val="clear" w:color="auto" w:fill="auto"/>
          </w:tcPr>
          <w:p w:rsidR="00414E00" w:rsidRPr="00414E00" w:rsidRDefault="00B312B0" w:rsidP="00D05A36">
            <w:pPr>
              <w:pStyle w:val="ListParagraph"/>
              <w:numPr>
                <w:ilvl w:val="0"/>
                <w:numId w:val="7"/>
              </w:numPr>
              <w:tabs>
                <w:tab w:val="right" w:pos="1080"/>
                <w:tab w:val="left" w:pos="2160"/>
                <w:tab w:val="left" w:pos="2592"/>
                <w:tab w:val="left" w:pos="3024"/>
                <w:tab w:val="left" w:pos="3456"/>
                <w:tab w:val="right" w:leader="dot" w:pos="9374"/>
              </w:tabs>
              <w:suppressAutoHyphens/>
              <w:spacing w:after="120"/>
              <w:rPr>
                <w:lang w:val="fr-FR"/>
              </w:rPr>
            </w:pPr>
            <w:r>
              <w:rPr>
                <w:lang w:val="fr-FR"/>
              </w:rPr>
              <w:tab/>
            </w:r>
            <w:r w:rsidR="00A23340" w:rsidRPr="00364FDB">
              <w:rPr>
                <w:lang w:val="fr-FR"/>
              </w:rPr>
              <w:t>Examen périodique universel</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17</w:t>
            </w:r>
          </w:p>
        </w:tc>
      </w:tr>
      <w:tr w:rsidR="00414E00" w:rsidRPr="00414E00" w:rsidTr="00414E00">
        <w:tc>
          <w:tcPr>
            <w:tcW w:w="9369" w:type="dxa"/>
            <w:gridSpan w:val="3"/>
            <w:shd w:val="clear" w:color="auto" w:fill="auto"/>
          </w:tcPr>
          <w:p w:rsidR="00414E00" w:rsidRPr="00414E00" w:rsidRDefault="00B312B0" w:rsidP="00D05A36">
            <w:pPr>
              <w:pStyle w:val="ListParagraph"/>
              <w:numPr>
                <w:ilvl w:val="0"/>
                <w:numId w:val="7"/>
              </w:numPr>
              <w:tabs>
                <w:tab w:val="right" w:pos="1080"/>
                <w:tab w:val="left" w:pos="2160"/>
                <w:tab w:val="left" w:pos="2592"/>
                <w:tab w:val="right" w:leader="dot" w:pos="9374"/>
              </w:tabs>
              <w:suppressAutoHyphens/>
              <w:spacing w:after="120"/>
              <w:rPr>
                <w:lang w:val="fr-FR"/>
              </w:rPr>
            </w:pPr>
            <w:r>
              <w:rPr>
                <w:lang w:val="fr-FR"/>
              </w:rPr>
              <w:tab/>
            </w:r>
            <w:r w:rsidR="00A23340" w:rsidRPr="00955CA0">
              <w:rPr>
                <w:lang w:val="fr-FR"/>
              </w:rPr>
              <w:t>La situation des droits de l</w:t>
            </w:r>
            <w:r w:rsidR="00A23340">
              <w:rPr>
                <w:lang w:val="fr-FR"/>
              </w:rPr>
              <w:t>’</w:t>
            </w:r>
            <w:r w:rsidR="00A23340" w:rsidRPr="00955CA0">
              <w:rPr>
                <w:lang w:val="fr-FR"/>
              </w:rPr>
              <w:t xml:space="preserve">homme en Palestine et dans les autres territoires </w:t>
            </w:r>
            <w:r w:rsidR="00A23340">
              <w:rPr>
                <w:lang w:val="fr-FR"/>
              </w:rPr>
              <w:br/>
            </w:r>
            <w:r w:rsidR="00A23340" w:rsidRPr="00955CA0">
              <w:rPr>
                <w:lang w:val="fr-FR"/>
              </w:rPr>
              <w:t>arabes occupés</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17</w:t>
            </w:r>
          </w:p>
        </w:tc>
      </w:tr>
      <w:tr w:rsidR="00414E00" w:rsidRPr="00414E00" w:rsidTr="00414E00">
        <w:tc>
          <w:tcPr>
            <w:tcW w:w="9369" w:type="dxa"/>
            <w:gridSpan w:val="3"/>
            <w:shd w:val="clear" w:color="auto" w:fill="auto"/>
          </w:tcPr>
          <w:p w:rsidR="00414E00" w:rsidRPr="00414E00" w:rsidRDefault="00B312B0" w:rsidP="00A23340">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A23340" w:rsidRPr="00955CA0">
              <w:rPr>
                <w:lang w:val="fr-FR"/>
              </w:rPr>
              <w:t>Suivi et application de la Déclaration et du Programme d</w:t>
            </w:r>
            <w:r w:rsidR="00A23340">
              <w:rPr>
                <w:lang w:val="fr-FR"/>
              </w:rPr>
              <w:t>’</w:t>
            </w:r>
            <w:r w:rsidR="00A23340" w:rsidRPr="00955CA0">
              <w:rPr>
                <w:lang w:val="fr-FR"/>
              </w:rPr>
              <w:t>action de Vienne</w:t>
            </w:r>
            <w:r w:rsidR="005F370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18</w:t>
            </w:r>
          </w:p>
        </w:tc>
      </w:tr>
      <w:tr w:rsidR="00414E00" w:rsidRPr="00414E00" w:rsidTr="00414E00">
        <w:tc>
          <w:tcPr>
            <w:tcW w:w="9369" w:type="dxa"/>
            <w:gridSpan w:val="3"/>
            <w:shd w:val="clear" w:color="auto" w:fill="auto"/>
          </w:tcPr>
          <w:p w:rsidR="00414E00" w:rsidRPr="00414E00" w:rsidRDefault="00B312B0" w:rsidP="008C7880">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8C7880" w:rsidRPr="008447C8">
              <w:rPr>
                <w:lang w:val="fr-FR"/>
              </w:rPr>
              <w:t>Le racisme, la discrimination raciale, la xénophobie et l</w:t>
            </w:r>
            <w:r w:rsidR="008C7880">
              <w:rPr>
                <w:lang w:val="fr-FR"/>
              </w:rPr>
              <w:t>’</w:t>
            </w:r>
            <w:r w:rsidR="008C7880" w:rsidRPr="008447C8">
              <w:rPr>
                <w:lang w:val="fr-FR"/>
              </w:rPr>
              <w:t>intolérance qui y est associée</w:t>
            </w:r>
            <w:r w:rsidR="001D7058">
              <w:rPr>
                <w:lang w:val="fr-FR"/>
              </w:rPr>
              <w:t> </w:t>
            </w:r>
            <w:r w:rsidR="008C7880" w:rsidRPr="008447C8">
              <w:rPr>
                <w:lang w:val="fr-FR"/>
              </w:rPr>
              <w:t>: suivi et application de la Déclaration et du Programme d</w:t>
            </w:r>
            <w:r w:rsidR="008C7880">
              <w:rPr>
                <w:lang w:val="fr-FR"/>
              </w:rPr>
              <w:t>’</w:t>
            </w:r>
            <w:r w:rsidR="008C7880" w:rsidRPr="008447C8">
              <w:rPr>
                <w:lang w:val="fr-FR"/>
              </w:rPr>
              <w:t>action de Durban</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18</w:t>
            </w:r>
          </w:p>
        </w:tc>
      </w:tr>
      <w:tr w:rsidR="00414E00" w:rsidRPr="00414E00" w:rsidTr="00414E00">
        <w:tc>
          <w:tcPr>
            <w:tcW w:w="9369" w:type="dxa"/>
            <w:gridSpan w:val="3"/>
            <w:shd w:val="clear" w:color="auto" w:fill="auto"/>
          </w:tcPr>
          <w:p w:rsidR="00414E00" w:rsidRPr="00414E00" w:rsidRDefault="00B312B0" w:rsidP="00414E00">
            <w:pPr>
              <w:pStyle w:val="ListParagraph"/>
              <w:numPr>
                <w:ilvl w:val="0"/>
                <w:numId w:val="7"/>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FR"/>
              </w:rPr>
            </w:pPr>
            <w:r>
              <w:rPr>
                <w:lang w:val="fr-FR"/>
              </w:rPr>
              <w:tab/>
            </w:r>
            <w:r w:rsidR="008C7880" w:rsidRPr="00B06351">
              <w:rPr>
                <w:lang w:val="fr-FR"/>
              </w:rPr>
              <w:t>Assistance technique et renforcement des capacités</w:t>
            </w:r>
            <w:r w:rsidR="00D05A36">
              <w:rPr>
                <w:spacing w:val="60"/>
                <w:sz w:val="17"/>
                <w:lang w:val="fr-FR"/>
              </w:rPr>
              <w:tab/>
            </w:r>
          </w:p>
        </w:tc>
        <w:tc>
          <w:tcPr>
            <w:tcW w:w="657" w:type="dxa"/>
            <w:shd w:val="clear" w:color="auto" w:fill="auto"/>
            <w:vAlign w:val="bottom"/>
          </w:tcPr>
          <w:p w:rsidR="00414E00" w:rsidRPr="00414E00" w:rsidRDefault="007B544D" w:rsidP="00414E00">
            <w:pPr>
              <w:spacing w:after="120"/>
              <w:ind w:right="40"/>
              <w:jc w:val="right"/>
              <w:rPr>
                <w:lang w:val="fr-FR"/>
              </w:rPr>
            </w:pPr>
            <w:r>
              <w:rPr>
                <w:lang w:val="fr-FR"/>
              </w:rPr>
              <w:t>18</w:t>
            </w:r>
          </w:p>
        </w:tc>
      </w:tr>
      <w:tr w:rsidR="00414E00" w:rsidRPr="00414E00" w:rsidTr="00414E00">
        <w:tc>
          <w:tcPr>
            <w:tcW w:w="9369" w:type="dxa"/>
            <w:gridSpan w:val="3"/>
            <w:shd w:val="clear" w:color="auto" w:fill="auto"/>
          </w:tcPr>
          <w:p w:rsidR="00414E00" w:rsidRPr="00414E00" w:rsidRDefault="00414E00" w:rsidP="00414E00">
            <w:pPr>
              <w:pStyle w:val="ListParagraph"/>
              <w:tabs>
                <w:tab w:val="right" w:pos="1080"/>
                <w:tab w:val="left" w:pos="1296"/>
                <w:tab w:val="right" w:pos="1714"/>
                <w:tab w:val="left" w:pos="2160"/>
                <w:tab w:val="left" w:pos="2592"/>
                <w:tab w:val="left" w:pos="3024"/>
                <w:tab w:val="left" w:pos="3456"/>
              </w:tabs>
              <w:suppressAutoHyphens/>
              <w:spacing w:after="120"/>
              <w:ind w:left="0"/>
              <w:rPr>
                <w:lang w:val="fr-FR"/>
              </w:rPr>
            </w:pPr>
            <w:r>
              <w:rPr>
                <w:lang w:val="fr-FR"/>
              </w:rPr>
              <w:tab/>
              <w:t>Annexe</w:t>
            </w:r>
          </w:p>
        </w:tc>
        <w:tc>
          <w:tcPr>
            <w:tcW w:w="657" w:type="dxa"/>
            <w:shd w:val="clear" w:color="auto" w:fill="auto"/>
            <w:vAlign w:val="bottom"/>
          </w:tcPr>
          <w:p w:rsidR="00414E00" w:rsidRPr="00414E00" w:rsidRDefault="00414E00" w:rsidP="00414E00">
            <w:pPr>
              <w:spacing w:after="120"/>
              <w:ind w:right="40"/>
              <w:jc w:val="right"/>
              <w:rPr>
                <w:lang w:val="fr-FR"/>
              </w:rPr>
            </w:pPr>
            <w:r>
              <w:rPr>
                <w:lang w:val="fr-FR"/>
              </w:rPr>
              <w:tab/>
            </w:r>
          </w:p>
        </w:tc>
      </w:tr>
      <w:tr w:rsidR="00414E00" w:rsidRPr="00414E00" w:rsidTr="00414E00">
        <w:tc>
          <w:tcPr>
            <w:tcW w:w="9369" w:type="dxa"/>
            <w:gridSpan w:val="3"/>
            <w:shd w:val="clear" w:color="auto" w:fill="auto"/>
          </w:tcPr>
          <w:p w:rsidR="00414E00" w:rsidRDefault="008C7880" w:rsidP="00D05A36">
            <w:pPr>
              <w:pStyle w:val="ListParagraph"/>
              <w:tabs>
                <w:tab w:val="right" w:pos="1080"/>
                <w:tab w:val="left" w:pos="1296"/>
                <w:tab w:val="left" w:pos="2160"/>
                <w:tab w:val="right" w:leader="dot" w:pos="9374"/>
              </w:tabs>
              <w:suppressAutoHyphens/>
              <w:spacing w:after="120"/>
              <w:ind w:left="1296"/>
              <w:rPr>
                <w:lang w:val="fr-FR"/>
              </w:rPr>
            </w:pPr>
            <w:r w:rsidRPr="007E3D8A">
              <w:rPr>
                <w:lang w:val="fr-FR"/>
              </w:rPr>
              <w:t xml:space="preserve">Réunions-débats qui doivent avoir lieu à la </w:t>
            </w:r>
            <w:r>
              <w:rPr>
                <w:lang w:val="fr-FR"/>
              </w:rPr>
              <w:t>trentième</w:t>
            </w:r>
            <w:r w:rsidRPr="007E3D8A">
              <w:rPr>
                <w:lang w:val="fr-FR"/>
              </w:rPr>
              <w:t xml:space="preserve"> session du Conseil des droits </w:t>
            </w:r>
            <w:r w:rsidR="00D05A36">
              <w:rPr>
                <w:lang w:val="fr-FR"/>
              </w:rPr>
              <w:br/>
            </w:r>
            <w:r w:rsidRPr="007E3D8A">
              <w:rPr>
                <w:lang w:val="fr-FR"/>
              </w:rPr>
              <w:t>de l</w:t>
            </w:r>
            <w:r>
              <w:rPr>
                <w:lang w:val="fr-FR"/>
              </w:rPr>
              <w:t>’</w:t>
            </w:r>
            <w:r w:rsidRPr="007E3D8A">
              <w:rPr>
                <w:lang w:val="fr-FR"/>
              </w:rPr>
              <w:t>homme</w:t>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r w:rsidR="00D05A36">
              <w:rPr>
                <w:spacing w:val="60"/>
                <w:sz w:val="17"/>
                <w:lang w:val="fr-FR"/>
              </w:rPr>
              <w:tab/>
            </w:r>
          </w:p>
        </w:tc>
        <w:tc>
          <w:tcPr>
            <w:tcW w:w="657" w:type="dxa"/>
            <w:shd w:val="clear" w:color="auto" w:fill="auto"/>
            <w:vAlign w:val="bottom"/>
          </w:tcPr>
          <w:p w:rsidR="00414E00" w:rsidRDefault="007B544D" w:rsidP="00414E00">
            <w:pPr>
              <w:spacing w:after="120"/>
              <w:ind w:right="40"/>
              <w:jc w:val="right"/>
              <w:rPr>
                <w:lang w:val="fr-FR"/>
              </w:rPr>
            </w:pPr>
            <w:r>
              <w:rPr>
                <w:lang w:val="fr-FR"/>
              </w:rPr>
              <w:t>21</w:t>
            </w:r>
          </w:p>
        </w:tc>
      </w:tr>
    </w:tbl>
    <w:p w:rsidR="00676011" w:rsidRDefault="00676011" w:rsidP="00676011">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bookmarkStart w:id="2" w:name="_Toc220320987"/>
      <w:r>
        <w:rPr>
          <w:lang w:val="fr-FR"/>
        </w:rPr>
        <w:lastRenderedPageBreak/>
        <w:tab/>
      </w:r>
      <w:r w:rsidRPr="009C3EF4">
        <w:rPr>
          <w:lang w:val="fr-FR"/>
        </w:rPr>
        <w:t>1.</w:t>
      </w:r>
      <w:r w:rsidRPr="009C3EF4">
        <w:rPr>
          <w:lang w:val="fr-FR"/>
        </w:rPr>
        <w:tab/>
      </w:r>
      <w:bookmarkEnd w:id="2"/>
      <w:r w:rsidRPr="009C3EF4">
        <w:rPr>
          <w:lang w:val="fr-FR"/>
        </w:rPr>
        <w:t>Questions d</w:t>
      </w:r>
      <w:r>
        <w:rPr>
          <w:lang w:val="fr-FR"/>
        </w:rPr>
        <w:t>’</w:t>
      </w:r>
      <w:r w:rsidRPr="009C3EF4">
        <w:rPr>
          <w:lang w:val="fr-FR"/>
        </w:rPr>
        <w:t>organisation et de procédure</w:t>
      </w:r>
    </w:p>
    <w:p w:rsidR="00676011" w:rsidRPr="00676011" w:rsidRDefault="00676011" w:rsidP="00676011">
      <w:pPr>
        <w:spacing w:line="120" w:lineRule="exact"/>
        <w:rPr>
          <w:sz w:val="10"/>
          <w:lang w:val="fr-FR"/>
        </w:rPr>
      </w:pPr>
    </w:p>
    <w:p w:rsidR="00676011" w:rsidRPr="00676011" w:rsidRDefault="00676011" w:rsidP="00676011">
      <w:pPr>
        <w:spacing w:line="120" w:lineRule="exact"/>
        <w:rPr>
          <w:sz w:val="10"/>
          <w:lang w:val="fr-FR"/>
        </w:rPr>
      </w:pPr>
    </w:p>
    <w:p w:rsidR="00676011" w:rsidRDefault="00676011" w:rsidP="00676011">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bookmarkStart w:id="3" w:name="_Toc220320988"/>
      <w:r w:rsidRPr="009C3EF4">
        <w:rPr>
          <w:lang w:val="fr-FR"/>
        </w:rPr>
        <w:tab/>
        <w:t>A.</w:t>
      </w:r>
      <w:r w:rsidRPr="009C3EF4">
        <w:rPr>
          <w:lang w:val="fr-FR"/>
        </w:rPr>
        <w:tab/>
      </w:r>
      <w:bookmarkEnd w:id="3"/>
      <w:r w:rsidRPr="009C3EF4">
        <w:rPr>
          <w:lang w:val="fr-FR"/>
        </w:rPr>
        <w:t>Date et lieu de la session</w:t>
      </w:r>
    </w:p>
    <w:p w:rsidR="00676011" w:rsidRPr="00676011" w:rsidRDefault="00676011" w:rsidP="00676011">
      <w:pPr>
        <w:spacing w:line="120" w:lineRule="exact"/>
        <w:rPr>
          <w:sz w:val="10"/>
          <w:lang w:val="fr-FR"/>
        </w:rPr>
      </w:pPr>
    </w:p>
    <w:p w:rsidR="00676011" w:rsidRPr="00676011" w:rsidRDefault="00676011" w:rsidP="00676011">
      <w:pPr>
        <w:spacing w:line="120" w:lineRule="exact"/>
        <w:rPr>
          <w:sz w:val="10"/>
          <w:lang w:val="fr-FR"/>
        </w:rPr>
      </w:pPr>
    </w:p>
    <w:p w:rsidR="00676011" w:rsidRPr="00E41698" w:rsidRDefault="00676011" w:rsidP="006B570B">
      <w:pPr>
        <w:pStyle w:val="SingleTxt"/>
        <w:numPr>
          <w:ilvl w:val="0"/>
          <w:numId w:val="29"/>
        </w:numPr>
        <w:rPr>
          <w:lang w:val="fr-FR"/>
        </w:rPr>
      </w:pPr>
      <w:r w:rsidRPr="00E41698">
        <w:rPr>
          <w:lang w:val="fr-FR"/>
        </w:rPr>
        <w:t>Conformément à son programme de travail annuel, tel qu</w:t>
      </w:r>
      <w:r>
        <w:rPr>
          <w:lang w:val="fr-FR"/>
        </w:rPr>
        <w:t>’</w:t>
      </w:r>
      <w:r w:rsidRPr="00E41698">
        <w:rPr>
          <w:lang w:val="fr-FR"/>
        </w:rPr>
        <w:t>il a été examiné le 8 décembre 2014 à la séance d</w:t>
      </w:r>
      <w:r>
        <w:rPr>
          <w:lang w:val="fr-FR"/>
        </w:rPr>
        <w:t>’</w:t>
      </w:r>
      <w:r w:rsidRPr="00E41698">
        <w:rPr>
          <w:lang w:val="fr-FR"/>
        </w:rPr>
        <w:t>organisation de son neuvième cycle, le Conseil des droits de l</w:t>
      </w:r>
      <w:r>
        <w:rPr>
          <w:lang w:val="fr-FR"/>
        </w:rPr>
        <w:t>’</w:t>
      </w:r>
      <w:r w:rsidRPr="00E41698">
        <w:rPr>
          <w:lang w:val="fr-FR"/>
        </w:rPr>
        <w:t xml:space="preserve">homme tiendra sa </w:t>
      </w:r>
      <w:r>
        <w:rPr>
          <w:lang w:val="fr-FR"/>
        </w:rPr>
        <w:t>trentième</w:t>
      </w:r>
      <w:r w:rsidRPr="00E41698">
        <w:rPr>
          <w:lang w:val="fr-FR"/>
        </w:rPr>
        <w:t xml:space="preserve"> session du </w:t>
      </w:r>
      <w:r>
        <w:rPr>
          <w:lang w:val="fr-FR"/>
        </w:rPr>
        <w:t>14 septembre au 2 octobre</w:t>
      </w:r>
      <w:r w:rsidRPr="00E41698">
        <w:rPr>
          <w:lang w:val="fr-FR"/>
        </w:rPr>
        <w:t xml:space="preserve"> 2015 à l</w:t>
      </w:r>
      <w:r>
        <w:rPr>
          <w:lang w:val="fr-FR"/>
        </w:rPr>
        <w:t>’</w:t>
      </w:r>
      <w:r w:rsidRPr="00E41698">
        <w:rPr>
          <w:lang w:val="fr-FR"/>
        </w:rPr>
        <w:t>Office des</w:t>
      </w:r>
      <w:r>
        <w:rPr>
          <w:lang w:val="fr-FR"/>
        </w:rPr>
        <w:t xml:space="preserve"> </w:t>
      </w:r>
      <w:r w:rsidRPr="00E41698">
        <w:rPr>
          <w:lang w:val="fr-FR"/>
        </w:rPr>
        <w:t>Nations Unies à Genève.</w:t>
      </w:r>
    </w:p>
    <w:p w:rsidR="00676011" w:rsidRDefault="00676011" w:rsidP="006B570B">
      <w:pPr>
        <w:pStyle w:val="SingleTxt"/>
        <w:numPr>
          <w:ilvl w:val="0"/>
          <w:numId w:val="29"/>
        </w:numPr>
        <w:rPr>
          <w:spacing w:val="-1"/>
          <w:lang w:val="fr-FR"/>
        </w:rPr>
      </w:pPr>
      <w:r w:rsidRPr="00E41698">
        <w:rPr>
          <w:spacing w:val="-1"/>
          <w:lang w:val="fr-FR"/>
        </w:rPr>
        <w:t>Conformément à l</w:t>
      </w:r>
      <w:r>
        <w:rPr>
          <w:spacing w:val="-1"/>
          <w:lang w:val="fr-FR"/>
        </w:rPr>
        <w:t>’</w:t>
      </w:r>
      <w:r w:rsidRPr="00E41698">
        <w:rPr>
          <w:spacing w:val="-1"/>
          <w:lang w:val="fr-FR"/>
        </w:rPr>
        <w:t xml:space="preserve">article 8 b) du </w:t>
      </w:r>
      <w:r>
        <w:rPr>
          <w:spacing w:val="-1"/>
          <w:lang w:val="fr-FR"/>
        </w:rPr>
        <w:t>règlement</w:t>
      </w:r>
      <w:r w:rsidRPr="00E41698">
        <w:rPr>
          <w:spacing w:val="-1"/>
          <w:lang w:val="fr-FR"/>
        </w:rPr>
        <w:t xml:space="preserve"> intérieur du Conseil des droits de l</w:t>
      </w:r>
      <w:r>
        <w:rPr>
          <w:spacing w:val="-1"/>
          <w:lang w:val="fr-FR"/>
        </w:rPr>
        <w:t>’</w:t>
      </w:r>
      <w:r w:rsidRPr="00E41698">
        <w:rPr>
          <w:spacing w:val="-1"/>
          <w:lang w:val="fr-FR"/>
        </w:rPr>
        <w:t>homme, tel qu</w:t>
      </w:r>
      <w:r>
        <w:rPr>
          <w:spacing w:val="-1"/>
          <w:lang w:val="fr-FR"/>
        </w:rPr>
        <w:t>’</w:t>
      </w:r>
      <w:r w:rsidRPr="00E41698">
        <w:rPr>
          <w:spacing w:val="-1"/>
          <w:lang w:val="fr-FR"/>
        </w:rPr>
        <w:t>il figure dans la section VII de l</w:t>
      </w:r>
      <w:r>
        <w:rPr>
          <w:spacing w:val="-1"/>
          <w:lang w:val="fr-FR"/>
        </w:rPr>
        <w:t>’</w:t>
      </w:r>
      <w:r w:rsidRPr="00E41698">
        <w:rPr>
          <w:spacing w:val="-1"/>
          <w:lang w:val="fr-FR"/>
        </w:rPr>
        <w:t>annexe à la résolution 5/1 en date du 18 juin</w:t>
      </w:r>
      <w:r>
        <w:rPr>
          <w:spacing w:val="-1"/>
          <w:lang w:val="fr-FR"/>
        </w:rPr>
        <w:t xml:space="preserve"> </w:t>
      </w:r>
      <w:r w:rsidRPr="00E41698">
        <w:rPr>
          <w:spacing w:val="-1"/>
          <w:lang w:val="fr-FR"/>
        </w:rPr>
        <w:t xml:space="preserve">2007, </w:t>
      </w:r>
      <w:r>
        <w:rPr>
          <w:spacing w:val="-1"/>
          <w:lang w:val="fr-FR"/>
        </w:rPr>
        <w:t xml:space="preserve">il a été décidé que </w:t>
      </w:r>
      <w:r w:rsidRPr="00E41698">
        <w:rPr>
          <w:spacing w:val="-1"/>
          <w:lang w:val="fr-FR"/>
        </w:rPr>
        <w:t>la séance d</w:t>
      </w:r>
      <w:r>
        <w:rPr>
          <w:spacing w:val="-1"/>
          <w:lang w:val="fr-FR"/>
        </w:rPr>
        <w:t>’</w:t>
      </w:r>
      <w:r w:rsidRPr="00E41698">
        <w:rPr>
          <w:spacing w:val="-1"/>
          <w:lang w:val="fr-FR"/>
        </w:rPr>
        <w:t xml:space="preserve">organisation de la </w:t>
      </w:r>
      <w:r>
        <w:rPr>
          <w:spacing w:val="-1"/>
          <w:lang w:val="fr-FR"/>
        </w:rPr>
        <w:t>trentième</w:t>
      </w:r>
      <w:r w:rsidRPr="00E41698">
        <w:rPr>
          <w:spacing w:val="-1"/>
          <w:lang w:val="fr-FR"/>
        </w:rPr>
        <w:t xml:space="preserve"> session aura</w:t>
      </w:r>
      <w:r>
        <w:rPr>
          <w:spacing w:val="-1"/>
          <w:lang w:val="fr-FR"/>
        </w:rPr>
        <w:t>it</w:t>
      </w:r>
      <w:r w:rsidRPr="00E41698">
        <w:rPr>
          <w:spacing w:val="-1"/>
          <w:lang w:val="fr-FR"/>
        </w:rPr>
        <w:t xml:space="preserve"> lieu le </w:t>
      </w:r>
      <w:r>
        <w:rPr>
          <w:spacing w:val="-1"/>
          <w:lang w:val="fr-FR"/>
        </w:rPr>
        <w:t>24 août</w:t>
      </w:r>
      <w:r w:rsidRPr="00E41698">
        <w:rPr>
          <w:spacing w:val="-1"/>
          <w:lang w:val="fr-FR"/>
        </w:rPr>
        <w:t xml:space="preserve"> 2015.</w:t>
      </w:r>
    </w:p>
    <w:p w:rsidR="006B570B" w:rsidRPr="006B570B" w:rsidRDefault="006B570B" w:rsidP="006B570B">
      <w:pPr>
        <w:pStyle w:val="SingleTxt"/>
        <w:spacing w:after="0" w:line="120" w:lineRule="exact"/>
        <w:rPr>
          <w:sz w:val="10"/>
          <w:lang w:val="fr-FR"/>
        </w:rPr>
      </w:pPr>
    </w:p>
    <w:p w:rsidR="006B570B" w:rsidRPr="006B570B" w:rsidRDefault="006B570B" w:rsidP="006B570B">
      <w:pPr>
        <w:pStyle w:val="SingleTxt"/>
        <w:spacing w:after="0" w:line="120" w:lineRule="exact"/>
        <w:rPr>
          <w:sz w:val="10"/>
          <w:lang w:val="fr-FR"/>
        </w:rPr>
      </w:pPr>
    </w:p>
    <w:p w:rsidR="00676011" w:rsidRDefault="00676011" w:rsidP="006B570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rPr>
        <w:tab/>
      </w:r>
      <w:r>
        <w:rPr>
          <w:lang w:val="fr-FR"/>
        </w:rPr>
        <w:t>B</w:t>
      </w:r>
      <w:r w:rsidRPr="009C3EF4">
        <w:rPr>
          <w:lang w:val="fr-FR"/>
        </w:rPr>
        <w:t>.</w:t>
      </w:r>
      <w:r w:rsidRPr="009C3EF4">
        <w:rPr>
          <w:lang w:val="fr-FR"/>
        </w:rPr>
        <w:tab/>
        <w:t>Ordre du jour de la session</w:t>
      </w:r>
    </w:p>
    <w:p w:rsidR="00656E6E" w:rsidRPr="00656E6E" w:rsidRDefault="00656E6E" w:rsidP="00656E6E">
      <w:pPr>
        <w:pStyle w:val="SingleTxt"/>
        <w:spacing w:after="0" w:line="120" w:lineRule="exact"/>
        <w:rPr>
          <w:sz w:val="10"/>
          <w:lang w:val="fr-FR"/>
        </w:rPr>
      </w:pPr>
    </w:p>
    <w:p w:rsidR="00656E6E" w:rsidRPr="00656E6E" w:rsidRDefault="00656E6E" w:rsidP="00656E6E">
      <w:pPr>
        <w:pStyle w:val="SingleTxt"/>
        <w:spacing w:after="0" w:line="120" w:lineRule="exact"/>
        <w:rPr>
          <w:sz w:val="10"/>
          <w:lang w:val="fr-FR"/>
        </w:rPr>
      </w:pPr>
    </w:p>
    <w:p w:rsidR="00676011" w:rsidRDefault="00676011" w:rsidP="00656E6E">
      <w:pPr>
        <w:pStyle w:val="SingleTxt"/>
        <w:numPr>
          <w:ilvl w:val="0"/>
          <w:numId w:val="29"/>
        </w:numPr>
        <w:rPr>
          <w:lang w:val="fr-FR"/>
        </w:rPr>
      </w:pPr>
      <w:r w:rsidRPr="00E41698">
        <w:rPr>
          <w:lang w:val="fr-FR"/>
        </w:rPr>
        <w:t>L</w:t>
      </w:r>
      <w:r>
        <w:rPr>
          <w:lang w:val="fr-FR"/>
        </w:rPr>
        <w:t>’</w:t>
      </w:r>
      <w:r w:rsidRPr="00E41698">
        <w:rPr>
          <w:lang w:val="fr-FR"/>
        </w:rPr>
        <w:t>ordre du jour du Conseil des droits de l</w:t>
      </w:r>
      <w:r>
        <w:rPr>
          <w:lang w:val="fr-FR"/>
        </w:rPr>
        <w:t>’</w:t>
      </w:r>
      <w:r w:rsidRPr="00E41698">
        <w:rPr>
          <w:lang w:val="fr-FR"/>
        </w:rPr>
        <w:t>homme figure à la section V de l</w:t>
      </w:r>
      <w:r>
        <w:rPr>
          <w:lang w:val="fr-FR"/>
        </w:rPr>
        <w:t>’</w:t>
      </w:r>
      <w:r w:rsidRPr="00E41698">
        <w:rPr>
          <w:lang w:val="fr-FR"/>
        </w:rPr>
        <w:t>annexe à la résolution 5/1 du Conseil. Le Conseil sera saisi du présent document, qui contient les annotations à l</w:t>
      </w:r>
      <w:r>
        <w:rPr>
          <w:lang w:val="fr-FR"/>
        </w:rPr>
        <w:t>’</w:t>
      </w:r>
      <w:r w:rsidRPr="00E41698">
        <w:rPr>
          <w:lang w:val="fr-FR"/>
        </w:rPr>
        <w:t xml:space="preserve">ordre du jour </w:t>
      </w:r>
      <w:r>
        <w:rPr>
          <w:lang w:val="fr-FR"/>
        </w:rPr>
        <w:t>de</w:t>
      </w:r>
      <w:r w:rsidRPr="00E41698">
        <w:rPr>
          <w:lang w:val="fr-FR"/>
        </w:rPr>
        <w:t xml:space="preserve"> la </w:t>
      </w:r>
      <w:r>
        <w:rPr>
          <w:lang w:val="fr-FR"/>
        </w:rPr>
        <w:t>trentième</w:t>
      </w:r>
      <w:r w:rsidRPr="00E41698">
        <w:rPr>
          <w:lang w:val="fr-FR"/>
        </w:rPr>
        <w:t xml:space="preserve"> session.</w:t>
      </w:r>
    </w:p>
    <w:p w:rsidR="00656E6E" w:rsidRPr="00656E6E" w:rsidRDefault="00656E6E" w:rsidP="00656E6E">
      <w:pPr>
        <w:pStyle w:val="SingleTxt"/>
        <w:spacing w:after="0" w:line="120" w:lineRule="exact"/>
        <w:rPr>
          <w:sz w:val="10"/>
          <w:lang w:val="fr-FR"/>
        </w:rPr>
      </w:pPr>
    </w:p>
    <w:p w:rsidR="00656E6E" w:rsidRPr="00656E6E" w:rsidRDefault="00656E6E" w:rsidP="00656E6E">
      <w:pPr>
        <w:pStyle w:val="SingleTxt"/>
        <w:spacing w:after="0" w:line="120" w:lineRule="exact"/>
        <w:rPr>
          <w:sz w:val="10"/>
          <w:lang w:val="fr-FR"/>
        </w:rPr>
      </w:pPr>
    </w:p>
    <w:p w:rsidR="00676011" w:rsidRDefault="00676011" w:rsidP="00656E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4" w:name="_Toc220320990"/>
      <w:r w:rsidRPr="00E41698">
        <w:rPr>
          <w:lang w:val="fr-FR"/>
        </w:rPr>
        <w:tab/>
      </w:r>
      <w:r w:rsidRPr="009C3EF4">
        <w:rPr>
          <w:lang w:val="fr-FR"/>
        </w:rPr>
        <w:t>C.</w:t>
      </w:r>
      <w:r w:rsidRPr="009C3EF4">
        <w:rPr>
          <w:lang w:val="fr-FR"/>
        </w:rPr>
        <w:tab/>
      </w:r>
      <w:bookmarkEnd w:id="4"/>
      <w:r w:rsidRPr="009C3EF4">
        <w:rPr>
          <w:lang w:val="fr-FR"/>
        </w:rPr>
        <w:t>Composition du Conseil des droits de l</w:t>
      </w:r>
      <w:r>
        <w:rPr>
          <w:lang w:val="fr-FR"/>
        </w:rPr>
        <w:t>’</w:t>
      </w:r>
      <w:r w:rsidRPr="009C3EF4">
        <w:rPr>
          <w:lang w:val="fr-FR"/>
        </w:rPr>
        <w:t>homme</w:t>
      </w:r>
    </w:p>
    <w:p w:rsidR="00656E6E" w:rsidRPr="00656E6E" w:rsidRDefault="00656E6E" w:rsidP="00656E6E">
      <w:pPr>
        <w:pStyle w:val="SingleTxt"/>
        <w:spacing w:after="0" w:line="120" w:lineRule="exact"/>
        <w:rPr>
          <w:sz w:val="10"/>
          <w:lang w:val="fr-FR"/>
        </w:rPr>
      </w:pPr>
    </w:p>
    <w:p w:rsidR="00656E6E" w:rsidRPr="00656E6E" w:rsidRDefault="00656E6E" w:rsidP="00656E6E">
      <w:pPr>
        <w:pStyle w:val="SingleTxt"/>
        <w:spacing w:after="0" w:line="120" w:lineRule="exact"/>
        <w:rPr>
          <w:sz w:val="10"/>
          <w:lang w:val="fr-FR"/>
        </w:rPr>
      </w:pPr>
    </w:p>
    <w:p w:rsidR="00676011" w:rsidRDefault="00676011" w:rsidP="00656E6E">
      <w:pPr>
        <w:pStyle w:val="SingleTxt"/>
        <w:numPr>
          <w:ilvl w:val="0"/>
          <w:numId w:val="29"/>
        </w:numPr>
        <w:rPr>
          <w:lang w:val="fr-FR"/>
        </w:rPr>
      </w:pPr>
      <w:r w:rsidRPr="00E41698">
        <w:rPr>
          <w:lang w:val="fr-FR"/>
        </w:rPr>
        <w:t>La composition du Conseil des droits de l</w:t>
      </w:r>
      <w:r>
        <w:rPr>
          <w:lang w:val="fr-FR"/>
        </w:rPr>
        <w:t>’</w:t>
      </w:r>
      <w:r w:rsidRPr="00E41698">
        <w:rPr>
          <w:lang w:val="fr-FR"/>
        </w:rPr>
        <w:t xml:space="preserve">homme à sa </w:t>
      </w:r>
      <w:r>
        <w:rPr>
          <w:lang w:val="fr-FR"/>
        </w:rPr>
        <w:t>trentième session</w:t>
      </w:r>
      <w:r w:rsidRPr="00E41698">
        <w:rPr>
          <w:lang w:val="fr-FR"/>
        </w:rPr>
        <w:t xml:space="preserve"> est la suivante</w:t>
      </w:r>
      <w:r w:rsidRPr="00247BC6">
        <w:rPr>
          <w:rStyle w:val="FootnoteReference"/>
          <w:color w:val="auto"/>
          <w:vertAlign w:val="baseline"/>
        </w:rPr>
        <w:footnoteReference w:customMarkFollows="1" w:id="1"/>
        <w:t>*</w:t>
      </w:r>
      <w:r w:rsidRPr="00E41698">
        <w:rPr>
          <w:lang w:val="fr-FR"/>
        </w:rPr>
        <w:t>: Afrique du Sud (2016); Albanie (2017); Algérie (2016); Allemagne (2015); Arabie saoudite (2016); Argentine (2015); Bangladesh (2017); Bolivie (État plurinational de) (2017); Botswana (2017); Brésil (2015); Chine (2016); Congo (2017); Côte d</w:t>
      </w:r>
      <w:r>
        <w:rPr>
          <w:lang w:val="fr-FR"/>
        </w:rPr>
        <w:t>’</w:t>
      </w:r>
      <w:r w:rsidRPr="00E41698">
        <w:rPr>
          <w:lang w:val="fr-FR"/>
        </w:rPr>
        <w:t>Ivoire (2015); Cuba (2016); El Salvador (2017); Émirats arabes unis (2015); Estonie (2015); États-Unis d</w:t>
      </w:r>
      <w:r>
        <w:rPr>
          <w:lang w:val="fr-FR"/>
        </w:rPr>
        <w:t>’</w:t>
      </w:r>
      <w:r w:rsidRPr="00E41698">
        <w:rPr>
          <w:lang w:val="fr-FR"/>
        </w:rPr>
        <w:t>Amérique (2015); Éthiopie (2015); ex-République yougoslave de Macédoine (2016); Fédération de Russie (2016); France (2016); Gabon (2015); Ghana (2017); Inde (2017); Indonésie (2017); Irlande (2015); Japon (2015); Kazakhstan (2015); Kenya (2015); Lettonie (2017); Maldives (2016); Maroc (2016); Mexique (2016); Monténégro (2015); Namibie (2016); Nigéria (2017); Pakistan (2015); Paraguay (2017); Pays-Bas (2017); Portugal (2017); Qatar (2017); République de Corée (2015); Royaume-Uni de Grande-Bretagne et d</w:t>
      </w:r>
      <w:r>
        <w:rPr>
          <w:lang w:val="fr-FR"/>
        </w:rPr>
        <w:t>’</w:t>
      </w:r>
      <w:r w:rsidRPr="00E41698">
        <w:rPr>
          <w:lang w:val="fr-FR"/>
        </w:rPr>
        <w:t>Irlande du Nord (2016); Sierra Leone (2015); Venezuela (République bolivarienne du) (2015); Viet Nam (2016).</w:t>
      </w:r>
    </w:p>
    <w:p w:rsidR="00656E6E" w:rsidRPr="00656E6E" w:rsidRDefault="00656E6E" w:rsidP="00656E6E">
      <w:pPr>
        <w:pStyle w:val="SingleTxt"/>
        <w:spacing w:after="0" w:line="120" w:lineRule="exact"/>
        <w:rPr>
          <w:sz w:val="10"/>
          <w:lang w:val="fr-FR"/>
        </w:rPr>
      </w:pPr>
    </w:p>
    <w:p w:rsidR="00656E6E" w:rsidRPr="00656E6E" w:rsidRDefault="00656E6E" w:rsidP="00656E6E">
      <w:pPr>
        <w:pStyle w:val="SingleTxt"/>
        <w:spacing w:after="0" w:line="120" w:lineRule="exact"/>
        <w:rPr>
          <w:sz w:val="10"/>
          <w:lang w:val="fr-FR"/>
        </w:rPr>
      </w:pPr>
    </w:p>
    <w:p w:rsidR="00676011" w:rsidRDefault="00676011" w:rsidP="00656E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5" w:name="_Toc220320991"/>
      <w:r w:rsidRPr="009C3EF4">
        <w:rPr>
          <w:lang w:val="fr-FR"/>
        </w:rPr>
        <w:tab/>
        <w:t>D.</w:t>
      </w:r>
      <w:r w:rsidRPr="009C3EF4">
        <w:rPr>
          <w:lang w:val="fr-FR"/>
        </w:rPr>
        <w:tab/>
        <w:t xml:space="preserve">Bureau </w:t>
      </w:r>
      <w:bookmarkEnd w:id="5"/>
      <w:r w:rsidRPr="009C3EF4">
        <w:rPr>
          <w:lang w:val="fr-FR"/>
        </w:rPr>
        <w:t>du Conseil des droits de l</w:t>
      </w:r>
      <w:r>
        <w:rPr>
          <w:lang w:val="fr-FR"/>
        </w:rPr>
        <w:t>’</w:t>
      </w:r>
      <w:r w:rsidRPr="009C3EF4">
        <w:rPr>
          <w:lang w:val="fr-FR"/>
        </w:rPr>
        <w:t>homme</w:t>
      </w:r>
    </w:p>
    <w:p w:rsidR="00656E6E" w:rsidRPr="00656E6E" w:rsidRDefault="00656E6E" w:rsidP="00656E6E">
      <w:pPr>
        <w:pStyle w:val="SingleTxt"/>
        <w:spacing w:after="0" w:line="120" w:lineRule="exact"/>
        <w:rPr>
          <w:sz w:val="10"/>
          <w:lang w:val="fr-FR"/>
        </w:rPr>
      </w:pPr>
    </w:p>
    <w:p w:rsidR="00656E6E" w:rsidRPr="00656E6E" w:rsidRDefault="00656E6E" w:rsidP="00656E6E">
      <w:pPr>
        <w:pStyle w:val="SingleTxt"/>
        <w:spacing w:after="0" w:line="120" w:lineRule="exact"/>
        <w:rPr>
          <w:sz w:val="10"/>
          <w:lang w:val="fr-FR"/>
        </w:rPr>
      </w:pPr>
    </w:p>
    <w:p w:rsidR="00676011" w:rsidRDefault="00676011" w:rsidP="00656E6E">
      <w:pPr>
        <w:pStyle w:val="SingleTxt"/>
        <w:numPr>
          <w:ilvl w:val="0"/>
          <w:numId w:val="29"/>
        </w:numPr>
        <w:rPr>
          <w:lang w:val="fr-FR"/>
        </w:rPr>
      </w:pPr>
      <w:r w:rsidRPr="00E41698">
        <w:rPr>
          <w:lang w:val="fr-FR"/>
        </w:rPr>
        <w:t>À sa session d</w:t>
      </w:r>
      <w:r>
        <w:rPr>
          <w:lang w:val="fr-FR"/>
        </w:rPr>
        <w:t>’</w:t>
      </w:r>
      <w:r w:rsidRPr="00E41698">
        <w:rPr>
          <w:lang w:val="fr-FR"/>
        </w:rPr>
        <w:t>organisation, le 8 décembre 2014, le Conseil des droits de l</w:t>
      </w:r>
      <w:r>
        <w:rPr>
          <w:lang w:val="fr-FR"/>
        </w:rPr>
        <w:t>’</w:t>
      </w:r>
      <w:r w:rsidRPr="00E41698">
        <w:rPr>
          <w:lang w:val="fr-FR"/>
        </w:rPr>
        <w:t>homme a élu les membres du Bureau dont le nom suit pour le neuvième cycle, qui se déroulera du 1</w:t>
      </w:r>
      <w:r w:rsidRPr="00E41698">
        <w:rPr>
          <w:vertAlign w:val="superscript"/>
          <w:lang w:val="fr-FR"/>
        </w:rPr>
        <w:t>er</w:t>
      </w:r>
      <w:r w:rsidRPr="00E41698">
        <w:rPr>
          <w:lang w:val="fr-FR"/>
        </w:rPr>
        <w:t> janvier au 31 décembre 2015</w:t>
      </w:r>
      <w:r w:rsidR="006417AB">
        <w:rPr>
          <w:lang w:val="fr-FR"/>
        </w:rPr>
        <w:t> </w:t>
      </w:r>
      <w:r w:rsidRPr="00E41698">
        <w:rPr>
          <w:lang w:val="fr-FR"/>
        </w:rPr>
        <w:t>: Président du Conseil, Joachim Rücker (Allemagne); Vice</w:t>
      </w:r>
      <w:r w:rsidR="009C3713">
        <w:rPr>
          <w:lang w:val="fr-FR"/>
        </w:rPr>
        <w:t>-</w:t>
      </w:r>
      <w:r w:rsidRPr="00E41698">
        <w:rPr>
          <w:lang w:val="fr-FR"/>
        </w:rPr>
        <w:t>Présidents, Mukhtar Tileuberdi (Kazakhstan), Filloreta Kodra (Albanie), Juan Esteban Aguirre Martínez (Paraguay), Vice-Président et Rapporteur, Mothusi Bruce Rabasha Palai (Botswana).</w:t>
      </w:r>
    </w:p>
    <w:p w:rsidR="00C752AC" w:rsidRPr="00C752AC" w:rsidRDefault="00C752AC" w:rsidP="00C752AC">
      <w:pPr>
        <w:pStyle w:val="SingleTxt"/>
        <w:spacing w:after="0" w:line="120" w:lineRule="exact"/>
        <w:rPr>
          <w:sz w:val="10"/>
          <w:lang w:val="fr-FR"/>
        </w:rPr>
      </w:pPr>
    </w:p>
    <w:p w:rsidR="00C752AC" w:rsidRPr="00C752AC" w:rsidRDefault="00C752AC" w:rsidP="00C752AC">
      <w:pPr>
        <w:pStyle w:val="SingleTxt"/>
        <w:spacing w:after="0" w:line="120" w:lineRule="exact"/>
        <w:rPr>
          <w:sz w:val="10"/>
          <w:lang w:val="fr-FR"/>
        </w:rPr>
      </w:pPr>
    </w:p>
    <w:p w:rsidR="00676011" w:rsidRDefault="00676011" w:rsidP="00C752A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6" w:name="_Toc220320993"/>
      <w:r w:rsidRPr="00E41698">
        <w:rPr>
          <w:lang w:val="fr-FR"/>
        </w:rPr>
        <w:tab/>
      </w:r>
      <w:r w:rsidRPr="00DC6231">
        <w:rPr>
          <w:lang w:val="fr-FR"/>
        </w:rPr>
        <w:t>E.</w:t>
      </w:r>
      <w:r w:rsidRPr="00DC6231">
        <w:rPr>
          <w:lang w:val="fr-FR"/>
        </w:rPr>
        <w:tab/>
      </w:r>
      <w:bookmarkEnd w:id="6"/>
      <w:r w:rsidRPr="00DC6231">
        <w:rPr>
          <w:lang w:val="fr-FR"/>
        </w:rPr>
        <w:t>Sélection et nomination des titulaires de mandat</w:t>
      </w:r>
    </w:p>
    <w:p w:rsidR="00C752AC" w:rsidRPr="00C752AC" w:rsidRDefault="00C752AC" w:rsidP="00C752AC">
      <w:pPr>
        <w:pStyle w:val="SingleTxt"/>
        <w:spacing w:after="0" w:line="120" w:lineRule="exact"/>
        <w:rPr>
          <w:sz w:val="10"/>
          <w:lang w:val="fr-FR"/>
        </w:rPr>
      </w:pPr>
    </w:p>
    <w:p w:rsidR="00C752AC" w:rsidRPr="00C752AC" w:rsidRDefault="00C752AC" w:rsidP="00C752AC">
      <w:pPr>
        <w:pStyle w:val="SingleTxt"/>
        <w:spacing w:after="0" w:line="120" w:lineRule="exact"/>
        <w:rPr>
          <w:sz w:val="10"/>
          <w:lang w:val="fr-FR"/>
        </w:rPr>
      </w:pPr>
    </w:p>
    <w:p w:rsidR="00676011" w:rsidRPr="00E41698" w:rsidRDefault="00676011" w:rsidP="00C752AC">
      <w:pPr>
        <w:pStyle w:val="SingleTxt"/>
        <w:numPr>
          <w:ilvl w:val="0"/>
          <w:numId w:val="29"/>
        </w:numPr>
        <w:rPr>
          <w:lang w:val="fr-FR"/>
        </w:rPr>
      </w:pPr>
      <w:r w:rsidRPr="00E41698">
        <w:rPr>
          <w:lang w:val="fr-FR"/>
        </w:rPr>
        <w:t>Conformément aux dispositions du paragraphe 47 de l</w:t>
      </w:r>
      <w:r>
        <w:rPr>
          <w:lang w:val="fr-FR"/>
        </w:rPr>
        <w:t>’</w:t>
      </w:r>
      <w:r w:rsidRPr="00E41698">
        <w:rPr>
          <w:lang w:val="fr-FR"/>
        </w:rPr>
        <w:t>annexe à la résolution 5/1 du Conseil des droits de l</w:t>
      </w:r>
      <w:r>
        <w:rPr>
          <w:lang w:val="fr-FR"/>
        </w:rPr>
        <w:t>’</w:t>
      </w:r>
      <w:r w:rsidRPr="00E41698">
        <w:rPr>
          <w:lang w:val="fr-FR"/>
        </w:rPr>
        <w:t xml:space="preserve">homme et aux critères énoncés dans la décision 6/102 du Conseil, </w:t>
      </w:r>
      <w:r w:rsidRPr="00E41698">
        <w:rPr>
          <w:spacing w:val="-2"/>
          <w:lang w:val="fr-FR"/>
        </w:rPr>
        <w:t>le groupe consultatif, composé d</w:t>
      </w:r>
      <w:r>
        <w:rPr>
          <w:spacing w:val="-2"/>
          <w:lang w:val="fr-FR"/>
        </w:rPr>
        <w:t>’</w:t>
      </w:r>
      <w:r w:rsidRPr="00E41698">
        <w:rPr>
          <w:spacing w:val="-2"/>
          <w:lang w:val="fr-FR"/>
        </w:rPr>
        <w:t xml:space="preserve">Alexandros Alexandris (Grèce), </w:t>
      </w:r>
      <w:r>
        <w:rPr>
          <w:spacing w:val="-2"/>
          <w:lang w:val="fr-FR"/>
        </w:rPr>
        <w:t xml:space="preserve">de </w:t>
      </w:r>
      <w:r w:rsidRPr="00E41698">
        <w:rPr>
          <w:spacing w:val="-2"/>
          <w:lang w:val="fr-FR"/>
        </w:rPr>
        <w:t>Boudjemâa Delmi (Algérie),</w:t>
      </w:r>
      <w:r w:rsidRPr="00E41698">
        <w:rPr>
          <w:lang w:val="fr-FR"/>
        </w:rPr>
        <w:t xml:space="preserve"> </w:t>
      </w:r>
      <w:r>
        <w:rPr>
          <w:lang w:val="fr-FR"/>
        </w:rPr>
        <w:t xml:space="preserve">de </w:t>
      </w:r>
      <w:r w:rsidRPr="00E41698">
        <w:rPr>
          <w:lang w:val="fr-FR"/>
        </w:rPr>
        <w:t xml:space="preserve">Remigiusz A. Henczel (Pologne), </w:t>
      </w:r>
      <w:r>
        <w:rPr>
          <w:lang w:val="fr-FR"/>
        </w:rPr>
        <w:t xml:space="preserve">de </w:t>
      </w:r>
      <w:r w:rsidRPr="00E41698">
        <w:rPr>
          <w:lang w:val="fr-FR"/>
        </w:rPr>
        <w:t xml:space="preserve">Marta Maurás (Chili) et </w:t>
      </w:r>
      <w:r>
        <w:rPr>
          <w:lang w:val="fr-FR"/>
        </w:rPr>
        <w:t xml:space="preserve">de </w:t>
      </w:r>
      <w:r w:rsidRPr="00E41698">
        <w:rPr>
          <w:lang w:val="fr-FR"/>
        </w:rPr>
        <w:t xml:space="preserve">Faisal Bin Hassan Trad (Arabie saoudite), proposera au Président du Conseil une liste de candidats pour le </w:t>
      </w:r>
      <w:r>
        <w:rPr>
          <w:lang w:val="fr-FR"/>
        </w:rPr>
        <w:t xml:space="preserve">nouveau </w:t>
      </w:r>
      <w:r w:rsidRPr="00E41698">
        <w:rPr>
          <w:lang w:val="fr-FR"/>
        </w:rPr>
        <w:t>mandat</w:t>
      </w:r>
      <w:r>
        <w:rPr>
          <w:lang w:val="fr-FR"/>
        </w:rPr>
        <w:t xml:space="preserve"> de Rapporteur spécial dans le domaine des droits culturels, le titulaire devant être nommé à la trentième session. Suite à la démission d’un membre du Groupe de travail d’experts sur les personnes d’ascendance africaine du </w:t>
      </w:r>
      <w:r w:rsidRPr="00752469">
        <w:t>Groupe des États d</w:t>
      </w:r>
      <w:r>
        <w:t>’</w:t>
      </w:r>
      <w:r w:rsidRPr="00752469">
        <w:t xml:space="preserve">Amérique latine et des Caraïbes </w:t>
      </w:r>
      <w:r>
        <w:rPr>
          <w:lang w:val="fr-FR"/>
        </w:rPr>
        <w:t xml:space="preserve">et d’un membre du </w:t>
      </w:r>
      <w:r w:rsidRPr="0086400E">
        <w:t>Groupe de travail sur les disparitions forcées ou involontaires</w:t>
      </w:r>
      <w:r>
        <w:t xml:space="preserve"> </w:t>
      </w:r>
      <w:r w:rsidRPr="0086400E">
        <w:t>du Groupe des États d</w:t>
      </w:r>
      <w:r>
        <w:t>’</w:t>
      </w:r>
      <w:r w:rsidRPr="0086400E">
        <w:t>Europe orientale</w:t>
      </w:r>
      <w:r>
        <w:rPr>
          <w:lang w:val="fr-FR"/>
        </w:rPr>
        <w:t>, le groupe consultatif proposera également une liste de candidats en vue de remplacer ces membres.</w:t>
      </w:r>
    </w:p>
    <w:p w:rsidR="00676011" w:rsidRDefault="00676011" w:rsidP="00272C4C">
      <w:pPr>
        <w:pStyle w:val="SingleTxt"/>
        <w:numPr>
          <w:ilvl w:val="0"/>
          <w:numId w:val="29"/>
        </w:numPr>
        <w:rPr>
          <w:lang w:val="fr-FR"/>
        </w:rPr>
      </w:pPr>
      <w:r w:rsidRPr="00E41698">
        <w:rPr>
          <w:lang w:val="fr-FR"/>
        </w:rPr>
        <w:t>Conformément à la procédure définie aux paragraphes 52 et 53 de l</w:t>
      </w:r>
      <w:r>
        <w:rPr>
          <w:lang w:val="fr-FR"/>
        </w:rPr>
        <w:t>’</w:t>
      </w:r>
      <w:r w:rsidRPr="00E41698">
        <w:rPr>
          <w:lang w:val="fr-FR"/>
        </w:rPr>
        <w:t>annexe à la résolution 5/1 du Conseil des droits de l</w:t>
      </w:r>
      <w:r>
        <w:rPr>
          <w:lang w:val="fr-FR"/>
        </w:rPr>
        <w:t>’</w:t>
      </w:r>
      <w:r w:rsidRPr="00E41698">
        <w:rPr>
          <w:lang w:val="fr-FR"/>
        </w:rPr>
        <w:t>homme, la nomination des titulaires de mandat au titre de</w:t>
      </w:r>
      <w:r>
        <w:rPr>
          <w:lang w:val="fr-FR"/>
        </w:rPr>
        <w:t>s</w:t>
      </w:r>
      <w:r w:rsidRPr="00E41698">
        <w:rPr>
          <w:lang w:val="fr-FR"/>
        </w:rPr>
        <w:t xml:space="preserve"> procédures spéciales sera achevée après approbation ultérieure du Conseil. Les titulaires de mandat seront nommés avant la fin de la </w:t>
      </w:r>
      <w:r>
        <w:rPr>
          <w:lang w:val="fr-FR"/>
        </w:rPr>
        <w:t>trentième</w:t>
      </w:r>
      <w:r w:rsidRPr="00E41698">
        <w:rPr>
          <w:lang w:val="fr-FR"/>
        </w:rPr>
        <w:t xml:space="preserve"> session.</w:t>
      </w:r>
    </w:p>
    <w:p w:rsidR="00676011" w:rsidRPr="004F0DD8" w:rsidRDefault="00676011" w:rsidP="00272C4C">
      <w:pPr>
        <w:pStyle w:val="SingleTxt"/>
        <w:numPr>
          <w:ilvl w:val="0"/>
          <w:numId w:val="29"/>
        </w:numPr>
        <w:rPr>
          <w:lang w:val="fr-FR"/>
        </w:rPr>
      </w:pPr>
      <w:r>
        <w:t>Le Conseil a décidé</w:t>
      </w:r>
      <w:r w:rsidRPr="00510E86">
        <w:t xml:space="preserve"> que le Bureau, en concertation avec</w:t>
      </w:r>
      <w:r>
        <w:t xml:space="preserve"> les États Membres,</w:t>
      </w:r>
      <w:r w:rsidRPr="00510E86">
        <w:t xml:space="preserve"> et en tenant dûment informés </w:t>
      </w:r>
      <w:r>
        <w:t xml:space="preserve">le groupe consultatif et </w:t>
      </w:r>
      <w:r w:rsidRPr="00510E86">
        <w:t xml:space="preserve">les titulaires de mandat au titre des procédures spéciales, </w:t>
      </w:r>
      <w:r>
        <w:t>devrait faire</w:t>
      </w:r>
      <w:r w:rsidRPr="00510E86">
        <w:t xml:space="preserve"> des recommandations et </w:t>
      </w:r>
      <w:r>
        <w:t>définir</w:t>
      </w:r>
      <w:r w:rsidRPr="00510E86">
        <w:t xml:space="preserve"> les modalités permettant d</w:t>
      </w:r>
      <w:r>
        <w:t>’</w:t>
      </w:r>
      <w:r w:rsidRPr="00510E86">
        <w:t xml:space="preserve">adapter la durée de ces mandats, à titre exceptionnel, pour mieux répartir dans le temps le processus de nomination, notamment selon les cycles du Conseil, et présenter ces recommandations au Conseil à sa trentième session pour </w:t>
      </w:r>
      <w:r>
        <w:t>qu’il les examine et prenne la décision appropriée (Déclaration du Président 29/1 sur le renforcement de</w:t>
      </w:r>
      <w:r w:rsidRPr="00510E86">
        <w:t xml:space="preserve"> l</w:t>
      </w:r>
      <w:r>
        <w:t>’</w:t>
      </w:r>
      <w:r w:rsidRPr="00510E86">
        <w:t>efficacité du Conseil des droits de l</w:t>
      </w:r>
      <w:r>
        <w:t>’</w:t>
      </w:r>
      <w:r w:rsidRPr="00510E86">
        <w:t>homme</w:t>
      </w:r>
      <w:r>
        <w:t>). En conséquence, le Bureau présentera ses recommandations au Conseil.</w:t>
      </w:r>
    </w:p>
    <w:p w:rsidR="004F0DD8" w:rsidRPr="004F0DD8" w:rsidRDefault="004F0DD8" w:rsidP="004F0DD8">
      <w:pPr>
        <w:pStyle w:val="SingleTxt"/>
        <w:spacing w:after="0" w:line="120" w:lineRule="exact"/>
        <w:rPr>
          <w:sz w:val="10"/>
        </w:rPr>
      </w:pPr>
    </w:p>
    <w:p w:rsidR="004F0DD8" w:rsidRPr="004F0DD8" w:rsidRDefault="004F0DD8" w:rsidP="004F0DD8">
      <w:pPr>
        <w:pStyle w:val="SingleTxt"/>
        <w:spacing w:after="0" w:line="120" w:lineRule="exact"/>
        <w:rPr>
          <w:sz w:val="10"/>
          <w:lang w:val="fr-FR"/>
        </w:rPr>
      </w:pPr>
    </w:p>
    <w:p w:rsidR="00676011" w:rsidRDefault="00676011" w:rsidP="004F0D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10E86">
        <w:rPr>
          <w:lang w:val="fr-FR"/>
        </w:rPr>
        <w:tab/>
        <w:t>F.</w:t>
      </w:r>
      <w:r w:rsidRPr="00510E86">
        <w:rPr>
          <w:lang w:val="fr-FR"/>
        </w:rPr>
        <w:tab/>
      </w:r>
      <w:r w:rsidRPr="00510E86">
        <w:t xml:space="preserve">Élection des membres du Comité consultatif </w:t>
      </w:r>
      <w:r w:rsidR="004F0DD8">
        <w:br/>
      </w:r>
      <w:r w:rsidRPr="00510E86">
        <w:t>du Conseil des droits de l</w:t>
      </w:r>
      <w:r>
        <w:t>’</w:t>
      </w:r>
      <w:r w:rsidRPr="00510E86">
        <w:t>homme</w:t>
      </w:r>
    </w:p>
    <w:p w:rsidR="004F0DD8" w:rsidRPr="004F0DD8" w:rsidRDefault="004F0DD8" w:rsidP="004F0DD8">
      <w:pPr>
        <w:pStyle w:val="SingleTxt"/>
        <w:spacing w:after="0" w:line="120" w:lineRule="exact"/>
        <w:rPr>
          <w:sz w:val="10"/>
        </w:rPr>
      </w:pPr>
    </w:p>
    <w:p w:rsidR="004F0DD8" w:rsidRPr="004F0DD8" w:rsidRDefault="004F0DD8" w:rsidP="004F0DD8">
      <w:pPr>
        <w:pStyle w:val="SingleTxt"/>
        <w:spacing w:after="0" w:line="120" w:lineRule="exact"/>
        <w:rPr>
          <w:sz w:val="10"/>
        </w:rPr>
      </w:pPr>
    </w:p>
    <w:p w:rsidR="00676011" w:rsidRPr="005517E7" w:rsidRDefault="00676011" w:rsidP="004F0DD8">
      <w:pPr>
        <w:pStyle w:val="SingleTxt"/>
        <w:numPr>
          <w:ilvl w:val="0"/>
          <w:numId w:val="29"/>
        </w:numPr>
        <w:rPr>
          <w:lang w:val="fr-FR"/>
        </w:rPr>
      </w:pPr>
      <w:r w:rsidRPr="00510E86">
        <w:t xml:space="preserve">À sa septième session, le Conseil </w:t>
      </w:r>
      <w:r>
        <w:t>des droits de l’homme a procédé à la première élection des</w:t>
      </w:r>
      <w:r w:rsidRPr="00510E86">
        <w:t xml:space="preserve"> 18 membres du Comité consultatif, dont </w:t>
      </w:r>
      <w:r w:rsidR="00562361">
        <w:t>4</w:t>
      </w:r>
      <w:r w:rsidRPr="00510E86">
        <w:t xml:space="preserve"> </w:t>
      </w:r>
      <w:r>
        <w:t xml:space="preserve">ont été élus </w:t>
      </w:r>
      <w:r w:rsidRPr="00510E86">
        <w:t>pour un mandat d</w:t>
      </w:r>
      <w:r>
        <w:t>’</w:t>
      </w:r>
      <w:r w:rsidRPr="00510E86">
        <w:t xml:space="preserve">un an, </w:t>
      </w:r>
      <w:r w:rsidR="00562361">
        <w:t>7</w:t>
      </w:r>
      <w:r w:rsidRPr="00510E86">
        <w:t xml:space="preserve"> pour un mandat de deux ans et </w:t>
      </w:r>
      <w:r w:rsidR="00562361">
        <w:t>7</w:t>
      </w:r>
      <w:r w:rsidRPr="00510E86">
        <w:t xml:space="preserve"> pour un mandat de trois ans.</w:t>
      </w:r>
    </w:p>
    <w:p w:rsidR="00676011" w:rsidRDefault="00676011" w:rsidP="004F0DD8">
      <w:pPr>
        <w:pStyle w:val="SingleTxt"/>
        <w:numPr>
          <w:ilvl w:val="0"/>
          <w:numId w:val="29"/>
        </w:numPr>
        <w:rPr>
          <w:lang w:val="fr-FR"/>
        </w:rPr>
      </w:pPr>
      <w:r w:rsidRPr="005517E7">
        <w:rPr>
          <w:lang w:val="fr-FR"/>
        </w:rPr>
        <w:t xml:space="preserve">À sa vingt et unième session, le Conseil a élu </w:t>
      </w:r>
      <w:r w:rsidR="00867722">
        <w:rPr>
          <w:lang w:val="fr-FR"/>
        </w:rPr>
        <w:t>4</w:t>
      </w:r>
      <w:r w:rsidRPr="005517E7">
        <w:rPr>
          <w:lang w:val="fr-FR"/>
        </w:rPr>
        <w:t xml:space="preserve"> membres pour un mandat de trois ans.</w:t>
      </w:r>
      <w:r>
        <w:rPr>
          <w:lang w:val="fr-FR"/>
        </w:rPr>
        <w:t xml:space="preserve"> </w:t>
      </w:r>
      <w:r w:rsidRPr="005517E7">
        <w:rPr>
          <w:lang w:val="fr-FR"/>
        </w:rPr>
        <w:t xml:space="preserve">En application de la décision 18/121 du Conseil, le mandat de ces </w:t>
      </w:r>
      <w:r w:rsidR="00867722">
        <w:rPr>
          <w:lang w:val="fr-FR"/>
        </w:rPr>
        <w:t>4</w:t>
      </w:r>
      <w:r w:rsidRPr="005517E7">
        <w:rPr>
          <w:lang w:val="fr-FR"/>
        </w:rPr>
        <w:t xml:space="preserve"> membres prendra fin le 30</w:t>
      </w:r>
      <w:r w:rsidR="004F0DD8">
        <w:rPr>
          <w:lang w:val="fr-FR"/>
        </w:rPr>
        <w:t> </w:t>
      </w:r>
      <w:r w:rsidRPr="005517E7">
        <w:rPr>
          <w:lang w:val="fr-FR"/>
        </w:rPr>
        <w:t xml:space="preserve">septembre </w:t>
      </w:r>
      <w:r>
        <w:rPr>
          <w:lang w:val="fr-FR"/>
        </w:rPr>
        <w:t>2015</w:t>
      </w:r>
      <w:r w:rsidRPr="005517E7">
        <w:rPr>
          <w:lang w:val="fr-FR"/>
        </w:rPr>
        <w:t>.</w:t>
      </w:r>
    </w:p>
    <w:p w:rsidR="00676011" w:rsidRPr="005517E7" w:rsidRDefault="00676011" w:rsidP="004F0DD8">
      <w:pPr>
        <w:pStyle w:val="SingleTxt"/>
        <w:numPr>
          <w:ilvl w:val="0"/>
          <w:numId w:val="29"/>
        </w:numPr>
        <w:rPr>
          <w:lang w:val="fr-FR"/>
        </w:rPr>
      </w:pPr>
      <w:r w:rsidRPr="005517E7">
        <w:t xml:space="preserve">À sa </w:t>
      </w:r>
      <w:r>
        <w:t>trentième</w:t>
      </w:r>
      <w:r w:rsidRPr="005517E7">
        <w:t xml:space="preserve"> session, le Conseil procédera à des élections afin de pourvoir les </w:t>
      </w:r>
      <w:r>
        <w:t>quatre</w:t>
      </w:r>
      <w:r w:rsidRPr="005517E7">
        <w:t xml:space="preserve"> sièges vacants du Comité consultatif.</w:t>
      </w:r>
      <w:r>
        <w:t xml:space="preserve"> </w:t>
      </w:r>
      <w:r w:rsidRPr="005517E7">
        <w:t xml:space="preserve">Parmi ces </w:t>
      </w:r>
      <w:r w:rsidR="00867722">
        <w:t>4</w:t>
      </w:r>
      <w:r w:rsidRPr="005517E7">
        <w:t xml:space="preserve"> sièges, </w:t>
      </w:r>
      <w:r w:rsidR="00867722">
        <w:t>1</w:t>
      </w:r>
      <w:r>
        <w:t xml:space="preserve"> revient</w:t>
      </w:r>
      <w:r w:rsidRPr="005517E7">
        <w:t xml:space="preserve"> aux États d</w:t>
      </w:r>
      <w:r>
        <w:t>’</w:t>
      </w:r>
      <w:r w:rsidRPr="005517E7">
        <w:t xml:space="preserve">Afrique, </w:t>
      </w:r>
      <w:r w:rsidR="00867722">
        <w:t>1</w:t>
      </w:r>
      <w:r w:rsidRPr="005517E7">
        <w:t xml:space="preserve"> </w:t>
      </w:r>
      <w:r>
        <w:t xml:space="preserve">aux États d’Asie et du Pacifique, </w:t>
      </w:r>
      <w:r w:rsidR="00867722">
        <w:t>1</w:t>
      </w:r>
      <w:r>
        <w:t xml:space="preserve"> </w:t>
      </w:r>
      <w:r w:rsidRPr="005517E7">
        <w:t>aux États d</w:t>
      </w:r>
      <w:r>
        <w:t>’</w:t>
      </w:r>
      <w:r w:rsidRPr="005517E7">
        <w:t xml:space="preserve">Amérique latine et des Caraïbes et </w:t>
      </w:r>
      <w:r w:rsidR="00867722">
        <w:t>1</w:t>
      </w:r>
      <w:r w:rsidRPr="005517E7">
        <w:t xml:space="preserve"> aux États d</w:t>
      </w:r>
      <w:r>
        <w:t>’</w:t>
      </w:r>
      <w:r w:rsidRPr="005517E7">
        <w:t>Europe occidentale et autres États.</w:t>
      </w:r>
    </w:p>
    <w:p w:rsidR="00676011" w:rsidRPr="00EF65A9" w:rsidRDefault="00676011" w:rsidP="004F0DD8">
      <w:pPr>
        <w:pStyle w:val="SingleTxt"/>
        <w:numPr>
          <w:ilvl w:val="0"/>
          <w:numId w:val="29"/>
        </w:numPr>
        <w:rPr>
          <w:lang w:val="fr-FR"/>
        </w:rPr>
      </w:pPr>
      <w:r w:rsidRPr="00EF65A9">
        <w:t>Il est prévu au paragraphe</w:t>
      </w:r>
      <w:r w:rsidR="004F0DD8">
        <w:t> </w:t>
      </w:r>
      <w:r w:rsidRPr="00EF65A9">
        <w:t>70 de l</w:t>
      </w:r>
      <w:r>
        <w:t>’</w:t>
      </w:r>
      <w:r w:rsidRPr="00EF65A9">
        <w:t>annexe à la résolution 5/1 que le Conseil élise les membres du Comité consultatif au scrutin secret, sur la liste des candidats dont les noms ont été présentés conformément aux conditions arrêtées.</w:t>
      </w:r>
    </w:p>
    <w:p w:rsidR="00676011" w:rsidRPr="00EF65A9" w:rsidRDefault="00676011" w:rsidP="004F0DD8">
      <w:pPr>
        <w:pStyle w:val="SingleTxt"/>
        <w:numPr>
          <w:ilvl w:val="0"/>
          <w:numId w:val="29"/>
        </w:numPr>
        <w:rPr>
          <w:lang w:val="fr-FR"/>
        </w:rPr>
      </w:pPr>
      <w:r w:rsidRPr="00EF65A9">
        <w:t>Conformément aux dispositions du paragraphe</w:t>
      </w:r>
      <w:r w:rsidR="00A75895">
        <w:t> </w:t>
      </w:r>
      <w:r w:rsidRPr="00EF65A9">
        <w:t>67 de l</w:t>
      </w:r>
      <w:r>
        <w:t>’</w:t>
      </w:r>
      <w:r w:rsidRPr="00EF65A9">
        <w:t>annexe à la résolution</w:t>
      </w:r>
      <w:r w:rsidR="004F0DD8">
        <w:t> </w:t>
      </w:r>
      <w:r w:rsidRPr="00EF65A9">
        <w:t>5/1, le Conseil a adopté la décision 6/102 qui établit des critères techniques et objectifs pour la présentation de candidats aux élections du Comité consultatif, afin de s</w:t>
      </w:r>
      <w:r>
        <w:t>’</w:t>
      </w:r>
      <w:r w:rsidRPr="00EF65A9">
        <w:t>assurer que les meilleures compétences possibles soient mises à sa disposition.</w:t>
      </w:r>
    </w:p>
    <w:p w:rsidR="00676011" w:rsidRPr="004F0DD8" w:rsidRDefault="00676011" w:rsidP="004F0DD8">
      <w:pPr>
        <w:pStyle w:val="SingleTxt"/>
        <w:numPr>
          <w:ilvl w:val="0"/>
          <w:numId w:val="29"/>
        </w:numPr>
        <w:rPr>
          <w:lang w:val="fr-FR"/>
        </w:rPr>
      </w:pPr>
      <w:r w:rsidRPr="00EF65A9">
        <w:t>Conformément aux dispositions du paragraphe 71 de l</w:t>
      </w:r>
      <w:r>
        <w:t>’</w:t>
      </w:r>
      <w:r w:rsidRPr="00EF65A9">
        <w:t xml:space="preserve">annexe à la résolution 5/1, la liste des candidats aux </w:t>
      </w:r>
      <w:r w:rsidR="00867722">
        <w:t>4</w:t>
      </w:r>
      <w:r w:rsidRPr="00EF65A9">
        <w:t xml:space="preserve"> sièges vacants et les informations pertinentes ont été communiquées aux États membres et rendues publiques dans une note du Secrétaire général (A/HRC/</w:t>
      </w:r>
      <w:r>
        <w:t>30/17</w:t>
      </w:r>
      <w:r w:rsidRPr="00EF65A9">
        <w:t>).</w:t>
      </w:r>
    </w:p>
    <w:p w:rsidR="004F0DD8" w:rsidRPr="004F0DD8" w:rsidRDefault="004F0DD8" w:rsidP="004F0DD8">
      <w:pPr>
        <w:pStyle w:val="SingleTxt"/>
        <w:spacing w:after="0" w:line="120" w:lineRule="exact"/>
        <w:rPr>
          <w:sz w:val="10"/>
        </w:rPr>
      </w:pPr>
    </w:p>
    <w:p w:rsidR="004F0DD8" w:rsidRPr="004F0DD8" w:rsidRDefault="004F0DD8" w:rsidP="004F0DD8">
      <w:pPr>
        <w:pStyle w:val="SingleTxt"/>
        <w:spacing w:after="0" w:line="120" w:lineRule="exact"/>
        <w:rPr>
          <w:sz w:val="10"/>
          <w:lang w:val="fr-FR"/>
        </w:rPr>
      </w:pPr>
    </w:p>
    <w:p w:rsidR="00676011" w:rsidRDefault="00676011" w:rsidP="004F0D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rPr>
        <w:tab/>
      </w:r>
      <w:r w:rsidRPr="00EF65A9">
        <w:rPr>
          <w:lang w:val="fr-FR"/>
        </w:rPr>
        <w:t>G.</w:t>
      </w:r>
      <w:r w:rsidRPr="00EF65A9">
        <w:rPr>
          <w:lang w:val="fr-FR"/>
        </w:rPr>
        <w:tab/>
        <w:t>Rapport de la session</w:t>
      </w:r>
    </w:p>
    <w:p w:rsidR="004F0DD8" w:rsidRPr="004F0DD8" w:rsidRDefault="004F0DD8" w:rsidP="004F0DD8">
      <w:pPr>
        <w:pStyle w:val="SingleTxt"/>
        <w:spacing w:after="0" w:line="120" w:lineRule="exact"/>
        <w:rPr>
          <w:sz w:val="10"/>
          <w:lang w:val="fr-FR"/>
        </w:rPr>
      </w:pPr>
    </w:p>
    <w:p w:rsidR="004F0DD8" w:rsidRPr="004F0DD8" w:rsidRDefault="004F0DD8" w:rsidP="004F0DD8">
      <w:pPr>
        <w:pStyle w:val="SingleTxt"/>
        <w:spacing w:after="0" w:line="120" w:lineRule="exact"/>
        <w:rPr>
          <w:sz w:val="10"/>
          <w:lang w:val="fr-FR"/>
        </w:rPr>
      </w:pPr>
    </w:p>
    <w:p w:rsidR="00676011" w:rsidRDefault="00676011" w:rsidP="004F0DD8">
      <w:pPr>
        <w:pStyle w:val="SingleTxt"/>
        <w:numPr>
          <w:ilvl w:val="0"/>
          <w:numId w:val="29"/>
        </w:numPr>
        <w:rPr>
          <w:lang w:val="fr-FR"/>
        </w:rPr>
      </w:pPr>
      <w:r w:rsidRPr="00E41698">
        <w:rPr>
          <w:lang w:val="fr-FR"/>
        </w:rPr>
        <w:t>À la fin de sa session, le Conseil des droits de l</w:t>
      </w:r>
      <w:r>
        <w:rPr>
          <w:lang w:val="fr-FR"/>
        </w:rPr>
        <w:t>’</w:t>
      </w:r>
      <w:r w:rsidRPr="00E41698">
        <w:rPr>
          <w:lang w:val="fr-FR"/>
        </w:rPr>
        <w:t>homme sera saisi pour adoption d</w:t>
      </w:r>
      <w:r>
        <w:rPr>
          <w:lang w:val="fr-FR"/>
        </w:rPr>
        <w:t>’</w:t>
      </w:r>
      <w:r w:rsidRPr="00E41698">
        <w:rPr>
          <w:lang w:val="fr-FR"/>
        </w:rPr>
        <w:t xml:space="preserve">un projet de rapport établi par le Rapporteur. Dans ce document sera reproduit un résumé des débats tenus pendant la </w:t>
      </w:r>
      <w:r>
        <w:rPr>
          <w:lang w:val="fr-FR"/>
        </w:rPr>
        <w:t>trentième</w:t>
      </w:r>
      <w:r w:rsidRPr="00E41698">
        <w:rPr>
          <w:lang w:val="fr-FR"/>
        </w:rPr>
        <w:t xml:space="preserve"> session.</w:t>
      </w:r>
    </w:p>
    <w:p w:rsidR="004F0DD8" w:rsidRPr="004F0DD8" w:rsidRDefault="004F0DD8" w:rsidP="004F0DD8">
      <w:pPr>
        <w:pStyle w:val="SingleTxt"/>
        <w:spacing w:after="0" w:line="120" w:lineRule="exact"/>
        <w:rPr>
          <w:sz w:val="10"/>
          <w:lang w:val="fr-FR"/>
        </w:rPr>
      </w:pPr>
    </w:p>
    <w:p w:rsidR="004F0DD8" w:rsidRPr="004F0DD8" w:rsidRDefault="004F0DD8" w:rsidP="004F0DD8">
      <w:pPr>
        <w:pStyle w:val="SingleTxt"/>
        <w:spacing w:after="0" w:line="120" w:lineRule="exact"/>
        <w:rPr>
          <w:sz w:val="10"/>
          <w:lang w:val="fr-FR"/>
        </w:rPr>
      </w:pPr>
    </w:p>
    <w:p w:rsidR="00676011" w:rsidRDefault="00676011" w:rsidP="004F0DD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7" w:name="_Toc220320996"/>
      <w:r w:rsidRPr="00E41698">
        <w:rPr>
          <w:lang w:val="fr-FR"/>
        </w:rPr>
        <w:tab/>
      </w:r>
      <w:r w:rsidRPr="00EF65A9">
        <w:rPr>
          <w:lang w:val="fr-FR"/>
        </w:rPr>
        <w:t>2.</w:t>
      </w:r>
      <w:r w:rsidRPr="00EF65A9">
        <w:rPr>
          <w:lang w:val="fr-FR"/>
        </w:rPr>
        <w:tab/>
      </w:r>
      <w:bookmarkEnd w:id="7"/>
      <w:r w:rsidRPr="00EF65A9">
        <w:rPr>
          <w:lang w:val="fr-FR"/>
        </w:rPr>
        <w:t xml:space="preserve">Rapport annuel du Haut-Commissaire des Nations Unies </w:t>
      </w:r>
      <w:r w:rsidR="00320FA1">
        <w:rPr>
          <w:lang w:val="fr-FR"/>
        </w:rPr>
        <w:br/>
      </w:r>
      <w:r w:rsidRPr="00EF65A9">
        <w:rPr>
          <w:lang w:val="fr-FR"/>
        </w:rPr>
        <w:t>aux droits de l</w:t>
      </w:r>
      <w:r>
        <w:rPr>
          <w:lang w:val="fr-FR"/>
        </w:rPr>
        <w:t>’</w:t>
      </w:r>
      <w:r w:rsidRPr="00EF65A9">
        <w:rPr>
          <w:lang w:val="fr-FR"/>
        </w:rPr>
        <w:t xml:space="preserve">homme et rapports du Haut-Commissariat </w:t>
      </w:r>
      <w:r w:rsidR="004F0DD8">
        <w:rPr>
          <w:lang w:val="fr-FR"/>
        </w:rPr>
        <w:br/>
      </w:r>
      <w:r w:rsidRPr="00EF65A9">
        <w:rPr>
          <w:lang w:val="fr-FR"/>
        </w:rPr>
        <w:t>et du Secrétaire général</w:t>
      </w:r>
    </w:p>
    <w:p w:rsidR="004F0DD8" w:rsidRPr="004F0DD8" w:rsidRDefault="004F0DD8" w:rsidP="004F0DD8">
      <w:pPr>
        <w:pStyle w:val="SingleTxt"/>
        <w:spacing w:after="0" w:line="120" w:lineRule="exact"/>
        <w:rPr>
          <w:sz w:val="10"/>
          <w:lang w:val="fr-FR"/>
        </w:rPr>
      </w:pPr>
    </w:p>
    <w:p w:rsidR="004F0DD8" w:rsidRPr="004F0DD8" w:rsidRDefault="004F0DD8" w:rsidP="004F0DD8">
      <w:pPr>
        <w:pStyle w:val="SingleTxt"/>
        <w:spacing w:after="0" w:line="120" w:lineRule="exact"/>
        <w:rPr>
          <w:sz w:val="10"/>
          <w:lang w:val="fr-FR"/>
        </w:rPr>
      </w:pPr>
    </w:p>
    <w:p w:rsidR="00676011" w:rsidRDefault="00676011" w:rsidP="004F0DD8">
      <w:pPr>
        <w:pStyle w:val="SingleTxt"/>
        <w:numPr>
          <w:ilvl w:val="0"/>
          <w:numId w:val="29"/>
        </w:numPr>
        <w:rPr>
          <w:lang w:val="fr-FR"/>
        </w:rPr>
      </w:pPr>
      <w:r w:rsidRPr="00E41698">
        <w:rPr>
          <w:lang w:val="fr-FR"/>
        </w:rPr>
        <w:t>Tous les rapports du Haut-Commissaire des Nations Unies aux droits de l</w:t>
      </w:r>
      <w:r>
        <w:rPr>
          <w:lang w:val="fr-FR"/>
        </w:rPr>
        <w:t>’</w:t>
      </w:r>
      <w:r w:rsidRPr="00E41698">
        <w:rPr>
          <w:lang w:val="fr-FR"/>
        </w:rPr>
        <w:t>homme, du Haut-Commissariat et du Secrétaire général sont présentés au titre du point 2 de l</w:t>
      </w:r>
      <w:r>
        <w:rPr>
          <w:lang w:val="fr-FR"/>
        </w:rPr>
        <w:t>’</w:t>
      </w:r>
      <w:r w:rsidRPr="00E41698">
        <w:rPr>
          <w:lang w:val="fr-FR"/>
        </w:rPr>
        <w:t>ordre du jour, qui reste ouvert pendant toute la durée de la session. Ils seront examinés lors</w:t>
      </w:r>
      <w:r w:rsidR="005832E0">
        <w:rPr>
          <w:lang w:val="fr-FR"/>
        </w:rPr>
        <w:t xml:space="preserve"> </w:t>
      </w:r>
      <w:r>
        <w:rPr>
          <w:lang w:val="fr-FR"/>
        </w:rPr>
        <w:t xml:space="preserve">du traitement </w:t>
      </w:r>
      <w:r w:rsidRPr="00E41698">
        <w:rPr>
          <w:lang w:val="fr-FR"/>
        </w:rPr>
        <w:t>des points pertinents de l</w:t>
      </w:r>
      <w:r>
        <w:rPr>
          <w:lang w:val="fr-FR"/>
        </w:rPr>
        <w:t>’</w:t>
      </w:r>
      <w:r w:rsidRPr="00E41698">
        <w:rPr>
          <w:lang w:val="fr-FR"/>
        </w:rPr>
        <w:t>ordre du jour, selon qu</w:t>
      </w:r>
      <w:r>
        <w:rPr>
          <w:lang w:val="fr-FR"/>
        </w:rPr>
        <w:t>’</w:t>
      </w:r>
      <w:r w:rsidRPr="00E41698">
        <w:rPr>
          <w:lang w:val="fr-FR"/>
        </w:rPr>
        <w:t>il conviendra. Le moment exact sera indiqué dans le programme de travail.</w:t>
      </w:r>
    </w:p>
    <w:p w:rsidR="004F0DD8" w:rsidRPr="004F0DD8" w:rsidRDefault="004F0DD8" w:rsidP="004F0DD8">
      <w:pPr>
        <w:pStyle w:val="SingleTxt"/>
        <w:spacing w:after="0" w:line="120" w:lineRule="exact"/>
        <w:rPr>
          <w:sz w:val="10"/>
          <w:lang w:val="fr-FR"/>
        </w:rPr>
      </w:pPr>
    </w:p>
    <w:p w:rsidR="00676011" w:rsidRDefault="00676011" w:rsidP="004F0DD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924DE1">
        <w:t>Favoriser la réconciliation et l</w:t>
      </w:r>
      <w:r>
        <w:t>’</w:t>
      </w:r>
      <w:r w:rsidRPr="00924DE1">
        <w:t>établissement des responsabilités à Sri Lanka</w:t>
      </w:r>
    </w:p>
    <w:p w:rsidR="004F0DD8" w:rsidRPr="004F0DD8" w:rsidRDefault="004F0DD8" w:rsidP="004F0DD8">
      <w:pPr>
        <w:pStyle w:val="SingleTxt"/>
        <w:spacing w:after="0" w:line="120" w:lineRule="exact"/>
        <w:rPr>
          <w:sz w:val="10"/>
        </w:rPr>
      </w:pPr>
    </w:p>
    <w:p w:rsidR="00676011" w:rsidRPr="00924DE1" w:rsidRDefault="00676011" w:rsidP="004F0DD8">
      <w:pPr>
        <w:pStyle w:val="SingleTxt"/>
        <w:numPr>
          <w:ilvl w:val="0"/>
          <w:numId w:val="29"/>
        </w:numPr>
        <w:rPr>
          <w:lang w:val="fr-FR" w:eastAsia="en-GB"/>
        </w:rPr>
      </w:pPr>
      <w:r w:rsidRPr="00924DE1">
        <w:t xml:space="preserve">Dans sa résolution 25/1, intitulée </w:t>
      </w:r>
      <w:r w:rsidR="004F0DD8">
        <w:t>« </w:t>
      </w:r>
      <w:r w:rsidRPr="00924DE1">
        <w:t>Favoriser la réconciliation et l</w:t>
      </w:r>
      <w:r>
        <w:t>’</w:t>
      </w:r>
      <w:r w:rsidRPr="00924DE1">
        <w:t>établissement des responsabilités à Sri Lanka</w:t>
      </w:r>
      <w:r>
        <w:t> »</w:t>
      </w:r>
      <w:r w:rsidRPr="00924DE1">
        <w:t>, le Conseil a demandé au Haut-Commissariat de lui présenter</w:t>
      </w:r>
      <w:r>
        <w:t>, à sa vingt-huitième session, un rapport complet sur</w:t>
      </w:r>
      <w:r w:rsidRPr="00924DE1">
        <w:t xml:space="preserve"> l</w:t>
      </w:r>
      <w:r>
        <w:t>’</w:t>
      </w:r>
      <w:r w:rsidRPr="00924DE1">
        <w:t>application de la résolution</w:t>
      </w:r>
      <w:r>
        <w:t>, qui sera suivi d’un débat</w:t>
      </w:r>
      <w:r w:rsidRPr="00924DE1">
        <w:t>.</w:t>
      </w:r>
    </w:p>
    <w:p w:rsidR="00676011" w:rsidRDefault="00676011" w:rsidP="004F0DD8">
      <w:pPr>
        <w:pStyle w:val="SingleTxt"/>
        <w:numPr>
          <w:ilvl w:val="0"/>
          <w:numId w:val="29"/>
        </w:numPr>
        <w:rPr>
          <w:lang w:val="fr-FR" w:eastAsia="en-GB"/>
        </w:rPr>
      </w:pPr>
      <w:r w:rsidRPr="00924DE1">
        <w:rPr>
          <w:lang w:val="fr-FR" w:eastAsia="en-GB"/>
        </w:rPr>
        <w:t xml:space="preserve">Comme </w:t>
      </w:r>
      <w:r>
        <w:rPr>
          <w:lang w:val="fr-FR" w:eastAsia="en-GB"/>
        </w:rPr>
        <w:t>expliqué</w:t>
      </w:r>
      <w:r w:rsidRPr="00924DE1">
        <w:rPr>
          <w:lang w:val="fr-FR" w:eastAsia="en-GB"/>
        </w:rPr>
        <w:t xml:space="preserve"> dans la note du secrétariat soumise au Conseil à sa vingt-</w:t>
      </w:r>
      <w:r>
        <w:rPr>
          <w:lang w:val="fr-FR" w:eastAsia="en-GB"/>
        </w:rPr>
        <w:t>huitième</w:t>
      </w:r>
      <w:r w:rsidRPr="00924DE1">
        <w:rPr>
          <w:lang w:val="fr-FR" w:eastAsia="en-GB"/>
        </w:rPr>
        <w:t xml:space="preserve"> session (A/HRC/2</w:t>
      </w:r>
      <w:r>
        <w:rPr>
          <w:lang w:val="fr-FR" w:eastAsia="en-GB"/>
        </w:rPr>
        <w:t>8</w:t>
      </w:r>
      <w:r w:rsidRPr="00924DE1">
        <w:rPr>
          <w:lang w:val="fr-FR" w:eastAsia="en-GB"/>
        </w:rPr>
        <w:t>/</w:t>
      </w:r>
      <w:r>
        <w:rPr>
          <w:lang w:val="fr-FR" w:eastAsia="en-GB"/>
        </w:rPr>
        <w:t>23</w:t>
      </w:r>
      <w:r w:rsidRPr="00924DE1">
        <w:rPr>
          <w:lang w:val="fr-FR" w:eastAsia="en-GB"/>
        </w:rPr>
        <w:t>),</w:t>
      </w:r>
      <w:r>
        <w:rPr>
          <w:lang w:val="fr-FR" w:eastAsia="en-GB"/>
        </w:rPr>
        <w:t xml:space="preserve"> le</w:t>
      </w:r>
      <w:r w:rsidRPr="001B5E2F">
        <w:rPr>
          <w:lang w:val="fr-FR" w:eastAsia="en-GB"/>
        </w:rPr>
        <w:t xml:space="preserve"> Conseil, conformément à la recommandation du Haut-Commissaire, </w:t>
      </w:r>
      <w:r>
        <w:rPr>
          <w:lang w:val="fr-FR" w:eastAsia="en-GB"/>
        </w:rPr>
        <w:t>a décidé à sa réunion</w:t>
      </w:r>
      <w:r w:rsidRPr="001B5E2F">
        <w:rPr>
          <w:lang w:val="fr-FR" w:eastAsia="en-GB"/>
        </w:rPr>
        <w:t xml:space="preserve"> d</w:t>
      </w:r>
      <w:r>
        <w:rPr>
          <w:lang w:val="fr-FR" w:eastAsia="en-GB"/>
        </w:rPr>
        <w:t>’</w:t>
      </w:r>
      <w:r w:rsidRPr="001B5E2F">
        <w:rPr>
          <w:lang w:val="fr-FR" w:eastAsia="en-GB"/>
        </w:rPr>
        <w:t>organisation tenue le 16 février 2015</w:t>
      </w:r>
      <w:r>
        <w:rPr>
          <w:lang w:val="fr-FR" w:eastAsia="en-GB"/>
        </w:rPr>
        <w:t xml:space="preserve">, </w:t>
      </w:r>
      <w:r w:rsidRPr="001B5E2F">
        <w:rPr>
          <w:lang w:val="fr-FR" w:eastAsia="en-GB"/>
        </w:rPr>
        <w:t>de reporter une seule fois, à sa trentième session, l</w:t>
      </w:r>
      <w:r>
        <w:rPr>
          <w:lang w:val="fr-FR" w:eastAsia="en-GB"/>
        </w:rPr>
        <w:t>’examen du rapport</w:t>
      </w:r>
      <w:r w:rsidRPr="001B5E2F">
        <w:rPr>
          <w:lang w:val="fr-FR" w:eastAsia="en-GB"/>
        </w:rPr>
        <w:t xml:space="preserve">. </w:t>
      </w:r>
      <w:r>
        <w:rPr>
          <w:lang w:val="fr-FR" w:eastAsia="en-GB"/>
        </w:rPr>
        <w:t>Le Conseil sera par conséquent saisi du rapport du Haut-Commissariat (A/HRC/30/61).</w:t>
      </w:r>
    </w:p>
    <w:p w:rsidR="004F0DD8" w:rsidRPr="004F0DD8" w:rsidRDefault="004F0DD8" w:rsidP="004F0DD8">
      <w:pPr>
        <w:pStyle w:val="SingleTxt"/>
        <w:spacing w:after="0" w:line="120" w:lineRule="exact"/>
        <w:rPr>
          <w:sz w:val="10"/>
          <w:lang w:val="fr-FR" w:eastAsia="en-GB"/>
        </w:rPr>
      </w:pPr>
    </w:p>
    <w:p w:rsidR="00676011" w:rsidRDefault="00676011" w:rsidP="004F0DD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sidRPr="00E41698">
        <w:rPr>
          <w:lang w:val="fr-FR" w:eastAsia="en-GB"/>
        </w:rPr>
        <w:tab/>
      </w:r>
      <w:r w:rsidRPr="00E41698">
        <w:rPr>
          <w:lang w:val="fr-FR" w:eastAsia="en-GB"/>
        </w:rPr>
        <w:tab/>
      </w:r>
      <w:r>
        <w:rPr>
          <w:lang w:val="fr-FR" w:eastAsia="en-GB"/>
        </w:rPr>
        <w:t>A</w:t>
      </w:r>
      <w:r w:rsidRPr="001B5E2F">
        <w:rPr>
          <w:lang w:eastAsia="en-GB"/>
        </w:rPr>
        <w:t xml:space="preserve">trocités commises par le groupe terroriste Boko Haram dans les États touchés </w:t>
      </w:r>
      <w:r w:rsidR="00DB6C61">
        <w:rPr>
          <w:lang w:eastAsia="en-GB"/>
        </w:rPr>
        <w:br/>
      </w:r>
      <w:r w:rsidRPr="001B5E2F">
        <w:rPr>
          <w:lang w:eastAsia="en-GB"/>
        </w:rPr>
        <w:t>par de tels actes</w:t>
      </w:r>
    </w:p>
    <w:p w:rsidR="004F0DD8" w:rsidRPr="004F0DD8" w:rsidRDefault="004F0DD8" w:rsidP="004F0DD8">
      <w:pPr>
        <w:pStyle w:val="SingleTxt"/>
        <w:spacing w:after="0" w:line="120" w:lineRule="exact"/>
        <w:rPr>
          <w:sz w:val="10"/>
          <w:lang w:eastAsia="en-GB"/>
        </w:rPr>
      </w:pPr>
    </w:p>
    <w:p w:rsidR="00676011" w:rsidRDefault="00676011" w:rsidP="004F0DD8">
      <w:pPr>
        <w:pStyle w:val="SingleTxt"/>
        <w:numPr>
          <w:ilvl w:val="0"/>
          <w:numId w:val="29"/>
        </w:numPr>
        <w:rPr>
          <w:lang w:val="fr-FR" w:eastAsia="en-GB"/>
        </w:rPr>
      </w:pPr>
      <w:r w:rsidRPr="00E41698">
        <w:rPr>
          <w:lang w:val="fr-FR"/>
        </w:rPr>
        <w:t>Dans sa résolution</w:t>
      </w:r>
      <w:r>
        <w:rPr>
          <w:lang w:val="fr-FR"/>
        </w:rPr>
        <w:t xml:space="preserve"> S-23/1, le Conseil a demandé</w:t>
      </w:r>
      <w:r w:rsidRPr="001B5E2F">
        <w:t xml:space="preserve"> au Haut-Commissariat de recueillir des informations sur les violations des droits de l</w:t>
      </w:r>
      <w:r>
        <w:t>’</w:t>
      </w:r>
      <w:r w:rsidRPr="001B5E2F">
        <w:t xml:space="preserve">homme, les atteintes à ces droits et les atrocités commises par le groupe terroriste Boko Haram dans les États touchés par de tels actes, </w:t>
      </w:r>
      <w:r>
        <w:t>et de lui soumettre un rapport</w:t>
      </w:r>
      <w:r w:rsidRPr="001B5E2F">
        <w:t>, pour examen, à sa trentième session.</w:t>
      </w:r>
      <w:r>
        <w:t xml:space="preserve"> </w:t>
      </w:r>
      <w:r w:rsidRPr="00E41698">
        <w:rPr>
          <w:lang w:val="fr-FR"/>
        </w:rPr>
        <w:t xml:space="preserve">Le Comité examinera donc le rapport du </w:t>
      </w:r>
      <w:r>
        <w:rPr>
          <w:lang w:val="fr-FR"/>
        </w:rPr>
        <w:t>Haut-Commissariat</w:t>
      </w:r>
      <w:r w:rsidRPr="00E41698">
        <w:rPr>
          <w:lang w:val="fr-FR"/>
        </w:rPr>
        <w:t xml:space="preserve"> </w:t>
      </w:r>
      <w:r w:rsidRPr="00E41698">
        <w:rPr>
          <w:lang w:val="fr-FR" w:eastAsia="en-GB"/>
        </w:rPr>
        <w:t>(A/HRC/</w:t>
      </w:r>
      <w:r>
        <w:rPr>
          <w:lang w:val="fr-FR" w:eastAsia="en-GB"/>
        </w:rPr>
        <w:t>30/67</w:t>
      </w:r>
      <w:r w:rsidRPr="00E41698">
        <w:rPr>
          <w:lang w:val="fr-FR" w:eastAsia="en-GB"/>
        </w:rPr>
        <w:t>).</w:t>
      </w:r>
    </w:p>
    <w:p w:rsidR="004F0DD8" w:rsidRPr="004F0DD8" w:rsidRDefault="004F0DD8" w:rsidP="004F0DD8">
      <w:pPr>
        <w:pStyle w:val="SingleTxt"/>
        <w:spacing w:after="0" w:line="120" w:lineRule="exact"/>
        <w:rPr>
          <w:sz w:val="10"/>
          <w:lang w:val="fr-FR" w:eastAsia="en-GB"/>
        </w:rPr>
      </w:pPr>
    </w:p>
    <w:p w:rsidR="00676011" w:rsidRDefault="00676011" w:rsidP="004F0DD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eastAsia="en-GB"/>
        </w:rPr>
      </w:pPr>
      <w:r w:rsidRPr="00E41698">
        <w:rPr>
          <w:lang w:val="fr-FR" w:eastAsia="en-GB"/>
        </w:rPr>
        <w:tab/>
      </w:r>
      <w:r w:rsidRPr="00E41698">
        <w:rPr>
          <w:lang w:val="fr-FR" w:eastAsia="en-GB"/>
        </w:rPr>
        <w:tab/>
      </w:r>
      <w:r w:rsidRPr="00905E34">
        <w:rPr>
          <w:lang w:val="fr-FR" w:eastAsia="en-GB"/>
        </w:rPr>
        <w:t>Mission du Haut-Commissariat des Nations Unies aux droits de l</w:t>
      </w:r>
      <w:r>
        <w:rPr>
          <w:lang w:val="fr-FR" w:eastAsia="en-GB"/>
        </w:rPr>
        <w:t>’</w:t>
      </w:r>
      <w:r w:rsidRPr="00905E34">
        <w:rPr>
          <w:lang w:val="fr-FR" w:eastAsia="en-GB"/>
        </w:rPr>
        <w:t xml:space="preserve">homme visant </w:t>
      </w:r>
      <w:r w:rsidR="00DB6C61">
        <w:rPr>
          <w:lang w:val="fr-FR" w:eastAsia="en-GB"/>
        </w:rPr>
        <w:br/>
      </w:r>
      <w:r w:rsidRPr="00905E34">
        <w:rPr>
          <w:lang w:val="fr-FR" w:eastAsia="en-GB"/>
        </w:rPr>
        <w:t>à promouvoir les droits de l</w:t>
      </w:r>
      <w:r>
        <w:rPr>
          <w:lang w:val="fr-FR" w:eastAsia="en-GB"/>
        </w:rPr>
        <w:t>’</w:t>
      </w:r>
      <w:r w:rsidRPr="00905E34">
        <w:rPr>
          <w:lang w:val="fr-FR" w:eastAsia="en-GB"/>
        </w:rPr>
        <w:t>homme, le respect de l</w:t>
      </w:r>
      <w:r>
        <w:rPr>
          <w:lang w:val="fr-FR" w:eastAsia="en-GB"/>
        </w:rPr>
        <w:t>’</w:t>
      </w:r>
      <w:r w:rsidRPr="00905E34">
        <w:rPr>
          <w:lang w:val="fr-FR" w:eastAsia="en-GB"/>
        </w:rPr>
        <w:t xml:space="preserve">obligation de rendre </w:t>
      </w:r>
      <w:r w:rsidR="00DB6C61">
        <w:rPr>
          <w:lang w:val="fr-FR" w:eastAsia="en-GB"/>
        </w:rPr>
        <w:br/>
      </w:r>
      <w:r w:rsidRPr="00905E34">
        <w:rPr>
          <w:lang w:val="fr-FR" w:eastAsia="en-GB"/>
        </w:rPr>
        <w:t xml:space="preserve">des comptes et la réconciliation et à renforcer </w:t>
      </w:r>
      <w:r>
        <w:rPr>
          <w:lang w:val="fr-FR" w:eastAsia="en-GB"/>
        </w:rPr>
        <w:t xml:space="preserve">les capacités au Soudan du Sud </w:t>
      </w:r>
    </w:p>
    <w:p w:rsidR="004F0DD8" w:rsidRPr="004F0DD8" w:rsidRDefault="004F0DD8" w:rsidP="004F0DD8">
      <w:pPr>
        <w:pStyle w:val="SingleTxt"/>
        <w:spacing w:after="0" w:line="120" w:lineRule="exact"/>
        <w:rPr>
          <w:sz w:val="10"/>
          <w:lang w:val="fr-FR" w:eastAsia="en-GB"/>
        </w:rPr>
      </w:pPr>
    </w:p>
    <w:p w:rsidR="00676011" w:rsidRDefault="00676011" w:rsidP="004F0DD8">
      <w:pPr>
        <w:pStyle w:val="SingleTxt"/>
        <w:numPr>
          <w:ilvl w:val="0"/>
          <w:numId w:val="29"/>
        </w:numPr>
        <w:rPr>
          <w:lang w:val="fr-FR" w:eastAsia="en-GB"/>
        </w:rPr>
      </w:pPr>
      <w:r w:rsidRPr="00E41698">
        <w:rPr>
          <w:lang w:val="fr-FR" w:eastAsia="en-GB"/>
        </w:rPr>
        <w:t xml:space="preserve">Dans sa résolution </w:t>
      </w:r>
      <w:r>
        <w:rPr>
          <w:lang w:val="fr-FR" w:eastAsia="en-GB"/>
        </w:rPr>
        <w:t>29/13</w:t>
      </w:r>
      <w:r w:rsidRPr="00E41698">
        <w:rPr>
          <w:lang w:val="fr-FR" w:eastAsia="en-GB"/>
        </w:rPr>
        <w:t xml:space="preserve">, le </w:t>
      </w:r>
      <w:r w:rsidRPr="00E41698">
        <w:rPr>
          <w:lang w:val="fr-FR"/>
        </w:rPr>
        <w:t>Conseil des droits de l</w:t>
      </w:r>
      <w:r>
        <w:rPr>
          <w:lang w:val="fr-FR"/>
        </w:rPr>
        <w:t>’</w:t>
      </w:r>
      <w:r w:rsidRPr="00E41698">
        <w:rPr>
          <w:lang w:val="fr-FR"/>
        </w:rPr>
        <w:t xml:space="preserve">homme </w:t>
      </w:r>
      <w:r w:rsidRPr="00E41698">
        <w:rPr>
          <w:lang w:val="fr-FR" w:eastAsia="en-GB"/>
        </w:rPr>
        <w:t xml:space="preserve">a </w:t>
      </w:r>
      <w:r w:rsidRPr="00E41698">
        <w:rPr>
          <w:lang w:val="fr-FR"/>
        </w:rPr>
        <w:t xml:space="preserve">prié </w:t>
      </w:r>
      <w:r>
        <w:t>le Haut-Commissaire</w:t>
      </w:r>
      <w:r w:rsidRPr="00905E34">
        <w:t xml:space="preserve"> de lui présenter oralement</w:t>
      </w:r>
      <w:r>
        <w:t>, à sa trentième session,</w:t>
      </w:r>
      <w:r w:rsidRPr="00905E34">
        <w:t xml:space="preserve"> un rapport préliminaire</w:t>
      </w:r>
      <w:r>
        <w:t xml:space="preserve"> sur la mission </w:t>
      </w:r>
      <w:r w:rsidRPr="00E07F47">
        <w:rPr>
          <w:lang w:val="fr-FR"/>
        </w:rPr>
        <w:t>du Haut-Commissariat visant à promouvoir les droits de l</w:t>
      </w:r>
      <w:r>
        <w:rPr>
          <w:lang w:val="fr-FR"/>
        </w:rPr>
        <w:t>’</w:t>
      </w:r>
      <w:r w:rsidRPr="00E07F47">
        <w:rPr>
          <w:lang w:val="fr-FR"/>
        </w:rPr>
        <w:t>homme, le respect de l</w:t>
      </w:r>
      <w:r>
        <w:rPr>
          <w:lang w:val="fr-FR"/>
        </w:rPr>
        <w:t>’</w:t>
      </w:r>
      <w:r w:rsidRPr="00E07F47">
        <w:rPr>
          <w:lang w:val="fr-FR"/>
        </w:rPr>
        <w:t>obligation de rendre des comptes et la réconciliation et à renforcer les capacités au Soudan du Sud</w:t>
      </w:r>
      <w:r>
        <w:rPr>
          <w:lang w:val="fr-FR"/>
        </w:rPr>
        <w:t>. Le Haut-Commissaire présentera un rapport oral au Conseil.</w:t>
      </w:r>
    </w:p>
    <w:p w:rsidR="004F0DD8" w:rsidRPr="004F0DD8" w:rsidRDefault="004F0DD8" w:rsidP="004F0DD8">
      <w:pPr>
        <w:pStyle w:val="SingleTxt"/>
        <w:spacing w:after="0" w:line="120" w:lineRule="exact"/>
        <w:rPr>
          <w:sz w:val="10"/>
          <w:lang w:val="fr-FR"/>
        </w:rPr>
      </w:pPr>
    </w:p>
    <w:p w:rsidR="00676011" w:rsidRDefault="00676011" w:rsidP="004F0DD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sidRPr="00E41698">
        <w:rPr>
          <w:lang w:val="fr-FR" w:eastAsia="en-GB"/>
        </w:rPr>
        <w:tab/>
      </w:r>
      <w:r w:rsidRPr="00E41698">
        <w:rPr>
          <w:lang w:val="fr-FR" w:eastAsia="en-GB"/>
        </w:rPr>
        <w:tab/>
      </w:r>
      <w:r w:rsidRPr="00E07F47">
        <w:rPr>
          <w:lang w:eastAsia="en-GB"/>
        </w:rPr>
        <w:t>Situation des droits de l</w:t>
      </w:r>
      <w:r>
        <w:rPr>
          <w:lang w:eastAsia="en-GB"/>
        </w:rPr>
        <w:t>’</w:t>
      </w:r>
      <w:r w:rsidRPr="00E07F47">
        <w:rPr>
          <w:lang w:eastAsia="en-GB"/>
        </w:rPr>
        <w:t xml:space="preserve">homme des musulmans rohingyas </w:t>
      </w:r>
      <w:r w:rsidR="00F54B6E">
        <w:rPr>
          <w:lang w:eastAsia="en-GB"/>
        </w:rPr>
        <w:br/>
      </w:r>
      <w:r w:rsidRPr="00E07F47">
        <w:rPr>
          <w:lang w:eastAsia="en-GB"/>
        </w:rPr>
        <w:t>et autres minorités au Myanmar</w:t>
      </w:r>
    </w:p>
    <w:p w:rsidR="004F0DD8" w:rsidRPr="004F0DD8" w:rsidRDefault="004F0DD8" w:rsidP="004F0DD8">
      <w:pPr>
        <w:pStyle w:val="SingleTxt"/>
        <w:keepNext/>
        <w:keepLines/>
        <w:spacing w:after="0" w:line="120" w:lineRule="exact"/>
        <w:rPr>
          <w:sz w:val="10"/>
          <w:lang w:eastAsia="en-GB"/>
        </w:rPr>
      </w:pPr>
    </w:p>
    <w:p w:rsidR="00676011" w:rsidRPr="00FB36A3" w:rsidRDefault="00676011" w:rsidP="00FB36A3">
      <w:pPr>
        <w:pStyle w:val="SingleTxt"/>
        <w:numPr>
          <w:ilvl w:val="0"/>
          <w:numId w:val="29"/>
        </w:numPr>
        <w:rPr>
          <w:lang w:val="fr-FR" w:eastAsia="en-GB"/>
        </w:rPr>
      </w:pPr>
      <w:r>
        <w:rPr>
          <w:lang w:val="fr-FR"/>
        </w:rPr>
        <w:t xml:space="preserve">Dans sa résolution 29/21, le Conseil des droits de </w:t>
      </w:r>
      <w:r w:rsidRPr="00E07F47">
        <w:rPr>
          <w:lang w:val="fr-FR"/>
        </w:rPr>
        <w:t>l</w:t>
      </w:r>
      <w:r>
        <w:rPr>
          <w:lang w:val="fr-FR"/>
        </w:rPr>
        <w:t>’</w:t>
      </w:r>
      <w:r w:rsidRPr="00E07F47">
        <w:rPr>
          <w:lang w:val="fr-FR"/>
        </w:rPr>
        <w:t xml:space="preserve">homme </w:t>
      </w:r>
      <w:r w:rsidRPr="00E07F47">
        <w:t>a prié le Haut-Commissaire de lui présenter oralement, à sa trentième session, des informations actualisées sur les violations des droits de l</w:t>
      </w:r>
      <w:r>
        <w:t>’</w:t>
      </w:r>
      <w:r w:rsidRPr="00E07F47">
        <w:t>homme et les atteintes à ces droits dont sont victimes les musulmans</w:t>
      </w:r>
      <w:r w:rsidRPr="00E07F47">
        <w:rPr>
          <w:i/>
        </w:rPr>
        <w:t xml:space="preserve"> </w:t>
      </w:r>
      <w:r w:rsidRPr="00E07F47">
        <w:t>rohingyas et d</w:t>
      </w:r>
      <w:r>
        <w:t>’</w:t>
      </w:r>
      <w:r w:rsidRPr="00E07F47">
        <w:t>autres minorités au Myanmar, en particulier les récents incidents liés à la traite et aux déplacements forcés.</w:t>
      </w:r>
      <w:r>
        <w:t xml:space="preserve"> En conséquence, le Haut-Commissaire présentera oralement des renseignements actualisés au Conseil.</w:t>
      </w:r>
    </w:p>
    <w:p w:rsidR="00FB36A3" w:rsidRPr="00FB36A3" w:rsidRDefault="00FB36A3" w:rsidP="00FB36A3">
      <w:pPr>
        <w:pStyle w:val="SingleTxt"/>
        <w:spacing w:after="0" w:line="120" w:lineRule="exact"/>
        <w:rPr>
          <w:sz w:val="10"/>
        </w:rPr>
      </w:pPr>
    </w:p>
    <w:p w:rsidR="00676011" w:rsidRDefault="00676011" w:rsidP="00FB36A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08390A">
        <w:t>La question de la peine de mort</w:t>
      </w:r>
    </w:p>
    <w:p w:rsidR="00FB36A3" w:rsidRPr="00FB36A3" w:rsidRDefault="00FB36A3" w:rsidP="00FB36A3">
      <w:pPr>
        <w:pStyle w:val="SingleTxt"/>
        <w:spacing w:after="0" w:line="120" w:lineRule="exact"/>
        <w:rPr>
          <w:sz w:val="10"/>
        </w:rPr>
      </w:pPr>
    </w:p>
    <w:p w:rsidR="00676011" w:rsidRPr="00E41698" w:rsidRDefault="00676011" w:rsidP="00FB36A3">
      <w:pPr>
        <w:pStyle w:val="SingleTxt"/>
        <w:numPr>
          <w:ilvl w:val="0"/>
          <w:numId w:val="29"/>
        </w:numPr>
        <w:rPr>
          <w:lang w:val="fr-FR" w:eastAsia="zh-CN"/>
        </w:rPr>
      </w:pPr>
      <w:r w:rsidRPr="00E41698">
        <w:rPr>
          <w:lang w:val="fr-FR" w:eastAsia="zh-CN"/>
        </w:rPr>
        <w:t xml:space="preserve">Dans sa </w:t>
      </w:r>
      <w:r>
        <w:rPr>
          <w:lang w:val="fr-FR" w:eastAsia="zh-CN"/>
        </w:rPr>
        <w:t>décision</w:t>
      </w:r>
      <w:r w:rsidRPr="00E41698">
        <w:rPr>
          <w:lang w:val="fr-FR" w:eastAsia="zh-CN"/>
        </w:rPr>
        <w:t> </w:t>
      </w:r>
      <w:r>
        <w:rPr>
          <w:lang w:val="fr-FR" w:eastAsia="zh-CN"/>
        </w:rPr>
        <w:t>18/117</w:t>
      </w:r>
      <w:r w:rsidRPr="00E41698">
        <w:rPr>
          <w:lang w:val="fr-FR" w:eastAsia="zh-CN"/>
        </w:rPr>
        <w:t xml:space="preserve">, le </w:t>
      </w:r>
      <w:r w:rsidRPr="00E41698">
        <w:rPr>
          <w:lang w:val="fr-FR"/>
        </w:rPr>
        <w:t>Conseil des droits de l</w:t>
      </w:r>
      <w:r>
        <w:rPr>
          <w:lang w:val="fr-FR"/>
        </w:rPr>
        <w:t>’</w:t>
      </w:r>
      <w:r w:rsidRPr="00E41698">
        <w:rPr>
          <w:lang w:val="fr-FR"/>
        </w:rPr>
        <w:t xml:space="preserve">homme </w:t>
      </w:r>
      <w:r w:rsidRPr="00E41698">
        <w:rPr>
          <w:lang w:val="fr-FR" w:eastAsia="zh-CN"/>
        </w:rPr>
        <w:t>a</w:t>
      </w:r>
      <w:r>
        <w:rPr>
          <w:lang w:val="fr-FR" w:eastAsia="zh-CN"/>
        </w:rPr>
        <w:t xml:space="preserve"> prié</w:t>
      </w:r>
      <w:r w:rsidRPr="0008390A">
        <w:rPr>
          <w:lang w:eastAsia="zh-CN"/>
        </w:rPr>
        <w:t xml:space="preserve"> le Secrétaire général de continuer à lui soumettre un supplément annuel à son rapport quinquennal sur la peine capitale et l</w:t>
      </w:r>
      <w:r>
        <w:rPr>
          <w:lang w:eastAsia="zh-CN"/>
        </w:rPr>
        <w:t>’</w:t>
      </w:r>
      <w:r w:rsidRPr="0008390A">
        <w:rPr>
          <w:lang w:eastAsia="zh-CN"/>
        </w:rPr>
        <w:t>application des garanties pour la protection des droits des personnes condamnées à la peine de mort, en accordant une attention particulière à l</w:t>
      </w:r>
      <w:r>
        <w:rPr>
          <w:lang w:eastAsia="zh-CN"/>
        </w:rPr>
        <w:t>’</w:t>
      </w:r>
      <w:r w:rsidRPr="0008390A">
        <w:rPr>
          <w:lang w:eastAsia="zh-CN"/>
        </w:rPr>
        <w:t>application de la peine de mort à des personnes âgées de moins de 18 ans au moment de l</w:t>
      </w:r>
      <w:r>
        <w:rPr>
          <w:lang w:eastAsia="zh-CN"/>
        </w:rPr>
        <w:t>’</w:t>
      </w:r>
      <w:r w:rsidRPr="0008390A">
        <w:rPr>
          <w:lang w:eastAsia="zh-CN"/>
        </w:rPr>
        <w:t>infraction, à des femmes enceintes et à des personnes atteintes d</w:t>
      </w:r>
      <w:r>
        <w:rPr>
          <w:lang w:eastAsia="zh-CN"/>
        </w:rPr>
        <w:t>’</w:t>
      </w:r>
      <w:r w:rsidRPr="0008390A">
        <w:rPr>
          <w:lang w:eastAsia="zh-CN"/>
        </w:rPr>
        <w:t>une déficience mentale ou intellectuelle.</w:t>
      </w:r>
      <w:r>
        <w:rPr>
          <w:lang w:eastAsia="zh-CN"/>
        </w:rPr>
        <w:t xml:space="preserve"> Dans sa résolution 26/2, le Conseil </w:t>
      </w:r>
      <w:r w:rsidRPr="0008390A">
        <w:rPr>
          <w:lang w:val="fr-FR" w:eastAsia="zh-CN"/>
        </w:rPr>
        <w:t xml:space="preserve">a prié le Secrétaire général de consacrer le supplément annuel de 2015 à son rapport quinquennal aux </w:t>
      </w:r>
      <w:r>
        <w:rPr>
          <w:lang w:val="fr-FR" w:eastAsia="zh-CN"/>
        </w:rPr>
        <w:t>effets</w:t>
      </w:r>
      <w:r w:rsidRPr="0008390A">
        <w:rPr>
          <w:lang w:val="fr-FR" w:eastAsia="zh-CN"/>
        </w:rPr>
        <w:t>, à différents stades, de l</w:t>
      </w:r>
      <w:r>
        <w:rPr>
          <w:lang w:val="fr-FR" w:eastAsia="zh-CN"/>
        </w:rPr>
        <w:t>’</w:t>
      </w:r>
      <w:r w:rsidRPr="0008390A">
        <w:rPr>
          <w:lang w:val="fr-FR" w:eastAsia="zh-CN"/>
        </w:rPr>
        <w:t>imposition et l</w:t>
      </w:r>
      <w:r>
        <w:rPr>
          <w:lang w:val="fr-FR" w:eastAsia="zh-CN"/>
        </w:rPr>
        <w:t>’</w:t>
      </w:r>
      <w:r w:rsidRPr="0008390A">
        <w:rPr>
          <w:lang w:val="fr-FR" w:eastAsia="zh-CN"/>
        </w:rPr>
        <w:t>application de la peine de mort sur la jouissance des droits de l</w:t>
      </w:r>
      <w:r>
        <w:rPr>
          <w:lang w:val="fr-FR" w:eastAsia="zh-CN"/>
        </w:rPr>
        <w:t>’</w:t>
      </w:r>
      <w:r w:rsidRPr="0008390A">
        <w:rPr>
          <w:lang w:val="fr-FR" w:eastAsia="zh-CN"/>
        </w:rPr>
        <w:t xml:space="preserve">homme par les personnes passibles de cette peine et les autres personnes concernées, et de </w:t>
      </w:r>
      <w:r>
        <w:rPr>
          <w:lang w:val="fr-FR" w:eastAsia="zh-CN"/>
        </w:rPr>
        <w:t>lui</w:t>
      </w:r>
      <w:r w:rsidRPr="0008390A">
        <w:rPr>
          <w:lang w:val="fr-FR" w:eastAsia="zh-CN"/>
        </w:rPr>
        <w:t xml:space="preserve"> présenter </w:t>
      </w:r>
      <w:r>
        <w:rPr>
          <w:lang w:val="fr-FR" w:eastAsia="zh-CN"/>
        </w:rPr>
        <w:t xml:space="preserve">à sa trentième session. Le Conseil sera saisi du </w:t>
      </w:r>
      <w:r w:rsidRPr="0008390A">
        <w:rPr>
          <w:lang w:eastAsia="zh-CN"/>
        </w:rPr>
        <w:t xml:space="preserve">supplément annuel </w:t>
      </w:r>
      <w:r>
        <w:rPr>
          <w:lang w:eastAsia="zh-CN"/>
        </w:rPr>
        <w:t xml:space="preserve">du Secrétaire général </w:t>
      </w:r>
      <w:r w:rsidRPr="0008390A">
        <w:rPr>
          <w:lang w:eastAsia="zh-CN"/>
        </w:rPr>
        <w:t xml:space="preserve">à son rapport quinquennal </w:t>
      </w:r>
      <w:r>
        <w:rPr>
          <w:lang w:eastAsia="zh-CN"/>
        </w:rPr>
        <w:t>(A/HRC/30/18).</w:t>
      </w:r>
    </w:p>
    <w:p w:rsidR="00676011" w:rsidRDefault="00676011" w:rsidP="00FB36A3">
      <w:pPr>
        <w:pStyle w:val="SingleTxt"/>
        <w:numPr>
          <w:ilvl w:val="0"/>
          <w:numId w:val="29"/>
        </w:numPr>
        <w:rPr>
          <w:lang w:val="fr-FR" w:eastAsia="zh-CN"/>
        </w:rPr>
      </w:pPr>
      <w:r>
        <w:rPr>
          <w:lang w:val="fr-FR" w:eastAsia="zh-CN"/>
        </w:rPr>
        <w:t>Toujours en application de</w:t>
      </w:r>
      <w:r w:rsidRPr="00E41698">
        <w:rPr>
          <w:lang w:val="fr-FR" w:eastAsia="zh-CN"/>
        </w:rPr>
        <w:t xml:space="preserve"> la résolution</w:t>
      </w:r>
      <w:r>
        <w:rPr>
          <w:lang w:val="fr-FR" w:eastAsia="zh-CN"/>
        </w:rPr>
        <w:t xml:space="preserve"> 26/2</w:t>
      </w:r>
      <w:r w:rsidRPr="00E41698">
        <w:rPr>
          <w:lang w:val="fr-FR" w:eastAsia="zh-CN"/>
        </w:rPr>
        <w:t xml:space="preserve">, le </w:t>
      </w:r>
      <w:r w:rsidRPr="00E41698">
        <w:rPr>
          <w:lang w:val="fr-FR"/>
        </w:rPr>
        <w:t xml:space="preserve">Conseil </w:t>
      </w:r>
      <w:r>
        <w:rPr>
          <w:lang w:val="fr-FR"/>
        </w:rPr>
        <w:t>a tenu, à sa vingt-huitième session, une</w:t>
      </w:r>
      <w:r w:rsidRPr="004A787A">
        <w:rPr>
          <w:i/>
          <w:lang w:val="fr-FR"/>
        </w:rPr>
        <w:t xml:space="preserve"> </w:t>
      </w:r>
      <w:r w:rsidRPr="004A787A">
        <w:rPr>
          <w:lang w:val="fr-FR"/>
        </w:rPr>
        <w:t>réunion-débat de haut niveau sur la question de la peine de mort</w:t>
      </w:r>
      <w:r>
        <w:rPr>
          <w:lang w:val="fr-FR"/>
        </w:rPr>
        <w:t xml:space="preserve"> afin d’examiner</w:t>
      </w:r>
      <w:r w:rsidRPr="004A787A">
        <w:rPr>
          <w:lang w:val="fr-FR"/>
        </w:rPr>
        <w:t xml:space="preserve"> les efforts entrepris au niveau régional en vue d</w:t>
      </w:r>
      <w:r>
        <w:rPr>
          <w:lang w:val="fr-FR"/>
        </w:rPr>
        <w:t>’</w:t>
      </w:r>
      <w:r w:rsidRPr="004A787A">
        <w:rPr>
          <w:lang w:val="fr-FR"/>
        </w:rPr>
        <w:t>abolir la peine de mort et les diff</w:t>
      </w:r>
      <w:r>
        <w:rPr>
          <w:lang w:val="fr-FR"/>
        </w:rPr>
        <w:t>icultés rencontrées à cet égard. Conformément à cette résolution, le Conseil sera saisi du rapport du Haut-Commissariat sur la réunion-débat (A/HRC/30/21).</w:t>
      </w:r>
    </w:p>
    <w:p w:rsidR="00A75895" w:rsidRPr="00F54B6E" w:rsidRDefault="00A75895" w:rsidP="00F54B6E">
      <w:pPr>
        <w:pStyle w:val="SingleTxt"/>
        <w:tabs>
          <w:tab w:val="clear" w:pos="1742"/>
        </w:tabs>
        <w:spacing w:after="0" w:line="120" w:lineRule="exact"/>
        <w:rPr>
          <w:sz w:val="10"/>
          <w:lang w:val="fr-FR" w:eastAsia="zh-CN"/>
        </w:rPr>
      </w:pPr>
    </w:p>
    <w:p w:rsidR="00676011" w:rsidRDefault="00F54B6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4A787A">
        <w:t>Les droits de l</w:t>
      </w:r>
      <w:r w:rsidR="00676011">
        <w:t>’</w:t>
      </w:r>
      <w:r w:rsidR="00676011" w:rsidRPr="004A787A">
        <w:t>homme dans l</w:t>
      </w:r>
      <w:r w:rsidR="00676011">
        <w:t>’</w:t>
      </w:r>
      <w:r w:rsidR="00676011" w:rsidRPr="004A787A">
        <w:t xml:space="preserve">administration de la justice, </w:t>
      </w:r>
      <w:r>
        <w:br/>
      </w:r>
      <w:r w:rsidR="00676011" w:rsidRPr="004A787A">
        <w:t>y compris la justice pour mineurs</w:t>
      </w:r>
    </w:p>
    <w:p w:rsidR="00F54B6E" w:rsidRPr="00F54B6E" w:rsidRDefault="00F54B6E" w:rsidP="00F54B6E">
      <w:pPr>
        <w:pStyle w:val="SingleTxt"/>
        <w:spacing w:after="0" w:line="120" w:lineRule="exact"/>
        <w:rPr>
          <w:sz w:val="10"/>
        </w:rPr>
      </w:pPr>
    </w:p>
    <w:p w:rsidR="00676011" w:rsidRPr="00F54B6E" w:rsidRDefault="00676011" w:rsidP="00F54B6E">
      <w:pPr>
        <w:pStyle w:val="SingleTxt"/>
        <w:numPr>
          <w:ilvl w:val="0"/>
          <w:numId w:val="29"/>
        </w:numPr>
        <w:rPr>
          <w:lang w:val="fr-FR" w:eastAsia="zh-CN"/>
        </w:rPr>
      </w:pPr>
      <w:r w:rsidRPr="00E41698">
        <w:rPr>
          <w:lang w:val="fr-FR" w:eastAsia="zh-CN"/>
        </w:rPr>
        <w:t>Dans sa résolution 2</w:t>
      </w:r>
      <w:r>
        <w:rPr>
          <w:lang w:val="fr-FR" w:eastAsia="zh-CN"/>
        </w:rPr>
        <w:t>4</w:t>
      </w:r>
      <w:r w:rsidRPr="00E41698">
        <w:rPr>
          <w:lang w:val="fr-FR" w:eastAsia="zh-CN"/>
        </w:rPr>
        <w:t>/</w:t>
      </w:r>
      <w:r>
        <w:rPr>
          <w:lang w:val="fr-FR" w:eastAsia="zh-CN"/>
        </w:rPr>
        <w:t>12</w:t>
      </w:r>
      <w:r w:rsidRPr="00E41698">
        <w:rPr>
          <w:lang w:val="fr-FR" w:eastAsia="zh-CN"/>
        </w:rPr>
        <w:t xml:space="preserve">, le </w:t>
      </w:r>
      <w:r w:rsidRPr="00E41698">
        <w:rPr>
          <w:lang w:val="fr-FR"/>
        </w:rPr>
        <w:t>Conseil des droits de l</w:t>
      </w:r>
      <w:r>
        <w:rPr>
          <w:lang w:val="fr-FR"/>
        </w:rPr>
        <w:t>’</w:t>
      </w:r>
      <w:r w:rsidRPr="00E41698">
        <w:rPr>
          <w:lang w:val="fr-FR"/>
        </w:rPr>
        <w:t xml:space="preserve">homme </w:t>
      </w:r>
      <w:r w:rsidRPr="00E41698">
        <w:rPr>
          <w:lang w:val="fr-FR" w:eastAsia="zh-CN"/>
        </w:rPr>
        <w:t>a</w:t>
      </w:r>
      <w:r>
        <w:rPr>
          <w:lang w:val="fr-FR" w:eastAsia="zh-CN"/>
        </w:rPr>
        <w:t xml:space="preserve"> prié</w:t>
      </w:r>
      <w:r w:rsidRPr="00E41698">
        <w:rPr>
          <w:lang w:val="fr-FR" w:eastAsia="zh-CN"/>
        </w:rPr>
        <w:t xml:space="preserve"> </w:t>
      </w:r>
      <w:r w:rsidRPr="004A787A">
        <w:rPr>
          <w:lang w:eastAsia="zh-CN"/>
        </w:rPr>
        <w:t>l</w:t>
      </w:r>
      <w:r>
        <w:rPr>
          <w:lang w:eastAsia="zh-CN"/>
        </w:rPr>
        <w:t>e</w:t>
      </w:r>
      <w:r w:rsidRPr="004A787A">
        <w:rPr>
          <w:lang w:eastAsia="zh-CN"/>
        </w:rPr>
        <w:t xml:space="preserve"> Haut-Commissaire de lui soumettre, à sa trentième session, un rapport analytique sur les incidences que l</w:t>
      </w:r>
      <w:r>
        <w:rPr>
          <w:lang w:eastAsia="zh-CN"/>
        </w:rPr>
        <w:t>’</w:t>
      </w:r>
      <w:r w:rsidRPr="004A787A">
        <w:rPr>
          <w:lang w:eastAsia="zh-CN"/>
        </w:rPr>
        <w:t>incarcération excessive et la surpopulation carcérale ont sur les droits de l</w:t>
      </w:r>
      <w:r>
        <w:rPr>
          <w:lang w:eastAsia="zh-CN"/>
        </w:rPr>
        <w:t>’</w:t>
      </w:r>
      <w:r w:rsidRPr="004A787A">
        <w:rPr>
          <w:lang w:eastAsia="zh-CN"/>
        </w:rPr>
        <w:t>homme, en recueillant l</w:t>
      </w:r>
      <w:r>
        <w:rPr>
          <w:lang w:eastAsia="zh-CN"/>
        </w:rPr>
        <w:t>’</w:t>
      </w:r>
      <w:r w:rsidRPr="004A787A">
        <w:rPr>
          <w:lang w:eastAsia="zh-CN"/>
        </w:rPr>
        <w:t>avis des États, notamment au sujet de leurs pratiques en matière de solutions de substitution à la détention, et celui des autr</w:t>
      </w:r>
      <w:r>
        <w:rPr>
          <w:lang w:eastAsia="zh-CN"/>
        </w:rPr>
        <w:t xml:space="preserve">es parties prenantes concernées. Le Conseil examinera le rapport du Haut-Commissaire (A/HRC/30/19). </w:t>
      </w:r>
    </w:p>
    <w:p w:rsidR="00F54B6E" w:rsidRPr="00F54B6E" w:rsidRDefault="00F54B6E" w:rsidP="00F54B6E">
      <w:pPr>
        <w:pStyle w:val="SingleTxt"/>
        <w:spacing w:after="0" w:line="120" w:lineRule="exact"/>
        <w:rPr>
          <w:sz w:val="10"/>
          <w:lang w:eastAsia="zh-CN"/>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75895">
        <w:tab/>
      </w:r>
      <w:r w:rsidRPr="00A75895">
        <w:tab/>
        <w:t>Le r</w:t>
      </w:r>
      <w:r w:rsidRPr="00C60AAA">
        <w:t>ôle de la prévention dans la promotion et la protection des droits de l</w:t>
      </w:r>
      <w:r>
        <w:t>’</w:t>
      </w:r>
      <w:r w:rsidRPr="00C60AAA">
        <w:t>homme</w:t>
      </w:r>
    </w:p>
    <w:p w:rsidR="00F54B6E" w:rsidRPr="00F54B6E" w:rsidRDefault="00F54B6E" w:rsidP="00F54B6E">
      <w:pPr>
        <w:pStyle w:val="SingleTxt"/>
        <w:spacing w:after="0" w:line="120" w:lineRule="exact"/>
        <w:rPr>
          <w:sz w:val="10"/>
        </w:rPr>
      </w:pPr>
    </w:p>
    <w:p w:rsidR="00676011" w:rsidRPr="00F54B6E" w:rsidRDefault="00676011" w:rsidP="00F54B6E">
      <w:pPr>
        <w:pStyle w:val="SingleTxt"/>
        <w:numPr>
          <w:ilvl w:val="0"/>
          <w:numId w:val="29"/>
        </w:numPr>
        <w:rPr>
          <w:lang w:val="fr-FR"/>
        </w:rPr>
      </w:pPr>
      <w:r>
        <w:rPr>
          <w:lang w:val="fr-FR"/>
        </w:rPr>
        <w:t xml:space="preserve">Dans sa résolution 24/16, le Conseil des droits de l’homme </w:t>
      </w:r>
      <w:r>
        <w:t>a prié</w:t>
      </w:r>
      <w:r w:rsidRPr="00460FD2">
        <w:t xml:space="preserve"> le Haut-Commissariat</w:t>
      </w:r>
      <w:r>
        <w:t xml:space="preserve"> de lui présenter, à sa trentième session, </w:t>
      </w:r>
      <w:r w:rsidRPr="00460FD2">
        <w:t>une étude sur la prévention des violations des droits de l</w:t>
      </w:r>
      <w:r>
        <w:t>’</w:t>
      </w:r>
      <w:r w:rsidRPr="00460FD2">
        <w:t xml:space="preserve">homme et son application pratique, compte tenu des conclusions de la réunion-débat </w:t>
      </w:r>
      <w:r>
        <w:t>sur le rôle de la prévention dans la promotion et la protection des droits de l’homme tenue à sa vingt-septième session. Le Conseil examinera l’étude du Haut-Commissariat (A/HRC/30/20).</w:t>
      </w:r>
    </w:p>
    <w:p w:rsidR="00F54B6E" w:rsidRPr="00F54B6E" w:rsidRDefault="00F54B6E" w:rsidP="00F54B6E">
      <w:pPr>
        <w:pStyle w:val="SingleTxt"/>
        <w:spacing w:after="0" w:line="120" w:lineRule="exact"/>
        <w:rPr>
          <w:sz w:val="10"/>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A75895">
        <w:t>D</w:t>
      </w:r>
      <w:r w:rsidRPr="00460FD2">
        <w:t>roit au développement</w:t>
      </w:r>
    </w:p>
    <w:p w:rsidR="00F54B6E" w:rsidRPr="00F54B6E" w:rsidRDefault="00F54B6E" w:rsidP="00F54B6E">
      <w:pPr>
        <w:pStyle w:val="SingleTxt"/>
        <w:spacing w:after="0" w:line="120" w:lineRule="exact"/>
        <w:rPr>
          <w:sz w:val="10"/>
        </w:rPr>
      </w:pPr>
    </w:p>
    <w:p w:rsidR="00676011" w:rsidRPr="00295066" w:rsidRDefault="00676011" w:rsidP="00F54B6E">
      <w:pPr>
        <w:pStyle w:val="SingleTxt"/>
        <w:numPr>
          <w:ilvl w:val="0"/>
          <w:numId w:val="29"/>
        </w:numPr>
        <w:rPr>
          <w:lang w:val="fr-FR"/>
        </w:rPr>
      </w:pPr>
      <w:r w:rsidRPr="00295066">
        <w:rPr>
          <w:lang w:val="fr-FR"/>
        </w:rPr>
        <w:t>Dans sa résolution 27/2, le Conseil des droits de l</w:t>
      </w:r>
      <w:r>
        <w:rPr>
          <w:lang w:val="fr-FR"/>
        </w:rPr>
        <w:t>’</w:t>
      </w:r>
      <w:r w:rsidRPr="00295066">
        <w:rPr>
          <w:lang w:val="fr-FR"/>
        </w:rPr>
        <w:t xml:space="preserve">homme </w:t>
      </w:r>
      <w:r w:rsidRPr="00295066">
        <w:t xml:space="preserve">a prié le Haut-Commissariat de continuer </w:t>
      </w:r>
      <w:r>
        <w:t>à</w:t>
      </w:r>
      <w:r w:rsidRPr="00295066">
        <w:t xml:space="preserve"> lui présenter un rapport annuel sur ses activités, portant notamment sur la coordination entre les organismes des Nations Unies </w:t>
      </w:r>
      <w:r>
        <w:t>en ce qui concerne</w:t>
      </w:r>
      <w:r w:rsidRPr="00295066">
        <w:t xml:space="preserve"> la promotion et la réalisation du droit au développement</w:t>
      </w:r>
      <w:r w:rsidRPr="00295066">
        <w:rPr>
          <w:lang w:val="fr-FR"/>
        </w:rPr>
        <w:t>. Dans sa résolution 69/181, l</w:t>
      </w:r>
      <w:r>
        <w:rPr>
          <w:lang w:val="fr-FR"/>
        </w:rPr>
        <w:t>’</w:t>
      </w:r>
      <w:r w:rsidRPr="00295066">
        <w:rPr>
          <w:lang w:val="fr-FR"/>
        </w:rPr>
        <w:t>Assemblée générale a demandé</w:t>
      </w:r>
      <w:r w:rsidRPr="00295066">
        <w:rPr>
          <w:i/>
          <w:lang w:val="fr-FR"/>
        </w:rPr>
        <w:t xml:space="preserve"> </w:t>
      </w:r>
      <w:r w:rsidRPr="00295066">
        <w:rPr>
          <w:lang w:val="fr-FR"/>
        </w:rPr>
        <w:t>au Haut-Commissaire, dans le cadre des efforts qu</w:t>
      </w:r>
      <w:r>
        <w:rPr>
          <w:lang w:val="fr-FR"/>
        </w:rPr>
        <w:t>’</w:t>
      </w:r>
      <w:r w:rsidRPr="00295066">
        <w:rPr>
          <w:lang w:val="fr-FR"/>
        </w:rPr>
        <w:t>il déploie pour universaliser la réalisation du droit au développement, de s</w:t>
      </w:r>
      <w:r>
        <w:rPr>
          <w:lang w:val="fr-FR"/>
        </w:rPr>
        <w:t>’</w:t>
      </w:r>
      <w:r w:rsidRPr="00295066">
        <w:rPr>
          <w:lang w:val="fr-FR"/>
        </w:rPr>
        <w:t xml:space="preserve">employer concrètement à renforcer le partenariat mondial pour le développement entre les États Membres, les organismes de développement, les institutions internationales de développement et les institutions financières et commerciales internationales, et de rendre compte </w:t>
      </w:r>
      <w:r>
        <w:rPr>
          <w:lang w:val="fr-FR"/>
        </w:rPr>
        <w:t>de</w:t>
      </w:r>
      <w:r w:rsidRPr="00295066">
        <w:rPr>
          <w:lang w:val="fr-FR"/>
        </w:rPr>
        <w:t xml:space="preserve"> </w:t>
      </w:r>
      <w:r>
        <w:rPr>
          <w:lang w:val="fr-FR"/>
        </w:rPr>
        <w:t>s</w:t>
      </w:r>
      <w:r w:rsidRPr="00295066">
        <w:rPr>
          <w:lang w:val="fr-FR"/>
        </w:rPr>
        <w:t>es activités dans son prochain rapport au Conseil. Dans la même résolution, l</w:t>
      </w:r>
      <w:r>
        <w:rPr>
          <w:lang w:val="fr-FR"/>
        </w:rPr>
        <w:t>’</w:t>
      </w:r>
      <w:r w:rsidRPr="00295066">
        <w:rPr>
          <w:lang w:val="fr-FR"/>
        </w:rPr>
        <w:t>Assemblée générale a prié le Secrétaire général de présenter au Conseil un rapport d</w:t>
      </w:r>
      <w:r>
        <w:rPr>
          <w:lang w:val="fr-FR"/>
        </w:rPr>
        <w:t>’</w:t>
      </w:r>
      <w:r w:rsidRPr="00295066">
        <w:rPr>
          <w:lang w:val="fr-FR"/>
        </w:rPr>
        <w:t>étape sur l</w:t>
      </w:r>
      <w:r>
        <w:rPr>
          <w:lang w:val="fr-FR"/>
        </w:rPr>
        <w:t>’</w:t>
      </w:r>
      <w:r w:rsidRPr="00295066">
        <w:rPr>
          <w:lang w:val="fr-FR"/>
        </w:rPr>
        <w:t xml:space="preserve">application de cette résolution, y compris les activités menées aux niveaux national, régional et international en vue de la promotion et de la réalisation du droit au développement. Le Conseil examinera le </w:t>
      </w:r>
      <w:r>
        <w:rPr>
          <w:lang w:val="en-US"/>
        </w:rPr>
        <w:t>r</w:t>
      </w:r>
      <w:r w:rsidRPr="00295066">
        <w:rPr>
          <w:lang w:val="en-US"/>
        </w:rPr>
        <w:t xml:space="preserve">apport conjoint du Secrétaire général et du Haut-Commissaire </w:t>
      </w:r>
      <w:r>
        <w:rPr>
          <w:lang w:val="en-US"/>
        </w:rPr>
        <w:t>(A/HRC/30/22).</w:t>
      </w:r>
    </w:p>
    <w:p w:rsidR="00676011" w:rsidRPr="00F54B6E" w:rsidRDefault="00676011" w:rsidP="00F54B6E">
      <w:pPr>
        <w:pStyle w:val="SingleTxt"/>
        <w:numPr>
          <w:ilvl w:val="0"/>
          <w:numId w:val="29"/>
        </w:numPr>
        <w:rPr>
          <w:lang w:val="fr-FR"/>
        </w:rPr>
      </w:pPr>
      <w:r>
        <w:t>On se reportera</w:t>
      </w:r>
      <w:r w:rsidRPr="00295066">
        <w:t xml:space="preserve"> </w:t>
      </w:r>
      <w:r>
        <w:t>à la note du secrétariat concernant le</w:t>
      </w:r>
      <w:r w:rsidRPr="00295066">
        <w:t xml:space="preserve"> rapport du Groupe de travail sur le droit au développement sur sa </w:t>
      </w:r>
      <w:r>
        <w:t>seizième</w:t>
      </w:r>
      <w:r w:rsidRPr="00295066">
        <w:t xml:space="preserve"> session (A/HRC/</w:t>
      </w:r>
      <w:r>
        <w:t>30/46</w:t>
      </w:r>
      <w:r w:rsidR="00736DC1">
        <w:t>) (voir par. </w:t>
      </w:r>
      <w:r>
        <w:t>58 ci-dessous</w:t>
      </w:r>
      <w:r w:rsidRPr="00295066">
        <w:t>).</w:t>
      </w:r>
    </w:p>
    <w:p w:rsidR="00F54B6E" w:rsidRPr="00F54B6E" w:rsidRDefault="00F54B6E" w:rsidP="00F54B6E">
      <w:pPr>
        <w:pStyle w:val="SingleTxt"/>
        <w:spacing w:after="0" w:line="120" w:lineRule="exact"/>
        <w:rPr>
          <w:sz w:val="10"/>
          <w:lang w:val="fr-FR"/>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A75895">
        <w:t>Droits de l’enfant</w:t>
      </w:r>
    </w:p>
    <w:p w:rsidR="00F54B6E" w:rsidRPr="00F54B6E" w:rsidRDefault="00F54B6E" w:rsidP="00F54B6E">
      <w:pPr>
        <w:pStyle w:val="SingleTxt"/>
        <w:spacing w:after="0" w:line="120" w:lineRule="exact"/>
        <w:rPr>
          <w:sz w:val="10"/>
        </w:rPr>
      </w:pPr>
    </w:p>
    <w:p w:rsidR="00676011" w:rsidRPr="00F54B6E" w:rsidRDefault="00676011" w:rsidP="00F54B6E">
      <w:pPr>
        <w:pStyle w:val="SingleTxt"/>
        <w:numPr>
          <w:ilvl w:val="0"/>
          <w:numId w:val="29"/>
        </w:numPr>
        <w:rPr>
          <w:lang w:val="fr-FR"/>
        </w:rPr>
      </w:pPr>
      <w:r>
        <w:rPr>
          <w:lang w:val="fr-FR"/>
        </w:rPr>
        <w:t xml:space="preserve">En application de </w:t>
      </w:r>
      <w:r w:rsidRPr="00E41698">
        <w:rPr>
          <w:lang w:val="fr-FR"/>
        </w:rPr>
        <w:t>sa résolution </w:t>
      </w:r>
      <w:r>
        <w:rPr>
          <w:lang w:val="fr-FR"/>
        </w:rPr>
        <w:t>25/6</w:t>
      </w:r>
      <w:r w:rsidRPr="00E41698">
        <w:rPr>
          <w:lang w:val="fr-FR"/>
        </w:rPr>
        <w:t>, le Conseil des droits de l</w:t>
      </w:r>
      <w:r>
        <w:rPr>
          <w:lang w:val="fr-FR"/>
        </w:rPr>
        <w:t>’</w:t>
      </w:r>
      <w:r w:rsidRPr="00E41698">
        <w:rPr>
          <w:lang w:val="fr-FR"/>
        </w:rPr>
        <w:t xml:space="preserve">homme a </w:t>
      </w:r>
      <w:r>
        <w:t>organisé, à sa vingt-huitième session, une</w:t>
      </w:r>
      <w:r w:rsidRPr="00B256DD">
        <w:t xml:space="preserve"> journée de </w:t>
      </w:r>
      <w:r>
        <w:t>débat sur le thème</w:t>
      </w:r>
      <w:r w:rsidRPr="00B256DD">
        <w:t xml:space="preserve"> </w:t>
      </w:r>
      <w:r w:rsidR="00F54B6E">
        <w:t>« </w:t>
      </w:r>
      <w:r w:rsidRPr="00B256DD">
        <w:t>Vers un meilleur investissement dans les droits de l</w:t>
      </w:r>
      <w:r>
        <w:t>’</w:t>
      </w:r>
      <w:r w:rsidRPr="00B256DD">
        <w:t>enfant</w:t>
      </w:r>
      <w:r>
        <w:t> »</w:t>
      </w:r>
      <w:r w:rsidRPr="00B256DD">
        <w:t xml:space="preserve">, et </w:t>
      </w:r>
      <w:r>
        <w:t>a demandé au</w:t>
      </w:r>
      <w:r w:rsidRPr="00B256DD">
        <w:t xml:space="preserve"> Haut-Commissaire</w:t>
      </w:r>
      <w:r>
        <w:t xml:space="preserve"> de diffuser</w:t>
      </w:r>
      <w:r w:rsidRPr="00B256DD">
        <w:t xml:space="preserve"> un rapport </w:t>
      </w:r>
      <w:r>
        <w:t>récapitulatif sur ce débat. Le Conseil sera saisi du rapport récapitulatif du Haut-Commissaire (A/HRC/30/62).</w:t>
      </w:r>
    </w:p>
    <w:p w:rsidR="00F54B6E" w:rsidRPr="00F54B6E" w:rsidRDefault="00F54B6E" w:rsidP="00F54B6E">
      <w:pPr>
        <w:pStyle w:val="SingleTxt"/>
        <w:spacing w:after="0" w:line="120" w:lineRule="exact"/>
        <w:rPr>
          <w:sz w:val="10"/>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A75895">
        <w:t>Droits des peuples autochtones</w:t>
      </w:r>
    </w:p>
    <w:p w:rsidR="00F54B6E" w:rsidRPr="00F54B6E" w:rsidRDefault="00F54B6E" w:rsidP="00F54B6E">
      <w:pPr>
        <w:pStyle w:val="SingleTxt"/>
        <w:spacing w:after="0" w:line="120" w:lineRule="exact"/>
        <w:rPr>
          <w:sz w:val="10"/>
        </w:rPr>
      </w:pPr>
    </w:p>
    <w:p w:rsidR="00676011" w:rsidRPr="00F54B6E" w:rsidRDefault="00676011" w:rsidP="00F54B6E">
      <w:pPr>
        <w:pStyle w:val="SingleTxt"/>
        <w:numPr>
          <w:ilvl w:val="0"/>
          <w:numId w:val="29"/>
        </w:numPr>
        <w:rPr>
          <w:lang w:val="fr-FR"/>
        </w:rPr>
      </w:pPr>
      <w:r w:rsidRPr="00E41698">
        <w:rPr>
          <w:lang w:val="fr-FR"/>
        </w:rPr>
        <w:t>Dans sa résolution 27/</w:t>
      </w:r>
      <w:r>
        <w:rPr>
          <w:lang w:val="fr-FR"/>
        </w:rPr>
        <w:t>13</w:t>
      </w:r>
      <w:r w:rsidRPr="00E41698">
        <w:rPr>
          <w:lang w:val="fr-FR"/>
        </w:rPr>
        <w:t xml:space="preserve">, </w:t>
      </w:r>
      <w:r w:rsidRPr="00306E9A">
        <w:t>Conseil a prié l</w:t>
      </w:r>
      <w:r>
        <w:t>e</w:t>
      </w:r>
      <w:r w:rsidRPr="00306E9A">
        <w:t xml:space="preserve"> Haut-Commissaire de continuer </w:t>
      </w:r>
      <w:r>
        <w:t>à</w:t>
      </w:r>
      <w:r w:rsidRPr="00306E9A">
        <w:t xml:space="preserve"> lui soumettre un rapport annuel sur les droits des peuples autochtones, contenant des informations sur les éléments nouveaux pertinents ayant trait aux organes et mécanismes relatifs aux droits de l</w:t>
      </w:r>
      <w:r>
        <w:t>’</w:t>
      </w:r>
      <w:r w:rsidRPr="00306E9A">
        <w:t>homme, ainsi que sur les activités entreprises par le Haut</w:t>
      </w:r>
      <w:r w:rsidR="00F54B6E">
        <w:t>-</w:t>
      </w:r>
      <w:r w:rsidRPr="00306E9A">
        <w:t xml:space="preserve">Commissariat au </w:t>
      </w:r>
      <w:r>
        <w:t>s</w:t>
      </w:r>
      <w:r w:rsidRPr="00306E9A">
        <w:t>iège et sur le terrain qui contribuent à la promotion, au respect et à la pleine application des dispositions de la Déclaration des Nations Unies sur les droits des peuples autochtones, et de suivre l</w:t>
      </w:r>
      <w:r>
        <w:t>’</w:t>
      </w:r>
      <w:r w:rsidRPr="00306E9A">
        <w:t xml:space="preserve">effet utile de la Déclaration. Le Conseil </w:t>
      </w:r>
      <w:r>
        <w:t>examinera le</w:t>
      </w:r>
      <w:r w:rsidRPr="00306E9A">
        <w:t xml:space="preserve"> rapport </w:t>
      </w:r>
      <w:r>
        <w:t>du</w:t>
      </w:r>
      <w:r w:rsidRPr="00306E9A">
        <w:t xml:space="preserve"> Haut-Commissaire (A/HRC/</w:t>
      </w:r>
      <w:r>
        <w:t>30</w:t>
      </w:r>
      <w:r w:rsidRPr="00306E9A">
        <w:t>/</w:t>
      </w:r>
      <w:r>
        <w:t>25</w:t>
      </w:r>
      <w:r w:rsidRPr="00306E9A">
        <w:t>)</w:t>
      </w:r>
      <w:r>
        <w:t xml:space="preserve"> (voir également les par</w:t>
      </w:r>
      <w:r w:rsidR="00F54B6E">
        <w:t>agraphes</w:t>
      </w:r>
      <w:r>
        <w:t xml:space="preserve"> 61, 64 et 81 à 83 ci-dessous).</w:t>
      </w:r>
    </w:p>
    <w:p w:rsidR="00F54B6E" w:rsidRPr="00F54B6E" w:rsidRDefault="00F54B6E" w:rsidP="00F54B6E">
      <w:pPr>
        <w:pStyle w:val="SingleTxt"/>
        <w:spacing w:after="0" w:line="120" w:lineRule="exact"/>
        <w:rPr>
          <w:sz w:val="10"/>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306E9A">
        <w:t>Intensification de l</w:t>
      </w:r>
      <w:r>
        <w:t>’</w:t>
      </w:r>
      <w:r w:rsidRPr="00306E9A">
        <w:t xml:space="preserve">action menée pour éliminer toutes les formes </w:t>
      </w:r>
      <w:r>
        <w:t xml:space="preserve">de violence </w:t>
      </w:r>
      <w:r w:rsidR="00F54B6E">
        <w:br/>
      </w:r>
      <w:r>
        <w:t>faite aux femmes</w:t>
      </w:r>
      <w:r w:rsidRPr="00306E9A">
        <w:t> : éliminer la violence familiale</w:t>
      </w:r>
    </w:p>
    <w:p w:rsidR="00F54B6E" w:rsidRPr="00F54B6E" w:rsidRDefault="00F54B6E" w:rsidP="00F54B6E">
      <w:pPr>
        <w:pStyle w:val="SingleTxt"/>
        <w:spacing w:after="0" w:line="120" w:lineRule="exact"/>
        <w:rPr>
          <w:sz w:val="10"/>
        </w:rPr>
      </w:pPr>
    </w:p>
    <w:p w:rsidR="00676011" w:rsidRPr="00F54B6E" w:rsidRDefault="00676011" w:rsidP="00F54B6E">
      <w:pPr>
        <w:pStyle w:val="SingleTxt"/>
        <w:numPr>
          <w:ilvl w:val="0"/>
          <w:numId w:val="29"/>
        </w:numPr>
        <w:rPr>
          <w:lang w:val="fr-FR" w:eastAsia="en-GB"/>
        </w:rPr>
      </w:pPr>
      <w:r>
        <w:t>Dans sa résolution 29/14, le Conseil des droits de l’homme a accueilli</w:t>
      </w:r>
      <w:r w:rsidRPr="00306E9A">
        <w:t xml:space="preserve"> avec satisfaction </w:t>
      </w:r>
      <w:r>
        <w:t xml:space="preserve">la </w:t>
      </w:r>
      <w:r w:rsidRPr="00306E9A">
        <w:t>réunion-débat sur la violence faite aux femmes et aux filles dans la famille tenue à</w:t>
      </w:r>
      <w:r>
        <w:t xml:space="preserve"> sa vingt-neuvième session à</w:t>
      </w:r>
      <w:r w:rsidRPr="00306E9A">
        <w:t xml:space="preserve"> l</w:t>
      </w:r>
      <w:r>
        <w:t>’</w:t>
      </w:r>
      <w:r w:rsidRPr="00306E9A">
        <w:t>occasion de la journée annuelle de débat sur les droits fondamentaux des femmes</w:t>
      </w:r>
      <w:r>
        <w:t>, et a</w:t>
      </w:r>
      <w:r w:rsidRPr="00306E9A">
        <w:t xml:space="preserve"> </w:t>
      </w:r>
      <w:r w:rsidRPr="00BC2CE2">
        <w:t>demand</w:t>
      </w:r>
      <w:r>
        <w:t>é</w:t>
      </w:r>
      <w:r w:rsidRPr="00BC2CE2">
        <w:t xml:space="preserve"> au Haut-Commissariat de </w:t>
      </w:r>
      <w:r>
        <w:t xml:space="preserve">lui </w:t>
      </w:r>
      <w:r w:rsidRPr="00BC2CE2">
        <w:t>présenter</w:t>
      </w:r>
      <w:r>
        <w:t>, à sa trentième session, un rapport de synthèse. Le Conseil sera saisi du rapport en question du Haut-Commissariat (A/HRC/30/70).</w:t>
      </w:r>
    </w:p>
    <w:p w:rsidR="00F54B6E" w:rsidRPr="00F54B6E" w:rsidRDefault="00F54B6E" w:rsidP="00F54B6E">
      <w:pPr>
        <w:pStyle w:val="SingleTxt"/>
        <w:spacing w:after="0" w:line="120" w:lineRule="exact"/>
        <w:rPr>
          <w:sz w:val="10"/>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lang w:val="fr-FR" w:eastAsia="en-GB"/>
        </w:rPr>
      </w:pPr>
      <w:r>
        <w:rPr>
          <w:lang w:val="fr-FR" w:eastAsia="en-GB"/>
        </w:rPr>
        <w:tab/>
      </w:r>
      <w:r>
        <w:rPr>
          <w:lang w:val="fr-FR" w:eastAsia="en-GB"/>
        </w:rPr>
        <w:tab/>
      </w:r>
      <w:r w:rsidR="00676011" w:rsidRPr="00BC2CE2">
        <w:rPr>
          <w:lang w:val="fr-FR" w:eastAsia="en-GB"/>
        </w:rPr>
        <w:t>La sécurité des journalistes et la question de l</w:t>
      </w:r>
      <w:r w:rsidR="00676011">
        <w:rPr>
          <w:lang w:val="fr-FR" w:eastAsia="en-GB"/>
        </w:rPr>
        <w:t>’</w:t>
      </w:r>
      <w:r w:rsidR="00676011" w:rsidRPr="00BC2CE2">
        <w:rPr>
          <w:lang w:val="fr-FR" w:eastAsia="en-GB"/>
        </w:rPr>
        <w:t xml:space="preserve">impunité </w:t>
      </w:r>
    </w:p>
    <w:p w:rsidR="00F54B6E" w:rsidRPr="00F54B6E" w:rsidRDefault="00F54B6E" w:rsidP="00F54B6E">
      <w:pPr>
        <w:pStyle w:val="SingleTxt"/>
        <w:spacing w:after="0" w:line="120" w:lineRule="exact"/>
        <w:rPr>
          <w:i/>
          <w:sz w:val="10"/>
          <w:lang w:val="fr-FR" w:eastAsia="en-GB"/>
        </w:rPr>
      </w:pPr>
    </w:p>
    <w:p w:rsidR="00676011" w:rsidRDefault="00676011" w:rsidP="00F54B6E">
      <w:pPr>
        <w:pStyle w:val="SingleTxt"/>
        <w:numPr>
          <w:ilvl w:val="0"/>
          <w:numId w:val="29"/>
        </w:numPr>
        <w:rPr>
          <w:lang w:val="fr-FR" w:eastAsia="en-GB"/>
        </w:rPr>
      </w:pPr>
      <w:r w:rsidRPr="00A3481E">
        <w:rPr>
          <w:lang w:val="fr-FR" w:eastAsia="en-GB"/>
        </w:rPr>
        <w:t>Dans sa résolution 69/185 sur la sécurité des journalistes et la question de l</w:t>
      </w:r>
      <w:r>
        <w:rPr>
          <w:lang w:val="fr-FR" w:eastAsia="en-GB"/>
        </w:rPr>
        <w:t>’</w:t>
      </w:r>
      <w:r w:rsidRPr="00A3481E">
        <w:rPr>
          <w:lang w:val="fr-FR" w:eastAsia="en-GB"/>
        </w:rPr>
        <w:t>impunité, l</w:t>
      </w:r>
      <w:r>
        <w:rPr>
          <w:lang w:val="fr-FR" w:eastAsia="en-GB"/>
        </w:rPr>
        <w:t>’</w:t>
      </w:r>
      <w:r w:rsidRPr="00A3481E">
        <w:rPr>
          <w:lang w:val="fr-FR" w:eastAsia="en-GB"/>
        </w:rPr>
        <w:t>Assemblée générale a prié le Secrétaire général de lui soumettre à sa soixante-dixième session et au Conseil des droits de l</w:t>
      </w:r>
      <w:r>
        <w:rPr>
          <w:lang w:val="fr-FR" w:eastAsia="en-GB"/>
        </w:rPr>
        <w:t>’</w:t>
      </w:r>
      <w:r w:rsidRPr="00A3481E">
        <w:rPr>
          <w:lang w:val="fr-FR" w:eastAsia="en-GB"/>
        </w:rPr>
        <w:t>homme à sa trentième session, un rapport sur l</w:t>
      </w:r>
      <w:r>
        <w:rPr>
          <w:lang w:val="fr-FR" w:eastAsia="en-GB"/>
        </w:rPr>
        <w:t>’</w:t>
      </w:r>
      <w:r w:rsidRPr="00A3481E">
        <w:rPr>
          <w:lang w:val="fr-FR" w:eastAsia="en-GB"/>
        </w:rPr>
        <w:t>application de cette résolution. Le Conseil sera saisi du rapport du Secrétaire g</w:t>
      </w:r>
      <w:r>
        <w:rPr>
          <w:lang w:val="fr-FR" w:eastAsia="en-GB"/>
        </w:rPr>
        <w:t>é</w:t>
      </w:r>
      <w:r w:rsidRPr="00A3481E">
        <w:rPr>
          <w:lang w:val="fr-FR" w:eastAsia="en-GB"/>
        </w:rPr>
        <w:t>n</w:t>
      </w:r>
      <w:r>
        <w:rPr>
          <w:lang w:val="fr-FR" w:eastAsia="en-GB"/>
        </w:rPr>
        <w:t>é</w:t>
      </w:r>
      <w:r w:rsidRPr="00A3481E">
        <w:rPr>
          <w:lang w:val="fr-FR" w:eastAsia="en-GB"/>
        </w:rPr>
        <w:t>ral à l</w:t>
      </w:r>
      <w:r>
        <w:rPr>
          <w:lang w:val="fr-FR" w:eastAsia="en-GB"/>
        </w:rPr>
        <w:t>’</w:t>
      </w:r>
      <w:r w:rsidRPr="00A3481E">
        <w:rPr>
          <w:lang w:val="fr-FR" w:eastAsia="en-GB"/>
        </w:rPr>
        <w:t>Assemblée g</w:t>
      </w:r>
      <w:r>
        <w:rPr>
          <w:lang w:val="fr-FR" w:eastAsia="en-GB"/>
        </w:rPr>
        <w:t>é</w:t>
      </w:r>
      <w:r w:rsidRPr="00A3481E">
        <w:rPr>
          <w:lang w:val="fr-FR" w:eastAsia="en-GB"/>
        </w:rPr>
        <w:t>n</w:t>
      </w:r>
      <w:r>
        <w:rPr>
          <w:lang w:val="fr-FR" w:eastAsia="en-GB"/>
        </w:rPr>
        <w:t>ér</w:t>
      </w:r>
      <w:r w:rsidRPr="00A3481E">
        <w:rPr>
          <w:lang w:val="fr-FR" w:eastAsia="en-GB"/>
        </w:rPr>
        <w:t>al</w:t>
      </w:r>
      <w:r>
        <w:rPr>
          <w:lang w:val="fr-FR" w:eastAsia="en-GB"/>
        </w:rPr>
        <w:t>e</w:t>
      </w:r>
      <w:r w:rsidRPr="00A3481E">
        <w:rPr>
          <w:lang w:val="fr-FR" w:eastAsia="en-GB"/>
        </w:rPr>
        <w:t>, qui lui aura été transmis par une note du secr</w:t>
      </w:r>
      <w:r>
        <w:rPr>
          <w:lang w:val="fr-FR" w:eastAsia="en-GB"/>
        </w:rPr>
        <w:t>é</w:t>
      </w:r>
      <w:r w:rsidRPr="00A3481E">
        <w:rPr>
          <w:lang w:val="fr-FR" w:eastAsia="en-GB"/>
        </w:rPr>
        <w:t>tariat (A/HRC/30/68).</w:t>
      </w:r>
    </w:p>
    <w:p w:rsidR="00F54B6E" w:rsidRPr="00F54B6E" w:rsidRDefault="00F54B6E" w:rsidP="00F54B6E">
      <w:pPr>
        <w:pStyle w:val="SingleTxt"/>
        <w:spacing w:after="0" w:line="120" w:lineRule="exact"/>
        <w:rPr>
          <w:sz w:val="10"/>
          <w:lang w:val="fr-FR"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A3481E">
        <w:rPr>
          <w:lang w:eastAsia="en-GB"/>
        </w:rPr>
        <w:t>Moyens de garantir l</w:t>
      </w:r>
      <w:r w:rsidR="00676011">
        <w:rPr>
          <w:lang w:eastAsia="en-GB"/>
        </w:rPr>
        <w:t>’</w:t>
      </w:r>
      <w:r w:rsidR="00676011" w:rsidRPr="00A3481E">
        <w:rPr>
          <w:lang w:eastAsia="en-GB"/>
        </w:rPr>
        <w:t>exercice du droit à l</w:t>
      </w:r>
      <w:r w:rsidR="00676011">
        <w:rPr>
          <w:lang w:eastAsia="en-GB"/>
        </w:rPr>
        <w:t>’</w:t>
      </w:r>
      <w:r w:rsidR="00676011" w:rsidRPr="00A3481E">
        <w:rPr>
          <w:lang w:eastAsia="en-GB"/>
        </w:rPr>
        <w:t xml:space="preserve">éducation par toutes les filles </w:t>
      </w:r>
      <w:r w:rsidR="00F54B6E">
        <w:rPr>
          <w:i w:val="0"/>
          <w:lang w:eastAsia="en-GB"/>
        </w:rPr>
        <w:br/>
      </w:r>
      <w:r w:rsidR="00676011">
        <w:rPr>
          <w:lang w:eastAsia="en-GB"/>
        </w:rPr>
        <w:t>dans des conditions</w:t>
      </w:r>
      <w:r w:rsidR="00676011" w:rsidRPr="00A3481E">
        <w:rPr>
          <w:lang w:eastAsia="en-GB"/>
        </w:rPr>
        <w:t xml:space="preserve"> d</w:t>
      </w:r>
      <w:r w:rsidR="00676011">
        <w:rPr>
          <w:lang w:eastAsia="en-GB"/>
        </w:rPr>
        <w:t>’</w:t>
      </w:r>
      <w:r w:rsidR="00676011" w:rsidRPr="00A3481E">
        <w:rPr>
          <w:lang w:eastAsia="en-GB"/>
        </w:rPr>
        <w:t>égalité</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Dans sa résolution 27/6, le Conseil des droits de l’homme a prié</w:t>
      </w:r>
      <w:r w:rsidRPr="00A3481E">
        <w:rPr>
          <w:lang w:eastAsia="en-GB"/>
        </w:rPr>
        <w:t xml:space="preserve"> le Haut-Commissaire d</w:t>
      </w:r>
      <w:r>
        <w:rPr>
          <w:lang w:eastAsia="en-GB"/>
        </w:rPr>
        <w:t>’</w:t>
      </w:r>
      <w:r w:rsidRPr="00A3481E">
        <w:rPr>
          <w:lang w:eastAsia="en-GB"/>
        </w:rPr>
        <w:t xml:space="preserve">établir un rapport </w:t>
      </w:r>
      <w:r>
        <w:rPr>
          <w:lang w:eastAsia="en-GB"/>
        </w:rPr>
        <w:t>de synthèse</w:t>
      </w:r>
      <w:r w:rsidRPr="00A3481E">
        <w:rPr>
          <w:lang w:eastAsia="en-GB"/>
        </w:rPr>
        <w:t xml:space="preserve"> sur la réunion-débat </w:t>
      </w:r>
      <w:r>
        <w:rPr>
          <w:lang w:eastAsia="en-GB"/>
        </w:rPr>
        <w:t>consacrée aux moyens de garantir l’exercice du droit à l’éducation par toutes les filles dans des conditions d’égalité tenue à sa vingt-neuvième session et</w:t>
      </w:r>
      <w:r w:rsidRPr="00A3481E">
        <w:rPr>
          <w:lang w:eastAsia="en-GB"/>
        </w:rPr>
        <w:t xml:space="preserve"> de l</w:t>
      </w:r>
      <w:r>
        <w:rPr>
          <w:lang w:eastAsia="en-GB"/>
        </w:rPr>
        <w:t>ui</w:t>
      </w:r>
      <w:r w:rsidRPr="00A3481E">
        <w:rPr>
          <w:lang w:eastAsia="en-GB"/>
        </w:rPr>
        <w:t xml:space="preserve"> présenter à sa trentième session.</w:t>
      </w:r>
      <w:r>
        <w:rPr>
          <w:lang w:eastAsia="en-GB"/>
        </w:rPr>
        <w:t xml:space="preserve"> Le Conseil examinera le rapport de synthèse du Haut-Commissaire (A/HRC/30/23).</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2077C5">
        <w:rPr>
          <w:lang w:eastAsia="en-GB"/>
        </w:rPr>
        <w:t>Programme mondial d</w:t>
      </w:r>
      <w:r w:rsidR="00676011">
        <w:rPr>
          <w:lang w:eastAsia="en-GB"/>
        </w:rPr>
        <w:t>’</w:t>
      </w:r>
      <w:r w:rsidR="00676011" w:rsidRPr="002077C5">
        <w:rPr>
          <w:lang w:eastAsia="en-GB"/>
        </w:rPr>
        <w:t>éducation dans le domaine des droits de l</w:t>
      </w:r>
      <w:r w:rsidR="00676011">
        <w:rPr>
          <w:lang w:eastAsia="en-GB"/>
        </w:rPr>
        <w:t>’</w:t>
      </w:r>
      <w:r w:rsidR="00676011" w:rsidRPr="002077C5">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27/12, le Conseil des droits de l’homme </w:t>
      </w:r>
      <w:r>
        <w:rPr>
          <w:lang w:eastAsia="en-GB"/>
        </w:rPr>
        <w:t>a prié</w:t>
      </w:r>
      <w:r w:rsidRPr="002077C5">
        <w:rPr>
          <w:lang w:eastAsia="en-GB"/>
        </w:rPr>
        <w:t xml:space="preserve"> le Haut-Commissariat de </w:t>
      </w:r>
      <w:r>
        <w:rPr>
          <w:lang w:eastAsia="en-GB"/>
        </w:rPr>
        <w:t xml:space="preserve">lui </w:t>
      </w:r>
      <w:r w:rsidRPr="002077C5">
        <w:rPr>
          <w:lang w:eastAsia="en-GB"/>
        </w:rPr>
        <w:t>présenter</w:t>
      </w:r>
      <w:r>
        <w:rPr>
          <w:lang w:eastAsia="en-GB"/>
        </w:rPr>
        <w:t>, à sa trentième session,</w:t>
      </w:r>
      <w:r w:rsidRPr="002077C5">
        <w:rPr>
          <w:lang w:eastAsia="en-GB"/>
        </w:rPr>
        <w:t xml:space="preserve"> un rapport d</w:t>
      </w:r>
      <w:r>
        <w:rPr>
          <w:lang w:eastAsia="en-GB"/>
        </w:rPr>
        <w:t>’</w:t>
      </w:r>
      <w:r w:rsidRPr="002077C5">
        <w:rPr>
          <w:lang w:eastAsia="en-GB"/>
        </w:rPr>
        <w:t>évaluation sur la mise en œuvre de la deuxième phase du Programme mondial</w:t>
      </w:r>
      <w:r>
        <w:rPr>
          <w:lang w:eastAsia="en-GB"/>
        </w:rPr>
        <w:t xml:space="preserve"> d’éducation dans le domaine des droits de l’homme</w:t>
      </w:r>
      <w:r w:rsidRPr="002077C5">
        <w:rPr>
          <w:lang w:eastAsia="en-GB"/>
        </w:rPr>
        <w:t>, en se fondant sur les rapports d</w:t>
      </w:r>
      <w:r>
        <w:rPr>
          <w:lang w:eastAsia="en-GB"/>
        </w:rPr>
        <w:t>’</w:t>
      </w:r>
      <w:r w:rsidRPr="002077C5">
        <w:rPr>
          <w:lang w:eastAsia="en-GB"/>
        </w:rPr>
        <w:t>évaluation nationaux</w:t>
      </w:r>
      <w:r>
        <w:rPr>
          <w:lang w:eastAsia="en-GB"/>
        </w:rPr>
        <w:t>. Le Conseil examinera le rapport d’évaluation du Haut-Commissariat (A/HRC/30/24).</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2077C5">
        <w:rPr>
          <w:lang w:eastAsia="en-GB"/>
        </w:rPr>
        <w:t>Effets du terrorisme sur la jouissance des droits de l</w:t>
      </w:r>
      <w:r w:rsidR="00676011">
        <w:rPr>
          <w:lang w:eastAsia="en-GB"/>
        </w:rPr>
        <w:t>’</w:t>
      </w:r>
      <w:r w:rsidR="00676011" w:rsidRPr="002077C5">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28/17, le Conseil des droits de l’homme </w:t>
      </w:r>
      <w:r>
        <w:rPr>
          <w:lang w:eastAsia="en-GB"/>
        </w:rPr>
        <w:t>a prié</w:t>
      </w:r>
      <w:r w:rsidRPr="002077C5">
        <w:rPr>
          <w:lang w:eastAsia="en-GB"/>
        </w:rPr>
        <w:t xml:space="preserve"> le Haut-Commissaire d</w:t>
      </w:r>
      <w:r>
        <w:rPr>
          <w:lang w:eastAsia="en-GB"/>
        </w:rPr>
        <w:t>’</w:t>
      </w:r>
      <w:r w:rsidRPr="002077C5">
        <w:rPr>
          <w:lang w:eastAsia="en-GB"/>
        </w:rPr>
        <w:t>établir un rapport</w:t>
      </w:r>
      <w:r>
        <w:rPr>
          <w:lang w:eastAsia="en-GB"/>
        </w:rPr>
        <w:t xml:space="preserve"> de synthèse sur</w:t>
      </w:r>
      <w:r w:rsidRPr="002077C5">
        <w:rPr>
          <w:lang w:eastAsia="en-GB"/>
        </w:rPr>
        <w:t xml:space="preserve"> la table ronde </w:t>
      </w:r>
      <w:r>
        <w:rPr>
          <w:lang w:eastAsia="en-GB"/>
        </w:rPr>
        <w:t>consacrée aux e</w:t>
      </w:r>
      <w:r w:rsidRPr="002077C5">
        <w:rPr>
          <w:lang w:eastAsia="en-GB"/>
        </w:rPr>
        <w:t>ffets du terrorisme sur la jouissance par toutes les personnes des droits de l</w:t>
      </w:r>
      <w:r>
        <w:rPr>
          <w:lang w:eastAsia="en-GB"/>
        </w:rPr>
        <w:t>’</w:t>
      </w:r>
      <w:r w:rsidRPr="002077C5">
        <w:rPr>
          <w:lang w:eastAsia="en-GB"/>
        </w:rPr>
        <w:t>homme et des libertés fondamentales</w:t>
      </w:r>
      <w:r>
        <w:rPr>
          <w:lang w:eastAsia="en-GB"/>
        </w:rPr>
        <w:t xml:space="preserve"> tenue à sa vingt-neuvième session, </w:t>
      </w:r>
      <w:r w:rsidRPr="002077C5">
        <w:rPr>
          <w:lang w:eastAsia="en-GB"/>
        </w:rPr>
        <w:t xml:space="preserve">et de </w:t>
      </w:r>
      <w:r>
        <w:rPr>
          <w:lang w:eastAsia="en-GB"/>
        </w:rPr>
        <w:t>lui</w:t>
      </w:r>
      <w:r w:rsidRPr="002077C5">
        <w:rPr>
          <w:lang w:eastAsia="en-GB"/>
        </w:rPr>
        <w:t xml:space="preserve"> soumettre à sa trentième session.</w:t>
      </w:r>
      <w:r>
        <w:rPr>
          <w:lang w:eastAsia="en-GB"/>
        </w:rPr>
        <w:t xml:space="preserve"> Le Conseil sera saisi du rapport de synthèse du Haut-Commissaire (A/HRC/30/64).</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895605">
        <w:rPr>
          <w:lang w:eastAsia="en-GB"/>
        </w:rPr>
        <w:t>Participation aux affaires publiques et politiques dans des conditions d</w:t>
      </w:r>
      <w:r w:rsidR="00676011">
        <w:rPr>
          <w:lang w:eastAsia="en-GB"/>
        </w:rPr>
        <w:t>’</w:t>
      </w:r>
      <w:r w:rsidR="00676011" w:rsidRPr="00895605">
        <w:rPr>
          <w:lang w:eastAsia="en-GB"/>
        </w:rPr>
        <w:t>égalité</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27/24, le Conseil des droits de l’homme a demandé au Haut-Commissariat </w:t>
      </w:r>
      <w:r w:rsidRPr="00895605">
        <w:rPr>
          <w:lang w:eastAsia="en-GB"/>
        </w:rPr>
        <w:t>d</w:t>
      </w:r>
      <w:r>
        <w:rPr>
          <w:lang w:eastAsia="en-GB"/>
        </w:rPr>
        <w:t>’</w:t>
      </w:r>
      <w:r w:rsidRPr="00895605">
        <w:rPr>
          <w:lang w:eastAsia="en-GB"/>
        </w:rPr>
        <w:t>élaborer une étude sur les bonnes pratiques, les données d</w:t>
      </w:r>
      <w:r>
        <w:rPr>
          <w:lang w:eastAsia="en-GB"/>
        </w:rPr>
        <w:t>’</w:t>
      </w:r>
      <w:r w:rsidRPr="00895605">
        <w:rPr>
          <w:lang w:eastAsia="en-GB"/>
        </w:rPr>
        <w:t>expérience et les difficultés rencontrées en matière de promotion, de protection et de mise en œuvre du droit de participer aux affaires publiques, ainsi que sur les moyens de surmonter ces difficultés, dans le contexte du droit actuel des droits de l</w:t>
      </w:r>
      <w:r>
        <w:rPr>
          <w:lang w:eastAsia="en-GB"/>
        </w:rPr>
        <w:t>’</w:t>
      </w:r>
      <w:r w:rsidRPr="00895605">
        <w:rPr>
          <w:lang w:eastAsia="en-GB"/>
        </w:rPr>
        <w:t xml:space="preserve">homme, en vue de définir les composantes possibles de principes directeurs, et de </w:t>
      </w:r>
      <w:r>
        <w:rPr>
          <w:lang w:eastAsia="en-GB"/>
        </w:rPr>
        <w:t xml:space="preserve">lui </w:t>
      </w:r>
      <w:r w:rsidRPr="00895605">
        <w:rPr>
          <w:lang w:eastAsia="en-GB"/>
        </w:rPr>
        <w:t>présenter à sa trentième session.</w:t>
      </w:r>
      <w:r>
        <w:rPr>
          <w:lang w:eastAsia="en-GB"/>
        </w:rPr>
        <w:t xml:space="preserve"> Le Conseil examinera l’étude du Haut-Commissariat (A/HRC/30/26).</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E16800">
        <w:rPr>
          <w:lang w:eastAsia="en-GB"/>
        </w:rPr>
        <w:t xml:space="preserve">Renforcement de la coopération internationale dans le domaine </w:t>
      </w:r>
      <w:r>
        <w:rPr>
          <w:lang w:eastAsia="en-GB"/>
        </w:rPr>
        <w:br/>
      </w:r>
      <w:r w:rsidR="00676011" w:rsidRPr="00E16800">
        <w:rPr>
          <w:lang w:eastAsia="en-GB"/>
        </w:rPr>
        <w:t>des droits de l</w:t>
      </w:r>
      <w:r w:rsidR="00676011">
        <w:rPr>
          <w:lang w:eastAsia="en-GB"/>
        </w:rPr>
        <w:t>’</w:t>
      </w:r>
      <w:r w:rsidR="00676011" w:rsidRPr="00E16800">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28/2, le Conseil des droits de l’homme a prié le Haut-Commissaire d’établir, </w:t>
      </w:r>
      <w:r w:rsidRPr="00E6196C">
        <w:rPr>
          <w:lang w:eastAsia="en-GB"/>
        </w:rPr>
        <w:t>en prenant en considération les discussions qui ont eu lieu pendant la réunion-débat</w:t>
      </w:r>
      <w:r>
        <w:rPr>
          <w:lang w:eastAsia="en-GB"/>
        </w:rPr>
        <w:t xml:space="preserve"> de </w:t>
      </w:r>
      <w:r w:rsidRPr="00E6196C">
        <w:rPr>
          <w:lang w:eastAsia="en-GB"/>
        </w:rPr>
        <w:t>haut niveau consacrée à l</w:t>
      </w:r>
      <w:r>
        <w:rPr>
          <w:lang w:eastAsia="en-GB"/>
        </w:rPr>
        <w:t>’</w:t>
      </w:r>
      <w:r w:rsidRPr="00E6196C">
        <w:rPr>
          <w:lang w:eastAsia="en-GB"/>
        </w:rPr>
        <w:t>intégration des droits de l</w:t>
      </w:r>
      <w:r>
        <w:rPr>
          <w:lang w:eastAsia="en-GB"/>
        </w:rPr>
        <w:t>’</w:t>
      </w:r>
      <w:r w:rsidRPr="00E6196C">
        <w:rPr>
          <w:lang w:eastAsia="en-GB"/>
        </w:rPr>
        <w:t xml:space="preserve">homme </w:t>
      </w:r>
      <w:r>
        <w:rPr>
          <w:lang w:eastAsia="en-GB"/>
        </w:rPr>
        <w:t xml:space="preserve">organisée à sa vingt-huitième session sur le thème </w:t>
      </w:r>
      <w:r w:rsidR="001D7058">
        <w:rPr>
          <w:lang w:eastAsia="en-GB"/>
        </w:rPr>
        <w:t>« </w:t>
      </w:r>
      <w:r>
        <w:rPr>
          <w:lang w:eastAsia="en-GB"/>
        </w:rPr>
        <w:t>R</w:t>
      </w:r>
      <w:r w:rsidRPr="00E6196C">
        <w:rPr>
          <w:lang w:eastAsia="en-GB"/>
        </w:rPr>
        <w:t>enforcement de la coopération internationale dans le domaine des droits de l</w:t>
      </w:r>
      <w:r>
        <w:rPr>
          <w:lang w:eastAsia="en-GB"/>
        </w:rPr>
        <w:t>’</w:t>
      </w:r>
      <w:r w:rsidRPr="00E6196C">
        <w:rPr>
          <w:lang w:eastAsia="en-GB"/>
        </w:rPr>
        <w:t>homme</w:t>
      </w:r>
      <w:r w:rsidR="001D7058">
        <w:rPr>
          <w:lang w:eastAsia="en-GB"/>
        </w:rPr>
        <w:t> »</w:t>
      </w:r>
      <w:r>
        <w:rPr>
          <w:lang w:eastAsia="en-GB"/>
        </w:rPr>
        <w:t xml:space="preserve">, un rapport </w:t>
      </w:r>
      <w:r w:rsidRPr="00E6196C">
        <w:rPr>
          <w:lang w:eastAsia="en-GB"/>
        </w:rPr>
        <w:t xml:space="preserve">sur les moyens à mettre en œuvre pour renforcer la coopération internationale au sein des </w:t>
      </w:r>
      <w:r>
        <w:rPr>
          <w:lang w:eastAsia="en-GB"/>
        </w:rPr>
        <w:t>mécanismes</w:t>
      </w:r>
      <w:r w:rsidRPr="00E6196C">
        <w:rPr>
          <w:lang w:eastAsia="en-GB"/>
        </w:rPr>
        <w:t xml:space="preserve"> de l</w:t>
      </w:r>
      <w:r>
        <w:rPr>
          <w:lang w:eastAsia="en-GB"/>
        </w:rPr>
        <w:t>’</w:t>
      </w:r>
      <w:r w:rsidRPr="00E6196C">
        <w:rPr>
          <w:lang w:eastAsia="en-GB"/>
        </w:rPr>
        <w:t>Organisation des Nations Unies chargés des droits d</w:t>
      </w:r>
      <w:r>
        <w:rPr>
          <w:lang w:eastAsia="en-GB"/>
        </w:rPr>
        <w:t>e l’homme, notamment le Conseil</w:t>
      </w:r>
      <w:r w:rsidRPr="00E6196C">
        <w:rPr>
          <w:lang w:eastAsia="en-GB"/>
        </w:rPr>
        <w:t>, y compris les mesures qui pourraient être prises pour surmonter les obstacles et les difficultés rencontrés, et de le soumettre au Con</w:t>
      </w:r>
      <w:r>
        <w:rPr>
          <w:lang w:eastAsia="en-GB"/>
        </w:rPr>
        <w:t>seil avant sa trentième session. Le Conseil sera saisi d’une note du secrétariat concernant le rapport du Haut-Commissaire (A/HRC/30/63).</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E6196C">
        <w:rPr>
          <w:lang w:eastAsia="en-GB"/>
        </w:rPr>
        <w:t>Coopération avec l</w:t>
      </w:r>
      <w:r w:rsidR="00676011">
        <w:rPr>
          <w:lang w:eastAsia="en-GB"/>
        </w:rPr>
        <w:t>’</w:t>
      </w:r>
      <w:r w:rsidR="00676011" w:rsidRPr="00E6196C">
        <w:rPr>
          <w:lang w:eastAsia="en-GB"/>
        </w:rPr>
        <w:t xml:space="preserve">Organisation des Nations Unies, ses représentants </w:t>
      </w:r>
      <w:r>
        <w:rPr>
          <w:lang w:eastAsia="en-GB"/>
        </w:rPr>
        <w:br/>
      </w:r>
      <w:r w:rsidR="00676011" w:rsidRPr="00E6196C">
        <w:rPr>
          <w:lang w:eastAsia="en-GB"/>
        </w:rPr>
        <w:t>et ses mécanismes dans le domaine des droits de l</w:t>
      </w:r>
      <w:r w:rsidR="00676011">
        <w:rPr>
          <w:lang w:eastAsia="en-GB"/>
        </w:rPr>
        <w:t>’</w:t>
      </w:r>
      <w:r w:rsidR="00676011" w:rsidRPr="00E6196C">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12/2, le Conseil des droits de l’homme </w:t>
      </w:r>
      <w:r>
        <w:rPr>
          <w:lang w:eastAsia="en-GB"/>
        </w:rPr>
        <w:t>a invité</w:t>
      </w:r>
      <w:r w:rsidRPr="00E6196C">
        <w:rPr>
          <w:lang w:eastAsia="en-GB"/>
        </w:rPr>
        <w:t xml:space="preserve"> le Secrétaire général à lui soumettre à sa quatorzième session, puis tous les ans conformément à son programme de travail, un rapport contenant une compilation et une analyse de tous renseignements disponibles, émanant de toutes sources appropriées, sur les représailles dont auraient été victimes les personnes </w:t>
      </w:r>
      <w:r>
        <w:rPr>
          <w:lang w:eastAsia="en-GB"/>
        </w:rPr>
        <w:t>qui cherchent</w:t>
      </w:r>
      <w:r w:rsidRPr="00E6196C">
        <w:rPr>
          <w:lang w:eastAsia="en-GB"/>
        </w:rPr>
        <w:t xml:space="preserve"> à coopérer ou ont coopéré avec l</w:t>
      </w:r>
      <w:r>
        <w:rPr>
          <w:lang w:eastAsia="en-GB"/>
        </w:rPr>
        <w:t>’</w:t>
      </w:r>
      <w:r w:rsidRPr="00E6196C">
        <w:rPr>
          <w:lang w:eastAsia="en-GB"/>
        </w:rPr>
        <w:t>Organisation des Nations</w:t>
      </w:r>
      <w:r w:rsidR="00075B2E">
        <w:rPr>
          <w:lang w:eastAsia="en-GB"/>
        </w:rPr>
        <w:t xml:space="preserve"> </w:t>
      </w:r>
      <w:r w:rsidRPr="00E6196C">
        <w:rPr>
          <w:lang w:eastAsia="en-GB"/>
        </w:rPr>
        <w:t>Unies, ses représentants et ses mécanismes dans le domaine des droits de l</w:t>
      </w:r>
      <w:r>
        <w:rPr>
          <w:lang w:eastAsia="en-GB"/>
        </w:rPr>
        <w:t>’</w:t>
      </w:r>
      <w:r w:rsidRPr="00E6196C">
        <w:rPr>
          <w:lang w:eastAsia="en-GB"/>
        </w:rPr>
        <w:t>homme, ainsi que des recommandations sur la manière de traiter la question des actes d</w:t>
      </w:r>
      <w:r>
        <w:rPr>
          <w:lang w:eastAsia="en-GB"/>
        </w:rPr>
        <w:t>’</w:t>
      </w:r>
      <w:r w:rsidRPr="00E6196C">
        <w:rPr>
          <w:lang w:eastAsia="en-GB"/>
        </w:rPr>
        <w:t>intimidation et de représailles.</w:t>
      </w:r>
      <w:r>
        <w:rPr>
          <w:lang w:eastAsia="en-GB"/>
        </w:rPr>
        <w:t xml:space="preserve"> Le Conseil examinera le rapport du Secrétaire général (A/HRC/30/29).</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0C0338">
        <w:rPr>
          <w:lang w:eastAsia="en-GB"/>
        </w:rPr>
        <w:t>Contribution du Conseil des droits de l</w:t>
      </w:r>
      <w:r w:rsidR="00676011">
        <w:rPr>
          <w:lang w:eastAsia="en-GB"/>
        </w:rPr>
        <w:t>’</w:t>
      </w:r>
      <w:r w:rsidR="00676011" w:rsidRPr="000C0338">
        <w:rPr>
          <w:lang w:eastAsia="en-GB"/>
        </w:rPr>
        <w:t xml:space="preserve">homme à la session extraordinaire </w:t>
      </w:r>
      <w:r>
        <w:rPr>
          <w:lang w:eastAsia="en-GB"/>
        </w:rPr>
        <w:br/>
      </w:r>
      <w:r w:rsidR="00676011" w:rsidRPr="000C0338">
        <w:rPr>
          <w:lang w:eastAsia="en-GB"/>
        </w:rPr>
        <w:t>de l</w:t>
      </w:r>
      <w:r w:rsidR="00676011">
        <w:rPr>
          <w:lang w:eastAsia="en-GB"/>
        </w:rPr>
        <w:t>’</w:t>
      </w:r>
      <w:r w:rsidR="00676011" w:rsidRPr="000C0338">
        <w:rPr>
          <w:lang w:eastAsia="en-GB"/>
        </w:rPr>
        <w:t xml:space="preserve">Assemblée générale consacrée au problème mondial </w:t>
      </w:r>
      <w:r>
        <w:rPr>
          <w:lang w:eastAsia="en-GB"/>
        </w:rPr>
        <w:br/>
      </w:r>
      <w:r w:rsidR="00676011" w:rsidRPr="000C0338">
        <w:rPr>
          <w:lang w:eastAsia="en-GB"/>
        </w:rPr>
        <w:t>de la drogue prévue pour 2016</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28/28, le Conseil des droits de l’homme a </w:t>
      </w:r>
      <w:r>
        <w:rPr>
          <w:lang w:eastAsia="en-GB"/>
        </w:rPr>
        <w:t>prié</w:t>
      </w:r>
      <w:r w:rsidRPr="000C0338">
        <w:rPr>
          <w:lang w:eastAsia="en-GB"/>
        </w:rPr>
        <w:t xml:space="preserve"> le Haut-Commissaire d</w:t>
      </w:r>
      <w:r>
        <w:rPr>
          <w:lang w:eastAsia="en-GB"/>
        </w:rPr>
        <w:t>’</w:t>
      </w:r>
      <w:r w:rsidRPr="000C0338">
        <w:rPr>
          <w:lang w:eastAsia="en-GB"/>
        </w:rPr>
        <w:t xml:space="preserve">établir, en vue de </w:t>
      </w:r>
      <w:r>
        <w:rPr>
          <w:lang w:eastAsia="en-GB"/>
        </w:rPr>
        <w:t>les</w:t>
      </w:r>
      <w:r w:rsidRPr="000C0338">
        <w:rPr>
          <w:lang w:eastAsia="en-GB"/>
        </w:rPr>
        <w:t xml:space="preserve"> </w:t>
      </w:r>
      <w:r>
        <w:rPr>
          <w:lang w:eastAsia="en-GB"/>
        </w:rPr>
        <w:t xml:space="preserve">lui </w:t>
      </w:r>
      <w:r w:rsidRPr="000C0338">
        <w:rPr>
          <w:lang w:eastAsia="en-GB"/>
        </w:rPr>
        <w:t xml:space="preserve">présenter à sa trentième session, une étude sur </w:t>
      </w:r>
      <w:r>
        <w:rPr>
          <w:lang w:eastAsia="en-GB"/>
        </w:rPr>
        <w:t>les effets</w:t>
      </w:r>
      <w:r w:rsidRPr="000C0338">
        <w:rPr>
          <w:lang w:eastAsia="en-GB"/>
        </w:rPr>
        <w:t xml:space="preserve"> du problème mondial de la drogue </w:t>
      </w:r>
      <w:r>
        <w:rPr>
          <w:lang w:eastAsia="en-GB"/>
        </w:rPr>
        <w:t>sur</w:t>
      </w:r>
      <w:r w:rsidRPr="000C0338">
        <w:rPr>
          <w:lang w:eastAsia="en-GB"/>
        </w:rPr>
        <w:t xml:space="preserve"> la jouissance des droits de l</w:t>
      </w:r>
      <w:r>
        <w:rPr>
          <w:lang w:eastAsia="en-GB"/>
        </w:rPr>
        <w:t>’</w:t>
      </w:r>
      <w:r w:rsidRPr="000C0338">
        <w:rPr>
          <w:lang w:eastAsia="en-GB"/>
        </w:rPr>
        <w:t>homme, et des recommandations sur le respect des droits de l</w:t>
      </w:r>
      <w:r>
        <w:rPr>
          <w:lang w:eastAsia="en-GB"/>
        </w:rPr>
        <w:t>’</w:t>
      </w:r>
      <w:r w:rsidRPr="000C0338">
        <w:rPr>
          <w:lang w:eastAsia="en-GB"/>
        </w:rPr>
        <w:t>homme et la défense et la promotion de ces droits dans le contexte du problème mondial de la drogue</w:t>
      </w:r>
      <w:r>
        <w:rPr>
          <w:lang w:eastAsia="en-GB"/>
        </w:rPr>
        <w:t>. Le Conseil sera saisi de l’étude du Haut-Commissaire (A/HRC/30/65) (voir également par.</w:t>
      </w:r>
      <w:r w:rsidR="00075B2E">
        <w:rPr>
          <w:lang w:eastAsia="en-GB"/>
        </w:rPr>
        <w:t> </w:t>
      </w:r>
      <w:r>
        <w:rPr>
          <w:lang w:eastAsia="en-GB"/>
        </w:rPr>
        <w:t>96 ci-dessous).</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0C0338">
        <w:rPr>
          <w:lang w:eastAsia="en-GB"/>
        </w:rPr>
        <w:t>Politiques nationales et droits de l</w:t>
      </w:r>
      <w:r w:rsidR="00676011">
        <w:rPr>
          <w:lang w:eastAsia="en-GB"/>
        </w:rPr>
        <w:t>’</w:t>
      </w:r>
      <w:r w:rsidR="00676011" w:rsidRPr="000C0338">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sidRPr="000C0338">
        <w:rPr>
          <w:lang w:val="fr-FR" w:eastAsia="en-GB"/>
        </w:rPr>
        <w:t>Dans sa résolution 27/26, le Conseil des droits de l</w:t>
      </w:r>
      <w:r>
        <w:rPr>
          <w:lang w:val="fr-FR" w:eastAsia="en-GB"/>
        </w:rPr>
        <w:t>’</w:t>
      </w:r>
      <w:r w:rsidRPr="000C0338">
        <w:rPr>
          <w:lang w:val="fr-FR" w:eastAsia="en-GB"/>
        </w:rPr>
        <w:t>homme a prié</w:t>
      </w:r>
      <w:r w:rsidRPr="000C0338">
        <w:rPr>
          <w:lang w:eastAsia="en-GB"/>
        </w:rPr>
        <w:t xml:space="preserve"> le Haut-Commissaire d</w:t>
      </w:r>
      <w:r>
        <w:rPr>
          <w:lang w:eastAsia="en-GB"/>
        </w:rPr>
        <w:t>’</w:t>
      </w:r>
      <w:r w:rsidRPr="000C0338">
        <w:rPr>
          <w:lang w:eastAsia="en-GB"/>
        </w:rPr>
        <w:t xml:space="preserve">établir un rapport </w:t>
      </w:r>
      <w:r>
        <w:rPr>
          <w:lang w:eastAsia="en-GB"/>
        </w:rPr>
        <w:t>résumant</w:t>
      </w:r>
      <w:r w:rsidRPr="000C0338">
        <w:rPr>
          <w:lang w:eastAsia="en-GB"/>
        </w:rPr>
        <w:t xml:space="preserve"> la réunion-débat tenue à sa vingt-huitième session sur la question des politiques nationales et des droits de l</w:t>
      </w:r>
      <w:r>
        <w:rPr>
          <w:lang w:eastAsia="en-GB"/>
        </w:rPr>
        <w:t>’</w:t>
      </w:r>
      <w:r w:rsidRPr="000C0338">
        <w:rPr>
          <w:lang w:eastAsia="en-GB"/>
        </w:rPr>
        <w:t xml:space="preserve">homme, axée en particulier sur les conclusions du rapport du Haut-Commissariat </w:t>
      </w:r>
      <w:r>
        <w:rPr>
          <w:lang w:eastAsia="en-GB"/>
        </w:rPr>
        <w:t>sur les possibilités de fournir des services d’</w:t>
      </w:r>
      <w:r w:rsidRPr="000C0338">
        <w:rPr>
          <w:lang w:val="en-US" w:eastAsia="en-GB"/>
        </w:rPr>
        <w:t xml:space="preserve">assistance technique et </w:t>
      </w:r>
      <w:r w:rsidRPr="000C0338">
        <w:rPr>
          <w:lang w:val="fr-FR" w:eastAsia="en-GB"/>
        </w:rPr>
        <w:t>de renforcement des capacités en vue de l</w:t>
      </w:r>
      <w:r>
        <w:rPr>
          <w:lang w:val="fr-FR" w:eastAsia="en-GB"/>
        </w:rPr>
        <w:t>’</w:t>
      </w:r>
      <w:r w:rsidRPr="000C0338">
        <w:rPr>
          <w:lang w:val="fr-FR" w:eastAsia="en-GB"/>
        </w:rPr>
        <w:t>intégration des droits de l</w:t>
      </w:r>
      <w:r>
        <w:rPr>
          <w:lang w:val="fr-FR" w:eastAsia="en-GB"/>
        </w:rPr>
        <w:t>’</w:t>
      </w:r>
      <w:r w:rsidRPr="000C0338">
        <w:rPr>
          <w:lang w:val="fr-FR" w:eastAsia="en-GB"/>
        </w:rPr>
        <w:t>homme dans les politiques nationales</w:t>
      </w:r>
      <w:r>
        <w:rPr>
          <w:lang w:val="fr-FR" w:eastAsia="en-GB"/>
        </w:rPr>
        <w:t xml:space="preserve"> (A/HRC/27/41)</w:t>
      </w:r>
      <w:r w:rsidRPr="000C0338">
        <w:rPr>
          <w:lang w:eastAsia="en-GB"/>
        </w:rPr>
        <w:t>, afin d</w:t>
      </w:r>
      <w:r>
        <w:rPr>
          <w:lang w:eastAsia="en-GB"/>
        </w:rPr>
        <w:t>’</w:t>
      </w:r>
      <w:r w:rsidRPr="000C0338">
        <w:rPr>
          <w:lang w:eastAsia="en-GB"/>
        </w:rPr>
        <w:t>identifier les enjeux, les faits nouveaux et les bonnes pratiques en matière d</w:t>
      </w:r>
      <w:r>
        <w:rPr>
          <w:lang w:eastAsia="en-GB"/>
        </w:rPr>
        <w:t>’</w:t>
      </w:r>
      <w:r w:rsidRPr="000C0338">
        <w:rPr>
          <w:lang w:eastAsia="en-GB"/>
        </w:rPr>
        <w:t>intégration de ces droits dans les politiques et les programmes nationaux</w:t>
      </w:r>
      <w:r>
        <w:rPr>
          <w:lang w:eastAsia="en-GB"/>
        </w:rPr>
        <w:t>, et de le lui</w:t>
      </w:r>
      <w:r w:rsidRPr="000C0338">
        <w:rPr>
          <w:lang w:eastAsia="en-GB"/>
        </w:rPr>
        <w:t xml:space="preserve"> présenter </w:t>
      </w:r>
      <w:r>
        <w:rPr>
          <w:lang w:eastAsia="en-GB"/>
        </w:rPr>
        <w:t>avant sa trentième session. Le Conseil sera saisi du rapport de synthèse du Haut-Commissaire (A/HRC/30/28).</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102B92">
        <w:rPr>
          <w:lang w:eastAsia="en-GB"/>
        </w:rPr>
        <w:t xml:space="preserve">Assistance technique et renforcement des capacités en matière de droits </w:t>
      </w:r>
      <w:r>
        <w:rPr>
          <w:lang w:eastAsia="en-GB"/>
        </w:rPr>
        <w:br/>
      </w:r>
      <w:r w:rsidR="00676011" w:rsidRPr="00102B92">
        <w:rPr>
          <w:lang w:eastAsia="en-GB"/>
        </w:rPr>
        <w:t>de l</w:t>
      </w:r>
      <w:r w:rsidR="00676011">
        <w:rPr>
          <w:lang w:eastAsia="en-GB"/>
        </w:rPr>
        <w:t>’</w:t>
      </w:r>
      <w:r w:rsidR="00676011" w:rsidRPr="00102B92">
        <w:rPr>
          <w:lang w:eastAsia="en-GB"/>
        </w:rPr>
        <w:t>homme en République démocratique du Congo</w:t>
      </w:r>
    </w:p>
    <w:p w:rsidR="00075B2E" w:rsidRPr="00075B2E" w:rsidRDefault="00075B2E" w:rsidP="00075B2E">
      <w:pPr>
        <w:pStyle w:val="SingleTxt"/>
        <w:spacing w:after="0" w:line="120" w:lineRule="exact"/>
        <w:rPr>
          <w:sz w:val="10"/>
          <w:lang w:eastAsia="en-GB"/>
        </w:rPr>
      </w:pPr>
    </w:p>
    <w:p w:rsidR="00676011" w:rsidRPr="000E674E" w:rsidRDefault="00676011" w:rsidP="00F54B6E">
      <w:pPr>
        <w:pStyle w:val="SingleTxt"/>
        <w:numPr>
          <w:ilvl w:val="0"/>
          <w:numId w:val="29"/>
        </w:numPr>
        <w:rPr>
          <w:lang w:val="fr-FR" w:eastAsia="en-GB"/>
        </w:rPr>
      </w:pPr>
      <w:r>
        <w:rPr>
          <w:lang w:val="fr-FR" w:eastAsia="en-GB"/>
        </w:rPr>
        <w:t>Dans sa résolution 27/27, le Conseil des droits de l’homme a invité le Haut-Commissaire à lui faire rapport, à sa trentième session, sur les efforts réalisés par le</w:t>
      </w:r>
      <w:r>
        <w:rPr>
          <w:lang w:eastAsia="en-GB"/>
        </w:rPr>
        <w:t xml:space="preserve"> Haut-Commissariat pour </w:t>
      </w:r>
      <w:r w:rsidRPr="000E674E">
        <w:rPr>
          <w:lang w:eastAsia="en-GB"/>
        </w:rPr>
        <w:t>accroître et renforcer ses programmes et activités d</w:t>
      </w:r>
      <w:r>
        <w:rPr>
          <w:lang w:eastAsia="en-GB"/>
        </w:rPr>
        <w:t>’</w:t>
      </w:r>
      <w:r w:rsidRPr="000E674E">
        <w:rPr>
          <w:lang w:eastAsia="en-GB"/>
        </w:rPr>
        <w:t xml:space="preserve">assistance technique </w:t>
      </w:r>
      <w:r>
        <w:rPr>
          <w:lang w:eastAsia="en-GB"/>
        </w:rPr>
        <w:t>en vue d’</w:t>
      </w:r>
      <w:r w:rsidRPr="000E674E">
        <w:rPr>
          <w:lang w:eastAsia="en-GB"/>
        </w:rPr>
        <w:t>améliorer la situation des droits de l</w:t>
      </w:r>
      <w:r>
        <w:rPr>
          <w:lang w:eastAsia="en-GB"/>
        </w:rPr>
        <w:t>’</w:t>
      </w:r>
      <w:r w:rsidRPr="000E674E">
        <w:rPr>
          <w:lang w:eastAsia="en-GB"/>
        </w:rPr>
        <w:t xml:space="preserve">homme </w:t>
      </w:r>
      <w:r>
        <w:rPr>
          <w:lang w:eastAsia="en-GB"/>
        </w:rPr>
        <w:t>en République démocratique du Congo. Le Conseil examinera le rapport du Haut-Commissaire (A/HRC/30/32).</w:t>
      </w:r>
    </w:p>
    <w:p w:rsidR="00676011" w:rsidRPr="00075B2E" w:rsidRDefault="00676011" w:rsidP="00F54B6E">
      <w:pPr>
        <w:pStyle w:val="SingleTxt"/>
        <w:numPr>
          <w:ilvl w:val="0"/>
          <w:numId w:val="29"/>
        </w:numPr>
        <w:rPr>
          <w:lang w:val="fr-FR" w:eastAsia="en-GB"/>
        </w:rPr>
      </w:pPr>
      <w:r>
        <w:rPr>
          <w:lang w:eastAsia="en-GB"/>
        </w:rPr>
        <w:t>Également dans sa résolution 27/27, le Conseil a d</w:t>
      </w:r>
      <w:r w:rsidRPr="000E674E">
        <w:rPr>
          <w:lang w:eastAsia="en-GB"/>
        </w:rPr>
        <w:t>emand</w:t>
      </w:r>
      <w:r>
        <w:rPr>
          <w:lang w:eastAsia="en-GB"/>
        </w:rPr>
        <w:t>é</w:t>
      </w:r>
      <w:r w:rsidRPr="000E674E">
        <w:rPr>
          <w:lang w:eastAsia="en-GB"/>
        </w:rPr>
        <w:t xml:space="preserve"> au Haut-Commissa</w:t>
      </w:r>
      <w:r>
        <w:rPr>
          <w:lang w:eastAsia="en-GB"/>
        </w:rPr>
        <w:t>ire</w:t>
      </w:r>
      <w:r w:rsidRPr="000E674E">
        <w:rPr>
          <w:lang w:eastAsia="en-GB"/>
        </w:rPr>
        <w:t xml:space="preserve"> de </w:t>
      </w:r>
      <w:r>
        <w:rPr>
          <w:lang w:eastAsia="en-GB"/>
        </w:rPr>
        <w:t>faire réaliser</w:t>
      </w:r>
      <w:r w:rsidRPr="000E674E">
        <w:rPr>
          <w:lang w:eastAsia="en-GB"/>
        </w:rPr>
        <w:t xml:space="preserve"> une étude sur </w:t>
      </w:r>
      <w:r>
        <w:rPr>
          <w:lang w:eastAsia="en-GB"/>
        </w:rPr>
        <w:t>les effets</w:t>
      </w:r>
      <w:r w:rsidRPr="000E674E">
        <w:rPr>
          <w:lang w:eastAsia="en-GB"/>
        </w:rPr>
        <w:t xml:space="preserve"> de l</w:t>
      </w:r>
      <w:r>
        <w:rPr>
          <w:lang w:eastAsia="en-GB"/>
        </w:rPr>
        <w:t>’</w:t>
      </w:r>
      <w:r w:rsidRPr="000E674E">
        <w:rPr>
          <w:lang w:eastAsia="en-GB"/>
        </w:rPr>
        <w:t>assistance technique et du renforcement des capacités sur la situation des droits de l</w:t>
      </w:r>
      <w:r>
        <w:rPr>
          <w:lang w:eastAsia="en-GB"/>
        </w:rPr>
        <w:t>’</w:t>
      </w:r>
      <w:r w:rsidRPr="000E674E">
        <w:rPr>
          <w:lang w:eastAsia="en-GB"/>
        </w:rPr>
        <w:t xml:space="preserve">homme en République démocratique du Congo et de la </w:t>
      </w:r>
      <w:r>
        <w:rPr>
          <w:lang w:eastAsia="en-GB"/>
        </w:rPr>
        <w:t xml:space="preserve">lui </w:t>
      </w:r>
      <w:r w:rsidRPr="000E674E">
        <w:rPr>
          <w:lang w:eastAsia="en-GB"/>
        </w:rPr>
        <w:t>présenter, dans le cadre d</w:t>
      </w:r>
      <w:r>
        <w:rPr>
          <w:lang w:eastAsia="en-GB"/>
        </w:rPr>
        <w:t>’</w:t>
      </w:r>
      <w:r w:rsidRPr="000E674E">
        <w:rPr>
          <w:lang w:eastAsia="en-GB"/>
        </w:rPr>
        <w:t>un dialogue</w:t>
      </w:r>
      <w:r>
        <w:rPr>
          <w:lang w:eastAsia="en-GB"/>
        </w:rPr>
        <w:t>, à sa trentième session. Le Conseil examinera l’étude du Haut-Commissaire (A/HRC/30/33).</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0E674E">
        <w:rPr>
          <w:lang w:eastAsia="en-GB"/>
        </w:rPr>
        <w:t>Assistance technique et renforcement de</w:t>
      </w:r>
      <w:r>
        <w:rPr>
          <w:lang w:eastAsia="en-GB"/>
        </w:rPr>
        <w:t xml:space="preserve">s capacités dans le domaine </w:t>
      </w:r>
      <w:r>
        <w:rPr>
          <w:lang w:eastAsia="en-GB"/>
        </w:rPr>
        <w:br/>
        <w:t xml:space="preserve">des </w:t>
      </w:r>
      <w:r w:rsidR="00676011" w:rsidRPr="000E674E">
        <w:rPr>
          <w:lang w:eastAsia="en-GB"/>
        </w:rPr>
        <w:t>droits de l</w:t>
      </w:r>
      <w:r w:rsidR="00676011">
        <w:rPr>
          <w:lang w:eastAsia="en-GB"/>
        </w:rPr>
        <w:t>’</w:t>
      </w:r>
      <w:r w:rsidR="00676011" w:rsidRPr="000E674E">
        <w:rPr>
          <w:lang w:eastAsia="en-GB"/>
        </w:rPr>
        <w:t>homme au Yémen</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27/19, le Conseil des droits de l’homme a </w:t>
      </w:r>
      <w:r>
        <w:rPr>
          <w:lang w:eastAsia="en-GB"/>
        </w:rPr>
        <w:t>prié</w:t>
      </w:r>
      <w:r w:rsidRPr="000E674E">
        <w:rPr>
          <w:lang w:eastAsia="en-GB"/>
        </w:rPr>
        <w:t xml:space="preserve"> le Haut-Commissaire d</w:t>
      </w:r>
      <w:r>
        <w:rPr>
          <w:lang w:eastAsia="en-GB"/>
        </w:rPr>
        <w:t>’</w:t>
      </w:r>
      <w:r w:rsidRPr="000E674E">
        <w:rPr>
          <w:lang w:eastAsia="en-GB"/>
        </w:rPr>
        <w:t xml:space="preserve">apporter une assistance technique </w:t>
      </w:r>
      <w:r>
        <w:rPr>
          <w:lang w:eastAsia="en-GB"/>
        </w:rPr>
        <w:t>au</w:t>
      </w:r>
      <w:r w:rsidRPr="000E674E">
        <w:rPr>
          <w:lang w:eastAsia="en-GB"/>
        </w:rPr>
        <w:t xml:space="preserve"> Gouvernement yéménite </w:t>
      </w:r>
      <w:r>
        <w:rPr>
          <w:lang w:eastAsia="en-GB"/>
        </w:rPr>
        <w:t xml:space="preserve">et de collaborer avec celui-ci </w:t>
      </w:r>
      <w:r w:rsidRPr="000E674E">
        <w:rPr>
          <w:lang w:eastAsia="en-GB"/>
        </w:rPr>
        <w:t>afin de recenser d</w:t>
      </w:r>
      <w:r>
        <w:rPr>
          <w:lang w:eastAsia="en-GB"/>
        </w:rPr>
        <w:t>’</w:t>
      </w:r>
      <w:r w:rsidRPr="000E674E">
        <w:rPr>
          <w:lang w:eastAsia="en-GB"/>
        </w:rPr>
        <w:t>autres domaines dans lesquels il serait possible d</w:t>
      </w:r>
      <w:r>
        <w:rPr>
          <w:lang w:eastAsia="en-GB"/>
        </w:rPr>
        <w:t>’</w:t>
      </w:r>
      <w:r w:rsidRPr="000E674E">
        <w:rPr>
          <w:lang w:eastAsia="en-GB"/>
        </w:rPr>
        <w:t>aider le Yémen à s</w:t>
      </w:r>
      <w:r>
        <w:rPr>
          <w:lang w:eastAsia="en-GB"/>
        </w:rPr>
        <w:t>’</w:t>
      </w:r>
      <w:r w:rsidRPr="000E674E">
        <w:rPr>
          <w:lang w:eastAsia="en-GB"/>
        </w:rPr>
        <w:t xml:space="preserve">acquitter de ses obligations </w:t>
      </w:r>
      <w:r>
        <w:rPr>
          <w:lang w:eastAsia="en-GB"/>
        </w:rPr>
        <w:t>en matière de droits de l’homme. Il a prié</w:t>
      </w:r>
      <w:r w:rsidRPr="000E674E">
        <w:rPr>
          <w:lang w:eastAsia="en-GB"/>
        </w:rPr>
        <w:t xml:space="preserve"> le Haut-Commissariat de lui soumettre, à sa trentième session, un rapport sur l</w:t>
      </w:r>
      <w:r>
        <w:rPr>
          <w:lang w:eastAsia="en-GB"/>
        </w:rPr>
        <w:t>’</w:t>
      </w:r>
      <w:r w:rsidRPr="000E674E">
        <w:rPr>
          <w:lang w:eastAsia="en-GB"/>
        </w:rPr>
        <w:t>évolution de la situation dans le domaine des droits de l</w:t>
      </w:r>
      <w:r>
        <w:rPr>
          <w:lang w:eastAsia="en-GB"/>
        </w:rPr>
        <w:t>’</w:t>
      </w:r>
      <w:r w:rsidRPr="000E674E">
        <w:rPr>
          <w:lang w:eastAsia="en-GB"/>
        </w:rPr>
        <w:t xml:space="preserve">homme au Yémen et sur la suite donnée </w:t>
      </w:r>
      <w:r>
        <w:rPr>
          <w:lang w:eastAsia="en-GB"/>
        </w:rPr>
        <w:t>à ses</w:t>
      </w:r>
      <w:r w:rsidRPr="000E674E">
        <w:rPr>
          <w:lang w:eastAsia="en-GB"/>
        </w:rPr>
        <w:t xml:space="preserve"> </w:t>
      </w:r>
      <w:r>
        <w:rPr>
          <w:lang w:eastAsia="en-GB"/>
        </w:rPr>
        <w:t>résolutions</w:t>
      </w:r>
      <w:r w:rsidR="00075B2E">
        <w:rPr>
          <w:lang w:eastAsia="en-GB"/>
        </w:rPr>
        <w:t xml:space="preserve"> </w:t>
      </w:r>
      <w:r>
        <w:rPr>
          <w:lang w:eastAsia="en-GB"/>
        </w:rPr>
        <w:t xml:space="preserve">18/19, 19/29, 21/22, </w:t>
      </w:r>
      <w:r w:rsidRPr="000E674E">
        <w:rPr>
          <w:lang w:eastAsia="en-GB"/>
        </w:rPr>
        <w:t>24/32</w:t>
      </w:r>
      <w:r>
        <w:rPr>
          <w:lang w:eastAsia="en-GB"/>
        </w:rPr>
        <w:t xml:space="preserve"> et 27/19</w:t>
      </w:r>
      <w:r w:rsidRPr="000E674E">
        <w:rPr>
          <w:lang w:eastAsia="en-GB"/>
        </w:rPr>
        <w:t>.</w:t>
      </w:r>
      <w:r>
        <w:rPr>
          <w:lang w:eastAsia="en-GB"/>
        </w:rPr>
        <w:t xml:space="preserve"> Le Conseil examinera le rapport du Haut-Commissariat sur l’évolution de la situation (A/HRC/30/31).</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eastAsia="en-GB"/>
        </w:rPr>
      </w:pPr>
      <w:r>
        <w:rPr>
          <w:lang w:val="fr-FR" w:eastAsia="en-GB"/>
        </w:rPr>
        <w:tab/>
      </w:r>
      <w:r>
        <w:rPr>
          <w:lang w:val="fr-FR" w:eastAsia="en-GB"/>
        </w:rPr>
        <w:tab/>
      </w:r>
      <w:r w:rsidR="00676011" w:rsidRPr="00AC54C1">
        <w:rPr>
          <w:lang w:val="fr-FR" w:eastAsia="en-GB"/>
        </w:rPr>
        <w:t>Services consultatifs et assistance technique pour le Cambodge</w:t>
      </w:r>
    </w:p>
    <w:p w:rsidR="00075B2E" w:rsidRPr="00075B2E" w:rsidRDefault="00075B2E" w:rsidP="00075B2E">
      <w:pPr>
        <w:pStyle w:val="SingleTxt"/>
        <w:spacing w:after="0" w:line="120" w:lineRule="exact"/>
        <w:rPr>
          <w:sz w:val="10"/>
          <w:lang w:val="fr-FR"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24/29, le Conseil des droits de l’homme a </w:t>
      </w:r>
      <w:r>
        <w:rPr>
          <w:lang w:eastAsia="en-GB"/>
        </w:rPr>
        <w:t>prié</w:t>
      </w:r>
      <w:r w:rsidRPr="00AC54C1">
        <w:rPr>
          <w:lang w:eastAsia="en-GB"/>
        </w:rPr>
        <w:t xml:space="preserve"> le Secrétaire général de lui faire rapport à </w:t>
      </w:r>
      <w:r>
        <w:rPr>
          <w:lang w:eastAsia="en-GB"/>
        </w:rPr>
        <w:t>sa</w:t>
      </w:r>
      <w:r w:rsidRPr="00AC54C1">
        <w:rPr>
          <w:lang w:eastAsia="en-GB"/>
        </w:rPr>
        <w:t xml:space="preserve"> trentième session sur le rôle joué et le travail accompli par le Haut-Commissariat pour aider le Gouvernement et le peuple cambodgiens à promouvoir et</w:t>
      </w:r>
      <w:r>
        <w:rPr>
          <w:lang w:eastAsia="en-GB"/>
        </w:rPr>
        <w:t xml:space="preserve"> protéger les droits de l’homme. Le Conseil examinera le rapport du Secrétaire général (A/HRC/30/30) (voir également par.</w:t>
      </w:r>
      <w:r w:rsidR="00075B2E">
        <w:rPr>
          <w:lang w:eastAsia="en-GB"/>
        </w:rPr>
        <w:t> </w:t>
      </w:r>
      <w:r>
        <w:rPr>
          <w:lang w:eastAsia="en-GB"/>
        </w:rPr>
        <w:t>105 ci-dessous).</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9F438C">
        <w:rPr>
          <w:lang w:eastAsia="en-GB"/>
        </w:rPr>
        <w:t xml:space="preserve">Assistance technique et renforcement des capacités en faveur des droits </w:t>
      </w:r>
      <w:r>
        <w:rPr>
          <w:lang w:eastAsia="en-GB"/>
        </w:rPr>
        <w:br/>
      </w:r>
      <w:r w:rsidR="00676011" w:rsidRPr="009F438C">
        <w:rPr>
          <w:lang w:eastAsia="en-GB"/>
        </w:rPr>
        <w:t>de l</w:t>
      </w:r>
      <w:r w:rsidR="00676011">
        <w:rPr>
          <w:lang w:eastAsia="en-GB"/>
        </w:rPr>
        <w:t>’</w:t>
      </w:r>
      <w:r w:rsidR="00676011" w:rsidRPr="009F438C">
        <w:rPr>
          <w:lang w:eastAsia="en-GB"/>
        </w:rPr>
        <w:t xml:space="preserve">homme en Iraq à la lumière des violations commises par Daesh </w:t>
      </w:r>
      <w:r>
        <w:rPr>
          <w:lang w:eastAsia="en-GB"/>
        </w:rPr>
        <w:br/>
      </w:r>
      <w:r w:rsidR="00676011" w:rsidRPr="009F438C">
        <w:rPr>
          <w:lang w:eastAsia="en-GB"/>
        </w:rPr>
        <w:t>et des groupes terroristes associés</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val="fr-FR" w:eastAsia="en-GB"/>
        </w:rPr>
        <w:t xml:space="preserve">Dans sa résolution 28/32, le Conseil des droits de l’homme </w:t>
      </w:r>
      <w:r>
        <w:rPr>
          <w:lang w:eastAsia="en-GB"/>
        </w:rPr>
        <w:t>a demandé</w:t>
      </w:r>
      <w:r w:rsidRPr="009F438C">
        <w:rPr>
          <w:lang w:eastAsia="en-GB"/>
        </w:rPr>
        <w:t xml:space="preserve"> au Haut-Commissaire de fournir au Gouvernement iraquien une assistance technique afin de l</w:t>
      </w:r>
      <w:r>
        <w:rPr>
          <w:lang w:eastAsia="en-GB"/>
        </w:rPr>
        <w:t>’</w:t>
      </w:r>
      <w:r w:rsidRPr="009F438C">
        <w:rPr>
          <w:lang w:eastAsia="en-GB"/>
        </w:rPr>
        <w:t>aider à assurer la promotion et la protection des droits de l</w:t>
      </w:r>
      <w:r>
        <w:rPr>
          <w:lang w:eastAsia="en-GB"/>
        </w:rPr>
        <w:t>’</w:t>
      </w:r>
      <w:r w:rsidRPr="009F438C">
        <w:rPr>
          <w:lang w:eastAsia="en-GB"/>
        </w:rPr>
        <w:t>homme, y compris par toutes les parties iraquiennes, et de lui faire un rapport écrit sur la question à sa trentième session.</w:t>
      </w:r>
      <w:r>
        <w:rPr>
          <w:lang w:eastAsia="en-GB"/>
        </w:rPr>
        <w:t xml:space="preserve"> Le Conseil examinera le rapport du Haut-Commissaire (A/HRC/30/66).</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9F438C">
        <w:rPr>
          <w:lang w:eastAsia="en-GB"/>
        </w:rPr>
        <w:t>Assistance technique et renforcement des capacités afin d</w:t>
      </w:r>
      <w:r w:rsidR="00676011">
        <w:rPr>
          <w:lang w:eastAsia="en-GB"/>
        </w:rPr>
        <w:t>’</w:t>
      </w:r>
      <w:r w:rsidR="00676011" w:rsidRPr="009F438C">
        <w:rPr>
          <w:lang w:eastAsia="en-GB"/>
        </w:rPr>
        <w:t xml:space="preserve">améliorer </w:t>
      </w:r>
      <w:r>
        <w:rPr>
          <w:lang w:eastAsia="en-GB"/>
        </w:rPr>
        <w:br/>
      </w:r>
      <w:r w:rsidR="00676011" w:rsidRPr="009F438C">
        <w:rPr>
          <w:lang w:eastAsia="en-GB"/>
        </w:rPr>
        <w:t>la situation des droits de l</w:t>
      </w:r>
      <w:r w:rsidR="00676011">
        <w:rPr>
          <w:lang w:eastAsia="en-GB"/>
        </w:rPr>
        <w:t>’</w:t>
      </w:r>
      <w:r w:rsidR="00676011" w:rsidRPr="009F438C">
        <w:rPr>
          <w:lang w:eastAsia="en-GB"/>
        </w:rPr>
        <w:t>homme en Libye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eastAsia="en-GB"/>
        </w:rPr>
        <w:t>On s</w:t>
      </w:r>
      <w:r w:rsidRPr="009F438C">
        <w:rPr>
          <w:lang w:eastAsia="en-GB"/>
        </w:rPr>
        <w:t>e reporter</w:t>
      </w:r>
      <w:r>
        <w:rPr>
          <w:lang w:eastAsia="en-GB"/>
        </w:rPr>
        <w:t>a</w:t>
      </w:r>
      <w:r w:rsidRPr="009F438C">
        <w:rPr>
          <w:lang w:eastAsia="en-GB"/>
        </w:rPr>
        <w:t xml:space="preserve"> au compte rendu oral présenté par le Haut-Commissaire</w:t>
      </w:r>
      <w:r>
        <w:rPr>
          <w:lang w:eastAsia="en-GB"/>
        </w:rPr>
        <w:t xml:space="preserve"> sur la</w:t>
      </w:r>
      <w:r w:rsidRPr="009F438C">
        <w:rPr>
          <w:lang w:eastAsia="en-GB"/>
        </w:rPr>
        <w:t xml:space="preserve"> mission chargée d</w:t>
      </w:r>
      <w:r>
        <w:rPr>
          <w:lang w:eastAsia="en-GB"/>
        </w:rPr>
        <w:t>’</w:t>
      </w:r>
      <w:r w:rsidRPr="009F438C">
        <w:rPr>
          <w:lang w:eastAsia="en-GB"/>
        </w:rPr>
        <w:t>enquêter sur les violations du droit international des droits de l</w:t>
      </w:r>
      <w:r>
        <w:rPr>
          <w:lang w:eastAsia="en-GB"/>
        </w:rPr>
        <w:t>’</w:t>
      </w:r>
      <w:r w:rsidRPr="009F438C">
        <w:rPr>
          <w:lang w:eastAsia="en-GB"/>
        </w:rPr>
        <w:t>homme</w:t>
      </w:r>
      <w:r w:rsidR="005832E0">
        <w:rPr>
          <w:lang w:eastAsia="en-GB"/>
        </w:rPr>
        <w:t xml:space="preserve"> </w:t>
      </w:r>
      <w:r w:rsidRPr="009F438C">
        <w:rPr>
          <w:lang w:eastAsia="en-GB"/>
        </w:rPr>
        <w:t>commises en Libye depuis le début de 2014</w:t>
      </w:r>
      <w:r>
        <w:rPr>
          <w:lang w:eastAsia="en-GB"/>
        </w:rPr>
        <w:t xml:space="preserve"> (voir par.</w:t>
      </w:r>
      <w:r w:rsidR="00075B2E">
        <w:rPr>
          <w:lang w:eastAsia="en-GB"/>
        </w:rPr>
        <w:t> </w:t>
      </w:r>
      <w:r>
        <w:rPr>
          <w:lang w:eastAsia="en-GB"/>
        </w:rPr>
        <w:t>110 ci-dessous).</w:t>
      </w:r>
    </w:p>
    <w:p w:rsidR="00075B2E" w:rsidRPr="00075B2E" w:rsidRDefault="00075B2E" w:rsidP="00075B2E">
      <w:pPr>
        <w:pStyle w:val="SingleTxt"/>
        <w:spacing w:after="0" w:line="120" w:lineRule="exact"/>
        <w:rPr>
          <w:sz w:val="10"/>
          <w:lang w:eastAsia="en-GB"/>
        </w:rPr>
      </w:pPr>
    </w:p>
    <w:p w:rsidR="00676011" w:rsidRDefault="00075B2E" w:rsidP="00F54B6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2B66FE">
        <w:rPr>
          <w:lang w:eastAsia="en-GB"/>
        </w:rPr>
        <w:t>Coopération avec l</w:t>
      </w:r>
      <w:r w:rsidR="00676011">
        <w:rPr>
          <w:lang w:eastAsia="en-GB"/>
        </w:rPr>
        <w:t>’</w:t>
      </w:r>
      <w:r w:rsidR="00676011" w:rsidRPr="002B66FE">
        <w:rPr>
          <w:lang w:eastAsia="en-GB"/>
        </w:rPr>
        <w:t>Ukraine et assistance dans le domaine des droits de</w:t>
      </w:r>
      <w:r>
        <w:rPr>
          <w:lang w:eastAsia="en-GB"/>
        </w:rPr>
        <w:t xml:space="preserve"> </w:t>
      </w:r>
      <w:r w:rsidR="00676011" w:rsidRPr="002B66FE">
        <w:rPr>
          <w:lang w:eastAsia="en-GB"/>
        </w:rPr>
        <w:t>l</w:t>
      </w:r>
      <w:r w:rsidR="00676011">
        <w:rPr>
          <w:lang w:eastAsia="en-GB"/>
        </w:rPr>
        <w:t>’</w:t>
      </w:r>
      <w:r w:rsidR="00676011" w:rsidRPr="002B66FE">
        <w:rPr>
          <w:lang w:eastAsia="en-GB"/>
        </w:rPr>
        <w:t>homme</w:t>
      </w:r>
    </w:p>
    <w:p w:rsidR="00075B2E" w:rsidRPr="00075B2E" w:rsidRDefault="00075B2E" w:rsidP="00075B2E">
      <w:pPr>
        <w:pStyle w:val="SingleTxt"/>
        <w:spacing w:after="0" w:line="120" w:lineRule="exact"/>
        <w:rPr>
          <w:sz w:val="10"/>
          <w:lang w:eastAsia="en-GB"/>
        </w:rPr>
      </w:pPr>
    </w:p>
    <w:p w:rsidR="00676011" w:rsidRPr="00075B2E" w:rsidRDefault="00676011" w:rsidP="00F54B6E">
      <w:pPr>
        <w:pStyle w:val="SingleTxt"/>
        <w:numPr>
          <w:ilvl w:val="0"/>
          <w:numId w:val="29"/>
        </w:numPr>
        <w:rPr>
          <w:lang w:val="fr-FR" w:eastAsia="en-GB"/>
        </w:rPr>
      </w:pPr>
      <w:r>
        <w:rPr>
          <w:lang w:eastAsia="en-GB"/>
        </w:rPr>
        <w:t>On s</w:t>
      </w:r>
      <w:r w:rsidRPr="002B66FE">
        <w:rPr>
          <w:lang w:eastAsia="en-GB"/>
        </w:rPr>
        <w:t>e reporter</w:t>
      </w:r>
      <w:r>
        <w:rPr>
          <w:lang w:eastAsia="en-GB"/>
        </w:rPr>
        <w:t>a</w:t>
      </w:r>
      <w:r w:rsidRPr="002B66FE">
        <w:rPr>
          <w:lang w:eastAsia="en-GB"/>
        </w:rPr>
        <w:t xml:space="preserve"> au compte rendu oral présenté par le Haut-Commissaire </w:t>
      </w:r>
      <w:r>
        <w:rPr>
          <w:lang w:eastAsia="en-GB"/>
        </w:rPr>
        <w:t>sur les conclusions des rapports périodiques du Haut-Commissariat sur la situation des droits de l’homme en Ukraine (voir par.</w:t>
      </w:r>
      <w:r w:rsidR="00075B2E">
        <w:rPr>
          <w:lang w:eastAsia="en-GB"/>
        </w:rPr>
        <w:t> </w:t>
      </w:r>
      <w:r>
        <w:rPr>
          <w:lang w:eastAsia="en-GB"/>
        </w:rPr>
        <w:t>111 ci-dessous).</w:t>
      </w:r>
    </w:p>
    <w:p w:rsidR="00075B2E" w:rsidRPr="00075B2E" w:rsidRDefault="00075B2E" w:rsidP="00075B2E">
      <w:pPr>
        <w:pStyle w:val="SingleTxt"/>
        <w:spacing w:after="0" w:line="120" w:lineRule="exact"/>
        <w:rPr>
          <w:sz w:val="10"/>
          <w:lang w:eastAsia="en-GB"/>
        </w:rPr>
      </w:pPr>
    </w:p>
    <w:p w:rsidR="00075B2E" w:rsidRPr="00075B2E" w:rsidRDefault="00075B2E" w:rsidP="00075B2E">
      <w:pPr>
        <w:pStyle w:val="SingleTxt"/>
        <w:spacing w:after="0" w:line="120" w:lineRule="exact"/>
        <w:rPr>
          <w:sz w:val="10"/>
          <w:lang w:val="fr-FR" w:eastAsia="en-GB"/>
        </w:rPr>
      </w:pPr>
    </w:p>
    <w:p w:rsidR="00676011" w:rsidRDefault="00676011" w:rsidP="00075B2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8" w:name="_Toc220320997"/>
      <w:r w:rsidRPr="002B66FE">
        <w:rPr>
          <w:lang w:val="fr-FR" w:eastAsia="zh-CN"/>
        </w:rPr>
        <w:tab/>
      </w:r>
      <w:r w:rsidRPr="002B66FE">
        <w:rPr>
          <w:lang w:val="fr-FR"/>
        </w:rPr>
        <w:t>3.</w:t>
      </w:r>
      <w:r w:rsidRPr="002B66FE">
        <w:rPr>
          <w:lang w:val="fr-FR"/>
        </w:rPr>
        <w:tab/>
      </w:r>
      <w:bookmarkEnd w:id="8"/>
      <w:r w:rsidRPr="002B66FE">
        <w:rPr>
          <w:lang w:val="fr-FR"/>
        </w:rPr>
        <w:t>Promotion et protection de tous les droits de l</w:t>
      </w:r>
      <w:r>
        <w:rPr>
          <w:lang w:val="fr-FR"/>
        </w:rPr>
        <w:t>’</w:t>
      </w:r>
      <w:r w:rsidRPr="002B66FE">
        <w:rPr>
          <w:lang w:val="fr-FR"/>
        </w:rPr>
        <w:t xml:space="preserve">homme, </w:t>
      </w:r>
      <w:r w:rsidR="00075B2E">
        <w:rPr>
          <w:lang w:val="fr-FR"/>
        </w:rPr>
        <w:br/>
      </w:r>
      <w:r w:rsidRPr="002B66FE">
        <w:rPr>
          <w:lang w:val="fr-FR"/>
        </w:rPr>
        <w:t xml:space="preserve">civils, politiques, économiques, sociaux et culturels, </w:t>
      </w:r>
      <w:r w:rsidR="00075B2E">
        <w:rPr>
          <w:lang w:val="fr-FR"/>
        </w:rPr>
        <w:br/>
      </w:r>
      <w:r w:rsidRPr="002B66FE">
        <w:rPr>
          <w:lang w:val="fr-FR"/>
        </w:rPr>
        <w:t>y compris le droit au développement</w:t>
      </w:r>
    </w:p>
    <w:p w:rsidR="00075B2E" w:rsidRPr="00075B2E" w:rsidRDefault="00075B2E" w:rsidP="00075B2E">
      <w:pPr>
        <w:pStyle w:val="SingleTxt"/>
        <w:spacing w:after="0" w:line="120" w:lineRule="exact"/>
        <w:rPr>
          <w:sz w:val="10"/>
          <w:lang w:val="fr-FR"/>
        </w:rPr>
      </w:pPr>
    </w:p>
    <w:p w:rsidR="00075B2E" w:rsidRPr="00075B2E" w:rsidRDefault="00075B2E" w:rsidP="00075B2E">
      <w:pPr>
        <w:pStyle w:val="SingleTxt"/>
        <w:spacing w:after="0" w:line="120" w:lineRule="exact"/>
        <w:rPr>
          <w:sz w:val="10"/>
          <w:lang w:val="fr-FR"/>
        </w:rPr>
      </w:pPr>
    </w:p>
    <w:p w:rsidR="00676011" w:rsidRDefault="00676011" w:rsidP="00075B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9" w:name="_Toc220320998"/>
      <w:r w:rsidRPr="00E41698">
        <w:rPr>
          <w:lang w:val="fr-FR"/>
        </w:rPr>
        <w:tab/>
        <w:t>A.</w:t>
      </w:r>
      <w:r w:rsidRPr="00E41698">
        <w:rPr>
          <w:lang w:val="fr-FR"/>
        </w:rPr>
        <w:tab/>
      </w:r>
      <w:bookmarkEnd w:id="9"/>
      <w:r w:rsidRPr="00E41698">
        <w:rPr>
          <w:lang w:val="fr-FR"/>
        </w:rPr>
        <w:t>Droits économiques, sociaux et culturels</w:t>
      </w:r>
    </w:p>
    <w:p w:rsidR="00075B2E" w:rsidRPr="00075B2E" w:rsidRDefault="00075B2E" w:rsidP="00075B2E">
      <w:pPr>
        <w:pStyle w:val="SingleTxt"/>
        <w:spacing w:after="0" w:line="120" w:lineRule="exact"/>
        <w:rPr>
          <w:sz w:val="10"/>
          <w:lang w:val="fr-FR"/>
        </w:rPr>
      </w:pPr>
    </w:p>
    <w:p w:rsidR="00075B2E" w:rsidRPr="00075B2E" w:rsidRDefault="00075B2E" w:rsidP="00075B2E">
      <w:pPr>
        <w:pStyle w:val="SingleTxt"/>
        <w:spacing w:after="0" w:line="120" w:lineRule="exact"/>
        <w:rPr>
          <w:sz w:val="10"/>
          <w:lang w:val="fr-FR"/>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A75895">
        <w:t>M</w:t>
      </w:r>
      <w:r w:rsidRPr="002B66FE">
        <w:t>oyens de garantir l</w:t>
      </w:r>
      <w:r>
        <w:t>’</w:t>
      </w:r>
      <w:r w:rsidRPr="002B66FE">
        <w:t>exercice du droit à l</w:t>
      </w:r>
      <w:r>
        <w:t>’</w:t>
      </w:r>
      <w:r w:rsidRPr="002B66FE">
        <w:t xml:space="preserve">éducation par toutes les filles </w:t>
      </w:r>
      <w:r w:rsidR="00075B2E">
        <w:br/>
      </w:r>
      <w:r>
        <w:t>dans des conditions</w:t>
      </w:r>
      <w:r w:rsidRPr="002B66FE">
        <w:t xml:space="preserve"> d</w:t>
      </w:r>
      <w:r>
        <w:t>’</w:t>
      </w:r>
      <w:r w:rsidRPr="002B66FE">
        <w:t>égalité</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lang w:val="fr-FR"/>
        </w:rPr>
      </w:pPr>
      <w:r>
        <w:t>On s</w:t>
      </w:r>
      <w:r w:rsidRPr="002B66FE">
        <w:t>e reporter</w:t>
      </w:r>
      <w:r>
        <w:t>a</w:t>
      </w:r>
      <w:r w:rsidRPr="002B66FE">
        <w:t xml:space="preserve"> au rapport du Haut-Commissaire résumant la réunion-débat sur </w:t>
      </w:r>
      <w:r>
        <w:t>les m</w:t>
      </w:r>
      <w:r w:rsidRPr="002B66FE">
        <w:t>oyens de garantir l</w:t>
      </w:r>
      <w:r>
        <w:t>’</w:t>
      </w:r>
      <w:r w:rsidRPr="002B66FE">
        <w:t>exercice du droit à l</w:t>
      </w:r>
      <w:r>
        <w:t>’</w:t>
      </w:r>
      <w:r w:rsidRPr="002B66FE">
        <w:t xml:space="preserve">éducation par toutes les filles </w:t>
      </w:r>
      <w:r>
        <w:t>dans des conditions</w:t>
      </w:r>
      <w:r w:rsidRPr="002B66FE">
        <w:t xml:space="preserve"> d</w:t>
      </w:r>
      <w:r>
        <w:t>’</w:t>
      </w:r>
      <w:r w:rsidRPr="002B66FE">
        <w:t>égalité</w:t>
      </w:r>
      <w:r>
        <w:t>, tenue à la vingt-neuvième session du Conseil (A/HRC/30/23) (voir par.</w:t>
      </w:r>
      <w:r w:rsidR="00075B2E">
        <w:t> </w:t>
      </w:r>
      <w:r>
        <w:t>32 ci-dessus).</w:t>
      </w:r>
    </w:p>
    <w:p w:rsidR="00075B2E" w:rsidRPr="00075B2E" w:rsidRDefault="00075B2E" w:rsidP="00075B2E">
      <w:pPr>
        <w:pStyle w:val="SingleTxt"/>
        <w:spacing w:after="0" w:line="120" w:lineRule="exact"/>
        <w:rPr>
          <w:sz w:val="10"/>
          <w:lang w:val="fr-FR"/>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A75895">
        <w:t>A</w:t>
      </w:r>
      <w:r w:rsidRPr="00761FB2">
        <w:t>ccès à l</w:t>
      </w:r>
      <w:r>
        <w:t>’</w:t>
      </w:r>
      <w:r w:rsidRPr="00761FB2">
        <w:t>eau potable et à l</w:t>
      </w:r>
      <w:r>
        <w:t>’</w:t>
      </w:r>
      <w:r w:rsidRPr="00761FB2">
        <w:t xml:space="preserve">assainissement </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lang w:val="fr-FR"/>
        </w:rPr>
      </w:pPr>
      <w:r w:rsidRPr="00E41698">
        <w:rPr>
          <w:lang w:val="fr-FR"/>
        </w:rPr>
        <w:t xml:space="preserve">Dans sa résolution </w:t>
      </w:r>
      <w:r>
        <w:rPr>
          <w:lang w:val="fr-FR"/>
        </w:rPr>
        <w:t>24/18</w:t>
      </w:r>
      <w:r w:rsidRPr="00E41698">
        <w:rPr>
          <w:lang w:val="fr-FR"/>
        </w:rPr>
        <w:t>, le Conseil des droits de l</w:t>
      </w:r>
      <w:r>
        <w:rPr>
          <w:lang w:val="fr-FR"/>
        </w:rPr>
        <w:t>’</w:t>
      </w:r>
      <w:r w:rsidRPr="00E41698">
        <w:rPr>
          <w:lang w:val="fr-FR"/>
        </w:rPr>
        <w:t xml:space="preserve">homme a décidé </w:t>
      </w:r>
      <w:r w:rsidRPr="00761FB2">
        <w:t>de proroger</w:t>
      </w:r>
      <w:r>
        <w:t xml:space="preserve"> le mandat du Rapporteur</w:t>
      </w:r>
      <w:r w:rsidRPr="00AB7323">
        <w:t xml:space="preserve"> spécial sur le droit à l</w:t>
      </w:r>
      <w:r>
        <w:t>’</w:t>
      </w:r>
      <w:r w:rsidRPr="00AB7323">
        <w:t>eau potable et à l</w:t>
      </w:r>
      <w:r>
        <w:t>’</w:t>
      </w:r>
      <w:r w:rsidRPr="00AB7323">
        <w:t>assainissement</w:t>
      </w:r>
      <w:r>
        <w:t>, et l’a prié</w:t>
      </w:r>
      <w:r w:rsidRPr="00761FB2">
        <w:t xml:space="preserve"> de continuer </w:t>
      </w:r>
      <w:r>
        <w:t>à</w:t>
      </w:r>
      <w:r w:rsidRPr="00761FB2">
        <w:t xml:space="preserve"> lui rendre compte tous les ans.</w:t>
      </w:r>
      <w:r>
        <w:t xml:space="preserve"> Le Conseil examinera le rapport du nouveau titulaire de mandat, Léo Heller (A/HRC/30/39 et Add.1 à</w:t>
      </w:r>
      <w:r w:rsidR="00075B2E">
        <w:t> </w:t>
      </w:r>
      <w:r>
        <w:t>3).</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t>Gestion et é</w:t>
      </w:r>
      <w:r w:rsidRPr="00105612">
        <w:t>limination écologiquement rationnelles des produits et déchets dangereux</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lang w:val="fr-FR"/>
        </w:rPr>
      </w:pPr>
      <w:r w:rsidRPr="00E41698">
        <w:rPr>
          <w:lang w:val="fr-FR"/>
        </w:rPr>
        <w:t xml:space="preserve">Dans sa résolution </w:t>
      </w:r>
      <w:r>
        <w:rPr>
          <w:lang w:val="fr-FR"/>
        </w:rPr>
        <w:t>27/23</w:t>
      </w:r>
      <w:r w:rsidRPr="00E41698">
        <w:rPr>
          <w:lang w:val="fr-FR"/>
        </w:rPr>
        <w:t>, le Conseil des droits de l</w:t>
      </w:r>
      <w:r>
        <w:rPr>
          <w:lang w:val="fr-FR"/>
        </w:rPr>
        <w:t>’</w:t>
      </w:r>
      <w:r w:rsidRPr="00E41698">
        <w:rPr>
          <w:lang w:val="fr-FR"/>
        </w:rPr>
        <w:t xml:space="preserve">homme a </w:t>
      </w:r>
      <w:r>
        <w:rPr>
          <w:lang w:val="fr-FR"/>
        </w:rPr>
        <w:t xml:space="preserve">décidé de proroger, pour une période de trois ans, le mandat du </w:t>
      </w:r>
      <w:r w:rsidRPr="00105612">
        <w:rPr>
          <w:iCs/>
        </w:rPr>
        <w:t>Rapporteur</w:t>
      </w:r>
      <w:r w:rsidRPr="00105612">
        <w:t xml:space="preserve"> spécial sur les incidences sur les droits de l</w:t>
      </w:r>
      <w:r>
        <w:t>’</w:t>
      </w:r>
      <w:r w:rsidRPr="00105612">
        <w:t>homme de la gestion et de l</w:t>
      </w:r>
      <w:r>
        <w:t>’</w:t>
      </w:r>
      <w:r w:rsidRPr="00105612">
        <w:t>élimination écologiquement rationnelles de</w:t>
      </w:r>
      <w:r>
        <w:t>s produits et déchets dangereux. Le Conseil examinera le rapport du titulaire de mandat, Baskut Tuncak (A/HRC/30/40 et Add.1 et 2).</w:t>
      </w:r>
    </w:p>
    <w:p w:rsidR="00075B2E" w:rsidRPr="00075B2E" w:rsidRDefault="00075B2E" w:rsidP="00075B2E">
      <w:pPr>
        <w:pStyle w:val="SingleTxt"/>
        <w:spacing w:after="0" w:line="120" w:lineRule="exact"/>
        <w:rPr>
          <w:sz w:val="10"/>
        </w:rPr>
      </w:pPr>
    </w:p>
    <w:p w:rsidR="00075B2E" w:rsidRPr="00075B2E" w:rsidRDefault="00075B2E" w:rsidP="00075B2E">
      <w:pPr>
        <w:pStyle w:val="SingleTxt"/>
        <w:spacing w:after="0" w:line="120" w:lineRule="exact"/>
        <w:rPr>
          <w:sz w:val="10"/>
        </w:rPr>
      </w:pPr>
    </w:p>
    <w:p w:rsidR="00676011" w:rsidRDefault="00676011" w:rsidP="00075B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0" w:name="_Toc220320999"/>
      <w:r w:rsidRPr="00E41698">
        <w:rPr>
          <w:lang w:val="fr-FR"/>
        </w:rPr>
        <w:tab/>
      </w:r>
      <w:r w:rsidRPr="00105612">
        <w:rPr>
          <w:lang w:val="fr-FR"/>
        </w:rPr>
        <w:t>B.</w:t>
      </w:r>
      <w:r w:rsidRPr="00105612">
        <w:rPr>
          <w:lang w:val="fr-FR"/>
        </w:rPr>
        <w:tab/>
        <w:t>Droits civils et politiques</w:t>
      </w:r>
      <w:bookmarkEnd w:id="10"/>
    </w:p>
    <w:p w:rsidR="00075B2E" w:rsidRPr="00075B2E" w:rsidRDefault="00075B2E" w:rsidP="00075B2E">
      <w:pPr>
        <w:pStyle w:val="SingleTxt"/>
        <w:spacing w:after="0" w:line="120" w:lineRule="exact"/>
        <w:rPr>
          <w:sz w:val="10"/>
          <w:lang w:val="fr-FR"/>
        </w:rPr>
      </w:pPr>
    </w:p>
    <w:p w:rsidR="00075B2E" w:rsidRPr="00075B2E" w:rsidRDefault="00075B2E" w:rsidP="00075B2E">
      <w:pPr>
        <w:pStyle w:val="SingleTxt"/>
        <w:spacing w:after="0" w:line="120" w:lineRule="exact"/>
        <w:rPr>
          <w:sz w:val="10"/>
          <w:lang w:val="fr-FR"/>
        </w:rPr>
      </w:pPr>
    </w:p>
    <w:p w:rsidR="00676011" w:rsidRDefault="00676011" w:rsidP="00A7589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eastAsia="en-GB"/>
        </w:rPr>
        <w:tab/>
      </w:r>
      <w:r w:rsidRPr="00E41698">
        <w:rPr>
          <w:rFonts w:eastAsia="SimSun"/>
          <w:lang w:val="fr-FR" w:eastAsia="zh-CN"/>
        </w:rPr>
        <w:tab/>
      </w:r>
      <w:r w:rsidRPr="00A75895">
        <w:t>Question de la peine de mort</w:t>
      </w:r>
    </w:p>
    <w:p w:rsidR="00075B2E" w:rsidRPr="00075B2E" w:rsidRDefault="00075B2E" w:rsidP="00075B2E">
      <w:pPr>
        <w:pStyle w:val="SingleTxt"/>
        <w:spacing w:after="0" w:line="120" w:lineRule="exact"/>
        <w:rPr>
          <w:sz w:val="10"/>
        </w:rPr>
      </w:pPr>
    </w:p>
    <w:p w:rsidR="00676011" w:rsidRDefault="00676011" w:rsidP="00F54B6E">
      <w:pPr>
        <w:pStyle w:val="SingleTxt"/>
        <w:numPr>
          <w:ilvl w:val="0"/>
          <w:numId w:val="29"/>
        </w:numPr>
        <w:rPr>
          <w:rFonts w:eastAsia="SimSun"/>
          <w:lang w:val="fr-FR" w:eastAsia="zh-CN"/>
        </w:rPr>
      </w:pPr>
      <w:r>
        <w:rPr>
          <w:rFonts w:eastAsia="SimSun"/>
          <w:lang w:eastAsia="zh-CN"/>
        </w:rPr>
        <w:t>On se reportera</w:t>
      </w:r>
      <w:r w:rsidRPr="00105612">
        <w:rPr>
          <w:rFonts w:eastAsia="SimSun"/>
          <w:lang w:eastAsia="zh-CN"/>
        </w:rPr>
        <w:t xml:space="preserve"> </w:t>
      </w:r>
      <w:r>
        <w:rPr>
          <w:rFonts w:eastAsia="SimSun"/>
          <w:lang w:eastAsia="zh-CN"/>
        </w:rPr>
        <w:t>au</w:t>
      </w:r>
      <w:r w:rsidRPr="0044213C">
        <w:rPr>
          <w:rFonts w:eastAsia="SimSun"/>
          <w:lang w:eastAsia="zh-CN"/>
        </w:rPr>
        <w:t xml:space="preserve"> supplément annuel du</w:t>
      </w:r>
      <w:r>
        <w:rPr>
          <w:rFonts w:eastAsia="SimSun"/>
          <w:lang w:eastAsia="zh-CN"/>
        </w:rPr>
        <w:t xml:space="preserve"> rapport</w:t>
      </w:r>
      <w:r w:rsidRPr="0044213C">
        <w:rPr>
          <w:rFonts w:eastAsia="SimSun"/>
          <w:lang w:eastAsia="zh-CN"/>
        </w:rPr>
        <w:t xml:space="preserve"> Secrétaire général </w:t>
      </w:r>
      <w:r>
        <w:rPr>
          <w:rFonts w:eastAsia="SimSun"/>
          <w:lang w:eastAsia="zh-CN"/>
        </w:rPr>
        <w:t xml:space="preserve">à son </w:t>
      </w:r>
      <w:r w:rsidRPr="0044213C">
        <w:rPr>
          <w:rFonts w:eastAsia="SimSun"/>
          <w:lang w:eastAsia="zh-CN"/>
        </w:rPr>
        <w:t xml:space="preserve">rapport quinquennal sur la peine de mort </w:t>
      </w:r>
      <w:r>
        <w:rPr>
          <w:rFonts w:eastAsia="SimSun"/>
          <w:lang w:eastAsia="zh-CN"/>
        </w:rPr>
        <w:t>(A/HRC/30/18) et au rapport de synthèse du Haut-Commissariat sur la</w:t>
      </w:r>
      <w:r w:rsidRPr="0044213C">
        <w:rPr>
          <w:rFonts w:eastAsia="SimSun"/>
          <w:i/>
          <w:lang w:val="fr-FR" w:eastAsia="zh-CN"/>
        </w:rPr>
        <w:t xml:space="preserve"> </w:t>
      </w:r>
      <w:r w:rsidRPr="0044213C">
        <w:rPr>
          <w:rFonts w:eastAsia="SimSun"/>
          <w:lang w:val="fr-FR" w:eastAsia="zh-CN"/>
        </w:rPr>
        <w:t xml:space="preserve">réunion-débat de haut niveau sur la question de la peine de mort </w:t>
      </w:r>
      <w:r>
        <w:rPr>
          <w:rFonts w:eastAsia="SimSun"/>
          <w:lang w:val="fr-FR" w:eastAsia="zh-CN"/>
        </w:rPr>
        <w:t>(A/HRC/30/21) (voir par.</w:t>
      </w:r>
      <w:r w:rsidR="00075B2E">
        <w:rPr>
          <w:rFonts w:eastAsia="SimSun"/>
          <w:lang w:val="fr-FR" w:eastAsia="zh-CN"/>
        </w:rPr>
        <w:t> </w:t>
      </w:r>
      <w:r>
        <w:rPr>
          <w:rFonts w:eastAsia="SimSun"/>
          <w:lang w:val="fr-FR" w:eastAsia="zh-CN"/>
        </w:rPr>
        <w:t>22 et 23 ci-dessus).</w:t>
      </w:r>
    </w:p>
    <w:p w:rsidR="00075B2E" w:rsidRPr="00075B2E" w:rsidRDefault="00075B2E" w:rsidP="00075B2E">
      <w:pPr>
        <w:pStyle w:val="SingleTxt"/>
        <w:spacing w:after="0" w:line="120" w:lineRule="exact"/>
        <w:rPr>
          <w:rFonts w:eastAsia="SimSun"/>
          <w:sz w:val="10"/>
          <w:lang w:val="fr-FR" w:eastAsia="zh-CN"/>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44213C">
        <w:t>Les droits de l</w:t>
      </w:r>
      <w:r>
        <w:t>’</w:t>
      </w:r>
      <w:r w:rsidRPr="0044213C">
        <w:t>homme dans l</w:t>
      </w:r>
      <w:r>
        <w:t>’</w:t>
      </w:r>
      <w:r w:rsidRPr="0044213C">
        <w:t xml:space="preserve">administration de la justice, y compris la justice </w:t>
      </w:r>
      <w:r w:rsidR="00075B2E">
        <w:br/>
      </w:r>
      <w:r w:rsidRPr="0044213C">
        <w:t>pour mineurs</w:t>
      </w:r>
    </w:p>
    <w:p w:rsidR="00075B2E" w:rsidRPr="00075B2E" w:rsidRDefault="00075B2E" w:rsidP="00075B2E">
      <w:pPr>
        <w:pStyle w:val="SingleTxt"/>
        <w:spacing w:after="0" w:line="120" w:lineRule="exact"/>
        <w:rPr>
          <w:sz w:val="10"/>
        </w:rPr>
      </w:pPr>
    </w:p>
    <w:p w:rsidR="00676011" w:rsidRDefault="00676011" w:rsidP="00F54B6E">
      <w:pPr>
        <w:pStyle w:val="SingleTxt"/>
        <w:numPr>
          <w:ilvl w:val="0"/>
          <w:numId w:val="29"/>
        </w:numPr>
        <w:rPr>
          <w:lang w:val="fr-FR"/>
        </w:rPr>
      </w:pPr>
      <w:r>
        <w:rPr>
          <w:lang w:val="fr-FR"/>
        </w:rPr>
        <w:t xml:space="preserve">On se reportera au rapport du Haut-Commissaire </w:t>
      </w:r>
      <w:r w:rsidRPr="0044213C">
        <w:t>sur les incidences que l</w:t>
      </w:r>
      <w:r>
        <w:t>’</w:t>
      </w:r>
      <w:r w:rsidRPr="0044213C">
        <w:t>incarcération excessive et la surpopulation carcérale ont sur les droits de l</w:t>
      </w:r>
      <w:r>
        <w:t>’</w:t>
      </w:r>
      <w:r w:rsidRPr="0044213C">
        <w:t>homme</w:t>
      </w:r>
      <w:r>
        <w:rPr>
          <w:lang w:val="fr-FR"/>
        </w:rPr>
        <w:t xml:space="preserve"> (A/HRC/30/19) (voir par.</w:t>
      </w:r>
      <w:r w:rsidR="00075B2E">
        <w:rPr>
          <w:lang w:val="fr-FR"/>
        </w:rPr>
        <w:t> </w:t>
      </w:r>
      <w:r>
        <w:rPr>
          <w:lang w:val="fr-FR"/>
        </w:rPr>
        <w:t>24 ci-dessus).</w:t>
      </w:r>
    </w:p>
    <w:p w:rsidR="00075B2E" w:rsidRPr="00075B2E" w:rsidRDefault="00075B2E" w:rsidP="00075B2E">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SimSun"/>
        </w:rPr>
      </w:pPr>
      <w:r w:rsidRPr="00E41698">
        <w:rPr>
          <w:color w:val="FF0000"/>
          <w:lang w:val="fr-FR"/>
        </w:rPr>
        <w:tab/>
      </w:r>
      <w:r w:rsidRPr="00E41698">
        <w:rPr>
          <w:lang w:val="fr-FR"/>
        </w:rPr>
        <w:tab/>
      </w:r>
      <w:r w:rsidRPr="00405944">
        <w:rPr>
          <w:rFonts w:eastAsia="SimSun"/>
        </w:rPr>
        <w:t>Participation aux affaires publiques et politiques dans des conditions d</w:t>
      </w:r>
      <w:r>
        <w:rPr>
          <w:rFonts w:eastAsia="SimSun"/>
        </w:rPr>
        <w:t>’</w:t>
      </w:r>
      <w:r w:rsidRPr="00405944">
        <w:rPr>
          <w:rFonts w:eastAsia="SimSun"/>
        </w:rPr>
        <w:t>égalité</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rFonts w:eastAsia="SimSun"/>
          <w:lang w:val="fr-FR"/>
        </w:rPr>
      </w:pPr>
      <w:r>
        <w:rPr>
          <w:lang w:val="fr-FR"/>
        </w:rPr>
        <w:t xml:space="preserve">On se reportera à l’étude du Haut-Commissariat </w:t>
      </w:r>
      <w:r w:rsidRPr="00405944">
        <w:t>sur les bonnes pratiques, les données d</w:t>
      </w:r>
      <w:r>
        <w:t>’</w:t>
      </w:r>
      <w:r w:rsidRPr="00405944">
        <w:t>expérience et les difficultés rencontrées en matière de promotion, de protection et de mise en œuvre du droit de participer aux affaires publiques, ainsi que sur les moyens de surmonter ces difficultés, dans le contexte du droit actuel des droits de l</w:t>
      </w:r>
      <w:r>
        <w:t>’</w:t>
      </w:r>
      <w:r w:rsidRPr="00405944">
        <w:t>homme</w:t>
      </w:r>
      <w:r>
        <w:t xml:space="preserve"> (A/HRC/30/26) (voir par.</w:t>
      </w:r>
      <w:r w:rsidR="00075B2E">
        <w:t> </w:t>
      </w:r>
      <w:r>
        <w:t>35 ci-dessus).</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Pr>
          <w:lang w:val="fr-FR"/>
        </w:rPr>
        <w:t>P</w:t>
      </w:r>
      <w:r w:rsidRPr="00337A41">
        <w:t xml:space="preserve">romotion de la vérité, de la justice, de la réparation et des garanties </w:t>
      </w:r>
      <w:r w:rsidR="00075B2E">
        <w:br/>
      </w:r>
      <w:r w:rsidRPr="00337A41">
        <w:t>de non-répétition</w:t>
      </w:r>
    </w:p>
    <w:p w:rsidR="00075B2E" w:rsidRPr="00075B2E" w:rsidRDefault="00075B2E" w:rsidP="00075B2E">
      <w:pPr>
        <w:pStyle w:val="SingleTxt"/>
        <w:spacing w:after="0" w:line="120" w:lineRule="exact"/>
        <w:rPr>
          <w:sz w:val="10"/>
        </w:rPr>
      </w:pPr>
    </w:p>
    <w:p w:rsidR="00676011" w:rsidRDefault="00676011" w:rsidP="00F54B6E">
      <w:pPr>
        <w:pStyle w:val="SingleTxt"/>
        <w:numPr>
          <w:ilvl w:val="0"/>
          <w:numId w:val="29"/>
        </w:numPr>
        <w:rPr>
          <w:lang w:val="fr-FR"/>
        </w:rPr>
      </w:pPr>
      <w:r w:rsidRPr="00E41698">
        <w:rPr>
          <w:lang w:val="fr-FR"/>
        </w:rPr>
        <w:t xml:space="preserve">Dans sa résolution </w:t>
      </w:r>
      <w:r>
        <w:rPr>
          <w:lang w:val="fr-FR"/>
        </w:rPr>
        <w:t>27/3</w:t>
      </w:r>
      <w:r w:rsidRPr="00E41698">
        <w:rPr>
          <w:lang w:val="fr-FR"/>
        </w:rPr>
        <w:t>, le Conseil des droits de l</w:t>
      </w:r>
      <w:r>
        <w:rPr>
          <w:lang w:val="fr-FR"/>
        </w:rPr>
        <w:t>’</w:t>
      </w:r>
      <w:r w:rsidRPr="00E41698">
        <w:rPr>
          <w:lang w:val="fr-FR"/>
        </w:rPr>
        <w:t xml:space="preserve">homme a décidé de </w:t>
      </w:r>
      <w:r>
        <w:rPr>
          <w:lang w:val="fr-FR"/>
        </w:rPr>
        <w:t xml:space="preserve">proroger </w:t>
      </w:r>
      <w:r w:rsidRPr="00E41698">
        <w:rPr>
          <w:lang w:val="fr-FR"/>
        </w:rPr>
        <w:t>le mandat du Rapporteur spécial</w:t>
      </w:r>
      <w:r w:rsidRPr="000E22DC">
        <w:t xml:space="preserve"> sur la </w:t>
      </w:r>
      <w:r w:rsidRPr="000E22DC">
        <w:rPr>
          <w:iCs/>
        </w:rPr>
        <w:t>promotion</w:t>
      </w:r>
      <w:r w:rsidRPr="000E22DC">
        <w:t xml:space="preserve"> de la vérité, de la justice, de la réparation et des garanties de non-répétition </w:t>
      </w:r>
      <w:r>
        <w:t xml:space="preserve">pour une période de trois ans </w:t>
      </w:r>
      <w:r w:rsidRPr="000E22DC">
        <w:t>dans les conditions prévues par le</w:t>
      </w:r>
      <w:r>
        <w:t xml:space="preserve"> Conseil dans sa résolution 18/7, et </w:t>
      </w:r>
      <w:r w:rsidRPr="000E22DC">
        <w:t>a prié le Rapporteur spécial de continuer à lui présenter un rapport annuel</w:t>
      </w:r>
      <w:r>
        <w:t xml:space="preserve"> ainsi qu’à l’Assemblée générale</w:t>
      </w:r>
      <w:r w:rsidRPr="000E22DC">
        <w:t>.</w:t>
      </w:r>
      <w:r>
        <w:t xml:space="preserve"> </w:t>
      </w:r>
      <w:r>
        <w:rPr>
          <w:lang w:val="fr-FR"/>
        </w:rPr>
        <w:t>Le Conseil examinera le rapport du titulaire de mandat, Pablo de Greiff (A/HRC/30/42 et Add.1 et 2).</w:t>
      </w:r>
    </w:p>
    <w:p w:rsidR="00075B2E" w:rsidRPr="00075B2E" w:rsidRDefault="00075B2E" w:rsidP="00075B2E">
      <w:pPr>
        <w:pStyle w:val="SingleTxt"/>
        <w:spacing w:after="0" w:line="120" w:lineRule="exact"/>
        <w:rPr>
          <w:sz w:val="10"/>
          <w:lang w:val="fr-FR"/>
        </w:rPr>
      </w:pPr>
    </w:p>
    <w:p w:rsidR="00676011" w:rsidRDefault="00075B2E"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676011" w:rsidRPr="000E22DC">
        <w:rPr>
          <w:lang w:val="fr-FR"/>
        </w:rPr>
        <w:t>Formes contemporaines d</w:t>
      </w:r>
      <w:r w:rsidR="00676011">
        <w:rPr>
          <w:lang w:val="fr-FR"/>
        </w:rPr>
        <w:t>’</w:t>
      </w:r>
      <w:r w:rsidR="00676011" w:rsidRPr="000E22DC">
        <w:rPr>
          <w:lang w:val="fr-FR"/>
        </w:rPr>
        <w:t>esclavage</w:t>
      </w:r>
    </w:p>
    <w:p w:rsidR="00075B2E" w:rsidRPr="00075B2E" w:rsidRDefault="00075B2E" w:rsidP="00075B2E">
      <w:pPr>
        <w:pStyle w:val="SingleTxt"/>
        <w:spacing w:after="0" w:line="120" w:lineRule="exact"/>
        <w:rPr>
          <w:sz w:val="10"/>
          <w:lang w:val="fr-FR"/>
        </w:rPr>
      </w:pPr>
    </w:p>
    <w:p w:rsidR="00676011" w:rsidRPr="00075B2E" w:rsidRDefault="00676011" w:rsidP="00F54B6E">
      <w:pPr>
        <w:pStyle w:val="SingleTxt"/>
        <w:numPr>
          <w:ilvl w:val="0"/>
          <w:numId w:val="29"/>
        </w:numPr>
        <w:rPr>
          <w:lang w:val="fr-FR"/>
        </w:rPr>
      </w:pPr>
      <w:r>
        <w:rPr>
          <w:lang w:val="fr-FR"/>
        </w:rPr>
        <w:t xml:space="preserve">Dans sa résolution 24/3, le Conseil des droits de l’homme a décidé de renouveler, pour une période de trois ans, le mandat du </w:t>
      </w:r>
      <w:r w:rsidRPr="00337A41">
        <w:rPr>
          <w:iCs/>
        </w:rPr>
        <w:t>Rapporteur spécial sur les formes contemporaines d</w:t>
      </w:r>
      <w:r>
        <w:rPr>
          <w:iCs/>
        </w:rPr>
        <w:t>’</w:t>
      </w:r>
      <w:r w:rsidRPr="00337A41">
        <w:rPr>
          <w:iCs/>
        </w:rPr>
        <w:t>esclavage, y compris leurs causes et leurs conséquences</w:t>
      </w:r>
      <w:r>
        <w:rPr>
          <w:iCs/>
        </w:rPr>
        <w:t xml:space="preserve">, et a décidé que </w:t>
      </w:r>
      <w:r w:rsidRPr="00337A41">
        <w:rPr>
          <w:iCs/>
        </w:rPr>
        <w:t xml:space="preserve">le Rapporteur spécial </w:t>
      </w:r>
      <w:r>
        <w:rPr>
          <w:iCs/>
        </w:rPr>
        <w:t>devrait examiner</w:t>
      </w:r>
      <w:r w:rsidRPr="00337A41">
        <w:rPr>
          <w:iCs/>
        </w:rPr>
        <w:t xml:space="preserve"> toutes les formes contemporaines d</w:t>
      </w:r>
      <w:r>
        <w:rPr>
          <w:iCs/>
        </w:rPr>
        <w:t>’</w:t>
      </w:r>
      <w:r w:rsidRPr="00337A41">
        <w:rPr>
          <w:iCs/>
        </w:rPr>
        <w:t>esclavage et les pratiques analogues à l</w:t>
      </w:r>
      <w:r>
        <w:rPr>
          <w:iCs/>
        </w:rPr>
        <w:t>’</w:t>
      </w:r>
      <w:r w:rsidRPr="00337A41">
        <w:rPr>
          <w:iCs/>
        </w:rPr>
        <w:t>esclavage, mais en particulier celles définies dans la Convention de 1926 relative à l</w:t>
      </w:r>
      <w:r>
        <w:rPr>
          <w:iCs/>
        </w:rPr>
        <w:t>’</w:t>
      </w:r>
      <w:r w:rsidRPr="00337A41">
        <w:rPr>
          <w:iCs/>
        </w:rPr>
        <w:t>esclavage et dans la Convention supplémentaire de 1956 relative à l</w:t>
      </w:r>
      <w:r>
        <w:rPr>
          <w:iCs/>
        </w:rPr>
        <w:t>’</w:t>
      </w:r>
      <w:r w:rsidRPr="00337A41">
        <w:rPr>
          <w:iCs/>
        </w:rPr>
        <w:t>abolition de l</w:t>
      </w:r>
      <w:r>
        <w:rPr>
          <w:iCs/>
        </w:rPr>
        <w:t>’</w:t>
      </w:r>
      <w:r w:rsidRPr="00337A41">
        <w:rPr>
          <w:iCs/>
        </w:rPr>
        <w:t>esclavage, de la traite des esclaves et des institutions et pra</w:t>
      </w:r>
      <w:r>
        <w:rPr>
          <w:iCs/>
        </w:rPr>
        <w:t>tiques analogues à l’esclavage. Il a également prié</w:t>
      </w:r>
      <w:r w:rsidRPr="00337A41">
        <w:rPr>
          <w:iCs/>
        </w:rPr>
        <w:t xml:space="preserve"> le Rapporteur spécial de </w:t>
      </w:r>
      <w:r>
        <w:rPr>
          <w:iCs/>
        </w:rPr>
        <w:t xml:space="preserve">lui </w:t>
      </w:r>
      <w:r w:rsidRPr="00337A41">
        <w:rPr>
          <w:iCs/>
        </w:rPr>
        <w:t xml:space="preserve">présenter </w:t>
      </w:r>
      <w:r>
        <w:rPr>
          <w:iCs/>
        </w:rPr>
        <w:t>des</w:t>
      </w:r>
      <w:r w:rsidRPr="00337A41">
        <w:rPr>
          <w:iCs/>
        </w:rPr>
        <w:t xml:space="preserve"> rapport</w:t>
      </w:r>
      <w:r>
        <w:rPr>
          <w:iCs/>
        </w:rPr>
        <w:t>s</w:t>
      </w:r>
      <w:r w:rsidRPr="00337A41">
        <w:rPr>
          <w:iCs/>
        </w:rPr>
        <w:t xml:space="preserve"> annuel</w:t>
      </w:r>
      <w:r>
        <w:rPr>
          <w:iCs/>
        </w:rPr>
        <w:t>s</w:t>
      </w:r>
      <w:r w:rsidRPr="00337A41">
        <w:rPr>
          <w:iCs/>
        </w:rPr>
        <w:t>, ainsi que des recommandations sur les mesures à prendre pour combattre et éradiquer les formes contemporaines d</w:t>
      </w:r>
      <w:r>
        <w:rPr>
          <w:iCs/>
        </w:rPr>
        <w:t>’</w:t>
      </w:r>
      <w:r w:rsidRPr="00337A41">
        <w:rPr>
          <w:iCs/>
        </w:rPr>
        <w:t>esclavage et les pratiques analogues à l</w:t>
      </w:r>
      <w:r>
        <w:rPr>
          <w:iCs/>
        </w:rPr>
        <w:t>’</w:t>
      </w:r>
      <w:r w:rsidRPr="00337A41">
        <w:rPr>
          <w:iCs/>
        </w:rPr>
        <w:t>esclavage et pour protéger les droits fondamentau</w:t>
      </w:r>
      <w:r>
        <w:rPr>
          <w:iCs/>
        </w:rPr>
        <w:t>x des victimes de telles pratiques. Le Conseil examinera le rapport de la titulaire de mandat, Urm</w:t>
      </w:r>
      <w:r w:rsidR="00075B2E">
        <w:rPr>
          <w:iCs/>
        </w:rPr>
        <w:t>ila Bhoola (A/HRC/30/35 et Add.</w:t>
      </w:r>
      <w:r>
        <w:rPr>
          <w:iCs/>
        </w:rPr>
        <w:t>1 à</w:t>
      </w:r>
      <w:r w:rsidR="00075B2E">
        <w:rPr>
          <w:iCs/>
        </w:rPr>
        <w:t> </w:t>
      </w:r>
      <w:r>
        <w:rPr>
          <w:iCs/>
        </w:rPr>
        <w:t>4).</w:t>
      </w:r>
    </w:p>
    <w:p w:rsidR="00075B2E" w:rsidRPr="00075B2E" w:rsidRDefault="00075B2E" w:rsidP="00075B2E">
      <w:pPr>
        <w:pStyle w:val="SingleTxt"/>
        <w:spacing w:after="0" w:line="120" w:lineRule="exact"/>
        <w:rPr>
          <w:iCs/>
          <w:sz w:val="10"/>
        </w:rPr>
      </w:pPr>
    </w:p>
    <w:p w:rsidR="00676011" w:rsidRDefault="00075B2E"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676011" w:rsidRPr="00337A41">
        <w:rPr>
          <w:lang w:val="fr-FR"/>
        </w:rPr>
        <w:t>Détention arbitraire</w:t>
      </w:r>
    </w:p>
    <w:p w:rsidR="00075B2E" w:rsidRPr="00075B2E" w:rsidRDefault="00075B2E" w:rsidP="008A3852">
      <w:pPr>
        <w:pStyle w:val="SingleTxt"/>
        <w:keepNext/>
        <w:keepLines/>
        <w:spacing w:after="0" w:line="120" w:lineRule="exact"/>
        <w:rPr>
          <w:sz w:val="10"/>
          <w:lang w:val="fr-FR"/>
        </w:rPr>
      </w:pPr>
    </w:p>
    <w:p w:rsidR="00676011" w:rsidRDefault="00676011" w:rsidP="00F54B6E">
      <w:pPr>
        <w:pStyle w:val="SingleTxt"/>
        <w:numPr>
          <w:ilvl w:val="0"/>
          <w:numId w:val="29"/>
        </w:numPr>
        <w:rPr>
          <w:lang w:val="fr-FR"/>
        </w:rPr>
      </w:pPr>
      <w:r>
        <w:rPr>
          <w:lang w:val="fr-FR"/>
        </w:rPr>
        <w:t xml:space="preserve">Dans sa résolution 6/4, le Conseil </w:t>
      </w:r>
      <w:r w:rsidRPr="00EB606B">
        <w:rPr>
          <w:lang w:val="fr-FR"/>
        </w:rPr>
        <w:t>des droits de l</w:t>
      </w:r>
      <w:r>
        <w:rPr>
          <w:lang w:val="fr-FR"/>
        </w:rPr>
        <w:t>’</w:t>
      </w:r>
      <w:r w:rsidRPr="00EB606B">
        <w:rPr>
          <w:lang w:val="fr-FR"/>
        </w:rPr>
        <w:t>homme a prié le Secrétaire g</w:t>
      </w:r>
      <w:r>
        <w:rPr>
          <w:lang w:val="fr-FR"/>
        </w:rPr>
        <w:t>é</w:t>
      </w:r>
      <w:r w:rsidRPr="00EB606B">
        <w:rPr>
          <w:lang w:val="fr-FR"/>
        </w:rPr>
        <w:t>n</w:t>
      </w:r>
      <w:r>
        <w:rPr>
          <w:lang w:val="fr-FR"/>
        </w:rPr>
        <w:t>é</w:t>
      </w:r>
      <w:r w:rsidRPr="00EB606B">
        <w:rPr>
          <w:lang w:val="fr-FR"/>
        </w:rPr>
        <w:t>ral de fournir toute l</w:t>
      </w:r>
      <w:r>
        <w:rPr>
          <w:lang w:val="fr-FR"/>
        </w:rPr>
        <w:t>’</w:t>
      </w:r>
      <w:r w:rsidRPr="00EB606B">
        <w:rPr>
          <w:lang w:val="fr-FR"/>
        </w:rPr>
        <w:t>assistance n</w:t>
      </w:r>
      <w:r>
        <w:rPr>
          <w:lang w:val="fr-FR"/>
        </w:rPr>
        <w:t>é</w:t>
      </w:r>
      <w:r w:rsidRPr="00EB606B">
        <w:rPr>
          <w:lang w:val="fr-FR"/>
        </w:rPr>
        <w:t xml:space="preserve">cessaire au Groupe de travail sur </w:t>
      </w:r>
      <w:r>
        <w:rPr>
          <w:lang w:val="fr-FR"/>
        </w:rPr>
        <w:t>la</w:t>
      </w:r>
      <w:r w:rsidRPr="00EB606B">
        <w:rPr>
          <w:lang w:val="fr-FR"/>
        </w:rPr>
        <w:t xml:space="preserve"> d</w:t>
      </w:r>
      <w:r>
        <w:rPr>
          <w:lang w:val="fr-FR"/>
        </w:rPr>
        <w:t>é</w:t>
      </w:r>
      <w:r w:rsidRPr="00EB606B">
        <w:rPr>
          <w:lang w:val="fr-FR"/>
        </w:rPr>
        <w:t>tention arbit</w:t>
      </w:r>
      <w:r>
        <w:rPr>
          <w:lang w:val="fr-FR"/>
        </w:rPr>
        <w:t>r</w:t>
      </w:r>
      <w:r w:rsidRPr="00EB606B">
        <w:rPr>
          <w:lang w:val="fr-FR"/>
        </w:rPr>
        <w:t>aire</w:t>
      </w:r>
      <w:r>
        <w:rPr>
          <w:lang w:val="fr-FR"/>
        </w:rPr>
        <w:t>. Dans sa résolution 24/7, le Conseil a décidé de proroger de trois ans le mandat du Groupe de travail. Le Conseil examinera le rapport du Groupe de travail (A/HRC/30/36 et Add.1 à 6) et sera saisi des méthodes de travail du Groupe de travail (A/HRC/30/69).</w:t>
      </w:r>
    </w:p>
    <w:p w:rsidR="00676011" w:rsidRPr="00075B2E" w:rsidRDefault="00676011" w:rsidP="00F54B6E">
      <w:pPr>
        <w:pStyle w:val="SingleTxt"/>
        <w:numPr>
          <w:ilvl w:val="0"/>
          <w:numId w:val="29"/>
        </w:numPr>
        <w:rPr>
          <w:lang w:val="fr-FR"/>
        </w:rPr>
      </w:pPr>
      <w:r w:rsidRPr="00EB606B">
        <w:rPr>
          <w:lang w:val="fr-FR"/>
        </w:rPr>
        <w:t>Dans sa résolution 20/16, le Conseil des droits de l</w:t>
      </w:r>
      <w:r>
        <w:rPr>
          <w:lang w:val="fr-FR"/>
        </w:rPr>
        <w:t>’</w:t>
      </w:r>
      <w:r w:rsidRPr="00EB606B">
        <w:rPr>
          <w:lang w:val="fr-FR"/>
        </w:rPr>
        <w:t xml:space="preserve">homme </w:t>
      </w:r>
      <w:bookmarkStart w:id="11" w:name="_Toc220321000"/>
      <w:r>
        <w:rPr>
          <w:lang w:val="fr-FR"/>
        </w:rPr>
        <w:t xml:space="preserve">a prié le </w:t>
      </w:r>
      <w:r w:rsidRPr="00EB606B">
        <w:rPr>
          <w:lang w:val="fr-FR"/>
        </w:rPr>
        <w:t>Groupe de travail d</w:t>
      </w:r>
      <w:r>
        <w:rPr>
          <w:lang w:val="fr-FR"/>
        </w:rPr>
        <w:t>’</w:t>
      </w:r>
      <w:r w:rsidRPr="00EB606B">
        <w:rPr>
          <w:lang w:val="fr-FR"/>
        </w:rPr>
        <w:t xml:space="preserve">établir un projet de principes de base et de lignes directrices concernant les recours et procédures devant être disponibles eu égard </w:t>
      </w:r>
      <w:r w:rsidRPr="00F52B98">
        <w:rPr>
          <w:lang w:val="fr-FR"/>
        </w:rPr>
        <w:t>au droit de quiconque se trouve privé de sa liberté</w:t>
      </w:r>
      <w:r>
        <w:rPr>
          <w:lang w:val="fr-FR"/>
        </w:rPr>
        <w:t xml:space="preserve"> </w:t>
      </w:r>
      <w:r w:rsidRPr="00F52B98">
        <w:rPr>
          <w:lang w:val="fr-FR"/>
        </w:rPr>
        <w:t>par arrestation ou détention d</w:t>
      </w:r>
      <w:r>
        <w:rPr>
          <w:lang w:val="fr-FR"/>
        </w:rPr>
        <w:t>’</w:t>
      </w:r>
      <w:r w:rsidRPr="00F52B98">
        <w:rPr>
          <w:lang w:val="fr-FR"/>
        </w:rPr>
        <w:t xml:space="preserve">introduire un recours devant un tribunal afin que celui-ci statue sans délai sur la légalité de sa détention et ordonne sa libération si la détention est illégale, </w:t>
      </w:r>
      <w:r w:rsidRPr="00EB606B">
        <w:rPr>
          <w:lang w:val="fr-FR"/>
        </w:rPr>
        <w:t>en vue d</w:t>
      </w:r>
      <w:r>
        <w:rPr>
          <w:lang w:val="fr-FR"/>
        </w:rPr>
        <w:t>’</w:t>
      </w:r>
      <w:r w:rsidRPr="00EB606B">
        <w:rPr>
          <w:lang w:val="fr-FR"/>
        </w:rPr>
        <w:t>aider les États Membres à s</w:t>
      </w:r>
      <w:r>
        <w:rPr>
          <w:lang w:val="fr-FR"/>
        </w:rPr>
        <w:t>’</w:t>
      </w:r>
      <w:r w:rsidRPr="00EB606B">
        <w:rPr>
          <w:lang w:val="fr-FR"/>
        </w:rPr>
        <w:t>acquitter de leur obligation d</w:t>
      </w:r>
      <w:r>
        <w:rPr>
          <w:lang w:val="fr-FR"/>
        </w:rPr>
        <w:t>’</w:t>
      </w:r>
      <w:r w:rsidRPr="00EB606B">
        <w:rPr>
          <w:lang w:val="fr-FR"/>
        </w:rPr>
        <w:t>éviter la privation arbitraire de liberté conformément au droit international des droits de l</w:t>
      </w:r>
      <w:r>
        <w:rPr>
          <w:lang w:val="fr-FR"/>
        </w:rPr>
        <w:t>’</w:t>
      </w:r>
      <w:r w:rsidRPr="00EB606B">
        <w:rPr>
          <w:lang w:val="fr-FR"/>
        </w:rPr>
        <w:t>homme</w:t>
      </w:r>
      <w:bookmarkEnd w:id="11"/>
      <w:r>
        <w:rPr>
          <w:lang w:val="fr-FR"/>
        </w:rPr>
        <w:t>. Il l’a également prié de lui</w:t>
      </w:r>
      <w:r w:rsidRPr="00F52B98">
        <w:t xml:space="preserve"> présenter le projet de principes de base et de lignes directrices avant la fin 2015</w:t>
      </w:r>
      <w:r>
        <w:t>. Le Conseil examinera le rapport du Groupe de travail renfermant les principes de base et les lignes directrices (A/HRC/30/37).</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F52B98">
        <w:t>Disparitions forcées ou involontaires</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lang w:val="fr-FR"/>
        </w:rPr>
      </w:pPr>
      <w:r w:rsidRPr="00E41698">
        <w:rPr>
          <w:lang w:val="fr-FR"/>
        </w:rPr>
        <w:t xml:space="preserve">Dans sa résolution </w:t>
      </w:r>
      <w:r>
        <w:rPr>
          <w:lang w:val="fr-FR"/>
        </w:rPr>
        <w:t>27/1</w:t>
      </w:r>
      <w:r w:rsidRPr="00E41698">
        <w:rPr>
          <w:lang w:val="fr-FR"/>
        </w:rPr>
        <w:t>, le Conseil des droits de l</w:t>
      </w:r>
      <w:r>
        <w:rPr>
          <w:lang w:val="fr-FR"/>
        </w:rPr>
        <w:t>’</w:t>
      </w:r>
      <w:r w:rsidRPr="00E41698">
        <w:rPr>
          <w:lang w:val="fr-FR"/>
        </w:rPr>
        <w:t xml:space="preserve">homme a </w:t>
      </w:r>
      <w:r>
        <w:rPr>
          <w:lang w:val="fr-FR"/>
        </w:rPr>
        <w:t>décidé</w:t>
      </w:r>
      <w:r w:rsidRPr="00F52B98">
        <w:t xml:space="preserve"> de proroger le mandat du Groupe de travail sur les disparitions forcées ou involontaires pour une durée supplémentaire de trois ans, </w:t>
      </w:r>
      <w:r>
        <w:t>dans les conditions</w:t>
      </w:r>
      <w:r w:rsidRPr="00F52B98">
        <w:t xml:space="preserve"> énoncé</w:t>
      </w:r>
      <w:r>
        <w:t>e</w:t>
      </w:r>
      <w:r w:rsidRPr="00F52B98">
        <w:t>s dan</w:t>
      </w:r>
      <w:r>
        <w:t>s sa résolution 7/12. Le Conseil examinera le rapport du Groupe de travail (A/HRC/30/38 et Add.1 à</w:t>
      </w:r>
      <w:r w:rsidR="00075B2E">
        <w:t> </w:t>
      </w:r>
      <w:r>
        <w:t>8).</w:t>
      </w:r>
    </w:p>
    <w:p w:rsidR="00075B2E" w:rsidRPr="00075B2E" w:rsidRDefault="00075B2E" w:rsidP="00075B2E">
      <w:pPr>
        <w:pStyle w:val="SingleTxt"/>
        <w:spacing w:after="0" w:line="120" w:lineRule="exact"/>
        <w:rPr>
          <w:sz w:val="10"/>
        </w:rPr>
      </w:pPr>
    </w:p>
    <w:p w:rsidR="00075B2E" w:rsidRPr="00075B2E" w:rsidRDefault="00075B2E" w:rsidP="00075B2E">
      <w:pPr>
        <w:pStyle w:val="SingleTxt"/>
        <w:spacing w:after="0" w:line="120" w:lineRule="exact"/>
        <w:rPr>
          <w:sz w:val="10"/>
          <w:lang w:val="fr-FR"/>
        </w:rPr>
      </w:pPr>
    </w:p>
    <w:p w:rsidR="00676011" w:rsidRDefault="00676011" w:rsidP="00075B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rPr>
        <w:tab/>
      </w:r>
      <w:r>
        <w:rPr>
          <w:lang w:val="fr-FR"/>
        </w:rPr>
        <w:t>C</w:t>
      </w:r>
      <w:r w:rsidRPr="00105612">
        <w:rPr>
          <w:lang w:val="fr-FR"/>
        </w:rPr>
        <w:t>.</w:t>
      </w:r>
      <w:r w:rsidRPr="00105612">
        <w:rPr>
          <w:lang w:val="fr-FR"/>
        </w:rPr>
        <w:tab/>
        <w:t>Droit</w:t>
      </w:r>
      <w:r>
        <w:rPr>
          <w:lang w:val="fr-FR"/>
        </w:rPr>
        <w:t xml:space="preserve"> au développement</w:t>
      </w:r>
    </w:p>
    <w:p w:rsidR="00075B2E" w:rsidRPr="00075B2E" w:rsidRDefault="00075B2E" w:rsidP="00075B2E">
      <w:pPr>
        <w:pStyle w:val="SingleTxt"/>
        <w:spacing w:after="0" w:line="120" w:lineRule="exact"/>
        <w:rPr>
          <w:sz w:val="10"/>
          <w:lang w:val="fr-FR"/>
        </w:rPr>
      </w:pPr>
    </w:p>
    <w:p w:rsidR="00075B2E" w:rsidRPr="00075B2E" w:rsidRDefault="00075B2E" w:rsidP="00075B2E">
      <w:pPr>
        <w:pStyle w:val="SingleTxt"/>
        <w:spacing w:after="0" w:line="120" w:lineRule="exact"/>
        <w:rPr>
          <w:sz w:val="10"/>
          <w:lang w:val="fr-FR"/>
        </w:rPr>
      </w:pPr>
    </w:p>
    <w:p w:rsidR="00676011" w:rsidRPr="00E41698" w:rsidRDefault="00676011" w:rsidP="00F54B6E">
      <w:pPr>
        <w:pStyle w:val="SingleTxt"/>
        <w:numPr>
          <w:ilvl w:val="0"/>
          <w:numId w:val="29"/>
        </w:numPr>
        <w:rPr>
          <w:lang w:val="fr-FR"/>
        </w:rPr>
      </w:pPr>
      <w:r>
        <w:rPr>
          <w:lang w:val="fr-FR" w:eastAsia="zh-CN"/>
        </w:rPr>
        <w:t>Dans</w:t>
      </w:r>
      <w:r>
        <w:rPr>
          <w:lang w:val="fr-FR"/>
        </w:rPr>
        <w:t xml:space="preserve"> sa résolution 9/3, le Conseil des droits de l’homme a décidé que le </w:t>
      </w:r>
      <w:r w:rsidRPr="00610A40">
        <w:t>Groupe de travail sur le droit au développement</w:t>
      </w:r>
      <w:r>
        <w:t xml:space="preserve"> </w:t>
      </w:r>
      <w:r w:rsidRPr="00610A40">
        <w:t>se réunirait en session</w:t>
      </w:r>
      <w:r>
        <w:t>s</w:t>
      </w:r>
      <w:r w:rsidRPr="00610A40">
        <w:t xml:space="preserve"> annuelle</w:t>
      </w:r>
      <w:r>
        <w:t>s</w:t>
      </w:r>
      <w:r w:rsidRPr="00610A40">
        <w:t xml:space="preserve"> de cinq jours et lui présenterait ses rapports.</w:t>
      </w:r>
      <w:r>
        <w:rPr>
          <w:lang w:val="fr-FR"/>
        </w:rPr>
        <w:t xml:space="preserve"> Le Conseil sera saisi d’une note du secrétariat (A/HRC/30/46) selon laquelle il est prévu que la seizième réunion du Groupe de travail reprenne du</w:t>
      </w:r>
      <w:r w:rsidR="00075B2E">
        <w:rPr>
          <w:lang w:val="fr-FR"/>
        </w:rPr>
        <w:t> </w:t>
      </w:r>
      <w:r>
        <w:rPr>
          <w:lang w:val="fr-FR"/>
        </w:rPr>
        <w:t>1</w:t>
      </w:r>
      <w:r w:rsidRPr="00610A40">
        <w:rPr>
          <w:vertAlign w:val="superscript"/>
          <w:lang w:val="fr-FR"/>
        </w:rPr>
        <w:t>er</w:t>
      </w:r>
      <w:r>
        <w:rPr>
          <w:lang w:val="fr-FR"/>
        </w:rPr>
        <w:t xml:space="preserve"> au 4</w:t>
      </w:r>
      <w:r w:rsidR="00075B2E">
        <w:rPr>
          <w:lang w:val="fr-FR"/>
        </w:rPr>
        <w:t> </w:t>
      </w:r>
      <w:r>
        <w:rPr>
          <w:lang w:val="fr-FR"/>
        </w:rPr>
        <w:t xml:space="preserve">septembre 2015 et, qu’en conséquence, le rapport </w:t>
      </w:r>
      <w:r w:rsidRPr="00610A40">
        <w:t>sera soumis au Conseil à une session ultérieure</w:t>
      </w:r>
      <w:r>
        <w:t>.</w:t>
      </w:r>
    </w:p>
    <w:p w:rsidR="00676011" w:rsidRDefault="00676011" w:rsidP="00F54B6E">
      <w:pPr>
        <w:pStyle w:val="SingleTxt"/>
        <w:numPr>
          <w:ilvl w:val="0"/>
          <w:numId w:val="29"/>
        </w:numPr>
        <w:rPr>
          <w:lang w:val="fr-FR"/>
        </w:rPr>
      </w:pPr>
      <w:r>
        <w:rPr>
          <w:lang w:val="fr-FR"/>
        </w:rPr>
        <w:t>On se reportera</w:t>
      </w:r>
      <w:r w:rsidRPr="00E41698">
        <w:rPr>
          <w:lang w:val="fr-FR"/>
        </w:rPr>
        <w:t xml:space="preserve"> </w:t>
      </w:r>
      <w:r w:rsidRPr="00610A40">
        <w:t xml:space="preserve">également au rapport conjoint du Secrétaire général et </w:t>
      </w:r>
      <w:r>
        <w:t>du</w:t>
      </w:r>
      <w:r w:rsidRPr="00610A40">
        <w:t xml:space="preserve"> Haut-Commissaire</w:t>
      </w:r>
      <w:r>
        <w:t xml:space="preserve"> sur le droit au développement </w:t>
      </w:r>
      <w:r w:rsidRPr="00E41698">
        <w:rPr>
          <w:lang w:val="fr-FR"/>
        </w:rPr>
        <w:t>(A/HRC/</w:t>
      </w:r>
      <w:r>
        <w:rPr>
          <w:lang w:val="fr-FR"/>
        </w:rPr>
        <w:t>30</w:t>
      </w:r>
      <w:r w:rsidRPr="00E41698">
        <w:rPr>
          <w:lang w:val="fr-FR"/>
        </w:rPr>
        <w:t>/</w:t>
      </w:r>
      <w:r>
        <w:rPr>
          <w:lang w:val="fr-FR"/>
        </w:rPr>
        <w:t>22</w:t>
      </w:r>
      <w:r w:rsidRPr="00E41698">
        <w:rPr>
          <w:lang w:val="fr-FR"/>
        </w:rPr>
        <w:t>) (voir par. </w:t>
      </w:r>
      <w:r>
        <w:rPr>
          <w:lang w:val="fr-FR"/>
        </w:rPr>
        <w:t>26</w:t>
      </w:r>
      <w:r w:rsidRPr="00E41698">
        <w:rPr>
          <w:lang w:val="fr-FR"/>
        </w:rPr>
        <w:t xml:space="preserve"> ci-dessus).</w:t>
      </w:r>
    </w:p>
    <w:p w:rsidR="00075B2E" w:rsidRPr="00075B2E" w:rsidRDefault="00075B2E" w:rsidP="00075B2E">
      <w:pPr>
        <w:pStyle w:val="SingleTxt"/>
        <w:spacing w:after="0" w:line="120" w:lineRule="exact"/>
        <w:rPr>
          <w:sz w:val="10"/>
          <w:lang w:val="fr-FR"/>
        </w:rPr>
      </w:pPr>
    </w:p>
    <w:p w:rsidR="00075B2E" w:rsidRPr="00075B2E" w:rsidRDefault="00075B2E" w:rsidP="00075B2E">
      <w:pPr>
        <w:pStyle w:val="SingleTxt"/>
        <w:spacing w:after="0" w:line="120" w:lineRule="exact"/>
        <w:rPr>
          <w:sz w:val="10"/>
          <w:lang w:val="fr-FR"/>
        </w:rPr>
      </w:pPr>
    </w:p>
    <w:p w:rsidR="00676011" w:rsidRDefault="00676011" w:rsidP="00075B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FR"/>
        </w:rPr>
        <w:tab/>
        <w:t>D</w:t>
      </w:r>
      <w:r w:rsidRPr="00105612">
        <w:rPr>
          <w:lang w:val="fr-FR"/>
        </w:rPr>
        <w:t>.</w:t>
      </w:r>
      <w:r w:rsidRPr="00105612">
        <w:rPr>
          <w:lang w:val="fr-FR"/>
        </w:rPr>
        <w:tab/>
      </w:r>
      <w:r w:rsidRPr="00610A40">
        <w:t xml:space="preserve">Droits des peuples et de groupes et individus particuliers </w:t>
      </w:r>
    </w:p>
    <w:p w:rsidR="00075B2E" w:rsidRPr="00075B2E" w:rsidRDefault="00075B2E" w:rsidP="00075B2E">
      <w:pPr>
        <w:pStyle w:val="SingleTxt"/>
        <w:spacing w:after="0" w:line="120" w:lineRule="exact"/>
        <w:rPr>
          <w:sz w:val="10"/>
        </w:rPr>
      </w:pP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Droits de l’enfant</w:t>
      </w:r>
    </w:p>
    <w:p w:rsidR="00075B2E" w:rsidRPr="00075B2E" w:rsidRDefault="00075B2E" w:rsidP="00075B2E">
      <w:pPr>
        <w:pStyle w:val="SingleTxt"/>
        <w:spacing w:after="0" w:line="120" w:lineRule="exact"/>
        <w:rPr>
          <w:sz w:val="10"/>
          <w:lang w:val="fr-FR"/>
        </w:rPr>
      </w:pPr>
    </w:p>
    <w:p w:rsidR="00676011" w:rsidRPr="00075B2E" w:rsidRDefault="00676011" w:rsidP="00F54B6E">
      <w:pPr>
        <w:pStyle w:val="SingleTxt"/>
        <w:numPr>
          <w:ilvl w:val="0"/>
          <w:numId w:val="29"/>
        </w:numPr>
        <w:rPr>
          <w:lang w:val="fr-FR"/>
        </w:rPr>
      </w:pPr>
      <w:r>
        <w:rPr>
          <w:lang w:val="fr-FR"/>
        </w:rPr>
        <w:t>On se reportera au rapport de synthèse du Haut-Commissaire sur la</w:t>
      </w:r>
      <w:r w:rsidRPr="00FC3F53">
        <w:t xml:space="preserve"> journée de </w:t>
      </w:r>
      <w:r>
        <w:t>débat organisée sur le thème</w:t>
      </w:r>
      <w:r w:rsidRPr="00FC3F53">
        <w:t xml:space="preserve"> </w:t>
      </w:r>
      <w:r w:rsidR="00075B2E">
        <w:t>« </w:t>
      </w:r>
      <w:r w:rsidRPr="00FC3F53">
        <w:t>Vers un meilleur investissement dans les droits de l</w:t>
      </w:r>
      <w:r>
        <w:t>’</w:t>
      </w:r>
      <w:r w:rsidRPr="00FC3F53">
        <w:t>enfant</w:t>
      </w:r>
      <w:r>
        <w:t> »</w:t>
      </w:r>
      <w:r w:rsidRPr="00FC3F53">
        <w:t xml:space="preserve">, </w:t>
      </w:r>
      <w:r>
        <w:t>tenue à la vingt-huitième session (A/HRC/30/62) (voir par.</w:t>
      </w:r>
      <w:r w:rsidR="00075B2E">
        <w:t> </w:t>
      </w:r>
      <w:r>
        <w:t>28 ci-dessus).</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t>D</w:t>
      </w:r>
      <w:r w:rsidRPr="00F164DE">
        <w:t>roits des peuples autochtones</w:t>
      </w:r>
    </w:p>
    <w:p w:rsidR="00075B2E" w:rsidRPr="00075B2E" w:rsidRDefault="00075B2E" w:rsidP="00075B2E">
      <w:pPr>
        <w:pStyle w:val="SingleTxt"/>
        <w:spacing w:after="0" w:line="120" w:lineRule="exact"/>
        <w:rPr>
          <w:sz w:val="10"/>
        </w:rPr>
      </w:pPr>
    </w:p>
    <w:p w:rsidR="00676011" w:rsidRPr="00C63C77" w:rsidRDefault="00676011" w:rsidP="00F54B6E">
      <w:pPr>
        <w:pStyle w:val="SingleTxt"/>
        <w:numPr>
          <w:ilvl w:val="0"/>
          <w:numId w:val="29"/>
        </w:numPr>
        <w:rPr>
          <w:lang w:val="fr-FR"/>
        </w:rPr>
      </w:pPr>
      <w:r w:rsidRPr="00E41698">
        <w:rPr>
          <w:lang w:val="fr-FR"/>
        </w:rPr>
        <w:t>Dans sa résolution 2</w:t>
      </w:r>
      <w:r>
        <w:rPr>
          <w:lang w:val="fr-FR"/>
        </w:rPr>
        <w:t>4</w:t>
      </w:r>
      <w:r w:rsidRPr="00E41698">
        <w:rPr>
          <w:lang w:val="fr-FR"/>
        </w:rPr>
        <w:t>/</w:t>
      </w:r>
      <w:r>
        <w:rPr>
          <w:lang w:val="fr-FR"/>
        </w:rPr>
        <w:t>9</w:t>
      </w:r>
      <w:r w:rsidRPr="00E41698">
        <w:rPr>
          <w:lang w:val="fr-FR"/>
        </w:rPr>
        <w:t xml:space="preserve">, </w:t>
      </w:r>
      <w:r w:rsidRPr="00F164DE">
        <w:t xml:space="preserve">le Conseil </w:t>
      </w:r>
      <w:r>
        <w:t xml:space="preserve">des droits de l’homme </w:t>
      </w:r>
      <w:r w:rsidRPr="00F164DE">
        <w:t xml:space="preserve">a décidé de </w:t>
      </w:r>
      <w:r>
        <w:t>prolonger</w:t>
      </w:r>
      <w:r w:rsidRPr="00F164DE">
        <w:t xml:space="preserve"> le mandat du Rapporteur spécial sur les droits des peuples autochtones pour une période de trois ans, dans les conditions prévues dans sa résolution 15/14.</w:t>
      </w:r>
      <w:r>
        <w:t xml:space="preserve"> Le Conseil examinera le rapport de la titulaire de mandat, </w:t>
      </w:r>
      <w:r w:rsidRPr="00F164DE">
        <w:rPr>
          <w:lang w:val="en-GB"/>
        </w:rPr>
        <w:t>Victoria Lucia Tauli-Corpuz (</w:t>
      </w:r>
      <w:hyperlink r:id="rId16" w:tgtFrame="_blank" w:history="1">
        <w:r w:rsidRPr="00F164DE">
          <w:rPr>
            <w:rStyle w:val="Hyperlink"/>
            <w:lang w:val="en-GB"/>
          </w:rPr>
          <w:t>A/HRC/30/41</w:t>
        </w:r>
      </w:hyperlink>
      <w:r w:rsidRPr="00F164DE">
        <w:rPr>
          <w:lang w:val="en-GB"/>
        </w:rPr>
        <w:t xml:space="preserve"> </w:t>
      </w:r>
      <w:r>
        <w:rPr>
          <w:lang w:val="en-GB"/>
        </w:rPr>
        <w:t>et</w:t>
      </w:r>
      <w:r w:rsidRPr="00F164DE">
        <w:rPr>
          <w:lang w:val="en-GB"/>
        </w:rPr>
        <w:t xml:space="preserve"> Add.1</w:t>
      </w:r>
      <w:r>
        <w:rPr>
          <w:lang w:val="en-GB"/>
        </w:rPr>
        <w:t xml:space="preserve"> et</w:t>
      </w:r>
      <w:r w:rsidR="00075B2E">
        <w:rPr>
          <w:lang w:val="en-GB"/>
        </w:rPr>
        <w:t> </w:t>
      </w:r>
      <w:r w:rsidRPr="00F164DE">
        <w:rPr>
          <w:lang w:val="en-GB"/>
        </w:rPr>
        <w:t>2).</w:t>
      </w:r>
    </w:p>
    <w:p w:rsidR="00676011" w:rsidRPr="00C63C77" w:rsidRDefault="00676011" w:rsidP="00F54B6E">
      <w:pPr>
        <w:pStyle w:val="SingleTxt"/>
        <w:numPr>
          <w:ilvl w:val="0"/>
          <w:numId w:val="29"/>
        </w:numPr>
        <w:rPr>
          <w:lang w:val="fr-FR"/>
        </w:rPr>
      </w:pPr>
      <w:r>
        <w:rPr>
          <w:lang w:val="en-GB"/>
        </w:rPr>
        <w:t xml:space="preserve">On se reportera également au </w:t>
      </w:r>
      <w:r w:rsidRPr="00C63C77">
        <w:t>rapport annuel</w:t>
      </w:r>
      <w:r>
        <w:t xml:space="preserve"> du Haut-Commissaire</w:t>
      </w:r>
      <w:r w:rsidRPr="00C63C77">
        <w:t xml:space="preserve"> sur les droits des peuples autochtones</w:t>
      </w:r>
      <w:r>
        <w:t xml:space="preserve"> (A/HRC/30/25) (voir par.</w:t>
      </w:r>
      <w:r w:rsidR="00075B2E">
        <w:t> </w:t>
      </w:r>
      <w:r>
        <w:t>29 ci-dessus).</w:t>
      </w:r>
    </w:p>
    <w:p w:rsidR="00676011" w:rsidRPr="00D258AD" w:rsidRDefault="00676011" w:rsidP="00F54B6E">
      <w:pPr>
        <w:pStyle w:val="SingleTxt"/>
        <w:numPr>
          <w:ilvl w:val="0"/>
          <w:numId w:val="29"/>
        </w:numPr>
        <w:rPr>
          <w:lang w:val="fr-FR"/>
        </w:rPr>
      </w:pPr>
      <w:r>
        <w:t>On se reportera</w:t>
      </w:r>
      <w:r w:rsidRPr="00D258AD">
        <w:t xml:space="preserve"> aussi au</w:t>
      </w:r>
      <w:r>
        <w:t>x</w:t>
      </w:r>
      <w:r w:rsidRPr="00D258AD">
        <w:t xml:space="preserve"> rapport</w:t>
      </w:r>
      <w:r>
        <w:t>s</w:t>
      </w:r>
      <w:r w:rsidRPr="00D258AD">
        <w:t xml:space="preserve"> du Mécanisme d</w:t>
      </w:r>
      <w:r>
        <w:t>’</w:t>
      </w:r>
      <w:r w:rsidRPr="00D258AD">
        <w:t xml:space="preserve">experts sur les droits des peuples autochtones </w:t>
      </w:r>
      <w:r>
        <w:t>(voir par.</w:t>
      </w:r>
      <w:r w:rsidR="00075B2E">
        <w:t> </w:t>
      </w:r>
      <w:r>
        <w:t>81 à 83 ci-dessous).</w:t>
      </w:r>
    </w:p>
    <w:p w:rsidR="00676011" w:rsidRPr="00075B2E" w:rsidRDefault="00676011" w:rsidP="00F54B6E">
      <w:pPr>
        <w:pStyle w:val="SingleTxt"/>
        <w:numPr>
          <w:ilvl w:val="0"/>
          <w:numId w:val="29"/>
        </w:numPr>
        <w:rPr>
          <w:lang w:val="fr-FR"/>
        </w:rPr>
      </w:pPr>
      <w:r>
        <w:rPr>
          <w:lang w:val="fr-FR"/>
        </w:rPr>
        <w:t xml:space="preserve">En application de ses résolutions 18/8 et 27/13, le Conseil des droits de l’homme organisera </w:t>
      </w:r>
      <w:r w:rsidRPr="00D258AD">
        <w:t>une table ronde d</w:t>
      </w:r>
      <w:r>
        <w:t>’</w:t>
      </w:r>
      <w:r w:rsidRPr="00D258AD">
        <w:t>une demi-journée sur le suivi et l</w:t>
      </w:r>
      <w:r>
        <w:t>’</w:t>
      </w:r>
      <w:r w:rsidRPr="00D258AD">
        <w:t xml:space="preserve">application des </w:t>
      </w:r>
      <w:r>
        <w:t>décisions</w:t>
      </w:r>
      <w:r w:rsidRPr="00D258AD">
        <w:t xml:space="preserve"> de la Conférence mondiale sur les peuples autochtones et leurs conséquences pour la réalisation des objectifs de la Déclaration des Nations</w:t>
      </w:r>
      <w:r w:rsidR="00075B2E">
        <w:t xml:space="preserve"> </w:t>
      </w:r>
      <w:r w:rsidRPr="00D258AD">
        <w:t>Unies sur les droits des peuples autochtones</w:t>
      </w:r>
      <w:r>
        <w:t xml:space="preserve"> (voir annexe).</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D258AD">
        <w:t>Intensification de l</w:t>
      </w:r>
      <w:r>
        <w:t>’</w:t>
      </w:r>
      <w:r w:rsidRPr="00D258AD">
        <w:t xml:space="preserve">action menée pour éliminer toutes les formes </w:t>
      </w:r>
      <w:r>
        <w:t xml:space="preserve">de violence </w:t>
      </w:r>
      <w:r w:rsidR="00075B2E">
        <w:br/>
      </w:r>
      <w:r>
        <w:t>faite aux femmes</w:t>
      </w:r>
      <w:r w:rsidRPr="00D258AD">
        <w:t> : éliminer la violence familiale</w:t>
      </w:r>
    </w:p>
    <w:p w:rsidR="00075B2E" w:rsidRPr="00075B2E" w:rsidRDefault="00075B2E" w:rsidP="00075B2E">
      <w:pPr>
        <w:pStyle w:val="SingleTxt"/>
        <w:spacing w:after="0" w:line="120" w:lineRule="exact"/>
        <w:rPr>
          <w:sz w:val="10"/>
        </w:rPr>
      </w:pPr>
    </w:p>
    <w:p w:rsidR="00676011" w:rsidRPr="00075B2E" w:rsidRDefault="00676011" w:rsidP="00F54B6E">
      <w:pPr>
        <w:pStyle w:val="SingleTxt"/>
        <w:numPr>
          <w:ilvl w:val="0"/>
          <w:numId w:val="29"/>
        </w:numPr>
        <w:rPr>
          <w:lang w:val="fr-FR"/>
        </w:rPr>
      </w:pPr>
      <w:r>
        <w:rPr>
          <w:lang w:val="fr-FR"/>
        </w:rPr>
        <w:t>On se reportera au rapport du Haut-Commissariat résumant la</w:t>
      </w:r>
      <w:r w:rsidRPr="00D258AD">
        <w:t xml:space="preserve"> réunion-débat sur la violence faite aux femmes et aux filles dans la famille tenue à </w:t>
      </w:r>
      <w:r>
        <w:t>l</w:t>
      </w:r>
      <w:r w:rsidRPr="00D258AD">
        <w:t>a vingt-neuvième session</w:t>
      </w:r>
      <w:r>
        <w:t xml:space="preserve"> (A/HRC/30/70) (voir par.</w:t>
      </w:r>
      <w:r w:rsidR="00075B2E">
        <w:t> </w:t>
      </w:r>
      <w:r>
        <w:t>30 ci-dessus).</w:t>
      </w:r>
    </w:p>
    <w:p w:rsidR="00075B2E" w:rsidRPr="00075B2E" w:rsidRDefault="00075B2E" w:rsidP="00075B2E">
      <w:pPr>
        <w:pStyle w:val="SingleTxt"/>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2" w:name="_Ref216184782"/>
      <w:r w:rsidRPr="00E41698">
        <w:rPr>
          <w:lang w:val="fr-FR"/>
        </w:rPr>
        <w:tab/>
      </w:r>
      <w:r w:rsidRPr="00E41698">
        <w:rPr>
          <w:lang w:val="fr-FR"/>
        </w:rPr>
        <w:tab/>
      </w:r>
      <w:r w:rsidRPr="00D258AD">
        <w:rPr>
          <w:lang w:val="fr-FR"/>
        </w:rPr>
        <w:t>La sécurité des journalistes et la question de l</w:t>
      </w:r>
      <w:r>
        <w:rPr>
          <w:lang w:val="fr-FR"/>
        </w:rPr>
        <w:t>’</w:t>
      </w:r>
      <w:r w:rsidRPr="00D258AD">
        <w:rPr>
          <w:lang w:val="fr-FR"/>
        </w:rPr>
        <w:t xml:space="preserve">impunité </w:t>
      </w:r>
    </w:p>
    <w:p w:rsidR="00075B2E" w:rsidRPr="00075B2E" w:rsidRDefault="00075B2E" w:rsidP="00075B2E">
      <w:pPr>
        <w:pStyle w:val="SingleTxt"/>
        <w:spacing w:after="0" w:line="120" w:lineRule="exact"/>
        <w:rPr>
          <w:sz w:val="10"/>
          <w:lang w:val="fr-FR"/>
        </w:rPr>
      </w:pPr>
    </w:p>
    <w:p w:rsidR="00676011" w:rsidRDefault="00676011" w:rsidP="00F54B6E">
      <w:pPr>
        <w:pStyle w:val="SingleTxt"/>
        <w:numPr>
          <w:ilvl w:val="0"/>
          <w:numId w:val="29"/>
        </w:numPr>
        <w:rPr>
          <w:lang w:val="fr-FR"/>
        </w:rPr>
      </w:pPr>
      <w:r>
        <w:t xml:space="preserve">On se reportera au </w:t>
      </w:r>
      <w:r w:rsidRPr="00D258AD">
        <w:t>rapport du Secrétaire général à l</w:t>
      </w:r>
      <w:r>
        <w:t>’</w:t>
      </w:r>
      <w:r w:rsidRPr="00D258AD">
        <w:t xml:space="preserve">Assemblée générale </w:t>
      </w:r>
      <w:r>
        <w:rPr>
          <w:lang w:val="fr-FR"/>
        </w:rPr>
        <w:t>sur la sécurité des journalistes et la question de l’impunité, transmis au Conseil par une note du secrétariat (A/HRC/30/68) (voir par.</w:t>
      </w:r>
      <w:r w:rsidR="00075B2E">
        <w:rPr>
          <w:lang w:val="fr-FR"/>
        </w:rPr>
        <w:t> </w:t>
      </w:r>
      <w:r>
        <w:rPr>
          <w:lang w:val="fr-FR"/>
        </w:rPr>
        <w:t>31 ci-dessus).</w:t>
      </w:r>
    </w:p>
    <w:p w:rsidR="00075B2E" w:rsidRPr="00075B2E" w:rsidRDefault="00075B2E" w:rsidP="00075B2E">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bookmarkStart w:id="13" w:name="_Ref216686773"/>
      <w:r w:rsidRPr="0058156F">
        <w:t>Droits de l</w:t>
      </w:r>
      <w:r>
        <w:t>’</w:t>
      </w:r>
      <w:r w:rsidRPr="0058156F">
        <w:t>homme des personnes âgées</w:t>
      </w:r>
    </w:p>
    <w:p w:rsidR="00075B2E" w:rsidRPr="00075B2E" w:rsidRDefault="00075B2E" w:rsidP="00075B2E">
      <w:pPr>
        <w:pStyle w:val="SingleTxt"/>
        <w:spacing w:after="0" w:line="120" w:lineRule="exact"/>
        <w:rPr>
          <w:sz w:val="10"/>
        </w:rPr>
      </w:pPr>
    </w:p>
    <w:p w:rsidR="00676011" w:rsidRPr="0058156F" w:rsidRDefault="00676011" w:rsidP="00F54B6E">
      <w:pPr>
        <w:pStyle w:val="SingleTxt"/>
        <w:numPr>
          <w:ilvl w:val="0"/>
          <w:numId w:val="29"/>
        </w:numPr>
        <w:rPr>
          <w:lang w:val="fr-FR"/>
        </w:rPr>
      </w:pPr>
      <w:r w:rsidRPr="00E41698">
        <w:rPr>
          <w:lang w:val="fr-FR"/>
        </w:rPr>
        <w:t>Dans sa résolution 2</w:t>
      </w:r>
      <w:r>
        <w:rPr>
          <w:lang w:val="fr-FR"/>
        </w:rPr>
        <w:t>4</w:t>
      </w:r>
      <w:r w:rsidRPr="00E41698">
        <w:rPr>
          <w:lang w:val="fr-FR"/>
        </w:rPr>
        <w:t>/</w:t>
      </w:r>
      <w:r>
        <w:rPr>
          <w:lang w:val="fr-FR"/>
        </w:rPr>
        <w:t>20</w:t>
      </w:r>
      <w:r w:rsidRPr="00E41698">
        <w:rPr>
          <w:lang w:val="fr-FR"/>
        </w:rPr>
        <w:t>, le Conseil des droits de l</w:t>
      </w:r>
      <w:r>
        <w:rPr>
          <w:lang w:val="fr-FR"/>
        </w:rPr>
        <w:t>’</w:t>
      </w:r>
      <w:r w:rsidRPr="00E41698">
        <w:rPr>
          <w:lang w:val="fr-FR"/>
        </w:rPr>
        <w:t xml:space="preserve">homme a décidé </w:t>
      </w:r>
      <w:bookmarkEnd w:id="13"/>
      <w:r w:rsidRPr="0058156F">
        <w:t>de nommer un expert indépendant chargé de promouvoir l</w:t>
      </w:r>
      <w:r>
        <w:t>’</w:t>
      </w:r>
      <w:r w:rsidRPr="0058156F">
        <w:t>exercice par les personnes âgées de tous les droits de l</w:t>
      </w:r>
      <w:r>
        <w:t>’</w:t>
      </w:r>
      <w:r w:rsidRPr="0058156F">
        <w:t>homme</w:t>
      </w:r>
      <w:r>
        <w:t xml:space="preserve"> et l’a prié de lui faire rapport chaque année. Le Conseil examinera le rapport de la titulaire de mandat, Rosa Kornfeld-Matte (A/HRC/30/43 et Add.1 à 6).</w:t>
      </w:r>
    </w:p>
    <w:p w:rsidR="00676011" w:rsidRPr="001B19AF" w:rsidRDefault="00676011" w:rsidP="001B19AF">
      <w:pPr>
        <w:pStyle w:val="SingleTxt"/>
        <w:spacing w:after="0" w:line="120" w:lineRule="exact"/>
        <w:rPr>
          <w:sz w:val="10"/>
          <w:lang w:val="fr-FR"/>
        </w:rPr>
      </w:pPr>
    </w:p>
    <w:p w:rsidR="001B19AF" w:rsidRPr="001B19AF" w:rsidRDefault="001B19AF" w:rsidP="001B19AF">
      <w:pPr>
        <w:pStyle w:val="SingleTxt"/>
        <w:spacing w:after="0" w:line="120" w:lineRule="exact"/>
        <w:rPr>
          <w:sz w:val="10"/>
          <w:lang w:val="fr-FR"/>
        </w:rPr>
      </w:pPr>
    </w:p>
    <w:p w:rsidR="00676011" w:rsidRDefault="00676011" w:rsidP="001B19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4" w:name="_Toc220321001"/>
      <w:bookmarkEnd w:id="12"/>
      <w:r w:rsidRPr="0058156F">
        <w:rPr>
          <w:lang w:val="fr-FR"/>
        </w:rPr>
        <w:tab/>
        <w:t>E.</w:t>
      </w:r>
      <w:r w:rsidRPr="0058156F">
        <w:rPr>
          <w:lang w:val="fr-FR"/>
        </w:rPr>
        <w:tab/>
      </w:r>
      <w:bookmarkStart w:id="15" w:name="_Toc220321002"/>
      <w:bookmarkEnd w:id="14"/>
      <w:r w:rsidRPr="0058156F">
        <w:rPr>
          <w:lang w:val="fr-FR"/>
        </w:rPr>
        <w:t>Interdépendance des droits de l</w:t>
      </w:r>
      <w:r>
        <w:rPr>
          <w:lang w:val="fr-FR"/>
        </w:rPr>
        <w:t>’</w:t>
      </w:r>
      <w:r w:rsidRPr="0058156F">
        <w:rPr>
          <w:lang w:val="fr-FR"/>
        </w:rPr>
        <w:t>homme et des questions</w:t>
      </w:r>
      <w:r w:rsidR="008A3852">
        <w:rPr>
          <w:lang w:val="fr-FR"/>
        </w:rPr>
        <w:t xml:space="preserve"> </w:t>
      </w:r>
      <w:r w:rsidR="001B19AF">
        <w:rPr>
          <w:lang w:val="fr-FR"/>
        </w:rPr>
        <w:br/>
      </w:r>
      <w:r w:rsidRPr="0058156F">
        <w:rPr>
          <w:lang w:val="fr-FR"/>
        </w:rPr>
        <w:t>thématiques relatives aux droits de l</w:t>
      </w:r>
      <w:r>
        <w:rPr>
          <w:lang w:val="fr-FR"/>
        </w:rPr>
        <w:t>’</w:t>
      </w:r>
      <w:r w:rsidRPr="0058156F">
        <w:rPr>
          <w:lang w:val="fr-FR"/>
        </w:rPr>
        <w:t>homme</w:t>
      </w:r>
    </w:p>
    <w:p w:rsidR="001B19AF" w:rsidRPr="001B19AF" w:rsidRDefault="001B19AF" w:rsidP="001B19AF">
      <w:pPr>
        <w:pStyle w:val="SingleTxt"/>
        <w:spacing w:after="0" w:line="120" w:lineRule="exact"/>
        <w:rPr>
          <w:sz w:val="10"/>
          <w:lang w:val="fr-FR"/>
        </w:rPr>
      </w:pPr>
    </w:p>
    <w:p w:rsidR="001B19AF" w:rsidRPr="001B19AF" w:rsidRDefault="001B19AF" w:rsidP="001B19AF">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Pr>
          <w:lang w:val="fr-FR"/>
        </w:rPr>
        <w:t>R</w:t>
      </w:r>
      <w:r w:rsidRPr="0058156F">
        <w:t>ôle de la prévention dans la promotion et la protection des droits de l</w:t>
      </w:r>
      <w:r>
        <w:t>’</w:t>
      </w:r>
      <w:r w:rsidRPr="0058156F">
        <w:t>homme</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Pr>
          <w:lang w:val="fr-FR"/>
        </w:rPr>
        <w:t xml:space="preserve">On se reportera à l’étude du Haut-Commissariat </w:t>
      </w:r>
      <w:r w:rsidRPr="0058156F">
        <w:t>sur la prévention des violations des droits de l</w:t>
      </w:r>
      <w:r>
        <w:t>’</w:t>
      </w:r>
      <w:r w:rsidRPr="0058156F">
        <w:t>hom</w:t>
      </w:r>
      <w:r>
        <w:t>me et son application pratique (A/HRC/30/20) (voir par.</w:t>
      </w:r>
      <w:r w:rsidR="001B19AF">
        <w:t> </w:t>
      </w:r>
      <w:r>
        <w:t>25 ci-dessus).</w:t>
      </w:r>
    </w:p>
    <w:p w:rsidR="001B19AF" w:rsidRPr="001B19AF" w:rsidRDefault="001B19AF" w:rsidP="001B19AF">
      <w:pPr>
        <w:pStyle w:val="SingleTxt"/>
        <w:tabs>
          <w:tab w:val="clear" w:pos="1742"/>
        </w:tabs>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bCs/>
          <w:lang w:val="fr-FR" w:eastAsia="en-GB"/>
        </w:rPr>
        <w:tab/>
      </w:r>
      <w:r w:rsidRPr="00E41698">
        <w:rPr>
          <w:bCs/>
          <w:lang w:val="fr-FR" w:eastAsia="en-GB"/>
        </w:rPr>
        <w:tab/>
      </w:r>
      <w:r w:rsidRPr="00CC3E46">
        <w:t>Programme mondial d</w:t>
      </w:r>
      <w:r>
        <w:t>’</w:t>
      </w:r>
      <w:r w:rsidRPr="00CC3E46">
        <w:t>éducation dans le domaine des droits de l</w:t>
      </w:r>
      <w:r>
        <w:t>’</w:t>
      </w:r>
      <w:r w:rsidRPr="00CC3E46">
        <w:t>homme</w:t>
      </w:r>
    </w:p>
    <w:p w:rsidR="001B19AF" w:rsidRPr="001B19AF" w:rsidRDefault="001B19AF" w:rsidP="001B19AF">
      <w:pPr>
        <w:pStyle w:val="SingleTxt"/>
        <w:spacing w:after="0" w:line="120" w:lineRule="exact"/>
        <w:rPr>
          <w:sz w:val="10"/>
        </w:rPr>
      </w:pPr>
    </w:p>
    <w:p w:rsidR="00676011" w:rsidRDefault="00676011" w:rsidP="00F54B6E">
      <w:pPr>
        <w:pStyle w:val="SingleTxt"/>
        <w:numPr>
          <w:ilvl w:val="0"/>
          <w:numId w:val="29"/>
        </w:numPr>
        <w:rPr>
          <w:lang w:val="fr-FR"/>
        </w:rPr>
      </w:pPr>
      <w:r>
        <w:t>On se reportera au</w:t>
      </w:r>
      <w:r w:rsidRPr="00CC3E46">
        <w:t xml:space="preserve"> rapport d</w:t>
      </w:r>
      <w:r>
        <w:t>’</w:t>
      </w:r>
      <w:r w:rsidRPr="00CC3E46">
        <w:t xml:space="preserve">évaluation </w:t>
      </w:r>
      <w:r>
        <w:t xml:space="preserve">du Haut-Commissariat </w:t>
      </w:r>
      <w:r w:rsidRPr="00CC3E46">
        <w:t>sur la mise en œuvre de la deuxième phase du Programme mondial d</w:t>
      </w:r>
      <w:r>
        <w:t>’</w:t>
      </w:r>
      <w:r w:rsidRPr="00CC3E46">
        <w:t>éducation dans le domaine des droits de l</w:t>
      </w:r>
      <w:r>
        <w:t>’</w:t>
      </w:r>
      <w:r w:rsidRPr="00CC3E46">
        <w:t>homme</w:t>
      </w:r>
      <w:r>
        <w:rPr>
          <w:lang w:val="fr-FR"/>
        </w:rPr>
        <w:t xml:space="preserve"> (A/HRC/30/24) (voir par.</w:t>
      </w:r>
      <w:r w:rsidR="001B19AF">
        <w:rPr>
          <w:lang w:val="fr-FR"/>
        </w:rPr>
        <w:t> </w:t>
      </w:r>
      <w:r>
        <w:rPr>
          <w:lang w:val="fr-FR"/>
        </w:rPr>
        <w:t>33 ci-dessus).</w:t>
      </w:r>
    </w:p>
    <w:p w:rsidR="001B19AF" w:rsidRPr="001B19AF" w:rsidRDefault="001B19AF" w:rsidP="001B19AF">
      <w:pPr>
        <w:pStyle w:val="SingleTxt"/>
        <w:tabs>
          <w:tab w:val="clear" w:pos="1742"/>
        </w:tabs>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eastAsia="zh-CN"/>
        </w:rPr>
        <w:tab/>
      </w:r>
      <w:r w:rsidRPr="00E41698">
        <w:rPr>
          <w:lang w:val="fr-FR" w:eastAsia="zh-CN"/>
        </w:rPr>
        <w:tab/>
      </w:r>
      <w:r w:rsidRPr="00E41698">
        <w:rPr>
          <w:lang w:val="fr-FR"/>
        </w:rPr>
        <w:t>Effets du terrorisme sur la jouissance des droits de l</w:t>
      </w:r>
      <w:r>
        <w:rPr>
          <w:lang w:val="fr-FR"/>
        </w:rPr>
        <w:t>’</w:t>
      </w:r>
      <w:r w:rsidRPr="00E41698">
        <w:rPr>
          <w:lang w:val="fr-FR"/>
        </w:rPr>
        <w:t>homme</w:t>
      </w:r>
    </w:p>
    <w:p w:rsidR="001B19AF" w:rsidRPr="001B19AF" w:rsidRDefault="001B19AF" w:rsidP="001B19AF">
      <w:pPr>
        <w:pStyle w:val="SingleTxt"/>
        <w:spacing w:after="0" w:line="120" w:lineRule="exact"/>
        <w:rPr>
          <w:sz w:val="10"/>
          <w:lang w:val="fr-FR"/>
        </w:rPr>
      </w:pPr>
    </w:p>
    <w:p w:rsidR="00676011" w:rsidRDefault="00676011" w:rsidP="00F54B6E">
      <w:pPr>
        <w:pStyle w:val="SingleTxt"/>
        <w:numPr>
          <w:ilvl w:val="0"/>
          <w:numId w:val="29"/>
        </w:numPr>
        <w:rPr>
          <w:lang w:val="fr-FR"/>
        </w:rPr>
      </w:pPr>
      <w:r>
        <w:rPr>
          <w:lang w:val="fr-FR"/>
        </w:rPr>
        <w:t>On se reportera au rapport de synthèse du Haut-Commissaire sur la table ronde</w:t>
      </w:r>
      <w:r w:rsidRPr="00E41698">
        <w:rPr>
          <w:lang w:val="fr-FR"/>
        </w:rPr>
        <w:t xml:space="preserve"> consacrée aux effets du terrorisme sur la jouissance par toutes les personnes des droits de l</w:t>
      </w:r>
      <w:r>
        <w:rPr>
          <w:lang w:val="fr-FR"/>
        </w:rPr>
        <w:t>’</w:t>
      </w:r>
      <w:r w:rsidRPr="00E41698">
        <w:rPr>
          <w:lang w:val="fr-FR"/>
        </w:rPr>
        <w:t>homme et des libertés fondamentales</w:t>
      </w:r>
      <w:r>
        <w:rPr>
          <w:lang w:val="fr-FR"/>
        </w:rPr>
        <w:t xml:space="preserve"> tenue à la vingt-neuvième session (A/HRC/30/64) (voir par.</w:t>
      </w:r>
      <w:r w:rsidR="001B19AF">
        <w:rPr>
          <w:lang w:val="fr-FR"/>
        </w:rPr>
        <w:t> </w:t>
      </w:r>
      <w:r>
        <w:rPr>
          <w:lang w:val="fr-FR"/>
        </w:rPr>
        <w:t>34 ci-dessus)</w:t>
      </w:r>
      <w:r w:rsidRPr="00E41698">
        <w:rPr>
          <w:lang w:val="fr-FR"/>
        </w:rPr>
        <w:t>.</w:t>
      </w:r>
    </w:p>
    <w:p w:rsidR="001B19AF" w:rsidRPr="001B19AF" w:rsidRDefault="001B19AF" w:rsidP="001B19AF">
      <w:pPr>
        <w:pStyle w:val="SingleTxt"/>
        <w:tabs>
          <w:tab w:val="clear" w:pos="1742"/>
        </w:tabs>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020AF1">
        <w:t>Les droits de l</w:t>
      </w:r>
      <w:r>
        <w:t>’</w:t>
      </w:r>
      <w:r w:rsidRPr="00020AF1">
        <w:t>homme et les mesures coercitives unilatérales</w:t>
      </w:r>
    </w:p>
    <w:p w:rsidR="001B19AF" w:rsidRPr="001B19AF" w:rsidRDefault="001B19AF" w:rsidP="001B19AF">
      <w:pPr>
        <w:pStyle w:val="SingleTxt"/>
        <w:keepNext/>
        <w:keepLines/>
        <w:spacing w:after="0" w:line="120" w:lineRule="exact"/>
        <w:rPr>
          <w:sz w:val="10"/>
        </w:rPr>
      </w:pPr>
    </w:p>
    <w:p w:rsidR="00676011" w:rsidRPr="00020AF1" w:rsidRDefault="00676011" w:rsidP="00F54B6E">
      <w:pPr>
        <w:pStyle w:val="SingleTxt"/>
        <w:numPr>
          <w:ilvl w:val="0"/>
          <w:numId w:val="29"/>
        </w:numPr>
        <w:rPr>
          <w:lang w:val="fr-FR"/>
        </w:rPr>
      </w:pPr>
      <w:r w:rsidRPr="00E41698">
        <w:rPr>
          <w:lang w:val="fr-FR"/>
        </w:rPr>
        <w:t>Dans sa résolution </w:t>
      </w:r>
      <w:r>
        <w:rPr>
          <w:lang w:val="fr-FR"/>
        </w:rPr>
        <w:t>27</w:t>
      </w:r>
      <w:r w:rsidRPr="00E41698">
        <w:rPr>
          <w:lang w:val="fr-FR"/>
        </w:rPr>
        <w:t>/</w:t>
      </w:r>
      <w:r>
        <w:rPr>
          <w:lang w:val="fr-FR"/>
        </w:rPr>
        <w:t>21</w:t>
      </w:r>
      <w:r w:rsidRPr="00E41698">
        <w:rPr>
          <w:lang w:val="fr-FR"/>
        </w:rPr>
        <w:t>, le Conseil des droits de l</w:t>
      </w:r>
      <w:r>
        <w:rPr>
          <w:lang w:val="fr-FR"/>
        </w:rPr>
        <w:t>’</w:t>
      </w:r>
      <w:r w:rsidRPr="00E41698">
        <w:rPr>
          <w:lang w:val="fr-FR"/>
        </w:rPr>
        <w:t xml:space="preserve">homme a </w:t>
      </w:r>
      <w:r>
        <w:t>décidé</w:t>
      </w:r>
      <w:r w:rsidRPr="00020AF1">
        <w:t xml:space="preserve"> de nommer</w:t>
      </w:r>
      <w:r>
        <w:t>,</w:t>
      </w:r>
      <w:r w:rsidRPr="00020AF1">
        <w:t xml:space="preserve"> pour trois ans</w:t>
      </w:r>
      <w:r>
        <w:t>,</w:t>
      </w:r>
      <w:r w:rsidRPr="00020AF1">
        <w:t xml:space="preserve"> un rapporteur spécial sur les effets négatifs des mesures coercitives unilatérales sur l</w:t>
      </w:r>
      <w:r>
        <w:t>’exercice des droits de l’homme. Il a également prié</w:t>
      </w:r>
      <w:r w:rsidRPr="00020AF1">
        <w:t xml:space="preserve"> le Rapporteur spécial de </w:t>
      </w:r>
      <w:r>
        <w:t xml:space="preserve">lui </w:t>
      </w:r>
      <w:r w:rsidRPr="00020AF1">
        <w:t xml:space="preserve">présenter chaque année </w:t>
      </w:r>
      <w:r>
        <w:t>un rapport, ainsi qu’à l’Assemblée générale. Le Conseil examinera le rapport du nouveau titulaire de mandat, Idriss Jazairy (A/HRC/30/45).</w:t>
      </w:r>
    </w:p>
    <w:p w:rsidR="00676011" w:rsidRPr="001B19AF" w:rsidRDefault="00676011" w:rsidP="00F54B6E">
      <w:pPr>
        <w:pStyle w:val="SingleTxt"/>
        <w:numPr>
          <w:ilvl w:val="0"/>
          <w:numId w:val="29"/>
        </w:numPr>
        <w:rPr>
          <w:lang w:val="fr-FR"/>
        </w:rPr>
      </w:pPr>
      <w:r>
        <w:t>Également dans sa résolution 27/21, le Conseil a décidé</w:t>
      </w:r>
      <w:r w:rsidRPr="00020AF1">
        <w:t xml:space="preserve"> d</w:t>
      </w:r>
      <w:r>
        <w:t>’</w:t>
      </w:r>
      <w:r w:rsidRPr="00020AF1">
        <w:t>organiser tous les deux ans, à compter de sa vingt-neuvième session, une réunion-débat consacrée aux mesures coercitives unilatérales et aux droits de l</w:t>
      </w:r>
      <w:r>
        <w:t>’</w:t>
      </w:r>
      <w:r w:rsidRPr="00020AF1">
        <w:t>ho</w:t>
      </w:r>
      <w:r>
        <w:t xml:space="preserve">mme. </w:t>
      </w:r>
      <w:r w:rsidRPr="00020AF1">
        <w:t>À sa réunion d</w:t>
      </w:r>
      <w:r>
        <w:t>’</w:t>
      </w:r>
      <w:r w:rsidRPr="00020AF1">
        <w:t>organisation tenue le 26</w:t>
      </w:r>
      <w:r w:rsidR="001B19AF">
        <w:t> </w:t>
      </w:r>
      <w:r w:rsidRPr="00020AF1">
        <w:t>mai 2015, le Conseil</w:t>
      </w:r>
      <w:r>
        <w:t xml:space="preserve"> </w:t>
      </w:r>
      <w:r w:rsidRPr="00020AF1">
        <w:t>a décidé de reporter la réunion-débat à sa trentième session</w:t>
      </w:r>
      <w:r>
        <w:t xml:space="preserve"> (voir annexe)</w:t>
      </w:r>
      <w:r w:rsidRPr="00020AF1">
        <w:t>.</w:t>
      </w:r>
    </w:p>
    <w:p w:rsidR="001B19AF" w:rsidRPr="001B19AF" w:rsidRDefault="001B19AF" w:rsidP="001B19AF">
      <w:pPr>
        <w:pStyle w:val="SingleTxt"/>
        <w:tabs>
          <w:tab w:val="clear" w:pos="1742"/>
        </w:tabs>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t>R</w:t>
      </w:r>
      <w:r w:rsidRPr="00DF5D7B">
        <w:t>ôle d</w:t>
      </w:r>
      <w:r>
        <w:t>’</w:t>
      </w:r>
      <w:r w:rsidRPr="00DF5D7B">
        <w:t xml:space="preserve">une bonne gouvernance dans la promotion et la protection </w:t>
      </w:r>
      <w:r w:rsidR="001B19AF">
        <w:br/>
      </w:r>
      <w:r w:rsidRPr="00DF5D7B">
        <w:t>des droits de l</w:t>
      </w:r>
      <w:r>
        <w:t>’</w:t>
      </w:r>
      <w:r w:rsidRPr="00DF5D7B">
        <w:t>homme</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Pr>
          <w:lang w:val="fr-FR"/>
        </w:rPr>
        <w:t>En application de</w:t>
      </w:r>
      <w:r w:rsidRPr="00E41698">
        <w:rPr>
          <w:lang w:val="fr-FR"/>
        </w:rPr>
        <w:t xml:space="preserve"> sa résolution 2</w:t>
      </w:r>
      <w:r>
        <w:rPr>
          <w:lang w:val="fr-FR"/>
        </w:rPr>
        <w:t>5</w:t>
      </w:r>
      <w:r w:rsidRPr="00E41698">
        <w:rPr>
          <w:lang w:val="fr-FR"/>
        </w:rPr>
        <w:t>/</w:t>
      </w:r>
      <w:r>
        <w:rPr>
          <w:lang w:val="fr-FR"/>
        </w:rPr>
        <w:t>8</w:t>
      </w:r>
      <w:r w:rsidRPr="00E41698">
        <w:rPr>
          <w:lang w:val="fr-FR"/>
        </w:rPr>
        <w:t>, le Conseil des droits de l</w:t>
      </w:r>
      <w:r>
        <w:rPr>
          <w:lang w:val="fr-FR"/>
        </w:rPr>
        <w:t>’</w:t>
      </w:r>
      <w:r w:rsidRPr="00E41698">
        <w:rPr>
          <w:lang w:val="fr-FR"/>
        </w:rPr>
        <w:t>homme</w:t>
      </w:r>
      <w:r>
        <w:rPr>
          <w:lang w:val="fr-FR"/>
        </w:rPr>
        <w:t xml:space="preserve"> organisera</w:t>
      </w:r>
      <w:r w:rsidRPr="00E41698">
        <w:rPr>
          <w:lang w:val="fr-FR"/>
        </w:rPr>
        <w:t xml:space="preserve"> </w:t>
      </w:r>
      <w:r w:rsidRPr="00DF5D7B">
        <w:t>une réunion-débat sur une approche de la bonne gouvernance fondée sur les droits de l</w:t>
      </w:r>
      <w:r>
        <w:t>’</w:t>
      </w:r>
      <w:r w:rsidRPr="00DF5D7B">
        <w:t xml:space="preserve">homme dans le service public </w:t>
      </w:r>
      <w:r>
        <w:t>(voir annexe).</w:t>
      </w:r>
    </w:p>
    <w:p w:rsidR="001B19AF" w:rsidRPr="001B19AF" w:rsidRDefault="001B19AF" w:rsidP="001B19AF">
      <w:pPr>
        <w:pStyle w:val="SingleTxt"/>
        <w:tabs>
          <w:tab w:val="clear" w:pos="1742"/>
        </w:tabs>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Pr>
          <w:lang w:val="fr-FR"/>
        </w:rPr>
        <w:t>U</w:t>
      </w:r>
      <w:r w:rsidRPr="009A0E60">
        <w:t>tilisation de mercenaires comme moyen de violer les droits de l</w:t>
      </w:r>
      <w:r>
        <w:t>’</w:t>
      </w:r>
      <w:r w:rsidRPr="009A0E60">
        <w:t xml:space="preserve">homme </w:t>
      </w:r>
      <w:r w:rsidR="001B19AF">
        <w:br/>
      </w:r>
      <w:r w:rsidRPr="009A0E60">
        <w:t>et d</w:t>
      </w:r>
      <w:r>
        <w:t>’</w:t>
      </w:r>
      <w:r w:rsidRPr="009A0E60">
        <w:t>empêcher l</w:t>
      </w:r>
      <w:r>
        <w:t>’</w:t>
      </w:r>
      <w:r w:rsidRPr="009A0E60">
        <w:t>exercice du droit des peuples</w:t>
      </w:r>
      <w:r>
        <w:t xml:space="preserve"> à l’autodétermination</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sidRPr="00E41698">
        <w:rPr>
          <w:lang w:val="fr-FR"/>
        </w:rPr>
        <w:t xml:space="preserve">Dans sa résolution </w:t>
      </w:r>
      <w:r>
        <w:rPr>
          <w:lang w:val="fr-FR"/>
        </w:rPr>
        <w:t>27/10</w:t>
      </w:r>
      <w:r w:rsidRPr="00E41698">
        <w:rPr>
          <w:lang w:val="fr-FR"/>
        </w:rPr>
        <w:t>, le Conseil des droits de l</w:t>
      </w:r>
      <w:r>
        <w:rPr>
          <w:lang w:val="fr-FR"/>
        </w:rPr>
        <w:t>’</w:t>
      </w:r>
      <w:r w:rsidRPr="00E41698">
        <w:rPr>
          <w:lang w:val="fr-FR"/>
        </w:rPr>
        <w:t>homme</w:t>
      </w:r>
      <w:r>
        <w:rPr>
          <w:lang w:val="fr-FR"/>
        </w:rPr>
        <w:t xml:space="preserve"> a prié le </w:t>
      </w:r>
      <w:r w:rsidRPr="009A0E60">
        <w:t>Groupe de travail sur l</w:t>
      </w:r>
      <w:r>
        <w:t>’</w:t>
      </w:r>
      <w:r w:rsidRPr="009A0E60">
        <w:t>utilisation de mercenaires comme moyen de violer les droits de l</w:t>
      </w:r>
      <w:r>
        <w:t>’</w:t>
      </w:r>
      <w:r w:rsidRPr="009A0E60">
        <w:t>homme et d</w:t>
      </w:r>
      <w:r>
        <w:t>’</w:t>
      </w:r>
      <w:r w:rsidRPr="009A0E60">
        <w:t>empêcher l</w:t>
      </w:r>
      <w:r>
        <w:t>’</w:t>
      </w:r>
      <w:r w:rsidRPr="009A0E60">
        <w:t>exercice du droit des peuples à l</w:t>
      </w:r>
      <w:r>
        <w:t>’</w:t>
      </w:r>
      <w:r w:rsidRPr="009A0E60">
        <w:t xml:space="preserve">autodétermination de </w:t>
      </w:r>
      <w:r>
        <w:t>continuer</w:t>
      </w:r>
      <w:r w:rsidRPr="009A0E60">
        <w:t xml:space="preserve"> à étudier et dégager les sources et les causes, les questions, manifestations et tendances récentes concernant les mercenaires ou les activités ayant un lien avec les mercenaires, et leurs incidences sur les droits de l</w:t>
      </w:r>
      <w:r>
        <w:t>’</w:t>
      </w:r>
      <w:r w:rsidRPr="009A0E60">
        <w:t>homme, notamment sur le droit de</w:t>
      </w:r>
      <w:r>
        <w:t>s peuples à l’autodétermination. Dans la même résolution, il l’a également prié de présenter ses conclusions à l’Assemblée générale à sa soixante-dixième session et au Conseil à sa trentième session. Le Conseil examinera le rapport du Groupe de travail (A/HRC/30/34 et Add.1 et 2).</w:t>
      </w:r>
    </w:p>
    <w:p w:rsidR="001B19AF" w:rsidRPr="001B19AF" w:rsidRDefault="001B19AF" w:rsidP="001B19AF">
      <w:pPr>
        <w:pStyle w:val="SingleTxt"/>
        <w:tabs>
          <w:tab w:val="clear" w:pos="1742"/>
        </w:tabs>
        <w:spacing w:after="0" w:line="120" w:lineRule="exact"/>
        <w:rPr>
          <w:sz w:val="10"/>
        </w:rPr>
      </w:pPr>
    </w:p>
    <w:p w:rsidR="00676011" w:rsidRDefault="001B19AF"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EB1CC8">
        <w:t>Promotion d</w:t>
      </w:r>
      <w:r w:rsidR="00676011">
        <w:t>’</w:t>
      </w:r>
      <w:r w:rsidR="00676011" w:rsidRPr="00EB1CC8">
        <w:t>un ordre international démocratique et équitable</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Pr>
          <w:lang w:val="fr-FR"/>
        </w:rPr>
        <w:t xml:space="preserve">Dans sa résolution 27/9, le Conseil des droits de l’homme </w:t>
      </w:r>
      <w:r>
        <w:t>a décidé</w:t>
      </w:r>
      <w:r w:rsidRPr="00EB1CC8">
        <w:t xml:space="preserve"> de prolonger le mandat de l</w:t>
      </w:r>
      <w:r>
        <w:t>’</w:t>
      </w:r>
      <w:r w:rsidRPr="00EB1CC8">
        <w:t>Expert indépendant sur la promotion d</w:t>
      </w:r>
      <w:r>
        <w:t>’</w:t>
      </w:r>
      <w:r w:rsidRPr="00EB1CC8">
        <w:t>un ordre international démocratique et équitable pour une période de trois ans, conformément aux dispositions é</w:t>
      </w:r>
      <w:r>
        <w:t>noncées dans sa résolution 18/6. Il a également prié</w:t>
      </w:r>
      <w:r w:rsidRPr="00EB1CC8">
        <w:t xml:space="preserve"> </w:t>
      </w:r>
      <w:r>
        <w:t xml:space="preserve">l’Expert indépendant </w:t>
      </w:r>
      <w:r w:rsidRPr="00EB1CC8">
        <w:t>de</w:t>
      </w:r>
      <w:r>
        <w:t xml:space="preserve"> lui</w:t>
      </w:r>
      <w:r w:rsidRPr="00EB1CC8">
        <w:t xml:space="preserve"> faire ré</w:t>
      </w:r>
      <w:r>
        <w:t>gulièrement rapport, ainsi qu’à l’Assemblée générale. Le Conseil examinera le rapport du titulaire de mandat, Alfred de Zayas (A/HRC/30/44).</w:t>
      </w:r>
    </w:p>
    <w:p w:rsidR="001B19AF" w:rsidRPr="001B19AF" w:rsidRDefault="001B19AF" w:rsidP="001B19AF">
      <w:pPr>
        <w:pStyle w:val="SingleTxt"/>
        <w:tabs>
          <w:tab w:val="clear" w:pos="1742"/>
        </w:tabs>
        <w:spacing w:after="0" w:line="120" w:lineRule="exact"/>
        <w:rPr>
          <w:sz w:val="10"/>
        </w:rPr>
      </w:pPr>
    </w:p>
    <w:p w:rsidR="00676011" w:rsidRDefault="001B19AF"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EB1CC8">
        <w:t xml:space="preserve">Cadre réglementaire international relatif à la réglementation, à la supervision </w:t>
      </w:r>
      <w:r>
        <w:br/>
      </w:r>
      <w:r w:rsidR="00676011" w:rsidRPr="00EB1CC8">
        <w:t>et au contrôle des activités des sociétés militaires et de sécurité privées</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Pr>
          <w:lang w:val="fr-FR"/>
        </w:rPr>
        <w:t xml:space="preserve">Dans sa résolution 22/33, le Conseil des droits de l’homme </w:t>
      </w:r>
      <w:r w:rsidRPr="00EB1CC8">
        <w:t>a décidé que le groupe de travail intergouvernemental à composition non limitée chargé d</w:t>
      </w:r>
      <w:r>
        <w:t>’</w:t>
      </w:r>
      <w:r w:rsidRPr="00EB1CC8">
        <w:t>examiner la possibilité d</w:t>
      </w:r>
      <w:r>
        <w:t>’</w:t>
      </w:r>
      <w:r w:rsidRPr="00EB1CC8">
        <w:t>élaborer un cadre réglementaire international relatif à la réglementation, à la supervision et au contrôle des activités des sociétés militaires et de sécurité privées</w:t>
      </w:r>
      <w:r>
        <w:t xml:space="preserve"> lui </w:t>
      </w:r>
      <w:r w:rsidRPr="00EB1CC8">
        <w:t>présenterait ses recommandations à sa trentième session</w:t>
      </w:r>
      <w:r>
        <w:t xml:space="preserve">. Dans sa résolution 28/7, le Conseil a également décidé de prolonger le mandat du groupe </w:t>
      </w:r>
      <w:r w:rsidRPr="00EB1CC8">
        <w:t>pour une durée de deux ans et demie, afin qu</w:t>
      </w:r>
      <w:r>
        <w:t>’</w:t>
      </w:r>
      <w:r w:rsidRPr="00EB1CC8">
        <w:t>il exécute et réalise son mandat, tel qu</w:t>
      </w:r>
      <w:r>
        <w:t>’</w:t>
      </w:r>
      <w:r w:rsidRPr="00EB1CC8">
        <w:t>énoncé dans la résoluti</w:t>
      </w:r>
      <w:r>
        <w:t xml:space="preserve">on 22/33. Le Conseil examinera le rapport du </w:t>
      </w:r>
      <w:r w:rsidRPr="00EB1CC8">
        <w:t xml:space="preserve">groupe de travail intergouvernemental à composition non limitée </w:t>
      </w:r>
      <w:r>
        <w:t>(A/HRC/30/47).</w:t>
      </w:r>
    </w:p>
    <w:p w:rsidR="00676011" w:rsidRDefault="00676011" w:rsidP="001B19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B1CC8">
        <w:rPr>
          <w:lang w:val="fr-FR"/>
        </w:rPr>
        <w:tab/>
        <w:t>4.</w:t>
      </w:r>
      <w:r w:rsidRPr="00EB1CC8">
        <w:rPr>
          <w:lang w:val="fr-FR"/>
        </w:rPr>
        <w:tab/>
        <w:t xml:space="preserve">Situations </w:t>
      </w:r>
      <w:bookmarkEnd w:id="15"/>
      <w:r w:rsidRPr="00EB1CC8">
        <w:rPr>
          <w:lang w:val="fr-FR"/>
        </w:rPr>
        <w:t>relatives aux droits de l</w:t>
      </w:r>
      <w:r>
        <w:rPr>
          <w:lang w:val="fr-FR"/>
        </w:rPr>
        <w:t>’</w:t>
      </w:r>
      <w:r w:rsidRPr="00EB1CC8">
        <w:rPr>
          <w:lang w:val="fr-FR"/>
        </w:rPr>
        <w:t xml:space="preserve">homme </w:t>
      </w:r>
      <w:r w:rsidR="001B19AF">
        <w:rPr>
          <w:lang w:val="fr-FR"/>
        </w:rPr>
        <w:br/>
      </w:r>
      <w:r w:rsidRPr="00EB1CC8">
        <w:rPr>
          <w:lang w:val="fr-FR"/>
        </w:rPr>
        <w:t>qui requièrent l</w:t>
      </w:r>
      <w:r>
        <w:rPr>
          <w:lang w:val="fr-FR"/>
        </w:rPr>
        <w:t>’</w:t>
      </w:r>
      <w:r w:rsidRPr="00EB1CC8">
        <w:rPr>
          <w:lang w:val="fr-FR"/>
        </w:rPr>
        <w:t>attention du Conseil</w:t>
      </w:r>
    </w:p>
    <w:p w:rsidR="001B19AF" w:rsidRPr="001B19AF" w:rsidRDefault="001B19AF" w:rsidP="001B19AF">
      <w:pPr>
        <w:pStyle w:val="SingleTxt"/>
        <w:spacing w:after="0" w:line="120" w:lineRule="exact"/>
        <w:rPr>
          <w:sz w:val="10"/>
          <w:lang w:val="fr-FR"/>
        </w:rPr>
      </w:pPr>
    </w:p>
    <w:p w:rsidR="001B19AF" w:rsidRPr="001B19AF" w:rsidRDefault="001B19AF" w:rsidP="001B19AF">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iCs/>
          <w:lang w:val="fr-FR"/>
        </w:rPr>
        <w:tab/>
      </w:r>
      <w:r w:rsidRPr="00E41698">
        <w:rPr>
          <w:iCs/>
          <w:lang w:val="fr-FR"/>
        </w:rPr>
        <w:tab/>
      </w:r>
      <w:r>
        <w:rPr>
          <w:iCs/>
          <w:lang w:val="fr-FR"/>
        </w:rPr>
        <w:t>D</w:t>
      </w:r>
      <w:r w:rsidRPr="001C0513">
        <w:t>étérioration grave et continue de la situation des droits de l</w:t>
      </w:r>
      <w:r>
        <w:t>’</w:t>
      </w:r>
      <w:r w:rsidRPr="001C0513">
        <w:t xml:space="preserve">homme </w:t>
      </w:r>
      <w:r w:rsidR="001B19AF">
        <w:br/>
      </w:r>
      <w:r w:rsidRPr="001C0513">
        <w:t>et de la situation humanitaire en République arabe syrienne</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rPr>
      </w:pPr>
      <w:r w:rsidRPr="00E41698">
        <w:rPr>
          <w:lang w:val="fr-FR" w:eastAsia="zh-CN"/>
        </w:rPr>
        <w:t>Dans sa résolution </w:t>
      </w:r>
      <w:r>
        <w:rPr>
          <w:lang w:val="fr-FR" w:eastAsia="zh-CN"/>
        </w:rPr>
        <w:t>28/20</w:t>
      </w:r>
      <w:r w:rsidRPr="00E41698">
        <w:rPr>
          <w:lang w:val="fr-FR" w:eastAsia="zh-CN"/>
        </w:rPr>
        <w:t>, le Conseil des droits de l</w:t>
      </w:r>
      <w:r>
        <w:rPr>
          <w:lang w:val="fr-FR" w:eastAsia="zh-CN"/>
        </w:rPr>
        <w:t>’</w:t>
      </w:r>
      <w:r w:rsidRPr="00E41698">
        <w:rPr>
          <w:lang w:val="fr-FR" w:eastAsia="zh-CN"/>
        </w:rPr>
        <w:t xml:space="preserve">homme a décidé </w:t>
      </w:r>
      <w:r w:rsidRPr="00F54B6E">
        <w:rPr>
          <w:lang w:val="fr-FR" w:eastAsia="zh-CN"/>
        </w:rPr>
        <w:t>de proroger d’un</w:t>
      </w:r>
      <w:r w:rsidRPr="001C0513">
        <w:t xml:space="preserve"> an le mandat de la Commission d</w:t>
      </w:r>
      <w:r>
        <w:t>’</w:t>
      </w:r>
      <w:r w:rsidRPr="001C0513">
        <w:t>enquête internationale indépendante sur la République arabe syrienne</w:t>
      </w:r>
      <w:r>
        <w:t xml:space="preserve"> qu’il avait </w:t>
      </w:r>
      <w:r w:rsidRPr="001C0513">
        <w:t>établie dans sa résolution S-17/1</w:t>
      </w:r>
      <w:r>
        <w:t xml:space="preserve"> </w:t>
      </w:r>
      <w:r w:rsidRPr="001C0513">
        <w:t>pour enquêter sur toutes les violations alléguées du droit international des droits de l</w:t>
      </w:r>
      <w:r>
        <w:t>’</w:t>
      </w:r>
      <w:r w:rsidRPr="001C0513">
        <w:t>homme commises en République arabe syrienne depuis mars 2011,</w:t>
      </w:r>
      <w:r>
        <w:t xml:space="preserve"> et l’a aussi priée </w:t>
      </w:r>
      <w:r w:rsidRPr="001C0513">
        <w:t xml:space="preserve">de lui présenter des rapports écrits actualisés au cours des dialogues qui se tiendront </w:t>
      </w:r>
      <w:r>
        <w:t>à ses</w:t>
      </w:r>
      <w:r w:rsidRPr="001C0513">
        <w:t xml:space="preserve"> trentième et trente et unième sessions</w:t>
      </w:r>
      <w:r>
        <w:t>. Le Conseil examinera le rapport de la Commission (A/HRC/30/48).</w:t>
      </w:r>
    </w:p>
    <w:p w:rsidR="001B19AF" w:rsidRPr="001B19AF" w:rsidRDefault="001B19AF" w:rsidP="001B19AF">
      <w:pPr>
        <w:pStyle w:val="SingleTxt"/>
        <w:tabs>
          <w:tab w:val="clear" w:pos="1742"/>
        </w:tabs>
        <w:spacing w:after="0" w:line="120" w:lineRule="exact"/>
        <w:rPr>
          <w:sz w:val="10"/>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FR"/>
        </w:rPr>
        <w:tab/>
      </w:r>
      <w:r>
        <w:rPr>
          <w:lang w:val="fr-FR"/>
        </w:rPr>
        <w:tab/>
        <w:t>S</w:t>
      </w:r>
      <w:r w:rsidRPr="00461253">
        <w:t>ituation des droits de l</w:t>
      </w:r>
      <w:r>
        <w:t>’</w:t>
      </w:r>
      <w:r w:rsidRPr="00461253">
        <w:t>homme en République populaire démocratique de Corée</w:t>
      </w:r>
    </w:p>
    <w:p w:rsidR="001B19AF" w:rsidRPr="001B19AF" w:rsidRDefault="001B19AF" w:rsidP="001B19AF">
      <w:pPr>
        <w:pStyle w:val="SingleTxt"/>
        <w:spacing w:after="0" w:line="120" w:lineRule="exact"/>
        <w:rPr>
          <w:sz w:val="10"/>
        </w:rPr>
      </w:pPr>
    </w:p>
    <w:p w:rsidR="00676011" w:rsidRPr="005961AA" w:rsidRDefault="00676011" w:rsidP="00F54B6E">
      <w:pPr>
        <w:pStyle w:val="SingleTxt"/>
        <w:numPr>
          <w:ilvl w:val="0"/>
          <w:numId w:val="29"/>
        </w:numPr>
        <w:rPr>
          <w:lang w:val="fr-FR"/>
        </w:rPr>
      </w:pPr>
      <w:r w:rsidRPr="00E41698">
        <w:rPr>
          <w:lang w:val="fr-FR"/>
        </w:rPr>
        <w:t>Dans sa résolution 28/</w:t>
      </w:r>
      <w:r>
        <w:rPr>
          <w:lang w:val="fr-FR"/>
        </w:rPr>
        <w:t>22</w:t>
      </w:r>
      <w:r w:rsidRPr="00E41698">
        <w:rPr>
          <w:lang w:val="fr-FR"/>
        </w:rPr>
        <w:t>, le Conseil des droits de l</w:t>
      </w:r>
      <w:r>
        <w:rPr>
          <w:lang w:val="fr-FR"/>
        </w:rPr>
        <w:t>’</w:t>
      </w:r>
      <w:r w:rsidRPr="00E41698">
        <w:rPr>
          <w:lang w:val="fr-FR"/>
        </w:rPr>
        <w:t xml:space="preserve">homme </w:t>
      </w:r>
      <w:r>
        <w:t>a salué</w:t>
      </w:r>
      <w:r w:rsidRPr="005961AA">
        <w:t xml:space="preserve"> les mesures prises par le Haut-Commissariat pour établir en République de Corée une structure sur le terrain afin de mieux surveiller la situation des droits de l</w:t>
      </w:r>
      <w:r>
        <w:t>’</w:t>
      </w:r>
      <w:r w:rsidRPr="005961AA">
        <w:t>homme en République populaire démocratique de Corée et de recueillir davantage de données, d</w:t>
      </w:r>
      <w:r>
        <w:t>’</w:t>
      </w:r>
      <w:r w:rsidRPr="005961AA">
        <w:t>établir les responsabilités, d</w:t>
      </w:r>
      <w:r>
        <w:t>’</w:t>
      </w:r>
      <w:r w:rsidRPr="005961AA">
        <w:t>apporter un soutien accru au Rapporteur spécial, d</w:t>
      </w:r>
      <w:r>
        <w:t>’</w:t>
      </w:r>
      <w:r w:rsidRPr="005961AA">
        <w:t>intensifier la participation et le renforcement des capacités des gouvernements de tous les États concernés, de la société civile et des autres parties prenantes, et de continuer à appeler l</w:t>
      </w:r>
      <w:r>
        <w:t>’</w:t>
      </w:r>
      <w:r w:rsidRPr="005961AA">
        <w:t>attention sur la situation des droits de l</w:t>
      </w:r>
      <w:r>
        <w:t>’</w:t>
      </w:r>
      <w:r w:rsidRPr="005961AA">
        <w:t>homme en République populaire démocratique de Corée, notamment grâce à des activités régulières de communication, de s</w:t>
      </w:r>
      <w:r>
        <w:t xml:space="preserve">ensibilisation et d’information. Il a </w:t>
      </w:r>
      <w:r w:rsidRPr="005961AA">
        <w:t>demandé au Haut-Commissariat de lui</w:t>
      </w:r>
      <w:r>
        <w:t xml:space="preserve"> présenter un compte rendu oral, à sa trentième session, sur le rôle joué et le travail accompli par le Haut-Commissariat, notamment sur la structure sur le terrain. En conséquence, le Haut-Commissariat présentera un compte rendu oral au Conseil.</w:t>
      </w:r>
    </w:p>
    <w:p w:rsidR="00676011" w:rsidRPr="001B19AF" w:rsidRDefault="00676011" w:rsidP="00F54B6E">
      <w:pPr>
        <w:pStyle w:val="SingleTxt"/>
        <w:numPr>
          <w:ilvl w:val="0"/>
          <w:numId w:val="29"/>
        </w:numPr>
        <w:rPr>
          <w:lang w:val="fr-FR"/>
        </w:rPr>
      </w:pPr>
      <w:r>
        <w:t xml:space="preserve">Toujours en application de la résolution 28/22, le Conseil </w:t>
      </w:r>
      <w:r w:rsidRPr="005961AA">
        <w:t>organiser</w:t>
      </w:r>
      <w:r>
        <w:t>a</w:t>
      </w:r>
      <w:r w:rsidRPr="005961AA">
        <w:t xml:space="preserve"> une table ronde sur la situation des droits de l</w:t>
      </w:r>
      <w:r>
        <w:t>’</w:t>
      </w:r>
      <w:r w:rsidRPr="005961AA">
        <w:t>homme en République populaire démocratique de Corée, y compris le problème des enlèvements internationaux, des disparitions forcé</w:t>
      </w:r>
      <w:r>
        <w:t>es et autres questions connexes (voir annexe).</w:t>
      </w:r>
    </w:p>
    <w:p w:rsidR="001B19AF" w:rsidRPr="001B19AF" w:rsidRDefault="001B19AF" w:rsidP="001B19AF">
      <w:pPr>
        <w:pStyle w:val="SingleTxt"/>
        <w:tabs>
          <w:tab w:val="clear" w:pos="1742"/>
        </w:tabs>
        <w:spacing w:after="0" w:line="120" w:lineRule="exact"/>
        <w:rPr>
          <w:sz w:val="10"/>
        </w:rPr>
      </w:pPr>
    </w:p>
    <w:p w:rsidR="001B19AF" w:rsidRPr="001B19AF" w:rsidRDefault="001B19AF" w:rsidP="001B19AF">
      <w:pPr>
        <w:pStyle w:val="SingleTxt"/>
        <w:tabs>
          <w:tab w:val="clear" w:pos="1742"/>
        </w:tabs>
        <w:spacing w:after="0" w:line="120" w:lineRule="exact"/>
        <w:rPr>
          <w:sz w:val="10"/>
          <w:lang w:val="fr-FR"/>
        </w:rPr>
      </w:pPr>
    </w:p>
    <w:p w:rsidR="00676011" w:rsidRDefault="001B19AF" w:rsidP="001B19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6" w:name="_Toc220321003"/>
      <w:r>
        <w:rPr>
          <w:lang w:val="fr-FR"/>
        </w:rPr>
        <w:tab/>
      </w:r>
      <w:r w:rsidR="00676011" w:rsidRPr="00B23FAE">
        <w:rPr>
          <w:lang w:val="fr-FR"/>
        </w:rPr>
        <w:t>5.</w:t>
      </w:r>
      <w:r w:rsidR="00676011" w:rsidRPr="00B23FAE">
        <w:rPr>
          <w:lang w:val="fr-FR"/>
        </w:rPr>
        <w:tab/>
        <w:t>Organes et mécanismes des droits de</w:t>
      </w:r>
      <w:r>
        <w:rPr>
          <w:lang w:val="fr-FR"/>
        </w:rPr>
        <w:t xml:space="preserve"> </w:t>
      </w:r>
      <w:r w:rsidR="00676011" w:rsidRPr="00B23FAE">
        <w:rPr>
          <w:lang w:val="fr-FR"/>
        </w:rPr>
        <w:t>l</w:t>
      </w:r>
      <w:r w:rsidR="00676011">
        <w:rPr>
          <w:lang w:val="fr-FR"/>
        </w:rPr>
        <w:t>’</w:t>
      </w:r>
      <w:r w:rsidR="00676011" w:rsidRPr="00B23FAE">
        <w:rPr>
          <w:lang w:val="fr-FR"/>
        </w:rPr>
        <w:t>homme</w:t>
      </w:r>
      <w:bookmarkEnd w:id="16"/>
    </w:p>
    <w:p w:rsidR="001B19AF" w:rsidRPr="001B19AF" w:rsidRDefault="001B19AF" w:rsidP="001B19AF">
      <w:pPr>
        <w:pStyle w:val="SingleTxt"/>
        <w:spacing w:after="0" w:line="120" w:lineRule="exact"/>
        <w:rPr>
          <w:sz w:val="10"/>
          <w:lang w:val="fr-FR"/>
        </w:rPr>
      </w:pPr>
    </w:p>
    <w:p w:rsidR="001B19AF" w:rsidRPr="001B19AF" w:rsidRDefault="001B19AF" w:rsidP="001B19AF">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23FAE">
        <w:rPr>
          <w:lang w:val="fr-FR"/>
        </w:rPr>
        <w:tab/>
      </w:r>
      <w:r>
        <w:rPr>
          <w:lang w:val="fr-FR"/>
        </w:rPr>
        <w:tab/>
      </w:r>
      <w:r w:rsidRPr="00B23FAE">
        <w:t>Coopération avec l</w:t>
      </w:r>
      <w:r>
        <w:rPr>
          <w:b/>
        </w:rPr>
        <w:t>’</w:t>
      </w:r>
      <w:r w:rsidRPr="00B23FAE">
        <w:t xml:space="preserve">Organisation des Nations Unies, ses représentants </w:t>
      </w:r>
      <w:r w:rsidR="001B19AF">
        <w:br/>
      </w:r>
      <w:r w:rsidRPr="00B23FAE">
        <w:t>et ses mécanismes dans le domaine des droits de l</w:t>
      </w:r>
      <w:r>
        <w:rPr>
          <w:b/>
        </w:rPr>
        <w:t>’</w:t>
      </w:r>
      <w:r w:rsidRPr="00B23FAE">
        <w:t>homme</w:t>
      </w:r>
      <w:r w:rsidR="001B19AF">
        <w:t xml:space="preserve"> </w:t>
      </w:r>
    </w:p>
    <w:p w:rsidR="001B19AF" w:rsidRPr="001B19AF" w:rsidRDefault="001B19AF" w:rsidP="001B19AF">
      <w:pPr>
        <w:pStyle w:val="SingleTxt"/>
        <w:spacing w:after="0" w:line="120" w:lineRule="exact"/>
        <w:rPr>
          <w:sz w:val="10"/>
        </w:rPr>
      </w:pPr>
    </w:p>
    <w:p w:rsidR="00676011" w:rsidRPr="001B19AF" w:rsidRDefault="00676011" w:rsidP="00F54B6E">
      <w:pPr>
        <w:pStyle w:val="SingleTxt"/>
        <w:numPr>
          <w:ilvl w:val="0"/>
          <w:numId w:val="29"/>
        </w:numPr>
        <w:rPr>
          <w:lang w:val="fr-FR" w:eastAsia="en-GB"/>
        </w:rPr>
      </w:pPr>
      <w:r>
        <w:rPr>
          <w:lang w:val="fr-FR" w:eastAsia="en-GB"/>
        </w:rPr>
        <w:t xml:space="preserve">On se reportera au rapport du </w:t>
      </w:r>
      <w:r w:rsidRPr="00B23FAE">
        <w:rPr>
          <w:lang w:eastAsia="en-GB"/>
        </w:rPr>
        <w:t>Secrétaire général portant sur les allégations de représailles</w:t>
      </w:r>
      <w:r>
        <w:rPr>
          <w:lang w:eastAsia="en-GB"/>
        </w:rPr>
        <w:t>, y compris sur les</w:t>
      </w:r>
      <w:r w:rsidRPr="00B23FAE">
        <w:rPr>
          <w:lang w:eastAsia="en-GB"/>
        </w:rPr>
        <w:t xml:space="preserve"> recommandations </w:t>
      </w:r>
      <w:r>
        <w:rPr>
          <w:lang w:eastAsia="en-GB"/>
        </w:rPr>
        <w:t xml:space="preserve">qu’il contient concernant </w:t>
      </w:r>
      <w:r w:rsidRPr="00B23FAE">
        <w:rPr>
          <w:lang w:eastAsia="en-GB"/>
        </w:rPr>
        <w:t>la manière de traiter la question des actes d</w:t>
      </w:r>
      <w:r>
        <w:rPr>
          <w:lang w:eastAsia="en-GB"/>
        </w:rPr>
        <w:t>’</w:t>
      </w:r>
      <w:r w:rsidRPr="00B23FAE">
        <w:rPr>
          <w:lang w:eastAsia="en-GB"/>
        </w:rPr>
        <w:t>intimidation et de représailles à l</w:t>
      </w:r>
      <w:r>
        <w:rPr>
          <w:lang w:eastAsia="en-GB"/>
        </w:rPr>
        <w:t>’</w:t>
      </w:r>
      <w:r w:rsidRPr="00B23FAE">
        <w:rPr>
          <w:lang w:eastAsia="en-GB"/>
        </w:rPr>
        <w:t>encontre des personnes qui cherchent à coopérer ou ont coopéré avec l</w:t>
      </w:r>
      <w:r>
        <w:rPr>
          <w:lang w:eastAsia="en-GB"/>
        </w:rPr>
        <w:t>’</w:t>
      </w:r>
      <w:r w:rsidRPr="00B23FAE">
        <w:rPr>
          <w:lang w:eastAsia="en-GB"/>
        </w:rPr>
        <w:t>Organisation des Nations Unies, ses représentants et ses mécanismes (A/HRC/</w:t>
      </w:r>
      <w:r>
        <w:rPr>
          <w:lang w:eastAsia="en-GB"/>
        </w:rPr>
        <w:t>30</w:t>
      </w:r>
      <w:r w:rsidRPr="00B23FAE">
        <w:rPr>
          <w:lang w:eastAsia="en-GB"/>
        </w:rPr>
        <w:t>/</w:t>
      </w:r>
      <w:r>
        <w:rPr>
          <w:lang w:eastAsia="en-GB"/>
        </w:rPr>
        <w:t>29</w:t>
      </w:r>
      <w:r w:rsidRPr="00B23FAE">
        <w:rPr>
          <w:lang w:eastAsia="en-GB"/>
        </w:rPr>
        <w:t>) (</w:t>
      </w:r>
      <w:r>
        <w:rPr>
          <w:lang w:eastAsia="en-GB"/>
        </w:rPr>
        <w:t>voir par.</w:t>
      </w:r>
      <w:r w:rsidR="001B19AF">
        <w:rPr>
          <w:lang w:eastAsia="en-GB"/>
        </w:rPr>
        <w:t> </w:t>
      </w:r>
      <w:r>
        <w:rPr>
          <w:lang w:eastAsia="en-GB"/>
        </w:rPr>
        <w:t>37 ci-dessus</w:t>
      </w:r>
      <w:r w:rsidRPr="00B23FAE">
        <w:rPr>
          <w:lang w:eastAsia="en-GB"/>
        </w:rPr>
        <w:t>).</w:t>
      </w:r>
    </w:p>
    <w:p w:rsidR="001B19AF" w:rsidRPr="001B19AF" w:rsidRDefault="001B19AF" w:rsidP="001B19AF">
      <w:pPr>
        <w:pStyle w:val="SingleTxt"/>
        <w:tabs>
          <w:tab w:val="clear" w:pos="1742"/>
        </w:tabs>
        <w:spacing w:after="0" w:line="120" w:lineRule="exact"/>
        <w:rPr>
          <w:sz w:val="10"/>
          <w:lang w:eastAsia="en-GB"/>
        </w:rPr>
      </w:pPr>
    </w:p>
    <w:p w:rsidR="001B19AF" w:rsidRPr="001B19AF" w:rsidRDefault="001B19AF" w:rsidP="001B19AF">
      <w:pPr>
        <w:pStyle w:val="SingleTxt"/>
        <w:tabs>
          <w:tab w:val="clear" w:pos="1742"/>
        </w:tabs>
        <w:spacing w:after="0" w:line="120" w:lineRule="exact"/>
        <w:rPr>
          <w:sz w:val="10"/>
          <w:lang w:eastAsia="en-GB"/>
        </w:rPr>
      </w:pPr>
    </w:p>
    <w:p w:rsidR="00676011" w:rsidRDefault="00676011" w:rsidP="001B19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Pr>
          <w:lang w:val="fr-FR"/>
        </w:rPr>
        <w:t>A</w:t>
      </w:r>
      <w:r w:rsidRPr="00E41698">
        <w:rPr>
          <w:lang w:val="fr-FR"/>
        </w:rPr>
        <w:t>.</w:t>
      </w:r>
      <w:r w:rsidRPr="00E41698">
        <w:rPr>
          <w:lang w:val="fr-FR"/>
        </w:rPr>
        <w:tab/>
      </w:r>
      <w:r w:rsidRPr="005E7B8D">
        <w:t>Mécanisme d</w:t>
      </w:r>
      <w:r>
        <w:t>’</w:t>
      </w:r>
      <w:r w:rsidRPr="005E7B8D">
        <w:t>experts sur les droits des peuples autochtones</w:t>
      </w:r>
    </w:p>
    <w:p w:rsidR="001B19AF" w:rsidRPr="001B19AF" w:rsidRDefault="001B19AF" w:rsidP="001B19AF">
      <w:pPr>
        <w:pStyle w:val="SingleTxt"/>
        <w:spacing w:after="0" w:line="120" w:lineRule="exact"/>
        <w:rPr>
          <w:sz w:val="10"/>
        </w:rPr>
      </w:pPr>
    </w:p>
    <w:p w:rsidR="001B19AF" w:rsidRPr="001B19AF" w:rsidRDefault="001B19AF" w:rsidP="001B19AF">
      <w:pPr>
        <w:pStyle w:val="SingleTxt"/>
        <w:spacing w:after="0" w:line="120" w:lineRule="exact"/>
        <w:rPr>
          <w:sz w:val="10"/>
        </w:rPr>
      </w:pPr>
    </w:p>
    <w:p w:rsidR="00676011" w:rsidRPr="005E7B8D" w:rsidRDefault="00676011" w:rsidP="00F54B6E">
      <w:pPr>
        <w:pStyle w:val="SingleTxt"/>
        <w:numPr>
          <w:ilvl w:val="0"/>
          <w:numId w:val="29"/>
        </w:numPr>
        <w:rPr>
          <w:lang w:val="fr-FR"/>
        </w:rPr>
      </w:pPr>
      <w:r w:rsidRPr="005E7B8D">
        <w:rPr>
          <w:lang w:val="fr-FR"/>
        </w:rPr>
        <w:t>Dans sa résolution 6/36, le Conseil des droits de l</w:t>
      </w:r>
      <w:r>
        <w:rPr>
          <w:lang w:val="fr-FR"/>
        </w:rPr>
        <w:t>’</w:t>
      </w:r>
      <w:r w:rsidRPr="005E7B8D">
        <w:rPr>
          <w:lang w:val="fr-FR"/>
        </w:rPr>
        <w:t>homme a décidé de mettre en place un mécanisme d</w:t>
      </w:r>
      <w:r>
        <w:rPr>
          <w:lang w:val="fr-FR"/>
        </w:rPr>
        <w:t>’</w:t>
      </w:r>
      <w:r w:rsidRPr="005E7B8D">
        <w:rPr>
          <w:lang w:val="fr-FR"/>
        </w:rPr>
        <w:t>experts subsidiaire qui le doterait d</w:t>
      </w:r>
      <w:r>
        <w:rPr>
          <w:lang w:val="fr-FR"/>
        </w:rPr>
        <w:t>’</w:t>
      </w:r>
      <w:r w:rsidRPr="005E7B8D">
        <w:rPr>
          <w:lang w:val="fr-FR"/>
        </w:rPr>
        <w:t>une compétence thématique en matière de droits des peuples autochtones, de la manière et dans la forme voulues par lui. Le Conseil examinera le rapport du Mécanisme d</w:t>
      </w:r>
      <w:r>
        <w:rPr>
          <w:lang w:val="fr-FR"/>
        </w:rPr>
        <w:t>’</w:t>
      </w:r>
      <w:r w:rsidRPr="005E7B8D">
        <w:rPr>
          <w:lang w:val="fr-FR"/>
        </w:rPr>
        <w:t xml:space="preserve">experts </w:t>
      </w:r>
      <w:r>
        <w:rPr>
          <w:lang w:val="fr-FR"/>
        </w:rPr>
        <w:t xml:space="preserve">sur les droits des peuples autochtones </w:t>
      </w:r>
      <w:r w:rsidRPr="005E7B8D">
        <w:rPr>
          <w:lang w:val="fr-FR"/>
        </w:rPr>
        <w:t xml:space="preserve">sur les travaux de sa </w:t>
      </w:r>
      <w:r>
        <w:rPr>
          <w:lang w:val="fr-FR"/>
        </w:rPr>
        <w:t>huitième</w:t>
      </w:r>
      <w:r w:rsidRPr="005E7B8D">
        <w:rPr>
          <w:lang w:val="fr-FR"/>
        </w:rPr>
        <w:t xml:space="preserve"> session, tenue du</w:t>
      </w:r>
      <w:r w:rsidR="001B19AF">
        <w:rPr>
          <w:lang w:val="fr-FR"/>
        </w:rPr>
        <w:t> </w:t>
      </w:r>
      <w:r>
        <w:rPr>
          <w:lang w:val="fr-FR"/>
        </w:rPr>
        <w:t>20</w:t>
      </w:r>
      <w:r w:rsidRPr="005E7B8D">
        <w:rPr>
          <w:lang w:val="fr-FR"/>
        </w:rPr>
        <w:t xml:space="preserve"> au </w:t>
      </w:r>
      <w:r>
        <w:rPr>
          <w:lang w:val="fr-FR"/>
        </w:rPr>
        <w:t>24</w:t>
      </w:r>
      <w:r w:rsidR="001B19AF">
        <w:rPr>
          <w:lang w:val="fr-FR"/>
        </w:rPr>
        <w:t> </w:t>
      </w:r>
      <w:r w:rsidRPr="005E7B8D">
        <w:rPr>
          <w:lang w:val="fr-FR"/>
        </w:rPr>
        <w:t xml:space="preserve">juillet </w:t>
      </w:r>
      <w:r>
        <w:rPr>
          <w:lang w:val="fr-FR"/>
        </w:rPr>
        <w:t>2015</w:t>
      </w:r>
      <w:r w:rsidRPr="005E7B8D">
        <w:rPr>
          <w:lang w:val="fr-FR"/>
        </w:rPr>
        <w:t xml:space="preserve"> (A/HRC/</w:t>
      </w:r>
      <w:r>
        <w:rPr>
          <w:lang w:val="fr-FR"/>
        </w:rPr>
        <w:t>30/52</w:t>
      </w:r>
      <w:r w:rsidRPr="005E7B8D">
        <w:rPr>
          <w:lang w:val="fr-FR"/>
        </w:rPr>
        <w:t xml:space="preserve">). </w:t>
      </w:r>
    </w:p>
    <w:p w:rsidR="00676011" w:rsidRPr="005E7B8D" w:rsidRDefault="00676011" w:rsidP="00F54B6E">
      <w:pPr>
        <w:pStyle w:val="SingleTxt"/>
        <w:numPr>
          <w:ilvl w:val="0"/>
          <w:numId w:val="29"/>
        </w:numPr>
        <w:rPr>
          <w:lang w:val="fr-FR"/>
        </w:rPr>
      </w:pPr>
      <w:r>
        <w:rPr>
          <w:lang w:val="fr-FR"/>
        </w:rPr>
        <w:t xml:space="preserve">Dans sa résolution 27/13, le Conseil </w:t>
      </w:r>
      <w:r>
        <w:t>a prié</w:t>
      </w:r>
      <w:r w:rsidRPr="005E7B8D">
        <w:t xml:space="preserve"> le Mécanisme d</w:t>
      </w:r>
      <w:r>
        <w:t>’</w:t>
      </w:r>
      <w:r w:rsidRPr="005E7B8D">
        <w:t>experts d</w:t>
      </w:r>
      <w:r>
        <w:t>’</w:t>
      </w:r>
      <w:r w:rsidRPr="005E7B8D">
        <w:t>élaborer une étude sur la promotion et la protection des droits des peuples autochtones en ce qui concerne leur patrimoine culturel, grâce notamment à leur participation à la vie politique et publique, et de le lui p</w:t>
      </w:r>
      <w:r>
        <w:t>résenter à sa trentième session. Le Conseil examinera l’étude du Mécanisme d’experts (A/HRC/30/53).</w:t>
      </w:r>
    </w:p>
    <w:p w:rsidR="00676011" w:rsidRPr="005E7B8D" w:rsidRDefault="00676011" w:rsidP="00F54B6E">
      <w:pPr>
        <w:pStyle w:val="SingleTxt"/>
        <w:numPr>
          <w:ilvl w:val="0"/>
          <w:numId w:val="29"/>
        </w:numPr>
        <w:rPr>
          <w:lang w:val="fr-FR"/>
        </w:rPr>
      </w:pPr>
      <w:r>
        <w:t>Également dans sa résolution 27/13, le Conseil a prié</w:t>
      </w:r>
      <w:r w:rsidRPr="005E7B8D">
        <w:t xml:space="preserve"> le Mécanisme d</w:t>
      </w:r>
      <w:r>
        <w:t>’</w:t>
      </w:r>
      <w:r w:rsidRPr="005E7B8D">
        <w:t>experts de continuer, avec l</w:t>
      </w:r>
      <w:r>
        <w:t>’</w:t>
      </w:r>
      <w:r w:rsidRPr="005E7B8D">
        <w:t>aide du Haut-Commissariat, de recueillir au moyen d</w:t>
      </w:r>
      <w:r>
        <w:t>’</w:t>
      </w:r>
      <w:r w:rsidRPr="005E7B8D">
        <w:t>un questionnaire l</w:t>
      </w:r>
      <w:r>
        <w:t>’</w:t>
      </w:r>
      <w:r w:rsidRPr="005E7B8D">
        <w:t>avis des États et des peuples autochtones sur les meilleures pratiques concernant les mesures et les stratégies d</w:t>
      </w:r>
      <w:r>
        <w:t>’</w:t>
      </w:r>
      <w:r w:rsidRPr="005E7B8D">
        <w:t>application qui pourraient être mises en œuvre pour atteindre les objectifs de la Déclaration des Nations Unies sur les droits des peuples autochtones, en vue d</w:t>
      </w:r>
      <w:r>
        <w:t>’</w:t>
      </w:r>
      <w:r w:rsidRPr="005E7B8D">
        <w:t xml:space="preserve">établir une synthèse finale des réponses obtenues, qui sera présentée au Conseil </w:t>
      </w:r>
      <w:r>
        <w:t xml:space="preserve">à sa trentième session. Le Conseil examinera la </w:t>
      </w:r>
      <w:r w:rsidRPr="005E7B8D">
        <w:t xml:space="preserve">synthèse finale des réponses </w:t>
      </w:r>
      <w:r>
        <w:t>au questionnaire (A/HRC/30/54).</w:t>
      </w:r>
    </w:p>
    <w:p w:rsidR="00676011" w:rsidRPr="00D82BEF" w:rsidRDefault="00676011" w:rsidP="00F54B6E">
      <w:pPr>
        <w:pStyle w:val="SingleTxt"/>
        <w:numPr>
          <w:ilvl w:val="0"/>
          <w:numId w:val="29"/>
        </w:numPr>
        <w:rPr>
          <w:lang w:val="fr-FR"/>
        </w:rPr>
      </w:pPr>
      <w:r>
        <w:t xml:space="preserve">On se reportera également au </w:t>
      </w:r>
      <w:r w:rsidRPr="005E7B8D">
        <w:t xml:space="preserve">rapport annuel du Haut-Commissaire sur les droits des peuples autochtones </w:t>
      </w:r>
      <w:r>
        <w:t xml:space="preserve">(A/HRC/30/25) et à la table ronde </w:t>
      </w:r>
      <w:r w:rsidRPr="00D82BEF">
        <w:t>d</w:t>
      </w:r>
      <w:r>
        <w:t>’</w:t>
      </w:r>
      <w:r w:rsidRPr="00D82BEF">
        <w:t>une demi-journée</w:t>
      </w:r>
      <w:r>
        <w:t xml:space="preserve"> sur les droits de peuples autochtones (voir par.</w:t>
      </w:r>
      <w:r w:rsidR="00947A9A">
        <w:t> </w:t>
      </w:r>
      <w:r>
        <w:t>29 et 64 ci-dessus, et annexe).</w:t>
      </w:r>
    </w:p>
    <w:p w:rsidR="00676011" w:rsidRPr="00947A9A" w:rsidRDefault="00676011" w:rsidP="00F54B6E">
      <w:pPr>
        <w:pStyle w:val="SingleTxt"/>
        <w:numPr>
          <w:ilvl w:val="0"/>
          <w:numId w:val="29"/>
        </w:numPr>
        <w:rPr>
          <w:lang w:val="fr-FR"/>
        </w:rPr>
      </w:pPr>
      <w:r w:rsidRPr="00F54B6E">
        <w:rPr>
          <w:lang w:val="fr-FR" w:eastAsia="zh-CN"/>
        </w:rPr>
        <w:t>On</w:t>
      </w:r>
      <w:r>
        <w:t xml:space="preserve"> se reportera aussi au rapport du </w:t>
      </w:r>
      <w:r w:rsidRPr="00D82BEF">
        <w:t xml:space="preserve">Rapporteur spécial sur les droits des peuples autochtones </w:t>
      </w:r>
      <w:r>
        <w:t>(A/HRC/30/41 et Add.1 et</w:t>
      </w:r>
      <w:r w:rsidR="00947A9A">
        <w:t> </w:t>
      </w:r>
      <w:r>
        <w:t>2) (voir par.</w:t>
      </w:r>
      <w:r w:rsidR="00947A9A">
        <w:t> </w:t>
      </w:r>
      <w:r>
        <w:t>61 ci-dessus).</w:t>
      </w:r>
    </w:p>
    <w:p w:rsidR="00947A9A" w:rsidRPr="00947A9A" w:rsidRDefault="00947A9A" w:rsidP="00947A9A">
      <w:pPr>
        <w:pStyle w:val="SingleTxt"/>
        <w:tabs>
          <w:tab w:val="clear" w:pos="1742"/>
        </w:tabs>
        <w:spacing w:after="0" w:line="120" w:lineRule="exact"/>
        <w:rPr>
          <w:sz w:val="10"/>
        </w:rPr>
      </w:pPr>
    </w:p>
    <w:p w:rsidR="00947A9A" w:rsidRPr="00947A9A" w:rsidRDefault="00947A9A" w:rsidP="00947A9A">
      <w:pPr>
        <w:pStyle w:val="SingleTxt"/>
        <w:tabs>
          <w:tab w:val="clear" w:pos="1742"/>
        </w:tabs>
        <w:spacing w:after="0" w:line="120" w:lineRule="exact"/>
        <w:rPr>
          <w:sz w:val="10"/>
          <w:lang w:val="fr-FR"/>
        </w:rPr>
      </w:pPr>
    </w:p>
    <w:p w:rsidR="00676011" w:rsidRDefault="00676011" w:rsidP="00947A9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rPr>
        <w:tab/>
      </w:r>
      <w:r>
        <w:rPr>
          <w:lang w:val="fr-FR"/>
        </w:rPr>
        <w:t>B</w:t>
      </w:r>
      <w:r w:rsidRPr="00E41698">
        <w:rPr>
          <w:lang w:val="fr-FR"/>
        </w:rPr>
        <w:t>.</w:t>
      </w:r>
      <w:r w:rsidRPr="00E41698">
        <w:rPr>
          <w:lang w:val="fr-FR"/>
        </w:rPr>
        <w:tab/>
      </w:r>
      <w:r>
        <w:rPr>
          <w:lang w:val="fr-FR"/>
        </w:rPr>
        <w:t>Comité consultatif</w:t>
      </w:r>
    </w:p>
    <w:p w:rsidR="00947A9A" w:rsidRPr="00947A9A" w:rsidRDefault="00947A9A" w:rsidP="00947A9A">
      <w:pPr>
        <w:pStyle w:val="SingleTxt"/>
        <w:spacing w:after="0" w:line="120" w:lineRule="exact"/>
        <w:rPr>
          <w:sz w:val="10"/>
          <w:lang w:val="fr-FR"/>
        </w:rPr>
      </w:pPr>
    </w:p>
    <w:p w:rsidR="00947A9A" w:rsidRPr="00947A9A" w:rsidRDefault="00947A9A" w:rsidP="00947A9A">
      <w:pPr>
        <w:pStyle w:val="SingleTxt"/>
        <w:spacing w:after="0" w:line="120" w:lineRule="exact"/>
        <w:rPr>
          <w:sz w:val="10"/>
          <w:lang w:val="fr-FR"/>
        </w:rPr>
      </w:pPr>
    </w:p>
    <w:p w:rsidR="00676011" w:rsidRPr="003726C8" w:rsidRDefault="00676011" w:rsidP="00F54B6E">
      <w:pPr>
        <w:pStyle w:val="SingleTxt"/>
        <w:numPr>
          <w:ilvl w:val="0"/>
          <w:numId w:val="29"/>
        </w:numPr>
        <w:rPr>
          <w:lang w:val="fr-FR"/>
        </w:rPr>
      </w:pPr>
      <w:r>
        <w:t>L</w:t>
      </w:r>
      <w:r w:rsidRPr="003726C8">
        <w:t xml:space="preserve">e Comité consultatif a tenu sa </w:t>
      </w:r>
      <w:r>
        <w:t>quatorzième</w:t>
      </w:r>
      <w:r w:rsidRPr="003726C8">
        <w:t xml:space="preserve"> session du </w:t>
      </w:r>
      <w:r>
        <w:t>23 au 27</w:t>
      </w:r>
      <w:r w:rsidR="00947A9A">
        <w:t> </w:t>
      </w:r>
      <w:r>
        <w:t>février 2015</w:t>
      </w:r>
      <w:r w:rsidRPr="003726C8">
        <w:t xml:space="preserve"> et sa </w:t>
      </w:r>
      <w:r>
        <w:t>quinzième</w:t>
      </w:r>
      <w:r w:rsidRPr="003726C8">
        <w:t xml:space="preserve"> session du </w:t>
      </w:r>
      <w:r>
        <w:t>10 au 14</w:t>
      </w:r>
      <w:r w:rsidR="00947A9A">
        <w:t> </w:t>
      </w:r>
      <w:r>
        <w:t>août 2015</w:t>
      </w:r>
      <w:r w:rsidRPr="003726C8">
        <w:t>.</w:t>
      </w:r>
      <w:r>
        <w:t xml:space="preserve"> </w:t>
      </w:r>
      <w:r w:rsidRPr="003726C8">
        <w:t>Conformément aux dispositions du paragraphe</w:t>
      </w:r>
      <w:r w:rsidR="00947A9A">
        <w:t> </w:t>
      </w:r>
      <w:r w:rsidRPr="003726C8">
        <w:t>80 de l</w:t>
      </w:r>
      <w:r>
        <w:t>’</w:t>
      </w:r>
      <w:r w:rsidRPr="003726C8">
        <w:t xml:space="preserve">annexe à </w:t>
      </w:r>
      <w:r>
        <w:t>s</w:t>
      </w:r>
      <w:r w:rsidRPr="003726C8">
        <w:t xml:space="preserve">a résolution 5/1 et de </w:t>
      </w:r>
      <w:r>
        <w:t>s</w:t>
      </w:r>
      <w:r w:rsidRPr="003726C8">
        <w:t xml:space="preserve">a décision 18/121, le Conseil </w:t>
      </w:r>
      <w:r>
        <w:t xml:space="preserve">des droits de l’homme </w:t>
      </w:r>
      <w:r w:rsidRPr="003726C8">
        <w:t>examinera le rapport du Comité consultatif sur ces sessions (A/HRC/</w:t>
      </w:r>
      <w:r>
        <w:t>30</w:t>
      </w:r>
      <w:r w:rsidRPr="003726C8">
        <w:t>/</w:t>
      </w:r>
      <w:r>
        <w:t>51</w:t>
      </w:r>
      <w:r w:rsidRPr="003726C8">
        <w:t>) dans le cadre d</w:t>
      </w:r>
      <w:r>
        <w:t>’</w:t>
      </w:r>
      <w:r w:rsidRPr="003726C8">
        <w:t>un dialogue avec le Président du Comité.</w:t>
      </w:r>
    </w:p>
    <w:p w:rsidR="00676011" w:rsidRPr="003726C8" w:rsidRDefault="00676011" w:rsidP="00F54B6E">
      <w:pPr>
        <w:pStyle w:val="SingleTxt"/>
        <w:numPr>
          <w:ilvl w:val="0"/>
          <w:numId w:val="29"/>
        </w:numPr>
        <w:rPr>
          <w:lang w:val="fr-FR"/>
        </w:rPr>
      </w:pPr>
      <w:r>
        <w:t xml:space="preserve">Dans sa résolution 27/4, le Conseil a demandé au Comité consultatif </w:t>
      </w:r>
      <w:r w:rsidRPr="003726C8">
        <w:t>de lui soumettre, à sa trentième session, un rapport final sur le rôle des administrations locales dans la promotion et la p</w:t>
      </w:r>
      <w:r>
        <w:t>rotection des droits de l’homme. Il lui a</w:t>
      </w:r>
      <w:r w:rsidRPr="003726C8">
        <w:t xml:space="preserve"> également </w:t>
      </w:r>
      <w:r>
        <w:t>demandé</w:t>
      </w:r>
      <w:r w:rsidRPr="003726C8">
        <w:t xml:space="preserve"> d</w:t>
      </w:r>
      <w:r>
        <w:t>’</w:t>
      </w:r>
      <w:r w:rsidRPr="003726C8">
        <w:t>indiquer, dans le rapport susmentionné, les principales difficultés auxquelles doivent faire face les administrations locales dans la promotion et la protection des droits de l</w:t>
      </w:r>
      <w:r>
        <w:t>’</w:t>
      </w:r>
      <w:r w:rsidRPr="003726C8">
        <w:t>homme et de faire des recommandations afin d</w:t>
      </w:r>
      <w:r>
        <w:t>’</w:t>
      </w:r>
      <w:r w:rsidRPr="003726C8">
        <w:t>y remédier, en se fondant sur les meilleures pratiques en ce qui concerne la prise en considération des droits de l</w:t>
      </w:r>
      <w:r>
        <w:t>’</w:t>
      </w:r>
      <w:r w:rsidRPr="003726C8">
        <w:t xml:space="preserve">homme par les administrations </w:t>
      </w:r>
      <w:r>
        <w:t>locales et les services publics. Le Conseil sera saisi du rapport final du Comité (A/HRC/30/49).</w:t>
      </w:r>
    </w:p>
    <w:p w:rsidR="00676011" w:rsidRPr="00947A9A" w:rsidRDefault="00676011" w:rsidP="00F54B6E">
      <w:pPr>
        <w:pStyle w:val="SingleTxt"/>
        <w:numPr>
          <w:ilvl w:val="0"/>
          <w:numId w:val="29"/>
        </w:numPr>
        <w:rPr>
          <w:lang w:val="fr-FR"/>
        </w:rPr>
      </w:pPr>
      <w:r>
        <w:t>Dans sa résolution 27/8, le Conseil a demandé</w:t>
      </w:r>
      <w:r w:rsidRPr="003726C8">
        <w:t xml:space="preserve"> au Comité consultatif d</w:t>
      </w:r>
      <w:r>
        <w:t>’</w:t>
      </w:r>
      <w:r w:rsidRPr="003726C8">
        <w:t>achever l</w:t>
      </w:r>
      <w:r>
        <w:t>’</w:t>
      </w:r>
      <w:r w:rsidRPr="003726C8">
        <w:t>étude sur les possibilités d</w:t>
      </w:r>
      <w:r>
        <w:t>’</w:t>
      </w:r>
      <w:r w:rsidRPr="003726C8">
        <w:t>utiliser le sport et l</w:t>
      </w:r>
      <w:r>
        <w:t>’</w:t>
      </w:r>
      <w:r w:rsidRPr="003726C8">
        <w:t>idéal olympique pour promouvoir les droits de l</w:t>
      </w:r>
      <w:r>
        <w:t>’</w:t>
      </w:r>
      <w:r w:rsidRPr="003726C8">
        <w:t xml:space="preserve">homme pour tous et pour renforcer le respect universel de ces droits et de la </w:t>
      </w:r>
      <w:r>
        <w:t xml:space="preserve">lui </w:t>
      </w:r>
      <w:r w:rsidRPr="003726C8">
        <w:t xml:space="preserve">présenter </w:t>
      </w:r>
      <w:r>
        <w:t>avant sa trentième session. Le Conseil examinera l’étude achevée du Comité (A/HRC/30/50).</w:t>
      </w:r>
    </w:p>
    <w:p w:rsidR="00947A9A" w:rsidRPr="00947A9A" w:rsidRDefault="00947A9A" w:rsidP="00947A9A">
      <w:pPr>
        <w:pStyle w:val="SingleTxt"/>
        <w:tabs>
          <w:tab w:val="clear" w:pos="1742"/>
        </w:tabs>
        <w:spacing w:after="0" w:line="120" w:lineRule="exact"/>
        <w:rPr>
          <w:sz w:val="10"/>
        </w:rPr>
      </w:pPr>
    </w:p>
    <w:p w:rsidR="00947A9A" w:rsidRPr="00947A9A" w:rsidRDefault="00947A9A" w:rsidP="00947A9A">
      <w:pPr>
        <w:pStyle w:val="SingleTxt"/>
        <w:tabs>
          <w:tab w:val="clear" w:pos="1742"/>
        </w:tabs>
        <w:spacing w:after="0" w:line="120" w:lineRule="exact"/>
        <w:rPr>
          <w:sz w:val="10"/>
          <w:lang w:val="fr-FR"/>
        </w:rPr>
      </w:pPr>
    </w:p>
    <w:p w:rsidR="00676011" w:rsidRDefault="00676011" w:rsidP="00947A9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bookmarkStart w:id="17" w:name="_Ref216184648"/>
      <w:r w:rsidRPr="00E41698">
        <w:rPr>
          <w:lang w:val="fr-FR" w:eastAsia="en-GB"/>
        </w:rPr>
        <w:tab/>
      </w:r>
      <w:r>
        <w:rPr>
          <w:lang w:val="fr-FR" w:eastAsia="en-GB"/>
        </w:rPr>
        <w:t>C</w:t>
      </w:r>
      <w:r w:rsidRPr="00E41698">
        <w:rPr>
          <w:lang w:val="fr-FR" w:eastAsia="en-GB"/>
        </w:rPr>
        <w:t>.</w:t>
      </w:r>
      <w:r w:rsidRPr="00E41698">
        <w:rPr>
          <w:lang w:val="fr-FR" w:eastAsia="en-GB"/>
        </w:rPr>
        <w:tab/>
      </w:r>
      <w:r w:rsidRPr="009E60FB">
        <w:rPr>
          <w:lang w:eastAsia="en-GB"/>
        </w:rPr>
        <w:t>Procédure de requête</w:t>
      </w:r>
    </w:p>
    <w:p w:rsidR="00947A9A" w:rsidRPr="00947A9A" w:rsidRDefault="00947A9A" w:rsidP="00947A9A">
      <w:pPr>
        <w:pStyle w:val="SingleTxt"/>
        <w:spacing w:after="0" w:line="120" w:lineRule="exact"/>
        <w:rPr>
          <w:sz w:val="10"/>
          <w:lang w:eastAsia="en-GB"/>
        </w:rPr>
      </w:pPr>
    </w:p>
    <w:p w:rsidR="00947A9A" w:rsidRPr="00947A9A" w:rsidRDefault="00947A9A" w:rsidP="00947A9A">
      <w:pPr>
        <w:pStyle w:val="SingleTxt"/>
        <w:spacing w:after="0" w:line="120" w:lineRule="exact"/>
        <w:rPr>
          <w:sz w:val="10"/>
          <w:lang w:eastAsia="en-GB"/>
        </w:rPr>
      </w:pPr>
    </w:p>
    <w:bookmarkEnd w:id="17"/>
    <w:p w:rsidR="00676011" w:rsidRPr="009E60FB" w:rsidRDefault="00676011" w:rsidP="00F54B6E">
      <w:pPr>
        <w:pStyle w:val="SingleTxt"/>
        <w:numPr>
          <w:ilvl w:val="0"/>
          <w:numId w:val="29"/>
        </w:numPr>
        <w:rPr>
          <w:lang w:val="fr-FR"/>
        </w:rPr>
      </w:pPr>
      <w:r w:rsidRPr="009E60FB">
        <w:t xml:space="preserve">Dans sa résolution 5/1, le Conseil </w:t>
      </w:r>
      <w:r>
        <w:t xml:space="preserve">des droits de l’homme </w:t>
      </w:r>
      <w:r w:rsidRPr="009E60FB">
        <w:t>a institué la procédure de requête décrite à la section IV de l</w:t>
      </w:r>
      <w:r>
        <w:t>’</w:t>
      </w:r>
      <w:r w:rsidRPr="009E60FB">
        <w:t>annexe à cette résolution.</w:t>
      </w:r>
      <w:r>
        <w:t xml:space="preserve"> </w:t>
      </w:r>
      <w:r w:rsidRPr="009E60FB">
        <w:t>Au paragraphe 98 de la même annexe, le Groupe de travail des situations a été prié de présenter au Conseil, sur la base des informations et des recommandations émanant du Groupe de travail des communications, un rapport sur tout un ensemble de violations flagrantes et attestées par des éléments dignes de foi des droits de l</w:t>
      </w:r>
      <w:r>
        <w:t>’</w:t>
      </w:r>
      <w:r w:rsidRPr="009E60FB">
        <w:t>homme et des libertés fondamentales, et à faire des recommandations au Conseil sur les mesures à prendre.</w:t>
      </w:r>
    </w:p>
    <w:p w:rsidR="00676011" w:rsidRPr="00947A9A" w:rsidRDefault="00676011" w:rsidP="00F54B6E">
      <w:pPr>
        <w:pStyle w:val="SingleTxt"/>
        <w:numPr>
          <w:ilvl w:val="0"/>
          <w:numId w:val="29"/>
        </w:numPr>
        <w:rPr>
          <w:lang w:val="fr-FR"/>
        </w:rPr>
      </w:pPr>
      <w:r w:rsidRPr="009E60FB">
        <w:t xml:space="preserve">À sa </w:t>
      </w:r>
      <w:r>
        <w:t>trentième</w:t>
      </w:r>
      <w:r w:rsidRPr="009E60FB">
        <w:t xml:space="preserve"> session, le Conseil examinera le rapport du Groupe de travail des situations sur les travaux de </w:t>
      </w:r>
      <w:r>
        <w:t>ses quinzième et seizième</w:t>
      </w:r>
      <w:r w:rsidRPr="009E60FB">
        <w:t xml:space="preserve"> session</w:t>
      </w:r>
      <w:r>
        <w:t>s</w:t>
      </w:r>
      <w:r w:rsidRPr="009E60FB">
        <w:t>, tenue</w:t>
      </w:r>
      <w:r>
        <w:t>s en séances privées respectivement</w:t>
      </w:r>
      <w:r w:rsidRPr="009E60FB">
        <w:t xml:space="preserve"> du </w:t>
      </w:r>
      <w:r>
        <w:t>26 au 30</w:t>
      </w:r>
      <w:r w:rsidR="00947A9A">
        <w:t> </w:t>
      </w:r>
      <w:r>
        <w:t>janvier 2015 et du 6 au 9</w:t>
      </w:r>
      <w:r w:rsidR="00947A9A">
        <w:t> </w:t>
      </w:r>
      <w:r>
        <w:t>juillet 2015</w:t>
      </w:r>
      <w:r w:rsidRPr="009E60FB">
        <w:t>, et sur toutes autres questions en suspens rela</w:t>
      </w:r>
      <w:r>
        <w:t>tives à la procédure de requête</w:t>
      </w:r>
      <w:r w:rsidRPr="009E60FB">
        <w:t>.</w:t>
      </w:r>
    </w:p>
    <w:p w:rsidR="00947A9A" w:rsidRPr="00947A9A" w:rsidRDefault="00947A9A" w:rsidP="00947A9A">
      <w:pPr>
        <w:pStyle w:val="SingleTxt"/>
        <w:tabs>
          <w:tab w:val="clear" w:pos="1742"/>
        </w:tabs>
        <w:spacing w:after="0" w:line="120" w:lineRule="exact"/>
        <w:rPr>
          <w:sz w:val="10"/>
        </w:rPr>
      </w:pPr>
    </w:p>
    <w:p w:rsidR="00947A9A" w:rsidRPr="00947A9A" w:rsidRDefault="00947A9A" w:rsidP="00947A9A">
      <w:pPr>
        <w:pStyle w:val="SingleTxt"/>
        <w:tabs>
          <w:tab w:val="clear" w:pos="1742"/>
        </w:tabs>
        <w:spacing w:after="0" w:line="120" w:lineRule="exact"/>
        <w:rPr>
          <w:sz w:val="10"/>
          <w:lang w:val="fr-FR"/>
        </w:rPr>
      </w:pPr>
    </w:p>
    <w:p w:rsidR="00676011" w:rsidRDefault="00676011" w:rsidP="00947A9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Pr>
          <w:lang w:val="fr-FR"/>
        </w:rPr>
        <w:t>D</w:t>
      </w:r>
      <w:r w:rsidRPr="00E41698">
        <w:rPr>
          <w:lang w:val="fr-FR"/>
        </w:rPr>
        <w:t>.</w:t>
      </w:r>
      <w:r w:rsidRPr="00E41698">
        <w:rPr>
          <w:lang w:val="fr-FR"/>
        </w:rPr>
        <w:tab/>
      </w:r>
      <w:r w:rsidRPr="00364FDB">
        <w:t>Procédures spéciales</w:t>
      </w:r>
    </w:p>
    <w:p w:rsidR="00947A9A" w:rsidRPr="00947A9A" w:rsidRDefault="00947A9A" w:rsidP="00947A9A">
      <w:pPr>
        <w:pStyle w:val="SingleTxt"/>
        <w:spacing w:after="0" w:line="120" w:lineRule="exact"/>
        <w:rPr>
          <w:sz w:val="10"/>
        </w:rPr>
      </w:pPr>
    </w:p>
    <w:p w:rsidR="00947A9A" w:rsidRPr="00947A9A" w:rsidRDefault="00947A9A" w:rsidP="00947A9A">
      <w:pPr>
        <w:pStyle w:val="SingleTxt"/>
        <w:spacing w:after="0" w:line="120" w:lineRule="exact"/>
        <w:rPr>
          <w:sz w:val="10"/>
        </w:rPr>
      </w:pPr>
    </w:p>
    <w:p w:rsidR="00676011" w:rsidRDefault="00676011" w:rsidP="00947A9A">
      <w:pPr>
        <w:pStyle w:val="SingleTxt"/>
        <w:numPr>
          <w:ilvl w:val="0"/>
          <w:numId w:val="29"/>
        </w:numPr>
        <w:rPr>
          <w:lang w:val="fr-FR"/>
        </w:rPr>
      </w:pPr>
      <w:r w:rsidRPr="00364FDB">
        <w:rPr>
          <w:lang w:val="fr-FR"/>
        </w:rPr>
        <w:t>Le Conseil des droits de l</w:t>
      </w:r>
      <w:r>
        <w:rPr>
          <w:lang w:val="fr-FR"/>
        </w:rPr>
        <w:t>’</w:t>
      </w:r>
      <w:r w:rsidRPr="00364FDB">
        <w:rPr>
          <w:lang w:val="fr-FR"/>
        </w:rPr>
        <w:t>homme sera saisi du rapport sur les communications des titulaires de mandat au titre des procédures spéciales (A/HRC/</w:t>
      </w:r>
      <w:r>
        <w:rPr>
          <w:lang w:val="fr-FR"/>
        </w:rPr>
        <w:t>30</w:t>
      </w:r>
      <w:r w:rsidRPr="00364FDB">
        <w:rPr>
          <w:lang w:val="fr-FR"/>
        </w:rPr>
        <w:t>/</w:t>
      </w:r>
      <w:r>
        <w:rPr>
          <w:lang w:val="fr-FR"/>
        </w:rPr>
        <w:t>27</w:t>
      </w:r>
      <w:r w:rsidRPr="00364FDB">
        <w:rPr>
          <w:lang w:val="fr-FR"/>
        </w:rPr>
        <w:t>).</w:t>
      </w:r>
      <w:r>
        <w:rPr>
          <w:lang w:val="fr-FR"/>
        </w:rPr>
        <w:t xml:space="preserve"> </w:t>
      </w:r>
      <w:r w:rsidRPr="00364FDB">
        <w:rPr>
          <w:lang w:val="fr-FR"/>
        </w:rPr>
        <w:t xml:space="preserve">La version </w:t>
      </w:r>
      <w:r>
        <w:rPr>
          <w:lang w:val="fr-FR"/>
        </w:rPr>
        <w:t>complète</w:t>
      </w:r>
      <w:r w:rsidRPr="00364FDB">
        <w:rPr>
          <w:lang w:val="fr-FR"/>
        </w:rPr>
        <w:t xml:space="preserve"> du rapport pourra être consultée en ligne.</w:t>
      </w:r>
    </w:p>
    <w:p w:rsidR="00562790" w:rsidRPr="00562790" w:rsidRDefault="00562790" w:rsidP="00562790">
      <w:pPr>
        <w:pStyle w:val="SingleTxt"/>
        <w:spacing w:after="0" w:line="120" w:lineRule="exact"/>
        <w:rPr>
          <w:sz w:val="10"/>
          <w:lang w:val="fr-FR"/>
        </w:rPr>
      </w:pPr>
    </w:p>
    <w:p w:rsidR="00562790" w:rsidRPr="00562790" w:rsidRDefault="00562790" w:rsidP="00562790">
      <w:pPr>
        <w:pStyle w:val="SingleTxt"/>
        <w:spacing w:after="0" w:line="120" w:lineRule="exact"/>
        <w:rPr>
          <w:sz w:val="10"/>
          <w:lang w:val="fr-FR"/>
        </w:rPr>
      </w:pPr>
    </w:p>
    <w:p w:rsidR="00676011" w:rsidRDefault="00562790" w:rsidP="0056279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FR"/>
        </w:rPr>
        <w:tab/>
      </w:r>
      <w:r w:rsidR="00676011" w:rsidRPr="00681176">
        <w:rPr>
          <w:lang w:val="fr-FR"/>
        </w:rPr>
        <w:t>E.</w:t>
      </w:r>
      <w:r w:rsidR="00676011" w:rsidRPr="00681176">
        <w:rPr>
          <w:lang w:val="fr-FR"/>
        </w:rPr>
        <w:tab/>
      </w:r>
      <w:r w:rsidR="00676011" w:rsidRPr="00681176">
        <w:t xml:space="preserve">Groupe de travail intergouvernemental à composition non limitée </w:t>
      </w:r>
      <w:r w:rsidR="00676011">
        <w:t>chargé d’un projet de</w:t>
      </w:r>
      <w:r>
        <w:t xml:space="preserve"> </w:t>
      </w:r>
      <w:r w:rsidR="00676011" w:rsidRPr="00681176">
        <w:t xml:space="preserve">déclaration des Nations Unies </w:t>
      </w:r>
      <w:r>
        <w:br/>
      </w:r>
      <w:r w:rsidR="00676011" w:rsidRPr="00681176">
        <w:t xml:space="preserve">sur les droits des </w:t>
      </w:r>
      <w:r w:rsidR="00676011">
        <w:t>paysans et</w:t>
      </w:r>
      <w:r>
        <w:t xml:space="preserve"> </w:t>
      </w:r>
      <w:r w:rsidR="00676011">
        <w:t>des autres personnes</w:t>
      </w:r>
      <w:r>
        <w:t xml:space="preserve"> </w:t>
      </w:r>
      <w:r>
        <w:br/>
      </w:r>
      <w:r w:rsidR="00676011" w:rsidRPr="00681176">
        <w:t xml:space="preserve">travaillant dans les zones rurales </w:t>
      </w:r>
    </w:p>
    <w:p w:rsidR="00562790" w:rsidRPr="00562790" w:rsidRDefault="00562790" w:rsidP="00562790">
      <w:pPr>
        <w:pStyle w:val="SingleTxt"/>
        <w:spacing w:after="0" w:line="120" w:lineRule="exact"/>
        <w:rPr>
          <w:sz w:val="10"/>
        </w:rPr>
      </w:pPr>
    </w:p>
    <w:p w:rsidR="00562790" w:rsidRPr="00562790" w:rsidRDefault="00562790" w:rsidP="00562790">
      <w:pPr>
        <w:pStyle w:val="SingleTxt"/>
        <w:spacing w:after="0" w:line="120" w:lineRule="exact"/>
        <w:rPr>
          <w:sz w:val="10"/>
        </w:rPr>
      </w:pPr>
    </w:p>
    <w:p w:rsidR="00676011" w:rsidRPr="00EC1574" w:rsidRDefault="00676011" w:rsidP="00F54B6E">
      <w:pPr>
        <w:pStyle w:val="SingleTxt"/>
        <w:numPr>
          <w:ilvl w:val="0"/>
          <w:numId w:val="29"/>
        </w:numPr>
        <w:rPr>
          <w:lang w:val="fr-FR"/>
        </w:rPr>
      </w:pPr>
      <w:r>
        <w:rPr>
          <w:lang w:val="fr-FR"/>
        </w:rPr>
        <w:t>Dans sa résolution 26/26, le Conseil des droits de l’homme a demandé au G</w:t>
      </w:r>
      <w:r w:rsidRPr="00950BD4">
        <w:t>roupe de travail intergouvernemental à composition non limitée chargé de négocier</w:t>
      </w:r>
      <w:r>
        <w:t>, finaliser et présenter</w:t>
      </w:r>
      <w:r w:rsidRPr="00950BD4">
        <w:t xml:space="preserve"> un projet de déclaration des Nations Unies sur les droits des paysans</w:t>
      </w:r>
      <w:r>
        <w:t xml:space="preserve"> et des autres personnes travaillant dans les zones rurales, de lui présenter un rapport sur les progrès réalisés aux fins d’examen à sa trentième session. Le Conseil examinera le rapport du Groupe de travail (A/HRC/30/55).</w:t>
      </w:r>
    </w:p>
    <w:p w:rsidR="00EC1574" w:rsidRPr="00EC1574" w:rsidRDefault="00EC1574" w:rsidP="00EC1574">
      <w:pPr>
        <w:pStyle w:val="SingleTxt"/>
        <w:tabs>
          <w:tab w:val="clear" w:pos="1742"/>
        </w:tabs>
        <w:spacing w:after="0" w:line="120" w:lineRule="exact"/>
        <w:rPr>
          <w:sz w:val="10"/>
        </w:rPr>
      </w:pPr>
    </w:p>
    <w:p w:rsidR="00EC1574" w:rsidRPr="00EC1574" w:rsidRDefault="00EC1574" w:rsidP="00EC1574">
      <w:pPr>
        <w:pStyle w:val="SingleTxt"/>
        <w:tabs>
          <w:tab w:val="clear" w:pos="1742"/>
        </w:tabs>
        <w:spacing w:after="0" w:line="120" w:lineRule="exact"/>
        <w:rPr>
          <w:sz w:val="10"/>
          <w:lang w:val="fr-FR"/>
        </w:rPr>
      </w:pPr>
    </w:p>
    <w:p w:rsidR="00676011" w:rsidRDefault="00676011" w:rsidP="00EC157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8" w:name="_Toc220321009"/>
      <w:r w:rsidRPr="00364FDB">
        <w:rPr>
          <w:lang w:val="fr-FR"/>
        </w:rPr>
        <w:tab/>
        <w:t>6.</w:t>
      </w:r>
      <w:r w:rsidRPr="00364FDB">
        <w:rPr>
          <w:lang w:val="fr-FR"/>
        </w:rPr>
        <w:tab/>
      </w:r>
      <w:bookmarkEnd w:id="18"/>
      <w:r w:rsidRPr="00364FDB">
        <w:rPr>
          <w:lang w:val="fr-FR"/>
        </w:rPr>
        <w:t>Examen périodique universel</w:t>
      </w:r>
    </w:p>
    <w:p w:rsidR="00EC1574" w:rsidRPr="00EC1574" w:rsidRDefault="00EC1574" w:rsidP="00EC1574">
      <w:pPr>
        <w:pStyle w:val="SingleTxt"/>
        <w:spacing w:after="0" w:line="120" w:lineRule="exact"/>
        <w:rPr>
          <w:sz w:val="10"/>
          <w:lang w:val="fr-FR"/>
        </w:rPr>
      </w:pPr>
    </w:p>
    <w:p w:rsidR="00EC1574" w:rsidRPr="00EC1574" w:rsidRDefault="00EC1574" w:rsidP="00EC1574">
      <w:pPr>
        <w:pStyle w:val="SingleTxt"/>
        <w:spacing w:after="0" w:line="120" w:lineRule="exact"/>
        <w:rPr>
          <w:sz w:val="10"/>
          <w:lang w:val="fr-FR"/>
        </w:rPr>
      </w:pPr>
    </w:p>
    <w:p w:rsidR="00676011" w:rsidRPr="00955CA0" w:rsidRDefault="00676011" w:rsidP="00F54B6E">
      <w:pPr>
        <w:pStyle w:val="SingleTxt"/>
        <w:numPr>
          <w:ilvl w:val="0"/>
          <w:numId w:val="29"/>
        </w:numPr>
        <w:rPr>
          <w:lang w:val="fr-FR"/>
        </w:rPr>
      </w:pPr>
      <w:r w:rsidRPr="00E41698">
        <w:rPr>
          <w:lang w:val="fr-FR"/>
        </w:rPr>
        <w:t>Par sa résolution 5/1, le Conseil des droits de l</w:t>
      </w:r>
      <w:r>
        <w:rPr>
          <w:lang w:val="fr-FR"/>
        </w:rPr>
        <w:t>’</w:t>
      </w:r>
      <w:r w:rsidRPr="00E41698">
        <w:rPr>
          <w:lang w:val="fr-FR"/>
        </w:rPr>
        <w:t>homme a mis en place le mécanisme de l</w:t>
      </w:r>
      <w:r>
        <w:rPr>
          <w:lang w:val="fr-FR"/>
        </w:rPr>
        <w:t>’</w:t>
      </w:r>
      <w:r w:rsidRPr="00E41698">
        <w:rPr>
          <w:lang w:val="fr-FR"/>
        </w:rPr>
        <w:t>Examen périodique universel décrit à la section I de l</w:t>
      </w:r>
      <w:r>
        <w:rPr>
          <w:lang w:val="fr-FR"/>
        </w:rPr>
        <w:t>’</w:t>
      </w:r>
      <w:r w:rsidRPr="00E41698">
        <w:rPr>
          <w:lang w:val="fr-FR"/>
        </w:rPr>
        <w:t>annexe à cette résolution. Le Groupe de travail sur l</w:t>
      </w:r>
      <w:r>
        <w:rPr>
          <w:lang w:val="fr-FR"/>
        </w:rPr>
        <w:t>’</w:t>
      </w:r>
      <w:r w:rsidRPr="00E41698">
        <w:rPr>
          <w:lang w:val="fr-FR"/>
        </w:rPr>
        <w:t>Examen périodique universel a tenu sa vingt</w:t>
      </w:r>
      <w:r>
        <w:rPr>
          <w:lang w:val="fr-FR"/>
        </w:rPr>
        <w:t>-deuxième</w:t>
      </w:r>
      <w:r w:rsidRPr="00E41698">
        <w:rPr>
          <w:lang w:val="fr-FR"/>
        </w:rPr>
        <w:t xml:space="preserve"> session du </w:t>
      </w:r>
      <w:r>
        <w:rPr>
          <w:lang w:val="fr-FR"/>
        </w:rPr>
        <w:t>4 au 15</w:t>
      </w:r>
      <w:r w:rsidR="00EC1574">
        <w:rPr>
          <w:lang w:val="fr-FR"/>
        </w:rPr>
        <w:t> </w:t>
      </w:r>
      <w:r>
        <w:rPr>
          <w:lang w:val="fr-FR"/>
        </w:rPr>
        <w:t>mai</w:t>
      </w:r>
      <w:r w:rsidRPr="00E41698">
        <w:rPr>
          <w:lang w:val="fr-FR"/>
        </w:rPr>
        <w:t xml:space="preserve"> 2015. À sa </w:t>
      </w:r>
      <w:r>
        <w:rPr>
          <w:lang w:val="fr-FR"/>
        </w:rPr>
        <w:t>trentième</w:t>
      </w:r>
      <w:r w:rsidRPr="00E41698">
        <w:rPr>
          <w:lang w:val="fr-FR"/>
        </w:rPr>
        <w:t xml:space="preserve"> session, le Conseil </w:t>
      </w:r>
      <w:r w:rsidRPr="00955CA0">
        <w:t>examinera et adoptera le document final de l</w:t>
      </w:r>
      <w:r>
        <w:t>’</w:t>
      </w:r>
      <w:r w:rsidRPr="00955CA0">
        <w:t>examen concernant les pays suivants</w:t>
      </w:r>
      <w:r w:rsidR="001D7058">
        <w:t> </w:t>
      </w:r>
      <w:r w:rsidRPr="00E41698">
        <w:rPr>
          <w:lang w:val="fr-FR"/>
        </w:rPr>
        <w:t xml:space="preserve">: </w:t>
      </w:r>
      <w:r w:rsidRPr="00955CA0">
        <w:rPr>
          <w:lang w:val="fr-FR"/>
        </w:rPr>
        <w:t>Andorre (A/HRC/30/9), Bélarus (A/HRC/30/3), Bulgarie (A/HRC/30/10), Croatie (A/HRC/30/14), États-Unis d</w:t>
      </w:r>
      <w:r>
        <w:rPr>
          <w:lang w:val="fr-FR"/>
        </w:rPr>
        <w:t>’</w:t>
      </w:r>
      <w:r w:rsidRPr="00955CA0">
        <w:rPr>
          <w:lang w:val="fr-FR"/>
        </w:rPr>
        <w:t xml:space="preserve">Amérique (A/HRC/30/12), Honduras (A/HRC/30/11), </w:t>
      </w:r>
      <w:r w:rsidRPr="00955CA0">
        <w:rPr>
          <w:bCs/>
          <w:lang w:val="fr-FR"/>
        </w:rPr>
        <w:t>Îles Marshall</w:t>
      </w:r>
      <w:r w:rsidRPr="00955CA0">
        <w:rPr>
          <w:b/>
          <w:bCs/>
          <w:lang w:val="fr-FR"/>
        </w:rPr>
        <w:t xml:space="preserve"> </w:t>
      </w:r>
      <w:r w:rsidRPr="00955CA0">
        <w:rPr>
          <w:lang w:val="fr-FR"/>
        </w:rPr>
        <w:t>(A/HRC/30/13), Jamaïque (A/HRC/30/15), Libéria (A/HRC/30/4), Libye (A/HRC/30/16), Malawi (A/HRC/30/5), Maldives (A/HRC/30/8), Mongolie (A/HRC/30/6) et Panama (A/HRC/30/7).</w:t>
      </w:r>
    </w:p>
    <w:p w:rsidR="00676011" w:rsidRDefault="00676011" w:rsidP="00F54B6E">
      <w:pPr>
        <w:pStyle w:val="SingleTxt"/>
        <w:numPr>
          <w:ilvl w:val="0"/>
          <w:numId w:val="29"/>
        </w:numPr>
        <w:rPr>
          <w:lang w:val="fr-FR"/>
        </w:rPr>
      </w:pPr>
      <w:r w:rsidRPr="00E41698">
        <w:rPr>
          <w:lang w:val="fr-FR"/>
        </w:rPr>
        <w:t>Conformément à la déclaration 9/2 du Président du Conseil concernant les modalités et pratiques relatives à l</w:t>
      </w:r>
      <w:r>
        <w:rPr>
          <w:lang w:val="fr-FR"/>
        </w:rPr>
        <w:t>’</w:t>
      </w:r>
      <w:r w:rsidRPr="00E41698">
        <w:rPr>
          <w:lang w:val="fr-FR"/>
        </w:rPr>
        <w:t>Examen périodique universel, le Conseil des droits de l</w:t>
      </w:r>
      <w:r>
        <w:rPr>
          <w:lang w:val="fr-FR"/>
        </w:rPr>
        <w:t>’</w:t>
      </w:r>
      <w:r w:rsidRPr="00E41698">
        <w:rPr>
          <w:lang w:val="fr-FR"/>
        </w:rPr>
        <w:t>homme adopte le document final de l</w:t>
      </w:r>
      <w:r>
        <w:rPr>
          <w:lang w:val="fr-FR"/>
        </w:rPr>
        <w:t>’</w:t>
      </w:r>
      <w:r w:rsidRPr="00E41698">
        <w:rPr>
          <w:lang w:val="fr-FR"/>
        </w:rPr>
        <w:t>examen en séance plénière par une décision normalisée. Ce document final englobe le rapport du Groupe de travail, les observations de l</w:t>
      </w:r>
      <w:r>
        <w:rPr>
          <w:lang w:val="fr-FR"/>
        </w:rPr>
        <w:t>’</w:t>
      </w:r>
      <w:r w:rsidRPr="00E41698">
        <w:rPr>
          <w:lang w:val="fr-FR"/>
        </w:rPr>
        <w:t>État examiné sur les recommandations et/ou conclusions présentées, ainsi que les engagements qu</w:t>
      </w:r>
      <w:r>
        <w:rPr>
          <w:lang w:val="fr-FR"/>
        </w:rPr>
        <w:t>’</w:t>
      </w:r>
      <w:r w:rsidRPr="00E41698">
        <w:rPr>
          <w:lang w:val="fr-FR"/>
        </w:rPr>
        <w:t>il aura pris volontairement et les réponses qu</w:t>
      </w:r>
      <w:r>
        <w:rPr>
          <w:lang w:val="fr-FR"/>
        </w:rPr>
        <w:t>’</w:t>
      </w:r>
      <w:r w:rsidRPr="00E41698">
        <w:rPr>
          <w:lang w:val="fr-FR"/>
        </w:rPr>
        <w:t>il aura apportées, avant l</w:t>
      </w:r>
      <w:r>
        <w:rPr>
          <w:lang w:val="fr-FR"/>
        </w:rPr>
        <w:t>’</w:t>
      </w:r>
      <w:r w:rsidRPr="00E41698">
        <w:rPr>
          <w:lang w:val="fr-FR"/>
        </w:rPr>
        <w:t>adoption du document final par le Conseil en séance plénière, aux questions ou aux points qui n</w:t>
      </w:r>
      <w:r>
        <w:rPr>
          <w:lang w:val="fr-FR"/>
        </w:rPr>
        <w:t>’</w:t>
      </w:r>
      <w:r w:rsidRPr="00E41698">
        <w:rPr>
          <w:lang w:val="fr-FR"/>
        </w:rPr>
        <w:t>auront pas été suffisamment traités pendant le dialogue au sein du Groupe de</w:t>
      </w:r>
      <w:r w:rsidR="00C606EB">
        <w:rPr>
          <w:lang w:val="fr-FR"/>
        </w:rPr>
        <w:t xml:space="preserve"> </w:t>
      </w:r>
      <w:r w:rsidRPr="00E41698">
        <w:rPr>
          <w:lang w:val="fr-FR"/>
        </w:rPr>
        <w:t>travail.</w:t>
      </w:r>
    </w:p>
    <w:p w:rsidR="00C606EB" w:rsidRPr="00C606EB" w:rsidRDefault="00C606EB" w:rsidP="00C606EB">
      <w:pPr>
        <w:pStyle w:val="SingleTxt"/>
        <w:tabs>
          <w:tab w:val="clear" w:pos="1742"/>
        </w:tabs>
        <w:spacing w:after="0" w:line="120" w:lineRule="exact"/>
        <w:rPr>
          <w:sz w:val="10"/>
          <w:lang w:val="fr-FR"/>
        </w:rPr>
      </w:pPr>
    </w:p>
    <w:p w:rsidR="00C606EB" w:rsidRPr="00C606EB" w:rsidRDefault="00C606EB" w:rsidP="00C606EB">
      <w:pPr>
        <w:pStyle w:val="SingleTxt"/>
        <w:tabs>
          <w:tab w:val="clear" w:pos="1742"/>
        </w:tabs>
        <w:spacing w:after="0" w:line="120" w:lineRule="exact"/>
        <w:rPr>
          <w:sz w:val="10"/>
          <w:lang w:val="fr-FR"/>
        </w:rPr>
      </w:pPr>
    </w:p>
    <w:p w:rsidR="00676011" w:rsidRDefault="00676011" w:rsidP="00C606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41698">
        <w:rPr>
          <w:lang w:val="fr-FR"/>
        </w:rPr>
        <w:tab/>
        <w:t>7</w:t>
      </w:r>
      <w:r w:rsidRPr="00955CA0">
        <w:rPr>
          <w:lang w:val="fr-FR"/>
        </w:rPr>
        <w:t>.</w:t>
      </w:r>
      <w:r w:rsidRPr="00955CA0">
        <w:rPr>
          <w:lang w:val="fr-FR"/>
        </w:rPr>
        <w:tab/>
        <w:t>La situation des droits de l</w:t>
      </w:r>
      <w:r>
        <w:rPr>
          <w:lang w:val="fr-FR"/>
        </w:rPr>
        <w:t>’</w:t>
      </w:r>
      <w:r w:rsidRPr="00955CA0">
        <w:rPr>
          <w:lang w:val="fr-FR"/>
        </w:rPr>
        <w:t xml:space="preserve">homme en Palestine </w:t>
      </w:r>
      <w:r w:rsidR="00C606EB">
        <w:rPr>
          <w:lang w:val="fr-FR"/>
        </w:rPr>
        <w:br/>
      </w:r>
      <w:r w:rsidRPr="00955CA0">
        <w:rPr>
          <w:lang w:val="fr-FR"/>
        </w:rPr>
        <w:t>et dans les autres territoires arabes occupés</w:t>
      </w:r>
    </w:p>
    <w:p w:rsidR="00C606EB" w:rsidRPr="00C606EB" w:rsidRDefault="00C606EB" w:rsidP="00C606EB">
      <w:pPr>
        <w:pStyle w:val="SingleTxt"/>
        <w:keepNext/>
        <w:keepLines/>
        <w:spacing w:after="0" w:line="120" w:lineRule="exact"/>
        <w:rPr>
          <w:sz w:val="10"/>
          <w:lang w:val="fr-FR"/>
        </w:rPr>
      </w:pPr>
    </w:p>
    <w:p w:rsidR="00C606EB" w:rsidRPr="00C606EB" w:rsidRDefault="00C606EB" w:rsidP="00C606EB">
      <w:pPr>
        <w:pStyle w:val="SingleTxt"/>
        <w:keepNext/>
        <w:keepLines/>
        <w:spacing w:after="0" w:line="120" w:lineRule="exact"/>
        <w:rPr>
          <w:sz w:val="10"/>
          <w:lang w:val="fr-FR"/>
        </w:rPr>
      </w:pPr>
    </w:p>
    <w:p w:rsidR="00676011" w:rsidRDefault="00676011" w:rsidP="00F54B6E">
      <w:pPr>
        <w:pStyle w:val="SingleTxt"/>
        <w:numPr>
          <w:ilvl w:val="0"/>
          <w:numId w:val="29"/>
        </w:numPr>
        <w:rPr>
          <w:lang w:val="fr-FR"/>
        </w:rPr>
      </w:pPr>
      <w:r>
        <w:rPr>
          <w:lang w:val="fr-FR"/>
        </w:rPr>
        <w:t>Aucun rapport ne sera examiné au titre de ce point de l’ordre du jour.</w:t>
      </w:r>
    </w:p>
    <w:p w:rsidR="00C606EB" w:rsidRPr="00C606EB" w:rsidRDefault="00C606EB" w:rsidP="00C606EB">
      <w:pPr>
        <w:pStyle w:val="SingleTxt"/>
        <w:tabs>
          <w:tab w:val="clear" w:pos="1742"/>
        </w:tabs>
        <w:spacing w:after="0" w:line="120" w:lineRule="exact"/>
        <w:rPr>
          <w:sz w:val="10"/>
          <w:lang w:val="fr-FR"/>
        </w:rPr>
      </w:pPr>
    </w:p>
    <w:p w:rsidR="00C606EB" w:rsidRPr="00C606EB" w:rsidRDefault="00C606EB" w:rsidP="00C606EB">
      <w:pPr>
        <w:pStyle w:val="SingleTxt"/>
        <w:tabs>
          <w:tab w:val="clear" w:pos="1742"/>
        </w:tabs>
        <w:spacing w:after="0" w:line="120" w:lineRule="exact"/>
        <w:rPr>
          <w:sz w:val="10"/>
          <w:lang w:val="fr-FR"/>
        </w:rPr>
      </w:pPr>
    </w:p>
    <w:p w:rsidR="00676011" w:rsidRDefault="00676011" w:rsidP="00C606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9" w:name="_Toc220321013"/>
      <w:r w:rsidRPr="00955CA0">
        <w:rPr>
          <w:lang w:val="fr-FR"/>
        </w:rPr>
        <w:tab/>
        <w:t>8.</w:t>
      </w:r>
      <w:r w:rsidRPr="00955CA0">
        <w:rPr>
          <w:lang w:val="fr-FR"/>
        </w:rPr>
        <w:tab/>
      </w:r>
      <w:bookmarkEnd w:id="19"/>
      <w:r w:rsidRPr="00955CA0">
        <w:rPr>
          <w:lang w:val="fr-FR"/>
        </w:rPr>
        <w:t xml:space="preserve">Suivi et application de la Déclaration </w:t>
      </w:r>
      <w:r w:rsidR="00C606EB">
        <w:rPr>
          <w:lang w:val="fr-FR"/>
        </w:rPr>
        <w:br/>
      </w:r>
      <w:r w:rsidRPr="00955CA0">
        <w:rPr>
          <w:lang w:val="fr-FR"/>
        </w:rPr>
        <w:t>et du Programme d</w:t>
      </w:r>
      <w:r>
        <w:rPr>
          <w:lang w:val="fr-FR"/>
        </w:rPr>
        <w:t>’</w:t>
      </w:r>
      <w:r w:rsidRPr="00955CA0">
        <w:rPr>
          <w:lang w:val="fr-FR"/>
        </w:rPr>
        <w:t>action de Vienne</w:t>
      </w:r>
    </w:p>
    <w:p w:rsidR="00C606EB" w:rsidRPr="00C606EB" w:rsidRDefault="00C606EB" w:rsidP="00C606EB">
      <w:pPr>
        <w:pStyle w:val="SingleTxt"/>
        <w:spacing w:after="0" w:line="120" w:lineRule="exact"/>
        <w:rPr>
          <w:sz w:val="10"/>
          <w:lang w:val="fr-FR"/>
        </w:rPr>
      </w:pPr>
    </w:p>
    <w:p w:rsidR="00C606EB" w:rsidRPr="00C606EB" w:rsidRDefault="00C606EB" w:rsidP="00C606EB">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rPr>
        <w:tab/>
      </w:r>
      <w:r w:rsidRPr="00E41698">
        <w:rPr>
          <w:lang w:val="fr-FR"/>
        </w:rPr>
        <w:tab/>
      </w:r>
      <w:r w:rsidRPr="0060153C">
        <w:t>Contribution du Conseil des droits de l</w:t>
      </w:r>
      <w:r>
        <w:t>’</w:t>
      </w:r>
      <w:r w:rsidRPr="0060153C">
        <w:t xml:space="preserve">homme à la session extraordinaire </w:t>
      </w:r>
      <w:r w:rsidR="00C606EB">
        <w:br/>
      </w:r>
      <w:r w:rsidRPr="0060153C">
        <w:t>de l</w:t>
      </w:r>
      <w:r>
        <w:t>’</w:t>
      </w:r>
      <w:r w:rsidRPr="0060153C">
        <w:t xml:space="preserve">Assemblée générale consacrée au problème mondial de la drogue </w:t>
      </w:r>
      <w:r w:rsidR="00C606EB">
        <w:br/>
      </w:r>
      <w:r w:rsidRPr="0060153C">
        <w:t>prévue pour 2016</w:t>
      </w:r>
    </w:p>
    <w:p w:rsidR="00C606EB" w:rsidRPr="00C606EB" w:rsidRDefault="00C606EB" w:rsidP="00C606EB">
      <w:pPr>
        <w:pStyle w:val="SingleTxt"/>
        <w:spacing w:after="0" w:line="120" w:lineRule="exact"/>
        <w:rPr>
          <w:sz w:val="10"/>
        </w:rPr>
      </w:pPr>
    </w:p>
    <w:p w:rsidR="00676011" w:rsidRPr="0060153C" w:rsidRDefault="00676011" w:rsidP="00F54B6E">
      <w:pPr>
        <w:pStyle w:val="SingleTxt"/>
        <w:numPr>
          <w:ilvl w:val="0"/>
          <w:numId w:val="29"/>
        </w:numPr>
        <w:rPr>
          <w:bCs/>
          <w:lang w:val="fr-FR" w:eastAsia="en-GB"/>
        </w:rPr>
      </w:pPr>
      <w:r>
        <w:rPr>
          <w:lang w:val="fr-FR"/>
        </w:rPr>
        <w:t xml:space="preserve">En vertu de sa résolution 28/28, le Conseil des droits de l’homme organisera </w:t>
      </w:r>
      <w:r w:rsidRPr="0060153C">
        <w:t>une table ronde sur les effets du problème mondial de la drogue sur la jo</w:t>
      </w:r>
      <w:r>
        <w:t xml:space="preserve">uissance des droits de l’homme </w:t>
      </w:r>
      <w:r w:rsidRPr="0060153C">
        <w:t>afin de dialoguer sur la question de façon constructive et sans exclusive avec les parties prenantes concernées, y compris avec les institutions spécialisées des Nations Unies et la société civile et en associant la Commission des stupéfiants</w:t>
      </w:r>
      <w:r>
        <w:t xml:space="preserve"> (voir annexe).</w:t>
      </w:r>
    </w:p>
    <w:p w:rsidR="00676011" w:rsidRPr="00C606EB" w:rsidRDefault="00676011" w:rsidP="00F54B6E">
      <w:pPr>
        <w:pStyle w:val="SingleTxt"/>
        <w:numPr>
          <w:ilvl w:val="0"/>
          <w:numId w:val="29"/>
        </w:numPr>
        <w:rPr>
          <w:bCs/>
          <w:lang w:val="fr-FR" w:eastAsia="en-GB"/>
        </w:rPr>
      </w:pPr>
      <w:r>
        <w:t>On se reportera également à l’</w:t>
      </w:r>
      <w:r w:rsidRPr="002C76E5">
        <w:t>étude</w:t>
      </w:r>
      <w:r>
        <w:t xml:space="preserve"> du Haut-Commissaire</w:t>
      </w:r>
      <w:r w:rsidRPr="002C76E5">
        <w:t xml:space="preserve"> sur </w:t>
      </w:r>
      <w:r>
        <w:t>les effets</w:t>
      </w:r>
      <w:r w:rsidRPr="002C76E5">
        <w:t xml:space="preserve"> du problème mondial de la drogue </w:t>
      </w:r>
      <w:r>
        <w:t>sur</w:t>
      </w:r>
      <w:r w:rsidRPr="002C76E5">
        <w:t xml:space="preserve"> la jouissance des droits de l</w:t>
      </w:r>
      <w:r>
        <w:t>’</w:t>
      </w:r>
      <w:r w:rsidRPr="002C76E5">
        <w:t xml:space="preserve">homme, et </w:t>
      </w:r>
      <w:r>
        <w:t>aux</w:t>
      </w:r>
      <w:r w:rsidRPr="002C76E5">
        <w:t xml:space="preserve"> recommandations sur le respect des droits de l</w:t>
      </w:r>
      <w:r>
        <w:t>’</w:t>
      </w:r>
      <w:r w:rsidRPr="002C76E5">
        <w:t>homme et la défense et la promotion de ces droits dans le contexte du problème mondial de la drogue</w:t>
      </w:r>
      <w:r>
        <w:t xml:space="preserve"> (A/HRC/30/65) (voir par. 38 ci-dessus).</w:t>
      </w:r>
    </w:p>
    <w:p w:rsidR="00C606EB" w:rsidRPr="00C606EB" w:rsidRDefault="00C606EB" w:rsidP="00C606EB">
      <w:pPr>
        <w:pStyle w:val="SingleTxt"/>
        <w:tabs>
          <w:tab w:val="clear" w:pos="1742"/>
        </w:tabs>
        <w:spacing w:after="0" w:line="120" w:lineRule="exact"/>
        <w:rPr>
          <w:sz w:val="10"/>
        </w:rPr>
      </w:pPr>
    </w:p>
    <w:p w:rsidR="00676011" w:rsidRDefault="00C606EB"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eastAsia="en-GB"/>
        </w:rPr>
      </w:pPr>
      <w:r>
        <w:rPr>
          <w:bCs/>
          <w:lang w:eastAsia="en-GB"/>
        </w:rPr>
        <w:tab/>
      </w:r>
      <w:r>
        <w:rPr>
          <w:bCs/>
          <w:lang w:eastAsia="en-GB"/>
        </w:rPr>
        <w:tab/>
      </w:r>
      <w:r w:rsidR="00676011" w:rsidRPr="002C76E5">
        <w:rPr>
          <w:bCs/>
          <w:lang w:eastAsia="en-GB"/>
        </w:rPr>
        <w:t xml:space="preserve">Prise en compte des droits fondamentaux des femmes dans tous les organismes </w:t>
      </w:r>
      <w:r>
        <w:rPr>
          <w:bCs/>
          <w:lang w:eastAsia="en-GB"/>
        </w:rPr>
        <w:br/>
      </w:r>
      <w:r w:rsidR="00676011" w:rsidRPr="002C76E5">
        <w:rPr>
          <w:bCs/>
          <w:lang w:eastAsia="en-GB"/>
        </w:rPr>
        <w:t>des Nations Unies</w:t>
      </w:r>
    </w:p>
    <w:p w:rsidR="00C606EB" w:rsidRPr="00C606EB" w:rsidRDefault="00C606EB" w:rsidP="00C606EB">
      <w:pPr>
        <w:pStyle w:val="SingleTxt"/>
        <w:spacing w:after="0" w:line="120" w:lineRule="exact"/>
        <w:rPr>
          <w:sz w:val="10"/>
          <w:lang w:eastAsia="en-GB"/>
        </w:rPr>
      </w:pPr>
    </w:p>
    <w:p w:rsidR="00676011" w:rsidRPr="00C606EB" w:rsidRDefault="00676011" w:rsidP="00F54B6E">
      <w:pPr>
        <w:pStyle w:val="SingleTxt"/>
        <w:numPr>
          <w:ilvl w:val="0"/>
          <w:numId w:val="29"/>
        </w:numPr>
        <w:rPr>
          <w:bCs/>
          <w:lang w:val="fr-FR" w:eastAsia="en-GB"/>
        </w:rPr>
      </w:pPr>
      <w:r w:rsidRPr="002C76E5">
        <w:rPr>
          <w:bCs/>
          <w:lang w:eastAsia="en-GB"/>
        </w:rPr>
        <w:t xml:space="preserve">Conformément à sa résolution 6/30, le Conseil </w:t>
      </w:r>
      <w:r>
        <w:rPr>
          <w:bCs/>
          <w:lang w:eastAsia="en-GB"/>
        </w:rPr>
        <w:t xml:space="preserve">des droits de l’homme </w:t>
      </w:r>
      <w:r w:rsidRPr="002C76E5">
        <w:rPr>
          <w:bCs/>
          <w:lang w:eastAsia="en-GB"/>
        </w:rPr>
        <w:t>tiendra un débat annuel</w:t>
      </w:r>
      <w:r>
        <w:rPr>
          <w:bCs/>
          <w:lang w:eastAsia="en-GB"/>
        </w:rPr>
        <w:t xml:space="preserve"> sur</w:t>
      </w:r>
      <w:r w:rsidRPr="002C76E5">
        <w:rPr>
          <w:bCs/>
          <w:lang w:eastAsia="en-GB"/>
        </w:rPr>
        <w:t xml:space="preserve"> </w:t>
      </w:r>
      <w:r>
        <w:rPr>
          <w:bCs/>
          <w:lang w:eastAsia="en-GB"/>
        </w:rPr>
        <w:t>l’intégration d’une perspective de genre</w:t>
      </w:r>
      <w:r w:rsidRPr="002C76E5">
        <w:rPr>
          <w:bCs/>
          <w:lang w:eastAsia="en-GB"/>
        </w:rPr>
        <w:t xml:space="preserve"> dans tous ses travaux et ceux de ses mécanismes (voir annexe).</w:t>
      </w:r>
    </w:p>
    <w:p w:rsidR="00C606EB" w:rsidRPr="00C606EB" w:rsidRDefault="00C606EB" w:rsidP="00C606EB">
      <w:pPr>
        <w:pStyle w:val="SingleTxt"/>
        <w:tabs>
          <w:tab w:val="clear" w:pos="1742"/>
        </w:tabs>
        <w:spacing w:after="0" w:line="120" w:lineRule="exact"/>
        <w:rPr>
          <w:bCs/>
          <w:sz w:val="10"/>
          <w:lang w:eastAsia="en-GB"/>
        </w:rPr>
      </w:pPr>
    </w:p>
    <w:p w:rsidR="00C606EB" w:rsidRPr="00C606EB" w:rsidRDefault="00C606EB" w:rsidP="00C606EB">
      <w:pPr>
        <w:pStyle w:val="SingleTxt"/>
        <w:tabs>
          <w:tab w:val="clear" w:pos="1742"/>
        </w:tabs>
        <w:spacing w:after="0" w:line="120" w:lineRule="exact"/>
        <w:rPr>
          <w:bCs/>
          <w:sz w:val="10"/>
          <w:lang w:eastAsia="en-GB"/>
        </w:rPr>
      </w:pPr>
    </w:p>
    <w:p w:rsidR="00676011" w:rsidRDefault="00676011" w:rsidP="00C606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20" w:name="_Toc220321014"/>
      <w:r w:rsidRPr="008447C8">
        <w:rPr>
          <w:lang w:val="fr-FR"/>
        </w:rPr>
        <w:tab/>
        <w:t>9.</w:t>
      </w:r>
      <w:r w:rsidRPr="008447C8">
        <w:rPr>
          <w:lang w:val="fr-FR"/>
        </w:rPr>
        <w:tab/>
      </w:r>
      <w:bookmarkEnd w:id="20"/>
      <w:r w:rsidRPr="008447C8">
        <w:rPr>
          <w:lang w:val="fr-FR"/>
        </w:rPr>
        <w:t xml:space="preserve">Le racisme, la discrimination raciale, la xénophobie </w:t>
      </w:r>
      <w:r w:rsidR="00991A84">
        <w:rPr>
          <w:lang w:val="fr-FR"/>
        </w:rPr>
        <w:br/>
      </w:r>
      <w:r w:rsidRPr="008447C8">
        <w:rPr>
          <w:lang w:val="fr-FR"/>
        </w:rPr>
        <w:t>et l</w:t>
      </w:r>
      <w:r>
        <w:rPr>
          <w:lang w:val="fr-FR"/>
        </w:rPr>
        <w:t>’</w:t>
      </w:r>
      <w:r w:rsidRPr="008447C8">
        <w:rPr>
          <w:lang w:val="fr-FR"/>
        </w:rPr>
        <w:t>intolérance qui y est associée</w:t>
      </w:r>
      <w:r w:rsidR="001D7058">
        <w:rPr>
          <w:lang w:val="fr-FR"/>
        </w:rPr>
        <w:t> </w:t>
      </w:r>
      <w:r w:rsidRPr="008447C8">
        <w:rPr>
          <w:lang w:val="fr-FR"/>
        </w:rPr>
        <w:t xml:space="preserve">: suivi et application </w:t>
      </w:r>
      <w:r w:rsidR="00C606EB">
        <w:rPr>
          <w:lang w:val="fr-FR"/>
        </w:rPr>
        <w:br/>
      </w:r>
      <w:r w:rsidRPr="008447C8">
        <w:rPr>
          <w:lang w:val="fr-FR"/>
        </w:rPr>
        <w:t>de la Déclaration et du Programme d</w:t>
      </w:r>
      <w:r>
        <w:rPr>
          <w:lang w:val="fr-FR"/>
        </w:rPr>
        <w:t>’</w:t>
      </w:r>
      <w:r w:rsidRPr="008447C8">
        <w:rPr>
          <w:lang w:val="fr-FR"/>
        </w:rPr>
        <w:t>action de Durban</w:t>
      </w:r>
    </w:p>
    <w:p w:rsidR="00C606EB" w:rsidRPr="00C606EB" w:rsidRDefault="00C606EB" w:rsidP="00C606EB">
      <w:pPr>
        <w:pStyle w:val="SingleTxt"/>
        <w:spacing w:after="0" w:line="120" w:lineRule="exact"/>
        <w:rPr>
          <w:sz w:val="10"/>
          <w:lang w:val="fr-FR"/>
        </w:rPr>
      </w:pPr>
    </w:p>
    <w:p w:rsidR="00C606EB" w:rsidRPr="00C606EB" w:rsidRDefault="00C606EB" w:rsidP="00C606EB">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41698">
        <w:rPr>
          <w:lang w:val="fr-FR" w:eastAsia="en-GB"/>
        </w:rPr>
        <w:tab/>
      </w:r>
      <w:r w:rsidRPr="00E41698">
        <w:rPr>
          <w:lang w:val="fr-FR" w:eastAsia="en-GB"/>
        </w:rPr>
        <w:tab/>
      </w:r>
      <w:r w:rsidRPr="008447C8">
        <w:t>Groupe de travail d</w:t>
      </w:r>
      <w:r>
        <w:t>’</w:t>
      </w:r>
      <w:r w:rsidRPr="008447C8">
        <w:t>experts sur les personnes d</w:t>
      </w:r>
      <w:r>
        <w:t>’</w:t>
      </w:r>
      <w:r w:rsidRPr="008447C8">
        <w:t>ascendance africaine</w:t>
      </w:r>
    </w:p>
    <w:p w:rsidR="00C606EB" w:rsidRPr="00C606EB" w:rsidRDefault="00C606EB" w:rsidP="00C606EB">
      <w:pPr>
        <w:pStyle w:val="SingleTxt"/>
        <w:spacing w:after="0" w:line="120" w:lineRule="exact"/>
        <w:rPr>
          <w:sz w:val="10"/>
        </w:rPr>
      </w:pPr>
    </w:p>
    <w:p w:rsidR="00676011" w:rsidRPr="00C606EB" w:rsidRDefault="00676011" w:rsidP="00F54B6E">
      <w:pPr>
        <w:pStyle w:val="SingleTxt"/>
        <w:numPr>
          <w:ilvl w:val="0"/>
          <w:numId w:val="29"/>
        </w:numPr>
        <w:rPr>
          <w:lang w:val="fr-FR"/>
        </w:rPr>
      </w:pPr>
      <w:r w:rsidRPr="00E41698">
        <w:rPr>
          <w:rFonts w:eastAsia="SimSun"/>
          <w:lang w:val="fr-FR"/>
        </w:rPr>
        <w:t>Dans sa résolution </w:t>
      </w:r>
      <w:r>
        <w:rPr>
          <w:rFonts w:eastAsia="SimSun"/>
          <w:lang w:val="fr-FR"/>
        </w:rPr>
        <w:t>27/25</w:t>
      </w:r>
      <w:r w:rsidRPr="00E41698">
        <w:rPr>
          <w:rFonts w:eastAsia="SimSun"/>
          <w:lang w:val="fr-FR"/>
        </w:rPr>
        <w:t xml:space="preserve">, le Conseil </w:t>
      </w:r>
      <w:r w:rsidRPr="00E41698">
        <w:rPr>
          <w:lang w:val="fr-FR"/>
        </w:rPr>
        <w:t>des droits de l</w:t>
      </w:r>
      <w:r>
        <w:rPr>
          <w:lang w:val="fr-FR"/>
        </w:rPr>
        <w:t>’</w:t>
      </w:r>
      <w:r w:rsidRPr="00E41698">
        <w:rPr>
          <w:lang w:val="fr-FR"/>
        </w:rPr>
        <w:t xml:space="preserve">homme </w:t>
      </w:r>
      <w:r w:rsidRPr="00E41698">
        <w:rPr>
          <w:rFonts w:eastAsia="SimSun"/>
          <w:lang w:val="fr-FR"/>
        </w:rPr>
        <w:t xml:space="preserve">a </w:t>
      </w:r>
      <w:r>
        <w:rPr>
          <w:rFonts w:eastAsia="SimSun"/>
        </w:rPr>
        <w:t>décidé</w:t>
      </w:r>
      <w:r w:rsidRPr="008447C8">
        <w:rPr>
          <w:rFonts w:eastAsia="SimSun"/>
        </w:rPr>
        <w:t xml:space="preserve"> de proroger le mandat du Groupe de travail d</w:t>
      </w:r>
      <w:r>
        <w:rPr>
          <w:rFonts w:eastAsia="SimSun"/>
        </w:rPr>
        <w:t>’</w:t>
      </w:r>
      <w:r w:rsidRPr="008447C8">
        <w:rPr>
          <w:rFonts w:eastAsia="SimSun"/>
        </w:rPr>
        <w:t>experts sur les personnes d</w:t>
      </w:r>
      <w:r>
        <w:rPr>
          <w:rFonts w:eastAsia="SimSun"/>
        </w:rPr>
        <w:t>’</w:t>
      </w:r>
      <w:r w:rsidRPr="008447C8">
        <w:rPr>
          <w:rFonts w:eastAsia="SimSun"/>
        </w:rPr>
        <w:t>ascendance africaine</w:t>
      </w:r>
      <w:r>
        <w:rPr>
          <w:rFonts w:eastAsia="SimSun"/>
        </w:rPr>
        <w:t xml:space="preserve"> </w:t>
      </w:r>
      <w:r w:rsidRPr="008447C8">
        <w:rPr>
          <w:rFonts w:eastAsia="SimSun"/>
        </w:rPr>
        <w:t xml:space="preserve">pour une période de trois ans, </w:t>
      </w:r>
      <w:r>
        <w:rPr>
          <w:rFonts w:eastAsia="SimSun"/>
        </w:rPr>
        <w:t>dans les conditions énoncées</w:t>
      </w:r>
      <w:r w:rsidRPr="008447C8">
        <w:rPr>
          <w:rFonts w:eastAsia="SimSun"/>
        </w:rPr>
        <w:t xml:space="preserve"> dans </w:t>
      </w:r>
      <w:r>
        <w:rPr>
          <w:rFonts w:eastAsia="SimSun"/>
        </w:rPr>
        <w:t>sa résolution 9/14, et l’a prié</w:t>
      </w:r>
      <w:r w:rsidRPr="003F5630">
        <w:rPr>
          <w:rFonts w:eastAsia="SimSun"/>
        </w:rPr>
        <w:t xml:space="preserve"> de lui soumettre</w:t>
      </w:r>
      <w:r>
        <w:rPr>
          <w:rFonts w:eastAsia="SimSun"/>
        </w:rPr>
        <w:t xml:space="preserve"> un rapport annuel</w:t>
      </w:r>
      <w:r w:rsidRPr="003F5630">
        <w:rPr>
          <w:rFonts w:eastAsia="SimSun"/>
        </w:rPr>
        <w:t>, ainsi qu</w:t>
      </w:r>
      <w:r>
        <w:rPr>
          <w:rFonts w:eastAsia="SimSun"/>
        </w:rPr>
        <w:t>’</w:t>
      </w:r>
      <w:r w:rsidRPr="003F5630">
        <w:rPr>
          <w:rFonts w:eastAsia="SimSun"/>
        </w:rPr>
        <w:t>à l</w:t>
      </w:r>
      <w:r>
        <w:rPr>
          <w:rFonts w:eastAsia="SimSun"/>
        </w:rPr>
        <w:t>’</w:t>
      </w:r>
      <w:r w:rsidRPr="003F5630">
        <w:rPr>
          <w:rFonts w:eastAsia="SimSun"/>
        </w:rPr>
        <w:t>Assemblée générale dans le cadre de la Décennie internationale des personnes d</w:t>
      </w:r>
      <w:r>
        <w:rPr>
          <w:rFonts w:eastAsia="SimSun"/>
        </w:rPr>
        <w:t>’</w:t>
      </w:r>
      <w:r w:rsidRPr="003F5630">
        <w:rPr>
          <w:rFonts w:eastAsia="SimSun"/>
        </w:rPr>
        <w:t>ascendance africaine</w:t>
      </w:r>
      <w:r>
        <w:rPr>
          <w:rFonts w:eastAsia="SimSun"/>
        </w:rPr>
        <w:t>. Le Conseil examinera le rapport du Groupe de travail sur ses quinzième et seizième sessions, tenues du 17 au 21</w:t>
      </w:r>
      <w:r w:rsidR="00C606EB">
        <w:rPr>
          <w:rFonts w:eastAsia="SimSun"/>
        </w:rPr>
        <w:t> </w:t>
      </w:r>
      <w:r>
        <w:rPr>
          <w:rFonts w:eastAsia="SimSun"/>
        </w:rPr>
        <w:t>novembre 2014 et du 30</w:t>
      </w:r>
      <w:r w:rsidR="00C606EB">
        <w:rPr>
          <w:rFonts w:eastAsia="SimSun"/>
        </w:rPr>
        <w:t> </w:t>
      </w:r>
      <w:r>
        <w:rPr>
          <w:rFonts w:eastAsia="SimSun"/>
        </w:rPr>
        <w:t>mars au 2</w:t>
      </w:r>
      <w:r w:rsidR="00C606EB">
        <w:rPr>
          <w:rFonts w:eastAsia="SimSun"/>
        </w:rPr>
        <w:t> </w:t>
      </w:r>
      <w:r>
        <w:rPr>
          <w:rFonts w:eastAsia="SimSun"/>
        </w:rPr>
        <w:t>avril 2015, respectivement (A/HRC/30/56 et Add.1 à 4).</w:t>
      </w:r>
    </w:p>
    <w:p w:rsidR="00C606EB" w:rsidRPr="00C606EB" w:rsidRDefault="00C606EB" w:rsidP="00C606EB">
      <w:pPr>
        <w:pStyle w:val="SingleTxt"/>
        <w:tabs>
          <w:tab w:val="clear" w:pos="1742"/>
        </w:tabs>
        <w:spacing w:after="0" w:line="120" w:lineRule="exact"/>
        <w:rPr>
          <w:rFonts w:eastAsia="SimSun"/>
          <w:sz w:val="10"/>
        </w:rPr>
      </w:pPr>
    </w:p>
    <w:p w:rsidR="00C606EB" w:rsidRPr="00C606EB" w:rsidRDefault="00C606EB" w:rsidP="00C606EB">
      <w:pPr>
        <w:pStyle w:val="SingleTxt"/>
        <w:tabs>
          <w:tab w:val="clear" w:pos="1742"/>
        </w:tabs>
        <w:spacing w:after="0" w:line="120" w:lineRule="exact"/>
        <w:rPr>
          <w:sz w:val="10"/>
          <w:lang w:val="fr-FR"/>
        </w:rPr>
      </w:pPr>
    </w:p>
    <w:p w:rsidR="00676011" w:rsidRDefault="00676011" w:rsidP="00C606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21" w:name="_Toc220321015"/>
      <w:r w:rsidRPr="00B06351">
        <w:rPr>
          <w:lang w:val="fr-FR"/>
        </w:rPr>
        <w:tab/>
        <w:t>10.</w:t>
      </w:r>
      <w:r w:rsidRPr="00B06351">
        <w:rPr>
          <w:lang w:val="fr-FR"/>
        </w:rPr>
        <w:tab/>
      </w:r>
      <w:bookmarkEnd w:id="21"/>
      <w:r w:rsidRPr="00B06351">
        <w:rPr>
          <w:lang w:val="fr-FR"/>
        </w:rPr>
        <w:t>Assistance technique et renforcement des capacités</w:t>
      </w:r>
    </w:p>
    <w:p w:rsidR="00C606EB" w:rsidRPr="00C606EB" w:rsidRDefault="00C606EB" w:rsidP="00C606EB">
      <w:pPr>
        <w:pStyle w:val="SingleTxt"/>
        <w:spacing w:after="0" w:line="120" w:lineRule="exact"/>
        <w:rPr>
          <w:sz w:val="10"/>
          <w:lang w:val="fr-FR"/>
        </w:rPr>
      </w:pPr>
    </w:p>
    <w:p w:rsidR="00C606EB" w:rsidRPr="00C606EB" w:rsidRDefault="00C606EB" w:rsidP="00C606EB">
      <w:pPr>
        <w:pStyle w:val="SingleTxt"/>
        <w:spacing w:after="0" w:line="120" w:lineRule="exact"/>
        <w:rPr>
          <w:sz w:val="10"/>
          <w:lang w:val="fr-FR"/>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eastAsia="en-GB"/>
        </w:rPr>
      </w:pPr>
      <w:r w:rsidRPr="00E41698">
        <w:rPr>
          <w:lang w:val="fr-FR" w:eastAsia="zh-CN"/>
        </w:rPr>
        <w:tab/>
      </w:r>
      <w:r w:rsidRPr="00E41698">
        <w:rPr>
          <w:lang w:val="fr-FR" w:eastAsia="zh-CN"/>
        </w:rPr>
        <w:tab/>
      </w:r>
      <w:r>
        <w:rPr>
          <w:lang w:val="fr-FR" w:eastAsia="en-GB"/>
        </w:rPr>
        <w:t>Politiques nationales et</w:t>
      </w:r>
      <w:r w:rsidRPr="00E41698">
        <w:rPr>
          <w:lang w:val="fr-FR" w:eastAsia="en-GB"/>
        </w:rPr>
        <w:t xml:space="preserve"> droits de l</w:t>
      </w:r>
      <w:r>
        <w:rPr>
          <w:lang w:val="fr-FR" w:eastAsia="en-GB"/>
        </w:rPr>
        <w:t>’</w:t>
      </w:r>
      <w:r w:rsidRPr="00E41698">
        <w:rPr>
          <w:lang w:val="fr-FR" w:eastAsia="en-GB"/>
        </w:rPr>
        <w:t>homme</w:t>
      </w:r>
    </w:p>
    <w:p w:rsidR="00C606EB" w:rsidRPr="00C606EB" w:rsidRDefault="00C606EB" w:rsidP="00C606EB">
      <w:pPr>
        <w:pStyle w:val="SingleTxt"/>
        <w:spacing w:after="0" w:line="120" w:lineRule="exact"/>
        <w:rPr>
          <w:sz w:val="10"/>
          <w:lang w:val="fr-FR" w:eastAsia="en-GB"/>
        </w:rPr>
      </w:pPr>
    </w:p>
    <w:p w:rsidR="00676011" w:rsidRPr="00C606EB" w:rsidRDefault="00676011" w:rsidP="00F54B6E">
      <w:pPr>
        <w:pStyle w:val="SingleTxt"/>
        <w:numPr>
          <w:ilvl w:val="0"/>
          <w:numId w:val="29"/>
        </w:numPr>
        <w:rPr>
          <w:lang w:val="fr-FR" w:eastAsia="en-GB"/>
        </w:rPr>
      </w:pPr>
      <w:r>
        <w:rPr>
          <w:lang w:val="fr-FR" w:eastAsia="en-GB"/>
        </w:rPr>
        <w:t>On se reportera au rapport de synthèse du Haut-Commissaire concernant</w:t>
      </w:r>
      <w:r w:rsidRPr="00D73DD5">
        <w:rPr>
          <w:lang w:eastAsia="en-GB"/>
        </w:rPr>
        <w:t xml:space="preserve"> la réunion-débat tenue à </w:t>
      </w:r>
      <w:r>
        <w:rPr>
          <w:lang w:eastAsia="en-GB"/>
        </w:rPr>
        <w:t>la</w:t>
      </w:r>
      <w:r w:rsidRPr="00D73DD5">
        <w:rPr>
          <w:lang w:eastAsia="en-GB"/>
        </w:rPr>
        <w:t xml:space="preserve"> vingt-huitième session </w:t>
      </w:r>
      <w:r>
        <w:rPr>
          <w:lang w:eastAsia="en-GB"/>
        </w:rPr>
        <w:t xml:space="preserve">du Conseil des droits de l’homme </w:t>
      </w:r>
      <w:r w:rsidRPr="00D73DD5">
        <w:rPr>
          <w:lang w:eastAsia="en-GB"/>
        </w:rPr>
        <w:t>sur la question des politiques nationales et des droits de l</w:t>
      </w:r>
      <w:r>
        <w:rPr>
          <w:lang w:eastAsia="en-GB"/>
        </w:rPr>
        <w:t>’</w:t>
      </w:r>
      <w:r w:rsidRPr="00D73DD5">
        <w:rPr>
          <w:lang w:eastAsia="en-GB"/>
        </w:rPr>
        <w:t>homme</w:t>
      </w:r>
      <w:r>
        <w:rPr>
          <w:lang w:eastAsia="en-GB"/>
        </w:rPr>
        <w:t xml:space="preserve"> (A/HRC/30/28) (voir par.</w:t>
      </w:r>
      <w:r w:rsidR="00C606EB">
        <w:rPr>
          <w:lang w:eastAsia="en-GB"/>
        </w:rPr>
        <w:t> </w:t>
      </w:r>
      <w:r>
        <w:rPr>
          <w:lang w:eastAsia="en-GB"/>
        </w:rPr>
        <w:t>39 ci-dessus).</w:t>
      </w:r>
    </w:p>
    <w:p w:rsidR="00C606EB" w:rsidRPr="00C606EB" w:rsidRDefault="00C606EB" w:rsidP="00C606EB">
      <w:pPr>
        <w:pStyle w:val="SingleTxt"/>
        <w:tabs>
          <w:tab w:val="clear" w:pos="1742"/>
        </w:tabs>
        <w:spacing w:after="0" w:line="120" w:lineRule="exact"/>
        <w:rPr>
          <w:sz w:val="10"/>
          <w:lang w:eastAsia="en-GB"/>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SimSun"/>
          <w:lang w:eastAsia="zh-CN"/>
        </w:rPr>
      </w:pPr>
      <w:r w:rsidRPr="00E41698">
        <w:rPr>
          <w:lang w:val="fr-FR"/>
        </w:rPr>
        <w:tab/>
      </w:r>
      <w:r w:rsidRPr="00E41698">
        <w:rPr>
          <w:lang w:val="fr-FR"/>
        </w:rPr>
        <w:tab/>
      </w:r>
      <w:r w:rsidRPr="00790516">
        <w:rPr>
          <w:rFonts w:eastAsia="SimSun"/>
          <w:lang w:eastAsia="zh-CN"/>
        </w:rPr>
        <w:t xml:space="preserve">Assistance technique et renforcement des capacités en matière de droits </w:t>
      </w:r>
      <w:r w:rsidR="00C606EB">
        <w:rPr>
          <w:rFonts w:eastAsia="SimSun"/>
          <w:lang w:eastAsia="zh-CN"/>
        </w:rPr>
        <w:br/>
      </w:r>
      <w:r w:rsidRPr="00790516">
        <w:rPr>
          <w:rFonts w:eastAsia="SimSun"/>
          <w:lang w:eastAsia="zh-CN"/>
        </w:rPr>
        <w:t>de l</w:t>
      </w:r>
      <w:r>
        <w:rPr>
          <w:rFonts w:eastAsia="SimSun"/>
          <w:lang w:eastAsia="zh-CN"/>
        </w:rPr>
        <w:t>’</w:t>
      </w:r>
      <w:r w:rsidRPr="00790516">
        <w:rPr>
          <w:rFonts w:eastAsia="SimSun"/>
          <w:lang w:eastAsia="zh-CN"/>
        </w:rPr>
        <w:t>homme en République démocratique du Congo</w:t>
      </w:r>
    </w:p>
    <w:p w:rsidR="00C606EB" w:rsidRPr="00C606EB" w:rsidRDefault="00C606EB" w:rsidP="00E02ABD">
      <w:pPr>
        <w:pStyle w:val="SingleTxt"/>
        <w:keepNext/>
        <w:keepLines/>
        <w:spacing w:after="0" w:line="120" w:lineRule="exact"/>
        <w:rPr>
          <w:sz w:val="10"/>
          <w:lang w:eastAsia="zh-CN"/>
        </w:rPr>
      </w:pPr>
    </w:p>
    <w:p w:rsidR="00676011" w:rsidRPr="00193EE4" w:rsidRDefault="00676011" w:rsidP="00F54B6E">
      <w:pPr>
        <w:pStyle w:val="SingleTxt"/>
        <w:numPr>
          <w:ilvl w:val="0"/>
          <w:numId w:val="29"/>
        </w:numPr>
        <w:rPr>
          <w:lang w:val="fr-FR" w:eastAsia="en-GB"/>
        </w:rPr>
      </w:pPr>
      <w:r>
        <w:rPr>
          <w:lang w:val="fr-FR" w:eastAsia="en-GB"/>
        </w:rPr>
        <w:t>On se reportera au rapport du</w:t>
      </w:r>
      <w:r w:rsidRPr="00303328">
        <w:rPr>
          <w:lang w:val="fr-FR" w:eastAsia="en-GB"/>
        </w:rPr>
        <w:t xml:space="preserve"> Ha</w:t>
      </w:r>
      <w:r>
        <w:rPr>
          <w:lang w:val="fr-FR" w:eastAsia="en-GB"/>
        </w:rPr>
        <w:t>ut-Commissaire</w:t>
      </w:r>
      <w:r w:rsidRPr="00303328">
        <w:rPr>
          <w:lang w:val="fr-FR" w:eastAsia="en-GB"/>
        </w:rPr>
        <w:t xml:space="preserve"> sur les efforts réalisés par le</w:t>
      </w:r>
      <w:r w:rsidRPr="00303328">
        <w:rPr>
          <w:lang w:eastAsia="en-GB"/>
        </w:rPr>
        <w:t xml:space="preserve"> Haut-Commissariat pour accroître et renforcer ses programmes et activités d</w:t>
      </w:r>
      <w:r>
        <w:rPr>
          <w:lang w:eastAsia="en-GB"/>
        </w:rPr>
        <w:t>’</w:t>
      </w:r>
      <w:r w:rsidRPr="00303328">
        <w:rPr>
          <w:lang w:eastAsia="en-GB"/>
        </w:rPr>
        <w:t xml:space="preserve">assistance technique </w:t>
      </w:r>
      <w:r>
        <w:rPr>
          <w:lang w:eastAsia="en-GB"/>
        </w:rPr>
        <w:t>en vue d’</w:t>
      </w:r>
      <w:r w:rsidRPr="00303328">
        <w:rPr>
          <w:lang w:eastAsia="en-GB"/>
        </w:rPr>
        <w:t>améliorer la situation des droits de l</w:t>
      </w:r>
      <w:r>
        <w:rPr>
          <w:lang w:eastAsia="en-GB"/>
        </w:rPr>
        <w:t>’</w:t>
      </w:r>
      <w:r w:rsidRPr="00303328">
        <w:rPr>
          <w:lang w:eastAsia="en-GB"/>
        </w:rPr>
        <w:t>homme en République dém</w:t>
      </w:r>
      <w:r>
        <w:rPr>
          <w:lang w:eastAsia="en-GB"/>
        </w:rPr>
        <w:t>ocratique du Congo (A/HRC/30/32) (voir par. 40 ci-dessus).</w:t>
      </w:r>
    </w:p>
    <w:p w:rsidR="00676011" w:rsidRPr="00E02ABD" w:rsidRDefault="00676011" w:rsidP="00F54B6E">
      <w:pPr>
        <w:pStyle w:val="SingleTxt"/>
        <w:numPr>
          <w:ilvl w:val="0"/>
          <w:numId w:val="29"/>
        </w:numPr>
        <w:rPr>
          <w:lang w:val="fr-FR" w:eastAsia="en-GB"/>
        </w:rPr>
      </w:pPr>
      <w:r>
        <w:rPr>
          <w:lang w:eastAsia="en-GB"/>
        </w:rPr>
        <w:t>On se reportera également à l’étude réalisée par le Haut-Commissaire sur</w:t>
      </w:r>
      <w:r w:rsidRPr="00193EE4">
        <w:rPr>
          <w:lang w:eastAsia="en-GB"/>
        </w:rPr>
        <w:t xml:space="preserve"> </w:t>
      </w:r>
      <w:r>
        <w:rPr>
          <w:lang w:eastAsia="en-GB"/>
        </w:rPr>
        <w:t>les effets</w:t>
      </w:r>
      <w:r w:rsidRPr="00193EE4">
        <w:rPr>
          <w:lang w:eastAsia="en-GB"/>
        </w:rPr>
        <w:t xml:space="preserve"> de l</w:t>
      </w:r>
      <w:r>
        <w:rPr>
          <w:lang w:eastAsia="en-GB"/>
        </w:rPr>
        <w:t>’</w:t>
      </w:r>
      <w:r w:rsidRPr="00193EE4">
        <w:rPr>
          <w:lang w:eastAsia="en-GB"/>
        </w:rPr>
        <w:t>assistance technique et du renforcement des capacités sur la situation des droits de l</w:t>
      </w:r>
      <w:r>
        <w:rPr>
          <w:lang w:eastAsia="en-GB"/>
        </w:rPr>
        <w:t>’</w:t>
      </w:r>
      <w:r w:rsidRPr="00193EE4">
        <w:rPr>
          <w:lang w:eastAsia="en-GB"/>
        </w:rPr>
        <w:t xml:space="preserve">homme en République démocratique du Congo </w:t>
      </w:r>
      <w:r>
        <w:rPr>
          <w:lang w:eastAsia="en-GB"/>
        </w:rPr>
        <w:t>(A/HRC/30/33) (voir par.</w:t>
      </w:r>
      <w:r w:rsidR="00E02ABD">
        <w:rPr>
          <w:lang w:eastAsia="en-GB"/>
        </w:rPr>
        <w:t> </w:t>
      </w:r>
      <w:r>
        <w:rPr>
          <w:lang w:eastAsia="en-GB"/>
        </w:rPr>
        <w:t>41 ci-dessus).</w:t>
      </w:r>
    </w:p>
    <w:p w:rsidR="00E02ABD" w:rsidRPr="00E02ABD" w:rsidRDefault="00E02ABD" w:rsidP="00E02ABD">
      <w:pPr>
        <w:pStyle w:val="SingleTxt"/>
        <w:tabs>
          <w:tab w:val="clear" w:pos="1742"/>
        </w:tabs>
        <w:spacing w:after="0" w:line="120" w:lineRule="exact"/>
        <w:rPr>
          <w:sz w:val="10"/>
          <w:lang w:eastAsia="en-GB"/>
        </w:rPr>
      </w:pPr>
    </w:p>
    <w:p w:rsidR="00676011" w:rsidRDefault="00676011"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sidRPr="00E41698">
        <w:rPr>
          <w:lang w:val="fr-FR" w:eastAsia="en-GB"/>
        </w:rPr>
        <w:tab/>
      </w:r>
      <w:r w:rsidRPr="00E41698">
        <w:rPr>
          <w:lang w:val="fr-FR" w:eastAsia="en-GB"/>
        </w:rPr>
        <w:tab/>
      </w:r>
      <w:r w:rsidRPr="003925C7">
        <w:rPr>
          <w:lang w:eastAsia="en-GB"/>
        </w:rPr>
        <w:t>Assistance technique et renforcement de</w:t>
      </w:r>
      <w:r w:rsidR="00E02ABD">
        <w:rPr>
          <w:lang w:eastAsia="en-GB"/>
        </w:rPr>
        <w:t xml:space="preserve">s capacités dans le domaine </w:t>
      </w:r>
      <w:r w:rsidR="00E02ABD">
        <w:rPr>
          <w:lang w:eastAsia="en-GB"/>
        </w:rPr>
        <w:br/>
        <w:t xml:space="preserve">des </w:t>
      </w:r>
      <w:r w:rsidRPr="003925C7">
        <w:rPr>
          <w:lang w:eastAsia="en-GB"/>
        </w:rPr>
        <w:t>droits de l</w:t>
      </w:r>
      <w:r>
        <w:rPr>
          <w:lang w:eastAsia="en-GB"/>
        </w:rPr>
        <w:t>’</w:t>
      </w:r>
      <w:r w:rsidRPr="003925C7">
        <w:rPr>
          <w:lang w:eastAsia="en-GB"/>
        </w:rPr>
        <w:t>homme au Yémen</w:t>
      </w:r>
    </w:p>
    <w:p w:rsidR="00E02ABD" w:rsidRPr="00E02ABD" w:rsidRDefault="00E02ABD" w:rsidP="00E02ABD">
      <w:pPr>
        <w:pStyle w:val="SingleTxt"/>
        <w:spacing w:after="0" w:line="120" w:lineRule="exact"/>
        <w:rPr>
          <w:sz w:val="10"/>
          <w:lang w:eastAsia="en-GB"/>
        </w:rPr>
      </w:pPr>
    </w:p>
    <w:p w:rsidR="00676011" w:rsidRPr="00E02ABD" w:rsidRDefault="00676011" w:rsidP="00F54B6E">
      <w:pPr>
        <w:pStyle w:val="SingleTxt"/>
        <w:numPr>
          <w:ilvl w:val="0"/>
          <w:numId w:val="29"/>
        </w:numPr>
        <w:rPr>
          <w:lang w:val="fr-FR"/>
        </w:rPr>
      </w:pPr>
      <w:r>
        <w:t>On se reportera au rapport du Haut-Commissariat</w:t>
      </w:r>
      <w:r w:rsidRPr="00210034">
        <w:t xml:space="preserve"> sur l</w:t>
      </w:r>
      <w:r>
        <w:t>’</w:t>
      </w:r>
      <w:r w:rsidRPr="00210034">
        <w:t>évolution de la situation dans le domaine des droits de l</w:t>
      </w:r>
      <w:r>
        <w:t>’</w:t>
      </w:r>
      <w:r w:rsidRPr="00210034">
        <w:t xml:space="preserve">homme au Yémen et sur la suite donnée </w:t>
      </w:r>
      <w:r>
        <w:t>aux</w:t>
      </w:r>
      <w:r w:rsidRPr="00210034">
        <w:t xml:space="preserve"> résolutions 18/19, 19/29, 21/22, 24/32 et 27/19</w:t>
      </w:r>
      <w:r>
        <w:t xml:space="preserve"> du C</w:t>
      </w:r>
      <w:r w:rsidR="00E02ABD">
        <w:t>onseil (A/HRC/30/31) (voir par. </w:t>
      </w:r>
      <w:r>
        <w:t>42 ci-dessus)</w:t>
      </w:r>
      <w:r w:rsidRPr="00210034">
        <w:t>.</w:t>
      </w:r>
    </w:p>
    <w:p w:rsidR="00E02ABD" w:rsidRPr="00E02ABD" w:rsidRDefault="00E02ABD" w:rsidP="00E02ABD">
      <w:pPr>
        <w:pStyle w:val="SingleTxt"/>
        <w:tabs>
          <w:tab w:val="clear" w:pos="1742"/>
        </w:tabs>
        <w:spacing w:after="0" w:line="120" w:lineRule="exact"/>
        <w:rPr>
          <w:sz w:val="10"/>
        </w:rPr>
      </w:pPr>
    </w:p>
    <w:p w:rsidR="00676011" w:rsidRDefault="00E02ABD"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eastAsia="en-GB"/>
        </w:rPr>
      </w:pPr>
      <w:r>
        <w:rPr>
          <w:lang w:eastAsia="en-GB"/>
        </w:rPr>
        <w:tab/>
      </w:r>
      <w:r>
        <w:rPr>
          <w:lang w:eastAsia="en-GB"/>
        </w:rPr>
        <w:tab/>
      </w:r>
      <w:r w:rsidR="00676011" w:rsidRPr="009F438C">
        <w:rPr>
          <w:lang w:eastAsia="en-GB"/>
        </w:rPr>
        <w:t xml:space="preserve">Assistance technique et renforcement des capacités en faveur des droits </w:t>
      </w:r>
      <w:r w:rsidR="00C82199">
        <w:rPr>
          <w:lang w:eastAsia="en-GB"/>
        </w:rPr>
        <w:br/>
      </w:r>
      <w:r w:rsidR="00676011" w:rsidRPr="009F438C">
        <w:rPr>
          <w:lang w:eastAsia="en-GB"/>
        </w:rPr>
        <w:t>de l</w:t>
      </w:r>
      <w:r w:rsidR="00676011">
        <w:rPr>
          <w:lang w:eastAsia="en-GB"/>
        </w:rPr>
        <w:t>’</w:t>
      </w:r>
      <w:r w:rsidR="00676011" w:rsidRPr="009F438C">
        <w:rPr>
          <w:lang w:eastAsia="en-GB"/>
        </w:rPr>
        <w:t xml:space="preserve">homme en Iraq à la lumière des violations commises par Daesh et </w:t>
      </w:r>
      <w:r w:rsidR="00C82199">
        <w:rPr>
          <w:lang w:eastAsia="en-GB"/>
        </w:rPr>
        <w:br/>
      </w:r>
      <w:r w:rsidR="00676011" w:rsidRPr="009F438C">
        <w:rPr>
          <w:lang w:eastAsia="en-GB"/>
        </w:rPr>
        <w:t>des groupes terroristes associés</w:t>
      </w:r>
    </w:p>
    <w:p w:rsidR="00E02ABD" w:rsidRPr="00E02ABD" w:rsidRDefault="00E02ABD" w:rsidP="00E02ABD">
      <w:pPr>
        <w:pStyle w:val="SingleTxt"/>
        <w:spacing w:after="0" w:line="120" w:lineRule="exact"/>
        <w:rPr>
          <w:sz w:val="10"/>
          <w:lang w:eastAsia="en-GB"/>
        </w:rPr>
      </w:pPr>
    </w:p>
    <w:p w:rsidR="00676011" w:rsidRPr="00E02ABD" w:rsidRDefault="00676011" w:rsidP="00F54B6E">
      <w:pPr>
        <w:pStyle w:val="SingleTxt"/>
        <w:numPr>
          <w:ilvl w:val="0"/>
          <w:numId w:val="29"/>
        </w:numPr>
        <w:rPr>
          <w:lang w:val="fr-FR"/>
        </w:rPr>
      </w:pPr>
      <w:r>
        <w:rPr>
          <w:lang w:val="fr-FR"/>
        </w:rPr>
        <w:t xml:space="preserve">On se reportera au rapport du Haut-Commissaire </w:t>
      </w:r>
      <w:r>
        <w:t>sur la fourniture,</w:t>
      </w:r>
      <w:r w:rsidRPr="00867289">
        <w:t xml:space="preserve"> au Gouvernement iraquien</w:t>
      </w:r>
      <w:r>
        <w:t>, d’</w:t>
      </w:r>
      <w:r w:rsidRPr="00867289">
        <w:t>une assistance technique afin de l</w:t>
      </w:r>
      <w:r>
        <w:t>’</w:t>
      </w:r>
      <w:r w:rsidRPr="00867289">
        <w:t>aider à assurer la promotion et la protection des droits de l</w:t>
      </w:r>
      <w:r>
        <w:t>’</w:t>
      </w:r>
      <w:r w:rsidRPr="00867289">
        <w:t>homme, y compris par toutes les parties iraquiennes</w:t>
      </w:r>
      <w:r>
        <w:t xml:space="preserve"> (A/HRC/30/66) (voir par.</w:t>
      </w:r>
      <w:r w:rsidR="00E02ABD">
        <w:t> </w:t>
      </w:r>
      <w:r>
        <w:t>44 ci-dessus).</w:t>
      </w:r>
    </w:p>
    <w:p w:rsidR="00E02ABD" w:rsidRPr="00E02ABD" w:rsidRDefault="00E02ABD" w:rsidP="00E02ABD">
      <w:pPr>
        <w:pStyle w:val="SingleTxt"/>
        <w:tabs>
          <w:tab w:val="clear" w:pos="1742"/>
        </w:tabs>
        <w:spacing w:after="0" w:line="120" w:lineRule="exact"/>
        <w:rPr>
          <w:sz w:val="10"/>
        </w:rPr>
      </w:pPr>
    </w:p>
    <w:p w:rsidR="00676011" w:rsidRDefault="00E02ABD"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DE54E3">
        <w:t>Services consultatifs et assistance technique pour le Cambodge</w:t>
      </w:r>
    </w:p>
    <w:p w:rsidR="00E02ABD" w:rsidRPr="00E02ABD" w:rsidRDefault="00E02ABD" w:rsidP="00E02ABD">
      <w:pPr>
        <w:pStyle w:val="SingleTxt"/>
        <w:spacing w:after="0" w:line="120" w:lineRule="exact"/>
        <w:rPr>
          <w:sz w:val="10"/>
        </w:rPr>
      </w:pPr>
    </w:p>
    <w:p w:rsidR="00676011" w:rsidRPr="00DE54E3" w:rsidRDefault="00676011" w:rsidP="00F54B6E">
      <w:pPr>
        <w:pStyle w:val="SingleTxt"/>
        <w:numPr>
          <w:ilvl w:val="0"/>
          <w:numId w:val="29"/>
        </w:numPr>
        <w:rPr>
          <w:lang w:val="fr-FR"/>
        </w:rPr>
      </w:pPr>
      <w:r>
        <w:rPr>
          <w:lang w:val="fr-FR"/>
        </w:rPr>
        <w:t xml:space="preserve">Dans sa résolution 24/29, le Conseil des droits de l’homme a </w:t>
      </w:r>
      <w:r>
        <w:t>décidé</w:t>
      </w:r>
      <w:r w:rsidRPr="00DE54E3">
        <w:t xml:space="preserve"> de proroger de deux ans le mandat du Rapporteur spécial sur la situation des droits de l</w:t>
      </w:r>
      <w:r>
        <w:t>’</w:t>
      </w:r>
      <w:r w:rsidRPr="00DE54E3">
        <w:t xml:space="preserve">homme au Cambodge et </w:t>
      </w:r>
      <w:r>
        <w:t>a prié</w:t>
      </w:r>
      <w:r w:rsidRPr="00DE54E3">
        <w:t xml:space="preserve"> le Rapporteur spécial de </w:t>
      </w:r>
      <w:r>
        <w:t>lui faire rapport</w:t>
      </w:r>
      <w:r w:rsidRPr="00DE54E3">
        <w:t xml:space="preserve"> à ses vingt-septième et trentième sessions</w:t>
      </w:r>
      <w:r>
        <w:t>. Le Conseil examinera le rapport de la nouvelle titulaire de mandat, Rhona Smith (A/HRC/30/58).</w:t>
      </w:r>
    </w:p>
    <w:p w:rsidR="00676011" w:rsidRPr="00E02ABD" w:rsidRDefault="00676011" w:rsidP="00F54B6E">
      <w:pPr>
        <w:pStyle w:val="SingleTxt"/>
        <w:numPr>
          <w:ilvl w:val="0"/>
          <w:numId w:val="29"/>
        </w:numPr>
        <w:rPr>
          <w:lang w:val="fr-FR"/>
        </w:rPr>
      </w:pPr>
      <w:r>
        <w:t xml:space="preserve">On se reportera également au rapport du </w:t>
      </w:r>
      <w:r w:rsidRPr="00510428">
        <w:t>Secrétaire général</w:t>
      </w:r>
      <w:r w:rsidR="005832E0">
        <w:t xml:space="preserve"> </w:t>
      </w:r>
      <w:r w:rsidRPr="00510428">
        <w:t>sur le rôle joué et le travail accompli par le Haut-Commissariat pour aider le Gouvernement et le peuple cambodgiens à promouvoir et protéger les droits de l</w:t>
      </w:r>
      <w:r>
        <w:t>’</w:t>
      </w:r>
      <w:r w:rsidRPr="00510428">
        <w:t>homme</w:t>
      </w:r>
      <w:r>
        <w:t xml:space="preserve"> (A/HRC/30/30) (voir par.</w:t>
      </w:r>
      <w:r w:rsidR="00E02ABD">
        <w:t> </w:t>
      </w:r>
      <w:r>
        <w:t>43 ci-dessus).</w:t>
      </w:r>
    </w:p>
    <w:p w:rsidR="00E02ABD" w:rsidRPr="00E02ABD" w:rsidRDefault="00E02ABD" w:rsidP="00E02ABD">
      <w:pPr>
        <w:pStyle w:val="SingleTxt"/>
        <w:tabs>
          <w:tab w:val="clear" w:pos="1742"/>
        </w:tabs>
        <w:spacing w:after="0" w:line="120" w:lineRule="exact"/>
        <w:rPr>
          <w:sz w:val="10"/>
        </w:rPr>
      </w:pPr>
    </w:p>
    <w:p w:rsidR="00676011" w:rsidRDefault="00E02ABD"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7F2D8A">
        <w:t>Assistance à la Somalie dans le domaine des droits de l</w:t>
      </w:r>
      <w:r w:rsidR="00676011">
        <w:t>’</w:t>
      </w:r>
      <w:r w:rsidR="00676011" w:rsidRPr="007F2D8A">
        <w:t>homme</w:t>
      </w:r>
    </w:p>
    <w:p w:rsidR="00E02ABD" w:rsidRPr="00E02ABD" w:rsidRDefault="00E02ABD" w:rsidP="00E02ABD">
      <w:pPr>
        <w:pStyle w:val="SingleTxt"/>
        <w:spacing w:after="0" w:line="120" w:lineRule="exact"/>
        <w:rPr>
          <w:sz w:val="10"/>
        </w:rPr>
      </w:pPr>
    </w:p>
    <w:p w:rsidR="00676011" w:rsidRDefault="00676011" w:rsidP="00F54B6E">
      <w:pPr>
        <w:pStyle w:val="SingleTxt"/>
        <w:numPr>
          <w:ilvl w:val="0"/>
          <w:numId w:val="29"/>
        </w:numPr>
        <w:rPr>
          <w:lang w:val="fr-FR"/>
        </w:rPr>
      </w:pPr>
      <w:r w:rsidRPr="007F2D8A">
        <w:rPr>
          <w:lang w:val="fr-FR"/>
        </w:rPr>
        <w:t>Dans sa résolution 24/30, le Conseil des droits de l</w:t>
      </w:r>
      <w:r>
        <w:rPr>
          <w:lang w:val="fr-FR"/>
        </w:rPr>
        <w:t>’</w:t>
      </w:r>
      <w:r w:rsidRPr="007F2D8A">
        <w:rPr>
          <w:lang w:val="fr-FR"/>
        </w:rPr>
        <w:t xml:space="preserve">homme a </w:t>
      </w:r>
      <w:r>
        <w:rPr>
          <w:lang w:val="fr-FR"/>
        </w:rPr>
        <w:t>décidé de proroger</w:t>
      </w:r>
      <w:r w:rsidRPr="007F2D8A">
        <w:rPr>
          <w:lang w:val="fr-FR"/>
        </w:rPr>
        <w:t xml:space="preserve"> pour une période de deux ans le mandat de l</w:t>
      </w:r>
      <w:r>
        <w:rPr>
          <w:lang w:val="fr-FR"/>
        </w:rPr>
        <w:t>’</w:t>
      </w:r>
      <w:r w:rsidRPr="007F2D8A">
        <w:rPr>
          <w:lang w:val="fr-FR"/>
        </w:rPr>
        <w:t>Expert indépendant chargé d</w:t>
      </w:r>
      <w:r>
        <w:rPr>
          <w:lang w:val="fr-FR"/>
        </w:rPr>
        <w:t>’</w:t>
      </w:r>
      <w:r w:rsidRPr="007F2D8A">
        <w:rPr>
          <w:lang w:val="fr-FR"/>
        </w:rPr>
        <w:t>examiner la situation des droits de l</w:t>
      </w:r>
      <w:r>
        <w:rPr>
          <w:lang w:val="fr-FR"/>
        </w:rPr>
        <w:t>’</w:t>
      </w:r>
      <w:r w:rsidRPr="007F2D8A">
        <w:rPr>
          <w:lang w:val="fr-FR"/>
        </w:rPr>
        <w:t>homme en Somalie</w:t>
      </w:r>
      <w:r>
        <w:rPr>
          <w:lang w:val="fr-FR"/>
        </w:rPr>
        <w:t>, et a prié</w:t>
      </w:r>
      <w:r w:rsidRPr="007F2D8A">
        <w:rPr>
          <w:lang w:val="fr-FR"/>
        </w:rPr>
        <w:t xml:space="preserve"> l</w:t>
      </w:r>
      <w:r>
        <w:rPr>
          <w:lang w:val="fr-FR"/>
        </w:rPr>
        <w:t>’</w:t>
      </w:r>
      <w:r w:rsidRPr="007F2D8A">
        <w:rPr>
          <w:lang w:val="fr-FR"/>
        </w:rPr>
        <w:t xml:space="preserve">Expert indépendant de poursuivre sa collaboration avec le Gouvernement somalien, </w:t>
      </w:r>
      <w:r>
        <w:rPr>
          <w:lang w:val="fr-FR"/>
        </w:rPr>
        <w:t>aux niveaux</w:t>
      </w:r>
      <w:r w:rsidRPr="007F2D8A">
        <w:rPr>
          <w:lang w:val="fr-FR"/>
        </w:rPr>
        <w:t xml:space="preserve"> national et infranational, la société civile et la </w:t>
      </w:r>
      <w:r>
        <w:rPr>
          <w:lang w:val="fr-FR"/>
        </w:rPr>
        <w:t>M</w:t>
      </w:r>
      <w:r w:rsidRPr="007F2D8A">
        <w:rPr>
          <w:lang w:val="fr-FR"/>
        </w:rPr>
        <w:t>ission d</w:t>
      </w:r>
      <w:r>
        <w:rPr>
          <w:lang w:val="fr-FR"/>
        </w:rPr>
        <w:t>’</w:t>
      </w:r>
      <w:r w:rsidRPr="007F2D8A">
        <w:rPr>
          <w:lang w:val="fr-FR"/>
        </w:rPr>
        <w:t>assistance des Nations Unies en Somalie</w:t>
      </w:r>
      <w:r>
        <w:rPr>
          <w:lang w:val="fr-FR"/>
        </w:rPr>
        <w:t>. Le Conseil examinera le rapport du titulaire de mandat, Bahame Nyanduga (A/HRC/30/57).</w:t>
      </w:r>
    </w:p>
    <w:p w:rsidR="00110517" w:rsidRPr="00110517" w:rsidRDefault="00110517" w:rsidP="00110517">
      <w:pPr>
        <w:pStyle w:val="SingleTxt"/>
        <w:tabs>
          <w:tab w:val="clear" w:pos="1742"/>
        </w:tabs>
        <w:spacing w:after="0" w:line="120" w:lineRule="exact"/>
        <w:rPr>
          <w:sz w:val="10"/>
          <w:lang w:val="fr-FR"/>
        </w:rPr>
      </w:pPr>
    </w:p>
    <w:p w:rsidR="00676011" w:rsidRDefault="00110517"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BF2B3B">
        <w:t xml:space="preserve">Assistance technique et renforcement des capacités dans le domaine </w:t>
      </w:r>
      <w:r>
        <w:br/>
      </w:r>
      <w:r w:rsidR="00676011" w:rsidRPr="00BF2B3B">
        <w:t>des droits de l</w:t>
      </w:r>
      <w:r w:rsidR="00676011">
        <w:t>’</w:t>
      </w:r>
      <w:r w:rsidR="00676011" w:rsidRPr="00BF2B3B">
        <w:t>homme en République centrafricaine</w:t>
      </w:r>
    </w:p>
    <w:p w:rsidR="00110517" w:rsidRPr="00110517" w:rsidRDefault="00110517" w:rsidP="00110517">
      <w:pPr>
        <w:pStyle w:val="SingleTxt"/>
        <w:keepNext/>
        <w:keepLines/>
        <w:spacing w:after="0" w:line="120" w:lineRule="exact"/>
        <w:rPr>
          <w:sz w:val="10"/>
        </w:rPr>
      </w:pPr>
    </w:p>
    <w:p w:rsidR="00676011" w:rsidRPr="00110517" w:rsidRDefault="00676011" w:rsidP="00F54B6E">
      <w:pPr>
        <w:pStyle w:val="SingleTxt"/>
        <w:numPr>
          <w:ilvl w:val="0"/>
          <w:numId w:val="29"/>
        </w:numPr>
        <w:rPr>
          <w:lang w:val="fr-FR"/>
        </w:rPr>
      </w:pPr>
      <w:r w:rsidRPr="00BF2B3B">
        <w:rPr>
          <w:lang w:val="fr-FR"/>
        </w:rPr>
        <w:t xml:space="preserve">Dans sa résolution </w:t>
      </w:r>
      <w:r>
        <w:rPr>
          <w:lang w:val="fr-FR"/>
        </w:rPr>
        <w:t>27/28</w:t>
      </w:r>
      <w:r w:rsidRPr="00BF2B3B">
        <w:rPr>
          <w:lang w:val="fr-FR"/>
        </w:rPr>
        <w:t>, le Conseil des droits de l</w:t>
      </w:r>
      <w:r>
        <w:rPr>
          <w:lang w:val="fr-FR"/>
        </w:rPr>
        <w:t>’</w:t>
      </w:r>
      <w:r w:rsidRPr="00BF2B3B">
        <w:rPr>
          <w:lang w:val="fr-FR"/>
        </w:rPr>
        <w:t xml:space="preserve">homme </w:t>
      </w:r>
      <w:r>
        <w:t>a décidé</w:t>
      </w:r>
      <w:r w:rsidRPr="00760E0A">
        <w:t xml:space="preserve"> de renouveler pour un an le mandat de l</w:t>
      </w:r>
      <w:r>
        <w:t>’</w:t>
      </w:r>
      <w:r w:rsidRPr="00760E0A">
        <w:t>Experte indépendante pour évaluer et vérifier la situation des droits de l</w:t>
      </w:r>
      <w:r>
        <w:t>’</w:t>
      </w:r>
      <w:r w:rsidRPr="00760E0A">
        <w:t>homme en République centrafricaine et en rendre compte en vue de formuler des recommandations concernant l</w:t>
      </w:r>
      <w:r>
        <w:t>’</w:t>
      </w:r>
      <w:r w:rsidRPr="00760E0A">
        <w:t>assistance technique et le renforcement des capacités dans l</w:t>
      </w:r>
      <w:r>
        <w:t xml:space="preserve">e domaine des droits de l’homme. Il lui a également demandé de lui </w:t>
      </w:r>
      <w:r w:rsidRPr="00760E0A">
        <w:t>soumettre</w:t>
      </w:r>
      <w:r>
        <w:t xml:space="preserve"> un rapport écrit à sa trentième session. Le Conseil sera saisi du rapport de la titulaire de mandat, Marie-Thérèse Keita Bocoum (A/HRC/30/59).</w:t>
      </w:r>
    </w:p>
    <w:p w:rsidR="00110517" w:rsidRPr="00110517" w:rsidRDefault="00110517" w:rsidP="00110517">
      <w:pPr>
        <w:pStyle w:val="SingleTxt"/>
        <w:tabs>
          <w:tab w:val="clear" w:pos="1742"/>
        </w:tabs>
        <w:spacing w:after="0" w:line="120" w:lineRule="exact"/>
        <w:rPr>
          <w:sz w:val="10"/>
        </w:rPr>
      </w:pPr>
    </w:p>
    <w:p w:rsidR="00676011" w:rsidRDefault="00110517"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2460B5">
        <w:t xml:space="preserve">Assistance technique et renforcement des capacités visant à améliorer </w:t>
      </w:r>
      <w:r w:rsidR="00E130DD">
        <w:br/>
      </w:r>
      <w:r w:rsidR="00E130DD" w:rsidRPr="002460B5">
        <w:t xml:space="preserve">la situation </w:t>
      </w:r>
      <w:r w:rsidR="00676011" w:rsidRPr="002460B5">
        <w:t>des droits de l</w:t>
      </w:r>
      <w:r w:rsidR="00676011">
        <w:t>’</w:t>
      </w:r>
      <w:r w:rsidR="00676011" w:rsidRPr="002460B5">
        <w:t>homme au Soudan</w:t>
      </w:r>
    </w:p>
    <w:p w:rsidR="00110517" w:rsidRPr="00110517" w:rsidRDefault="00110517" w:rsidP="00110517">
      <w:pPr>
        <w:pStyle w:val="SingleTxt"/>
        <w:spacing w:after="0" w:line="120" w:lineRule="exact"/>
        <w:rPr>
          <w:sz w:val="10"/>
        </w:rPr>
      </w:pPr>
    </w:p>
    <w:p w:rsidR="00676011" w:rsidRPr="00110517" w:rsidRDefault="00676011" w:rsidP="00F54B6E">
      <w:pPr>
        <w:pStyle w:val="SingleTxt"/>
        <w:numPr>
          <w:ilvl w:val="0"/>
          <w:numId w:val="29"/>
        </w:numPr>
        <w:rPr>
          <w:lang w:val="fr-FR"/>
        </w:rPr>
      </w:pPr>
      <w:r w:rsidRPr="002460B5">
        <w:rPr>
          <w:lang w:val="fr-FR"/>
        </w:rPr>
        <w:t>Dans sa résolution 27/2</w:t>
      </w:r>
      <w:r>
        <w:rPr>
          <w:lang w:val="fr-FR"/>
        </w:rPr>
        <w:t>9</w:t>
      </w:r>
      <w:r w:rsidRPr="002460B5">
        <w:rPr>
          <w:lang w:val="fr-FR"/>
        </w:rPr>
        <w:t>, le Conseil des droits de l</w:t>
      </w:r>
      <w:r>
        <w:rPr>
          <w:lang w:val="fr-FR"/>
        </w:rPr>
        <w:t>’</w:t>
      </w:r>
      <w:r w:rsidRPr="002460B5">
        <w:rPr>
          <w:lang w:val="fr-FR"/>
        </w:rPr>
        <w:t xml:space="preserve">homme </w:t>
      </w:r>
      <w:r w:rsidRPr="002460B5">
        <w:t>a décidé de renouveler le mandat de l</w:t>
      </w:r>
      <w:r>
        <w:t>’</w:t>
      </w:r>
      <w:r w:rsidRPr="002460B5">
        <w:t>Expert indépendant sur la situation des droits de l</w:t>
      </w:r>
      <w:r>
        <w:t>’</w:t>
      </w:r>
      <w:r w:rsidRPr="002460B5">
        <w:t xml:space="preserve">homme au </w:t>
      </w:r>
      <w:r>
        <w:t>Soudan pour une période d’un an</w:t>
      </w:r>
      <w:r w:rsidRPr="002460B5">
        <w:t>, pour continuer son dialogue avec le Gouvernement soudanais et pour évaluer et vérifier la situation des droits de l</w:t>
      </w:r>
      <w:r>
        <w:t>’</w:t>
      </w:r>
      <w:r w:rsidRPr="002460B5">
        <w:t>homme et en rendre compte en vue de formuler des recommandations sur l</w:t>
      </w:r>
      <w:r>
        <w:t>’</w:t>
      </w:r>
      <w:r w:rsidRPr="002460B5">
        <w:t>assistance technique et le renforcement des capacités nécessaires en mat</w:t>
      </w:r>
      <w:r>
        <w:t>ière de droits de l’homme. Il lui a également demandé de lui</w:t>
      </w:r>
      <w:r w:rsidRPr="002460B5">
        <w:t xml:space="preserve"> présenter un rapport pou</w:t>
      </w:r>
      <w:r>
        <w:t>r examen à sa trentième session. Le Conseil sera saisi du rapport du nouveau titulaire du mandat, Aristide Nononsi (A/HRC/30/60).</w:t>
      </w:r>
    </w:p>
    <w:p w:rsidR="00110517" w:rsidRPr="00110517" w:rsidRDefault="00110517" w:rsidP="00110517">
      <w:pPr>
        <w:pStyle w:val="SingleTxt"/>
        <w:tabs>
          <w:tab w:val="clear" w:pos="1742"/>
        </w:tabs>
        <w:spacing w:after="0" w:line="120" w:lineRule="exact"/>
        <w:rPr>
          <w:sz w:val="10"/>
        </w:rPr>
      </w:pPr>
    </w:p>
    <w:p w:rsidR="00676011" w:rsidRDefault="00110517"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2C2A8C">
        <w:t>Assistance technique et renforcement des capacités afin d</w:t>
      </w:r>
      <w:r w:rsidR="00676011">
        <w:t>’</w:t>
      </w:r>
      <w:r w:rsidR="00676011" w:rsidRPr="002C2A8C">
        <w:t xml:space="preserve">améliorer </w:t>
      </w:r>
      <w:r w:rsidR="00E130DD">
        <w:br/>
      </w:r>
      <w:r w:rsidR="00E130DD" w:rsidRPr="002C2A8C">
        <w:t xml:space="preserve">la situation </w:t>
      </w:r>
      <w:r w:rsidR="00676011" w:rsidRPr="002C2A8C">
        <w:t>des droits de l</w:t>
      </w:r>
      <w:r w:rsidR="00676011">
        <w:t>’</w:t>
      </w:r>
      <w:r w:rsidR="00676011" w:rsidRPr="002C2A8C">
        <w:t>homme en Libye</w:t>
      </w:r>
    </w:p>
    <w:p w:rsidR="00110517" w:rsidRPr="00110517" w:rsidRDefault="00110517" w:rsidP="00110517">
      <w:pPr>
        <w:pStyle w:val="SingleTxt"/>
        <w:spacing w:after="0" w:line="120" w:lineRule="exact"/>
        <w:rPr>
          <w:sz w:val="10"/>
        </w:rPr>
      </w:pPr>
    </w:p>
    <w:p w:rsidR="00676011" w:rsidRPr="00110517" w:rsidRDefault="00676011" w:rsidP="00F54B6E">
      <w:pPr>
        <w:pStyle w:val="SingleTxt"/>
        <w:numPr>
          <w:ilvl w:val="0"/>
          <w:numId w:val="29"/>
        </w:numPr>
        <w:rPr>
          <w:lang w:val="fr-FR"/>
        </w:rPr>
      </w:pPr>
      <w:r w:rsidRPr="002C2A8C">
        <w:rPr>
          <w:lang w:val="fr-FR" w:eastAsia="zh-CN"/>
        </w:rPr>
        <w:t>Dans</w:t>
      </w:r>
      <w:r w:rsidRPr="002C2A8C">
        <w:rPr>
          <w:lang w:val="fr-FR"/>
        </w:rPr>
        <w:t xml:space="preserve"> sa résolution </w:t>
      </w:r>
      <w:r>
        <w:rPr>
          <w:lang w:val="fr-FR"/>
        </w:rPr>
        <w:t>28/30</w:t>
      </w:r>
      <w:r w:rsidRPr="002C2A8C">
        <w:rPr>
          <w:lang w:val="fr-FR"/>
        </w:rPr>
        <w:t>, le Conseil des droits de l</w:t>
      </w:r>
      <w:r>
        <w:rPr>
          <w:lang w:val="fr-FR"/>
        </w:rPr>
        <w:t>’</w:t>
      </w:r>
      <w:r w:rsidRPr="002C2A8C">
        <w:rPr>
          <w:lang w:val="fr-FR"/>
        </w:rPr>
        <w:t xml:space="preserve">homme </w:t>
      </w:r>
      <w:r w:rsidRPr="002C2A8C">
        <w:t>a</w:t>
      </w:r>
      <w:r>
        <w:t xml:space="preserve"> prié</w:t>
      </w:r>
      <w:r w:rsidRPr="00FC0EEF">
        <w:t xml:space="preserve"> le Haut-Commissaire de dépêcher d</w:t>
      </w:r>
      <w:r>
        <w:t>’</w:t>
      </w:r>
      <w:r w:rsidRPr="00FC0EEF">
        <w:t>urgence une mission chargée d</w:t>
      </w:r>
      <w:r>
        <w:t>’</w:t>
      </w:r>
      <w:r w:rsidRPr="00FC0EEF">
        <w:t>enquêter sur les violations du droit international des droits de l</w:t>
      </w:r>
      <w:r>
        <w:t>’</w:t>
      </w:r>
      <w:r w:rsidRPr="00FC0EEF">
        <w:t>homme commises en Libye depuis le début de 2014, et d</w:t>
      </w:r>
      <w:r>
        <w:t>’</w:t>
      </w:r>
      <w:r w:rsidRPr="00FC0EEF">
        <w:t>établir les faits et les circonstances de ces atteintes et violations, afin d</w:t>
      </w:r>
      <w:r>
        <w:t>’</w:t>
      </w:r>
      <w:r w:rsidRPr="00FC0EEF">
        <w:t>éviter l</w:t>
      </w:r>
      <w:r>
        <w:t>’</w:t>
      </w:r>
      <w:r w:rsidRPr="00FC0EEF">
        <w:t>impunité et d</w:t>
      </w:r>
      <w:r>
        <w:t>’</w:t>
      </w:r>
      <w:r w:rsidRPr="00FC0EEF">
        <w:t>assurer la pleine</w:t>
      </w:r>
      <w:r>
        <w:t xml:space="preserve"> mise en cause des responsables. Il a également prié</w:t>
      </w:r>
      <w:r w:rsidRPr="00FC0EEF">
        <w:t xml:space="preserve"> le Haut-Commissaire de lui présenter, à sa trentième session, un </w:t>
      </w:r>
      <w:r>
        <w:t>exposé</w:t>
      </w:r>
      <w:r w:rsidRPr="00FC0EEF">
        <w:t xml:space="preserve"> oral qui sera suivi d</w:t>
      </w:r>
      <w:r>
        <w:t>’</w:t>
      </w:r>
      <w:r w:rsidRPr="00FC0EEF">
        <w:t xml:space="preserve">un dialogue autonome et </w:t>
      </w:r>
      <w:r>
        <w:t>a invité</w:t>
      </w:r>
      <w:r w:rsidRPr="00FC0EEF">
        <w:t xml:space="preserve"> le Représentant spécial du Secrétaire général pour la Libye à participer à ce dialogue, qui devrait notamment faire une large place à la mise en œuvre de l</w:t>
      </w:r>
      <w:r>
        <w:t>’</w:t>
      </w:r>
      <w:r w:rsidRPr="00FC0EEF">
        <w:t>obligation de demander des comptes aux responsables des violations des droits de l</w:t>
      </w:r>
      <w:r>
        <w:t>’</w:t>
      </w:r>
      <w:r w:rsidRPr="00FC0EEF">
        <w:t>homme et atteintes à ces droits commises en Libye.</w:t>
      </w:r>
      <w:r>
        <w:t xml:space="preserve"> En conséquence, le Haut-Commissaire présentera un exposé oral au Conseil.</w:t>
      </w:r>
    </w:p>
    <w:p w:rsidR="00110517" w:rsidRPr="00110517" w:rsidRDefault="00110517" w:rsidP="00110517">
      <w:pPr>
        <w:pStyle w:val="SingleTxt"/>
        <w:tabs>
          <w:tab w:val="clear" w:pos="1742"/>
        </w:tabs>
        <w:spacing w:after="0" w:line="120" w:lineRule="exact"/>
        <w:rPr>
          <w:sz w:val="10"/>
        </w:rPr>
      </w:pPr>
    </w:p>
    <w:p w:rsidR="00676011" w:rsidRDefault="00110517" w:rsidP="00075B2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6011" w:rsidRPr="00FC0EEF">
        <w:t>Coopération avec l</w:t>
      </w:r>
      <w:r w:rsidR="00676011">
        <w:t>’</w:t>
      </w:r>
      <w:r w:rsidR="00676011" w:rsidRPr="00FC0EEF">
        <w:t xml:space="preserve">Ukraine et assistance dans le domaine </w:t>
      </w:r>
      <w:r>
        <w:t xml:space="preserve">des droits de </w:t>
      </w:r>
      <w:r w:rsidR="00676011" w:rsidRPr="00FC0EEF">
        <w:t>l</w:t>
      </w:r>
      <w:r w:rsidR="00676011">
        <w:t>’</w:t>
      </w:r>
      <w:r w:rsidR="00676011" w:rsidRPr="00FC0EEF">
        <w:t>homm</w:t>
      </w:r>
      <w:r w:rsidR="00676011">
        <w:t>e</w:t>
      </w:r>
    </w:p>
    <w:p w:rsidR="00110517" w:rsidRPr="00110517" w:rsidRDefault="00110517" w:rsidP="00110517">
      <w:pPr>
        <w:pStyle w:val="SingleTxt"/>
        <w:spacing w:after="0" w:line="120" w:lineRule="exact"/>
        <w:rPr>
          <w:sz w:val="10"/>
        </w:rPr>
      </w:pPr>
    </w:p>
    <w:p w:rsidR="00676011" w:rsidRPr="007F2D8A" w:rsidRDefault="00676011" w:rsidP="00F54B6E">
      <w:pPr>
        <w:pStyle w:val="SingleTxt"/>
        <w:numPr>
          <w:ilvl w:val="0"/>
          <w:numId w:val="29"/>
        </w:numPr>
        <w:rPr>
          <w:lang w:val="fr-FR"/>
        </w:rPr>
      </w:pPr>
      <w:r w:rsidRPr="005D4DAC">
        <w:rPr>
          <w:lang w:val="fr-FR"/>
        </w:rPr>
        <w:t xml:space="preserve">Dans sa résolution </w:t>
      </w:r>
      <w:r>
        <w:rPr>
          <w:lang w:val="fr-FR"/>
        </w:rPr>
        <w:t>29/23</w:t>
      </w:r>
      <w:r w:rsidRPr="005D4DAC">
        <w:rPr>
          <w:lang w:val="fr-FR"/>
        </w:rPr>
        <w:t>, le Conseil des droits de l</w:t>
      </w:r>
      <w:r>
        <w:rPr>
          <w:lang w:val="fr-FR"/>
        </w:rPr>
        <w:t>’</w:t>
      </w:r>
      <w:r w:rsidRPr="005D4DAC">
        <w:rPr>
          <w:lang w:val="fr-FR"/>
        </w:rPr>
        <w:t xml:space="preserve">homme </w:t>
      </w:r>
      <w:r>
        <w:rPr>
          <w:lang w:val="fr-FR"/>
        </w:rPr>
        <w:t xml:space="preserve">a invité </w:t>
      </w:r>
      <w:r w:rsidRPr="005D4DAC">
        <w:t xml:space="preserve">le Haut-Commissaire à présenter oralement aux États </w:t>
      </w:r>
      <w:r w:rsidR="00587344">
        <w:t>M</w:t>
      </w:r>
      <w:r w:rsidRPr="005D4DAC">
        <w:t>embres du Conseil et aux observateurs les conclusions de chacun des rapports périodiques établis par le Haut-Commissariat sur la situation des droits de l</w:t>
      </w:r>
      <w:r>
        <w:t>’</w:t>
      </w:r>
      <w:r w:rsidRPr="005D4DAC">
        <w:t>homme en Ukraine, dans le cadre des dialogue</w:t>
      </w:r>
      <w:r>
        <w:t>s</w:t>
      </w:r>
      <w:r w:rsidRPr="005D4DAC">
        <w:t xml:space="preserve"> et selon les modalités définies par le Conseil, conformément à sa résolution 5/1, jusqu</w:t>
      </w:r>
      <w:r>
        <w:t>’</w:t>
      </w:r>
      <w:r w:rsidRPr="005D4DAC">
        <w:t>à la trente-deuxième session du Conseil.</w:t>
      </w:r>
      <w:r>
        <w:t xml:space="preserve"> Le Haut-Commissaire présentera un exposé oral au Conseil.</w:t>
      </w:r>
    </w:p>
    <w:p w:rsidR="00676011" w:rsidRDefault="00676011" w:rsidP="00982162">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eastAsia="zh-CN"/>
        </w:rPr>
      </w:pPr>
      <w:r w:rsidRPr="00E41698">
        <w:rPr>
          <w:sz w:val="20"/>
          <w:lang w:val="fr-FR" w:eastAsia="zh-CN"/>
        </w:rPr>
        <w:br w:type="page"/>
      </w:r>
      <w:r w:rsidRPr="007E3D8A">
        <w:rPr>
          <w:lang w:val="fr-FR" w:eastAsia="zh-CN"/>
        </w:rPr>
        <w:t>Annexe</w:t>
      </w:r>
    </w:p>
    <w:p w:rsidR="00982162" w:rsidRPr="00982162" w:rsidRDefault="00982162" w:rsidP="00982162">
      <w:pPr>
        <w:spacing w:line="120" w:lineRule="exact"/>
        <w:rPr>
          <w:sz w:val="10"/>
          <w:lang w:val="fr-FR" w:eastAsia="zh-CN"/>
        </w:rPr>
      </w:pPr>
    </w:p>
    <w:p w:rsidR="00676011" w:rsidRDefault="00982162" w:rsidP="00982162">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fr-FR"/>
        </w:rPr>
      </w:pPr>
      <w:r>
        <w:rPr>
          <w:lang w:val="fr-FR"/>
        </w:rPr>
        <w:tab/>
      </w:r>
      <w:r>
        <w:rPr>
          <w:lang w:val="fr-FR"/>
        </w:rPr>
        <w:tab/>
      </w:r>
      <w:r w:rsidR="00676011" w:rsidRPr="007E3D8A">
        <w:rPr>
          <w:lang w:val="fr-FR"/>
        </w:rPr>
        <w:t xml:space="preserve">Réunions-débats qui doivent avoir lieu </w:t>
      </w:r>
      <w:r w:rsidR="007965F3">
        <w:rPr>
          <w:lang w:val="fr-FR"/>
        </w:rPr>
        <w:br/>
      </w:r>
      <w:r w:rsidR="00676011" w:rsidRPr="007E3D8A">
        <w:rPr>
          <w:lang w:val="fr-FR"/>
        </w:rPr>
        <w:t xml:space="preserve">à la </w:t>
      </w:r>
      <w:r w:rsidR="00676011">
        <w:rPr>
          <w:lang w:val="fr-FR"/>
        </w:rPr>
        <w:t>trentième</w:t>
      </w:r>
      <w:r w:rsidR="00676011" w:rsidRPr="007E3D8A">
        <w:rPr>
          <w:lang w:val="fr-FR"/>
        </w:rPr>
        <w:t xml:space="preserve"> session du Conseil </w:t>
      </w:r>
      <w:r w:rsidR="007965F3">
        <w:rPr>
          <w:lang w:val="fr-FR"/>
        </w:rPr>
        <w:br/>
      </w:r>
      <w:r w:rsidR="00676011" w:rsidRPr="007E3D8A">
        <w:rPr>
          <w:lang w:val="fr-FR"/>
        </w:rPr>
        <w:t>des droits de l</w:t>
      </w:r>
      <w:r w:rsidR="00676011">
        <w:rPr>
          <w:lang w:val="fr-FR"/>
        </w:rPr>
        <w:t>’</w:t>
      </w:r>
      <w:r w:rsidR="00676011" w:rsidRPr="007E3D8A">
        <w:rPr>
          <w:lang w:val="fr-FR"/>
        </w:rPr>
        <w:t>homme</w:t>
      </w:r>
    </w:p>
    <w:p w:rsidR="00982162" w:rsidRPr="00982162" w:rsidRDefault="00982162" w:rsidP="00982162">
      <w:pPr>
        <w:spacing w:line="120" w:lineRule="exact"/>
        <w:rPr>
          <w:sz w:val="10"/>
          <w:lang w:val="fr-FR"/>
        </w:rPr>
      </w:pPr>
    </w:p>
    <w:p w:rsidR="00982162" w:rsidRPr="00982162" w:rsidRDefault="00982162" w:rsidP="00982162">
      <w:pPr>
        <w:spacing w:line="120" w:lineRule="exact"/>
        <w:rPr>
          <w:sz w:val="10"/>
          <w:lang w:val="fr-FR"/>
        </w:rPr>
      </w:pPr>
    </w:p>
    <w:tbl>
      <w:tblPr>
        <w:tblW w:w="7535" w:type="dxa"/>
        <w:tblInd w:w="1267" w:type="dxa"/>
        <w:tblLayout w:type="fixed"/>
        <w:tblCellMar>
          <w:left w:w="0" w:type="dxa"/>
          <w:right w:w="0" w:type="dxa"/>
        </w:tblCellMar>
        <w:tblLook w:val="04A0" w:firstRow="1" w:lastRow="0" w:firstColumn="1" w:lastColumn="0" w:noHBand="0" w:noVBand="1"/>
      </w:tblPr>
      <w:tblGrid>
        <w:gridCol w:w="3660"/>
        <w:gridCol w:w="3875"/>
      </w:tblGrid>
      <w:tr w:rsidR="00676011" w:rsidRPr="00982162" w:rsidTr="00982162">
        <w:trPr>
          <w:tblHeader/>
        </w:trPr>
        <w:tc>
          <w:tcPr>
            <w:tcW w:w="3660" w:type="dxa"/>
            <w:tcBorders>
              <w:top w:val="single" w:sz="4" w:space="0" w:color="auto"/>
              <w:bottom w:val="single" w:sz="12" w:space="0" w:color="auto"/>
            </w:tcBorders>
            <w:shd w:val="clear" w:color="auto" w:fill="auto"/>
            <w:vAlign w:val="bottom"/>
            <w:hideMark/>
          </w:tcPr>
          <w:p w:rsidR="00676011" w:rsidRPr="00982162" w:rsidRDefault="00676011" w:rsidP="00AC7D4B">
            <w:pPr>
              <w:suppressAutoHyphens/>
              <w:spacing w:before="80" w:after="80" w:line="160" w:lineRule="exact"/>
              <w:ind w:right="115"/>
              <w:rPr>
                <w:rFonts w:eastAsia="SimSun"/>
                <w:i/>
                <w:sz w:val="14"/>
                <w:lang w:val="fr-FR"/>
              </w:rPr>
            </w:pPr>
            <w:r w:rsidRPr="00982162">
              <w:rPr>
                <w:rFonts w:eastAsia="SimSun"/>
                <w:i/>
                <w:sz w:val="14"/>
                <w:lang w:val="fr-FR"/>
              </w:rPr>
              <w:t>Résolution ou décision</w:t>
            </w:r>
          </w:p>
        </w:tc>
        <w:tc>
          <w:tcPr>
            <w:tcW w:w="3875" w:type="dxa"/>
            <w:tcBorders>
              <w:top w:val="single" w:sz="4" w:space="0" w:color="auto"/>
              <w:bottom w:val="single" w:sz="12" w:space="0" w:color="auto"/>
            </w:tcBorders>
            <w:shd w:val="clear" w:color="auto" w:fill="auto"/>
            <w:vAlign w:val="bottom"/>
            <w:hideMark/>
          </w:tcPr>
          <w:p w:rsidR="00676011" w:rsidRPr="00982162" w:rsidRDefault="00676011" w:rsidP="00AC7D4B">
            <w:pPr>
              <w:suppressAutoHyphens/>
              <w:spacing w:before="80" w:after="80" w:line="160" w:lineRule="exact"/>
              <w:ind w:right="115"/>
              <w:rPr>
                <w:rFonts w:eastAsia="SimSun"/>
                <w:i/>
                <w:sz w:val="14"/>
                <w:lang w:val="fr-FR"/>
              </w:rPr>
            </w:pPr>
            <w:r w:rsidRPr="00982162">
              <w:rPr>
                <w:rFonts w:eastAsia="SimSun"/>
                <w:i/>
                <w:sz w:val="14"/>
                <w:lang w:val="fr-FR"/>
              </w:rPr>
              <w:t>Réunion-débat ou débat</w:t>
            </w:r>
          </w:p>
        </w:tc>
      </w:tr>
      <w:tr w:rsidR="00676011" w:rsidRPr="00982162" w:rsidTr="00982162">
        <w:trPr>
          <w:trHeight w:hRule="exact" w:val="113"/>
          <w:tblHeader/>
        </w:trPr>
        <w:tc>
          <w:tcPr>
            <w:tcW w:w="3660" w:type="dxa"/>
            <w:tcBorders>
              <w:top w:val="single" w:sz="12" w:space="0" w:color="auto"/>
            </w:tcBorders>
            <w:shd w:val="clear" w:color="auto" w:fill="auto"/>
            <w:vAlign w:val="bottom"/>
          </w:tcPr>
          <w:p w:rsidR="00676011" w:rsidRPr="00982162" w:rsidRDefault="00676011" w:rsidP="00AC7D4B">
            <w:pPr>
              <w:suppressAutoHyphens/>
              <w:spacing w:before="40" w:after="80"/>
              <w:ind w:right="115"/>
              <w:rPr>
                <w:rFonts w:eastAsia="SimSun"/>
                <w:lang w:val="fr-FR"/>
              </w:rPr>
            </w:pPr>
          </w:p>
        </w:tc>
        <w:tc>
          <w:tcPr>
            <w:tcW w:w="3875" w:type="dxa"/>
            <w:tcBorders>
              <w:top w:val="single" w:sz="12" w:space="0" w:color="auto"/>
            </w:tcBorders>
            <w:shd w:val="clear" w:color="auto" w:fill="auto"/>
            <w:vAlign w:val="bottom"/>
          </w:tcPr>
          <w:p w:rsidR="00676011" w:rsidRPr="00982162" w:rsidRDefault="00676011" w:rsidP="00AC7D4B">
            <w:pPr>
              <w:suppressAutoHyphens/>
              <w:spacing w:before="40" w:after="80"/>
              <w:ind w:right="115"/>
              <w:rPr>
                <w:rFonts w:eastAsia="SimSun"/>
                <w:lang w:val="fr-FR"/>
              </w:rPr>
            </w:pPr>
          </w:p>
        </w:tc>
      </w:tr>
      <w:tr w:rsidR="00676011" w:rsidRPr="00982162" w:rsidTr="00982162">
        <w:tc>
          <w:tcPr>
            <w:tcW w:w="3660" w:type="dxa"/>
            <w:shd w:val="clear" w:color="auto" w:fill="auto"/>
          </w:tcPr>
          <w:p w:rsidR="00676011" w:rsidRPr="00982162" w:rsidRDefault="00982162" w:rsidP="00FD6ADB">
            <w:pPr>
              <w:tabs>
                <w:tab w:val="left" w:pos="288"/>
                <w:tab w:val="left" w:pos="576"/>
                <w:tab w:val="left" w:pos="864"/>
                <w:tab w:val="left" w:pos="1152"/>
              </w:tabs>
              <w:suppressAutoHyphens/>
              <w:spacing w:before="40" w:after="80"/>
              <w:ind w:right="115"/>
              <w:rPr>
                <w:rFonts w:eastAsia="SimSun"/>
                <w:lang w:val="fr-FR"/>
              </w:rPr>
            </w:pPr>
            <w:r w:rsidRPr="00982162">
              <w:rPr>
                <w:b/>
                <w:lang w:val="fr-FR"/>
              </w:rPr>
              <w:t>27/21 et Corr.1</w:t>
            </w:r>
            <w:r>
              <w:rPr>
                <w:b/>
                <w:lang w:val="fr-FR"/>
              </w:rPr>
              <w:t xml:space="preserve"> </w:t>
            </w:r>
            <w:r>
              <w:br/>
            </w:r>
            <w:r w:rsidR="00676011" w:rsidRPr="00982162">
              <w:t>Les droits de l’homme et les mesures coercitives unilatérales</w:t>
            </w:r>
          </w:p>
        </w:tc>
        <w:tc>
          <w:tcPr>
            <w:tcW w:w="3875" w:type="dxa"/>
            <w:shd w:val="clear" w:color="auto" w:fill="auto"/>
          </w:tcPr>
          <w:p w:rsidR="00676011" w:rsidRPr="00982162" w:rsidRDefault="00982162" w:rsidP="00AC7D4B">
            <w:pPr>
              <w:tabs>
                <w:tab w:val="left" w:pos="288"/>
                <w:tab w:val="left" w:pos="576"/>
                <w:tab w:val="left" w:pos="864"/>
                <w:tab w:val="left" w:pos="1152"/>
              </w:tabs>
              <w:suppressAutoHyphens/>
              <w:spacing w:before="40" w:after="80"/>
              <w:ind w:right="115"/>
              <w:rPr>
                <w:lang w:val="fr-FR"/>
              </w:rPr>
            </w:pPr>
            <w:r>
              <w:t xml:space="preserve"> </w:t>
            </w:r>
            <w:r>
              <w:br/>
            </w:r>
            <w:r w:rsidR="00676011" w:rsidRPr="00982162">
              <w:t>Réunion-débat biennale sur la question des mesures coercitives unilatérales et les droits de l’homme</w:t>
            </w:r>
          </w:p>
        </w:tc>
      </w:tr>
      <w:tr w:rsidR="00676011" w:rsidRPr="00982162" w:rsidTr="00982162">
        <w:tc>
          <w:tcPr>
            <w:tcW w:w="3660" w:type="dxa"/>
            <w:shd w:val="clear" w:color="auto" w:fill="auto"/>
          </w:tcPr>
          <w:p w:rsidR="00676011" w:rsidRPr="00982162" w:rsidRDefault="00982162" w:rsidP="00AC7D4B">
            <w:pPr>
              <w:tabs>
                <w:tab w:val="left" w:pos="288"/>
                <w:tab w:val="left" w:pos="576"/>
                <w:tab w:val="left" w:pos="864"/>
                <w:tab w:val="left" w:pos="1152"/>
              </w:tabs>
              <w:suppressAutoHyphens/>
              <w:spacing w:before="40" w:after="80"/>
              <w:ind w:right="115"/>
              <w:rPr>
                <w:rFonts w:eastAsia="SimSun"/>
                <w:lang w:val="fr-FR"/>
              </w:rPr>
            </w:pPr>
            <w:r w:rsidRPr="00982162">
              <w:rPr>
                <w:rFonts w:eastAsia="SimSun"/>
                <w:b/>
                <w:lang w:val="fr-FR"/>
              </w:rPr>
              <w:t>25/8</w:t>
            </w:r>
            <w:r>
              <w:rPr>
                <w:rFonts w:eastAsia="SimSun"/>
                <w:b/>
                <w:lang w:val="fr-FR"/>
              </w:rPr>
              <w:t xml:space="preserve"> </w:t>
            </w:r>
            <w:r>
              <w:br/>
            </w:r>
            <w:r w:rsidR="00676011" w:rsidRPr="00982162">
              <w:t>Le rôle d’une bonne gouvernance dans la promotion et la protection des droits de l’homme</w:t>
            </w:r>
          </w:p>
        </w:tc>
        <w:tc>
          <w:tcPr>
            <w:tcW w:w="3875" w:type="dxa"/>
            <w:shd w:val="clear" w:color="auto" w:fill="auto"/>
          </w:tcPr>
          <w:p w:rsidR="00676011" w:rsidRPr="00982162" w:rsidRDefault="00982162" w:rsidP="00AC7D4B">
            <w:pPr>
              <w:tabs>
                <w:tab w:val="left" w:pos="288"/>
                <w:tab w:val="left" w:pos="576"/>
                <w:tab w:val="left" w:pos="864"/>
                <w:tab w:val="left" w:pos="1152"/>
              </w:tabs>
              <w:suppressAutoHyphens/>
              <w:spacing w:before="40" w:after="80"/>
              <w:ind w:right="115"/>
              <w:rPr>
                <w:lang w:val="fr-FR"/>
              </w:rPr>
            </w:pPr>
            <w:r>
              <w:t xml:space="preserve"> </w:t>
            </w:r>
            <w:r>
              <w:br/>
            </w:r>
            <w:r w:rsidR="00676011" w:rsidRPr="00982162">
              <w:t>Réunion-débat sur une approche de la bonne gouvernance fondée sur les droits de l’homme dans le service public</w:t>
            </w:r>
          </w:p>
        </w:tc>
      </w:tr>
      <w:tr w:rsidR="00676011" w:rsidRPr="00982162" w:rsidTr="00982162">
        <w:tc>
          <w:tcPr>
            <w:tcW w:w="3660" w:type="dxa"/>
            <w:shd w:val="clear" w:color="auto" w:fill="auto"/>
          </w:tcPr>
          <w:p w:rsidR="00676011" w:rsidRPr="00982162" w:rsidRDefault="00982162" w:rsidP="00AC7D4B">
            <w:pPr>
              <w:tabs>
                <w:tab w:val="left" w:pos="288"/>
                <w:tab w:val="left" w:pos="576"/>
                <w:tab w:val="left" w:pos="864"/>
                <w:tab w:val="left" w:pos="1152"/>
              </w:tabs>
              <w:suppressAutoHyphens/>
              <w:spacing w:before="40" w:after="80"/>
              <w:ind w:right="115"/>
              <w:rPr>
                <w:rFonts w:eastAsia="SimSun"/>
                <w:lang w:val="fr-FR"/>
              </w:rPr>
            </w:pPr>
            <w:r w:rsidRPr="00982162">
              <w:rPr>
                <w:rFonts w:eastAsia="SimSun"/>
                <w:b/>
                <w:lang w:val="fr-FR"/>
              </w:rPr>
              <w:t>18/8 et 27/13</w:t>
            </w:r>
            <w:r>
              <w:rPr>
                <w:rFonts w:eastAsia="SimSun"/>
                <w:b/>
                <w:lang w:val="fr-FR"/>
              </w:rPr>
              <w:t xml:space="preserve"> </w:t>
            </w:r>
            <w:r>
              <w:rPr>
                <w:rFonts w:eastAsia="SimSun"/>
                <w:b/>
                <w:lang w:val="fr-FR"/>
              </w:rPr>
              <w:br/>
            </w:r>
            <w:r w:rsidR="00676011" w:rsidRPr="00982162">
              <w:rPr>
                <w:rFonts w:eastAsia="SimSun"/>
              </w:rPr>
              <w:t>Droits de l’homme et peuples autochtones</w:t>
            </w:r>
          </w:p>
        </w:tc>
        <w:tc>
          <w:tcPr>
            <w:tcW w:w="3875" w:type="dxa"/>
            <w:shd w:val="clear" w:color="auto" w:fill="auto"/>
          </w:tcPr>
          <w:p w:rsidR="00676011" w:rsidRPr="00982162" w:rsidRDefault="00982162" w:rsidP="00AC7D4B">
            <w:pPr>
              <w:tabs>
                <w:tab w:val="left" w:pos="288"/>
                <w:tab w:val="left" w:pos="576"/>
                <w:tab w:val="left" w:pos="864"/>
                <w:tab w:val="left" w:pos="1152"/>
              </w:tabs>
              <w:suppressAutoHyphens/>
              <w:spacing w:before="40" w:after="80"/>
              <w:ind w:right="115"/>
              <w:rPr>
                <w:rFonts w:eastAsia="SimSun"/>
                <w:lang w:val="fr-FR" w:eastAsia="zh-CN"/>
              </w:rPr>
            </w:pPr>
            <w:r>
              <w:rPr>
                <w:rFonts w:eastAsia="SimSun"/>
                <w:lang w:eastAsia="zh-CN"/>
              </w:rPr>
              <w:t xml:space="preserve"> </w:t>
            </w:r>
            <w:r>
              <w:rPr>
                <w:rFonts w:eastAsia="SimSun"/>
                <w:lang w:eastAsia="zh-CN"/>
              </w:rPr>
              <w:br/>
            </w:r>
            <w:r w:rsidR="00676011" w:rsidRPr="00982162">
              <w:rPr>
                <w:rFonts w:eastAsia="SimSun"/>
                <w:lang w:eastAsia="zh-CN"/>
              </w:rPr>
              <w:t>Débat annuel d’une demi-journée consacré aux droits de l’homme des peuples autochtones</w:t>
            </w:r>
          </w:p>
        </w:tc>
      </w:tr>
      <w:tr w:rsidR="00676011" w:rsidRPr="00982162" w:rsidTr="00982162">
        <w:tc>
          <w:tcPr>
            <w:tcW w:w="3660" w:type="dxa"/>
            <w:shd w:val="clear" w:color="auto" w:fill="auto"/>
            <w:hideMark/>
          </w:tcPr>
          <w:p w:rsidR="00676011" w:rsidRPr="00982162" w:rsidRDefault="00AE4D2D" w:rsidP="00AC7D4B">
            <w:pPr>
              <w:tabs>
                <w:tab w:val="left" w:pos="288"/>
                <w:tab w:val="left" w:pos="576"/>
                <w:tab w:val="left" w:pos="864"/>
                <w:tab w:val="left" w:pos="1152"/>
              </w:tabs>
              <w:suppressAutoHyphens/>
              <w:spacing w:before="40" w:after="80"/>
              <w:ind w:right="115"/>
              <w:rPr>
                <w:rFonts w:eastAsia="SimSun"/>
                <w:lang w:val="fr-FR"/>
              </w:rPr>
            </w:pPr>
            <w:r w:rsidRPr="00982162">
              <w:rPr>
                <w:rFonts w:eastAsia="SimSun"/>
                <w:b/>
                <w:lang w:val="fr-FR"/>
              </w:rPr>
              <w:t>28/22</w:t>
            </w:r>
            <w:r>
              <w:rPr>
                <w:rFonts w:eastAsia="SimSun"/>
              </w:rPr>
              <w:t xml:space="preserve"> </w:t>
            </w:r>
            <w:r>
              <w:rPr>
                <w:rFonts w:eastAsia="SimSun"/>
              </w:rPr>
              <w:br/>
            </w:r>
            <w:r w:rsidR="00676011" w:rsidRPr="00982162">
              <w:rPr>
                <w:rFonts w:eastAsia="SimSun"/>
              </w:rPr>
              <w:t>Situation des droits de l’homme en République populaire démocratique de Corée</w:t>
            </w:r>
          </w:p>
        </w:tc>
        <w:tc>
          <w:tcPr>
            <w:tcW w:w="3875" w:type="dxa"/>
            <w:shd w:val="clear" w:color="auto" w:fill="auto"/>
            <w:hideMark/>
          </w:tcPr>
          <w:p w:rsidR="00676011" w:rsidRPr="00982162" w:rsidRDefault="00AE4D2D" w:rsidP="00AC7D4B">
            <w:pPr>
              <w:tabs>
                <w:tab w:val="left" w:pos="288"/>
                <w:tab w:val="left" w:pos="576"/>
                <w:tab w:val="left" w:pos="864"/>
                <w:tab w:val="left" w:pos="1152"/>
              </w:tabs>
              <w:suppressAutoHyphens/>
              <w:spacing w:before="40" w:after="80"/>
              <w:ind w:right="115"/>
              <w:rPr>
                <w:rFonts w:eastAsia="SimSun"/>
                <w:lang w:val="fr-FR"/>
              </w:rPr>
            </w:pPr>
            <w:r>
              <w:rPr>
                <w:rFonts w:eastAsia="SimSun"/>
              </w:rPr>
              <w:t xml:space="preserve"> </w:t>
            </w:r>
            <w:r>
              <w:rPr>
                <w:rFonts w:eastAsia="SimSun"/>
              </w:rPr>
              <w:br/>
            </w:r>
            <w:r w:rsidR="00676011" w:rsidRPr="00982162">
              <w:rPr>
                <w:rFonts w:eastAsia="SimSun"/>
              </w:rPr>
              <w:t>Table ronde sur la situation des droits de l’homme en République populaire démocratique de Corée, y compris le problème des enlèvements internationaux, des disparitions forcées et autres questions connexes</w:t>
            </w:r>
          </w:p>
        </w:tc>
      </w:tr>
      <w:tr w:rsidR="00676011" w:rsidRPr="00982162" w:rsidTr="00C42E6A">
        <w:tc>
          <w:tcPr>
            <w:tcW w:w="3660" w:type="dxa"/>
            <w:shd w:val="clear" w:color="auto" w:fill="auto"/>
          </w:tcPr>
          <w:p w:rsidR="00676011" w:rsidRPr="00982162" w:rsidRDefault="00AE4D2D" w:rsidP="00AC7D4B">
            <w:pPr>
              <w:tabs>
                <w:tab w:val="left" w:pos="288"/>
                <w:tab w:val="left" w:pos="576"/>
                <w:tab w:val="left" w:pos="864"/>
                <w:tab w:val="left" w:pos="1152"/>
              </w:tabs>
              <w:suppressAutoHyphens/>
              <w:spacing w:before="40" w:after="80"/>
              <w:ind w:right="115"/>
              <w:rPr>
                <w:rFonts w:eastAsia="SimSun"/>
              </w:rPr>
            </w:pPr>
            <w:r w:rsidRPr="00982162">
              <w:rPr>
                <w:rFonts w:eastAsia="SimSun"/>
                <w:b/>
              </w:rPr>
              <w:t>28/28</w:t>
            </w:r>
            <w:r>
              <w:rPr>
                <w:rFonts w:eastAsia="SimSun"/>
              </w:rPr>
              <w:t xml:space="preserve"> </w:t>
            </w:r>
            <w:r>
              <w:rPr>
                <w:rFonts w:eastAsia="SimSun"/>
              </w:rPr>
              <w:br/>
            </w:r>
            <w:r w:rsidR="00676011" w:rsidRPr="00982162">
              <w:rPr>
                <w:rFonts w:eastAsia="SimSun"/>
              </w:rPr>
              <w:t>Contribution du Conseil des droits de l’homme à la session extraordinaire de l’Assemblée générale consacrée au problème mondial de la drogue prévue pour 2016</w:t>
            </w:r>
          </w:p>
        </w:tc>
        <w:tc>
          <w:tcPr>
            <w:tcW w:w="3875" w:type="dxa"/>
            <w:shd w:val="clear" w:color="auto" w:fill="auto"/>
          </w:tcPr>
          <w:p w:rsidR="00676011" w:rsidRPr="00982162" w:rsidRDefault="00AE4D2D" w:rsidP="00AC7D4B">
            <w:pPr>
              <w:tabs>
                <w:tab w:val="left" w:pos="288"/>
                <w:tab w:val="left" w:pos="576"/>
                <w:tab w:val="left" w:pos="864"/>
                <w:tab w:val="left" w:pos="1152"/>
              </w:tabs>
              <w:suppressAutoHyphens/>
              <w:spacing w:before="40" w:after="80"/>
              <w:ind w:right="115"/>
              <w:rPr>
                <w:rFonts w:eastAsia="SimSun"/>
              </w:rPr>
            </w:pPr>
            <w:r>
              <w:rPr>
                <w:rFonts w:eastAsia="SimSun"/>
              </w:rPr>
              <w:t xml:space="preserve"> </w:t>
            </w:r>
            <w:r>
              <w:rPr>
                <w:rFonts w:eastAsia="SimSun"/>
              </w:rPr>
              <w:br/>
            </w:r>
            <w:r w:rsidR="00676011" w:rsidRPr="00982162">
              <w:rPr>
                <w:rFonts w:eastAsia="SimSun"/>
              </w:rPr>
              <w:t>Table ronde sur les effets du problème mondial de la drogue sur la jouissance des droits de l’homme</w:t>
            </w:r>
          </w:p>
        </w:tc>
      </w:tr>
      <w:tr w:rsidR="00676011" w:rsidRPr="00982162" w:rsidTr="00C42E6A">
        <w:tc>
          <w:tcPr>
            <w:tcW w:w="3660" w:type="dxa"/>
            <w:tcBorders>
              <w:bottom w:val="single" w:sz="12" w:space="0" w:color="auto"/>
            </w:tcBorders>
            <w:shd w:val="clear" w:color="auto" w:fill="auto"/>
          </w:tcPr>
          <w:p w:rsidR="00676011" w:rsidRPr="00982162" w:rsidRDefault="00AE4D2D" w:rsidP="00AC7D4B">
            <w:pPr>
              <w:tabs>
                <w:tab w:val="left" w:pos="288"/>
                <w:tab w:val="left" w:pos="576"/>
                <w:tab w:val="left" w:pos="864"/>
                <w:tab w:val="left" w:pos="1152"/>
              </w:tabs>
              <w:suppressAutoHyphens/>
              <w:spacing w:before="40" w:after="80"/>
              <w:ind w:right="115"/>
              <w:rPr>
                <w:rFonts w:eastAsia="SimSun"/>
              </w:rPr>
            </w:pPr>
            <w:r w:rsidRPr="00982162">
              <w:rPr>
                <w:rFonts w:eastAsia="SimSun"/>
                <w:b/>
              </w:rPr>
              <w:t>6/30</w:t>
            </w:r>
            <w:r>
              <w:rPr>
                <w:rFonts w:eastAsia="SimSun"/>
                <w:b/>
              </w:rPr>
              <w:t xml:space="preserve"> </w:t>
            </w:r>
            <w:r>
              <w:rPr>
                <w:rFonts w:eastAsia="SimSun"/>
                <w:b/>
              </w:rPr>
              <w:br/>
            </w:r>
            <w:r w:rsidR="00676011" w:rsidRPr="00982162">
              <w:rPr>
                <w:rFonts w:eastAsia="SimSun"/>
                <w:bCs/>
              </w:rPr>
              <w:t>Intégration des droits fondamentaux des femmes dans tous les organismes des Nations Unies</w:t>
            </w:r>
          </w:p>
        </w:tc>
        <w:tc>
          <w:tcPr>
            <w:tcW w:w="3875" w:type="dxa"/>
            <w:tcBorders>
              <w:bottom w:val="single" w:sz="12" w:space="0" w:color="auto"/>
            </w:tcBorders>
            <w:shd w:val="clear" w:color="auto" w:fill="auto"/>
          </w:tcPr>
          <w:p w:rsidR="00676011" w:rsidRPr="00982162" w:rsidRDefault="00AE4D2D" w:rsidP="00AC7D4B">
            <w:pPr>
              <w:tabs>
                <w:tab w:val="left" w:pos="288"/>
                <w:tab w:val="left" w:pos="576"/>
                <w:tab w:val="left" w:pos="864"/>
                <w:tab w:val="left" w:pos="1152"/>
              </w:tabs>
              <w:suppressAutoHyphens/>
              <w:spacing w:before="40" w:after="80"/>
              <w:ind w:right="115"/>
              <w:rPr>
                <w:rFonts w:eastAsia="SimSun"/>
              </w:rPr>
            </w:pPr>
            <w:r>
              <w:rPr>
                <w:rFonts w:eastAsia="SimSun"/>
                <w:bCs/>
              </w:rPr>
              <w:t xml:space="preserve"> </w:t>
            </w:r>
            <w:r>
              <w:rPr>
                <w:rFonts w:eastAsia="SimSun"/>
                <w:bCs/>
              </w:rPr>
              <w:br/>
            </w:r>
            <w:r w:rsidR="00676011" w:rsidRPr="00982162">
              <w:rPr>
                <w:rFonts w:eastAsia="SimSun"/>
                <w:bCs/>
              </w:rPr>
              <w:t>Débat annuel consacré à l’intégration d’une perspective de genre dans tous les travaux du Conseil des droits de l’homme et ceux de ses mécanismes</w:t>
            </w:r>
          </w:p>
        </w:tc>
      </w:tr>
    </w:tbl>
    <w:p w:rsidR="00676011" w:rsidRPr="00AE4D2D" w:rsidRDefault="00AE4D2D" w:rsidP="00AE4D2D">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p w:rsidR="00414E00" w:rsidRPr="00414E00" w:rsidRDefault="00414E00" w:rsidP="00676011">
      <w:pPr>
        <w:pStyle w:val="SingleTxt"/>
        <w:rPr>
          <w:lang w:val="fr-FR"/>
        </w:rPr>
      </w:pPr>
    </w:p>
    <w:sectPr w:rsidR="00414E00" w:rsidRPr="00414E00" w:rsidSect="00F221FA">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09:33:00Z" w:initials="Start">
    <w:p w:rsidR="00075B2E" w:rsidRDefault="00075B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NO&gt;&gt;N1517288F&lt;&lt;ODS JOB NO&gt;&gt;</w:t>
      </w:r>
    </w:p>
    <w:p w:rsidR="00075B2E" w:rsidRDefault="00075B2E">
      <w:pPr>
        <w:pStyle w:val="CommentText"/>
      </w:pPr>
      <w:r>
        <w:t>&lt;&lt;ODS DOC SYMBOL1&gt;&gt;A/HRC/30/1&lt;&lt;ODS DOC SYMBOL1&gt;&gt;</w:t>
      </w:r>
    </w:p>
    <w:p w:rsidR="00075B2E" w:rsidRDefault="00075B2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2E" w:rsidRDefault="00075B2E" w:rsidP="00F3330B">
      <w:pPr>
        <w:spacing w:line="240" w:lineRule="auto"/>
      </w:pPr>
      <w:r>
        <w:separator/>
      </w:r>
    </w:p>
  </w:endnote>
  <w:endnote w:type="continuationSeparator" w:id="0">
    <w:p w:rsidR="00075B2E" w:rsidRDefault="00075B2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75B2E" w:rsidTr="00F221FA">
      <w:trPr>
        <w:jc w:val="center"/>
      </w:trPr>
      <w:tc>
        <w:tcPr>
          <w:tcW w:w="5126" w:type="dxa"/>
          <w:shd w:val="clear" w:color="auto" w:fill="auto"/>
        </w:tcPr>
        <w:p w:rsidR="00075B2E" w:rsidRPr="00F221FA" w:rsidRDefault="00075B2E" w:rsidP="00F221F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51225">
            <w:rPr>
              <w:b w:val="0"/>
              <w:w w:val="103"/>
              <w:sz w:val="14"/>
            </w:rPr>
            <w:t>GE.15-13204</w:t>
          </w:r>
          <w:r>
            <w:rPr>
              <w:b w:val="0"/>
              <w:w w:val="103"/>
              <w:sz w:val="14"/>
            </w:rPr>
            <w:fldChar w:fldCharType="end"/>
          </w:r>
        </w:p>
      </w:tc>
      <w:tc>
        <w:tcPr>
          <w:tcW w:w="5127" w:type="dxa"/>
          <w:shd w:val="clear" w:color="auto" w:fill="auto"/>
        </w:tcPr>
        <w:p w:rsidR="00075B2E" w:rsidRPr="00F221FA" w:rsidRDefault="00075B2E" w:rsidP="00F221FA">
          <w:pPr>
            <w:pStyle w:val="Footer"/>
            <w:rPr>
              <w:w w:val="103"/>
            </w:rPr>
          </w:pPr>
          <w:r>
            <w:rPr>
              <w:w w:val="103"/>
            </w:rPr>
            <w:fldChar w:fldCharType="begin"/>
          </w:r>
          <w:r>
            <w:rPr>
              <w:w w:val="103"/>
            </w:rPr>
            <w:instrText xml:space="preserve"> PAGE  \* Arabic  \* MERGEFORMAT </w:instrText>
          </w:r>
          <w:r>
            <w:rPr>
              <w:w w:val="103"/>
            </w:rPr>
            <w:fldChar w:fldCharType="separate"/>
          </w:r>
          <w:r w:rsidR="00C601C3">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01C3">
            <w:rPr>
              <w:noProof/>
              <w:w w:val="103"/>
            </w:rPr>
            <w:t>20</w:t>
          </w:r>
          <w:r>
            <w:rPr>
              <w:w w:val="103"/>
            </w:rPr>
            <w:fldChar w:fldCharType="end"/>
          </w:r>
        </w:p>
      </w:tc>
    </w:tr>
  </w:tbl>
  <w:p w:rsidR="00075B2E" w:rsidRPr="00F221FA" w:rsidRDefault="00075B2E" w:rsidP="00F22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75B2E" w:rsidTr="00F221FA">
      <w:trPr>
        <w:jc w:val="center"/>
      </w:trPr>
      <w:tc>
        <w:tcPr>
          <w:tcW w:w="5126" w:type="dxa"/>
          <w:shd w:val="clear" w:color="auto" w:fill="auto"/>
        </w:tcPr>
        <w:p w:rsidR="00075B2E" w:rsidRPr="00F221FA" w:rsidRDefault="00075B2E" w:rsidP="00F221F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601C3">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01C3">
            <w:rPr>
              <w:noProof/>
              <w:w w:val="103"/>
            </w:rPr>
            <w:t>21</w:t>
          </w:r>
          <w:r>
            <w:rPr>
              <w:w w:val="103"/>
            </w:rPr>
            <w:fldChar w:fldCharType="end"/>
          </w:r>
        </w:p>
      </w:tc>
      <w:tc>
        <w:tcPr>
          <w:tcW w:w="5127" w:type="dxa"/>
          <w:shd w:val="clear" w:color="auto" w:fill="auto"/>
        </w:tcPr>
        <w:p w:rsidR="00075B2E" w:rsidRPr="00F221FA" w:rsidRDefault="00075B2E" w:rsidP="00F221F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51225">
            <w:rPr>
              <w:b w:val="0"/>
              <w:w w:val="103"/>
              <w:sz w:val="14"/>
            </w:rPr>
            <w:t>GE.15-13204</w:t>
          </w:r>
          <w:r>
            <w:rPr>
              <w:b w:val="0"/>
              <w:w w:val="103"/>
              <w:sz w:val="14"/>
            </w:rPr>
            <w:fldChar w:fldCharType="end"/>
          </w:r>
        </w:p>
      </w:tc>
    </w:tr>
  </w:tbl>
  <w:p w:rsidR="00075B2E" w:rsidRPr="00F221FA" w:rsidRDefault="00075B2E" w:rsidP="00F22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2E" w:rsidRDefault="00075B2E">
    <w:pPr>
      <w:pStyle w:val="Footer"/>
    </w:pPr>
    <w:r>
      <w:rPr>
        <w:noProof/>
        <w:lang w:val="en-GB" w:eastAsia="en-GB"/>
      </w:rPr>
      <w:drawing>
        <wp:anchor distT="0" distB="0" distL="114300" distR="114300" simplePos="0" relativeHeight="251658240" behindDoc="0" locked="0" layoutInCell="1" allowOverlap="1" wp14:anchorId="24C53CE3" wp14:editId="3DBD8A63">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75B2E" w:rsidTr="00F221FA">
      <w:tc>
        <w:tcPr>
          <w:tcW w:w="3859" w:type="dxa"/>
        </w:tcPr>
        <w:p w:rsidR="00075B2E" w:rsidRDefault="00075B2E" w:rsidP="00F221F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51225">
            <w:rPr>
              <w:b w:val="0"/>
              <w:sz w:val="20"/>
            </w:rPr>
            <w:t>GE.15-13204 (F)</w:t>
          </w:r>
          <w:r>
            <w:rPr>
              <w:b w:val="0"/>
              <w:sz w:val="20"/>
            </w:rPr>
            <w:fldChar w:fldCharType="end"/>
          </w:r>
          <w:r>
            <w:rPr>
              <w:b w:val="0"/>
              <w:sz w:val="20"/>
            </w:rPr>
            <w:t xml:space="preserve">    010915    020915</w:t>
          </w:r>
        </w:p>
        <w:p w:rsidR="00075B2E" w:rsidRPr="00F221FA" w:rsidRDefault="00075B2E" w:rsidP="00F221F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51225">
            <w:rPr>
              <w:rFonts w:ascii="Barcode 3 of 9 by request" w:hAnsi="Barcode 3 of 9 by request"/>
              <w:b w:val="0"/>
              <w:spacing w:val="0"/>
              <w:w w:val="100"/>
              <w:sz w:val="24"/>
            </w:rPr>
            <w:t>*1513204*</w:t>
          </w:r>
          <w:r>
            <w:rPr>
              <w:rFonts w:ascii="Barcode 3 of 9 by request" w:hAnsi="Barcode 3 of 9 by request"/>
              <w:b w:val="0"/>
              <w:spacing w:val="0"/>
              <w:w w:val="100"/>
              <w:sz w:val="24"/>
            </w:rPr>
            <w:fldChar w:fldCharType="end"/>
          </w:r>
        </w:p>
      </w:tc>
      <w:tc>
        <w:tcPr>
          <w:tcW w:w="5127" w:type="dxa"/>
        </w:tcPr>
        <w:p w:rsidR="00075B2E" w:rsidRDefault="00075B2E" w:rsidP="00F221FA">
          <w:pPr>
            <w:pStyle w:val="Footer"/>
            <w:spacing w:line="240" w:lineRule="atLeast"/>
            <w:jc w:val="right"/>
            <w:rPr>
              <w:b w:val="0"/>
              <w:sz w:val="20"/>
            </w:rPr>
          </w:pPr>
          <w:r>
            <w:rPr>
              <w:b w:val="0"/>
              <w:noProof/>
              <w:sz w:val="20"/>
              <w:lang w:val="en-GB" w:eastAsia="en-GB"/>
            </w:rPr>
            <w:drawing>
              <wp:inline distT="0" distB="0" distL="0" distR="0" wp14:anchorId="2B72BB1A" wp14:editId="6B80A4B1">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075B2E" w:rsidRPr="00F221FA" w:rsidRDefault="00075B2E" w:rsidP="00F221F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2E" w:rsidRPr="00C752AC" w:rsidRDefault="00075B2E" w:rsidP="00C752AC">
      <w:pPr>
        <w:pStyle w:val="Footer"/>
        <w:spacing w:after="80"/>
        <w:ind w:left="792"/>
        <w:rPr>
          <w:sz w:val="16"/>
        </w:rPr>
      </w:pPr>
      <w:r w:rsidRPr="00C752AC">
        <w:rPr>
          <w:sz w:val="16"/>
        </w:rPr>
        <w:t>__________________</w:t>
      </w:r>
    </w:p>
  </w:footnote>
  <w:footnote w:type="continuationSeparator" w:id="0">
    <w:p w:rsidR="00075B2E" w:rsidRPr="00C752AC" w:rsidRDefault="00075B2E" w:rsidP="00C752AC">
      <w:pPr>
        <w:pStyle w:val="Footer"/>
        <w:spacing w:after="80"/>
        <w:ind w:left="792"/>
        <w:rPr>
          <w:sz w:val="16"/>
        </w:rPr>
      </w:pPr>
      <w:r w:rsidRPr="00C752AC">
        <w:rPr>
          <w:sz w:val="16"/>
        </w:rPr>
        <w:t>__________________</w:t>
      </w:r>
    </w:p>
  </w:footnote>
  <w:footnote w:id="1">
    <w:p w:rsidR="00075B2E" w:rsidRPr="006D5315" w:rsidRDefault="00075B2E" w:rsidP="00C752AC">
      <w:pPr>
        <w:pStyle w:val="FootnoteText"/>
        <w:tabs>
          <w:tab w:val="right" w:pos="1195"/>
          <w:tab w:val="left" w:pos="1267"/>
          <w:tab w:val="left" w:pos="1742"/>
          <w:tab w:val="left" w:pos="2218"/>
          <w:tab w:val="left" w:pos="2693"/>
        </w:tabs>
        <w:ind w:left="1267" w:right="1260" w:hanging="432"/>
        <w:rPr>
          <w:lang w:val="fr-FR"/>
        </w:rPr>
      </w:pPr>
      <w:r w:rsidRPr="00C752AC">
        <w:rPr>
          <w:rStyle w:val="FootnoteReference"/>
          <w:color w:val="auto"/>
          <w:szCs w:val="17"/>
          <w:vertAlign w:val="baseline"/>
        </w:rPr>
        <w:tab/>
        <w:t>*</w:t>
      </w:r>
      <w:r w:rsidRPr="00562361">
        <w:tab/>
      </w:r>
      <w:r>
        <w:t>L</w:t>
      </w:r>
      <w:r w:rsidRPr="00D52090">
        <w:t>’</w:t>
      </w:r>
      <w:r>
        <w:t>année indiquée entre parenthèses est celle où le mandat de chaque État vient à expiration.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75B2E" w:rsidTr="00F221FA">
      <w:trPr>
        <w:trHeight w:hRule="exact" w:val="864"/>
        <w:jc w:val="center"/>
      </w:trPr>
      <w:tc>
        <w:tcPr>
          <w:tcW w:w="4882" w:type="dxa"/>
          <w:shd w:val="clear" w:color="auto" w:fill="auto"/>
          <w:vAlign w:val="bottom"/>
        </w:tcPr>
        <w:p w:rsidR="00075B2E" w:rsidRPr="00F221FA" w:rsidRDefault="00075B2E" w:rsidP="00F221F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51225">
            <w:rPr>
              <w:b/>
              <w:color w:val="000000"/>
            </w:rPr>
            <w:t>A/HRC/30/1</w:t>
          </w:r>
          <w:r>
            <w:rPr>
              <w:b/>
              <w:color w:val="000000"/>
            </w:rPr>
            <w:fldChar w:fldCharType="end"/>
          </w:r>
        </w:p>
      </w:tc>
      <w:tc>
        <w:tcPr>
          <w:tcW w:w="5127" w:type="dxa"/>
          <w:shd w:val="clear" w:color="auto" w:fill="auto"/>
          <w:vAlign w:val="bottom"/>
        </w:tcPr>
        <w:p w:rsidR="00075B2E" w:rsidRDefault="00075B2E" w:rsidP="00F221FA">
          <w:pPr>
            <w:pStyle w:val="Header"/>
          </w:pPr>
        </w:p>
      </w:tc>
    </w:tr>
  </w:tbl>
  <w:p w:rsidR="00075B2E" w:rsidRPr="00F221FA" w:rsidRDefault="00075B2E" w:rsidP="00F221F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75B2E" w:rsidTr="00F221FA">
      <w:trPr>
        <w:trHeight w:hRule="exact" w:val="864"/>
        <w:jc w:val="center"/>
      </w:trPr>
      <w:tc>
        <w:tcPr>
          <w:tcW w:w="4882" w:type="dxa"/>
          <w:shd w:val="clear" w:color="auto" w:fill="auto"/>
          <w:vAlign w:val="bottom"/>
        </w:tcPr>
        <w:p w:rsidR="00075B2E" w:rsidRDefault="00075B2E" w:rsidP="00F221FA">
          <w:pPr>
            <w:pStyle w:val="Header"/>
          </w:pPr>
        </w:p>
      </w:tc>
      <w:tc>
        <w:tcPr>
          <w:tcW w:w="5127" w:type="dxa"/>
          <w:shd w:val="clear" w:color="auto" w:fill="auto"/>
          <w:vAlign w:val="bottom"/>
        </w:tcPr>
        <w:p w:rsidR="00075B2E" w:rsidRPr="00F221FA" w:rsidRDefault="00075B2E" w:rsidP="00F221F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51225">
            <w:rPr>
              <w:b/>
              <w:color w:val="000000"/>
            </w:rPr>
            <w:t>A/HRC/30/1</w:t>
          </w:r>
          <w:r>
            <w:rPr>
              <w:b/>
              <w:color w:val="000000"/>
            </w:rPr>
            <w:fldChar w:fldCharType="end"/>
          </w:r>
        </w:p>
      </w:tc>
    </w:tr>
  </w:tbl>
  <w:p w:rsidR="00075B2E" w:rsidRPr="00F221FA" w:rsidRDefault="00075B2E" w:rsidP="00F221F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75B2E" w:rsidTr="00F221FA">
      <w:trPr>
        <w:trHeight w:hRule="exact" w:val="864"/>
      </w:trPr>
      <w:tc>
        <w:tcPr>
          <w:tcW w:w="1267" w:type="dxa"/>
          <w:tcBorders>
            <w:bottom w:val="single" w:sz="4" w:space="0" w:color="auto"/>
          </w:tcBorders>
          <w:shd w:val="clear" w:color="auto" w:fill="auto"/>
          <w:vAlign w:val="bottom"/>
        </w:tcPr>
        <w:p w:rsidR="00075B2E" w:rsidRDefault="00075B2E" w:rsidP="00F221FA">
          <w:pPr>
            <w:pStyle w:val="Header"/>
            <w:spacing w:after="120"/>
          </w:pPr>
        </w:p>
      </w:tc>
      <w:tc>
        <w:tcPr>
          <w:tcW w:w="2059" w:type="dxa"/>
          <w:tcBorders>
            <w:bottom w:val="single" w:sz="4" w:space="0" w:color="auto"/>
          </w:tcBorders>
          <w:shd w:val="clear" w:color="auto" w:fill="auto"/>
          <w:vAlign w:val="bottom"/>
        </w:tcPr>
        <w:p w:rsidR="00075B2E" w:rsidRPr="00F221FA" w:rsidRDefault="00075B2E" w:rsidP="00F221F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075B2E" w:rsidRDefault="00075B2E" w:rsidP="00F221FA">
          <w:pPr>
            <w:pStyle w:val="Header"/>
            <w:spacing w:after="120"/>
          </w:pPr>
        </w:p>
      </w:tc>
      <w:tc>
        <w:tcPr>
          <w:tcW w:w="6653" w:type="dxa"/>
          <w:gridSpan w:val="4"/>
          <w:tcBorders>
            <w:bottom w:val="single" w:sz="4" w:space="0" w:color="auto"/>
          </w:tcBorders>
          <w:shd w:val="clear" w:color="auto" w:fill="auto"/>
          <w:vAlign w:val="bottom"/>
        </w:tcPr>
        <w:p w:rsidR="00075B2E" w:rsidRPr="00F221FA" w:rsidRDefault="00075B2E" w:rsidP="00F221FA">
          <w:pPr>
            <w:spacing w:after="80" w:line="240" w:lineRule="auto"/>
            <w:jc w:val="right"/>
            <w:rPr>
              <w:position w:val="-4"/>
            </w:rPr>
          </w:pPr>
          <w:r>
            <w:rPr>
              <w:position w:val="-4"/>
              <w:sz w:val="40"/>
            </w:rPr>
            <w:t>A</w:t>
          </w:r>
          <w:r>
            <w:rPr>
              <w:position w:val="-4"/>
            </w:rPr>
            <w:t>/HRC/30/1</w:t>
          </w:r>
        </w:p>
      </w:tc>
    </w:tr>
    <w:tr w:rsidR="00075B2E" w:rsidRPr="00F221FA" w:rsidTr="00F221FA">
      <w:trPr>
        <w:gridAfter w:val="1"/>
        <w:wAfter w:w="18" w:type="dxa"/>
        <w:trHeight w:hRule="exact" w:val="2880"/>
      </w:trPr>
      <w:tc>
        <w:tcPr>
          <w:tcW w:w="1267" w:type="dxa"/>
          <w:tcBorders>
            <w:top w:val="single" w:sz="4" w:space="0" w:color="auto"/>
            <w:bottom w:val="single" w:sz="12" w:space="0" w:color="auto"/>
          </w:tcBorders>
          <w:shd w:val="clear" w:color="auto" w:fill="auto"/>
        </w:tcPr>
        <w:p w:rsidR="00075B2E" w:rsidRPr="00F221FA" w:rsidRDefault="00075B2E" w:rsidP="006F38ED">
          <w:pPr>
            <w:pStyle w:val="Header"/>
            <w:spacing w:before="120" w:line="240" w:lineRule="auto"/>
            <w:ind w:left="-72"/>
            <w:jc w:val="center"/>
          </w:pPr>
        </w:p>
      </w:tc>
      <w:tc>
        <w:tcPr>
          <w:tcW w:w="5227" w:type="dxa"/>
          <w:gridSpan w:val="3"/>
          <w:tcBorders>
            <w:top w:val="single" w:sz="4" w:space="0" w:color="auto"/>
            <w:bottom w:val="single" w:sz="12" w:space="0" w:color="auto"/>
          </w:tcBorders>
          <w:shd w:val="clear" w:color="auto" w:fill="auto"/>
        </w:tcPr>
        <w:p w:rsidR="00075B2E" w:rsidRPr="00F221FA" w:rsidRDefault="00075B2E" w:rsidP="00F221FA">
          <w:pPr>
            <w:pStyle w:val="XLarge"/>
            <w:spacing w:before="109"/>
          </w:pPr>
          <w:r>
            <w:t>Assemblée générale</w:t>
          </w:r>
        </w:p>
      </w:tc>
      <w:tc>
        <w:tcPr>
          <w:tcW w:w="245" w:type="dxa"/>
          <w:tcBorders>
            <w:top w:val="single" w:sz="4" w:space="0" w:color="auto"/>
            <w:bottom w:val="single" w:sz="12" w:space="0" w:color="auto"/>
          </w:tcBorders>
          <w:shd w:val="clear" w:color="auto" w:fill="auto"/>
        </w:tcPr>
        <w:p w:rsidR="00075B2E" w:rsidRPr="00F221FA" w:rsidRDefault="00075B2E" w:rsidP="00F221FA">
          <w:pPr>
            <w:pStyle w:val="Header"/>
            <w:spacing w:before="109"/>
          </w:pPr>
        </w:p>
      </w:tc>
      <w:tc>
        <w:tcPr>
          <w:tcW w:w="3280" w:type="dxa"/>
          <w:tcBorders>
            <w:top w:val="single" w:sz="4" w:space="0" w:color="auto"/>
            <w:bottom w:val="single" w:sz="12" w:space="0" w:color="auto"/>
          </w:tcBorders>
          <w:shd w:val="clear" w:color="auto" w:fill="auto"/>
        </w:tcPr>
        <w:p w:rsidR="00075B2E" w:rsidRDefault="00075B2E" w:rsidP="00F221FA">
          <w:pPr>
            <w:pStyle w:val="Distribution"/>
            <w:rPr>
              <w:color w:val="000000"/>
            </w:rPr>
          </w:pPr>
          <w:r>
            <w:rPr>
              <w:color w:val="000000"/>
            </w:rPr>
            <w:t>Distr. générale</w:t>
          </w:r>
        </w:p>
        <w:p w:rsidR="00075B2E" w:rsidRDefault="00075B2E" w:rsidP="00F221FA">
          <w:pPr>
            <w:pStyle w:val="Publication"/>
            <w:rPr>
              <w:color w:val="000000"/>
            </w:rPr>
          </w:pPr>
          <w:r>
            <w:rPr>
              <w:color w:val="000000"/>
            </w:rPr>
            <w:t>5 août 2015</w:t>
          </w:r>
        </w:p>
        <w:p w:rsidR="00075B2E" w:rsidRDefault="00075B2E" w:rsidP="00F221FA">
          <w:pPr>
            <w:rPr>
              <w:lang w:val="en-US"/>
            </w:rPr>
          </w:pPr>
          <w:r>
            <w:rPr>
              <w:lang w:val="en-US"/>
            </w:rPr>
            <w:t>Français</w:t>
          </w:r>
        </w:p>
        <w:p w:rsidR="00075B2E" w:rsidRPr="00F221FA" w:rsidRDefault="00075B2E" w:rsidP="00F221FA">
          <w:pPr>
            <w:pStyle w:val="Original"/>
            <w:rPr>
              <w:color w:val="000000"/>
            </w:rPr>
          </w:pPr>
          <w:r>
            <w:rPr>
              <w:color w:val="000000"/>
            </w:rPr>
            <w:t>Original : anglais</w:t>
          </w:r>
        </w:p>
      </w:tc>
    </w:tr>
  </w:tbl>
  <w:p w:rsidR="00075B2E" w:rsidRPr="00F221FA" w:rsidRDefault="00075B2E" w:rsidP="00F221F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2005B18"/>
    <w:multiLevelType w:val="singleLevel"/>
    <w:tmpl w:val="7E6C625E"/>
    <w:lvl w:ilvl="0">
      <w:start w:val="1"/>
      <w:numFmt w:val="decimal"/>
      <w:lvlRestart w:val="0"/>
      <w:lvlText w:val="%1."/>
      <w:lvlJc w:val="left"/>
      <w:pPr>
        <w:tabs>
          <w:tab w:val="num" w:pos="1742"/>
        </w:tabs>
        <w:ind w:left="1267" w:firstLine="0"/>
      </w:pPr>
      <w:rPr>
        <w:rFonts w:hint="default"/>
        <w:spacing w:val="4"/>
        <w:w w:val="100"/>
        <w:sz w:val="20"/>
        <w:szCs w:val="20"/>
      </w:rPr>
    </w:lvl>
  </w:abstractNum>
  <w:abstractNum w:abstractNumId="1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2">
    <w:nsid w:val="0D954887"/>
    <w:multiLevelType w:val="hybridMultilevel"/>
    <w:tmpl w:val="968A93D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1A936E9"/>
    <w:multiLevelType w:val="singleLevel"/>
    <w:tmpl w:val="0409000F"/>
    <w:lvl w:ilvl="0">
      <w:start w:val="1"/>
      <w:numFmt w:val="decimal"/>
      <w:lvlText w:val="%1."/>
      <w:lvlJc w:val="left"/>
      <w:pPr>
        <w:ind w:left="720" w:hanging="360"/>
      </w:pPr>
    </w:lvl>
  </w:abstractNum>
  <w:abstractNum w:abstractNumId="15">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834348"/>
    <w:multiLevelType w:val="singleLevel"/>
    <w:tmpl w:val="0409000F"/>
    <w:lvl w:ilvl="0">
      <w:start w:val="1"/>
      <w:numFmt w:val="decimal"/>
      <w:lvlText w:val="%1."/>
      <w:lvlJc w:val="left"/>
      <w:pPr>
        <w:ind w:left="720" w:hanging="360"/>
      </w:pPr>
    </w:lvl>
  </w:abstractNum>
  <w:abstractNum w:abstractNumId="18">
    <w:nsid w:val="1CA8187E"/>
    <w:multiLevelType w:val="multilevel"/>
    <w:tmpl w:val="67906578"/>
    <w:name w:val="TOC2"/>
    <w:lvl w:ilvl="0">
      <w:start w:val="1"/>
      <w:numFmt w:val="decimal"/>
      <w:lvlText w:val="%1."/>
      <w:lvlJc w:val="right"/>
      <w:pPr>
        <w:tabs>
          <w:tab w:val="num" w:pos="1296"/>
        </w:tabs>
        <w:ind w:left="1296" w:hanging="216"/>
      </w:pPr>
      <w:rPr>
        <w:rFonts w:hint="default"/>
        <w:spacing w:val="4"/>
        <w:w w:val="100"/>
        <w:sz w:val="20"/>
        <w:szCs w:val="20"/>
      </w:r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D234CFD"/>
    <w:multiLevelType w:val="singleLevel"/>
    <w:tmpl w:val="0409000F"/>
    <w:lvl w:ilvl="0">
      <w:start w:val="1"/>
      <w:numFmt w:val="decimal"/>
      <w:lvlText w:val="%1."/>
      <w:lvlJc w:val="left"/>
      <w:pPr>
        <w:ind w:left="720" w:hanging="360"/>
      </w:pPr>
    </w:lvl>
  </w:abstractNum>
  <w:abstractNum w:abstractNumId="21">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ACE3936"/>
    <w:multiLevelType w:val="singleLevel"/>
    <w:tmpl w:val="2984061A"/>
    <w:lvl w:ilvl="0">
      <w:start w:val="1"/>
      <w:numFmt w:val="decimal"/>
      <w:lvlRestart w:val="0"/>
      <w:lvlText w:val="%1."/>
      <w:lvlJc w:val="left"/>
      <w:pPr>
        <w:tabs>
          <w:tab w:val="num" w:pos="1742"/>
        </w:tabs>
        <w:ind w:left="1267" w:firstLine="0"/>
      </w:pPr>
      <w:rPr>
        <w:rFonts w:hint="default"/>
        <w:spacing w:val="4"/>
        <w:w w:val="100"/>
        <w:sz w:val="20"/>
        <w:szCs w:val="20"/>
      </w:rPr>
    </w:lvl>
  </w:abstractNum>
  <w:abstractNum w:abstractNumId="2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7FD4E10"/>
    <w:multiLevelType w:val="singleLevel"/>
    <w:tmpl w:val="0409000F"/>
    <w:lvl w:ilvl="0">
      <w:start w:val="1"/>
      <w:numFmt w:val="decimal"/>
      <w:lvlText w:val="%1."/>
      <w:lvlJc w:val="left"/>
      <w:pPr>
        <w:ind w:left="720" w:hanging="360"/>
      </w:pPr>
    </w:lvl>
  </w:abstractNum>
  <w:abstractNum w:abstractNumId="27">
    <w:nsid w:val="594E56A5"/>
    <w:multiLevelType w:val="multilevel"/>
    <w:tmpl w:val="2780A3B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nsid w:val="6AD0028F"/>
    <w:multiLevelType w:val="singleLevel"/>
    <w:tmpl w:val="0409000F"/>
    <w:lvl w:ilvl="0">
      <w:start w:val="1"/>
      <w:numFmt w:val="decimal"/>
      <w:lvlText w:val="%1."/>
      <w:lvlJc w:val="left"/>
      <w:pPr>
        <w:ind w:left="720" w:hanging="360"/>
      </w:pPr>
    </w:lvl>
  </w:abstractNum>
  <w:abstractNum w:abstractNumId="3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6"/>
  </w:num>
  <w:num w:numId="4">
    <w:abstractNumId w:val="24"/>
  </w:num>
  <w:num w:numId="5">
    <w:abstractNumId w:val="11"/>
  </w:num>
  <w:num w:numId="6">
    <w:abstractNumId w:val="27"/>
  </w:num>
  <w:num w:numId="7">
    <w:abstractNumId w:val="18"/>
  </w:num>
  <w:num w:numId="8">
    <w:abstractNumId w:val="25"/>
  </w:num>
  <w:num w:numId="9">
    <w:abstractNumId w:val="21"/>
  </w:num>
  <w:num w:numId="10">
    <w:abstractNumId w:val="19"/>
  </w:num>
  <w:num w:numId="11">
    <w:abstractNumId w:val="30"/>
  </w:num>
  <w:num w:numId="12">
    <w:abstractNumId w:val="28"/>
  </w:num>
  <w:num w:numId="13">
    <w:abstractNumId w:val="23"/>
  </w:num>
  <w:num w:numId="14">
    <w:abstractNumId w:val="1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2"/>
    <w:lvlOverride w:ilvl="0">
      <w:startOverride w:val="1"/>
    </w:lvlOverride>
  </w:num>
  <w:num w:numId="26">
    <w:abstractNumId w:val="12"/>
    <w:lvlOverride w:ilvl="0">
      <w:startOverride w:val="1"/>
    </w:lvlOverride>
  </w:num>
  <w:num w:numId="27">
    <w:abstractNumId w:val="10"/>
  </w:num>
  <w:num w:numId="28">
    <w:abstractNumId w:val="10"/>
    <w:lvlOverride w:ilvl="0">
      <w:lvl w:ilvl="0">
        <w:start w:val="1"/>
        <w:numFmt w:val="decimal"/>
        <w:lvlRestart w:val="0"/>
        <w:lvlText w:val="%1."/>
        <w:lvlJc w:val="left"/>
        <w:pPr>
          <w:tabs>
            <w:tab w:val="num" w:pos="1742"/>
          </w:tabs>
          <w:ind w:left="1267" w:firstLine="0"/>
        </w:pPr>
        <w:rPr>
          <w:rFonts w:hint="default"/>
          <w:spacing w:val="4"/>
          <w:w w:val="100"/>
          <w:sz w:val="20"/>
          <w:szCs w:val="20"/>
        </w:rPr>
      </w:lvl>
    </w:lvlOverride>
  </w:num>
  <w:num w:numId="29">
    <w:abstractNumId w:val="22"/>
  </w:num>
  <w:num w:numId="30">
    <w:abstractNumId w:val="14"/>
  </w:num>
  <w:num w:numId="31">
    <w:abstractNumId w:val="17"/>
  </w:num>
  <w:num w:numId="32">
    <w:abstractNumId w:val="26"/>
  </w:num>
  <w:num w:numId="33">
    <w:abstractNumId w:val="26"/>
    <w:lvlOverride w:ilvl="0">
      <w:lvl w:ilvl="0">
        <w:start w:val="1"/>
        <w:numFmt w:val="decimal"/>
        <w:lvlText w:val="%1."/>
        <w:lvlJc w:val="left"/>
        <w:pPr>
          <w:ind w:left="720" w:hanging="360"/>
        </w:pPr>
      </w:lvl>
    </w:lvlOverride>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204*"/>
    <w:docVar w:name="CreationDt" w:val="9/2/2015 9:33: AM"/>
    <w:docVar w:name="DocCategory" w:val="Doc"/>
    <w:docVar w:name="DocType" w:val="Final"/>
    <w:docVar w:name="DutyStation" w:val="Geneva"/>
    <w:docVar w:name="FooterJN" w:val="GE.15-13204"/>
    <w:docVar w:name="jobn" w:val="GE.15-13204 (F)"/>
    <w:docVar w:name="jobnDT" w:val="GE.15-13204 (F)   020915"/>
    <w:docVar w:name="jobnDTDT" w:val="GE.15-13204 (F)   020915   020915"/>
    <w:docVar w:name="JobNo" w:val="GE.1513204F"/>
    <w:docVar w:name="JobNo2" w:val="GE.1517288F"/>
    <w:docVar w:name="LocalDrive" w:val="0"/>
    <w:docVar w:name="OandT" w:val="Edith"/>
    <w:docVar w:name="PaperSize" w:val="A4"/>
    <w:docVar w:name="sss1" w:val="A/HRC/30/1"/>
    <w:docVar w:name="sss2" w:val="-"/>
    <w:docVar w:name="Symbol1" w:val="A/HRC/30/1"/>
    <w:docVar w:name="Symbol2" w:val="-"/>
  </w:docVars>
  <w:rsids>
    <w:rsidRoot w:val="00E80FFC"/>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5B2E"/>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E359D"/>
    <w:rsid w:val="000F04A8"/>
    <w:rsid w:val="000F1B8A"/>
    <w:rsid w:val="000F299A"/>
    <w:rsid w:val="000F36A0"/>
    <w:rsid w:val="000F53E9"/>
    <w:rsid w:val="000F6A05"/>
    <w:rsid w:val="000F6E7D"/>
    <w:rsid w:val="001027E2"/>
    <w:rsid w:val="0010575E"/>
    <w:rsid w:val="00106549"/>
    <w:rsid w:val="00107710"/>
    <w:rsid w:val="00107C97"/>
    <w:rsid w:val="0011051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19AF"/>
    <w:rsid w:val="001B5583"/>
    <w:rsid w:val="001B5A24"/>
    <w:rsid w:val="001C0599"/>
    <w:rsid w:val="001C3C57"/>
    <w:rsid w:val="001C4664"/>
    <w:rsid w:val="001C4EBE"/>
    <w:rsid w:val="001C5B90"/>
    <w:rsid w:val="001D0E60"/>
    <w:rsid w:val="001D272D"/>
    <w:rsid w:val="001D280C"/>
    <w:rsid w:val="001D294E"/>
    <w:rsid w:val="001D7058"/>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47BC6"/>
    <w:rsid w:val="00252402"/>
    <w:rsid w:val="00254656"/>
    <w:rsid w:val="0025545A"/>
    <w:rsid w:val="00261E82"/>
    <w:rsid w:val="0026332C"/>
    <w:rsid w:val="0026552F"/>
    <w:rsid w:val="0026565F"/>
    <w:rsid w:val="00266AFD"/>
    <w:rsid w:val="00270780"/>
    <w:rsid w:val="00272C4C"/>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0FA1"/>
    <w:rsid w:val="003235C7"/>
    <w:rsid w:val="00326270"/>
    <w:rsid w:val="0032728E"/>
    <w:rsid w:val="00332A87"/>
    <w:rsid w:val="00333703"/>
    <w:rsid w:val="003342DF"/>
    <w:rsid w:val="00334FEB"/>
    <w:rsid w:val="00337015"/>
    <w:rsid w:val="003406CA"/>
    <w:rsid w:val="00340736"/>
    <w:rsid w:val="00343F8A"/>
    <w:rsid w:val="003441A5"/>
    <w:rsid w:val="0034461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2B97"/>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4E00"/>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4968"/>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0DD8"/>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2361"/>
    <w:rsid w:val="00562790"/>
    <w:rsid w:val="005669CA"/>
    <w:rsid w:val="00575199"/>
    <w:rsid w:val="00577899"/>
    <w:rsid w:val="00577BDD"/>
    <w:rsid w:val="005811A3"/>
    <w:rsid w:val="005832E0"/>
    <w:rsid w:val="00583566"/>
    <w:rsid w:val="00584E7A"/>
    <w:rsid w:val="00585CA8"/>
    <w:rsid w:val="00585DEA"/>
    <w:rsid w:val="00587344"/>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3706"/>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37A3C"/>
    <w:rsid w:val="006407EF"/>
    <w:rsid w:val="006417AB"/>
    <w:rsid w:val="006423E0"/>
    <w:rsid w:val="00646F60"/>
    <w:rsid w:val="0064762B"/>
    <w:rsid w:val="00650623"/>
    <w:rsid w:val="0065129E"/>
    <w:rsid w:val="006512C8"/>
    <w:rsid w:val="00653CD3"/>
    <w:rsid w:val="00656E62"/>
    <w:rsid w:val="00656E6E"/>
    <w:rsid w:val="006573FC"/>
    <w:rsid w:val="00660D00"/>
    <w:rsid w:val="00662686"/>
    <w:rsid w:val="00665605"/>
    <w:rsid w:val="00665692"/>
    <w:rsid w:val="006660B5"/>
    <w:rsid w:val="00671687"/>
    <w:rsid w:val="00673F2C"/>
    <w:rsid w:val="00675A53"/>
    <w:rsid w:val="00676011"/>
    <w:rsid w:val="006770E8"/>
    <w:rsid w:val="006803F5"/>
    <w:rsid w:val="006817AB"/>
    <w:rsid w:val="006853D8"/>
    <w:rsid w:val="00685FE8"/>
    <w:rsid w:val="006866E8"/>
    <w:rsid w:val="00687FB1"/>
    <w:rsid w:val="0069608C"/>
    <w:rsid w:val="00697952"/>
    <w:rsid w:val="006A04E6"/>
    <w:rsid w:val="006A0B3D"/>
    <w:rsid w:val="006A2F71"/>
    <w:rsid w:val="006A5910"/>
    <w:rsid w:val="006B1ABC"/>
    <w:rsid w:val="006B570B"/>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38ED"/>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6DC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0FD2"/>
    <w:rsid w:val="00791633"/>
    <w:rsid w:val="00792100"/>
    <w:rsid w:val="0079292B"/>
    <w:rsid w:val="0079302E"/>
    <w:rsid w:val="0079379B"/>
    <w:rsid w:val="0079452A"/>
    <w:rsid w:val="00794EC6"/>
    <w:rsid w:val="00794FED"/>
    <w:rsid w:val="00795AD7"/>
    <w:rsid w:val="007961E2"/>
    <w:rsid w:val="007965F3"/>
    <w:rsid w:val="007A345A"/>
    <w:rsid w:val="007A78C2"/>
    <w:rsid w:val="007B05E9"/>
    <w:rsid w:val="007B1E17"/>
    <w:rsid w:val="007B544D"/>
    <w:rsid w:val="007C0C1F"/>
    <w:rsid w:val="007C206E"/>
    <w:rsid w:val="007C2936"/>
    <w:rsid w:val="007C662A"/>
    <w:rsid w:val="007C7AED"/>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459F"/>
    <w:rsid w:val="008555BA"/>
    <w:rsid w:val="00856155"/>
    <w:rsid w:val="00856CD0"/>
    <w:rsid w:val="008579A6"/>
    <w:rsid w:val="00860226"/>
    <w:rsid w:val="00861D7A"/>
    <w:rsid w:val="00862E29"/>
    <w:rsid w:val="00863E44"/>
    <w:rsid w:val="0086499F"/>
    <w:rsid w:val="00865A5F"/>
    <w:rsid w:val="00867722"/>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852"/>
    <w:rsid w:val="008A3ABC"/>
    <w:rsid w:val="008A4C0E"/>
    <w:rsid w:val="008A5334"/>
    <w:rsid w:val="008A630B"/>
    <w:rsid w:val="008A734B"/>
    <w:rsid w:val="008B24ED"/>
    <w:rsid w:val="008B5932"/>
    <w:rsid w:val="008C1225"/>
    <w:rsid w:val="008C1646"/>
    <w:rsid w:val="008C189A"/>
    <w:rsid w:val="008C1E51"/>
    <w:rsid w:val="008C5E6B"/>
    <w:rsid w:val="008C6672"/>
    <w:rsid w:val="008C7880"/>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16B1F"/>
    <w:rsid w:val="00921BE8"/>
    <w:rsid w:val="00922E3D"/>
    <w:rsid w:val="009316DC"/>
    <w:rsid w:val="00931752"/>
    <w:rsid w:val="00932FDF"/>
    <w:rsid w:val="00936529"/>
    <w:rsid w:val="00940B65"/>
    <w:rsid w:val="0094133A"/>
    <w:rsid w:val="009419AD"/>
    <w:rsid w:val="00946333"/>
    <w:rsid w:val="00947A9A"/>
    <w:rsid w:val="0095064A"/>
    <w:rsid w:val="00951A0B"/>
    <w:rsid w:val="009535B3"/>
    <w:rsid w:val="00953A36"/>
    <w:rsid w:val="00955DBA"/>
    <w:rsid w:val="00957244"/>
    <w:rsid w:val="00962CAC"/>
    <w:rsid w:val="00964BDE"/>
    <w:rsid w:val="009676D3"/>
    <w:rsid w:val="00971E24"/>
    <w:rsid w:val="0098128C"/>
    <w:rsid w:val="009813FE"/>
    <w:rsid w:val="00982162"/>
    <w:rsid w:val="00983DD0"/>
    <w:rsid w:val="0098670F"/>
    <w:rsid w:val="00986E56"/>
    <w:rsid w:val="00990AFB"/>
    <w:rsid w:val="00991387"/>
    <w:rsid w:val="00991A84"/>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3713"/>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05CC"/>
    <w:rsid w:val="00A210DD"/>
    <w:rsid w:val="00A21443"/>
    <w:rsid w:val="00A22ED0"/>
    <w:rsid w:val="00A23340"/>
    <w:rsid w:val="00A24099"/>
    <w:rsid w:val="00A264B0"/>
    <w:rsid w:val="00A2768E"/>
    <w:rsid w:val="00A33E3C"/>
    <w:rsid w:val="00A3426E"/>
    <w:rsid w:val="00A353ED"/>
    <w:rsid w:val="00A375D9"/>
    <w:rsid w:val="00A37FBB"/>
    <w:rsid w:val="00A4236C"/>
    <w:rsid w:val="00A43CAC"/>
    <w:rsid w:val="00A45E20"/>
    <w:rsid w:val="00A46DB8"/>
    <w:rsid w:val="00A51225"/>
    <w:rsid w:val="00A52DF2"/>
    <w:rsid w:val="00A54A5E"/>
    <w:rsid w:val="00A55810"/>
    <w:rsid w:val="00A56E3B"/>
    <w:rsid w:val="00A57C5A"/>
    <w:rsid w:val="00A64AD2"/>
    <w:rsid w:val="00A72C1F"/>
    <w:rsid w:val="00A72F5E"/>
    <w:rsid w:val="00A75482"/>
    <w:rsid w:val="00A75895"/>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C7D4B"/>
    <w:rsid w:val="00AD3D04"/>
    <w:rsid w:val="00AD500D"/>
    <w:rsid w:val="00AD7C27"/>
    <w:rsid w:val="00AE0DF0"/>
    <w:rsid w:val="00AE10E9"/>
    <w:rsid w:val="00AE164F"/>
    <w:rsid w:val="00AE4D2D"/>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0B4"/>
    <w:rsid w:val="00B2356B"/>
    <w:rsid w:val="00B249F3"/>
    <w:rsid w:val="00B25B74"/>
    <w:rsid w:val="00B26B93"/>
    <w:rsid w:val="00B26C0B"/>
    <w:rsid w:val="00B27126"/>
    <w:rsid w:val="00B312B0"/>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677D"/>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2E6A"/>
    <w:rsid w:val="00C436F7"/>
    <w:rsid w:val="00C45692"/>
    <w:rsid w:val="00C46175"/>
    <w:rsid w:val="00C47E57"/>
    <w:rsid w:val="00C51CB0"/>
    <w:rsid w:val="00C55B02"/>
    <w:rsid w:val="00C56142"/>
    <w:rsid w:val="00C56B3A"/>
    <w:rsid w:val="00C56EFE"/>
    <w:rsid w:val="00C57F00"/>
    <w:rsid w:val="00C601C3"/>
    <w:rsid w:val="00C606EB"/>
    <w:rsid w:val="00C60C0B"/>
    <w:rsid w:val="00C66382"/>
    <w:rsid w:val="00C67F09"/>
    <w:rsid w:val="00C72788"/>
    <w:rsid w:val="00C752AC"/>
    <w:rsid w:val="00C75F9C"/>
    <w:rsid w:val="00C76A5E"/>
    <w:rsid w:val="00C82199"/>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6931"/>
    <w:rsid w:val="00CE7ADD"/>
    <w:rsid w:val="00CF5E7B"/>
    <w:rsid w:val="00CF7A75"/>
    <w:rsid w:val="00D00362"/>
    <w:rsid w:val="00D01153"/>
    <w:rsid w:val="00D02293"/>
    <w:rsid w:val="00D026B6"/>
    <w:rsid w:val="00D03953"/>
    <w:rsid w:val="00D03F61"/>
    <w:rsid w:val="00D047D6"/>
    <w:rsid w:val="00D047EE"/>
    <w:rsid w:val="00D05A36"/>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13B"/>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B6C61"/>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2ABD"/>
    <w:rsid w:val="00E0753F"/>
    <w:rsid w:val="00E10BF1"/>
    <w:rsid w:val="00E11B5C"/>
    <w:rsid w:val="00E130DD"/>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0FFC"/>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1574"/>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21FA"/>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B6E"/>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6A3"/>
    <w:rsid w:val="00FB3AA4"/>
    <w:rsid w:val="00FB3C35"/>
    <w:rsid w:val="00FB4627"/>
    <w:rsid w:val="00FC0F57"/>
    <w:rsid w:val="00FC1BC9"/>
    <w:rsid w:val="00FC4133"/>
    <w:rsid w:val="00FC41DA"/>
    <w:rsid w:val="00FC5C65"/>
    <w:rsid w:val="00FC75B8"/>
    <w:rsid w:val="00FC75D3"/>
    <w:rsid w:val="00FD318F"/>
    <w:rsid w:val="00FD54BE"/>
    <w:rsid w:val="00FD6ADB"/>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F221FA"/>
    <w:rPr>
      <w:sz w:val="16"/>
      <w:szCs w:val="16"/>
    </w:rPr>
  </w:style>
  <w:style w:type="paragraph" w:styleId="CommentText">
    <w:name w:val="annotation text"/>
    <w:basedOn w:val="Normal"/>
    <w:link w:val="CommentTextChar"/>
    <w:unhideWhenUsed/>
    <w:rsid w:val="00F221FA"/>
    <w:pPr>
      <w:spacing w:line="240" w:lineRule="auto"/>
    </w:pPr>
    <w:rPr>
      <w:szCs w:val="20"/>
    </w:rPr>
  </w:style>
  <w:style w:type="character" w:customStyle="1" w:styleId="CommentTextChar">
    <w:name w:val="Comment Text Char"/>
    <w:basedOn w:val="DefaultParagraphFont"/>
    <w:link w:val="CommentText"/>
    <w:rsid w:val="00F221FA"/>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221FA"/>
    <w:rPr>
      <w:b/>
      <w:bCs/>
    </w:rPr>
  </w:style>
  <w:style w:type="character" w:customStyle="1" w:styleId="CommentSubjectChar">
    <w:name w:val="Comment Subject Char"/>
    <w:basedOn w:val="CommentTextChar"/>
    <w:link w:val="CommentSubject"/>
    <w:rsid w:val="00F221FA"/>
    <w:rPr>
      <w:rFonts w:ascii="Times New Roman" w:hAnsi="Times New Roman"/>
      <w:b/>
      <w:bCs/>
      <w:spacing w:val="4"/>
      <w:w w:val="103"/>
      <w:kern w:val="14"/>
      <w:lang w:val="fr-CA"/>
    </w:rPr>
  </w:style>
  <w:style w:type="paragraph" w:customStyle="1" w:styleId="HMG">
    <w:name w:val="_ H __M_G"/>
    <w:basedOn w:val="Normal"/>
    <w:next w:val="Normal"/>
    <w:qFormat/>
    <w:rsid w:val="00414E00"/>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character" w:styleId="PageNumber">
    <w:name w:val="page number"/>
    <w:aliases w:val="7_G"/>
    <w:rsid w:val="00676011"/>
    <w:rPr>
      <w:rFonts w:ascii="Times New Roman" w:hAnsi="Times New Roman"/>
      <w:b/>
      <w:sz w:val="18"/>
      <w:lang w:val="fr-CH"/>
    </w:rPr>
  </w:style>
  <w:style w:type="paragraph" w:customStyle="1" w:styleId="HChG">
    <w:name w:val="_ H _Ch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676011"/>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676011"/>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6760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676011"/>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6760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676011"/>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676011"/>
    <w:pPr>
      <w:numPr>
        <w:numId w:val="13"/>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676011"/>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676011"/>
    <w:rPr>
      <w:color w:val="auto"/>
      <w:u w:val="none"/>
    </w:rPr>
  </w:style>
  <w:style w:type="character" w:styleId="FollowedHyperlink">
    <w:name w:val="FollowedHyperlink"/>
    <w:rsid w:val="00676011"/>
    <w:rPr>
      <w:color w:val="auto"/>
      <w:u w:val="none"/>
    </w:rPr>
  </w:style>
  <w:style w:type="paragraph" w:customStyle="1" w:styleId="ParNoG">
    <w:name w:val="_ParNo_G"/>
    <w:basedOn w:val="SingleTxtG"/>
    <w:qFormat/>
    <w:rsid w:val="00676011"/>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F221FA"/>
    <w:rPr>
      <w:sz w:val="16"/>
      <w:szCs w:val="16"/>
    </w:rPr>
  </w:style>
  <w:style w:type="paragraph" w:styleId="CommentText">
    <w:name w:val="annotation text"/>
    <w:basedOn w:val="Normal"/>
    <w:link w:val="CommentTextChar"/>
    <w:unhideWhenUsed/>
    <w:rsid w:val="00F221FA"/>
    <w:pPr>
      <w:spacing w:line="240" w:lineRule="auto"/>
    </w:pPr>
    <w:rPr>
      <w:szCs w:val="20"/>
    </w:rPr>
  </w:style>
  <w:style w:type="character" w:customStyle="1" w:styleId="CommentTextChar">
    <w:name w:val="Comment Text Char"/>
    <w:basedOn w:val="DefaultParagraphFont"/>
    <w:link w:val="CommentText"/>
    <w:rsid w:val="00F221FA"/>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221FA"/>
    <w:rPr>
      <w:b/>
      <w:bCs/>
    </w:rPr>
  </w:style>
  <w:style w:type="character" w:customStyle="1" w:styleId="CommentSubjectChar">
    <w:name w:val="Comment Subject Char"/>
    <w:basedOn w:val="CommentTextChar"/>
    <w:link w:val="CommentSubject"/>
    <w:rsid w:val="00F221FA"/>
    <w:rPr>
      <w:rFonts w:ascii="Times New Roman" w:hAnsi="Times New Roman"/>
      <w:b/>
      <w:bCs/>
      <w:spacing w:val="4"/>
      <w:w w:val="103"/>
      <w:kern w:val="14"/>
      <w:lang w:val="fr-CA"/>
    </w:rPr>
  </w:style>
  <w:style w:type="paragraph" w:customStyle="1" w:styleId="HMG">
    <w:name w:val="_ H __M_G"/>
    <w:basedOn w:val="Normal"/>
    <w:next w:val="Normal"/>
    <w:qFormat/>
    <w:rsid w:val="00414E00"/>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character" w:styleId="PageNumber">
    <w:name w:val="page number"/>
    <w:aliases w:val="7_G"/>
    <w:rsid w:val="00676011"/>
    <w:rPr>
      <w:rFonts w:ascii="Times New Roman" w:hAnsi="Times New Roman"/>
      <w:b/>
      <w:sz w:val="18"/>
      <w:lang w:val="fr-CH"/>
    </w:rPr>
  </w:style>
  <w:style w:type="paragraph" w:customStyle="1" w:styleId="HChG">
    <w:name w:val="_ H _Ch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676011"/>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qFormat/>
    <w:rsid w:val="00676011"/>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676011"/>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6760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676011"/>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676011"/>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676011"/>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676011"/>
    <w:pPr>
      <w:numPr>
        <w:numId w:val="13"/>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676011"/>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676011"/>
    <w:rPr>
      <w:color w:val="auto"/>
      <w:u w:val="none"/>
    </w:rPr>
  </w:style>
  <w:style w:type="character" w:styleId="FollowedHyperlink">
    <w:name w:val="FollowedHyperlink"/>
    <w:rsid w:val="00676011"/>
    <w:rPr>
      <w:color w:val="auto"/>
      <w:u w:val="none"/>
    </w:rPr>
  </w:style>
  <w:style w:type="paragraph" w:customStyle="1" w:styleId="ParNoG">
    <w:name w:val="_ParNo_G"/>
    <w:basedOn w:val="SingleTxtG"/>
    <w:qFormat/>
    <w:rsid w:val="006760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Docs/journal/asp/ws.asp?m=A/HRC/30/41"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8216BB-A393-4A03-A31D-8C05B27F0C6B}"/>
</file>

<file path=customXml/itemProps2.xml><?xml version="1.0" encoding="utf-8"?>
<ds:datastoreItem xmlns:ds="http://schemas.openxmlformats.org/officeDocument/2006/customXml" ds:itemID="{46CAE03F-35FF-4689-A4A0-461FC777B565}"/>
</file>

<file path=customXml/itemProps3.xml><?xml version="1.0" encoding="utf-8"?>
<ds:datastoreItem xmlns:ds="http://schemas.openxmlformats.org/officeDocument/2006/customXml" ds:itemID="{CDD6565E-5A74-4443-BC94-441E92580805}"/>
</file>

<file path=customXml/itemProps4.xml><?xml version="1.0" encoding="utf-8"?>
<ds:datastoreItem xmlns:ds="http://schemas.openxmlformats.org/officeDocument/2006/customXml" ds:itemID="{E93E962A-477C-4289-915C-742A57CE8E36}"/>
</file>

<file path=docProps/app.xml><?xml version="1.0" encoding="utf-8"?>
<Properties xmlns="http://schemas.openxmlformats.org/officeDocument/2006/extended-properties" xmlns:vt="http://schemas.openxmlformats.org/officeDocument/2006/docPropsVTypes">
  <Template>Normal</Template>
  <TotalTime>1</TotalTime>
  <Pages>21</Pages>
  <Words>8995</Words>
  <Characters>51274</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agenda in French</dc:title>
  <dc:creator>Bourion</dc:creator>
  <cp:lastModifiedBy>Somova Iuliia</cp:lastModifiedBy>
  <cp:revision>2</cp:revision>
  <cp:lastPrinted>2015-09-02T12:27:00Z</cp:lastPrinted>
  <dcterms:created xsi:type="dcterms:W3CDTF">2015-09-07T12:30:00Z</dcterms:created>
  <dcterms:modified xsi:type="dcterms:W3CDTF">2015-09-07T12:30:00Z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1513204F</vt:lpwstr>
  </property>
  <property fmtid="{D5CDD505-2E9C-101B-9397-08002B2CF9AE}" pid="3" name="ODSRefJobNo">
    <vt:lpwstr>1517288F</vt:lpwstr>
  </property>
  <property fmtid="{D5CDD505-2E9C-101B-9397-08002B2CF9AE}" pid="4" name="Symbol1">
    <vt:lpwstr>A/HRC/30/1</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5 août 2015</vt:lpwstr>
  </property>
  <property fmtid="{D5CDD505-2E9C-101B-9397-08002B2CF9AE}" pid="12" name="Original">
    <vt:lpwstr>anglais</vt:lpwstr>
  </property>
  <property fmtid="{D5CDD505-2E9C-101B-9397-08002B2CF9AE}" pid="13" name="Release Date">
    <vt:lpwstr>020915</vt:lpwstr>
  </property>
  <property fmtid="{D5CDD505-2E9C-101B-9397-08002B2CF9AE}" pid="14" name="ContentTypeId">
    <vt:lpwstr>0x010100EF670F518423CB4F888C4265EEC2C475</vt:lpwstr>
  </property>
  <property fmtid="{D5CDD505-2E9C-101B-9397-08002B2CF9AE}" pid="15" name="Order">
    <vt:r8>19700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