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F53D4C">
        <w:trPr>
          <w:trHeight w:hRule="exact" w:val="851"/>
        </w:trPr>
        <w:tc>
          <w:tcPr>
            <w:tcW w:w="1280" w:type="dxa"/>
            <w:tcBorders>
              <w:bottom w:val="single" w:sz="4" w:space="0" w:color="auto"/>
            </w:tcBorders>
          </w:tcPr>
          <w:p w:rsidR="00F53D4C" w:rsidRDefault="00F53D4C">
            <w:pPr>
              <w:rPr>
                <w:rFonts w:hint="eastAsia"/>
              </w:rPr>
            </w:pPr>
            <w:bookmarkStart w:id="0" w:name="_GoBack"/>
            <w:bookmarkEnd w:id="0"/>
          </w:p>
        </w:tc>
        <w:tc>
          <w:tcPr>
            <w:tcW w:w="2273" w:type="dxa"/>
            <w:tcBorders>
              <w:bottom w:val="single" w:sz="4" w:space="0" w:color="auto"/>
            </w:tcBorders>
            <w:vAlign w:val="bottom"/>
          </w:tcPr>
          <w:p w:rsidR="00F53D4C" w:rsidRDefault="00F53D4C">
            <w:pPr>
              <w:spacing w:after="80" w:line="300" w:lineRule="exact"/>
              <w:rPr>
                <w:rFonts w:ascii="Time New Roman" w:eastAsia="SimHei" w:hAnsi="Time New Roman" w:hint="eastAsia"/>
                <w:sz w:val="28"/>
              </w:rPr>
            </w:pPr>
            <w:r>
              <w:rPr>
                <w:rFonts w:ascii="Time New Roman" w:eastAsia="SimHei" w:hAnsi="Time New Roman" w:hint="eastAsia"/>
                <w:sz w:val="28"/>
              </w:rPr>
              <w:t>联</w:t>
            </w:r>
            <w:r>
              <w:rPr>
                <w:rFonts w:ascii="Time New Roman" w:eastAsia="SimHei" w:hAnsi="Time New Roman" w:hint="eastAsia"/>
                <w:sz w:val="28"/>
              </w:rPr>
              <w:t xml:space="preserve"> </w:t>
            </w:r>
            <w:r>
              <w:rPr>
                <w:rFonts w:ascii="Time New Roman" w:eastAsia="SimHei" w:hAnsi="Time New Roman" w:hint="eastAsia"/>
                <w:sz w:val="28"/>
              </w:rPr>
              <w:t>合</w:t>
            </w:r>
            <w:r>
              <w:rPr>
                <w:rFonts w:ascii="Time New Roman" w:eastAsia="SimHei" w:hAnsi="Time New Roman" w:hint="eastAsia"/>
                <w:sz w:val="28"/>
              </w:rPr>
              <w:t xml:space="preserve"> </w:t>
            </w:r>
            <w:r>
              <w:rPr>
                <w:rFonts w:ascii="Time New Roman" w:eastAsia="SimHei" w:hAnsi="Time New Roman" w:hint="eastAsia"/>
                <w:sz w:val="28"/>
              </w:rPr>
              <w:t>国</w:t>
            </w:r>
          </w:p>
        </w:tc>
        <w:tc>
          <w:tcPr>
            <w:tcW w:w="6086" w:type="dxa"/>
            <w:gridSpan w:val="2"/>
            <w:tcBorders>
              <w:bottom w:val="single" w:sz="4" w:space="0" w:color="auto"/>
            </w:tcBorders>
            <w:vAlign w:val="bottom"/>
          </w:tcPr>
          <w:p w:rsidR="00F53D4C" w:rsidRPr="002C60A9" w:rsidRDefault="00F53D4C" w:rsidP="00AE4D20">
            <w:pPr>
              <w:spacing w:line="240" w:lineRule="atLeast"/>
              <w:jc w:val="right"/>
              <w:rPr>
                <w:rFonts w:hint="eastAsia"/>
                <w:sz w:val="20"/>
                <w:szCs w:val="21"/>
              </w:rPr>
            </w:pPr>
            <w:r>
              <w:rPr>
                <w:sz w:val="40"/>
                <w:szCs w:val="40"/>
              </w:rPr>
              <w:t>A</w:t>
            </w:r>
            <w:r w:rsidRPr="00637834">
              <w:rPr>
                <w:sz w:val="20"/>
              </w:rPr>
              <w:t>/HRC/</w:t>
            </w:r>
            <w:r w:rsidR="002C60A9" w:rsidRPr="002C60A9">
              <w:rPr>
                <w:sz w:val="20"/>
              </w:rPr>
              <w:t>30/11</w:t>
            </w:r>
          </w:p>
        </w:tc>
      </w:tr>
      <w:tr w:rsidR="00F53D4C">
        <w:trPr>
          <w:trHeight w:hRule="exact" w:val="2835"/>
        </w:trPr>
        <w:tc>
          <w:tcPr>
            <w:tcW w:w="1280" w:type="dxa"/>
            <w:tcBorders>
              <w:top w:val="single" w:sz="4" w:space="0" w:color="auto"/>
              <w:bottom w:val="single" w:sz="12" w:space="0" w:color="auto"/>
            </w:tcBorders>
          </w:tcPr>
          <w:p w:rsidR="00F53D4C" w:rsidRDefault="00F53D4C">
            <w:pPr>
              <w:spacing w:line="120" w:lineRule="atLeast"/>
              <w:rPr>
                <w:sz w:val="10"/>
                <w:szCs w:val="10"/>
              </w:rPr>
            </w:pPr>
          </w:p>
          <w:p w:rsidR="00F53D4C" w:rsidRDefault="00310DF7">
            <w:pPr>
              <w:spacing w:line="120" w:lineRule="atLeast"/>
              <w:rPr>
                <w:sz w:val="10"/>
                <w:szCs w:val="10"/>
              </w:rPr>
            </w:pPr>
            <w:r>
              <w:rPr>
                <w:noProof/>
                <w:snapToGrid/>
                <w:lang w:val="en-GB" w:eastAsia="en-GB"/>
              </w:rPr>
              <w:drawing>
                <wp:inline distT="0" distB="0" distL="0" distR="0">
                  <wp:extent cx="716280" cy="586740"/>
                  <wp:effectExtent l="0" t="0" r="7620" b="381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F53D4C" w:rsidRPr="00A067AD" w:rsidRDefault="00F53D4C">
            <w:pPr>
              <w:spacing w:before="240" w:line="420" w:lineRule="exact"/>
              <w:rPr>
                <w:rFonts w:ascii="Time New Roman" w:eastAsia="SimHei" w:hAnsi="Time New Roman" w:hint="eastAsia"/>
                <w:sz w:val="40"/>
                <w:szCs w:val="40"/>
              </w:rPr>
            </w:pPr>
            <w:r w:rsidRPr="00A067AD">
              <w:rPr>
                <w:rFonts w:ascii="Time New Roman" w:eastAsia="SimHei" w:hAnsi="Time New Roman" w:hint="eastAsia"/>
                <w:sz w:val="40"/>
                <w:szCs w:val="40"/>
              </w:rPr>
              <w:t>大</w:t>
            </w:r>
            <w:r w:rsidRPr="00A067AD">
              <w:rPr>
                <w:rFonts w:ascii="Time New Roman" w:eastAsia="SimHei" w:hAnsi="Time New Roman" w:hint="eastAsia"/>
                <w:sz w:val="40"/>
                <w:szCs w:val="40"/>
              </w:rPr>
              <w:t xml:space="preserve">  </w:t>
            </w:r>
            <w:r w:rsidRPr="00A067AD">
              <w:rPr>
                <w:rFonts w:ascii="Time New Roman" w:eastAsia="SimHei" w:hAnsi="Time New Roman" w:hint="eastAsia"/>
                <w:sz w:val="40"/>
                <w:szCs w:val="40"/>
              </w:rPr>
              <w:t>会</w:t>
            </w:r>
          </w:p>
        </w:tc>
        <w:tc>
          <w:tcPr>
            <w:tcW w:w="2819" w:type="dxa"/>
            <w:tcBorders>
              <w:top w:val="single" w:sz="4" w:space="0" w:color="auto"/>
              <w:bottom w:val="single" w:sz="12" w:space="0" w:color="auto"/>
            </w:tcBorders>
          </w:tcPr>
          <w:p w:rsidR="00F53D4C" w:rsidRPr="00637834" w:rsidRDefault="00BF7E3F" w:rsidP="00637834">
            <w:pPr>
              <w:spacing w:before="240" w:line="240" w:lineRule="atLeast"/>
              <w:rPr>
                <w:sz w:val="20"/>
              </w:rPr>
            </w:pPr>
            <w:r>
              <w:rPr>
                <w:sz w:val="20"/>
              </w:rPr>
              <w:t>Distr.: General</w:t>
            </w:r>
          </w:p>
          <w:p w:rsidR="00F53D4C" w:rsidRPr="002C60A9" w:rsidRDefault="002C60A9">
            <w:pPr>
              <w:spacing w:line="240" w:lineRule="atLeast"/>
              <w:rPr>
                <w:rFonts w:hint="eastAsia"/>
                <w:sz w:val="20"/>
              </w:rPr>
            </w:pPr>
            <w:r w:rsidRPr="002C60A9">
              <w:rPr>
                <w:sz w:val="20"/>
              </w:rPr>
              <w:t>15 July 2015</w:t>
            </w:r>
          </w:p>
          <w:p w:rsidR="00F53D4C" w:rsidRPr="00637834" w:rsidRDefault="00F53D4C">
            <w:pPr>
              <w:spacing w:line="240" w:lineRule="atLeast"/>
              <w:rPr>
                <w:sz w:val="20"/>
              </w:rPr>
            </w:pPr>
            <w:r w:rsidRPr="00637834">
              <w:rPr>
                <w:sz w:val="20"/>
              </w:rPr>
              <w:t xml:space="preserve">Chinese </w:t>
            </w:r>
          </w:p>
          <w:p w:rsidR="00F53D4C" w:rsidRPr="00637834" w:rsidRDefault="00F53D4C" w:rsidP="00751C2E">
            <w:pPr>
              <w:spacing w:line="240" w:lineRule="atLeast"/>
              <w:rPr>
                <w:rFonts w:hint="eastAsia"/>
              </w:rPr>
            </w:pPr>
            <w:r w:rsidRPr="00637834">
              <w:rPr>
                <w:sz w:val="20"/>
              </w:rPr>
              <w:t>Original: English</w:t>
            </w:r>
          </w:p>
        </w:tc>
      </w:tr>
    </w:tbl>
    <w:p w:rsidR="00F53D4C" w:rsidRDefault="00F53D4C">
      <w:pPr>
        <w:spacing w:before="120"/>
        <w:rPr>
          <w:rFonts w:eastAsia="SimHei" w:hint="eastAsia"/>
          <w:sz w:val="24"/>
          <w:szCs w:val="24"/>
          <w:lang w:val="fr-CH"/>
        </w:rPr>
      </w:pPr>
      <w:r>
        <w:rPr>
          <w:rFonts w:eastAsia="SimHei" w:hint="eastAsia"/>
          <w:sz w:val="24"/>
          <w:szCs w:val="24"/>
          <w:lang w:val="fr-CH"/>
        </w:rPr>
        <w:t>人权理事会</w:t>
      </w:r>
    </w:p>
    <w:p w:rsidR="00F53D4C" w:rsidRDefault="002F3F47">
      <w:pPr>
        <w:rPr>
          <w:rFonts w:eastAsia="SimHei" w:hint="eastAsia"/>
          <w:szCs w:val="21"/>
          <w:lang w:val="fr-CH"/>
        </w:rPr>
      </w:pPr>
      <w:r>
        <w:rPr>
          <w:rFonts w:eastAsia="SimHei" w:hint="eastAsia"/>
          <w:szCs w:val="21"/>
          <w:lang w:val="fr-CH"/>
        </w:rPr>
        <w:t>第</w:t>
      </w:r>
      <w:r w:rsidR="001275E1" w:rsidRPr="001275E1">
        <w:rPr>
          <w:rFonts w:eastAsia="SimHei" w:hint="eastAsia"/>
          <w:szCs w:val="21"/>
          <w:lang w:val="fr-CH"/>
        </w:rPr>
        <w:t>三十</w:t>
      </w:r>
      <w:r w:rsidR="00F53D4C">
        <w:rPr>
          <w:rFonts w:eastAsia="SimHei" w:hint="eastAsia"/>
          <w:szCs w:val="21"/>
          <w:lang w:val="fr-CH"/>
        </w:rPr>
        <w:t>届会议</w:t>
      </w:r>
    </w:p>
    <w:p w:rsidR="00F53D4C" w:rsidRPr="001275E1" w:rsidRDefault="00F53D4C">
      <w:pPr>
        <w:rPr>
          <w:rFonts w:hint="eastAsia"/>
          <w:szCs w:val="21"/>
          <w:lang w:val="fr-CH"/>
        </w:rPr>
      </w:pPr>
      <w:r>
        <w:rPr>
          <w:rFonts w:hint="eastAsia"/>
          <w:szCs w:val="21"/>
          <w:lang w:val="fr-CH"/>
        </w:rPr>
        <w:t>议程项目</w:t>
      </w:r>
      <w:r w:rsidR="001275E1" w:rsidRPr="001275E1">
        <w:rPr>
          <w:szCs w:val="21"/>
          <w:lang w:val="fr-CH"/>
        </w:rPr>
        <w:t>6</w:t>
      </w:r>
    </w:p>
    <w:p w:rsidR="00F53D4C" w:rsidRPr="001275E1" w:rsidRDefault="001275E1" w:rsidP="004858FB">
      <w:pPr>
        <w:rPr>
          <w:rFonts w:eastAsia="SimHei" w:hint="eastAsia"/>
          <w:lang w:val="fr-CH"/>
        </w:rPr>
      </w:pPr>
      <w:r w:rsidRPr="001275E1">
        <w:rPr>
          <w:rFonts w:eastAsia="SimHei" w:hint="eastAsia"/>
          <w:lang w:val="fr-CH"/>
        </w:rPr>
        <w:t>普遍定期审议</w:t>
      </w:r>
    </w:p>
    <w:p w:rsidR="00F75048" w:rsidRDefault="00F75048" w:rsidP="001275E1">
      <w:pPr>
        <w:pStyle w:val="HMGC"/>
      </w:pPr>
      <w:r>
        <w:rPr>
          <w:rFonts w:hint="eastAsia"/>
        </w:rPr>
        <w:tab/>
      </w:r>
      <w:r>
        <w:rPr>
          <w:rFonts w:hint="eastAsia"/>
        </w:rPr>
        <w:tab/>
      </w:r>
      <w:r w:rsidR="001275E1" w:rsidRPr="001275E1">
        <w:rPr>
          <w:rFonts w:hint="eastAsia"/>
        </w:rPr>
        <w:t>普遍定期审议工作组的报告</w:t>
      </w:r>
      <w:r w:rsidR="001275E1" w:rsidRPr="001275E1">
        <w:footnoteReference w:customMarkFollows="1" w:id="2"/>
        <w:t>*</w:t>
      </w:r>
    </w:p>
    <w:p w:rsidR="00F75048" w:rsidRPr="001275E1" w:rsidRDefault="001275E1" w:rsidP="001275E1">
      <w:pPr>
        <w:pStyle w:val="HMGC"/>
      </w:pPr>
      <w:r>
        <w:tab/>
      </w:r>
      <w:r>
        <w:tab/>
      </w:r>
      <w:r w:rsidRPr="001275E1">
        <w:rPr>
          <w:rFonts w:hint="eastAsia"/>
        </w:rPr>
        <w:t>洪都拉斯</w:t>
      </w:r>
    </w:p>
    <w:p w:rsidR="001275E1" w:rsidRDefault="002C60A9">
      <w:pPr>
        <w:spacing w:after="120"/>
        <w:rPr>
          <w:sz w:val="28"/>
          <w:szCs w:val="28"/>
        </w:rPr>
      </w:pPr>
      <w:r>
        <w:br w:type="page"/>
      </w:r>
      <w:r w:rsidR="001275E1">
        <w:rPr>
          <w:rFonts w:hint="eastAsia"/>
          <w:sz w:val="28"/>
          <w:szCs w:val="28"/>
        </w:rPr>
        <w:lastRenderedPageBreak/>
        <w:t>目录</w:t>
      </w:r>
    </w:p>
    <w:p w:rsidR="001275E1" w:rsidRDefault="001275E1">
      <w:pPr>
        <w:tabs>
          <w:tab w:val="right" w:pos="8789"/>
          <w:tab w:val="right" w:pos="9639"/>
        </w:tabs>
        <w:spacing w:after="120"/>
        <w:ind w:left="488"/>
        <w:rPr>
          <w:rFonts w:eastAsia="KaiTi_GB2312"/>
          <w:sz w:val="23"/>
          <w:szCs w:val="23"/>
        </w:rPr>
      </w:pPr>
      <w:r>
        <w:rPr>
          <w:rFonts w:eastAsia="KaiTi_GB2312"/>
          <w:sz w:val="18"/>
          <w:szCs w:val="18"/>
          <w:lang w:val="fr-CH"/>
        </w:rPr>
        <w:tab/>
      </w:r>
      <w:r>
        <w:rPr>
          <w:rFonts w:eastAsia="KaiTi_GB2312"/>
          <w:sz w:val="23"/>
          <w:szCs w:val="23"/>
        </w:rPr>
        <w:tab/>
      </w:r>
      <w:r w:rsidRPr="0027066F">
        <w:rPr>
          <w:rFonts w:eastAsia="KaiTi_GB2312" w:hint="eastAsia"/>
          <w:sz w:val="18"/>
          <w:szCs w:val="18"/>
        </w:rPr>
        <w:t>页次</w:t>
      </w:r>
    </w:p>
    <w:p w:rsidR="001275E1" w:rsidRDefault="001275E1" w:rsidP="001275E1">
      <w:pPr>
        <w:pStyle w:val="a2"/>
        <w:tabs>
          <w:tab w:val="clear" w:pos="1565"/>
          <w:tab w:val="clear" w:pos="1996"/>
        </w:tabs>
        <w:rPr>
          <w:rFonts w:hint="eastAsia"/>
        </w:rPr>
      </w:pPr>
      <w:r>
        <w:rPr>
          <w:rFonts w:hint="eastAsia"/>
        </w:rPr>
        <w:tab/>
      </w:r>
      <w:r>
        <w:rPr>
          <w:rFonts w:hint="eastAsia"/>
        </w:rPr>
        <w:tab/>
      </w:r>
      <w:r>
        <w:rPr>
          <w:rFonts w:hint="eastAsia"/>
        </w:rPr>
        <w:t>导言</w:t>
      </w:r>
      <w:r>
        <w:rPr>
          <w:rFonts w:hint="eastAsia"/>
        </w:rPr>
        <w:tab/>
      </w:r>
      <w:r>
        <w:rPr>
          <w:rFonts w:hint="eastAsia"/>
        </w:rPr>
        <w:tab/>
        <w:t>3</w:t>
      </w:r>
    </w:p>
    <w:p w:rsidR="001275E1" w:rsidRDefault="001275E1" w:rsidP="001275E1">
      <w:pPr>
        <w:pStyle w:val="a2"/>
        <w:rPr>
          <w:rFonts w:hint="eastAsia"/>
        </w:rPr>
      </w:pPr>
      <w:r>
        <w:rPr>
          <w:rFonts w:hint="eastAsia"/>
        </w:rPr>
        <w:tab/>
      </w:r>
      <w:r>
        <w:rPr>
          <w:rFonts w:hint="eastAsia"/>
        </w:rPr>
        <w:t>一</w:t>
      </w:r>
      <w:r>
        <w:rPr>
          <w:rFonts w:hint="eastAsia"/>
        </w:rPr>
        <w:t>.</w:t>
      </w:r>
      <w:r>
        <w:rPr>
          <w:rFonts w:hint="eastAsia"/>
        </w:rPr>
        <w:tab/>
      </w:r>
      <w:r>
        <w:rPr>
          <w:rFonts w:hint="eastAsia"/>
        </w:rPr>
        <w:t>审议情况纪要</w:t>
      </w:r>
      <w:r>
        <w:rPr>
          <w:rFonts w:hint="eastAsia"/>
        </w:rPr>
        <w:tab/>
      </w:r>
      <w:r>
        <w:rPr>
          <w:rFonts w:hint="eastAsia"/>
        </w:rPr>
        <w:tab/>
        <w:t>3</w:t>
      </w:r>
    </w:p>
    <w:p w:rsidR="001275E1" w:rsidRDefault="001275E1" w:rsidP="001275E1">
      <w:pPr>
        <w:pStyle w:val="a2"/>
        <w:rPr>
          <w:rFonts w:hint="eastAsia"/>
        </w:rPr>
      </w:pPr>
      <w:r>
        <w:rPr>
          <w:rFonts w:hint="eastAsia"/>
        </w:rPr>
        <w:tab/>
      </w:r>
      <w:r>
        <w:rPr>
          <w:rFonts w:hint="eastAsia"/>
        </w:rPr>
        <w:tab/>
        <w:t>A.</w:t>
      </w:r>
      <w:r>
        <w:rPr>
          <w:rFonts w:hint="eastAsia"/>
        </w:rPr>
        <w:tab/>
      </w:r>
      <w:r>
        <w:rPr>
          <w:rFonts w:hint="eastAsia"/>
        </w:rPr>
        <w:t>受审议国的陈述</w:t>
      </w:r>
      <w:r>
        <w:rPr>
          <w:rFonts w:hint="eastAsia"/>
        </w:rPr>
        <w:tab/>
      </w:r>
      <w:r>
        <w:rPr>
          <w:rFonts w:hint="eastAsia"/>
        </w:rPr>
        <w:tab/>
        <w:t>3</w:t>
      </w:r>
    </w:p>
    <w:p w:rsidR="001275E1" w:rsidRDefault="001275E1" w:rsidP="001275E1">
      <w:pPr>
        <w:pStyle w:val="a2"/>
        <w:rPr>
          <w:rFonts w:hint="eastAsia"/>
        </w:rPr>
      </w:pPr>
      <w:r>
        <w:rPr>
          <w:rFonts w:hint="eastAsia"/>
        </w:rPr>
        <w:tab/>
      </w:r>
      <w:r>
        <w:rPr>
          <w:rFonts w:hint="eastAsia"/>
        </w:rPr>
        <w:tab/>
        <w:t>B.</w:t>
      </w:r>
      <w:r>
        <w:rPr>
          <w:rFonts w:hint="eastAsia"/>
        </w:rPr>
        <w:tab/>
      </w:r>
      <w:r>
        <w:rPr>
          <w:rFonts w:hint="eastAsia"/>
        </w:rPr>
        <w:t>互动对话与受审议国的回应</w:t>
      </w:r>
      <w:r>
        <w:rPr>
          <w:rFonts w:hint="eastAsia"/>
        </w:rPr>
        <w:tab/>
      </w:r>
      <w:r>
        <w:rPr>
          <w:rFonts w:hint="eastAsia"/>
        </w:rPr>
        <w:tab/>
        <w:t>8</w:t>
      </w:r>
    </w:p>
    <w:p w:rsidR="001275E1" w:rsidRDefault="001275E1" w:rsidP="001275E1">
      <w:pPr>
        <w:pStyle w:val="a2"/>
        <w:rPr>
          <w:rFonts w:hint="eastAsia"/>
        </w:rPr>
      </w:pPr>
      <w:r>
        <w:rPr>
          <w:rFonts w:hint="eastAsia"/>
        </w:rPr>
        <w:tab/>
      </w:r>
      <w:r>
        <w:rPr>
          <w:rFonts w:hint="eastAsia"/>
        </w:rPr>
        <w:t>二</w:t>
      </w:r>
      <w:r>
        <w:rPr>
          <w:rFonts w:hint="eastAsia"/>
        </w:rPr>
        <w:t>.</w:t>
      </w:r>
      <w:r>
        <w:rPr>
          <w:rFonts w:hint="eastAsia"/>
        </w:rPr>
        <w:tab/>
      </w:r>
      <w:r>
        <w:rPr>
          <w:rFonts w:hint="eastAsia"/>
        </w:rPr>
        <w:t>结论和建议</w:t>
      </w:r>
      <w:r>
        <w:rPr>
          <w:rFonts w:hint="eastAsia"/>
        </w:rPr>
        <w:tab/>
      </w:r>
      <w:r>
        <w:rPr>
          <w:rFonts w:hint="eastAsia"/>
        </w:rPr>
        <w:tab/>
        <w:t>13</w:t>
      </w:r>
    </w:p>
    <w:p w:rsidR="001275E1" w:rsidRDefault="00A648CE" w:rsidP="001275E1">
      <w:pPr>
        <w:pStyle w:val="a2"/>
        <w:rPr>
          <w:rFonts w:hint="eastAsia"/>
        </w:rPr>
      </w:pPr>
      <w:r>
        <w:rPr>
          <w:rFonts w:hint="eastAsia"/>
        </w:rPr>
        <w:tab/>
      </w:r>
      <w:r w:rsidR="001275E1">
        <w:rPr>
          <w:rFonts w:hint="eastAsia"/>
        </w:rPr>
        <w:t>附件</w:t>
      </w:r>
    </w:p>
    <w:p w:rsidR="001275E1" w:rsidRPr="001275E1" w:rsidRDefault="001275E1" w:rsidP="001275E1">
      <w:pPr>
        <w:pStyle w:val="a2"/>
        <w:rPr>
          <w:rFonts w:hint="eastAsia"/>
        </w:rPr>
      </w:pPr>
      <w:r>
        <w:rPr>
          <w:rFonts w:hint="eastAsia"/>
        </w:rPr>
        <w:tab/>
      </w:r>
      <w:r>
        <w:rPr>
          <w:rFonts w:hint="eastAsia"/>
        </w:rPr>
        <w:tab/>
      </w:r>
      <w:r>
        <w:rPr>
          <w:rFonts w:hint="eastAsia"/>
        </w:rPr>
        <w:t>代表团成员</w:t>
      </w:r>
      <w:r>
        <w:rPr>
          <w:rFonts w:hint="eastAsia"/>
        </w:rPr>
        <w:tab/>
      </w:r>
      <w:r>
        <w:rPr>
          <w:rFonts w:hint="eastAsia"/>
        </w:rPr>
        <w:tab/>
        <w:t>24</w:t>
      </w:r>
    </w:p>
    <w:p w:rsidR="00A648CE" w:rsidRPr="009573AC" w:rsidRDefault="002C60A9" w:rsidP="009573AC">
      <w:pPr>
        <w:pStyle w:val="HChGC"/>
        <w:rPr>
          <w:lang w:val="en-GB"/>
        </w:rPr>
      </w:pPr>
      <w:r>
        <w:br w:type="page"/>
      </w:r>
      <w:bookmarkStart w:id="1" w:name="Section_HDR_Introduction"/>
      <w:r w:rsidR="00A648CE" w:rsidRPr="00A648CE">
        <w:rPr>
          <w:b/>
          <w:lang w:val="en-GB"/>
        </w:rPr>
        <w:lastRenderedPageBreak/>
        <w:tab/>
      </w:r>
      <w:r w:rsidR="00A648CE" w:rsidRPr="00A648CE">
        <w:rPr>
          <w:b/>
          <w:lang w:val="en-GB"/>
        </w:rPr>
        <w:tab/>
      </w:r>
      <w:bookmarkEnd w:id="1"/>
      <w:r w:rsidR="00A648CE" w:rsidRPr="009573AC">
        <w:rPr>
          <w:rFonts w:hint="eastAsia"/>
          <w:lang w:val="en-GB"/>
        </w:rPr>
        <w:t>导言</w:t>
      </w:r>
    </w:p>
    <w:p w:rsidR="00A648CE" w:rsidRPr="00A648CE" w:rsidRDefault="00A648CE" w:rsidP="00A648CE">
      <w:pPr>
        <w:pStyle w:val="SingleTxtGC"/>
        <w:rPr>
          <w:lang w:val="en-GB"/>
        </w:rPr>
      </w:pPr>
      <w:r w:rsidRPr="00A648CE">
        <w:rPr>
          <w:iCs/>
          <w:lang w:val="en-GB"/>
        </w:rPr>
        <w:t xml:space="preserve">1.  </w:t>
      </w:r>
      <w:r w:rsidRPr="00A648CE">
        <w:rPr>
          <w:rFonts w:hint="eastAsia"/>
          <w:lang w:val="en-GB"/>
        </w:rPr>
        <w:t>根据人权理事会第</w:t>
      </w:r>
      <w:r w:rsidRPr="00A648CE">
        <w:rPr>
          <w:lang w:val="en-GB"/>
        </w:rPr>
        <w:t>5/1</w:t>
      </w:r>
      <w:r w:rsidRPr="00A648CE">
        <w:rPr>
          <w:rFonts w:hint="eastAsia"/>
          <w:lang w:val="en-GB"/>
        </w:rPr>
        <w:t>号决议设立的普遍定期审议工作组于</w:t>
      </w:r>
      <w:smartTag w:uri="urn:schemas-microsoft-com:office:smarttags" w:element="chsdate">
        <w:smartTagPr>
          <w:attr w:name="Year" w:val="2015"/>
          <w:attr w:name="Month" w:val="5"/>
          <w:attr w:name="Day" w:val="4"/>
          <w:attr w:name="IsLunarDate" w:val="False"/>
          <w:attr w:name="IsROCDate" w:val="False"/>
        </w:smartTagPr>
        <w:r w:rsidRPr="00A648CE">
          <w:rPr>
            <w:lang w:val="en-GB"/>
          </w:rPr>
          <w:t>2015</w:t>
        </w:r>
        <w:r w:rsidRPr="00A648CE">
          <w:rPr>
            <w:rFonts w:hint="eastAsia"/>
            <w:lang w:val="en-GB"/>
          </w:rPr>
          <w:t>年</w:t>
        </w:r>
        <w:r w:rsidRPr="00A648CE">
          <w:rPr>
            <w:lang w:val="en-GB"/>
          </w:rPr>
          <w:t>5</w:t>
        </w:r>
        <w:r w:rsidRPr="00A648CE">
          <w:rPr>
            <w:rFonts w:hint="eastAsia"/>
            <w:lang w:val="en-GB"/>
          </w:rPr>
          <w:t>月</w:t>
        </w:r>
        <w:r w:rsidRPr="00A648CE">
          <w:rPr>
            <w:lang w:val="en-GB"/>
          </w:rPr>
          <w:t>4</w:t>
        </w:r>
        <w:r w:rsidRPr="00A648CE">
          <w:rPr>
            <w:rFonts w:hint="eastAsia"/>
            <w:lang w:val="en-GB"/>
          </w:rPr>
          <w:t>日</w:t>
        </w:r>
      </w:smartTag>
      <w:r w:rsidRPr="00A648CE">
        <w:rPr>
          <w:rFonts w:hint="eastAsia"/>
          <w:lang w:val="en-GB"/>
        </w:rPr>
        <w:t>至</w:t>
      </w:r>
      <w:r w:rsidRPr="00A648CE">
        <w:rPr>
          <w:lang w:val="en-GB"/>
        </w:rPr>
        <w:t>15</w:t>
      </w:r>
      <w:r w:rsidRPr="00A648CE">
        <w:rPr>
          <w:rFonts w:hint="eastAsia"/>
          <w:lang w:val="en-GB"/>
        </w:rPr>
        <w:t>日召开了其第二十二届会议。</w:t>
      </w:r>
      <w:smartTag w:uri="urn:schemas-microsoft-com:office:smarttags" w:element="chsdate">
        <w:smartTagPr>
          <w:attr w:name="Year" w:val="2015"/>
          <w:attr w:name="Month" w:val="5"/>
          <w:attr w:name="Day" w:val="8"/>
          <w:attr w:name="IsLunarDate" w:val="False"/>
          <w:attr w:name="IsROCDate" w:val="False"/>
        </w:smartTagPr>
        <w:r w:rsidRPr="00A648CE">
          <w:rPr>
            <w:lang w:val="en-GB"/>
          </w:rPr>
          <w:t>2015</w:t>
        </w:r>
        <w:r w:rsidRPr="00A648CE">
          <w:rPr>
            <w:rFonts w:hint="eastAsia"/>
            <w:lang w:val="en-GB"/>
          </w:rPr>
          <w:t>年</w:t>
        </w:r>
        <w:r w:rsidRPr="00A648CE">
          <w:rPr>
            <w:lang w:val="en-GB"/>
          </w:rPr>
          <w:t>5</w:t>
        </w:r>
        <w:r w:rsidRPr="00A648CE">
          <w:rPr>
            <w:rFonts w:hint="eastAsia"/>
            <w:lang w:val="en-GB"/>
          </w:rPr>
          <w:t>月</w:t>
        </w:r>
        <w:r w:rsidRPr="00A648CE">
          <w:rPr>
            <w:lang w:val="en-GB"/>
          </w:rPr>
          <w:t>8</w:t>
        </w:r>
        <w:r w:rsidRPr="00A648CE">
          <w:rPr>
            <w:rFonts w:hint="eastAsia"/>
            <w:lang w:val="en-GB"/>
          </w:rPr>
          <w:t>日</w:t>
        </w:r>
      </w:smartTag>
      <w:r w:rsidRPr="00A648CE">
        <w:rPr>
          <w:rFonts w:hint="eastAsia"/>
          <w:lang w:val="en-GB"/>
        </w:rPr>
        <w:t>举行的第</w:t>
      </w:r>
      <w:r w:rsidRPr="00A648CE">
        <w:rPr>
          <w:lang w:val="en-GB"/>
        </w:rPr>
        <w:t>9</w:t>
      </w:r>
      <w:r w:rsidRPr="00A648CE">
        <w:rPr>
          <w:rFonts w:hint="eastAsia"/>
          <w:lang w:val="en-GB"/>
        </w:rPr>
        <w:t>次会议对洪都拉斯进行了审议。洪都拉斯代表团由该国政府总协调人国务秘书何塞·拉蒙·赫尔南德斯·阿尔塞罗任团长。工作组在</w:t>
      </w:r>
      <w:smartTag w:uri="urn:schemas-microsoft-com:office:smarttags" w:element="chsdate">
        <w:smartTagPr>
          <w:attr w:name="Year" w:val="2015"/>
          <w:attr w:name="Month" w:val="5"/>
          <w:attr w:name="Day" w:val="12"/>
          <w:attr w:name="IsLunarDate" w:val="False"/>
          <w:attr w:name="IsROCDate" w:val="False"/>
        </w:smartTagPr>
        <w:r w:rsidRPr="00A648CE">
          <w:rPr>
            <w:lang w:val="en-GB"/>
          </w:rPr>
          <w:t>2015</w:t>
        </w:r>
        <w:r w:rsidRPr="00A648CE">
          <w:rPr>
            <w:rFonts w:hint="eastAsia"/>
            <w:lang w:val="en-GB"/>
          </w:rPr>
          <w:t>年</w:t>
        </w:r>
        <w:r w:rsidRPr="00A648CE">
          <w:rPr>
            <w:lang w:val="en-GB"/>
          </w:rPr>
          <w:t>5</w:t>
        </w:r>
        <w:r w:rsidRPr="00A648CE">
          <w:rPr>
            <w:rFonts w:hint="eastAsia"/>
            <w:lang w:val="en-GB"/>
          </w:rPr>
          <w:t>月</w:t>
        </w:r>
        <w:r w:rsidRPr="00A648CE">
          <w:rPr>
            <w:lang w:val="en-GB"/>
          </w:rPr>
          <w:t>12</w:t>
        </w:r>
        <w:r w:rsidRPr="00A648CE">
          <w:rPr>
            <w:rFonts w:hint="eastAsia"/>
            <w:lang w:val="en-GB"/>
          </w:rPr>
          <w:t>日</w:t>
        </w:r>
      </w:smartTag>
      <w:r w:rsidRPr="00A648CE">
        <w:rPr>
          <w:rFonts w:hint="eastAsia"/>
          <w:lang w:val="en-GB"/>
        </w:rPr>
        <w:t>第</w:t>
      </w:r>
      <w:r w:rsidRPr="00A648CE">
        <w:rPr>
          <w:lang w:val="en-GB"/>
        </w:rPr>
        <w:t>14</w:t>
      </w:r>
      <w:r w:rsidRPr="00A648CE">
        <w:rPr>
          <w:rFonts w:hint="eastAsia"/>
          <w:lang w:val="en-GB"/>
        </w:rPr>
        <w:t>次会议上通过了关于洪都拉斯的报告。</w:t>
      </w:r>
    </w:p>
    <w:p w:rsidR="00A648CE" w:rsidRPr="00A648CE" w:rsidRDefault="00A648CE" w:rsidP="00A648CE">
      <w:pPr>
        <w:pStyle w:val="SingleTxtGC"/>
        <w:rPr>
          <w:lang w:val="en-GB"/>
        </w:rPr>
      </w:pPr>
      <w:r w:rsidRPr="00A648CE">
        <w:rPr>
          <w:iCs/>
          <w:lang w:val="en-GB"/>
        </w:rPr>
        <w:t xml:space="preserve">2.  </w:t>
      </w:r>
      <w:r w:rsidRPr="00A648CE">
        <w:rPr>
          <w:rFonts w:hint="eastAsia"/>
          <w:lang w:val="en-GB"/>
        </w:rPr>
        <w:t>为便于开展对洪都拉斯的审议工作，人权理事会于</w:t>
      </w:r>
      <w:smartTag w:uri="urn:schemas-microsoft-com:office:smarttags" w:element="chsdate">
        <w:smartTagPr>
          <w:attr w:name="Year" w:val="2015"/>
          <w:attr w:name="Month" w:val="1"/>
          <w:attr w:name="Day" w:val="13"/>
          <w:attr w:name="IsLunarDate" w:val="False"/>
          <w:attr w:name="IsROCDate" w:val="False"/>
        </w:smartTagPr>
        <w:r w:rsidRPr="00A648CE">
          <w:rPr>
            <w:lang w:val="en-GB"/>
          </w:rPr>
          <w:t>2015</w:t>
        </w:r>
        <w:r w:rsidRPr="00A648CE">
          <w:rPr>
            <w:rFonts w:hint="eastAsia"/>
            <w:lang w:val="en-GB"/>
          </w:rPr>
          <w:t>年</w:t>
        </w:r>
        <w:r w:rsidRPr="00A648CE">
          <w:rPr>
            <w:lang w:val="en-GB"/>
          </w:rPr>
          <w:t>1</w:t>
        </w:r>
        <w:r w:rsidRPr="00A648CE">
          <w:rPr>
            <w:rFonts w:hint="eastAsia"/>
            <w:lang w:val="en-GB"/>
          </w:rPr>
          <w:t>月</w:t>
        </w:r>
        <w:r w:rsidRPr="00A648CE">
          <w:rPr>
            <w:lang w:val="en-GB"/>
          </w:rPr>
          <w:t>13</w:t>
        </w:r>
        <w:r w:rsidRPr="00A648CE">
          <w:rPr>
            <w:rFonts w:hint="eastAsia"/>
            <w:lang w:val="en-GB"/>
          </w:rPr>
          <w:t>日</w:t>
        </w:r>
      </w:smartTag>
      <w:r w:rsidRPr="00A648CE">
        <w:rPr>
          <w:rFonts w:hint="eastAsia"/>
          <w:lang w:val="en-GB"/>
        </w:rPr>
        <w:t>选</w:t>
      </w:r>
      <w:r w:rsidRPr="00A648CE">
        <w:rPr>
          <w:rFonts w:hint="eastAsia"/>
        </w:rPr>
        <w:t>定</w:t>
      </w:r>
      <w:r w:rsidRPr="00A648CE">
        <w:rPr>
          <w:rFonts w:hint="eastAsia"/>
          <w:lang w:val="en-GB"/>
        </w:rPr>
        <w:t>纳米比亚、巴拉圭和大韩民国组成报告员小组</w:t>
      </w:r>
      <w:r w:rsidRPr="00A648CE">
        <w:rPr>
          <w:rFonts w:hint="eastAsia"/>
          <w:lang w:val="en-GB"/>
        </w:rPr>
        <w:t>(</w:t>
      </w:r>
      <w:r w:rsidRPr="00A648CE">
        <w:rPr>
          <w:rFonts w:hint="eastAsia"/>
          <w:lang w:val="en-GB"/>
        </w:rPr>
        <w:t>三国小组</w:t>
      </w:r>
      <w:r w:rsidRPr="00A648CE">
        <w:rPr>
          <w:rFonts w:hint="eastAsia"/>
          <w:lang w:val="en-GB"/>
        </w:rPr>
        <w:t>)</w:t>
      </w:r>
      <w:r w:rsidRPr="00A648CE">
        <w:rPr>
          <w:rFonts w:hint="eastAsia"/>
          <w:lang w:val="en-GB"/>
        </w:rPr>
        <w:t>。</w:t>
      </w:r>
    </w:p>
    <w:p w:rsidR="00A648CE" w:rsidRPr="00A648CE" w:rsidRDefault="00A648CE" w:rsidP="00A648CE">
      <w:pPr>
        <w:pStyle w:val="SingleTxtGC"/>
        <w:rPr>
          <w:lang w:val="en-GB"/>
        </w:rPr>
      </w:pPr>
      <w:r w:rsidRPr="00A648CE">
        <w:rPr>
          <w:iCs/>
          <w:lang w:val="en-GB"/>
        </w:rPr>
        <w:t xml:space="preserve">3.  </w:t>
      </w:r>
      <w:r w:rsidRPr="00A648CE">
        <w:rPr>
          <w:rFonts w:hint="eastAsia"/>
          <w:lang w:val="en-GB"/>
        </w:rPr>
        <w:t>根据人权理事会第</w:t>
      </w:r>
      <w:r w:rsidRPr="00A648CE">
        <w:rPr>
          <w:lang w:val="en-GB"/>
        </w:rPr>
        <w:t>5/1</w:t>
      </w:r>
      <w:r w:rsidRPr="00A648CE">
        <w:rPr>
          <w:rFonts w:hint="eastAsia"/>
          <w:lang w:val="en-GB"/>
        </w:rPr>
        <w:t>号决议附件第</w:t>
      </w:r>
      <w:r w:rsidRPr="00A648CE">
        <w:rPr>
          <w:lang w:val="en-GB"/>
        </w:rPr>
        <w:t>15</w:t>
      </w:r>
      <w:r w:rsidRPr="00A648CE">
        <w:rPr>
          <w:rFonts w:hint="eastAsia"/>
          <w:lang w:val="en-GB"/>
        </w:rPr>
        <w:t>段和理事会第</w:t>
      </w:r>
      <w:r w:rsidRPr="00A648CE">
        <w:rPr>
          <w:lang w:val="en-GB"/>
        </w:rPr>
        <w:t>16/21</w:t>
      </w:r>
      <w:r w:rsidRPr="00A648CE">
        <w:rPr>
          <w:rFonts w:hint="eastAsia"/>
          <w:lang w:val="en-GB"/>
        </w:rPr>
        <w:t>号决议附件第</w:t>
      </w:r>
      <w:r w:rsidRPr="00A648CE">
        <w:rPr>
          <w:lang w:val="en-GB"/>
        </w:rPr>
        <w:t>5</w:t>
      </w:r>
      <w:r w:rsidRPr="00A648CE">
        <w:rPr>
          <w:rFonts w:hint="eastAsia"/>
          <w:lang w:val="en-GB"/>
        </w:rPr>
        <w:t>段印发了以下文件，用于对洪都拉斯的审议工作：</w:t>
      </w:r>
    </w:p>
    <w:p w:rsidR="00A648CE" w:rsidRPr="00A648CE" w:rsidRDefault="00A648CE" w:rsidP="009573AC">
      <w:pPr>
        <w:pStyle w:val="SingleTxtGC"/>
        <w:numPr>
          <w:ilvl w:val="0"/>
          <w:numId w:val="10"/>
        </w:numPr>
        <w:rPr>
          <w:lang w:val="en-GB"/>
        </w:rPr>
      </w:pPr>
      <w:r w:rsidRPr="00A648CE">
        <w:rPr>
          <w:rFonts w:hint="eastAsia"/>
          <w:lang w:val="en-GB"/>
        </w:rPr>
        <w:t>国家报告</w:t>
      </w:r>
      <w:r w:rsidRPr="00A648CE">
        <w:rPr>
          <w:rFonts w:hint="eastAsia"/>
          <w:lang w:val="en-GB"/>
        </w:rPr>
        <w:t>(</w:t>
      </w:r>
      <w:r w:rsidRPr="00A648CE">
        <w:rPr>
          <w:lang w:val="en-GB"/>
        </w:rPr>
        <w:t>A/HRC/WG.6/22/</w:t>
      </w:r>
      <w:bookmarkStart w:id="2" w:name="Sym_Sur_code_1"/>
      <w:r w:rsidRPr="00A648CE">
        <w:rPr>
          <w:lang w:val="en-GB"/>
        </w:rPr>
        <w:t>HND</w:t>
      </w:r>
      <w:bookmarkEnd w:id="2"/>
      <w:r w:rsidRPr="00A648CE">
        <w:rPr>
          <w:lang w:val="en-GB"/>
        </w:rPr>
        <w:t>/1</w:t>
      </w:r>
      <w:r w:rsidRPr="00A648CE">
        <w:rPr>
          <w:rFonts w:hint="eastAsia"/>
          <w:lang w:val="en-GB"/>
        </w:rPr>
        <w:t>)</w:t>
      </w:r>
      <w:r w:rsidRPr="00A648CE">
        <w:rPr>
          <w:rFonts w:hint="eastAsia"/>
          <w:lang w:val="en-GB"/>
        </w:rPr>
        <w:t>；</w:t>
      </w:r>
    </w:p>
    <w:p w:rsidR="00A648CE" w:rsidRPr="00A648CE" w:rsidRDefault="00A648CE" w:rsidP="009573AC">
      <w:pPr>
        <w:pStyle w:val="SingleTxtGC"/>
        <w:numPr>
          <w:ilvl w:val="0"/>
          <w:numId w:val="10"/>
        </w:numPr>
        <w:rPr>
          <w:lang w:val="en-GB"/>
        </w:rPr>
      </w:pPr>
      <w:r w:rsidRPr="00A648CE">
        <w:rPr>
          <w:rFonts w:hint="eastAsia"/>
          <w:lang w:val="en-GB"/>
        </w:rPr>
        <w:t>联合国人权事务高级专员办事处</w:t>
      </w:r>
      <w:r w:rsidRPr="00A648CE">
        <w:rPr>
          <w:rFonts w:hint="eastAsia"/>
          <w:lang w:val="en-GB"/>
        </w:rPr>
        <w:t>(</w:t>
      </w:r>
      <w:r w:rsidRPr="00A648CE">
        <w:rPr>
          <w:rFonts w:hint="eastAsia"/>
          <w:lang w:val="en-GB"/>
        </w:rPr>
        <w:t>人权高专办</w:t>
      </w:r>
      <w:r w:rsidRPr="00A648CE">
        <w:rPr>
          <w:rFonts w:hint="eastAsia"/>
          <w:lang w:val="en-GB"/>
        </w:rPr>
        <w:t>)</w:t>
      </w:r>
      <w:r w:rsidRPr="00A648CE">
        <w:rPr>
          <w:rFonts w:hint="eastAsia"/>
          <w:lang w:val="en-GB"/>
        </w:rPr>
        <w:t>汇编的资料</w:t>
      </w:r>
      <w:r w:rsidRPr="00A648CE">
        <w:rPr>
          <w:rFonts w:hint="eastAsia"/>
          <w:lang w:val="en-GB"/>
        </w:rPr>
        <w:t>(</w:t>
      </w:r>
      <w:r w:rsidRPr="00A648CE">
        <w:rPr>
          <w:lang w:val="en-GB"/>
        </w:rPr>
        <w:t>A/HRC/</w:t>
      </w:r>
      <w:r w:rsidR="009573AC">
        <w:rPr>
          <w:lang w:val="en-GB"/>
        </w:rPr>
        <w:t xml:space="preserve"> </w:t>
      </w:r>
      <w:r w:rsidRPr="00A648CE">
        <w:rPr>
          <w:lang w:val="en-GB"/>
        </w:rPr>
        <w:t>WG.6/22/</w:t>
      </w:r>
      <w:bookmarkStart w:id="3" w:name="Sym_Sur_code_2"/>
      <w:r w:rsidRPr="00A648CE">
        <w:rPr>
          <w:lang w:val="en-GB"/>
        </w:rPr>
        <w:t>HND</w:t>
      </w:r>
      <w:bookmarkEnd w:id="3"/>
      <w:r w:rsidRPr="00A648CE">
        <w:rPr>
          <w:lang w:val="en-GB"/>
        </w:rPr>
        <w:t>/2</w:t>
      </w:r>
      <w:r w:rsidRPr="00A648CE">
        <w:rPr>
          <w:rFonts w:hint="eastAsia"/>
          <w:lang w:val="en-GB"/>
        </w:rPr>
        <w:t>)</w:t>
      </w:r>
      <w:r w:rsidRPr="00A648CE">
        <w:rPr>
          <w:rFonts w:hint="eastAsia"/>
          <w:lang w:val="en-GB"/>
        </w:rPr>
        <w:t>；</w:t>
      </w:r>
    </w:p>
    <w:p w:rsidR="00A648CE" w:rsidRPr="00A648CE" w:rsidRDefault="00A648CE" w:rsidP="009573AC">
      <w:pPr>
        <w:pStyle w:val="SingleTxtGC"/>
        <w:numPr>
          <w:ilvl w:val="0"/>
          <w:numId w:val="10"/>
        </w:numPr>
        <w:rPr>
          <w:lang w:val="en-GB"/>
        </w:rPr>
      </w:pPr>
      <w:r w:rsidRPr="00A648CE">
        <w:rPr>
          <w:rFonts w:hint="eastAsia"/>
          <w:lang w:val="en-GB"/>
        </w:rPr>
        <w:t>人权高专办编写的材料概述</w:t>
      </w:r>
      <w:r w:rsidRPr="00A648CE">
        <w:rPr>
          <w:rFonts w:hint="eastAsia"/>
          <w:lang w:val="en-GB"/>
        </w:rPr>
        <w:t>(</w:t>
      </w:r>
      <w:r w:rsidRPr="00A648CE">
        <w:rPr>
          <w:lang w:val="en-GB"/>
        </w:rPr>
        <w:t>A/HRC/WG.6/22/</w:t>
      </w:r>
      <w:bookmarkStart w:id="4" w:name="Sym_Sur_code_3"/>
      <w:r w:rsidRPr="00A648CE">
        <w:rPr>
          <w:lang w:val="en-GB"/>
        </w:rPr>
        <w:t>HND</w:t>
      </w:r>
      <w:bookmarkEnd w:id="4"/>
      <w:r w:rsidRPr="00A648CE">
        <w:rPr>
          <w:lang w:val="en-GB"/>
        </w:rPr>
        <w:t>/3</w:t>
      </w:r>
      <w:r w:rsidRPr="00A648CE">
        <w:rPr>
          <w:rFonts w:hint="eastAsia"/>
          <w:lang w:val="en-GB"/>
        </w:rPr>
        <w:t>)</w:t>
      </w:r>
      <w:r w:rsidRPr="00A648CE">
        <w:rPr>
          <w:rFonts w:hint="eastAsia"/>
          <w:lang w:val="en-GB"/>
        </w:rPr>
        <w:t>。</w:t>
      </w:r>
    </w:p>
    <w:p w:rsidR="00A648CE" w:rsidRPr="00A648CE" w:rsidRDefault="00A648CE" w:rsidP="00A648CE">
      <w:pPr>
        <w:pStyle w:val="SingleTxtGC"/>
        <w:rPr>
          <w:lang w:val="en-GB"/>
        </w:rPr>
      </w:pPr>
      <w:r w:rsidRPr="00A648CE">
        <w:rPr>
          <w:iCs/>
          <w:lang w:val="en-GB"/>
        </w:rPr>
        <w:t xml:space="preserve">4.  </w:t>
      </w:r>
      <w:r w:rsidRPr="00A648CE">
        <w:rPr>
          <w:rFonts w:hint="eastAsia"/>
          <w:lang w:val="en-GB"/>
        </w:rPr>
        <w:t>比利时、捷克共和国、德国、列支敦士登、墨西哥、荷兰、挪威、斯洛文尼亚、西班牙、瑞典、瑞士、大不列颠及北爱尔兰联合王国和美利坚合众国预先准备的问题单已由三国小组转交洪都拉斯。这些问题可在工作组的外部网上查阅。下文一</w:t>
      </w:r>
      <w:r w:rsidRPr="00A648CE">
        <w:rPr>
          <w:lang w:val="en-GB"/>
        </w:rPr>
        <w:t>.B</w:t>
      </w:r>
      <w:r w:rsidRPr="00A648CE">
        <w:rPr>
          <w:rFonts w:hint="eastAsia"/>
          <w:lang w:val="en-GB"/>
        </w:rPr>
        <w:t>节概述了黑山、印度和法国在对话期间提出的补充问题。</w:t>
      </w:r>
    </w:p>
    <w:p w:rsidR="00A648CE" w:rsidRPr="00A648CE" w:rsidRDefault="00A648CE" w:rsidP="009573AC">
      <w:pPr>
        <w:pStyle w:val="HChGC"/>
        <w:rPr>
          <w:rFonts w:hint="eastAsia"/>
          <w:lang w:val="en-GB"/>
        </w:rPr>
      </w:pPr>
      <w:r w:rsidRPr="00A648CE">
        <w:rPr>
          <w:rFonts w:hint="eastAsia"/>
          <w:lang w:val="en-GB"/>
        </w:rPr>
        <w:tab/>
      </w:r>
      <w:bookmarkStart w:id="5" w:name="Section_I_HDR_Summary"/>
      <w:r w:rsidRPr="00A648CE">
        <w:rPr>
          <w:rFonts w:hint="eastAsia"/>
          <w:lang w:val="en-GB"/>
        </w:rPr>
        <w:t>一</w:t>
      </w:r>
      <w:r w:rsidRPr="00A648CE">
        <w:rPr>
          <w:rFonts w:hint="eastAsia"/>
          <w:lang w:val="en-GB"/>
        </w:rPr>
        <w:t>.</w:t>
      </w:r>
      <w:r w:rsidRPr="00A648CE">
        <w:rPr>
          <w:rFonts w:hint="eastAsia"/>
          <w:lang w:val="en-GB"/>
        </w:rPr>
        <w:tab/>
      </w:r>
      <w:r w:rsidRPr="00A648CE">
        <w:rPr>
          <w:rFonts w:hint="eastAsia"/>
          <w:lang w:val="en-GB"/>
        </w:rPr>
        <w:t>审议情况纪要</w:t>
      </w:r>
      <w:bookmarkEnd w:id="5"/>
    </w:p>
    <w:p w:rsidR="00A648CE" w:rsidRPr="00A648CE" w:rsidRDefault="00A648CE" w:rsidP="009573AC">
      <w:pPr>
        <w:pStyle w:val="H1GC"/>
        <w:rPr>
          <w:rFonts w:hint="eastAsia"/>
          <w:lang w:val="en-GB"/>
        </w:rPr>
      </w:pPr>
      <w:bookmarkStart w:id="6" w:name="Sub_Section_HDR_Presentation_by_Sur"/>
      <w:r w:rsidRPr="00A648CE">
        <w:rPr>
          <w:rFonts w:hint="eastAsia"/>
          <w:lang w:val="en-GB"/>
        </w:rPr>
        <w:tab/>
        <w:t>A.</w:t>
      </w:r>
      <w:r w:rsidRPr="00A648CE">
        <w:rPr>
          <w:rFonts w:hint="eastAsia"/>
          <w:lang w:val="en-GB"/>
        </w:rPr>
        <w:tab/>
      </w:r>
      <w:bookmarkEnd w:id="6"/>
      <w:r w:rsidRPr="00A648CE">
        <w:rPr>
          <w:rFonts w:hint="eastAsia"/>
          <w:lang w:val="en-GB"/>
        </w:rPr>
        <w:t>受审议国的陈述</w:t>
      </w:r>
    </w:p>
    <w:p w:rsidR="00A648CE" w:rsidRPr="00A648CE" w:rsidRDefault="00A648CE" w:rsidP="00A648CE">
      <w:pPr>
        <w:pStyle w:val="SingleTxtGC"/>
        <w:rPr>
          <w:rFonts w:hint="eastAsia"/>
          <w:lang w:val="en-GB"/>
        </w:rPr>
      </w:pPr>
      <w:r w:rsidRPr="00A648CE">
        <w:rPr>
          <w:iCs/>
          <w:lang w:val="en-GB"/>
        </w:rPr>
        <w:t xml:space="preserve">5.  </w:t>
      </w:r>
      <w:r w:rsidRPr="00A648CE">
        <w:rPr>
          <w:rFonts w:hint="eastAsia"/>
          <w:lang w:val="en-GB"/>
        </w:rPr>
        <w:t>代表团团长指出，洪都拉斯已在</w:t>
      </w:r>
      <w:r w:rsidRPr="00A648CE">
        <w:rPr>
          <w:rFonts w:hint="eastAsia"/>
          <w:lang w:val="en-GB"/>
        </w:rPr>
        <w:t>2010</w:t>
      </w:r>
      <w:r w:rsidRPr="00A648CE">
        <w:rPr>
          <w:rFonts w:hint="eastAsia"/>
          <w:lang w:val="en-GB"/>
        </w:rPr>
        <w:t>年向普遍定期审议提交其初次报告。此后，洪都拉斯一直在落实其收到的各项建议。作为其致力于人权的一种证明，洪都拉斯在</w:t>
      </w:r>
      <w:r w:rsidRPr="00A648CE">
        <w:rPr>
          <w:rFonts w:hint="eastAsia"/>
          <w:lang w:val="en-GB"/>
        </w:rPr>
        <w:t>2013</w:t>
      </w:r>
      <w:r w:rsidRPr="00A648CE">
        <w:rPr>
          <w:rFonts w:hint="eastAsia"/>
          <w:lang w:val="en-GB"/>
        </w:rPr>
        <w:t>年提交了一份自愿中期进度报告。</w:t>
      </w:r>
    </w:p>
    <w:p w:rsidR="00A648CE" w:rsidRPr="00A648CE" w:rsidRDefault="00A648CE" w:rsidP="00A648CE">
      <w:pPr>
        <w:pStyle w:val="SingleTxtGC"/>
        <w:rPr>
          <w:rFonts w:hint="eastAsia"/>
          <w:lang w:val="en-GB"/>
        </w:rPr>
      </w:pPr>
      <w:r w:rsidRPr="00A648CE">
        <w:rPr>
          <w:iCs/>
          <w:lang w:val="en-GB"/>
        </w:rPr>
        <w:t xml:space="preserve">6.  </w:t>
      </w:r>
      <w:r w:rsidRPr="00A648CE">
        <w:rPr>
          <w:rFonts w:hint="eastAsia"/>
          <w:lang w:val="en-GB"/>
        </w:rPr>
        <w:t>在人权高专办协助下，洪都拉斯还牵头搞了一个广泛咨询进程，以制定《公共政策》和通过《</w:t>
      </w:r>
      <w:r w:rsidRPr="00A648CE">
        <w:rPr>
          <w:rFonts w:hint="eastAsia"/>
          <w:lang w:val="en-GB"/>
        </w:rPr>
        <w:t>2013-2022</w:t>
      </w:r>
      <w:r w:rsidRPr="00A648CE">
        <w:rPr>
          <w:rFonts w:hint="eastAsia"/>
          <w:lang w:val="en-GB"/>
        </w:rPr>
        <w:t>年国家人权行动计划》。</w:t>
      </w:r>
    </w:p>
    <w:p w:rsidR="00A648CE" w:rsidRPr="00A648CE" w:rsidRDefault="00A648CE" w:rsidP="00A648CE">
      <w:pPr>
        <w:pStyle w:val="SingleTxtGC"/>
        <w:rPr>
          <w:rFonts w:hint="eastAsia"/>
          <w:lang w:val="en-GB"/>
        </w:rPr>
      </w:pPr>
      <w:r w:rsidRPr="00A648CE">
        <w:rPr>
          <w:iCs/>
          <w:lang w:val="en-GB"/>
        </w:rPr>
        <w:t xml:space="preserve">7.  </w:t>
      </w:r>
      <w:r w:rsidRPr="00A648CE">
        <w:rPr>
          <w:rFonts w:hint="eastAsia"/>
          <w:lang w:val="en-GB"/>
        </w:rPr>
        <w:t>洪都拉斯指出，经国家一级广泛讨论，包括与民间社会进行讨论，已起草了其第二次普遍定期审议的国家报告。</w:t>
      </w:r>
    </w:p>
    <w:p w:rsidR="00A648CE" w:rsidRPr="00A648CE" w:rsidRDefault="00A648CE" w:rsidP="00A648CE">
      <w:pPr>
        <w:pStyle w:val="SingleTxtGC"/>
        <w:rPr>
          <w:rFonts w:hint="eastAsia"/>
          <w:lang w:val="en-GB"/>
        </w:rPr>
      </w:pPr>
      <w:r w:rsidRPr="00A648CE">
        <w:rPr>
          <w:iCs/>
          <w:lang w:val="en-GB"/>
        </w:rPr>
        <w:t xml:space="preserve">8.  </w:t>
      </w:r>
      <w:r w:rsidRPr="00A648CE">
        <w:rPr>
          <w:rFonts w:hint="eastAsia"/>
          <w:iCs/>
          <w:lang w:val="en-GB"/>
        </w:rPr>
        <w:t>在</w:t>
      </w:r>
      <w:r w:rsidRPr="00A648CE">
        <w:rPr>
          <w:rFonts w:hint="eastAsia"/>
          <w:lang w:val="en-GB"/>
        </w:rPr>
        <w:t>过去五年里，洪都拉斯举行了两次大选，来自广泛思想领域的新政治运动参加了大选。现在，洪都拉斯全面参加所有国际论坛，并与</w:t>
      </w:r>
      <w:r w:rsidRPr="00A648CE">
        <w:rPr>
          <w:rFonts w:hint="eastAsia"/>
          <w:lang w:val="en-GB"/>
        </w:rPr>
        <w:t>100</w:t>
      </w:r>
      <w:r w:rsidRPr="00A648CE">
        <w:rPr>
          <w:rFonts w:hint="eastAsia"/>
          <w:lang w:val="en-GB"/>
        </w:rPr>
        <w:t>多个国家建立了外交关系。商业和金融交流和服务也使洪都拉斯经济实现正增长。公民安全和社会保护方案方面的进步对洪都拉斯非常重要。</w:t>
      </w:r>
    </w:p>
    <w:p w:rsidR="00A648CE" w:rsidRPr="00A648CE" w:rsidRDefault="00A648CE" w:rsidP="00A648CE">
      <w:pPr>
        <w:pStyle w:val="SingleTxtGC"/>
        <w:rPr>
          <w:rFonts w:hint="eastAsia"/>
          <w:lang w:val="en-GB"/>
        </w:rPr>
      </w:pPr>
      <w:r w:rsidRPr="00A648CE">
        <w:rPr>
          <w:iCs/>
          <w:lang w:val="en-GB"/>
        </w:rPr>
        <w:t xml:space="preserve">9.  </w:t>
      </w:r>
      <w:r w:rsidRPr="00A648CE">
        <w:rPr>
          <w:rFonts w:hint="eastAsia"/>
          <w:lang w:val="en-GB"/>
        </w:rPr>
        <w:t>在</w:t>
      </w:r>
      <w:r w:rsidRPr="00A648CE">
        <w:rPr>
          <w:rFonts w:hint="eastAsia"/>
          <w:lang w:val="en-GB"/>
        </w:rPr>
        <w:t>2010</w:t>
      </w:r>
      <w:r w:rsidRPr="00A648CE">
        <w:rPr>
          <w:rFonts w:hint="eastAsia"/>
          <w:lang w:val="en-GB"/>
        </w:rPr>
        <w:t>年收到的共计</w:t>
      </w:r>
      <w:r w:rsidRPr="00A648CE">
        <w:rPr>
          <w:rFonts w:hint="eastAsia"/>
          <w:lang w:val="en-GB"/>
        </w:rPr>
        <w:t>129</w:t>
      </w:r>
      <w:r w:rsidRPr="00A648CE">
        <w:rPr>
          <w:rFonts w:hint="eastAsia"/>
          <w:lang w:val="en-GB"/>
        </w:rPr>
        <w:t>条建议中，洪都拉斯已落实了</w:t>
      </w:r>
      <w:r w:rsidRPr="00A648CE">
        <w:rPr>
          <w:rFonts w:hint="eastAsia"/>
          <w:lang w:val="en-GB"/>
        </w:rPr>
        <w:t>106</w:t>
      </w:r>
      <w:r w:rsidRPr="00A648CE">
        <w:rPr>
          <w:rFonts w:hint="eastAsia"/>
          <w:lang w:val="en-GB"/>
        </w:rPr>
        <w:t>条。另外</w:t>
      </w:r>
      <w:r w:rsidRPr="00A648CE">
        <w:rPr>
          <w:rFonts w:hint="eastAsia"/>
          <w:lang w:val="en-GB"/>
        </w:rPr>
        <w:t>20</w:t>
      </w:r>
      <w:r w:rsidRPr="00A648CE">
        <w:rPr>
          <w:rFonts w:hint="eastAsia"/>
          <w:lang w:val="en-GB"/>
        </w:rPr>
        <w:t>条正在完成过程中，仅有</w:t>
      </w:r>
      <w:r w:rsidRPr="00A648CE">
        <w:rPr>
          <w:rFonts w:hint="eastAsia"/>
          <w:lang w:val="en-GB"/>
        </w:rPr>
        <w:t>3</w:t>
      </w:r>
      <w:r w:rsidRPr="00A648CE">
        <w:rPr>
          <w:rFonts w:hint="eastAsia"/>
          <w:lang w:val="en-GB"/>
        </w:rPr>
        <w:t>条迄今尚未落实。这些成就是陈述过程中及第二次国家报告中所强调的一系列努力的结果，并表明了洪都拉斯对人权的承诺。</w:t>
      </w:r>
    </w:p>
    <w:p w:rsidR="00A648CE" w:rsidRPr="00A648CE" w:rsidRDefault="00A648CE" w:rsidP="00A648CE">
      <w:pPr>
        <w:pStyle w:val="SingleTxtGC"/>
        <w:rPr>
          <w:rFonts w:hint="eastAsia"/>
          <w:lang w:val="en-GB"/>
        </w:rPr>
      </w:pPr>
      <w:r w:rsidRPr="00A648CE">
        <w:rPr>
          <w:iCs/>
          <w:lang w:val="en-GB"/>
        </w:rPr>
        <w:t xml:space="preserve">10.  </w:t>
      </w:r>
      <w:r w:rsidRPr="00A648CE">
        <w:rPr>
          <w:rFonts w:hint="eastAsia"/>
          <w:lang w:val="en-GB"/>
        </w:rPr>
        <w:t>洪都拉斯认识到，普遍定期审议为与民间社会和国际社会对话提供了宝贵空间。参加普遍定期审议的代表团组成情况反映了人权领域内所有机构的工作。</w:t>
      </w:r>
    </w:p>
    <w:p w:rsidR="00A648CE" w:rsidRPr="00A648CE" w:rsidRDefault="00A648CE" w:rsidP="00A648CE">
      <w:pPr>
        <w:pStyle w:val="SingleTxtGC"/>
        <w:rPr>
          <w:rFonts w:hint="eastAsia"/>
          <w:lang w:val="en-GB"/>
        </w:rPr>
      </w:pPr>
      <w:r w:rsidRPr="00A648CE">
        <w:rPr>
          <w:iCs/>
          <w:lang w:val="en-GB"/>
        </w:rPr>
        <w:t xml:space="preserve">11.  </w:t>
      </w:r>
      <w:r w:rsidRPr="00A648CE">
        <w:rPr>
          <w:rFonts w:hint="eastAsia"/>
          <w:lang w:val="en-GB"/>
        </w:rPr>
        <w:t>参考了在制定政策和体制框架以及与人权机制合作方面取得的进展情况。</w:t>
      </w:r>
    </w:p>
    <w:p w:rsidR="00A648CE" w:rsidRPr="00A648CE" w:rsidRDefault="00A648CE" w:rsidP="00A648CE">
      <w:pPr>
        <w:pStyle w:val="SingleTxtGC"/>
        <w:rPr>
          <w:rFonts w:hint="eastAsia"/>
          <w:lang w:val="en-GB"/>
        </w:rPr>
      </w:pPr>
      <w:r w:rsidRPr="00A648CE">
        <w:rPr>
          <w:iCs/>
          <w:lang w:val="en-GB"/>
        </w:rPr>
        <w:t xml:space="preserve">12.  </w:t>
      </w:r>
      <w:r w:rsidRPr="00A648CE">
        <w:rPr>
          <w:rFonts w:hint="eastAsia"/>
          <w:lang w:val="en-GB"/>
        </w:rPr>
        <w:t>除其他外，还参考了依据国际规范对界定人员失踪、酷刑、歧视和煽动仇恨等罪行的国内立法的修订情况。</w:t>
      </w:r>
    </w:p>
    <w:p w:rsidR="00A648CE" w:rsidRPr="00A648CE" w:rsidRDefault="00A648CE" w:rsidP="00A648CE">
      <w:pPr>
        <w:pStyle w:val="SingleTxtGC"/>
        <w:rPr>
          <w:rFonts w:hint="eastAsia"/>
          <w:lang w:val="en-GB"/>
        </w:rPr>
      </w:pPr>
      <w:r w:rsidRPr="00A648CE">
        <w:rPr>
          <w:iCs/>
          <w:lang w:val="en-GB"/>
        </w:rPr>
        <w:t xml:space="preserve">13.  </w:t>
      </w:r>
      <w:r w:rsidRPr="00A648CE">
        <w:rPr>
          <w:rFonts w:hint="eastAsia"/>
          <w:lang w:val="en-GB"/>
        </w:rPr>
        <w:t>已通过公开竞聘程序任命了国家人权专员。行政部门设立了人权事务秘书处和真相与和解委员会。已通过了《国家人权行动计划》。</w:t>
      </w:r>
    </w:p>
    <w:p w:rsidR="00A648CE" w:rsidRPr="00A648CE" w:rsidRDefault="00A648CE" w:rsidP="00A648CE">
      <w:pPr>
        <w:pStyle w:val="SingleTxtGC"/>
        <w:rPr>
          <w:rFonts w:hint="eastAsia"/>
          <w:lang w:val="en-GB"/>
        </w:rPr>
      </w:pPr>
      <w:r w:rsidRPr="00A648CE">
        <w:rPr>
          <w:iCs/>
          <w:lang w:val="en-GB"/>
        </w:rPr>
        <w:t xml:space="preserve">14.  </w:t>
      </w:r>
      <w:r w:rsidRPr="00A648CE">
        <w:rPr>
          <w:rFonts w:hint="eastAsia"/>
          <w:lang w:val="en-GB"/>
        </w:rPr>
        <w:t>洪都拉斯为向各条约机构提交应交报告做出了一致努力。在向特别程序发出无限期邀请的框架内，五名特别报告员和工作组对洪都拉斯进行了访问，且后续建议已在《国家人权行动计划》得到考虑。洪都拉斯还履行了美洲人权法院的判决。</w:t>
      </w:r>
    </w:p>
    <w:p w:rsidR="00A648CE" w:rsidRPr="00A648CE" w:rsidRDefault="00A648CE" w:rsidP="00A648CE">
      <w:pPr>
        <w:pStyle w:val="SingleTxtGC"/>
        <w:rPr>
          <w:rFonts w:hint="eastAsia"/>
          <w:lang w:val="en-GB"/>
        </w:rPr>
      </w:pPr>
      <w:r w:rsidRPr="00A648CE">
        <w:rPr>
          <w:iCs/>
          <w:lang w:val="en-GB"/>
        </w:rPr>
        <w:t xml:space="preserve">15.  </w:t>
      </w:r>
      <w:r w:rsidRPr="00A648CE">
        <w:rPr>
          <w:rFonts w:hint="eastAsia"/>
          <w:lang w:val="en-GB"/>
        </w:rPr>
        <w:t>自第一个周期以来，国民议会已批准六项核心国际人权文书，并撤销了对难民地位的保留。</w:t>
      </w:r>
    </w:p>
    <w:p w:rsidR="00A648CE" w:rsidRPr="00A648CE" w:rsidRDefault="00A648CE" w:rsidP="00A648CE">
      <w:pPr>
        <w:pStyle w:val="SingleTxtGC"/>
        <w:rPr>
          <w:rFonts w:hint="eastAsia"/>
          <w:lang w:val="en-GB"/>
        </w:rPr>
      </w:pPr>
      <w:r w:rsidRPr="00A648CE">
        <w:rPr>
          <w:iCs/>
          <w:lang w:val="en-GB"/>
        </w:rPr>
        <w:t xml:space="preserve">16.  </w:t>
      </w:r>
      <w:r w:rsidRPr="00A648CE">
        <w:rPr>
          <w:rFonts w:hint="eastAsia"/>
          <w:lang w:val="en-GB"/>
        </w:rPr>
        <w:t>代表团指出，洪都拉斯一直是有组织犯罪袭击的受害者，已采取有力措施打击此种犯罪。洪都拉斯不再是南美和北美之间运输毒品的主要桥梁，也不再是世界上暴力最严重的国家。洪都拉斯已在保护生命权方面取得巨大进步。国家警察署一直在进行深度改革。洪都拉斯还通过批准一个法律和体制框架加强了公共安全系统，总体上减少减少了杀戮和暴力，尽管仍有许多工作要做。</w:t>
      </w:r>
    </w:p>
    <w:p w:rsidR="00A648CE" w:rsidRPr="00A648CE" w:rsidRDefault="00A648CE" w:rsidP="00A648CE">
      <w:pPr>
        <w:pStyle w:val="SingleTxtGC"/>
        <w:rPr>
          <w:rFonts w:hint="eastAsia"/>
          <w:lang w:val="en-GB"/>
        </w:rPr>
      </w:pPr>
      <w:r w:rsidRPr="00A648CE">
        <w:rPr>
          <w:iCs/>
          <w:lang w:val="en-GB"/>
        </w:rPr>
        <w:t xml:space="preserve">17.  </w:t>
      </w:r>
      <w:r w:rsidRPr="00A648CE">
        <w:rPr>
          <w:rFonts w:hint="eastAsia"/>
          <w:lang w:val="en-GB"/>
        </w:rPr>
        <w:t>还通过了洪都拉斯预防暴力侵害儿童和青年国家政策。</w:t>
      </w:r>
    </w:p>
    <w:p w:rsidR="00A648CE" w:rsidRPr="00A648CE" w:rsidRDefault="00A648CE" w:rsidP="00A648CE">
      <w:pPr>
        <w:pStyle w:val="SingleTxtGC"/>
        <w:rPr>
          <w:rFonts w:hint="eastAsia"/>
          <w:lang w:val="en-GB"/>
        </w:rPr>
      </w:pPr>
      <w:r w:rsidRPr="00A648CE">
        <w:rPr>
          <w:iCs/>
          <w:lang w:val="en-GB"/>
        </w:rPr>
        <w:t xml:space="preserve">18.  </w:t>
      </w:r>
      <w:r w:rsidRPr="00A648CE">
        <w:rPr>
          <w:rFonts w:hint="eastAsia"/>
          <w:iCs/>
          <w:lang w:val="en-GB"/>
        </w:rPr>
        <w:t>在</w:t>
      </w:r>
      <w:r w:rsidRPr="00A648CE">
        <w:rPr>
          <w:rFonts w:hint="eastAsia"/>
          <w:lang w:val="en-GB"/>
        </w:rPr>
        <w:t>2014</w:t>
      </w:r>
      <w:r w:rsidRPr="00A648CE">
        <w:rPr>
          <w:rFonts w:hint="eastAsia"/>
          <w:lang w:val="en-GB"/>
        </w:rPr>
        <w:t>至</w:t>
      </w:r>
      <w:r w:rsidRPr="00A648CE">
        <w:rPr>
          <w:rFonts w:hint="eastAsia"/>
          <w:lang w:val="en-GB"/>
        </w:rPr>
        <w:t>2015</w:t>
      </w:r>
      <w:r w:rsidRPr="00A648CE">
        <w:rPr>
          <w:rFonts w:hint="eastAsia"/>
          <w:lang w:val="en-GB"/>
        </w:rPr>
        <w:t>年期间，未发生与社会冲突有关的谋杀或暴力死亡。</w:t>
      </w:r>
    </w:p>
    <w:p w:rsidR="00A648CE" w:rsidRPr="00A648CE" w:rsidRDefault="00A648CE" w:rsidP="00A648CE">
      <w:pPr>
        <w:pStyle w:val="SingleTxtGC"/>
        <w:rPr>
          <w:rFonts w:hint="eastAsia"/>
        </w:rPr>
      </w:pPr>
      <w:r w:rsidRPr="00A648CE">
        <w:rPr>
          <w:iCs/>
        </w:rPr>
        <w:t xml:space="preserve">19.  </w:t>
      </w:r>
      <w:r w:rsidRPr="00A648CE">
        <w:rPr>
          <w:rFonts w:hint="eastAsia"/>
        </w:rPr>
        <w:t>关于处境危险者的保护问题，洪都拉斯执行了美洲人权委员会建议的措施和美洲法院发布的临时预防措施。国民议会批准了关于保护人权维护者、新闻工作者、社会宣传人员和司法官员的法律，该法采用参与和包容方式对这些人员进行监管。该法对依据人员所面临风险类型对一系列预防性措施和紧急保护问题做出了规定，并在人权事务秘书处内部设立了保护制度。</w:t>
      </w:r>
    </w:p>
    <w:p w:rsidR="00A648CE" w:rsidRPr="00A648CE" w:rsidRDefault="00A648CE" w:rsidP="00A648CE">
      <w:pPr>
        <w:pStyle w:val="SingleTxtGC"/>
        <w:rPr>
          <w:rFonts w:hint="eastAsia"/>
          <w:lang w:val="en-GB"/>
        </w:rPr>
      </w:pPr>
      <w:r w:rsidRPr="00A648CE">
        <w:rPr>
          <w:iCs/>
          <w:lang w:val="en-GB"/>
        </w:rPr>
        <w:t xml:space="preserve">20.  </w:t>
      </w:r>
      <w:r w:rsidRPr="00A648CE">
        <w:rPr>
          <w:rFonts w:hint="eastAsia"/>
          <w:lang w:val="en-GB"/>
        </w:rPr>
        <w:t>还介绍了为打击贩运人口行为而采取的措施，这些措施载于最近通过的一项法律。</w:t>
      </w:r>
    </w:p>
    <w:p w:rsidR="00A648CE" w:rsidRPr="00A648CE" w:rsidRDefault="00A648CE" w:rsidP="00A648CE">
      <w:pPr>
        <w:pStyle w:val="SingleTxtGC"/>
        <w:rPr>
          <w:rFonts w:hint="eastAsia"/>
          <w:lang w:val="en-GB"/>
        </w:rPr>
      </w:pPr>
      <w:r w:rsidRPr="00A648CE">
        <w:rPr>
          <w:iCs/>
          <w:lang w:val="en-GB"/>
        </w:rPr>
        <w:t xml:space="preserve">21.  </w:t>
      </w:r>
      <w:r w:rsidRPr="00A648CE">
        <w:rPr>
          <w:rFonts w:hint="eastAsia"/>
          <w:lang w:val="en-GB"/>
        </w:rPr>
        <w:t>值得注意的是，设立了</w:t>
      </w:r>
      <w:r w:rsidRPr="00A648CE">
        <w:rPr>
          <w:lang w:val="en-GB"/>
        </w:rPr>
        <w:t>防范酷刑和残忍、不人道或有辱人格待遇</w:t>
      </w:r>
      <w:r w:rsidRPr="00A648CE">
        <w:rPr>
          <w:rFonts w:hint="eastAsia"/>
          <w:lang w:val="en-GB"/>
        </w:rPr>
        <w:t>国家</w:t>
      </w:r>
      <w:r w:rsidRPr="00A648CE">
        <w:rPr>
          <w:lang w:val="en-GB"/>
        </w:rPr>
        <w:t>委员会</w:t>
      </w:r>
      <w:r w:rsidRPr="00A648CE">
        <w:rPr>
          <w:rFonts w:hint="eastAsia"/>
          <w:lang w:val="en-GB"/>
        </w:rPr>
        <w:t>并实现了一体化。该委员会本身是一个具有行政、技术和预算自主权的独立国家机构。</w:t>
      </w:r>
    </w:p>
    <w:p w:rsidR="00A648CE" w:rsidRPr="00A648CE" w:rsidRDefault="00A648CE" w:rsidP="00A648CE">
      <w:pPr>
        <w:pStyle w:val="SingleTxtGC"/>
        <w:rPr>
          <w:rFonts w:hint="eastAsia"/>
          <w:lang w:val="en-GB"/>
        </w:rPr>
      </w:pPr>
      <w:r w:rsidRPr="00A648CE">
        <w:rPr>
          <w:iCs/>
          <w:lang w:val="en-GB"/>
        </w:rPr>
        <w:t xml:space="preserve">22.  </w:t>
      </w:r>
      <w:r w:rsidRPr="00A648CE">
        <w:rPr>
          <w:rFonts w:hint="eastAsia"/>
          <w:lang w:val="en-GB"/>
        </w:rPr>
        <w:t>关于民主和参与，国民议会对《宪法》进行了修订，以便通过全民投票、公投和公民倡议方式推行法案。还对宪法进行了修正，以便将个人资料保护令作为一种保护私人数据和荣誉权、隐私权和个人形象权的机制纳入宪法。</w:t>
      </w:r>
    </w:p>
    <w:p w:rsidR="00A648CE" w:rsidRPr="00A648CE" w:rsidRDefault="00A648CE" w:rsidP="00A648CE">
      <w:pPr>
        <w:pStyle w:val="SingleTxtGC"/>
        <w:rPr>
          <w:rFonts w:hint="eastAsia"/>
          <w:lang w:val="en-GB"/>
        </w:rPr>
      </w:pPr>
      <w:r w:rsidRPr="00A648CE">
        <w:rPr>
          <w:lang w:val="en-GB"/>
        </w:rPr>
        <w:t xml:space="preserve">23.  </w:t>
      </w:r>
      <w:r w:rsidRPr="00A648CE">
        <w:rPr>
          <w:rFonts w:hint="eastAsia"/>
          <w:lang w:val="en-GB"/>
        </w:rPr>
        <w:t>作为宪法改革的一部分，弹劾和结社自由权也受到保障。</w:t>
      </w:r>
    </w:p>
    <w:p w:rsidR="00A648CE" w:rsidRPr="00A648CE" w:rsidRDefault="00A648CE" w:rsidP="00A648CE">
      <w:pPr>
        <w:pStyle w:val="SingleTxtGC"/>
        <w:rPr>
          <w:rFonts w:hint="eastAsia"/>
          <w:lang w:val="en-GB"/>
        </w:rPr>
      </w:pPr>
      <w:r w:rsidRPr="00A648CE">
        <w:rPr>
          <w:lang w:val="en-GB"/>
        </w:rPr>
        <w:t xml:space="preserve">24.  </w:t>
      </w:r>
      <w:r w:rsidRPr="00A648CE">
        <w:rPr>
          <w:rFonts w:hint="eastAsia"/>
          <w:lang w:val="en-GB"/>
        </w:rPr>
        <w:t>关于土著人民的各项权利，洪都拉斯推动土著人获得土地。能源、自然资源和环境秘书处目前正与洪都拉斯原住民族联合会合作，共同起草关于土著人民事先知情协商的法案。</w:t>
      </w:r>
    </w:p>
    <w:p w:rsidR="00A648CE" w:rsidRPr="00A648CE" w:rsidRDefault="00A648CE" w:rsidP="00A648CE">
      <w:pPr>
        <w:pStyle w:val="SingleTxtGC"/>
        <w:rPr>
          <w:rFonts w:hint="eastAsia"/>
          <w:lang w:val="en-GB"/>
        </w:rPr>
      </w:pPr>
      <w:r w:rsidRPr="00A648CE">
        <w:rPr>
          <w:iCs/>
          <w:lang w:val="en-GB"/>
        </w:rPr>
        <w:t xml:space="preserve">25.  </w:t>
      </w:r>
      <w:r w:rsidRPr="00A648CE">
        <w:rPr>
          <w:rFonts w:hint="eastAsia"/>
          <w:lang w:val="en-GB"/>
        </w:rPr>
        <w:t>还恢复了反对种族歧视、仇外心理和相关形式不容忍行为国家委员会。</w:t>
      </w:r>
    </w:p>
    <w:p w:rsidR="00A648CE" w:rsidRPr="00A648CE" w:rsidRDefault="00A648CE" w:rsidP="00A648CE">
      <w:pPr>
        <w:pStyle w:val="SingleTxtGC"/>
        <w:rPr>
          <w:rFonts w:hint="eastAsia"/>
          <w:lang w:val="en-GB"/>
        </w:rPr>
      </w:pPr>
      <w:r w:rsidRPr="00A648CE">
        <w:rPr>
          <w:iCs/>
          <w:lang w:val="en-GB"/>
        </w:rPr>
        <w:t xml:space="preserve">26.  </w:t>
      </w:r>
      <w:r w:rsidRPr="00A648CE">
        <w:rPr>
          <w:rFonts w:hint="eastAsia"/>
          <w:lang w:val="en-GB"/>
        </w:rPr>
        <w:t>关于性别多样性，洪都拉斯优先实施《国家人权行动计划》中有利于该群体的行动。其中包括法律改革、提高认识运动和培训。</w:t>
      </w:r>
    </w:p>
    <w:p w:rsidR="00A648CE" w:rsidRPr="00A648CE" w:rsidRDefault="00A648CE" w:rsidP="00A648CE">
      <w:pPr>
        <w:pStyle w:val="SingleTxtGC"/>
        <w:rPr>
          <w:rFonts w:hint="eastAsia"/>
          <w:lang w:val="en-GB"/>
        </w:rPr>
      </w:pPr>
      <w:r w:rsidRPr="00A648CE">
        <w:rPr>
          <w:iCs/>
          <w:lang w:val="en-GB"/>
        </w:rPr>
        <w:t xml:space="preserve">27.  </w:t>
      </w:r>
      <w:r w:rsidRPr="00A648CE">
        <w:rPr>
          <w:rFonts w:hint="eastAsia"/>
          <w:lang w:val="en-GB"/>
        </w:rPr>
        <w:t>在经济、社会和文化权利领域以及战胜贫穷工作方面，修订了《宪法》，使其包括饮水权和卫生权。除其他外，洪都拉斯推出了预防青少年怀孕计划，加强公共教育，并通过了用以应对气候变化影响的立法。</w:t>
      </w:r>
    </w:p>
    <w:p w:rsidR="00A648CE" w:rsidRPr="00A648CE" w:rsidRDefault="00A648CE" w:rsidP="00A648CE">
      <w:pPr>
        <w:pStyle w:val="SingleTxtGC"/>
        <w:rPr>
          <w:rFonts w:hint="eastAsia"/>
          <w:lang w:val="en-GB"/>
        </w:rPr>
      </w:pPr>
      <w:r w:rsidRPr="00A648CE">
        <w:rPr>
          <w:iCs/>
          <w:lang w:val="en-GB"/>
        </w:rPr>
        <w:t xml:space="preserve">28.  </w:t>
      </w:r>
      <w:r w:rsidRPr="00A648CE">
        <w:rPr>
          <w:rFonts w:hint="eastAsia"/>
          <w:lang w:val="en-GB"/>
        </w:rPr>
        <w:t>洪都拉斯设立了儿童、青少年和家庭问题局，该局与当地政府签署协议，推出了儿童保护国家制度以便在地方和国家一级开展行动。批准《</w:t>
      </w:r>
      <w:r w:rsidRPr="00A648CE">
        <w:rPr>
          <w:lang w:val="en-GB"/>
        </w:rPr>
        <w:t>跨国收养方面保护儿童及合作公约</w:t>
      </w:r>
      <w:r w:rsidRPr="00A648CE">
        <w:rPr>
          <w:rFonts w:hint="eastAsia"/>
          <w:lang w:val="en-GB"/>
        </w:rPr>
        <w:t>》的程序也在进行中。</w:t>
      </w:r>
    </w:p>
    <w:p w:rsidR="00A648CE" w:rsidRPr="00A648CE" w:rsidRDefault="00A648CE" w:rsidP="00A648CE">
      <w:pPr>
        <w:pStyle w:val="SingleTxtGC"/>
        <w:rPr>
          <w:rFonts w:hint="eastAsia"/>
          <w:lang w:val="en-GB"/>
        </w:rPr>
      </w:pPr>
      <w:r w:rsidRPr="00A648CE">
        <w:rPr>
          <w:iCs/>
          <w:lang w:val="en-GB"/>
        </w:rPr>
        <w:t xml:space="preserve">29.  </w:t>
      </w:r>
      <w:r w:rsidRPr="00A648CE">
        <w:rPr>
          <w:rFonts w:hint="eastAsia"/>
          <w:lang w:val="en-GB"/>
        </w:rPr>
        <w:t>该局设立了支持替代措施的刑事司法特别方案。该局还对所有重返社会方案进行监测。作为《促进繁荣伙伴关系计划》的一部分，洪都拉斯设立了刑事司法特别方案。</w:t>
      </w:r>
    </w:p>
    <w:p w:rsidR="00A648CE" w:rsidRPr="00A648CE" w:rsidRDefault="00A648CE" w:rsidP="00A648CE">
      <w:pPr>
        <w:pStyle w:val="SingleTxtGC"/>
        <w:rPr>
          <w:rFonts w:hint="eastAsia"/>
          <w:lang w:val="en-GB"/>
        </w:rPr>
      </w:pPr>
      <w:r w:rsidRPr="00A648CE">
        <w:rPr>
          <w:iCs/>
          <w:lang w:val="en-GB"/>
        </w:rPr>
        <w:t xml:space="preserve">30.  </w:t>
      </w:r>
      <w:r w:rsidRPr="00A648CE">
        <w:rPr>
          <w:rFonts w:hint="eastAsia"/>
          <w:lang w:val="en-GB"/>
        </w:rPr>
        <w:t>保护儿童免遭虐待是纳入《宪法》的一项原则。国民议会已批准对《儿童和青少年法》进行全面修订，同时考虑到儿童权利委员会的建议。</w:t>
      </w:r>
    </w:p>
    <w:p w:rsidR="00A648CE" w:rsidRPr="00A648CE" w:rsidRDefault="00A648CE" w:rsidP="00A648CE">
      <w:pPr>
        <w:pStyle w:val="SingleTxtGC"/>
        <w:rPr>
          <w:rFonts w:hint="eastAsia"/>
          <w:lang w:val="en-GB"/>
        </w:rPr>
      </w:pPr>
      <w:r w:rsidRPr="00A648CE">
        <w:rPr>
          <w:iCs/>
          <w:lang w:val="en-GB"/>
        </w:rPr>
        <w:t xml:space="preserve">31.  </w:t>
      </w:r>
      <w:r w:rsidRPr="00A648CE">
        <w:rPr>
          <w:rFonts w:hint="eastAsia"/>
          <w:lang w:val="en-GB"/>
        </w:rPr>
        <w:t>代表团提及联合国人权事务高级专员提出在洪都拉斯设立人权高专办国家办事处的请求。洪都拉斯认为，该办事处将有助于加强国家人权保护制度，将为对话提供空间，并将客观地监测和报告该国的人权状况。高级专员还将向洪都拉斯各机构提供技术援助。</w:t>
      </w:r>
    </w:p>
    <w:p w:rsidR="00A648CE" w:rsidRPr="00A648CE" w:rsidRDefault="00A648CE" w:rsidP="00A648CE">
      <w:pPr>
        <w:pStyle w:val="SingleTxtGC"/>
        <w:rPr>
          <w:rFonts w:hint="eastAsia"/>
          <w:lang w:val="en-GB"/>
        </w:rPr>
      </w:pPr>
      <w:r w:rsidRPr="00A648CE">
        <w:rPr>
          <w:iCs/>
          <w:lang w:val="en-GB"/>
        </w:rPr>
        <w:t xml:space="preserve">32.  </w:t>
      </w:r>
      <w:r w:rsidRPr="00A648CE">
        <w:rPr>
          <w:rFonts w:hint="eastAsia"/>
          <w:lang w:val="en-GB"/>
        </w:rPr>
        <w:t>最高法院院长报告称，国民议会设立了司法机构和司法人员委员会，此举消除了任意任命或政治任命的可能性。为确保公民有要求对司法官员行为进行问责的权利，普通法院和宪法法院可对该委员会的所有裁决进行复审。</w:t>
      </w:r>
    </w:p>
    <w:p w:rsidR="00A648CE" w:rsidRPr="00A648CE" w:rsidRDefault="00A648CE" w:rsidP="00A648CE">
      <w:pPr>
        <w:pStyle w:val="SingleTxtGC"/>
        <w:rPr>
          <w:rFonts w:hint="eastAsia"/>
          <w:lang w:val="en-GB"/>
        </w:rPr>
      </w:pPr>
      <w:r w:rsidRPr="00A648CE">
        <w:rPr>
          <w:iCs/>
          <w:lang w:val="en-GB"/>
        </w:rPr>
        <w:t xml:space="preserve">33.  </w:t>
      </w:r>
      <w:r w:rsidRPr="00A648CE">
        <w:rPr>
          <w:rFonts w:hint="eastAsia"/>
          <w:lang w:val="en-GB"/>
        </w:rPr>
        <w:t>洪都拉斯还设立了负责处理有组织犯罪案件的国家法官，以保护法官不受外部影响。洪都拉斯还加入了旨在加强司法救助的美洲国家组织司法方案。此外，通过支助和保护妇女权利中心，在民间社会的参与下，司法机构已将用于帮助女性暴力受害者的协调行动付诸实施。公设律师还安排人力资源协助妇女，包括通过提高认识运动，以增强被剥夺自由的妇女的权能。</w:t>
      </w:r>
    </w:p>
    <w:p w:rsidR="00A648CE" w:rsidRPr="00A648CE" w:rsidRDefault="00A648CE" w:rsidP="00A648CE">
      <w:pPr>
        <w:pStyle w:val="SingleTxtGC"/>
        <w:rPr>
          <w:rFonts w:hint="eastAsia"/>
          <w:lang w:val="en-GB"/>
        </w:rPr>
      </w:pPr>
      <w:r w:rsidRPr="00A648CE">
        <w:rPr>
          <w:iCs/>
          <w:lang w:val="en-GB"/>
        </w:rPr>
        <w:t xml:space="preserve">34.  </w:t>
      </w:r>
      <w:r w:rsidRPr="00A648CE">
        <w:rPr>
          <w:rFonts w:hint="eastAsia"/>
          <w:lang w:val="en-GB"/>
        </w:rPr>
        <w:t>最高法院院长提到在</w:t>
      </w:r>
      <w:r w:rsidRPr="00A648CE">
        <w:rPr>
          <w:rFonts w:hint="eastAsia"/>
          <w:lang w:val="en-GB"/>
        </w:rPr>
        <w:t>2009</w:t>
      </w:r>
      <w:r w:rsidRPr="00A648CE">
        <w:rPr>
          <w:rFonts w:hint="eastAsia"/>
          <w:lang w:val="en-GB"/>
        </w:rPr>
        <w:t>年解除法官职务的问题，当年，洪都拉斯还碰巧发生了体制危机。他重申，最高法院做出这一裁决的依据是委员会对各种违反纪律规定行为所作的认定，此类前任官员本来应当遵守这些纪律条款。当时，这些前任官员有可加利用的法律渠道，并未用尽。</w:t>
      </w:r>
    </w:p>
    <w:p w:rsidR="00A648CE" w:rsidRPr="00A648CE" w:rsidRDefault="00A648CE" w:rsidP="00A648CE">
      <w:pPr>
        <w:pStyle w:val="SingleTxtGC"/>
        <w:rPr>
          <w:rFonts w:hint="eastAsia"/>
          <w:lang w:val="en-GB"/>
        </w:rPr>
      </w:pPr>
      <w:r w:rsidRPr="00A648CE">
        <w:rPr>
          <w:iCs/>
          <w:lang w:val="en-GB"/>
        </w:rPr>
        <w:t xml:space="preserve">35.  </w:t>
      </w:r>
      <w:r w:rsidRPr="00A648CE">
        <w:rPr>
          <w:rFonts w:hint="eastAsia"/>
          <w:lang w:val="en-GB"/>
        </w:rPr>
        <w:t>人权立法委员会主席指出，洪都拉斯国民议会具有立法职能，并且拥有对公共当局工作进行监督的职能。国民议会在促进和保护人权方面发挥极其重要作用。它为与提出大量立法提案的民间社会、非政府组织和其他相关团体的对话和磋商提供了场所。</w:t>
      </w:r>
    </w:p>
    <w:p w:rsidR="00A648CE" w:rsidRPr="00A648CE" w:rsidRDefault="00A648CE" w:rsidP="00A648CE">
      <w:pPr>
        <w:pStyle w:val="SingleTxtGC"/>
        <w:rPr>
          <w:rFonts w:hint="eastAsia"/>
          <w:lang w:val="en-GB"/>
        </w:rPr>
      </w:pPr>
      <w:r w:rsidRPr="00A648CE">
        <w:rPr>
          <w:iCs/>
          <w:lang w:val="en-GB"/>
        </w:rPr>
        <w:t xml:space="preserve">36.  </w:t>
      </w:r>
      <w:r w:rsidRPr="00A648CE">
        <w:rPr>
          <w:rFonts w:hint="eastAsia"/>
          <w:lang w:val="en-GB"/>
        </w:rPr>
        <w:t>国民议会与联合国实体和整个国际社会保持密切合作。国民议会正在优先处理与行使以下权利相关的问题：儿童、教育、安全、发展、女同性恋、男同性恋、双性恋、变性人和双性群体、土著社区和非洲裔、环境与性别。它还把制定与相关机构和民间社会商定的立法议程定为一项挑战。</w:t>
      </w:r>
    </w:p>
    <w:p w:rsidR="00A648CE" w:rsidRPr="00A648CE" w:rsidRDefault="00A648CE" w:rsidP="00A648CE">
      <w:pPr>
        <w:pStyle w:val="SingleTxtGC"/>
        <w:rPr>
          <w:rFonts w:hint="eastAsia"/>
        </w:rPr>
      </w:pPr>
      <w:r w:rsidRPr="00A648CE">
        <w:rPr>
          <w:iCs/>
        </w:rPr>
        <w:t xml:space="preserve">37.  </w:t>
      </w:r>
      <w:r w:rsidRPr="00A648CE">
        <w:rPr>
          <w:rFonts w:hint="eastAsia"/>
        </w:rPr>
        <w:t>国民议会有责任确保最高法院、检察院和国家人权专员等负责保护和促进人权的机构拥有必要资源，以便履行其各自职责。国民议会还在这些职位的人选选拔方面发挥一定作用，接收其年度报告，并负责对其表现进行公开评估。</w:t>
      </w:r>
    </w:p>
    <w:p w:rsidR="00A648CE" w:rsidRPr="00A648CE" w:rsidRDefault="00A648CE" w:rsidP="00A648CE">
      <w:pPr>
        <w:pStyle w:val="SingleTxtGC"/>
        <w:rPr>
          <w:rFonts w:hint="eastAsia"/>
          <w:lang w:val="en-GB"/>
        </w:rPr>
      </w:pPr>
      <w:r w:rsidRPr="00A648CE">
        <w:rPr>
          <w:iCs/>
          <w:lang w:val="en-GB"/>
        </w:rPr>
        <w:t xml:space="preserve">38.  </w:t>
      </w:r>
      <w:r w:rsidRPr="00A648CE">
        <w:rPr>
          <w:rFonts w:hint="eastAsia"/>
          <w:lang w:val="en-GB"/>
        </w:rPr>
        <w:t>主管人权、司法、内政与权力下放事务的国务秘书报告称，《国家监狱系统法》已在</w:t>
      </w:r>
      <w:r w:rsidRPr="00A648CE">
        <w:rPr>
          <w:rFonts w:hint="eastAsia"/>
          <w:lang w:val="en-GB"/>
        </w:rPr>
        <w:t>2012</w:t>
      </w:r>
      <w:r w:rsidRPr="00A648CE">
        <w:rPr>
          <w:rFonts w:hint="eastAsia"/>
          <w:lang w:val="en-GB"/>
        </w:rPr>
        <w:t>年获得通过。设立了国家监狱管理局，为新建四座监狱以减少监狱人满为患情况分配了资源，并帮助</w:t>
      </w:r>
      <w:r w:rsidRPr="00A648CE">
        <w:rPr>
          <w:rFonts w:hint="eastAsia"/>
          <w:lang w:val="en-GB"/>
        </w:rPr>
        <w:t>29</w:t>
      </w:r>
      <w:r w:rsidRPr="00A648CE">
        <w:rPr>
          <w:rFonts w:hint="eastAsia"/>
          <w:lang w:val="en-GB"/>
        </w:rPr>
        <w:t>个剥夺自由中心加强治理工作。还建立了一支新的狱警队伍。</w:t>
      </w:r>
    </w:p>
    <w:p w:rsidR="00A648CE" w:rsidRPr="00A648CE" w:rsidRDefault="00A648CE" w:rsidP="00A648CE">
      <w:pPr>
        <w:pStyle w:val="SingleTxtGC"/>
        <w:rPr>
          <w:rFonts w:hint="eastAsia"/>
          <w:lang w:val="en-GB"/>
        </w:rPr>
      </w:pPr>
      <w:r w:rsidRPr="00A648CE">
        <w:rPr>
          <w:iCs/>
          <w:lang w:val="en-GB"/>
        </w:rPr>
        <w:t xml:space="preserve">39.  </w:t>
      </w:r>
      <w:r w:rsidRPr="00A648CE">
        <w:rPr>
          <w:rFonts w:hint="eastAsia"/>
          <w:lang w:val="en-GB"/>
        </w:rPr>
        <w:t>人权事务秘书处与国家监狱管理局一起，并根据人权高专办人权顾问的建议，一直在协调首个国家监狱政策的制定工作，该工作有望很快完成。《国家监狱系统法通则》已获批准，国家监狱学院正在设计中。拘留中心的食物、水电卫生和电力系统供应也得到了改进。</w:t>
      </w:r>
    </w:p>
    <w:p w:rsidR="00A648CE" w:rsidRPr="00A648CE" w:rsidRDefault="00A648CE" w:rsidP="00A648CE">
      <w:pPr>
        <w:pStyle w:val="SingleTxtGC"/>
        <w:rPr>
          <w:rFonts w:hint="eastAsia"/>
          <w:lang w:val="en-GB"/>
        </w:rPr>
      </w:pPr>
      <w:r w:rsidRPr="00A648CE">
        <w:rPr>
          <w:iCs/>
          <w:lang w:val="en-GB"/>
        </w:rPr>
        <w:t xml:space="preserve">40.  </w:t>
      </w:r>
      <w:r w:rsidRPr="00A648CE">
        <w:rPr>
          <w:rFonts w:hint="eastAsia"/>
          <w:lang w:val="en-GB"/>
        </w:rPr>
        <w:t>2014</w:t>
      </w:r>
      <w:r w:rsidRPr="00A648CE">
        <w:rPr>
          <w:rFonts w:hint="eastAsia"/>
          <w:lang w:val="en-GB"/>
        </w:rPr>
        <w:t>年，建立了国家移民研究所，负责实施移民法和移民政策。主要成绩是引进了移民控制生物识别系统，并建立了一种打击贩运行为的机制。</w:t>
      </w:r>
    </w:p>
    <w:p w:rsidR="00A648CE" w:rsidRPr="00A648CE" w:rsidRDefault="00A648CE" w:rsidP="00A648CE">
      <w:pPr>
        <w:pStyle w:val="SingleTxtGC"/>
        <w:rPr>
          <w:lang w:val="en-GB"/>
        </w:rPr>
      </w:pPr>
      <w:r w:rsidRPr="00A648CE">
        <w:rPr>
          <w:iCs/>
          <w:lang w:val="en-GB"/>
        </w:rPr>
        <w:t xml:space="preserve">41.  </w:t>
      </w:r>
      <w:r w:rsidRPr="00A648CE">
        <w:rPr>
          <w:rFonts w:hint="eastAsia"/>
          <w:iCs/>
          <w:lang w:val="en-GB"/>
        </w:rPr>
        <w:t>洪都拉斯还解决了新出现的孤身儿童移徙问题。通过洪都拉斯第一夫人领导的机构和跨部门协调，移徙儿童特别委员会提供收容、健康评估、咨询支助、工作培训、重返学校、紧急食物援助和经济援助等全面服务，</w:t>
      </w:r>
      <w:r w:rsidRPr="00A648CE">
        <w:rPr>
          <w:rFonts w:hint="eastAsia"/>
          <w:lang w:val="en-GB"/>
        </w:rPr>
        <w:t>使儿童和家庭单位能够返回其原籍地。这些行动已使孤身儿童数量大幅减少。</w:t>
      </w:r>
    </w:p>
    <w:p w:rsidR="00A648CE" w:rsidRPr="00A648CE" w:rsidRDefault="00A648CE" w:rsidP="00A648CE">
      <w:pPr>
        <w:pStyle w:val="SingleTxtGC"/>
        <w:rPr>
          <w:rFonts w:hint="eastAsia"/>
          <w:lang w:val="en-GB"/>
        </w:rPr>
      </w:pPr>
      <w:r w:rsidRPr="00A648CE">
        <w:rPr>
          <w:iCs/>
          <w:lang w:val="en-GB"/>
        </w:rPr>
        <w:t xml:space="preserve">42.  </w:t>
      </w:r>
      <w:r w:rsidRPr="00A648CE">
        <w:rPr>
          <w:rFonts w:hint="eastAsia"/>
          <w:lang w:val="en-GB"/>
        </w:rPr>
        <w:t>国家妇女研究所所长指出，洪都拉斯决心进行结构性改革，以便利妇女实现平等。国家妇女研究所通过举办一个全国协商进程，领导制定了《第二个性别平等和公平计划》。该研究所目前正在实施一项宣传战略和加强体制机制。</w:t>
      </w:r>
    </w:p>
    <w:p w:rsidR="00A648CE" w:rsidRPr="00A648CE" w:rsidRDefault="00A648CE" w:rsidP="00A648CE">
      <w:pPr>
        <w:pStyle w:val="SingleTxtGC"/>
        <w:rPr>
          <w:rFonts w:hint="eastAsia"/>
          <w:lang w:val="en-GB"/>
        </w:rPr>
      </w:pPr>
      <w:r w:rsidRPr="00A648CE">
        <w:rPr>
          <w:iCs/>
          <w:lang w:val="en-GB"/>
        </w:rPr>
        <w:t xml:space="preserve">43.  </w:t>
      </w:r>
      <w:r w:rsidRPr="00A648CE">
        <w:rPr>
          <w:rFonts w:hint="eastAsia"/>
          <w:lang w:val="en-GB"/>
        </w:rPr>
        <w:t>洪都拉斯已在司法机关设立了性别平等股、在不同市政当局设立了卫生和安全秘书及性别平等委员会。市妇女事务办公室也参与这些进程的协调。</w:t>
      </w:r>
    </w:p>
    <w:p w:rsidR="00A648CE" w:rsidRPr="00A648CE" w:rsidRDefault="00A648CE" w:rsidP="00A648CE">
      <w:pPr>
        <w:pStyle w:val="SingleTxtGC"/>
        <w:rPr>
          <w:rFonts w:hint="eastAsia"/>
          <w:lang w:val="en-GB"/>
        </w:rPr>
      </w:pPr>
      <w:r w:rsidRPr="00A648CE">
        <w:rPr>
          <w:iCs/>
          <w:lang w:val="en-GB"/>
        </w:rPr>
        <w:t xml:space="preserve">44.  </w:t>
      </w:r>
      <w:r w:rsidRPr="00A648CE">
        <w:rPr>
          <w:rFonts w:hint="eastAsia"/>
          <w:lang w:val="en-GB"/>
        </w:rPr>
        <w:t>洪都拉斯已将杀害女性问题纳入立法，对此种罪行的犯罪人实施处罚。《打击贩运人口法》和《防止暴力侵害妇女国家计划》也已获得通过。</w:t>
      </w:r>
    </w:p>
    <w:p w:rsidR="00A648CE" w:rsidRPr="00A648CE" w:rsidRDefault="00A648CE" w:rsidP="00A648CE">
      <w:pPr>
        <w:pStyle w:val="SingleTxtGC"/>
        <w:rPr>
          <w:rFonts w:hint="eastAsia"/>
          <w:lang w:val="en-GB"/>
        </w:rPr>
      </w:pPr>
      <w:r w:rsidRPr="00A648CE">
        <w:rPr>
          <w:iCs/>
          <w:lang w:val="en-GB"/>
        </w:rPr>
        <w:t xml:space="preserve">45.  </w:t>
      </w:r>
      <w:r w:rsidRPr="00A648CE">
        <w:rPr>
          <w:rFonts w:hint="eastAsia"/>
          <w:lang w:val="en-GB"/>
        </w:rPr>
        <w:t>洪都拉斯发起了一项公共宣传运动，以消除公共和私营部门工作中的性骚扰行为。</w:t>
      </w:r>
    </w:p>
    <w:p w:rsidR="00A648CE" w:rsidRPr="00A648CE" w:rsidRDefault="00A648CE" w:rsidP="00A648CE">
      <w:pPr>
        <w:pStyle w:val="SingleTxtGC"/>
        <w:rPr>
          <w:rFonts w:hint="eastAsia"/>
          <w:lang w:val="en-GB"/>
        </w:rPr>
      </w:pPr>
      <w:r w:rsidRPr="00A648CE">
        <w:rPr>
          <w:iCs/>
          <w:lang w:val="en-GB"/>
        </w:rPr>
        <w:t xml:space="preserve">46.  </w:t>
      </w:r>
      <w:r w:rsidRPr="00A648CE">
        <w:rPr>
          <w:rFonts w:hint="eastAsia"/>
          <w:lang w:val="en-GB"/>
        </w:rPr>
        <w:t>编制了《综合援助女性暴力受害者规程》和技术指南以供卫生官员和司法人员使用。还在</w:t>
      </w:r>
      <w:r w:rsidRPr="00A648CE">
        <w:rPr>
          <w:lang w:val="en-GB"/>
        </w:rPr>
        <w:t>特古西加尔巴</w:t>
      </w:r>
      <w:r w:rsidRPr="00A648CE">
        <w:rPr>
          <w:rFonts w:hint="eastAsia"/>
          <w:lang w:val="en-GB"/>
        </w:rPr>
        <w:t>和</w:t>
      </w:r>
      <w:r w:rsidRPr="00A648CE">
        <w:rPr>
          <w:lang w:val="en-GB"/>
        </w:rPr>
        <w:t>圣佩德罗苏拉</w:t>
      </w:r>
      <w:r w:rsidRPr="00A648CE">
        <w:rPr>
          <w:rFonts w:hint="eastAsia"/>
          <w:lang w:val="en-GB"/>
        </w:rPr>
        <w:t>建立了庇护所。</w:t>
      </w:r>
    </w:p>
    <w:p w:rsidR="00A648CE" w:rsidRPr="00A648CE" w:rsidRDefault="00A648CE" w:rsidP="00A648CE">
      <w:pPr>
        <w:pStyle w:val="SingleTxtGC"/>
        <w:rPr>
          <w:rFonts w:hint="eastAsia"/>
          <w:lang w:val="en-GB"/>
        </w:rPr>
      </w:pPr>
      <w:r w:rsidRPr="00A648CE">
        <w:rPr>
          <w:iCs/>
          <w:lang w:val="en-GB"/>
        </w:rPr>
        <w:t xml:space="preserve">47.  </w:t>
      </w:r>
      <w:r w:rsidRPr="00A648CE">
        <w:rPr>
          <w:rFonts w:hint="eastAsia"/>
          <w:lang w:val="en-GB"/>
        </w:rPr>
        <w:t>洪都拉斯还通过了《男女薪酬平等法》。与女权主义运动举行对话，此举使国家能够确保产生更好的社会影响，并推动提高洪都拉斯妇女的生活质量。</w:t>
      </w:r>
    </w:p>
    <w:p w:rsidR="00A648CE" w:rsidRPr="00A648CE" w:rsidRDefault="00A648CE" w:rsidP="00A648CE">
      <w:pPr>
        <w:pStyle w:val="SingleTxtGC"/>
        <w:rPr>
          <w:rFonts w:hint="eastAsia"/>
          <w:lang w:val="en-GB"/>
        </w:rPr>
      </w:pPr>
      <w:r w:rsidRPr="00A648CE">
        <w:rPr>
          <w:iCs/>
          <w:lang w:val="en-GB"/>
        </w:rPr>
        <w:t xml:space="preserve">48.  </w:t>
      </w:r>
      <w:r w:rsidRPr="00A648CE">
        <w:rPr>
          <w:rFonts w:hint="eastAsia"/>
          <w:lang w:val="en-GB"/>
        </w:rPr>
        <w:t>劳动和社会保障部副部长提及《第二个预防和消除童工国家行动计划》，该计划打算设立国家机构、批准国际规范、统一国内立法和加强国家能力和知识。通过了使洪都拉斯成为一个没有童工和最恶劣形式童工现象的国家的路线图。最近与美利坚合众国签署了一项协议，以执行一个名为“光明未来”的方案，该方案将在四年内投入</w:t>
      </w:r>
      <w:r w:rsidRPr="00A648CE">
        <w:rPr>
          <w:rFonts w:hint="eastAsia"/>
          <w:lang w:val="en-GB"/>
        </w:rPr>
        <w:t>750</w:t>
      </w:r>
      <w:r w:rsidRPr="00A648CE">
        <w:rPr>
          <w:rFonts w:hint="eastAsia"/>
          <w:lang w:val="en-GB"/>
        </w:rPr>
        <w:t>万美元。</w:t>
      </w:r>
    </w:p>
    <w:p w:rsidR="00A648CE" w:rsidRPr="00A648CE" w:rsidRDefault="00A648CE" w:rsidP="00A648CE">
      <w:pPr>
        <w:pStyle w:val="SingleTxtGC"/>
        <w:rPr>
          <w:rFonts w:hint="eastAsia"/>
          <w:lang w:val="en-GB"/>
        </w:rPr>
      </w:pPr>
      <w:r w:rsidRPr="00A648CE">
        <w:rPr>
          <w:iCs/>
          <w:lang w:val="en-GB"/>
        </w:rPr>
        <w:t xml:space="preserve">49.  </w:t>
      </w:r>
      <w:r w:rsidRPr="00A648CE">
        <w:rPr>
          <w:rFonts w:hint="eastAsia"/>
          <w:lang w:val="en-GB"/>
        </w:rPr>
        <w:t>劳动和社会保障部有责任确保聘用条件体面。正在努力通过《监察法》和国际劳工组织</w:t>
      </w:r>
      <w:r w:rsidRPr="00A648CE">
        <w:rPr>
          <w:rFonts w:hint="eastAsia"/>
          <w:lang w:val="en-GB"/>
        </w:rPr>
        <w:t>(</w:t>
      </w:r>
      <w:r w:rsidRPr="00A648CE">
        <w:rPr>
          <w:rFonts w:hint="eastAsia"/>
          <w:lang w:val="en-GB"/>
        </w:rPr>
        <w:t>劳工组织</w:t>
      </w:r>
      <w:r w:rsidRPr="00A648CE">
        <w:rPr>
          <w:rFonts w:hint="eastAsia"/>
          <w:lang w:val="en-GB"/>
        </w:rPr>
        <w:t>)</w:t>
      </w:r>
      <w:r w:rsidRPr="00A648CE">
        <w:rPr>
          <w:rFonts w:hint="eastAsia"/>
          <w:lang w:val="en-GB"/>
        </w:rPr>
        <w:t>审计程序等各种监管建议，以推动监察总局职业化。</w:t>
      </w:r>
    </w:p>
    <w:p w:rsidR="00A648CE" w:rsidRPr="00A648CE" w:rsidRDefault="00A648CE" w:rsidP="00A648CE">
      <w:pPr>
        <w:pStyle w:val="SingleTxtGC"/>
        <w:rPr>
          <w:rFonts w:hint="eastAsia"/>
          <w:lang w:val="en-GB"/>
        </w:rPr>
      </w:pPr>
      <w:r w:rsidRPr="00A648CE">
        <w:rPr>
          <w:iCs/>
          <w:lang w:val="en-GB"/>
        </w:rPr>
        <w:t xml:space="preserve">50.  </w:t>
      </w:r>
      <w:r w:rsidRPr="00A648CE">
        <w:rPr>
          <w:rFonts w:hint="eastAsia"/>
          <w:iCs/>
          <w:lang w:val="en-GB"/>
        </w:rPr>
        <w:t>为跟踪</w:t>
      </w:r>
      <w:r w:rsidRPr="00A648CE">
        <w:rPr>
          <w:rFonts w:hint="eastAsia"/>
          <w:lang w:val="en-GB"/>
        </w:rPr>
        <w:t>与美国签署的《自由贸易协定》行动计划的遵守情况，还成立了一个三方委员会。</w:t>
      </w:r>
    </w:p>
    <w:p w:rsidR="00A648CE" w:rsidRPr="00A648CE" w:rsidRDefault="00A648CE" w:rsidP="00A648CE">
      <w:pPr>
        <w:pStyle w:val="SingleTxtGC"/>
        <w:rPr>
          <w:rFonts w:hint="eastAsia"/>
          <w:lang w:val="en-GB"/>
        </w:rPr>
      </w:pPr>
      <w:r w:rsidRPr="00A648CE">
        <w:rPr>
          <w:iCs/>
          <w:lang w:val="en-GB"/>
        </w:rPr>
        <w:t xml:space="preserve">51.  </w:t>
      </w:r>
      <w:r w:rsidRPr="00A648CE">
        <w:rPr>
          <w:rFonts w:hint="eastAsia"/>
          <w:lang w:val="en-GB"/>
        </w:rPr>
        <w:t>洪都拉斯还签署了一项关于促进洪都拉斯加工出口纺织部门投资、就业保护、工人卫生和获得住房的协议。</w:t>
      </w:r>
    </w:p>
    <w:p w:rsidR="00A648CE" w:rsidRPr="00A648CE" w:rsidRDefault="00A648CE" w:rsidP="00A648CE">
      <w:pPr>
        <w:pStyle w:val="SingleTxtGC"/>
        <w:rPr>
          <w:rFonts w:hint="eastAsia"/>
          <w:lang w:val="en-GB"/>
        </w:rPr>
      </w:pPr>
      <w:r w:rsidRPr="00A648CE">
        <w:rPr>
          <w:iCs/>
          <w:lang w:val="en-GB"/>
        </w:rPr>
        <w:t xml:space="preserve">52.  </w:t>
      </w:r>
      <w:r w:rsidRPr="00A648CE">
        <w:rPr>
          <w:rFonts w:hint="eastAsia"/>
          <w:lang w:val="en-GB"/>
        </w:rPr>
        <w:t>批准了一项社会保护制度框架法。由于促进私营部门投资和激活农业及住房部门、以及各种政府安置方案，创造了新的就业机会。还与国民议会合作，共同努力提高年轻人的就业能力。一项目标是创造</w:t>
      </w:r>
      <w:r w:rsidRPr="00A648CE">
        <w:rPr>
          <w:lang w:val="en-GB"/>
        </w:rPr>
        <w:t>20</w:t>
      </w:r>
      <w:r w:rsidRPr="00A648CE">
        <w:rPr>
          <w:rFonts w:hint="eastAsia"/>
          <w:lang w:val="en-GB"/>
        </w:rPr>
        <w:t>万个就业机会。</w:t>
      </w:r>
    </w:p>
    <w:p w:rsidR="00A648CE" w:rsidRPr="00A648CE" w:rsidRDefault="00A648CE" w:rsidP="00A648CE">
      <w:pPr>
        <w:pStyle w:val="SingleTxtGC"/>
        <w:rPr>
          <w:lang w:val="en-GB"/>
        </w:rPr>
      </w:pPr>
      <w:r w:rsidRPr="00A648CE">
        <w:rPr>
          <w:iCs/>
          <w:lang w:val="en-GB"/>
        </w:rPr>
        <w:t xml:space="preserve">53.  </w:t>
      </w:r>
      <w:r w:rsidRPr="00A648CE">
        <w:rPr>
          <w:rFonts w:hint="eastAsia"/>
          <w:iCs/>
          <w:lang w:val="en-GB"/>
        </w:rPr>
        <w:t>负责发展和社会包容办公室的副国务秘书</w:t>
      </w:r>
      <w:r w:rsidRPr="00A648CE">
        <w:rPr>
          <w:rFonts w:hint="eastAsia"/>
          <w:lang w:val="en-GB"/>
        </w:rPr>
        <w:t>提及社会保护政策和针对贫困和极端贫困人口的生活改善方案，其中包括健康住房部分，例如，水过滤、厕所、生态烤箱、修建水泥地面、储水设施、屋顶和袋装食物，这使超过</w:t>
      </w:r>
      <w:r w:rsidRPr="00A648CE">
        <w:rPr>
          <w:lang w:val="en-GB"/>
        </w:rPr>
        <w:t>10</w:t>
      </w:r>
      <w:r w:rsidRPr="00A648CE">
        <w:rPr>
          <w:rFonts w:hint="eastAsia"/>
          <w:lang w:val="en-GB"/>
        </w:rPr>
        <w:t>万个家庭受益。</w:t>
      </w:r>
    </w:p>
    <w:p w:rsidR="00A648CE" w:rsidRPr="00A648CE" w:rsidRDefault="00A648CE" w:rsidP="00A648CE">
      <w:pPr>
        <w:pStyle w:val="SingleTxtGC"/>
        <w:rPr>
          <w:rFonts w:hint="eastAsia"/>
          <w:lang w:val="en-GB"/>
        </w:rPr>
      </w:pPr>
      <w:r w:rsidRPr="00A648CE">
        <w:rPr>
          <w:iCs/>
          <w:lang w:val="en-GB"/>
        </w:rPr>
        <w:t xml:space="preserve">54.  </w:t>
      </w:r>
      <w:r w:rsidRPr="00A648CE">
        <w:rPr>
          <w:rFonts w:hint="eastAsia"/>
          <w:lang w:val="en-GB"/>
        </w:rPr>
        <w:t>其他方案包括针对生产性微型企业和家庭农业方案、总统更美好生活奖金方案和学校午餐方案。</w:t>
      </w:r>
    </w:p>
    <w:p w:rsidR="00A648CE" w:rsidRPr="00A648CE" w:rsidRDefault="00A648CE" w:rsidP="00A648CE">
      <w:pPr>
        <w:pStyle w:val="SingleTxtGC"/>
        <w:rPr>
          <w:rFonts w:hint="eastAsia"/>
          <w:lang w:val="en-GB"/>
        </w:rPr>
      </w:pPr>
      <w:r w:rsidRPr="00A648CE">
        <w:rPr>
          <w:iCs/>
          <w:lang w:val="en-GB"/>
        </w:rPr>
        <w:t xml:space="preserve">55.  </w:t>
      </w:r>
      <w:r w:rsidRPr="00A648CE">
        <w:rPr>
          <w:rFonts w:hint="eastAsia"/>
          <w:lang w:val="en-GB"/>
        </w:rPr>
        <w:t>洪都拉斯目前正在为制定反对种族主义和种族歧视政策进行协商，确保土著人民和非洲裔的社会和政治参与以及行使跨文化公民权，并且确保享有双语跨文化教育权、健康权、土地权和自然资源权。</w:t>
      </w:r>
    </w:p>
    <w:p w:rsidR="00A648CE" w:rsidRPr="00A648CE" w:rsidRDefault="00A648CE" w:rsidP="00A648CE">
      <w:pPr>
        <w:pStyle w:val="SingleTxtGC"/>
        <w:rPr>
          <w:rFonts w:hint="eastAsia"/>
          <w:lang w:val="en-GB"/>
        </w:rPr>
      </w:pPr>
      <w:r w:rsidRPr="00A648CE">
        <w:rPr>
          <w:iCs/>
          <w:lang w:val="en-GB"/>
        </w:rPr>
        <w:t xml:space="preserve">56.  </w:t>
      </w:r>
      <w:r w:rsidRPr="00A648CE">
        <w:rPr>
          <w:rFonts w:hint="eastAsia"/>
          <w:lang w:val="en-GB"/>
        </w:rPr>
        <w:t>通过了保障残疾人人权的公共政策和战略计划。洪都拉斯还签署了《</w:t>
      </w:r>
      <w:r w:rsidRPr="00A648CE">
        <w:rPr>
          <w:lang w:val="en-GB"/>
        </w:rPr>
        <w:t>美洲残疾人权利与尊严十年</w:t>
      </w:r>
      <w:r w:rsidRPr="00A648CE">
        <w:rPr>
          <w:rFonts w:hint="eastAsia"/>
          <w:lang w:val="en-GB"/>
        </w:rPr>
        <w:t>行动纲领》。</w:t>
      </w:r>
    </w:p>
    <w:p w:rsidR="00A648CE" w:rsidRPr="00A648CE" w:rsidRDefault="00A648CE" w:rsidP="00A648CE">
      <w:pPr>
        <w:pStyle w:val="SingleTxtGC"/>
        <w:rPr>
          <w:rFonts w:hint="eastAsia"/>
          <w:lang w:val="en-GB"/>
        </w:rPr>
      </w:pPr>
      <w:r w:rsidRPr="00A648CE">
        <w:rPr>
          <w:iCs/>
          <w:lang w:val="en-GB"/>
        </w:rPr>
        <w:t xml:space="preserve">57.  </w:t>
      </w:r>
      <w:r w:rsidRPr="00A648CE">
        <w:rPr>
          <w:rFonts w:hint="eastAsia"/>
          <w:iCs/>
          <w:lang w:val="en-GB"/>
        </w:rPr>
        <w:t>主管人权和司法问题的</w:t>
      </w:r>
      <w:r w:rsidRPr="00A648CE">
        <w:rPr>
          <w:rFonts w:hint="eastAsia"/>
          <w:lang w:val="en-GB"/>
        </w:rPr>
        <w:t>副国务秘书指出，第一轮普遍定期审议后，洪都拉斯领导了一次广泛的协商进程，以设计和通过《</w:t>
      </w:r>
      <w:r w:rsidRPr="00A648CE">
        <w:rPr>
          <w:rFonts w:hint="eastAsia"/>
          <w:lang w:val="en-GB"/>
        </w:rPr>
        <w:t>2013-2022</w:t>
      </w:r>
      <w:r w:rsidRPr="00A648CE">
        <w:rPr>
          <w:rFonts w:hint="eastAsia"/>
          <w:lang w:val="en-GB"/>
        </w:rPr>
        <w:t>年国家人权行动计划》，该计划已将</w:t>
      </w:r>
      <w:r w:rsidRPr="00A648CE">
        <w:rPr>
          <w:rFonts w:hint="eastAsia"/>
          <w:lang w:val="en-GB"/>
        </w:rPr>
        <w:t>1,200</w:t>
      </w:r>
      <w:r w:rsidRPr="00A648CE">
        <w:rPr>
          <w:rFonts w:hint="eastAsia"/>
          <w:lang w:val="en-GB"/>
        </w:rPr>
        <w:t>多条建议纳入其中，并转化为战略行动，这些建议包括来自民间社会、人权条约机构以及真相与和解委员会。</w:t>
      </w:r>
    </w:p>
    <w:p w:rsidR="00A648CE" w:rsidRPr="00A648CE" w:rsidRDefault="00A648CE" w:rsidP="00A648CE">
      <w:pPr>
        <w:pStyle w:val="SingleTxtGC"/>
        <w:rPr>
          <w:rFonts w:hint="eastAsia"/>
          <w:lang w:val="en-GB"/>
        </w:rPr>
      </w:pPr>
      <w:r w:rsidRPr="00A648CE">
        <w:rPr>
          <w:iCs/>
          <w:lang w:val="en-GB"/>
        </w:rPr>
        <w:t xml:space="preserve">58.  </w:t>
      </w:r>
      <w:r w:rsidRPr="00A648CE">
        <w:rPr>
          <w:rFonts w:hint="eastAsia"/>
          <w:lang w:val="en-GB"/>
        </w:rPr>
        <w:t>人权观察站的任务是评估在人权问题方面取得的进展以及为向条约机构和整个社会报告提供便利，其第一阶段的工作也在进行中。洪都拉斯目前正在设计综合监测和评价制度，以评估《国家人权行动计划》的影响。</w:t>
      </w:r>
    </w:p>
    <w:p w:rsidR="00A648CE" w:rsidRPr="00A648CE" w:rsidRDefault="00A648CE" w:rsidP="00A648CE">
      <w:pPr>
        <w:pStyle w:val="SingleTxtGC"/>
        <w:rPr>
          <w:rFonts w:hint="eastAsia"/>
          <w:lang w:val="en-GB"/>
        </w:rPr>
      </w:pPr>
      <w:r w:rsidRPr="00A648CE">
        <w:rPr>
          <w:iCs/>
          <w:lang w:val="en-GB"/>
        </w:rPr>
        <w:t xml:space="preserve">59.  </w:t>
      </w:r>
      <w:r w:rsidRPr="00A648CE">
        <w:rPr>
          <w:rFonts w:hint="eastAsia"/>
          <w:lang w:val="en-GB"/>
        </w:rPr>
        <w:t>洪都拉斯致力于继续推动公民对话和参与。它将向社会介绍第二次审议的结果，并推动落实后续各项建议。</w:t>
      </w:r>
    </w:p>
    <w:p w:rsidR="00A648CE" w:rsidRPr="00A648CE" w:rsidRDefault="00A648CE" w:rsidP="009573AC">
      <w:pPr>
        <w:pStyle w:val="H1GC"/>
        <w:rPr>
          <w:lang w:val="en-GB"/>
        </w:rPr>
      </w:pPr>
      <w:bookmarkStart w:id="7" w:name="Sub_Section_HDR_B_ID_and_responses"/>
      <w:r w:rsidRPr="00A648CE">
        <w:rPr>
          <w:lang w:val="en-GB"/>
        </w:rPr>
        <w:tab/>
        <w:t>B.</w:t>
      </w:r>
      <w:r w:rsidRPr="00A648CE">
        <w:rPr>
          <w:lang w:val="en-GB"/>
        </w:rPr>
        <w:tab/>
      </w:r>
      <w:r w:rsidRPr="00A648CE">
        <w:rPr>
          <w:rFonts w:hint="eastAsia"/>
          <w:lang w:val="en-GB"/>
        </w:rPr>
        <w:t>互动对话与受审议国的回应</w:t>
      </w:r>
      <w:bookmarkEnd w:id="7"/>
    </w:p>
    <w:p w:rsidR="00A648CE" w:rsidRPr="00A648CE" w:rsidRDefault="00A648CE" w:rsidP="00A648CE">
      <w:pPr>
        <w:pStyle w:val="SingleTxtGC"/>
        <w:rPr>
          <w:rFonts w:hint="eastAsia"/>
        </w:rPr>
      </w:pPr>
      <w:r w:rsidRPr="00A648CE">
        <w:rPr>
          <w:iCs/>
        </w:rPr>
        <w:t xml:space="preserve">60.  </w:t>
      </w:r>
      <w:r w:rsidRPr="00A648CE">
        <w:rPr>
          <w:rFonts w:hint="eastAsia"/>
        </w:rPr>
        <w:t>在互动对话期间，有</w:t>
      </w:r>
      <w:r w:rsidRPr="00A648CE">
        <w:rPr>
          <w:rFonts w:hint="eastAsia"/>
        </w:rPr>
        <w:t>60</w:t>
      </w:r>
      <w:r w:rsidRPr="00A648CE">
        <w:rPr>
          <w:rFonts w:hint="eastAsia"/>
        </w:rPr>
        <w:t>个代表团作了发言。对话期间提出的建议可参见本</w:t>
      </w:r>
      <w:r w:rsidRPr="009573AC">
        <w:rPr>
          <w:rFonts w:hint="eastAsia"/>
          <w:spacing w:val="-1"/>
        </w:rPr>
        <w:t>报告第二节。各代表团的所有书面发言可按联合国网络直播档案提交日期查阅，</w:t>
      </w:r>
      <w:r w:rsidR="009573AC" w:rsidRPr="009573AC">
        <w:rPr>
          <w:rStyle w:val="FootnoteReference"/>
          <w:spacing w:val="-1"/>
        </w:rPr>
        <w:footnoteReference w:id="3"/>
      </w:r>
      <w:r w:rsidR="009573AC" w:rsidRPr="009573AC">
        <w:rPr>
          <w:spacing w:val="-1"/>
          <w:vertAlign w:val="superscript"/>
        </w:rPr>
        <w:t xml:space="preserve"> </w:t>
      </w:r>
      <w:r w:rsidRPr="00A648CE">
        <w:rPr>
          <w:rFonts w:hint="eastAsia"/>
        </w:rPr>
        <w:t>已有书面发言都已放到人权理事会外联网上。</w:t>
      </w:r>
    </w:p>
    <w:p w:rsidR="00A648CE" w:rsidRPr="00A648CE" w:rsidRDefault="00A648CE" w:rsidP="00A648CE">
      <w:pPr>
        <w:pStyle w:val="SingleTxtGC"/>
        <w:rPr>
          <w:rFonts w:hint="eastAsia"/>
        </w:rPr>
      </w:pPr>
      <w:r w:rsidRPr="00A648CE">
        <w:rPr>
          <w:iCs/>
        </w:rPr>
        <w:t xml:space="preserve">61.  </w:t>
      </w:r>
      <w:r w:rsidRPr="00A648CE">
        <w:rPr>
          <w:rFonts w:hint="eastAsia"/>
        </w:rPr>
        <w:t>危地马拉赞赏洪都拉斯设立人权事务秘书处和通过《国家人权行动计划》。它赞成消除种族歧视委员会对国家人权委员会失去最高地位的关切。</w:t>
      </w:r>
    </w:p>
    <w:p w:rsidR="00A648CE" w:rsidRPr="00A648CE" w:rsidRDefault="00A648CE" w:rsidP="00A648CE">
      <w:pPr>
        <w:pStyle w:val="SingleTxtGC"/>
        <w:rPr>
          <w:lang w:val="en-GB"/>
        </w:rPr>
      </w:pPr>
      <w:r w:rsidRPr="00A648CE">
        <w:rPr>
          <w:iCs/>
          <w:lang w:val="en-GB"/>
        </w:rPr>
        <w:t xml:space="preserve">62.  </w:t>
      </w:r>
      <w:r w:rsidRPr="00A648CE">
        <w:rPr>
          <w:rFonts w:hint="eastAsia"/>
          <w:iCs/>
          <w:lang w:val="en-GB"/>
        </w:rPr>
        <w:t>罗马</w:t>
      </w:r>
      <w:r w:rsidRPr="00A648CE">
        <w:rPr>
          <w:iCs/>
          <w:lang w:val="en-GB"/>
        </w:rPr>
        <w:t>教廷承认洪都拉斯</w:t>
      </w:r>
      <w:r w:rsidRPr="00A648CE">
        <w:rPr>
          <w:rFonts w:hint="eastAsia"/>
          <w:iCs/>
          <w:lang w:val="en-GB"/>
        </w:rPr>
        <w:t>为</w:t>
      </w:r>
      <w:r w:rsidRPr="00A648CE">
        <w:rPr>
          <w:iCs/>
          <w:lang w:val="en-GB"/>
        </w:rPr>
        <w:t>使本国立法与国际人权文书</w:t>
      </w:r>
      <w:r w:rsidRPr="00A648CE">
        <w:rPr>
          <w:lang w:val="en-GB"/>
        </w:rPr>
        <w:t>更加一致</w:t>
      </w:r>
      <w:r w:rsidRPr="00A648CE">
        <w:rPr>
          <w:rFonts w:hint="eastAsia"/>
          <w:lang w:val="en-GB"/>
        </w:rPr>
        <w:t>做出了努力</w:t>
      </w:r>
      <w:r w:rsidRPr="00A648CE">
        <w:rPr>
          <w:iCs/>
          <w:lang w:val="en-GB"/>
        </w:rPr>
        <w:t>，特别是与预防强迫失踪和酷刑</w:t>
      </w:r>
      <w:r w:rsidRPr="00A648CE">
        <w:rPr>
          <w:rFonts w:hint="eastAsia"/>
          <w:iCs/>
          <w:lang w:val="en-GB"/>
        </w:rPr>
        <w:t>、</w:t>
      </w:r>
      <w:r w:rsidRPr="00A648CE">
        <w:rPr>
          <w:iCs/>
          <w:lang w:val="en-GB"/>
        </w:rPr>
        <w:t>国家人权机构</w:t>
      </w:r>
      <w:r w:rsidRPr="00A648CE">
        <w:rPr>
          <w:rFonts w:hint="eastAsia"/>
          <w:iCs/>
          <w:lang w:val="en-GB"/>
        </w:rPr>
        <w:t>以及</w:t>
      </w:r>
      <w:r w:rsidRPr="00A648CE">
        <w:rPr>
          <w:iCs/>
          <w:lang w:val="en-GB"/>
        </w:rPr>
        <w:t>批准若干文书</w:t>
      </w:r>
      <w:r w:rsidRPr="00A648CE">
        <w:rPr>
          <w:rFonts w:hint="eastAsia"/>
          <w:iCs/>
          <w:lang w:val="en-GB"/>
        </w:rPr>
        <w:t>有关的工作</w:t>
      </w:r>
      <w:r w:rsidRPr="00A648CE">
        <w:rPr>
          <w:iCs/>
          <w:lang w:val="en-GB"/>
        </w:rPr>
        <w:t>。</w:t>
      </w:r>
    </w:p>
    <w:p w:rsidR="00A648CE" w:rsidRPr="00A648CE" w:rsidRDefault="00A648CE" w:rsidP="00A648CE">
      <w:pPr>
        <w:pStyle w:val="SingleTxtGC"/>
        <w:rPr>
          <w:lang w:val="en-GB"/>
        </w:rPr>
      </w:pPr>
      <w:r w:rsidRPr="00A648CE">
        <w:rPr>
          <w:iCs/>
          <w:lang w:val="en-GB"/>
        </w:rPr>
        <w:t xml:space="preserve">63.  </w:t>
      </w:r>
      <w:r w:rsidRPr="00A648CE">
        <w:rPr>
          <w:lang w:val="en-GB"/>
        </w:rPr>
        <w:t>委内瑞拉玻利瓦尔共和国赞赏洪都拉斯坚定致力于应对挑战，并突出强调了自第一次审议以来取得的进展。</w:t>
      </w:r>
    </w:p>
    <w:p w:rsidR="00A648CE" w:rsidRPr="00A648CE" w:rsidRDefault="00A648CE" w:rsidP="00A648CE">
      <w:pPr>
        <w:pStyle w:val="SingleTxtGC"/>
        <w:rPr>
          <w:lang w:val="en-GB"/>
        </w:rPr>
      </w:pPr>
      <w:r w:rsidRPr="00A648CE">
        <w:rPr>
          <w:iCs/>
          <w:lang w:val="en-GB"/>
        </w:rPr>
        <w:t xml:space="preserve">64.  </w:t>
      </w:r>
      <w:r w:rsidRPr="00A648CE">
        <w:rPr>
          <w:iCs/>
          <w:lang w:val="en-GB"/>
        </w:rPr>
        <w:t>印度尼西亚对洪都拉斯</w:t>
      </w:r>
      <w:r w:rsidRPr="00A648CE">
        <w:rPr>
          <w:rFonts w:hint="eastAsia"/>
          <w:iCs/>
          <w:lang w:val="en-GB"/>
        </w:rPr>
        <w:t>为设</w:t>
      </w:r>
      <w:r w:rsidRPr="00A648CE">
        <w:rPr>
          <w:iCs/>
          <w:lang w:val="en-GB"/>
        </w:rPr>
        <w:t>立各种机制以进一步促进和保护人权</w:t>
      </w:r>
      <w:r w:rsidRPr="00A648CE">
        <w:rPr>
          <w:rFonts w:hint="eastAsia"/>
          <w:iCs/>
          <w:lang w:val="en-GB"/>
        </w:rPr>
        <w:t>所做努力</w:t>
      </w:r>
      <w:r w:rsidRPr="00A648CE">
        <w:rPr>
          <w:iCs/>
          <w:lang w:val="en-GB"/>
        </w:rPr>
        <w:t>表示欢迎，包括通过《</w:t>
      </w:r>
      <w:r w:rsidRPr="00A648CE">
        <w:rPr>
          <w:iCs/>
          <w:lang w:val="en-GB"/>
        </w:rPr>
        <w:t>2013-2022</w:t>
      </w:r>
      <w:r w:rsidRPr="00A648CE">
        <w:rPr>
          <w:iCs/>
          <w:lang w:val="en-GB"/>
        </w:rPr>
        <w:t>年人权公共政策</w:t>
      </w:r>
      <w:r w:rsidRPr="00A648CE">
        <w:rPr>
          <w:rFonts w:hint="eastAsia"/>
          <w:iCs/>
          <w:lang w:val="en-GB"/>
        </w:rPr>
        <w:t>和</w:t>
      </w:r>
      <w:r w:rsidRPr="00A648CE">
        <w:rPr>
          <w:iCs/>
          <w:lang w:val="en-GB"/>
        </w:rPr>
        <w:t>国家行动计划》，并期待全面实施该计划。</w:t>
      </w:r>
    </w:p>
    <w:p w:rsidR="00A648CE" w:rsidRPr="00A648CE" w:rsidRDefault="00A648CE" w:rsidP="00A648CE">
      <w:pPr>
        <w:pStyle w:val="SingleTxtGC"/>
        <w:rPr>
          <w:lang w:val="en-GB"/>
        </w:rPr>
      </w:pPr>
      <w:r w:rsidRPr="00A648CE">
        <w:rPr>
          <w:iCs/>
          <w:lang w:val="en-GB"/>
        </w:rPr>
        <w:t xml:space="preserve">65.  </w:t>
      </w:r>
      <w:r w:rsidRPr="00A648CE">
        <w:rPr>
          <w:lang w:val="en-GB"/>
        </w:rPr>
        <w:t>爱尔兰对影响洪都拉斯人权维护者的暴力和不安全环境表示高度关切，</w:t>
      </w:r>
      <w:r w:rsidRPr="00A648CE">
        <w:rPr>
          <w:rFonts w:hint="eastAsia"/>
          <w:lang w:val="en-GB"/>
        </w:rPr>
        <w:t>也</w:t>
      </w:r>
      <w:r w:rsidRPr="00A648CE">
        <w:rPr>
          <w:lang w:val="en-GB"/>
        </w:rPr>
        <w:t>对</w:t>
      </w:r>
      <w:r w:rsidRPr="00A648CE">
        <w:rPr>
          <w:rFonts w:hint="eastAsia"/>
          <w:lang w:val="en-GB"/>
        </w:rPr>
        <w:t>普遍</w:t>
      </w:r>
      <w:r w:rsidRPr="00A648CE">
        <w:rPr>
          <w:lang w:val="en-GB"/>
        </w:rPr>
        <w:t>和系统</w:t>
      </w:r>
      <w:r w:rsidRPr="00A648CE">
        <w:rPr>
          <w:rFonts w:hint="eastAsia"/>
          <w:lang w:val="en-GB"/>
        </w:rPr>
        <w:t>性</w:t>
      </w:r>
      <w:r w:rsidRPr="00A648CE">
        <w:rPr>
          <w:lang w:val="en-GB"/>
        </w:rPr>
        <w:t>地暴力侵害妇女和女童行为表示关切。</w:t>
      </w:r>
    </w:p>
    <w:p w:rsidR="00A648CE" w:rsidRPr="00A648CE" w:rsidRDefault="00A648CE" w:rsidP="00A648CE">
      <w:pPr>
        <w:pStyle w:val="SingleTxtGC"/>
        <w:rPr>
          <w:lang w:val="en-GB"/>
        </w:rPr>
      </w:pPr>
      <w:r w:rsidRPr="00A648CE">
        <w:rPr>
          <w:iCs/>
          <w:lang w:val="en-GB"/>
        </w:rPr>
        <w:t xml:space="preserve">66.  </w:t>
      </w:r>
      <w:r w:rsidRPr="00A648CE">
        <w:rPr>
          <w:lang w:val="en-GB"/>
        </w:rPr>
        <w:t>意大利对</w:t>
      </w:r>
      <w:r w:rsidRPr="00A648CE">
        <w:rPr>
          <w:iCs/>
          <w:lang w:val="en-GB"/>
        </w:rPr>
        <w:t>《</w:t>
      </w:r>
      <w:r w:rsidRPr="00A648CE">
        <w:rPr>
          <w:iCs/>
          <w:lang w:val="en-GB"/>
        </w:rPr>
        <w:t>2013-2022</w:t>
      </w:r>
      <w:r w:rsidRPr="00A648CE">
        <w:rPr>
          <w:iCs/>
          <w:lang w:val="en-GB"/>
        </w:rPr>
        <w:t>年人权公共政策</w:t>
      </w:r>
      <w:r w:rsidRPr="00A648CE">
        <w:rPr>
          <w:rFonts w:hint="eastAsia"/>
          <w:iCs/>
          <w:lang w:val="en-GB"/>
        </w:rPr>
        <w:t>和</w:t>
      </w:r>
      <w:r w:rsidRPr="00A648CE">
        <w:rPr>
          <w:iCs/>
          <w:lang w:val="en-GB"/>
        </w:rPr>
        <w:t>国家行动计划》</w:t>
      </w:r>
      <w:r w:rsidRPr="00A648CE">
        <w:rPr>
          <w:rFonts w:hint="eastAsia"/>
          <w:iCs/>
          <w:lang w:val="en-GB"/>
        </w:rPr>
        <w:t>获得通过</w:t>
      </w:r>
      <w:r w:rsidRPr="00A648CE">
        <w:rPr>
          <w:lang w:val="en-GB"/>
        </w:rPr>
        <w:t>以及</w:t>
      </w:r>
      <w:r w:rsidRPr="00A648CE">
        <w:rPr>
          <w:rFonts w:hint="eastAsia"/>
          <w:lang w:val="en-GB"/>
        </w:rPr>
        <w:t>采取行动</w:t>
      </w:r>
      <w:r w:rsidRPr="00A648CE">
        <w:rPr>
          <w:lang w:val="en-GB"/>
        </w:rPr>
        <w:t>为</w:t>
      </w:r>
      <w:r w:rsidRPr="00A648CE">
        <w:rPr>
          <w:rFonts w:hint="eastAsia"/>
          <w:lang w:val="en-GB"/>
        </w:rPr>
        <w:t>负责</w:t>
      </w:r>
      <w:r w:rsidRPr="00A648CE">
        <w:rPr>
          <w:lang w:val="en-GB"/>
        </w:rPr>
        <w:t>打击暴力侵害妇女和儿童行为</w:t>
      </w:r>
      <w:r w:rsidRPr="00A648CE">
        <w:rPr>
          <w:rFonts w:hint="eastAsia"/>
          <w:lang w:val="en-GB"/>
        </w:rPr>
        <w:t>的</w:t>
      </w:r>
      <w:r w:rsidRPr="00A648CE">
        <w:rPr>
          <w:lang w:val="en-GB"/>
        </w:rPr>
        <w:t>军人和警察提供人权培训表示欢迎。</w:t>
      </w:r>
    </w:p>
    <w:p w:rsidR="00A648CE" w:rsidRPr="00A648CE" w:rsidRDefault="00A648CE" w:rsidP="00A648CE">
      <w:pPr>
        <w:pStyle w:val="SingleTxtGC"/>
        <w:rPr>
          <w:lang w:val="en-GB"/>
        </w:rPr>
      </w:pPr>
      <w:r w:rsidRPr="00A648CE">
        <w:rPr>
          <w:iCs/>
          <w:lang w:val="en-GB"/>
        </w:rPr>
        <w:t xml:space="preserve">67.  </w:t>
      </w:r>
      <w:r w:rsidRPr="00A648CE">
        <w:rPr>
          <w:lang w:val="en-GB"/>
        </w:rPr>
        <w:t>黎巴嫩对洪都拉斯</w:t>
      </w:r>
      <w:r w:rsidRPr="00A648CE">
        <w:rPr>
          <w:rFonts w:hint="eastAsia"/>
          <w:lang w:val="en-GB"/>
        </w:rPr>
        <w:t>渴望</w:t>
      </w:r>
      <w:r w:rsidRPr="00A648CE">
        <w:rPr>
          <w:lang w:val="en-GB"/>
        </w:rPr>
        <w:t>努力促进其人民的人权表示欢迎，并欢迎洪都拉斯加入《集束</w:t>
      </w:r>
      <w:r w:rsidRPr="00A648CE">
        <w:rPr>
          <w:rFonts w:hint="eastAsia"/>
          <w:lang w:val="en-GB"/>
        </w:rPr>
        <w:t>弹药</w:t>
      </w:r>
      <w:r w:rsidRPr="00A648CE">
        <w:rPr>
          <w:lang w:val="en-GB"/>
        </w:rPr>
        <w:t>公约》。</w:t>
      </w:r>
    </w:p>
    <w:p w:rsidR="00A648CE" w:rsidRPr="00A648CE" w:rsidRDefault="00A648CE" w:rsidP="00A648CE">
      <w:pPr>
        <w:pStyle w:val="SingleTxtGC"/>
        <w:rPr>
          <w:lang w:val="en-GB"/>
        </w:rPr>
      </w:pPr>
      <w:r w:rsidRPr="00A648CE">
        <w:rPr>
          <w:iCs/>
          <w:lang w:val="en-GB"/>
        </w:rPr>
        <w:t xml:space="preserve">68.  </w:t>
      </w:r>
      <w:r w:rsidRPr="00A648CE">
        <w:rPr>
          <w:lang w:val="en-GB"/>
        </w:rPr>
        <w:t>马达加斯加对洪都拉斯采取参与和包容</w:t>
      </w:r>
      <w:r w:rsidRPr="00A648CE">
        <w:rPr>
          <w:rFonts w:hint="eastAsia"/>
          <w:lang w:val="en-GB"/>
        </w:rPr>
        <w:t>性</w:t>
      </w:r>
      <w:r w:rsidRPr="00A648CE">
        <w:rPr>
          <w:lang w:val="en-GB"/>
        </w:rPr>
        <w:t>办法起草其国家报告，以及在</w:t>
      </w:r>
      <w:r w:rsidRPr="00A648CE">
        <w:rPr>
          <w:rFonts w:hint="eastAsia"/>
          <w:lang w:val="en-GB"/>
        </w:rPr>
        <w:t>战胜</w:t>
      </w:r>
      <w:r w:rsidRPr="00A648CE">
        <w:rPr>
          <w:lang w:val="en-GB"/>
        </w:rPr>
        <w:t>贫</w:t>
      </w:r>
      <w:r w:rsidRPr="00A648CE">
        <w:rPr>
          <w:rFonts w:hint="eastAsia"/>
          <w:lang w:val="en-GB"/>
        </w:rPr>
        <w:t>困</w:t>
      </w:r>
      <w:r w:rsidRPr="00A648CE">
        <w:rPr>
          <w:lang w:val="en-GB"/>
        </w:rPr>
        <w:t>和</w:t>
      </w:r>
      <w:r w:rsidRPr="00A648CE">
        <w:rPr>
          <w:rFonts w:hint="eastAsia"/>
          <w:lang w:val="en-GB"/>
        </w:rPr>
        <w:t>完善</w:t>
      </w:r>
      <w:r w:rsidRPr="00A648CE">
        <w:rPr>
          <w:lang w:val="en-GB"/>
        </w:rPr>
        <w:t>社会保护、提升教育质量、改进卫生和加强对弱势者保护方面取得的进步表示欢迎。</w:t>
      </w:r>
    </w:p>
    <w:p w:rsidR="00A648CE" w:rsidRPr="00A648CE" w:rsidRDefault="00A648CE" w:rsidP="00A648CE">
      <w:pPr>
        <w:pStyle w:val="SingleTxtGC"/>
        <w:rPr>
          <w:lang w:val="en-GB"/>
        </w:rPr>
      </w:pPr>
      <w:r w:rsidRPr="00A648CE">
        <w:rPr>
          <w:iCs/>
          <w:lang w:val="en-GB"/>
        </w:rPr>
        <w:t xml:space="preserve">69.  </w:t>
      </w:r>
      <w:r w:rsidRPr="00A648CE">
        <w:rPr>
          <w:lang w:val="en-GB"/>
        </w:rPr>
        <w:t>墨西哥承认洪都拉斯取得的进步，特别是在加强立法框架方面。墨西哥赞赏洪都拉斯为加强公共安全系统所做的努力以及对选举法进行的</w:t>
      </w:r>
      <w:r w:rsidRPr="00A648CE">
        <w:rPr>
          <w:rFonts w:hint="eastAsia"/>
          <w:lang w:val="en-GB"/>
        </w:rPr>
        <w:t>修订</w:t>
      </w:r>
      <w:r w:rsidRPr="00A648CE">
        <w:rPr>
          <w:lang w:val="en-GB"/>
        </w:rPr>
        <w:t>。</w:t>
      </w:r>
    </w:p>
    <w:p w:rsidR="00A648CE" w:rsidRPr="00A648CE" w:rsidRDefault="00A648CE" w:rsidP="00A648CE">
      <w:pPr>
        <w:pStyle w:val="SingleTxtGC"/>
        <w:rPr>
          <w:lang w:val="en-GB"/>
        </w:rPr>
      </w:pPr>
      <w:r w:rsidRPr="00A648CE">
        <w:rPr>
          <w:iCs/>
          <w:lang w:val="en-GB"/>
        </w:rPr>
        <w:t xml:space="preserve">70.  </w:t>
      </w:r>
      <w:r w:rsidRPr="00A648CE">
        <w:rPr>
          <w:iCs/>
          <w:lang w:val="en-GB"/>
        </w:rPr>
        <w:t>黑山赞赏洪都拉斯对司法领域</w:t>
      </w:r>
      <w:r w:rsidRPr="00A648CE">
        <w:rPr>
          <w:rFonts w:hint="eastAsia"/>
          <w:iCs/>
          <w:lang w:val="en-GB"/>
        </w:rPr>
        <w:t>内涉及</w:t>
      </w:r>
      <w:r w:rsidRPr="00A648CE">
        <w:rPr>
          <w:iCs/>
          <w:lang w:val="en-GB"/>
        </w:rPr>
        <w:t>儿童、家庭和妇女</w:t>
      </w:r>
      <w:r w:rsidRPr="00A648CE">
        <w:rPr>
          <w:rFonts w:hint="eastAsia"/>
          <w:iCs/>
          <w:lang w:val="en-GB"/>
        </w:rPr>
        <w:t>的立法进行全面修订。</w:t>
      </w:r>
      <w:r w:rsidRPr="00A648CE">
        <w:rPr>
          <w:iCs/>
          <w:lang w:val="en-GB"/>
        </w:rPr>
        <w:t>对洪都拉斯愿意设</w:t>
      </w:r>
      <w:r w:rsidRPr="00A648CE">
        <w:rPr>
          <w:rFonts w:hint="eastAsia"/>
          <w:iCs/>
          <w:lang w:val="en-GB"/>
        </w:rPr>
        <w:t>立</w:t>
      </w:r>
      <w:r w:rsidRPr="00A648CE">
        <w:rPr>
          <w:iCs/>
          <w:lang w:val="en-GB"/>
        </w:rPr>
        <w:t>人权高专办国家办事处表示欢迎。黑山</w:t>
      </w:r>
      <w:r w:rsidRPr="00A648CE">
        <w:rPr>
          <w:rFonts w:hint="eastAsia"/>
          <w:iCs/>
          <w:lang w:val="en-GB"/>
        </w:rPr>
        <w:t>问到</w:t>
      </w:r>
      <w:r w:rsidRPr="00A648CE">
        <w:rPr>
          <w:iCs/>
          <w:lang w:val="en-GB"/>
        </w:rPr>
        <w:t>为减少移徙流的不利影响</w:t>
      </w:r>
      <w:r w:rsidRPr="00A648CE">
        <w:rPr>
          <w:rFonts w:hint="eastAsia"/>
          <w:iCs/>
          <w:lang w:val="en-GB"/>
        </w:rPr>
        <w:t>而为</w:t>
      </w:r>
      <w:r w:rsidRPr="00A648CE">
        <w:rPr>
          <w:iCs/>
          <w:lang w:val="en-GB"/>
        </w:rPr>
        <w:t>改善弱势群体生活条件所采取的措施。</w:t>
      </w:r>
    </w:p>
    <w:p w:rsidR="00A648CE" w:rsidRPr="00A648CE" w:rsidRDefault="00A648CE" w:rsidP="00A648CE">
      <w:pPr>
        <w:pStyle w:val="SingleTxtGC"/>
      </w:pPr>
      <w:r w:rsidRPr="00A648CE">
        <w:rPr>
          <w:iCs/>
        </w:rPr>
        <w:t xml:space="preserve">71.  </w:t>
      </w:r>
      <w:r w:rsidRPr="00A648CE">
        <w:rPr>
          <w:iCs/>
        </w:rPr>
        <w:t>纳米比亚祝贺洪都拉斯</w:t>
      </w:r>
      <w:r w:rsidRPr="00A648CE">
        <w:rPr>
          <w:rFonts w:hint="eastAsia"/>
          <w:iCs/>
        </w:rPr>
        <w:t>设立专门负责促进</w:t>
      </w:r>
      <w:r w:rsidRPr="00A648CE">
        <w:rPr>
          <w:iCs/>
        </w:rPr>
        <w:t>与国际人权界对话事务</w:t>
      </w:r>
      <w:r w:rsidRPr="00A648CE">
        <w:rPr>
          <w:rFonts w:hint="eastAsia"/>
          <w:iCs/>
        </w:rPr>
        <w:t>的人权部长职位</w:t>
      </w:r>
      <w:r w:rsidRPr="00A648CE">
        <w:rPr>
          <w:iCs/>
        </w:rPr>
        <w:t>，并祝贺洪都拉斯通过《</w:t>
      </w:r>
      <w:r w:rsidRPr="00A648CE">
        <w:rPr>
          <w:iCs/>
        </w:rPr>
        <w:t>2013-2022</w:t>
      </w:r>
      <w:r w:rsidRPr="00A648CE">
        <w:rPr>
          <w:iCs/>
        </w:rPr>
        <w:t>年人权公共政策</w:t>
      </w:r>
      <w:r w:rsidRPr="00A648CE">
        <w:rPr>
          <w:rFonts w:hint="eastAsia"/>
          <w:iCs/>
        </w:rPr>
        <w:t>和</w:t>
      </w:r>
      <w:r w:rsidRPr="00A648CE">
        <w:rPr>
          <w:iCs/>
        </w:rPr>
        <w:t>国家行动计划》。</w:t>
      </w:r>
    </w:p>
    <w:p w:rsidR="00A648CE" w:rsidRPr="00A648CE" w:rsidRDefault="00A648CE" w:rsidP="00A648CE">
      <w:pPr>
        <w:pStyle w:val="SingleTxtGC"/>
        <w:rPr>
          <w:lang w:val="en-GB"/>
        </w:rPr>
      </w:pPr>
      <w:r w:rsidRPr="00A648CE">
        <w:rPr>
          <w:iCs/>
          <w:lang w:val="en-GB"/>
        </w:rPr>
        <w:t xml:space="preserve">72.  </w:t>
      </w:r>
      <w:r w:rsidRPr="00A648CE">
        <w:rPr>
          <w:iCs/>
          <w:lang w:val="en-GB"/>
        </w:rPr>
        <w:t>荷兰赞赏洪都拉斯批准《美洲人权公约废除死刑议定书》</w:t>
      </w:r>
      <w:r w:rsidRPr="00A648CE">
        <w:rPr>
          <w:rFonts w:hint="eastAsia"/>
          <w:iCs/>
          <w:lang w:val="en-GB"/>
        </w:rPr>
        <w:t>及</w:t>
      </w:r>
      <w:r w:rsidRPr="00A648CE">
        <w:rPr>
          <w:iCs/>
          <w:lang w:val="en-GB"/>
        </w:rPr>
        <w:t>所采取的其他措施。荷兰对</w:t>
      </w:r>
      <w:r w:rsidRPr="00A648CE">
        <w:rPr>
          <w:rFonts w:hint="eastAsia"/>
          <w:iCs/>
          <w:lang w:val="en-GB"/>
        </w:rPr>
        <w:t>存在</w:t>
      </w:r>
      <w:r w:rsidRPr="00A648CE">
        <w:rPr>
          <w:iCs/>
          <w:lang w:val="en-GB"/>
        </w:rPr>
        <w:t>弱势群体是威胁、暴力、有时是谋杀受害者的环境以及与采矿或水电项目相关的社会冲突数量表示关切。</w:t>
      </w:r>
    </w:p>
    <w:p w:rsidR="00A648CE" w:rsidRPr="00A648CE" w:rsidRDefault="00A648CE" w:rsidP="00A648CE">
      <w:pPr>
        <w:pStyle w:val="SingleTxtGC"/>
        <w:rPr>
          <w:iCs/>
          <w:lang w:val="en-GB"/>
        </w:rPr>
      </w:pPr>
      <w:r w:rsidRPr="00A648CE">
        <w:rPr>
          <w:iCs/>
          <w:lang w:val="en-GB"/>
        </w:rPr>
        <w:t xml:space="preserve">73.  </w:t>
      </w:r>
      <w:r w:rsidRPr="00A648CE">
        <w:rPr>
          <w:iCs/>
          <w:lang w:val="en-GB"/>
        </w:rPr>
        <w:t>尼加拉瓜赞赏洪都拉斯</w:t>
      </w:r>
      <w:r w:rsidRPr="00A648CE">
        <w:rPr>
          <w:rFonts w:hint="eastAsia"/>
          <w:iCs/>
          <w:lang w:val="en-GB"/>
        </w:rPr>
        <w:t>为</w:t>
      </w:r>
      <w:r w:rsidRPr="00A648CE">
        <w:rPr>
          <w:iCs/>
          <w:lang w:val="en-GB"/>
        </w:rPr>
        <w:t>加强人权保护</w:t>
      </w:r>
      <w:r w:rsidRPr="00A648CE">
        <w:rPr>
          <w:rFonts w:hint="eastAsia"/>
          <w:iCs/>
          <w:lang w:val="en-GB"/>
        </w:rPr>
        <w:t>而</w:t>
      </w:r>
      <w:r w:rsidRPr="00A648CE">
        <w:rPr>
          <w:iCs/>
          <w:lang w:val="en-GB"/>
        </w:rPr>
        <w:t>进行立法和</w:t>
      </w:r>
      <w:r w:rsidRPr="00A648CE">
        <w:rPr>
          <w:rFonts w:hint="eastAsia"/>
          <w:iCs/>
          <w:lang w:val="en-GB"/>
        </w:rPr>
        <w:t>体制</w:t>
      </w:r>
      <w:r w:rsidRPr="00A648CE">
        <w:rPr>
          <w:iCs/>
          <w:lang w:val="en-GB"/>
        </w:rPr>
        <w:t>改革。它鼓励洪都拉斯夯实其国家人权行动计划，同时考虑到第二次审议的成果。</w:t>
      </w:r>
    </w:p>
    <w:p w:rsidR="00A648CE" w:rsidRPr="00A648CE" w:rsidRDefault="00A648CE" w:rsidP="00A648CE">
      <w:pPr>
        <w:pStyle w:val="SingleTxtGC"/>
        <w:rPr>
          <w:lang w:val="en-GB"/>
        </w:rPr>
      </w:pPr>
      <w:r w:rsidRPr="00A648CE">
        <w:rPr>
          <w:iCs/>
          <w:lang w:val="en-GB"/>
        </w:rPr>
        <w:t xml:space="preserve">74.  </w:t>
      </w:r>
      <w:r w:rsidRPr="00A648CE">
        <w:rPr>
          <w:lang w:val="en-GB"/>
        </w:rPr>
        <w:t>尼日利亚欢迎洪都拉斯</w:t>
      </w:r>
      <w:r w:rsidRPr="00A648CE">
        <w:rPr>
          <w:rFonts w:hint="eastAsia"/>
          <w:lang w:val="en-GB"/>
        </w:rPr>
        <w:t>政府为</w:t>
      </w:r>
      <w:r w:rsidRPr="00A648CE">
        <w:rPr>
          <w:lang w:val="en-GB"/>
        </w:rPr>
        <w:t>制定人权</w:t>
      </w:r>
      <w:r w:rsidRPr="00A648CE">
        <w:rPr>
          <w:rFonts w:hint="eastAsia"/>
          <w:lang w:val="en-GB"/>
        </w:rPr>
        <w:t>方面的</w:t>
      </w:r>
      <w:r w:rsidRPr="00A648CE">
        <w:rPr>
          <w:lang w:val="en-GB"/>
        </w:rPr>
        <w:t>公共政策和国家行动计划</w:t>
      </w:r>
      <w:r w:rsidRPr="00A648CE">
        <w:rPr>
          <w:rFonts w:hint="eastAsia"/>
          <w:lang w:val="en-GB"/>
        </w:rPr>
        <w:t>以及为</w:t>
      </w:r>
      <w:r w:rsidRPr="00A648CE">
        <w:rPr>
          <w:lang w:val="en-GB"/>
        </w:rPr>
        <w:t>改善安全状况</w:t>
      </w:r>
      <w:r w:rsidRPr="00A648CE">
        <w:rPr>
          <w:rFonts w:hint="eastAsia"/>
          <w:lang w:val="en-GB"/>
        </w:rPr>
        <w:t>而制定的</w:t>
      </w:r>
      <w:r w:rsidRPr="00A648CE">
        <w:rPr>
          <w:lang w:val="en-GB"/>
        </w:rPr>
        <w:t>各种政策</w:t>
      </w:r>
      <w:r w:rsidRPr="00A648CE">
        <w:rPr>
          <w:rFonts w:hint="eastAsia"/>
          <w:lang w:val="en-GB"/>
        </w:rPr>
        <w:t>。</w:t>
      </w:r>
    </w:p>
    <w:p w:rsidR="00A648CE" w:rsidRPr="00A648CE" w:rsidRDefault="00A648CE" w:rsidP="00A648CE">
      <w:pPr>
        <w:pStyle w:val="SingleTxtGC"/>
      </w:pPr>
      <w:r w:rsidRPr="00A648CE">
        <w:rPr>
          <w:iCs/>
        </w:rPr>
        <w:t xml:space="preserve">75.  </w:t>
      </w:r>
      <w:r w:rsidRPr="00A648CE">
        <w:t>挪威注意到洪都拉斯为使其国内立法与国际义务</w:t>
      </w:r>
      <w:r w:rsidRPr="00A648CE">
        <w:rPr>
          <w:rFonts w:hint="eastAsia"/>
        </w:rPr>
        <w:t>保持</w:t>
      </w:r>
      <w:r w:rsidRPr="00A648CE">
        <w:t>一致以及为制定</w:t>
      </w:r>
      <w:r w:rsidRPr="00A648CE">
        <w:rPr>
          <w:rFonts w:hint="eastAsia"/>
        </w:rPr>
        <w:t>《</w:t>
      </w:r>
      <w:r w:rsidRPr="00A648CE">
        <w:rPr>
          <w:iCs/>
        </w:rPr>
        <w:t>人权公共政策</w:t>
      </w:r>
      <w:r w:rsidRPr="00A648CE">
        <w:rPr>
          <w:rFonts w:hint="eastAsia"/>
          <w:iCs/>
        </w:rPr>
        <w:t>和</w:t>
      </w:r>
      <w:r w:rsidRPr="00A648CE">
        <w:rPr>
          <w:iCs/>
        </w:rPr>
        <w:t>国家行动计划</w:t>
      </w:r>
      <w:r w:rsidRPr="00A648CE">
        <w:rPr>
          <w:rFonts w:hint="eastAsia"/>
        </w:rPr>
        <w:t>》</w:t>
      </w:r>
      <w:r w:rsidRPr="00A648CE">
        <w:t>所做的各项努力，并对议会开除四名法官表示关切。</w:t>
      </w:r>
    </w:p>
    <w:p w:rsidR="00A648CE" w:rsidRPr="00A648CE" w:rsidRDefault="00A648CE" w:rsidP="00A648CE">
      <w:pPr>
        <w:pStyle w:val="SingleTxtGC"/>
        <w:rPr>
          <w:lang w:val="en-GB"/>
        </w:rPr>
      </w:pPr>
      <w:r w:rsidRPr="00A648CE">
        <w:rPr>
          <w:iCs/>
          <w:lang w:val="en-GB"/>
        </w:rPr>
        <w:t xml:space="preserve">76.  </w:t>
      </w:r>
      <w:r w:rsidRPr="00A648CE">
        <w:rPr>
          <w:iCs/>
          <w:lang w:val="en-GB"/>
        </w:rPr>
        <w:t>巴拿马赞赏洪都拉斯落实第一次审议提出的各项建议，对洪都拉斯承诺与国际人权机制合作表示称赞，</w:t>
      </w:r>
      <w:r w:rsidRPr="00A648CE">
        <w:rPr>
          <w:rFonts w:hint="eastAsia"/>
          <w:iCs/>
          <w:lang w:val="en-GB"/>
        </w:rPr>
        <w:t>这一点在</w:t>
      </w:r>
      <w:r w:rsidRPr="00A648CE">
        <w:rPr>
          <w:iCs/>
          <w:lang w:val="en-GB"/>
        </w:rPr>
        <w:t>向特别程序发出长期邀请</w:t>
      </w:r>
      <w:r w:rsidRPr="00A648CE">
        <w:rPr>
          <w:rFonts w:hint="eastAsia"/>
          <w:iCs/>
          <w:lang w:val="en-GB"/>
        </w:rPr>
        <w:t>方面得到体现</w:t>
      </w:r>
      <w:r w:rsidRPr="00A648CE">
        <w:rPr>
          <w:iCs/>
          <w:lang w:val="en-GB"/>
        </w:rPr>
        <w:t>。</w:t>
      </w:r>
    </w:p>
    <w:p w:rsidR="00A648CE" w:rsidRPr="00A648CE" w:rsidRDefault="00A648CE" w:rsidP="00A648CE">
      <w:pPr>
        <w:pStyle w:val="SingleTxtGC"/>
        <w:rPr>
          <w:lang w:val="en-GB"/>
        </w:rPr>
      </w:pPr>
      <w:r w:rsidRPr="00A648CE">
        <w:rPr>
          <w:iCs/>
          <w:lang w:val="en-GB"/>
        </w:rPr>
        <w:t xml:space="preserve">77.  </w:t>
      </w:r>
      <w:r w:rsidRPr="00A648CE">
        <w:rPr>
          <w:iCs/>
          <w:lang w:val="en-GB"/>
        </w:rPr>
        <w:t>巴拉圭对洪都拉斯</w:t>
      </w:r>
      <w:r w:rsidRPr="00A648CE">
        <w:rPr>
          <w:rFonts w:hint="eastAsia"/>
          <w:iCs/>
          <w:lang w:val="en-GB"/>
        </w:rPr>
        <w:t>设</w:t>
      </w:r>
      <w:r w:rsidRPr="00A648CE">
        <w:rPr>
          <w:iCs/>
          <w:lang w:val="en-GB"/>
        </w:rPr>
        <w:t>立</w:t>
      </w:r>
      <w:r w:rsidRPr="00A648CE">
        <w:rPr>
          <w:rFonts w:hint="eastAsia"/>
          <w:iCs/>
          <w:lang w:val="en-GB"/>
        </w:rPr>
        <w:t>一个负责</w:t>
      </w:r>
      <w:r w:rsidRPr="00A648CE">
        <w:rPr>
          <w:iCs/>
          <w:lang w:val="en-GB"/>
        </w:rPr>
        <w:t>跟踪落实普遍定期审议所提各项建议的国家机制表示欢迎。它注意到洪都拉斯在制定立法方面取得的进展。巴拉圭对包括孤身儿童</w:t>
      </w:r>
      <w:r w:rsidRPr="00A648CE">
        <w:rPr>
          <w:rFonts w:hint="eastAsia"/>
          <w:iCs/>
          <w:lang w:val="en-GB"/>
        </w:rPr>
        <w:t>在内的</w:t>
      </w:r>
      <w:r w:rsidRPr="00A648CE">
        <w:rPr>
          <w:iCs/>
          <w:lang w:val="en-GB"/>
        </w:rPr>
        <w:t>妇女、儿童和移徙者的脆弱性表示关切。</w:t>
      </w:r>
    </w:p>
    <w:p w:rsidR="00A648CE" w:rsidRPr="00A648CE" w:rsidRDefault="00A648CE" w:rsidP="00A648CE">
      <w:pPr>
        <w:pStyle w:val="SingleTxtGC"/>
        <w:rPr>
          <w:lang w:val="en-GB"/>
        </w:rPr>
      </w:pPr>
      <w:r w:rsidRPr="00A648CE">
        <w:rPr>
          <w:iCs/>
          <w:lang w:val="en-GB"/>
        </w:rPr>
        <w:t xml:space="preserve">78.  </w:t>
      </w:r>
      <w:r w:rsidRPr="00A648CE">
        <w:rPr>
          <w:iCs/>
          <w:lang w:val="en-GB"/>
        </w:rPr>
        <w:t>秘鲁突出强调了洪都拉斯取得的进步，特别是通过了《国家人权行动计划》，批准了《关于无国籍人地位的公约》和《减少无国籍状态公约》，并使国内立法与其国际义务</w:t>
      </w:r>
      <w:r w:rsidRPr="00A648CE">
        <w:rPr>
          <w:rFonts w:hint="eastAsia"/>
          <w:iCs/>
          <w:lang w:val="en-GB"/>
        </w:rPr>
        <w:t>保持</w:t>
      </w:r>
      <w:r w:rsidRPr="00A648CE">
        <w:rPr>
          <w:iCs/>
          <w:lang w:val="en-GB"/>
        </w:rPr>
        <w:t>一致。</w:t>
      </w:r>
    </w:p>
    <w:p w:rsidR="00A648CE" w:rsidRPr="00A648CE" w:rsidRDefault="00A648CE" w:rsidP="00A648CE">
      <w:pPr>
        <w:pStyle w:val="SingleTxtGC"/>
      </w:pPr>
      <w:r w:rsidRPr="00A648CE">
        <w:rPr>
          <w:iCs/>
        </w:rPr>
        <w:t xml:space="preserve">79.  </w:t>
      </w:r>
      <w:r w:rsidRPr="00A648CE">
        <w:rPr>
          <w:iCs/>
        </w:rPr>
        <w:t>菲律宾注意到洪都拉斯的多年期《国家人权行动计划》</w:t>
      </w:r>
      <w:r w:rsidRPr="00A648CE">
        <w:rPr>
          <w:rFonts w:hint="eastAsia"/>
          <w:iCs/>
        </w:rPr>
        <w:t>、</w:t>
      </w:r>
      <w:r w:rsidRPr="00A648CE">
        <w:rPr>
          <w:iCs/>
        </w:rPr>
        <w:t>为使国内立法与国际人权标准</w:t>
      </w:r>
      <w:r w:rsidRPr="00A648CE">
        <w:rPr>
          <w:rFonts w:hint="eastAsia"/>
          <w:iCs/>
        </w:rPr>
        <w:t>保持</w:t>
      </w:r>
      <w:r w:rsidRPr="00A648CE">
        <w:rPr>
          <w:iCs/>
        </w:rPr>
        <w:t>一致所做</w:t>
      </w:r>
      <w:r w:rsidRPr="00A648CE">
        <w:rPr>
          <w:rFonts w:hint="eastAsia"/>
          <w:iCs/>
        </w:rPr>
        <w:t>出</w:t>
      </w:r>
      <w:r w:rsidRPr="00A648CE">
        <w:rPr>
          <w:iCs/>
        </w:rPr>
        <w:t>的努力</w:t>
      </w:r>
      <w:r w:rsidRPr="00A648CE">
        <w:rPr>
          <w:rFonts w:hint="eastAsia"/>
          <w:iCs/>
        </w:rPr>
        <w:t>以及</w:t>
      </w:r>
      <w:r w:rsidRPr="00A648CE">
        <w:rPr>
          <w:iCs/>
        </w:rPr>
        <w:t>批准了各项人权公约。菲律宾对孤身儿童离开洪都拉斯表示关切。</w:t>
      </w:r>
    </w:p>
    <w:p w:rsidR="00A648CE" w:rsidRPr="00A648CE" w:rsidRDefault="00A648CE" w:rsidP="00A648CE">
      <w:pPr>
        <w:pStyle w:val="SingleTxtGC"/>
        <w:rPr>
          <w:lang w:val="en-GB"/>
        </w:rPr>
      </w:pPr>
      <w:r w:rsidRPr="00A648CE">
        <w:rPr>
          <w:iCs/>
          <w:lang w:val="en-GB"/>
        </w:rPr>
        <w:t xml:space="preserve">80.  </w:t>
      </w:r>
      <w:r w:rsidRPr="00A648CE">
        <w:rPr>
          <w:lang w:val="en-GB"/>
        </w:rPr>
        <w:t>波兰对洪都拉斯最</w:t>
      </w:r>
      <w:r w:rsidRPr="00A648CE">
        <w:rPr>
          <w:rFonts w:hint="eastAsia"/>
          <w:lang w:val="en-GB"/>
        </w:rPr>
        <w:t>新修订</w:t>
      </w:r>
      <w:r w:rsidRPr="00A648CE">
        <w:rPr>
          <w:lang w:val="en-GB"/>
        </w:rPr>
        <w:t>宪法和法律表示欢迎，对暴力侵害新闻工作者和法官案件以及没有独立调查这些案件表示关切。</w:t>
      </w:r>
    </w:p>
    <w:p w:rsidR="00A648CE" w:rsidRPr="00A648CE" w:rsidRDefault="00A648CE" w:rsidP="00A648CE">
      <w:pPr>
        <w:pStyle w:val="SingleTxtGC"/>
        <w:rPr>
          <w:lang w:val="en-GB"/>
        </w:rPr>
      </w:pPr>
      <w:r w:rsidRPr="00A648CE">
        <w:rPr>
          <w:iCs/>
          <w:lang w:val="en-GB"/>
        </w:rPr>
        <w:t xml:space="preserve">81.  </w:t>
      </w:r>
      <w:r w:rsidRPr="00A648CE">
        <w:rPr>
          <w:lang w:val="en-GB"/>
        </w:rPr>
        <w:t>葡萄牙注意到《刑法》</w:t>
      </w:r>
      <w:r w:rsidRPr="00A648CE">
        <w:rPr>
          <w:rFonts w:hint="eastAsia"/>
          <w:lang w:val="en-GB"/>
        </w:rPr>
        <w:t>修正案</w:t>
      </w:r>
      <w:r w:rsidRPr="00A648CE">
        <w:rPr>
          <w:lang w:val="en-GB"/>
        </w:rPr>
        <w:t>使酷刑定义与国际标准</w:t>
      </w:r>
      <w:r w:rsidRPr="00A648CE">
        <w:rPr>
          <w:rFonts w:hint="eastAsia"/>
          <w:lang w:val="en-GB"/>
        </w:rPr>
        <w:t>保持</w:t>
      </w:r>
      <w:r w:rsidRPr="00A648CE">
        <w:rPr>
          <w:lang w:val="en-GB"/>
        </w:rPr>
        <w:t>一致，并通过了《教育法》，</w:t>
      </w:r>
      <w:r w:rsidRPr="00A648CE">
        <w:rPr>
          <w:rFonts w:hint="eastAsia"/>
          <w:lang w:val="en-GB"/>
        </w:rPr>
        <w:t>该法对</w:t>
      </w:r>
      <w:r w:rsidRPr="00A648CE">
        <w:rPr>
          <w:lang w:val="en-GB"/>
        </w:rPr>
        <w:t>免费义务教育</w:t>
      </w:r>
      <w:r w:rsidRPr="00A648CE">
        <w:rPr>
          <w:rFonts w:hint="eastAsia"/>
          <w:lang w:val="en-GB"/>
        </w:rPr>
        <w:t>做出了规定</w:t>
      </w:r>
      <w:r w:rsidRPr="00A648CE">
        <w:rPr>
          <w:lang w:val="en-GB"/>
        </w:rPr>
        <w:t>。葡萄牙对暴力侵害妇女行为表示关切。</w:t>
      </w:r>
    </w:p>
    <w:p w:rsidR="00A648CE" w:rsidRPr="00A648CE" w:rsidRDefault="00A648CE" w:rsidP="00A648CE">
      <w:pPr>
        <w:pStyle w:val="SingleTxtGC"/>
        <w:rPr>
          <w:lang w:val="en-GB"/>
        </w:rPr>
      </w:pPr>
      <w:r w:rsidRPr="00A648CE">
        <w:rPr>
          <w:iCs/>
          <w:lang w:val="en-GB"/>
        </w:rPr>
        <w:t xml:space="preserve">82.  </w:t>
      </w:r>
      <w:r w:rsidRPr="00A648CE">
        <w:rPr>
          <w:lang w:val="en-GB"/>
        </w:rPr>
        <w:t>卡塔尔表示，洪都拉斯在使国内立法与国际标准</w:t>
      </w:r>
      <w:r w:rsidRPr="00A648CE">
        <w:rPr>
          <w:rFonts w:hint="eastAsia"/>
          <w:lang w:val="en-GB"/>
        </w:rPr>
        <w:t>保持</w:t>
      </w:r>
      <w:r w:rsidRPr="00A648CE">
        <w:rPr>
          <w:lang w:val="en-GB"/>
        </w:rPr>
        <w:t>一致方面取得了巨大进步。它注意到洪都拉斯为加强安全和公共秩序所做的努力。</w:t>
      </w:r>
    </w:p>
    <w:p w:rsidR="00A648CE" w:rsidRPr="00A648CE" w:rsidRDefault="00A648CE" w:rsidP="00A648CE">
      <w:pPr>
        <w:pStyle w:val="SingleTxtGC"/>
        <w:rPr>
          <w:lang w:val="en-GB"/>
        </w:rPr>
      </w:pPr>
      <w:r w:rsidRPr="00A648CE">
        <w:rPr>
          <w:iCs/>
          <w:lang w:val="en-GB"/>
        </w:rPr>
        <w:t xml:space="preserve">83.  </w:t>
      </w:r>
      <w:r w:rsidRPr="00A648CE">
        <w:rPr>
          <w:lang w:val="en-GB"/>
        </w:rPr>
        <w:t>大韩民国注意到针对弱势群体的政策，</w:t>
      </w:r>
      <w:r w:rsidRPr="00A648CE">
        <w:rPr>
          <w:rFonts w:hint="eastAsia"/>
          <w:lang w:val="en-GB"/>
        </w:rPr>
        <w:t>修订</w:t>
      </w:r>
      <w:r w:rsidRPr="00A648CE">
        <w:rPr>
          <w:lang w:val="en-GB"/>
        </w:rPr>
        <w:t>了酷刑和强迫失踪的定义，并为落实真相与和解委员会的各项建议做</w:t>
      </w:r>
      <w:r w:rsidRPr="00A648CE">
        <w:rPr>
          <w:rFonts w:hint="eastAsia"/>
          <w:lang w:val="en-GB"/>
        </w:rPr>
        <w:t>出</w:t>
      </w:r>
      <w:r w:rsidRPr="00A648CE">
        <w:rPr>
          <w:lang w:val="en-GB"/>
        </w:rPr>
        <w:t>努力。</w:t>
      </w:r>
    </w:p>
    <w:p w:rsidR="00A648CE" w:rsidRPr="00A648CE" w:rsidRDefault="00A648CE" w:rsidP="00A648CE">
      <w:pPr>
        <w:pStyle w:val="SingleTxtGC"/>
        <w:rPr>
          <w:lang w:val="en-GB"/>
        </w:rPr>
      </w:pPr>
      <w:r w:rsidRPr="00A648CE">
        <w:rPr>
          <w:iCs/>
          <w:lang w:val="en-GB"/>
        </w:rPr>
        <w:t xml:space="preserve">84.  </w:t>
      </w:r>
      <w:r w:rsidRPr="00A648CE">
        <w:rPr>
          <w:lang w:val="en-GB"/>
        </w:rPr>
        <w:t>罗马尼亚注意到为落实第一次审议所提</w:t>
      </w:r>
      <w:r w:rsidRPr="00A648CE">
        <w:rPr>
          <w:rFonts w:hint="eastAsia"/>
          <w:lang w:val="en-GB"/>
        </w:rPr>
        <w:t>各项</w:t>
      </w:r>
      <w:r w:rsidRPr="00A648CE">
        <w:rPr>
          <w:lang w:val="en-GB"/>
        </w:rPr>
        <w:t>建议</w:t>
      </w:r>
      <w:r w:rsidRPr="00A648CE">
        <w:rPr>
          <w:rFonts w:hint="eastAsia"/>
          <w:lang w:val="en-GB"/>
        </w:rPr>
        <w:t>做出</w:t>
      </w:r>
      <w:r w:rsidRPr="00A648CE">
        <w:rPr>
          <w:lang w:val="en-GB"/>
        </w:rPr>
        <w:t>的努力。它对洪都拉斯与人权机制特别是</w:t>
      </w:r>
      <w:r w:rsidRPr="00A648CE">
        <w:rPr>
          <w:rFonts w:hint="eastAsia"/>
          <w:lang w:val="en-GB"/>
        </w:rPr>
        <w:t>与</w:t>
      </w:r>
      <w:r w:rsidRPr="00A648CE">
        <w:rPr>
          <w:lang w:val="en-GB"/>
        </w:rPr>
        <w:t>特别程序合作表示祝贺。</w:t>
      </w:r>
    </w:p>
    <w:p w:rsidR="00A648CE" w:rsidRPr="00A648CE" w:rsidRDefault="00A648CE" w:rsidP="00A648CE">
      <w:pPr>
        <w:pStyle w:val="SingleTxtGC"/>
        <w:rPr>
          <w:lang w:val="en-GB"/>
        </w:rPr>
      </w:pPr>
      <w:r w:rsidRPr="00A648CE">
        <w:rPr>
          <w:iCs/>
          <w:lang w:val="en-GB"/>
        </w:rPr>
        <w:t xml:space="preserve">85.  </w:t>
      </w:r>
      <w:r w:rsidRPr="00A648CE">
        <w:rPr>
          <w:lang w:val="en-GB"/>
        </w:rPr>
        <w:t>俄罗斯联邦对洪都拉斯执行各项国际条约表示欢迎。它注意到洪都拉斯通过了《</w:t>
      </w:r>
      <w:r w:rsidRPr="00A648CE">
        <w:rPr>
          <w:lang w:val="en-GB"/>
        </w:rPr>
        <w:t>2013-2022</w:t>
      </w:r>
      <w:r w:rsidRPr="00A648CE">
        <w:rPr>
          <w:lang w:val="en-GB"/>
        </w:rPr>
        <w:t>年国家人权行动计划》，并支持洪都拉斯为在内阁设立人权部门而</w:t>
      </w:r>
      <w:r w:rsidRPr="00A648CE">
        <w:rPr>
          <w:rFonts w:hint="eastAsia"/>
          <w:lang w:val="en-GB"/>
        </w:rPr>
        <w:t>做出</w:t>
      </w:r>
      <w:r w:rsidRPr="00A648CE">
        <w:rPr>
          <w:lang w:val="en-GB"/>
        </w:rPr>
        <w:t>努力。</w:t>
      </w:r>
    </w:p>
    <w:p w:rsidR="00A648CE" w:rsidRPr="00A648CE" w:rsidRDefault="00A648CE" w:rsidP="00A648CE">
      <w:pPr>
        <w:pStyle w:val="SingleTxtGC"/>
        <w:rPr>
          <w:lang w:val="en-GB"/>
        </w:rPr>
      </w:pPr>
      <w:r w:rsidRPr="00A648CE">
        <w:rPr>
          <w:iCs/>
          <w:lang w:val="en-GB"/>
        </w:rPr>
        <w:t xml:space="preserve">86.  </w:t>
      </w:r>
      <w:r w:rsidRPr="00A648CE">
        <w:rPr>
          <w:lang w:val="en-GB"/>
        </w:rPr>
        <w:t>卢旺达注意到洪都拉斯在内阁设立了人权</w:t>
      </w:r>
      <w:r w:rsidRPr="00A648CE">
        <w:rPr>
          <w:rFonts w:hint="eastAsia"/>
          <w:lang w:val="en-GB"/>
        </w:rPr>
        <w:t>部长职位</w:t>
      </w:r>
      <w:r w:rsidRPr="00A648CE">
        <w:rPr>
          <w:lang w:val="en-GB"/>
        </w:rPr>
        <w:t>，落实</w:t>
      </w:r>
      <w:r w:rsidRPr="00A648CE">
        <w:rPr>
          <w:rFonts w:hint="eastAsia"/>
          <w:lang w:val="en-GB"/>
        </w:rPr>
        <w:t>了</w:t>
      </w:r>
      <w:r w:rsidRPr="00A648CE">
        <w:rPr>
          <w:lang w:val="en-GB"/>
        </w:rPr>
        <w:t>真相与和解委员会的绝大多数建议，并注意到</w:t>
      </w:r>
      <w:r w:rsidRPr="00A648CE">
        <w:rPr>
          <w:rFonts w:hint="eastAsia"/>
          <w:lang w:val="en-GB"/>
        </w:rPr>
        <w:t>人权</w:t>
      </w:r>
      <w:r w:rsidRPr="00A648CE">
        <w:rPr>
          <w:lang w:val="en-GB"/>
        </w:rPr>
        <w:t>政策和《</w:t>
      </w:r>
      <w:r w:rsidRPr="00A648CE">
        <w:rPr>
          <w:lang w:val="en-GB"/>
        </w:rPr>
        <w:t>2013-2022</w:t>
      </w:r>
      <w:r w:rsidRPr="00A648CE">
        <w:rPr>
          <w:lang w:val="en-GB"/>
        </w:rPr>
        <w:t>年国家人权行动计划》。</w:t>
      </w:r>
    </w:p>
    <w:p w:rsidR="00A648CE" w:rsidRPr="00A648CE" w:rsidRDefault="00A648CE" w:rsidP="00A648CE">
      <w:pPr>
        <w:pStyle w:val="SingleTxtGC"/>
        <w:rPr>
          <w:lang w:val="en-GB"/>
        </w:rPr>
      </w:pPr>
      <w:r w:rsidRPr="00A648CE">
        <w:rPr>
          <w:iCs/>
          <w:lang w:val="en-GB"/>
        </w:rPr>
        <w:t xml:space="preserve">87.  </w:t>
      </w:r>
      <w:r w:rsidRPr="00A648CE">
        <w:rPr>
          <w:iCs/>
          <w:lang w:val="en-GB"/>
        </w:rPr>
        <w:t>塞拉利昂敦促洪都拉斯制定激励措施促进穷人和边缘社区的参与；</w:t>
      </w:r>
      <w:r w:rsidRPr="00A648CE">
        <w:rPr>
          <w:rFonts w:hint="eastAsia"/>
          <w:iCs/>
          <w:lang w:val="en-GB"/>
        </w:rPr>
        <w:t>执行有关</w:t>
      </w:r>
      <w:r w:rsidRPr="00A648CE">
        <w:rPr>
          <w:iCs/>
          <w:lang w:val="en-GB"/>
        </w:rPr>
        <w:t>禁止仇恨罪和暴力侵害非洲裔妇女行为</w:t>
      </w:r>
      <w:r w:rsidRPr="00A648CE">
        <w:rPr>
          <w:rFonts w:hint="eastAsia"/>
          <w:iCs/>
          <w:lang w:val="en-GB"/>
        </w:rPr>
        <w:t>的</w:t>
      </w:r>
      <w:r w:rsidRPr="00A648CE">
        <w:rPr>
          <w:iCs/>
          <w:lang w:val="en-GB"/>
        </w:rPr>
        <w:t>法律；并募集资金，以解决毒品和贩运人口问题。</w:t>
      </w:r>
    </w:p>
    <w:p w:rsidR="00A648CE" w:rsidRPr="00A648CE" w:rsidRDefault="00A648CE" w:rsidP="00A648CE">
      <w:pPr>
        <w:pStyle w:val="SingleTxtGC"/>
        <w:rPr>
          <w:lang w:val="en-GB"/>
        </w:rPr>
      </w:pPr>
      <w:r w:rsidRPr="00A648CE">
        <w:rPr>
          <w:iCs/>
          <w:lang w:val="en-GB"/>
        </w:rPr>
        <w:t xml:space="preserve">88.  </w:t>
      </w:r>
      <w:r w:rsidRPr="00A648CE">
        <w:rPr>
          <w:iCs/>
          <w:lang w:val="en-GB"/>
        </w:rPr>
        <w:t>新加坡承认洪都拉斯在降低谋杀率方面取得进步，赞赏洪都拉斯致力于保护妇女的各项权利，并</w:t>
      </w:r>
      <w:r w:rsidRPr="00A648CE">
        <w:rPr>
          <w:rFonts w:hint="eastAsia"/>
          <w:iCs/>
          <w:lang w:val="en-GB"/>
        </w:rPr>
        <w:t>认识到</w:t>
      </w:r>
      <w:r w:rsidRPr="00A648CE">
        <w:rPr>
          <w:iCs/>
          <w:lang w:val="en-GB"/>
        </w:rPr>
        <w:t>洪都拉斯</w:t>
      </w:r>
      <w:r w:rsidRPr="00A648CE">
        <w:rPr>
          <w:rFonts w:hint="eastAsia"/>
          <w:iCs/>
          <w:lang w:val="en-GB"/>
        </w:rPr>
        <w:t>在执行“</w:t>
      </w:r>
      <w:r w:rsidRPr="00A648CE">
        <w:rPr>
          <w:iCs/>
          <w:lang w:val="en-GB"/>
        </w:rPr>
        <w:t>生活</w:t>
      </w:r>
      <w:r w:rsidRPr="00A648CE">
        <w:rPr>
          <w:rFonts w:hint="eastAsia"/>
          <w:iCs/>
          <w:lang w:val="en-GB"/>
        </w:rPr>
        <w:t>改善</w:t>
      </w:r>
      <w:r w:rsidRPr="00A648CE">
        <w:rPr>
          <w:iCs/>
          <w:lang w:val="en-GB"/>
        </w:rPr>
        <w:t>方案</w:t>
      </w:r>
      <w:r w:rsidRPr="00A648CE">
        <w:rPr>
          <w:rFonts w:hint="eastAsia"/>
          <w:iCs/>
          <w:lang w:val="en-GB"/>
        </w:rPr>
        <w:t>”方面</w:t>
      </w:r>
      <w:r w:rsidRPr="00A648CE">
        <w:rPr>
          <w:iCs/>
          <w:lang w:val="en-GB"/>
        </w:rPr>
        <w:t>为改造和改善住房所</w:t>
      </w:r>
      <w:r w:rsidRPr="00A648CE">
        <w:rPr>
          <w:rFonts w:hint="eastAsia"/>
          <w:iCs/>
          <w:lang w:val="en-GB"/>
        </w:rPr>
        <w:t>做出</w:t>
      </w:r>
      <w:r w:rsidRPr="00A648CE">
        <w:rPr>
          <w:iCs/>
          <w:lang w:val="en-GB"/>
        </w:rPr>
        <w:t>的努力。</w:t>
      </w:r>
    </w:p>
    <w:p w:rsidR="00A648CE" w:rsidRPr="00A648CE" w:rsidRDefault="00A648CE" w:rsidP="00A648CE">
      <w:pPr>
        <w:pStyle w:val="SingleTxtGC"/>
        <w:rPr>
          <w:lang w:val="en-GB"/>
        </w:rPr>
      </w:pPr>
      <w:r w:rsidRPr="00A648CE">
        <w:rPr>
          <w:iCs/>
          <w:lang w:val="en-GB"/>
        </w:rPr>
        <w:t xml:space="preserve">89.  </w:t>
      </w:r>
      <w:r w:rsidRPr="00A648CE">
        <w:rPr>
          <w:iCs/>
          <w:lang w:val="en-GB"/>
        </w:rPr>
        <w:t>斯洛文尼亚欢迎洪都拉斯为使立法与国际标准保持一致所做</w:t>
      </w:r>
      <w:r w:rsidRPr="00A648CE">
        <w:rPr>
          <w:rFonts w:hint="eastAsia"/>
          <w:iCs/>
          <w:lang w:val="en-GB"/>
        </w:rPr>
        <w:t>出</w:t>
      </w:r>
      <w:r w:rsidRPr="00A648CE">
        <w:rPr>
          <w:iCs/>
          <w:lang w:val="en-GB"/>
        </w:rPr>
        <w:t>的努力。它注意到消除种族歧视委员会谴责袭击土著和非洲裔洪都拉斯领袖及新闻工作者的行为，还注意到关于保护人权维护者的法案草案。</w:t>
      </w:r>
    </w:p>
    <w:p w:rsidR="00A648CE" w:rsidRPr="00A648CE" w:rsidRDefault="00A648CE" w:rsidP="00A648CE">
      <w:pPr>
        <w:pStyle w:val="SingleTxtGC"/>
        <w:rPr>
          <w:lang w:val="en-GB"/>
        </w:rPr>
      </w:pPr>
      <w:r w:rsidRPr="00A648CE">
        <w:rPr>
          <w:iCs/>
          <w:lang w:val="en-GB"/>
        </w:rPr>
        <w:t xml:space="preserve">90.  </w:t>
      </w:r>
      <w:r w:rsidRPr="00A648CE">
        <w:rPr>
          <w:lang w:val="en-GB"/>
        </w:rPr>
        <w:t>西班牙</w:t>
      </w:r>
      <w:r w:rsidRPr="00A648CE">
        <w:rPr>
          <w:rFonts w:hint="eastAsia"/>
          <w:lang w:val="en-GB"/>
        </w:rPr>
        <w:t>着重</w:t>
      </w:r>
      <w:r w:rsidRPr="00A648CE">
        <w:rPr>
          <w:lang w:val="en-GB"/>
        </w:rPr>
        <w:t>强调洪都拉斯愿意设立人权高专办国家办事处。西班牙对暴力侵害妇女和女童行为高发和这些案件有罪不罚率高的现象表示关切。</w:t>
      </w:r>
    </w:p>
    <w:p w:rsidR="00A648CE" w:rsidRPr="00A648CE" w:rsidRDefault="00A648CE" w:rsidP="00A648CE">
      <w:pPr>
        <w:pStyle w:val="SingleTxtGC"/>
        <w:rPr>
          <w:lang w:val="en-GB"/>
        </w:rPr>
      </w:pPr>
      <w:r w:rsidRPr="00A648CE">
        <w:rPr>
          <w:iCs/>
          <w:lang w:val="en-GB"/>
        </w:rPr>
        <w:t xml:space="preserve">91.  </w:t>
      </w:r>
      <w:r w:rsidRPr="00A648CE">
        <w:rPr>
          <w:iCs/>
          <w:lang w:val="en-GB"/>
        </w:rPr>
        <w:t>瑞典对洪都拉斯决定请求设立人权高专办国家办事处表示欢迎。它对洪都拉斯修</w:t>
      </w:r>
      <w:r w:rsidRPr="00A648CE">
        <w:rPr>
          <w:rFonts w:hint="eastAsia"/>
          <w:iCs/>
          <w:lang w:val="en-GB"/>
        </w:rPr>
        <w:t>订</w:t>
      </w:r>
      <w:r w:rsidRPr="00A648CE">
        <w:rPr>
          <w:iCs/>
          <w:lang w:val="en-GB"/>
        </w:rPr>
        <w:t>《刑法》，将杀害女性作为</w:t>
      </w:r>
      <w:r w:rsidRPr="00A648CE">
        <w:rPr>
          <w:rFonts w:hint="eastAsia"/>
          <w:iCs/>
          <w:lang w:val="en-GB"/>
        </w:rPr>
        <w:t>一项</w:t>
      </w:r>
      <w:r w:rsidRPr="00A648CE">
        <w:rPr>
          <w:iCs/>
          <w:lang w:val="en-GB"/>
        </w:rPr>
        <w:t>特殊犯罪</w:t>
      </w:r>
      <w:r w:rsidRPr="00A648CE">
        <w:rPr>
          <w:rFonts w:hint="eastAsia"/>
          <w:iCs/>
          <w:lang w:val="en-GB"/>
        </w:rPr>
        <w:t>列入《刑法》</w:t>
      </w:r>
      <w:r w:rsidRPr="00A648CE">
        <w:rPr>
          <w:iCs/>
          <w:lang w:val="en-GB"/>
        </w:rPr>
        <w:t>表示欢迎，对暴力侵害妇女和犯罪人有罪不罚现象表示关切。它注意到，暴力侵害妇女问题特别报告员对禁止堕胎表示关切。</w:t>
      </w:r>
    </w:p>
    <w:p w:rsidR="00A648CE" w:rsidRPr="00A648CE" w:rsidRDefault="00A648CE" w:rsidP="00A648CE">
      <w:pPr>
        <w:pStyle w:val="SingleTxtGC"/>
        <w:rPr>
          <w:lang w:val="en-GB"/>
        </w:rPr>
      </w:pPr>
      <w:r w:rsidRPr="00A648CE">
        <w:rPr>
          <w:iCs/>
          <w:lang w:val="en-GB"/>
        </w:rPr>
        <w:t xml:space="preserve">92.  </w:t>
      </w:r>
      <w:r w:rsidRPr="00A648CE">
        <w:rPr>
          <w:iCs/>
          <w:lang w:val="en-GB"/>
        </w:rPr>
        <w:t>瑞士对洪都拉斯将</w:t>
      </w:r>
      <w:r w:rsidRPr="00A648CE">
        <w:rPr>
          <w:rFonts w:hint="eastAsia"/>
          <w:iCs/>
          <w:lang w:val="en-GB"/>
        </w:rPr>
        <w:t>即将</w:t>
      </w:r>
      <w:r w:rsidRPr="00A648CE">
        <w:rPr>
          <w:iCs/>
          <w:lang w:val="en-GB"/>
        </w:rPr>
        <w:t>设立人权高专办国家办事处表示欢迎。它认为，</w:t>
      </w:r>
      <w:r w:rsidRPr="00A648CE">
        <w:rPr>
          <w:rFonts w:hint="eastAsia"/>
          <w:iCs/>
          <w:lang w:val="en-GB"/>
        </w:rPr>
        <w:t>必须加强对</w:t>
      </w:r>
      <w:r w:rsidRPr="00A648CE">
        <w:rPr>
          <w:iCs/>
          <w:lang w:val="en-GB"/>
        </w:rPr>
        <w:t>人权维护者的保护</w:t>
      </w:r>
      <w:r w:rsidRPr="00A648CE">
        <w:rPr>
          <w:rFonts w:hint="eastAsia"/>
          <w:iCs/>
          <w:lang w:val="en-GB"/>
        </w:rPr>
        <w:t>，并</w:t>
      </w:r>
      <w:r w:rsidRPr="00A648CE">
        <w:rPr>
          <w:iCs/>
          <w:lang w:val="en-GB"/>
        </w:rPr>
        <w:t>对该国</w:t>
      </w:r>
      <w:r w:rsidRPr="00A648CE">
        <w:rPr>
          <w:rFonts w:hint="eastAsia"/>
          <w:iCs/>
          <w:lang w:val="en-GB"/>
        </w:rPr>
        <w:t>不断加强军力</w:t>
      </w:r>
      <w:r w:rsidRPr="00A648CE">
        <w:rPr>
          <w:iCs/>
          <w:lang w:val="en-GB"/>
        </w:rPr>
        <w:t>表示关切。</w:t>
      </w:r>
    </w:p>
    <w:p w:rsidR="00A648CE" w:rsidRPr="00A648CE" w:rsidRDefault="00A648CE" w:rsidP="00A648CE">
      <w:pPr>
        <w:pStyle w:val="SingleTxtGC"/>
        <w:rPr>
          <w:lang w:val="en-GB"/>
        </w:rPr>
      </w:pPr>
      <w:r w:rsidRPr="00A648CE">
        <w:rPr>
          <w:iCs/>
          <w:lang w:val="en-GB"/>
        </w:rPr>
        <w:t xml:space="preserve">93.  </w:t>
      </w:r>
      <w:r w:rsidRPr="00A648CE">
        <w:rPr>
          <w:iCs/>
          <w:lang w:val="en-GB"/>
        </w:rPr>
        <w:t>泰国</w:t>
      </w:r>
      <w:r w:rsidRPr="00A648CE">
        <w:rPr>
          <w:rFonts w:hint="eastAsia"/>
          <w:iCs/>
          <w:lang w:val="en-GB"/>
        </w:rPr>
        <w:t>赞赏</w:t>
      </w:r>
      <w:r w:rsidRPr="00A648CE">
        <w:rPr>
          <w:iCs/>
          <w:lang w:val="en-GB"/>
        </w:rPr>
        <w:t>洪都拉斯设立司法与人权部。它注意到过去几年</w:t>
      </w:r>
      <w:r w:rsidRPr="00A648CE">
        <w:rPr>
          <w:rFonts w:hint="eastAsia"/>
          <w:iCs/>
          <w:lang w:val="en-GB"/>
        </w:rPr>
        <w:t>的</w:t>
      </w:r>
      <w:r w:rsidRPr="00A648CE">
        <w:rPr>
          <w:iCs/>
          <w:lang w:val="en-GB"/>
        </w:rPr>
        <w:t>谋杀率</w:t>
      </w:r>
      <w:r w:rsidRPr="00A648CE">
        <w:rPr>
          <w:rFonts w:hint="eastAsia"/>
          <w:iCs/>
          <w:lang w:val="en-GB"/>
        </w:rPr>
        <w:t>降低</w:t>
      </w:r>
      <w:r w:rsidRPr="00A648CE">
        <w:rPr>
          <w:iCs/>
          <w:lang w:val="en-GB"/>
        </w:rPr>
        <w:t>并颁布了《基本教育法》。泰国鼓励洪都拉斯考虑批准《消除对妇女一切形式歧视公约任择议定书》和《儿童权利公约关于设定来文程序的任择议定书》。</w:t>
      </w:r>
    </w:p>
    <w:p w:rsidR="00A648CE" w:rsidRPr="00A648CE" w:rsidRDefault="00A648CE" w:rsidP="00A648CE">
      <w:pPr>
        <w:pStyle w:val="SingleTxtGC"/>
        <w:rPr>
          <w:lang w:val="en-GB"/>
        </w:rPr>
      </w:pPr>
      <w:r w:rsidRPr="00A648CE">
        <w:rPr>
          <w:iCs/>
          <w:lang w:val="en-GB"/>
        </w:rPr>
        <w:t xml:space="preserve">94.  </w:t>
      </w:r>
      <w:r w:rsidRPr="00A648CE">
        <w:rPr>
          <w:lang w:val="en-GB"/>
        </w:rPr>
        <w:t>东帝汶对洪都拉斯设立司法与人权部和通过《国家人权行动计划》表示欢迎。</w:t>
      </w:r>
    </w:p>
    <w:p w:rsidR="00A648CE" w:rsidRPr="00A648CE" w:rsidRDefault="00A648CE" w:rsidP="00A648CE">
      <w:pPr>
        <w:pStyle w:val="SingleTxtGC"/>
        <w:rPr>
          <w:lang w:val="en-GB"/>
        </w:rPr>
      </w:pPr>
      <w:r w:rsidRPr="00A648CE">
        <w:rPr>
          <w:iCs/>
          <w:lang w:val="en-GB"/>
        </w:rPr>
        <w:t xml:space="preserve">95.  </w:t>
      </w:r>
      <w:r w:rsidRPr="00A648CE">
        <w:rPr>
          <w:iCs/>
          <w:lang w:val="en-GB"/>
        </w:rPr>
        <w:t>特</w:t>
      </w:r>
      <w:r w:rsidRPr="00A648CE">
        <w:rPr>
          <w:rFonts w:hint="eastAsia"/>
          <w:iCs/>
          <w:lang w:val="en-GB"/>
        </w:rPr>
        <w:t>立</w:t>
      </w:r>
      <w:r w:rsidRPr="00A648CE">
        <w:rPr>
          <w:iCs/>
          <w:lang w:val="en-GB"/>
        </w:rPr>
        <w:t>尼达和多巴哥称赞洪都拉斯制定了《</w:t>
      </w:r>
      <w:r w:rsidRPr="00A648CE">
        <w:rPr>
          <w:rFonts w:hint="eastAsia"/>
          <w:iCs/>
          <w:lang w:val="en-GB"/>
        </w:rPr>
        <w:t>反</w:t>
      </w:r>
      <w:r w:rsidRPr="00A648CE">
        <w:rPr>
          <w:iCs/>
          <w:lang w:val="en-GB"/>
        </w:rPr>
        <w:t>贩运人口法》、设立流动裁判法院、重新分配国有土地以</w:t>
      </w:r>
      <w:r w:rsidRPr="00A648CE">
        <w:rPr>
          <w:rFonts w:hint="eastAsia"/>
          <w:iCs/>
          <w:lang w:val="en-GB"/>
        </w:rPr>
        <w:t>惠及</w:t>
      </w:r>
      <w:r w:rsidRPr="00A648CE">
        <w:rPr>
          <w:iCs/>
          <w:lang w:val="en-GB"/>
        </w:rPr>
        <w:t>土著和非裔</w:t>
      </w:r>
      <w:r w:rsidRPr="00A648CE">
        <w:rPr>
          <w:rFonts w:hint="eastAsia"/>
          <w:iCs/>
          <w:lang w:val="en-GB"/>
        </w:rPr>
        <w:t>人民</w:t>
      </w:r>
      <w:r w:rsidRPr="00A648CE">
        <w:rPr>
          <w:iCs/>
          <w:lang w:val="en-GB"/>
        </w:rPr>
        <w:t>以及将饮水和卫生权作为一项宪法权利。</w:t>
      </w:r>
    </w:p>
    <w:p w:rsidR="00A648CE" w:rsidRPr="00A648CE" w:rsidRDefault="00A648CE" w:rsidP="00A648CE">
      <w:pPr>
        <w:pStyle w:val="SingleTxtGC"/>
        <w:rPr>
          <w:lang w:val="en-GB"/>
        </w:rPr>
      </w:pPr>
      <w:r w:rsidRPr="00A648CE">
        <w:rPr>
          <w:iCs/>
          <w:lang w:val="en-GB"/>
        </w:rPr>
        <w:t>96.</w:t>
      </w:r>
      <w:r w:rsidRPr="00A648CE">
        <w:rPr>
          <w:rFonts w:hint="eastAsia"/>
          <w:iCs/>
          <w:lang w:val="en-GB"/>
        </w:rPr>
        <w:t xml:space="preserve">  </w:t>
      </w:r>
      <w:r w:rsidRPr="00A648CE">
        <w:rPr>
          <w:lang w:val="en-GB"/>
        </w:rPr>
        <w:t>土耳其对洪都拉斯的</w:t>
      </w:r>
      <w:r w:rsidRPr="00A648CE">
        <w:rPr>
          <w:rFonts w:hint="eastAsia"/>
          <w:lang w:val="en-GB"/>
        </w:rPr>
        <w:t>《人权</w:t>
      </w:r>
      <w:r w:rsidRPr="00A648CE">
        <w:rPr>
          <w:lang w:val="en-GB"/>
        </w:rPr>
        <w:t>公共政策</w:t>
      </w:r>
      <w:r w:rsidRPr="00A648CE">
        <w:rPr>
          <w:rFonts w:hint="eastAsia"/>
          <w:lang w:val="en-GB"/>
        </w:rPr>
        <w:t>和</w:t>
      </w:r>
      <w:r w:rsidRPr="00A648CE">
        <w:rPr>
          <w:lang w:val="en-GB"/>
        </w:rPr>
        <w:t>国家行动计划</w:t>
      </w:r>
      <w:r w:rsidRPr="00A648CE">
        <w:rPr>
          <w:rFonts w:hint="eastAsia"/>
          <w:lang w:val="en-GB"/>
        </w:rPr>
        <w:t>》、</w:t>
      </w:r>
      <w:r w:rsidRPr="00A648CE">
        <w:rPr>
          <w:lang w:val="en-GB"/>
        </w:rPr>
        <w:t>《性别平等和公平计划》以及与特别程序合作表示欢迎。土耳其欢迎洪都拉斯设立人权高专办办事处。</w:t>
      </w:r>
    </w:p>
    <w:p w:rsidR="00A648CE" w:rsidRPr="00A648CE" w:rsidRDefault="00A648CE" w:rsidP="00A648CE">
      <w:pPr>
        <w:pStyle w:val="SingleTxtGC"/>
        <w:rPr>
          <w:lang w:val="en-GB"/>
        </w:rPr>
      </w:pPr>
      <w:r w:rsidRPr="00A648CE">
        <w:rPr>
          <w:iCs/>
          <w:lang w:val="en-GB"/>
        </w:rPr>
        <w:t xml:space="preserve">97.  </w:t>
      </w:r>
      <w:r w:rsidRPr="00A648CE">
        <w:rPr>
          <w:iCs/>
          <w:lang w:val="en-GB"/>
        </w:rPr>
        <w:t>大不列颠及北爱尔兰联合王国对《刑法》修正案表示欢迎，对洪都拉斯打算利用军警解决安全问题、有罪不罚现象</w:t>
      </w:r>
      <w:r w:rsidRPr="00A648CE">
        <w:rPr>
          <w:rFonts w:hint="eastAsia"/>
          <w:iCs/>
          <w:lang w:val="en-GB"/>
        </w:rPr>
        <w:t>继续</w:t>
      </w:r>
      <w:r w:rsidRPr="00A648CE">
        <w:rPr>
          <w:iCs/>
          <w:lang w:val="en-GB"/>
        </w:rPr>
        <w:t>居高不下以及社会</w:t>
      </w:r>
      <w:r w:rsidRPr="00A648CE">
        <w:rPr>
          <w:rFonts w:hint="eastAsia"/>
          <w:iCs/>
          <w:lang w:val="en-GB"/>
        </w:rPr>
        <w:t>重要</w:t>
      </w:r>
      <w:r w:rsidRPr="00A648CE">
        <w:rPr>
          <w:iCs/>
          <w:lang w:val="en-GB"/>
        </w:rPr>
        <w:t>部门在诉诸司法方面面临严重困难表示关切。</w:t>
      </w:r>
    </w:p>
    <w:p w:rsidR="00A648CE" w:rsidRPr="00A648CE" w:rsidRDefault="00A648CE" w:rsidP="00A648CE">
      <w:pPr>
        <w:pStyle w:val="SingleTxtGC"/>
        <w:rPr>
          <w:lang w:val="en-GB"/>
        </w:rPr>
      </w:pPr>
      <w:r w:rsidRPr="00A648CE">
        <w:rPr>
          <w:iCs/>
          <w:lang w:val="en-GB"/>
        </w:rPr>
        <w:t xml:space="preserve">98.  </w:t>
      </w:r>
      <w:r w:rsidRPr="00A648CE">
        <w:rPr>
          <w:iCs/>
          <w:lang w:val="en-GB"/>
        </w:rPr>
        <w:t>美利坚合众国</w:t>
      </w:r>
      <w:r w:rsidRPr="00A648CE">
        <w:rPr>
          <w:rFonts w:hint="eastAsia"/>
          <w:iCs/>
          <w:lang w:val="en-GB"/>
        </w:rPr>
        <w:t>对</w:t>
      </w:r>
      <w:r w:rsidRPr="00A648CE">
        <w:rPr>
          <w:iCs/>
          <w:lang w:val="en-GB"/>
        </w:rPr>
        <w:t>洪都拉斯</w:t>
      </w:r>
      <w:r w:rsidRPr="00A648CE">
        <w:rPr>
          <w:rFonts w:hint="eastAsia"/>
          <w:iCs/>
          <w:lang w:val="en-GB"/>
        </w:rPr>
        <w:t>打算</w:t>
      </w:r>
      <w:r w:rsidRPr="00A648CE">
        <w:rPr>
          <w:iCs/>
          <w:lang w:val="en-GB"/>
        </w:rPr>
        <w:t>设立人权高专办办事处、</w:t>
      </w:r>
      <w:r w:rsidRPr="00A648CE">
        <w:rPr>
          <w:rFonts w:hint="eastAsia"/>
          <w:iCs/>
          <w:lang w:val="en-GB"/>
        </w:rPr>
        <w:t>与</w:t>
      </w:r>
      <w:r w:rsidRPr="00A648CE">
        <w:rPr>
          <w:iCs/>
          <w:lang w:val="en-GB"/>
        </w:rPr>
        <w:t>透明国际</w:t>
      </w:r>
      <w:r w:rsidRPr="00A648CE">
        <w:rPr>
          <w:rFonts w:hint="eastAsia"/>
          <w:iCs/>
          <w:lang w:val="en-GB"/>
        </w:rPr>
        <w:t>保持一致</w:t>
      </w:r>
      <w:r w:rsidRPr="00A648CE">
        <w:rPr>
          <w:iCs/>
          <w:lang w:val="en-GB"/>
        </w:rPr>
        <w:t>以及通过一部保护人权维护者的法律表示祝贺。它敦促洪都拉斯继续努力，</w:t>
      </w:r>
      <w:r w:rsidRPr="00A648CE">
        <w:rPr>
          <w:rFonts w:hint="eastAsia"/>
          <w:iCs/>
          <w:lang w:val="en-GB"/>
        </w:rPr>
        <w:t>为</w:t>
      </w:r>
      <w:r w:rsidRPr="00A648CE">
        <w:rPr>
          <w:iCs/>
          <w:lang w:val="en-GB"/>
        </w:rPr>
        <w:t>所有洪都拉斯人加强安全和司法部门</w:t>
      </w:r>
      <w:r w:rsidRPr="00A648CE">
        <w:rPr>
          <w:rFonts w:hint="eastAsia"/>
          <w:iCs/>
          <w:lang w:val="en-GB"/>
        </w:rPr>
        <w:t>，</w:t>
      </w:r>
      <w:r w:rsidRPr="00A648CE">
        <w:rPr>
          <w:iCs/>
          <w:lang w:val="en-GB"/>
        </w:rPr>
        <w:t>确保提名委员会的独立性</w:t>
      </w:r>
      <w:r w:rsidRPr="00A648CE">
        <w:rPr>
          <w:rFonts w:hint="eastAsia"/>
          <w:iCs/>
          <w:lang w:val="en-GB"/>
        </w:rPr>
        <w:t>并</w:t>
      </w:r>
      <w:r w:rsidRPr="00A648CE">
        <w:rPr>
          <w:iCs/>
          <w:lang w:val="en-GB"/>
        </w:rPr>
        <w:t>加强洪都拉斯国民</w:t>
      </w:r>
      <w:r w:rsidRPr="00A648CE">
        <w:rPr>
          <w:rFonts w:hint="eastAsia"/>
          <w:iCs/>
          <w:lang w:val="en-GB"/>
        </w:rPr>
        <w:t>警察</w:t>
      </w:r>
      <w:r w:rsidRPr="00A648CE">
        <w:rPr>
          <w:iCs/>
          <w:lang w:val="en-GB"/>
        </w:rPr>
        <w:t>。</w:t>
      </w:r>
    </w:p>
    <w:p w:rsidR="00A648CE" w:rsidRPr="00A648CE" w:rsidRDefault="00A648CE" w:rsidP="00A648CE">
      <w:pPr>
        <w:pStyle w:val="SingleTxtGC"/>
        <w:rPr>
          <w:lang w:val="en-GB"/>
        </w:rPr>
      </w:pPr>
      <w:r w:rsidRPr="00A648CE">
        <w:rPr>
          <w:iCs/>
          <w:lang w:val="en-GB"/>
        </w:rPr>
        <w:t xml:space="preserve">99.  </w:t>
      </w:r>
      <w:r w:rsidRPr="00A648CE">
        <w:rPr>
          <w:iCs/>
          <w:lang w:val="en-GB"/>
        </w:rPr>
        <w:t>乌拉圭赞扬洪都拉斯</w:t>
      </w:r>
      <w:r w:rsidRPr="00A648CE">
        <w:rPr>
          <w:rFonts w:hint="eastAsia"/>
          <w:iCs/>
          <w:lang w:val="en-GB"/>
        </w:rPr>
        <w:t>通过</w:t>
      </w:r>
      <w:r w:rsidRPr="00A648CE">
        <w:rPr>
          <w:iCs/>
          <w:lang w:val="en-GB"/>
        </w:rPr>
        <w:t>对《儿童和青少年法》和《家庭法》</w:t>
      </w:r>
      <w:r w:rsidRPr="00A648CE">
        <w:rPr>
          <w:rFonts w:hint="eastAsia"/>
          <w:lang w:val="en-GB"/>
        </w:rPr>
        <w:t>的</w:t>
      </w:r>
      <w:r w:rsidRPr="00A648CE">
        <w:rPr>
          <w:lang w:val="en-GB"/>
        </w:rPr>
        <w:t>综合</w:t>
      </w:r>
      <w:r w:rsidRPr="00A648CE">
        <w:rPr>
          <w:rFonts w:hint="eastAsia"/>
          <w:lang w:val="en-GB"/>
        </w:rPr>
        <w:t>修订</w:t>
      </w:r>
      <w:r w:rsidRPr="00A648CE">
        <w:rPr>
          <w:lang w:val="en-GB"/>
        </w:rPr>
        <w:t>，并对洪都拉斯通过《反贩运人口法》和关于保护人权维护者、新闻工作者、社会宣传人员和司法官员的法案表示欢迎。</w:t>
      </w:r>
    </w:p>
    <w:p w:rsidR="00A648CE" w:rsidRPr="00A648CE" w:rsidRDefault="00A648CE" w:rsidP="00A648CE">
      <w:pPr>
        <w:pStyle w:val="SingleTxtGC"/>
        <w:rPr>
          <w:lang w:val="en-GB"/>
        </w:rPr>
      </w:pPr>
      <w:r w:rsidRPr="00A648CE">
        <w:rPr>
          <w:iCs/>
          <w:lang w:val="en-GB"/>
        </w:rPr>
        <w:t xml:space="preserve">100.  </w:t>
      </w:r>
      <w:r w:rsidRPr="00A648CE">
        <w:rPr>
          <w:iCs/>
          <w:lang w:val="en-GB"/>
        </w:rPr>
        <w:t>印度称赞洪都拉斯通过</w:t>
      </w:r>
      <w:r w:rsidRPr="00A648CE">
        <w:rPr>
          <w:rFonts w:hint="eastAsia"/>
          <w:iCs/>
          <w:lang w:val="en-GB"/>
        </w:rPr>
        <w:t>《人权公共政策和国家行动计划》</w:t>
      </w:r>
      <w:r w:rsidRPr="00A648CE">
        <w:rPr>
          <w:iCs/>
          <w:lang w:val="en-GB"/>
        </w:rPr>
        <w:t>及其他计划和措施。它鼓励洪都拉斯继续努力</w:t>
      </w:r>
      <w:r w:rsidRPr="00A648CE">
        <w:rPr>
          <w:rFonts w:hint="eastAsia"/>
          <w:iCs/>
          <w:lang w:val="en-GB"/>
        </w:rPr>
        <w:t>，以</w:t>
      </w:r>
      <w:r w:rsidRPr="00A648CE">
        <w:rPr>
          <w:iCs/>
          <w:lang w:val="en-GB"/>
        </w:rPr>
        <w:t>使其国家人权机构遵守</w:t>
      </w:r>
      <w:r w:rsidRPr="00A648CE">
        <w:rPr>
          <w:rFonts w:hint="eastAsia"/>
          <w:iCs/>
          <w:lang w:val="en-GB"/>
        </w:rPr>
        <w:t>《有</w:t>
      </w:r>
      <w:r w:rsidRPr="00A648CE">
        <w:rPr>
          <w:iCs/>
          <w:lang w:val="en-GB"/>
        </w:rPr>
        <w:t>关促进和保护人权的国家机构的地位的原则</w:t>
      </w:r>
      <w:r w:rsidRPr="00A648CE">
        <w:rPr>
          <w:rFonts w:hint="eastAsia"/>
          <w:iCs/>
          <w:lang w:val="en-GB"/>
        </w:rPr>
        <w:t>》</w:t>
      </w:r>
      <w:r w:rsidRPr="00A648CE">
        <w:rPr>
          <w:rFonts w:hint="eastAsia"/>
          <w:iCs/>
          <w:lang w:val="en-GB"/>
        </w:rPr>
        <w:t>(</w:t>
      </w:r>
      <w:r w:rsidRPr="00A648CE">
        <w:rPr>
          <w:rFonts w:hint="eastAsia"/>
          <w:iCs/>
          <w:lang w:val="en-GB"/>
        </w:rPr>
        <w:t>《巴黎原则》</w:t>
      </w:r>
      <w:r w:rsidRPr="00A648CE">
        <w:rPr>
          <w:rFonts w:hint="eastAsia"/>
          <w:iCs/>
          <w:lang w:val="en-GB"/>
        </w:rPr>
        <w:t>)</w:t>
      </w:r>
      <w:r w:rsidRPr="00A648CE">
        <w:rPr>
          <w:rFonts w:hint="eastAsia"/>
          <w:iCs/>
          <w:lang w:val="en-GB"/>
        </w:rPr>
        <w:t>，并欢迎洪都拉斯宣布在</w:t>
      </w:r>
      <w:r w:rsidRPr="00A648CE">
        <w:rPr>
          <w:rFonts w:hint="eastAsia"/>
          <w:iCs/>
          <w:lang w:val="en-GB"/>
        </w:rPr>
        <w:t>2015</w:t>
      </w:r>
      <w:r w:rsidRPr="00A648CE">
        <w:rPr>
          <w:rFonts w:hint="eastAsia"/>
          <w:iCs/>
          <w:lang w:val="en-GB"/>
        </w:rPr>
        <w:t>年晚些时候设立人权高专办办事处。印度要求洪都拉斯代表团介绍关于孤身儿童移徙者方面的情况。</w:t>
      </w:r>
    </w:p>
    <w:p w:rsidR="00A648CE" w:rsidRPr="00A648CE" w:rsidRDefault="00A648CE" w:rsidP="00A648CE">
      <w:pPr>
        <w:pStyle w:val="SingleTxtGC"/>
        <w:rPr>
          <w:rFonts w:hint="eastAsia"/>
          <w:lang w:val="en-GB"/>
        </w:rPr>
      </w:pPr>
      <w:r w:rsidRPr="00A648CE">
        <w:rPr>
          <w:iCs/>
          <w:lang w:val="en-GB"/>
        </w:rPr>
        <w:t xml:space="preserve">101.  </w:t>
      </w:r>
      <w:r w:rsidRPr="00A648CE">
        <w:rPr>
          <w:rFonts w:hint="eastAsia"/>
          <w:lang w:val="en-GB"/>
        </w:rPr>
        <w:t>阿尔及利亚对《洪都拉斯</w:t>
      </w:r>
      <w:r w:rsidRPr="00A648CE">
        <w:rPr>
          <w:rFonts w:hint="eastAsia"/>
          <w:lang w:val="en-GB"/>
        </w:rPr>
        <w:t>2014-2020</w:t>
      </w:r>
      <w:r w:rsidRPr="00A648CE">
        <w:rPr>
          <w:rFonts w:hint="eastAsia"/>
          <w:lang w:val="en-GB"/>
        </w:rPr>
        <w:t>年促进人的尊严计划》、设立司法与人权部、暴力侵害妇女行为减少以及与条约机构合作表示欢迎。</w:t>
      </w:r>
    </w:p>
    <w:p w:rsidR="00A648CE" w:rsidRPr="00A648CE" w:rsidRDefault="00A648CE" w:rsidP="00A648CE">
      <w:pPr>
        <w:pStyle w:val="SingleTxtGC"/>
        <w:rPr>
          <w:rFonts w:hint="eastAsia"/>
          <w:lang w:val="en-GB"/>
        </w:rPr>
      </w:pPr>
      <w:r w:rsidRPr="00A648CE">
        <w:rPr>
          <w:iCs/>
          <w:lang w:val="en-GB"/>
        </w:rPr>
        <w:t xml:space="preserve">102.  </w:t>
      </w:r>
      <w:r w:rsidRPr="00A648CE">
        <w:rPr>
          <w:rFonts w:hint="eastAsia"/>
          <w:lang w:val="en-GB"/>
        </w:rPr>
        <w:t>安哥拉对洪都拉斯预防暴力侵害儿童和青年的国家政策以及修订《刑法》表示欢迎，对暴力侵害少数族裔群体表示关切。</w:t>
      </w:r>
    </w:p>
    <w:p w:rsidR="00A648CE" w:rsidRPr="00A648CE" w:rsidRDefault="00A648CE" w:rsidP="00A648CE">
      <w:pPr>
        <w:pStyle w:val="SingleTxtGC"/>
        <w:rPr>
          <w:rFonts w:hint="eastAsia"/>
          <w:lang w:val="en-GB"/>
        </w:rPr>
      </w:pPr>
      <w:r w:rsidRPr="00A648CE">
        <w:rPr>
          <w:iCs/>
          <w:lang w:val="en-GB"/>
        </w:rPr>
        <w:t xml:space="preserve">103.  </w:t>
      </w:r>
      <w:r w:rsidRPr="00A648CE">
        <w:rPr>
          <w:rFonts w:hint="eastAsia"/>
          <w:lang w:val="en-GB"/>
        </w:rPr>
        <w:t>阿根廷赞赏洪都拉斯使其本国立法与国际人权规范保持一致，包括修订《刑法》和作为一项具体罪行对强迫失踪的定义。</w:t>
      </w:r>
    </w:p>
    <w:p w:rsidR="00A648CE" w:rsidRPr="00A648CE" w:rsidRDefault="00A648CE" w:rsidP="00A648CE">
      <w:pPr>
        <w:pStyle w:val="SingleTxtGC"/>
        <w:rPr>
          <w:rFonts w:hint="eastAsia"/>
          <w:lang w:val="en-GB"/>
        </w:rPr>
      </w:pPr>
      <w:r w:rsidRPr="00A648CE">
        <w:rPr>
          <w:iCs/>
          <w:lang w:val="en-GB"/>
        </w:rPr>
        <w:t xml:space="preserve">104.  </w:t>
      </w:r>
      <w:r w:rsidRPr="00A648CE">
        <w:rPr>
          <w:rFonts w:hint="eastAsia"/>
          <w:lang w:val="en-GB"/>
        </w:rPr>
        <w:t>澳大利亚欢迎洪都拉斯设立针对家庭暴力行为的特别法庭。它指出，澳大利亚对暴力侵害妇女行为表示关切。澳大利亚敦促洪都拉斯落实</w:t>
      </w:r>
      <w:r w:rsidRPr="00A648CE">
        <w:rPr>
          <w:lang w:val="en-GB"/>
        </w:rPr>
        <w:t>维权人士状况特别报告员</w:t>
      </w:r>
      <w:r w:rsidRPr="00A648CE">
        <w:rPr>
          <w:rFonts w:hint="eastAsia"/>
          <w:lang w:val="en-GB"/>
        </w:rPr>
        <w:t>和美洲人权委员会的各项建议。</w:t>
      </w:r>
    </w:p>
    <w:p w:rsidR="00A648CE" w:rsidRPr="00A648CE" w:rsidRDefault="00A648CE" w:rsidP="00A648CE">
      <w:pPr>
        <w:pStyle w:val="SingleTxtGC"/>
        <w:rPr>
          <w:rFonts w:hint="eastAsia"/>
          <w:lang w:val="en-GB"/>
        </w:rPr>
      </w:pPr>
      <w:r w:rsidRPr="00A648CE">
        <w:rPr>
          <w:iCs/>
          <w:lang w:val="en-GB"/>
        </w:rPr>
        <w:t xml:space="preserve">105.  </w:t>
      </w:r>
      <w:r w:rsidRPr="00A648CE">
        <w:rPr>
          <w:rFonts w:hint="eastAsia"/>
          <w:lang w:val="en-GB"/>
        </w:rPr>
        <w:t>奥地利对洪都拉斯批准《人权公共政策和国家行动计划》表示欢迎，对袭击新闻工作者和这方面的有罪不罚现象表示关切。奥地利仍对司法中存在的缺陷以及持续歧视土著、非洲裔洪都拉斯人、女同性恋、男同性恋、双性恋、变性人和双性人行为表示担忧。</w:t>
      </w:r>
    </w:p>
    <w:p w:rsidR="00A648CE" w:rsidRPr="00A648CE" w:rsidRDefault="00A648CE" w:rsidP="00A648CE">
      <w:pPr>
        <w:pStyle w:val="SingleTxtGC"/>
        <w:rPr>
          <w:rFonts w:hint="eastAsia"/>
          <w:lang w:val="en-GB"/>
        </w:rPr>
      </w:pPr>
      <w:r w:rsidRPr="00A648CE">
        <w:rPr>
          <w:iCs/>
          <w:lang w:val="en-GB"/>
        </w:rPr>
        <w:t xml:space="preserve">106.  </w:t>
      </w:r>
      <w:r w:rsidRPr="00A648CE">
        <w:rPr>
          <w:rFonts w:hint="eastAsia"/>
          <w:lang w:val="en-GB"/>
        </w:rPr>
        <w:t>比利时对洪都拉斯设立人权高专办国家办事处表示欢迎。但对质疑司法系统独立性、打击有罪不罚现象、暴力侵害妇女行为和表达自由等表示关切。</w:t>
      </w:r>
    </w:p>
    <w:p w:rsidR="00A648CE" w:rsidRPr="00A648CE" w:rsidRDefault="00A648CE" w:rsidP="00A648CE">
      <w:pPr>
        <w:pStyle w:val="SingleTxtGC"/>
        <w:rPr>
          <w:rFonts w:hint="eastAsia"/>
          <w:lang w:val="en-GB"/>
        </w:rPr>
      </w:pPr>
      <w:r w:rsidRPr="00A648CE">
        <w:rPr>
          <w:iCs/>
          <w:lang w:val="en-GB"/>
        </w:rPr>
        <w:t xml:space="preserve">107.  </w:t>
      </w:r>
      <w:r w:rsidRPr="00A648CE">
        <w:rPr>
          <w:rFonts w:hint="eastAsia"/>
          <w:lang w:val="en-GB"/>
        </w:rPr>
        <w:t>巴西赞赏洪都拉斯对有关儿童、家庭和妇女权利方面的立法进行全面修订，并对洪都拉斯为减少暴力侵害妇女行为所采取的措施表示欢迎。</w:t>
      </w:r>
    </w:p>
    <w:p w:rsidR="00A648CE" w:rsidRPr="00A648CE" w:rsidRDefault="00A648CE" w:rsidP="00A648CE">
      <w:pPr>
        <w:pStyle w:val="SingleTxtGC"/>
        <w:rPr>
          <w:rFonts w:hint="eastAsia"/>
          <w:lang w:val="en-GB"/>
        </w:rPr>
      </w:pPr>
      <w:r w:rsidRPr="00A648CE">
        <w:rPr>
          <w:iCs/>
          <w:lang w:val="en-GB"/>
        </w:rPr>
        <w:t xml:space="preserve">108.  </w:t>
      </w:r>
      <w:r w:rsidRPr="00A648CE">
        <w:rPr>
          <w:rFonts w:hint="eastAsia"/>
          <w:lang w:val="en-GB"/>
        </w:rPr>
        <w:t>加拿大鼓励洪都拉斯继续努力，确保保护人权维护者、新闻工作者和司法部门官员，并鼓励洪都拉斯尊重最大限度的占用率和采取其他措施，减少监狱和青少年拘留中心人满为患现象。</w:t>
      </w:r>
    </w:p>
    <w:p w:rsidR="00A648CE" w:rsidRPr="00A648CE" w:rsidRDefault="00A648CE" w:rsidP="00A648CE">
      <w:pPr>
        <w:pStyle w:val="SingleTxtGC"/>
        <w:rPr>
          <w:rFonts w:hint="eastAsia"/>
          <w:lang w:val="en-GB"/>
        </w:rPr>
      </w:pPr>
      <w:r w:rsidRPr="00A648CE">
        <w:rPr>
          <w:iCs/>
          <w:lang w:val="en-GB"/>
        </w:rPr>
        <w:t xml:space="preserve">109.  </w:t>
      </w:r>
      <w:r w:rsidRPr="00A648CE">
        <w:rPr>
          <w:rFonts w:hint="eastAsia"/>
          <w:lang w:val="en-GB"/>
        </w:rPr>
        <w:t>智利对暴力、恐吓和袭击人权维护者、法官、检察官和新闻工作者现象盛行表示关切。它对洪都拉斯讨论和通过有关这一主题的法律表示欢迎。</w:t>
      </w:r>
    </w:p>
    <w:p w:rsidR="00A648CE" w:rsidRPr="00A648CE" w:rsidRDefault="00A648CE" w:rsidP="00A648CE">
      <w:pPr>
        <w:pStyle w:val="SingleTxtGC"/>
        <w:rPr>
          <w:rFonts w:hint="eastAsia"/>
          <w:lang w:val="en-GB"/>
        </w:rPr>
      </w:pPr>
      <w:r w:rsidRPr="00A648CE">
        <w:rPr>
          <w:iCs/>
          <w:lang w:val="en-GB"/>
        </w:rPr>
        <w:t xml:space="preserve">110.  </w:t>
      </w:r>
      <w:r w:rsidRPr="00A648CE">
        <w:rPr>
          <w:rFonts w:hint="eastAsia"/>
          <w:lang w:val="en-GB"/>
        </w:rPr>
        <w:t>中国赞赏洪都拉斯已落实第一次审议提出的各项建议，并对洪都拉斯与各条约机构、特别程序和美洲人权保护体系合作表示欢迎。中国注意到洪都拉斯在人权保护方面面临的挑战，并请国际社会提供技术和资金支助。</w:t>
      </w:r>
    </w:p>
    <w:p w:rsidR="00A648CE" w:rsidRPr="00A648CE" w:rsidRDefault="00A648CE" w:rsidP="00A648CE">
      <w:pPr>
        <w:pStyle w:val="SingleTxtGC"/>
        <w:rPr>
          <w:rFonts w:hint="eastAsia"/>
          <w:lang w:val="en-GB"/>
        </w:rPr>
      </w:pPr>
      <w:r w:rsidRPr="00A648CE">
        <w:rPr>
          <w:iCs/>
          <w:lang w:val="en-GB"/>
        </w:rPr>
        <w:t xml:space="preserve">111.  </w:t>
      </w:r>
      <w:r w:rsidRPr="00A648CE">
        <w:rPr>
          <w:rFonts w:hint="eastAsia"/>
          <w:lang w:val="en-GB"/>
        </w:rPr>
        <w:t>哥伦比亚强调了洪都拉斯为落实前一个普遍定期审议周期所提各项建议而做出的努力，特别是《国家人权行动计划》和哥伦比亚为落实先前与打击暴力侵害女同性恋、男同性恋、双性恋、变性人和双性人有关的建议而采取的行动。</w:t>
      </w:r>
    </w:p>
    <w:p w:rsidR="00A648CE" w:rsidRPr="00A648CE" w:rsidRDefault="00A648CE" w:rsidP="00A648CE">
      <w:pPr>
        <w:pStyle w:val="SingleTxtGC"/>
        <w:rPr>
          <w:rFonts w:hint="eastAsia"/>
          <w:lang w:val="en-GB"/>
        </w:rPr>
      </w:pPr>
      <w:r w:rsidRPr="00A648CE">
        <w:rPr>
          <w:iCs/>
          <w:lang w:val="en-GB"/>
        </w:rPr>
        <w:t xml:space="preserve">112.  </w:t>
      </w:r>
      <w:r w:rsidRPr="00A648CE">
        <w:rPr>
          <w:rFonts w:hint="eastAsia"/>
          <w:lang w:val="en-GB"/>
        </w:rPr>
        <w:t>哥斯达黎加指出，人权高专办国家办事处的成立将加强洪都拉斯的承诺，哥斯达黎加对《国家人权行动计划》表示欢迎，对暴力行为，尤其是针对妇女、新闻工作者和人权维护者的暴力行为高发表示关切。</w:t>
      </w:r>
    </w:p>
    <w:p w:rsidR="00A648CE" w:rsidRPr="00A648CE" w:rsidRDefault="00A648CE" w:rsidP="00A648CE">
      <w:pPr>
        <w:pStyle w:val="SingleTxtGC"/>
        <w:rPr>
          <w:rFonts w:hint="eastAsia"/>
          <w:lang w:val="en-GB"/>
        </w:rPr>
      </w:pPr>
      <w:r w:rsidRPr="00A648CE">
        <w:rPr>
          <w:iCs/>
          <w:lang w:val="en-GB"/>
        </w:rPr>
        <w:t xml:space="preserve">113.  </w:t>
      </w:r>
      <w:r w:rsidRPr="00A648CE">
        <w:rPr>
          <w:rFonts w:hint="eastAsia"/>
          <w:lang w:val="en-GB"/>
        </w:rPr>
        <w:t>古巴着重强调了洪都拉斯于</w:t>
      </w:r>
      <w:r w:rsidRPr="00A648CE">
        <w:rPr>
          <w:rFonts w:hint="eastAsia"/>
          <w:lang w:val="en-GB"/>
        </w:rPr>
        <w:t>2012</w:t>
      </w:r>
      <w:r w:rsidRPr="00A648CE">
        <w:rPr>
          <w:rFonts w:hint="eastAsia"/>
          <w:lang w:val="en-GB"/>
        </w:rPr>
        <w:t>年通过社会保护政策、《保护福利和规范非正规活动法》和《疫苗法》。尽管面临包括结构性贫穷、不平等和犯罪在内的严峻挑战，但仍制定了这些政策和法律。</w:t>
      </w:r>
    </w:p>
    <w:p w:rsidR="00A648CE" w:rsidRPr="00A648CE" w:rsidRDefault="00A648CE" w:rsidP="00A648CE">
      <w:pPr>
        <w:pStyle w:val="SingleTxtGC"/>
        <w:rPr>
          <w:rFonts w:hint="eastAsia"/>
          <w:lang w:val="en-GB"/>
        </w:rPr>
      </w:pPr>
      <w:r w:rsidRPr="00A648CE">
        <w:rPr>
          <w:iCs/>
          <w:lang w:val="en-GB"/>
        </w:rPr>
        <w:t xml:space="preserve">114.  </w:t>
      </w:r>
      <w:r w:rsidRPr="00A648CE">
        <w:rPr>
          <w:rFonts w:hint="eastAsia"/>
          <w:lang w:val="en-GB"/>
        </w:rPr>
        <w:t>捷克共和国对洪都拉斯的陈述表示感谢，并提出了建议。</w:t>
      </w:r>
    </w:p>
    <w:p w:rsidR="00A648CE" w:rsidRPr="00A648CE" w:rsidRDefault="00A648CE" w:rsidP="00A648CE">
      <w:pPr>
        <w:pStyle w:val="SingleTxtGC"/>
        <w:rPr>
          <w:rFonts w:hint="eastAsia"/>
          <w:lang w:val="en-GB"/>
        </w:rPr>
      </w:pPr>
      <w:r w:rsidRPr="00A648CE">
        <w:rPr>
          <w:iCs/>
          <w:lang w:val="en-GB"/>
        </w:rPr>
        <w:t xml:space="preserve">115.  </w:t>
      </w:r>
      <w:r w:rsidRPr="00A648CE">
        <w:rPr>
          <w:rFonts w:hint="eastAsia"/>
          <w:lang w:val="en-GB"/>
        </w:rPr>
        <w:t>丹麦承认洪都拉斯为打破侵犯人权行为的恶性循环所做出的努力，但对据称自第一轮普遍定期审议以来人权状况恶化的报道表示关切。丹麦对洪都拉斯决定将某些相关部委降级表示遗憾，并对据称袭击女同性恋、男同性恋、双性恋、变性人和双性人行为的有罪不罚现象表示关切。</w:t>
      </w:r>
    </w:p>
    <w:p w:rsidR="00A648CE" w:rsidRPr="00A648CE" w:rsidRDefault="00A648CE" w:rsidP="00A648CE">
      <w:pPr>
        <w:pStyle w:val="SingleTxtGC"/>
        <w:rPr>
          <w:rFonts w:hint="eastAsia"/>
          <w:lang w:val="en-GB"/>
        </w:rPr>
      </w:pPr>
      <w:r w:rsidRPr="00A648CE">
        <w:rPr>
          <w:iCs/>
          <w:lang w:val="en-GB"/>
        </w:rPr>
        <w:t xml:space="preserve">116.  </w:t>
      </w:r>
      <w:r w:rsidRPr="00A648CE">
        <w:rPr>
          <w:rFonts w:hint="eastAsia"/>
          <w:lang w:val="en-GB"/>
        </w:rPr>
        <w:t>厄瓜多尔对洪都拉斯修订《刑法》表示欢迎，特别是那些与强迫失踪、酷刑、歧视和煽动仇恨有关的条款，还对为通过司法及司法职业委员会来加强司法机关而采取的措施表示欢迎。</w:t>
      </w:r>
    </w:p>
    <w:p w:rsidR="00A648CE" w:rsidRPr="00A648CE" w:rsidRDefault="00A648CE" w:rsidP="00A648CE">
      <w:pPr>
        <w:pStyle w:val="SingleTxtGC"/>
        <w:rPr>
          <w:rFonts w:hint="eastAsia"/>
          <w:lang w:val="en-GB"/>
        </w:rPr>
      </w:pPr>
      <w:r w:rsidRPr="00A648CE">
        <w:rPr>
          <w:iCs/>
          <w:lang w:val="en-GB"/>
        </w:rPr>
        <w:t xml:space="preserve">117.  </w:t>
      </w:r>
      <w:r w:rsidRPr="00A648CE">
        <w:rPr>
          <w:rFonts w:hint="eastAsia"/>
          <w:lang w:val="en-GB"/>
        </w:rPr>
        <w:t>赤道几内亚对洪都拉斯《刑法》修正案表示欢迎，此举通过民众倡议制度扩大了民主参与机制。还对洪都拉斯为将立足人权的方针纳入其决策所采取的努力表示欢迎，同时考虑到民间社会组织的贡献。</w:t>
      </w:r>
    </w:p>
    <w:p w:rsidR="00A648CE" w:rsidRPr="00A648CE" w:rsidRDefault="00A648CE" w:rsidP="00A648CE">
      <w:pPr>
        <w:pStyle w:val="SingleTxtGC"/>
        <w:rPr>
          <w:rFonts w:hint="eastAsia"/>
        </w:rPr>
      </w:pPr>
      <w:r w:rsidRPr="00A648CE">
        <w:rPr>
          <w:iCs/>
        </w:rPr>
        <w:t xml:space="preserve">118.  </w:t>
      </w:r>
      <w:r w:rsidRPr="00A648CE">
        <w:rPr>
          <w:rFonts w:hint="eastAsia"/>
        </w:rPr>
        <w:t>爱沙尼亚赞赏《打击种族主义和种族歧视国家行动计划》，并对土著和非洲裔洪都拉斯妇女继续面临多种形式歧视表示关切。爱沙尼亚请洪都拉斯确保人权维护者能够在不受不公平限制或不必担心报复的情况下自由开展其各项活动。</w:t>
      </w:r>
    </w:p>
    <w:p w:rsidR="00A648CE" w:rsidRPr="00A648CE" w:rsidRDefault="00A648CE" w:rsidP="00A648CE">
      <w:pPr>
        <w:pStyle w:val="SingleTxtGC"/>
        <w:rPr>
          <w:rFonts w:hint="eastAsia"/>
          <w:lang w:val="en-GB"/>
        </w:rPr>
      </w:pPr>
      <w:r w:rsidRPr="00A648CE">
        <w:rPr>
          <w:iCs/>
          <w:lang w:val="en-GB"/>
        </w:rPr>
        <w:t xml:space="preserve">119.  </w:t>
      </w:r>
      <w:r w:rsidRPr="00A648CE">
        <w:rPr>
          <w:rFonts w:hint="eastAsia"/>
          <w:lang w:val="en-GB"/>
        </w:rPr>
        <w:t>法国要求介绍为改善洪都拉斯拘留中心条件所做努力的后续行动。</w:t>
      </w:r>
    </w:p>
    <w:p w:rsidR="00A648CE" w:rsidRPr="00A648CE" w:rsidRDefault="00A648CE" w:rsidP="00A648CE">
      <w:pPr>
        <w:pStyle w:val="SingleTxtGC"/>
        <w:rPr>
          <w:rFonts w:hint="eastAsia"/>
          <w:lang w:val="en-GB"/>
        </w:rPr>
      </w:pPr>
      <w:r w:rsidRPr="00A648CE">
        <w:rPr>
          <w:iCs/>
          <w:lang w:val="en-GB"/>
        </w:rPr>
        <w:t xml:space="preserve">120.  </w:t>
      </w:r>
      <w:r w:rsidRPr="00A648CE">
        <w:rPr>
          <w:rFonts w:hint="eastAsia"/>
          <w:lang w:val="en-GB"/>
        </w:rPr>
        <w:t>德国承认洪都拉斯对《刑法》进行了部分修订。德国对持续存在的侵犯人权行为，尤其是侵犯生命权、普遍存在的有罪不罚现象和歧视妇女、儿童、女同性恋、男同性恋、双性恋、变性人和双性人及土著人民行为表示关切。</w:t>
      </w:r>
    </w:p>
    <w:p w:rsidR="00A648CE" w:rsidRPr="00A648CE" w:rsidRDefault="00A648CE" w:rsidP="00A648CE">
      <w:pPr>
        <w:pStyle w:val="SingleTxtGC"/>
        <w:rPr>
          <w:rFonts w:hint="eastAsia"/>
          <w:lang w:val="en-GB"/>
        </w:rPr>
      </w:pPr>
      <w:r w:rsidRPr="00A648CE">
        <w:rPr>
          <w:iCs/>
          <w:lang w:val="en-GB"/>
        </w:rPr>
        <w:t xml:space="preserve">121.  </w:t>
      </w:r>
      <w:r w:rsidRPr="00A648CE">
        <w:rPr>
          <w:rFonts w:hint="eastAsia"/>
          <w:lang w:val="en-GB"/>
        </w:rPr>
        <w:t>最后，洪都拉斯感谢各国参加第二次审议及其所提出的意见和建议。洪都拉斯认为，普遍定期审议为评估进展和挑战创造了机会，也为改善国内人权提供了空间。</w:t>
      </w:r>
    </w:p>
    <w:p w:rsidR="00A648CE" w:rsidRPr="00A648CE" w:rsidRDefault="00A648CE" w:rsidP="00A648CE">
      <w:pPr>
        <w:pStyle w:val="SingleTxtGC"/>
        <w:rPr>
          <w:rFonts w:hint="eastAsia"/>
          <w:lang w:val="en-GB"/>
        </w:rPr>
      </w:pPr>
      <w:r w:rsidRPr="00A648CE">
        <w:rPr>
          <w:iCs/>
          <w:lang w:val="en-GB"/>
        </w:rPr>
        <w:t xml:space="preserve">122.  </w:t>
      </w:r>
      <w:r w:rsidRPr="00A648CE">
        <w:rPr>
          <w:rFonts w:hint="eastAsia"/>
          <w:lang w:val="en-GB"/>
        </w:rPr>
        <w:t>洪都拉斯承诺设立一个常设机制来落实其作为普遍定期审议一部分而做出的承诺。目前，洪都拉斯正努力建立人权观察站，并将加强司法与人权部的作用，从而对国家承诺提交的各类报告做出回应。洪都拉斯还将针对《国家人权行动计划》建立监测和评估制度，并继续与民间社会对话。</w:t>
      </w:r>
    </w:p>
    <w:p w:rsidR="00A648CE" w:rsidRPr="00A648CE" w:rsidRDefault="00A648CE" w:rsidP="00A648CE">
      <w:pPr>
        <w:pStyle w:val="SingleTxtGC"/>
        <w:rPr>
          <w:rFonts w:hint="eastAsia"/>
        </w:rPr>
      </w:pPr>
      <w:r w:rsidRPr="00A648CE">
        <w:rPr>
          <w:iCs/>
        </w:rPr>
        <w:t xml:space="preserve">123.  </w:t>
      </w:r>
      <w:r w:rsidRPr="00A648CE">
        <w:rPr>
          <w:rFonts w:hint="eastAsia"/>
        </w:rPr>
        <w:t>洪都拉斯承认，虽然过去几年洪都拉斯取得了一些进步，但仍有结构、体制和文化挑战需要克服。在朋友们的支持下，洪都拉斯希望将本国建设成为一个没有极端贫穷、没有暴力、文明、健康、民主和安全的国家。</w:t>
      </w:r>
    </w:p>
    <w:p w:rsidR="00A648CE" w:rsidRPr="00A648CE" w:rsidRDefault="00A648CE" w:rsidP="009573AC">
      <w:pPr>
        <w:pStyle w:val="HChGC"/>
        <w:rPr>
          <w:lang w:val="en-GB"/>
        </w:rPr>
      </w:pPr>
      <w:r w:rsidRPr="00A648CE">
        <w:rPr>
          <w:lang w:val="en-GB"/>
        </w:rPr>
        <w:tab/>
      </w:r>
      <w:bookmarkStart w:id="8" w:name="Section_HDR_II_Conclusions_recommendatio"/>
      <w:r w:rsidRPr="00A648CE">
        <w:rPr>
          <w:rFonts w:hint="eastAsia"/>
          <w:lang w:val="en-GB"/>
        </w:rPr>
        <w:t>二</w:t>
      </w:r>
      <w:r w:rsidRPr="00A648CE">
        <w:rPr>
          <w:lang w:val="en-GB"/>
        </w:rPr>
        <w:t>.</w:t>
      </w:r>
      <w:r w:rsidRPr="00A648CE">
        <w:rPr>
          <w:lang w:val="en-GB"/>
        </w:rPr>
        <w:tab/>
      </w:r>
      <w:r w:rsidRPr="00A648CE">
        <w:rPr>
          <w:rFonts w:hint="eastAsia"/>
          <w:lang w:val="en-GB"/>
        </w:rPr>
        <w:t>结论和建议</w:t>
      </w:r>
      <w:bookmarkEnd w:id="8"/>
      <w:r w:rsidR="009573AC" w:rsidRPr="009573AC">
        <w:footnoteReference w:customMarkFollows="1" w:id="4"/>
        <w:t>**</w:t>
      </w:r>
    </w:p>
    <w:p w:rsidR="00A648CE" w:rsidRPr="005441F4" w:rsidRDefault="00A648CE" w:rsidP="00A648CE">
      <w:pPr>
        <w:pStyle w:val="SingleTxtGC"/>
        <w:rPr>
          <w:rFonts w:eastAsia="SimHei"/>
          <w:bCs/>
          <w:lang w:val="en-GB"/>
        </w:rPr>
      </w:pPr>
      <w:r w:rsidRPr="005441F4">
        <w:rPr>
          <w:rFonts w:eastAsia="SimHei"/>
          <w:iCs/>
          <w:lang w:val="en-GB"/>
        </w:rPr>
        <w:t xml:space="preserve">124.  </w:t>
      </w:r>
      <w:bookmarkStart w:id="9" w:name="Country_II_1_option_1"/>
      <w:r w:rsidRPr="005441F4">
        <w:rPr>
          <w:rFonts w:eastAsia="SimHei" w:hAnsi="SimHei"/>
          <w:lang w:val="en-GB"/>
        </w:rPr>
        <w:t>下列在互动对话期间提出的建议得到了洪都拉斯的支持</w:t>
      </w:r>
      <w:bookmarkEnd w:id="9"/>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  </w:t>
      </w:r>
      <w:r w:rsidRPr="005441F4">
        <w:rPr>
          <w:rFonts w:eastAsia="SimHei" w:hAnsi="SimHei"/>
          <w:lang w:val="en-GB"/>
        </w:rPr>
        <w:t>继续努力使其国内立法与本国加入的国际人权文书保持一致</w:t>
      </w:r>
      <w:r w:rsidRPr="005441F4">
        <w:rPr>
          <w:rFonts w:eastAsia="SimHei"/>
          <w:lang w:val="en-GB"/>
        </w:rPr>
        <w:t>(</w:t>
      </w:r>
      <w:r w:rsidRPr="005441F4">
        <w:rPr>
          <w:rFonts w:eastAsia="SimHei" w:hAnsi="SimHei"/>
          <w:lang w:val="en-GB"/>
        </w:rPr>
        <w:t>尼加拉瓜</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  </w:t>
      </w:r>
      <w:r w:rsidRPr="005441F4">
        <w:rPr>
          <w:rFonts w:eastAsia="SimHei" w:hAnsi="SimHei"/>
          <w:lang w:val="en-GB"/>
        </w:rPr>
        <w:t>起草关于通过预防酷刑国家机制报告被剥夺自由者权利遭受侵犯的准则</w:t>
      </w:r>
      <w:r w:rsidRPr="005441F4">
        <w:rPr>
          <w:rFonts w:eastAsia="SimHei"/>
          <w:lang w:val="en-GB"/>
        </w:rPr>
        <w:t>(</w:t>
      </w:r>
      <w:r w:rsidRPr="005441F4">
        <w:rPr>
          <w:rFonts w:eastAsia="SimHei" w:hAnsi="SimHei"/>
          <w:lang w:val="en-GB"/>
        </w:rPr>
        <w:t>巴拿马</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  </w:t>
      </w:r>
      <w:r w:rsidRPr="005441F4">
        <w:rPr>
          <w:rFonts w:eastAsia="SimHei" w:hAnsi="SimHei"/>
          <w:lang w:val="en-GB"/>
        </w:rPr>
        <w:t>分配充足资源，以便执行其《国家人权行动计划》</w:t>
      </w:r>
      <w:r w:rsidRPr="005441F4">
        <w:rPr>
          <w:rFonts w:eastAsia="SimHei"/>
          <w:lang w:val="en-GB"/>
        </w:rPr>
        <w:t>(</w:t>
      </w:r>
      <w:r w:rsidRPr="005441F4">
        <w:rPr>
          <w:rFonts w:eastAsia="SimHei" w:hAnsi="SimHei"/>
          <w:lang w:val="en-GB"/>
        </w:rPr>
        <w:t>菲律宾</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  </w:t>
      </w:r>
      <w:r w:rsidRPr="005441F4">
        <w:rPr>
          <w:rFonts w:eastAsia="SimHei" w:hAnsi="SimHei"/>
          <w:lang w:val="en-GB"/>
        </w:rPr>
        <w:t>采取新的切实措施，以执行《</w:t>
      </w:r>
      <w:r w:rsidRPr="005441F4">
        <w:rPr>
          <w:rFonts w:eastAsia="SimHei"/>
          <w:lang w:val="en-GB"/>
        </w:rPr>
        <w:t>2013</w:t>
      </w:r>
      <w:r w:rsidRPr="005441F4">
        <w:rPr>
          <w:rFonts w:eastAsia="SimHei" w:hAnsi="SimHei"/>
          <w:lang w:val="en-GB"/>
        </w:rPr>
        <w:t>年国家人权行动计划》，从而继续在加强法治背景下降低犯罪率</w:t>
      </w:r>
      <w:r w:rsidRPr="005441F4">
        <w:rPr>
          <w:rFonts w:eastAsia="SimHei"/>
          <w:lang w:val="en-GB"/>
        </w:rPr>
        <w:t>(</w:t>
      </w:r>
      <w:r w:rsidRPr="005441F4">
        <w:rPr>
          <w:rFonts w:eastAsia="SimHei" w:hAnsi="SimHei"/>
          <w:lang w:val="en-GB"/>
        </w:rPr>
        <w:t>法国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  </w:t>
      </w:r>
      <w:r w:rsidRPr="005441F4">
        <w:rPr>
          <w:rFonts w:eastAsia="SimHei" w:hAnsi="SimHei"/>
          <w:lang w:val="en-GB"/>
        </w:rPr>
        <w:t>考虑按照人权高专办的建议拟定人权指标，将其作为能够更准确和统一评价国家人权政策的工具</w:t>
      </w:r>
      <w:r w:rsidRPr="005441F4">
        <w:rPr>
          <w:rFonts w:eastAsia="SimHei"/>
          <w:lang w:val="en-GB"/>
        </w:rPr>
        <w:t>(</w:t>
      </w:r>
      <w:r w:rsidRPr="005441F4">
        <w:rPr>
          <w:rFonts w:eastAsia="SimHei" w:hAnsi="SimHei"/>
          <w:lang w:val="en-GB"/>
        </w:rPr>
        <w:t>葡萄牙</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124.6  </w:t>
      </w:r>
      <w:r w:rsidRPr="005441F4">
        <w:rPr>
          <w:rFonts w:eastAsia="SimHei" w:hAnsi="SimHei"/>
          <w:lang w:val="en-GB"/>
        </w:rPr>
        <w:t>加强反对种族歧视、种族主义、仇外心理和相关形式不容忍行为国家委员会的职能运作，以便利跨文化对话、容忍和提高认识方案</w:t>
      </w:r>
      <w:r w:rsidRPr="005441F4">
        <w:rPr>
          <w:rFonts w:eastAsia="SimHei"/>
          <w:lang w:val="en-GB"/>
        </w:rPr>
        <w:t>(</w:t>
      </w:r>
      <w:r w:rsidRPr="005441F4">
        <w:rPr>
          <w:rFonts w:eastAsia="SimHei" w:hAnsi="SimHei"/>
          <w:lang w:val="en-GB"/>
        </w:rPr>
        <w:t>阿根廷</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124.7  </w:t>
      </w:r>
      <w:r w:rsidRPr="005441F4">
        <w:rPr>
          <w:rFonts w:eastAsia="SimHei" w:hAnsi="SimHei"/>
          <w:lang w:val="en-GB"/>
        </w:rPr>
        <w:t>通过目前正在起草的打击种族主义和种族歧视国家行动计划，加快提高认识运动</w:t>
      </w:r>
      <w:r w:rsidRPr="005441F4">
        <w:rPr>
          <w:rFonts w:eastAsia="SimHei"/>
          <w:lang w:val="en-GB"/>
        </w:rPr>
        <w:t>(</w:t>
      </w:r>
      <w:r w:rsidRPr="005441F4">
        <w:rPr>
          <w:rFonts w:eastAsia="SimHei" w:hAnsi="SimHei"/>
          <w:lang w:val="en-GB"/>
        </w:rPr>
        <w:t>巴拿马</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124.8  </w:t>
      </w:r>
      <w:r w:rsidRPr="005441F4">
        <w:rPr>
          <w:rFonts w:eastAsia="SimHei" w:hAnsi="SimHei"/>
          <w:lang w:val="en-GB"/>
        </w:rPr>
        <w:t>加强已有体制框架，以造福土著和非裔洪都拉斯人民</w:t>
      </w:r>
      <w:r w:rsidRPr="005441F4">
        <w:rPr>
          <w:rFonts w:eastAsia="SimHei"/>
          <w:lang w:val="en-GB"/>
        </w:rPr>
        <w:t>(</w:t>
      </w:r>
      <w:r w:rsidRPr="005441F4">
        <w:rPr>
          <w:rFonts w:eastAsia="SimHei" w:hAnsi="SimHei"/>
          <w:lang w:val="en-GB"/>
        </w:rPr>
        <w:t>赤道几内亚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124.9  </w:t>
      </w:r>
      <w:r w:rsidRPr="005441F4">
        <w:rPr>
          <w:rFonts w:eastAsia="SimHei" w:hAnsi="SimHei"/>
          <w:lang w:val="en-GB"/>
        </w:rPr>
        <w:t>有效执行《</w:t>
      </w:r>
      <w:r w:rsidRPr="005441F4">
        <w:rPr>
          <w:rFonts w:eastAsia="SimHei"/>
          <w:lang w:val="en-GB"/>
        </w:rPr>
        <w:t>2010-2022</w:t>
      </w:r>
      <w:r w:rsidRPr="005441F4">
        <w:rPr>
          <w:rFonts w:eastAsia="SimHei" w:hAnsi="SimHei"/>
          <w:lang w:val="en-GB"/>
        </w:rPr>
        <w:t>年性别平等和公平计划》，分配技术和财政资源，以实现设想目标，并重开紧急</w:t>
      </w:r>
      <w:r w:rsidR="005441F4">
        <w:rPr>
          <w:rFonts w:eastAsia="SimHei" w:hint="eastAsia"/>
          <w:lang w:val="en-GB"/>
        </w:rPr>
        <w:t>“</w:t>
      </w:r>
      <w:r w:rsidRPr="005441F4">
        <w:rPr>
          <w:rFonts w:eastAsia="SimHei" w:hAnsi="SimHei"/>
          <w:lang w:val="en-GB"/>
        </w:rPr>
        <w:t>热线</w:t>
      </w:r>
      <w:r w:rsidR="005441F4">
        <w:rPr>
          <w:rFonts w:eastAsia="SimHei"/>
          <w:lang w:val="en-GB"/>
        </w:rPr>
        <w:t>114</w:t>
      </w:r>
      <w:r w:rsidR="005441F4">
        <w:rPr>
          <w:rFonts w:eastAsia="SimHei" w:hint="eastAsia"/>
          <w:lang w:val="en-GB"/>
        </w:rPr>
        <w:t>”</w:t>
      </w:r>
      <w:r w:rsidRPr="005441F4">
        <w:rPr>
          <w:rFonts w:eastAsia="SimHei" w:hAnsi="SimHei"/>
          <w:lang w:val="en-GB"/>
        </w:rPr>
        <w:t>，为女性性别暴力受害者提供关怀</w:t>
      </w:r>
      <w:r w:rsidRPr="005441F4">
        <w:rPr>
          <w:rFonts w:eastAsia="SimHei"/>
          <w:lang w:val="en-GB"/>
        </w:rPr>
        <w:t>(</w:t>
      </w:r>
      <w:r w:rsidRPr="005441F4">
        <w:rPr>
          <w:rFonts w:eastAsia="SimHei" w:hAnsi="SimHei"/>
          <w:lang w:val="en-GB"/>
        </w:rPr>
        <w:t>西班牙</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124.10  </w:t>
      </w:r>
      <w:r w:rsidRPr="005441F4">
        <w:rPr>
          <w:rFonts w:eastAsia="SimHei" w:hAnsi="SimHei"/>
          <w:lang w:val="en-GB"/>
        </w:rPr>
        <w:t>实施有关促进容忍和不歧视女同性恋、男同性恋、双性恋、变性人和双性人的政策和计划，并保障遵守现有规范，从而惩治因偏见而激发的犯罪和暴力行为</w:t>
      </w:r>
      <w:r w:rsidRPr="005441F4">
        <w:rPr>
          <w:rFonts w:eastAsia="SimHei"/>
          <w:lang w:val="en-GB"/>
        </w:rPr>
        <w:t>(</w:t>
      </w:r>
      <w:r w:rsidRPr="005441F4">
        <w:rPr>
          <w:rFonts w:eastAsia="SimHei" w:hAnsi="SimHei"/>
          <w:lang w:val="en-GB"/>
        </w:rPr>
        <w:t>乌拉圭</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124.11  </w:t>
      </w:r>
      <w:r w:rsidRPr="005441F4">
        <w:rPr>
          <w:rFonts w:eastAsia="SimHei" w:hAnsi="SimHei"/>
          <w:lang w:val="en-GB"/>
        </w:rPr>
        <w:t>加强其负责促进和保护人权的国家机构，以期促进司法救助，尤其是为最弱势群体，如妇女、老人、儿童、土著人民、残疾人、非洲裔以及女同性恋、男同性恋、双性恋、变性人和双性人社区提供的司法救助</w:t>
      </w:r>
      <w:r w:rsidRPr="005441F4">
        <w:rPr>
          <w:rFonts w:eastAsia="SimHei"/>
          <w:lang w:val="en-GB"/>
        </w:rPr>
        <w:t>(</w:t>
      </w:r>
      <w:r w:rsidRPr="005441F4">
        <w:rPr>
          <w:rFonts w:eastAsia="SimHei" w:hAnsi="SimHei"/>
          <w:lang w:val="en-GB"/>
        </w:rPr>
        <w:t>巴西</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124.12  </w:t>
      </w:r>
      <w:r w:rsidRPr="005441F4">
        <w:rPr>
          <w:rFonts w:eastAsia="SimHei" w:hAnsi="SimHei"/>
          <w:lang w:val="en-GB"/>
        </w:rPr>
        <w:t>制定国家行动计划，以执行联合国《工商企业与人权指导原则》，包括采取具体行动加强落实劳工组织《第</w:t>
      </w:r>
      <w:r w:rsidRPr="005441F4">
        <w:rPr>
          <w:rFonts w:eastAsia="SimHei"/>
          <w:lang w:val="en-GB"/>
        </w:rPr>
        <w:t>169</w:t>
      </w:r>
      <w:r w:rsidRPr="005441F4">
        <w:rPr>
          <w:rFonts w:eastAsia="SimHei" w:hAnsi="SimHei"/>
          <w:lang w:val="en-GB"/>
        </w:rPr>
        <w:t>号公约》</w:t>
      </w:r>
      <w:r w:rsidRPr="005441F4">
        <w:rPr>
          <w:rFonts w:eastAsia="SimHei"/>
          <w:lang w:val="en-GB"/>
        </w:rPr>
        <w:t>(</w:t>
      </w:r>
      <w:r w:rsidRPr="005441F4">
        <w:rPr>
          <w:rFonts w:eastAsia="SimHei" w:hAnsi="SimHei"/>
          <w:lang w:val="en-GB"/>
        </w:rPr>
        <w:t>荷兰</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124.13  </w:t>
      </w:r>
      <w:r w:rsidRPr="005441F4">
        <w:rPr>
          <w:rFonts w:eastAsia="SimHei" w:hAnsi="SimHei"/>
          <w:lang w:val="en-GB"/>
        </w:rPr>
        <w:t>通过建立在线监测系统，支持国家机制为跟踪普遍定期审议建议落实情况所做出的努力</w:t>
      </w:r>
      <w:r w:rsidRPr="005441F4">
        <w:rPr>
          <w:rFonts w:eastAsia="SimHei"/>
          <w:lang w:val="en-GB"/>
        </w:rPr>
        <w:t>(</w:t>
      </w:r>
      <w:r w:rsidRPr="005441F4">
        <w:rPr>
          <w:rFonts w:eastAsia="SimHei" w:hAnsi="SimHei"/>
          <w:lang w:val="en-GB"/>
        </w:rPr>
        <w:t>巴拉圭</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124.14  </w:t>
      </w:r>
      <w:r w:rsidRPr="005441F4">
        <w:rPr>
          <w:rFonts w:eastAsia="SimHei" w:hAnsi="SimHei"/>
          <w:lang w:val="en-GB"/>
        </w:rPr>
        <w:t>与即将在国内设立的人权高专办办事处密切合作，同时落实普遍定期审议各项建议</w:t>
      </w:r>
      <w:r w:rsidRPr="005441F4">
        <w:rPr>
          <w:rFonts w:eastAsia="SimHei"/>
          <w:lang w:val="en-GB"/>
        </w:rPr>
        <w:t>(</w:t>
      </w:r>
      <w:r w:rsidRPr="005441F4">
        <w:rPr>
          <w:rFonts w:eastAsia="SimHei" w:hAnsi="SimHei"/>
          <w:lang w:val="en-GB"/>
        </w:rPr>
        <w:t>捷克共和国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124.15  </w:t>
      </w:r>
      <w:r w:rsidRPr="005441F4">
        <w:rPr>
          <w:rFonts w:eastAsia="SimHei" w:hAnsi="SimHei"/>
          <w:lang w:val="en-GB"/>
        </w:rPr>
        <w:t>向相关联合国条约机构提交逾期报告</w:t>
      </w:r>
      <w:r w:rsidRPr="005441F4">
        <w:rPr>
          <w:rFonts w:eastAsia="SimHei"/>
          <w:lang w:val="en-GB"/>
        </w:rPr>
        <w:t>(</w:t>
      </w:r>
      <w:r w:rsidRPr="005441F4">
        <w:rPr>
          <w:rFonts w:eastAsia="SimHei" w:hAnsi="SimHei"/>
          <w:lang w:val="en-GB"/>
        </w:rPr>
        <w:t>塞拉利昂</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124.16  </w:t>
      </w:r>
      <w:r w:rsidRPr="005441F4">
        <w:rPr>
          <w:rFonts w:eastAsia="SimHei" w:hAnsi="SimHei"/>
          <w:lang w:val="en-GB"/>
        </w:rPr>
        <w:t>及时对所有专题特别程序来文作出答复</w:t>
      </w:r>
      <w:r w:rsidRPr="005441F4">
        <w:rPr>
          <w:rFonts w:eastAsia="SimHei"/>
          <w:lang w:val="en-GB"/>
        </w:rPr>
        <w:t>(</w:t>
      </w:r>
      <w:r w:rsidRPr="005441F4">
        <w:rPr>
          <w:rFonts w:eastAsia="SimHei" w:hAnsi="SimHei"/>
          <w:lang w:val="en-GB"/>
        </w:rPr>
        <w:t>黑山</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124.17  </w:t>
      </w:r>
      <w:r w:rsidRPr="005441F4">
        <w:rPr>
          <w:rFonts w:eastAsia="SimHei" w:hAnsi="SimHei"/>
          <w:lang w:val="en-GB"/>
        </w:rPr>
        <w:t>完善出生登记制度，并得到提高认识活动的支持，以便维持登记数量增长态势，特别是在农村地区</w:t>
      </w:r>
      <w:r w:rsidRPr="005441F4">
        <w:rPr>
          <w:rFonts w:eastAsia="SimHei"/>
          <w:lang w:val="en-GB"/>
        </w:rPr>
        <w:t>(</w:t>
      </w:r>
      <w:r w:rsidRPr="005441F4">
        <w:rPr>
          <w:rFonts w:eastAsia="SimHei" w:hAnsi="SimHei"/>
          <w:lang w:val="en-GB"/>
        </w:rPr>
        <w:t>土耳其</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124.18  </w:t>
      </w:r>
      <w:r w:rsidRPr="005441F4">
        <w:rPr>
          <w:rFonts w:eastAsia="SimHei" w:hAnsi="SimHei"/>
          <w:lang w:val="en-GB"/>
        </w:rPr>
        <w:t>实施提高认识运动和方案，已促进容忍和解决暴力侵害女同性恋、男同性恋、双性恋、变性人和双性人问题</w:t>
      </w:r>
      <w:r w:rsidRPr="005441F4">
        <w:rPr>
          <w:rFonts w:eastAsia="SimHei"/>
          <w:lang w:val="en-GB"/>
        </w:rPr>
        <w:t>(</w:t>
      </w:r>
      <w:r w:rsidRPr="005441F4">
        <w:rPr>
          <w:rFonts w:eastAsia="SimHei" w:hAnsi="SimHei"/>
          <w:lang w:val="en-GB"/>
        </w:rPr>
        <w:t>斯洛文尼亚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124.19  </w:t>
      </w:r>
      <w:r w:rsidRPr="005441F4">
        <w:rPr>
          <w:rFonts w:eastAsia="SimHei" w:hAnsi="SimHei"/>
          <w:lang w:val="en-GB"/>
        </w:rPr>
        <w:t>加强旨在消除歧视妇女行为的文化模式和促进充分获得司法保护的行动，从而防止暴力影响妇女生活、健康和身心完整但仍未得到惩治的案件</w:t>
      </w:r>
      <w:r w:rsidRPr="005441F4">
        <w:rPr>
          <w:rFonts w:eastAsia="SimHei"/>
          <w:lang w:val="en-GB"/>
        </w:rPr>
        <w:t>(</w:t>
      </w:r>
      <w:r w:rsidRPr="005441F4">
        <w:rPr>
          <w:rFonts w:eastAsia="SimHei" w:hAnsi="SimHei"/>
          <w:lang w:val="en-GB"/>
        </w:rPr>
        <w:t>智利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124.20  </w:t>
      </w:r>
      <w:r w:rsidRPr="005441F4">
        <w:rPr>
          <w:rFonts w:eastAsia="SimHei" w:hAnsi="SimHei"/>
          <w:lang w:val="en-GB"/>
        </w:rPr>
        <w:t>结束法律和实践中针对土著和非裔洪都拉斯人的歧视行为，并加强对女同性恋、男同性恋、双性恋、变性人和双性人的保护</w:t>
      </w:r>
      <w:r w:rsidRPr="005441F4">
        <w:rPr>
          <w:rFonts w:eastAsia="SimHei"/>
          <w:lang w:val="en-GB"/>
        </w:rPr>
        <w:t>(</w:t>
      </w:r>
      <w:r w:rsidRPr="005441F4">
        <w:rPr>
          <w:rFonts w:eastAsia="SimHei" w:hAnsi="SimHei"/>
          <w:lang w:val="en-GB"/>
        </w:rPr>
        <w:t>奥地利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124.21  </w:t>
      </w:r>
      <w:r w:rsidRPr="005441F4">
        <w:rPr>
          <w:rFonts w:eastAsia="SimHei" w:hAnsi="SimHei"/>
          <w:lang w:val="en-GB"/>
        </w:rPr>
        <w:t>采取适当措施，改善监狱和其他拘留中心的生活条件并解决人满为患问题，减少囚犯之间的暴力行为</w:t>
      </w:r>
      <w:r w:rsidRPr="005441F4">
        <w:rPr>
          <w:rFonts w:eastAsia="SimHei"/>
          <w:lang w:val="en-GB"/>
        </w:rPr>
        <w:t>(</w:t>
      </w:r>
      <w:r w:rsidRPr="005441F4">
        <w:rPr>
          <w:rFonts w:eastAsia="SimHei" w:hAnsi="SimHei"/>
          <w:lang w:val="en-GB"/>
        </w:rPr>
        <w:t>大韩民国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124.22  </w:t>
      </w:r>
      <w:r w:rsidRPr="005441F4">
        <w:rPr>
          <w:rFonts w:eastAsia="SimHei" w:hAnsi="SimHei"/>
          <w:lang w:val="en-GB"/>
        </w:rPr>
        <w:t>采取有效措施使拘留中心的条件达到国际标准，尤其是通过减少人满为患现象和囚犯间暴力的办法</w:t>
      </w:r>
      <w:r w:rsidRPr="005441F4">
        <w:rPr>
          <w:rFonts w:eastAsia="SimHei"/>
          <w:lang w:val="en-GB"/>
        </w:rPr>
        <w:t>(</w:t>
      </w:r>
      <w:r w:rsidRPr="005441F4">
        <w:rPr>
          <w:rFonts w:eastAsia="SimHei" w:hAnsi="SimHei"/>
          <w:lang w:val="en-GB"/>
        </w:rPr>
        <w:t>奥地利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124.23  </w:t>
      </w:r>
      <w:r w:rsidRPr="005441F4">
        <w:rPr>
          <w:rFonts w:eastAsia="SimHei" w:hAnsi="SimHei"/>
          <w:lang w:val="en-GB"/>
        </w:rPr>
        <w:t>落实</w:t>
      </w:r>
      <w:r w:rsidRPr="005441F4">
        <w:rPr>
          <w:rFonts w:eastAsia="SimHei"/>
          <w:lang w:val="en-GB"/>
        </w:rPr>
        <w:t>2013</w:t>
      </w:r>
      <w:r w:rsidRPr="005441F4">
        <w:rPr>
          <w:rFonts w:eastAsia="SimHei" w:hAnsi="SimHei"/>
          <w:lang w:val="en-GB"/>
        </w:rPr>
        <w:t>年美洲人权委员会关于洪都拉斯被剥夺自由者地位的报告所载各项建议，并相应完成制定和实施国家监狱政策</w:t>
      </w:r>
      <w:r w:rsidRPr="005441F4">
        <w:rPr>
          <w:rFonts w:eastAsia="SimHei"/>
          <w:lang w:val="en-GB"/>
        </w:rPr>
        <w:t>(</w:t>
      </w:r>
      <w:r w:rsidRPr="005441F4">
        <w:rPr>
          <w:rFonts w:eastAsia="SimHei" w:hAnsi="SimHei"/>
          <w:lang w:val="en-GB"/>
        </w:rPr>
        <w:t>丹麦</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124.24  </w:t>
      </w:r>
      <w:r w:rsidRPr="005441F4">
        <w:rPr>
          <w:rFonts w:eastAsia="SimHei" w:hAnsi="SimHei"/>
          <w:lang w:val="en-GB"/>
        </w:rPr>
        <w:t>考虑扩大刑事立法，不仅将杀害女性案件，还将所有暴力侵害妇女案件定为刑事犯罪</w:t>
      </w:r>
      <w:r w:rsidRPr="005441F4">
        <w:rPr>
          <w:rFonts w:eastAsia="SimHei"/>
          <w:lang w:val="en-GB"/>
        </w:rPr>
        <w:t>(</w:t>
      </w:r>
      <w:r w:rsidRPr="005441F4">
        <w:rPr>
          <w:rFonts w:eastAsia="SimHei" w:hAnsi="SimHei"/>
          <w:lang w:val="en-GB"/>
        </w:rPr>
        <w:t>危地马拉</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124.25  </w:t>
      </w:r>
      <w:r w:rsidRPr="005441F4">
        <w:rPr>
          <w:rFonts w:eastAsia="SimHei" w:hAnsi="SimHei"/>
          <w:lang w:val="en-GB"/>
        </w:rPr>
        <w:t>设立特别法庭，专门负责处理问题尤为突出的家庭暴力案件</w:t>
      </w:r>
      <w:r w:rsidRPr="005441F4">
        <w:rPr>
          <w:rFonts w:eastAsia="SimHei"/>
          <w:lang w:val="en-GB"/>
        </w:rPr>
        <w:t>(</w:t>
      </w:r>
      <w:r w:rsidRPr="005441F4">
        <w:rPr>
          <w:rFonts w:eastAsia="SimHei" w:hAnsi="SimHei"/>
          <w:lang w:val="en-GB"/>
        </w:rPr>
        <w:t>危地马拉</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124.26  </w:t>
      </w:r>
      <w:r w:rsidRPr="005441F4">
        <w:rPr>
          <w:rFonts w:eastAsia="SimHei" w:hAnsi="SimHei"/>
          <w:lang w:val="en-GB"/>
        </w:rPr>
        <w:t>采取一切必要措施，确保有效落实《刑法》关于将性别相关的杀害妇女行为定为刑事犯罪，并保障女性暴力受害者获得有效司法救助和得到保护</w:t>
      </w:r>
      <w:r w:rsidRPr="005441F4">
        <w:rPr>
          <w:rFonts w:eastAsia="SimHei"/>
          <w:lang w:val="en-GB"/>
        </w:rPr>
        <w:t>(</w:t>
      </w:r>
      <w:r w:rsidRPr="005441F4">
        <w:rPr>
          <w:rFonts w:eastAsia="SimHei" w:hAnsi="SimHei"/>
          <w:lang w:val="en-GB"/>
        </w:rPr>
        <w:t>爱尔兰</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124.27  </w:t>
      </w:r>
      <w:r w:rsidRPr="005441F4">
        <w:rPr>
          <w:rFonts w:eastAsia="SimHei" w:hAnsi="SimHei"/>
          <w:lang w:val="en-GB"/>
        </w:rPr>
        <w:t>保障女性暴力受害者获得保护和有效司法救助，包括通过确保将犯罪人绳之以法以及向执法、司法和医疗保健人员提供充足资源和针对性培训的办法</w:t>
      </w:r>
      <w:r w:rsidRPr="005441F4">
        <w:rPr>
          <w:rFonts w:eastAsia="SimHei"/>
          <w:lang w:val="en-GB"/>
        </w:rPr>
        <w:t>(</w:t>
      </w:r>
      <w:r w:rsidRPr="005441F4">
        <w:rPr>
          <w:rFonts w:eastAsia="SimHei" w:hAnsi="SimHei"/>
          <w:lang w:val="en-GB"/>
        </w:rPr>
        <w:t>意大利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124.28  </w:t>
      </w:r>
      <w:r w:rsidRPr="005441F4">
        <w:rPr>
          <w:rFonts w:eastAsia="SimHei" w:hAnsi="SimHei"/>
          <w:lang w:val="en-GB"/>
        </w:rPr>
        <w:t>预防和惩处一切形式暴力侵害妇女和女童行为；进一步提高妇女在管理和决策岗位的代表性</w:t>
      </w:r>
      <w:r w:rsidRPr="005441F4">
        <w:rPr>
          <w:rFonts w:eastAsia="SimHei"/>
          <w:lang w:val="en-GB"/>
        </w:rPr>
        <w:t>(</w:t>
      </w:r>
      <w:r w:rsidRPr="005441F4">
        <w:rPr>
          <w:rFonts w:eastAsia="SimHei" w:hAnsi="SimHei"/>
          <w:lang w:val="en-GB"/>
        </w:rPr>
        <w:t>秘鲁</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124.29  </w:t>
      </w:r>
      <w:r w:rsidRPr="005441F4">
        <w:rPr>
          <w:rFonts w:eastAsia="SimHei" w:hAnsi="SimHei"/>
          <w:lang w:val="en-GB"/>
        </w:rPr>
        <w:t>确保安排充足预算以便用于预防性暴力和性别暴力</w:t>
      </w:r>
      <w:r w:rsidRPr="005441F4">
        <w:rPr>
          <w:rFonts w:eastAsia="SimHei"/>
          <w:lang w:val="en-GB"/>
        </w:rPr>
        <w:t>(</w:t>
      </w:r>
      <w:r w:rsidRPr="005441F4">
        <w:rPr>
          <w:rFonts w:eastAsia="SimHei" w:hAnsi="SimHei"/>
          <w:lang w:val="en-GB"/>
        </w:rPr>
        <w:t>瑞典</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124.30  </w:t>
      </w:r>
      <w:r w:rsidRPr="005441F4">
        <w:rPr>
          <w:rFonts w:eastAsia="SimHei" w:hAnsi="SimHei"/>
          <w:lang w:val="en-GB"/>
        </w:rPr>
        <w:t>保障女性暴力受害者获得保护和司法救助</w:t>
      </w:r>
      <w:r w:rsidRPr="005441F4">
        <w:rPr>
          <w:rFonts w:eastAsia="SimHei"/>
          <w:lang w:val="en-GB"/>
        </w:rPr>
        <w:t>(</w:t>
      </w:r>
      <w:r w:rsidRPr="005441F4">
        <w:rPr>
          <w:rFonts w:eastAsia="SimHei" w:hAnsi="SimHei"/>
          <w:lang w:val="en-GB"/>
        </w:rPr>
        <w:t>比利时</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124.31  </w:t>
      </w:r>
      <w:r w:rsidRPr="005441F4">
        <w:rPr>
          <w:rFonts w:eastAsia="SimHei" w:hAnsi="SimHei"/>
          <w:lang w:val="en-GB"/>
        </w:rPr>
        <w:t>加快努力，目的是有效预防暴力侵害妇女行为，包括强奸、家庭暴力和性骚扰</w:t>
      </w:r>
      <w:r w:rsidRPr="005441F4">
        <w:rPr>
          <w:rFonts w:eastAsia="SimHei"/>
          <w:lang w:val="en-GB"/>
        </w:rPr>
        <w:t>(</w:t>
      </w:r>
      <w:r w:rsidRPr="005441F4">
        <w:rPr>
          <w:rFonts w:eastAsia="SimHei" w:hAnsi="SimHei"/>
          <w:lang w:val="en-GB"/>
        </w:rPr>
        <w:t>巴拿马</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124.32  </w:t>
      </w:r>
      <w:r w:rsidRPr="005441F4">
        <w:rPr>
          <w:rFonts w:eastAsia="SimHei" w:hAnsi="SimHei"/>
          <w:lang w:val="en-GB"/>
        </w:rPr>
        <w:t>采取适当必要措施解决暴力侵害妇女行为</w:t>
      </w:r>
      <w:r w:rsidRPr="005441F4">
        <w:rPr>
          <w:rFonts w:eastAsia="SimHei"/>
          <w:lang w:val="en-GB"/>
        </w:rPr>
        <w:t>(</w:t>
      </w:r>
      <w:r w:rsidRPr="005441F4">
        <w:rPr>
          <w:rFonts w:eastAsia="SimHei" w:hAnsi="SimHei"/>
          <w:lang w:val="en-GB"/>
        </w:rPr>
        <w:t>葡萄牙</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124.33  </w:t>
      </w:r>
      <w:r w:rsidRPr="005441F4">
        <w:rPr>
          <w:rFonts w:eastAsia="SimHei" w:hAnsi="SimHei"/>
          <w:lang w:val="en-GB"/>
        </w:rPr>
        <w:t>有效应对一切形式暴力侵害妇女行为，包括为执法人员提供性别平等培训</w:t>
      </w:r>
      <w:r w:rsidRPr="005441F4">
        <w:rPr>
          <w:rFonts w:eastAsia="SimHei"/>
          <w:lang w:val="en-GB"/>
        </w:rPr>
        <w:t>(</w:t>
      </w:r>
      <w:r w:rsidRPr="005441F4">
        <w:rPr>
          <w:rFonts w:eastAsia="SimHei" w:hAnsi="SimHei"/>
          <w:lang w:val="en-GB"/>
        </w:rPr>
        <w:t>瑞典</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124.34  </w:t>
      </w:r>
      <w:r w:rsidRPr="005441F4">
        <w:rPr>
          <w:rFonts w:eastAsia="SimHei" w:hAnsi="SimHei"/>
          <w:lang w:val="en-GB"/>
        </w:rPr>
        <w:t>减少暴力侵害妇女行为和增加针对被虐待妇女的庇护所数量</w:t>
      </w:r>
      <w:r w:rsidRPr="005441F4">
        <w:rPr>
          <w:rFonts w:eastAsia="SimHei"/>
          <w:lang w:val="en-GB"/>
        </w:rPr>
        <w:t>(</w:t>
      </w:r>
      <w:r w:rsidRPr="005441F4">
        <w:rPr>
          <w:rFonts w:eastAsia="SimHei" w:hAnsi="SimHei"/>
          <w:lang w:val="en-GB"/>
        </w:rPr>
        <w:t>特立尼达和多巴哥</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124.35  </w:t>
      </w:r>
      <w:r w:rsidRPr="005441F4">
        <w:rPr>
          <w:rFonts w:eastAsia="SimHei" w:hAnsi="SimHei"/>
          <w:lang w:val="en-GB"/>
        </w:rPr>
        <w:t>采取具体措施，保护妇女免遭成为歧视和暴力行为的受害者，包括对这类案件开展适当调查，并起诉和惩处犯罪人</w:t>
      </w:r>
      <w:r w:rsidRPr="005441F4">
        <w:rPr>
          <w:rFonts w:eastAsia="SimHei"/>
          <w:lang w:val="en-GB"/>
        </w:rPr>
        <w:t>(</w:t>
      </w:r>
      <w:r w:rsidRPr="005441F4">
        <w:rPr>
          <w:rFonts w:eastAsia="SimHei" w:hAnsi="SimHei"/>
          <w:lang w:val="en-GB"/>
        </w:rPr>
        <w:t>土耳其</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hint="eastAsia"/>
          <w:lang w:val="en-GB"/>
        </w:rPr>
      </w:pPr>
      <w:r w:rsidRPr="005441F4">
        <w:rPr>
          <w:rFonts w:eastAsia="SimHei"/>
          <w:lang w:val="en-GB"/>
        </w:rPr>
        <w:t xml:space="preserve">124.36  </w:t>
      </w:r>
      <w:r w:rsidRPr="005441F4">
        <w:rPr>
          <w:rFonts w:eastAsia="SimHei" w:hAnsi="SimHei"/>
          <w:lang w:val="en-GB"/>
        </w:rPr>
        <w:t>采取措施，确保在所有各级和所有领域充分保护儿童，并确保负责执行这些措施的机构获得充足资金和资源，从而有效履行这项职责</w:t>
      </w:r>
      <w:r w:rsidRPr="005441F4">
        <w:rPr>
          <w:rFonts w:eastAsia="SimHei"/>
          <w:lang w:val="en-GB"/>
        </w:rPr>
        <w:t>(</w:t>
      </w:r>
      <w:r w:rsidRPr="005441F4">
        <w:rPr>
          <w:rFonts w:eastAsia="SimHei" w:hAnsi="SimHei"/>
          <w:lang w:val="en-GB"/>
        </w:rPr>
        <w:t>纳米比亚</w:t>
      </w:r>
      <w:r w:rsidRPr="005441F4">
        <w:rPr>
          <w:rFonts w:eastAsia="SimHei"/>
          <w:lang w:val="en-GB"/>
        </w:rPr>
        <w:t>)</w:t>
      </w:r>
      <w:r w:rsidRPr="005441F4">
        <w:rPr>
          <w:rFonts w:eastAsia="SimHei" w:hAnsi="SimHei"/>
          <w:lang w:val="en-GB"/>
        </w:rPr>
        <w:t>；</w:t>
      </w:r>
      <w:r w:rsidR="005441F4">
        <w:rPr>
          <w:rStyle w:val="FootnoteReference"/>
          <w:rFonts w:eastAsia="SimHei"/>
          <w:lang w:val="en-GB"/>
        </w:rPr>
        <w:footnoteReference w:id="5"/>
      </w:r>
    </w:p>
    <w:p w:rsidR="00A648CE" w:rsidRPr="005441F4" w:rsidRDefault="00A648CE" w:rsidP="009573AC">
      <w:pPr>
        <w:pStyle w:val="SingleTxtGC"/>
        <w:ind w:left="1718"/>
        <w:rPr>
          <w:rFonts w:eastAsia="SimHei"/>
          <w:lang w:val="en-GB"/>
        </w:rPr>
      </w:pPr>
      <w:r w:rsidRPr="005441F4">
        <w:rPr>
          <w:rFonts w:eastAsia="SimHei"/>
          <w:lang w:val="en-GB"/>
        </w:rPr>
        <w:t xml:space="preserve">124.37  </w:t>
      </w:r>
      <w:r w:rsidRPr="005441F4">
        <w:rPr>
          <w:rFonts w:eastAsia="SimHei" w:hAnsi="SimHei"/>
          <w:lang w:val="en-GB"/>
        </w:rPr>
        <w:t>维护儿童权利，办法是确保儿童、青少年和家庭问题局拥有用于履行其任务的适当立法框架和财政资源，并执行用以保护儿童、青少年和回返儿童移徙者的各项政策和方案</w:t>
      </w:r>
      <w:r w:rsidRPr="005441F4">
        <w:rPr>
          <w:rFonts w:eastAsia="SimHei"/>
          <w:lang w:val="en-GB"/>
        </w:rPr>
        <w:t>(</w:t>
      </w:r>
      <w:r w:rsidRPr="005441F4">
        <w:rPr>
          <w:rFonts w:eastAsia="SimHei" w:hAnsi="SimHei"/>
          <w:lang w:val="en-GB"/>
        </w:rPr>
        <w:t>加拿大</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124.38  </w:t>
      </w:r>
      <w:r w:rsidRPr="005441F4">
        <w:rPr>
          <w:rFonts w:eastAsia="SimHei" w:hAnsi="SimHei"/>
          <w:lang w:val="en-GB"/>
        </w:rPr>
        <w:t>重设专门负责打击贩运人口和性剥削行为的警察部门</w:t>
      </w:r>
      <w:r w:rsidRPr="005441F4">
        <w:rPr>
          <w:rFonts w:eastAsia="SimHei"/>
          <w:lang w:val="en-GB"/>
        </w:rPr>
        <w:t>(</w:t>
      </w:r>
      <w:r w:rsidRPr="005441F4">
        <w:rPr>
          <w:rFonts w:eastAsia="SimHei" w:hAnsi="SimHei"/>
          <w:lang w:val="en-GB"/>
        </w:rPr>
        <w:t>东帝汶</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124.39  </w:t>
      </w:r>
      <w:r w:rsidRPr="005441F4">
        <w:rPr>
          <w:rFonts w:eastAsia="SimHei" w:hAnsi="SimHei"/>
          <w:lang w:val="en-GB"/>
        </w:rPr>
        <w:t>采取必要措施保障所有人获得公平正义</w:t>
      </w:r>
      <w:r w:rsidRPr="005441F4">
        <w:rPr>
          <w:rFonts w:eastAsia="SimHei"/>
          <w:lang w:val="en-GB"/>
        </w:rPr>
        <w:t>(</w:t>
      </w:r>
      <w:r w:rsidRPr="005441F4">
        <w:rPr>
          <w:rFonts w:eastAsia="SimHei" w:hAnsi="SimHei"/>
          <w:lang w:val="en-GB"/>
        </w:rPr>
        <w:t>尼日利亚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124.40  </w:t>
      </w:r>
      <w:r w:rsidRPr="005441F4">
        <w:rPr>
          <w:rFonts w:eastAsia="SimHei" w:hAnsi="SimHei"/>
          <w:lang w:val="en-GB"/>
        </w:rPr>
        <w:t>加强司法机关，办法是执行透明、择优和界定明确的最高法院法官遴选程序</w:t>
      </w:r>
      <w:r w:rsidRPr="005441F4">
        <w:rPr>
          <w:rFonts w:eastAsia="SimHei"/>
          <w:lang w:val="en-GB"/>
        </w:rPr>
        <w:t>(</w:t>
      </w:r>
      <w:r w:rsidRPr="005441F4">
        <w:rPr>
          <w:rFonts w:eastAsia="SimHei" w:hAnsi="SimHei"/>
          <w:lang w:val="en-GB"/>
        </w:rPr>
        <w:t>美利坚合众国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124.41  </w:t>
      </w:r>
      <w:r w:rsidRPr="005441F4">
        <w:rPr>
          <w:rFonts w:eastAsia="SimHei" w:hAnsi="SimHei"/>
          <w:lang w:val="en-GB"/>
        </w:rPr>
        <w:t>确保法官任命程序透明和公正，执行明确的程序和客观标准，并确保司法人员不会受到政治干预</w:t>
      </w:r>
      <w:r w:rsidRPr="005441F4">
        <w:rPr>
          <w:rFonts w:eastAsia="SimHei"/>
          <w:lang w:val="en-GB"/>
        </w:rPr>
        <w:t>(</w:t>
      </w:r>
      <w:r w:rsidRPr="005441F4">
        <w:rPr>
          <w:rFonts w:eastAsia="SimHei" w:hAnsi="SimHei"/>
          <w:lang w:val="en-GB"/>
        </w:rPr>
        <w:t>瑞士</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124.42  </w:t>
      </w:r>
      <w:r w:rsidRPr="005441F4">
        <w:rPr>
          <w:rFonts w:eastAsia="SimHei" w:hAnsi="SimHei"/>
          <w:lang w:val="en-GB"/>
        </w:rPr>
        <w:t>有效打击袭击法官、新闻工作者和人权维护者犯罪的犯罪人有罪不罚现象，并对这些案件中的侵犯人权行为开展有效调查</w:t>
      </w:r>
      <w:r w:rsidRPr="005441F4">
        <w:rPr>
          <w:rFonts w:eastAsia="SimHei"/>
          <w:lang w:val="en-GB"/>
        </w:rPr>
        <w:t>(</w:t>
      </w:r>
      <w:r w:rsidRPr="005441F4">
        <w:rPr>
          <w:rFonts w:eastAsia="SimHei" w:hAnsi="SimHei"/>
          <w:lang w:val="en-GB"/>
        </w:rPr>
        <w:t>波兰</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124.43  </w:t>
      </w:r>
      <w:r w:rsidRPr="005441F4">
        <w:rPr>
          <w:rFonts w:eastAsia="SimHei" w:hAnsi="SimHei"/>
          <w:lang w:val="en-GB"/>
        </w:rPr>
        <w:t>保证短期内对涉及警察、军队或私营安保公司人员所实施侵犯人权及其他侵害行为的一切控诉进行独立和详尽调查；并保证将对这些违法行为的责任人绳之以法，确保受害者获得赔偿</w:t>
      </w:r>
      <w:r w:rsidRPr="005441F4">
        <w:rPr>
          <w:rFonts w:eastAsia="SimHei"/>
          <w:lang w:val="en-GB"/>
        </w:rPr>
        <w:t>(</w:t>
      </w:r>
      <w:r w:rsidRPr="005441F4">
        <w:rPr>
          <w:rFonts w:eastAsia="SimHei" w:hAnsi="SimHei"/>
          <w:lang w:val="en-GB"/>
        </w:rPr>
        <w:t>比利时</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124.44  </w:t>
      </w:r>
      <w:r w:rsidRPr="005441F4">
        <w:rPr>
          <w:rFonts w:eastAsia="SimHei" w:hAnsi="SimHei"/>
          <w:lang w:val="en-GB"/>
        </w:rPr>
        <w:t>加强惩治仇恨罪的《刑法》</w:t>
      </w:r>
      <w:r w:rsidRPr="005441F4">
        <w:rPr>
          <w:rFonts w:eastAsia="SimHei"/>
          <w:lang w:val="en-GB"/>
        </w:rPr>
        <w:t>(</w:t>
      </w:r>
      <w:r w:rsidRPr="005441F4">
        <w:rPr>
          <w:rFonts w:eastAsia="SimHei" w:hAnsi="SimHei"/>
          <w:lang w:val="en-GB"/>
        </w:rPr>
        <w:t>黎巴嫩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124.45  </w:t>
      </w:r>
      <w:r w:rsidRPr="005441F4">
        <w:rPr>
          <w:rFonts w:eastAsia="SimHei" w:hAnsi="SimHei"/>
          <w:lang w:val="en-GB"/>
        </w:rPr>
        <w:t>采取进一步措施，以便有效调查、起诉和惩治仇恨女同性恋、男同性恋、双性恋、变性人和双性人以及妇女的犯罪，包括杀害女性以及针对人权维护者、新闻工作者、司法工作者和</w:t>
      </w:r>
      <w:r w:rsidRPr="005441F4">
        <w:rPr>
          <w:rFonts w:eastAsia="SimHei"/>
          <w:lang w:val="en-GB"/>
        </w:rPr>
        <w:t>Bajo Aguán</w:t>
      </w:r>
      <w:r w:rsidRPr="005441F4">
        <w:rPr>
          <w:rFonts w:eastAsia="SimHei" w:hAnsi="SimHei"/>
          <w:lang w:val="en-GB"/>
        </w:rPr>
        <w:t>地区农民社区成员的犯罪</w:t>
      </w:r>
      <w:r w:rsidRPr="005441F4">
        <w:rPr>
          <w:rFonts w:eastAsia="SimHei"/>
          <w:lang w:val="en-GB"/>
        </w:rPr>
        <w:t>(</w:t>
      </w:r>
      <w:r w:rsidRPr="005441F4">
        <w:rPr>
          <w:rFonts w:eastAsia="SimHei" w:hAnsi="SimHei"/>
          <w:lang w:val="en-GB"/>
        </w:rPr>
        <w:t>挪威</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124.46  </w:t>
      </w:r>
      <w:r w:rsidRPr="005441F4">
        <w:rPr>
          <w:rFonts w:eastAsia="SimHei" w:hAnsi="SimHei"/>
          <w:lang w:val="en-GB"/>
        </w:rPr>
        <w:t>详尽调查因性别原因杀害妇女案件</w:t>
      </w:r>
      <w:r w:rsidRPr="005441F4">
        <w:rPr>
          <w:rFonts w:eastAsia="SimHei"/>
          <w:lang w:val="en-GB"/>
        </w:rPr>
        <w:t>(</w:t>
      </w:r>
      <w:r w:rsidRPr="005441F4">
        <w:rPr>
          <w:rFonts w:eastAsia="SimHei" w:hAnsi="SimHei"/>
          <w:lang w:val="en-GB"/>
        </w:rPr>
        <w:t>西班牙</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124.47  </w:t>
      </w:r>
      <w:r w:rsidRPr="005441F4">
        <w:rPr>
          <w:rFonts w:eastAsia="SimHei" w:hAnsi="SimHei"/>
          <w:lang w:val="en-GB"/>
        </w:rPr>
        <w:t>确保将所有仇恨罪归入此类犯罪并展开详尽调查</w:t>
      </w:r>
      <w:r w:rsidRPr="005441F4">
        <w:rPr>
          <w:rFonts w:eastAsia="SimHei"/>
          <w:lang w:val="en-GB"/>
        </w:rPr>
        <w:t>(</w:t>
      </w:r>
      <w:r w:rsidRPr="005441F4">
        <w:rPr>
          <w:rFonts w:eastAsia="SimHei" w:hAnsi="SimHei"/>
          <w:lang w:val="en-GB"/>
        </w:rPr>
        <w:t>丹麦</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124.48  </w:t>
      </w:r>
      <w:r w:rsidRPr="005441F4">
        <w:rPr>
          <w:rFonts w:eastAsia="SimHei" w:hAnsi="SimHei"/>
          <w:lang w:val="en-GB"/>
        </w:rPr>
        <w:t>明确重新界定军警的作用，将其作为一项临时措施，并加快国民警察的专业化进程，以确保在其所有工作中保护人权</w:t>
      </w:r>
      <w:r w:rsidRPr="005441F4">
        <w:rPr>
          <w:rFonts w:eastAsia="SimHei"/>
          <w:lang w:val="en-GB"/>
        </w:rPr>
        <w:t>(</w:t>
      </w:r>
      <w:r w:rsidRPr="005441F4">
        <w:rPr>
          <w:rFonts w:eastAsia="SimHei" w:hAnsi="SimHei"/>
          <w:lang w:val="en-GB"/>
        </w:rPr>
        <w:t>瑞士</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124.49  </w:t>
      </w:r>
      <w:r w:rsidRPr="005441F4">
        <w:rPr>
          <w:rFonts w:eastAsia="SimHei" w:hAnsi="SimHei"/>
          <w:lang w:val="en-GB"/>
        </w:rPr>
        <w:t>加大努力，为人权维护者和新闻工作者创造安全环境</w:t>
      </w:r>
      <w:r w:rsidRPr="005441F4">
        <w:rPr>
          <w:rFonts w:eastAsia="SimHei"/>
          <w:lang w:val="en-GB"/>
        </w:rPr>
        <w:t>(</w:t>
      </w:r>
      <w:r w:rsidRPr="005441F4">
        <w:rPr>
          <w:rFonts w:eastAsia="SimHei" w:hAnsi="SimHei"/>
          <w:lang w:val="en-GB"/>
        </w:rPr>
        <w:t>意大利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124.50  </w:t>
      </w:r>
      <w:r w:rsidRPr="005441F4">
        <w:rPr>
          <w:rFonts w:eastAsia="SimHei" w:hAnsi="SimHei"/>
          <w:lang w:val="en-GB"/>
        </w:rPr>
        <w:t>确保表达自由，并采取措施制止针对新闻工作者和人权维护者，包括女同性恋、男同性恋、双性恋、变性人和双性人维护者的威胁和袭击</w:t>
      </w:r>
      <w:r w:rsidRPr="005441F4">
        <w:rPr>
          <w:rFonts w:eastAsia="SimHei"/>
          <w:lang w:val="en-GB"/>
        </w:rPr>
        <w:t>(</w:t>
      </w:r>
      <w:r w:rsidRPr="005441F4">
        <w:rPr>
          <w:rFonts w:eastAsia="SimHei" w:hAnsi="SimHei"/>
          <w:lang w:val="en-GB"/>
        </w:rPr>
        <w:t>澳大利亚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124.51  </w:t>
      </w:r>
      <w:r w:rsidRPr="005441F4">
        <w:rPr>
          <w:rFonts w:eastAsia="SimHei" w:hAnsi="SimHei"/>
          <w:lang w:val="en-GB"/>
        </w:rPr>
        <w:t>制定有效机制，保障人权维护者、法官、检察官和新闻工作者的安全，确保多数情况下导致死亡的暴力行为、恐吓和袭击人权维护者、法官、检察官和新闻工作者的行为不会得不到惩罚</w:t>
      </w:r>
      <w:r w:rsidRPr="005441F4">
        <w:rPr>
          <w:rFonts w:eastAsia="SimHei"/>
          <w:lang w:val="en-GB"/>
        </w:rPr>
        <w:t>(</w:t>
      </w:r>
      <w:r w:rsidRPr="005441F4">
        <w:rPr>
          <w:rFonts w:eastAsia="SimHei" w:hAnsi="SimHei"/>
          <w:lang w:val="en-GB"/>
        </w:rPr>
        <w:t>智利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124.52  </w:t>
      </w:r>
      <w:r w:rsidRPr="005441F4">
        <w:rPr>
          <w:rFonts w:eastAsia="SimHei" w:hAnsi="SimHei"/>
          <w:lang w:val="en-GB"/>
        </w:rPr>
        <w:t>为实施新的人权维护者、新闻工作者和社会宣传人员保护法律分配充足资源，而没有必要向民间社会寻求捐助</w:t>
      </w:r>
      <w:r w:rsidRPr="005441F4">
        <w:rPr>
          <w:rFonts w:eastAsia="SimHei"/>
          <w:lang w:val="en-GB"/>
        </w:rPr>
        <w:t>(</w:t>
      </w:r>
      <w:r w:rsidRPr="005441F4">
        <w:rPr>
          <w:rFonts w:eastAsia="SimHei" w:hAnsi="SimHei"/>
          <w:lang w:val="en-GB"/>
        </w:rPr>
        <w:t>瑞士</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124.53  </w:t>
      </w:r>
      <w:r w:rsidRPr="005441F4">
        <w:rPr>
          <w:rFonts w:eastAsia="SimHei" w:hAnsi="SimHei"/>
          <w:lang w:val="en-GB"/>
        </w:rPr>
        <w:t>通过公开咨询和民间社会参与进程，执行</w:t>
      </w:r>
      <w:r w:rsidRPr="005441F4">
        <w:rPr>
          <w:rFonts w:eastAsia="SimHei"/>
          <w:lang w:val="en-GB"/>
        </w:rPr>
        <w:t>(</w:t>
      </w:r>
      <w:r w:rsidRPr="005441F4">
        <w:rPr>
          <w:rFonts w:eastAsia="SimHei" w:hAnsi="SimHei"/>
          <w:lang w:val="en-GB"/>
        </w:rPr>
        <w:t>关于保护人权维护者、新闻工作者、社会宣传人员和司法官员</w:t>
      </w:r>
      <w:r w:rsidRPr="005441F4">
        <w:rPr>
          <w:rFonts w:eastAsia="SimHei"/>
          <w:lang w:val="en-GB"/>
        </w:rPr>
        <w:t>)</w:t>
      </w:r>
      <w:r w:rsidRPr="005441F4">
        <w:rPr>
          <w:rFonts w:eastAsia="SimHei" w:hAnsi="SimHei"/>
          <w:lang w:val="en-GB"/>
        </w:rPr>
        <w:t>的新法律</w:t>
      </w:r>
      <w:r w:rsidRPr="005441F4">
        <w:rPr>
          <w:rFonts w:eastAsia="SimHei"/>
          <w:lang w:val="en-GB"/>
        </w:rPr>
        <w:t>(</w:t>
      </w:r>
      <w:r w:rsidRPr="005441F4">
        <w:rPr>
          <w:rFonts w:eastAsia="SimHei" w:hAnsi="SimHei"/>
          <w:lang w:val="en-GB"/>
        </w:rPr>
        <w:t>瑞士</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124.54  </w:t>
      </w:r>
      <w:r w:rsidRPr="005441F4">
        <w:rPr>
          <w:rFonts w:eastAsia="SimHei" w:hAnsi="SimHei"/>
          <w:lang w:val="en-GB"/>
        </w:rPr>
        <w:t>批准和执行保护人权维护者、新闻工作者、社会宣传人员和司法官员的法律，并提供充足的人力和财力，以便建立有效国家机制，保护处境危险者</w:t>
      </w:r>
      <w:r w:rsidRPr="005441F4">
        <w:rPr>
          <w:rFonts w:eastAsia="SimHei"/>
          <w:lang w:val="en-GB"/>
        </w:rPr>
        <w:t>(</w:t>
      </w:r>
      <w:r w:rsidRPr="005441F4">
        <w:rPr>
          <w:rFonts w:eastAsia="SimHei" w:hAnsi="SimHei"/>
          <w:lang w:val="en-GB"/>
        </w:rPr>
        <w:t>比利时</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124.55  </w:t>
      </w:r>
      <w:r w:rsidRPr="005441F4">
        <w:rPr>
          <w:rFonts w:eastAsia="SimHei" w:hAnsi="SimHei"/>
          <w:lang w:val="en-GB"/>
        </w:rPr>
        <w:t>提高预防、调查和起诉一切形式袭击人权维护者、新闻工作者、律师和法官的成效，从而降低其发生率和解决这些犯罪的有罪不罚现象</w:t>
      </w:r>
      <w:r w:rsidRPr="005441F4">
        <w:rPr>
          <w:rFonts w:eastAsia="SimHei"/>
          <w:lang w:val="en-GB"/>
        </w:rPr>
        <w:t>(</w:t>
      </w:r>
      <w:r w:rsidRPr="005441F4">
        <w:rPr>
          <w:rFonts w:eastAsia="SimHei" w:hAnsi="SimHei"/>
          <w:lang w:val="en-GB"/>
        </w:rPr>
        <w:t>捷克共和国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124.56  </w:t>
      </w:r>
      <w:r w:rsidRPr="005441F4">
        <w:rPr>
          <w:rFonts w:eastAsia="SimHei" w:hAnsi="SimHei"/>
          <w:lang w:val="en-GB"/>
        </w:rPr>
        <w:t>确保通过并有效执行有关保护人权维护者、新闻工作者、社会宣传人员和司法官员的强有力法律，并确保对该法的影响进行定期评估</w:t>
      </w:r>
      <w:r w:rsidRPr="005441F4">
        <w:rPr>
          <w:rFonts w:eastAsia="SimHei"/>
          <w:lang w:val="en-GB"/>
        </w:rPr>
        <w:t>(</w:t>
      </w:r>
      <w:r w:rsidRPr="005441F4">
        <w:rPr>
          <w:rFonts w:eastAsia="SimHei" w:hAnsi="SimHei"/>
          <w:lang w:val="en-GB"/>
        </w:rPr>
        <w:t>捷克共和国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124.57  </w:t>
      </w:r>
      <w:r w:rsidRPr="005441F4">
        <w:rPr>
          <w:rFonts w:eastAsia="SimHei" w:hAnsi="SimHei"/>
          <w:lang w:val="en-GB"/>
        </w:rPr>
        <w:t>进一步推动非裔洪都拉斯人和土著社区参与公共领域</w:t>
      </w:r>
      <w:r w:rsidRPr="005441F4">
        <w:rPr>
          <w:rFonts w:eastAsia="SimHei"/>
          <w:lang w:val="en-GB"/>
        </w:rPr>
        <w:t>(</w:t>
      </w:r>
      <w:r w:rsidRPr="005441F4">
        <w:rPr>
          <w:rFonts w:eastAsia="SimHei" w:hAnsi="SimHei"/>
          <w:lang w:val="en-GB"/>
        </w:rPr>
        <w:t>塞拉利昂</w:t>
      </w:r>
      <w:r w:rsidRPr="005441F4">
        <w:rPr>
          <w:rFonts w:eastAsia="SimHei"/>
          <w:lang w:val="en-GB"/>
        </w:rPr>
        <w:t>)</w:t>
      </w:r>
      <w:r w:rsidRPr="005441F4">
        <w:rPr>
          <w:rFonts w:eastAsia="SimHei" w:hAnsi="SimHei"/>
          <w:lang w:val="en-GB"/>
        </w:rPr>
        <w:t>；加快社会经济政策，以使非裔洪都拉斯人能够积极参与经济、社会和政治领域</w:t>
      </w:r>
      <w:r w:rsidRPr="005441F4">
        <w:rPr>
          <w:rFonts w:eastAsia="SimHei"/>
          <w:lang w:val="en-GB"/>
        </w:rPr>
        <w:t>(</w:t>
      </w:r>
      <w:r w:rsidRPr="005441F4">
        <w:rPr>
          <w:rFonts w:eastAsia="SimHei" w:hAnsi="SimHei"/>
          <w:lang w:val="en-GB"/>
        </w:rPr>
        <w:t>安哥拉</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124.58  </w:t>
      </w:r>
      <w:r w:rsidRPr="005441F4">
        <w:rPr>
          <w:rFonts w:eastAsia="SimHei" w:hAnsi="SimHei"/>
          <w:lang w:val="en-GB"/>
        </w:rPr>
        <w:t>采取必要措施，以便让武装团伙的男童、女童和青少年受害者能够重新融入社会</w:t>
      </w:r>
      <w:r w:rsidRPr="005441F4">
        <w:rPr>
          <w:rFonts w:eastAsia="SimHei"/>
          <w:lang w:val="en-GB"/>
        </w:rPr>
        <w:t>(</w:t>
      </w:r>
      <w:r w:rsidRPr="005441F4">
        <w:rPr>
          <w:rFonts w:eastAsia="SimHei" w:hAnsi="SimHei"/>
          <w:lang w:val="en-GB"/>
        </w:rPr>
        <w:t>巴拉圭</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124.59  </w:t>
      </w:r>
      <w:r w:rsidRPr="005441F4">
        <w:rPr>
          <w:rFonts w:eastAsia="SimHei" w:hAnsi="SimHei"/>
          <w:lang w:val="en-GB"/>
        </w:rPr>
        <w:t>改善土著人民和非裔社区岌岌可危的境况</w:t>
      </w:r>
      <w:r w:rsidRPr="005441F4">
        <w:rPr>
          <w:rFonts w:eastAsia="SimHei"/>
          <w:lang w:val="en-GB"/>
        </w:rPr>
        <w:t>(</w:t>
      </w:r>
      <w:r w:rsidRPr="005441F4">
        <w:rPr>
          <w:rFonts w:eastAsia="SimHei" w:hAnsi="SimHei"/>
          <w:lang w:val="en-GB"/>
        </w:rPr>
        <w:t>爱沙尼亚</w:t>
      </w:r>
      <w:r w:rsidRPr="005441F4">
        <w:rPr>
          <w:rFonts w:eastAsia="SimHei"/>
          <w:lang w:val="en-GB"/>
        </w:rPr>
        <w:t>)</w:t>
      </w:r>
      <w:r w:rsidRPr="005441F4">
        <w:rPr>
          <w:rFonts w:eastAsia="SimHei" w:hAnsi="SimHei"/>
          <w:lang w:val="en-GB"/>
        </w:rPr>
        <w:t>。</w:t>
      </w:r>
    </w:p>
    <w:p w:rsidR="00A648CE" w:rsidRPr="005441F4" w:rsidRDefault="00A648CE" w:rsidP="00A648CE">
      <w:pPr>
        <w:pStyle w:val="SingleTxtGC"/>
        <w:rPr>
          <w:rFonts w:eastAsia="SimHei"/>
          <w:lang w:val="en-GB"/>
        </w:rPr>
      </w:pPr>
      <w:r w:rsidRPr="005441F4">
        <w:rPr>
          <w:rFonts w:eastAsia="SimHei"/>
          <w:iCs/>
          <w:lang w:val="en-GB"/>
        </w:rPr>
        <w:t xml:space="preserve">125.  </w:t>
      </w:r>
      <w:r w:rsidRPr="005441F4">
        <w:rPr>
          <w:rFonts w:eastAsia="SimHei" w:hAnsi="SimHei"/>
          <w:lang w:val="en-GB"/>
        </w:rPr>
        <w:t>以下建议获得洪都拉斯的支持，洪都拉斯认为这些建议已经落实或正在落实过程中：</w:t>
      </w:r>
    </w:p>
    <w:p w:rsidR="00A648CE" w:rsidRPr="005441F4" w:rsidRDefault="00A648CE" w:rsidP="009573AC">
      <w:pPr>
        <w:pStyle w:val="SingleTxtGC"/>
        <w:ind w:left="1718"/>
        <w:rPr>
          <w:rFonts w:eastAsia="SimHei"/>
          <w:lang w:val="en-GB"/>
        </w:rPr>
      </w:pPr>
      <w:r w:rsidRPr="005441F4">
        <w:rPr>
          <w:rFonts w:eastAsia="SimHei"/>
          <w:lang w:val="en-GB"/>
        </w:rPr>
        <w:t xml:space="preserve">125.1  </w:t>
      </w:r>
      <w:r w:rsidRPr="005441F4">
        <w:rPr>
          <w:rFonts w:eastAsia="SimHei" w:hAnsi="SimHei"/>
          <w:lang w:val="en-GB"/>
        </w:rPr>
        <w:t>充分修改其立法，使之与《国际刑事法院罗马规约》保持一致</w:t>
      </w:r>
      <w:r w:rsidRPr="005441F4">
        <w:rPr>
          <w:rFonts w:eastAsia="SimHei"/>
          <w:lang w:val="en-GB"/>
        </w:rPr>
        <w:t>(</w:t>
      </w:r>
      <w:r w:rsidRPr="005441F4">
        <w:rPr>
          <w:rFonts w:eastAsia="SimHei" w:hAnsi="SimHei"/>
          <w:lang w:val="en-GB"/>
        </w:rPr>
        <w:t>西班牙</w:t>
      </w:r>
      <w:r w:rsidRPr="005441F4">
        <w:rPr>
          <w:rFonts w:eastAsia="SimHei"/>
          <w:lang w:val="en-GB"/>
        </w:rPr>
        <w:t>)</w:t>
      </w:r>
      <w:r w:rsidRPr="005441F4">
        <w:rPr>
          <w:rFonts w:eastAsia="SimHei" w:hAnsi="SimHei"/>
          <w:lang w:val="en-GB"/>
        </w:rPr>
        <w:t>；使其国内立法与《国际刑事法院罗马规约》完全一致</w:t>
      </w:r>
      <w:r w:rsidRPr="005441F4">
        <w:rPr>
          <w:rFonts w:eastAsia="SimHei"/>
          <w:lang w:val="en-GB"/>
        </w:rPr>
        <w:t>(</w:t>
      </w:r>
      <w:r w:rsidRPr="005441F4">
        <w:rPr>
          <w:rFonts w:eastAsia="SimHei" w:hAnsi="SimHei"/>
          <w:lang w:val="en-GB"/>
        </w:rPr>
        <w:t>爱沙尼亚</w:t>
      </w:r>
      <w:r w:rsidRPr="005441F4">
        <w:rPr>
          <w:rFonts w:eastAsia="SimHei"/>
          <w:lang w:val="en-GB"/>
        </w:rPr>
        <w:t>)</w:t>
      </w:r>
      <w:r w:rsidRPr="005441F4">
        <w:rPr>
          <w:rFonts w:eastAsia="SimHei" w:hAnsi="SimHei"/>
          <w:lang w:val="en-GB"/>
        </w:rPr>
        <w:t>；在国内法律中充分实施《国际刑事法院罗马规约》</w:t>
      </w:r>
      <w:r w:rsidRPr="005441F4">
        <w:rPr>
          <w:rFonts w:eastAsia="SimHei"/>
          <w:lang w:val="en-GB"/>
        </w:rPr>
        <w:t>(</w:t>
      </w:r>
      <w:r w:rsidRPr="005441F4">
        <w:rPr>
          <w:rFonts w:eastAsia="SimHei" w:hAnsi="SimHei"/>
          <w:lang w:val="en-GB"/>
        </w:rPr>
        <w:t>葡萄牙</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  </w:t>
      </w:r>
      <w:r w:rsidRPr="005441F4">
        <w:rPr>
          <w:rFonts w:eastAsia="SimHei" w:hAnsi="SimHei"/>
          <w:lang w:val="en-GB"/>
        </w:rPr>
        <w:t>制定关于</w:t>
      </w:r>
      <w:r w:rsidRPr="005441F4">
        <w:rPr>
          <w:rFonts w:eastAsia="SimHei"/>
          <w:lang w:val="en-GB"/>
        </w:rPr>
        <w:t>(</w:t>
      </w:r>
      <w:r w:rsidRPr="005441F4">
        <w:rPr>
          <w:rFonts w:eastAsia="SimHei" w:hAnsi="SimHei"/>
          <w:lang w:val="en-GB"/>
        </w:rPr>
        <w:t>法官</w:t>
      </w:r>
      <w:r w:rsidRPr="005441F4">
        <w:rPr>
          <w:rFonts w:eastAsia="SimHei"/>
          <w:lang w:val="en-GB"/>
        </w:rPr>
        <w:t>)</w:t>
      </w:r>
      <w:r w:rsidRPr="005441F4">
        <w:rPr>
          <w:rFonts w:eastAsia="SimHei" w:hAnsi="SimHei"/>
          <w:lang w:val="en-GB"/>
        </w:rPr>
        <w:t>纪律程序的法律框架</w:t>
      </w:r>
      <w:r w:rsidRPr="005441F4">
        <w:rPr>
          <w:rFonts w:eastAsia="SimHei"/>
          <w:lang w:val="en-GB"/>
        </w:rPr>
        <w:t>(</w:t>
      </w:r>
      <w:r w:rsidRPr="005441F4">
        <w:rPr>
          <w:rFonts w:eastAsia="SimHei" w:hAnsi="SimHei"/>
          <w:lang w:val="en-GB"/>
        </w:rPr>
        <w:t>挪威</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  </w:t>
      </w:r>
      <w:r w:rsidRPr="005441F4">
        <w:rPr>
          <w:rFonts w:eastAsia="SimHei" w:hAnsi="SimHei"/>
          <w:lang w:val="en-GB"/>
        </w:rPr>
        <w:t>制定打击种族歧视法</w:t>
      </w:r>
      <w:r w:rsidRPr="005441F4">
        <w:rPr>
          <w:rFonts w:eastAsia="SimHei"/>
          <w:lang w:val="en-GB"/>
        </w:rPr>
        <w:t>(</w:t>
      </w:r>
      <w:r w:rsidRPr="005441F4">
        <w:rPr>
          <w:rFonts w:eastAsia="SimHei" w:hAnsi="SimHei"/>
          <w:lang w:val="en-GB"/>
        </w:rPr>
        <w:t>黎巴嫩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  </w:t>
      </w:r>
      <w:r w:rsidRPr="005441F4">
        <w:rPr>
          <w:rFonts w:eastAsia="SimHei" w:hAnsi="SimHei"/>
          <w:lang w:val="en-GB"/>
        </w:rPr>
        <w:t>继续努力修订司法领域内妇女和儿童权利的法律</w:t>
      </w:r>
      <w:r w:rsidRPr="005441F4">
        <w:rPr>
          <w:rFonts w:eastAsia="SimHei"/>
          <w:lang w:val="en-GB"/>
        </w:rPr>
        <w:t>(</w:t>
      </w:r>
      <w:r w:rsidRPr="005441F4">
        <w:rPr>
          <w:rFonts w:eastAsia="SimHei" w:hAnsi="SimHei"/>
          <w:lang w:val="en-GB"/>
        </w:rPr>
        <w:t>卡塔尔</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  </w:t>
      </w:r>
      <w:r w:rsidRPr="005441F4">
        <w:rPr>
          <w:rFonts w:eastAsia="SimHei" w:hAnsi="SimHei"/>
          <w:lang w:val="en-GB"/>
        </w:rPr>
        <w:t>通过有关保护表达自由和媒体自由的法律</w:t>
      </w:r>
      <w:r w:rsidRPr="005441F4">
        <w:rPr>
          <w:rFonts w:eastAsia="SimHei"/>
          <w:lang w:val="en-GB"/>
        </w:rPr>
        <w:t>(</w:t>
      </w:r>
      <w:r w:rsidRPr="005441F4">
        <w:rPr>
          <w:rFonts w:eastAsia="SimHei" w:hAnsi="SimHei"/>
          <w:lang w:val="en-GB"/>
        </w:rPr>
        <w:t>黎巴嫩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  </w:t>
      </w:r>
      <w:r w:rsidRPr="005441F4">
        <w:rPr>
          <w:rFonts w:eastAsia="SimHei" w:hAnsi="SimHei"/>
          <w:lang w:val="en-GB"/>
        </w:rPr>
        <w:t>加强当前与教育部门有关的立法进程</w:t>
      </w:r>
      <w:r w:rsidRPr="005441F4">
        <w:rPr>
          <w:rFonts w:eastAsia="SimHei"/>
          <w:lang w:val="en-GB"/>
        </w:rPr>
        <w:t>(</w:t>
      </w:r>
      <w:r w:rsidRPr="005441F4">
        <w:rPr>
          <w:rFonts w:eastAsia="SimHei" w:hAnsi="SimHei"/>
          <w:lang w:val="en-GB"/>
        </w:rPr>
        <w:t>赤道几内亚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  </w:t>
      </w:r>
      <w:r w:rsidRPr="005441F4">
        <w:rPr>
          <w:rFonts w:eastAsia="SimHei" w:hAnsi="SimHei"/>
          <w:lang w:val="en-GB"/>
        </w:rPr>
        <w:t>按照《巴黎原则》加强国家人权委员会</w:t>
      </w:r>
      <w:r w:rsidRPr="005441F4">
        <w:rPr>
          <w:rFonts w:eastAsia="SimHei"/>
          <w:lang w:val="en-GB"/>
        </w:rPr>
        <w:t>(</w:t>
      </w:r>
      <w:r w:rsidRPr="005441F4">
        <w:rPr>
          <w:rFonts w:eastAsia="SimHei" w:hAnsi="SimHei"/>
          <w:lang w:val="en-GB"/>
        </w:rPr>
        <w:t>危地马拉</w:t>
      </w:r>
      <w:r w:rsidRPr="005441F4">
        <w:rPr>
          <w:rFonts w:eastAsia="SimHei"/>
          <w:lang w:val="en-GB"/>
        </w:rPr>
        <w:t>)</w:t>
      </w:r>
      <w:r w:rsidRPr="005441F4">
        <w:rPr>
          <w:rFonts w:eastAsia="SimHei" w:hAnsi="SimHei"/>
          <w:lang w:val="en-GB"/>
        </w:rPr>
        <w:t>；继续努力确保按照《巴黎原则》加强国家人权委员会</w:t>
      </w:r>
      <w:r w:rsidRPr="005441F4">
        <w:rPr>
          <w:rFonts w:eastAsia="SimHei"/>
          <w:lang w:val="en-GB"/>
        </w:rPr>
        <w:t>(</w:t>
      </w:r>
      <w:r w:rsidRPr="005441F4">
        <w:rPr>
          <w:rFonts w:eastAsia="SimHei" w:hAnsi="SimHei"/>
          <w:lang w:val="en-GB"/>
        </w:rPr>
        <w:t>印度尼西亚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125.8  </w:t>
      </w:r>
      <w:r w:rsidRPr="005441F4">
        <w:rPr>
          <w:rFonts w:eastAsia="SimHei" w:hAnsi="SimHei"/>
          <w:lang w:val="en-GB"/>
        </w:rPr>
        <w:t>采取具体行动，执行《人权公共政策和国家行动计划》，并确保消除一切形式歧视非裔和其他少数族裔群体的行为</w:t>
      </w:r>
      <w:r w:rsidRPr="005441F4">
        <w:rPr>
          <w:rFonts w:eastAsia="SimHei"/>
          <w:lang w:val="en-GB"/>
        </w:rPr>
        <w:t>(</w:t>
      </w:r>
      <w:r w:rsidRPr="005441F4">
        <w:rPr>
          <w:rFonts w:eastAsia="SimHei" w:hAnsi="SimHei"/>
          <w:lang w:val="en-GB"/>
        </w:rPr>
        <w:t>纳米比亚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125.9  </w:t>
      </w:r>
      <w:r w:rsidRPr="005441F4">
        <w:rPr>
          <w:rFonts w:eastAsia="SimHei" w:hAnsi="SimHei"/>
          <w:lang w:val="en-GB"/>
        </w:rPr>
        <w:t>采取具体措施，执行《人权公共政策和国家行动计划》，包括安排必要的供资</w:t>
      </w:r>
      <w:r w:rsidRPr="005441F4">
        <w:rPr>
          <w:rFonts w:eastAsia="SimHei"/>
          <w:lang w:val="en-GB"/>
        </w:rPr>
        <w:t>(</w:t>
      </w:r>
      <w:r w:rsidRPr="005441F4">
        <w:rPr>
          <w:rFonts w:eastAsia="SimHei" w:hAnsi="SimHei"/>
          <w:lang w:val="en-GB"/>
        </w:rPr>
        <w:t>挪威</w:t>
      </w:r>
      <w:r w:rsidRPr="005441F4">
        <w:rPr>
          <w:rFonts w:eastAsia="SimHei"/>
          <w:lang w:val="en-GB"/>
        </w:rPr>
        <w:t>)</w:t>
      </w:r>
      <w:r w:rsidRPr="005441F4">
        <w:rPr>
          <w:rFonts w:eastAsia="SimHei" w:hAnsi="SimHei"/>
          <w:lang w:val="en-GB"/>
        </w:rPr>
        <w:t>；采取一切必要措施，落实《人权公共政策和国家行动计划》</w:t>
      </w:r>
      <w:r w:rsidRPr="005441F4">
        <w:rPr>
          <w:rFonts w:eastAsia="SimHei"/>
          <w:lang w:val="en-GB"/>
        </w:rPr>
        <w:t>(</w:t>
      </w:r>
      <w:r w:rsidRPr="005441F4">
        <w:rPr>
          <w:rFonts w:eastAsia="SimHei" w:hAnsi="SimHei"/>
          <w:lang w:val="en-GB"/>
        </w:rPr>
        <w:t>乌拉圭</w:t>
      </w:r>
      <w:r w:rsidRPr="005441F4">
        <w:rPr>
          <w:rFonts w:eastAsia="SimHei"/>
          <w:lang w:val="en-GB"/>
        </w:rPr>
        <w:t>)</w:t>
      </w:r>
      <w:r w:rsidRPr="005441F4">
        <w:rPr>
          <w:rFonts w:eastAsia="SimHei" w:hAnsi="SimHei"/>
          <w:lang w:val="en-GB"/>
        </w:rPr>
        <w:t>；寻求执行《公共政策》和《</w:t>
      </w:r>
      <w:r w:rsidRPr="005441F4">
        <w:rPr>
          <w:rFonts w:eastAsia="SimHei"/>
          <w:lang w:val="en-GB"/>
        </w:rPr>
        <w:t>2013-2022</w:t>
      </w:r>
      <w:r w:rsidRPr="005441F4">
        <w:rPr>
          <w:rFonts w:eastAsia="SimHei" w:hAnsi="SimHei"/>
          <w:lang w:val="en-GB"/>
        </w:rPr>
        <w:t>年国家人权行动计划》</w:t>
      </w:r>
      <w:r w:rsidRPr="005441F4">
        <w:rPr>
          <w:rFonts w:eastAsia="SimHei"/>
          <w:lang w:val="en-GB"/>
        </w:rPr>
        <w:t>(</w:t>
      </w:r>
      <w:r w:rsidRPr="005441F4">
        <w:rPr>
          <w:rFonts w:eastAsia="SimHei" w:hAnsi="SimHei"/>
          <w:lang w:val="en-GB"/>
        </w:rPr>
        <w:t>阿尔及利亚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125.10  </w:t>
      </w:r>
      <w:r w:rsidRPr="005441F4">
        <w:rPr>
          <w:rFonts w:eastAsia="SimHei" w:hAnsi="SimHei"/>
          <w:lang w:val="en-GB"/>
        </w:rPr>
        <w:t>让民间社会更积极参与制定国家人权政策、战略和行动计划</w:t>
      </w:r>
      <w:r w:rsidRPr="005441F4">
        <w:rPr>
          <w:rFonts w:eastAsia="SimHei"/>
          <w:lang w:val="en-GB"/>
        </w:rPr>
        <w:t>(</w:t>
      </w:r>
      <w:r w:rsidRPr="005441F4">
        <w:rPr>
          <w:rFonts w:eastAsia="SimHei" w:hAnsi="SimHei"/>
          <w:lang w:val="en-GB"/>
        </w:rPr>
        <w:t>德国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125.11  </w:t>
      </w:r>
      <w:r w:rsidRPr="005441F4">
        <w:rPr>
          <w:rFonts w:eastAsia="SimHei" w:hAnsi="SimHei"/>
          <w:lang w:val="en-GB"/>
        </w:rPr>
        <w:t>继续有效实施各项措施，以打击基于性取向和性别身份而实施的歧视和暴力行为，尤其是通过执行分列办法，以保障女同性恋、男同性恋、双性恋、变性人和双性人享有各项权利</w:t>
      </w:r>
      <w:r w:rsidRPr="005441F4">
        <w:rPr>
          <w:rFonts w:eastAsia="SimHei"/>
          <w:lang w:val="en-GB"/>
        </w:rPr>
        <w:t>(</w:t>
      </w:r>
      <w:r w:rsidRPr="005441F4">
        <w:rPr>
          <w:rFonts w:eastAsia="SimHei" w:hAnsi="SimHei"/>
          <w:lang w:val="en-GB"/>
        </w:rPr>
        <w:t>哥伦比亚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125.12  </w:t>
      </w:r>
      <w:r w:rsidRPr="005441F4">
        <w:rPr>
          <w:rFonts w:eastAsia="SimHei" w:hAnsi="SimHei"/>
          <w:lang w:val="en-GB"/>
        </w:rPr>
        <w:t>继续努力解决与性别相关的杀害妇女和女童问题</w:t>
      </w:r>
      <w:r w:rsidRPr="005441F4">
        <w:rPr>
          <w:rFonts w:eastAsia="SimHei"/>
          <w:lang w:val="en-GB"/>
        </w:rPr>
        <w:t>(</w:t>
      </w:r>
      <w:r w:rsidRPr="005441F4">
        <w:rPr>
          <w:rFonts w:eastAsia="SimHei" w:hAnsi="SimHei"/>
          <w:lang w:val="en-GB"/>
        </w:rPr>
        <w:t>卢旺达</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125.13  </w:t>
      </w:r>
      <w:r w:rsidRPr="005441F4">
        <w:rPr>
          <w:rFonts w:eastAsia="SimHei" w:hAnsi="SimHei"/>
          <w:lang w:val="en-GB"/>
        </w:rPr>
        <w:t>加强旨在消除针对妇女实施的家庭暴力的规范标准和措施</w:t>
      </w:r>
      <w:r w:rsidRPr="005441F4">
        <w:rPr>
          <w:rFonts w:eastAsia="SimHei"/>
          <w:lang w:val="en-GB"/>
        </w:rPr>
        <w:t>(</w:t>
      </w:r>
      <w:r w:rsidRPr="005441F4">
        <w:rPr>
          <w:rFonts w:eastAsia="SimHei" w:hAnsi="SimHei"/>
          <w:lang w:val="en-GB"/>
        </w:rPr>
        <w:t>塞拉利昂</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125.14  </w:t>
      </w:r>
      <w:r w:rsidRPr="005441F4">
        <w:rPr>
          <w:rFonts w:eastAsia="SimHei" w:hAnsi="SimHei"/>
          <w:lang w:val="en-GB"/>
        </w:rPr>
        <w:t>继续加强立法和政策措施以打击暴力侵害妇女行为</w:t>
      </w:r>
      <w:r w:rsidRPr="005441F4">
        <w:rPr>
          <w:rFonts w:eastAsia="SimHei"/>
          <w:lang w:val="en-GB"/>
        </w:rPr>
        <w:t>(</w:t>
      </w:r>
      <w:r w:rsidRPr="005441F4">
        <w:rPr>
          <w:rFonts w:eastAsia="SimHei" w:hAnsi="SimHei"/>
          <w:lang w:val="en-GB"/>
        </w:rPr>
        <w:t>新加坡</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125.15  </w:t>
      </w:r>
      <w:r w:rsidRPr="005441F4">
        <w:rPr>
          <w:rFonts w:eastAsia="SimHei" w:hAnsi="SimHei"/>
          <w:lang w:val="en-GB"/>
        </w:rPr>
        <w:t>继续努力减少暴力侵害儿童和青年行为</w:t>
      </w:r>
      <w:r w:rsidRPr="005441F4">
        <w:rPr>
          <w:rFonts w:eastAsia="SimHei"/>
          <w:lang w:val="en-GB"/>
        </w:rPr>
        <w:t>(</w:t>
      </w:r>
      <w:r w:rsidRPr="005441F4">
        <w:rPr>
          <w:rFonts w:eastAsia="SimHei" w:hAnsi="SimHei"/>
          <w:lang w:val="en-GB"/>
        </w:rPr>
        <w:t>卢旺达</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125.16  </w:t>
      </w:r>
      <w:r w:rsidRPr="005441F4">
        <w:rPr>
          <w:rFonts w:eastAsia="SimHei" w:hAnsi="SimHei"/>
          <w:lang w:val="en-GB"/>
        </w:rPr>
        <w:t>继续推进减少暴力侵害儿童和青年的政策</w:t>
      </w:r>
      <w:r w:rsidRPr="005441F4">
        <w:rPr>
          <w:rFonts w:eastAsia="SimHei"/>
          <w:lang w:val="en-GB"/>
        </w:rPr>
        <w:t>(</w:t>
      </w:r>
      <w:r w:rsidRPr="005441F4">
        <w:rPr>
          <w:rFonts w:eastAsia="SimHei" w:hAnsi="SimHei"/>
          <w:lang w:val="en-GB"/>
        </w:rPr>
        <w:t>阿尔及利亚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125.17  </w:t>
      </w:r>
      <w:r w:rsidRPr="005441F4">
        <w:rPr>
          <w:rFonts w:eastAsia="SimHei" w:hAnsi="SimHei"/>
          <w:lang w:val="en-GB"/>
        </w:rPr>
        <w:t>为儿童，尤其是为孤身未成年人提供全面保护，解决其移徙过程引起的以及对其剥削引起的问题，还为儿童提供可以获得赔偿的途径</w:t>
      </w:r>
      <w:r w:rsidRPr="005441F4">
        <w:rPr>
          <w:rFonts w:eastAsia="SimHei"/>
          <w:lang w:val="en-GB"/>
        </w:rPr>
        <w:t>(</w:t>
      </w:r>
      <w:r w:rsidRPr="005441F4">
        <w:rPr>
          <w:rFonts w:eastAsia="SimHei" w:hAnsi="SimHei"/>
          <w:lang w:val="en-GB"/>
        </w:rPr>
        <w:t>教廷</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125.18  </w:t>
      </w:r>
      <w:r w:rsidRPr="005441F4">
        <w:rPr>
          <w:rFonts w:eastAsia="SimHei" w:hAnsi="SimHei"/>
          <w:lang w:val="en-GB"/>
        </w:rPr>
        <w:t>采取更多措施，预防穷人和边缘化儿童过早进入劳动力市场，并为儿童提供激励措施，鼓励他们上学</w:t>
      </w:r>
      <w:r w:rsidRPr="005441F4">
        <w:rPr>
          <w:rFonts w:eastAsia="SimHei"/>
          <w:lang w:val="en-GB"/>
        </w:rPr>
        <w:t>(</w:t>
      </w:r>
      <w:r w:rsidRPr="005441F4">
        <w:rPr>
          <w:rFonts w:eastAsia="SimHei" w:hAnsi="SimHei"/>
          <w:lang w:val="en-GB"/>
        </w:rPr>
        <w:t>泰国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125.19  </w:t>
      </w:r>
      <w:r w:rsidRPr="005441F4">
        <w:rPr>
          <w:rFonts w:eastAsia="SimHei" w:hAnsi="SimHei"/>
          <w:lang w:val="en-GB"/>
        </w:rPr>
        <w:t>采取进一步措施，保护生活在国外的洪都拉斯人，尤其是在儿童保护方面，并为遭到遣返的移徙男童、女童和孤身青少年提供全面保护</w:t>
      </w:r>
      <w:r w:rsidRPr="005441F4">
        <w:rPr>
          <w:rFonts w:eastAsia="SimHei"/>
          <w:lang w:val="en-GB"/>
        </w:rPr>
        <w:t>(</w:t>
      </w:r>
      <w:r w:rsidRPr="005441F4">
        <w:rPr>
          <w:rFonts w:eastAsia="SimHei" w:hAnsi="SimHei"/>
          <w:lang w:val="en-GB"/>
        </w:rPr>
        <w:t>乌拉圭</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125.20  </w:t>
      </w:r>
      <w:r w:rsidRPr="005441F4">
        <w:rPr>
          <w:rFonts w:eastAsia="SimHei" w:hAnsi="SimHei"/>
          <w:lang w:val="en-GB"/>
        </w:rPr>
        <w:t>采取措施增强青年权能，尤其是通过教育办法，目的是防止他们加入犯罪和跨国帮派；并确保他们康复和重新融入社会</w:t>
      </w:r>
      <w:r w:rsidRPr="005441F4">
        <w:rPr>
          <w:rFonts w:eastAsia="SimHei"/>
          <w:lang w:val="en-GB"/>
        </w:rPr>
        <w:t>(</w:t>
      </w:r>
      <w:r w:rsidRPr="005441F4">
        <w:rPr>
          <w:rFonts w:eastAsia="SimHei" w:hAnsi="SimHei"/>
          <w:lang w:val="en-GB"/>
        </w:rPr>
        <w:t>哥伦比亚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125.21  </w:t>
      </w:r>
      <w:r w:rsidRPr="005441F4">
        <w:rPr>
          <w:rFonts w:eastAsia="SimHei" w:hAnsi="SimHei"/>
          <w:lang w:val="en-GB"/>
        </w:rPr>
        <w:t>跟进为加强对儿童权利的保护所采取的举措</w:t>
      </w:r>
      <w:r w:rsidRPr="005441F4">
        <w:rPr>
          <w:rFonts w:eastAsia="SimHei"/>
          <w:lang w:val="en-GB"/>
        </w:rPr>
        <w:t>(</w:t>
      </w:r>
      <w:r w:rsidRPr="005441F4">
        <w:rPr>
          <w:rFonts w:eastAsia="SimHei" w:hAnsi="SimHei"/>
          <w:lang w:val="en-GB"/>
        </w:rPr>
        <w:t>赤道几内亚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125.22  </w:t>
      </w:r>
      <w:r w:rsidRPr="005441F4">
        <w:rPr>
          <w:rFonts w:eastAsia="SimHei" w:hAnsi="SimHei"/>
          <w:lang w:val="en-GB"/>
        </w:rPr>
        <w:t>采取措施打击贩运人口，尤其是贩运妇女和儿童行为</w:t>
      </w:r>
      <w:r w:rsidRPr="005441F4">
        <w:rPr>
          <w:rFonts w:eastAsia="SimHei"/>
          <w:lang w:val="en-GB"/>
        </w:rPr>
        <w:t>(</w:t>
      </w:r>
      <w:r w:rsidRPr="005441F4">
        <w:rPr>
          <w:rFonts w:eastAsia="SimHei" w:hAnsi="SimHei"/>
          <w:lang w:val="en-GB"/>
        </w:rPr>
        <w:t>罗马尼亚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125.23  </w:t>
      </w:r>
      <w:r w:rsidRPr="005441F4">
        <w:rPr>
          <w:rFonts w:eastAsia="SimHei" w:hAnsi="SimHei"/>
          <w:lang w:val="en-GB"/>
        </w:rPr>
        <w:t>继续努力打击贩运人口和非法贩毒行为</w:t>
      </w:r>
      <w:r w:rsidRPr="005441F4">
        <w:rPr>
          <w:rFonts w:eastAsia="SimHei"/>
          <w:lang w:val="en-GB"/>
        </w:rPr>
        <w:t>(</w:t>
      </w:r>
      <w:r w:rsidRPr="005441F4">
        <w:rPr>
          <w:rFonts w:eastAsia="SimHei" w:hAnsi="SimHei"/>
          <w:lang w:val="en-GB"/>
        </w:rPr>
        <w:t>俄罗斯联邦</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125.24  </w:t>
      </w:r>
      <w:r w:rsidRPr="005441F4">
        <w:rPr>
          <w:rFonts w:eastAsia="SimHei" w:hAnsi="SimHei"/>
          <w:lang w:val="en-GB"/>
        </w:rPr>
        <w:t>对司法进行全面审查和结构性改革，目的是确保司法独立性和减少有罪不罚案件数量</w:t>
      </w:r>
      <w:r w:rsidRPr="005441F4">
        <w:rPr>
          <w:rFonts w:eastAsia="SimHei"/>
          <w:lang w:val="en-GB"/>
        </w:rPr>
        <w:t>(</w:t>
      </w:r>
      <w:r w:rsidRPr="005441F4">
        <w:rPr>
          <w:rFonts w:eastAsia="SimHei" w:hAnsi="SimHei"/>
          <w:lang w:val="en-GB"/>
        </w:rPr>
        <w:t>瑞典</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125.25  </w:t>
      </w:r>
      <w:r w:rsidRPr="005441F4">
        <w:rPr>
          <w:rFonts w:eastAsia="SimHei" w:hAnsi="SimHei"/>
          <w:lang w:val="en-GB"/>
        </w:rPr>
        <w:t>确保检察院和司法机关等人权机构拥有必要的财力和人力并接受人权培训，从而保障其独立性和公正性，这样它们才能有效开展工作</w:t>
      </w:r>
      <w:r w:rsidRPr="005441F4">
        <w:rPr>
          <w:rFonts w:eastAsia="SimHei"/>
          <w:lang w:val="en-GB"/>
        </w:rPr>
        <w:t>(</w:t>
      </w:r>
      <w:r w:rsidRPr="005441F4">
        <w:rPr>
          <w:rFonts w:eastAsia="SimHei" w:hAnsi="SimHei"/>
          <w:lang w:val="en-GB"/>
        </w:rPr>
        <w:t>大不列颠及北爱尔兰联合王国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125.26  </w:t>
      </w:r>
      <w:r w:rsidRPr="005441F4">
        <w:rPr>
          <w:rFonts w:eastAsia="SimHei" w:hAnsi="SimHei"/>
          <w:lang w:val="en-GB"/>
        </w:rPr>
        <w:t>继续加强政府有效调查和起诉所有犯罪，包括违反劳动法情况的能力</w:t>
      </w:r>
      <w:r w:rsidRPr="005441F4">
        <w:rPr>
          <w:rFonts w:eastAsia="SimHei"/>
          <w:lang w:val="en-GB"/>
        </w:rPr>
        <w:t>(</w:t>
      </w:r>
      <w:r w:rsidRPr="005441F4">
        <w:rPr>
          <w:rFonts w:eastAsia="SimHei" w:hAnsi="SimHei"/>
          <w:lang w:val="en-GB"/>
        </w:rPr>
        <w:t>美利坚合众国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125.27  </w:t>
      </w:r>
      <w:r w:rsidRPr="005441F4">
        <w:rPr>
          <w:rFonts w:eastAsia="SimHei" w:hAnsi="SimHei"/>
          <w:lang w:val="en-GB"/>
        </w:rPr>
        <w:t>继续加强已推出的司法和行政措施，以确保有效调查和惩处暴力行为责任人，尤其是那些针对暴力侵害人权维护者的人员</w:t>
      </w:r>
      <w:r w:rsidRPr="005441F4">
        <w:rPr>
          <w:rFonts w:eastAsia="SimHei"/>
          <w:lang w:val="en-GB"/>
        </w:rPr>
        <w:t>(</w:t>
      </w:r>
      <w:r w:rsidRPr="005441F4">
        <w:rPr>
          <w:rFonts w:eastAsia="SimHei" w:hAnsi="SimHei"/>
          <w:lang w:val="en-GB"/>
        </w:rPr>
        <w:t>阿根廷</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125.28  </w:t>
      </w:r>
      <w:r w:rsidRPr="005441F4">
        <w:rPr>
          <w:rFonts w:eastAsia="SimHei" w:hAnsi="SimHei"/>
          <w:lang w:val="en-GB"/>
        </w:rPr>
        <w:t>提高国家安全部队和私营企业人员对一切酷刑和虐待行为进行调查和起诉的能力和成效，加强酷刑和虐待受害者可获得的法律保障</w:t>
      </w:r>
      <w:r w:rsidRPr="005441F4">
        <w:rPr>
          <w:rFonts w:eastAsia="SimHei"/>
          <w:lang w:val="en-GB"/>
        </w:rPr>
        <w:t>(</w:t>
      </w:r>
      <w:r w:rsidRPr="005441F4">
        <w:rPr>
          <w:rFonts w:eastAsia="SimHei" w:hAnsi="SimHei"/>
          <w:lang w:val="en-GB"/>
        </w:rPr>
        <w:t>捷克共和国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125.29  </w:t>
      </w:r>
      <w:r w:rsidRPr="005441F4">
        <w:rPr>
          <w:rFonts w:eastAsia="SimHei" w:hAnsi="SimHei"/>
          <w:lang w:val="en-GB"/>
        </w:rPr>
        <w:t>加强努力，改革司法和安全部门，目的是打击腐败和加强司法机关的独立性，包括通过促进刑事司法机构的有效监督和纪律管理以及提供充足财政和人力资源</w:t>
      </w:r>
      <w:r w:rsidRPr="005441F4">
        <w:rPr>
          <w:rFonts w:eastAsia="SimHei"/>
          <w:lang w:val="en-GB"/>
        </w:rPr>
        <w:t>(</w:t>
      </w:r>
      <w:r w:rsidRPr="005441F4">
        <w:rPr>
          <w:rFonts w:eastAsia="SimHei" w:hAnsi="SimHei"/>
          <w:lang w:val="en-GB"/>
        </w:rPr>
        <w:t>德国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125.30  </w:t>
      </w:r>
      <w:r w:rsidRPr="005441F4">
        <w:rPr>
          <w:rFonts w:eastAsia="SimHei" w:hAnsi="SimHei"/>
          <w:lang w:val="en-GB"/>
        </w:rPr>
        <w:t>加强和保障司法机关的自主性、独立性和公正性，包括通过采取保障措施以防止违规解雇和聘用法官</w:t>
      </w:r>
      <w:r w:rsidRPr="005441F4">
        <w:rPr>
          <w:rFonts w:eastAsia="SimHei"/>
          <w:lang w:val="en-GB"/>
        </w:rPr>
        <w:t>(</w:t>
      </w:r>
      <w:r w:rsidRPr="005441F4">
        <w:rPr>
          <w:rFonts w:eastAsia="SimHei" w:hAnsi="SimHei"/>
          <w:lang w:val="en-GB"/>
        </w:rPr>
        <w:t>意大利</w:t>
      </w:r>
      <w:r w:rsidRPr="005441F4">
        <w:rPr>
          <w:rFonts w:eastAsia="SimHei"/>
          <w:lang w:val="en-GB"/>
        </w:rPr>
        <w:t>)</w:t>
      </w:r>
      <w:r w:rsidRPr="005441F4">
        <w:rPr>
          <w:rFonts w:eastAsia="SimHei" w:hAnsi="SimHei"/>
          <w:lang w:val="en-GB"/>
        </w:rPr>
        <w:t>；采取措施加强和保障司法机关的自主性、独立性和公正性，包括采取透明和公平的程序任命和解雇司法官员</w:t>
      </w:r>
      <w:r w:rsidRPr="005441F4">
        <w:rPr>
          <w:rFonts w:eastAsia="SimHei"/>
          <w:lang w:val="en-GB"/>
        </w:rPr>
        <w:t>(</w:t>
      </w:r>
      <w:r w:rsidRPr="005441F4">
        <w:rPr>
          <w:rFonts w:eastAsia="SimHei" w:hAnsi="SimHei"/>
          <w:lang w:val="en-GB"/>
        </w:rPr>
        <w:t>纳米比亚</w:t>
      </w:r>
      <w:r w:rsidRPr="005441F4">
        <w:rPr>
          <w:rFonts w:eastAsia="SimHei"/>
          <w:lang w:val="en-GB"/>
        </w:rPr>
        <w:t>)</w:t>
      </w:r>
      <w:r w:rsidRPr="005441F4">
        <w:rPr>
          <w:rFonts w:eastAsia="SimHei" w:hAnsi="SimHei"/>
          <w:lang w:val="en-GB"/>
        </w:rPr>
        <w:t>；采取有效措施加强和保障司法机关的独立性和公正性，包括通过采取保障措施以防止违规解雇和任命</w:t>
      </w:r>
      <w:r w:rsidRPr="005441F4">
        <w:rPr>
          <w:rFonts w:eastAsia="SimHei"/>
          <w:lang w:val="en-GB"/>
        </w:rPr>
        <w:t>(</w:t>
      </w:r>
      <w:r w:rsidRPr="005441F4">
        <w:rPr>
          <w:rFonts w:eastAsia="SimHei" w:hAnsi="SimHei"/>
          <w:lang w:val="en-GB"/>
        </w:rPr>
        <w:t>挪威</w:t>
      </w:r>
      <w:r w:rsidRPr="005441F4">
        <w:rPr>
          <w:rFonts w:eastAsia="SimHei"/>
          <w:lang w:val="en-GB"/>
        </w:rPr>
        <w:t>)</w:t>
      </w:r>
      <w:r w:rsidRPr="005441F4">
        <w:rPr>
          <w:rFonts w:eastAsia="SimHei" w:hAnsi="SimHei"/>
          <w:lang w:val="en-GB"/>
        </w:rPr>
        <w:t>；采取措施保障司法机关的独立性</w:t>
      </w:r>
      <w:r w:rsidRPr="005441F4">
        <w:rPr>
          <w:rFonts w:eastAsia="SimHei"/>
          <w:lang w:val="en-GB"/>
        </w:rPr>
        <w:t>(</w:t>
      </w:r>
      <w:r w:rsidRPr="005441F4">
        <w:rPr>
          <w:rFonts w:eastAsia="SimHei" w:hAnsi="SimHei"/>
          <w:lang w:val="en-GB"/>
        </w:rPr>
        <w:t>罗马尼亚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125.31  </w:t>
      </w:r>
      <w:r w:rsidRPr="005441F4">
        <w:rPr>
          <w:rFonts w:eastAsia="SimHei" w:hAnsi="SimHei"/>
          <w:lang w:val="en-GB"/>
        </w:rPr>
        <w:t>加强和保障司法机关的独立性和公正性，办法是执行宪法规定的最高法院法官遴选程序，采取保障措施防止违规解雇和任命，并采取更多反腐败措施</w:t>
      </w:r>
      <w:r w:rsidRPr="005441F4">
        <w:rPr>
          <w:rFonts w:eastAsia="SimHei"/>
          <w:lang w:val="en-GB"/>
        </w:rPr>
        <w:t>(</w:t>
      </w:r>
      <w:r w:rsidRPr="005441F4">
        <w:rPr>
          <w:rFonts w:eastAsia="SimHei" w:hAnsi="SimHei"/>
          <w:lang w:val="en-GB"/>
        </w:rPr>
        <w:t>加拿大</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125.32  </w:t>
      </w:r>
      <w:r w:rsidRPr="005441F4">
        <w:rPr>
          <w:rFonts w:eastAsia="SimHei" w:hAnsi="SimHei"/>
          <w:lang w:val="en-GB"/>
        </w:rPr>
        <w:t>加强司法机关的独立性和透明度，加快努力打击有罪不罚现象，特别是通过建立法官择优遴选和任命制度，并防止对其工作进行政治和其他干预，包括任意解雇行为</w:t>
      </w:r>
      <w:r w:rsidRPr="005441F4">
        <w:rPr>
          <w:rFonts w:eastAsia="SimHei"/>
          <w:lang w:val="en-GB"/>
        </w:rPr>
        <w:t>(</w:t>
      </w:r>
      <w:r w:rsidRPr="005441F4">
        <w:rPr>
          <w:rFonts w:eastAsia="SimHei" w:hAnsi="SimHei"/>
          <w:lang w:val="en-GB"/>
        </w:rPr>
        <w:t>捷克共和国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125.33  </w:t>
      </w:r>
      <w:r w:rsidRPr="005441F4">
        <w:rPr>
          <w:rFonts w:eastAsia="SimHei" w:hAnsi="SimHei"/>
          <w:lang w:val="en-GB"/>
        </w:rPr>
        <w:t>继续努力为那些成为受害者和证人保护方案一部分的妇女提供适当保护</w:t>
      </w:r>
      <w:r w:rsidRPr="005441F4">
        <w:rPr>
          <w:rFonts w:eastAsia="SimHei"/>
          <w:lang w:val="en-GB"/>
        </w:rPr>
        <w:t>(</w:t>
      </w:r>
      <w:r w:rsidRPr="005441F4">
        <w:rPr>
          <w:rFonts w:eastAsia="SimHei" w:hAnsi="SimHei"/>
          <w:lang w:val="en-GB"/>
        </w:rPr>
        <w:t>厄瓜多尔</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125.34  </w:t>
      </w:r>
      <w:r w:rsidRPr="005441F4">
        <w:rPr>
          <w:rFonts w:eastAsia="SimHei" w:hAnsi="SimHei"/>
          <w:lang w:val="en-GB"/>
        </w:rPr>
        <w:t>采取果断措施打击犯罪有罪不罚现象</w:t>
      </w:r>
      <w:r w:rsidRPr="005441F4">
        <w:rPr>
          <w:rFonts w:eastAsia="SimHei"/>
          <w:lang w:val="en-GB"/>
        </w:rPr>
        <w:t>(</w:t>
      </w:r>
      <w:r w:rsidRPr="005441F4">
        <w:rPr>
          <w:rFonts w:eastAsia="SimHei" w:hAnsi="SimHei"/>
          <w:lang w:val="en-GB"/>
        </w:rPr>
        <w:t>爱沙尼亚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125.35  </w:t>
      </w:r>
      <w:r w:rsidRPr="005441F4">
        <w:rPr>
          <w:rFonts w:eastAsia="SimHei" w:hAnsi="SimHei"/>
          <w:lang w:val="en-GB"/>
        </w:rPr>
        <w:t>加强负责调查犯罪和执行刑事司法的公共机构，特别是在涉及贩毒和贩运人口的有组织犯罪活动领域，从而创造更加稳定与和平的社会环境</w:t>
      </w:r>
      <w:r w:rsidRPr="005441F4">
        <w:rPr>
          <w:rFonts w:eastAsia="SimHei"/>
          <w:lang w:val="en-GB"/>
        </w:rPr>
        <w:t>(</w:t>
      </w:r>
      <w:r w:rsidRPr="005441F4">
        <w:rPr>
          <w:rFonts w:eastAsia="SimHei" w:hAnsi="SimHei"/>
          <w:lang w:val="en-GB"/>
        </w:rPr>
        <w:t>教廷</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125.36  </w:t>
      </w:r>
      <w:r w:rsidRPr="005441F4">
        <w:rPr>
          <w:rFonts w:eastAsia="SimHei" w:hAnsi="SimHei"/>
          <w:lang w:val="en-GB"/>
        </w:rPr>
        <w:t>考虑到国内持续存在的暴力行为频发现象，加大努力打击犯罪和解决有罪不罚现象，目的是确保其公民的生命权、自由权和安全权</w:t>
      </w:r>
      <w:r w:rsidRPr="005441F4">
        <w:rPr>
          <w:rFonts w:eastAsia="SimHei"/>
          <w:lang w:val="en-GB"/>
        </w:rPr>
        <w:t>(</w:t>
      </w:r>
      <w:r w:rsidRPr="005441F4">
        <w:rPr>
          <w:rFonts w:eastAsia="SimHei" w:hAnsi="SimHei"/>
          <w:lang w:val="en-GB"/>
        </w:rPr>
        <w:t>大韩民国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125.37  </w:t>
      </w:r>
      <w:r w:rsidRPr="005441F4">
        <w:rPr>
          <w:rFonts w:eastAsia="SimHei" w:hAnsi="SimHei"/>
          <w:lang w:val="en-GB"/>
        </w:rPr>
        <w:t>采取一切必要措施确保有效执行《刑法》，确保对杀害女性犯罪进行处罚</w:t>
      </w:r>
      <w:r w:rsidRPr="005441F4">
        <w:rPr>
          <w:rFonts w:eastAsia="SimHei"/>
          <w:lang w:val="en-GB"/>
        </w:rPr>
        <w:t>(</w:t>
      </w:r>
      <w:r w:rsidRPr="005441F4">
        <w:rPr>
          <w:rFonts w:eastAsia="SimHei" w:hAnsi="SimHei"/>
          <w:lang w:val="en-GB"/>
        </w:rPr>
        <w:t>斯洛文尼亚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125.38  </w:t>
      </w:r>
      <w:r w:rsidRPr="005441F4">
        <w:rPr>
          <w:rFonts w:eastAsia="SimHei" w:hAnsi="SimHei"/>
          <w:lang w:val="en-GB"/>
        </w:rPr>
        <w:t>继续加强其刑事司法系统对暴力侵害妇女和女童犯罪的打击；尤其是采取措施支持调查、起诉和惩处这类犯罪的能力</w:t>
      </w:r>
      <w:r w:rsidRPr="005441F4">
        <w:rPr>
          <w:rFonts w:eastAsia="SimHei"/>
          <w:lang w:val="en-GB"/>
        </w:rPr>
        <w:t>(</w:t>
      </w:r>
      <w:r w:rsidRPr="005441F4">
        <w:rPr>
          <w:rFonts w:eastAsia="SimHei" w:hAnsi="SimHei"/>
          <w:lang w:val="en-GB"/>
        </w:rPr>
        <w:t>澳大利亚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125.39  </w:t>
      </w:r>
      <w:r w:rsidRPr="005441F4">
        <w:rPr>
          <w:rFonts w:eastAsia="SimHei" w:hAnsi="SimHei"/>
          <w:lang w:val="en-GB"/>
        </w:rPr>
        <w:t>继续真相与和解委员会的工作</w:t>
      </w:r>
      <w:r w:rsidRPr="005441F4">
        <w:rPr>
          <w:rFonts w:eastAsia="SimHei"/>
          <w:lang w:val="en-GB"/>
        </w:rPr>
        <w:t>(</w:t>
      </w:r>
      <w:r w:rsidRPr="005441F4">
        <w:rPr>
          <w:rFonts w:eastAsia="SimHei" w:hAnsi="SimHei"/>
          <w:lang w:val="en-GB"/>
        </w:rPr>
        <w:t>黎巴嫩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125.40  </w:t>
      </w:r>
      <w:r w:rsidRPr="005441F4">
        <w:rPr>
          <w:rFonts w:eastAsia="SimHei" w:hAnsi="SimHei"/>
          <w:lang w:val="en-GB"/>
        </w:rPr>
        <w:t>采取有效措施减少和控制火器扩散</w:t>
      </w:r>
      <w:r w:rsidRPr="005441F4">
        <w:rPr>
          <w:rFonts w:eastAsia="SimHei"/>
          <w:lang w:val="en-GB"/>
        </w:rPr>
        <w:t>(</w:t>
      </w:r>
      <w:r w:rsidRPr="005441F4">
        <w:rPr>
          <w:rFonts w:eastAsia="SimHei" w:hAnsi="SimHei"/>
          <w:lang w:val="en-GB"/>
        </w:rPr>
        <w:t>卢旺达</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125.41  </w:t>
      </w:r>
      <w:r w:rsidRPr="005441F4">
        <w:rPr>
          <w:rFonts w:eastAsia="SimHei" w:hAnsi="SimHei"/>
          <w:lang w:val="en-GB"/>
        </w:rPr>
        <w:t>继续采取措施打击有组织犯罪，尤其是贩毒行为，目的是形成有利于所有人享有人权的环境</w:t>
      </w:r>
      <w:r w:rsidRPr="005441F4">
        <w:rPr>
          <w:rFonts w:eastAsia="SimHei"/>
          <w:lang w:val="en-GB"/>
        </w:rPr>
        <w:t>(</w:t>
      </w:r>
      <w:r w:rsidRPr="005441F4">
        <w:rPr>
          <w:rFonts w:eastAsia="SimHei" w:hAnsi="SimHei"/>
          <w:lang w:val="en-GB"/>
        </w:rPr>
        <w:t>新加坡</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125.42  </w:t>
      </w:r>
      <w:r w:rsidRPr="005441F4">
        <w:rPr>
          <w:rFonts w:eastAsia="SimHei" w:hAnsi="SimHei"/>
          <w:lang w:val="en-GB"/>
        </w:rPr>
        <w:t>制定和实施军备控制和裁军政策</w:t>
      </w:r>
      <w:r w:rsidRPr="005441F4">
        <w:rPr>
          <w:rFonts w:eastAsia="SimHei"/>
          <w:lang w:val="en-GB"/>
        </w:rPr>
        <w:t>(</w:t>
      </w:r>
      <w:r w:rsidRPr="005441F4">
        <w:rPr>
          <w:rFonts w:eastAsia="SimHei" w:hAnsi="SimHei"/>
          <w:lang w:val="en-GB"/>
        </w:rPr>
        <w:t>瑞典</w:t>
      </w:r>
      <w:r w:rsidRPr="005441F4">
        <w:rPr>
          <w:rFonts w:eastAsia="SimHei"/>
          <w:lang w:val="en-GB"/>
        </w:rPr>
        <w:t>)</w:t>
      </w:r>
      <w:r w:rsidRPr="005441F4">
        <w:rPr>
          <w:rFonts w:eastAsia="SimHei" w:hAnsi="SimHei"/>
          <w:lang w:val="en-GB"/>
        </w:rPr>
        <w:t>；</w:t>
      </w:r>
      <w:r w:rsidR="005441F4">
        <w:rPr>
          <w:rStyle w:val="FootnoteReference"/>
          <w:rFonts w:eastAsia="SimHei"/>
          <w:lang w:val="en-GB"/>
        </w:rPr>
        <w:footnoteReference w:id="6"/>
      </w:r>
    </w:p>
    <w:p w:rsidR="00A648CE" w:rsidRPr="005441F4" w:rsidRDefault="00A648CE" w:rsidP="009573AC">
      <w:pPr>
        <w:pStyle w:val="SingleTxtGC"/>
        <w:ind w:left="1718"/>
        <w:rPr>
          <w:rFonts w:eastAsia="SimHei"/>
          <w:lang w:val="en-GB"/>
        </w:rPr>
      </w:pPr>
      <w:r w:rsidRPr="005441F4">
        <w:rPr>
          <w:rFonts w:eastAsia="SimHei"/>
          <w:lang w:val="en-GB"/>
        </w:rPr>
        <w:t xml:space="preserve">125.43  </w:t>
      </w:r>
      <w:r w:rsidRPr="005441F4">
        <w:rPr>
          <w:rFonts w:eastAsia="SimHei" w:hAnsi="SimHei"/>
          <w:lang w:val="en-GB"/>
        </w:rPr>
        <w:t>加大对平民持有武器和枪支的监管，加强对私营安保公司的监督，制定更有力的保障措施，保护洪都拉斯公民安全，特别是阿古安河谷冲突中的公民安全</w:t>
      </w:r>
      <w:r w:rsidRPr="005441F4">
        <w:rPr>
          <w:rFonts w:eastAsia="SimHei"/>
          <w:lang w:val="en-GB"/>
        </w:rPr>
        <w:t>(</w:t>
      </w:r>
      <w:r w:rsidRPr="005441F4">
        <w:rPr>
          <w:rFonts w:eastAsia="SimHei" w:hAnsi="SimHei"/>
          <w:lang w:val="en-GB"/>
        </w:rPr>
        <w:t>泰国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125.44  </w:t>
      </w:r>
      <w:r w:rsidRPr="005441F4">
        <w:rPr>
          <w:rFonts w:eastAsia="SimHei" w:hAnsi="SimHei"/>
          <w:lang w:val="en-GB"/>
        </w:rPr>
        <w:t>增加接受过人权和少数族裔问题专门培训的执法人员、法官和检察官的数量</w:t>
      </w:r>
      <w:r w:rsidRPr="005441F4">
        <w:rPr>
          <w:rFonts w:eastAsia="SimHei"/>
          <w:lang w:val="en-GB"/>
        </w:rPr>
        <w:t>(</w:t>
      </w:r>
      <w:r w:rsidRPr="005441F4">
        <w:rPr>
          <w:rFonts w:eastAsia="SimHei" w:hAnsi="SimHei"/>
          <w:lang w:val="en-GB"/>
        </w:rPr>
        <w:t>加拿大</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125.45  </w:t>
      </w:r>
      <w:r w:rsidRPr="005441F4">
        <w:rPr>
          <w:rFonts w:eastAsia="SimHei" w:hAnsi="SimHei"/>
          <w:lang w:val="en-GB"/>
        </w:rPr>
        <w:t>通过民警机构加强安全机构，从而打击有罪不罚现象，特别是在袭击新闻工作者和杀害女性的犯罪案件中，而不要军事机构介入</w:t>
      </w:r>
      <w:r w:rsidRPr="005441F4">
        <w:rPr>
          <w:rFonts w:eastAsia="SimHei"/>
          <w:lang w:val="en-GB"/>
        </w:rPr>
        <w:t>(</w:t>
      </w:r>
      <w:r w:rsidRPr="005441F4">
        <w:rPr>
          <w:rFonts w:eastAsia="SimHei" w:hAnsi="SimHei"/>
          <w:lang w:val="en-GB"/>
        </w:rPr>
        <w:t>哥斯达黎加</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125.46  </w:t>
      </w:r>
      <w:r w:rsidRPr="005441F4">
        <w:rPr>
          <w:rFonts w:eastAsia="SimHei" w:hAnsi="SimHei"/>
          <w:lang w:val="en-GB"/>
        </w:rPr>
        <w:t>继续在国家和国际一级努力执行《中美洲安全战略》</w:t>
      </w:r>
      <w:r w:rsidRPr="005441F4">
        <w:rPr>
          <w:rFonts w:eastAsia="SimHei"/>
          <w:lang w:val="en-GB"/>
        </w:rPr>
        <w:t>(</w:t>
      </w:r>
      <w:r w:rsidRPr="005441F4">
        <w:rPr>
          <w:rFonts w:eastAsia="SimHei" w:hAnsi="SimHei"/>
          <w:lang w:val="en-GB"/>
        </w:rPr>
        <w:t>尼加拉瓜</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125.47  </w:t>
      </w:r>
      <w:r w:rsidRPr="005441F4">
        <w:rPr>
          <w:rFonts w:eastAsia="SimHei" w:hAnsi="SimHei"/>
          <w:lang w:val="en-GB"/>
        </w:rPr>
        <w:t>制定保护人权维护者的机制</w:t>
      </w:r>
      <w:r w:rsidRPr="005441F4">
        <w:rPr>
          <w:rFonts w:eastAsia="SimHei"/>
          <w:lang w:val="en-GB"/>
        </w:rPr>
        <w:t>(</w:t>
      </w:r>
      <w:r w:rsidRPr="005441F4">
        <w:rPr>
          <w:rFonts w:eastAsia="SimHei" w:hAnsi="SimHei"/>
          <w:lang w:val="en-GB"/>
        </w:rPr>
        <w:t>东帝汶</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125.48  </w:t>
      </w:r>
      <w:r w:rsidRPr="005441F4">
        <w:rPr>
          <w:rFonts w:eastAsia="SimHei" w:hAnsi="SimHei"/>
          <w:lang w:val="en-GB"/>
        </w:rPr>
        <w:t>及时和公正调查所有关于针对新闻工作者和人权维护者的暴力或报复行为的指控，并确保将犯罪人绳之以法</w:t>
      </w:r>
      <w:r w:rsidRPr="005441F4">
        <w:rPr>
          <w:rFonts w:eastAsia="SimHei"/>
          <w:lang w:val="en-GB"/>
        </w:rPr>
        <w:t>(</w:t>
      </w:r>
      <w:r w:rsidRPr="005441F4">
        <w:rPr>
          <w:rFonts w:eastAsia="SimHei" w:hAnsi="SimHei"/>
          <w:lang w:val="en-GB"/>
        </w:rPr>
        <w:t>奥地利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125.49  </w:t>
      </w:r>
      <w:r w:rsidRPr="005441F4">
        <w:rPr>
          <w:rFonts w:eastAsia="SimHei" w:hAnsi="SimHei"/>
          <w:lang w:val="en-GB"/>
        </w:rPr>
        <w:t>继续优先重视旨在承认和保护新闻工作者和人权维护者的工作</w:t>
      </w:r>
      <w:r w:rsidRPr="005441F4">
        <w:rPr>
          <w:rFonts w:eastAsia="SimHei"/>
          <w:lang w:val="en-GB"/>
        </w:rPr>
        <w:t>(</w:t>
      </w:r>
      <w:r w:rsidRPr="005441F4">
        <w:rPr>
          <w:rFonts w:eastAsia="SimHei" w:hAnsi="SimHei"/>
          <w:lang w:val="en-GB"/>
        </w:rPr>
        <w:t>哥伦比亚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125.50  </w:t>
      </w:r>
      <w:r w:rsidRPr="005441F4">
        <w:rPr>
          <w:rFonts w:eastAsia="SimHei" w:hAnsi="SimHei"/>
          <w:lang w:val="en-GB"/>
        </w:rPr>
        <w:t>尊重和保护表达自由权和加强对遇袭新闻工作者、民间社会活动家和人权维护者的保护</w:t>
      </w:r>
      <w:r w:rsidRPr="005441F4">
        <w:rPr>
          <w:rFonts w:eastAsia="SimHei"/>
          <w:lang w:val="en-GB"/>
        </w:rPr>
        <w:t>(</w:t>
      </w:r>
      <w:r w:rsidRPr="005441F4">
        <w:rPr>
          <w:rFonts w:eastAsia="SimHei" w:hAnsi="SimHei"/>
          <w:lang w:val="en-GB"/>
        </w:rPr>
        <w:t>爱沙尼亚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125.51  </w:t>
      </w:r>
      <w:r w:rsidRPr="005441F4">
        <w:rPr>
          <w:rFonts w:eastAsia="SimHei" w:hAnsi="SimHei"/>
          <w:lang w:val="en-GB"/>
        </w:rPr>
        <w:t>确保提供充足的财政和人力资源，以便执行保护人权维护者、新闻工作者、社会宣传人员和司法官员的法律，并承诺在初步实施一段时间后审查该法的运行情况，包括审查其是否与国际人权标准一致</w:t>
      </w:r>
      <w:r w:rsidRPr="005441F4">
        <w:rPr>
          <w:rFonts w:eastAsia="SimHei"/>
          <w:lang w:val="en-GB"/>
        </w:rPr>
        <w:t>(</w:t>
      </w:r>
      <w:r w:rsidRPr="005441F4">
        <w:rPr>
          <w:rFonts w:eastAsia="SimHei" w:hAnsi="SimHei"/>
          <w:lang w:val="en-GB"/>
        </w:rPr>
        <w:t>爱尔兰</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125.52  </w:t>
      </w:r>
      <w:r w:rsidRPr="005441F4">
        <w:rPr>
          <w:rFonts w:eastAsia="SimHei" w:hAnsi="SimHei"/>
          <w:lang w:val="en-GB"/>
        </w:rPr>
        <w:t>确保有效实施关于保护人权维护者、新闻工作者、社会宣传人员和司法官员的法律，并提供充足资源以便制定有效的人权维护者保护机制</w:t>
      </w:r>
      <w:r w:rsidRPr="005441F4">
        <w:rPr>
          <w:rFonts w:eastAsia="SimHei"/>
          <w:lang w:val="en-GB"/>
        </w:rPr>
        <w:t>(</w:t>
      </w:r>
      <w:r w:rsidRPr="005441F4">
        <w:rPr>
          <w:rFonts w:eastAsia="SimHei" w:hAnsi="SimHei"/>
          <w:lang w:val="en-GB"/>
        </w:rPr>
        <w:t>意大利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125.53  </w:t>
      </w:r>
      <w:r w:rsidRPr="005441F4">
        <w:rPr>
          <w:rFonts w:eastAsia="SimHei" w:hAnsi="SimHei"/>
          <w:lang w:val="en-GB"/>
        </w:rPr>
        <w:t>通过有关保护人权维护者和新闻工作者的法律和政策；让民间社会参与这一进程，并为该法的实施提供充足供资</w:t>
      </w:r>
      <w:r w:rsidRPr="005441F4">
        <w:rPr>
          <w:rFonts w:eastAsia="SimHei"/>
          <w:lang w:val="en-GB"/>
        </w:rPr>
        <w:t>(</w:t>
      </w:r>
      <w:r w:rsidRPr="005441F4">
        <w:rPr>
          <w:rFonts w:eastAsia="SimHei" w:hAnsi="SimHei"/>
          <w:lang w:val="en-GB"/>
        </w:rPr>
        <w:t>荷兰</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125.54  </w:t>
      </w:r>
      <w:r w:rsidRPr="005441F4">
        <w:rPr>
          <w:rFonts w:eastAsia="SimHei" w:hAnsi="SimHei"/>
          <w:lang w:val="en-GB"/>
        </w:rPr>
        <w:t>加快颁布和实施人权维护者、新闻工作者和司法官员保护法案，并提供充足资源，以便建立有效的保护机制</w:t>
      </w:r>
      <w:r w:rsidRPr="005441F4">
        <w:rPr>
          <w:rFonts w:eastAsia="SimHei"/>
          <w:lang w:val="en-GB"/>
        </w:rPr>
        <w:t>(</w:t>
      </w:r>
      <w:r w:rsidRPr="005441F4">
        <w:rPr>
          <w:rFonts w:eastAsia="SimHei" w:hAnsi="SimHei"/>
          <w:lang w:val="en-GB"/>
        </w:rPr>
        <w:t>塞拉利昂</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125.55  </w:t>
      </w:r>
      <w:r w:rsidRPr="005441F4">
        <w:rPr>
          <w:rFonts w:eastAsia="SimHei" w:hAnsi="SimHei"/>
          <w:lang w:val="en-GB"/>
        </w:rPr>
        <w:t>确保及时调查袭击和威胁人权维护者、土著人民和新闻工作者行为，并确保他们能够在不担心报复情况下开展其各项活动</w:t>
      </w:r>
      <w:r w:rsidRPr="005441F4">
        <w:rPr>
          <w:rFonts w:eastAsia="SimHei"/>
          <w:lang w:val="en-GB"/>
        </w:rPr>
        <w:t>(</w:t>
      </w:r>
      <w:r w:rsidRPr="005441F4">
        <w:rPr>
          <w:rFonts w:eastAsia="SimHei" w:hAnsi="SimHei"/>
          <w:lang w:val="en-GB"/>
        </w:rPr>
        <w:t>斯洛文尼亚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125.56  </w:t>
      </w:r>
      <w:r w:rsidRPr="005441F4">
        <w:rPr>
          <w:rFonts w:eastAsia="SimHei" w:hAnsi="SimHei"/>
          <w:lang w:val="en-GB"/>
        </w:rPr>
        <w:t>继续执行与人权维护者、新闻工作者、社会宣传人员和司法官员相关的诉讼程序，以便为他们提供充分有效的保护，使他们能够在一切保障下履行其职责</w:t>
      </w:r>
      <w:r w:rsidRPr="005441F4">
        <w:rPr>
          <w:rFonts w:eastAsia="SimHei"/>
          <w:lang w:val="en-GB"/>
        </w:rPr>
        <w:t>(</w:t>
      </w:r>
      <w:r w:rsidRPr="005441F4">
        <w:rPr>
          <w:rFonts w:eastAsia="SimHei" w:hAnsi="SimHei"/>
          <w:lang w:val="en-GB"/>
        </w:rPr>
        <w:t>西班牙</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125.57  </w:t>
      </w:r>
      <w:r w:rsidRPr="005441F4">
        <w:rPr>
          <w:rFonts w:eastAsia="SimHei" w:hAnsi="SimHei"/>
          <w:lang w:val="en-GB"/>
        </w:rPr>
        <w:t>保证洪都拉斯的所有人权维护者能够依据《人权维护者宣言》开展其合法的人权活动</w:t>
      </w:r>
      <w:r w:rsidRPr="005441F4">
        <w:rPr>
          <w:rFonts w:eastAsia="SimHei"/>
          <w:lang w:val="en-GB"/>
        </w:rPr>
        <w:t>(</w:t>
      </w:r>
      <w:r w:rsidRPr="005441F4">
        <w:rPr>
          <w:rFonts w:eastAsia="SimHei" w:hAnsi="SimHei"/>
          <w:lang w:val="en-GB"/>
        </w:rPr>
        <w:t>瑞典</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125.58  </w:t>
      </w:r>
      <w:r w:rsidRPr="005441F4">
        <w:rPr>
          <w:rFonts w:eastAsia="SimHei" w:hAnsi="SimHei"/>
          <w:lang w:val="en-GB"/>
        </w:rPr>
        <w:t>结束关于保护人权维护者、新闻工作者、媒体从业人员和司法官员的法案的立法程序并继续执行该法案</w:t>
      </w:r>
      <w:r w:rsidRPr="005441F4">
        <w:rPr>
          <w:rFonts w:eastAsia="SimHei"/>
          <w:lang w:val="en-GB"/>
        </w:rPr>
        <w:t>(</w:t>
      </w:r>
      <w:r w:rsidRPr="005441F4">
        <w:rPr>
          <w:rFonts w:eastAsia="SimHei" w:hAnsi="SimHei"/>
          <w:lang w:val="en-GB"/>
        </w:rPr>
        <w:t>乌拉圭</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125.59  </w:t>
      </w:r>
      <w:r w:rsidRPr="005441F4">
        <w:rPr>
          <w:rFonts w:eastAsia="SimHei" w:hAnsi="SimHei"/>
          <w:lang w:val="en-GB"/>
        </w:rPr>
        <w:t>保证有效执行关于保护人权维护者、新闻工作者、社会宣传人员和司法官员的法案，包括保证适当筹资</w:t>
      </w:r>
      <w:r w:rsidRPr="005441F4">
        <w:rPr>
          <w:rFonts w:eastAsia="SimHei"/>
          <w:lang w:val="en-GB"/>
        </w:rPr>
        <w:t>(</w:t>
      </w:r>
      <w:r w:rsidRPr="005441F4">
        <w:rPr>
          <w:rFonts w:eastAsia="SimHei" w:hAnsi="SimHei"/>
          <w:lang w:val="en-GB"/>
        </w:rPr>
        <w:t>巴西</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125.60  </w:t>
      </w:r>
      <w:r w:rsidRPr="005441F4">
        <w:rPr>
          <w:rFonts w:eastAsia="SimHei" w:hAnsi="SimHei"/>
          <w:lang w:val="en-GB"/>
        </w:rPr>
        <w:t>推进</w:t>
      </w:r>
      <w:r w:rsidRPr="005441F4">
        <w:rPr>
          <w:rFonts w:eastAsia="SimHei"/>
          <w:lang w:val="en-GB"/>
        </w:rPr>
        <w:t>2014</w:t>
      </w:r>
      <w:r w:rsidRPr="005441F4">
        <w:rPr>
          <w:rFonts w:eastAsia="SimHei" w:hAnsi="SimHei"/>
          <w:lang w:val="en-GB"/>
        </w:rPr>
        <w:t>年启动的立法工作，以保护新闻工作者、人权维护者和司法机关参与打击犯罪的某些成员</w:t>
      </w:r>
      <w:r w:rsidRPr="005441F4">
        <w:rPr>
          <w:rFonts w:eastAsia="SimHei"/>
          <w:lang w:val="en-GB"/>
        </w:rPr>
        <w:t>(</w:t>
      </w:r>
      <w:r w:rsidRPr="005441F4">
        <w:rPr>
          <w:rFonts w:eastAsia="SimHei" w:hAnsi="SimHei"/>
          <w:lang w:val="en-GB"/>
        </w:rPr>
        <w:t>法国</w:t>
      </w:r>
      <w:r w:rsidRPr="005441F4">
        <w:rPr>
          <w:rFonts w:eastAsia="SimHei"/>
          <w:lang w:val="en-GB"/>
        </w:rPr>
        <w:t>)</w:t>
      </w:r>
      <w:r w:rsidRPr="005441F4">
        <w:rPr>
          <w:rFonts w:eastAsia="SimHei" w:hAnsi="SimHei"/>
          <w:lang w:val="en-GB"/>
        </w:rPr>
        <w:t>；考虑批准关于保护人权维护者、新闻工作者、社会宣传人员和司法官员的法案草案</w:t>
      </w:r>
      <w:r w:rsidRPr="005441F4">
        <w:rPr>
          <w:rFonts w:eastAsia="SimHei"/>
          <w:lang w:val="en-GB"/>
        </w:rPr>
        <w:t>(</w:t>
      </w:r>
      <w:r w:rsidRPr="005441F4">
        <w:rPr>
          <w:rFonts w:eastAsia="SimHei" w:hAnsi="SimHei"/>
          <w:lang w:val="en-GB"/>
        </w:rPr>
        <w:t>巴拉圭</w:t>
      </w:r>
      <w:r w:rsidRPr="005441F4">
        <w:rPr>
          <w:rFonts w:eastAsia="SimHei"/>
          <w:lang w:val="en-GB"/>
        </w:rPr>
        <w:t>)</w:t>
      </w:r>
      <w:r w:rsidRPr="005441F4">
        <w:rPr>
          <w:rFonts w:eastAsia="SimHei" w:hAnsi="SimHei"/>
          <w:lang w:val="en-GB"/>
        </w:rPr>
        <w:t>；继续开展当前旨在通过保护人权维护者、新闻工作者、社会宣传人员和司法官员的法律的各项工作</w:t>
      </w:r>
      <w:r w:rsidRPr="005441F4">
        <w:rPr>
          <w:rFonts w:eastAsia="SimHei"/>
          <w:lang w:val="en-GB"/>
        </w:rPr>
        <w:t>(</w:t>
      </w:r>
      <w:r w:rsidRPr="005441F4">
        <w:rPr>
          <w:rFonts w:eastAsia="SimHei" w:hAnsi="SimHei"/>
          <w:lang w:val="en-GB"/>
        </w:rPr>
        <w:t>秘鲁</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125.61  </w:t>
      </w:r>
      <w:r w:rsidRPr="005441F4">
        <w:rPr>
          <w:rFonts w:eastAsia="SimHei" w:hAnsi="SimHei"/>
          <w:lang w:val="en-GB"/>
        </w:rPr>
        <w:t>制定和进一步实施注重提供更好的教育、提高学生入学率和减少辍学人数的社会政策</w:t>
      </w:r>
      <w:r w:rsidRPr="005441F4">
        <w:rPr>
          <w:rFonts w:eastAsia="SimHei"/>
          <w:lang w:val="en-GB"/>
        </w:rPr>
        <w:t>(</w:t>
      </w:r>
      <w:r w:rsidRPr="005441F4">
        <w:rPr>
          <w:rFonts w:eastAsia="SimHei" w:hAnsi="SimHei"/>
          <w:lang w:val="en-GB"/>
        </w:rPr>
        <w:t>教廷</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125.62  </w:t>
      </w:r>
      <w:r w:rsidRPr="005441F4">
        <w:rPr>
          <w:rFonts w:eastAsia="SimHei" w:hAnsi="SimHei"/>
          <w:lang w:val="en-GB"/>
        </w:rPr>
        <w:t>尽一切努力尊重人的尊严，特别是最易受到严重虐待的妇女和儿童的尊严</w:t>
      </w:r>
      <w:r w:rsidRPr="005441F4">
        <w:rPr>
          <w:rFonts w:eastAsia="SimHei"/>
          <w:lang w:val="en-GB"/>
        </w:rPr>
        <w:t>(</w:t>
      </w:r>
      <w:r w:rsidRPr="005441F4">
        <w:rPr>
          <w:rFonts w:eastAsia="SimHei" w:hAnsi="SimHei"/>
          <w:lang w:val="en-GB"/>
        </w:rPr>
        <w:t>教廷</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125.63  </w:t>
      </w:r>
      <w:r w:rsidRPr="005441F4">
        <w:rPr>
          <w:rFonts w:eastAsia="SimHei" w:hAnsi="SimHei"/>
          <w:lang w:val="en-GB"/>
        </w:rPr>
        <w:t>继续加强其有利于国内最弱势群体的社会援助方案</w:t>
      </w:r>
      <w:r w:rsidRPr="005441F4">
        <w:rPr>
          <w:rFonts w:eastAsia="SimHei"/>
          <w:lang w:val="en-GB"/>
        </w:rPr>
        <w:t>(</w:t>
      </w:r>
      <w:r w:rsidRPr="005441F4">
        <w:rPr>
          <w:rFonts w:eastAsia="SimHei" w:hAnsi="SimHei"/>
          <w:lang w:val="en-GB"/>
        </w:rPr>
        <w:t>委内瑞拉玻利瓦尔共和国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125.64  </w:t>
      </w:r>
      <w:r w:rsidRPr="005441F4">
        <w:rPr>
          <w:rFonts w:eastAsia="SimHei" w:hAnsi="SimHei"/>
          <w:lang w:val="en-GB"/>
        </w:rPr>
        <w:t>采取体制措施，提高生活质量，确保未成年人和青少年一直留在国内，防止他们孤身移徙。在赔偿程序方面，确保尊重最有利于儿童的原则，并促进儿童有效重新融入社会</w:t>
      </w:r>
      <w:r w:rsidRPr="005441F4">
        <w:rPr>
          <w:rFonts w:eastAsia="SimHei"/>
          <w:lang w:val="en-GB"/>
        </w:rPr>
        <w:t>(</w:t>
      </w:r>
      <w:r w:rsidRPr="005441F4">
        <w:rPr>
          <w:rFonts w:eastAsia="SimHei" w:hAnsi="SimHei"/>
          <w:lang w:val="en-GB"/>
        </w:rPr>
        <w:t>墨西哥</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125.65  </w:t>
      </w:r>
      <w:r w:rsidRPr="005441F4">
        <w:rPr>
          <w:rFonts w:eastAsia="SimHei" w:hAnsi="SimHei"/>
          <w:lang w:val="en-GB"/>
        </w:rPr>
        <w:t>继续促进和保护其公民在教育和卫生领域享有基本自由和权利，并促进和保护妇女和儿童及残疾人的各项权利</w:t>
      </w:r>
      <w:r w:rsidRPr="005441F4">
        <w:rPr>
          <w:rFonts w:eastAsia="SimHei"/>
          <w:lang w:val="en-GB"/>
        </w:rPr>
        <w:t>(</w:t>
      </w:r>
      <w:r w:rsidRPr="005441F4">
        <w:rPr>
          <w:rFonts w:eastAsia="SimHei" w:hAnsi="SimHei"/>
          <w:lang w:val="en-GB"/>
        </w:rPr>
        <w:t>尼日利亚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125.66  </w:t>
      </w:r>
      <w:r w:rsidRPr="005441F4">
        <w:rPr>
          <w:rFonts w:eastAsia="SimHei" w:hAnsi="SimHei"/>
          <w:lang w:val="en-GB"/>
        </w:rPr>
        <w:t>继续进一步努力保护妇女、儿童和青年等弱势人口群体</w:t>
      </w:r>
      <w:r w:rsidRPr="005441F4">
        <w:rPr>
          <w:rFonts w:eastAsia="SimHei"/>
          <w:lang w:val="en-GB"/>
        </w:rPr>
        <w:t>(</w:t>
      </w:r>
      <w:r w:rsidRPr="005441F4">
        <w:rPr>
          <w:rFonts w:eastAsia="SimHei" w:hAnsi="SimHei"/>
          <w:lang w:val="en-GB"/>
        </w:rPr>
        <w:t>俄罗斯联邦</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125.67  </w:t>
      </w:r>
      <w:r w:rsidRPr="005441F4">
        <w:rPr>
          <w:rFonts w:eastAsia="SimHei" w:hAnsi="SimHei"/>
          <w:lang w:val="en-GB"/>
        </w:rPr>
        <w:t>加强处境危险者，尤其是妇女和儿童的保护制度</w:t>
      </w:r>
      <w:r w:rsidRPr="005441F4">
        <w:rPr>
          <w:rFonts w:eastAsia="SimHei"/>
          <w:lang w:val="en-GB"/>
        </w:rPr>
        <w:t>(</w:t>
      </w:r>
      <w:r w:rsidRPr="005441F4">
        <w:rPr>
          <w:rFonts w:eastAsia="SimHei" w:hAnsi="SimHei"/>
          <w:lang w:val="en-GB"/>
        </w:rPr>
        <w:t>安哥拉</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125.68  </w:t>
      </w:r>
      <w:r w:rsidRPr="005441F4">
        <w:rPr>
          <w:rFonts w:eastAsia="SimHei" w:hAnsi="SimHei"/>
          <w:lang w:val="en-GB"/>
        </w:rPr>
        <w:t>继续重视发展其经济，包括增加就业机会、加大消除贫穷力度和提高其人民的生活水平</w:t>
      </w:r>
      <w:r w:rsidRPr="005441F4">
        <w:rPr>
          <w:rFonts w:eastAsia="SimHei"/>
          <w:lang w:val="en-GB"/>
        </w:rPr>
        <w:t>(</w:t>
      </w:r>
      <w:r w:rsidRPr="005441F4">
        <w:rPr>
          <w:rFonts w:eastAsia="SimHei" w:hAnsi="SimHei"/>
          <w:lang w:val="en-GB"/>
        </w:rPr>
        <w:t>中国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125.69  </w:t>
      </w:r>
      <w:r w:rsidRPr="005441F4">
        <w:rPr>
          <w:rFonts w:eastAsia="SimHei" w:hAnsi="SimHei"/>
          <w:lang w:val="en-GB"/>
        </w:rPr>
        <w:t>强化旨在实施社会包容和发展政策的行动，以降低不平等和贫穷水平</w:t>
      </w:r>
      <w:r w:rsidRPr="005441F4">
        <w:rPr>
          <w:rFonts w:eastAsia="SimHei"/>
          <w:lang w:val="en-GB"/>
        </w:rPr>
        <w:t>(</w:t>
      </w:r>
      <w:r w:rsidRPr="005441F4">
        <w:rPr>
          <w:rFonts w:eastAsia="SimHei" w:hAnsi="SimHei"/>
          <w:lang w:val="en-GB"/>
        </w:rPr>
        <w:t>厄瓜多尔</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125.70  </w:t>
      </w:r>
      <w:r w:rsidRPr="005441F4">
        <w:rPr>
          <w:rFonts w:eastAsia="SimHei" w:hAnsi="SimHei"/>
          <w:lang w:val="en-GB"/>
        </w:rPr>
        <w:t>从性别平等和人权视角制定一项综合战略，以期为生活在贫穷和极端贫穷中的人口提供协助</w:t>
      </w:r>
      <w:r w:rsidRPr="005441F4">
        <w:rPr>
          <w:rFonts w:eastAsia="SimHei"/>
          <w:lang w:val="en-GB"/>
        </w:rPr>
        <w:t>(</w:t>
      </w:r>
      <w:r w:rsidRPr="005441F4">
        <w:rPr>
          <w:rFonts w:eastAsia="SimHei" w:hAnsi="SimHei"/>
          <w:lang w:val="en-GB"/>
        </w:rPr>
        <w:t>墨西哥</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125.71  </w:t>
      </w:r>
      <w:r w:rsidRPr="005441F4">
        <w:rPr>
          <w:rFonts w:eastAsia="SimHei" w:hAnsi="SimHei"/>
          <w:lang w:val="en-GB"/>
        </w:rPr>
        <w:t>执行各项措施，以减少土著人民和非裔洪都拉斯社区中的贫穷和社会排斥现象</w:t>
      </w:r>
      <w:r w:rsidRPr="005441F4">
        <w:rPr>
          <w:rFonts w:eastAsia="SimHei"/>
          <w:lang w:val="en-GB"/>
        </w:rPr>
        <w:t>(</w:t>
      </w:r>
      <w:r w:rsidRPr="005441F4">
        <w:rPr>
          <w:rFonts w:eastAsia="SimHei" w:hAnsi="SimHei"/>
          <w:lang w:val="en-GB"/>
        </w:rPr>
        <w:t>特立尼达和多巴哥</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125.72  </w:t>
      </w:r>
      <w:r w:rsidRPr="005441F4">
        <w:rPr>
          <w:rFonts w:eastAsia="SimHei" w:hAnsi="SimHei"/>
          <w:lang w:val="en-GB"/>
        </w:rPr>
        <w:t>继续优先重视改善其人民健康的工作，包括通过提供饮用水和卫生服务</w:t>
      </w:r>
      <w:r w:rsidRPr="005441F4">
        <w:rPr>
          <w:rFonts w:eastAsia="SimHei"/>
          <w:lang w:val="en-GB"/>
        </w:rPr>
        <w:t>(</w:t>
      </w:r>
      <w:r w:rsidRPr="005441F4">
        <w:rPr>
          <w:rFonts w:eastAsia="SimHei" w:hAnsi="SimHei"/>
          <w:lang w:val="en-GB"/>
        </w:rPr>
        <w:t>新加坡</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125.73  </w:t>
      </w:r>
      <w:r w:rsidRPr="005441F4">
        <w:rPr>
          <w:rFonts w:eastAsia="SimHei" w:hAnsi="SimHei"/>
          <w:lang w:val="en-GB"/>
        </w:rPr>
        <w:t>继续实施免费公共义务教育政策，重新规定教育时长和周期，包括安排充足的预算和资源</w:t>
      </w:r>
      <w:r w:rsidRPr="005441F4">
        <w:rPr>
          <w:rFonts w:eastAsia="SimHei"/>
          <w:lang w:val="en-GB"/>
        </w:rPr>
        <w:t>(</w:t>
      </w:r>
      <w:r w:rsidRPr="005441F4">
        <w:rPr>
          <w:rFonts w:eastAsia="SimHei" w:hAnsi="SimHei"/>
          <w:lang w:val="en-GB"/>
        </w:rPr>
        <w:t>印度尼西亚</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125.74  </w:t>
      </w:r>
      <w:r w:rsidRPr="005441F4">
        <w:rPr>
          <w:rFonts w:eastAsia="SimHei" w:hAnsi="SimHei"/>
          <w:lang w:val="en-GB"/>
        </w:rPr>
        <w:t>继续推进在教育领域已启动的改革</w:t>
      </w:r>
      <w:r w:rsidRPr="005441F4">
        <w:rPr>
          <w:rFonts w:eastAsia="SimHei"/>
          <w:lang w:val="en-GB"/>
        </w:rPr>
        <w:t>(</w:t>
      </w:r>
      <w:r w:rsidRPr="005441F4">
        <w:rPr>
          <w:rFonts w:eastAsia="SimHei" w:hAnsi="SimHei"/>
          <w:lang w:val="en-GB"/>
        </w:rPr>
        <w:t>卡塔尔</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125.75  </w:t>
      </w:r>
      <w:r w:rsidRPr="005441F4">
        <w:rPr>
          <w:rFonts w:eastAsia="SimHei" w:hAnsi="SimHei"/>
          <w:lang w:val="en-GB"/>
        </w:rPr>
        <w:t>继续采取具体行动，执行《基本教育法》</w:t>
      </w:r>
      <w:r w:rsidRPr="005441F4">
        <w:rPr>
          <w:rFonts w:eastAsia="SimHei"/>
          <w:lang w:val="en-GB"/>
        </w:rPr>
        <w:t>(</w:t>
      </w:r>
      <w:r w:rsidRPr="005441F4">
        <w:rPr>
          <w:rFonts w:eastAsia="SimHei" w:hAnsi="SimHei"/>
          <w:lang w:val="en-GB"/>
        </w:rPr>
        <w:t>古巴</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125.76  </w:t>
      </w:r>
      <w:r w:rsidRPr="005441F4">
        <w:rPr>
          <w:rFonts w:eastAsia="SimHei" w:hAnsi="SimHei"/>
          <w:lang w:val="en-GB"/>
        </w:rPr>
        <w:t>继续开展目前旨在推动土著人民参与和协商影响他们的公共政策的各项工作，全面落实联合国《土著人民权利宣言》和劳工组织《独立国家土著和部落居民公约》</w:t>
      </w:r>
      <w:r w:rsidRPr="005441F4">
        <w:rPr>
          <w:rFonts w:eastAsia="SimHei"/>
          <w:lang w:val="en-GB"/>
        </w:rPr>
        <w:t>(</w:t>
      </w:r>
      <w:r w:rsidRPr="005441F4">
        <w:rPr>
          <w:rFonts w:eastAsia="SimHei" w:hAnsi="SimHei"/>
          <w:lang w:val="en-GB"/>
        </w:rPr>
        <w:t>《第</w:t>
      </w:r>
      <w:r w:rsidRPr="005441F4">
        <w:rPr>
          <w:rFonts w:eastAsia="SimHei"/>
          <w:lang w:val="en-GB"/>
        </w:rPr>
        <w:t>169</w:t>
      </w:r>
      <w:r w:rsidRPr="005441F4">
        <w:rPr>
          <w:rFonts w:eastAsia="SimHei" w:hAnsi="SimHei"/>
          <w:lang w:val="en-GB"/>
        </w:rPr>
        <w:t>号公约》</w:t>
      </w:r>
      <w:r w:rsidRPr="005441F4">
        <w:rPr>
          <w:rFonts w:eastAsia="SimHei"/>
          <w:lang w:val="en-GB"/>
        </w:rPr>
        <w:t>)(</w:t>
      </w:r>
      <w:r w:rsidRPr="005441F4">
        <w:rPr>
          <w:rFonts w:eastAsia="SimHei" w:hAnsi="SimHei"/>
          <w:lang w:val="en-GB"/>
        </w:rPr>
        <w:t>秘鲁</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125.77  </w:t>
      </w:r>
      <w:r w:rsidRPr="005441F4">
        <w:rPr>
          <w:rFonts w:eastAsia="SimHei" w:hAnsi="SimHei"/>
          <w:lang w:val="en-GB"/>
        </w:rPr>
        <w:t>采取一切必要措施保障移徙妇女和儿童，包括单亲母亲和孤身儿童的人权</w:t>
      </w:r>
      <w:r w:rsidRPr="005441F4">
        <w:rPr>
          <w:rFonts w:eastAsia="SimHei"/>
          <w:lang w:val="en-GB"/>
        </w:rPr>
        <w:t>(</w:t>
      </w:r>
      <w:r w:rsidRPr="005441F4">
        <w:rPr>
          <w:rFonts w:eastAsia="SimHei" w:hAnsi="SimHei"/>
          <w:lang w:val="en-GB"/>
        </w:rPr>
        <w:t>巴拉圭</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125.78  </w:t>
      </w:r>
      <w:r w:rsidRPr="005441F4">
        <w:rPr>
          <w:rFonts w:eastAsia="SimHei" w:hAnsi="SimHei"/>
          <w:lang w:val="en-GB"/>
        </w:rPr>
        <w:t>考虑与有关国家订立双边和多边合作协议，以满足来自洪都拉斯的孤身移徙儿童的保护需要，包括其赔偿和重新融入社会</w:t>
      </w:r>
      <w:r w:rsidRPr="005441F4">
        <w:rPr>
          <w:rFonts w:eastAsia="SimHei"/>
          <w:lang w:val="en-GB"/>
        </w:rPr>
        <w:t>(</w:t>
      </w:r>
      <w:r w:rsidRPr="005441F4">
        <w:rPr>
          <w:rFonts w:eastAsia="SimHei" w:hAnsi="SimHei"/>
          <w:lang w:val="en-GB"/>
        </w:rPr>
        <w:t>菲律宾</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125.79  </w:t>
      </w:r>
      <w:r w:rsidRPr="005441F4">
        <w:rPr>
          <w:rFonts w:eastAsia="SimHei" w:hAnsi="SimHei"/>
          <w:lang w:val="en-GB"/>
        </w:rPr>
        <w:t>采取措施，以便适当收容被另一国驱逐的儿童和青少年</w:t>
      </w:r>
      <w:r w:rsidRPr="005441F4">
        <w:rPr>
          <w:rFonts w:eastAsia="SimHei"/>
          <w:lang w:val="en-GB"/>
        </w:rPr>
        <w:t>(</w:t>
      </w:r>
      <w:r w:rsidRPr="005441F4">
        <w:rPr>
          <w:rFonts w:eastAsia="SimHei" w:hAnsi="SimHei"/>
          <w:lang w:val="en-GB"/>
        </w:rPr>
        <w:t>波兰</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125.80  </w:t>
      </w:r>
      <w:r w:rsidRPr="005441F4">
        <w:rPr>
          <w:rFonts w:eastAsia="SimHei" w:hAnsi="SimHei"/>
          <w:lang w:val="en-GB"/>
        </w:rPr>
        <w:t>继续执行各项措施，以全面解决孤身移徙儿童现象</w:t>
      </w:r>
      <w:r w:rsidRPr="005441F4">
        <w:rPr>
          <w:rFonts w:eastAsia="SimHei"/>
          <w:lang w:val="en-GB"/>
        </w:rPr>
        <w:t>(</w:t>
      </w:r>
      <w:r w:rsidRPr="005441F4">
        <w:rPr>
          <w:rFonts w:eastAsia="SimHei" w:hAnsi="SimHei"/>
          <w:lang w:val="en-GB"/>
        </w:rPr>
        <w:t>古巴</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125.81  </w:t>
      </w:r>
      <w:r w:rsidRPr="005441F4">
        <w:rPr>
          <w:rFonts w:eastAsia="SimHei" w:hAnsi="SimHei"/>
          <w:lang w:val="en-GB"/>
        </w:rPr>
        <w:t>推动努力限制移徙流动，特别是孤身儿童的流动，并继续执行立法框架，以便让儿童享有优质教育</w:t>
      </w:r>
      <w:r w:rsidRPr="005441F4">
        <w:rPr>
          <w:rFonts w:eastAsia="SimHei"/>
          <w:lang w:val="en-GB"/>
        </w:rPr>
        <w:t>(</w:t>
      </w:r>
      <w:r w:rsidRPr="005441F4">
        <w:rPr>
          <w:rFonts w:eastAsia="SimHei" w:hAnsi="SimHei"/>
          <w:lang w:val="en-GB"/>
        </w:rPr>
        <w:t>法国</w:t>
      </w:r>
      <w:r w:rsidRPr="005441F4">
        <w:rPr>
          <w:rFonts w:eastAsia="SimHei"/>
          <w:lang w:val="en-GB"/>
        </w:rPr>
        <w:t>)</w:t>
      </w:r>
      <w:r w:rsidRPr="005441F4">
        <w:rPr>
          <w:rFonts w:eastAsia="SimHei" w:hAnsi="SimHei"/>
          <w:lang w:val="en-GB"/>
        </w:rPr>
        <w:t>。</w:t>
      </w:r>
    </w:p>
    <w:p w:rsidR="00A648CE" w:rsidRPr="005441F4" w:rsidRDefault="00A648CE" w:rsidP="00A648CE">
      <w:pPr>
        <w:pStyle w:val="SingleTxtGC"/>
        <w:rPr>
          <w:rFonts w:eastAsia="SimHei"/>
          <w:bCs/>
          <w:lang w:val="en-GB"/>
        </w:rPr>
      </w:pPr>
      <w:r w:rsidRPr="005441F4">
        <w:rPr>
          <w:rFonts w:eastAsia="SimHei"/>
          <w:iCs/>
          <w:lang w:val="en-GB"/>
        </w:rPr>
        <w:t xml:space="preserve">126.  </w:t>
      </w:r>
      <w:r w:rsidRPr="005441F4">
        <w:rPr>
          <w:rFonts w:eastAsia="SimHei" w:hAnsi="SimHei"/>
          <w:bCs/>
          <w:lang w:val="en-GB"/>
        </w:rPr>
        <w:t>洪都拉斯将研究下列各项建议，并在适当时给予答复，但不迟于</w:t>
      </w:r>
      <w:r w:rsidRPr="005441F4">
        <w:rPr>
          <w:rFonts w:eastAsia="SimHei"/>
          <w:bCs/>
          <w:lang w:val="en-GB"/>
        </w:rPr>
        <w:t>2015</w:t>
      </w:r>
      <w:r w:rsidRPr="005441F4">
        <w:rPr>
          <w:rFonts w:eastAsia="SimHei" w:hAnsi="SimHei"/>
          <w:bCs/>
          <w:lang w:val="en-GB"/>
        </w:rPr>
        <w:t>年</w:t>
      </w:r>
      <w:r w:rsidRPr="005441F4">
        <w:rPr>
          <w:rFonts w:eastAsia="SimHei"/>
          <w:bCs/>
          <w:lang w:val="en-GB"/>
        </w:rPr>
        <w:t>9</w:t>
      </w:r>
      <w:r w:rsidRPr="005441F4">
        <w:rPr>
          <w:rFonts w:eastAsia="SimHei" w:hAnsi="SimHei"/>
          <w:bCs/>
          <w:lang w:val="en-GB"/>
        </w:rPr>
        <w:t>月人权理事会第三十届会议：</w:t>
      </w:r>
    </w:p>
    <w:p w:rsidR="00A648CE" w:rsidRPr="005441F4" w:rsidRDefault="00A648CE" w:rsidP="009573AC">
      <w:pPr>
        <w:pStyle w:val="SingleTxtGC"/>
        <w:ind w:left="1718"/>
        <w:rPr>
          <w:rFonts w:eastAsia="SimHei"/>
          <w:lang w:val="en-GB"/>
        </w:rPr>
      </w:pPr>
      <w:r w:rsidRPr="005441F4">
        <w:rPr>
          <w:rFonts w:eastAsia="SimHei"/>
          <w:lang w:val="en-GB"/>
        </w:rPr>
        <w:t xml:space="preserve">126.1  </w:t>
      </w:r>
      <w:r w:rsidRPr="005441F4">
        <w:rPr>
          <w:rFonts w:eastAsia="SimHei" w:hAnsi="SimHei"/>
          <w:lang w:val="en-GB"/>
        </w:rPr>
        <w:t>批准《经济、社会、文化权利国际公约任择议定书》</w:t>
      </w:r>
      <w:r w:rsidRPr="005441F4">
        <w:rPr>
          <w:rFonts w:eastAsia="SimHei"/>
          <w:lang w:val="en-GB"/>
        </w:rPr>
        <w:t>(</w:t>
      </w:r>
      <w:r w:rsidRPr="005441F4">
        <w:rPr>
          <w:rFonts w:eastAsia="SimHei" w:hAnsi="SimHei"/>
          <w:lang w:val="en-GB"/>
        </w:rPr>
        <w:t>马达加斯加、黑山、哥斯达黎加</w:t>
      </w:r>
      <w:r w:rsidRPr="005441F4">
        <w:rPr>
          <w:rFonts w:eastAsia="SimHei"/>
          <w:lang w:val="en-GB"/>
        </w:rPr>
        <w:t>)</w:t>
      </w:r>
      <w:r w:rsidRPr="005441F4">
        <w:rPr>
          <w:rFonts w:eastAsia="SimHei" w:hAnsi="SimHei"/>
          <w:lang w:val="en-GB"/>
        </w:rPr>
        <w:t>、《经济、社会、文化权利国际公约》</w:t>
      </w:r>
      <w:r w:rsidRPr="005441F4">
        <w:rPr>
          <w:rFonts w:eastAsia="SimHei"/>
          <w:lang w:val="en-GB"/>
        </w:rPr>
        <w:t>(</w:t>
      </w:r>
      <w:r w:rsidRPr="005441F4">
        <w:rPr>
          <w:rFonts w:eastAsia="SimHei" w:hAnsi="SimHei"/>
          <w:lang w:val="en-GB"/>
        </w:rPr>
        <w:t>葡萄牙</w:t>
      </w:r>
      <w:r w:rsidRPr="005441F4">
        <w:rPr>
          <w:rFonts w:eastAsia="SimHei"/>
          <w:lang w:val="en-GB"/>
        </w:rPr>
        <w:t>)</w:t>
      </w:r>
      <w:r w:rsidRPr="005441F4">
        <w:rPr>
          <w:rFonts w:eastAsia="SimHei" w:hAnsi="SimHei"/>
          <w:lang w:val="en-GB"/>
        </w:rPr>
        <w:t>；考虑批准或加入《经济、社会、文化权利国际公约任择议定书》</w:t>
      </w:r>
      <w:r w:rsidRPr="005441F4">
        <w:rPr>
          <w:rFonts w:eastAsia="SimHei"/>
          <w:lang w:val="en-GB"/>
        </w:rPr>
        <w:t>(</w:t>
      </w:r>
      <w:r w:rsidRPr="005441F4">
        <w:rPr>
          <w:rFonts w:eastAsia="SimHei" w:hAnsi="SimHei"/>
          <w:lang w:val="en-GB"/>
        </w:rPr>
        <w:t>秘鲁</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126.2  </w:t>
      </w:r>
      <w:r w:rsidRPr="005441F4">
        <w:rPr>
          <w:rFonts w:eastAsia="SimHei" w:hAnsi="SimHei"/>
          <w:lang w:val="en-GB"/>
        </w:rPr>
        <w:t>考虑批准或加入《儿童权利公约关于设定来文程序的任择议定书》</w:t>
      </w:r>
      <w:r w:rsidRPr="005441F4">
        <w:rPr>
          <w:rFonts w:eastAsia="SimHei"/>
          <w:lang w:val="en-GB"/>
        </w:rPr>
        <w:t>(</w:t>
      </w:r>
      <w:r w:rsidRPr="005441F4">
        <w:rPr>
          <w:rFonts w:eastAsia="SimHei" w:hAnsi="SimHei"/>
          <w:lang w:val="en-GB"/>
        </w:rPr>
        <w:t>秘鲁</w:t>
      </w:r>
      <w:r w:rsidRPr="005441F4">
        <w:rPr>
          <w:rFonts w:eastAsia="SimHei"/>
          <w:lang w:val="en-GB"/>
        </w:rPr>
        <w:t>)</w:t>
      </w:r>
      <w:r w:rsidR="005441F4">
        <w:rPr>
          <w:rStyle w:val="FootnoteReference"/>
          <w:rFonts w:eastAsia="SimHei"/>
          <w:lang w:val="en-GB"/>
        </w:rPr>
        <w:footnoteReference w:id="7"/>
      </w:r>
      <w:r w:rsidRPr="005441F4">
        <w:rPr>
          <w:rFonts w:eastAsia="SimHei" w:hAnsi="SimHei"/>
          <w:lang w:val="en-GB"/>
        </w:rPr>
        <w:t>；批准《儿童权利公约关于设定来文程序的任择议定书》</w:t>
      </w:r>
      <w:r w:rsidRPr="005441F4">
        <w:rPr>
          <w:rFonts w:eastAsia="SimHei"/>
          <w:lang w:val="en-GB"/>
        </w:rPr>
        <w:t>(</w:t>
      </w:r>
      <w:r w:rsidRPr="005441F4">
        <w:rPr>
          <w:rFonts w:eastAsia="SimHei" w:hAnsi="SimHei"/>
          <w:lang w:val="en-GB"/>
        </w:rPr>
        <w:t>葡萄牙</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126.3  </w:t>
      </w:r>
      <w:r w:rsidRPr="005441F4">
        <w:rPr>
          <w:rFonts w:eastAsia="SimHei" w:hAnsi="SimHei"/>
          <w:lang w:val="en-GB"/>
        </w:rPr>
        <w:t>批准</w:t>
      </w:r>
      <w:r w:rsidRPr="005441F4">
        <w:rPr>
          <w:rFonts w:eastAsia="SimHei"/>
          <w:lang w:val="en-GB"/>
        </w:rPr>
        <w:t>(</w:t>
      </w:r>
      <w:r w:rsidRPr="005441F4">
        <w:rPr>
          <w:rFonts w:eastAsia="SimHei" w:hAnsi="SimHei"/>
          <w:lang w:val="en-GB"/>
        </w:rPr>
        <w:t>哥斯达黎加</w:t>
      </w:r>
      <w:r w:rsidRPr="005441F4">
        <w:rPr>
          <w:rFonts w:eastAsia="SimHei"/>
          <w:lang w:val="en-GB"/>
        </w:rPr>
        <w:t>)(</w:t>
      </w:r>
      <w:r w:rsidRPr="005441F4">
        <w:rPr>
          <w:rFonts w:eastAsia="SimHei" w:hAnsi="SimHei"/>
          <w:lang w:val="en-GB"/>
        </w:rPr>
        <w:t>葡萄牙</w:t>
      </w:r>
      <w:r w:rsidRPr="005441F4">
        <w:rPr>
          <w:rFonts w:eastAsia="SimHei"/>
          <w:lang w:val="en-GB"/>
        </w:rPr>
        <w:t>)(</w:t>
      </w:r>
      <w:r w:rsidRPr="005441F4">
        <w:rPr>
          <w:rFonts w:eastAsia="SimHei" w:hAnsi="SimHei"/>
          <w:lang w:val="en-GB"/>
        </w:rPr>
        <w:t>斯洛文尼亚</w:t>
      </w:r>
      <w:r w:rsidRPr="005441F4">
        <w:rPr>
          <w:rFonts w:eastAsia="SimHei"/>
          <w:lang w:val="en-GB"/>
        </w:rPr>
        <w:t>)(</w:t>
      </w:r>
      <w:r w:rsidRPr="005441F4">
        <w:rPr>
          <w:rFonts w:eastAsia="SimHei" w:hAnsi="SimHei"/>
          <w:lang w:val="en-GB"/>
        </w:rPr>
        <w:t>瑞典</w:t>
      </w:r>
      <w:r w:rsidRPr="005441F4">
        <w:rPr>
          <w:rFonts w:eastAsia="SimHei"/>
          <w:lang w:val="en-GB"/>
        </w:rPr>
        <w:t>)(</w:t>
      </w:r>
      <w:r w:rsidRPr="005441F4">
        <w:rPr>
          <w:rFonts w:eastAsia="SimHei" w:hAnsi="SimHei"/>
          <w:lang w:val="en-GB"/>
        </w:rPr>
        <w:t>东帝汶</w:t>
      </w:r>
      <w:r w:rsidRPr="005441F4">
        <w:rPr>
          <w:rFonts w:eastAsia="SimHei"/>
          <w:lang w:val="en-GB"/>
        </w:rPr>
        <w:t>)(</w:t>
      </w:r>
      <w:r w:rsidRPr="005441F4">
        <w:rPr>
          <w:rFonts w:eastAsia="SimHei" w:hAnsi="SimHei"/>
          <w:lang w:val="en-GB"/>
        </w:rPr>
        <w:t>奥地利</w:t>
      </w:r>
      <w:r w:rsidRPr="005441F4">
        <w:rPr>
          <w:rFonts w:eastAsia="SimHei"/>
          <w:lang w:val="en-GB"/>
        </w:rPr>
        <w:t>)(</w:t>
      </w:r>
      <w:r w:rsidRPr="005441F4">
        <w:rPr>
          <w:rFonts w:eastAsia="SimHei" w:hAnsi="SimHei"/>
          <w:lang w:val="en-GB"/>
        </w:rPr>
        <w:t>加拿大</w:t>
      </w:r>
      <w:r w:rsidRPr="005441F4">
        <w:rPr>
          <w:rFonts w:eastAsia="SimHei"/>
          <w:lang w:val="en-GB"/>
        </w:rPr>
        <w:t>)</w:t>
      </w:r>
      <w:r w:rsidRPr="005441F4">
        <w:rPr>
          <w:rFonts w:eastAsia="SimHei" w:hAnsi="SimHei"/>
          <w:lang w:val="en-GB"/>
        </w:rPr>
        <w:t>；考虑批准加入《消除对妇女一切形式歧视公约任择议定书》</w:t>
      </w:r>
      <w:r w:rsidRPr="005441F4">
        <w:rPr>
          <w:rFonts w:eastAsia="SimHei"/>
          <w:lang w:val="en-GB"/>
        </w:rPr>
        <w:t>(</w:t>
      </w:r>
      <w:r w:rsidRPr="005441F4">
        <w:rPr>
          <w:rFonts w:eastAsia="SimHei" w:hAnsi="SimHei"/>
          <w:lang w:val="en-GB"/>
        </w:rPr>
        <w:t>秘鲁</w:t>
      </w:r>
      <w:r w:rsidRPr="005441F4">
        <w:rPr>
          <w:rFonts w:eastAsia="SimHei"/>
          <w:lang w:val="en-GB"/>
        </w:rPr>
        <w:t>)</w:t>
      </w:r>
      <w:r w:rsidRPr="005441F4">
        <w:rPr>
          <w:rFonts w:eastAsia="SimHei" w:hAnsi="SimHei"/>
          <w:lang w:val="en-GB"/>
        </w:rPr>
        <w:t>；积极考虑批准《消除对妇女一切形式歧视公约任择议定书》</w:t>
      </w:r>
      <w:r w:rsidRPr="005441F4">
        <w:rPr>
          <w:rFonts w:eastAsia="SimHei"/>
          <w:lang w:val="en-GB"/>
        </w:rPr>
        <w:t>(</w:t>
      </w:r>
      <w:r w:rsidRPr="005441F4">
        <w:rPr>
          <w:rFonts w:eastAsia="SimHei" w:hAnsi="SimHei"/>
          <w:lang w:val="en-GB"/>
        </w:rPr>
        <w:t>墨西哥</w:t>
      </w:r>
      <w:r w:rsidRPr="005441F4">
        <w:rPr>
          <w:rFonts w:eastAsia="SimHei"/>
          <w:lang w:val="en-GB"/>
        </w:rPr>
        <w:t>)</w:t>
      </w:r>
      <w:r w:rsidRPr="005441F4">
        <w:rPr>
          <w:rFonts w:eastAsia="SimHei" w:hAnsi="SimHei"/>
          <w:lang w:val="en-GB"/>
        </w:rPr>
        <w:t>；根据先前建议，批准《消除对妇女一切形式歧视公约任择议定书》</w:t>
      </w:r>
      <w:r w:rsidRPr="005441F4">
        <w:rPr>
          <w:rFonts w:eastAsia="SimHei"/>
          <w:lang w:val="en-GB"/>
        </w:rPr>
        <w:t>(</w:t>
      </w:r>
      <w:r w:rsidRPr="005441F4">
        <w:rPr>
          <w:rFonts w:eastAsia="SimHei" w:hAnsi="SimHei"/>
          <w:lang w:val="en-GB"/>
        </w:rPr>
        <w:t>西班牙</w:t>
      </w:r>
      <w:r w:rsidRPr="005441F4">
        <w:rPr>
          <w:rFonts w:eastAsia="SimHei"/>
          <w:lang w:val="en-GB"/>
        </w:rPr>
        <w:t>)</w:t>
      </w:r>
      <w:r w:rsidRPr="005441F4">
        <w:rPr>
          <w:rFonts w:eastAsia="SimHei" w:hAnsi="SimHei"/>
          <w:lang w:val="en-GB"/>
        </w:rPr>
        <w:t>；签署和批准《消除对妇女一切形式歧视公约任择议定书》</w:t>
      </w:r>
      <w:r w:rsidRPr="005441F4">
        <w:rPr>
          <w:rFonts w:eastAsia="SimHei"/>
          <w:lang w:val="en-GB"/>
        </w:rPr>
        <w:t>(</w:t>
      </w:r>
      <w:r w:rsidRPr="005441F4">
        <w:rPr>
          <w:rFonts w:eastAsia="SimHei" w:hAnsi="SimHei"/>
          <w:lang w:val="en-GB"/>
        </w:rPr>
        <w:t>土耳其</w:t>
      </w:r>
      <w:r w:rsidRPr="005441F4">
        <w:rPr>
          <w:rFonts w:eastAsia="SimHei"/>
          <w:lang w:val="en-GB"/>
        </w:rPr>
        <w:t>)</w:t>
      </w:r>
      <w:r w:rsidRPr="005441F4">
        <w:rPr>
          <w:rFonts w:eastAsia="SimHei" w:hAnsi="SimHei"/>
          <w:lang w:val="en-GB"/>
        </w:rPr>
        <w:t>；考虑批准《消除对妇女一切形式歧视公约任择议定书》</w:t>
      </w:r>
      <w:r w:rsidRPr="005441F4">
        <w:rPr>
          <w:rFonts w:eastAsia="SimHei"/>
          <w:lang w:val="en-GB"/>
        </w:rPr>
        <w:t>(</w:t>
      </w:r>
      <w:r w:rsidRPr="005441F4">
        <w:rPr>
          <w:rFonts w:eastAsia="SimHei" w:hAnsi="SimHei"/>
          <w:lang w:val="en-GB"/>
        </w:rPr>
        <w:t>乌拉圭</w:t>
      </w:r>
      <w:r w:rsidRPr="005441F4">
        <w:rPr>
          <w:rFonts w:eastAsia="SimHei"/>
          <w:lang w:val="en-GB"/>
        </w:rPr>
        <w:t>)</w:t>
      </w:r>
      <w:r w:rsidRPr="005441F4">
        <w:rPr>
          <w:rFonts w:eastAsia="SimHei" w:hAnsi="SimHei"/>
          <w:lang w:val="en-GB"/>
        </w:rPr>
        <w:t>；继续批准《消除对妇女一切形式歧视公约任择议定书》</w:t>
      </w:r>
      <w:r w:rsidRPr="005441F4">
        <w:rPr>
          <w:rFonts w:eastAsia="SimHei"/>
          <w:lang w:val="en-GB"/>
        </w:rPr>
        <w:t>(</w:t>
      </w:r>
      <w:r w:rsidRPr="005441F4">
        <w:rPr>
          <w:rFonts w:eastAsia="SimHei" w:hAnsi="SimHei"/>
          <w:lang w:val="en-GB"/>
        </w:rPr>
        <w:t>智利</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126.4  </w:t>
      </w:r>
      <w:r w:rsidRPr="005441F4">
        <w:rPr>
          <w:rFonts w:eastAsia="SimHei" w:hAnsi="SimHei"/>
          <w:lang w:val="en-GB"/>
        </w:rPr>
        <w:t>签署和批准《消除对妇女一切形式歧视公约任择议定书》，建立来文机制，以便加强打击暴力侵害和歧视妇女行为的工具</w:t>
      </w:r>
      <w:r w:rsidRPr="005441F4">
        <w:rPr>
          <w:rFonts w:eastAsia="SimHei"/>
          <w:lang w:val="en-GB"/>
        </w:rPr>
        <w:t>(</w:t>
      </w:r>
      <w:r w:rsidRPr="005441F4">
        <w:rPr>
          <w:rFonts w:eastAsia="SimHei" w:hAnsi="SimHei"/>
          <w:lang w:val="en-GB"/>
        </w:rPr>
        <w:t>法国</w:t>
      </w:r>
      <w:r w:rsidRPr="005441F4">
        <w:rPr>
          <w:rFonts w:eastAsia="SimHei"/>
          <w:lang w:val="en-GB"/>
        </w:rPr>
        <w:t>)</w:t>
      </w:r>
      <w:r w:rsidRPr="005441F4">
        <w:rPr>
          <w:rFonts w:eastAsia="SimHei" w:hAnsi="SimHei"/>
          <w:lang w:val="en-GB"/>
        </w:rPr>
        <w:t>；采取更多措施，保证妇女平等获得必要的保健服务，特别是性与生殖健康服务，以及批准《消除对妇女一切形式歧视公约任择议定书》</w:t>
      </w:r>
      <w:r w:rsidRPr="005441F4">
        <w:rPr>
          <w:rFonts w:eastAsia="SimHei"/>
          <w:lang w:val="en-GB"/>
        </w:rPr>
        <w:t>(</w:t>
      </w:r>
      <w:r w:rsidRPr="005441F4">
        <w:rPr>
          <w:rFonts w:eastAsia="SimHei" w:hAnsi="SimHei"/>
          <w:lang w:val="en-GB"/>
        </w:rPr>
        <w:t>德国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126.5  </w:t>
      </w:r>
      <w:r w:rsidRPr="005441F4">
        <w:rPr>
          <w:rFonts w:eastAsia="SimHei" w:hAnsi="SimHei"/>
          <w:lang w:val="en-GB"/>
        </w:rPr>
        <w:t>批准《武器贸易条约》，从而为减少小武器和轻武器扩散、非法毒品贸易和暴力频发现象提供可能性</w:t>
      </w:r>
      <w:r w:rsidRPr="005441F4">
        <w:rPr>
          <w:rFonts w:eastAsia="SimHei"/>
          <w:lang w:val="en-GB"/>
        </w:rPr>
        <w:t>(</w:t>
      </w:r>
      <w:r w:rsidRPr="005441F4">
        <w:rPr>
          <w:rFonts w:eastAsia="SimHei" w:hAnsi="SimHei"/>
          <w:lang w:val="en-GB"/>
        </w:rPr>
        <w:t>特立尼达和多巴哥</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126.6  </w:t>
      </w:r>
      <w:r w:rsidRPr="005441F4">
        <w:rPr>
          <w:rFonts w:eastAsia="SimHei" w:hAnsi="SimHei"/>
          <w:lang w:val="en-GB"/>
        </w:rPr>
        <w:t>批准劳工组织《第</w:t>
      </w:r>
      <w:r w:rsidRPr="005441F4">
        <w:rPr>
          <w:rFonts w:eastAsia="SimHei"/>
          <w:lang w:val="en-GB"/>
        </w:rPr>
        <w:t>189</w:t>
      </w:r>
      <w:r w:rsidRPr="005441F4">
        <w:rPr>
          <w:rFonts w:eastAsia="SimHei" w:hAnsi="SimHei"/>
          <w:lang w:val="en-GB"/>
        </w:rPr>
        <w:t>号公约》</w:t>
      </w:r>
      <w:r w:rsidRPr="005441F4">
        <w:rPr>
          <w:rFonts w:eastAsia="SimHei"/>
          <w:lang w:val="en-GB"/>
        </w:rPr>
        <w:t>(</w:t>
      </w:r>
      <w:r w:rsidRPr="005441F4">
        <w:rPr>
          <w:rFonts w:eastAsia="SimHei" w:hAnsi="SimHei"/>
          <w:lang w:val="en-GB"/>
        </w:rPr>
        <w:t>马达加斯加</w:t>
      </w:r>
      <w:r w:rsidRPr="005441F4">
        <w:rPr>
          <w:rFonts w:eastAsia="SimHei"/>
          <w:lang w:val="en-GB"/>
        </w:rPr>
        <w:t>)</w:t>
      </w:r>
      <w:r w:rsidRPr="005441F4">
        <w:rPr>
          <w:rFonts w:eastAsia="SimHei" w:hAnsi="SimHei"/>
          <w:lang w:val="en-GB"/>
        </w:rPr>
        <w:t>；加快其批准其他国际人权公约的工作，包括劳工组织《第</w:t>
      </w:r>
      <w:r w:rsidRPr="005441F4">
        <w:rPr>
          <w:rFonts w:eastAsia="SimHei"/>
          <w:lang w:val="en-GB"/>
        </w:rPr>
        <w:t>189</w:t>
      </w:r>
      <w:r w:rsidRPr="005441F4">
        <w:rPr>
          <w:rFonts w:eastAsia="SimHei" w:hAnsi="SimHei"/>
          <w:lang w:val="en-GB"/>
        </w:rPr>
        <w:t>号公约》</w:t>
      </w:r>
      <w:r w:rsidRPr="005441F4">
        <w:rPr>
          <w:rFonts w:eastAsia="SimHei"/>
          <w:lang w:val="en-GB"/>
        </w:rPr>
        <w:t>(</w:t>
      </w:r>
      <w:r w:rsidRPr="005441F4">
        <w:rPr>
          <w:rFonts w:eastAsia="SimHei" w:hAnsi="SimHei"/>
          <w:lang w:val="en-GB"/>
        </w:rPr>
        <w:t>菲律宾</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126.7  </w:t>
      </w:r>
      <w:r w:rsidRPr="005441F4">
        <w:rPr>
          <w:rFonts w:eastAsia="SimHei" w:hAnsi="SimHei"/>
          <w:lang w:val="en-GB"/>
        </w:rPr>
        <w:t>使《刑法》与《国际医疗道德准则》保持一致，洪都拉斯考虑将强奸或乱伦情形之下的堕胎合法化</w:t>
      </w:r>
      <w:r w:rsidRPr="005441F4">
        <w:rPr>
          <w:rFonts w:eastAsia="SimHei"/>
          <w:lang w:val="en-GB"/>
        </w:rPr>
        <w:t>(</w:t>
      </w:r>
      <w:r w:rsidRPr="005441F4">
        <w:rPr>
          <w:rFonts w:eastAsia="SimHei" w:hAnsi="SimHei"/>
          <w:lang w:val="en-GB"/>
        </w:rPr>
        <w:t>挪威</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126.8  </w:t>
      </w:r>
      <w:r w:rsidRPr="005441F4">
        <w:rPr>
          <w:rFonts w:eastAsia="SimHei" w:hAnsi="SimHei"/>
          <w:lang w:val="en-GB"/>
        </w:rPr>
        <w:t>通过一项关于性别身份的法律，使有关人员能够按其性取向和形象在全国登记中得到法律认可</w:t>
      </w:r>
      <w:r w:rsidRPr="005441F4">
        <w:rPr>
          <w:rFonts w:eastAsia="SimHei"/>
          <w:lang w:val="en-GB"/>
        </w:rPr>
        <w:t>(</w:t>
      </w:r>
      <w:r w:rsidRPr="005441F4">
        <w:rPr>
          <w:rFonts w:eastAsia="SimHei" w:hAnsi="SimHei"/>
          <w:lang w:val="en-GB"/>
        </w:rPr>
        <w:t>马达加斯加</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126.9  </w:t>
      </w:r>
      <w:r w:rsidRPr="005441F4">
        <w:rPr>
          <w:rFonts w:eastAsia="SimHei" w:hAnsi="SimHei"/>
          <w:lang w:val="en-GB"/>
        </w:rPr>
        <w:t>确保国会目前正在审议的《性别认同法》获得通过并得到落实</w:t>
      </w:r>
      <w:r w:rsidRPr="005441F4">
        <w:rPr>
          <w:rFonts w:eastAsia="SimHei"/>
          <w:lang w:val="en-GB"/>
        </w:rPr>
        <w:t>(</w:t>
      </w:r>
      <w:r w:rsidRPr="005441F4">
        <w:rPr>
          <w:rFonts w:eastAsia="SimHei" w:hAnsi="SimHei"/>
          <w:lang w:val="en-GB"/>
        </w:rPr>
        <w:t>丹麦</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126.10  </w:t>
      </w:r>
      <w:r w:rsidRPr="005441F4">
        <w:rPr>
          <w:rFonts w:eastAsia="SimHei" w:hAnsi="SimHei"/>
          <w:lang w:val="en-GB"/>
        </w:rPr>
        <w:t>修订立法，使诽谤、中伤和诋毁行为去罪化，并将它们转为按联合国和美洲人权委员会意见和建议所规定的民法权利标准进行监管的事项</w:t>
      </w:r>
      <w:r w:rsidRPr="005441F4">
        <w:rPr>
          <w:rFonts w:eastAsia="SimHei"/>
          <w:lang w:val="en-GB"/>
        </w:rPr>
        <w:t>(</w:t>
      </w:r>
      <w:r w:rsidRPr="005441F4">
        <w:rPr>
          <w:rFonts w:eastAsia="SimHei" w:hAnsi="SimHei"/>
          <w:lang w:val="en-GB"/>
        </w:rPr>
        <w:t>大不列颠及北爱尔兰联合王国</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126.11  </w:t>
      </w:r>
      <w:r w:rsidRPr="005441F4">
        <w:rPr>
          <w:rFonts w:eastAsia="SimHei" w:hAnsi="SimHei"/>
          <w:lang w:val="en-GB"/>
        </w:rPr>
        <w:t>落实美洲人权委员会和真相与和解委员会的建议，确保安全战略促进预防并由组织有序和受过培训的民警队伍而非军队予以实施</w:t>
      </w:r>
      <w:r w:rsidRPr="005441F4">
        <w:rPr>
          <w:rFonts w:eastAsia="SimHei"/>
          <w:lang w:val="en-GB"/>
        </w:rPr>
        <w:t>(</w:t>
      </w:r>
      <w:r w:rsidRPr="005441F4">
        <w:rPr>
          <w:rFonts w:eastAsia="SimHei" w:hAnsi="SimHei"/>
          <w:lang w:val="en-GB"/>
        </w:rPr>
        <w:t>挪威</w:t>
      </w:r>
      <w:r w:rsidRPr="005441F4">
        <w:rPr>
          <w:rFonts w:eastAsia="SimHei"/>
          <w:lang w:val="en-GB"/>
        </w:rPr>
        <w:t>)</w:t>
      </w:r>
      <w:r w:rsidRPr="005441F4">
        <w:rPr>
          <w:rFonts w:eastAsia="SimHei" w:hAnsi="SimHei"/>
          <w:lang w:val="en-GB"/>
        </w:rPr>
        <w:t>；</w:t>
      </w:r>
    </w:p>
    <w:p w:rsidR="00A648CE" w:rsidRPr="005441F4" w:rsidRDefault="00A648CE" w:rsidP="009573AC">
      <w:pPr>
        <w:pStyle w:val="SingleTxtGC"/>
        <w:ind w:left="1718"/>
        <w:rPr>
          <w:rFonts w:eastAsia="SimHei"/>
          <w:lang w:val="en-GB"/>
        </w:rPr>
      </w:pPr>
      <w:r w:rsidRPr="005441F4">
        <w:rPr>
          <w:rFonts w:eastAsia="SimHei"/>
          <w:lang w:val="en-GB"/>
        </w:rPr>
        <w:t xml:space="preserve">125.12  </w:t>
      </w:r>
      <w:r w:rsidRPr="005441F4">
        <w:rPr>
          <w:rFonts w:eastAsia="SimHei" w:hAnsi="SimHei"/>
          <w:lang w:val="en-GB"/>
        </w:rPr>
        <w:t>坚持其实施全面警察改革计划，并在</w:t>
      </w:r>
      <w:r w:rsidRPr="005441F4">
        <w:rPr>
          <w:rFonts w:eastAsia="SimHei"/>
          <w:lang w:val="en-GB"/>
        </w:rPr>
        <w:t>2015</w:t>
      </w:r>
      <w:r w:rsidRPr="005441F4">
        <w:rPr>
          <w:rFonts w:eastAsia="SimHei" w:hAnsi="SimHei"/>
          <w:lang w:val="en-GB"/>
        </w:rPr>
        <w:t>年</w:t>
      </w:r>
      <w:r w:rsidRPr="005441F4">
        <w:rPr>
          <w:rFonts w:eastAsia="SimHei"/>
          <w:lang w:val="en-GB"/>
        </w:rPr>
        <w:t>6</w:t>
      </w:r>
      <w:r w:rsidRPr="005441F4">
        <w:rPr>
          <w:rFonts w:eastAsia="SimHei" w:hAnsi="SimHei"/>
          <w:lang w:val="en-GB"/>
        </w:rPr>
        <w:t>月前通过一部新的警察组织法的承诺，并共享一项有基准时限的计划，以便将军警和民警职责分开</w:t>
      </w:r>
      <w:r w:rsidRPr="005441F4">
        <w:rPr>
          <w:rFonts w:eastAsia="SimHei"/>
          <w:lang w:val="en-GB"/>
        </w:rPr>
        <w:t>(</w:t>
      </w:r>
      <w:r w:rsidRPr="005441F4">
        <w:rPr>
          <w:rFonts w:eastAsia="SimHei" w:hAnsi="SimHei"/>
          <w:lang w:val="en-GB"/>
        </w:rPr>
        <w:t>美利坚合众国</w:t>
      </w:r>
      <w:r w:rsidRPr="005441F4">
        <w:rPr>
          <w:rFonts w:eastAsia="SimHei"/>
          <w:lang w:val="en-GB"/>
        </w:rPr>
        <w:t>)</w:t>
      </w:r>
      <w:r w:rsidRPr="005441F4">
        <w:rPr>
          <w:rFonts w:eastAsia="SimHei" w:hAnsi="SimHei"/>
          <w:lang w:val="en-GB"/>
        </w:rPr>
        <w:t>。</w:t>
      </w:r>
    </w:p>
    <w:p w:rsidR="00F53D4C" w:rsidRPr="005441F4" w:rsidRDefault="00A648CE" w:rsidP="00A648CE">
      <w:pPr>
        <w:pStyle w:val="SingleTxtGC"/>
        <w:rPr>
          <w:rFonts w:eastAsia="SimHei"/>
        </w:rPr>
      </w:pPr>
      <w:r w:rsidRPr="005441F4">
        <w:rPr>
          <w:rFonts w:eastAsia="SimHei"/>
          <w:iCs/>
        </w:rPr>
        <w:t xml:space="preserve">127.  </w:t>
      </w:r>
      <w:r w:rsidRPr="005441F4">
        <w:rPr>
          <w:rFonts w:eastAsia="SimHei" w:hAnsi="SimHei"/>
        </w:rPr>
        <w:t>本报告所载所有结论和建议均反映了提交国和受审议国的立场。这些结论和建议不应被理解为得到了全体工作组的认同。</w:t>
      </w:r>
    </w:p>
    <w:p w:rsidR="00A648CE" w:rsidRPr="00A648CE" w:rsidRDefault="00A648CE" w:rsidP="00A648CE">
      <w:pPr>
        <w:pStyle w:val="HChG"/>
        <w:adjustRightInd w:val="0"/>
        <w:snapToGrid w:val="0"/>
        <w:rPr>
          <w:snapToGrid w:val="0"/>
        </w:rPr>
      </w:pPr>
      <w:r>
        <w:br w:type="page"/>
      </w:r>
      <w:bookmarkStart w:id="10" w:name="Section_HDR_Annex"/>
      <w:r w:rsidRPr="00A648CE">
        <w:rPr>
          <w:snapToGrid w:val="0"/>
        </w:rPr>
        <w:t>Annex</w:t>
      </w:r>
      <w:bookmarkEnd w:id="10"/>
    </w:p>
    <w:p w:rsidR="00A648CE" w:rsidRPr="00A648CE" w:rsidRDefault="00A648CE" w:rsidP="00A648CE">
      <w:pPr>
        <w:keepNext/>
        <w:keepLines/>
        <w:tabs>
          <w:tab w:val="clear" w:pos="431"/>
          <w:tab w:val="right" w:pos="851"/>
        </w:tabs>
        <w:suppressAutoHyphens/>
        <w:overflowPunct/>
        <w:spacing w:before="240" w:after="120" w:line="240" w:lineRule="exact"/>
        <w:ind w:left="1134" w:right="1134" w:hanging="1134"/>
        <w:jc w:val="right"/>
        <w:rPr>
          <w:i/>
          <w:iCs/>
          <w:sz w:val="20"/>
          <w:lang w:val="en-GB" w:eastAsia="en-US"/>
        </w:rPr>
      </w:pPr>
      <w:r w:rsidRPr="00A648CE">
        <w:rPr>
          <w:i/>
          <w:iCs/>
          <w:sz w:val="20"/>
          <w:lang w:val="en-GB" w:eastAsia="en-US"/>
        </w:rPr>
        <w:t>[English/Spanish only]</w:t>
      </w:r>
    </w:p>
    <w:p w:rsidR="00A648CE" w:rsidRPr="00A648CE" w:rsidRDefault="00A648CE" w:rsidP="00A648CE">
      <w:pPr>
        <w:keepNext/>
        <w:keepLines/>
        <w:tabs>
          <w:tab w:val="clear" w:pos="431"/>
          <w:tab w:val="right" w:pos="851"/>
        </w:tabs>
        <w:suppressAutoHyphens/>
        <w:overflowPunct/>
        <w:spacing w:before="360" w:after="240" w:line="270" w:lineRule="exact"/>
        <w:ind w:left="1134" w:right="1134" w:hanging="1134"/>
        <w:jc w:val="left"/>
        <w:rPr>
          <w:b/>
          <w:sz w:val="24"/>
          <w:lang w:val="en-GB" w:eastAsia="en-US"/>
        </w:rPr>
      </w:pPr>
      <w:r w:rsidRPr="00A648CE">
        <w:rPr>
          <w:b/>
          <w:sz w:val="24"/>
          <w:lang w:val="en-GB" w:eastAsia="en-US"/>
        </w:rPr>
        <w:tab/>
      </w:r>
      <w:r w:rsidRPr="00A648CE">
        <w:rPr>
          <w:b/>
          <w:sz w:val="24"/>
          <w:lang w:val="en-GB" w:eastAsia="en-US"/>
        </w:rPr>
        <w:tab/>
      </w:r>
      <w:bookmarkStart w:id="11" w:name="Sub_Section_HDR_Composition_delegation"/>
      <w:r w:rsidRPr="00A648CE">
        <w:rPr>
          <w:b/>
          <w:sz w:val="24"/>
          <w:lang w:val="en-GB" w:eastAsia="en-US"/>
        </w:rPr>
        <w:t>Composition of the delegation</w:t>
      </w:r>
      <w:bookmarkEnd w:id="11"/>
    </w:p>
    <w:p w:rsidR="00A648CE" w:rsidRPr="00A648CE" w:rsidRDefault="00A648CE" w:rsidP="00A648CE">
      <w:pPr>
        <w:tabs>
          <w:tab w:val="clear" w:pos="431"/>
        </w:tabs>
        <w:suppressAutoHyphens/>
        <w:overflowPunct/>
        <w:spacing w:after="120" w:line="240" w:lineRule="atLeast"/>
        <w:ind w:left="1293" w:right="1134" w:firstLine="408"/>
        <w:jc w:val="left"/>
        <w:rPr>
          <w:sz w:val="20"/>
          <w:lang w:val="en-GB" w:eastAsia="en-US"/>
        </w:rPr>
      </w:pPr>
      <w:r w:rsidRPr="00A648CE">
        <w:rPr>
          <w:sz w:val="20"/>
          <w:lang w:val="en-GB" w:eastAsia="en-US"/>
        </w:rPr>
        <w:t xml:space="preserve">The delegation of </w:t>
      </w:r>
      <w:r w:rsidRPr="00A648CE">
        <w:rPr>
          <w:sz w:val="20"/>
          <w:u w:color="0000FF"/>
          <w:lang w:val="en-GB" w:eastAsia="en-US"/>
        </w:rPr>
        <w:t>Honduras</w:t>
      </w:r>
      <w:r w:rsidRPr="00A648CE">
        <w:rPr>
          <w:sz w:val="20"/>
          <w:lang w:val="en-GB" w:eastAsia="en-US"/>
        </w:rPr>
        <w:t xml:space="preserve"> was headed by </w:t>
      </w:r>
      <w:bookmarkStart w:id="12" w:name="Head_of_delegation_Annex"/>
      <w:r w:rsidRPr="00A648CE">
        <w:rPr>
          <w:sz w:val="20"/>
          <w:lang w:val="en-GB" w:eastAsia="en-US"/>
        </w:rPr>
        <w:t>S. E. Doctor José Ramón Hernández Alcerro, Secretary of State, General Coordinator of Government</w:t>
      </w:r>
      <w:bookmarkEnd w:id="12"/>
      <w:r w:rsidRPr="00A648CE">
        <w:rPr>
          <w:sz w:val="20"/>
          <w:lang w:val="en-GB" w:eastAsia="en-US"/>
        </w:rPr>
        <w:t xml:space="preserve"> and composed of the following members:</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Abogado Jorge Alberto Rivera Avilés, Magistrado Presidente de la Corte Suprema de Justicia</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Diputado Yury Cristhian Sabas Gutiérres, Presidente de la Comisión de Derechos Humanos del Congreso Nacional</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Abogado Rigoberto Chang Castillo, Secretario de Estado en los Despachos de Derechos Humanos, Justicia, Gobernación</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Abogado Abraham Alvarenga Urbina, Procurador General de la República</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S.E. Karla Cueva, Subcretaria de Estado en el Despacho de Derechos Humanos y Justicia</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Licenciada Olga Margarita Alvarado Rodríguez, Subsecretaria de Estado en los Despachos de Desarrollo e Inclusion Social</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Abogado Ramón Fernando Carranza Discua, Subsecretario de Estrado en los Despachos de Trabajo y Seguridad Social</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Licenciada Ana Aminta Madrid Paz, Presidenta Ejecutiva del Instituto Nacional de la Mujer</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 xml:space="preserve">Sr. Giampaolo Rizzo Alvarado, Embajador, Representante Permanente Adjunto, Encargado de Negocios a.i., Misión Permanente de </w:t>
      </w:r>
      <w:r w:rsidRPr="00A648CE">
        <w:rPr>
          <w:sz w:val="20"/>
          <w:u w:color="0000FF"/>
          <w:lang w:val="es-ES" w:eastAsia="en-US"/>
        </w:rPr>
        <w:t>Honduras</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Abogada Sagrario Prudott, Jefa del Departamento de Derechos Humanos de la Secretaría de Estado en el Despacho de Seguridad</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Abogada Alma Yaneth Coello, Coordinadora de la Unidad de Prevención de la Violencia del Instituto Nacional de la Mujer (INAM)</w:t>
      </w:r>
    </w:p>
    <w:p w:rsidR="00A648CE" w:rsidRPr="00A648CE" w:rsidRDefault="00A648CE" w:rsidP="00A648CE">
      <w:pPr>
        <w:tabs>
          <w:tab w:val="clear" w:pos="431"/>
          <w:tab w:val="left" w:pos="1701"/>
        </w:tabs>
        <w:suppressAutoHyphens/>
        <w:overflowPunct/>
        <w:spacing w:after="120" w:line="240" w:lineRule="atLeast"/>
        <w:ind w:left="1701" w:right="1134" w:hanging="170"/>
        <w:rPr>
          <w:sz w:val="20"/>
          <w:lang w:val="es-ES" w:eastAsia="en-US"/>
        </w:rPr>
      </w:pPr>
      <w:r w:rsidRPr="00A648CE">
        <w:rPr>
          <w:sz w:val="20"/>
          <w:lang w:val="es-ES" w:eastAsia="en-US"/>
        </w:rPr>
        <w:t>•</w:t>
      </w:r>
      <w:r w:rsidRPr="00A648CE">
        <w:rPr>
          <w:sz w:val="20"/>
          <w:lang w:val="es-ES" w:eastAsia="en-US"/>
        </w:rPr>
        <w:tab/>
        <w:t>Abogado José Rubén Pineda Rubí, Asistente de Presidencia y Jefe de Protocolo del Poder Judicial</w:t>
      </w:r>
    </w:p>
    <w:p w:rsidR="00A648CE" w:rsidRDefault="00A648CE" w:rsidP="00A648CE">
      <w:pPr>
        <w:pStyle w:val="SingleTxtGC"/>
        <w:rPr>
          <w:rFonts w:hint="eastAsia"/>
          <w:lang w:val="es-ES"/>
        </w:rPr>
      </w:pPr>
    </w:p>
    <w:p w:rsidR="00A648CE" w:rsidRPr="002D6A9C" w:rsidRDefault="00A648CE">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A648CE" w:rsidRPr="002D6A9C">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67" w:rsidRPr="00E0554F" w:rsidRDefault="00BA6767" w:rsidP="00E0554F">
      <w:pPr>
        <w:pStyle w:val="Footer"/>
        <w:spacing w:after="240"/>
        <w:ind w:left="907"/>
        <w:rPr>
          <w:rFonts w:eastAsia="KaiTi_GB2312" w:hint="eastAsia"/>
          <w:sz w:val="21"/>
          <w:szCs w:val="21"/>
          <w:lang w:eastAsia="zh-CN"/>
        </w:rPr>
      </w:pPr>
      <w:r>
        <w:rPr>
          <w:rFonts w:eastAsia="KaiTi_GB2312" w:hint="eastAsia"/>
          <w:sz w:val="21"/>
          <w:szCs w:val="21"/>
          <w:lang w:eastAsia="zh-CN"/>
        </w:rPr>
        <w:t>注</w:t>
      </w:r>
    </w:p>
  </w:endnote>
  <w:endnote w:type="continuationSeparator" w:id="0">
    <w:p w:rsidR="00BA6767" w:rsidRPr="00E0554F" w:rsidRDefault="00BA6767" w:rsidP="00E0554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ngsana New">
    <w:panose1 w:val="02020603050405020304"/>
    <w:charset w:val="00"/>
    <w:family w:val="roman"/>
    <w:pitch w:val="variable"/>
    <w:sig w:usb0="81000003" w:usb1="00000000" w:usb2="00000000" w:usb3="00000000" w:csb0="00010001" w:csb1="00000000"/>
  </w:font>
  <w:font w:name="Time New 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2C60A9" w:rsidRDefault="005441F4" w:rsidP="00637441">
    <w:pPr>
      <w:pStyle w:val="Footer"/>
      <w:tabs>
        <w:tab w:val="clear" w:pos="431"/>
        <w:tab w:val="right" w:pos="9639"/>
      </w:tabs>
      <w:rPr>
        <w:rStyle w:val="PageNumber"/>
        <w:rFonts w:eastAsia="SimSun" w:hint="eastAsia"/>
        <w:b w:val="0"/>
        <w:sz w:val="16"/>
        <w:lang w:val="en-US" w:eastAsia="zh-CN"/>
      </w:rPr>
    </w:pPr>
    <w:r>
      <w:rPr>
        <w:rStyle w:val="PageNumber"/>
      </w:rPr>
      <w:fldChar w:fldCharType="begin"/>
    </w:r>
    <w:r>
      <w:rPr>
        <w:rStyle w:val="PageNumber"/>
      </w:rPr>
      <w:instrText xml:space="preserve"> PAGE </w:instrText>
    </w:r>
    <w:r>
      <w:rPr>
        <w:rStyle w:val="PageNumber"/>
      </w:rPr>
      <w:fldChar w:fldCharType="separate"/>
    </w:r>
    <w:r w:rsidR="00310DF7">
      <w:rPr>
        <w:rStyle w:val="PageNumber"/>
        <w:noProof/>
      </w:rPr>
      <w:t>24</w:t>
    </w:r>
    <w:r>
      <w:rPr>
        <w:rStyle w:val="PageNumber"/>
      </w:rPr>
      <w:fldChar w:fldCharType="end"/>
    </w:r>
    <w:r>
      <w:rPr>
        <w:rStyle w:val="PageNumber"/>
        <w:rFonts w:eastAsia="SimSun" w:hint="eastAsia"/>
        <w:lang w:eastAsia="zh-CN"/>
      </w:rPr>
      <w:tab/>
    </w:r>
    <w:r w:rsidRPr="002C60A9">
      <w:rPr>
        <w:rFonts w:eastAsia="SimSun"/>
        <w:lang w:eastAsia="zh-CN"/>
      </w:rPr>
      <w:t>GE.15-11981</w:t>
    </w:r>
    <w:r>
      <w:rPr>
        <w:rFonts w:eastAsia="SimSun"/>
        <w:lang w:val="en-US" w:eastAsia="zh-CN"/>
      </w:rPr>
      <w:t xml:space="preserve"> (EXT)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Default="005441F4">
    <w:pPr>
      <w:pStyle w:val="Footer"/>
      <w:tabs>
        <w:tab w:val="right" w:pos="9639"/>
      </w:tabs>
    </w:pPr>
    <w:r w:rsidRPr="002C60A9">
      <w:rPr>
        <w:rFonts w:eastAsia="SimSun"/>
        <w:lang w:eastAsia="zh-CN"/>
      </w:rPr>
      <w:t>GE.15-11981</w:t>
    </w:r>
    <w:r>
      <w:rPr>
        <w:rFonts w:eastAsia="SimSun"/>
        <w:lang w:eastAsia="zh-CN"/>
      </w:rPr>
      <w:t xml:space="preserve"> (EXT)</w:t>
    </w:r>
    <w:r>
      <w:rPr>
        <w:rFonts w:eastAsia="SimSun"/>
      </w:rPr>
      <w:tab/>
    </w:r>
    <w:r>
      <w:rPr>
        <w:rStyle w:val="PageNumber"/>
      </w:rPr>
      <w:fldChar w:fldCharType="begin"/>
    </w:r>
    <w:r>
      <w:rPr>
        <w:rStyle w:val="PageNumber"/>
      </w:rPr>
      <w:instrText xml:space="preserve"> PAGE </w:instrText>
    </w:r>
    <w:r>
      <w:rPr>
        <w:rStyle w:val="PageNumber"/>
      </w:rPr>
      <w:fldChar w:fldCharType="separate"/>
    </w:r>
    <w:r w:rsidR="00310DF7">
      <w:rPr>
        <w:rStyle w:val="PageNumber"/>
        <w:noProof/>
      </w:rPr>
      <w:t>23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Default="00310DF7" w:rsidP="00107C77">
    <w:pPr>
      <w:pStyle w:val="Footer"/>
      <w:tabs>
        <w:tab w:val="left" w:pos="1701"/>
        <w:tab w:val="left" w:pos="2552"/>
        <w:tab w:val="left" w:pos="8448"/>
      </w:tabs>
      <w:spacing w:before="360"/>
      <w:rPr>
        <w:rFonts w:eastAsia="SimSun" w:hint="eastAsia"/>
        <w:b/>
        <w:sz w:val="21"/>
        <w:lang w:eastAsia="zh-CN"/>
      </w:rPr>
    </w:pPr>
    <w:r>
      <w:rPr>
        <w:rFonts w:eastAsia="SimSun"/>
        <w:noProof/>
        <w:snapToGrid/>
        <w:sz w:val="20"/>
        <w:lang w:eastAsia="en-GB"/>
      </w:rPr>
      <w:drawing>
        <wp:anchor distT="0" distB="0" distL="114300" distR="114300" simplePos="0" relativeHeight="251657728" behindDoc="0" locked="0" layoutInCell="1" allowOverlap="1">
          <wp:simplePos x="0" y="0"/>
          <wp:positionH relativeFrom="column">
            <wp:posOffset>5511800</wp:posOffset>
          </wp:positionH>
          <wp:positionV relativeFrom="paragraph">
            <wp:posOffset>118110</wp:posOffset>
          </wp:positionV>
          <wp:extent cx="638175" cy="638175"/>
          <wp:effectExtent l="0" t="0" r="9525" b="9525"/>
          <wp:wrapSquare wrapText="bothSides"/>
          <wp:docPr id="1" name="Picture 1" descr="11&amp;Size=2&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amp;Size=2&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F4">
      <w:rPr>
        <w:rFonts w:eastAsia="SimSun"/>
        <w:sz w:val="20"/>
        <w:lang w:eastAsia="zh-CN"/>
      </w:rPr>
      <w:t>GE.</w:t>
    </w:r>
    <w:r w:rsidR="005441F4">
      <w:rPr>
        <w:rFonts w:eastAsia="SimSun" w:hint="eastAsia"/>
        <w:sz w:val="20"/>
        <w:lang w:eastAsia="zh-CN"/>
      </w:rPr>
      <w:t>15</w:t>
    </w:r>
    <w:r w:rsidR="005441F4">
      <w:rPr>
        <w:rFonts w:eastAsia="SimSun"/>
        <w:sz w:val="20"/>
        <w:lang w:eastAsia="zh-CN"/>
      </w:rPr>
      <w:t>-</w:t>
    </w:r>
    <w:r w:rsidR="005441F4">
      <w:rPr>
        <w:rFonts w:eastAsia="SimSun" w:hint="eastAsia"/>
        <w:sz w:val="20"/>
        <w:lang w:eastAsia="zh-CN"/>
      </w:rPr>
      <w:t>11981</w:t>
    </w:r>
    <w:r w:rsidR="005441F4">
      <w:rPr>
        <w:rFonts w:eastAsia="SimSun"/>
        <w:sz w:val="20"/>
        <w:lang w:eastAsia="zh-CN"/>
      </w:rPr>
      <w:t xml:space="preserve"> (</w:t>
    </w:r>
    <w:r w:rsidR="005441F4">
      <w:rPr>
        <w:rFonts w:eastAsia="SimSun" w:hint="eastAsia"/>
        <w:sz w:val="20"/>
        <w:lang w:eastAsia="zh-CN"/>
      </w:rPr>
      <w:t>EXT</w:t>
    </w:r>
    <w:r w:rsidR="005441F4" w:rsidRPr="00EE277A">
      <w:rPr>
        <w:rFonts w:eastAsia="SimSun"/>
        <w:sz w:val="20"/>
        <w:lang w:eastAsia="zh-CN"/>
      </w:rPr>
      <w:t>)</w:t>
    </w:r>
  </w:p>
  <w:p w:rsidR="005441F4" w:rsidRPr="00613337" w:rsidRDefault="005441F4" w:rsidP="003A79F6">
    <w:pPr>
      <w:pStyle w:val="Footer"/>
      <w:tabs>
        <w:tab w:val="left" w:pos="7484"/>
      </w:tabs>
      <w:rPr>
        <w:rFonts w:eastAsia="SimSun" w:hint="eastAsia"/>
        <w:sz w:val="20"/>
        <w:lang w:eastAsia="zh-CN"/>
      </w:rPr>
    </w:pPr>
    <w:r>
      <w:rPr>
        <w:rFonts w:ascii="C39T30Lfz" w:eastAsia="SimSun" w:hAnsi="C39T30Lfz"/>
        <w:sz w:val="56"/>
        <w:szCs w:val="56"/>
        <w:lang w:eastAsia="zh-CN"/>
      </w:rPr>
      <w:t></w:t>
    </w:r>
    <w:r>
      <w:rPr>
        <w:rFonts w:ascii="C39T30Lfz" w:eastAsia="SimSun" w:hAnsi="C39T30Lfz"/>
        <w:sz w:val="56"/>
        <w:szCs w:val="56"/>
        <w:lang w:eastAsia="zh-CN"/>
      </w:rPr>
      <w:t></w:t>
    </w:r>
    <w:r>
      <w:rPr>
        <w:rFonts w:ascii="C39T30Lfz" w:eastAsia="SimSun" w:hAnsi="C39T30Lfz"/>
        <w:sz w:val="56"/>
        <w:szCs w:val="56"/>
        <w:lang w:eastAsia="zh-CN"/>
      </w:rPr>
      <w:t></w:t>
    </w:r>
    <w:r w:rsidRPr="002C60A9">
      <w:rPr>
        <w:rFonts w:ascii="C39T30Lfz" w:eastAsia="SimSun" w:hAnsi="C39T30Lfz"/>
        <w:sz w:val="56"/>
        <w:szCs w:val="56"/>
        <w:lang w:eastAsia="zh-CN"/>
      </w:rPr>
      <w:t></w:t>
    </w:r>
    <w:r w:rsidRPr="002C60A9">
      <w:rPr>
        <w:rFonts w:ascii="C39T30Lfz" w:eastAsia="SimSun" w:hAnsi="C39T30Lfz"/>
        <w:sz w:val="56"/>
        <w:szCs w:val="56"/>
        <w:lang w:eastAsia="zh-CN"/>
      </w:rPr>
      <w:t></w:t>
    </w:r>
    <w:r w:rsidRPr="002C60A9">
      <w:rPr>
        <w:rFonts w:ascii="C39T30Lfz" w:eastAsia="SimSun" w:hAnsi="C39T30Lfz"/>
        <w:sz w:val="56"/>
        <w:szCs w:val="56"/>
        <w:lang w:eastAsia="zh-CN"/>
      </w:rPr>
      <w:t></w:t>
    </w:r>
    <w:r w:rsidRPr="002C60A9">
      <w:rPr>
        <w:rFonts w:ascii="C39T30Lfz" w:eastAsia="SimSun" w:hAnsi="C39T30Lfz"/>
        <w:sz w:val="56"/>
        <w:szCs w:val="56"/>
        <w:lang w:eastAsia="zh-CN"/>
      </w:rPr>
      <w:t></w:t>
    </w:r>
    <w:r w:rsidRPr="002C60A9">
      <w:rPr>
        <w:rFonts w:ascii="C39T30Lfz" w:eastAsia="SimSun" w:hAnsi="C39T30Lfz"/>
        <w:sz w:val="56"/>
        <w:szCs w:val="56"/>
        <w:lang w:eastAsia="zh-CN"/>
      </w:rPr>
      <w:t></w:t>
    </w:r>
    <w:r w:rsidRPr="00F524CC">
      <w:rPr>
        <w:rFonts w:ascii="C39T30Lfz" w:eastAsia="SimSun" w:hAnsi="C39T30Lfz"/>
        <w:sz w:val="56"/>
        <w:szCs w:val="56"/>
        <w:lang w:eastAsia="zh-CN"/>
      </w:rPr>
      <w:t></w:t>
    </w:r>
    <w:r>
      <w:rPr>
        <w:rFonts w:ascii="C39T30Lfz" w:eastAsia="SimSun" w:hAnsi="C39T30Lfz"/>
        <w:b/>
        <w:sz w:val="56"/>
        <w:szCs w:val="56"/>
        <w:lang w:eastAsia="zh-CN"/>
      </w:rPr>
      <w:tab/>
    </w:r>
    <w:r w:rsidR="00310DF7">
      <w:rPr>
        <w:b/>
        <w:noProof/>
        <w:snapToGrid/>
        <w:sz w:val="21"/>
        <w:lang w:eastAsia="en-GB"/>
      </w:rPr>
      <w:drawing>
        <wp:inline distT="0" distB="0" distL="0" distR="0">
          <wp:extent cx="617220" cy="228600"/>
          <wp:effectExtent l="0" t="0" r="0" b="0"/>
          <wp:docPr id="2" name="Picture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67" w:rsidRPr="000157B1" w:rsidRDefault="00BA6767" w:rsidP="000157B1">
      <w:pPr>
        <w:pStyle w:val="Footer"/>
        <w:tabs>
          <w:tab w:val="clear" w:pos="431"/>
          <w:tab w:val="right" w:pos="2155"/>
        </w:tabs>
        <w:spacing w:after="80" w:line="240" w:lineRule="atLeast"/>
        <w:ind w:left="680"/>
        <w:rPr>
          <w:rFonts w:eastAsia="SimSun" w:hint="eastAsia"/>
          <w:u w:val="single"/>
          <w:lang w:eastAsia="zh-CN"/>
        </w:rPr>
      </w:pPr>
      <w:r>
        <w:rPr>
          <w:rFonts w:eastAsia="SimSun" w:hint="eastAsia"/>
          <w:u w:val="single"/>
          <w:lang w:eastAsia="zh-CN"/>
        </w:rPr>
        <w:tab/>
      </w:r>
    </w:p>
  </w:footnote>
  <w:footnote w:type="continuationSeparator" w:id="0">
    <w:p w:rsidR="00BA6767" w:rsidRPr="000157B1" w:rsidRDefault="00BA6767" w:rsidP="000157B1">
      <w:pPr>
        <w:pStyle w:val="Footer"/>
        <w:tabs>
          <w:tab w:val="clear" w:pos="431"/>
          <w:tab w:val="right" w:pos="2155"/>
        </w:tabs>
        <w:spacing w:after="80" w:line="240" w:lineRule="atLeast"/>
        <w:ind w:left="680"/>
        <w:rPr>
          <w:rFonts w:eastAsia="SimSun" w:hint="eastAsia"/>
          <w:u w:val="single"/>
          <w:lang w:eastAsia="zh-CN"/>
        </w:rPr>
      </w:pPr>
      <w:r>
        <w:rPr>
          <w:rFonts w:hint="eastAsia"/>
          <w:u w:val="single"/>
        </w:rPr>
        <w:tab/>
      </w:r>
    </w:p>
  </w:footnote>
  <w:footnote w:type="continuationNotice" w:id="1">
    <w:p w:rsidR="00BA6767" w:rsidRDefault="00BA6767"/>
  </w:footnote>
  <w:footnote w:id="2">
    <w:p w:rsidR="005441F4" w:rsidRPr="001275E1" w:rsidRDefault="005441F4">
      <w:pPr>
        <w:pStyle w:val="FootnoteText"/>
      </w:pPr>
      <w:r>
        <w:tab/>
      </w:r>
      <w:r w:rsidRPr="001275E1">
        <w:rPr>
          <w:rStyle w:val="FootnoteReference"/>
          <w:vertAlign w:val="baseline"/>
        </w:rPr>
        <w:t>*</w:t>
      </w:r>
      <w:r w:rsidRPr="001275E1">
        <w:tab/>
      </w:r>
      <w:r w:rsidRPr="001275E1">
        <w:rPr>
          <w:rFonts w:hint="eastAsia"/>
        </w:rPr>
        <w:t>本报告附件不译，原文照发。</w:t>
      </w:r>
    </w:p>
  </w:footnote>
  <w:footnote w:id="3">
    <w:p w:rsidR="005441F4" w:rsidRPr="009573AC" w:rsidRDefault="005441F4">
      <w:pPr>
        <w:pStyle w:val="FootnoteText"/>
      </w:pPr>
      <w:r>
        <w:tab/>
      </w:r>
      <w:r>
        <w:rPr>
          <w:rStyle w:val="FootnoteReference"/>
        </w:rPr>
        <w:footnoteRef/>
      </w:r>
      <w:r>
        <w:tab/>
      </w:r>
      <w:r w:rsidRPr="009573AC">
        <w:rPr>
          <w:rFonts w:hint="eastAsia"/>
        </w:rPr>
        <w:t>http://webtv.un.org/meetings-events/human-rights-council/universal-periodic-review/watch/honduras-review-22nd-session-of-universal-periodic-review/4224969251001</w:t>
      </w:r>
      <w:r w:rsidRPr="009573AC">
        <w:rPr>
          <w:rFonts w:hint="eastAsia"/>
        </w:rPr>
        <w:t>。</w:t>
      </w:r>
    </w:p>
  </w:footnote>
  <w:footnote w:id="4">
    <w:p w:rsidR="005441F4" w:rsidRPr="009573AC" w:rsidRDefault="005441F4">
      <w:pPr>
        <w:pStyle w:val="FootnoteText"/>
      </w:pPr>
      <w:r>
        <w:tab/>
      </w:r>
      <w:r w:rsidRPr="009573AC">
        <w:rPr>
          <w:rStyle w:val="FootnoteReference"/>
          <w:vertAlign w:val="baseline"/>
        </w:rPr>
        <w:t>**</w:t>
      </w:r>
      <w:r w:rsidRPr="009573AC">
        <w:tab/>
      </w:r>
      <w:r w:rsidRPr="009573AC">
        <w:rPr>
          <w:rFonts w:hint="eastAsia"/>
        </w:rPr>
        <w:t>结论和建议未经编辑。</w:t>
      </w:r>
    </w:p>
  </w:footnote>
  <w:footnote w:id="5">
    <w:p w:rsidR="005441F4" w:rsidRPr="005441F4" w:rsidRDefault="005441F4">
      <w:pPr>
        <w:pStyle w:val="FootnoteText"/>
      </w:pPr>
      <w:r>
        <w:tab/>
      </w:r>
      <w:r>
        <w:rPr>
          <w:rStyle w:val="FootnoteReference"/>
        </w:rPr>
        <w:footnoteRef/>
      </w:r>
      <w:r>
        <w:tab/>
      </w:r>
      <w:r w:rsidRPr="005441F4">
        <w:rPr>
          <w:rFonts w:hint="eastAsia"/>
        </w:rPr>
        <w:t>互动对话期间提出的这些建议为：采取措施确保在所有各级和所有领域，包括军事行动中充分保护儿童，并确保负责执行这些措施的机构获得充足资金和资源，从而有效履行这项职责</w:t>
      </w:r>
      <w:r w:rsidRPr="005441F4">
        <w:rPr>
          <w:rFonts w:hint="eastAsia"/>
        </w:rPr>
        <w:t>(</w:t>
      </w:r>
      <w:r w:rsidRPr="005441F4">
        <w:rPr>
          <w:rFonts w:hint="eastAsia"/>
        </w:rPr>
        <w:t>纳米比亚</w:t>
      </w:r>
      <w:r w:rsidRPr="005441F4">
        <w:rPr>
          <w:rFonts w:hint="eastAsia"/>
        </w:rPr>
        <w:t>)</w:t>
      </w:r>
      <w:r w:rsidRPr="005441F4">
        <w:rPr>
          <w:rFonts w:hint="eastAsia"/>
        </w:rPr>
        <w:t>。</w:t>
      </w:r>
    </w:p>
  </w:footnote>
  <w:footnote w:id="6">
    <w:p w:rsidR="005441F4" w:rsidRPr="005441F4" w:rsidRDefault="005441F4">
      <w:pPr>
        <w:pStyle w:val="FootnoteText"/>
      </w:pPr>
      <w:r>
        <w:tab/>
      </w:r>
      <w:r>
        <w:rPr>
          <w:rStyle w:val="FootnoteReference"/>
        </w:rPr>
        <w:footnoteRef/>
      </w:r>
      <w:r>
        <w:tab/>
      </w:r>
      <w:r w:rsidRPr="005441F4">
        <w:rPr>
          <w:rFonts w:hint="eastAsia"/>
        </w:rPr>
        <w:t>互动对话期间提出的这一建议为：制定和实施裁军政策</w:t>
      </w:r>
      <w:r w:rsidRPr="005441F4">
        <w:rPr>
          <w:rFonts w:hint="eastAsia"/>
        </w:rPr>
        <w:t>(</w:t>
      </w:r>
      <w:r w:rsidRPr="005441F4">
        <w:rPr>
          <w:rFonts w:hint="eastAsia"/>
        </w:rPr>
        <w:t>瑞典</w:t>
      </w:r>
      <w:r w:rsidRPr="005441F4">
        <w:rPr>
          <w:rFonts w:hint="eastAsia"/>
        </w:rPr>
        <w:t>)</w:t>
      </w:r>
      <w:r w:rsidRPr="005441F4">
        <w:rPr>
          <w:rFonts w:hint="eastAsia"/>
        </w:rPr>
        <w:t>。</w:t>
      </w:r>
    </w:p>
  </w:footnote>
  <w:footnote w:id="7">
    <w:p w:rsidR="005441F4" w:rsidRPr="005441F4" w:rsidRDefault="005441F4">
      <w:pPr>
        <w:pStyle w:val="FootnoteText"/>
      </w:pPr>
      <w:r>
        <w:tab/>
      </w:r>
      <w:r>
        <w:rPr>
          <w:rStyle w:val="FootnoteReference"/>
        </w:rPr>
        <w:footnoteRef/>
      </w:r>
      <w:r>
        <w:tab/>
      </w:r>
      <w:r w:rsidRPr="005441F4">
        <w:rPr>
          <w:rFonts w:hint="eastAsia"/>
        </w:rPr>
        <w:t>互动对话期间的这一条建议为：考虑批准或加入《经济、社会、文化权利国际公约任择议定书》、《消除对妇女一切形式歧视公约任择议定书》和《儿童权利公约任择议定书》</w:t>
      </w:r>
      <w:r w:rsidRPr="005441F4">
        <w:rPr>
          <w:rFonts w:hint="eastAsia"/>
        </w:rPr>
        <w:t>(</w:t>
      </w:r>
      <w:r w:rsidRPr="005441F4">
        <w:rPr>
          <w:rFonts w:hint="eastAsia"/>
        </w:rPr>
        <w:t>秘鲁</w:t>
      </w:r>
      <w:r w:rsidRPr="005441F4">
        <w:rPr>
          <w:rFonts w:hint="eastAsia"/>
        </w:rPr>
        <w:t>)</w:t>
      </w:r>
      <w:r w:rsidRPr="005441F4">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2C60A9" w:rsidRDefault="005441F4">
    <w:pPr>
      <w:pStyle w:val="Header"/>
    </w:pPr>
    <w:r w:rsidRPr="002C60A9">
      <w:t>A/HRC/30/11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2C60A9" w:rsidRDefault="005441F4">
    <w:pPr>
      <w:pStyle w:val="Header"/>
      <w:jc w:val="right"/>
      <w:rPr>
        <w:rFonts w:hint="eastAsia"/>
        <w:lang w:eastAsia="zh-CN"/>
      </w:rPr>
    </w:pPr>
    <w:r w:rsidRPr="002C60A9">
      <w:rPr>
        <w:lang w:eastAsia="zh-CN"/>
      </w:rPr>
      <w:t>A/HRC/30/11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10"/>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
    <w:nsid w:val="00000015"/>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3">
    <w:nsid w:val="03F2036B"/>
    <w:multiLevelType w:val="hybridMultilevel"/>
    <w:tmpl w:val="B22E0BFA"/>
    <w:lvl w:ilvl="0" w:tplc="FFFFFFFF">
      <w:start w:val="1"/>
      <w:numFmt w:val="bullet"/>
      <w:pStyle w:val="Bullet1G"/>
      <w:lvlText w:val="•"/>
      <w:lvlJc w:val="left"/>
      <w:pPr>
        <w:tabs>
          <w:tab w:val="num" w:pos="1701"/>
        </w:tabs>
        <w:ind w:left="1701" w:hanging="17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8196321"/>
    <w:multiLevelType w:val="hybridMultilevel"/>
    <w:tmpl w:val="D3D8A2F6"/>
    <w:lvl w:ilvl="0" w:tplc="30F8F88C">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ED2473D"/>
    <w:multiLevelType w:val="hybridMultilevel"/>
    <w:tmpl w:val="8D3E2C2C"/>
    <w:lvl w:ilvl="0" w:tplc="4C000746">
      <w:start w:val="1"/>
      <w:numFmt w:val="bullet"/>
      <w:pStyle w:val="List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7">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FFD586C"/>
    <w:multiLevelType w:val="hybridMultilevel"/>
    <w:tmpl w:val="F8E28A32"/>
    <w:lvl w:ilvl="0" w:tplc="8DD243C2">
      <w:start w:val="1"/>
      <w:numFmt w:val="lowerLetter"/>
      <w:lvlRestart w:val="0"/>
      <w:lvlText w:val="(%1)"/>
      <w:lvlJc w:val="left"/>
      <w:pPr>
        <w:tabs>
          <w:tab w:val="num" w:pos="2426"/>
        </w:tabs>
        <w:ind w:left="1134" w:firstLine="431"/>
      </w:pPr>
      <w:rPr>
        <w:rFonts w:ascii="Times New Roman" w:hAnsi="Times New Roman" w:cs="Times New Roman" w:hint="eastAsia"/>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68862366"/>
    <w:multiLevelType w:val="hybridMultilevel"/>
    <w:tmpl w:val="523E6D94"/>
    <w:lvl w:ilvl="0" w:tplc="6166126C">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10"/>
  </w:num>
  <w:num w:numId="6">
    <w:abstractNumId w:val="5"/>
  </w:num>
  <w:num w:numId="7">
    <w:abstractNumId w:val="2"/>
  </w:num>
  <w:num w:numId="8">
    <w:abstractNumId w:val="1"/>
  </w:num>
  <w:num w:numId="9">
    <w:abstractNumId w:val="0"/>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10">
    <w:abstractNumId w:val="8"/>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1"/>
  <w:evenAndOddHeaders/>
  <w:drawingGridHorizontalSpacing w:val="130"/>
  <w:drawingGridVerticalSpacing w:val="163"/>
  <w:displayHorizontalDrawingGridEvery w:val="0"/>
  <w:displayVerticalDrawingGridEvery w:val="2"/>
  <w:characterSpacingControl w:val="doNotCompress"/>
  <w:hdrShapeDefaults>
    <o:shapedefaults v:ext="edit" spidmax="3074"/>
  </w:hdrShapeDefaults>
  <w:footnotePr>
    <w:footnote w:id="-1"/>
    <w:footnote w:id="0"/>
    <w:footnote w:id="1"/>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A9"/>
    <w:rsid w:val="0000411A"/>
    <w:rsid w:val="00005A89"/>
    <w:rsid w:val="00007BCF"/>
    <w:rsid w:val="000157B1"/>
    <w:rsid w:val="00050226"/>
    <w:rsid w:val="0005102E"/>
    <w:rsid w:val="000637CE"/>
    <w:rsid w:val="00082E10"/>
    <w:rsid w:val="000A03EB"/>
    <w:rsid w:val="000A7C04"/>
    <w:rsid w:val="000C416A"/>
    <w:rsid w:val="000D1E21"/>
    <w:rsid w:val="000D39E1"/>
    <w:rsid w:val="000D3E55"/>
    <w:rsid w:val="000F5937"/>
    <w:rsid w:val="00100536"/>
    <w:rsid w:val="00107C15"/>
    <w:rsid w:val="00107C77"/>
    <w:rsid w:val="00111D10"/>
    <w:rsid w:val="00125776"/>
    <w:rsid w:val="001275E1"/>
    <w:rsid w:val="00127C05"/>
    <w:rsid w:val="00132181"/>
    <w:rsid w:val="00140B6A"/>
    <w:rsid w:val="00145946"/>
    <w:rsid w:val="00145C92"/>
    <w:rsid w:val="001613CE"/>
    <w:rsid w:val="00165F4E"/>
    <w:rsid w:val="001A23E8"/>
    <w:rsid w:val="001A2F1C"/>
    <w:rsid w:val="001A5624"/>
    <w:rsid w:val="001B11DB"/>
    <w:rsid w:val="001C1935"/>
    <w:rsid w:val="001C3E9A"/>
    <w:rsid w:val="0024012F"/>
    <w:rsid w:val="002629D4"/>
    <w:rsid w:val="00280515"/>
    <w:rsid w:val="00286515"/>
    <w:rsid w:val="002C60A9"/>
    <w:rsid w:val="002D31D6"/>
    <w:rsid w:val="002D3FCB"/>
    <w:rsid w:val="002E68BE"/>
    <w:rsid w:val="002F3F47"/>
    <w:rsid w:val="002F6678"/>
    <w:rsid w:val="00306AE9"/>
    <w:rsid w:val="00310DF7"/>
    <w:rsid w:val="00315796"/>
    <w:rsid w:val="00322B61"/>
    <w:rsid w:val="00322F28"/>
    <w:rsid w:val="003734E0"/>
    <w:rsid w:val="00382B00"/>
    <w:rsid w:val="003836F1"/>
    <w:rsid w:val="00385C14"/>
    <w:rsid w:val="003A79F6"/>
    <w:rsid w:val="003B038F"/>
    <w:rsid w:val="003C0B23"/>
    <w:rsid w:val="003C27FE"/>
    <w:rsid w:val="003F65D6"/>
    <w:rsid w:val="003F7BF8"/>
    <w:rsid w:val="00400A2E"/>
    <w:rsid w:val="00407FCF"/>
    <w:rsid w:val="0044178A"/>
    <w:rsid w:val="00453A81"/>
    <w:rsid w:val="00467D72"/>
    <w:rsid w:val="004746B9"/>
    <w:rsid w:val="004755EF"/>
    <w:rsid w:val="004858FB"/>
    <w:rsid w:val="00486766"/>
    <w:rsid w:val="00497F5C"/>
    <w:rsid w:val="004B6DD4"/>
    <w:rsid w:val="004C5291"/>
    <w:rsid w:val="004D1280"/>
    <w:rsid w:val="004D7F04"/>
    <w:rsid w:val="004E6C67"/>
    <w:rsid w:val="004F7C9A"/>
    <w:rsid w:val="00500866"/>
    <w:rsid w:val="00535843"/>
    <w:rsid w:val="005441F4"/>
    <w:rsid w:val="00571343"/>
    <w:rsid w:val="00572547"/>
    <w:rsid w:val="00582C70"/>
    <w:rsid w:val="005906E6"/>
    <w:rsid w:val="005A5B0A"/>
    <w:rsid w:val="005B0D8A"/>
    <w:rsid w:val="005F34AF"/>
    <w:rsid w:val="005F4B29"/>
    <w:rsid w:val="00613337"/>
    <w:rsid w:val="00614D7D"/>
    <w:rsid w:val="00630755"/>
    <w:rsid w:val="00637441"/>
    <w:rsid w:val="00637834"/>
    <w:rsid w:val="00647FD7"/>
    <w:rsid w:val="00654172"/>
    <w:rsid w:val="00670C28"/>
    <w:rsid w:val="0067129C"/>
    <w:rsid w:val="00690C33"/>
    <w:rsid w:val="00697A6C"/>
    <w:rsid w:val="006B1273"/>
    <w:rsid w:val="006B3300"/>
    <w:rsid w:val="006B3471"/>
    <w:rsid w:val="006D002F"/>
    <w:rsid w:val="006E0708"/>
    <w:rsid w:val="006E3CD4"/>
    <w:rsid w:val="006E7DF9"/>
    <w:rsid w:val="006E7E21"/>
    <w:rsid w:val="007131E3"/>
    <w:rsid w:val="00717C19"/>
    <w:rsid w:val="007418FE"/>
    <w:rsid w:val="00751C2E"/>
    <w:rsid w:val="007522B5"/>
    <w:rsid w:val="00767F68"/>
    <w:rsid w:val="00785BE9"/>
    <w:rsid w:val="00786BD2"/>
    <w:rsid w:val="0079116A"/>
    <w:rsid w:val="00796BD3"/>
    <w:rsid w:val="00796EDF"/>
    <w:rsid w:val="007C0B4E"/>
    <w:rsid w:val="007D00F8"/>
    <w:rsid w:val="007D0842"/>
    <w:rsid w:val="007D7229"/>
    <w:rsid w:val="007E7822"/>
    <w:rsid w:val="007F501B"/>
    <w:rsid w:val="00801DCC"/>
    <w:rsid w:val="008029AD"/>
    <w:rsid w:val="0082049D"/>
    <w:rsid w:val="00824A57"/>
    <w:rsid w:val="0083180F"/>
    <w:rsid w:val="00885DC7"/>
    <w:rsid w:val="00890356"/>
    <w:rsid w:val="008A322C"/>
    <w:rsid w:val="008A6AB8"/>
    <w:rsid w:val="008E736A"/>
    <w:rsid w:val="009006FB"/>
    <w:rsid w:val="009348DB"/>
    <w:rsid w:val="009573AC"/>
    <w:rsid w:val="00964622"/>
    <w:rsid w:val="0096567D"/>
    <w:rsid w:val="009B1BD6"/>
    <w:rsid w:val="009D60E5"/>
    <w:rsid w:val="009F6C52"/>
    <w:rsid w:val="009F7338"/>
    <w:rsid w:val="00A067AD"/>
    <w:rsid w:val="00A26748"/>
    <w:rsid w:val="00A36F72"/>
    <w:rsid w:val="00A648CE"/>
    <w:rsid w:val="00A67F3E"/>
    <w:rsid w:val="00A95BD9"/>
    <w:rsid w:val="00A97235"/>
    <w:rsid w:val="00AD6719"/>
    <w:rsid w:val="00AE4D20"/>
    <w:rsid w:val="00B16973"/>
    <w:rsid w:val="00B30642"/>
    <w:rsid w:val="00B34537"/>
    <w:rsid w:val="00B61E34"/>
    <w:rsid w:val="00B624FD"/>
    <w:rsid w:val="00B82B2A"/>
    <w:rsid w:val="00B8703D"/>
    <w:rsid w:val="00B9104B"/>
    <w:rsid w:val="00B97559"/>
    <w:rsid w:val="00BA6767"/>
    <w:rsid w:val="00BC2A65"/>
    <w:rsid w:val="00BC3D38"/>
    <w:rsid w:val="00BE4EAA"/>
    <w:rsid w:val="00BF6DC5"/>
    <w:rsid w:val="00BF7E3F"/>
    <w:rsid w:val="00C143D7"/>
    <w:rsid w:val="00C435EE"/>
    <w:rsid w:val="00C62277"/>
    <w:rsid w:val="00C623B2"/>
    <w:rsid w:val="00C80DA9"/>
    <w:rsid w:val="00C862E5"/>
    <w:rsid w:val="00CA073C"/>
    <w:rsid w:val="00CA4105"/>
    <w:rsid w:val="00CE6DB5"/>
    <w:rsid w:val="00D2146D"/>
    <w:rsid w:val="00D43F71"/>
    <w:rsid w:val="00D54DF4"/>
    <w:rsid w:val="00D56026"/>
    <w:rsid w:val="00D619F6"/>
    <w:rsid w:val="00D84673"/>
    <w:rsid w:val="00DA7104"/>
    <w:rsid w:val="00DD66BC"/>
    <w:rsid w:val="00DF4798"/>
    <w:rsid w:val="00E05040"/>
    <w:rsid w:val="00E0554F"/>
    <w:rsid w:val="00E1548B"/>
    <w:rsid w:val="00E40A46"/>
    <w:rsid w:val="00E422D4"/>
    <w:rsid w:val="00E54840"/>
    <w:rsid w:val="00E911E5"/>
    <w:rsid w:val="00E91C05"/>
    <w:rsid w:val="00EE0918"/>
    <w:rsid w:val="00EE277A"/>
    <w:rsid w:val="00F41BAF"/>
    <w:rsid w:val="00F50AC2"/>
    <w:rsid w:val="00F50CB9"/>
    <w:rsid w:val="00F53D4C"/>
    <w:rsid w:val="00F54A14"/>
    <w:rsid w:val="00F61015"/>
    <w:rsid w:val="00F70079"/>
    <w:rsid w:val="00F72A3C"/>
    <w:rsid w:val="00F75048"/>
    <w:rsid w:val="00F75357"/>
    <w:rsid w:val="00F806C4"/>
    <w:rsid w:val="00FC6A02"/>
    <w:rsid w:val="00FD07F6"/>
    <w:rsid w:val="00FD416D"/>
    <w:rsid w:val="00FD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BE9"/>
    <w:pPr>
      <w:tabs>
        <w:tab w:val="left" w:pos="431"/>
      </w:tabs>
      <w:overflowPunct w:val="0"/>
      <w:adjustRightInd w:val="0"/>
      <w:snapToGrid w:val="0"/>
      <w:spacing w:line="320" w:lineRule="exact"/>
      <w:jc w:val="both"/>
    </w:pPr>
    <w:rPr>
      <w:snapToGrid w:val="0"/>
      <w:sz w:val="21"/>
      <w:lang w:val="en-US" w:eastAsia="zh-CN"/>
    </w:rPr>
  </w:style>
  <w:style w:type="paragraph" w:styleId="Heading1">
    <w:name w:val="heading 1"/>
    <w:aliases w:val="Table_G"/>
    <w:basedOn w:val="Normal"/>
    <w:next w:val="Normal"/>
    <w:link w:val="Heading1Char"/>
    <w:qFormat/>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pPr>
      <w:keepNext/>
      <w:keepLines/>
      <w:widowControl w:val="0"/>
      <w:spacing w:after="320"/>
      <w:jc w:val="center"/>
      <w:outlineLvl w:val="2"/>
    </w:pPr>
    <w:rPr>
      <w:kern w:val="28"/>
      <w:u w:val="single"/>
    </w:rPr>
  </w:style>
  <w:style w:type="paragraph" w:styleId="Heading4">
    <w:name w:val="heading 4"/>
    <w:basedOn w:val="Normal"/>
    <w:next w:val="Normal"/>
    <w:link w:val="Heading4Char"/>
    <w:qFormat/>
    <w:pPr>
      <w:keepNext/>
      <w:keepLines/>
      <w:widowControl w:val="0"/>
      <w:spacing w:after="240"/>
      <w:outlineLvl w:val="3"/>
    </w:pPr>
    <w:rPr>
      <w:u w:val="single"/>
    </w:rPr>
  </w:style>
  <w:style w:type="paragraph" w:styleId="Heading5">
    <w:name w:val="heading 5"/>
    <w:basedOn w:val="Normal"/>
    <w:next w:val="Normal"/>
    <w:link w:val="Heading5Char"/>
    <w:qFormat/>
    <w:pPr>
      <w:spacing w:after="240"/>
      <w:outlineLvl w:val="4"/>
    </w:pPr>
    <w:rPr>
      <w:rFonts w:eastAsia="SimHei"/>
      <w:bCs/>
      <w:szCs w:val="36"/>
    </w:rPr>
  </w:style>
  <w:style w:type="paragraph" w:styleId="Heading6">
    <w:name w:val="heading 6"/>
    <w:basedOn w:val="Normal"/>
    <w:next w:val="Normal"/>
    <w:link w:val="Heading6Char"/>
    <w:qFormat/>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pPr>
      <w:keepNext/>
      <w:keepLines/>
      <w:spacing w:before="240" w:after="64" w:line="320" w:lineRule="auto"/>
      <w:outlineLvl w:val="6"/>
    </w:pPr>
    <w:rPr>
      <w:b/>
      <w:bCs/>
      <w:szCs w:val="24"/>
    </w:rPr>
  </w:style>
  <w:style w:type="paragraph" w:styleId="Heading8">
    <w:name w:val="heading 8"/>
    <w:basedOn w:val="Normal"/>
    <w:next w:val="Normal"/>
    <w:link w:val="Heading8Char"/>
    <w:qFormat/>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pPr>
      <w:keepNext/>
      <w:keepLines/>
      <w:spacing w:before="240" w:after="64" w:line="320" w:lineRule="auto"/>
      <w:outlineLvl w:val="8"/>
    </w:pPr>
    <w:rPr>
      <w:rFonts w:ascii="Arial" w:eastAsia="SimHei" w:hAnsi="Arial"/>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shGC">
    <w:name w:val="_Dash_GC"/>
    <w:basedOn w:val="Normal"/>
    <w:rsid w:val="00801DCC"/>
    <w:pPr>
      <w:numPr>
        <w:numId w:val="3"/>
      </w:numPr>
      <w:tabs>
        <w:tab w:val="left" w:pos="1134"/>
        <w:tab w:val="left" w:pos="1565"/>
        <w:tab w:val="left" w:pos="2427"/>
      </w:tabs>
      <w:spacing w:after="120"/>
      <w:ind w:right="1134"/>
    </w:pPr>
    <w:rPr>
      <w:lang w:val="fr-CH"/>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lang w:val="en-US" w:eastAsia="zh-CN"/>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rsid w:val="002D31D6"/>
    <w:pPr>
      <w:keepLines/>
      <w:tabs>
        <w:tab w:val="clear" w:pos="431"/>
        <w:tab w:val="right" w:pos="1021"/>
      </w:tabs>
      <w:spacing w:after="120" w:line="240" w:lineRule="exact"/>
      <w:ind w:left="1134" w:right="1134" w:hanging="1134"/>
    </w:pPr>
    <w:rPr>
      <w:sz w:val="18"/>
    </w:rPr>
  </w:style>
  <w:style w:type="character" w:styleId="FootnoteReference">
    <w:name w:val="footnote reference"/>
    <w:aliases w:val="4_G Char1,ftref Char1,a Footnote Reference Char,FZ Char,Appel note de bas de page Char,Footnotes refss Char,Footnote number Char,4_G Char Char Char,Footnote text Char Char Char,ftref Char Char Char,16 Point Char Char Char"/>
    <w:link w:val="4G"/>
    <w:rsid w:val="00F41BAF"/>
    <w:rPr>
      <w:rFonts w:ascii="Times New Roman" w:hAnsi="Times New Roman"/>
      <w:dstrike w:val="0"/>
      <w:color w:val="0000FF"/>
      <w:spacing w:val="0"/>
      <w:w w:val="100"/>
      <w:kern w:val="0"/>
      <w:position w:val="0"/>
      <w:sz w:val="21"/>
      <w:vertAlign w:val="superscript"/>
    </w:rPr>
  </w:style>
  <w:style w:type="paragraph" w:customStyle="1" w:styleId="a">
    <w:name w:val="表中标题"/>
    <w:basedOn w:val="SingleTxtGC"/>
    <w:rsid w:val="00EE0918"/>
    <w:pPr>
      <w:spacing w:before="80" w:after="80" w:line="200" w:lineRule="exact"/>
      <w:ind w:left="0" w:right="113"/>
    </w:pPr>
    <w:rPr>
      <w:rFonts w:eastAsia="KaiTi_GB2312"/>
      <w:sz w:val="18"/>
    </w:rPr>
  </w:style>
  <w:style w:type="paragraph" w:customStyle="1" w:styleId="a0">
    <w:name w:val="缩进正文"/>
    <w:basedOn w:val="SingleTxtGC"/>
    <w:rsid w:val="0024012F"/>
    <w:pPr>
      <w:ind w:left="1565"/>
    </w:pPr>
  </w:style>
  <w:style w:type="paragraph" w:customStyle="1" w:styleId="a1">
    <w:name w:val="目录段页次"/>
    <w:basedOn w:val="Normal"/>
    <w:rsid w:val="00286515"/>
    <w:pPr>
      <w:widowControl w:val="0"/>
      <w:tabs>
        <w:tab w:val="clear" w:pos="431"/>
        <w:tab w:val="right" w:pos="851"/>
        <w:tab w:val="left" w:pos="1134"/>
        <w:tab w:val="left" w:pos="1565"/>
        <w:tab w:val="left" w:pos="1996"/>
        <w:tab w:val="right" w:leader="dot" w:pos="7655"/>
        <w:tab w:val="right" w:pos="8789"/>
        <w:tab w:val="right" w:pos="9554"/>
      </w:tabs>
      <w:spacing w:after="120"/>
      <w:ind w:left="1134" w:right="4253" w:hanging="1134"/>
    </w:pPr>
  </w:style>
  <w:style w:type="paragraph" w:customStyle="1" w:styleId="a2">
    <w:name w:val="目录页次"/>
    <w:basedOn w:val="Normal"/>
    <w:rsid w:val="00286515"/>
    <w:pPr>
      <w:widowControl w:val="0"/>
      <w:tabs>
        <w:tab w:val="clear" w:pos="431"/>
        <w:tab w:val="right" w:pos="851"/>
        <w:tab w:val="left" w:pos="1134"/>
        <w:tab w:val="left" w:pos="1565"/>
        <w:tab w:val="left" w:pos="1996"/>
        <w:tab w:val="right" w:leader="dot" w:pos="8789"/>
        <w:tab w:val="right" w:pos="9554"/>
      </w:tabs>
      <w:spacing w:after="120"/>
      <w:ind w:left="1134" w:right="3119" w:hanging="1134"/>
    </w:pPr>
  </w:style>
  <w:style w:type="paragraph" w:styleId="EndnoteText">
    <w:name w:val="endnote text"/>
    <w:aliases w:val="2_G"/>
    <w:basedOn w:val="FootnoteText"/>
    <w:link w:val="EndnoteTextChar"/>
    <w:rsid w:val="00B16973"/>
    <w:pPr>
      <w:tabs>
        <w:tab w:val="right" w:pos="1021"/>
      </w:tabs>
    </w:pPr>
  </w:style>
  <w:style w:type="character" w:styleId="EndnoteReference">
    <w:name w:val="endnote reference"/>
    <w:aliases w:val="1_G"/>
    <w:basedOn w:val="FootnoteReference"/>
    <w:rsid w:val="00F41BAF"/>
    <w:rPr>
      <w:rFonts w:ascii="Times New Roman" w:hAnsi="Times New Roman"/>
      <w:dstrike w:val="0"/>
      <w:color w:val="0000FF"/>
      <w:spacing w:val="0"/>
      <w:w w:val="100"/>
      <w:kern w:val="0"/>
      <w:position w:val="0"/>
      <w:sz w:val="21"/>
      <w:vertAlign w:val="superscript"/>
    </w:rPr>
  </w:style>
  <w:style w:type="paragraph" w:styleId="Footer">
    <w:name w:val="footer"/>
    <w:aliases w:val="3_G"/>
    <w:basedOn w:val="Normal"/>
    <w:link w:val="FooterChar"/>
    <w:rsid w:val="00CA4105"/>
    <w:pPr>
      <w:spacing w:line="240" w:lineRule="auto"/>
    </w:pPr>
    <w:rPr>
      <w:rFonts w:eastAsia="Times New Roman"/>
      <w:sz w:val="16"/>
      <w:lang w:val="en-GB" w:eastAsia="en-US"/>
    </w:rPr>
  </w:style>
  <w:style w:type="character" w:styleId="PageNumber">
    <w:name w:val="page number"/>
    <w:aliases w:val="7_G"/>
    <w:rsid w:val="00CA4105"/>
    <w:rPr>
      <w:rFonts w:ascii="Times New Roman" w:hAnsi="Times New Roman"/>
      <w:b/>
      <w:spacing w:val="0"/>
      <w:kern w:val="0"/>
      <w:sz w:val="18"/>
    </w:rPr>
  </w:style>
  <w:style w:type="paragraph" w:styleId="Header">
    <w:name w:val="header"/>
    <w:aliases w:val="6_G"/>
    <w:basedOn w:val="Normal"/>
    <w:link w:val="HeaderChar"/>
    <w:rsid w:val="00CA4105"/>
    <w:pPr>
      <w:pBdr>
        <w:bottom w:val="single" w:sz="4" w:space="4" w:color="auto"/>
      </w:pBdr>
      <w:tabs>
        <w:tab w:val="left" w:pos="992"/>
        <w:tab w:val="left" w:pos="5772"/>
        <w:tab w:val="left" w:pos="6634"/>
        <w:tab w:val="left" w:pos="7144"/>
        <w:tab w:val="left" w:pos="7655"/>
        <w:tab w:val="left" w:pos="8165"/>
      </w:tabs>
      <w:spacing w:line="240" w:lineRule="auto"/>
    </w:pPr>
    <w:rPr>
      <w:b/>
      <w:sz w:val="18"/>
      <w:lang w:val="en-GB" w:eastAsia="en-US"/>
    </w:rPr>
  </w:style>
  <w:style w:type="paragraph" w:customStyle="1" w:styleId="Bullet1GC">
    <w:name w:val="_Bullet 1_GC"/>
    <w:basedOn w:val="Normal"/>
    <w:rsid w:val="00322F28"/>
    <w:pPr>
      <w:numPr>
        <w:numId w:val="1"/>
      </w:numPr>
      <w:spacing w:after="120"/>
      <w:ind w:right="1134"/>
    </w:pPr>
  </w:style>
  <w:style w:type="paragraph" w:customStyle="1" w:styleId="Bullet2GC">
    <w:name w:val="_Bullet 2_GC"/>
    <w:basedOn w:val="Normal"/>
    <w:rsid w:val="00801DCC"/>
    <w:pPr>
      <w:numPr>
        <w:numId w:val="2"/>
      </w:numPr>
      <w:tabs>
        <w:tab w:val="left" w:pos="1134"/>
        <w:tab w:val="left" w:pos="1565"/>
        <w:tab w:val="left" w:pos="1996"/>
      </w:tabs>
      <w:spacing w:after="120"/>
      <w:ind w:right="1134"/>
    </w:pPr>
  </w:style>
  <w:style w:type="paragraph" w:styleId="Title">
    <w:name w:val="Title"/>
    <w:basedOn w:val="Normal"/>
    <w:qFormat/>
    <w:pPr>
      <w:spacing w:before="240" w:after="60"/>
      <w:jc w:val="center"/>
      <w:outlineLvl w:val="0"/>
    </w:pPr>
    <w:rPr>
      <w:rFonts w:ascii="Arial" w:hAnsi="Arial" w:cs="Arial"/>
      <w:b/>
      <w:bCs/>
      <w:sz w:val="32"/>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MGC">
    <w:name w:val="_ H __M_GC"/>
    <w:basedOn w:val="Normal"/>
    <w:next w:val="SingleTxtGC"/>
    <w:rsid w:val="005F34AF"/>
    <w:pPr>
      <w:keepNext/>
      <w:keepLines/>
      <w:tabs>
        <w:tab w:val="clear" w:pos="431"/>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SingleTxtGC"/>
    <w:rsid w:val="005F34AF"/>
    <w:pPr>
      <w:keepNext/>
      <w:keepLines/>
      <w:tabs>
        <w:tab w:val="clear" w:pos="431"/>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SingleTxtGC"/>
    <w:rsid w:val="005F34AF"/>
    <w:pPr>
      <w:keepNext/>
      <w:keepLines/>
      <w:tabs>
        <w:tab w:val="clear" w:pos="431"/>
        <w:tab w:val="right" w:pos="851"/>
      </w:tabs>
      <w:spacing w:before="360" w:after="240"/>
      <w:ind w:left="1134" w:right="1134" w:hanging="1134"/>
      <w:outlineLvl w:val="2"/>
    </w:pPr>
    <w:rPr>
      <w:rFonts w:eastAsia="SimHei"/>
      <w:sz w:val="24"/>
    </w:rPr>
  </w:style>
  <w:style w:type="paragraph" w:customStyle="1" w:styleId="H23GC">
    <w:name w:val="_ H_2/3_GC"/>
    <w:basedOn w:val="Normal"/>
    <w:next w:val="SingleTxtGC"/>
    <w:rsid w:val="005F34AF"/>
    <w:pPr>
      <w:keepNext/>
      <w:keepLines/>
      <w:tabs>
        <w:tab w:val="clear" w:pos="431"/>
        <w:tab w:val="right" w:pos="851"/>
      </w:tabs>
      <w:spacing w:before="240" w:after="120"/>
      <w:ind w:left="1134" w:right="1134" w:hanging="1134"/>
      <w:outlineLvl w:val="3"/>
    </w:pPr>
    <w:rPr>
      <w:rFonts w:eastAsia="SimHei"/>
      <w:sz w:val="22"/>
    </w:rPr>
  </w:style>
  <w:style w:type="paragraph" w:customStyle="1" w:styleId="H4GC">
    <w:name w:val="_ H_4_GC"/>
    <w:basedOn w:val="Normal"/>
    <w:next w:val="SingleTxtGC"/>
    <w:rsid w:val="005F34AF"/>
    <w:pPr>
      <w:keepNext/>
      <w:keepLines/>
      <w:tabs>
        <w:tab w:val="clear" w:pos="431"/>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SingleTxtGC"/>
    <w:rsid w:val="005F34AF"/>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rsid w:val="00C80DA9"/>
    <w:pPr>
      <w:tabs>
        <w:tab w:val="left" w:pos="1134"/>
        <w:tab w:val="left" w:pos="1565"/>
        <w:tab w:val="left" w:pos="1996"/>
        <w:tab w:val="left" w:pos="2427"/>
      </w:tabs>
      <w:spacing w:after="120"/>
      <w:ind w:left="1134" w:right="1134"/>
    </w:pPr>
  </w:style>
  <w:style w:type="paragraph" w:customStyle="1" w:styleId="SLGC">
    <w:name w:val="__S_L_GC"/>
    <w:basedOn w:val="Normal"/>
    <w:next w:val="SingleTxtGC"/>
    <w:rsid w:val="00CA073C"/>
    <w:pPr>
      <w:keepNext/>
      <w:keepLines/>
      <w:spacing w:before="240" w:after="240" w:line="580" w:lineRule="exact"/>
      <w:ind w:left="1134" w:right="1134"/>
      <w:jc w:val="left"/>
    </w:pPr>
    <w:rPr>
      <w:rFonts w:eastAsia="SimHei"/>
      <w:sz w:val="56"/>
    </w:rPr>
  </w:style>
  <w:style w:type="paragraph" w:customStyle="1" w:styleId="SMGC">
    <w:name w:val="__S_M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SSGC">
    <w:name w:val="__S_S_GC"/>
    <w:basedOn w:val="Normal"/>
    <w:next w:val="SingleTxtGC"/>
    <w:rsid w:val="00CA073C"/>
    <w:pPr>
      <w:keepNext/>
      <w:keepLines/>
      <w:spacing w:before="240" w:after="240" w:line="300" w:lineRule="exact"/>
      <w:ind w:left="1134" w:right="1134"/>
      <w:jc w:val="left"/>
    </w:pPr>
    <w:rPr>
      <w:rFonts w:eastAsia="SimHei"/>
      <w:sz w:val="28"/>
    </w:rPr>
  </w:style>
  <w:style w:type="paragraph" w:customStyle="1" w:styleId="XLargeGC">
    <w:name w:val="__XLarge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a3">
    <w:name w:val="悬挂"/>
    <w:basedOn w:val="SingleTxtGC"/>
    <w:rsid w:val="001B11DB"/>
    <w:pPr>
      <w:ind w:left="1565" w:hanging="431"/>
    </w:pPr>
  </w:style>
  <w:style w:type="paragraph" w:customStyle="1" w:styleId="a4">
    <w:name w:val="表中文字"/>
    <w:basedOn w:val="SingleTxtGC"/>
    <w:rsid w:val="00647FD7"/>
    <w:pPr>
      <w:spacing w:before="40" w:line="240" w:lineRule="atLeast"/>
      <w:ind w:left="0" w:right="113"/>
    </w:pPr>
    <w:rPr>
      <w:sz w:val="18"/>
    </w:rPr>
  </w:style>
  <w:style w:type="paragraph" w:customStyle="1" w:styleId="a5">
    <w:name w:val="表数文字"/>
    <w:basedOn w:val="SingleTxtGC"/>
    <w:rsid w:val="004C5291"/>
    <w:pPr>
      <w:spacing w:before="40" w:after="40" w:line="240" w:lineRule="atLeast"/>
      <w:ind w:left="0" w:right="113"/>
    </w:pPr>
    <w:rPr>
      <w:sz w:val="18"/>
    </w:rPr>
  </w:style>
  <w:style w:type="table" w:styleId="TableGrid">
    <w:name w:val="Table Grid"/>
    <w:basedOn w:val="TableNormal"/>
    <w:rsid w:val="00A648CE"/>
    <w:pPr>
      <w:tabs>
        <w:tab w:val="left" w:pos="431"/>
      </w:tabs>
      <w:overflowPunct w:val="0"/>
      <w:adjustRightInd w:val="0"/>
      <w:snapToGrid w:val="0"/>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Char">
    <w:name w:val="_ Single Txt_GC Char"/>
    <w:link w:val="SingleTxtGC"/>
    <w:locked/>
    <w:rsid w:val="00A648CE"/>
    <w:rPr>
      <w:rFonts w:eastAsia="SimSun"/>
      <w:snapToGrid w:val="0"/>
      <w:sz w:val="21"/>
      <w:lang w:val="en-US" w:eastAsia="zh-CN" w:bidi="ar-SA"/>
    </w:rPr>
  </w:style>
  <w:style w:type="paragraph" w:customStyle="1" w:styleId="a6">
    <w:name w:val="八"/>
    <w:rsid w:val="00A648CE"/>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link w:val="FootnoteText"/>
    <w:rsid w:val="00A648CE"/>
    <w:rPr>
      <w:rFonts w:eastAsia="SimSun"/>
      <w:snapToGrid w:val="0"/>
      <w:sz w:val="18"/>
      <w:lang w:val="en-US" w:eastAsia="zh-CN" w:bidi="ar-SA"/>
    </w:rPr>
  </w:style>
  <w:style w:type="paragraph" w:customStyle="1" w:styleId="SingleTxtG">
    <w:name w:val="_ Single Txt_G"/>
    <w:basedOn w:val="Normal"/>
    <w:link w:val="SingleTxtGChar"/>
    <w:rsid w:val="00A648CE"/>
    <w:pPr>
      <w:tabs>
        <w:tab w:val="clear" w:pos="431"/>
      </w:tabs>
      <w:suppressAutoHyphens/>
      <w:overflowPunct/>
      <w:adjustRightInd/>
      <w:snapToGrid/>
      <w:spacing w:after="120" w:line="240" w:lineRule="atLeast"/>
      <w:ind w:left="1134" w:right="1134"/>
    </w:pPr>
    <w:rPr>
      <w:snapToGrid/>
      <w:sz w:val="20"/>
      <w:lang w:val="en-GB" w:eastAsia="en-US"/>
    </w:rPr>
  </w:style>
  <w:style w:type="paragraph" w:styleId="NormalWeb">
    <w:name w:val="Normal (Web)"/>
    <w:basedOn w:val="Normal"/>
    <w:rsid w:val="00A648CE"/>
    <w:pPr>
      <w:tabs>
        <w:tab w:val="clear" w:pos="431"/>
      </w:tabs>
      <w:overflowPunct/>
      <w:adjustRightInd/>
      <w:snapToGrid/>
      <w:spacing w:line="240" w:lineRule="auto"/>
      <w:jc w:val="left"/>
    </w:pPr>
    <w:rPr>
      <w:rFonts w:ascii="SimSun" w:hAnsi="SimSun" w:cs="SimSun"/>
      <w:snapToGrid/>
      <w:sz w:val="24"/>
      <w:szCs w:val="24"/>
    </w:rPr>
  </w:style>
  <w:style w:type="paragraph" w:customStyle="1" w:styleId="1">
    <w:name w:val="九1"/>
    <w:rsid w:val="00A648CE"/>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paragraph" w:customStyle="1" w:styleId="Default">
    <w:name w:val="Default"/>
    <w:rsid w:val="00A648CE"/>
    <w:pPr>
      <w:autoSpaceDE w:val="0"/>
      <w:autoSpaceDN w:val="0"/>
      <w:adjustRightInd w:val="0"/>
    </w:pPr>
    <w:rPr>
      <w:color w:val="000000"/>
      <w:sz w:val="24"/>
      <w:szCs w:val="24"/>
      <w:lang w:val="en-US" w:eastAsia="en-US"/>
    </w:rPr>
  </w:style>
  <w:style w:type="paragraph" w:customStyle="1" w:styleId="4G">
    <w:name w:val="4_G"/>
    <w:aliases w:val="ftref,a Footnote Reference,FZ,Appel note de bas de page,Footnotes refss,Footnote number,4_G Char Char,Footnote text Char Char,ftref Char Char,16 Point Char Char,Superscript 6 Point Char Char,Superscript 6 Point + 11 pt Char Char"/>
    <w:basedOn w:val="Normal"/>
    <w:link w:val="FootnoteReference"/>
    <w:rsid w:val="00A648CE"/>
    <w:pPr>
      <w:tabs>
        <w:tab w:val="clear" w:pos="431"/>
      </w:tabs>
      <w:overflowPunct/>
      <w:autoSpaceDE w:val="0"/>
      <w:autoSpaceDN w:val="0"/>
      <w:adjustRightInd/>
      <w:snapToGrid/>
      <w:spacing w:after="160" w:line="240" w:lineRule="exact"/>
    </w:pPr>
    <w:rPr>
      <w:rFonts w:eastAsia="Times New Roman"/>
      <w:snapToGrid/>
      <w:color w:val="0000FF"/>
      <w:vertAlign w:val="superscript"/>
      <w:lang w:val="en-GB" w:eastAsia="en-GB"/>
    </w:rPr>
  </w:style>
  <w:style w:type="paragraph" w:customStyle="1" w:styleId="H1G">
    <w:name w:val="_ H_1_G"/>
    <w:basedOn w:val="Normal"/>
    <w:next w:val="Normal"/>
    <w:link w:val="H1GChar"/>
    <w:rsid w:val="00A648CE"/>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character" w:customStyle="1" w:styleId="H1GChar">
    <w:name w:val="_ H_1_G Char"/>
    <w:link w:val="H1G"/>
    <w:rsid w:val="00A648CE"/>
    <w:rPr>
      <w:rFonts w:eastAsia="SimSun"/>
      <w:b/>
      <w:sz w:val="24"/>
      <w:lang w:val="en-GB" w:eastAsia="en-US" w:bidi="ar-SA"/>
    </w:rPr>
  </w:style>
  <w:style w:type="paragraph" w:customStyle="1" w:styleId="HMG">
    <w:name w:val="_ H __M_G"/>
    <w:basedOn w:val="Normal"/>
    <w:next w:val="Normal"/>
    <w:rsid w:val="00A648CE"/>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link w:val="HChGChar"/>
    <w:rsid w:val="00A648CE"/>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paragraph" w:customStyle="1" w:styleId="SMG">
    <w:name w:val="__S_M_G"/>
    <w:basedOn w:val="Normal"/>
    <w:next w:val="Normal"/>
    <w:rsid w:val="00A648CE"/>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A648CE"/>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A648CE"/>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A648CE"/>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A648CE"/>
    <w:pPr>
      <w:numPr>
        <w:numId w:val="4"/>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A648CE"/>
    <w:pPr>
      <w:numPr>
        <w:numId w:val="5"/>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23G">
    <w:name w:val="_ H_2/3_G"/>
    <w:basedOn w:val="Normal"/>
    <w:next w:val="Normal"/>
    <w:rsid w:val="00A648CE"/>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link w:val="H4GChar"/>
    <w:rsid w:val="00A648CE"/>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Normal"/>
    <w:next w:val="Normal"/>
    <w:rsid w:val="00A648CE"/>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character" w:customStyle="1" w:styleId="SingleTxtGChar">
    <w:name w:val="_ Single Txt_G Char"/>
    <w:link w:val="SingleTxtG"/>
    <w:rsid w:val="00A648CE"/>
    <w:rPr>
      <w:rFonts w:eastAsia="SimSun"/>
      <w:lang w:val="en-GB" w:eastAsia="en-US" w:bidi="ar-SA"/>
    </w:rPr>
  </w:style>
  <w:style w:type="character" w:styleId="CommentReference">
    <w:name w:val="annotation reference"/>
    <w:rsid w:val="00A648CE"/>
    <w:rPr>
      <w:sz w:val="16"/>
      <w:szCs w:val="16"/>
    </w:rPr>
  </w:style>
  <w:style w:type="character" w:customStyle="1" w:styleId="klink">
    <w:name w:val="klink"/>
    <w:basedOn w:val="DefaultParagraphFont"/>
    <w:rsid w:val="00A648CE"/>
  </w:style>
  <w:style w:type="paragraph" w:customStyle="1" w:styleId="normal0">
    <w:name w:val="normal"/>
    <w:basedOn w:val="Normal"/>
    <w:rsid w:val="00A648CE"/>
    <w:pPr>
      <w:tabs>
        <w:tab w:val="clear" w:pos="431"/>
      </w:tabs>
      <w:overflowPunct/>
      <w:adjustRightInd/>
      <w:snapToGrid/>
      <w:spacing w:line="240" w:lineRule="auto"/>
      <w:jc w:val="left"/>
    </w:pPr>
    <w:rPr>
      <w:rFonts w:ascii="Verdana" w:hAnsi="Verdana"/>
      <w:snapToGrid/>
      <w:color w:val="000000"/>
      <w:sz w:val="18"/>
      <w:szCs w:val="18"/>
    </w:rPr>
  </w:style>
  <w:style w:type="character" w:styleId="Emphasis">
    <w:name w:val="Emphasis"/>
    <w:qFormat/>
    <w:rsid w:val="00A648CE"/>
    <w:rPr>
      <w:b/>
      <w:bCs/>
      <w:i w:val="0"/>
      <w:iCs w:val="0"/>
    </w:rPr>
  </w:style>
  <w:style w:type="paragraph" w:styleId="BalloonText">
    <w:name w:val="Balloon Text"/>
    <w:basedOn w:val="Normal"/>
    <w:link w:val="BalloonTextChar"/>
    <w:rsid w:val="00A648CE"/>
    <w:pPr>
      <w:tabs>
        <w:tab w:val="clear" w:pos="431"/>
      </w:tabs>
      <w:suppressAutoHyphens/>
      <w:overflowPunct/>
      <w:adjustRightInd/>
      <w:snapToGrid/>
      <w:spacing w:line="240" w:lineRule="atLeast"/>
      <w:jc w:val="left"/>
    </w:pPr>
    <w:rPr>
      <w:rFonts w:ascii="Tahoma" w:hAnsi="Tahoma" w:cs="Tahoma"/>
      <w:snapToGrid/>
      <w:sz w:val="16"/>
      <w:szCs w:val="16"/>
      <w:lang w:val="en-GB" w:eastAsia="en-US"/>
    </w:rPr>
  </w:style>
  <w:style w:type="character" w:customStyle="1" w:styleId="BalloonTextChar">
    <w:name w:val="Balloon Text Char"/>
    <w:link w:val="BalloonText"/>
    <w:rsid w:val="00A648CE"/>
    <w:rPr>
      <w:rFonts w:ascii="Tahoma" w:eastAsia="SimSun" w:hAnsi="Tahoma" w:cs="Tahoma"/>
      <w:sz w:val="16"/>
      <w:szCs w:val="16"/>
      <w:lang w:val="en-GB" w:eastAsia="en-US" w:bidi="ar-SA"/>
    </w:rPr>
  </w:style>
  <w:style w:type="paragraph" w:styleId="CommentText">
    <w:name w:val="annotation text"/>
    <w:basedOn w:val="Normal"/>
    <w:link w:val="CommentTextChar"/>
    <w:rsid w:val="00A648CE"/>
    <w:pPr>
      <w:tabs>
        <w:tab w:val="clear" w:pos="431"/>
      </w:tabs>
      <w:suppressAutoHyphens/>
      <w:overflowPunct/>
      <w:adjustRightInd/>
      <w:snapToGrid/>
      <w:spacing w:line="240" w:lineRule="atLeast"/>
      <w:jc w:val="left"/>
    </w:pPr>
    <w:rPr>
      <w:snapToGrid/>
      <w:sz w:val="20"/>
      <w:lang w:val="en-GB" w:eastAsia="en-US"/>
    </w:rPr>
  </w:style>
  <w:style w:type="character" w:customStyle="1" w:styleId="CommentTextChar">
    <w:name w:val="Comment Text Char"/>
    <w:link w:val="CommentText"/>
    <w:rsid w:val="00A648CE"/>
    <w:rPr>
      <w:rFonts w:eastAsia="SimSun"/>
      <w:lang w:val="en-GB" w:eastAsia="en-US" w:bidi="ar-SA"/>
    </w:rPr>
  </w:style>
  <w:style w:type="paragraph" w:styleId="CommentSubject">
    <w:name w:val="annotation subject"/>
    <w:basedOn w:val="CommentText"/>
    <w:next w:val="CommentText"/>
    <w:link w:val="CommentSubjectChar"/>
    <w:rsid w:val="00A648CE"/>
    <w:rPr>
      <w:b/>
      <w:bCs/>
    </w:rPr>
  </w:style>
  <w:style w:type="character" w:customStyle="1" w:styleId="CommentSubjectChar">
    <w:name w:val="Comment Subject Char"/>
    <w:link w:val="CommentSubject"/>
    <w:rsid w:val="00A648CE"/>
    <w:rPr>
      <w:rFonts w:eastAsia="SimSun"/>
      <w:b/>
      <w:bCs/>
      <w:lang w:val="en-GB" w:eastAsia="en-US" w:bidi="ar-SA"/>
    </w:rPr>
  </w:style>
  <w:style w:type="paragraph" w:customStyle="1" w:styleId="ListParagraph1">
    <w:name w:val="List Paragraph1"/>
    <w:basedOn w:val="Normal"/>
    <w:qFormat/>
    <w:rsid w:val="00A648CE"/>
    <w:pPr>
      <w:tabs>
        <w:tab w:val="clear" w:pos="431"/>
      </w:tabs>
      <w:overflowPunct/>
      <w:adjustRightInd/>
      <w:snapToGrid/>
      <w:spacing w:after="200" w:line="276" w:lineRule="auto"/>
      <w:ind w:left="720"/>
      <w:contextualSpacing/>
      <w:jc w:val="left"/>
    </w:pPr>
    <w:rPr>
      <w:rFonts w:ascii="Calibri" w:hAnsi="Calibri" w:cs="Arial"/>
      <w:snapToGrid/>
      <w:sz w:val="22"/>
      <w:szCs w:val="36"/>
      <w:lang w:val="en-AU" w:eastAsia="en-US" w:bidi="km-KH"/>
    </w:rPr>
  </w:style>
  <w:style w:type="character" w:customStyle="1" w:styleId="HChGChar">
    <w:name w:val="_ H _Ch_G Char"/>
    <w:link w:val="HChG"/>
    <w:rsid w:val="00A648CE"/>
    <w:rPr>
      <w:rFonts w:eastAsia="SimSun"/>
      <w:b/>
      <w:sz w:val="28"/>
      <w:lang w:val="en-GB" w:eastAsia="en-US" w:bidi="ar-SA"/>
    </w:rPr>
  </w:style>
  <w:style w:type="paragraph" w:customStyle="1" w:styleId="FootnoteTextA">
    <w:name w:val="Footnote Text A"/>
    <w:rsid w:val="00A648CE"/>
    <w:rPr>
      <w:rFonts w:eastAsia="ヒラギノ角ゴ Pro W3"/>
      <w:color w:val="000000"/>
      <w:sz w:val="18"/>
      <w:lang w:val="en-US"/>
    </w:rPr>
  </w:style>
  <w:style w:type="paragraph" w:customStyle="1" w:styleId="FootnoteText1">
    <w:name w:val="Footnote Text1"/>
    <w:rsid w:val="00A648CE"/>
    <w:pPr>
      <w:spacing w:before="120" w:after="120"/>
      <w:jc w:val="both"/>
    </w:pPr>
    <w:rPr>
      <w:rFonts w:eastAsia="ヒラギノ角ゴ Pro W3"/>
      <w:color w:val="000000"/>
      <w:sz w:val="18"/>
    </w:rPr>
  </w:style>
  <w:style w:type="character" w:customStyle="1" w:styleId="FootnoteReference1">
    <w:name w:val="Footnote Reference1"/>
    <w:rsid w:val="00A648CE"/>
    <w:rPr>
      <w:color w:val="000000"/>
      <w:sz w:val="20"/>
      <w:vertAlign w:val="superscript"/>
    </w:rPr>
  </w:style>
  <w:style w:type="character" w:customStyle="1" w:styleId="hps">
    <w:name w:val="hps"/>
    <w:rsid w:val="00A648CE"/>
  </w:style>
  <w:style w:type="paragraph" w:styleId="ListBullet">
    <w:name w:val="List Bullet"/>
    <w:aliases w:val="List Bullet Char"/>
    <w:basedOn w:val="Normal"/>
    <w:autoRedefine/>
    <w:rsid w:val="00A648CE"/>
    <w:pPr>
      <w:numPr>
        <w:numId w:val="6"/>
      </w:numPr>
      <w:tabs>
        <w:tab w:val="clear" w:pos="431"/>
        <w:tab w:val="left" w:pos="360"/>
      </w:tabs>
      <w:overflowPunct/>
      <w:adjustRightInd/>
      <w:snapToGrid/>
      <w:spacing w:before="120" w:after="120" w:line="360" w:lineRule="auto"/>
      <w:jc w:val="left"/>
    </w:pPr>
    <w:rPr>
      <w:rFonts w:ascii="Verdana" w:hAnsi="Verdana" w:cs="Verdana"/>
      <w:b/>
      <w:bCs/>
      <w:snapToGrid/>
      <w:color w:val="000000"/>
      <w:spacing w:val="-4"/>
      <w:w w:val="95"/>
      <w:sz w:val="28"/>
      <w:szCs w:val="28"/>
    </w:rPr>
  </w:style>
  <w:style w:type="character" w:customStyle="1" w:styleId="HeaderChar">
    <w:name w:val="Header Char"/>
    <w:aliases w:val="6_G Char"/>
    <w:link w:val="Header"/>
    <w:rsid w:val="00A648CE"/>
    <w:rPr>
      <w:rFonts w:eastAsia="SimSun"/>
      <w:b/>
      <w:snapToGrid w:val="0"/>
      <w:sz w:val="18"/>
      <w:lang w:val="en-GB" w:eastAsia="en-US" w:bidi="ar-SA"/>
    </w:rPr>
  </w:style>
  <w:style w:type="character" w:customStyle="1" w:styleId="FooterChar">
    <w:name w:val="Footer Char"/>
    <w:aliases w:val="3_G Char"/>
    <w:link w:val="Footer"/>
    <w:rsid w:val="00A648CE"/>
    <w:rPr>
      <w:snapToGrid w:val="0"/>
      <w:sz w:val="16"/>
      <w:lang w:val="en-GB" w:eastAsia="en-US" w:bidi="ar-SA"/>
    </w:rPr>
  </w:style>
  <w:style w:type="character" w:customStyle="1" w:styleId="lblnewstitle1">
    <w:name w:val="lblnewstitle1"/>
    <w:rsid w:val="00A648CE"/>
    <w:rPr>
      <w:b/>
      <w:bCs/>
      <w:sz w:val="29"/>
      <w:szCs w:val="29"/>
    </w:rPr>
  </w:style>
  <w:style w:type="character" w:customStyle="1" w:styleId="web-item2">
    <w:name w:val="web-item2"/>
    <w:rsid w:val="00A648CE"/>
    <w:rPr>
      <w:sz w:val="13"/>
      <w:szCs w:val="13"/>
    </w:rPr>
  </w:style>
  <w:style w:type="paragraph" w:customStyle="1" w:styleId="ParaNo">
    <w:name w:val="ParaNo."/>
    <w:basedOn w:val="Normal"/>
    <w:rsid w:val="00A648CE"/>
    <w:pPr>
      <w:numPr>
        <w:numId w:val="9"/>
      </w:numPr>
      <w:tabs>
        <w:tab w:val="clear" w:pos="431"/>
        <w:tab w:val="left" w:pos="737"/>
      </w:tabs>
      <w:overflowPunct/>
      <w:adjustRightInd/>
      <w:snapToGrid/>
      <w:spacing w:after="240" w:line="240" w:lineRule="auto"/>
      <w:ind w:left="-1" w:firstLine="1"/>
      <w:jc w:val="left"/>
    </w:pPr>
    <w:rPr>
      <w:snapToGrid/>
      <w:sz w:val="24"/>
      <w:lang w:val="fr-CH" w:eastAsia="en-US"/>
    </w:rPr>
  </w:style>
  <w:style w:type="paragraph" w:customStyle="1" w:styleId="Rom1">
    <w:name w:val="Rom1"/>
    <w:basedOn w:val="Normal"/>
    <w:rsid w:val="00A648CE"/>
    <w:pPr>
      <w:numPr>
        <w:numId w:val="8"/>
      </w:numPr>
      <w:tabs>
        <w:tab w:val="clear" w:pos="431"/>
        <w:tab w:val="num" w:pos="1440"/>
      </w:tabs>
      <w:overflowPunct/>
      <w:adjustRightInd/>
      <w:snapToGrid/>
      <w:spacing w:after="240" w:line="240" w:lineRule="auto"/>
      <w:ind w:left="1441" w:hanging="590"/>
      <w:jc w:val="left"/>
    </w:pPr>
    <w:rPr>
      <w:snapToGrid/>
      <w:sz w:val="24"/>
      <w:lang w:val="en-GB" w:eastAsia="en-US"/>
    </w:rPr>
  </w:style>
  <w:style w:type="paragraph" w:customStyle="1" w:styleId="Rom2">
    <w:name w:val="Rom2"/>
    <w:basedOn w:val="Normal"/>
    <w:rsid w:val="00A648CE"/>
    <w:pPr>
      <w:numPr>
        <w:numId w:val="7"/>
      </w:numPr>
      <w:tabs>
        <w:tab w:val="clear" w:pos="360"/>
        <w:tab w:val="clear" w:pos="431"/>
        <w:tab w:val="num" w:pos="2160"/>
      </w:tabs>
      <w:overflowPunct/>
      <w:adjustRightInd/>
      <w:snapToGrid/>
      <w:spacing w:after="240" w:line="240" w:lineRule="auto"/>
      <w:ind w:left="2160" w:hanging="516"/>
      <w:jc w:val="left"/>
    </w:pPr>
    <w:rPr>
      <w:snapToGrid/>
      <w:sz w:val="24"/>
      <w:lang w:val="en-GB" w:eastAsia="en-US"/>
    </w:rPr>
  </w:style>
  <w:style w:type="paragraph" w:customStyle="1" w:styleId="Paragraphedeliste1">
    <w:name w:val="Paragraphe de liste1"/>
    <w:basedOn w:val="Normal"/>
    <w:rsid w:val="00A648CE"/>
    <w:pPr>
      <w:tabs>
        <w:tab w:val="clear" w:pos="431"/>
      </w:tabs>
      <w:suppressAutoHyphens/>
      <w:overflowPunct/>
      <w:adjustRightInd/>
      <w:snapToGrid/>
      <w:spacing w:line="240" w:lineRule="atLeast"/>
      <w:ind w:left="720"/>
      <w:jc w:val="left"/>
    </w:pPr>
    <w:rPr>
      <w:snapToGrid/>
      <w:sz w:val="20"/>
      <w:lang w:val="en-GB" w:eastAsia="en-US"/>
    </w:rPr>
  </w:style>
  <w:style w:type="character" w:customStyle="1" w:styleId="admitted">
    <w:name w:val="admitted"/>
    <w:rsid w:val="00A648CE"/>
    <w:rPr>
      <w:rFonts w:ascii="Times New Roman" w:eastAsia="SimSun" w:hAnsi="Times New Roman" w:cs="Times New Roman"/>
    </w:rPr>
  </w:style>
  <w:style w:type="character" w:customStyle="1" w:styleId="H4GChar">
    <w:name w:val="_ H_4_G Char"/>
    <w:link w:val="H4G"/>
    <w:rsid w:val="00A648CE"/>
    <w:rPr>
      <w:rFonts w:eastAsia="SimSun"/>
      <w:i/>
      <w:lang w:val="en-GB" w:eastAsia="en-US" w:bidi="ar-SA"/>
    </w:rPr>
  </w:style>
  <w:style w:type="character" w:customStyle="1" w:styleId="Heading1Char">
    <w:name w:val="Heading 1 Char"/>
    <w:aliases w:val="Table_G Char"/>
    <w:link w:val="Heading1"/>
    <w:rsid w:val="00A648CE"/>
    <w:rPr>
      <w:rFonts w:eastAsia="SimSun"/>
      <w:b/>
      <w:kern w:val="32"/>
      <w:sz w:val="30"/>
      <w:lang w:val="en-US" w:eastAsia="zh-CN" w:bidi="ar-SA"/>
    </w:rPr>
  </w:style>
  <w:style w:type="character" w:customStyle="1" w:styleId="Heading2Char">
    <w:name w:val="Heading 2 Char"/>
    <w:link w:val="Heading2"/>
    <w:rsid w:val="00A648CE"/>
    <w:rPr>
      <w:rFonts w:eastAsia="SimSun"/>
      <w:snapToGrid w:val="0"/>
      <w:kern w:val="28"/>
      <w:sz w:val="28"/>
      <w:lang w:val="en-US" w:eastAsia="zh-CN" w:bidi="ar-SA"/>
    </w:rPr>
  </w:style>
  <w:style w:type="character" w:customStyle="1" w:styleId="Heading3Char">
    <w:name w:val="Heading 3 Char"/>
    <w:link w:val="Heading3"/>
    <w:rsid w:val="00A648CE"/>
    <w:rPr>
      <w:rFonts w:eastAsia="SimSun"/>
      <w:snapToGrid w:val="0"/>
      <w:kern w:val="28"/>
      <w:sz w:val="21"/>
      <w:u w:val="single"/>
      <w:lang w:val="en-US" w:eastAsia="zh-CN" w:bidi="ar-SA"/>
    </w:rPr>
  </w:style>
  <w:style w:type="character" w:customStyle="1" w:styleId="Heading4Char">
    <w:name w:val="Heading 4 Char"/>
    <w:link w:val="Heading4"/>
    <w:rsid w:val="00A648CE"/>
    <w:rPr>
      <w:rFonts w:eastAsia="SimSun"/>
      <w:snapToGrid w:val="0"/>
      <w:sz w:val="21"/>
      <w:u w:val="single"/>
      <w:lang w:val="en-US" w:eastAsia="zh-CN" w:bidi="ar-SA"/>
    </w:rPr>
  </w:style>
  <w:style w:type="character" w:customStyle="1" w:styleId="Heading5Char">
    <w:name w:val="Heading 5 Char"/>
    <w:link w:val="Heading5"/>
    <w:rsid w:val="00A648CE"/>
    <w:rPr>
      <w:rFonts w:eastAsia="SimHei"/>
      <w:bCs/>
      <w:snapToGrid w:val="0"/>
      <w:sz w:val="21"/>
      <w:szCs w:val="36"/>
      <w:lang w:val="en-US" w:eastAsia="zh-CN" w:bidi="ar-SA"/>
    </w:rPr>
  </w:style>
  <w:style w:type="character" w:customStyle="1" w:styleId="Heading6Char">
    <w:name w:val="Heading 6 Char"/>
    <w:link w:val="Heading6"/>
    <w:rsid w:val="00A648CE"/>
    <w:rPr>
      <w:rFonts w:ascii="Arial" w:eastAsia="SimHei" w:hAnsi="Arial"/>
      <w:b/>
      <w:bCs/>
      <w:snapToGrid w:val="0"/>
      <w:sz w:val="21"/>
      <w:szCs w:val="24"/>
      <w:lang w:val="en-US" w:eastAsia="zh-CN" w:bidi="ar-SA"/>
    </w:rPr>
  </w:style>
  <w:style w:type="character" w:customStyle="1" w:styleId="Heading7Char">
    <w:name w:val="Heading 7 Char"/>
    <w:link w:val="Heading7"/>
    <w:rsid w:val="00A648CE"/>
    <w:rPr>
      <w:rFonts w:eastAsia="SimSun"/>
      <w:b/>
      <w:bCs/>
      <w:snapToGrid w:val="0"/>
      <w:sz w:val="21"/>
      <w:szCs w:val="24"/>
      <w:lang w:val="en-US" w:eastAsia="zh-CN" w:bidi="ar-SA"/>
    </w:rPr>
  </w:style>
  <w:style w:type="character" w:customStyle="1" w:styleId="Heading8Char">
    <w:name w:val="Heading 8 Char"/>
    <w:link w:val="Heading8"/>
    <w:rsid w:val="00A648CE"/>
    <w:rPr>
      <w:rFonts w:ascii="Arial" w:eastAsia="SimHei" w:hAnsi="Arial"/>
      <w:snapToGrid w:val="0"/>
      <w:sz w:val="21"/>
      <w:szCs w:val="24"/>
      <w:lang w:val="en-US" w:eastAsia="zh-CN" w:bidi="ar-SA"/>
    </w:rPr>
  </w:style>
  <w:style w:type="character" w:customStyle="1" w:styleId="Heading9Char">
    <w:name w:val="Heading 9 Char"/>
    <w:link w:val="Heading9"/>
    <w:rsid w:val="00A648CE"/>
    <w:rPr>
      <w:rFonts w:ascii="Arial" w:eastAsia="SimHei" w:hAnsi="Arial"/>
      <w:snapToGrid w:val="0"/>
      <w:sz w:val="21"/>
      <w:szCs w:val="21"/>
      <w:lang w:val="en-US" w:eastAsia="zh-CN" w:bidi="ar-SA"/>
    </w:rPr>
  </w:style>
  <w:style w:type="character" w:customStyle="1" w:styleId="EndnoteTextChar">
    <w:name w:val="Endnote Text Char"/>
    <w:aliases w:val="2_G Char"/>
    <w:link w:val="EndnoteText"/>
    <w:rsid w:val="00A648CE"/>
    <w:rPr>
      <w:rFonts w:eastAsia="SimSun"/>
      <w:snapToGrid w:val="0"/>
      <w:sz w:val="18"/>
      <w:lang w:val="en-US" w:eastAsia="zh-CN" w:bidi="ar-SA"/>
    </w:rPr>
  </w:style>
  <w:style w:type="paragraph" w:customStyle="1" w:styleId="Level1">
    <w:name w:val="Level 1"/>
    <w:basedOn w:val="Normal"/>
    <w:rsid w:val="00A648CE"/>
    <w:pPr>
      <w:widowControl w:val="0"/>
      <w:tabs>
        <w:tab w:val="clear" w:pos="431"/>
        <w:tab w:val="num" w:pos="1701"/>
      </w:tabs>
      <w:overflowPunct/>
      <w:autoSpaceDE w:val="0"/>
      <w:autoSpaceDN w:val="0"/>
      <w:snapToGrid/>
      <w:spacing w:line="240" w:lineRule="auto"/>
      <w:ind w:left="283" w:hanging="226"/>
      <w:jc w:val="left"/>
      <w:outlineLvl w:val="0"/>
    </w:pPr>
    <w:rPr>
      <w:snapToGrid/>
      <w:sz w:val="20"/>
      <w:szCs w:val="24"/>
      <w:lang w:eastAsia="en-US"/>
    </w:rPr>
  </w:style>
  <w:style w:type="character" w:customStyle="1" w:styleId="apple-converted-space">
    <w:name w:val="apple-converted-space"/>
    <w:rsid w:val="00A648CE"/>
    <w:rPr>
      <w:rFonts w:ascii="Times New Roman" w:eastAsia="SimSun" w:hAnsi="Times New Roman" w:cs="Times New Roman"/>
    </w:rPr>
  </w:style>
  <w:style w:type="character" w:customStyle="1" w:styleId="apple-style-span">
    <w:name w:val="apple-style-span"/>
    <w:rsid w:val="00A648CE"/>
    <w:rPr>
      <w:rFonts w:ascii="Times New Roman" w:eastAsia="SimSun" w:hAnsi="Times New Roman" w:cs="Times New Roman"/>
    </w:rPr>
  </w:style>
  <w:style w:type="character" w:customStyle="1" w:styleId="contenttext1">
    <w:name w:val="contenttext1"/>
    <w:rsid w:val="00A648CE"/>
    <w:rPr>
      <w:rFonts w:ascii="Arial" w:eastAsia="SimSun" w:hAnsi="Arial" w:cs="Times New Roman"/>
      <w:sz w:val="24"/>
    </w:rPr>
  </w:style>
  <w:style w:type="paragraph" w:customStyle="1" w:styleId="CharCharCharChar">
    <w:name w:val="Char Char Char Char"/>
    <w:basedOn w:val="Normal"/>
    <w:rsid w:val="00A648CE"/>
    <w:pPr>
      <w:tabs>
        <w:tab w:val="clear" w:pos="431"/>
      </w:tabs>
      <w:overflowPunct/>
      <w:adjustRightInd/>
      <w:snapToGrid/>
      <w:spacing w:after="160" w:line="240" w:lineRule="exact"/>
      <w:jc w:val="left"/>
    </w:pPr>
    <w:rPr>
      <w:rFonts w:ascii="Verdana" w:hAnsi="Verdana" w:cs="Angsana New"/>
      <w:snapToGrid/>
      <w:sz w:val="20"/>
      <w:lang w:val="en-GB" w:eastAsia="en-US"/>
    </w:rPr>
  </w:style>
  <w:style w:type="paragraph" w:customStyle="1" w:styleId="Revision1">
    <w:name w:val="Revision1"/>
    <w:rsid w:val="00A648CE"/>
    <w:rPr>
      <w:lang w:eastAsia="en-US"/>
    </w:rPr>
  </w:style>
  <w:style w:type="character" w:customStyle="1" w:styleId="preferred">
    <w:name w:val="preferred"/>
    <w:rsid w:val="00A648CE"/>
    <w:rPr>
      <w:rFonts w:ascii="Times New Roman" w:eastAsia="SimSun" w:hAnsi="Times New Roman" w:cs="Times New Roman"/>
    </w:rPr>
  </w:style>
  <w:style w:type="character" w:customStyle="1" w:styleId="CharChar8">
    <w:name w:val="Char Char8"/>
    <w:rsid w:val="00A648CE"/>
    <w:rPr>
      <w:rFonts w:ascii="Times New Roman" w:eastAsia="SimSun" w:hAnsi="Times New Roman" w:cs="Times New Roman"/>
      <w:lang w:val="en-GB" w:eastAsia="en-US"/>
    </w:rPr>
  </w:style>
  <w:style w:type="character" w:customStyle="1" w:styleId="CharChar9">
    <w:name w:val="Char Char9"/>
    <w:rsid w:val="00A648CE"/>
    <w:rPr>
      <w:rFonts w:ascii="Times New Roman" w:eastAsia="SimSun" w:hAnsi="Times New Roman" w:cs="Times New Roman"/>
      <w:lang w:val="en-GB" w:eastAsia="en-US"/>
    </w:rPr>
  </w:style>
  <w:style w:type="character" w:customStyle="1" w:styleId="CharChar6">
    <w:name w:val="Char Char6"/>
    <w:rsid w:val="00A648CE"/>
    <w:rPr>
      <w:rFonts w:ascii="Times New Roman" w:eastAsia="SimSun" w:hAnsi="Times New Roman" w:cs="Times New Roman"/>
      <w:lang w:val="en-GB" w:eastAsia="en-US"/>
    </w:rPr>
  </w:style>
  <w:style w:type="character" w:customStyle="1" w:styleId="CharChar7">
    <w:name w:val="Char Char7"/>
    <w:rsid w:val="00A648CE"/>
    <w:rPr>
      <w:rFonts w:ascii="Times New Roman" w:eastAsia="SimSun" w:hAnsi="Times New Roman" w:cs="Times New Roman"/>
      <w:lang w:val="en-GB" w:eastAsia="en-US"/>
    </w:rPr>
  </w:style>
  <w:style w:type="character" w:customStyle="1" w:styleId="CharChar4">
    <w:name w:val="Char Char4"/>
    <w:rsid w:val="00A648CE"/>
    <w:rPr>
      <w:rFonts w:ascii="Times New Roman" w:eastAsia="SimSun" w:hAnsi="Times New Roman" w:cs="Times New Roman"/>
      <w:lang w:val="en-GB" w:eastAsia="en-US"/>
    </w:rPr>
  </w:style>
  <w:style w:type="character" w:customStyle="1" w:styleId="CharChar10">
    <w:name w:val="Char Char10"/>
    <w:rsid w:val="00A648CE"/>
    <w:rPr>
      <w:rFonts w:ascii="Times New Roman" w:eastAsia="SimSun" w:hAnsi="Times New Roman" w:cs="Times New Roman"/>
      <w:lang w:val="en-GB" w:eastAsia="en-US"/>
    </w:rPr>
  </w:style>
  <w:style w:type="character" w:customStyle="1" w:styleId="CharChar5">
    <w:name w:val="Char Char5"/>
    <w:rsid w:val="00A648CE"/>
    <w:rPr>
      <w:rFonts w:ascii="Times New Roman" w:eastAsia="SimSun" w:hAnsi="Times New Roman" w:cs="Times New Roman"/>
      <w:lang w:val="en-GB" w:eastAsia="en-US"/>
    </w:rPr>
  </w:style>
  <w:style w:type="character" w:customStyle="1" w:styleId="CharChar2">
    <w:name w:val="Char Char2"/>
    <w:rsid w:val="00A648CE"/>
    <w:rPr>
      <w:rFonts w:ascii="Tahoma" w:eastAsia="SimSun" w:hAnsi="Tahoma" w:cs="Times New Roman"/>
      <w:sz w:val="16"/>
      <w:lang w:val="en-GB" w:eastAsia="en-US"/>
    </w:rPr>
  </w:style>
  <w:style w:type="character" w:customStyle="1" w:styleId="CharChar3">
    <w:name w:val="Char Char3"/>
    <w:rsid w:val="00A648CE"/>
    <w:rPr>
      <w:rFonts w:ascii="Times New Roman" w:eastAsia="SimSun" w:hAnsi="Times New Roman" w:cs="Times New Roman"/>
      <w:lang w:val="en-GB" w:eastAsia="en-US"/>
    </w:rPr>
  </w:style>
  <w:style w:type="character" w:customStyle="1" w:styleId="CharChar1">
    <w:name w:val="Char Char1"/>
    <w:rsid w:val="00A648CE"/>
    <w:rPr>
      <w:rFonts w:ascii="Times New Roman" w:eastAsia="SimSun" w:hAnsi="Times New Roman" w:cs="Times New Roman"/>
      <w:spacing w:val="4"/>
      <w:w w:val="103"/>
      <w:kern w:val="1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BE9"/>
    <w:pPr>
      <w:tabs>
        <w:tab w:val="left" w:pos="431"/>
      </w:tabs>
      <w:overflowPunct w:val="0"/>
      <w:adjustRightInd w:val="0"/>
      <w:snapToGrid w:val="0"/>
      <w:spacing w:line="320" w:lineRule="exact"/>
      <w:jc w:val="both"/>
    </w:pPr>
    <w:rPr>
      <w:snapToGrid w:val="0"/>
      <w:sz w:val="21"/>
      <w:lang w:val="en-US" w:eastAsia="zh-CN"/>
    </w:rPr>
  </w:style>
  <w:style w:type="paragraph" w:styleId="Heading1">
    <w:name w:val="heading 1"/>
    <w:aliases w:val="Table_G"/>
    <w:basedOn w:val="Normal"/>
    <w:next w:val="Normal"/>
    <w:link w:val="Heading1Char"/>
    <w:qFormat/>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pPr>
      <w:keepNext/>
      <w:keepLines/>
      <w:widowControl w:val="0"/>
      <w:spacing w:after="320"/>
      <w:jc w:val="center"/>
      <w:outlineLvl w:val="2"/>
    </w:pPr>
    <w:rPr>
      <w:kern w:val="28"/>
      <w:u w:val="single"/>
    </w:rPr>
  </w:style>
  <w:style w:type="paragraph" w:styleId="Heading4">
    <w:name w:val="heading 4"/>
    <w:basedOn w:val="Normal"/>
    <w:next w:val="Normal"/>
    <w:link w:val="Heading4Char"/>
    <w:qFormat/>
    <w:pPr>
      <w:keepNext/>
      <w:keepLines/>
      <w:widowControl w:val="0"/>
      <w:spacing w:after="240"/>
      <w:outlineLvl w:val="3"/>
    </w:pPr>
    <w:rPr>
      <w:u w:val="single"/>
    </w:rPr>
  </w:style>
  <w:style w:type="paragraph" w:styleId="Heading5">
    <w:name w:val="heading 5"/>
    <w:basedOn w:val="Normal"/>
    <w:next w:val="Normal"/>
    <w:link w:val="Heading5Char"/>
    <w:qFormat/>
    <w:pPr>
      <w:spacing w:after="240"/>
      <w:outlineLvl w:val="4"/>
    </w:pPr>
    <w:rPr>
      <w:rFonts w:eastAsia="SimHei"/>
      <w:bCs/>
      <w:szCs w:val="36"/>
    </w:rPr>
  </w:style>
  <w:style w:type="paragraph" w:styleId="Heading6">
    <w:name w:val="heading 6"/>
    <w:basedOn w:val="Normal"/>
    <w:next w:val="Normal"/>
    <w:link w:val="Heading6Char"/>
    <w:qFormat/>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pPr>
      <w:keepNext/>
      <w:keepLines/>
      <w:spacing w:before="240" w:after="64" w:line="320" w:lineRule="auto"/>
      <w:outlineLvl w:val="6"/>
    </w:pPr>
    <w:rPr>
      <w:b/>
      <w:bCs/>
      <w:szCs w:val="24"/>
    </w:rPr>
  </w:style>
  <w:style w:type="paragraph" w:styleId="Heading8">
    <w:name w:val="heading 8"/>
    <w:basedOn w:val="Normal"/>
    <w:next w:val="Normal"/>
    <w:link w:val="Heading8Char"/>
    <w:qFormat/>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pPr>
      <w:keepNext/>
      <w:keepLines/>
      <w:spacing w:before="240" w:after="64" w:line="320" w:lineRule="auto"/>
      <w:outlineLvl w:val="8"/>
    </w:pPr>
    <w:rPr>
      <w:rFonts w:ascii="Arial" w:eastAsia="SimHei" w:hAnsi="Arial"/>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shGC">
    <w:name w:val="_Dash_GC"/>
    <w:basedOn w:val="Normal"/>
    <w:rsid w:val="00801DCC"/>
    <w:pPr>
      <w:numPr>
        <w:numId w:val="3"/>
      </w:numPr>
      <w:tabs>
        <w:tab w:val="left" w:pos="1134"/>
        <w:tab w:val="left" w:pos="1565"/>
        <w:tab w:val="left" w:pos="2427"/>
      </w:tabs>
      <w:spacing w:after="120"/>
      <w:ind w:right="1134"/>
    </w:pPr>
    <w:rPr>
      <w:lang w:val="fr-CH"/>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lang w:val="en-US" w:eastAsia="zh-CN"/>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rsid w:val="002D31D6"/>
    <w:pPr>
      <w:keepLines/>
      <w:tabs>
        <w:tab w:val="clear" w:pos="431"/>
        <w:tab w:val="right" w:pos="1021"/>
      </w:tabs>
      <w:spacing w:after="120" w:line="240" w:lineRule="exact"/>
      <w:ind w:left="1134" w:right="1134" w:hanging="1134"/>
    </w:pPr>
    <w:rPr>
      <w:sz w:val="18"/>
    </w:rPr>
  </w:style>
  <w:style w:type="character" w:styleId="FootnoteReference">
    <w:name w:val="footnote reference"/>
    <w:aliases w:val="4_G Char1,ftref Char1,a Footnote Reference Char,FZ Char,Appel note de bas de page Char,Footnotes refss Char,Footnote number Char,4_G Char Char Char,Footnote text Char Char Char,ftref Char Char Char,16 Point Char Char Char"/>
    <w:link w:val="4G"/>
    <w:rsid w:val="00F41BAF"/>
    <w:rPr>
      <w:rFonts w:ascii="Times New Roman" w:hAnsi="Times New Roman"/>
      <w:dstrike w:val="0"/>
      <w:color w:val="0000FF"/>
      <w:spacing w:val="0"/>
      <w:w w:val="100"/>
      <w:kern w:val="0"/>
      <w:position w:val="0"/>
      <w:sz w:val="21"/>
      <w:vertAlign w:val="superscript"/>
    </w:rPr>
  </w:style>
  <w:style w:type="paragraph" w:customStyle="1" w:styleId="a">
    <w:name w:val="表中标题"/>
    <w:basedOn w:val="SingleTxtGC"/>
    <w:rsid w:val="00EE0918"/>
    <w:pPr>
      <w:spacing w:before="80" w:after="80" w:line="200" w:lineRule="exact"/>
      <w:ind w:left="0" w:right="113"/>
    </w:pPr>
    <w:rPr>
      <w:rFonts w:eastAsia="KaiTi_GB2312"/>
      <w:sz w:val="18"/>
    </w:rPr>
  </w:style>
  <w:style w:type="paragraph" w:customStyle="1" w:styleId="a0">
    <w:name w:val="缩进正文"/>
    <w:basedOn w:val="SingleTxtGC"/>
    <w:rsid w:val="0024012F"/>
    <w:pPr>
      <w:ind w:left="1565"/>
    </w:pPr>
  </w:style>
  <w:style w:type="paragraph" w:customStyle="1" w:styleId="a1">
    <w:name w:val="目录段页次"/>
    <w:basedOn w:val="Normal"/>
    <w:rsid w:val="00286515"/>
    <w:pPr>
      <w:widowControl w:val="0"/>
      <w:tabs>
        <w:tab w:val="clear" w:pos="431"/>
        <w:tab w:val="right" w:pos="851"/>
        <w:tab w:val="left" w:pos="1134"/>
        <w:tab w:val="left" w:pos="1565"/>
        <w:tab w:val="left" w:pos="1996"/>
        <w:tab w:val="right" w:leader="dot" w:pos="7655"/>
        <w:tab w:val="right" w:pos="8789"/>
        <w:tab w:val="right" w:pos="9554"/>
      </w:tabs>
      <w:spacing w:after="120"/>
      <w:ind w:left="1134" w:right="4253" w:hanging="1134"/>
    </w:pPr>
  </w:style>
  <w:style w:type="paragraph" w:customStyle="1" w:styleId="a2">
    <w:name w:val="目录页次"/>
    <w:basedOn w:val="Normal"/>
    <w:rsid w:val="00286515"/>
    <w:pPr>
      <w:widowControl w:val="0"/>
      <w:tabs>
        <w:tab w:val="clear" w:pos="431"/>
        <w:tab w:val="right" w:pos="851"/>
        <w:tab w:val="left" w:pos="1134"/>
        <w:tab w:val="left" w:pos="1565"/>
        <w:tab w:val="left" w:pos="1996"/>
        <w:tab w:val="right" w:leader="dot" w:pos="8789"/>
        <w:tab w:val="right" w:pos="9554"/>
      </w:tabs>
      <w:spacing w:after="120"/>
      <w:ind w:left="1134" w:right="3119" w:hanging="1134"/>
    </w:pPr>
  </w:style>
  <w:style w:type="paragraph" w:styleId="EndnoteText">
    <w:name w:val="endnote text"/>
    <w:aliases w:val="2_G"/>
    <w:basedOn w:val="FootnoteText"/>
    <w:link w:val="EndnoteTextChar"/>
    <w:rsid w:val="00B16973"/>
    <w:pPr>
      <w:tabs>
        <w:tab w:val="right" w:pos="1021"/>
      </w:tabs>
    </w:pPr>
  </w:style>
  <w:style w:type="character" w:styleId="EndnoteReference">
    <w:name w:val="endnote reference"/>
    <w:aliases w:val="1_G"/>
    <w:basedOn w:val="FootnoteReference"/>
    <w:rsid w:val="00F41BAF"/>
    <w:rPr>
      <w:rFonts w:ascii="Times New Roman" w:hAnsi="Times New Roman"/>
      <w:dstrike w:val="0"/>
      <w:color w:val="0000FF"/>
      <w:spacing w:val="0"/>
      <w:w w:val="100"/>
      <w:kern w:val="0"/>
      <w:position w:val="0"/>
      <w:sz w:val="21"/>
      <w:vertAlign w:val="superscript"/>
    </w:rPr>
  </w:style>
  <w:style w:type="paragraph" w:styleId="Footer">
    <w:name w:val="footer"/>
    <w:aliases w:val="3_G"/>
    <w:basedOn w:val="Normal"/>
    <w:link w:val="FooterChar"/>
    <w:rsid w:val="00CA4105"/>
    <w:pPr>
      <w:spacing w:line="240" w:lineRule="auto"/>
    </w:pPr>
    <w:rPr>
      <w:rFonts w:eastAsia="Times New Roman"/>
      <w:sz w:val="16"/>
      <w:lang w:val="en-GB" w:eastAsia="en-US"/>
    </w:rPr>
  </w:style>
  <w:style w:type="character" w:styleId="PageNumber">
    <w:name w:val="page number"/>
    <w:aliases w:val="7_G"/>
    <w:rsid w:val="00CA4105"/>
    <w:rPr>
      <w:rFonts w:ascii="Times New Roman" w:hAnsi="Times New Roman"/>
      <w:b/>
      <w:spacing w:val="0"/>
      <w:kern w:val="0"/>
      <w:sz w:val="18"/>
    </w:rPr>
  </w:style>
  <w:style w:type="paragraph" w:styleId="Header">
    <w:name w:val="header"/>
    <w:aliases w:val="6_G"/>
    <w:basedOn w:val="Normal"/>
    <w:link w:val="HeaderChar"/>
    <w:rsid w:val="00CA4105"/>
    <w:pPr>
      <w:pBdr>
        <w:bottom w:val="single" w:sz="4" w:space="4" w:color="auto"/>
      </w:pBdr>
      <w:tabs>
        <w:tab w:val="left" w:pos="992"/>
        <w:tab w:val="left" w:pos="5772"/>
        <w:tab w:val="left" w:pos="6634"/>
        <w:tab w:val="left" w:pos="7144"/>
        <w:tab w:val="left" w:pos="7655"/>
        <w:tab w:val="left" w:pos="8165"/>
      </w:tabs>
      <w:spacing w:line="240" w:lineRule="auto"/>
    </w:pPr>
    <w:rPr>
      <w:b/>
      <w:sz w:val="18"/>
      <w:lang w:val="en-GB" w:eastAsia="en-US"/>
    </w:rPr>
  </w:style>
  <w:style w:type="paragraph" w:customStyle="1" w:styleId="Bullet1GC">
    <w:name w:val="_Bullet 1_GC"/>
    <w:basedOn w:val="Normal"/>
    <w:rsid w:val="00322F28"/>
    <w:pPr>
      <w:numPr>
        <w:numId w:val="1"/>
      </w:numPr>
      <w:spacing w:after="120"/>
      <w:ind w:right="1134"/>
    </w:pPr>
  </w:style>
  <w:style w:type="paragraph" w:customStyle="1" w:styleId="Bullet2GC">
    <w:name w:val="_Bullet 2_GC"/>
    <w:basedOn w:val="Normal"/>
    <w:rsid w:val="00801DCC"/>
    <w:pPr>
      <w:numPr>
        <w:numId w:val="2"/>
      </w:numPr>
      <w:tabs>
        <w:tab w:val="left" w:pos="1134"/>
        <w:tab w:val="left" w:pos="1565"/>
        <w:tab w:val="left" w:pos="1996"/>
      </w:tabs>
      <w:spacing w:after="120"/>
      <w:ind w:right="1134"/>
    </w:pPr>
  </w:style>
  <w:style w:type="paragraph" w:styleId="Title">
    <w:name w:val="Title"/>
    <w:basedOn w:val="Normal"/>
    <w:qFormat/>
    <w:pPr>
      <w:spacing w:before="240" w:after="60"/>
      <w:jc w:val="center"/>
      <w:outlineLvl w:val="0"/>
    </w:pPr>
    <w:rPr>
      <w:rFonts w:ascii="Arial" w:hAnsi="Arial" w:cs="Arial"/>
      <w:b/>
      <w:bCs/>
      <w:sz w:val="32"/>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MGC">
    <w:name w:val="_ H __M_GC"/>
    <w:basedOn w:val="Normal"/>
    <w:next w:val="SingleTxtGC"/>
    <w:rsid w:val="005F34AF"/>
    <w:pPr>
      <w:keepNext/>
      <w:keepLines/>
      <w:tabs>
        <w:tab w:val="clear" w:pos="431"/>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SingleTxtGC"/>
    <w:rsid w:val="005F34AF"/>
    <w:pPr>
      <w:keepNext/>
      <w:keepLines/>
      <w:tabs>
        <w:tab w:val="clear" w:pos="431"/>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SingleTxtGC"/>
    <w:rsid w:val="005F34AF"/>
    <w:pPr>
      <w:keepNext/>
      <w:keepLines/>
      <w:tabs>
        <w:tab w:val="clear" w:pos="431"/>
        <w:tab w:val="right" w:pos="851"/>
      </w:tabs>
      <w:spacing w:before="360" w:after="240"/>
      <w:ind w:left="1134" w:right="1134" w:hanging="1134"/>
      <w:outlineLvl w:val="2"/>
    </w:pPr>
    <w:rPr>
      <w:rFonts w:eastAsia="SimHei"/>
      <w:sz w:val="24"/>
    </w:rPr>
  </w:style>
  <w:style w:type="paragraph" w:customStyle="1" w:styleId="H23GC">
    <w:name w:val="_ H_2/3_GC"/>
    <w:basedOn w:val="Normal"/>
    <w:next w:val="SingleTxtGC"/>
    <w:rsid w:val="005F34AF"/>
    <w:pPr>
      <w:keepNext/>
      <w:keepLines/>
      <w:tabs>
        <w:tab w:val="clear" w:pos="431"/>
        <w:tab w:val="right" w:pos="851"/>
      </w:tabs>
      <w:spacing w:before="240" w:after="120"/>
      <w:ind w:left="1134" w:right="1134" w:hanging="1134"/>
      <w:outlineLvl w:val="3"/>
    </w:pPr>
    <w:rPr>
      <w:rFonts w:eastAsia="SimHei"/>
      <w:sz w:val="22"/>
    </w:rPr>
  </w:style>
  <w:style w:type="paragraph" w:customStyle="1" w:styleId="H4GC">
    <w:name w:val="_ H_4_GC"/>
    <w:basedOn w:val="Normal"/>
    <w:next w:val="SingleTxtGC"/>
    <w:rsid w:val="005F34AF"/>
    <w:pPr>
      <w:keepNext/>
      <w:keepLines/>
      <w:tabs>
        <w:tab w:val="clear" w:pos="431"/>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SingleTxtGC"/>
    <w:rsid w:val="005F34AF"/>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rsid w:val="00C80DA9"/>
    <w:pPr>
      <w:tabs>
        <w:tab w:val="left" w:pos="1134"/>
        <w:tab w:val="left" w:pos="1565"/>
        <w:tab w:val="left" w:pos="1996"/>
        <w:tab w:val="left" w:pos="2427"/>
      </w:tabs>
      <w:spacing w:after="120"/>
      <w:ind w:left="1134" w:right="1134"/>
    </w:pPr>
  </w:style>
  <w:style w:type="paragraph" w:customStyle="1" w:styleId="SLGC">
    <w:name w:val="__S_L_GC"/>
    <w:basedOn w:val="Normal"/>
    <w:next w:val="SingleTxtGC"/>
    <w:rsid w:val="00CA073C"/>
    <w:pPr>
      <w:keepNext/>
      <w:keepLines/>
      <w:spacing w:before="240" w:after="240" w:line="580" w:lineRule="exact"/>
      <w:ind w:left="1134" w:right="1134"/>
      <w:jc w:val="left"/>
    </w:pPr>
    <w:rPr>
      <w:rFonts w:eastAsia="SimHei"/>
      <w:sz w:val="56"/>
    </w:rPr>
  </w:style>
  <w:style w:type="paragraph" w:customStyle="1" w:styleId="SMGC">
    <w:name w:val="__S_M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SSGC">
    <w:name w:val="__S_S_GC"/>
    <w:basedOn w:val="Normal"/>
    <w:next w:val="SingleTxtGC"/>
    <w:rsid w:val="00CA073C"/>
    <w:pPr>
      <w:keepNext/>
      <w:keepLines/>
      <w:spacing w:before="240" w:after="240" w:line="300" w:lineRule="exact"/>
      <w:ind w:left="1134" w:right="1134"/>
      <w:jc w:val="left"/>
    </w:pPr>
    <w:rPr>
      <w:rFonts w:eastAsia="SimHei"/>
      <w:sz w:val="28"/>
    </w:rPr>
  </w:style>
  <w:style w:type="paragraph" w:customStyle="1" w:styleId="XLargeGC">
    <w:name w:val="__XLarge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a3">
    <w:name w:val="悬挂"/>
    <w:basedOn w:val="SingleTxtGC"/>
    <w:rsid w:val="001B11DB"/>
    <w:pPr>
      <w:ind w:left="1565" w:hanging="431"/>
    </w:pPr>
  </w:style>
  <w:style w:type="paragraph" w:customStyle="1" w:styleId="a4">
    <w:name w:val="表中文字"/>
    <w:basedOn w:val="SingleTxtGC"/>
    <w:rsid w:val="00647FD7"/>
    <w:pPr>
      <w:spacing w:before="40" w:line="240" w:lineRule="atLeast"/>
      <w:ind w:left="0" w:right="113"/>
    </w:pPr>
    <w:rPr>
      <w:sz w:val="18"/>
    </w:rPr>
  </w:style>
  <w:style w:type="paragraph" w:customStyle="1" w:styleId="a5">
    <w:name w:val="表数文字"/>
    <w:basedOn w:val="SingleTxtGC"/>
    <w:rsid w:val="004C5291"/>
    <w:pPr>
      <w:spacing w:before="40" w:after="40" w:line="240" w:lineRule="atLeast"/>
      <w:ind w:left="0" w:right="113"/>
    </w:pPr>
    <w:rPr>
      <w:sz w:val="18"/>
    </w:rPr>
  </w:style>
  <w:style w:type="table" w:styleId="TableGrid">
    <w:name w:val="Table Grid"/>
    <w:basedOn w:val="TableNormal"/>
    <w:rsid w:val="00A648CE"/>
    <w:pPr>
      <w:tabs>
        <w:tab w:val="left" w:pos="431"/>
      </w:tabs>
      <w:overflowPunct w:val="0"/>
      <w:adjustRightInd w:val="0"/>
      <w:snapToGrid w:val="0"/>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Char">
    <w:name w:val="_ Single Txt_GC Char"/>
    <w:link w:val="SingleTxtGC"/>
    <w:locked/>
    <w:rsid w:val="00A648CE"/>
    <w:rPr>
      <w:rFonts w:eastAsia="SimSun"/>
      <w:snapToGrid w:val="0"/>
      <w:sz w:val="21"/>
      <w:lang w:val="en-US" w:eastAsia="zh-CN" w:bidi="ar-SA"/>
    </w:rPr>
  </w:style>
  <w:style w:type="paragraph" w:customStyle="1" w:styleId="a6">
    <w:name w:val="八"/>
    <w:rsid w:val="00A648CE"/>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link w:val="FootnoteText"/>
    <w:rsid w:val="00A648CE"/>
    <w:rPr>
      <w:rFonts w:eastAsia="SimSun"/>
      <w:snapToGrid w:val="0"/>
      <w:sz w:val="18"/>
      <w:lang w:val="en-US" w:eastAsia="zh-CN" w:bidi="ar-SA"/>
    </w:rPr>
  </w:style>
  <w:style w:type="paragraph" w:customStyle="1" w:styleId="SingleTxtG">
    <w:name w:val="_ Single Txt_G"/>
    <w:basedOn w:val="Normal"/>
    <w:link w:val="SingleTxtGChar"/>
    <w:rsid w:val="00A648CE"/>
    <w:pPr>
      <w:tabs>
        <w:tab w:val="clear" w:pos="431"/>
      </w:tabs>
      <w:suppressAutoHyphens/>
      <w:overflowPunct/>
      <w:adjustRightInd/>
      <w:snapToGrid/>
      <w:spacing w:after="120" w:line="240" w:lineRule="atLeast"/>
      <w:ind w:left="1134" w:right="1134"/>
    </w:pPr>
    <w:rPr>
      <w:snapToGrid/>
      <w:sz w:val="20"/>
      <w:lang w:val="en-GB" w:eastAsia="en-US"/>
    </w:rPr>
  </w:style>
  <w:style w:type="paragraph" w:styleId="NormalWeb">
    <w:name w:val="Normal (Web)"/>
    <w:basedOn w:val="Normal"/>
    <w:rsid w:val="00A648CE"/>
    <w:pPr>
      <w:tabs>
        <w:tab w:val="clear" w:pos="431"/>
      </w:tabs>
      <w:overflowPunct/>
      <w:adjustRightInd/>
      <w:snapToGrid/>
      <w:spacing w:line="240" w:lineRule="auto"/>
      <w:jc w:val="left"/>
    </w:pPr>
    <w:rPr>
      <w:rFonts w:ascii="SimSun" w:hAnsi="SimSun" w:cs="SimSun"/>
      <w:snapToGrid/>
      <w:sz w:val="24"/>
      <w:szCs w:val="24"/>
    </w:rPr>
  </w:style>
  <w:style w:type="paragraph" w:customStyle="1" w:styleId="1">
    <w:name w:val="九1"/>
    <w:rsid w:val="00A648CE"/>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paragraph" w:customStyle="1" w:styleId="Default">
    <w:name w:val="Default"/>
    <w:rsid w:val="00A648CE"/>
    <w:pPr>
      <w:autoSpaceDE w:val="0"/>
      <w:autoSpaceDN w:val="0"/>
      <w:adjustRightInd w:val="0"/>
    </w:pPr>
    <w:rPr>
      <w:color w:val="000000"/>
      <w:sz w:val="24"/>
      <w:szCs w:val="24"/>
      <w:lang w:val="en-US" w:eastAsia="en-US"/>
    </w:rPr>
  </w:style>
  <w:style w:type="paragraph" w:customStyle="1" w:styleId="4G">
    <w:name w:val="4_G"/>
    <w:aliases w:val="ftref,a Footnote Reference,FZ,Appel note de bas de page,Footnotes refss,Footnote number,4_G Char Char,Footnote text Char Char,ftref Char Char,16 Point Char Char,Superscript 6 Point Char Char,Superscript 6 Point + 11 pt Char Char"/>
    <w:basedOn w:val="Normal"/>
    <w:link w:val="FootnoteReference"/>
    <w:rsid w:val="00A648CE"/>
    <w:pPr>
      <w:tabs>
        <w:tab w:val="clear" w:pos="431"/>
      </w:tabs>
      <w:overflowPunct/>
      <w:autoSpaceDE w:val="0"/>
      <w:autoSpaceDN w:val="0"/>
      <w:adjustRightInd/>
      <w:snapToGrid/>
      <w:spacing w:after="160" w:line="240" w:lineRule="exact"/>
    </w:pPr>
    <w:rPr>
      <w:rFonts w:eastAsia="Times New Roman"/>
      <w:snapToGrid/>
      <w:color w:val="0000FF"/>
      <w:vertAlign w:val="superscript"/>
      <w:lang w:val="en-GB" w:eastAsia="en-GB"/>
    </w:rPr>
  </w:style>
  <w:style w:type="paragraph" w:customStyle="1" w:styleId="H1G">
    <w:name w:val="_ H_1_G"/>
    <w:basedOn w:val="Normal"/>
    <w:next w:val="Normal"/>
    <w:link w:val="H1GChar"/>
    <w:rsid w:val="00A648CE"/>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character" w:customStyle="1" w:styleId="H1GChar">
    <w:name w:val="_ H_1_G Char"/>
    <w:link w:val="H1G"/>
    <w:rsid w:val="00A648CE"/>
    <w:rPr>
      <w:rFonts w:eastAsia="SimSun"/>
      <w:b/>
      <w:sz w:val="24"/>
      <w:lang w:val="en-GB" w:eastAsia="en-US" w:bidi="ar-SA"/>
    </w:rPr>
  </w:style>
  <w:style w:type="paragraph" w:customStyle="1" w:styleId="HMG">
    <w:name w:val="_ H __M_G"/>
    <w:basedOn w:val="Normal"/>
    <w:next w:val="Normal"/>
    <w:rsid w:val="00A648CE"/>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link w:val="HChGChar"/>
    <w:rsid w:val="00A648CE"/>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paragraph" w:customStyle="1" w:styleId="SMG">
    <w:name w:val="__S_M_G"/>
    <w:basedOn w:val="Normal"/>
    <w:next w:val="Normal"/>
    <w:rsid w:val="00A648CE"/>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A648CE"/>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A648CE"/>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A648CE"/>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A648CE"/>
    <w:pPr>
      <w:numPr>
        <w:numId w:val="4"/>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A648CE"/>
    <w:pPr>
      <w:numPr>
        <w:numId w:val="5"/>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23G">
    <w:name w:val="_ H_2/3_G"/>
    <w:basedOn w:val="Normal"/>
    <w:next w:val="Normal"/>
    <w:rsid w:val="00A648CE"/>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link w:val="H4GChar"/>
    <w:rsid w:val="00A648CE"/>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Normal"/>
    <w:next w:val="Normal"/>
    <w:rsid w:val="00A648CE"/>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character" w:customStyle="1" w:styleId="SingleTxtGChar">
    <w:name w:val="_ Single Txt_G Char"/>
    <w:link w:val="SingleTxtG"/>
    <w:rsid w:val="00A648CE"/>
    <w:rPr>
      <w:rFonts w:eastAsia="SimSun"/>
      <w:lang w:val="en-GB" w:eastAsia="en-US" w:bidi="ar-SA"/>
    </w:rPr>
  </w:style>
  <w:style w:type="character" w:styleId="CommentReference">
    <w:name w:val="annotation reference"/>
    <w:rsid w:val="00A648CE"/>
    <w:rPr>
      <w:sz w:val="16"/>
      <w:szCs w:val="16"/>
    </w:rPr>
  </w:style>
  <w:style w:type="character" w:customStyle="1" w:styleId="klink">
    <w:name w:val="klink"/>
    <w:basedOn w:val="DefaultParagraphFont"/>
    <w:rsid w:val="00A648CE"/>
  </w:style>
  <w:style w:type="paragraph" w:customStyle="1" w:styleId="normal0">
    <w:name w:val="normal"/>
    <w:basedOn w:val="Normal"/>
    <w:rsid w:val="00A648CE"/>
    <w:pPr>
      <w:tabs>
        <w:tab w:val="clear" w:pos="431"/>
      </w:tabs>
      <w:overflowPunct/>
      <w:adjustRightInd/>
      <w:snapToGrid/>
      <w:spacing w:line="240" w:lineRule="auto"/>
      <w:jc w:val="left"/>
    </w:pPr>
    <w:rPr>
      <w:rFonts w:ascii="Verdana" w:hAnsi="Verdana"/>
      <w:snapToGrid/>
      <w:color w:val="000000"/>
      <w:sz w:val="18"/>
      <w:szCs w:val="18"/>
    </w:rPr>
  </w:style>
  <w:style w:type="character" w:styleId="Emphasis">
    <w:name w:val="Emphasis"/>
    <w:qFormat/>
    <w:rsid w:val="00A648CE"/>
    <w:rPr>
      <w:b/>
      <w:bCs/>
      <w:i w:val="0"/>
      <w:iCs w:val="0"/>
    </w:rPr>
  </w:style>
  <w:style w:type="paragraph" w:styleId="BalloonText">
    <w:name w:val="Balloon Text"/>
    <w:basedOn w:val="Normal"/>
    <w:link w:val="BalloonTextChar"/>
    <w:rsid w:val="00A648CE"/>
    <w:pPr>
      <w:tabs>
        <w:tab w:val="clear" w:pos="431"/>
      </w:tabs>
      <w:suppressAutoHyphens/>
      <w:overflowPunct/>
      <w:adjustRightInd/>
      <w:snapToGrid/>
      <w:spacing w:line="240" w:lineRule="atLeast"/>
      <w:jc w:val="left"/>
    </w:pPr>
    <w:rPr>
      <w:rFonts w:ascii="Tahoma" w:hAnsi="Tahoma" w:cs="Tahoma"/>
      <w:snapToGrid/>
      <w:sz w:val="16"/>
      <w:szCs w:val="16"/>
      <w:lang w:val="en-GB" w:eastAsia="en-US"/>
    </w:rPr>
  </w:style>
  <w:style w:type="character" w:customStyle="1" w:styleId="BalloonTextChar">
    <w:name w:val="Balloon Text Char"/>
    <w:link w:val="BalloonText"/>
    <w:rsid w:val="00A648CE"/>
    <w:rPr>
      <w:rFonts w:ascii="Tahoma" w:eastAsia="SimSun" w:hAnsi="Tahoma" w:cs="Tahoma"/>
      <w:sz w:val="16"/>
      <w:szCs w:val="16"/>
      <w:lang w:val="en-GB" w:eastAsia="en-US" w:bidi="ar-SA"/>
    </w:rPr>
  </w:style>
  <w:style w:type="paragraph" w:styleId="CommentText">
    <w:name w:val="annotation text"/>
    <w:basedOn w:val="Normal"/>
    <w:link w:val="CommentTextChar"/>
    <w:rsid w:val="00A648CE"/>
    <w:pPr>
      <w:tabs>
        <w:tab w:val="clear" w:pos="431"/>
      </w:tabs>
      <w:suppressAutoHyphens/>
      <w:overflowPunct/>
      <w:adjustRightInd/>
      <w:snapToGrid/>
      <w:spacing w:line="240" w:lineRule="atLeast"/>
      <w:jc w:val="left"/>
    </w:pPr>
    <w:rPr>
      <w:snapToGrid/>
      <w:sz w:val="20"/>
      <w:lang w:val="en-GB" w:eastAsia="en-US"/>
    </w:rPr>
  </w:style>
  <w:style w:type="character" w:customStyle="1" w:styleId="CommentTextChar">
    <w:name w:val="Comment Text Char"/>
    <w:link w:val="CommentText"/>
    <w:rsid w:val="00A648CE"/>
    <w:rPr>
      <w:rFonts w:eastAsia="SimSun"/>
      <w:lang w:val="en-GB" w:eastAsia="en-US" w:bidi="ar-SA"/>
    </w:rPr>
  </w:style>
  <w:style w:type="paragraph" w:styleId="CommentSubject">
    <w:name w:val="annotation subject"/>
    <w:basedOn w:val="CommentText"/>
    <w:next w:val="CommentText"/>
    <w:link w:val="CommentSubjectChar"/>
    <w:rsid w:val="00A648CE"/>
    <w:rPr>
      <w:b/>
      <w:bCs/>
    </w:rPr>
  </w:style>
  <w:style w:type="character" w:customStyle="1" w:styleId="CommentSubjectChar">
    <w:name w:val="Comment Subject Char"/>
    <w:link w:val="CommentSubject"/>
    <w:rsid w:val="00A648CE"/>
    <w:rPr>
      <w:rFonts w:eastAsia="SimSun"/>
      <w:b/>
      <w:bCs/>
      <w:lang w:val="en-GB" w:eastAsia="en-US" w:bidi="ar-SA"/>
    </w:rPr>
  </w:style>
  <w:style w:type="paragraph" w:customStyle="1" w:styleId="ListParagraph1">
    <w:name w:val="List Paragraph1"/>
    <w:basedOn w:val="Normal"/>
    <w:qFormat/>
    <w:rsid w:val="00A648CE"/>
    <w:pPr>
      <w:tabs>
        <w:tab w:val="clear" w:pos="431"/>
      </w:tabs>
      <w:overflowPunct/>
      <w:adjustRightInd/>
      <w:snapToGrid/>
      <w:spacing w:after="200" w:line="276" w:lineRule="auto"/>
      <w:ind w:left="720"/>
      <w:contextualSpacing/>
      <w:jc w:val="left"/>
    </w:pPr>
    <w:rPr>
      <w:rFonts w:ascii="Calibri" w:hAnsi="Calibri" w:cs="Arial"/>
      <w:snapToGrid/>
      <w:sz w:val="22"/>
      <w:szCs w:val="36"/>
      <w:lang w:val="en-AU" w:eastAsia="en-US" w:bidi="km-KH"/>
    </w:rPr>
  </w:style>
  <w:style w:type="character" w:customStyle="1" w:styleId="HChGChar">
    <w:name w:val="_ H _Ch_G Char"/>
    <w:link w:val="HChG"/>
    <w:rsid w:val="00A648CE"/>
    <w:rPr>
      <w:rFonts w:eastAsia="SimSun"/>
      <w:b/>
      <w:sz w:val="28"/>
      <w:lang w:val="en-GB" w:eastAsia="en-US" w:bidi="ar-SA"/>
    </w:rPr>
  </w:style>
  <w:style w:type="paragraph" w:customStyle="1" w:styleId="FootnoteTextA">
    <w:name w:val="Footnote Text A"/>
    <w:rsid w:val="00A648CE"/>
    <w:rPr>
      <w:rFonts w:eastAsia="ヒラギノ角ゴ Pro W3"/>
      <w:color w:val="000000"/>
      <w:sz w:val="18"/>
      <w:lang w:val="en-US"/>
    </w:rPr>
  </w:style>
  <w:style w:type="paragraph" w:customStyle="1" w:styleId="FootnoteText1">
    <w:name w:val="Footnote Text1"/>
    <w:rsid w:val="00A648CE"/>
    <w:pPr>
      <w:spacing w:before="120" w:after="120"/>
      <w:jc w:val="both"/>
    </w:pPr>
    <w:rPr>
      <w:rFonts w:eastAsia="ヒラギノ角ゴ Pro W3"/>
      <w:color w:val="000000"/>
      <w:sz w:val="18"/>
    </w:rPr>
  </w:style>
  <w:style w:type="character" w:customStyle="1" w:styleId="FootnoteReference1">
    <w:name w:val="Footnote Reference1"/>
    <w:rsid w:val="00A648CE"/>
    <w:rPr>
      <w:color w:val="000000"/>
      <w:sz w:val="20"/>
      <w:vertAlign w:val="superscript"/>
    </w:rPr>
  </w:style>
  <w:style w:type="character" w:customStyle="1" w:styleId="hps">
    <w:name w:val="hps"/>
    <w:rsid w:val="00A648CE"/>
  </w:style>
  <w:style w:type="paragraph" w:styleId="ListBullet">
    <w:name w:val="List Bullet"/>
    <w:aliases w:val="List Bullet Char"/>
    <w:basedOn w:val="Normal"/>
    <w:autoRedefine/>
    <w:rsid w:val="00A648CE"/>
    <w:pPr>
      <w:numPr>
        <w:numId w:val="6"/>
      </w:numPr>
      <w:tabs>
        <w:tab w:val="clear" w:pos="431"/>
        <w:tab w:val="left" w:pos="360"/>
      </w:tabs>
      <w:overflowPunct/>
      <w:adjustRightInd/>
      <w:snapToGrid/>
      <w:spacing w:before="120" w:after="120" w:line="360" w:lineRule="auto"/>
      <w:jc w:val="left"/>
    </w:pPr>
    <w:rPr>
      <w:rFonts w:ascii="Verdana" w:hAnsi="Verdana" w:cs="Verdana"/>
      <w:b/>
      <w:bCs/>
      <w:snapToGrid/>
      <w:color w:val="000000"/>
      <w:spacing w:val="-4"/>
      <w:w w:val="95"/>
      <w:sz w:val="28"/>
      <w:szCs w:val="28"/>
    </w:rPr>
  </w:style>
  <w:style w:type="character" w:customStyle="1" w:styleId="HeaderChar">
    <w:name w:val="Header Char"/>
    <w:aliases w:val="6_G Char"/>
    <w:link w:val="Header"/>
    <w:rsid w:val="00A648CE"/>
    <w:rPr>
      <w:rFonts w:eastAsia="SimSun"/>
      <w:b/>
      <w:snapToGrid w:val="0"/>
      <w:sz w:val="18"/>
      <w:lang w:val="en-GB" w:eastAsia="en-US" w:bidi="ar-SA"/>
    </w:rPr>
  </w:style>
  <w:style w:type="character" w:customStyle="1" w:styleId="FooterChar">
    <w:name w:val="Footer Char"/>
    <w:aliases w:val="3_G Char"/>
    <w:link w:val="Footer"/>
    <w:rsid w:val="00A648CE"/>
    <w:rPr>
      <w:snapToGrid w:val="0"/>
      <w:sz w:val="16"/>
      <w:lang w:val="en-GB" w:eastAsia="en-US" w:bidi="ar-SA"/>
    </w:rPr>
  </w:style>
  <w:style w:type="character" w:customStyle="1" w:styleId="lblnewstitle1">
    <w:name w:val="lblnewstitle1"/>
    <w:rsid w:val="00A648CE"/>
    <w:rPr>
      <w:b/>
      <w:bCs/>
      <w:sz w:val="29"/>
      <w:szCs w:val="29"/>
    </w:rPr>
  </w:style>
  <w:style w:type="character" w:customStyle="1" w:styleId="web-item2">
    <w:name w:val="web-item2"/>
    <w:rsid w:val="00A648CE"/>
    <w:rPr>
      <w:sz w:val="13"/>
      <w:szCs w:val="13"/>
    </w:rPr>
  </w:style>
  <w:style w:type="paragraph" w:customStyle="1" w:styleId="ParaNo">
    <w:name w:val="ParaNo."/>
    <w:basedOn w:val="Normal"/>
    <w:rsid w:val="00A648CE"/>
    <w:pPr>
      <w:numPr>
        <w:numId w:val="9"/>
      </w:numPr>
      <w:tabs>
        <w:tab w:val="clear" w:pos="431"/>
        <w:tab w:val="left" w:pos="737"/>
      </w:tabs>
      <w:overflowPunct/>
      <w:adjustRightInd/>
      <w:snapToGrid/>
      <w:spacing w:after="240" w:line="240" w:lineRule="auto"/>
      <w:ind w:left="-1" w:firstLine="1"/>
      <w:jc w:val="left"/>
    </w:pPr>
    <w:rPr>
      <w:snapToGrid/>
      <w:sz w:val="24"/>
      <w:lang w:val="fr-CH" w:eastAsia="en-US"/>
    </w:rPr>
  </w:style>
  <w:style w:type="paragraph" w:customStyle="1" w:styleId="Rom1">
    <w:name w:val="Rom1"/>
    <w:basedOn w:val="Normal"/>
    <w:rsid w:val="00A648CE"/>
    <w:pPr>
      <w:numPr>
        <w:numId w:val="8"/>
      </w:numPr>
      <w:tabs>
        <w:tab w:val="clear" w:pos="431"/>
        <w:tab w:val="num" w:pos="1440"/>
      </w:tabs>
      <w:overflowPunct/>
      <w:adjustRightInd/>
      <w:snapToGrid/>
      <w:spacing w:after="240" w:line="240" w:lineRule="auto"/>
      <w:ind w:left="1441" w:hanging="590"/>
      <w:jc w:val="left"/>
    </w:pPr>
    <w:rPr>
      <w:snapToGrid/>
      <w:sz w:val="24"/>
      <w:lang w:val="en-GB" w:eastAsia="en-US"/>
    </w:rPr>
  </w:style>
  <w:style w:type="paragraph" w:customStyle="1" w:styleId="Rom2">
    <w:name w:val="Rom2"/>
    <w:basedOn w:val="Normal"/>
    <w:rsid w:val="00A648CE"/>
    <w:pPr>
      <w:numPr>
        <w:numId w:val="7"/>
      </w:numPr>
      <w:tabs>
        <w:tab w:val="clear" w:pos="360"/>
        <w:tab w:val="clear" w:pos="431"/>
        <w:tab w:val="num" w:pos="2160"/>
      </w:tabs>
      <w:overflowPunct/>
      <w:adjustRightInd/>
      <w:snapToGrid/>
      <w:spacing w:after="240" w:line="240" w:lineRule="auto"/>
      <w:ind w:left="2160" w:hanging="516"/>
      <w:jc w:val="left"/>
    </w:pPr>
    <w:rPr>
      <w:snapToGrid/>
      <w:sz w:val="24"/>
      <w:lang w:val="en-GB" w:eastAsia="en-US"/>
    </w:rPr>
  </w:style>
  <w:style w:type="paragraph" w:customStyle="1" w:styleId="Paragraphedeliste1">
    <w:name w:val="Paragraphe de liste1"/>
    <w:basedOn w:val="Normal"/>
    <w:rsid w:val="00A648CE"/>
    <w:pPr>
      <w:tabs>
        <w:tab w:val="clear" w:pos="431"/>
      </w:tabs>
      <w:suppressAutoHyphens/>
      <w:overflowPunct/>
      <w:adjustRightInd/>
      <w:snapToGrid/>
      <w:spacing w:line="240" w:lineRule="atLeast"/>
      <w:ind w:left="720"/>
      <w:jc w:val="left"/>
    </w:pPr>
    <w:rPr>
      <w:snapToGrid/>
      <w:sz w:val="20"/>
      <w:lang w:val="en-GB" w:eastAsia="en-US"/>
    </w:rPr>
  </w:style>
  <w:style w:type="character" w:customStyle="1" w:styleId="admitted">
    <w:name w:val="admitted"/>
    <w:rsid w:val="00A648CE"/>
    <w:rPr>
      <w:rFonts w:ascii="Times New Roman" w:eastAsia="SimSun" w:hAnsi="Times New Roman" w:cs="Times New Roman"/>
    </w:rPr>
  </w:style>
  <w:style w:type="character" w:customStyle="1" w:styleId="H4GChar">
    <w:name w:val="_ H_4_G Char"/>
    <w:link w:val="H4G"/>
    <w:rsid w:val="00A648CE"/>
    <w:rPr>
      <w:rFonts w:eastAsia="SimSun"/>
      <w:i/>
      <w:lang w:val="en-GB" w:eastAsia="en-US" w:bidi="ar-SA"/>
    </w:rPr>
  </w:style>
  <w:style w:type="character" w:customStyle="1" w:styleId="Heading1Char">
    <w:name w:val="Heading 1 Char"/>
    <w:aliases w:val="Table_G Char"/>
    <w:link w:val="Heading1"/>
    <w:rsid w:val="00A648CE"/>
    <w:rPr>
      <w:rFonts w:eastAsia="SimSun"/>
      <w:b/>
      <w:kern w:val="32"/>
      <w:sz w:val="30"/>
      <w:lang w:val="en-US" w:eastAsia="zh-CN" w:bidi="ar-SA"/>
    </w:rPr>
  </w:style>
  <w:style w:type="character" w:customStyle="1" w:styleId="Heading2Char">
    <w:name w:val="Heading 2 Char"/>
    <w:link w:val="Heading2"/>
    <w:rsid w:val="00A648CE"/>
    <w:rPr>
      <w:rFonts w:eastAsia="SimSun"/>
      <w:snapToGrid w:val="0"/>
      <w:kern w:val="28"/>
      <w:sz w:val="28"/>
      <w:lang w:val="en-US" w:eastAsia="zh-CN" w:bidi="ar-SA"/>
    </w:rPr>
  </w:style>
  <w:style w:type="character" w:customStyle="1" w:styleId="Heading3Char">
    <w:name w:val="Heading 3 Char"/>
    <w:link w:val="Heading3"/>
    <w:rsid w:val="00A648CE"/>
    <w:rPr>
      <w:rFonts w:eastAsia="SimSun"/>
      <w:snapToGrid w:val="0"/>
      <w:kern w:val="28"/>
      <w:sz w:val="21"/>
      <w:u w:val="single"/>
      <w:lang w:val="en-US" w:eastAsia="zh-CN" w:bidi="ar-SA"/>
    </w:rPr>
  </w:style>
  <w:style w:type="character" w:customStyle="1" w:styleId="Heading4Char">
    <w:name w:val="Heading 4 Char"/>
    <w:link w:val="Heading4"/>
    <w:rsid w:val="00A648CE"/>
    <w:rPr>
      <w:rFonts w:eastAsia="SimSun"/>
      <w:snapToGrid w:val="0"/>
      <w:sz w:val="21"/>
      <w:u w:val="single"/>
      <w:lang w:val="en-US" w:eastAsia="zh-CN" w:bidi="ar-SA"/>
    </w:rPr>
  </w:style>
  <w:style w:type="character" w:customStyle="1" w:styleId="Heading5Char">
    <w:name w:val="Heading 5 Char"/>
    <w:link w:val="Heading5"/>
    <w:rsid w:val="00A648CE"/>
    <w:rPr>
      <w:rFonts w:eastAsia="SimHei"/>
      <w:bCs/>
      <w:snapToGrid w:val="0"/>
      <w:sz w:val="21"/>
      <w:szCs w:val="36"/>
      <w:lang w:val="en-US" w:eastAsia="zh-CN" w:bidi="ar-SA"/>
    </w:rPr>
  </w:style>
  <w:style w:type="character" w:customStyle="1" w:styleId="Heading6Char">
    <w:name w:val="Heading 6 Char"/>
    <w:link w:val="Heading6"/>
    <w:rsid w:val="00A648CE"/>
    <w:rPr>
      <w:rFonts w:ascii="Arial" w:eastAsia="SimHei" w:hAnsi="Arial"/>
      <w:b/>
      <w:bCs/>
      <w:snapToGrid w:val="0"/>
      <w:sz w:val="21"/>
      <w:szCs w:val="24"/>
      <w:lang w:val="en-US" w:eastAsia="zh-CN" w:bidi="ar-SA"/>
    </w:rPr>
  </w:style>
  <w:style w:type="character" w:customStyle="1" w:styleId="Heading7Char">
    <w:name w:val="Heading 7 Char"/>
    <w:link w:val="Heading7"/>
    <w:rsid w:val="00A648CE"/>
    <w:rPr>
      <w:rFonts w:eastAsia="SimSun"/>
      <w:b/>
      <w:bCs/>
      <w:snapToGrid w:val="0"/>
      <w:sz w:val="21"/>
      <w:szCs w:val="24"/>
      <w:lang w:val="en-US" w:eastAsia="zh-CN" w:bidi="ar-SA"/>
    </w:rPr>
  </w:style>
  <w:style w:type="character" w:customStyle="1" w:styleId="Heading8Char">
    <w:name w:val="Heading 8 Char"/>
    <w:link w:val="Heading8"/>
    <w:rsid w:val="00A648CE"/>
    <w:rPr>
      <w:rFonts w:ascii="Arial" w:eastAsia="SimHei" w:hAnsi="Arial"/>
      <w:snapToGrid w:val="0"/>
      <w:sz w:val="21"/>
      <w:szCs w:val="24"/>
      <w:lang w:val="en-US" w:eastAsia="zh-CN" w:bidi="ar-SA"/>
    </w:rPr>
  </w:style>
  <w:style w:type="character" w:customStyle="1" w:styleId="Heading9Char">
    <w:name w:val="Heading 9 Char"/>
    <w:link w:val="Heading9"/>
    <w:rsid w:val="00A648CE"/>
    <w:rPr>
      <w:rFonts w:ascii="Arial" w:eastAsia="SimHei" w:hAnsi="Arial"/>
      <w:snapToGrid w:val="0"/>
      <w:sz w:val="21"/>
      <w:szCs w:val="21"/>
      <w:lang w:val="en-US" w:eastAsia="zh-CN" w:bidi="ar-SA"/>
    </w:rPr>
  </w:style>
  <w:style w:type="character" w:customStyle="1" w:styleId="EndnoteTextChar">
    <w:name w:val="Endnote Text Char"/>
    <w:aliases w:val="2_G Char"/>
    <w:link w:val="EndnoteText"/>
    <w:rsid w:val="00A648CE"/>
    <w:rPr>
      <w:rFonts w:eastAsia="SimSun"/>
      <w:snapToGrid w:val="0"/>
      <w:sz w:val="18"/>
      <w:lang w:val="en-US" w:eastAsia="zh-CN" w:bidi="ar-SA"/>
    </w:rPr>
  </w:style>
  <w:style w:type="paragraph" w:customStyle="1" w:styleId="Level1">
    <w:name w:val="Level 1"/>
    <w:basedOn w:val="Normal"/>
    <w:rsid w:val="00A648CE"/>
    <w:pPr>
      <w:widowControl w:val="0"/>
      <w:tabs>
        <w:tab w:val="clear" w:pos="431"/>
        <w:tab w:val="num" w:pos="1701"/>
      </w:tabs>
      <w:overflowPunct/>
      <w:autoSpaceDE w:val="0"/>
      <w:autoSpaceDN w:val="0"/>
      <w:snapToGrid/>
      <w:spacing w:line="240" w:lineRule="auto"/>
      <w:ind w:left="283" w:hanging="226"/>
      <w:jc w:val="left"/>
      <w:outlineLvl w:val="0"/>
    </w:pPr>
    <w:rPr>
      <w:snapToGrid/>
      <w:sz w:val="20"/>
      <w:szCs w:val="24"/>
      <w:lang w:eastAsia="en-US"/>
    </w:rPr>
  </w:style>
  <w:style w:type="character" w:customStyle="1" w:styleId="apple-converted-space">
    <w:name w:val="apple-converted-space"/>
    <w:rsid w:val="00A648CE"/>
    <w:rPr>
      <w:rFonts w:ascii="Times New Roman" w:eastAsia="SimSun" w:hAnsi="Times New Roman" w:cs="Times New Roman"/>
    </w:rPr>
  </w:style>
  <w:style w:type="character" w:customStyle="1" w:styleId="apple-style-span">
    <w:name w:val="apple-style-span"/>
    <w:rsid w:val="00A648CE"/>
    <w:rPr>
      <w:rFonts w:ascii="Times New Roman" w:eastAsia="SimSun" w:hAnsi="Times New Roman" w:cs="Times New Roman"/>
    </w:rPr>
  </w:style>
  <w:style w:type="character" w:customStyle="1" w:styleId="contenttext1">
    <w:name w:val="contenttext1"/>
    <w:rsid w:val="00A648CE"/>
    <w:rPr>
      <w:rFonts w:ascii="Arial" w:eastAsia="SimSun" w:hAnsi="Arial" w:cs="Times New Roman"/>
      <w:sz w:val="24"/>
    </w:rPr>
  </w:style>
  <w:style w:type="paragraph" w:customStyle="1" w:styleId="CharCharCharChar">
    <w:name w:val="Char Char Char Char"/>
    <w:basedOn w:val="Normal"/>
    <w:rsid w:val="00A648CE"/>
    <w:pPr>
      <w:tabs>
        <w:tab w:val="clear" w:pos="431"/>
      </w:tabs>
      <w:overflowPunct/>
      <w:adjustRightInd/>
      <w:snapToGrid/>
      <w:spacing w:after="160" w:line="240" w:lineRule="exact"/>
      <w:jc w:val="left"/>
    </w:pPr>
    <w:rPr>
      <w:rFonts w:ascii="Verdana" w:hAnsi="Verdana" w:cs="Angsana New"/>
      <w:snapToGrid/>
      <w:sz w:val="20"/>
      <w:lang w:val="en-GB" w:eastAsia="en-US"/>
    </w:rPr>
  </w:style>
  <w:style w:type="paragraph" w:customStyle="1" w:styleId="Revision1">
    <w:name w:val="Revision1"/>
    <w:rsid w:val="00A648CE"/>
    <w:rPr>
      <w:lang w:eastAsia="en-US"/>
    </w:rPr>
  </w:style>
  <w:style w:type="character" w:customStyle="1" w:styleId="preferred">
    <w:name w:val="preferred"/>
    <w:rsid w:val="00A648CE"/>
    <w:rPr>
      <w:rFonts w:ascii="Times New Roman" w:eastAsia="SimSun" w:hAnsi="Times New Roman" w:cs="Times New Roman"/>
    </w:rPr>
  </w:style>
  <w:style w:type="character" w:customStyle="1" w:styleId="CharChar8">
    <w:name w:val="Char Char8"/>
    <w:rsid w:val="00A648CE"/>
    <w:rPr>
      <w:rFonts w:ascii="Times New Roman" w:eastAsia="SimSun" w:hAnsi="Times New Roman" w:cs="Times New Roman"/>
      <w:lang w:val="en-GB" w:eastAsia="en-US"/>
    </w:rPr>
  </w:style>
  <w:style w:type="character" w:customStyle="1" w:styleId="CharChar9">
    <w:name w:val="Char Char9"/>
    <w:rsid w:val="00A648CE"/>
    <w:rPr>
      <w:rFonts w:ascii="Times New Roman" w:eastAsia="SimSun" w:hAnsi="Times New Roman" w:cs="Times New Roman"/>
      <w:lang w:val="en-GB" w:eastAsia="en-US"/>
    </w:rPr>
  </w:style>
  <w:style w:type="character" w:customStyle="1" w:styleId="CharChar6">
    <w:name w:val="Char Char6"/>
    <w:rsid w:val="00A648CE"/>
    <w:rPr>
      <w:rFonts w:ascii="Times New Roman" w:eastAsia="SimSun" w:hAnsi="Times New Roman" w:cs="Times New Roman"/>
      <w:lang w:val="en-GB" w:eastAsia="en-US"/>
    </w:rPr>
  </w:style>
  <w:style w:type="character" w:customStyle="1" w:styleId="CharChar7">
    <w:name w:val="Char Char7"/>
    <w:rsid w:val="00A648CE"/>
    <w:rPr>
      <w:rFonts w:ascii="Times New Roman" w:eastAsia="SimSun" w:hAnsi="Times New Roman" w:cs="Times New Roman"/>
      <w:lang w:val="en-GB" w:eastAsia="en-US"/>
    </w:rPr>
  </w:style>
  <w:style w:type="character" w:customStyle="1" w:styleId="CharChar4">
    <w:name w:val="Char Char4"/>
    <w:rsid w:val="00A648CE"/>
    <w:rPr>
      <w:rFonts w:ascii="Times New Roman" w:eastAsia="SimSun" w:hAnsi="Times New Roman" w:cs="Times New Roman"/>
      <w:lang w:val="en-GB" w:eastAsia="en-US"/>
    </w:rPr>
  </w:style>
  <w:style w:type="character" w:customStyle="1" w:styleId="CharChar10">
    <w:name w:val="Char Char10"/>
    <w:rsid w:val="00A648CE"/>
    <w:rPr>
      <w:rFonts w:ascii="Times New Roman" w:eastAsia="SimSun" w:hAnsi="Times New Roman" w:cs="Times New Roman"/>
      <w:lang w:val="en-GB" w:eastAsia="en-US"/>
    </w:rPr>
  </w:style>
  <w:style w:type="character" w:customStyle="1" w:styleId="CharChar5">
    <w:name w:val="Char Char5"/>
    <w:rsid w:val="00A648CE"/>
    <w:rPr>
      <w:rFonts w:ascii="Times New Roman" w:eastAsia="SimSun" w:hAnsi="Times New Roman" w:cs="Times New Roman"/>
      <w:lang w:val="en-GB" w:eastAsia="en-US"/>
    </w:rPr>
  </w:style>
  <w:style w:type="character" w:customStyle="1" w:styleId="CharChar2">
    <w:name w:val="Char Char2"/>
    <w:rsid w:val="00A648CE"/>
    <w:rPr>
      <w:rFonts w:ascii="Tahoma" w:eastAsia="SimSun" w:hAnsi="Tahoma" w:cs="Times New Roman"/>
      <w:sz w:val="16"/>
      <w:lang w:val="en-GB" w:eastAsia="en-US"/>
    </w:rPr>
  </w:style>
  <w:style w:type="character" w:customStyle="1" w:styleId="CharChar3">
    <w:name w:val="Char Char3"/>
    <w:rsid w:val="00A648CE"/>
    <w:rPr>
      <w:rFonts w:ascii="Times New Roman" w:eastAsia="SimSun" w:hAnsi="Times New Roman" w:cs="Times New Roman"/>
      <w:lang w:val="en-GB" w:eastAsia="en-US"/>
    </w:rPr>
  </w:style>
  <w:style w:type="character" w:customStyle="1" w:styleId="CharChar1">
    <w:name w:val="Char Char1"/>
    <w:rsid w:val="00A648CE"/>
    <w:rPr>
      <w:rFonts w:ascii="Times New Roman" w:eastAsia="SimSun" w:hAnsi="Times New Roman" w:cs="Times New Roman"/>
      <w:spacing w:val="4"/>
      <w:w w:val="103"/>
      <w:kern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gb231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xt%20Processing\Word_templates_2003\A-H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5951C0-7F13-43E7-936D-A3FB0902DDCC}"/>
</file>

<file path=customXml/itemProps2.xml><?xml version="1.0" encoding="utf-8"?>
<ds:datastoreItem xmlns:ds="http://schemas.openxmlformats.org/officeDocument/2006/customXml" ds:itemID="{A495E882-73EE-400F-B2A9-01BE2BDDD4B3}"/>
</file>

<file path=customXml/itemProps3.xml><?xml version="1.0" encoding="utf-8"?>
<ds:datastoreItem xmlns:ds="http://schemas.openxmlformats.org/officeDocument/2006/customXml" ds:itemID="{A1E50094-7374-414A-892C-32E07DBDB30F}"/>
</file>

<file path=docProps/app.xml><?xml version="1.0" encoding="utf-8"?>
<Properties xmlns="http://schemas.openxmlformats.org/officeDocument/2006/extended-properties" xmlns:vt="http://schemas.openxmlformats.org/officeDocument/2006/docPropsVTypes">
  <Template>A-HRC</Template>
  <TotalTime>0</TotalTime>
  <Pages>24</Pages>
  <Words>3265</Words>
  <Characters>18616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Normal</vt:lpstr>
    </vt:vector>
  </TitlesOfParts>
  <Company>CSD</Company>
  <LinksUpToDate>false</LinksUpToDate>
  <CharactersWithSpaces>21838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Honduras in Chinese</dc:title>
  <dc:creator>TT</dc:creator>
  <cp:lastModifiedBy>Somova Iuliia</cp:lastModifiedBy>
  <cp:revision>2</cp:revision>
  <cp:lastPrinted>2015-08-07T08:08:00Z</cp:lastPrinted>
  <dcterms:created xsi:type="dcterms:W3CDTF">2015-08-07T14:05:00Z</dcterms:created>
  <dcterms:modified xsi:type="dcterms:W3CDTF">2015-08-07T14:05:00Z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