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6C" w:rsidRDefault="00151A6C" w:rsidP="00151A6C">
      <w:pPr>
        <w:spacing w:line="240" w:lineRule="auto"/>
        <w:jc w:val="left"/>
        <w:rPr>
          <w:szCs w:val="6"/>
        </w:rPr>
        <w:sectPr w:rsidR="00151A6C" w:rsidSect="00151A6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151A6C" w:rsidRDefault="00151A6C" w:rsidP="00151A6C">
      <w:pPr>
        <w:pStyle w:val="H1"/>
        <w:rPr>
          <w:rtl/>
        </w:rPr>
      </w:pPr>
      <w:r>
        <w:rPr>
          <w:rFonts w:hint="cs"/>
          <w:rtl/>
        </w:rPr>
        <w:lastRenderedPageBreak/>
        <w:t>مجلس</w:t>
      </w:r>
      <w:r>
        <w:rPr>
          <w:rtl/>
        </w:rPr>
        <w:t xml:space="preserve"> حقوق الإنسان</w:t>
      </w:r>
    </w:p>
    <w:p w:rsid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tl/>
        </w:rPr>
        <w:t>الدورة ال</w:t>
      </w:r>
      <w:r>
        <w:rPr>
          <w:rFonts w:hint="cs"/>
          <w:rtl/>
        </w:rPr>
        <w:t>ثلاث</w:t>
      </w:r>
      <w:r>
        <w:rPr>
          <w:rtl/>
        </w:rPr>
        <w:t>ون</w:t>
      </w:r>
    </w:p>
    <w:p w:rsidR="000553E9" w:rsidRDefault="000553E9" w:rsidP="000553E9">
      <w:r>
        <w:rPr>
          <w:rtl/>
        </w:rPr>
        <w:t>البند 1 من جدول الأعمال</w:t>
      </w:r>
    </w:p>
    <w:p w:rsid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المسائل التنظيمية والإجرائية</w:t>
      </w:r>
    </w:p>
    <w:p w:rsidR="000553E9" w:rsidRPr="000553E9" w:rsidRDefault="000553E9" w:rsidP="000553E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0553E9" w:rsidRDefault="000553E9" w:rsidP="000553E9">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Default="000553E9" w:rsidP="000553E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Pr>
          <w:rtl/>
        </w:rPr>
        <w:t>انتخاب أعضاء اللجنة الاستشارية لمجلس حقوق الإنسان</w:t>
      </w:r>
    </w:p>
    <w:p w:rsidR="000553E9" w:rsidRPr="000553E9" w:rsidRDefault="000553E9" w:rsidP="000553E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Default="000553E9" w:rsidP="000553E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tl/>
        </w:rPr>
        <w:tab/>
        <w:t>مذكرة من الأمين العام</w:t>
      </w:r>
    </w:p>
    <w:p w:rsidR="000553E9" w:rsidRPr="000553E9" w:rsidRDefault="000553E9" w:rsidP="000553E9">
      <w:pPr>
        <w:pStyle w:val="SingleTxt"/>
        <w:spacing w:after="0" w:line="120" w:lineRule="exact"/>
        <w:rPr>
          <w:sz w:val="10"/>
          <w:rtl/>
        </w:rPr>
      </w:pPr>
    </w:p>
    <w:p w:rsidR="000553E9" w:rsidRPr="005E7AFD" w:rsidRDefault="000553E9" w:rsidP="000553E9">
      <w:pPr>
        <w:pStyle w:val="SingleTxt"/>
        <w:rPr>
          <w:spacing w:val="-2"/>
          <w:rtl/>
        </w:rPr>
      </w:pPr>
      <w:r w:rsidRPr="005E7AFD">
        <w:rPr>
          <w:spacing w:val="-2"/>
          <w:rtl/>
        </w:rPr>
        <w:t>1-</w:t>
      </w:r>
      <w:r w:rsidRPr="005E7AFD">
        <w:rPr>
          <w:spacing w:val="-2"/>
          <w:rtl/>
        </w:rPr>
        <w:tab/>
        <w:t>وفقاً لقرار مجلس حقوق الإنسان 5/1، تتألف اللجنة الاستشارية لمجلس حقوق الإنسان من 18 خبيراً يعملون بصفتهم الشخصية وترشحهم الدول الأعضاء في الأمم المتحدة بعد التشاور مع المؤسسات الوطنية لحقوق الإنسان ومنظمات المجتمع المدني، وينتخب المجلس أعضاء اللجنة الاستشارية في اقتراع سري من قائمة المرشحين الذين تقد</w:t>
      </w:r>
      <w:r w:rsidRPr="005E7AFD">
        <w:rPr>
          <w:rFonts w:hint="cs"/>
          <w:spacing w:val="-2"/>
          <w:rtl/>
        </w:rPr>
        <w:t>َّ</w:t>
      </w:r>
      <w:r w:rsidRPr="005E7AFD">
        <w:rPr>
          <w:spacing w:val="-2"/>
          <w:rtl/>
        </w:rPr>
        <w:t>م أسماؤهم وفقاً للشروط المتفق عليها.</w:t>
      </w:r>
    </w:p>
    <w:p w:rsidR="000553E9" w:rsidRDefault="000553E9" w:rsidP="000553E9">
      <w:pPr>
        <w:pStyle w:val="SingleTxt"/>
        <w:rPr>
          <w:rtl/>
        </w:rPr>
      </w:pPr>
      <w:r>
        <w:rPr>
          <w:rtl/>
        </w:rPr>
        <w:t>2-</w:t>
      </w:r>
      <w:r>
        <w:rPr>
          <w:rtl/>
        </w:rPr>
        <w:tab/>
        <w:t xml:space="preserve">ويكون التوزيع الجغرافي لأعضاء اللجنة الاستشارية على النحو التالي: </w:t>
      </w:r>
    </w:p>
    <w:p w:rsidR="000553E9" w:rsidRDefault="000553E9" w:rsidP="000553E9">
      <w:pPr>
        <w:pStyle w:val="SingleTxt"/>
        <w:rPr>
          <w:rtl/>
        </w:rPr>
      </w:pPr>
      <w:r>
        <w:rPr>
          <w:rtl/>
        </w:rPr>
        <w:tab/>
        <w:t>(أ)</w:t>
      </w:r>
      <w:r>
        <w:rPr>
          <w:rFonts w:hint="cs"/>
          <w:rtl/>
        </w:rPr>
        <w:tab/>
      </w:r>
      <w:r>
        <w:rPr>
          <w:rtl/>
        </w:rPr>
        <w:t xml:space="preserve">خمسة أعضاء من الدول الأفريقية؛ </w:t>
      </w:r>
    </w:p>
    <w:p w:rsidR="000553E9" w:rsidRDefault="000553E9" w:rsidP="000553E9">
      <w:pPr>
        <w:pStyle w:val="SingleTxt"/>
        <w:rPr>
          <w:rtl/>
        </w:rPr>
      </w:pPr>
      <w:r>
        <w:rPr>
          <w:rtl/>
        </w:rPr>
        <w:tab/>
        <w:t>(ب)</w:t>
      </w:r>
      <w:r>
        <w:rPr>
          <w:rFonts w:hint="cs"/>
          <w:rtl/>
        </w:rPr>
        <w:tab/>
      </w:r>
      <w:r>
        <w:rPr>
          <w:rtl/>
        </w:rPr>
        <w:t xml:space="preserve">خمسة أعضاء من دول </w:t>
      </w:r>
      <w:r>
        <w:rPr>
          <w:rFonts w:hint="cs"/>
          <w:rtl/>
        </w:rPr>
        <w:t xml:space="preserve">منطقة </w:t>
      </w:r>
      <w:r>
        <w:rPr>
          <w:rtl/>
        </w:rPr>
        <w:t>آسي</w:t>
      </w:r>
      <w:r>
        <w:rPr>
          <w:rFonts w:hint="cs"/>
          <w:rtl/>
        </w:rPr>
        <w:t xml:space="preserve">ا </w:t>
      </w:r>
      <w:r>
        <w:rPr>
          <w:rtl/>
        </w:rPr>
        <w:t>و</w:t>
      </w:r>
      <w:r>
        <w:rPr>
          <w:rFonts w:hint="cs"/>
          <w:rtl/>
        </w:rPr>
        <w:t>المحيط الهادي</w:t>
      </w:r>
      <w:r>
        <w:rPr>
          <w:rtl/>
        </w:rPr>
        <w:t xml:space="preserve">؛ </w:t>
      </w:r>
    </w:p>
    <w:p w:rsidR="000553E9" w:rsidRDefault="000553E9" w:rsidP="000553E9">
      <w:pPr>
        <w:pStyle w:val="SingleTxt"/>
        <w:rPr>
          <w:rtl/>
        </w:rPr>
      </w:pPr>
      <w:r>
        <w:rPr>
          <w:rFonts w:hint="cs"/>
          <w:rtl/>
        </w:rPr>
        <w:tab/>
      </w:r>
      <w:r>
        <w:rPr>
          <w:rtl/>
        </w:rPr>
        <w:t>(ج)</w:t>
      </w:r>
      <w:r>
        <w:rPr>
          <w:rFonts w:hint="cs"/>
          <w:rtl/>
        </w:rPr>
        <w:tab/>
      </w:r>
      <w:r>
        <w:rPr>
          <w:rtl/>
        </w:rPr>
        <w:t xml:space="preserve">عضوان من دول أوروبا الشرقية؛ </w:t>
      </w:r>
    </w:p>
    <w:p w:rsidR="000553E9" w:rsidRDefault="000553E9" w:rsidP="000553E9">
      <w:pPr>
        <w:pStyle w:val="SingleTxt"/>
        <w:rPr>
          <w:rtl/>
        </w:rPr>
      </w:pPr>
      <w:r>
        <w:rPr>
          <w:rtl/>
        </w:rPr>
        <w:tab/>
        <w:t>(د)</w:t>
      </w:r>
      <w:r>
        <w:rPr>
          <w:rFonts w:hint="cs"/>
          <w:rtl/>
        </w:rPr>
        <w:tab/>
      </w:r>
      <w:r>
        <w:rPr>
          <w:rtl/>
        </w:rPr>
        <w:t xml:space="preserve">ثلاثة أعضاء من دول أمريكا اللاتينية ومنطقة الكاريبي؛ </w:t>
      </w:r>
    </w:p>
    <w:p w:rsidR="000553E9" w:rsidRDefault="000553E9" w:rsidP="000553E9">
      <w:pPr>
        <w:pStyle w:val="SingleTxt"/>
        <w:rPr>
          <w:rtl/>
        </w:rPr>
      </w:pPr>
      <w:r>
        <w:rPr>
          <w:rtl/>
        </w:rPr>
        <w:tab/>
        <w:t>(</w:t>
      </w:r>
      <w:r>
        <w:rPr>
          <w:sz w:val="30"/>
          <w:rtl/>
        </w:rPr>
        <w:t>ﻫ</w:t>
      </w:r>
      <w:r>
        <w:rPr>
          <w:rtl/>
        </w:rPr>
        <w:t>)</w:t>
      </w:r>
      <w:r>
        <w:rPr>
          <w:rFonts w:hint="cs"/>
          <w:rtl/>
        </w:rPr>
        <w:tab/>
      </w:r>
      <w:r>
        <w:rPr>
          <w:rtl/>
        </w:rPr>
        <w:t>ثلاثة أعضاء من دول أوروبا الغربية ودول أخرى.</w:t>
      </w:r>
    </w:p>
    <w:p w:rsidR="000553E9" w:rsidRPr="005E7AFD" w:rsidRDefault="000553E9" w:rsidP="005E7AFD">
      <w:pPr>
        <w:pStyle w:val="SingleTxt"/>
        <w:rPr>
          <w:spacing w:val="-6"/>
          <w:w w:val="100"/>
          <w:kern w:val="0"/>
          <w:rtl/>
        </w:rPr>
      </w:pPr>
      <w:r w:rsidRPr="005E7AFD">
        <w:rPr>
          <w:spacing w:val="-6"/>
          <w:w w:val="100"/>
          <w:kern w:val="0"/>
          <w:rtl/>
        </w:rPr>
        <w:t>3-</w:t>
      </w:r>
      <w:r w:rsidRPr="005E7AFD">
        <w:rPr>
          <w:spacing w:val="-6"/>
          <w:w w:val="100"/>
          <w:kern w:val="0"/>
          <w:rtl/>
        </w:rPr>
        <w:tab/>
        <w:t>واعتمد مجلس حقوق الإنسان، في دورته السادسة، المقرر 6/102 المتعلق بمتابعة تنفيذ القرار</w:t>
      </w:r>
      <w:r w:rsidR="005E7AFD" w:rsidRPr="005E7AFD">
        <w:rPr>
          <w:rFonts w:hint="cs"/>
          <w:spacing w:val="-6"/>
          <w:w w:val="100"/>
          <w:kern w:val="0"/>
          <w:rtl/>
        </w:rPr>
        <w:t> </w:t>
      </w:r>
      <w:r w:rsidRPr="005E7AFD">
        <w:rPr>
          <w:spacing w:val="-6"/>
          <w:w w:val="100"/>
          <w:kern w:val="0"/>
          <w:rtl/>
        </w:rPr>
        <w:t xml:space="preserve">5/1 الذي حدد فيه الشروط التقنية والموضوعية لتقديم أسماء المرشحين. وتشمل هذه الشروط ما يلي: </w:t>
      </w:r>
    </w:p>
    <w:p w:rsidR="000553E9" w:rsidRDefault="000553E9" w:rsidP="000553E9">
      <w:pPr>
        <w:pStyle w:val="SingleTxt"/>
        <w:rPr>
          <w:rtl/>
        </w:rPr>
      </w:pPr>
      <w:r>
        <w:rPr>
          <w:rFonts w:hint="cs"/>
          <w:rtl/>
        </w:rPr>
        <w:tab/>
      </w:r>
      <w:r>
        <w:rPr>
          <w:rtl/>
        </w:rPr>
        <w:t>(أ)</w:t>
      </w:r>
      <w:r>
        <w:rPr>
          <w:rFonts w:hint="cs"/>
          <w:rtl/>
        </w:rPr>
        <w:tab/>
      </w:r>
      <w:r>
        <w:rPr>
          <w:rtl/>
        </w:rPr>
        <w:t xml:space="preserve">الكفاءة والخبرة المشهود بهما في مجال حقوق الإنسان؛ </w:t>
      </w:r>
    </w:p>
    <w:p w:rsidR="000553E9" w:rsidRDefault="000553E9" w:rsidP="000553E9">
      <w:pPr>
        <w:pStyle w:val="SingleTxt"/>
        <w:rPr>
          <w:rtl/>
        </w:rPr>
      </w:pPr>
      <w:r>
        <w:rPr>
          <w:rFonts w:hint="cs"/>
          <w:rtl/>
        </w:rPr>
        <w:tab/>
      </w:r>
      <w:r>
        <w:rPr>
          <w:rtl/>
        </w:rPr>
        <w:t>(ب)</w:t>
      </w:r>
      <w:r>
        <w:rPr>
          <w:rFonts w:hint="cs"/>
          <w:rtl/>
        </w:rPr>
        <w:tab/>
      </w:r>
      <w:r>
        <w:rPr>
          <w:rtl/>
        </w:rPr>
        <w:t xml:space="preserve">أن يكون </w:t>
      </w:r>
      <w:r>
        <w:rPr>
          <w:rFonts w:hint="cs"/>
          <w:rtl/>
        </w:rPr>
        <w:t xml:space="preserve">المرشح </w:t>
      </w:r>
      <w:r>
        <w:rPr>
          <w:rtl/>
        </w:rPr>
        <w:t>على خ</w:t>
      </w:r>
      <w:r>
        <w:rPr>
          <w:rFonts w:hint="cs"/>
          <w:rtl/>
        </w:rPr>
        <w:t>ُ</w:t>
      </w:r>
      <w:r>
        <w:rPr>
          <w:rtl/>
        </w:rPr>
        <w:t xml:space="preserve">لق؛ </w:t>
      </w:r>
    </w:p>
    <w:p w:rsidR="000553E9" w:rsidRDefault="000553E9" w:rsidP="000553E9">
      <w:pPr>
        <w:pStyle w:val="SingleTxt"/>
        <w:rPr>
          <w:kern w:val="16"/>
          <w:rtl/>
        </w:rPr>
      </w:pPr>
      <w:r>
        <w:rPr>
          <w:rFonts w:hint="cs"/>
          <w:rtl/>
        </w:rPr>
        <w:tab/>
      </w:r>
      <w:r>
        <w:rPr>
          <w:rtl/>
        </w:rPr>
        <w:t>(ج)</w:t>
      </w:r>
      <w:r>
        <w:rPr>
          <w:rFonts w:hint="cs"/>
          <w:rtl/>
        </w:rPr>
        <w:tab/>
      </w:r>
      <w:r>
        <w:rPr>
          <w:rtl/>
        </w:rPr>
        <w:t>الاستقلال والنزاهة.</w:t>
      </w:r>
      <w:r>
        <w:rPr>
          <w:rFonts w:cs="Times New Roman" w:hint="cs"/>
          <w:rtl/>
        </w:rPr>
        <w:t>‬</w:t>
      </w:r>
    </w:p>
    <w:p w:rsidR="000553E9" w:rsidRDefault="000553E9" w:rsidP="000553E9">
      <w:pPr>
        <w:pStyle w:val="SingleTxt"/>
        <w:rPr>
          <w:rFonts w:cs="Times New Roman"/>
          <w:rtl/>
        </w:rPr>
      </w:pPr>
      <w:r>
        <w:rPr>
          <w:kern w:val="16"/>
          <w:rtl/>
        </w:rPr>
        <w:lastRenderedPageBreak/>
        <w:t>4-</w:t>
      </w:r>
      <w:r>
        <w:rPr>
          <w:kern w:val="16"/>
          <w:rtl/>
        </w:rPr>
        <w:tab/>
      </w:r>
      <w:r>
        <w:rPr>
          <w:rtl/>
        </w:rPr>
        <w:t>ويتعين على الدول، عند اختيار مرشحيها، أن تطبق المبادئ التوجيهية التالية المتعلقة بالشروط التقنية والموضوعية لتقديم مرشحيها:</w:t>
      </w:r>
      <w:r>
        <w:rPr>
          <w:rFonts w:cs="Times New Roman" w:hint="cs"/>
          <w:rtl/>
        </w:rPr>
        <w:t>‬</w:t>
      </w:r>
    </w:p>
    <w:p w:rsidR="000553E9" w:rsidRDefault="000553E9" w:rsidP="000553E9">
      <w:pPr>
        <w:pStyle w:val="SingleTxt"/>
        <w:rPr>
          <w:rFonts w:cs="Times New Roman"/>
          <w:rtl/>
        </w:rPr>
      </w:pPr>
      <w:r>
        <w:rPr>
          <w:rFonts w:hint="cs"/>
          <w:rtl/>
        </w:rPr>
        <w:tab/>
      </w:r>
      <w:r>
        <w:rPr>
          <w:rtl/>
        </w:rPr>
        <w:t>(أ)</w:t>
      </w:r>
      <w:r>
        <w:rPr>
          <w:rFonts w:hint="cs"/>
          <w:rtl/>
        </w:rPr>
        <w:tab/>
      </w:r>
      <w:r>
        <w:rPr>
          <w:rtl/>
        </w:rPr>
        <w:t>الكفاءة والخبرة:</w:t>
      </w:r>
      <w:r>
        <w:rPr>
          <w:rFonts w:cs="Times New Roman" w:hint="cs"/>
          <w:rtl/>
        </w:rPr>
        <w:t>‬</w:t>
      </w:r>
    </w:p>
    <w:p w:rsidR="000553E9" w:rsidRPr="005E7AFD" w:rsidRDefault="000553E9" w:rsidP="005E7AFD">
      <w:pPr>
        <w:pStyle w:val="SingleTxt"/>
        <w:ind w:left="2592" w:hanging="1328"/>
        <w:rPr>
          <w:spacing w:val="-4"/>
          <w:rtl/>
        </w:rPr>
      </w:pPr>
      <w:r w:rsidRPr="005E7AFD">
        <w:rPr>
          <w:rFonts w:hint="cs"/>
          <w:spacing w:val="-4"/>
          <w:kern w:val="16"/>
          <w:rtl/>
        </w:rPr>
        <w:tab/>
      </w:r>
      <w:r w:rsidR="005E7AFD" w:rsidRPr="005E7AFD">
        <w:rPr>
          <w:rFonts w:hint="cs"/>
          <w:spacing w:val="-4"/>
          <w:kern w:val="16"/>
          <w:rtl/>
        </w:rPr>
        <w:t>‘</w:t>
      </w:r>
      <w:r w:rsidRPr="005E7AFD">
        <w:rPr>
          <w:rFonts w:hint="cs"/>
          <w:spacing w:val="-4"/>
          <w:kern w:val="16"/>
          <w:rtl/>
        </w:rPr>
        <w:t>1</w:t>
      </w:r>
      <w:r w:rsidR="005E7AFD" w:rsidRPr="005E7AFD">
        <w:rPr>
          <w:rFonts w:hint="cs"/>
          <w:spacing w:val="-4"/>
          <w:kern w:val="16"/>
          <w:rtl/>
        </w:rPr>
        <w:t>‘</w:t>
      </w:r>
      <w:r w:rsidRPr="005E7AFD">
        <w:rPr>
          <w:rFonts w:hint="cs"/>
          <w:spacing w:val="-4"/>
          <w:kern w:val="16"/>
          <w:rtl/>
        </w:rPr>
        <w:tab/>
      </w:r>
      <w:r w:rsidRPr="005E7AFD">
        <w:rPr>
          <w:spacing w:val="-4"/>
          <w:rtl/>
        </w:rPr>
        <w:t>دراسات أكاديمية في مجال حقوق الإنسان أو الميادين المتصلة به و/أو الخبرة مع أداء أدوار قيادية في مجال حقوق الإنسان على المستوى الوطني أو الإقليمي أو الدولي؛</w:t>
      </w:r>
    </w:p>
    <w:p w:rsidR="000553E9" w:rsidRPr="005E7AFD" w:rsidRDefault="000553E9" w:rsidP="005E7AFD">
      <w:pPr>
        <w:pStyle w:val="SingleTxt"/>
        <w:ind w:left="2592" w:hanging="1328"/>
        <w:rPr>
          <w:spacing w:val="-6"/>
          <w:w w:val="100"/>
          <w:rtl/>
        </w:rPr>
      </w:pPr>
      <w:r w:rsidRPr="005E7AFD">
        <w:rPr>
          <w:rFonts w:hint="cs"/>
          <w:spacing w:val="-6"/>
          <w:w w:val="100"/>
          <w:rtl/>
        </w:rPr>
        <w:tab/>
      </w:r>
      <w:r w:rsidR="005E7AFD" w:rsidRPr="005E7AFD">
        <w:rPr>
          <w:rFonts w:hint="cs"/>
          <w:spacing w:val="-6"/>
          <w:w w:val="100"/>
          <w:rtl/>
        </w:rPr>
        <w:t>‘</w:t>
      </w:r>
      <w:r w:rsidRPr="005E7AFD">
        <w:rPr>
          <w:rFonts w:hint="cs"/>
          <w:spacing w:val="-6"/>
          <w:w w:val="100"/>
          <w:rtl/>
        </w:rPr>
        <w:t>2</w:t>
      </w:r>
      <w:r w:rsidR="005E7AFD" w:rsidRPr="005E7AFD">
        <w:rPr>
          <w:rFonts w:hint="cs"/>
          <w:spacing w:val="-6"/>
          <w:w w:val="100"/>
          <w:rtl/>
        </w:rPr>
        <w:t>‘</w:t>
      </w:r>
      <w:r w:rsidRPr="005E7AFD">
        <w:rPr>
          <w:rFonts w:hint="cs"/>
          <w:spacing w:val="-6"/>
          <w:w w:val="100"/>
          <w:rtl/>
        </w:rPr>
        <w:tab/>
      </w:r>
      <w:r w:rsidRPr="005E7AFD">
        <w:rPr>
          <w:spacing w:val="-6"/>
          <w:w w:val="100"/>
          <w:rtl/>
        </w:rPr>
        <w:t>خبرة طويلة (لا تقل عن خمس سنوات) وإسهامات شخصية في مجال حقوق الإنسان؛</w:t>
      </w:r>
    </w:p>
    <w:p w:rsidR="000553E9" w:rsidRPr="005E7AFD" w:rsidRDefault="000553E9" w:rsidP="005E7AFD">
      <w:pPr>
        <w:pStyle w:val="SingleTxt"/>
        <w:ind w:left="2592" w:hanging="1328"/>
        <w:rPr>
          <w:spacing w:val="-4"/>
          <w:rtl/>
        </w:rPr>
      </w:pPr>
      <w:r w:rsidRPr="005E7AFD">
        <w:rPr>
          <w:rFonts w:hint="cs"/>
          <w:spacing w:val="-4"/>
          <w:rtl/>
        </w:rPr>
        <w:tab/>
      </w:r>
      <w:r w:rsidR="005E7AFD" w:rsidRPr="005E7AFD">
        <w:rPr>
          <w:rFonts w:hint="cs"/>
          <w:spacing w:val="-4"/>
          <w:rtl/>
        </w:rPr>
        <w:t>‘</w:t>
      </w:r>
      <w:r w:rsidRPr="005E7AFD">
        <w:rPr>
          <w:rFonts w:hint="cs"/>
          <w:spacing w:val="-4"/>
          <w:rtl/>
        </w:rPr>
        <w:t>3</w:t>
      </w:r>
      <w:r w:rsidR="005E7AFD" w:rsidRPr="005E7AFD">
        <w:rPr>
          <w:rFonts w:hint="cs"/>
          <w:spacing w:val="-4"/>
          <w:rtl/>
        </w:rPr>
        <w:t>‘</w:t>
      </w:r>
      <w:r w:rsidRPr="005E7AFD">
        <w:rPr>
          <w:rFonts w:hint="cs"/>
          <w:spacing w:val="-4"/>
          <w:rtl/>
        </w:rPr>
        <w:tab/>
      </w:r>
      <w:r w:rsidRPr="005E7AFD">
        <w:rPr>
          <w:spacing w:val="-4"/>
          <w:rtl/>
        </w:rPr>
        <w:t>الدراية بمنظومة الأمم المتحدة وبالولايات والسياسات المؤسسية المتصلة بالعمل في مجال حقوق الإنسان، وكذلك الدراية بالصكوك والمعايير والتخصصات الدولية في مجال حقوق الإنسان؛ ويحب</w:t>
      </w:r>
      <w:r w:rsidRPr="005E7AFD">
        <w:rPr>
          <w:rFonts w:hint="cs"/>
          <w:spacing w:val="-4"/>
          <w:rtl/>
        </w:rPr>
        <w:t>َّ</w:t>
      </w:r>
      <w:r w:rsidRPr="005E7AFD">
        <w:rPr>
          <w:spacing w:val="-4"/>
          <w:rtl/>
        </w:rPr>
        <w:t>ذ الإلمام بالنظم القانونية والحضار</w:t>
      </w:r>
      <w:r w:rsidRPr="005E7AFD">
        <w:rPr>
          <w:rFonts w:hint="cs"/>
          <w:spacing w:val="-4"/>
          <w:rtl/>
        </w:rPr>
        <w:t>ات</w:t>
      </w:r>
      <w:r w:rsidRPr="005E7AFD">
        <w:rPr>
          <w:spacing w:val="-4"/>
          <w:rtl/>
        </w:rPr>
        <w:t xml:space="preserve"> المختلفة؛</w:t>
      </w:r>
    </w:p>
    <w:p w:rsidR="000553E9" w:rsidRDefault="000553E9" w:rsidP="005E7AFD">
      <w:pPr>
        <w:pStyle w:val="SingleTxt"/>
        <w:ind w:left="2592" w:hanging="1328"/>
        <w:rPr>
          <w:rtl/>
        </w:rPr>
      </w:pPr>
      <w:r>
        <w:rPr>
          <w:rFonts w:hint="cs"/>
          <w:rtl/>
        </w:rPr>
        <w:tab/>
      </w:r>
      <w:r w:rsidR="005E7AFD">
        <w:rPr>
          <w:rFonts w:hint="cs"/>
          <w:rtl/>
        </w:rPr>
        <w:t>‘</w:t>
      </w:r>
      <w:r>
        <w:rPr>
          <w:rFonts w:hint="cs"/>
          <w:rtl/>
        </w:rPr>
        <w:t>4</w:t>
      </w:r>
      <w:r w:rsidR="005E7AFD">
        <w:rPr>
          <w:rFonts w:hint="cs"/>
          <w:rtl/>
        </w:rPr>
        <w:t>‘</w:t>
      </w:r>
      <w:r>
        <w:rPr>
          <w:rFonts w:hint="cs"/>
          <w:rtl/>
        </w:rPr>
        <w:tab/>
      </w:r>
      <w:r>
        <w:rPr>
          <w:rtl/>
        </w:rPr>
        <w:t>إجادة لغة واحدة على الأقل من لغات الأمم المتحدة الرسمية؛</w:t>
      </w:r>
    </w:p>
    <w:p w:rsidR="000553E9" w:rsidRDefault="000553E9" w:rsidP="005E7AFD">
      <w:pPr>
        <w:pStyle w:val="SingleTxt"/>
        <w:ind w:left="2592" w:hanging="1328"/>
        <w:rPr>
          <w:rtl/>
        </w:rPr>
      </w:pPr>
      <w:r>
        <w:rPr>
          <w:rFonts w:hint="cs"/>
          <w:rtl/>
        </w:rPr>
        <w:tab/>
      </w:r>
      <w:r w:rsidR="005E7AFD">
        <w:rPr>
          <w:rFonts w:hint="cs"/>
          <w:rtl/>
        </w:rPr>
        <w:t>‘</w:t>
      </w:r>
      <w:r>
        <w:rPr>
          <w:rFonts w:hint="cs"/>
          <w:rtl/>
        </w:rPr>
        <w:t>5</w:t>
      </w:r>
      <w:r w:rsidR="005E7AFD">
        <w:rPr>
          <w:rFonts w:hint="cs"/>
          <w:rtl/>
        </w:rPr>
        <w:t>‘</w:t>
      </w:r>
      <w:r>
        <w:rPr>
          <w:rFonts w:hint="cs"/>
          <w:rtl/>
        </w:rPr>
        <w:tab/>
      </w:r>
      <w:r>
        <w:rPr>
          <w:rtl/>
        </w:rPr>
        <w:t xml:space="preserve">توافر الوقت الكافي </w:t>
      </w:r>
      <w:r>
        <w:rPr>
          <w:rFonts w:hint="cs"/>
          <w:rtl/>
        </w:rPr>
        <w:t xml:space="preserve">لدى المرشح </w:t>
      </w:r>
      <w:r>
        <w:rPr>
          <w:rtl/>
        </w:rPr>
        <w:t>لأداء عمل اللجنة الاستشارية على نحو فعال، بحضور دورات اللجنة و</w:t>
      </w:r>
      <w:r>
        <w:rPr>
          <w:rFonts w:hint="cs"/>
          <w:rtl/>
        </w:rPr>
        <w:t>ل</w:t>
      </w:r>
      <w:r>
        <w:rPr>
          <w:rtl/>
        </w:rPr>
        <w:t>لاضطلاع بالأنشطة التي تصدر بها تكليفات بين الدورات كذلك</w:t>
      </w:r>
      <w:r>
        <w:rPr>
          <w:rFonts w:hint="cs"/>
          <w:rtl/>
        </w:rPr>
        <w:t>.</w:t>
      </w:r>
    </w:p>
    <w:p w:rsidR="000553E9" w:rsidRDefault="000553E9" w:rsidP="000553E9">
      <w:pPr>
        <w:pStyle w:val="SingleTxt"/>
        <w:rPr>
          <w:rtl/>
        </w:rPr>
      </w:pPr>
      <w:r>
        <w:rPr>
          <w:rFonts w:hint="cs"/>
          <w:kern w:val="16"/>
          <w:rtl/>
        </w:rPr>
        <w:tab/>
        <w:t>(ب)</w:t>
      </w:r>
      <w:r>
        <w:rPr>
          <w:rFonts w:hint="cs"/>
          <w:rtl/>
        </w:rPr>
        <w:tab/>
      </w:r>
      <w:r>
        <w:rPr>
          <w:rtl/>
        </w:rPr>
        <w:t xml:space="preserve">أن يكون </w:t>
      </w:r>
      <w:r>
        <w:rPr>
          <w:rFonts w:hint="cs"/>
          <w:rtl/>
        </w:rPr>
        <w:t xml:space="preserve">المرشح </w:t>
      </w:r>
      <w:r>
        <w:rPr>
          <w:rtl/>
        </w:rPr>
        <w:t>على خلق</w:t>
      </w:r>
      <w:r>
        <w:rPr>
          <w:rFonts w:hint="cs"/>
          <w:rtl/>
        </w:rPr>
        <w:t>؛</w:t>
      </w:r>
    </w:p>
    <w:p w:rsidR="000553E9" w:rsidRDefault="000553E9" w:rsidP="000553E9">
      <w:pPr>
        <w:pStyle w:val="SingleTxt"/>
        <w:rPr>
          <w:rtl/>
        </w:rPr>
      </w:pPr>
      <w:r>
        <w:rPr>
          <w:rFonts w:hint="cs"/>
          <w:rtl/>
        </w:rPr>
        <w:tab/>
      </w:r>
      <w:r>
        <w:rPr>
          <w:rtl/>
        </w:rPr>
        <w:t>(ج)</w:t>
      </w:r>
      <w:r>
        <w:rPr>
          <w:rFonts w:hint="cs"/>
          <w:rtl/>
        </w:rPr>
        <w:tab/>
      </w:r>
      <w:r>
        <w:rPr>
          <w:rtl/>
        </w:rPr>
        <w:t>الاستقلال والنزاهة: ي</w:t>
      </w:r>
      <w:r>
        <w:rPr>
          <w:rFonts w:hint="cs"/>
          <w:rtl/>
        </w:rPr>
        <w:t>ُ</w:t>
      </w:r>
      <w:r>
        <w:rPr>
          <w:rtl/>
        </w:rPr>
        <w:t xml:space="preserve">ستبعد الأفراد الذين يشغلون مناصب صنع القرارات في الحكومة أو </w:t>
      </w:r>
      <w:r>
        <w:rPr>
          <w:rFonts w:hint="cs"/>
          <w:rtl/>
        </w:rPr>
        <w:t xml:space="preserve">في </w:t>
      </w:r>
      <w:r>
        <w:rPr>
          <w:rtl/>
        </w:rPr>
        <w:t>أي منظمات أو كيانات أخرى قد يترتب على تقلدها تعارض في المصالح مع المسؤوليات الأساسية للولاية؛ وي</w:t>
      </w:r>
      <w:r>
        <w:rPr>
          <w:rFonts w:hint="cs"/>
          <w:rtl/>
        </w:rPr>
        <w:t>تصرّف</w:t>
      </w:r>
      <w:r>
        <w:rPr>
          <w:rtl/>
        </w:rPr>
        <w:t xml:space="preserve"> أعضاء اللجنة الاستشارية المنتخبون بصفتهم الشخصية؛ </w:t>
      </w:r>
    </w:p>
    <w:p w:rsidR="000553E9" w:rsidRDefault="000553E9" w:rsidP="000553E9">
      <w:pPr>
        <w:pStyle w:val="SingleTxt"/>
        <w:rPr>
          <w:kern w:val="16"/>
          <w:rtl/>
        </w:rPr>
      </w:pPr>
      <w:r>
        <w:rPr>
          <w:rFonts w:hint="cs"/>
          <w:rtl/>
        </w:rPr>
        <w:tab/>
      </w:r>
      <w:r>
        <w:rPr>
          <w:rtl/>
        </w:rPr>
        <w:t>(د)</w:t>
      </w:r>
      <w:r>
        <w:rPr>
          <w:rFonts w:hint="cs"/>
          <w:rtl/>
        </w:rPr>
        <w:tab/>
      </w:r>
      <w:r>
        <w:rPr>
          <w:rtl/>
        </w:rPr>
        <w:t>اعتبارات أخرى: يجب احترام مبدأ عدم الجمع في آنٍ واحد بين عدة مهام في مجال حقوق الإنسان.</w:t>
      </w:r>
      <w:r>
        <w:rPr>
          <w:rFonts w:cs="Times New Roman" w:hint="cs"/>
          <w:rtl/>
        </w:rPr>
        <w:t>‬</w:t>
      </w:r>
    </w:p>
    <w:p w:rsidR="000553E9" w:rsidRDefault="000553E9" w:rsidP="000553E9">
      <w:pPr>
        <w:pStyle w:val="SingleTxt"/>
        <w:rPr>
          <w:rtl/>
        </w:rPr>
      </w:pPr>
      <w:r>
        <w:rPr>
          <w:kern w:val="16"/>
          <w:rtl/>
        </w:rPr>
        <w:t>5-</w:t>
      </w:r>
      <w:r>
        <w:rPr>
          <w:rtl/>
        </w:rPr>
        <w:tab/>
        <w:t xml:space="preserve">وعلى مجلس حقوق الإنسان أن يولي الاعتبار الواجب للتوازن بين الجنسين ولتمثيل </w:t>
      </w:r>
      <w:r>
        <w:rPr>
          <w:rFonts w:hint="cs"/>
          <w:rtl/>
        </w:rPr>
        <w:t>ا</w:t>
      </w:r>
      <w:r>
        <w:rPr>
          <w:rtl/>
        </w:rPr>
        <w:t>لنظم القانونية والحضار</w:t>
      </w:r>
      <w:r>
        <w:rPr>
          <w:rFonts w:hint="cs"/>
          <w:rtl/>
        </w:rPr>
        <w:t>ات</w:t>
      </w:r>
      <w:r>
        <w:rPr>
          <w:rtl/>
        </w:rPr>
        <w:t xml:space="preserve"> المختلفة</w:t>
      </w:r>
      <w:r>
        <w:rPr>
          <w:rFonts w:hint="cs"/>
          <w:rtl/>
        </w:rPr>
        <w:t xml:space="preserve"> التمثيل</w:t>
      </w:r>
      <w:r>
        <w:rPr>
          <w:rtl/>
        </w:rPr>
        <w:t xml:space="preserve"> المناسب</w:t>
      </w:r>
      <w:r>
        <w:rPr>
          <w:rFonts w:hint="cs"/>
          <w:rtl/>
        </w:rPr>
        <w:t xml:space="preserve"> </w:t>
      </w:r>
      <w:r>
        <w:rPr>
          <w:rtl/>
        </w:rPr>
        <w:t>عند انتخاب أعضاء اللجنة الاستشارية</w:t>
      </w:r>
      <w:r>
        <w:rPr>
          <w:rFonts w:hint="cs"/>
          <w:rtl/>
        </w:rPr>
        <w:t>.</w:t>
      </w:r>
    </w:p>
    <w:p w:rsidR="000553E9" w:rsidRDefault="000553E9" w:rsidP="000553E9">
      <w:pPr>
        <w:pStyle w:val="SingleTxt"/>
        <w:rPr>
          <w:rtl/>
        </w:rPr>
      </w:pPr>
      <w:r>
        <w:rPr>
          <w:rFonts w:hint="cs"/>
          <w:rtl/>
        </w:rPr>
        <w:t>6-</w:t>
      </w:r>
      <w:r>
        <w:rPr>
          <w:rtl/>
        </w:rPr>
        <w:tab/>
        <w:t>و</w:t>
      </w:r>
      <w:r>
        <w:rPr>
          <w:rFonts w:hint="cs"/>
          <w:rtl/>
        </w:rPr>
        <w:t>أجرى</w:t>
      </w:r>
      <w:r>
        <w:rPr>
          <w:rtl/>
        </w:rPr>
        <w:t xml:space="preserve"> مجلس حقوق الإنسان في دورته السا</w:t>
      </w:r>
      <w:r>
        <w:rPr>
          <w:rFonts w:hint="cs"/>
          <w:rtl/>
        </w:rPr>
        <w:t>بع</w:t>
      </w:r>
      <w:r>
        <w:rPr>
          <w:rtl/>
        </w:rPr>
        <w:t>ة</w:t>
      </w:r>
      <w:r>
        <w:rPr>
          <w:rFonts w:hint="cs"/>
          <w:rtl/>
        </w:rPr>
        <w:t>، أول انتخابات لاختيار</w:t>
      </w:r>
      <w:r>
        <w:rPr>
          <w:rtl/>
        </w:rPr>
        <w:t xml:space="preserve"> أعضاء اللجنة الاستشارية البالغ عددهم 18 عضواً، حيث انتُخب أربعة منهم لمدة سنة واحدة وسبعة لمدة سنتين وسبعة لمدة ثلاث سنوات.</w:t>
      </w:r>
    </w:p>
    <w:p w:rsidR="000553E9" w:rsidRDefault="000553E9" w:rsidP="000553E9">
      <w:pPr>
        <w:pStyle w:val="SingleTxt"/>
        <w:rPr>
          <w:rtl/>
        </w:rPr>
      </w:pPr>
      <w:r>
        <w:rPr>
          <w:rFonts w:hint="cs"/>
          <w:rtl/>
        </w:rPr>
        <w:t>7-</w:t>
      </w:r>
      <w:r>
        <w:rPr>
          <w:rtl/>
        </w:rPr>
        <w:tab/>
        <w:t>و</w:t>
      </w:r>
      <w:r>
        <w:rPr>
          <w:rFonts w:hint="cs"/>
          <w:rtl/>
        </w:rPr>
        <w:t>سينتخب</w:t>
      </w:r>
      <w:r>
        <w:rPr>
          <w:rtl/>
        </w:rPr>
        <w:t xml:space="preserve"> مجلس حقوق الإنسان، في دورته الث</w:t>
      </w:r>
      <w:r>
        <w:rPr>
          <w:rFonts w:hint="cs"/>
          <w:rtl/>
        </w:rPr>
        <w:t>ل</w:t>
      </w:r>
      <w:r>
        <w:rPr>
          <w:rtl/>
        </w:rPr>
        <w:t>اث</w:t>
      </w:r>
      <w:r>
        <w:rPr>
          <w:rFonts w:hint="cs"/>
          <w:rtl/>
        </w:rPr>
        <w:t>ين</w:t>
      </w:r>
      <w:r>
        <w:rPr>
          <w:rtl/>
        </w:rPr>
        <w:t>،</w:t>
      </w:r>
      <w:r>
        <w:rPr>
          <w:rFonts w:hint="cs"/>
          <w:rtl/>
        </w:rPr>
        <w:t xml:space="preserve"> في إطار برنامج عمله،</w:t>
      </w:r>
      <w:r>
        <w:rPr>
          <w:rtl/>
        </w:rPr>
        <w:t xml:space="preserve"> </w:t>
      </w:r>
      <w:r>
        <w:rPr>
          <w:rFonts w:hint="cs"/>
          <w:rtl/>
        </w:rPr>
        <w:t>أربعة أ</w:t>
      </w:r>
      <w:r>
        <w:rPr>
          <w:rtl/>
        </w:rPr>
        <w:t>عض</w:t>
      </w:r>
      <w:r>
        <w:rPr>
          <w:rFonts w:hint="cs"/>
          <w:rtl/>
        </w:rPr>
        <w:t>اء</w:t>
      </w:r>
      <w:r>
        <w:rPr>
          <w:rtl/>
        </w:rPr>
        <w:t xml:space="preserve"> في اللجنة الاستشارية</w:t>
      </w:r>
      <w:r>
        <w:rPr>
          <w:rFonts w:hint="cs"/>
          <w:rtl/>
        </w:rPr>
        <w:t xml:space="preserve"> كي يشغلوا أربعة مناصب شاغرة. أحدها مخصص للدول الأفريقية وآخر لدول آسيا والمحيط الهادي، وثالث لدول أمريكا اللاتينية ومنطقة الكاريبي، ورابع للدول الغربية ودول أخرى.</w:t>
      </w:r>
    </w:p>
    <w:p w:rsidR="000553E9" w:rsidRDefault="000553E9" w:rsidP="000553E9">
      <w:pPr>
        <w:pStyle w:val="SingleTxt"/>
        <w:rPr>
          <w:rtl/>
        </w:rPr>
      </w:pPr>
      <w:r>
        <w:rPr>
          <w:rFonts w:hint="cs"/>
          <w:kern w:val="16"/>
          <w:rtl/>
        </w:rPr>
        <w:lastRenderedPageBreak/>
        <w:t>8</w:t>
      </w:r>
      <w:r>
        <w:rPr>
          <w:kern w:val="16"/>
          <w:rtl/>
        </w:rPr>
        <w:t>-</w:t>
      </w:r>
      <w:r>
        <w:rPr>
          <w:kern w:val="16"/>
          <w:rtl/>
        </w:rPr>
        <w:tab/>
      </w:r>
      <w:r>
        <w:rPr>
          <w:rtl/>
        </w:rPr>
        <w:t xml:space="preserve">وعملاً بأحكام الفقرة 71 من قرار مجلس حقوق الإنسان 5/1، تُقفَل قائمة المرشحين قبل شهرين من تاريخ الانتخاب، وتُتيح الأمانة قائمة المرشحين والمعلومات </w:t>
      </w:r>
      <w:r>
        <w:rPr>
          <w:rFonts w:hint="cs"/>
          <w:rtl/>
        </w:rPr>
        <w:t>المتوفرة عن</w:t>
      </w:r>
      <w:r>
        <w:rPr>
          <w:rtl/>
        </w:rPr>
        <w:t>هم للدول الأعضاء و</w:t>
      </w:r>
      <w:r>
        <w:rPr>
          <w:rFonts w:hint="cs"/>
          <w:rtl/>
        </w:rPr>
        <w:t>ل</w:t>
      </w:r>
      <w:r>
        <w:rPr>
          <w:rtl/>
        </w:rPr>
        <w:t>لجمهور قبل شهر على الأقل من تاريخ الانتخاب.</w:t>
      </w:r>
    </w:p>
    <w:p w:rsidR="000553E9" w:rsidRDefault="000553E9" w:rsidP="000553E9">
      <w:pPr>
        <w:pStyle w:val="SingleTxt"/>
        <w:rPr>
          <w:rtl/>
        </w:rPr>
      </w:pPr>
      <w:r>
        <w:rPr>
          <w:rFonts w:hint="cs"/>
          <w:rtl/>
        </w:rPr>
        <w:t>9</w:t>
      </w:r>
      <w:r>
        <w:rPr>
          <w:rtl/>
        </w:rPr>
        <w:t>-</w:t>
      </w:r>
      <w:r>
        <w:rPr>
          <w:rtl/>
        </w:rPr>
        <w:tab/>
        <w:t xml:space="preserve">وفي </w:t>
      </w:r>
      <w:r>
        <w:rPr>
          <w:rFonts w:hint="cs"/>
          <w:rtl/>
        </w:rPr>
        <w:t>20</w:t>
      </w:r>
      <w:r>
        <w:rPr>
          <w:rtl/>
        </w:rPr>
        <w:t xml:space="preserve"> نيسان/أبريل 201</w:t>
      </w:r>
      <w:r>
        <w:rPr>
          <w:rFonts w:hint="cs"/>
          <w:rtl/>
        </w:rPr>
        <w:t>5</w:t>
      </w:r>
      <w:r>
        <w:rPr>
          <w:rtl/>
        </w:rPr>
        <w:t>، وجهت أمانة مجلس حقوق الإنسان مذكرة شفوية إلى المنسقين الإقليميين المعنيين، تحث فيها على اقتراح أسماء مرشحين وت</w:t>
      </w:r>
      <w:r>
        <w:rPr>
          <w:rFonts w:hint="cs"/>
          <w:rtl/>
        </w:rPr>
        <w:t>ُعلمهم فيها ب</w:t>
      </w:r>
      <w:r>
        <w:rPr>
          <w:rtl/>
        </w:rPr>
        <w:t xml:space="preserve">أن الموعد </w:t>
      </w:r>
      <w:r>
        <w:rPr>
          <w:rtl/>
          <w:lang w:bidi="ar"/>
        </w:rPr>
        <w:t xml:space="preserve">النهائي </w:t>
      </w:r>
      <w:r>
        <w:rPr>
          <w:rtl/>
        </w:rPr>
        <w:t xml:space="preserve">لتقديم أسماء المرشحين هو </w:t>
      </w:r>
      <w:r>
        <w:rPr>
          <w:rFonts w:hint="cs"/>
          <w:rtl/>
        </w:rPr>
        <w:t>22</w:t>
      </w:r>
      <w:r>
        <w:rPr>
          <w:rtl/>
        </w:rPr>
        <w:t xml:space="preserve"> حزيران/يونيه 201</w:t>
      </w:r>
      <w:r>
        <w:rPr>
          <w:rFonts w:hint="cs"/>
          <w:rtl/>
        </w:rPr>
        <w:t>5</w:t>
      </w:r>
      <w:r>
        <w:rPr>
          <w:rtl/>
        </w:rPr>
        <w:t>.</w:t>
      </w:r>
    </w:p>
    <w:p w:rsidR="000553E9" w:rsidRDefault="000553E9" w:rsidP="000553E9">
      <w:pPr>
        <w:pStyle w:val="SingleTxt"/>
        <w:rPr>
          <w:sz w:val="30"/>
          <w:rtl/>
          <w:lang w:bidi="ar"/>
        </w:rPr>
      </w:pPr>
      <w:r>
        <w:rPr>
          <w:kern w:val="16"/>
          <w:rtl/>
        </w:rPr>
        <w:t>1</w:t>
      </w:r>
      <w:r>
        <w:rPr>
          <w:rFonts w:hint="cs"/>
          <w:kern w:val="16"/>
          <w:rtl/>
        </w:rPr>
        <w:t>0</w:t>
      </w:r>
      <w:r>
        <w:rPr>
          <w:kern w:val="16"/>
          <w:rtl/>
        </w:rPr>
        <w:t>-</w:t>
      </w:r>
      <w:r>
        <w:rPr>
          <w:rtl/>
          <w:lang w:bidi="ar"/>
        </w:rPr>
        <w:tab/>
      </w:r>
      <w:r>
        <w:rPr>
          <w:sz w:val="30"/>
          <w:rtl/>
          <w:lang w:bidi="ar"/>
        </w:rPr>
        <w:t>و</w:t>
      </w:r>
      <w:r>
        <w:rPr>
          <w:rFonts w:hint="cs"/>
          <w:sz w:val="30"/>
          <w:rtl/>
          <w:lang w:bidi="ar"/>
        </w:rPr>
        <w:t>عليه</w:t>
      </w:r>
      <w:r>
        <w:rPr>
          <w:sz w:val="30"/>
          <w:rtl/>
          <w:lang w:bidi="ar"/>
        </w:rPr>
        <w:t xml:space="preserve">، تلقت الأمانة </w:t>
      </w:r>
      <w:r>
        <w:rPr>
          <w:kern w:val="16"/>
          <w:rtl/>
        </w:rPr>
        <w:t xml:space="preserve">أسماء </w:t>
      </w:r>
      <w:r>
        <w:rPr>
          <w:rFonts w:hint="cs"/>
          <w:kern w:val="16"/>
          <w:rtl/>
        </w:rPr>
        <w:t>أربع</w:t>
      </w:r>
      <w:r>
        <w:rPr>
          <w:kern w:val="16"/>
          <w:rtl/>
        </w:rPr>
        <w:t xml:space="preserve">ة مرشحين </w:t>
      </w:r>
      <w:r>
        <w:rPr>
          <w:rFonts w:hint="cs"/>
          <w:kern w:val="16"/>
          <w:rtl/>
        </w:rPr>
        <w:t>للانتخاب أعضاءً</w:t>
      </w:r>
      <w:r>
        <w:rPr>
          <w:rFonts w:hint="cs"/>
          <w:rtl/>
        </w:rPr>
        <w:t xml:space="preserve"> في</w:t>
      </w:r>
      <w:r>
        <w:rPr>
          <w:rtl/>
        </w:rPr>
        <w:t xml:space="preserve"> اللجنة الاستشارية من حكومات </w:t>
      </w:r>
      <w:r>
        <w:rPr>
          <w:rFonts w:hint="cs"/>
          <w:rtl/>
        </w:rPr>
        <w:t>إثيوبيا والأرجنتين والمملكة العربية السعودية والنمسا</w:t>
      </w:r>
      <w:r>
        <w:rPr>
          <w:sz w:val="30"/>
          <w:rtl/>
          <w:lang w:bidi="ar"/>
        </w:rPr>
        <w:t>.</w:t>
      </w:r>
    </w:p>
    <w:p w:rsidR="00266D84" w:rsidRPr="009A2B09" w:rsidRDefault="00266D84" w:rsidP="00266D84">
      <w:pPr>
        <w:framePr w:w="9792" w:h="432" w:hSpace="187" w:wrap="around" w:hAnchor="page" w:x="1196" w:yAlign="bottom"/>
        <w:spacing w:line="240" w:lineRule="auto"/>
        <w:rPr>
          <w:szCs w:val="10"/>
          <w:rtl/>
        </w:rPr>
      </w:pPr>
    </w:p>
    <w:p w:rsidR="00266D84" w:rsidRPr="009A2B09" w:rsidRDefault="00266D84" w:rsidP="00266D84">
      <w:pPr>
        <w:framePr w:w="9792" w:h="432" w:hSpace="187" w:wrap="around" w:hAnchor="page" w:x="1196" w:yAlign="bottom"/>
        <w:spacing w:line="240" w:lineRule="auto"/>
        <w:rPr>
          <w:szCs w:val="6"/>
          <w:rtl/>
        </w:rPr>
      </w:pPr>
      <w:r w:rsidRPr="009A2B09">
        <w:rPr>
          <w:noProof/>
          <w:w w:val="100"/>
          <w:szCs w:val="6"/>
          <w:rtl/>
        </w:rPr>
        <mc:AlternateContent>
          <mc:Choice Requires="wps">
            <w:drawing>
              <wp:anchor distT="0" distB="0" distL="114300" distR="114300" simplePos="0" relativeHeight="251659264" behindDoc="0" locked="0" layoutInCell="1" allowOverlap="1" wp14:anchorId="37963D0E" wp14:editId="19B100F4">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266D84" w:rsidRPr="009A2B09" w:rsidRDefault="00266D84" w:rsidP="00266D84">
      <w:pPr>
        <w:framePr w:w="9792" w:h="432" w:hSpace="187" w:wrap="around" w:hAnchor="page" w:x="1196" w:yAlign="bottom"/>
        <w:tabs>
          <w:tab w:val="right" w:pos="1195"/>
          <w:tab w:val="left" w:pos="1267"/>
        </w:tabs>
        <w:spacing w:after="80" w:line="300" w:lineRule="exact"/>
        <w:ind w:left="1267" w:right="1267" w:hanging="547"/>
        <w:rPr>
          <w:sz w:val="17"/>
          <w:szCs w:val="26"/>
        </w:rPr>
      </w:pPr>
      <w:r>
        <w:rPr>
          <w:rFonts w:hint="cs"/>
          <w:sz w:val="17"/>
          <w:szCs w:val="26"/>
          <w:rtl/>
        </w:rPr>
        <w:tab/>
        <w:t>*</w:t>
      </w:r>
      <w:r>
        <w:rPr>
          <w:sz w:val="17"/>
          <w:szCs w:val="26"/>
          <w:rtl/>
        </w:rPr>
        <w:tab/>
      </w:r>
      <w:r>
        <w:rPr>
          <w:rFonts w:hint="cs"/>
          <w:sz w:val="17"/>
          <w:szCs w:val="26"/>
          <w:rtl/>
        </w:rPr>
        <w:t>يعمم مرفق هذه الوثيقة كما ورد، باللغة التي قدم بها فقط.</w:t>
      </w:r>
    </w:p>
    <w:p w:rsidR="000553E9" w:rsidRDefault="00266D84" w:rsidP="000553E9">
      <w:pPr>
        <w:pStyle w:val="SingleTxt"/>
        <w:rPr>
          <w:rtl/>
          <w:lang w:bidi="ar"/>
        </w:rPr>
      </w:pPr>
      <w:r>
        <w:rPr>
          <w:rFonts w:hint="cs"/>
          <w:rtl/>
          <w:lang w:bidi="ar"/>
        </w:rPr>
        <w:t>11</w:t>
      </w:r>
      <w:r w:rsidR="000553E9">
        <w:rPr>
          <w:rtl/>
          <w:lang w:bidi="ar"/>
        </w:rPr>
        <w:t>-</w:t>
      </w:r>
      <w:r w:rsidR="000553E9">
        <w:rPr>
          <w:rtl/>
          <w:lang w:bidi="ar"/>
        </w:rPr>
        <w:tab/>
        <w:t xml:space="preserve">وترد أدناه قائمة بالترشيحات؛ </w:t>
      </w:r>
      <w:r w:rsidR="000553E9">
        <w:rPr>
          <w:rFonts w:hint="cs"/>
          <w:rtl/>
          <w:lang w:bidi="ar"/>
        </w:rPr>
        <w:t xml:space="preserve">أما </w:t>
      </w:r>
      <w:r w:rsidR="000553E9">
        <w:rPr>
          <w:rtl/>
          <w:lang w:bidi="ar"/>
        </w:rPr>
        <w:t xml:space="preserve">بيانات السير الذاتية للمرشحين </w:t>
      </w:r>
      <w:r w:rsidR="000553E9">
        <w:rPr>
          <w:rFonts w:hint="cs"/>
          <w:rtl/>
          <w:lang w:bidi="ar"/>
        </w:rPr>
        <w:t>ف</w:t>
      </w:r>
      <w:r w:rsidR="000553E9">
        <w:rPr>
          <w:rtl/>
          <w:lang w:bidi="ar"/>
        </w:rPr>
        <w:t>ترد في المرفق</w:t>
      </w:r>
      <w:r>
        <w:rPr>
          <w:rFonts w:hint="cs"/>
          <w:rtl/>
          <w:lang w:bidi="ar"/>
        </w:rPr>
        <w:t>*</w:t>
      </w:r>
      <w:r w:rsidR="000553E9">
        <w:rPr>
          <w:rtl/>
          <w:lang w:bidi="ar"/>
        </w:rPr>
        <w:t>.</w:t>
      </w:r>
    </w:p>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tl/>
        </w:rPr>
        <w:tab/>
        <w:t>الدول الأفريقية</w:t>
      </w:r>
    </w:p>
    <w:tbl>
      <w:tblPr>
        <w:tblStyle w:val="TableGrid"/>
        <w:bidiVisual/>
        <w:tblW w:w="0" w:type="auto"/>
        <w:tblInd w:w="1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2"/>
        <w:gridCol w:w="2226"/>
      </w:tblGrid>
      <w:tr w:rsidR="000553E9" w:rsidRPr="005B1FCD" w:rsidTr="000553E9">
        <w:trPr>
          <w:trHeight w:val="70"/>
        </w:trPr>
        <w:tc>
          <w:tcPr>
            <w:tcW w:w="5322" w:type="dxa"/>
            <w:tcBorders>
              <w:top w:val="single" w:sz="4" w:space="0" w:color="auto"/>
              <w:left w:val="nil"/>
              <w:bottom w:val="single" w:sz="12" w:space="0" w:color="auto"/>
              <w:right w:val="nil"/>
            </w:tcBorders>
            <w:vAlign w:val="bottom"/>
            <w:hideMark/>
          </w:tcPr>
          <w:p w:rsidR="000553E9" w:rsidRPr="005B1FCD" w:rsidRDefault="000553E9" w:rsidP="000553E9">
            <w:pPr>
              <w:spacing w:before="40" w:after="40" w:line="300" w:lineRule="exact"/>
              <w:ind w:left="57" w:right="57"/>
              <w:rPr>
                <w:rFonts w:ascii="Traditional Arabic" w:hAnsi="Traditional Arabic" w:cs="Traditional Arabic"/>
                <w:i/>
                <w:iCs/>
                <w:szCs w:val="28"/>
                <w:lang w:eastAsia="ar-SA"/>
              </w:rPr>
            </w:pPr>
            <w:r w:rsidRPr="005B1FCD">
              <w:rPr>
                <w:rFonts w:ascii="Traditional Arabic" w:hAnsi="Traditional Arabic" w:cs="Traditional Arabic"/>
                <w:i/>
                <w:iCs/>
                <w:szCs w:val="28"/>
                <w:rtl/>
                <w:lang w:eastAsia="zh-TW"/>
              </w:rPr>
              <w:t>الدولة مقدمة الترشيح</w:t>
            </w:r>
          </w:p>
        </w:tc>
        <w:tc>
          <w:tcPr>
            <w:tcW w:w="2226" w:type="dxa"/>
            <w:tcBorders>
              <w:top w:val="single" w:sz="4" w:space="0" w:color="auto"/>
              <w:left w:val="nil"/>
              <w:bottom w:val="single" w:sz="12" w:space="0" w:color="auto"/>
              <w:right w:val="nil"/>
            </w:tcBorders>
            <w:vAlign w:val="bottom"/>
            <w:hideMark/>
          </w:tcPr>
          <w:p w:rsidR="000553E9" w:rsidRPr="005B1FCD" w:rsidRDefault="000553E9" w:rsidP="000553E9">
            <w:pPr>
              <w:spacing w:before="40" w:after="40" w:line="300" w:lineRule="exact"/>
              <w:ind w:left="57" w:right="57"/>
              <w:rPr>
                <w:rFonts w:ascii="Traditional Arabic" w:hAnsi="Traditional Arabic" w:cs="Traditional Arabic"/>
                <w:i/>
                <w:iCs/>
                <w:szCs w:val="28"/>
                <w:lang w:eastAsia="zh-TW"/>
              </w:rPr>
            </w:pPr>
            <w:r w:rsidRPr="005B1FCD">
              <w:rPr>
                <w:rFonts w:ascii="Traditional Arabic" w:hAnsi="Traditional Arabic" w:cs="Traditional Arabic"/>
                <w:i/>
                <w:iCs/>
                <w:szCs w:val="28"/>
                <w:rtl/>
                <w:lang w:eastAsia="zh-TW"/>
              </w:rPr>
              <w:t>الخبير المرشح</w:t>
            </w:r>
          </w:p>
        </w:tc>
      </w:tr>
      <w:tr w:rsidR="000553E9" w:rsidRPr="005B1FCD" w:rsidTr="000553E9">
        <w:trPr>
          <w:trHeight w:val="70"/>
        </w:trPr>
        <w:tc>
          <w:tcPr>
            <w:tcW w:w="5322" w:type="dxa"/>
            <w:tcBorders>
              <w:top w:val="nil"/>
              <w:left w:val="nil"/>
              <w:bottom w:val="single" w:sz="12" w:space="0" w:color="auto"/>
              <w:right w:val="nil"/>
            </w:tcBorders>
            <w:vAlign w:val="bottom"/>
          </w:tcPr>
          <w:p w:rsidR="000553E9" w:rsidRPr="005B1FCD" w:rsidRDefault="000553E9" w:rsidP="000553E9">
            <w:pPr>
              <w:spacing w:before="40" w:after="40" w:line="300" w:lineRule="exact"/>
              <w:ind w:left="57" w:right="57"/>
              <w:rPr>
                <w:rFonts w:ascii="Traditional Arabic" w:hAnsi="Traditional Arabic" w:cs="Traditional Arabic"/>
                <w:szCs w:val="28"/>
                <w:lang w:eastAsia="ar-SA"/>
              </w:rPr>
            </w:pPr>
            <w:r w:rsidRPr="005B1FCD">
              <w:rPr>
                <w:rFonts w:ascii="Traditional Arabic" w:hAnsi="Traditional Arabic" w:cs="Traditional Arabic"/>
                <w:szCs w:val="28"/>
                <w:rtl/>
                <w:lang w:eastAsia="ar-SA"/>
              </w:rPr>
              <w:t>إثيوبيا</w:t>
            </w:r>
          </w:p>
        </w:tc>
        <w:tc>
          <w:tcPr>
            <w:tcW w:w="2226" w:type="dxa"/>
            <w:tcBorders>
              <w:top w:val="nil"/>
              <w:left w:val="nil"/>
              <w:bottom w:val="single" w:sz="12" w:space="0" w:color="auto"/>
              <w:right w:val="nil"/>
            </w:tcBorders>
            <w:vAlign w:val="bottom"/>
          </w:tcPr>
          <w:p w:rsidR="000553E9" w:rsidRPr="005B1FCD" w:rsidRDefault="000553E9" w:rsidP="000553E9">
            <w:pPr>
              <w:spacing w:before="40" w:after="40" w:line="300" w:lineRule="exact"/>
              <w:ind w:left="57" w:right="57"/>
              <w:rPr>
                <w:rFonts w:ascii="Traditional Arabic" w:hAnsi="Traditional Arabic" w:cs="Traditional Arabic"/>
                <w:szCs w:val="28"/>
                <w:lang w:eastAsia="zh-TW"/>
              </w:rPr>
            </w:pPr>
            <w:r w:rsidRPr="005B1FCD">
              <w:rPr>
                <w:rFonts w:ascii="Traditional Arabic" w:hAnsi="Traditional Arabic" w:cs="Traditional Arabic"/>
                <w:szCs w:val="28"/>
                <w:rtl/>
                <w:lang w:eastAsia="zh-TW"/>
              </w:rPr>
              <w:t>إيميرو تامرات ييغيزو</w:t>
            </w:r>
          </w:p>
        </w:tc>
      </w:tr>
    </w:tbl>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ab/>
      </w:r>
      <w:r w:rsidRPr="005B1FCD">
        <w:rPr>
          <w:rtl/>
        </w:rPr>
        <w:t>دول آسيا والمحيط الهادي</w:t>
      </w:r>
    </w:p>
    <w:tbl>
      <w:tblPr>
        <w:tblStyle w:val="TableGrid"/>
        <w:bidiVisual/>
        <w:tblW w:w="0" w:type="auto"/>
        <w:tblInd w:w="1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6"/>
        <w:gridCol w:w="2229"/>
      </w:tblGrid>
      <w:tr w:rsidR="000553E9" w:rsidRPr="000553E9" w:rsidTr="000553E9">
        <w:trPr>
          <w:trHeight w:val="70"/>
        </w:trPr>
        <w:tc>
          <w:tcPr>
            <w:tcW w:w="5316" w:type="dxa"/>
            <w:tcBorders>
              <w:top w:val="single" w:sz="4" w:space="0" w:color="auto"/>
              <w:left w:val="nil"/>
              <w:bottom w:val="single" w:sz="12" w:space="0" w:color="auto"/>
              <w:right w:val="nil"/>
            </w:tcBorders>
            <w:vAlign w:val="bottom"/>
            <w:hideMark/>
          </w:tcPr>
          <w:p w:rsidR="000553E9" w:rsidRPr="000553E9" w:rsidRDefault="000553E9" w:rsidP="000553E9">
            <w:pPr>
              <w:spacing w:before="40" w:after="40" w:line="300" w:lineRule="exact"/>
              <w:ind w:left="57" w:right="57"/>
              <w:rPr>
                <w:rFonts w:ascii="Traditional Arabic" w:hAnsi="Traditional Arabic" w:cs="Traditional Arabic"/>
                <w:i/>
                <w:iCs/>
                <w:szCs w:val="28"/>
                <w:lang w:eastAsia="ar-SA"/>
              </w:rPr>
            </w:pPr>
            <w:r w:rsidRPr="000553E9">
              <w:rPr>
                <w:rFonts w:ascii="Traditional Arabic" w:hAnsi="Traditional Arabic" w:cs="Traditional Arabic"/>
                <w:i/>
                <w:iCs/>
                <w:szCs w:val="28"/>
                <w:rtl/>
                <w:lang w:eastAsia="zh-TW"/>
              </w:rPr>
              <w:t>الدولة مقدمة الترشيح</w:t>
            </w:r>
          </w:p>
        </w:tc>
        <w:tc>
          <w:tcPr>
            <w:tcW w:w="2229" w:type="dxa"/>
            <w:tcBorders>
              <w:top w:val="single" w:sz="4" w:space="0" w:color="auto"/>
              <w:left w:val="nil"/>
              <w:bottom w:val="single" w:sz="12" w:space="0" w:color="auto"/>
              <w:right w:val="nil"/>
            </w:tcBorders>
            <w:vAlign w:val="bottom"/>
            <w:hideMark/>
          </w:tcPr>
          <w:p w:rsidR="000553E9" w:rsidRPr="000553E9" w:rsidRDefault="000553E9" w:rsidP="000553E9">
            <w:pPr>
              <w:spacing w:before="40" w:after="40" w:line="300" w:lineRule="exact"/>
              <w:ind w:left="57" w:right="57"/>
              <w:rPr>
                <w:rFonts w:ascii="Traditional Arabic" w:hAnsi="Traditional Arabic" w:cs="Traditional Arabic"/>
                <w:i/>
                <w:iCs/>
                <w:szCs w:val="28"/>
                <w:lang w:eastAsia="zh-TW"/>
              </w:rPr>
            </w:pPr>
            <w:r w:rsidRPr="000553E9">
              <w:rPr>
                <w:rFonts w:ascii="Traditional Arabic" w:hAnsi="Traditional Arabic" w:cs="Traditional Arabic"/>
                <w:i/>
                <w:iCs/>
                <w:szCs w:val="28"/>
                <w:rtl/>
                <w:lang w:eastAsia="zh-TW"/>
              </w:rPr>
              <w:t>الخبير المرشح</w:t>
            </w:r>
          </w:p>
        </w:tc>
      </w:tr>
      <w:tr w:rsidR="000553E9" w:rsidRPr="000553E9" w:rsidTr="000553E9">
        <w:trPr>
          <w:trHeight w:val="70"/>
        </w:trPr>
        <w:tc>
          <w:tcPr>
            <w:tcW w:w="5316" w:type="dxa"/>
            <w:tcBorders>
              <w:top w:val="nil"/>
              <w:left w:val="nil"/>
              <w:bottom w:val="single" w:sz="12" w:space="0" w:color="auto"/>
              <w:right w:val="nil"/>
            </w:tcBorders>
            <w:vAlign w:val="bottom"/>
          </w:tcPr>
          <w:p w:rsidR="000553E9" w:rsidRPr="000553E9" w:rsidRDefault="000553E9" w:rsidP="000553E9">
            <w:pPr>
              <w:spacing w:before="40" w:after="40" w:line="300" w:lineRule="exact"/>
              <w:ind w:left="57" w:right="57"/>
              <w:rPr>
                <w:rFonts w:ascii="Traditional Arabic" w:hAnsi="Traditional Arabic" w:cs="Traditional Arabic"/>
                <w:szCs w:val="28"/>
                <w:lang w:eastAsia="ar-SA"/>
              </w:rPr>
            </w:pPr>
            <w:r w:rsidRPr="000553E9">
              <w:rPr>
                <w:rFonts w:ascii="Traditional Arabic" w:hAnsi="Traditional Arabic" w:cs="Traditional Arabic"/>
                <w:szCs w:val="28"/>
                <w:rtl/>
                <w:lang w:eastAsia="ar-SA"/>
              </w:rPr>
              <w:t>المملكة العربية السعودية</w:t>
            </w:r>
          </w:p>
        </w:tc>
        <w:tc>
          <w:tcPr>
            <w:tcW w:w="2229" w:type="dxa"/>
            <w:tcBorders>
              <w:top w:val="nil"/>
              <w:left w:val="nil"/>
              <w:bottom w:val="single" w:sz="12" w:space="0" w:color="auto"/>
              <w:right w:val="nil"/>
            </w:tcBorders>
          </w:tcPr>
          <w:p w:rsidR="000553E9" w:rsidRPr="000553E9" w:rsidRDefault="000553E9" w:rsidP="000553E9">
            <w:pPr>
              <w:spacing w:before="40" w:after="40" w:line="300" w:lineRule="exact"/>
              <w:ind w:left="57" w:right="57"/>
              <w:rPr>
                <w:rFonts w:ascii="Traditional Arabic" w:hAnsi="Traditional Arabic" w:cs="Traditional Arabic"/>
                <w:szCs w:val="28"/>
                <w:lang w:eastAsia="zh-TW"/>
              </w:rPr>
            </w:pPr>
            <w:r w:rsidRPr="000553E9">
              <w:rPr>
                <w:rFonts w:ascii="Traditional Arabic" w:hAnsi="Traditional Arabic" w:cs="Traditional Arabic"/>
                <w:szCs w:val="28"/>
                <w:rtl/>
                <w:lang w:eastAsia="zh-TW"/>
              </w:rPr>
              <w:t>ابراهيم عبد العزيز آل شدي</w:t>
            </w:r>
          </w:p>
        </w:tc>
      </w:tr>
    </w:tbl>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5B1FCD"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5B1FCD">
        <w:rPr>
          <w:rtl/>
        </w:rPr>
        <w:tab/>
      </w:r>
      <w:r w:rsidRPr="005B1FCD">
        <w:rPr>
          <w:rtl/>
        </w:rPr>
        <w:tab/>
        <w:t xml:space="preserve">دول أمريكا اللاتينية ومنطقة الكاريبي </w:t>
      </w:r>
    </w:p>
    <w:tbl>
      <w:tblPr>
        <w:tblStyle w:val="TableGrid"/>
        <w:bidiVisual/>
        <w:tblW w:w="0" w:type="auto"/>
        <w:tblInd w:w="1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9"/>
        <w:gridCol w:w="2226"/>
      </w:tblGrid>
      <w:tr w:rsidR="000553E9" w:rsidRPr="005B1FCD" w:rsidTr="000553E9">
        <w:trPr>
          <w:trHeight w:val="70"/>
        </w:trPr>
        <w:tc>
          <w:tcPr>
            <w:tcW w:w="5319" w:type="dxa"/>
            <w:tcBorders>
              <w:top w:val="single" w:sz="4" w:space="0" w:color="auto"/>
              <w:left w:val="nil"/>
              <w:bottom w:val="single" w:sz="12" w:space="0" w:color="auto"/>
              <w:right w:val="nil"/>
            </w:tcBorders>
            <w:vAlign w:val="bottom"/>
            <w:hideMark/>
          </w:tcPr>
          <w:p w:rsidR="000553E9" w:rsidRPr="005B1FCD" w:rsidRDefault="000553E9" w:rsidP="00266D84">
            <w:pPr>
              <w:spacing w:before="40" w:after="40" w:line="300" w:lineRule="exact"/>
              <w:ind w:left="57" w:right="57"/>
              <w:rPr>
                <w:rFonts w:ascii="Traditional Arabic" w:hAnsi="Traditional Arabic" w:cs="Traditional Arabic"/>
                <w:i/>
                <w:iCs/>
                <w:szCs w:val="28"/>
                <w:lang w:eastAsia="ar-SA"/>
              </w:rPr>
            </w:pPr>
            <w:r w:rsidRPr="005B1FCD">
              <w:rPr>
                <w:rFonts w:ascii="Traditional Arabic" w:hAnsi="Traditional Arabic" w:cs="Traditional Arabic"/>
                <w:i/>
                <w:iCs/>
                <w:szCs w:val="28"/>
                <w:rtl/>
                <w:lang w:eastAsia="zh-TW"/>
              </w:rPr>
              <w:t>الدولة مقدمة الترشيح</w:t>
            </w:r>
          </w:p>
        </w:tc>
        <w:tc>
          <w:tcPr>
            <w:tcW w:w="2226" w:type="dxa"/>
            <w:tcBorders>
              <w:top w:val="single" w:sz="4" w:space="0" w:color="auto"/>
              <w:left w:val="nil"/>
              <w:bottom w:val="single" w:sz="12" w:space="0" w:color="auto"/>
              <w:right w:val="nil"/>
            </w:tcBorders>
            <w:vAlign w:val="bottom"/>
            <w:hideMark/>
          </w:tcPr>
          <w:p w:rsidR="000553E9" w:rsidRPr="005B1FCD" w:rsidRDefault="000553E9" w:rsidP="00266D84">
            <w:pPr>
              <w:spacing w:before="40" w:after="40" w:line="300" w:lineRule="exact"/>
              <w:ind w:left="57" w:right="57"/>
              <w:rPr>
                <w:rFonts w:ascii="Traditional Arabic" w:hAnsi="Traditional Arabic" w:cs="Traditional Arabic"/>
                <w:i/>
                <w:iCs/>
                <w:szCs w:val="28"/>
                <w:lang w:eastAsia="zh-TW"/>
              </w:rPr>
            </w:pPr>
            <w:r w:rsidRPr="005B1FCD">
              <w:rPr>
                <w:rFonts w:ascii="Traditional Arabic" w:hAnsi="Traditional Arabic" w:cs="Traditional Arabic"/>
                <w:i/>
                <w:iCs/>
                <w:szCs w:val="28"/>
                <w:rtl/>
                <w:lang w:eastAsia="zh-TW"/>
              </w:rPr>
              <w:t>الخبير المرشح</w:t>
            </w:r>
          </w:p>
        </w:tc>
      </w:tr>
      <w:tr w:rsidR="000553E9" w:rsidRPr="005B1FCD" w:rsidTr="000553E9">
        <w:trPr>
          <w:trHeight w:val="70"/>
        </w:trPr>
        <w:tc>
          <w:tcPr>
            <w:tcW w:w="5319" w:type="dxa"/>
            <w:tcBorders>
              <w:top w:val="single" w:sz="12" w:space="0" w:color="auto"/>
              <w:left w:val="nil"/>
              <w:bottom w:val="single" w:sz="12" w:space="0" w:color="auto"/>
              <w:right w:val="nil"/>
            </w:tcBorders>
            <w:vAlign w:val="bottom"/>
            <w:hideMark/>
          </w:tcPr>
          <w:p w:rsidR="000553E9" w:rsidRPr="005B1FCD" w:rsidRDefault="000553E9" w:rsidP="00266D84">
            <w:pPr>
              <w:spacing w:before="40" w:after="40" w:line="300" w:lineRule="exact"/>
              <w:ind w:left="57" w:right="57"/>
              <w:rPr>
                <w:rFonts w:ascii="Traditional Arabic" w:hAnsi="Traditional Arabic" w:cs="Traditional Arabic"/>
                <w:szCs w:val="28"/>
                <w:lang w:eastAsia="ar-SA"/>
              </w:rPr>
            </w:pPr>
            <w:r w:rsidRPr="005B1FCD">
              <w:rPr>
                <w:rFonts w:ascii="Traditional Arabic" w:hAnsi="Traditional Arabic" w:cs="Traditional Arabic"/>
                <w:szCs w:val="28"/>
                <w:rtl/>
                <w:lang w:eastAsia="ar-SA"/>
              </w:rPr>
              <w:t>الأرجنتين</w:t>
            </w:r>
          </w:p>
        </w:tc>
        <w:tc>
          <w:tcPr>
            <w:tcW w:w="2226" w:type="dxa"/>
            <w:tcBorders>
              <w:top w:val="single" w:sz="12" w:space="0" w:color="auto"/>
              <w:left w:val="nil"/>
              <w:bottom w:val="single" w:sz="12" w:space="0" w:color="auto"/>
              <w:right w:val="nil"/>
            </w:tcBorders>
            <w:hideMark/>
          </w:tcPr>
          <w:p w:rsidR="000553E9" w:rsidRPr="005B1FCD" w:rsidRDefault="000553E9" w:rsidP="00266D84">
            <w:pPr>
              <w:spacing w:before="40" w:after="40" w:line="300" w:lineRule="exact"/>
              <w:ind w:left="57" w:right="57"/>
              <w:rPr>
                <w:rFonts w:ascii="Traditional Arabic" w:hAnsi="Traditional Arabic" w:cs="Traditional Arabic"/>
                <w:lang w:eastAsia="zh-TW"/>
              </w:rPr>
            </w:pPr>
            <w:r w:rsidRPr="005B1FCD">
              <w:rPr>
                <w:rFonts w:ascii="Traditional Arabic" w:hAnsi="Traditional Arabic" w:cs="Traditional Arabic"/>
                <w:rtl/>
                <w:lang w:eastAsia="zh-TW"/>
              </w:rPr>
              <w:t>ماريو لويس كوريولانو</w:t>
            </w:r>
          </w:p>
        </w:tc>
      </w:tr>
    </w:tbl>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0553E9"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53E9" w:rsidRPr="005B1FCD" w:rsidRDefault="000553E9" w:rsidP="000553E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5B1FCD">
        <w:rPr>
          <w:rtl/>
        </w:rPr>
        <w:tab/>
      </w:r>
      <w:r w:rsidRPr="005B1FCD">
        <w:rPr>
          <w:rtl/>
        </w:rPr>
        <w:tab/>
        <w:t>دول أوروبا الغربية ودول أخرى</w:t>
      </w:r>
    </w:p>
    <w:tbl>
      <w:tblPr>
        <w:tblStyle w:val="TableGrid"/>
        <w:bidiVisual/>
        <w:tblW w:w="0" w:type="auto"/>
        <w:tblInd w:w="1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9"/>
        <w:gridCol w:w="2226"/>
      </w:tblGrid>
      <w:tr w:rsidR="000553E9" w:rsidRPr="005B1FCD" w:rsidTr="000553E9">
        <w:trPr>
          <w:trHeight w:val="70"/>
        </w:trPr>
        <w:tc>
          <w:tcPr>
            <w:tcW w:w="5319" w:type="dxa"/>
            <w:tcBorders>
              <w:top w:val="single" w:sz="4" w:space="0" w:color="auto"/>
              <w:left w:val="nil"/>
              <w:bottom w:val="single" w:sz="12" w:space="0" w:color="auto"/>
              <w:right w:val="nil"/>
            </w:tcBorders>
            <w:vAlign w:val="bottom"/>
            <w:hideMark/>
          </w:tcPr>
          <w:p w:rsidR="000553E9" w:rsidRPr="005B1FCD" w:rsidRDefault="000553E9" w:rsidP="00266D84">
            <w:pPr>
              <w:spacing w:before="40" w:after="40" w:line="300" w:lineRule="exact"/>
              <w:ind w:left="57" w:right="57"/>
              <w:rPr>
                <w:rFonts w:ascii="Traditional Arabic" w:hAnsi="Traditional Arabic" w:cs="Traditional Arabic"/>
                <w:i/>
                <w:iCs/>
                <w:szCs w:val="28"/>
                <w:lang w:eastAsia="ar-SA"/>
              </w:rPr>
            </w:pPr>
            <w:r w:rsidRPr="005B1FCD">
              <w:rPr>
                <w:rFonts w:ascii="Traditional Arabic" w:hAnsi="Traditional Arabic" w:cs="Traditional Arabic"/>
                <w:i/>
                <w:iCs/>
                <w:szCs w:val="28"/>
                <w:rtl/>
                <w:lang w:eastAsia="zh-TW"/>
              </w:rPr>
              <w:t>الدولة مقدمة الترشيح</w:t>
            </w:r>
          </w:p>
        </w:tc>
        <w:tc>
          <w:tcPr>
            <w:tcW w:w="2226" w:type="dxa"/>
            <w:tcBorders>
              <w:top w:val="single" w:sz="4" w:space="0" w:color="auto"/>
              <w:left w:val="nil"/>
              <w:bottom w:val="single" w:sz="12" w:space="0" w:color="auto"/>
              <w:right w:val="nil"/>
            </w:tcBorders>
            <w:vAlign w:val="bottom"/>
            <w:hideMark/>
          </w:tcPr>
          <w:p w:rsidR="000553E9" w:rsidRPr="005B1FCD" w:rsidRDefault="000553E9" w:rsidP="00266D84">
            <w:pPr>
              <w:spacing w:before="40" w:after="40" w:line="300" w:lineRule="exact"/>
              <w:ind w:left="57" w:right="57"/>
              <w:rPr>
                <w:rFonts w:ascii="Traditional Arabic" w:hAnsi="Traditional Arabic" w:cs="Traditional Arabic"/>
                <w:i/>
                <w:iCs/>
                <w:szCs w:val="28"/>
                <w:lang w:eastAsia="zh-TW"/>
              </w:rPr>
            </w:pPr>
            <w:r w:rsidRPr="005B1FCD">
              <w:rPr>
                <w:rFonts w:ascii="Traditional Arabic" w:hAnsi="Traditional Arabic" w:cs="Traditional Arabic"/>
                <w:i/>
                <w:iCs/>
                <w:szCs w:val="28"/>
                <w:rtl/>
                <w:lang w:eastAsia="zh-TW"/>
              </w:rPr>
              <w:t>الخبير المرشح</w:t>
            </w:r>
          </w:p>
        </w:tc>
      </w:tr>
      <w:tr w:rsidR="000553E9" w:rsidRPr="005B1FCD" w:rsidTr="000553E9">
        <w:trPr>
          <w:trHeight w:val="70"/>
        </w:trPr>
        <w:tc>
          <w:tcPr>
            <w:tcW w:w="5319" w:type="dxa"/>
            <w:tcBorders>
              <w:top w:val="single" w:sz="12" w:space="0" w:color="auto"/>
              <w:left w:val="nil"/>
              <w:bottom w:val="single" w:sz="12" w:space="0" w:color="auto"/>
              <w:right w:val="nil"/>
            </w:tcBorders>
            <w:vAlign w:val="bottom"/>
            <w:hideMark/>
          </w:tcPr>
          <w:p w:rsidR="000553E9" w:rsidRPr="005B1FCD" w:rsidRDefault="000553E9" w:rsidP="00266D84">
            <w:pPr>
              <w:spacing w:before="40" w:after="40" w:line="300" w:lineRule="exact"/>
              <w:ind w:left="57" w:right="57"/>
              <w:rPr>
                <w:rFonts w:ascii="Traditional Arabic" w:hAnsi="Traditional Arabic" w:cs="Traditional Arabic"/>
                <w:szCs w:val="28"/>
                <w:lang w:eastAsia="ar-SA"/>
              </w:rPr>
            </w:pPr>
            <w:r w:rsidRPr="005B1FCD">
              <w:rPr>
                <w:rFonts w:ascii="Traditional Arabic" w:hAnsi="Traditional Arabic" w:cs="Traditional Arabic"/>
                <w:rtl/>
              </w:rPr>
              <w:t>النمسا</w:t>
            </w:r>
          </w:p>
        </w:tc>
        <w:tc>
          <w:tcPr>
            <w:tcW w:w="2226" w:type="dxa"/>
            <w:tcBorders>
              <w:top w:val="single" w:sz="12" w:space="0" w:color="auto"/>
              <w:left w:val="nil"/>
              <w:bottom w:val="single" w:sz="12" w:space="0" w:color="auto"/>
              <w:right w:val="nil"/>
            </w:tcBorders>
            <w:hideMark/>
          </w:tcPr>
          <w:p w:rsidR="000553E9" w:rsidRPr="005B1FCD" w:rsidRDefault="00FA52C8" w:rsidP="00266D84">
            <w:pPr>
              <w:spacing w:before="40" w:after="40" w:line="300" w:lineRule="exact"/>
              <w:ind w:left="57" w:right="57"/>
              <w:rPr>
                <w:rFonts w:ascii="Traditional Arabic" w:hAnsi="Traditional Arabic" w:cs="Traditional Arabic"/>
                <w:lang w:eastAsia="zh-TW"/>
              </w:rPr>
            </w:pPr>
            <w:dir w:val="rtl">
              <w:r w:rsidR="000553E9" w:rsidRPr="005B1FCD">
                <w:rPr>
                  <w:rFonts w:ascii="Traditional Arabic" w:hAnsi="Traditional Arabic" w:cs="Traditional Arabic"/>
                  <w:rtl/>
                  <w:lang w:eastAsia="zh-TW"/>
                </w:rPr>
                <w:t>كاتارينا بابيل</w:t>
              </w:r>
              <w:r w:rsidR="000553E9">
                <w:t>‬</w:t>
              </w:r>
              <w:r w:rsidR="009740C9">
                <w:t>‬</w:t>
              </w:r>
              <w:r>
                <w:t>‬</w:t>
              </w:r>
            </w:dir>
          </w:p>
        </w:tc>
      </w:tr>
    </w:tbl>
    <w:p w:rsidR="000553E9" w:rsidRPr="000553E9" w:rsidRDefault="000553E9" w:rsidP="000553E9">
      <w:pPr>
        <w:keepNext/>
        <w:keepLines/>
        <w:tabs>
          <w:tab w:val="right" w:pos="851"/>
        </w:tabs>
        <w:suppressAutoHyphens/>
        <w:bidi w:val="0"/>
        <w:spacing w:before="120" w:after="240" w:line="300" w:lineRule="exact"/>
        <w:ind w:left="1134" w:right="1134" w:hanging="1134"/>
        <w:jc w:val="left"/>
        <w:rPr>
          <w:rFonts w:eastAsia="Times New Roman" w:cs="Times New Roman"/>
          <w:b/>
          <w:w w:val="100"/>
          <w:kern w:val="0"/>
          <w:sz w:val="28"/>
          <w:szCs w:val="20"/>
          <w:lang w:val="en-GB"/>
        </w:rPr>
      </w:pPr>
      <w:r w:rsidRPr="000553E9">
        <w:rPr>
          <w:rFonts w:eastAsia="Times New Roman" w:cs="Times New Roman"/>
          <w:b/>
          <w:w w:val="100"/>
          <w:kern w:val="0"/>
          <w:sz w:val="28"/>
          <w:szCs w:val="20"/>
          <w:u w:val="single"/>
          <w:lang w:val="en-GB"/>
        </w:rPr>
        <w:br w:type="page"/>
      </w:r>
      <w:r w:rsidRPr="000553E9">
        <w:rPr>
          <w:rFonts w:eastAsia="Times New Roman" w:cs="Times New Roman"/>
          <w:b/>
          <w:w w:val="100"/>
          <w:kern w:val="0"/>
          <w:sz w:val="28"/>
          <w:szCs w:val="20"/>
          <w:lang w:val="en-GB"/>
        </w:rPr>
        <w:t>Annex</w:t>
      </w:r>
      <w:r w:rsidRPr="000553E9">
        <w:rPr>
          <w:rFonts w:eastAsia="Times New Roman" w:cs="Times New Roman"/>
          <w:b/>
          <w:w w:val="100"/>
          <w:kern w:val="0"/>
          <w:szCs w:val="20"/>
          <w:vertAlign w:val="superscript"/>
          <w:lang w:val="en-GB"/>
        </w:rPr>
        <w:footnoteReference w:customMarkFollows="1" w:id="1"/>
        <w:t>*</w:t>
      </w:r>
    </w:p>
    <w:p w:rsidR="000553E9" w:rsidRPr="000553E9" w:rsidRDefault="000553E9" w:rsidP="000553E9">
      <w:pPr>
        <w:keepNext/>
        <w:keepLines/>
        <w:tabs>
          <w:tab w:val="right" w:pos="851"/>
        </w:tabs>
        <w:suppressAutoHyphens/>
        <w:bidi w:val="0"/>
        <w:spacing w:before="360" w:line="240" w:lineRule="atLeast"/>
        <w:ind w:left="1134" w:right="1134" w:hanging="1134"/>
        <w:jc w:val="left"/>
        <w:rPr>
          <w:rFonts w:eastAsia="Times New Roman" w:cs="Times New Roman"/>
          <w:b/>
          <w:w w:val="100"/>
          <w:kern w:val="0"/>
          <w:sz w:val="24"/>
          <w:szCs w:val="20"/>
          <w:lang w:val="en-GB"/>
        </w:rPr>
      </w:pPr>
      <w:r w:rsidRPr="000553E9">
        <w:rPr>
          <w:rFonts w:eastAsia="Times New Roman" w:cs="Times New Roman"/>
          <w:b/>
          <w:w w:val="100"/>
          <w:kern w:val="0"/>
          <w:sz w:val="24"/>
          <w:szCs w:val="20"/>
          <w:lang w:val="en-GB"/>
        </w:rPr>
        <w:tab/>
      </w:r>
      <w:r w:rsidRPr="000553E9">
        <w:rPr>
          <w:rFonts w:eastAsia="Times New Roman" w:cs="Times New Roman"/>
          <w:b/>
          <w:w w:val="100"/>
          <w:kern w:val="0"/>
          <w:sz w:val="24"/>
          <w:szCs w:val="20"/>
          <w:lang w:val="en-GB"/>
        </w:rPr>
        <w:tab/>
        <w:t>Imeru Tamrat Yigezu (Ethiopia)</w:t>
      </w:r>
    </w:p>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Education</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0553E9" w:rsidRPr="000553E9" w:rsidTr="00F01A45">
        <w:tc>
          <w:tcPr>
            <w:tcW w:w="1701" w:type="dxa"/>
            <w:shd w:val="clear" w:color="auto" w:fill="auto"/>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rPr>
              <w:t>1991–1992</w:t>
            </w:r>
          </w:p>
        </w:tc>
        <w:tc>
          <w:tcPr>
            <w:tcW w:w="5669" w:type="dxa"/>
            <w:shd w:val="clear" w:color="auto" w:fill="auto"/>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rPr>
              <w:t>LLM: International Environmental Law and Natural Resources; School of Oriental and African Studies, University of London (with Merit)</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1983–1987</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LLB: Faculty of Law, Addis Ababa University (Chancellor’s Medal)</w:t>
            </w:r>
          </w:p>
        </w:tc>
      </w:tr>
    </w:tbl>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Employment history</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2006–present</w:t>
            </w:r>
          </w:p>
        </w:tc>
        <w:tc>
          <w:tcPr>
            <w:tcW w:w="5669" w:type="dxa"/>
            <w:shd w:val="clear" w:color="auto" w:fill="auto"/>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rPr>
              <w:t>Managing Director, Multi-Talent Consultancy Plc</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2002–2006</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Freelance Consultant</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1999–2002</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Food Rights Campaign Coordinator, ActionAid Ethiopia</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1997–1999</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Head, Policy Analysis Division, Environmental Protection Authority of Ethiopia</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1996–1997</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Senior International Law Expert, Ministry of Water Resources</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1994–1996</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Head, Transboundary Water Resources Department, Ministry of Natural Resources Development and Environmental Protection (MoNRDEP)</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1993–1994</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International Water Law Expert, (MoNRDEP)</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1988–1991</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Legal Officer, Ethiopian Valleys Development Studies Authority</w:t>
            </w:r>
          </w:p>
        </w:tc>
      </w:tr>
    </w:tbl>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Key qualifications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More than 20 years professional experience as consultant in the area of natural resources and environmental management, land administration and land rights, civil society and international trade, as lecturer in water law, water rights and governance and environmental law and policy in the graduate program of the Law Faculty and College of Development Studies of the Addis Ababa University.</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Long standing experience in evaluation of national, intergovernmental, civil society programs and projects.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Significant experience in working in a multicultural environment in several countries in Africa, Europe and the United States.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Significant experience as a team leader and manager of multi-country and national level consultancy projects.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Experience in providing training, capacity building and institutional development.</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More than 8 years academic experience as a teacher in international water law, international environmental law and water rights and governance at the graduate level and supervising master’s thesis.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Long standing experience as negotiator in the Nile Basin and in international environmental negotiations.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Significant experience in moderating, facilitating and conducting interactive discussions at both the national and international levels on issues of development, environment, human rights, land rights and international trade issues.</w:t>
      </w:r>
    </w:p>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Professional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0553E9" w:rsidRPr="000553E9" w:rsidTr="00F01A45">
        <w:tc>
          <w:tcPr>
            <w:tcW w:w="1701" w:type="dxa"/>
            <w:shd w:val="clear" w:color="auto" w:fill="auto"/>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rPr>
              <w:t>2012–date</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Consultant, Regional and National Water Policy and Legal Framework, and Water Resources Management Project, Inter-Governmental Authority for Development (IGAD)</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January–April 2012</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National Land Administration and Land Rights Experts: Socio-Economic Baseline Study and Assessment of the Villagization Program in two Regional States in Ethiopia, Conducted for the Ministry of Foreign Affairs of Finland</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November 2011–May 2012</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Consultant, National Coordination Strategy for Multi-Stakeholder Cooperation and Collaboration on Multilateral Environmental Agreements for Ethiopia, African Union</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2009–2010</w:t>
            </w:r>
          </w:p>
        </w:tc>
        <w:tc>
          <w:tcPr>
            <w:tcW w:w="5669" w:type="dxa"/>
            <w:shd w:val="clear" w:color="auto" w:fill="auto"/>
          </w:tcPr>
          <w:p w:rsidR="000553E9" w:rsidRPr="000553E9" w:rsidRDefault="000553E9" w:rsidP="000553E9">
            <w:pPr>
              <w:suppressAutoHyphens/>
              <w:bidi w:val="0"/>
              <w:spacing w:after="120" w:line="240" w:lineRule="atLeast"/>
              <w:ind w:right="1134"/>
              <w:jc w:val="left"/>
              <w:rPr>
                <w:rFonts w:eastAsia="Times New Roman" w:cs="Times New Roman"/>
                <w:w w:val="100"/>
                <w:kern w:val="0"/>
                <w:szCs w:val="20"/>
                <w:lang w:val="en-GB"/>
              </w:rPr>
            </w:pPr>
            <w:r w:rsidRPr="000553E9">
              <w:rPr>
                <w:rFonts w:eastAsia="Times New Roman" w:cs="Times New Roman"/>
                <w:w w:val="100"/>
                <w:kern w:val="0"/>
                <w:szCs w:val="20"/>
                <w:lang w:val="en-GB"/>
              </w:rPr>
              <w:t>Country Coordinator, Assessment of the Policy, Legal and Institutional Framework for Large-Scale Agricultural Investments in Ethiopia, World Bank</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2010</w:t>
            </w:r>
          </w:p>
        </w:tc>
        <w:tc>
          <w:tcPr>
            <w:tcW w:w="5669" w:type="dxa"/>
            <w:shd w:val="clear" w:color="auto" w:fill="auto"/>
          </w:tcPr>
          <w:p w:rsidR="000553E9" w:rsidRPr="000553E9" w:rsidRDefault="000553E9" w:rsidP="000553E9">
            <w:pPr>
              <w:suppressAutoHyphens/>
              <w:bidi w:val="0"/>
              <w:spacing w:after="120" w:line="240" w:lineRule="atLeast"/>
              <w:ind w:right="1134"/>
              <w:jc w:val="both"/>
              <w:rPr>
                <w:rFonts w:eastAsia="Times New Roman" w:cs="Times New Roman"/>
                <w:w w:val="100"/>
                <w:kern w:val="0"/>
                <w:szCs w:val="20"/>
                <w:lang w:val="en-GB"/>
              </w:rPr>
            </w:pPr>
            <w:r w:rsidRPr="000553E9">
              <w:rPr>
                <w:rFonts w:eastAsia="Times New Roman" w:cs="Times New Roman"/>
                <w:w w:val="100"/>
                <w:kern w:val="0"/>
                <w:szCs w:val="20"/>
                <w:lang w:val="en-GB"/>
              </w:rPr>
              <w:t>Country Coordinator, Inventory of Large-Scale Agricultural Investments in Ethiopia, World Bank</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2009</w:t>
            </w:r>
          </w:p>
        </w:tc>
        <w:tc>
          <w:tcPr>
            <w:tcW w:w="5669" w:type="dxa"/>
            <w:shd w:val="clear" w:color="auto" w:fill="auto"/>
          </w:tcPr>
          <w:p w:rsidR="000553E9" w:rsidRPr="000553E9" w:rsidRDefault="000553E9" w:rsidP="000553E9">
            <w:pPr>
              <w:suppressAutoHyphens/>
              <w:bidi w:val="0"/>
              <w:spacing w:after="120" w:line="240" w:lineRule="atLeast"/>
              <w:ind w:right="1134"/>
              <w:jc w:val="both"/>
              <w:rPr>
                <w:rFonts w:eastAsia="Times New Roman" w:cs="Times New Roman"/>
                <w:w w:val="100"/>
                <w:kern w:val="0"/>
                <w:szCs w:val="20"/>
                <w:lang w:val="en-GB"/>
              </w:rPr>
            </w:pPr>
            <w:r w:rsidRPr="000553E9">
              <w:rPr>
                <w:rFonts w:eastAsia="Times New Roman" w:cs="Times New Roman"/>
                <w:w w:val="100"/>
                <w:kern w:val="0"/>
                <w:szCs w:val="20"/>
                <w:lang w:val="en-GB"/>
              </w:rPr>
              <w:t>Country Coordinator, Land Governance Assessment Framework, World Bank</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2008–2009</w:t>
            </w:r>
          </w:p>
        </w:tc>
        <w:tc>
          <w:tcPr>
            <w:tcW w:w="5669" w:type="dxa"/>
            <w:shd w:val="clear" w:color="auto" w:fill="auto"/>
          </w:tcPr>
          <w:p w:rsidR="000553E9" w:rsidRPr="000553E9" w:rsidRDefault="000553E9" w:rsidP="000553E9">
            <w:pPr>
              <w:suppressAutoHyphens/>
              <w:bidi w:val="0"/>
              <w:spacing w:after="120" w:line="240" w:lineRule="atLeast"/>
              <w:ind w:right="1134"/>
              <w:jc w:val="both"/>
              <w:rPr>
                <w:rFonts w:eastAsia="Times New Roman" w:cs="Times New Roman"/>
                <w:w w:val="100"/>
                <w:kern w:val="0"/>
                <w:szCs w:val="20"/>
                <w:lang w:val="en-GB"/>
              </w:rPr>
            </w:pPr>
            <w:r w:rsidRPr="000553E9">
              <w:rPr>
                <w:rFonts w:eastAsia="Times New Roman" w:cs="Times New Roman"/>
                <w:w w:val="100"/>
                <w:kern w:val="0"/>
                <w:szCs w:val="20"/>
                <w:lang w:val="en-GB"/>
              </w:rPr>
              <w:t xml:space="preserve">Coordinator, Legal and Institutional Framework for Market Competition </w:t>
            </w:r>
            <w:r w:rsidRPr="000553E9">
              <w:rPr>
                <w:rFonts w:eastAsia="Times New Roman" w:cs="Times New Roman"/>
                <w:w w:val="100"/>
                <w:kern w:val="0"/>
                <w:szCs w:val="20"/>
                <w:lang w:val="en-GB"/>
              </w:rPr>
              <w:tab/>
              <w:t xml:space="preserve">in Ethiopia, Addis Ababa Chamber of Commerce and Sectoral </w:t>
            </w:r>
            <w:r w:rsidRPr="000553E9">
              <w:rPr>
                <w:rFonts w:eastAsia="Times New Roman" w:cs="Times New Roman"/>
                <w:w w:val="100"/>
                <w:kern w:val="0"/>
                <w:szCs w:val="20"/>
                <w:lang w:val="en-GB"/>
              </w:rPr>
              <w:tab/>
              <w:t>Association</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2008</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Consultant, Regional Program for Water Education in East Africa, Austrian Development Cooperation</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2007</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 xml:space="preserve">Consultant, Country Case Study (Ethiopia): Mainstreaming Environment </w:t>
            </w:r>
            <w:r w:rsidRPr="000553E9">
              <w:rPr>
                <w:rFonts w:eastAsia="Times New Roman" w:cs="Times New Roman"/>
                <w:w w:val="100"/>
                <w:kern w:val="0"/>
                <w:szCs w:val="20"/>
                <w:lang w:val="en-GB"/>
              </w:rPr>
              <w:tab/>
              <w:t>with a particular focus on dry-land issues, UNDP</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2006</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 xml:space="preserve">Consultant, Preparation of Social Mitigation Plan for the Humbo-Soddo </w:t>
            </w:r>
            <w:r w:rsidRPr="000553E9">
              <w:rPr>
                <w:rFonts w:eastAsia="Times New Roman" w:cs="Times New Roman"/>
                <w:w w:val="100"/>
                <w:kern w:val="0"/>
                <w:szCs w:val="20"/>
                <w:lang w:val="en-GB"/>
              </w:rPr>
              <w:tab/>
              <w:t>Community Based Forest Regeneration Project, World Bank</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2006</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Legal and Institutional Specialist, Humbo-Soddo Community Based Forest Regeneration Project, World Bank</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2005–2006</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Team Leader, Preparation of a National Implementation Plan for Persistent Organic Pollutants, UNIDO</w:t>
            </w:r>
          </w:p>
        </w:tc>
      </w:tr>
      <w:tr w:rsidR="000553E9" w:rsidRPr="000553E9" w:rsidTr="00F01A45">
        <w:tc>
          <w:tcPr>
            <w:tcW w:w="1701" w:type="dxa"/>
            <w:shd w:val="clear" w:color="auto" w:fill="auto"/>
          </w:tcPr>
          <w:p w:rsidR="000553E9" w:rsidRPr="000553E9" w:rsidRDefault="000553E9" w:rsidP="000553E9">
            <w:pPr>
              <w:keepNext/>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2004–2005</w:t>
            </w:r>
          </w:p>
        </w:tc>
        <w:tc>
          <w:tcPr>
            <w:tcW w:w="5669" w:type="dxa"/>
            <w:shd w:val="clear" w:color="auto" w:fill="auto"/>
          </w:tcPr>
          <w:p w:rsidR="000553E9" w:rsidRPr="000553E9" w:rsidRDefault="000553E9" w:rsidP="000553E9">
            <w:pPr>
              <w:keepNext/>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Legal and Institutional Consultant, Assessment of Enforcement, Monitoring and R&amp;D Capacity to Manage Persistent Organic Pollutants in Ethiopia, UNIDO</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2004</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Intellectual Property Rights Protection of Traditional Medicinal Knowledge in Ethiopia, Ethiopian Science and Technology Commission</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2003</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Legal Consultant, Evaluation of the Land Administration Project of the Amhara National Regional State of Ethiopia, SIDA</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2003</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Member, Project Evaluation Mission: Capacity Building for Nile Basin Water Resources Management Project, FAO</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2000</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Member of the Ethiopian Delegation to the Resumed Session of the Extraordinary Meeting of the Conference of Parties to the Biosafety Protocol</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1996–1997</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Member of the Ethiopian Panel of Experts during negotiations of Nile Basin Countries to develop “Framework for Cooperation in the Nile Basin”</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1995–1996</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Member of the Ethiopian Delegation to the United Nations General Assembly (Sixth Committee) for the Elaboration of the “Draft Convention on the Non-Navigational Uses of International Watercourses”</w:t>
            </w:r>
          </w:p>
        </w:tc>
      </w:tr>
    </w:tbl>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Academic positions</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2011</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Associate Professor (part-time), Water Rights and Governance, College of Development Studies, Addis Ababa University</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2007–2011</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Associate Professor, Law of International Watercourses, Graduate Program, Law Faculty, Addis Ababa University</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2007–2011</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Associate Professor, International Environmental Law, Graduate Program, Law Faculty, Addis Ababa University</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2003–2005</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Associate Professor, Natural Resources and Environmental law, Graduate Program, Law Faculty, Addis Ababa University</w:t>
            </w:r>
          </w:p>
        </w:tc>
      </w:tr>
    </w:tbl>
    <w:p w:rsidR="000553E9" w:rsidRPr="000553E9" w:rsidRDefault="000553E9" w:rsidP="000553E9">
      <w:pPr>
        <w:keepNext/>
        <w:keepLines/>
        <w:tabs>
          <w:tab w:val="right" w:pos="851"/>
        </w:tabs>
        <w:suppressAutoHyphens/>
        <w:bidi w:val="0"/>
        <w:spacing w:before="120" w:after="240" w:line="270" w:lineRule="exact"/>
        <w:ind w:left="1134" w:right="1134" w:hanging="1134"/>
        <w:jc w:val="left"/>
        <w:rPr>
          <w:rFonts w:eastAsia="Times New Roman" w:cs="Times New Roman"/>
          <w:bCs/>
          <w:w w:val="100"/>
          <w:kern w:val="0"/>
          <w:szCs w:val="20"/>
          <w:lang w:val="en-GB"/>
        </w:rPr>
      </w:pPr>
      <w:r w:rsidRPr="000553E9">
        <w:rPr>
          <w:rFonts w:eastAsia="Times New Roman" w:cs="Times New Roman"/>
          <w:b/>
          <w:w w:val="100"/>
          <w:kern w:val="0"/>
          <w:sz w:val="24"/>
          <w:szCs w:val="20"/>
          <w:lang w:val="en-GB"/>
        </w:rPr>
        <w:br w:type="page"/>
      </w:r>
      <w:r w:rsidRPr="000553E9">
        <w:rPr>
          <w:rFonts w:eastAsia="Times New Roman" w:cs="Times New Roman"/>
          <w:b/>
          <w:w w:val="100"/>
          <w:kern w:val="0"/>
          <w:sz w:val="24"/>
          <w:szCs w:val="20"/>
          <w:lang w:val="en-GB"/>
        </w:rPr>
        <w:tab/>
      </w:r>
      <w:r w:rsidRPr="000553E9">
        <w:rPr>
          <w:rFonts w:eastAsia="Times New Roman" w:cs="Times New Roman"/>
          <w:b/>
          <w:w w:val="100"/>
          <w:kern w:val="0"/>
          <w:sz w:val="24"/>
          <w:szCs w:val="20"/>
          <w:lang w:val="en-GB"/>
        </w:rPr>
        <w:tab/>
        <w:t>Ibrahim Abdul Aziz Al Sheddi (Saudi Arabia)</w:t>
      </w:r>
    </w:p>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Education</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B.A., College of Arabic language, Riyadh, K.S.A., 1971</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Diploma in Edu. Administration, Oklahoma University, USA, 1979</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M.A in Edu. Administration, Oklahoma University, USA, 1980</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Training in International Organizations, UNESCO Paris, 1983</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Ph.D. in International and Regional Organizations, Mohammed Bin Saud University, K.S.A., 1995</w:t>
      </w:r>
    </w:p>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Professional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0553E9" w:rsidRPr="000553E9" w:rsidTr="00F01A45">
        <w:tc>
          <w:tcPr>
            <w:tcW w:w="1701" w:type="dxa"/>
            <w:shd w:val="clear" w:color="auto" w:fill="auto"/>
            <w:vAlign w:val="bottom"/>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rPr>
              <w:t>1971–1979</w:t>
            </w:r>
          </w:p>
        </w:tc>
        <w:tc>
          <w:tcPr>
            <w:tcW w:w="5669" w:type="dxa"/>
            <w:shd w:val="clear" w:color="auto" w:fill="auto"/>
            <w:vAlign w:val="bottom"/>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rPr>
              <w:t>Teacher and principal in High school</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1984–2009</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Secretary-General of Saudi National Commission for Education, Science and Culture (UNESCO)</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1984–2009</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Secretary-General of Saudi National Commission for Childhood</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1989</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Permanent Delegate of Saudi Arabia to UNESCO, Paris</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1990–1997</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Assistant Deputy Minister of Education for Cultural &amp; International Relations</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1997–2009</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Deputy Minister of Education for International Affairs</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2009–2013</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Member of Shoura council</w:t>
            </w:r>
          </w:p>
        </w:tc>
      </w:tr>
      <w:tr w:rsidR="000553E9" w:rsidRPr="000553E9" w:rsidTr="00F01A45">
        <w:tc>
          <w:tcPr>
            <w:tcW w:w="1701"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2008–till now</w:t>
            </w:r>
          </w:p>
        </w:tc>
        <w:tc>
          <w:tcPr>
            <w:tcW w:w="5669"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Member of Human Rights Commission</w:t>
            </w:r>
          </w:p>
        </w:tc>
      </w:tr>
    </w:tbl>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Participation in national committees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Vice-president of Saudi National Commission for (UNESCO)</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Vice-president of Saudi National Commission for Childhood</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Higher Committee on “Riyadh, the Capital of Arab Culture, 2000”</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Chairman of Committee for the Report of Saudi Arabia on the Implementation of the Convention on the Rights of the Child</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Scientific Committee of Jeresy Chair for Human Rights</w:t>
      </w:r>
    </w:p>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Participation in regional and international committees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the Executive Board of Arab League Educational, Cultural and Scientific Organization (ALECSO), 1992–1998, Tunis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President of the Executive Board of ALECS, 1998–2002, Tunis</w:t>
      </w:r>
    </w:p>
    <w:p w:rsidR="000553E9" w:rsidRPr="000553E9" w:rsidRDefault="000553E9" w:rsidP="000553E9">
      <w:pPr>
        <w:suppressAutoHyphens/>
        <w:bidi w:val="0"/>
        <w:spacing w:after="120" w:line="240" w:lineRule="atLeast"/>
        <w:ind w:left="1134" w:right="1134"/>
        <w:jc w:val="both"/>
        <w:rPr>
          <w:rFonts w:eastAsia="Times New Roman" w:cs="Times New Roman"/>
          <w:spacing w:val="-2"/>
          <w:w w:val="100"/>
          <w:kern w:val="0"/>
          <w:szCs w:val="20"/>
          <w:lang w:val="en-GB"/>
        </w:rPr>
      </w:pPr>
      <w:r w:rsidRPr="000553E9">
        <w:rPr>
          <w:rFonts w:eastAsia="Times New Roman" w:cs="Times New Roman"/>
          <w:spacing w:val="-2"/>
          <w:w w:val="100"/>
          <w:kern w:val="0"/>
          <w:szCs w:val="20"/>
          <w:lang w:val="en-GB"/>
        </w:rPr>
        <w:t>Vice-Representative of Saudi Arabia to the Executive Board of UNESCO, 1996–1999, Paris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the International Committee on the Rights of the Child, 2001–2005</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President of Arab Permanente Committee for Human Rights 2006–2012</w:t>
      </w:r>
    </w:p>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Participation in international conferences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Chairman of Saudi Delegation to the General Conference of UNESCO, 26th session, November 1992, Paris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Chairman of Saudi Delegation to International Education Conference, 43rd session, September 1993, Geneva</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Chairman of Saudi Delegation to Regional Conferences of Arab National Commissions for UNESCO</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the General Conferences of UNESCO 1983–2009 (held every two years)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the General Conferences of ALECSO 1982–2009 (held every two years)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the General Conferences of Ministers of Education in the Gulf States, 1982–2009 (held every two years)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the International Education Conference, 1984–2009, Geneva</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Conference of Ministers of Culture in Islamic States, 1998, Rabat</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Intergovernmental Conference on Cultural Policies for Development (Stockholm, 1998)</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Conference of Ministers of Culture in the Gulf States, 1999, Sharja</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Conference of Arab Ministers of Culture, 2000, Riyadh</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the 2nd World Congress against Commercial Sexual Exploitation of Children 2001, Yokohama, Japan</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Member of Saudi Delegation to the Second World Summit for Children, 2002, New York</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In addition to participation in several regional and international seminars and meetings</w:t>
      </w:r>
    </w:p>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rPr>
      </w:pPr>
      <w:r w:rsidRPr="000553E9">
        <w:rPr>
          <w:rFonts w:eastAsia="Times New Roman" w:cs="Times New Roman"/>
          <w:b/>
          <w:w w:val="100"/>
          <w:kern w:val="0"/>
          <w:szCs w:val="20"/>
          <w:lang w:val="en-GB"/>
        </w:rPr>
        <w:tab/>
      </w:r>
      <w:r w:rsidRPr="000553E9">
        <w:rPr>
          <w:rFonts w:eastAsia="Times New Roman" w:cs="Times New Roman"/>
          <w:b/>
          <w:w w:val="100"/>
          <w:kern w:val="0"/>
          <w:szCs w:val="20"/>
          <w:lang w:val="en-GB"/>
        </w:rPr>
        <w:tab/>
        <w:t>Publications and studies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“Educational Plans of Regional and International Educational Organizations”, a book, 1999</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“Rights of the Child”, a book, 2005</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A number of researches and studies, such as:</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“Child Welfare in Saudi Arabia”</w:t>
      </w:r>
    </w:p>
    <w:p w:rsidR="000553E9" w:rsidRPr="000553E9" w:rsidRDefault="000553E9" w:rsidP="000553E9">
      <w:pPr>
        <w:suppressAutoHyphens/>
        <w:bidi w:val="0"/>
        <w:spacing w:after="120" w:line="240" w:lineRule="atLeast"/>
        <w:ind w:left="1701" w:right="1134"/>
        <w:jc w:val="both"/>
        <w:rPr>
          <w:rFonts w:eastAsia="Times New Roman" w:cs="Times New Roman"/>
          <w:w w:val="100"/>
          <w:kern w:val="0"/>
          <w:szCs w:val="20"/>
          <w:lang w:val="en-GB"/>
        </w:rPr>
      </w:pPr>
      <w:r w:rsidRPr="000553E9">
        <w:rPr>
          <w:rFonts w:eastAsia="Times New Roman" w:cs="Times New Roman"/>
          <w:w w:val="100"/>
          <w:kern w:val="0"/>
          <w:szCs w:val="20"/>
          <w:lang w:val="en-GB"/>
        </w:rPr>
        <w:t>“Rights of the Child in Saudi Arabia”</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“Children Literature in Saudi Arabia”</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“Child Culture”</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“Computer Programs for Children”</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“The Need for Supreme Council for Childhood in Saudi Arabia”</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“International Convention on the Rights of the Child”</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“Human Rights: International Protection Mechanisms”</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“Childhood in Islam”</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“Introducing Educational International and Regional Organizations”</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“Saudi Arabia and Educational International and Regional Organizations”</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n-GB"/>
        </w:rPr>
      </w:pPr>
      <w:r w:rsidRPr="000553E9">
        <w:rPr>
          <w:rFonts w:eastAsia="Times New Roman" w:cs="Times New Roman"/>
          <w:w w:val="100"/>
          <w:kern w:val="0"/>
          <w:szCs w:val="20"/>
          <w:lang w:val="en-GB"/>
        </w:rPr>
        <w:t>“Educational Supervision: Concept, Mechanism”</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n-GB"/>
        </w:rPr>
      </w:pPr>
      <w:r w:rsidRPr="000553E9">
        <w:rPr>
          <w:rFonts w:eastAsia="Times New Roman" w:cs="Times New Roman"/>
          <w:w w:val="100"/>
          <w:kern w:val="0"/>
          <w:szCs w:val="20"/>
          <w:lang w:val="en-GB"/>
        </w:rPr>
        <w:t>A number of articles published in Saudi newspapers and magazines</w:t>
      </w:r>
    </w:p>
    <w:p w:rsidR="000553E9" w:rsidRPr="000553E9" w:rsidRDefault="000553E9" w:rsidP="008027AE">
      <w:pPr>
        <w:keepNext/>
        <w:keepLines/>
        <w:tabs>
          <w:tab w:val="right" w:pos="851"/>
        </w:tabs>
        <w:suppressAutoHyphens/>
        <w:bidi w:val="0"/>
        <w:spacing w:before="120" w:line="270" w:lineRule="exact"/>
        <w:ind w:left="1134" w:right="1134" w:hanging="1134"/>
        <w:jc w:val="left"/>
        <w:rPr>
          <w:rFonts w:eastAsia="Times New Roman" w:cs="Times New Roman"/>
          <w:b/>
          <w:w w:val="100"/>
          <w:kern w:val="0"/>
          <w:sz w:val="24"/>
          <w:szCs w:val="20"/>
          <w:lang w:val="es-ES_tradnl"/>
        </w:rPr>
      </w:pPr>
      <w:r w:rsidRPr="000553E9">
        <w:rPr>
          <w:rFonts w:eastAsia="Times New Roman" w:cs="Times New Roman"/>
          <w:b/>
          <w:w w:val="100"/>
          <w:kern w:val="0"/>
          <w:sz w:val="24"/>
          <w:szCs w:val="20"/>
          <w:u w:val="single"/>
          <w:lang w:val="es-ES"/>
        </w:rPr>
        <w:br w:type="page"/>
      </w:r>
      <w:r w:rsidRPr="000553E9">
        <w:rPr>
          <w:rFonts w:eastAsia="Times New Roman" w:cs="Times New Roman"/>
          <w:b/>
          <w:w w:val="100"/>
          <w:kern w:val="0"/>
          <w:sz w:val="24"/>
          <w:szCs w:val="20"/>
          <w:lang w:val="es-ES"/>
        </w:rPr>
        <w:tab/>
      </w:r>
      <w:r w:rsidRPr="000553E9">
        <w:rPr>
          <w:rFonts w:eastAsia="Times New Roman" w:cs="Times New Roman"/>
          <w:b/>
          <w:w w:val="100"/>
          <w:kern w:val="0"/>
          <w:sz w:val="24"/>
          <w:szCs w:val="20"/>
          <w:lang w:val="es-ES"/>
        </w:rPr>
        <w:tab/>
      </w:r>
      <w:r w:rsidRPr="000553E9">
        <w:rPr>
          <w:rFonts w:eastAsia="Times New Roman" w:cs="Times New Roman"/>
          <w:b/>
          <w:w w:val="100"/>
          <w:kern w:val="0"/>
          <w:sz w:val="24"/>
          <w:szCs w:val="20"/>
          <w:lang w:val="es-ES_tradnl"/>
        </w:rPr>
        <w:t>Mario Luis Coriolano (Argentina)</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Mario Luis Coriolano, argentino, es abogado, egresado de la Universidad Nacional de L</w:t>
      </w:r>
      <w:r w:rsidRPr="000553E9">
        <w:rPr>
          <w:rFonts w:eastAsia="Times New Roman" w:cs="Times New Roman"/>
          <w:w w:val="100"/>
          <w:kern w:val="0"/>
          <w:szCs w:val="20"/>
          <w:lang w:val="es-ES"/>
        </w:rPr>
        <w:t xml:space="preserve">a Plata (UNLP), Argentina, donde obtuvo el título de Especialista en Derecho Penal y Criminología. </w:t>
      </w:r>
      <w:r w:rsidRPr="000553E9">
        <w:rPr>
          <w:rFonts w:eastAsia="Times New Roman" w:cs="Times New Roman"/>
          <w:w w:val="100"/>
          <w:kern w:val="0"/>
          <w:szCs w:val="20"/>
          <w:lang w:val="es-ES_tradnl"/>
        </w:rPr>
        <w:t>Es profesor adjunto ordinario por concurso de oposición y antecedentes en la Cátedra de Derecho Procesal I en la Facultad de Ciencias Jurídicas y Sociales de la UNLP. Desde el año 1998, es el Titular de la Defensoría ante el Tribunal de Casación Penal de la Provincia de Buenos Aires, Argentina, cargo obtenido por concurso a través del Consejo de la Magistratura.</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
        </w:rPr>
        <w:t xml:space="preserve">El candidato posee una extensa experiencia judicial, académica y cultural que ha volcado enérgicamente en la lucha contra la tortura y las condiciones degradantes de detención en el ámbito local, nacional, regional y universal. </w:t>
      </w:r>
      <w:r w:rsidRPr="000553E9">
        <w:rPr>
          <w:rFonts w:eastAsia="Times New Roman" w:cs="Times New Roman"/>
          <w:w w:val="100"/>
          <w:kern w:val="0"/>
          <w:szCs w:val="20"/>
          <w:lang w:val="es-ES_tradnl"/>
        </w:rPr>
        <w:t>Posee una vasta experiencia en el diseño y ejecución de políticas públicas vinculadas a temas carcelarios, como así en visitas y supervisión a cárceles. Esto caracteriza su larga práctica en las relaciones con el personal policial y penitenciario, siempre con el objetivo de promover el mejoramiento de las instituciones respectivas.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
        </w:rPr>
      </w:pPr>
      <w:r w:rsidRPr="000553E9">
        <w:rPr>
          <w:rFonts w:eastAsia="Times New Roman" w:cs="Times New Roman"/>
          <w:w w:val="100"/>
          <w:kern w:val="0"/>
          <w:szCs w:val="20"/>
          <w:lang w:val="es-ES"/>
        </w:rPr>
        <w:t>En el año 2012, fue designado para integrar el Comité Asesor del Consejo de Derechos Humanos de Naciones Unidas, como experto independiente por su experiencia profesional. Los miembros son nominados por los gobiernos y elegidos por el Consejo.</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El Comité suele formar grupos de trabajo, entre los cuales el Dr. Coriolano integra:</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a)</w:t>
      </w:r>
      <w:r w:rsidRPr="000553E9">
        <w:rPr>
          <w:rFonts w:eastAsia="Times New Roman" w:cs="Times New Roman"/>
          <w:w w:val="100"/>
          <w:kern w:val="0"/>
          <w:szCs w:val="20"/>
          <w:lang w:val="es-ES_tradnl"/>
        </w:rPr>
        <w:tab/>
        <w:t>Grupo de redacción del estudio sobre las posibilidades de utilizar el deporte y el ideal olímpico para promover los derechos humanos, desde febrero de 2014;</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b)</w:t>
      </w:r>
      <w:r w:rsidRPr="000553E9">
        <w:rPr>
          <w:rFonts w:eastAsia="Times New Roman" w:cs="Times New Roman"/>
          <w:w w:val="100"/>
          <w:kern w:val="0"/>
          <w:szCs w:val="20"/>
          <w:lang w:val="es-ES_tradnl"/>
        </w:rPr>
        <w:tab/>
        <w:t>Grupo de redacción del informe de investigación sobre el papel de los gobiernos locales en la promoción y protección de los derechos humanos, desde febrero de 2014;</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c)</w:t>
      </w:r>
      <w:r w:rsidRPr="000553E9">
        <w:rPr>
          <w:rFonts w:eastAsia="Times New Roman" w:cs="Times New Roman"/>
          <w:w w:val="100"/>
          <w:kern w:val="0"/>
          <w:szCs w:val="20"/>
          <w:lang w:val="es-ES_tradnl"/>
        </w:rPr>
        <w:tab/>
        <w:t>Grupo de estudio sobre la situación de los derechos humanos de las personas con albinismo, desde febrero de 2014;</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d)</w:t>
      </w:r>
      <w:r w:rsidRPr="000553E9">
        <w:rPr>
          <w:rFonts w:eastAsia="Times New Roman" w:cs="Times New Roman"/>
          <w:w w:val="100"/>
          <w:kern w:val="0"/>
          <w:szCs w:val="20"/>
          <w:lang w:val="es-ES_tradnl"/>
        </w:rPr>
        <w:tab/>
        <w:t xml:space="preserve">En septiembre de 2014, el Consejo mediante la resolución 27/30 pide al Comité Asesor que preparare un informe basado en la investigación sobre las actividades de los fondos buitres y el impacto en los derechos humanos. </w:t>
      </w:r>
      <w:r w:rsidRPr="000553E9">
        <w:rPr>
          <w:rFonts w:eastAsia="Times New Roman" w:cs="Times New Roman"/>
          <w:w w:val="100"/>
          <w:kern w:val="0"/>
          <w:szCs w:val="20"/>
          <w:lang w:val="es-ES"/>
        </w:rPr>
        <w:t xml:space="preserve">El mismo será presentado en marzo de 2016. </w:t>
      </w:r>
      <w:r w:rsidRPr="000553E9">
        <w:rPr>
          <w:rFonts w:eastAsia="Times New Roman" w:cs="Times New Roman"/>
          <w:w w:val="100"/>
          <w:kern w:val="0"/>
          <w:szCs w:val="20"/>
          <w:lang w:val="es-ES_tradnl"/>
        </w:rPr>
        <w:t>El Comité Asesor estableció el Grupo de redacción sobre dicho informe, en febrero de 2015, entre los que se encuentra formando parte del mismo el Dr. Coriolano;</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e)</w:t>
      </w:r>
      <w:r w:rsidRPr="000553E9">
        <w:rPr>
          <w:rFonts w:eastAsia="Times New Roman" w:cs="Times New Roman"/>
          <w:w w:val="100"/>
          <w:kern w:val="0"/>
          <w:szCs w:val="20"/>
          <w:lang w:val="es-ES_tradnl"/>
        </w:rPr>
        <w:tab/>
        <w:t>Grupo de redacción del informe de investigación sobre el Impacto negativo de la corrupción sobre los derechos humanos, desde agosto del 2013;</w:t>
      </w:r>
    </w:p>
    <w:p w:rsidR="000553E9" w:rsidRPr="000553E9" w:rsidRDefault="000553E9" w:rsidP="000553E9">
      <w:pPr>
        <w:suppressAutoHyphens/>
        <w:bidi w:val="0"/>
        <w:spacing w:after="120" w:line="240" w:lineRule="atLeast"/>
        <w:ind w:left="1134" w:right="1134" w:firstLine="567"/>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f)</w:t>
      </w:r>
      <w:r w:rsidRPr="000553E9">
        <w:rPr>
          <w:rFonts w:eastAsia="Times New Roman" w:cs="Times New Roman"/>
          <w:w w:val="100"/>
          <w:kern w:val="0"/>
          <w:szCs w:val="20"/>
          <w:lang w:val="es-ES_tradnl"/>
        </w:rPr>
        <w:tab/>
        <w:t>Desde el 2013 forma parte del Grupo de Trabajo sobre las Comunicaciones, que consta de cinco expertos independientes y altamente calificados y es geográficamente representativo de los cinco grupos regionales. La designación es por un período de tres años, y renovable una vez. En ese contexto, durante la primera sesión en el Comité Asesor en febrero de 2013, propuso solicitar al Consejo de Derechos Humanos para realizar una investigación sobre “Seguridad ciudadana” con un enfoque de Derechos Humanos, que fue aprobado por unanimidad.</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En el año 2006, en reconocimiento de sus aptitudes personales y profesionales, fue elegido miembro del Subcomité para la Prevención de la Tortura, órgano creado ese mismo año a la luz del Protocolo Facultativo de la Convención contra la Tortura de Naciones Unidas (OPCAT). En el año 2008, fue reelegido, siendo vicepresidente de este órgano hasta el año 2012. En la etapa fundacional, el Dr. Coriolano se ha dedicado plenamente a contribuir a la construcción de un sólido sistema preventivo universal. Su visión estratégica considera el OPCAT la pieza catalizadora faltante para complementar y reforzar a instituciones y actores existentes que han de combatir la tortura desde sus distintos ámbitos, evitando superposiciones, llenando vacíos y corrigiendo debilidades. En lo referido a la edificación de estas relaciones interinstitucionales, sus gestiones fueron decisivas para lograr el acercamiento entre el Subcomité y el Comité contra la Tortura y fue por ello designado por sus colegas para integrar el Grupo de Trabajo creado a fin de facilitar la comunicación, intercambio de información y actuación coordinada entre ambos órganos. Asimismo, se ha preocupado por establecer pautas de trabajo coordinadas entre el Subcomité y la Comisión Interamericana de Derechos Humanos (CIDH). Para ello, entre otros, impulsó una invitación al Secretario Ejecutivo de este órgano regional a una reunión de trabajo con el pleno del Subcomité en Ginebra y participó, en representación del Subcomité, en una audiencia pública y sesión plenaria convocada por la CIDH en Washington DC.</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Además, el Dr. Coriolano ha priorizado el desarrollo del aspecto del mandato del SPT referido a los mecanismos nacionales de prevención (MNP) previstos bajo el Protocolo Facultativo. En este sentido, fue designado por el Subcomité para redactar pautas preliminares que orientaron las gestiones del SPT durante sus primeras visitas al terreno y sus respectivos informes y sirvieron de base para la elaboración de directrices sobre los MNP consagradas en el primer informe anual público del SPT. Igualmente, le fue encargado un documento de análisis sobre el estado de situación de los MNP en cada Estado Parte del Protocolo Facultativo para así estudiar las medidas que el SPT ha de adoptar para ayudar a los Estados a aplicar estas directrices. En contextos nacionales específicos, fue designado Punto Focal del Subcomité con el MNP de México (único Punto Focal hasta la fecha), habiendo establecido en esta calidad contacto directo y estrecho con los integrantes del MNP, además de las autoridades del Estado Parte y otros actores nacionales relevantes.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Igualmente, participó como disertante en diferentes eventos para impulsar la implantación de los MNP en Chile, Brasil, Paraguay, Bolivia, Perú, Uruguay, Honduras y Guatemala orientando y apoyando a los actores nacionales de estos procesos.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
        </w:rPr>
      </w:pPr>
      <w:r w:rsidRPr="000553E9">
        <w:rPr>
          <w:rFonts w:eastAsia="Times New Roman" w:cs="Times New Roman"/>
          <w:w w:val="100"/>
          <w:kern w:val="0"/>
          <w:szCs w:val="20"/>
          <w:lang w:val="es-ES"/>
        </w:rPr>
        <w:t>Además formó parte de las Misiones Internacionales del Subcomité a África, México, Paraguay, Honduras, Brasil donde se desempeñó como jefe de misión. Participó en el Primer Seminario Mundial sobre el OPCAT convocado por la Universidad de Bristol, Inglaterra.</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
        </w:rPr>
      </w:pPr>
      <w:r w:rsidRPr="000553E9">
        <w:rPr>
          <w:rFonts w:eastAsia="Times New Roman" w:cs="Times New Roman"/>
          <w:w w:val="100"/>
          <w:kern w:val="0"/>
          <w:szCs w:val="20"/>
          <w:lang w:val="es-ES_tradnl"/>
        </w:rPr>
        <w:t xml:space="preserve">En su calidad de Defensor de Casación de la Provincia de Buenos Aires, Argentina, llevó a cabo la creación y puesta en marcha de áreas de ejecución de la defensa, conformadas por un equipo de abogados especializados que atienden detenidos y visitan cárceles con el objeto de garantizar los derechos humanos de las personas privadas de su libertad. Asimismo, creó la base de datos sobre casos de torturas y otros tratos o penas crueles, inhumanos o degradantes, en el cual se registran las denuncias sobre casos de torturas en la provincia de Buenos Aires. La primera base de datos de esta naturaleza, ha sido decisiva para hacer visible la grave problemática de la tortura en la provincia de Buenos Aires y ha sido replicada en otras provincias. Así, sigue siendo utilizada por diferentes organismos de derechos humanos a nivel provincial, nacional e internacional (Centro de Estudios Legales y Sociales – CELS; Amnistía Internacional, Centro por la Justicia y el Derecho Internacional – CEJIL; Comisión Interamericana de Derechos Humanos – CIDH; entre otros). </w:t>
      </w:r>
      <w:r w:rsidRPr="000553E9">
        <w:rPr>
          <w:rFonts w:eastAsia="Times New Roman" w:cs="Times New Roman"/>
          <w:w w:val="100"/>
          <w:kern w:val="0"/>
          <w:szCs w:val="20"/>
          <w:lang w:val="es-ES"/>
        </w:rPr>
        <w:t>Además creó el programa integral de sistematización de información, el cual releva, el hostigamiento a defensores y casos de pruebas adulteradas.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
        </w:rPr>
        <w:t xml:space="preserve">A su vez, el Dr. Coriolano diseñó e implementó el Programa de Capacitación “Entrenamiento interdisciplinario en visitas a Unidades Carcelarias” para llevar a cabo en todo el territorio argentino. El mismo está destinado a capacitar personas de distintos sectores estatales y de la sociedad civil, a fin de perfeccionar los mecanismos de visitas que deben realizar regularmente y de manera sorpresiva para examinar las condiciones en que se encuentran las personas privadas de libertad. </w:t>
      </w:r>
      <w:r w:rsidRPr="000553E9">
        <w:rPr>
          <w:rFonts w:eastAsia="Times New Roman" w:cs="Times New Roman"/>
          <w:w w:val="100"/>
          <w:kern w:val="0"/>
          <w:szCs w:val="20"/>
          <w:lang w:val="es-ES_tradnl"/>
        </w:rPr>
        <w:t>Su eje central es la Convención contra la Tortura de las Naciones Unidas y su Protocolo Facultativo. El proyecto contó con la financiación de la Embajada Suiza en Argentina y el apoyo de la Asociación para la Prevención de la Tortura (APT).</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
        </w:rPr>
      </w:pPr>
      <w:r w:rsidRPr="000553E9">
        <w:rPr>
          <w:rFonts w:eastAsia="Times New Roman" w:cs="Times New Roman"/>
          <w:w w:val="100"/>
          <w:kern w:val="0"/>
          <w:szCs w:val="20"/>
          <w:lang w:val="es-ES"/>
        </w:rPr>
        <w:t>En el ámbito académico, es el Director de la Cátedra Libre “Salud Pública Penitenciaria” de la Universidad Nacional de La Plata. Desde año 2.010 hasta la actualidad.</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
        </w:rPr>
      </w:pPr>
      <w:r w:rsidRPr="000553E9">
        <w:rPr>
          <w:rFonts w:eastAsia="Times New Roman" w:cs="Times New Roman"/>
          <w:w w:val="100"/>
          <w:kern w:val="0"/>
          <w:szCs w:val="20"/>
          <w:lang w:val="es-ES_tradnl"/>
        </w:rPr>
        <w:t xml:space="preserve">Su experiencia, que abarca las sólidas iniciativas que desarrolló y continúa desarrollando en el ámbito de sus funciones, le ha servido de la misma manera para elaborar teóricamente la dolorosa materia de su labor y volcar su pensamiento en innumerables disertaciones sobre temas de tortura y otros tratos o penas crueles, inhumanos o degradantes llevadas a cabo en eventos nacionales e internacionales, entre ellos: en Estados Unidos (2015-2014-2011-2009-2008); Brasil (2014-2012-2011-2010-2008-2007-2006-2005-2001); Honduras (2014-2012-2009); Bolivia (2007); Perú (2012-2007); Colombia (2011-2006); México (2008-2006-2005); Argentina (2005); Paraguay (2015-2012-2011-2010-2009-2008-2007-2005-2002); Uruguay (2010-2008-2004); Ecuador (2003); Canadá (2003); Costa Rica (2012-2002-1999-1998); Chile (2013-2012-2001); Guatemala (2012-2010-2009-2001); Francia (2009); España (2010-2008). </w:t>
      </w:r>
      <w:r w:rsidRPr="000553E9">
        <w:rPr>
          <w:rFonts w:eastAsia="Times New Roman" w:cs="Times New Roman"/>
          <w:w w:val="100"/>
          <w:kern w:val="0"/>
          <w:szCs w:val="20"/>
          <w:lang w:val="es-ES"/>
        </w:rPr>
        <w:t>Por otra parte, es autor de numerosas publicaciones de su especialidad, entre ellas “Red para la lucha contra la tortura. Implementación del Protocolo Facultativo a la Convención contra la tortura y otros tratos o penas crueles, inhumanos o degradantes”. Libro, auspiciado por el Ministerio de Justicia y Derechos Humanos, Presidencia de la Nación Argentina. (año 2013).</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Ha creado y dirige desde el año 2000 el Centro de Estudios para la Defensa Pública, espacio destinado a la capacitación y debate público acerca de temas vinculados a la justicia y los derechos Humanos en Argentina y América Latina y es socio fundador de la Asociación de Defensores por los Derechos Humanos.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También participó de la fundación del Foro para la Justicia Democrática, asociación civil sin fines de lucro, integrada por jueces, fiscales y defensores, con el objeto de desarrollar un espacio pluralista de constante debate y reflexión que permita consolidar – desde el ámbito judicial – el Estado de Derecho democrático y los derechos humanos. Esto a través del análisis de situación con base en información que provean distintos actores locales pertinentes y la formulación de propuestas en pos del mejoramiento de la justicia penal en la Provincia de Buenos Aires.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_tradnl"/>
        </w:rPr>
      </w:pPr>
      <w:r w:rsidRPr="000553E9">
        <w:rPr>
          <w:rFonts w:eastAsia="Times New Roman" w:cs="Times New Roman"/>
          <w:w w:val="100"/>
          <w:kern w:val="0"/>
          <w:szCs w:val="20"/>
          <w:lang w:val="es-ES_tradnl"/>
        </w:rPr>
        <w:t>Actualmente es el funcionario designado como nexo entre la provincia de Buenos Aires y el Programa Nacional Anti-impunidad, que tiende a aunar esfuerzos en el ámbito nacional, provincial o municipal con reparticiones oficiales, organismos no gubernamentales y estamentos de la sociedad civil en la lucha contra flagrantes violaciones a los derechos humanos.</w:t>
      </w:r>
    </w:p>
    <w:p w:rsidR="000553E9" w:rsidRPr="000553E9" w:rsidRDefault="000553E9" w:rsidP="000553E9">
      <w:pPr>
        <w:suppressAutoHyphens/>
        <w:bidi w:val="0"/>
        <w:spacing w:after="120" w:line="240" w:lineRule="atLeast"/>
        <w:ind w:left="1134" w:right="1134"/>
        <w:jc w:val="both"/>
        <w:rPr>
          <w:rFonts w:eastAsia="Times New Roman" w:cs="Times New Roman"/>
          <w:w w:val="100"/>
          <w:kern w:val="0"/>
          <w:szCs w:val="20"/>
          <w:lang w:val="es-ES"/>
        </w:rPr>
      </w:pPr>
      <w:r w:rsidRPr="000553E9">
        <w:rPr>
          <w:rFonts w:eastAsia="Times New Roman" w:cs="Times New Roman"/>
          <w:w w:val="100"/>
          <w:kern w:val="0"/>
          <w:szCs w:val="20"/>
          <w:lang w:val="es-ES"/>
        </w:rPr>
        <w:t>Además es Becario del Programa de Investigación del Gobierno de Canadá desde el año 2002. Asimismo ha sido Consultor del Instituto Interamericano de Derechos Humanos (IIDH) con sede en San José, Costa Rica.</w:t>
      </w:r>
    </w:p>
    <w:p w:rsidR="000553E9" w:rsidRPr="000553E9" w:rsidRDefault="000553E9" w:rsidP="00266D84">
      <w:pPr>
        <w:keepNext/>
        <w:keepLines/>
        <w:tabs>
          <w:tab w:val="right" w:pos="851"/>
        </w:tabs>
        <w:suppressAutoHyphens/>
        <w:bidi w:val="0"/>
        <w:spacing w:before="120" w:after="240" w:line="270" w:lineRule="exact"/>
        <w:ind w:left="1134" w:right="1134" w:hanging="1134"/>
        <w:jc w:val="left"/>
        <w:rPr>
          <w:rFonts w:eastAsia="Times New Roman" w:cs="Times New Roman"/>
          <w:b/>
          <w:w w:val="100"/>
          <w:kern w:val="0"/>
          <w:sz w:val="24"/>
          <w:szCs w:val="20"/>
          <w:lang w:val="en-GB"/>
        </w:rPr>
      </w:pPr>
      <w:r w:rsidRPr="000553E9">
        <w:rPr>
          <w:rFonts w:eastAsia="Times New Roman" w:cs="Times New Roman"/>
          <w:b/>
          <w:w w:val="100"/>
          <w:kern w:val="0"/>
          <w:sz w:val="24"/>
          <w:szCs w:val="20"/>
          <w:u w:val="single"/>
          <w:lang w:val="es-ES_tradnl"/>
        </w:rPr>
        <w:br w:type="page"/>
      </w:r>
      <w:r w:rsidRPr="000553E9">
        <w:rPr>
          <w:rFonts w:eastAsia="Times New Roman" w:cs="Times New Roman"/>
          <w:b/>
          <w:w w:val="100"/>
          <w:kern w:val="0"/>
          <w:sz w:val="24"/>
          <w:szCs w:val="20"/>
          <w:lang w:val="es-ES"/>
        </w:rPr>
        <w:tab/>
      </w:r>
      <w:r w:rsidRPr="000553E9">
        <w:rPr>
          <w:rFonts w:eastAsia="Times New Roman" w:cs="Times New Roman"/>
          <w:b/>
          <w:w w:val="100"/>
          <w:kern w:val="0"/>
          <w:sz w:val="24"/>
          <w:szCs w:val="20"/>
          <w:lang w:val="es-ES"/>
        </w:rPr>
        <w:tab/>
      </w:r>
      <w:r w:rsidRPr="000553E9">
        <w:rPr>
          <w:rFonts w:eastAsia="Times New Roman" w:cs="Times New Roman"/>
          <w:b/>
          <w:w w:val="100"/>
          <w:kern w:val="0"/>
          <w:sz w:val="24"/>
          <w:szCs w:val="20"/>
          <w:lang w:val="en-GB"/>
        </w:rPr>
        <w:t>Katharina Pabel (Austria)</w:t>
      </w:r>
    </w:p>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eastAsia="en-GB"/>
        </w:rPr>
      </w:pPr>
      <w:r w:rsidRPr="000553E9">
        <w:rPr>
          <w:rFonts w:eastAsia="Times New Roman" w:cs="Times New Roman"/>
          <w:b/>
          <w:w w:val="100"/>
          <w:kern w:val="0"/>
          <w:szCs w:val="20"/>
          <w:lang w:val="en-GB" w:eastAsia="en-GB"/>
        </w:rPr>
        <w:tab/>
      </w:r>
      <w:r w:rsidRPr="000553E9">
        <w:rPr>
          <w:rFonts w:eastAsia="Times New Roman" w:cs="Times New Roman"/>
          <w:b/>
          <w:w w:val="100"/>
          <w:kern w:val="0"/>
          <w:szCs w:val="20"/>
          <w:lang w:val="en-GB" w:eastAsia="en-GB"/>
        </w:rPr>
        <w:tab/>
        <w:t>Academic education</w:t>
      </w:r>
    </w:p>
    <w:tbl>
      <w:tblPr>
        <w:tblW w:w="7371" w:type="dxa"/>
        <w:tblInd w:w="1134" w:type="dxa"/>
        <w:tblLayout w:type="fixed"/>
        <w:tblCellMar>
          <w:left w:w="0" w:type="dxa"/>
          <w:right w:w="0" w:type="dxa"/>
        </w:tblCellMar>
        <w:tblLook w:val="04A0" w:firstRow="1" w:lastRow="0" w:firstColumn="1" w:lastColumn="0" w:noHBand="0" w:noVBand="1"/>
      </w:tblPr>
      <w:tblGrid>
        <w:gridCol w:w="1276"/>
        <w:gridCol w:w="6095"/>
      </w:tblGrid>
      <w:tr w:rsidR="000553E9" w:rsidRPr="000553E9" w:rsidTr="00F01A45">
        <w:tc>
          <w:tcPr>
            <w:tcW w:w="1276" w:type="dxa"/>
            <w:shd w:val="clear" w:color="auto" w:fill="auto"/>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eastAsia="en-GB"/>
              </w:rPr>
              <w:t>1988–1993</w:t>
            </w:r>
          </w:p>
        </w:tc>
        <w:tc>
          <w:tcPr>
            <w:tcW w:w="6095" w:type="dxa"/>
            <w:shd w:val="clear" w:color="auto" w:fill="auto"/>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eastAsia="en-GB"/>
              </w:rPr>
              <w:t>Studies of Law at Bonn University (Germany)</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1993</w:t>
            </w:r>
          </w:p>
        </w:tc>
        <w:tc>
          <w:tcPr>
            <w:tcW w:w="6095"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First Law Degree (appeals court Cologne, Germany)</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1994–1997</w:t>
            </w:r>
          </w:p>
        </w:tc>
        <w:tc>
          <w:tcPr>
            <w:tcW w:w="6095"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Trainee clerk (appeals court Cologne, Germany)</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1997</w:t>
            </w:r>
          </w:p>
        </w:tc>
        <w:tc>
          <w:tcPr>
            <w:tcW w:w="6095"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Second Law Degree (appeals court Cologne, Germany)</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2001</w:t>
            </w:r>
          </w:p>
        </w:tc>
        <w:tc>
          <w:tcPr>
            <w:tcW w:w="6095"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Doctor of Law at the Rheinische Friedrich Wilhelms University of Bonn (Germany); Title of Doctoral Thesis “Grundfragen der Kompetenzordnung im Bereich der Kunst”</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2009</w:t>
            </w:r>
          </w:p>
        </w:tc>
        <w:tc>
          <w:tcPr>
            <w:tcW w:w="6095"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Habilitation with venia legendi “Öffentliches Recht, Rechtsvergleichung, Staatskirchenrecht” at Wirtschaftsuniversität Wien (Austria); Title of Habilitation Thesis “Die Kontrollfunktion des Parlaments”</w:t>
            </w:r>
          </w:p>
        </w:tc>
      </w:tr>
    </w:tbl>
    <w:p w:rsidR="000553E9" w:rsidRPr="000553E9" w:rsidRDefault="000553E9" w:rsidP="000553E9">
      <w:pPr>
        <w:keepNext/>
        <w:keepLines/>
        <w:tabs>
          <w:tab w:val="right" w:pos="851"/>
        </w:tabs>
        <w:suppressAutoHyphens/>
        <w:bidi w:val="0"/>
        <w:spacing w:before="240" w:after="120" w:line="240" w:lineRule="exact"/>
        <w:ind w:left="1134" w:right="1134" w:hanging="1134"/>
        <w:jc w:val="left"/>
        <w:rPr>
          <w:rFonts w:eastAsia="Times New Roman" w:cs="Times New Roman"/>
          <w:b/>
          <w:w w:val="100"/>
          <w:kern w:val="0"/>
          <w:szCs w:val="20"/>
          <w:lang w:val="en-GB" w:eastAsia="en-GB"/>
        </w:rPr>
      </w:pPr>
      <w:r w:rsidRPr="000553E9">
        <w:rPr>
          <w:rFonts w:eastAsia="Times New Roman" w:cs="Times New Roman"/>
          <w:b/>
          <w:w w:val="100"/>
          <w:kern w:val="0"/>
          <w:szCs w:val="20"/>
          <w:lang w:val="en-GB" w:eastAsia="en-GB"/>
        </w:rPr>
        <w:tab/>
      </w:r>
      <w:r w:rsidRPr="000553E9">
        <w:rPr>
          <w:rFonts w:eastAsia="Times New Roman" w:cs="Times New Roman"/>
          <w:b/>
          <w:w w:val="100"/>
          <w:kern w:val="0"/>
          <w:szCs w:val="20"/>
          <w:lang w:val="en-GB" w:eastAsia="en-GB"/>
        </w:rPr>
        <w:tab/>
        <w:t>Professional career</w:t>
      </w:r>
    </w:p>
    <w:tbl>
      <w:tblPr>
        <w:tblW w:w="7370" w:type="dxa"/>
        <w:tblInd w:w="1134" w:type="dxa"/>
        <w:tblLayout w:type="fixed"/>
        <w:tblCellMar>
          <w:left w:w="0" w:type="dxa"/>
          <w:right w:w="0" w:type="dxa"/>
        </w:tblCellMar>
        <w:tblLook w:val="04A0" w:firstRow="1" w:lastRow="0" w:firstColumn="1" w:lastColumn="0" w:noHBand="0" w:noVBand="1"/>
      </w:tblPr>
      <w:tblGrid>
        <w:gridCol w:w="1276"/>
        <w:gridCol w:w="6094"/>
      </w:tblGrid>
      <w:tr w:rsidR="000553E9" w:rsidRPr="000553E9" w:rsidTr="00F01A45">
        <w:tc>
          <w:tcPr>
            <w:tcW w:w="1276" w:type="dxa"/>
            <w:shd w:val="clear" w:color="auto" w:fill="auto"/>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eastAsia="en-GB"/>
              </w:rPr>
              <w:t>1997–2002</w:t>
            </w:r>
          </w:p>
        </w:tc>
        <w:tc>
          <w:tcPr>
            <w:tcW w:w="6094" w:type="dxa"/>
            <w:shd w:val="clear" w:color="auto" w:fill="auto"/>
          </w:tcPr>
          <w:p w:rsidR="000553E9" w:rsidRPr="000553E9" w:rsidRDefault="000553E9" w:rsidP="000553E9">
            <w:pPr>
              <w:suppressAutoHyphens/>
              <w:bidi w:val="0"/>
              <w:spacing w:before="80" w:after="80" w:line="200" w:lineRule="exact"/>
              <w:ind w:right="113"/>
              <w:jc w:val="left"/>
              <w:rPr>
                <w:rFonts w:eastAsia="Times New Roman" w:cs="Times New Roman"/>
                <w:i/>
                <w:w w:val="100"/>
                <w:kern w:val="0"/>
                <w:sz w:val="16"/>
                <w:szCs w:val="20"/>
                <w:lang w:val="en-GB"/>
              </w:rPr>
            </w:pPr>
            <w:r w:rsidRPr="000553E9">
              <w:rPr>
                <w:rFonts w:eastAsia="Times New Roman" w:cs="Times New Roman"/>
                <w:w w:val="100"/>
                <w:kern w:val="0"/>
                <w:szCs w:val="20"/>
                <w:lang w:val="en-GB" w:eastAsia="en-GB"/>
              </w:rPr>
              <w:t>Undergraduate and graduate research assistant at Bonn University (Germany)</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2002–2006</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Graduate research assistant at Graz University (Austria)</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2006–2009</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Graduate research assistant at Wirtschaftsuniversität Wien (Austria)</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2009–</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Teaching at the University of Bonn (Germany)</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2009–2010</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eastAsia="en-GB"/>
              </w:rPr>
              <w:t>Filling in of a vacant chair at the University of Cologne (Germany)</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2010–</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Professor of Public Law at the University of Linz (Austria); since October 2011 Head of department for administrative law and administrative studies</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2010–</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Nomination as ad-hoc judge at the European Court of Human Rights</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2012–</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Alternate member of the Management Board of the EU Fundamental Rights Agency</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2012–</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Member of the Human Rights Council Advisory Committee; since 2014 member of the Working Group on Communications (part of the Human Rights Council Complaint Procedure)</w:t>
            </w:r>
          </w:p>
        </w:tc>
      </w:tr>
      <w:tr w:rsidR="000553E9" w:rsidRPr="000553E9" w:rsidTr="00F01A45">
        <w:tc>
          <w:tcPr>
            <w:tcW w:w="1276"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2015–</w:t>
            </w:r>
          </w:p>
        </w:tc>
        <w:tc>
          <w:tcPr>
            <w:tcW w:w="6094" w:type="dxa"/>
            <w:shd w:val="clear" w:color="auto" w:fill="auto"/>
          </w:tcPr>
          <w:p w:rsidR="000553E9" w:rsidRPr="000553E9" w:rsidRDefault="000553E9" w:rsidP="000553E9">
            <w:pPr>
              <w:suppressAutoHyphens/>
              <w:bidi w:val="0"/>
              <w:spacing w:before="40" w:after="120" w:line="240" w:lineRule="atLeast"/>
              <w:ind w:right="113"/>
              <w:jc w:val="left"/>
              <w:rPr>
                <w:rFonts w:eastAsia="Times New Roman" w:cs="Times New Roman"/>
                <w:w w:val="100"/>
                <w:kern w:val="0"/>
                <w:szCs w:val="20"/>
                <w:lang w:val="en-GB"/>
              </w:rPr>
            </w:pPr>
            <w:r w:rsidRPr="000553E9">
              <w:rPr>
                <w:rFonts w:eastAsia="Times New Roman" w:cs="Times New Roman"/>
                <w:w w:val="100"/>
                <w:kern w:val="0"/>
                <w:szCs w:val="20"/>
                <w:lang w:val="en-GB"/>
              </w:rPr>
              <w:t>Alternate member of the Venice Commission (Council of Europe)</w:t>
            </w:r>
          </w:p>
        </w:tc>
      </w:tr>
    </w:tbl>
    <w:p w:rsidR="000553E9" w:rsidRPr="000553E9" w:rsidRDefault="000553E9" w:rsidP="000553E9">
      <w:pPr>
        <w:suppressAutoHyphens/>
        <w:bidi w:val="0"/>
        <w:spacing w:before="240" w:line="240" w:lineRule="atLeast"/>
        <w:ind w:left="1134" w:right="1134"/>
        <w:jc w:val="center"/>
        <w:rPr>
          <w:rFonts w:eastAsia="Times New Roman" w:cs="Times New Roman"/>
          <w:w w:val="100"/>
          <w:kern w:val="0"/>
          <w:szCs w:val="20"/>
          <w:u w:val="single"/>
          <w:lang w:val="en-GB"/>
        </w:rPr>
      </w:pPr>
      <w:r w:rsidRPr="000553E9">
        <w:rPr>
          <w:rFonts w:eastAsia="Times New Roman" w:cs="Times New Roman"/>
          <w:w w:val="100"/>
          <w:kern w:val="0"/>
          <w:szCs w:val="20"/>
          <w:u w:val="single"/>
          <w:lang w:val="en-GB"/>
        </w:rPr>
        <w:tab/>
      </w:r>
      <w:r w:rsidRPr="000553E9">
        <w:rPr>
          <w:rFonts w:eastAsia="Times New Roman" w:cs="Times New Roman"/>
          <w:w w:val="100"/>
          <w:kern w:val="0"/>
          <w:szCs w:val="20"/>
          <w:u w:val="single"/>
          <w:lang w:val="en-GB"/>
        </w:rPr>
        <w:tab/>
      </w:r>
      <w:r w:rsidRPr="000553E9">
        <w:rPr>
          <w:rFonts w:eastAsia="Times New Roman" w:cs="Times New Roman"/>
          <w:w w:val="100"/>
          <w:kern w:val="0"/>
          <w:szCs w:val="20"/>
          <w:u w:val="single"/>
          <w:lang w:val="en-GB"/>
        </w:rPr>
        <w:tab/>
      </w:r>
    </w:p>
    <w:sectPr w:rsidR="000553E9" w:rsidRPr="000553E9" w:rsidSect="00151A6C">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11:47:00Z" w:initials="Start">
    <w:p w:rsidR="00151A6C" w:rsidRDefault="00151A6C">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NO&gt;&gt;N1516399A&lt;&lt;ODS JOB NO&gt;&gt;</w:t>
      </w:r>
    </w:p>
    <w:p w:rsidR="00151A6C" w:rsidRDefault="00151A6C">
      <w:pPr>
        <w:pStyle w:val="CommentText"/>
      </w:pPr>
      <w:r>
        <w:t>&lt;&lt;ODS DOC SYMBOL1&gt;&gt;A/HRC/30/17&lt;&lt;ODS DOC SYMBOL1&gt;&gt;</w:t>
      </w:r>
    </w:p>
    <w:p w:rsidR="00151A6C" w:rsidRDefault="00151A6C">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15A" w:rsidRDefault="003A115A" w:rsidP="00693CF9">
      <w:pPr>
        <w:spacing w:line="240" w:lineRule="auto"/>
      </w:pPr>
      <w:r>
        <w:separator/>
      </w:r>
    </w:p>
  </w:endnote>
  <w:endnote w:type="continuationSeparator" w:id="0">
    <w:p w:rsidR="003A115A" w:rsidRDefault="003A115A"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51A6C" w:rsidTr="00151A6C">
      <w:trPr>
        <w:jc w:val="center"/>
      </w:trPr>
      <w:tc>
        <w:tcPr>
          <w:tcW w:w="5126" w:type="dxa"/>
          <w:shd w:val="clear" w:color="auto" w:fill="auto"/>
        </w:tcPr>
        <w:p w:rsidR="00151A6C" w:rsidRPr="00151A6C" w:rsidRDefault="00151A6C" w:rsidP="00151A6C">
          <w:pPr>
            <w:pStyle w:val="Footer"/>
            <w:rPr>
              <w:w w:val="103"/>
            </w:rPr>
          </w:pPr>
          <w:r>
            <w:rPr>
              <w:w w:val="103"/>
            </w:rPr>
            <w:fldChar w:fldCharType="begin"/>
          </w:r>
          <w:r>
            <w:rPr>
              <w:w w:val="103"/>
            </w:rPr>
            <w:instrText xml:space="preserve"> PAGE  \* Arabic  \* MERGEFORMAT </w:instrText>
          </w:r>
          <w:r>
            <w:rPr>
              <w:w w:val="103"/>
            </w:rPr>
            <w:fldChar w:fldCharType="separate"/>
          </w:r>
          <w:r w:rsidR="00FA52C8">
            <w:rPr>
              <w:noProof/>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A52C8">
            <w:rPr>
              <w:noProof/>
              <w:w w:val="103"/>
            </w:rPr>
            <w:t>13</w:t>
          </w:r>
          <w:r>
            <w:rPr>
              <w:w w:val="103"/>
            </w:rPr>
            <w:fldChar w:fldCharType="end"/>
          </w:r>
        </w:p>
      </w:tc>
      <w:tc>
        <w:tcPr>
          <w:tcW w:w="5127" w:type="dxa"/>
          <w:shd w:val="clear" w:color="auto" w:fill="auto"/>
        </w:tcPr>
        <w:p w:rsidR="00151A6C" w:rsidRPr="00151A6C" w:rsidRDefault="00151A6C" w:rsidP="00151A6C">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A52C8">
            <w:rPr>
              <w:b w:val="0"/>
              <w:w w:val="103"/>
            </w:rPr>
            <w:t>GE.15-12428</w:t>
          </w:r>
          <w:r>
            <w:rPr>
              <w:b w:val="0"/>
              <w:w w:val="103"/>
            </w:rPr>
            <w:fldChar w:fldCharType="end"/>
          </w:r>
        </w:p>
      </w:tc>
    </w:tr>
  </w:tbl>
  <w:p w:rsidR="00151A6C" w:rsidRPr="00151A6C" w:rsidRDefault="00151A6C" w:rsidP="00151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51A6C" w:rsidTr="00151A6C">
      <w:trPr>
        <w:jc w:val="center"/>
      </w:trPr>
      <w:tc>
        <w:tcPr>
          <w:tcW w:w="5126" w:type="dxa"/>
          <w:shd w:val="clear" w:color="auto" w:fill="auto"/>
        </w:tcPr>
        <w:p w:rsidR="00151A6C" w:rsidRPr="00151A6C" w:rsidRDefault="00151A6C" w:rsidP="00151A6C">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A52C8">
            <w:rPr>
              <w:b w:val="0"/>
              <w:w w:val="103"/>
            </w:rPr>
            <w:t>GE.15-12428</w:t>
          </w:r>
          <w:r>
            <w:rPr>
              <w:b w:val="0"/>
              <w:w w:val="103"/>
            </w:rPr>
            <w:fldChar w:fldCharType="end"/>
          </w:r>
        </w:p>
      </w:tc>
      <w:tc>
        <w:tcPr>
          <w:tcW w:w="5127" w:type="dxa"/>
          <w:shd w:val="clear" w:color="auto" w:fill="auto"/>
        </w:tcPr>
        <w:p w:rsidR="00151A6C" w:rsidRPr="00151A6C" w:rsidRDefault="00151A6C" w:rsidP="00151A6C">
          <w:pPr>
            <w:pStyle w:val="Footer"/>
            <w:jc w:val="left"/>
            <w:rPr>
              <w:w w:val="103"/>
            </w:rPr>
          </w:pPr>
          <w:r>
            <w:rPr>
              <w:w w:val="103"/>
            </w:rPr>
            <w:fldChar w:fldCharType="begin"/>
          </w:r>
          <w:r>
            <w:rPr>
              <w:w w:val="103"/>
            </w:rPr>
            <w:instrText xml:space="preserve"> PAGE  \* Arabic  \* MERGEFORMAT </w:instrText>
          </w:r>
          <w:r>
            <w:rPr>
              <w:w w:val="103"/>
            </w:rPr>
            <w:fldChar w:fldCharType="separate"/>
          </w:r>
          <w:r w:rsidR="00FA52C8">
            <w:rPr>
              <w:noProof/>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A52C8">
            <w:rPr>
              <w:noProof/>
              <w:w w:val="103"/>
            </w:rPr>
            <w:t>13</w:t>
          </w:r>
          <w:r>
            <w:rPr>
              <w:w w:val="103"/>
            </w:rPr>
            <w:fldChar w:fldCharType="end"/>
          </w:r>
        </w:p>
      </w:tc>
    </w:tr>
  </w:tbl>
  <w:p w:rsidR="00151A6C" w:rsidRPr="00151A6C" w:rsidRDefault="00151A6C" w:rsidP="00151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151A6C" w:rsidTr="00151A6C">
      <w:trPr>
        <w:jc w:val="right"/>
      </w:trPr>
      <w:tc>
        <w:tcPr>
          <w:tcW w:w="4046" w:type="dxa"/>
        </w:tcPr>
        <w:p w:rsidR="00151A6C" w:rsidRDefault="00151A6C" w:rsidP="00151A6C">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3705DABB" wp14:editId="76A5101F">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7&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7&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35686D73" wp14:editId="023B95BF">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151A6C" w:rsidRDefault="00266D84" w:rsidP="009740C9">
          <w:pPr>
            <w:pStyle w:val="ReleaseDate"/>
          </w:pPr>
          <w:r>
            <w:t>03</w:t>
          </w:r>
          <w:r w:rsidR="00151A6C">
            <w:t>0815    1</w:t>
          </w:r>
          <w:r w:rsidR="009740C9">
            <w:t>1</w:t>
          </w:r>
          <w:r w:rsidR="00151A6C">
            <w:t xml:space="preserve">0815    </w:t>
          </w:r>
          <w:fldSimple w:instr=" DOCVARIABLE &quot;jobn&quot; \* MERGEFORMAT ">
            <w:r w:rsidR="00FA52C8">
              <w:t>GE.15-12428 (A)</w:t>
            </w:r>
          </w:fldSimple>
        </w:p>
        <w:p w:rsidR="00151A6C" w:rsidRPr="00151A6C" w:rsidRDefault="00151A6C" w:rsidP="00151A6C">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FA52C8">
            <w:rPr>
              <w:rFonts w:ascii="Barcode 3 of 9 by request" w:hAnsi="Barcode 3 of 9 by request"/>
              <w:sz w:val="24"/>
            </w:rPr>
            <w:t>*1512428*</w:t>
          </w:r>
          <w:r>
            <w:rPr>
              <w:rFonts w:ascii="Barcode 3 of 9 by request" w:hAnsi="Barcode 3 of 9 by request"/>
              <w:sz w:val="24"/>
            </w:rPr>
            <w:fldChar w:fldCharType="end"/>
          </w:r>
        </w:p>
      </w:tc>
    </w:tr>
  </w:tbl>
  <w:p w:rsidR="00151A6C" w:rsidRPr="00151A6C" w:rsidRDefault="00151A6C" w:rsidP="00151A6C">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E9" w:rsidRPr="000B175B" w:rsidRDefault="000553E9" w:rsidP="000553E9">
      <w:pPr>
        <w:tabs>
          <w:tab w:val="right" w:pos="2155"/>
        </w:tabs>
        <w:bidi w:val="0"/>
        <w:spacing w:after="80"/>
        <w:ind w:left="680"/>
        <w:rPr>
          <w:u w:val="single"/>
        </w:rPr>
      </w:pPr>
      <w:r>
        <w:rPr>
          <w:u w:val="single"/>
        </w:rPr>
        <w:tab/>
      </w:r>
    </w:p>
  </w:footnote>
  <w:footnote w:type="continuationSeparator" w:id="0">
    <w:p w:rsidR="003A115A" w:rsidRDefault="003A115A" w:rsidP="00693CF9">
      <w:pPr>
        <w:spacing w:line="240" w:lineRule="auto"/>
      </w:pPr>
      <w:r>
        <w:continuationSeparator/>
      </w:r>
    </w:p>
  </w:footnote>
  <w:footnote w:id="1">
    <w:p w:rsidR="000553E9" w:rsidRPr="000553E9" w:rsidRDefault="000553E9" w:rsidP="000553E9">
      <w:pPr>
        <w:pStyle w:val="FootnoteText"/>
        <w:tabs>
          <w:tab w:val="clear" w:pos="418"/>
          <w:tab w:val="right" w:pos="952"/>
        </w:tabs>
        <w:bidi w:val="0"/>
        <w:ind w:left="1148" w:hanging="1148"/>
      </w:pPr>
      <w:r w:rsidRPr="000553E9">
        <w:rPr>
          <w:rStyle w:val="FootnoteReference"/>
          <w:color w:val="auto"/>
        </w:rPr>
        <w:tab/>
      </w:r>
      <w:r w:rsidRPr="000553E9">
        <w:rPr>
          <w:rStyle w:val="FootnoteReference"/>
          <w:color w:val="auto"/>
          <w:sz w:val="20"/>
        </w:rPr>
        <w:t>*</w:t>
      </w:r>
      <w:r w:rsidRPr="000553E9">
        <w:rPr>
          <w:rStyle w:val="FootnoteReference"/>
          <w:color w:val="auto"/>
          <w:sz w:val="20"/>
          <w:vertAlign w:val="baseline"/>
        </w:rPr>
        <w:tab/>
      </w:r>
      <w:r w:rsidRPr="000553E9">
        <w:rPr>
          <w:szCs w:val="18"/>
        </w:rPr>
        <w:t>Curricula vitae are issued without formal editing</w:t>
      </w:r>
      <w:r w:rsidRPr="000553E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151A6C" w:rsidTr="00151A6C">
      <w:trPr>
        <w:trHeight w:hRule="exact" w:val="864"/>
        <w:jc w:val="center"/>
      </w:trPr>
      <w:tc>
        <w:tcPr>
          <w:tcW w:w="4882" w:type="dxa"/>
          <w:shd w:val="clear" w:color="auto" w:fill="auto"/>
          <w:vAlign w:val="bottom"/>
        </w:tcPr>
        <w:p w:rsidR="00151A6C" w:rsidRDefault="00151A6C" w:rsidP="00151A6C">
          <w:pPr>
            <w:pStyle w:val="Header"/>
            <w:bidi/>
          </w:pPr>
        </w:p>
      </w:tc>
      <w:tc>
        <w:tcPr>
          <w:tcW w:w="5127" w:type="dxa"/>
          <w:shd w:val="clear" w:color="auto" w:fill="auto"/>
          <w:vAlign w:val="bottom"/>
        </w:tcPr>
        <w:p w:rsidR="00151A6C" w:rsidRPr="00151A6C" w:rsidRDefault="00151A6C" w:rsidP="00151A6C">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FA52C8">
            <w:rPr>
              <w:w w:val="103"/>
            </w:rPr>
            <w:t>A/HRC/30/17</w:t>
          </w:r>
          <w:r>
            <w:rPr>
              <w:w w:val="103"/>
            </w:rPr>
            <w:fldChar w:fldCharType="end"/>
          </w:r>
        </w:p>
      </w:tc>
    </w:tr>
  </w:tbl>
  <w:p w:rsidR="00151A6C" w:rsidRPr="00151A6C" w:rsidRDefault="00151A6C" w:rsidP="00151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151A6C" w:rsidTr="00151A6C">
      <w:trPr>
        <w:trHeight w:hRule="exact" w:val="864"/>
        <w:jc w:val="center"/>
      </w:trPr>
      <w:tc>
        <w:tcPr>
          <w:tcW w:w="4882" w:type="dxa"/>
          <w:shd w:val="clear" w:color="auto" w:fill="auto"/>
          <w:vAlign w:val="bottom"/>
        </w:tcPr>
        <w:p w:rsidR="00151A6C" w:rsidRPr="00151A6C" w:rsidRDefault="00151A6C" w:rsidP="00151A6C">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FA52C8">
            <w:rPr>
              <w:w w:val="103"/>
            </w:rPr>
            <w:t>A/HRC/30/17</w:t>
          </w:r>
          <w:r>
            <w:rPr>
              <w:w w:val="103"/>
            </w:rPr>
            <w:fldChar w:fldCharType="end"/>
          </w:r>
        </w:p>
      </w:tc>
      <w:tc>
        <w:tcPr>
          <w:tcW w:w="5127" w:type="dxa"/>
          <w:shd w:val="clear" w:color="auto" w:fill="auto"/>
          <w:vAlign w:val="bottom"/>
        </w:tcPr>
        <w:p w:rsidR="00151A6C" w:rsidRDefault="00151A6C" w:rsidP="00151A6C">
          <w:pPr>
            <w:pStyle w:val="Header"/>
          </w:pPr>
        </w:p>
      </w:tc>
    </w:tr>
  </w:tbl>
  <w:p w:rsidR="00151A6C" w:rsidRPr="00151A6C" w:rsidRDefault="00151A6C" w:rsidP="00151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151A6C" w:rsidTr="00151A6C">
      <w:trPr>
        <w:gridAfter w:val="1"/>
        <w:wAfter w:w="25" w:type="dxa"/>
        <w:trHeight w:hRule="exact" w:val="864"/>
      </w:trPr>
      <w:tc>
        <w:tcPr>
          <w:tcW w:w="1282" w:type="dxa"/>
          <w:tcBorders>
            <w:bottom w:val="single" w:sz="4" w:space="0" w:color="auto"/>
          </w:tcBorders>
          <w:shd w:val="clear" w:color="auto" w:fill="auto"/>
          <w:vAlign w:val="bottom"/>
        </w:tcPr>
        <w:p w:rsidR="00151A6C" w:rsidRDefault="00151A6C" w:rsidP="00151A6C">
          <w:pPr>
            <w:pStyle w:val="Header"/>
            <w:spacing w:after="120"/>
          </w:pPr>
        </w:p>
      </w:tc>
      <w:tc>
        <w:tcPr>
          <w:tcW w:w="1786" w:type="dxa"/>
          <w:tcBorders>
            <w:bottom w:val="single" w:sz="4" w:space="0" w:color="auto"/>
          </w:tcBorders>
          <w:shd w:val="clear" w:color="auto" w:fill="auto"/>
          <w:vAlign w:val="bottom"/>
        </w:tcPr>
        <w:p w:rsidR="00151A6C" w:rsidRPr="00151A6C" w:rsidRDefault="00151A6C" w:rsidP="00151A6C">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151A6C" w:rsidRDefault="00151A6C" w:rsidP="00151A6C">
          <w:pPr>
            <w:pStyle w:val="Header"/>
            <w:spacing w:after="120"/>
          </w:pPr>
        </w:p>
      </w:tc>
      <w:tc>
        <w:tcPr>
          <w:tcW w:w="6696" w:type="dxa"/>
          <w:gridSpan w:val="3"/>
          <w:tcBorders>
            <w:bottom w:val="single" w:sz="4" w:space="0" w:color="auto"/>
          </w:tcBorders>
          <w:shd w:val="clear" w:color="auto" w:fill="auto"/>
          <w:vAlign w:val="bottom"/>
        </w:tcPr>
        <w:p w:rsidR="00151A6C" w:rsidRPr="00151A6C" w:rsidRDefault="00151A6C" w:rsidP="00151A6C">
          <w:pPr>
            <w:spacing w:line="380" w:lineRule="exact"/>
            <w:jc w:val="right"/>
          </w:pPr>
          <w:r>
            <w:rPr>
              <w:sz w:val="40"/>
            </w:rPr>
            <w:t>A</w:t>
          </w:r>
          <w:r>
            <w:t>/HRC/30/17</w:t>
          </w:r>
        </w:p>
      </w:tc>
    </w:tr>
    <w:tr w:rsidR="00151A6C" w:rsidRPr="00151A6C" w:rsidTr="00151A6C">
      <w:trPr>
        <w:trHeight w:hRule="exact" w:val="2880"/>
      </w:trPr>
      <w:tc>
        <w:tcPr>
          <w:tcW w:w="1282" w:type="dxa"/>
          <w:tcBorders>
            <w:top w:val="single" w:sz="4" w:space="0" w:color="auto"/>
            <w:bottom w:val="single" w:sz="12" w:space="0" w:color="auto"/>
          </w:tcBorders>
          <w:shd w:val="clear" w:color="auto" w:fill="auto"/>
        </w:tcPr>
        <w:p w:rsidR="00151A6C" w:rsidRDefault="00151A6C" w:rsidP="00151A6C">
          <w:pPr>
            <w:pStyle w:val="Header"/>
            <w:spacing w:before="120"/>
            <w:jc w:val="center"/>
          </w:pPr>
          <w:r>
            <w:t xml:space="preserve"> </w:t>
          </w:r>
          <w:r>
            <w:rPr>
              <w:noProof/>
            </w:rPr>
            <w:drawing>
              <wp:inline distT="0" distB="0" distL="0" distR="0" wp14:anchorId="350A2EF0" wp14:editId="62B78F6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151A6C" w:rsidRPr="00151A6C" w:rsidRDefault="00151A6C" w:rsidP="00151A6C">
          <w:pPr>
            <w:pStyle w:val="Header"/>
            <w:spacing w:before="120"/>
            <w:jc w:val="center"/>
          </w:pPr>
        </w:p>
      </w:tc>
      <w:tc>
        <w:tcPr>
          <w:tcW w:w="5227" w:type="dxa"/>
          <w:gridSpan w:val="3"/>
          <w:tcBorders>
            <w:top w:val="single" w:sz="4" w:space="0" w:color="auto"/>
            <w:bottom w:val="single" w:sz="12" w:space="0" w:color="auto"/>
          </w:tcBorders>
          <w:shd w:val="clear" w:color="auto" w:fill="auto"/>
        </w:tcPr>
        <w:p w:rsidR="00151A6C" w:rsidRPr="00151A6C" w:rsidRDefault="00151A6C" w:rsidP="00151A6C">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151A6C" w:rsidRPr="00151A6C" w:rsidRDefault="00151A6C" w:rsidP="00151A6C">
          <w:pPr>
            <w:pStyle w:val="Header"/>
            <w:spacing w:before="109"/>
          </w:pPr>
        </w:p>
      </w:tc>
      <w:tc>
        <w:tcPr>
          <w:tcW w:w="3280" w:type="dxa"/>
          <w:gridSpan w:val="2"/>
          <w:tcBorders>
            <w:top w:val="single" w:sz="4" w:space="0" w:color="auto"/>
            <w:bottom w:val="single" w:sz="12" w:space="0" w:color="auto"/>
          </w:tcBorders>
          <w:shd w:val="clear" w:color="auto" w:fill="auto"/>
        </w:tcPr>
        <w:p w:rsidR="00151A6C" w:rsidRDefault="00151A6C" w:rsidP="00151A6C">
          <w:pPr>
            <w:pStyle w:val="Distribution"/>
            <w:bidi w:val="0"/>
            <w:spacing w:before="240"/>
          </w:pPr>
          <w:r>
            <w:t>Distr.: General</w:t>
          </w:r>
        </w:p>
        <w:p w:rsidR="00151A6C" w:rsidRDefault="000553E9" w:rsidP="000553E9">
          <w:pPr>
            <w:pStyle w:val="Publication"/>
            <w:bidi w:val="0"/>
          </w:pPr>
          <w:r>
            <w:t>23</w:t>
          </w:r>
          <w:r w:rsidR="00151A6C">
            <w:t xml:space="preserve"> </w:t>
          </w:r>
          <w:r>
            <w:t xml:space="preserve">July </w:t>
          </w:r>
          <w:r w:rsidR="00151A6C">
            <w:t>2015</w:t>
          </w:r>
        </w:p>
        <w:p w:rsidR="00151A6C" w:rsidRDefault="00151A6C" w:rsidP="00151A6C">
          <w:pPr>
            <w:bidi w:val="0"/>
            <w:spacing w:line="240" w:lineRule="exact"/>
            <w:jc w:val="left"/>
          </w:pPr>
          <w:r>
            <w:t>Arabic</w:t>
          </w:r>
        </w:p>
        <w:p w:rsidR="00151A6C" w:rsidRDefault="00151A6C" w:rsidP="00151A6C">
          <w:pPr>
            <w:pStyle w:val="Original"/>
            <w:bidi w:val="0"/>
          </w:pPr>
          <w:r>
            <w:t>Original: English</w:t>
          </w:r>
        </w:p>
        <w:p w:rsidR="00151A6C" w:rsidRPr="00151A6C" w:rsidRDefault="00151A6C" w:rsidP="00151A6C">
          <w:pPr>
            <w:bidi w:val="0"/>
            <w:spacing w:line="240" w:lineRule="exact"/>
            <w:jc w:val="left"/>
          </w:pPr>
        </w:p>
      </w:tc>
    </w:tr>
  </w:tbl>
  <w:p w:rsidR="00151A6C" w:rsidRPr="00151A6C" w:rsidRDefault="00151A6C" w:rsidP="00151A6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428*"/>
    <w:docVar w:name="CreationDt" w:val="8/10/2015 11:47 AM"/>
    <w:docVar w:name="DocCategory" w:val="Doc"/>
    <w:docVar w:name="DocType" w:val="Final"/>
    <w:docVar w:name="DutyStation" w:val="Geneva"/>
    <w:docVar w:name="FooterJN" w:val="GE.15-12428"/>
    <w:docVar w:name="jobn" w:val="GE.15-12428 (A)"/>
    <w:docVar w:name="jobnDT" w:val="GE.15-12428 (A)   100815"/>
    <w:docVar w:name="jobnDTDT" w:val="GE.15-12428 (A)   100815   100815"/>
    <w:docVar w:name="JobNo" w:val="GE.1512428A"/>
    <w:docVar w:name="LocalDrive" w:val="0"/>
    <w:docVar w:name="OandT" w:val=" "/>
    <w:docVar w:name="PaperSize" w:val="A4"/>
    <w:docVar w:name="sss1" w:val="A/HRC/30/17"/>
    <w:docVar w:name="sss2" w:val="-"/>
    <w:docVar w:name="Symbol1" w:val="A/HRC/30/17"/>
    <w:docVar w:name="Symbol2" w:val="-"/>
  </w:docVars>
  <w:rsids>
    <w:rsidRoot w:val="003A115A"/>
    <w:rsid w:val="0000693B"/>
    <w:rsid w:val="000170D3"/>
    <w:rsid w:val="0002744A"/>
    <w:rsid w:val="000311C9"/>
    <w:rsid w:val="00042425"/>
    <w:rsid w:val="00047F6A"/>
    <w:rsid w:val="0005137B"/>
    <w:rsid w:val="000553E9"/>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13EBA"/>
    <w:rsid w:val="0012522B"/>
    <w:rsid w:val="00132672"/>
    <w:rsid w:val="00143096"/>
    <w:rsid w:val="001519A9"/>
    <w:rsid w:val="00151A6C"/>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D84"/>
    <w:rsid w:val="00266F59"/>
    <w:rsid w:val="00267D73"/>
    <w:rsid w:val="00272B6C"/>
    <w:rsid w:val="00275EB3"/>
    <w:rsid w:val="0027623A"/>
    <w:rsid w:val="0028685E"/>
    <w:rsid w:val="00290F2F"/>
    <w:rsid w:val="002937DA"/>
    <w:rsid w:val="002971E7"/>
    <w:rsid w:val="002A09C6"/>
    <w:rsid w:val="002A0F0F"/>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115A"/>
    <w:rsid w:val="003A65ED"/>
    <w:rsid w:val="003C4B86"/>
    <w:rsid w:val="003D4612"/>
    <w:rsid w:val="003E1BB9"/>
    <w:rsid w:val="003E26D7"/>
    <w:rsid w:val="003E4110"/>
    <w:rsid w:val="003E4647"/>
    <w:rsid w:val="003E6DF8"/>
    <w:rsid w:val="003F4B8C"/>
    <w:rsid w:val="00401BDF"/>
    <w:rsid w:val="004027A2"/>
    <w:rsid w:val="004053F7"/>
    <w:rsid w:val="00411BBD"/>
    <w:rsid w:val="00415922"/>
    <w:rsid w:val="00421658"/>
    <w:rsid w:val="00423BD7"/>
    <w:rsid w:val="0042757D"/>
    <w:rsid w:val="00437C14"/>
    <w:rsid w:val="00445C58"/>
    <w:rsid w:val="004527C9"/>
    <w:rsid w:val="00453069"/>
    <w:rsid w:val="00460AC7"/>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3509"/>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5E7AFD"/>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027AE"/>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40C9"/>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72F40"/>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A52C8"/>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151A6C"/>
    <w:pPr>
      <w:spacing w:line="240" w:lineRule="auto"/>
    </w:pPr>
    <w:rPr>
      <w:szCs w:val="20"/>
    </w:rPr>
  </w:style>
  <w:style w:type="character" w:customStyle="1" w:styleId="CommentTextChar">
    <w:name w:val="Comment Text Char"/>
    <w:basedOn w:val="DefaultParagraphFont"/>
    <w:link w:val="CommentText"/>
    <w:rsid w:val="00151A6C"/>
    <w:rPr>
      <w:w w:val="103"/>
      <w:kern w:val="14"/>
    </w:rPr>
  </w:style>
  <w:style w:type="paragraph" w:styleId="CommentSubject">
    <w:name w:val="annotation subject"/>
    <w:basedOn w:val="CommentText"/>
    <w:next w:val="CommentText"/>
    <w:link w:val="CommentSubjectChar"/>
    <w:rsid w:val="00151A6C"/>
    <w:rPr>
      <w:b/>
      <w:bCs/>
    </w:rPr>
  </w:style>
  <w:style w:type="character" w:customStyle="1" w:styleId="CommentSubjectChar">
    <w:name w:val="Comment Subject Char"/>
    <w:basedOn w:val="CommentTextChar"/>
    <w:link w:val="CommentSubject"/>
    <w:rsid w:val="00151A6C"/>
    <w:rPr>
      <w:b/>
      <w:bCs/>
      <w:w w:val="103"/>
      <w:kern w:val="14"/>
    </w:rPr>
  </w:style>
  <w:style w:type="table" w:styleId="TableGrid">
    <w:name w:val="Table Grid"/>
    <w:basedOn w:val="TableNormal"/>
    <w:rsid w:val="000553E9"/>
    <w:pPr>
      <w:suppressAutoHyphens/>
      <w:spacing w:line="240" w:lineRule="atLeas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ChGA">
    <w:name w:val="_ H _Ch_GA"/>
    <w:basedOn w:val="Normal"/>
    <w:next w:val="Normal"/>
    <w:rsid w:val="000553E9"/>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0553E9"/>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0553E9"/>
    <w:pPr>
      <w:tabs>
        <w:tab w:val="right" w:pos="1021"/>
      </w:tabs>
      <w:spacing w:before="120" w:after="120" w:line="380" w:lineRule="exact"/>
      <w:ind w:left="1247" w:right="1247" w:hanging="1247"/>
    </w:pPr>
    <w:rPr>
      <w:rFonts w:eastAsia="Times New Roman"/>
      <w:b/>
      <w:bCs/>
      <w:w w:val="100"/>
      <w:kern w:val="0"/>
      <w:lang w:eastAsia="ar-SA"/>
    </w:rPr>
  </w:style>
  <w:style w:type="character" w:customStyle="1" w:styleId="SingleTxtGAChar">
    <w:name w:val="_ Single Txt_GA Char"/>
    <w:link w:val="SingleTxtGA"/>
    <w:locked/>
    <w:rsid w:val="000553E9"/>
    <w:rPr>
      <w:rFonts w:ascii="Traditional Arabic" w:hAnsi="Traditional Arabic"/>
      <w:szCs w:val="30"/>
    </w:rPr>
  </w:style>
  <w:style w:type="paragraph" w:customStyle="1" w:styleId="SingleTxtGA">
    <w:name w:val="_ Single Txt_GA"/>
    <w:basedOn w:val="Normal"/>
    <w:link w:val="SingleTxtGAChar"/>
    <w:rsid w:val="000553E9"/>
    <w:pPr>
      <w:tabs>
        <w:tab w:val="left" w:pos="1928"/>
        <w:tab w:val="left" w:pos="2608"/>
        <w:tab w:val="left" w:pos="3289"/>
        <w:tab w:val="left" w:pos="3969"/>
        <w:tab w:val="left" w:pos="4649"/>
        <w:tab w:val="left" w:pos="5330"/>
      </w:tabs>
      <w:spacing w:after="120" w:line="380" w:lineRule="exact"/>
      <w:ind w:left="1247" w:right="1247"/>
    </w:pPr>
    <w:rPr>
      <w:rFonts w:ascii="Traditional Arabic" w:hAnsi="Traditional Arabic"/>
      <w:w w:val="1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151A6C"/>
    <w:pPr>
      <w:spacing w:line="240" w:lineRule="auto"/>
    </w:pPr>
    <w:rPr>
      <w:szCs w:val="20"/>
    </w:rPr>
  </w:style>
  <w:style w:type="character" w:customStyle="1" w:styleId="CommentTextChar">
    <w:name w:val="Comment Text Char"/>
    <w:basedOn w:val="DefaultParagraphFont"/>
    <w:link w:val="CommentText"/>
    <w:rsid w:val="00151A6C"/>
    <w:rPr>
      <w:w w:val="103"/>
      <w:kern w:val="14"/>
    </w:rPr>
  </w:style>
  <w:style w:type="paragraph" w:styleId="CommentSubject">
    <w:name w:val="annotation subject"/>
    <w:basedOn w:val="CommentText"/>
    <w:next w:val="CommentText"/>
    <w:link w:val="CommentSubjectChar"/>
    <w:rsid w:val="00151A6C"/>
    <w:rPr>
      <w:b/>
      <w:bCs/>
    </w:rPr>
  </w:style>
  <w:style w:type="character" w:customStyle="1" w:styleId="CommentSubjectChar">
    <w:name w:val="Comment Subject Char"/>
    <w:basedOn w:val="CommentTextChar"/>
    <w:link w:val="CommentSubject"/>
    <w:rsid w:val="00151A6C"/>
    <w:rPr>
      <w:b/>
      <w:bCs/>
      <w:w w:val="103"/>
      <w:kern w:val="14"/>
    </w:rPr>
  </w:style>
  <w:style w:type="table" w:styleId="TableGrid">
    <w:name w:val="Table Grid"/>
    <w:basedOn w:val="TableNormal"/>
    <w:rsid w:val="000553E9"/>
    <w:pPr>
      <w:suppressAutoHyphens/>
      <w:spacing w:line="240" w:lineRule="atLeas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ChGA">
    <w:name w:val="_ H _Ch_GA"/>
    <w:basedOn w:val="Normal"/>
    <w:next w:val="Normal"/>
    <w:rsid w:val="000553E9"/>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0553E9"/>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0553E9"/>
    <w:pPr>
      <w:tabs>
        <w:tab w:val="right" w:pos="1021"/>
      </w:tabs>
      <w:spacing w:before="120" w:after="120" w:line="380" w:lineRule="exact"/>
      <w:ind w:left="1247" w:right="1247" w:hanging="1247"/>
    </w:pPr>
    <w:rPr>
      <w:rFonts w:eastAsia="Times New Roman"/>
      <w:b/>
      <w:bCs/>
      <w:w w:val="100"/>
      <w:kern w:val="0"/>
      <w:lang w:eastAsia="ar-SA"/>
    </w:rPr>
  </w:style>
  <w:style w:type="character" w:customStyle="1" w:styleId="SingleTxtGAChar">
    <w:name w:val="_ Single Txt_GA Char"/>
    <w:link w:val="SingleTxtGA"/>
    <w:locked/>
    <w:rsid w:val="000553E9"/>
    <w:rPr>
      <w:rFonts w:ascii="Traditional Arabic" w:hAnsi="Traditional Arabic"/>
      <w:szCs w:val="30"/>
    </w:rPr>
  </w:style>
  <w:style w:type="paragraph" w:customStyle="1" w:styleId="SingleTxtGA">
    <w:name w:val="_ Single Txt_GA"/>
    <w:basedOn w:val="Normal"/>
    <w:link w:val="SingleTxtGAChar"/>
    <w:rsid w:val="000553E9"/>
    <w:pPr>
      <w:tabs>
        <w:tab w:val="left" w:pos="1928"/>
        <w:tab w:val="left" w:pos="2608"/>
        <w:tab w:val="left" w:pos="3289"/>
        <w:tab w:val="left" w:pos="3969"/>
        <w:tab w:val="left" w:pos="4649"/>
        <w:tab w:val="left" w:pos="5330"/>
      </w:tabs>
      <w:spacing w:after="120" w:line="380" w:lineRule="exact"/>
      <w:ind w:left="1247" w:right="1247"/>
    </w:pPr>
    <w:rPr>
      <w:rFonts w:ascii="Traditional Arabic" w:hAnsi="Traditional Arabic"/>
      <w:w w:val="1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2EB2-FACC-4FEA-8D43-A830A06DFD9A}"/>
</file>

<file path=customXml/itemProps2.xml><?xml version="1.0" encoding="utf-8"?>
<ds:datastoreItem xmlns:ds="http://schemas.openxmlformats.org/officeDocument/2006/customXml" ds:itemID="{2B247619-4A07-474A-8682-D2DCB9932C86}"/>
</file>

<file path=customXml/itemProps3.xml><?xml version="1.0" encoding="utf-8"?>
<ds:datastoreItem xmlns:ds="http://schemas.openxmlformats.org/officeDocument/2006/customXml" ds:itemID="{ACF11806-DAB5-464D-8C5B-00A37926B3F8}"/>
</file>

<file path=customXml/itemProps4.xml><?xml version="1.0" encoding="utf-8"?>
<ds:datastoreItem xmlns:ds="http://schemas.openxmlformats.org/officeDocument/2006/customXml" ds:itemID="{D00D4CBF-5FAA-4D2A-BBB4-E46548FA6126}"/>
</file>

<file path=docProps/app.xml><?xml version="1.0" encoding="utf-8"?>
<Properties xmlns="http://schemas.openxmlformats.org/officeDocument/2006/extended-properties" xmlns:vt="http://schemas.openxmlformats.org/officeDocument/2006/docPropsVTypes">
  <Template>Normal.dotm</Template>
  <TotalTime>1</TotalTime>
  <Pages>13</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26149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members of the Human Rights Council Advisory Committee in Arabic</dc:title>
  <dc:subject/>
  <dc:creator>Bahnassawy Mohamed</dc:creator>
  <cp:keywords/>
  <dc:description/>
  <cp:lastModifiedBy>Tpsara</cp:lastModifiedBy>
  <cp:revision>3</cp:revision>
  <cp:lastPrinted>2015-08-11T08:44:00Z</cp:lastPrinted>
  <dcterms:created xsi:type="dcterms:W3CDTF">2015-08-11T08:44:00Z</dcterms:created>
  <dcterms:modified xsi:type="dcterms:W3CDTF">2015-08-11T08:44:00Z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1512428</vt:lpwstr>
  </property>
  <property fmtid="{D5CDD505-2E9C-101B-9397-08002B2CF9AE}" pid="3" name="ODSRefJobNo">
    <vt:lpwstr>1516399A</vt:lpwstr>
  </property>
  <property fmtid="{D5CDD505-2E9C-101B-9397-08002B2CF9AE}" pid="4" name="Symbol1">
    <vt:lpwstr>A/HRC/30/17</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August 2015</vt:lpwstr>
  </property>
  <property fmtid="{D5CDD505-2E9C-101B-9397-08002B2CF9AE}" pid="12" name="Original">
    <vt:lpwstr>English</vt:lpwstr>
  </property>
  <property fmtid="{D5CDD505-2E9C-101B-9397-08002B2CF9AE}" pid="13" name="Release Date">
    <vt:lpwstr>100815</vt:lpwstr>
  </property>
  <property fmtid="{D5CDD505-2E9C-101B-9397-08002B2CF9AE}" pid="14" name="ContentTypeId">
    <vt:lpwstr>0x010100EF670F518423CB4F888C4265EEC2C475</vt:lpwstr>
  </property>
  <property fmtid="{D5CDD505-2E9C-101B-9397-08002B2CF9AE}" pid="15" name="Order">
    <vt:r8>13400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