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E3" w:rsidRPr="00B73260" w:rsidRDefault="009B0CE3" w:rsidP="009B0CE3">
      <w:pPr>
        <w:spacing w:line="240" w:lineRule="auto"/>
        <w:rPr>
          <w:sz w:val="6"/>
        </w:rPr>
        <w:sectPr w:rsidR="009B0CE3" w:rsidRPr="00B73260" w:rsidSect="00B7326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B73260">
        <w:rPr>
          <w:rStyle w:val="CommentReference"/>
          <w:szCs w:val="20"/>
        </w:rPr>
        <w:commentReference w:id="0"/>
      </w:r>
      <w:bookmarkStart w:id="1" w:name="_GoBack"/>
      <w:bookmarkEnd w:id="1"/>
    </w:p>
    <w:p w:rsidR="009B0CE3" w:rsidRPr="00B73260" w:rsidRDefault="009B0CE3" w:rsidP="009B0CE3">
      <w:pPr>
        <w:pStyle w:val="H1"/>
      </w:pPr>
      <w:r w:rsidRPr="00B73260">
        <w:lastRenderedPageBreak/>
        <w:t>Consejo de Derechos Humanos</w:t>
      </w:r>
    </w:p>
    <w:p w:rsidR="009B0CE3" w:rsidRDefault="00D17B73" w:rsidP="009B0CE3">
      <w:pPr>
        <w:pStyle w:val="H23"/>
      </w:pPr>
      <w:r>
        <w:t>30º</w:t>
      </w:r>
      <w:r w:rsidR="009B0CE3" w:rsidRPr="00B73260">
        <w:t xml:space="preserve"> período de sesiones</w:t>
      </w:r>
    </w:p>
    <w:p w:rsidR="001A27A0" w:rsidRDefault="0031157F" w:rsidP="0031157F">
      <w:pPr>
        <w:tabs>
          <w:tab w:val="left" w:pos="475"/>
          <w:tab w:val="left" w:pos="965"/>
          <w:tab w:val="left" w:pos="1440"/>
          <w:tab w:val="left" w:pos="1915"/>
          <w:tab w:val="left" w:pos="2405"/>
          <w:tab w:val="left" w:pos="2880"/>
          <w:tab w:val="left" w:pos="3355"/>
        </w:tabs>
      </w:pPr>
      <w:r w:rsidRPr="00E20D41">
        <w:t>Tema</w:t>
      </w:r>
      <w:r w:rsidR="001A27A0">
        <w:t>s</w:t>
      </w:r>
      <w:r w:rsidRPr="00E20D41">
        <w:t xml:space="preserve"> 2 y 3 del programa</w:t>
      </w:r>
    </w:p>
    <w:p w:rsidR="001A27A0" w:rsidRDefault="0031157F" w:rsidP="001A27A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pPr>
      <w:r w:rsidRPr="00E20D41">
        <w:t>Informe anual del Alto Comisionado de las Naciones Unidas</w:t>
      </w:r>
      <w:r w:rsidRPr="00E20D41">
        <w:br/>
        <w:t>para los Derechos Humanos e informes de la Oficina del Alto</w:t>
      </w:r>
      <w:r w:rsidRPr="00E20D41">
        <w:br/>
        <w:t>Comisionado y del Secretario General</w:t>
      </w:r>
    </w:p>
    <w:p w:rsidR="0031157F" w:rsidRDefault="0031157F" w:rsidP="001A27A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E20D41">
        <w:t xml:space="preserve">Promoción y protección de todos </w:t>
      </w:r>
      <w:r w:rsidR="001A27A0">
        <w:t>l</w:t>
      </w:r>
      <w:r w:rsidRPr="00E20D41">
        <w:t>os derechos humanos, civiles,</w:t>
      </w:r>
      <w:r w:rsidRPr="00E20D41">
        <w:br/>
        <w:t xml:space="preserve">políticos, económicos, sociales y culturales, incluido el derecho </w:t>
      </w:r>
      <w:r w:rsidRPr="00E20D41">
        <w:br/>
        <w:t>al desarrollo</w:t>
      </w:r>
    </w:p>
    <w:p w:rsidR="001A27A0" w:rsidRPr="001A27A0" w:rsidRDefault="001A27A0" w:rsidP="001A27A0">
      <w:pPr>
        <w:spacing w:line="120" w:lineRule="exact"/>
        <w:rPr>
          <w:sz w:val="10"/>
        </w:rPr>
      </w:pPr>
    </w:p>
    <w:p w:rsidR="001A27A0" w:rsidRPr="001A27A0" w:rsidRDefault="001A27A0" w:rsidP="001A27A0">
      <w:pPr>
        <w:spacing w:line="120" w:lineRule="exact"/>
        <w:rPr>
          <w:sz w:val="10"/>
        </w:rPr>
      </w:pPr>
    </w:p>
    <w:p w:rsidR="001A27A0" w:rsidRPr="001A27A0" w:rsidRDefault="001A27A0" w:rsidP="001A27A0">
      <w:pPr>
        <w:spacing w:line="120" w:lineRule="exact"/>
        <w:rPr>
          <w:sz w:val="10"/>
        </w:rPr>
      </w:pPr>
    </w:p>
    <w:p w:rsidR="0031157F" w:rsidRDefault="001A27A0" w:rsidP="001A27A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0031157F" w:rsidRPr="00E20D41">
        <w:t xml:space="preserve">Repercusiones para los derechos humanos del recurso </w:t>
      </w:r>
      <w:r>
        <w:br/>
      </w:r>
      <w:r w:rsidR="0031157F" w:rsidRPr="00E20D41">
        <w:t>excesivo a la privación</w:t>
      </w:r>
      <w:r>
        <w:t xml:space="preserve"> </w:t>
      </w:r>
      <w:r w:rsidR="0031157F" w:rsidRPr="00E20D41">
        <w:t xml:space="preserve">de libertad y el hacinamiento </w:t>
      </w:r>
      <w:r>
        <w:br/>
      </w:r>
      <w:r w:rsidR="0031157F" w:rsidRPr="00E20D41">
        <w:t>carcelario</w:t>
      </w:r>
    </w:p>
    <w:p w:rsidR="001A27A0" w:rsidRPr="001A27A0" w:rsidRDefault="001A27A0" w:rsidP="001A27A0">
      <w:pPr>
        <w:spacing w:line="120" w:lineRule="exact"/>
        <w:rPr>
          <w:sz w:val="10"/>
        </w:rPr>
      </w:pPr>
    </w:p>
    <w:p w:rsidR="001A27A0" w:rsidRPr="001A27A0" w:rsidRDefault="001A27A0" w:rsidP="001A27A0">
      <w:pPr>
        <w:spacing w:line="120" w:lineRule="exact"/>
        <w:rPr>
          <w:sz w:val="10"/>
        </w:rPr>
      </w:pPr>
    </w:p>
    <w:p w:rsidR="0031157F" w:rsidRDefault="001A27A0" w:rsidP="001A27A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0031157F" w:rsidRPr="00E20D41">
        <w:t xml:space="preserve">Informe del Alto Comisionado de las Naciones Unidas </w:t>
      </w:r>
      <w:r>
        <w:br/>
      </w:r>
      <w:r w:rsidR="0031157F" w:rsidRPr="00E20D41">
        <w:t xml:space="preserve">para los </w:t>
      </w:r>
      <w:r>
        <w:t>D</w:t>
      </w:r>
      <w:r w:rsidR="0031157F" w:rsidRPr="00E20D41">
        <w:t xml:space="preserve">erechos </w:t>
      </w:r>
      <w:r>
        <w:t>H</w:t>
      </w:r>
      <w:r w:rsidR="0031157F" w:rsidRPr="00E20D41">
        <w:t>umanos</w:t>
      </w:r>
    </w:p>
    <w:p w:rsidR="001A27A0" w:rsidRPr="001A27A0" w:rsidRDefault="001A27A0" w:rsidP="001A27A0">
      <w:pPr>
        <w:spacing w:line="120" w:lineRule="exact"/>
        <w:rPr>
          <w:sz w:val="10"/>
        </w:rPr>
      </w:pPr>
    </w:p>
    <w:p w:rsidR="001A27A0" w:rsidRPr="001A27A0" w:rsidRDefault="001A27A0" w:rsidP="001A27A0">
      <w:pPr>
        <w:spacing w:line="120" w:lineRule="exact"/>
        <w:rPr>
          <w:sz w:val="10"/>
        </w:rPr>
      </w:pPr>
    </w:p>
    <w:p w:rsidR="001A27A0" w:rsidRPr="001A27A0" w:rsidRDefault="001A27A0" w:rsidP="001A27A0">
      <w:pPr>
        <w:spacing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1A27A0" w:rsidTr="001A27A0">
        <w:tc>
          <w:tcPr>
            <w:tcW w:w="10051" w:type="dxa"/>
            <w:tcBorders>
              <w:top w:val="single" w:sz="2" w:space="0" w:color="auto"/>
            </w:tcBorders>
            <w:shd w:val="clear" w:color="auto" w:fill="auto"/>
          </w:tcPr>
          <w:p w:rsidR="001A27A0" w:rsidRPr="001A27A0" w:rsidRDefault="001A27A0" w:rsidP="001A27A0">
            <w:pPr>
              <w:tabs>
                <w:tab w:val="left" w:pos="240"/>
              </w:tabs>
              <w:spacing w:before="240" w:after="120"/>
              <w:rPr>
                <w:i/>
                <w:sz w:val="24"/>
              </w:rPr>
            </w:pPr>
            <w:r>
              <w:rPr>
                <w:i/>
                <w:sz w:val="24"/>
              </w:rPr>
              <w:tab/>
              <w:t>Resumen</w:t>
            </w:r>
          </w:p>
        </w:tc>
      </w:tr>
      <w:tr w:rsidR="001A27A0" w:rsidTr="001A27A0">
        <w:tc>
          <w:tcPr>
            <w:tcW w:w="10051" w:type="dxa"/>
            <w:shd w:val="clear" w:color="auto" w:fill="auto"/>
          </w:tcPr>
          <w:p w:rsidR="001A27A0" w:rsidRPr="001A27A0" w:rsidRDefault="001A27A0" w:rsidP="00FA6C6A">
            <w:pPr>
              <w:pStyle w:val="SingleTxt"/>
            </w:pPr>
            <w:r>
              <w:tab/>
            </w:r>
            <w:r w:rsidRPr="00E20D41">
              <w:t>El presente informe</w:t>
            </w:r>
            <w:r w:rsidR="00FA6C6A">
              <w:t xml:space="preserve">, que </w:t>
            </w:r>
            <w:r w:rsidRPr="00E20D41">
              <w:t>obedece a la resolución 24/12 del Consejo de Derechos Humanos</w:t>
            </w:r>
            <w:r w:rsidR="00FA6C6A">
              <w:t xml:space="preserve">, contiene </w:t>
            </w:r>
            <w:r w:rsidRPr="00E20D41">
              <w:t xml:space="preserve">un análisis de las repercusiones que tienen para los derechos humanos el recurso excesivo a la privación de libertad y el hacinamiento carcelario, </w:t>
            </w:r>
            <w:r w:rsidR="00FA6C6A">
              <w:t xml:space="preserve">para el cual </w:t>
            </w:r>
            <w:r w:rsidR="005E171C">
              <w:t xml:space="preserve">se </w:t>
            </w:r>
            <w:r w:rsidRPr="00E20D41">
              <w:t xml:space="preserve">aprovecha la experiencia de los mecanismos de derechos humanos regionales y de las Naciones Unidas y </w:t>
            </w:r>
            <w:r w:rsidR="00FA6C6A">
              <w:t xml:space="preserve">se ha recabado </w:t>
            </w:r>
            <w:r w:rsidRPr="00E20D41">
              <w:t>la opini</w:t>
            </w:r>
            <w:r w:rsidR="00FA6C6A">
              <w:t>ón</w:t>
            </w:r>
            <w:r w:rsidRPr="00E20D41">
              <w:t xml:space="preserve"> de los Estados sobre su experiencia en relación con las alternativas a la detención, </w:t>
            </w:r>
            <w:r w:rsidR="00FA6C6A">
              <w:t>por ejemplo, así como</w:t>
            </w:r>
            <w:r w:rsidRPr="00E20D41">
              <w:t xml:space="preserve"> la de otros interesados.</w:t>
            </w:r>
          </w:p>
        </w:tc>
      </w:tr>
      <w:tr w:rsidR="001A27A0" w:rsidTr="001A27A0">
        <w:tc>
          <w:tcPr>
            <w:tcW w:w="10051" w:type="dxa"/>
            <w:tcBorders>
              <w:bottom w:val="single" w:sz="2" w:space="0" w:color="auto"/>
            </w:tcBorders>
            <w:shd w:val="clear" w:color="auto" w:fill="auto"/>
          </w:tcPr>
          <w:p w:rsidR="001A27A0" w:rsidRPr="001A27A0" w:rsidRDefault="001A27A0" w:rsidP="001A27A0">
            <w:pPr>
              <w:pStyle w:val="SingleTxt"/>
              <w:spacing w:after="0"/>
            </w:pPr>
          </w:p>
        </w:tc>
      </w:tr>
    </w:tbl>
    <w:p w:rsidR="001A27A0" w:rsidRPr="001A27A0" w:rsidRDefault="001A27A0" w:rsidP="001A27A0"/>
    <w:p w:rsidR="0031157F" w:rsidRPr="00E20D41" w:rsidRDefault="0031157F" w:rsidP="0031157F">
      <w:pPr>
        <w:tabs>
          <w:tab w:val="left" w:pos="475"/>
          <w:tab w:val="left" w:pos="965"/>
          <w:tab w:val="left" w:pos="1440"/>
          <w:tab w:val="left" w:pos="1915"/>
          <w:tab w:val="left" w:pos="2405"/>
          <w:tab w:val="left" w:pos="2880"/>
          <w:tab w:val="left" w:pos="3355"/>
        </w:tabs>
        <w:rPr>
          <w:b/>
        </w:rPr>
      </w:pPr>
    </w:p>
    <w:p w:rsidR="0031157F" w:rsidRPr="00E20D41" w:rsidRDefault="0031157F" w:rsidP="0031157F">
      <w:pPr>
        <w:tabs>
          <w:tab w:val="left" w:pos="475"/>
          <w:tab w:val="left" w:pos="965"/>
          <w:tab w:val="left" w:pos="1440"/>
          <w:tab w:val="left" w:pos="1915"/>
          <w:tab w:val="left" w:pos="2405"/>
          <w:tab w:val="left" w:pos="2880"/>
          <w:tab w:val="left" w:pos="3355"/>
        </w:tabs>
        <w:rPr>
          <w:b/>
        </w:rPr>
      </w:pPr>
    </w:p>
    <w:p w:rsidR="001A27A0" w:rsidRPr="001A27A0" w:rsidRDefault="0031157F" w:rsidP="001A27A0">
      <w:pPr>
        <w:pStyle w:val="HCh"/>
        <w:spacing w:after="120"/>
        <w:rPr>
          <w:b w:val="0"/>
        </w:rPr>
      </w:pPr>
      <w:r w:rsidRPr="00E20D41">
        <w:br w:type="column"/>
      </w:r>
      <w:r w:rsidR="001A27A0">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1A27A0" w:rsidRPr="001A27A0" w:rsidTr="001A27A0">
        <w:tc>
          <w:tcPr>
            <w:tcW w:w="1060" w:type="dxa"/>
            <w:shd w:val="clear" w:color="auto" w:fill="auto"/>
          </w:tcPr>
          <w:p w:rsidR="001A27A0" w:rsidRPr="001A27A0" w:rsidRDefault="001A27A0" w:rsidP="001A27A0">
            <w:pPr>
              <w:spacing w:after="120" w:line="240" w:lineRule="auto"/>
              <w:jc w:val="right"/>
              <w:rPr>
                <w:i/>
                <w:sz w:val="14"/>
              </w:rPr>
            </w:pPr>
          </w:p>
        </w:tc>
        <w:tc>
          <w:tcPr>
            <w:tcW w:w="7056" w:type="dxa"/>
            <w:shd w:val="clear" w:color="auto" w:fill="auto"/>
          </w:tcPr>
          <w:p w:rsidR="001A27A0" w:rsidRPr="001A27A0" w:rsidRDefault="001A27A0" w:rsidP="001A27A0">
            <w:pPr>
              <w:spacing w:after="120" w:line="240" w:lineRule="auto"/>
              <w:rPr>
                <w:i/>
                <w:sz w:val="14"/>
              </w:rPr>
            </w:pPr>
          </w:p>
        </w:tc>
        <w:tc>
          <w:tcPr>
            <w:tcW w:w="994" w:type="dxa"/>
            <w:shd w:val="clear" w:color="auto" w:fill="auto"/>
          </w:tcPr>
          <w:p w:rsidR="001A27A0" w:rsidRPr="001A27A0" w:rsidRDefault="001A27A0" w:rsidP="001A27A0">
            <w:pPr>
              <w:spacing w:after="120" w:line="240" w:lineRule="auto"/>
              <w:jc w:val="right"/>
              <w:rPr>
                <w:i/>
                <w:sz w:val="14"/>
              </w:rPr>
            </w:pPr>
          </w:p>
        </w:tc>
        <w:tc>
          <w:tcPr>
            <w:tcW w:w="792" w:type="dxa"/>
            <w:shd w:val="clear" w:color="auto" w:fill="auto"/>
          </w:tcPr>
          <w:p w:rsidR="001A27A0" w:rsidRPr="001A27A0" w:rsidRDefault="001A27A0" w:rsidP="001A27A0">
            <w:pPr>
              <w:spacing w:after="120" w:line="240" w:lineRule="auto"/>
              <w:jc w:val="right"/>
              <w:rPr>
                <w:i/>
                <w:sz w:val="14"/>
              </w:rPr>
            </w:pPr>
            <w:r>
              <w:rPr>
                <w:i/>
                <w:sz w:val="14"/>
              </w:rPr>
              <w:t>Página</w:t>
            </w:r>
          </w:p>
        </w:tc>
      </w:tr>
      <w:tr w:rsidR="001A27A0" w:rsidRPr="001A27A0" w:rsidTr="001A27A0">
        <w:tc>
          <w:tcPr>
            <w:tcW w:w="9110" w:type="dxa"/>
            <w:gridSpan w:val="3"/>
            <w:shd w:val="clear" w:color="auto" w:fill="auto"/>
          </w:tcPr>
          <w:p w:rsidR="001A27A0" w:rsidRPr="001A27A0" w:rsidRDefault="00F929C6" w:rsidP="000E297B">
            <w:pPr>
              <w:pStyle w:val="ListParagraph"/>
              <w:numPr>
                <w:ilvl w:val="0"/>
                <w:numId w:val="8"/>
              </w:numPr>
              <w:tabs>
                <w:tab w:val="clear" w:pos="1296"/>
                <w:tab w:val="right" w:pos="1080"/>
                <w:tab w:val="left" w:pos="1300"/>
                <w:tab w:val="left" w:pos="1740"/>
                <w:tab w:val="left" w:pos="2180"/>
                <w:tab w:val="right" w:leader="dot" w:pos="9245"/>
              </w:tabs>
              <w:spacing w:after="120"/>
            </w:pPr>
            <w:r>
              <w:tab/>
              <w:t>Introducción</w:t>
            </w:r>
            <w:r w:rsidR="000E297B">
              <w:rPr>
                <w:spacing w:val="60"/>
                <w:sz w:val="17"/>
              </w:rPr>
              <w:tab/>
            </w:r>
          </w:p>
        </w:tc>
        <w:tc>
          <w:tcPr>
            <w:tcW w:w="792" w:type="dxa"/>
            <w:shd w:val="clear" w:color="auto" w:fill="auto"/>
            <w:vAlign w:val="bottom"/>
          </w:tcPr>
          <w:p w:rsidR="001A27A0" w:rsidRPr="001A27A0" w:rsidRDefault="00F929C6" w:rsidP="001A27A0">
            <w:pPr>
              <w:spacing w:after="120"/>
              <w:jc w:val="right"/>
            </w:pPr>
            <w:r>
              <w:t>3</w:t>
            </w:r>
          </w:p>
        </w:tc>
      </w:tr>
      <w:tr w:rsidR="001A27A0" w:rsidRPr="001A27A0" w:rsidTr="001A27A0">
        <w:tc>
          <w:tcPr>
            <w:tcW w:w="9110" w:type="dxa"/>
            <w:gridSpan w:val="3"/>
            <w:shd w:val="clear" w:color="auto" w:fill="auto"/>
          </w:tcPr>
          <w:p w:rsidR="001A27A0" w:rsidRPr="001A27A0" w:rsidRDefault="00F929C6" w:rsidP="000E297B">
            <w:pPr>
              <w:pStyle w:val="ListParagraph"/>
              <w:numPr>
                <w:ilvl w:val="0"/>
                <w:numId w:val="8"/>
              </w:numPr>
              <w:tabs>
                <w:tab w:val="clear" w:pos="1296"/>
                <w:tab w:val="right" w:pos="1080"/>
                <w:tab w:val="left" w:pos="1300"/>
                <w:tab w:val="left" w:pos="1740"/>
                <w:tab w:val="left" w:pos="2180"/>
                <w:tab w:val="left" w:pos="2620"/>
                <w:tab w:val="left" w:pos="3060"/>
                <w:tab w:val="right" w:leader="dot" w:pos="9245"/>
              </w:tabs>
              <w:spacing w:after="120"/>
              <w:ind w:left="1080" w:firstLine="0"/>
            </w:pPr>
            <w:r>
              <w:tab/>
              <w:t xml:space="preserve">Los efectos </w:t>
            </w:r>
            <w:r w:rsidRPr="00E20D41">
              <w:t xml:space="preserve">del recurso excesivo a la privación de libertad y el hacinamiento carcelario </w:t>
            </w:r>
            <w:r>
              <w:br/>
            </w:r>
            <w:r>
              <w:tab/>
            </w:r>
            <w:r w:rsidRPr="00E20D41">
              <w:t>en los derechos humanos</w:t>
            </w:r>
            <w:r w:rsidR="000E297B">
              <w:rPr>
                <w:spacing w:val="60"/>
                <w:sz w:val="17"/>
              </w:rPr>
              <w:tab/>
            </w:r>
          </w:p>
        </w:tc>
        <w:tc>
          <w:tcPr>
            <w:tcW w:w="792" w:type="dxa"/>
            <w:shd w:val="clear" w:color="auto" w:fill="auto"/>
            <w:vAlign w:val="bottom"/>
          </w:tcPr>
          <w:p w:rsidR="001A27A0" w:rsidRPr="001A27A0" w:rsidRDefault="00F929C6" w:rsidP="001A27A0">
            <w:pPr>
              <w:spacing w:after="120"/>
              <w:jc w:val="right"/>
            </w:pPr>
            <w:r>
              <w:t>5</w:t>
            </w:r>
          </w:p>
        </w:tc>
      </w:tr>
      <w:tr w:rsidR="001A27A0" w:rsidRPr="001A27A0" w:rsidTr="001A27A0">
        <w:tc>
          <w:tcPr>
            <w:tcW w:w="9110" w:type="dxa"/>
            <w:gridSpan w:val="3"/>
            <w:shd w:val="clear" w:color="auto" w:fill="auto"/>
          </w:tcPr>
          <w:p w:rsidR="001A27A0" w:rsidRPr="001A27A0" w:rsidRDefault="00F929C6"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E20D41">
              <w:t>Derecho a la libertad y la seguridad</w:t>
            </w:r>
            <w:r w:rsidR="000E297B">
              <w:rPr>
                <w:spacing w:val="60"/>
                <w:sz w:val="17"/>
              </w:rPr>
              <w:tab/>
            </w:r>
          </w:p>
        </w:tc>
        <w:tc>
          <w:tcPr>
            <w:tcW w:w="792" w:type="dxa"/>
            <w:shd w:val="clear" w:color="auto" w:fill="auto"/>
            <w:vAlign w:val="bottom"/>
          </w:tcPr>
          <w:p w:rsidR="001A27A0" w:rsidRPr="001A27A0" w:rsidRDefault="00F929C6" w:rsidP="001A27A0">
            <w:pPr>
              <w:spacing w:after="120"/>
              <w:jc w:val="right"/>
            </w:pPr>
            <w:r>
              <w:t>5</w:t>
            </w:r>
          </w:p>
        </w:tc>
      </w:tr>
      <w:tr w:rsidR="00F929C6" w:rsidRPr="001A27A0" w:rsidTr="001A27A0">
        <w:tc>
          <w:tcPr>
            <w:tcW w:w="9110" w:type="dxa"/>
            <w:gridSpan w:val="3"/>
            <w:shd w:val="clear" w:color="auto" w:fill="auto"/>
          </w:tcPr>
          <w:p w:rsidR="00F929C6" w:rsidRPr="001A27A0" w:rsidRDefault="00F929C6" w:rsidP="000E297B">
            <w:pPr>
              <w:pStyle w:val="ListParagraph"/>
              <w:numPr>
                <w:ilvl w:val="1"/>
                <w:numId w:val="8"/>
              </w:numPr>
              <w:tabs>
                <w:tab w:val="clear" w:pos="1728"/>
                <w:tab w:val="right" w:pos="1080"/>
                <w:tab w:val="left" w:pos="1300"/>
                <w:tab w:val="left" w:pos="1740"/>
                <w:tab w:val="left" w:pos="2180"/>
                <w:tab w:val="left" w:pos="2620"/>
                <w:tab w:val="right" w:leader="dot" w:pos="9245"/>
              </w:tabs>
              <w:spacing w:after="120"/>
            </w:pPr>
            <w:r w:rsidRPr="00E20D41">
              <w:t>Derecho a no ser sometido a tortura u otros tratos o castigos inhumanos o degradantes</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7</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right" w:leader="dot" w:pos="9245"/>
              </w:tabs>
              <w:spacing w:after="120"/>
            </w:pPr>
            <w:r>
              <w:t>Derecho a la salud</w:t>
            </w:r>
            <w:r w:rsidR="000E297B">
              <w:rPr>
                <w:spacing w:val="60"/>
                <w:sz w:val="17"/>
              </w:rPr>
              <w:tab/>
            </w:r>
          </w:p>
        </w:tc>
        <w:tc>
          <w:tcPr>
            <w:tcW w:w="792" w:type="dxa"/>
            <w:shd w:val="clear" w:color="auto" w:fill="auto"/>
            <w:vAlign w:val="bottom"/>
          </w:tcPr>
          <w:p w:rsidR="00F929C6" w:rsidRPr="00D6095D" w:rsidRDefault="00D6095D" w:rsidP="00D6095D">
            <w:pPr>
              <w:spacing w:after="120"/>
              <w:jc w:val="right"/>
            </w:pPr>
            <w:r>
              <w:t>7</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E20D41">
              <w:t>Derecho a alimentación, agua y saneamiento</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8</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t>Derecho a la rehabilitación y a la educación</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9</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t>Libertad de religión o de creencias</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10</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rsidRPr="00E20D41">
              <w:t>Derecho a la privacidad y la vida familiar y derechos de los familiares</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10</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E20D41">
              <w:t>Derecho a la igualdad y la no discriminación</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11</w:t>
            </w:r>
          </w:p>
        </w:tc>
      </w:tr>
      <w:tr w:rsidR="00F929C6" w:rsidRPr="001A27A0" w:rsidTr="001A27A0">
        <w:tc>
          <w:tcPr>
            <w:tcW w:w="9110" w:type="dxa"/>
            <w:gridSpan w:val="3"/>
            <w:shd w:val="clear" w:color="auto" w:fill="auto"/>
          </w:tcPr>
          <w:p w:rsidR="00F929C6" w:rsidRPr="001A27A0" w:rsidRDefault="00F929C6" w:rsidP="000E297B">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left" w:pos="8780"/>
                <w:tab w:val="right" w:leader="dot" w:pos="9245"/>
              </w:tabs>
              <w:spacing w:after="120"/>
            </w:pPr>
            <w:r>
              <w:tab/>
            </w:r>
            <w:r w:rsidR="00CE12CB" w:rsidRPr="00E20D41">
              <w:t>Las principales causas del recurso excesivo a la privación de libertad y el hacinamiento</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12</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t>Deficiencias en el sistema de justicia penal</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12</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t>Recurso excesivo a la detención preventiva</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14</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pPr>
            <w:r w:rsidRPr="00E20D41">
              <w:t xml:space="preserve">Falta de alternativas a la detención o </w:t>
            </w:r>
            <w:r>
              <w:t xml:space="preserve">mala </w:t>
            </w:r>
            <w:r w:rsidRPr="00E20D41">
              <w:t>administración de ellas</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14</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t>Normas para la fijación de la pena</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15</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rsidRPr="00E20D41">
              <w:t>Falta de supervisión de los lugares de detención</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16</w:t>
            </w:r>
          </w:p>
        </w:tc>
      </w:tr>
      <w:tr w:rsidR="00F929C6" w:rsidRPr="001A27A0" w:rsidTr="001A27A0">
        <w:tc>
          <w:tcPr>
            <w:tcW w:w="9110" w:type="dxa"/>
            <w:gridSpan w:val="3"/>
            <w:shd w:val="clear" w:color="auto" w:fill="auto"/>
          </w:tcPr>
          <w:p w:rsidR="00F929C6" w:rsidRPr="001A27A0" w:rsidRDefault="00CE12CB" w:rsidP="000E297B">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tab/>
            </w:r>
            <w:r w:rsidRPr="00E20D41">
              <w:t xml:space="preserve">Cómo hacer frente al recurso excesivo a la privación de libertad y al hacinamiento, </w:t>
            </w:r>
            <w:r>
              <w:br/>
            </w:r>
            <w:r w:rsidRPr="00E20D41">
              <w:t>así como a sus consecuencias para los derechos humanos</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16</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rsidRPr="00E20D41">
              <w:t>Necesidad de un planteamiento proactivo e integral</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16</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rsidRPr="00E20D41">
              <w:t>Derecho a impugnar la detención, asistencia letrada y asistencia judicial</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17</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rsidRPr="00E20D41">
              <w:t xml:space="preserve">Utilización adecuada de los </w:t>
            </w:r>
            <w:r>
              <w:t xml:space="preserve">lugares </w:t>
            </w:r>
            <w:r w:rsidRPr="00E20D41">
              <w:t>de detención</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17</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E20D41">
              <w:t>La detención preventiva como último recurso</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18</w:t>
            </w:r>
          </w:p>
        </w:tc>
      </w:tr>
      <w:tr w:rsidR="00F929C6" w:rsidRPr="001A27A0" w:rsidTr="001A27A0">
        <w:tc>
          <w:tcPr>
            <w:tcW w:w="9110" w:type="dxa"/>
            <w:gridSpan w:val="3"/>
            <w:shd w:val="clear" w:color="auto" w:fill="auto"/>
          </w:tcPr>
          <w:p w:rsidR="00F929C6" w:rsidRPr="001A27A0" w:rsidRDefault="00CE12C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rsidRPr="00E20D41">
              <w:t>Alternativas a las medidas privativas de la libertad</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19</w:t>
            </w:r>
          </w:p>
        </w:tc>
      </w:tr>
      <w:tr w:rsidR="00F929C6" w:rsidRPr="001A27A0" w:rsidTr="001A27A0">
        <w:tc>
          <w:tcPr>
            <w:tcW w:w="9110" w:type="dxa"/>
            <w:gridSpan w:val="3"/>
            <w:shd w:val="clear" w:color="auto" w:fill="auto"/>
          </w:tcPr>
          <w:p w:rsidR="00F929C6" w:rsidRPr="001A27A0" w:rsidRDefault="000E297B"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right" w:leader="dot" w:pos="9245"/>
              </w:tabs>
              <w:spacing w:after="120"/>
            </w:pPr>
            <w:r>
              <w:t>Sentencia proporcionada</w:t>
            </w:r>
            <w:r>
              <w:rPr>
                <w:spacing w:val="60"/>
                <w:sz w:val="17"/>
              </w:rPr>
              <w:tab/>
            </w:r>
          </w:p>
        </w:tc>
        <w:tc>
          <w:tcPr>
            <w:tcW w:w="792" w:type="dxa"/>
            <w:shd w:val="clear" w:color="auto" w:fill="auto"/>
            <w:vAlign w:val="bottom"/>
          </w:tcPr>
          <w:p w:rsidR="00F929C6" w:rsidRPr="001A27A0" w:rsidRDefault="000E297B" w:rsidP="001A27A0">
            <w:pPr>
              <w:spacing w:after="120"/>
              <w:jc w:val="right"/>
            </w:pPr>
            <w:r>
              <w:t>20</w:t>
            </w:r>
          </w:p>
        </w:tc>
      </w:tr>
      <w:tr w:rsidR="00F929C6" w:rsidRPr="001A27A0" w:rsidTr="001A27A0">
        <w:tc>
          <w:tcPr>
            <w:tcW w:w="9110" w:type="dxa"/>
            <w:gridSpan w:val="3"/>
            <w:shd w:val="clear" w:color="auto" w:fill="auto"/>
          </w:tcPr>
          <w:p w:rsidR="00F929C6" w:rsidRPr="001A27A0" w:rsidRDefault="00227EDE"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E20D41">
              <w:t xml:space="preserve">Rehabilitación y reducción de </w:t>
            </w:r>
            <w:r>
              <w:t xml:space="preserve">la </w:t>
            </w:r>
            <w:r w:rsidRPr="00E20D41">
              <w:t>reincidencia</w:t>
            </w:r>
            <w:r w:rsidR="000E297B">
              <w:rPr>
                <w:spacing w:val="60"/>
                <w:sz w:val="17"/>
              </w:rPr>
              <w:tab/>
            </w:r>
          </w:p>
        </w:tc>
        <w:tc>
          <w:tcPr>
            <w:tcW w:w="792" w:type="dxa"/>
            <w:shd w:val="clear" w:color="auto" w:fill="auto"/>
            <w:vAlign w:val="bottom"/>
          </w:tcPr>
          <w:p w:rsidR="00F929C6" w:rsidRPr="001A27A0" w:rsidRDefault="00CE12CB" w:rsidP="000E297B">
            <w:pPr>
              <w:spacing w:after="120"/>
              <w:jc w:val="right"/>
            </w:pPr>
            <w:r>
              <w:t>2</w:t>
            </w:r>
            <w:r w:rsidR="000E297B">
              <w:t>0</w:t>
            </w:r>
          </w:p>
        </w:tc>
      </w:tr>
      <w:tr w:rsidR="00F929C6" w:rsidRPr="001A27A0" w:rsidTr="001A27A0">
        <w:tc>
          <w:tcPr>
            <w:tcW w:w="9110" w:type="dxa"/>
            <w:gridSpan w:val="3"/>
            <w:shd w:val="clear" w:color="auto" w:fill="auto"/>
          </w:tcPr>
          <w:p w:rsidR="00F929C6" w:rsidRPr="001A27A0" w:rsidRDefault="00227EDE" w:rsidP="000E297B">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t>Mecanismos de fijación y queja</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21</w:t>
            </w:r>
          </w:p>
        </w:tc>
      </w:tr>
      <w:tr w:rsidR="00F929C6" w:rsidRPr="001A27A0" w:rsidTr="001A27A0">
        <w:tc>
          <w:tcPr>
            <w:tcW w:w="9110" w:type="dxa"/>
            <w:gridSpan w:val="3"/>
            <w:shd w:val="clear" w:color="auto" w:fill="auto"/>
          </w:tcPr>
          <w:p w:rsidR="00F929C6" w:rsidRPr="001A27A0" w:rsidRDefault="00CE12CB" w:rsidP="000E297B">
            <w:pPr>
              <w:pStyle w:val="ListParagraph"/>
              <w:numPr>
                <w:ilvl w:val="0"/>
                <w:numId w:val="8"/>
              </w:numPr>
              <w:tabs>
                <w:tab w:val="clear" w:pos="1296"/>
                <w:tab w:val="right" w:pos="1080"/>
                <w:tab w:val="left" w:pos="1300"/>
                <w:tab w:val="left" w:pos="1740"/>
                <w:tab w:val="left" w:pos="2180"/>
                <w:tab w:val="right" w:leader="dot" w:pos="9245"/>
              </w:tabs>
              <w:spacing w:after="120"/>
            </w:pPr>
            <w:r>
              <w:tab/>
              <w:t>Conclusiones</w:t>
            </w:r>
            <w:r w:rsidR="000E297B">
              <w:rPr>
                <w:spacing w:val="60"/>
                <w:sz w:val="17"/>
              </w:rPr>
              <w:tab/>
            </w:r>
          </w:p>
        </w:tc>
        <w:tc>
          <w:tcPr>
            <w:tcW w:w="792" w:type="dxa"/>
            <w:shd w:val="clear" w:color="auto" w:fill="auto"/>
            <w:vAlign w:val="bottom"/>
          </w:tcPr>
          <w:p w:rsidR="00F929C6" w:rsidRPr="001A27A0" w:rsidRDefault="00CE12CB" w:rsidP="001A27A0">
            <w:pPr>
              <w:spacing w:after="120"/>
              <w:jc w:val="right"/>
            </w:pPr>
            <w:r>
              <w:t>22</w:t>
            </w:r>
          </w:p>
        </w:tc>
      </w:tr>
    </w:tbl>
    <w:p w:rsidR="0031157F" w:rsidRPr="001A27A0" w:rsidRDefault="0031157F" w:rsidP="0031157F">
      <w:pPr>
        <w:tabs>
          <w:tab w:val="left" w:pos="475"/>
          <w:tab w:val="left" w:pos="965"/>
          <w:tab w:val="left" w:pos="1440"/>
          <w:tab w:val="left" w:pos="1915"/>
          <w:tab w:val="left" w:pos="2405"/>
          <w:tab w:val="left" w:pos="2880"/>
          <w:tab w:val="left" w:pos="3355"/>
        </w:tabs>
      </w:pPr>
    </w:p>
    <w:p w:rsidR="0031157F" w:rsidRPr="001A27A0" w:rsidRDefault="0031157F" w:rsidP="0031157F">
      <w:pPr>
        <w:tabs>
          <w:tab w:val="left" w:pos="475"/>
          <w:tab w:val="left" w:pos="965"/>
          <w:tab w:val="left" w:pos="1440"/>
          <w:tab w:val="left" w:pos="1915"/>
          <w:tab w:val="left" w:pos="2405"/>
          <w:tab w:val="left" w:pos="2880"/>
          <w:tab w:val="left" w:pos="3355"/>
        </w:tabs>
      </w:pPr>
    </w:p>
    <w:p w:rsidR="001A27A0" w:rsidRDefault="001A27A0">
      <w:pPr>
        <w:suppressAutoHyphens w:val="0"/>
        <w:spacing w:line="240" w:lineRule="auto"/>
        <w:rPr>
          <w:b/>
        </w:rPr>
      </w:pPr>
      <w:r>
        <w:rPr>
          <w:b/>
        </w:rPr>
        <w:br w:type="page"/>
      </w:r>
    </w:p>
    <w:p w:rsidR="0031157F" w:rsidRDefault="00FA6C6A" w:rsidP="00FA6C6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31157F" w:rsidRPr="00E20D41">
        <w:t>I.</w:t>
      </w:r>
      <w:r w:rsidR="0031157F" w:rsidRPr="00E20D41">
        <w:tab/>
        <w:t>Introducción</w:t>
      </w:r>
    </w:p>
    <w:p w:rsidR="00FA6C6A" w:rsidRPr="00FA6C6A" w:rsidRDefault="00FA6C6A" w:rsidP="00FA6C6A">
      <w:pPr>
        <w:pStyle w:val="SingleTxt"/>
        <w:spacing w:after="0" w:line="120" w:lineRule="exact"/>
        <w:rPr>
          <w:sz w:val="10"/>
        </w:rPr>
      </w:pPr>
    </w:p>
    <w:p w:rsidR="00FA6C6A" w:rsidRPr="00FA6C6A" w:rsidRDefault="00FA6C6A" w:rsidP="00FA6C6A">
      <w:pPr>
        <w:pStyle w:val="SingleTxt"/>
        <w:spacing w:after="0" w:line="120" w:lineRule="exact"/>
        <w:rPr>
          <w:sz w:val="10"/>
        </w:rPr>
      </w:pPr>
    </w:p>
    <w:p w:rsidR="0031157F" w:rsidRPr="00E20D41" w:rsidRDefault="0031157F" w:rsidP="00FA6C6A">
      <w:pPr>
        <w:pStyle w:val="SingleTxt"/>
        <w:numPr>
          <w:ilvl w:val="0"/>
          <w:numId w:val="9"/>
        </w:numPr>
        <w:tabs>
          <w:tab w:val="clear" w:pos="475"/>
          <w:tab w:val="right" w:pos="1022"/>
        </w:tabs>
        <w:ind w:left="1267" w:right="1260"/>
      </w:pPr>
      <w:r w:rsidRPr="00E20D41">
        <w:t>El primer derecho sustantivo que consagra la Declaración Universal de Derechos Humanos, en su artículo 3, es el derecho a la vida, a la liberta</w:t>
      </w:r>
      <w:r w:rsidR="00FA6C6A">
        <w:t>d y la seguridad de las persona</w:t>
      </w:r>
      <w:r w:rsidR="005E171C">
        <w:t>s</w:t>
      </w:r>
      <w:r w:rsidR="00FA6C6A">
        <w:t>. C</w:t>
      </w:r>
      <w:r w:rsidRPr="00E20D41">
        <w:t>omo destacó el Comité de Derechos Humanos en el párrafo 2 de su observación general núm. 35, relativo al artículo 9 del Pacto Internacional de Derechos Civiles y Políticos, el derecho a la libertad y la seguridad personales es valioso por sí mismo y también porque su privación ha sido históricamente un medio fundamental para obstaculizar el disfrute de otros derechos</w:t>
      </w:r>
      <w:r w:rsidRPr="00FA6C6A">
        <w:rPr>
          <w:color w:val="943634" w:themeColor="accent2" w:themeShade="BF"/>
          <w:vertAlign w:val="superscript"/>
        </w:rPr>
        <w:footnoteReference w:id="1"/>
      </w:r>
      <w:r w:rsidRPr="00E20D41">
        <w:t>.</w:t>
      </w:r>
    </w:p>
    <w:p w:rsidR="0031157F" w:rsidRPr="00E20D41" w:rsidRDefault="0031157F" w:rsidP="00FA6C6A">
      <w:pPr>
        <w:pStyle w:val="SingleTxt"/>
        <w:numPr>
          <w:ilvl w:val="0"/>
          <w:numId w:val="9"/>
        </w:numPr>
        <w:tabs>
          <w:tab w:val="clear" w:pos="475"/>
          <w:tab w:val="num" w:pos="1742"/>
        </w:tabs>
        <w:ind w:left="1267"/>
      </w:pPr>
      <w:r w:rsidRPr="00E20D41">
        <w:t xml:space="preserve">Si bien el derecho a la libertad de la persona no es absoluto, la privación </w:t>
      </w:r>
      <w:r w:rsidR="00FA6C6A">
        <w:t xml:space="preserve">de </w:t>
      </w:r>
      <w:r w:rsidRPr="00E20D41">
        <w:t>ella no debe ser arbitraria y debe llevarse a cabo respetando el principio de legalidad</w:t>
      </w:r>
      <w:r w:rsidRPr="00FA6C6A">
        <w:rPr>
          <w:color w:val="943634" w:themeColor="accent2" w:themeShade="BF"/>
          <w:vertAlign w:val="superscript"/>
        </w:rPr>
        <w:footnoteReference w:id="2"/>
      </w:r>
      <w:r w:rsidRPr="00E20D41">
        <w:t>. Como afirmó el Consejo de Derechos Humanos en su resolución 24/12, las personas privadas de la libertad conservan todos sus derechos humanos y libertades fundamentales, exceptuando las restricciones legítimas que sea</w:t>
      </w:r>
      <w:r w:rsidR="00FA6C6A">
        <w:t>n</w:t>
      </w:r>
      <w:r w:rsidRPr="00E20D41">
        <w:t xml:space="preserve"> fehacientemente necesarias en razón del propio encarcelamiento.</w:t>
      </w:r>
    </w:p>
    <w:p w:rsidR="0031157F" w:rsidRPr="00E20D41" w:rsidRDefault="0031157F" w:rsidP="00FA6C6A">
      <w:pPr>
        <w:pStyle w:val="SingleTxt"/>
        <w:numPr>
          <w:ilvl w:val="0"/>
          <w:numId w:val="9"/>
        </w:numPr>
        <w:tabs>
          <w:tab w:val="clear" w:pos="475"/>
          <w:tab w:val="num" w:pos="1742"/>
        </w:tabs>
        <w:ind w:left="1267"/>
      </w:pPr>
      <w:r w:rsidRPr="00E20D41">
        <w:t>Según estadísticas recientes, más de 10,2 millones de personas en todo el mundo están privadas de su libertad</w:t>
      </w:r>
      <w:r w:rsidRPr="00FA6C6A">
        <w:rPr>
          <w:color w:val="943634" w:themeColor="accent2" w:themeShade="BF"/>
          <w:vertAlign w:val="superscript"/>
        </w:rPr>
        <w:footnoteReference w:id="3"/>
      </w:r>
      <w:r w:rsidRPr="00E20D41">
        <w:t>, 3 millones de las cuales están en espera de juicio</w:t>
      </w:r>
      <w:r w:rsidRPr="00FA6C6A">
        <w:rPr>
          <w:color w:val="943634" w:themeColor="accent2" w:themeShade="BF"/>
          <w:vertAlign w:val="superscript"/>
        </w:rPr>
        <w:footnoteReference w:id="4"/>
      </w:r>
      <w:r w:rsidRPr="00E20D41">
        <w:t xml:space="preserve">. Los datos dan a entender además que el número de recluidos supera la capacidad carcelaria oficial en 114 países por lo menos y que las cárceles de 92 de esos países tienen una población que va del 100% al 200% de su capacidad, mientras que en 22 de </w:t>
      </w:r>
      <w:r w:rsidR="00FA6C6A">
        <w:t>ellos</w:t>
      </w:r>
      <w:r w:rsidRPr="00E20D41">
        <w:t>, la población carcelaria duplica, triplica o casi cuadruplica esa capacidad</w:t>
      </w:r>
      <w:r w:rsidRPr="00FA6C6A">
        <w:rPr>
          <w:color w:val="943634" w:themeColor="accent2" w:themeShade="BF"/>
          <w:vertAlign w:val="superscript"/>
        </w:rPr>
        <w:footnoteReference w:id="5"/>
      </w:r>
      <w:r w:rsidRPr="00E20D41">
        <w:t>. El grado de hacinamiento en centros de privación de la libertad en todo el mundo se ha calificado de endémico</w:t>
      </w:r>
      <w:r w:rsidRPr="00FA6C6A">
        <w:rPr>
          <w:color w:val="943634" w:themeColor="accent2" w:themeShade="BF"/>
          <w:vertAlign w:val="superscript"/>
        </w:rPr>
        <w:footnoteReference w:id="6"/>
      </w:r>
      <w:r w:rsidRPr="00E20D41">
        <w:t>, alarmante</w:t>
      </w:r>
      <w:r w:rsidRPr="00FA6C6A">
        <w:rPr>
          <w:color w:val="943634" w:themeColor="accent2" w:themeShade="BF"/>
          <w:vertAlign w:val="superscript"/>
        </w:rPr>
        <w:footnoteReference w:id="7"/>
      </w:r>
      <w:r w:rsidRPr="00E20D41">
        <w:t>, extremo</w:t>
      </w:r>
      <w:r w:rsidRPr="00FA6C6A">
        <w:rPr>
          <w:color w:val="943634" w:themeColor="accent2" w:themeShade="BF"/>
          <w:vertAlign w:val="superscript"/>
        </w:rPr>
        <w:footnoteReference w:id="8"/>
      </w:r>
      <w:r w:rsidRPr="00E20D41">
        <w:t>, crónico</w:t>
      </w:r>
      <w:r w:rsidRPr="00FA6C6A">
        <w:rPr>
          <w:color w:val="943634" w:themeColor="accent2" w:themeShade="BF"/>
          <w:vertAlign w:val="superscript"/>
        </w:rPr>
        <w:footnoteReference w:id="9"/>
      </w:r>
      <w:r w:rsidRPr="00E20D41">
        <w:t xml:space="preserve"> e indignante</w:t>
      </w:r>
      <w:r w:rsidRPr="00FA6C6A">
        <w:rPr>
          <w:color w:val="943634" w:themeColor="accent2" w:themeShade="BF"/>
          <w:vertAlign w:val="superscript"/>
        </w:rPr>
        <w:footnoteReference w:id="10"/>
      </w:r>
      <w:r w:rsidRPr="00E20D41">
        <w:t xml:space="preserve"> y se dice que constituye un indicador de la crisis carcelaria mundial</w:t>
      </w:r>
      <w:r w:rsidRPr="00FA6C6A">
        <w:rPr>
          <w:color w:val="943634" w:themeColor="accent2" w:themeShade="BF"/>
          <w:vertAlign w:val="superscript"/>
        </w:rPr>
        <w:footnoteReference w:id="11"/>
      </w:r>
      <w:r w:rsidRPr="00E20D41">
        <w:t xml:space="preserve">, además de contribuir a </w:t>
      </w:r>
      <w:r w:rsidR="00887F67">
        <w:t>ella</w:t>
      </w:r>
      <w:r w:rsidRPr="00E20D41">
        <w:t>.</w:t>
      </w:r>
    </w:p>
    <w:p w:rsidR="0031157F" w:rsidRPr="00E20D41" w:rsidRDefault="0031157F" w:rsidP="00FA6C6A">
      <w:pPr>
        <w:pStyle w:val="SingleTxt"/>
        <w:numPr>
          <w:ilvl w:val="0"/>
          <w:numId w:val="9"/>
        </w:numPr>
        <w:tabs>
          <w:tab w:val="clear" w:pos="475"/>
          <w:tab w:val="num" w:pos="1742"/>
        </w:tabs>
        <w:ind w:left="1267"/>
      </w:pPr>
      <w:r w:rsidRPr="00E20D41">
        <w:t xml:space="preserve">Los fenómenos del recurso excesivo a la privación de la libertad y el hacinamiento carcelario están intrínsecamente unidos entre sí. El Relator Especial sobre la tortura y otros tratos o </w:t>
      </w:r>
      <w:r w:rsidR="00887F67">
        <w:t xml:space="preserve">penas </w:t>
      </w:r>
      <w:r w:rsidRPr="00E20D41">
        <w:t>crueles, inhumanos o degradantes afirmó que “las consecuencias negativas para los derechos humanos del recurso e</w:t>
      </w:r>
      <w:r w:rsidR="00FA6C6A">
        <w:t xml:space="preserve">xcesivo al encarcelamiento son </w:t>
      </w:r>
      <w:r w:rsidRPr="00E20D41">
        <w:t>múltiples. El uso excesivo de la reclusión es una de las principales causas subyacentes de la falta de espacio en las prisiones, lo cual genera condiciones que equivalen a malos tratos o incluso tortura</w:t>
      </w:r>
      <w:r w:rsidR="00887F67">
        <w:t>”</w:t>
      </w:r>
      <w:r w:rsidRPr="00FA6C6A">
        <w:rPr>
          <w:color w:val="943634" w:themeColor="accent2" w:themeShade="BF"/>
          <w:vertAlign w:val="superscript"/>
        </w:rPr>
        <w:footnoteReference w:id="12"/>
      </w:r>
      <w:r w:rsidRPr="00E20D41">
        <w:t>. Además, numerosos órganos y mecanismos de las Naciones Unidas, como el Consejo de Seguridad</w:t>
      </w:r>
      <w:r w:rsidRPr="00FA6C6A">
        <w:rPr>
          <w:color w:val="943634" w:themeColor="accent2" w:themeShade="BF"/>
          <w:vertAlign w:val="superscript"/>
        </w:rPr>
        <w:footnoteReference w:id="13"/>
      </w:r>
      <w:r w:rsidRPr="00E20D41">
        <w:t>, el Comité de Derechos Humanos</w:t>
      </w:r>
      <w:r w:rsidRPr="00FA6C6A">
        <w:rPr>
          <w:color w:val="943634" w:themeColor="accent2" w:themeShade="BF"/>
          <w:vertAlign w:val="superscript"/>
        </w:rPr>
        <w:footnoteReference w:id="14"/>
      </w:r>
      <w:r w:rsidRPr="00E20D41">
        <w:t>, el Comité contra la Tortura</w:t>
      </w:r>
      <w:r w:rsidRPr="00FA6C6A">
        <w:rPr>
          <w:color w:val="943634" w:themeColor="accent2" w:themeShade="BF"/>
          <w:vertAlign w:val="superscript"/>
        </w:rPr>
        <w:footnoteReference w:id="15"/>
      </w:r>
      <w:r w:rsidRPr="00E20D41">
        <w:t>, el Subcomité para la Prevención de la Tortura</w:t>
      </w:r>
      <w:r w:rsidRPr="00FA6C6A">
        <w:rPr>
          <w:color w:val="943634" w:themeColor="accent2" w:themeShade="BF"/>
          <w:vertAlign w:val="superscript"/>
        </w:rPr>
        <w:footnoteReference w:id="16"/>
      </w:r>
      <w:r w:rsidRPr="00E20D41">
        <w:t>, el Grupo de Trabajo sobre la Detención Arbitraria</w:t>
      </w:r>
      <w:r w:rsidRPr="00FA6C6A">
        <w:rPr>
          <w:color w:val="943634" w:themeColor="accent2" w:themeShade="BF"/>
          <w:vertAlign w:val="superscript"/>
        </w:rPr>
        <w:footnoteReference w:id="17"/>
      </w:r>
      <w:r w:rsidRPr="00E20D41">
        <w:t xml:space="preserve"> y órganos regionales de derechos humanos</w:t>
      </w:r>
      <w:r w:rsidRPr="00FA6C6A">
        <w:rPr>
          <w:color w:val="943634" w:themeColor="accent2" w:themeShade="BF"/>
          <w:vertAlign w:val="superscript"/>
        </w:rPr>
        <w:footnoteReference w:id="18"/>
      </w:r>
      <w:r w:rsidRPr="00E20D41">
        <w:t xml:space="preserve">, han expresado profunda preocupación </w:t>
      </w:r>
      <w:r w:rsidR="00887F67">
        <w:t xml:space="preserve">por </w:t>
      </w:r>
      <w:r w:rsidRPr="00E20D41">
        <w:t xml:space="preserve">el hacinamiento en </w:t>
      </w:r>
      <w:r w:rsidR="00887F67">
        <w:t xml:space="preserve">lugares </w:t>
      </w:r>
      <w:r w:rsidRPr="00E20D41">
        <w:t xml:space="preserve">de </w:t>
      </w:r>
      <w:r w:rsidR="00887F67">
        <w:t xml:space="preserve">privación </w:t>
      </w:r>
      <w:r w:rsidRPr="00E20D41">
        <w:t>de la libertad y sus efectos negativos en los derechos humanos de los detenidos.</w:t>
      </w:r>
    </w:p>
    <w:p w:rsidR="0031157F" w:rsidRPr="00E20D41" w:rsidRDefault="0031157F" w:rsidP="00FA6C6A">
      <w:pPr>
        <w:pStyle w:val="SingleTxt"/>
        <w:numPr>
          <w:ilvl w:val="0"/>
          <w:numId w:val="9"/>
        </w:numPr>
        <w:tabs>
          <w:tab w:val="clear" w:pos="475"/>
          <w:tab w:val="num" w:pos="1742"/>
        </w:tabs>
        <w:ind w:left="1267"/>
      </w:pPr>
      <w:r w:rsidRPr="00E20D41">
        <w:t>El hacinamiento no constituye un problema únicamente en las cárceles</w:t>
      </w:r>
      <w:r w:rsidR="00887F67">
        <w:t>,</w:t>
      </w:r>
      <w:r w:rsidRPr="00E20D41">
        <w:t xml:space="preserve"> sino también en otros lugares en que hay personas privadas de su libertad. El artículo 4 del Protocolo Facultativo de la Convención contra la Tortura y Otros Tratos o </w:t>
      </w:r>
      <w:r w:rsidR="00AE6AFF">
        <w:t>Penas</w:t>
      </w:r>
      <w:r w:rsidRPr="00E20D41">
        <w:t xml:space="preserve"> Crueles, Inhumanos o Degradantes </w:t>
      </w:r>
      <w:r w:rsidR="00887F67">
        <w:t xml:space="preserve">señala que </w:t>
      </w:r>
      <w:r w:rsidRPr="00E20D41">
        <w:t>el término “privación de la libertad” que comprende cualquier lugar bajo la jurisdicción y el control del Estado donde se encuentren o puedan encontrarse personas privadas de su libertad, bien por orden de una autoridad pública o a instigación suya o con su consentimiento expreso o tácito. Esta definición corresponde a</w:t>
      </w:r>
      <w:r w:rsidR="00887F67">
        <w:t xml:space="preserve"> </w:t>
      </w:r>
      <w:r w:rsidRPr="00E20D41">
        <w:t>l</w:t>
      </w:r>
      <w:r w:rsidR="00887F67">
        <w:t>a</w:t>
      </w:r>
      <w:r w:rsidRPr="00E20D41">
        <w:t xml:space="preserve"> práctica de larga data de los mecanismo</w:t>
      </w:r>
      <w:r w:rsidR="00887F67">
        <w:t>s</w:t>
      </w:r>
      <w:r w:rsidRPr="00E20D41">
        <w:t xml:space="preserve"> internacionales y regionales de derechos humanos, </w:t>
      </w:r>
      <w:r w:rsidR="00887F67">
        <w:t xml:space="preserve">según cuya interpretación </w:t>
      </w:r>
      <w:r w:rsidRPr="00E20D41">
        <w:t xml:space="preserve">el término “privación de la libertad” </w:t>
      </w:r>
      <w:r w:rsidR="00887F67">
        <w:t>incluye</w:t>
      </w:r>
      <w:r w:rsidRPr="00E20D41">
        <w:t xml:space="preserve"> entornos que están fuera del sector de la justicia penal</w:t>
      </w:r>
      <w:r w:rsidRPr="00FA6C6A">
        <w:rPr>
          <w:color w:val="943634" w:themeColor="accent2" w:themeShade="BF"/>
          <w:vertAlign w:val="superscript"/>
        </w:rPr>
        <w:footnoteReference w:id="19"/>
      </w:r>
      <w:r w:rsidRPr="00E20D41">
        <w:t xml:space="preserve">. El problema del hacinamiento se extiende también a </w:t>
      </w:r>
      <w:r w:rsidR="00887F67">
        <w:t>esos</w:t>
      </w:r>
      <w:r w:rsidRPr="00E20D41">
        <w:t xml:space="preserve"> entornos, como los hospitales psiquiátricos</w:t>
      </w:r>
      <w:r w:rsidRPr="00FA6C6A">
        <w:rPr>
          <w:color w:val="943634" w:themeColor="accent2" w:themeShade="BF"/>
          <w:vertAlign w:val="superscript"/>
        </w:rPr>
        <w:footnoteReference w:id="20"/>
      </w:r>
      <w:r w:rsidRPr="00E20D41">
        <w:t>, diversos centros de retención de migrantes irregulares y solicitantes de asilo</w:t>
      </w:r>
      <w:r w:rsidRPr="00FA6C6A">
        <w:rPr>
          <w:color w:val="943634" w:themeColor="accent2" w:themeShade="BF"/>
          <w:vertAlign w:val="superscript"/>
        </w:rPr>
        <w:footnoteReference w:id="21"/>
      </w:r>
      <w:r w:rsidRPr="00E20D41">
        <w:t>, entre ellos los centros en el extranjero para la tramitación de las solicitudes de asilo</w:t>
      </w:r>
      <w:r w:rsidRPr="00FA6C6A">
        <w:rPr>
          <w:color w:val="943634" w:themeColor="accent2" w:themeShade="BF"/>
          <w:vertAlign w:val="superscript"/>
        </w:rPr>
        <w:footnoteReference w:id="22"/>
      </w:r>
      <w:r w:rsidRPr="00E20D41">
        <w:t xml:space="preserve"> y los lugares de retención temporal en aeropuertos</w:t>
      </w:r>
      <w:r w:rsidRPr="00FA6C6A">
        <w:rPr>
          <w:color w:val="943634" w:themeColor="accent2" w:themeShade="BF"/>
          <w:vertAlign w:val="superscript"/>
        </w:rPr>
        <w:footnoteReference w:id="23"/>
      </w:r>
      <w:r w:rsidRPr="00E20D41">
        <w:t>.</w:t>
      </w:r>
    </w:p>
    <w:p w:rsidR="0031157F" w:rsidRPr="00E20D41" w:rsidRDefault="0031157F" w:rsidP="00FA6C6A">
      <w:pPr>
        <w:pStyle w:val="SingleTxt"/>
        <w:numPr>
          <w:ilvl w:val="0"/>
          <w:numId w:val="9"/>
        </w:numPr>
        <w:tabs>
          <w:tab w:val="clear" w:pos="475"/>
          <w:tab w:val="num" w:pos="1742"/>
        </w:tabs>
        <w:ind w:left="1267"/>
      </w:pPr>
      <w:r w:rsidRPr="00E20D41">
        <w:t xml:space="preserve">El Consejo de Derechos Humanos, en su resolución 24/12, alentó a los Estados a ocuparse del problema del hacinamiento </w:t>
      </w:r>
      <w:r w:rsidR="00887F67">
        <w:t>en</w:t>
      </w:r>
      <w:r w:rsidRPr="00E20D41">
        <w:t xml:space="preserve"> los centros de reclusión adoptando medidas eficaces. En la misma resolución, pidió </w:t>
      </w:r>
      <w:r w:rsidR="00887F67">
        <w:t>a</w:t>
      </w:r>
      <w:r w:rsidRPr="00E20D41">
        <w:t>l Alto Comisionado de las Naciones Unidas para los Derechos Humanos que presentara un informe analítico sobre las repercusiones que tenía</w:t>
      </w:r>
      <w:r w:rsidR="00887F67">
        <w:t>n</w:t>
      </w:r>
      <w:r w:rsidRPr="00E20D41">
        <w:t xml:space="preserve"> para los derechos humanos el recurso excesivo a la privación de libertad y el hacinamiento carcelario, aprovechando la experiencia de los mecanismos de derechos humanos regionales y de las Naciones Unidas y solicitando las opiniones de los Estados, por ejemplo, sobre su experiencia en relación con </w:t>
      </w:r>
      <w:r w:rsidR="00887F67">
        <w:t>las alternativas a la detención</w:t>
      </w:r>
      <w:r w:rsidRPr="00E20D41">
        <w:t xml:space="preserve"> y las de otras partes interesadas. En respuesta a una nota verbal enviada por la Oficina del Alto Comisionado de las Naciones Unidas para los Derechos Humanos, 23 Estados y otras 22 entidades interesadas presentaron sus opiniones, que se pueden consultar en línea</w:t>
      </w:r>
      <w:r w:rsidRPr="00FA6C6A">
        <w:rPr>
          <w:color w:val="943634" w:themeColor="accent2" w:themeShade="BF"/>
          <w:vertAlign w:val="superscript"/>
        </w:rPr>
        <w:footnoteReference w:id="24"/>
      </w:r>
      <w:r w:rsidRPr="00E20D41">
        <w:t>.</w:t>
      </w:r>
    </w:p>
    <w:p w:rsidR="0031157F" w:rsidRDefault="0031157F" w:rsidP="00FA6C6A">
      <w:pPr>
        <w:pStyle w:val="SingleTxt"/>
        <w:numPr>
          <w:ilvl w:val="0"/>
          <w:numId w:val="9"/>
        </w:numPr>
        <w:tabs>
          <w:tab w:val="clear" w:pos="475"/>
          <w:tab w:val="num" w:pos="1742"/>
        </w:tabs>
        <w:ind w:left="1267"/>
      </w:pPr>
      <w:r w:rsidRPr="00E20D41">
        <w:t>En</w:t>
      </w:r>
      <w:r w:rsidR="00887F67">
        <w:t xml:space="preserve"> el</w:t>
      </w:r>
      <w:r w:rsidRPr="00E20D41">
        <w:t xml:space="preserve"> presente informe se analizan </w:t>
      </w:r>
      <w:r w:rsidR="00887F67">
        <w:t xml:space="preserve">los efectos </w:t>
      </w:r>
      <w:r w:rsidRPr="00E20D41">
        <w:t>para los derechos humanos del recurso excesivo a la privación de libertad y el hacinamiento carcelario, con inclusión de los efectos de estos dos fenómenos sobre los derechos humanos, las causas principales de ambos, recomendaciones sobre formas de hacer</w:t>
      </w:r>
      <w:r w:rsidR="00887F67">
        <w:t>les</w:t>
      </w:r>
      <w:r w:rsidRPr="00E20D41">
        <w:t xml:space="preserve"> frente y conclusiones.</w:t>
      </w:r>
    </w:p>
    <w:p w:rsidR="00887F67" w:rsidRPr="00887F67" w:rsidRDefault="00887F67" w:rsidP="00887F67">
      <w:pPr>
        <w:pStyle w:val="SingleTxt"/>
        <w:tabs>
          <w:tab w:val="clear" w:pos="1742"/>
        </w:tabs>
        <w:spacing w:after="0" w:line="120" w:lineRule="exact"/>
        <w:rPr>
          <w:sz w:val="10"/>
        </w:rPr>
      </w:pPr>
    </w:p>
    <w:p w:rsidR="00887F67" w:rsidRPr="00887F67" w:rsidRDefault="00887F67" w:rsidP="00887F67">
      <w:pPr>
        <w:pStyle w:val="SingleTxt"/>
        <w:tabs>
          <w:tab w:val="clear" w:pos="1742"/>
        </w:tabs>
        <w:spacing w:after="0" w:line="120" w:lineRule="exact"/>
        <w:rPr>
          <w:sz w:val="10"/>
        </w:rPr>
      </w:pPr>
    </w:p>
    <w:p w:rsidR="0031157F" w:rsidRDefault="00887F67" w:rsidP="00887F6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31157F" w:rsidRPr="00E20D41">
        <w:t>II.</w:t>
      </w:r>
      <w:r w:rsidR="0031157F" w:rsidRPr="00E20D41">
        <w:tab/>
      </w:r>
      <w:r>
        <w:t xml:space="preserve">Los efectos </w:t>
      </w:r>
      <w:r w:rsidR="0031157F" w:rsidRPr="00E20D41">
        <w:t xml:space="preserve">del recurso excesivo a la privación de libertad </w:t>
      </w:r>
      <w:r>
        <w:br/>
      </w:r>
      <w:r w:rsidR="0031157F" w:rsidRPr="00E20D41">
        <w:t>y el hacinamiento carcelario en los derechos humanos</w:t>
      </w:r>
    </w:p>
    <w:p w:rsidR="00887F67" w:rsidRPr="00887F67" w:rsidRDefault="00887F67" w:rsidP="00887F67">
      <w:pPr>
        <w:pStyle w:val="SingleTxt"/>
        <w:keepNext/>
        <w:spacing w:after="0" w:line="120" w:lineRule="exact"/>
        <w:rPr>
          <w:sz w:val="10"/>
        </w:rPr>
      </w:pPr>
    </w:p>
    <w:p w:rsidR="00887F67" w:rsidRPr="00887F67" w:rsidRDefault="00887F67" w:rsidP="00887F67">
      <w:pPr>
        <w:pStyle w:val="SingleTxt"/>
        <w:keepNext/>
        <w:spacing w:after="0" w:line="120" w:lineRule="exact"/>
        <w:rPr>
          <w:sz w:val="10"/>
        </w:rPr>
      </w:pPr>
    </w:p>
    <w:p w:rsidR="0031157F" w:rsidRDefault="0031157F" w:rsidP="00FA6C6A">
      <w:pPr>
        <w:pStyle w:val="SingleTxt"/>
        <w:numPr>
          <w:ilvl w:val="0"/>
          <w:numId w:val="9"/>
        </w:numPr>
        <w:tabs>
          <w:tab w:val="clear" w:pos="475"/>
          <w:tab w:val="num" w:pos="1742"/>
        </w:tabs>
        <w:ind w:left="1267"/>
      </w:pPr>
      <w:r w:rsidRPr="00E20D41">
        <w:t>El principal elemento que define la privación de libertad consiste en que los detenidos no pueden defenderse y protegerse</w:t>
      </w:r>
      <w:r w:rsidR="00734030">
        <w:t>,</w:t>
      </w:r>
      <w:r w:rsidRPr="00E20D41">
        <w:t xml:space="preserve"> ya que su vida cotidiana depende en gran medida de las decisiones que tome el personal de los establecimientos de detención</w:t>
      </w:r>
      <w:r w:rsidRPr="00FA6C6A">
        <w:rPr>
          <w:color w:val="943634" w:themeColor="accent2" w:themeShade="BF"/>
          <w:vertAlign w:val="superscript"/>
        </w:rPr>
        <w:footnoteReference w:id="25"/>
      </w:r>
      <w:r w:rsidRPr="00E20D41">
        <w:t>. Por lo tanto, el Estado que recurre a la privación de la libertad asume una obligación de cuidado</w:t>
      </w:r>
      <w:r w:rsidRPr="00FA6C6A">
        <w:rPr>
          <w:color w:val="943634" w:themeColor="accent2" w:themeShade="BF"/>
          <w:vertAlign w:val="superscript"/>
        </w:rPr>
        <w:footnoteReference w:id="26"/>
      </w:r>
      <w:r w:rsidRPr="00E20D41">
        <w:t xml:space="preserve"> y una responsabilidad especial</w:t>
      </w:r>
      <w:r w:rsidRPr="00FA6C6A">
        <w:rPr>
          <w:color w:val="943634" w:themeColor="accent2" w:themeShade="BF"/>
          <w:vertAlign w:val="superscript"/>
        </w:rPr>
        <w:footnoteReference w:id="27"/>
      </w:r>
      <w:r w:rsidRPr="00E20D41">
        <w:t xml:space="preserve"> respecto de los detenidos. En consecuencia, el incumplimiento de esta obligación puede entrañar responsabilidad del </w:t>
      </w:r>
      <w:r w:rsidR="00734030">
        <w:t>E</w:t>
      </w:r>
      <w:r w:rsidRPr="00E20D41">
        <w:t>stado</w:t>
      </w:r>
      <w:r w:rsidRPr="00FA6C6A">
        <w:rPr>
          <w:color w:val="943634" w:themeColor="accent2" w:themeShade="BF"/>
          <w:vertAlign w:val="superscript"/>
        </w:rPr>
        <w:footnoteReference w:id="28"/>
      </w:r>
      <w:r w:rsidRPr="00E20D41">
        <w:t xml:space="preserve"> e incluso responsabilidad internacional</w:t>
      </w:r>
      <w:r w:rsidRPr="00FA6C6A">
        <w:rPr>
          <w:color w:val="943634" w:themeColor="accent2" w:themeShade="BF"/>
          <w:vertAlign w:val="superscript"/>
        </w:rPr>
        <w:footnoteReference w:id="29"/>
      </w:r>
      <w:r w:rsidRPr="00E20D41">
        <w:t>. Exceptuando las restricciones legítimas que sean fehacientemente necesarias en razón del propio encarcelamiento, las autoridades del Estado deben asegurarse de que las personas privadas de su libertad puedan disfrutar de todos los derechos humanos.</w:t>
      </w:r>
    </w:p>
    <w:p w:rsidR="00734030" w:rsidRPr="00734030" w:rsidRDefault="00734030" w:rsidP="00734030">
      <w:pPr>
        <w:pStyle w:val="SingleTxt"/>
        <w:tabs>
          <w:tab w:val="clear" w:pos="1742"/>
        </w:tabs>
        <w:spacing w:after="0" w:line="120" w:lineRule="exact"/>
        <w:rPr>
          <w:sz w:val="10"/>
        </w:rPr>
      </w:pPr>
    </w:p>
    <w:p w:rsidR="00734030" w:rsidRPr="00734030" w:rsidRDefault="00734030" w:rsidP="00734030">
      <w:pPr>
        <w:pStyle w:val="SingleTxt"/>
        <w:tabs>
          <w:tab w:val="clear" w:pos="1742"/>
        </w:tabs>
        <w:spacing w:after="0" w:line="120" w:lineRule="exact"/>
        <w:rPr>
          <w:sz w:val="10"/>
        </w:rPr>
      </w:pPr>
    </w:p>
    <w:p w:rsidR="0031157F" w:rsidRDefault="00734030" w:rsidP="0073403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r>
      <w:r w:rsidR="0031157F" w:rsidRPr="00E20D41">
        <w:t>Derecho a la libertad y la seguridad</w:t>
      </w:r>
    </w:p>
    <w:p w:rsidR="00734030" w:rsidRPr="00734030" w:rsidRDefault="00734030" w:rsidP="00734030">
      <w:pPr>
        <w:pStyle w:val="SingleTxt"/>
        <w:spacing w:after="0" w:line="120" w:lineRule="exact"/>
        <w:rPr>
          <w:sz w:val="10"/>
        </w:rPr>
      </w:pPr>
    </w:p>
    <w:p w:rsidR="00734030" w:rsidRPr="00734030" w:rsidRDefault="00734030" w:rsidP="00734030">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Como destacó el Comité de Derechos Humanos, el derecho a la libertad y la seguridad de la persona es aplicable a todos, incluso los que han sido condenados por un delito</w:t>
      </w:r>
      <w:r w:rsidRPr="00FA6C6A">
        <w:rPr>
          <w:color w:val="943634" w:themeColor="accent2" w:themeShade="BF"/>
          <w:vertAlign w:val="superscript"/>
        </w:rPr>
        <w:footnoteReference w:id="30"/>
      </w:r>
      <w:r w:rsidRPr="00E20D41">
        <w:t>. Si bien los Estados tienen un amplio margen discrecional al formular su política penal, el derecho a la libertad de la persona enunciado en el artículo 9 del Pacto Internacional de Derechos Civiles y Políticos requiere que los Estados recurran a la privación de libertad solo en la medida en que sea necesaria para atender a una necesidad social apremiante y de forma proporcionada a esa necesidad</w:t>
      </w:r>
      <w:r w:rsidRPr="00FA6C6A">
        <w:rPr>
          <w:color w:val="943634" w:themeColor="accent2" w:themeShade="BF"/>
          <w:vertAlign w:val="superscript"/>
        </w:rPr>
        <w:footnoteReference w:id="31"/>
      </w:r>
      <w:r w:rsidRPr="00E20D41">
        <w:t>. Además, la privación de libertad no debe ser arbitraria y debe llevarse a cabo respetando el principio de legalidad</w:t>
      </w:r>
      <w:r w:rsidRPr="00FA6C6A">
        <w:rPr>
          <w:color w:val="943634" w:themeColor="accent2" w:themeShade="BF"/>
          <w:vertAlign w:val="superscript"/>
        </w:rPr>
        <w:footnoteReference w:id="32"/>
      </w:r>
      <w:r w:rsidRPr="00E20D41">
        <w:t>.</w:t>
      </w:r>
    </w:p>
    <w:p w:rsidR="0031157F" w:rsidRPr="00E20D41" w:rsidRDefault="0031157F" w:rsidP="00FA6C6A">
      <w:pPr>
        <w:pStyle w:val="SingleTxt"/>
        <w:numPr>
          <w:ilvl w:val="0"/>
          <w:numId w:val="9"/>
        </w:numPr>
        <w:tabs>
          <w:tab w:val="clear" w:pos="475"/>
          <w:tab w:val="num" w:pos="1742"/>
        </w:tabs>
        <w:ind w:left="1267"/>
      </w:pPr>
      <w:r w:rsidRPr="00E20D41">
        <w:t>Un</w:t>
      </w:r>
      <w:r w:rsidR="00734030">
        <w:t>a</w:t>
      </w:r>
      <w:r w:rsidRPr="00E20D41">
        <w:t xml:space="preserve"> de l</w:t>
      </w:r>
      <w:r w:rsidR="00AE6AFF">
        <w:t>a</w:t>
      </w:r>
      <w:r w:rsidRPr="00E20D41">
        <w:t xml:space="preserve">s salvaguardias fundamentales contra la privación arbitraria de la libertad consiste en el derecho de </w:t>
      </w:r>
      <w:r w:rsidR="00734030">
        <w:t xml:space="preserve">recurrir </w:t>
      </w:r>
      <w:r w:rsidRPr="00E20D41">
        <w:t>ante un tribunal para impugnar la legitimidad de la detención, derecho que es autónomo</w:t>
      </w:r>
      <w:r w:rsidRPr="00FA6C6A">
        <w:rPr>
          <w:color w:val="943634" w:themeColor="accent2" w:themeShade="BF"/>
          <w:vertAlign w:val="superscript"/>
        </w:rPr>
        <w:footnoteReference w:id="33"/>
      </w:r>
      <w:r w:rsidRPr="00E20D41">
        <w:t xml:space="preserve"> y no admite excepción</w:t>
      </w:r>
      <w:r w:rsidRPr="00FA6C6A">
        <w:rPr>
          <w:color w:val="943634" w:themeColor="accent2" w:themeShade="BF"/>
          <w:vertAlign w:val="superscript"/>
        </w:rPr>
        <w:footnoteReference w:id="34"/>
      </w:r>
      <w:r w:rsidRPr="00E20D41">
        <w:t>. Para que este derecho sea efectivo hay que observar principios tales como la imparcialidad del tribunal que exami</w:t>
      </w:r>
      <w:r w:rsidR="00FA6C6A">
        <w:t>na la detención, la asistencia</w:t>
      </w:r>
      <w:r w:rsidR="00734030">
        <w:t xml:space="preserve"> letrada</w:t>
      </w:r>
      <w:r w:rsidRPr="00E20D41">
        <w:t xml:space="preserve">, la posibilidad de asistencia </w:t>
      </w:r>
      <w:r w:rsidR="00734030">
        <w:t xml:space="preserve">judicial </w:t>
      </w:r>
      <w:r w:rsidRPr="00E20D41">
        <w:t>y que la carga de la prueba recaiga sobre las autoridades</w:t>
      </w:r>
      <w:r w:rsidRPr="00FA6C6A">
        <w:rPr>
          <w:color w:val="943634" w:themeColor="accent2" w:themeShade="BF"/>
          <w:vertAlign w:val="superscript"/>
        </w:rPr>
        <w:footnoteReference w:id="35"/>
      </w:r>
      <w:r w:rsidRPr="00E20D41">
        <w:t xml:space="preserve">. Sin embargo, numerosos órganos de derechos humanos han denunciado casos graves </w:t>
      </w:r>
      <w:r w:rsidR="00734030">
        <w:t xml:space="preserve">de vulneración </w:t>
      </w:r>
      <w:r w:rsidRPr="00E20D41">
        <w:t>del derecho a la libertad consistentes en la detención de personas sin justificación alguna</w:t>
      </w:r>
      <w:r w:rsidRPr="00FA6C6A">
        <w:rPr>
          <w:color w:val="943634" w:themeColor="accent2" w:themeShade="BF"/>
          <w:vertAlign w:val="superscript"/>
        </w:rPr>
        <w:footnoteReference w:id="36"/>
      </w:r>
      <w:r w:rsidRPr="00E20D41">
        <w:t>, en que los detenidos no son llevados prontamente ante un juez</w:t>
      </w:r>
      <w:r w:rsidRPr="00FA6C6A">
        <w:rPr>
          <w:color w:val="943634" w:themeColor="accent2" w:themeShade="BF"/>
          <w:vertAlign w:val="superscript"/>
        </w:rPr>
        <w:footnoteReference w:id="37"/>
      </w:r>
      <w:r w:rsidRPr="00E20D41">
        <w:t xml:space="preserve"> </w:t>
      </w:r>
      <w:r w:rsidR="00734030">
        <w:t>o</w:t>
      </w:r>
      <w:r w:rsidRPr="00E20D41">
        <w:t xml:space="preserve"> en que </w:t>
      </w:r>
      <w:r w:rsidR="00734030">
        <w:t xml:space="preserve">este </w:t>
      </w:r>
      <w:r w:rsidRPr="00E20D41">
        <w:t>no dicta con prontitud una decisión judicial relativa al mantenimiento de la detención</w:t>
      </w:r>
      <w:r w:rsidRPr="00FA6C6A">
        <w:rPr>
          <w:color w:val="943634" w:themeColor="accent2" w:themeShade="BF"/>
          <w:vertAlign w:val="superscript"/>
        </w:rPr>
        <w:footnoteReference w:id="38"/>
      </w:r>
      <w:r w:rsidRPr="00E20D41">
        <w:t>. Por otra parte, frecuentemente la posibilidad de que el detenido impugne el mantenimiento de su detención tropieza con el obstáculo que significa la falta de representación letrada y asistencia judicial e incluso la falta de jueces</w:t>
      </w:r>
      <w:r w:rsidRPr="00FA6C6A">
        <w:rPr>
          <w:color w:val="943634" w:themeColor="accent2" w:themeShade="BF"/>
          <w:vertAlign w:val="superscript"/>
        </w:rPr>
        <w:footnoteReference w:id="39"/>
      </w:r>
      <w:r w:rsidRPr="00E20D41">
        <w:t>.</w:t>
      </w:r>
    </w:p>
    <w:p w:rsidR="0031157F" w:rsidRPr="00E20D41" w:rsidRDefault="0031157F" w:rsidP="00FA6C6A">
      <w:pPr>
        <w:pStyle w:val="SingleTxt"/>
        <w:numPr>
          <w:ilvl w:val="0"/>
          <w:numId w:val="9"/>
        </w:numPr>
        <w:tabs>
          <w:tab w:val="clear" w:pos="475"/>
          <w:tab w:val="num" w:pos="1742"/>
        </w:tabs>
        <w:ind w:left="1267"/>
      </w:pPr>
      <w:r w:rsidRPr="00E20D41">
        <w:t>El Grupo de Trabajo sobre la Detención Arbitraria indicó que el principio más pertinente a la detención en espera de juicio era aquel por el cu</w:t>
      </w:r>
      <w:r w:rsidR="00AE6AFF">
        <w:t>a</w:t>
      </w:r>
      <w:r w:rsidRPr="00E20D41">
        <w:t>l la privación de libertad debía imponerse de forma proporcionada para atender a una necesidad pública apremiante</w:t>
      </w:r>
      <w:r w:rsidRPr="00FA6C6A">
        <w:rPr>
          <w:color w:val="943634" w:themeColor="accent2" w:themeShade="BF"/>
          <w:vertAlign w:val="superscript"/>
        </w:rPr>
        <w:footnoteReference w:id="40"/>
      </w:r>
      <w:r w:rsidRPr="00E20D41">
        <w:t>. Ello significa que la detención preventiva debe constituir una medida de último recurso. Sin embargo, algunos órganos internacionales</w:t>
      </w:r>
      <w:r w:rsidRPr="00FA6C6A">
        <w:rPr>
          <w:color w:val="943634" w:themeColor="accent2" w:themeShade="BF"/>
          <w:vertAlign w:val="superscript"/>
        </w:rPr>
        <w:footnoteReference w:id="41"/>
      </w:r>
      <w:r w:rsidRPr="00E20D41">
        <w:t xml:space="preserve"> y regionales</w:t>
      </w:r>
      <w:r w:rsidRPr="00FA6C6A">
        <w:rPr>
          <w:color w:val="943634" w:themeColor="accent2" w:themeShade="BF"/>
          <w:vertAlign w:val="superscript"/>
        </w:rPr>
        <w:footnoteReference w:id="42"/>
      </w:r>
      <w:r w:rsidRPr="00E20D41">
        <w:t xml:space="preserve"> han expresado preocupación por la utilización cada vez mayor de la detención preventiva y su duración excesiva y han indicado que constituye una importante contribución al hacinamiento carcelario</w:t>
      </w:r>
      <w:r w:rsidRPr="00FA6C6A">
        <w:rPr>
          <w:color w:val="943634" w:themeColor="accent2" w:themeShade="BF"/>
          <w:vertAlign w:val="superscript"/>
        </w:rPr>
        <w:footnoteReference w:id="43"/>
      </w:r>
      <w:r w:rsidRPr="00E20D41">
        <w:t>, al dar lugar a una situación en que, en algunas prisiones la mayoría de los reclusos están sujetos a detención preventiva</w:t>
      </w:r>
      <w:r w:rsidRPr="00FA6C6A">
        <w:rPr>
          <w:color w:val="943634" w:themeColor="accent2" w:themeShade="BF"/>
          <w:vertAlign w:val="superscript"/>
        </w:rPr>
        <w:footnoteReference w:id="44"/>
      </w:r>
      <w:r w:rsidRPr="00E20D41">
        <w:t>.</w:t>
      </w:r>
    </w:p>
    <w:p w:rsidR="0031157F" w:rsidRPr="00E20D41" w:rsidRDefault="00F74924" w:rsidP="00FA6C6A">
      <w:pPr>
        <w:pStyle w:val="SingleTxt"/>
        <w:numPr>
          <w:ilvl w:val="0"/>
          <w:numId w:val="9"/>
        </w:numPr>
        <w:tabs>
          <w:tab w:val="clear" w:pos="475"/>
          <w:tab w:val="num" w:pos="1742"/>
        </w:tabs>
        <w:ind w:left="1267"/>
      </w:pPr>
      <w:r>
        <w:t>Se h</w:t>
      </w:r>
      <w:r w:rsidR="0031157F" w:rsidRPr="00E20D41">
        <w:t xml:space="preserve">a indicado también que, en algunos Estados, la situación de hacinamiento hace difícil supervisar la ejecución de cada pena. Ello vulnera el derecho a la libertad personal de quienes han cumplido ya sus condenas y no </w:t>
      </w:r>
      <w:r>
        <w:t xml:space="preserve">son puestos </w:t>
      </w:r>
      <w:r w:rsidR="0031157F" w:rsidRPr="00E20D41">
        <w:t>prontamente en libertad</w:t>
      </w:r>
      <w:r w:rsidR="0031157F" w:rsidRPr="00FA6C6A">
        <w:rPr>
          <w:color w:val="943634" w:themeColor="accent2" w:themeShade="BF"/>
          <w:vertAlign w:val="superscript"/>
        </w:rPr>
        <w:footnoteReference w:id="45"/>
      </w:r>
      <w:r w:rsidR="0031157F" w:rsidRPr="00E20D41">
        <w:t>.</w:t>
      </w:r>
    </w:p>
    <w:p w:rsidR="0031157F" w:rsidRPr="00E20D41" w:rsidRDefault="0031157F" w:rsidP="00FA6C6A">
      <w:pPr>
        <w:pStyle w:val="SingleTxt"/>
        <w:numPr>
          <w:ilvl w:val="0"/>
          <w:numId w:val="9"/>
        </w:numPr>
        <w:tabs>
          <w:tab w:val="clear" w:pos="475"/>
          <w:tab w:val="num" w:pos="1742"/>
        </w:tabs>
        <w:ind w:left="1267"/>
      </w:pPr>
      <w:r w:rsidRPr="00E20D41">
        <w:t>Se ha expresado también preocupación por las prácticas de la prisión preventiva</w:t>
      </w:r>
      <w:r w:rsidRPr="00FA6C6A">
        <w:rPr>
          <w:color w:val="943634" w:themeColor="accent2" w:themeShade="BF"/>
          <w:vertAlign w:val="superscript"/>
        </w:rPr>
        <w:footnoteReference w:id="46"/>
      </w:r>
      <w:r w:rsidRPr="00E20D41">
        <w:t xml:space="preserve"> y la prisión preventiva después de la condena</w:t>
      </w:r>
      <w:r w:rsidRPr="00FA6C6A">
        <w:rPr>
          <w:color w:val="943634" w:themeColor="accent2" w:themeShade="BF"/>
          <w:vertAlign w:val="superscript"/>
        </w:rPr>
        <w:footnoteReference w:id="47"/>
      </w:r>
      <w:r w:rsidRPr="00E20D41">
        <w:t xml:space="preserve"> a que recurr</w:t>
      </w:r>
      <w:r w:rsidR="00F74924">
        <w:t>e</w:t>
      </w:r>
      <w:r w:rsidRPr="00E20D41">
        <w:t>n algunos Estados, pues ambas vulneran el derecho a la libertad y contribuyen al problema del recurso excesivo a la privación de libertad y el hacinamiento carcelario.</w:t>
      </w:r>
    </w:p>
    <w:p w:rsidR="0031157F" w:rsidRDefault="0031157F" w:rsidP="00FA6C6A">
      <w:pPr>
        <w:pStyle w:val="SingleTxt"/>
        <w:numPr>
          <w:ilvl w:val="0"/>
          <w:numId w:val="9"/>
        </w:numPr>
        <w:tabs>
          <w:tab w:val="clear" w:pos="475"/>
          <w:tab w:val="num" w:pos="1742"/>
        </w:tabs>
        <w:ind w:left="1267"/>
      </w:pPr>
      <w:r w:rsidRPr="00E20D41">
        <w:t>Las autoridades encargadas de los centros de detención tienen una obligación de cuidado respecto de los detenidos</w:t>
      </w:r>
      <w:r w:rsidRPr="00FA6C6A">
        <w:rPr>
          <w:color w:val="943634" w:themeColor="accent2" w:themeShade="BF"/>
          <w:vertAlign w:val="superscript"/>
        </w:rPr>
        <w:footnoteReference w:id="48"/>
      </w:r>
      <w:r w:rsidRPr="00E20D41">
        <w:t xml:space="preserve">, que suelen </w:t>
      </w:r>
      <w:r w:rsidR="00F74924">
        <w:t xml:space="preserve">desestimar </w:t>
      </w:r>
      <w:r w:rsidRPr="00E20D41">
        <w:t xml:space="preserve">porque, en razón del hacinamiento, los recursos carcelarios son insuficientes </w:t>
      </w:r>
      <w:r w:rsidR="00F74924">
        <w:t xml:space="preserve">y también </w:t>
      </w:r>
      <w:r w:rsidRPr="00E20D41">
        <w:t xml:space="preserve">lo es el personal correccional </w:t>
      </w:r>
      <w:r w:rsidR="00F74924">
        <w:t xml:space="preserve">en relación con el </w:t>
      </w:r>
      <w:r w:rsidRPr="00E20D41">
        <w:t>número de detenidos. Se producen así graves vulneraciones del derecho de los detenidos a la seguridad y casos en que las autoridades no los protegen de actos de violencia entre ellos</w:t>
      </w:r>
      <w:r w:rsidRPr="00FA6C6A">
        <w:rPr>
          <w:color w:val="943634" w:themeColor="accent2" w:themeShade="BF"/>
          <w:vertAlign w:val="superscript"/>
        </w:rPr>
        <w:footnoteReference w:id="49"/>
      </w:r>
      <w:r w:rsidRPr="00E20D41">
        <w:t>. En razón del hacinamiento surgen también tensiones entre el personal y los detenidos</w:t>
      </w:r>
      <w:r w:rsidRPr="00FA6C6A">
        <w:rPr>
          <w:color w:val="943634" w:themeColor="accent2" w:themeShade="BF"/>
          <w:vertAlign w:val="superscript"/>
        </w:rPr>
        <w:footnoteReference w:id="50"/>
      </w:r>
      <w:r w:rsidRPr="00E20D41">
        <w:t>, lo que puede tener graves efectos en cuanto a la disciplina</w:t>
      </w:r>
      <w:r w:rsidRPr="00FA6C6A">
        <w:rPr>
          <w:color w:val="943634" w:themeColor="accent2" w:themeShade="BF"/>
          <w:vertAlign w:val="superscript"/>
        </w:rPr>
        <w:footnoteReference w:id="51"/>
      </w:r>
      <w:r w:rsidRPr="00E20D41">
        <w:t xml:space="preserve">, </w:t>
      </w:r>
      <w:r w:rsidR="00F74924">
        <w:t xml:space="preserve">y dar lugar </w:t>
      </w:r>
      <w:r w:rsidRPr="00E20D41">
        <w:t xml:space="preserve">a que manden los </w:t>
      </w:r>
      <w:r w:rsidR="00F74924">
        <w:t xml:space="preserve">presos </w:t>
      </w:r>
      <w:r w:rsidRPr="00E20D41">
        <w:t>más poderosos</w:t>
      </w:r>
      <w:r w:rsidRPr="00FA6C6A">
        <w:rPr>
          <w:color w:val="943634" w:themeColor="accent2" w:themeShade="BF"/>
          <w:vertAlign w:val="superscript"/>
        </w:rPr>
        <w:footnoteReference w:id="52"/>
      </w:r>
      <w:r w:rsidRPr="00E20D41">
        <w:t xml:space="preserve"> y a que se produzcan motines, disturbios y huelgas de hambre para protestar </w:t>
      </w:r>
      <w:r w:rsidR="00F74924">
        <w:t xml:space="preserve">contra </w:t>
      </w:r>
      <w:r w:rsidRPr="00E20D41">
        <w:t>las condiciones de detención</w:t>
      </w:r>
      <w:r w:rsidRPr="00FA6C6A">
        <w:rPr>
          <w:color w:val="943634" w:themeColor="accent2" w:themeShade="BF"/>
          <w:vertAlign w:val="superscript"/>
        </w:rPr>
        <w:footnoteReference w:id="53"/>
      </w:r>
      <w:r w:rsidRPr="00E20D41">
        <w:t>.</w:t>
      </w:r>
      <w:r w:rsidR="00F74924">
        <w:t xml:space="preserve"> Además, el hacinamiento en los lugares de detención puede ser tan extremo que las autoridades no están en condiciones de proteger a los detenidos en casos de emergencia como inundaciones o incendios</w:t>
      </w:r>
      <w:r w:rsidR="00B31ABE">
        <w:rPr>
          <w:rStyle w:val="FootnoteReference"/>
        </w:rPr>
        <w:footnoteReference w:id="54"/>
      </w:r>
      <w:r w:rsidR="00F74924">
        <w:t>, lo que a su vez puede vulnerar su derecho a la vida</w:t>
      </w:r>
      <w:r w:rsidR="0048064A" w:rsidRPr="00FA6C6A">
        <w:rPr>
          <w:color w:val="943634" w:themeColor="accent2" w:themeShade="BF"/>
          <w:vertAlign w:val="superscript"/>
        </w:rPr>
        <w:footnoteReference w:id="55"/>
      </w:r>
      <w:r w:rsidR="00F74924">
        <w:t>.</w:t>
      </w:r>
    </w:p>
    <w:p w:rsidR="009841BE" w:rsidRPr="009841BE" w:rsidRDefault="009841BE" w:rsidP="009841BE">
      <w:pPr>
        <w:pStyle w:val="SingleTxt"/>
        <w:tabs>
          <w:tab w:val="clear" w:pos="1742"/>
        </w:tabs>
        <w:spacing w:after="0" w:line="120" w:lineRule="exact"/>
        <w:rPr>
          <w:sz w:val="10"/>
        </w:rPr>
      </w:pPr>
    </w:p>
    <w:p w:rsidR="009841BE" w:rsidRPr="009841BE" w:rsidRDefault="009841BE" w:rsidP="009841BE">
      <w:pPr>
        <w:pStyle w:val="SingleTxt"/>
        <w:tabs>
          <w:tab w:val="clear" w:pos="1742"/>
        </w:tabs>
        <w:spacing w:after="0" w:line="120" w:lineRule="exact"/>
        <w:rPr>
          <w:sz w:val="10"/>
        </w:rPr>
      </w:pPr>
    </w:p>
    <w:p w:rsidR="0031157F" w:rsidRDefault="009841BE" w:rsidP="009841B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r>
      <w:r w:rsidR="0031157F" w:rsidRPr="00E20D41">
        <w:t>Derecho a no ser sometido a tortura u otros tratos o castigos inhumanos o degradantes</w:t>
      </w:r>
    </w:p>
    <w:p w:rsidR="009841BE" w:rsidRPr="009841BE" w:rsidRDefault="009841BE" w:rsidP="009841BE">
      <w:pPr>
        <w:pStyle w:val="SingleTxt"/>
        <w:spacing w:after="0" w:line="120" w:lineRule="exact"/>
        <w:rPr>
          <w:sz w:val="10"/>
        </w:rPr>
      </w:pPr>
    </w:p>
    <w:p w:rsidR="009841BE" w:rsidRPr="009841BE" w:rsidRDefault="009841BE" w:rsidP="009841BE">
      <w:pPr>
        <w:pStyle w:val="SingleTxt"/>
        <w:spacing w:after="0" w:line="120" w:lineRule="exact"/>
        <w:rPr>
          <w:sz w:val="10"/>
        </w:rPr>
      </w:pPr>
    </w:p>
    <w:p w:rsidR="0031157F" w:rsidRDefault="0031157F" w:rsidP="00FA6C6A">
      <w:pPr>
        <w:pStyle w:val="SingleTxt"/>
        <w:numPr>
          <w:ilvl w:val="0"/>
          <w:numId w:val="9"/>
        </w:numPr>
        <w:tabs>
          <w:tab w:val="clear" w:pos="475"/>
          <w:tab w:val="num" w:pos="1742"/>
        </w:tabs>
        <w:ind w:left="1267"/>
      </w:pPr>
      <w:r w:rsidRPr="00E20D41">
        <w:t>Se ha establecido que el hacinamiento constituye una forma grave de malos tratos</w:t>
      </w:r>
      <w:r w:rsidR="0048064A">
        <w:rPr>
          <w:rStyle w:val="FootnoteReference"/>
        </w:rPr>
        <w:footnoteReference w:id="56"/>
      </w:r>
      <w:r w:rsidRPr="00E20D41">
        <w:t>, trato inhumano o degradante</w:t>
      </w:r>
      <w:r w:rsidR="00B40757" w:rsidRPr="00FA6C6A">
        <w:rPr>
          <w:color w:val="943634" w:themeColor="accent2" w:themeShade="BF"/>
          <w:vertAlign w:val="superscript"/>
        </w:rPr>
        <w:footnoteReference w:id="57"/>
      </w:r>
      <w:r w:rsidRPr="00E20D41">
        <w:t xml:space="preserve"> e incluso tortura</w:t>
      </w:r>
      <w:r w:rsidR="00B40757" w:rsidRPr="00FA6C6A">
        <w:rPr>
          <w:color w:val="943634" w:themeColor="accent2" w:themeShade="BF"/>
          <w:vertAlign w:val="superscript"/>
        </w:rPr>
        <w:footnoteReference w:id="58"/>
      </w:r>
      <w:r w:rsidRPr="00E20D41">
        <w:t xml:space="preserve">. </w:t>
      </w:r>
      <w:r w:rsidR="00E3606D">
        <w:t>El hacinamiento agrava las malas condiciones materiales, que afectan a quienes viven o trabajan en lugares de detención</w:t>
      </w:r>
      <w:r w:rsidRPr="00E20D41">
        <w:t>.</w:t>
      </w:r>
      <w:r w:rsidR="00E3606D">
        <w:t xml:space="preserve"> Contribuye a que haya tensión y se deterioren las relaciones entre reclusos o entre ellos y el personal, lo cual a su vez aumenta el peligro de malos tratos</w:t>
      </w:r>
      <w:r w:rsidR="00B40757" w:rsidRPr="00FA6C6A">
        <w:rPr>
          <w:color w:val="943634" w:themeColor="accent2" w:themeShade="BF"/>
          <w:vertAlign w:val="superscript"/>
        </w:rPr>
        <w:footnoteReference w:id="59"/>
      </w:r>
      <w:r w:rsidR="00E3606D">
        <w:t>.</w:t>
      </w:r>
    </w:p>
    <w:p w:rsidR="0031157F" w:rsidRDefault="0031157F" w:rsidP="00FA6C6A">
      <w:pPr>
        <w:pStyle w:val="SingleTxt"/>
        <w:numPr>
          <w:ilvl w:val="0"/>
          <w:numId w:val="9"/>
        </w:numPr>
        <w:tabs>
          <w:tab w:val="clear" w:pos="475"/>
          <w:tab w:val="num" w:pos="1742"/>
        </w:tabs>
        <w:ind w:left="1267"/>
      </w:pPr>
      <w:r w:rsidRPr="00E20D41">
        <w:t xml:space="preserve">Algunos mecanismos de derechos humanos tanto internacionales como regionales han </w:t>
      </w:r>
      <w:r w:rsidR="00E3606D">
        <w:t xml:space="preserve">constatado </w:t>
      </w:r>
      <w:r w:rsidRPr="00E20D41">
        <w:t xml:space="preserve">infracciones de la prohibición de la tortura </w:t>
      </w:r>
      <w:r w:rsidR="00E3606D">
        <w:t xml:space="preserve">debidas al hacinamiento </w:t>
      </w:r>
      <w:r w:rsidRPr="00E20D41">
        <w:t>pues se obliga a los detenidos a vivir durante períodos prolongados en condiciones materiales deplorables</w:t>
      </w:r>
      <w:r w:rsidR="00B40757" w:rsidRPr="00FA6C6A">
        <w:rPr>
          <w:color w:val="943634" w:themeColor="accent2" w:themeShade="BF"/>
          <w:vertAlign w:val="superscript"/>
        </w:rPr>
        <w:footnoteReference w:id="60"/>
      </w:r>
      <w:r w:rsidRPr="00E20D41">
        <w:t xml:space="preserve">, </w:t>
      </w:r>
      <w:r w:rsidR="00E3606D">
        <w:t xml:space="preserve">y </w:t>
      </w:r>
      <w:r w:rsidRPr="00E20D41">
        <w:t>no aptas para una existencia humana y digna</w:t>
      </w:r>
      <w:r w:rsidR="00B40757" w:rsidRPr="00FA6C6A">
        <w:rPr>
          <w:color w:val="943634" w:themeColor="accent2" w:themeShade="BF"/>
          <w:vertAlign w:val="superscript"/>
        </w:rPr>
        <w:footnoteReference w:id="61"/>
      </w:r>
      <w:r w:rsidRPr="00E20D41">
        <w:t xml:space="preserve">; asimismo, las condiciones higiénicas son muy deficientes y </w:t>
      </w:r>
      <w:r w:rsidR="00E3606D">
        <w:t xml:space="preserve">no hay </w:t>
      </w:r>
      <w:r w:rsidRPr="00E20D41">
        <w:t>actividades externas</w:t>
      </w:r>
      <w:r w:rsidR="00B40757" w:rsidRPr="00FA6C6A">
        <w:rPr>
          <w:color w:val="943634" w:themeColor="accent2" w:themeShade="BF"/>
          <w:vertAlign w:val="superscript"/>
        </w:rPr>
        <w:footnoteReference w:id="62"/>
      </w:r>
      <w:r w:rsidR="00B40757">
        <w:t xml:space="preserve"> </w:t>
      </w:r>
      <w:r w:rsidR="00E3606D">
        <w:t xml:space="preserve">o </w:t>
      </w:r>
      <w:r w:rsidRPr="00E20D41">
        <w:t>una nutrición adecuada ni se puede recurrir a servicios de salud</w:t>
      </w:r>
      <w:r w:rsidR="00B40757" w:rsidRPr="00FA6C6A">
        <w:rPr>
          <w:color w:val="943634" w:themeColor="accent2" w:themeShade="BF"/>
          <w:vertAlign w:val="superscript"/>
        </w:rPr>
        <w:footnoteReference w:id="63"/>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B8621F" w:rsidP="00B8621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C.</w:t>
      </w:r>
      <w:r>
        <w:tab/>
      </w:r>
      <w:r w:rsidR="0031157F" w:rsidRPr="00E20D41">
        <w:t>Derecho a la salud</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814F4D" w:rsidP="00FA6C6A">
      <w:pPr>
        <w:pStyle w:val="SingleTxt"/>
        <w:numPr>
          <w:ilvl w:val="0"/>
          <w:numId w:val="9"/>
        </w:numPr>
        <w:tabs>
          <w:tab w:val="clear" w:pos="475"/>
          <w:tab w:val="num" w:pos="1742"/>
        </w:tabs>
        <w:ind w:left="1267"/>
      </w:pPr>
      <w:r>
        <w:t>Los Estados deben respetar el derecho a la salud y cerciorarse de que todos, incluidos los reclusos o detenidos, tengan servi</w:t>
      </w:r>
      <w:r w:rsidR="00200B6A">
        <w:t>cios preventiv</w:t>
      </w:r>
      <w:r>
        <w:t>os</w:t>
      </w:r>
      <w:r w:rsidR="00AE6AFF">
        <w:t>,</w:t>
      </w:r>
      <w:r>
        <w:t xml:space="preserve"> curativos y paliativos de salud</w:t>
      </w:r>
      <w:r w:rsidRPr="00FA6C6A">
        <w:rPr>
          <w:color w:val="943634" w:themeColor="accent2" w:themeShade="BF"/>
          <w:vertAlign w:val="superscript"/>
        </w:rPr>
        <w:footnoteReference w:id="64"/>
      </w:r>
      <w:r>
        <w:t xml:space="preserve">. El Relator Especial sobre el derecho de toda persona al disfrute del más alto nivel posible de salud física y mental ha indicado expresamente la relación entre la utilización </w:t>
      </w:r>
      <w:r w:rsidR="002566F2">
        <w:t>excesiva</w:t>
      </w:r>
      <w:r>
        <w:t xml:space="preserve"> de la privación de la libertad</w:t>
      </w:r>
      <w:r w:rsidR="00B40757" w:rsidRPr="00FA6C6A">
        <w:rPr>
          <w:color w:val="943634" w:themeColor="accent2" w:themeShade="BF"/>
          <w:vertAlign w:val="superscript"/>
        </w:rPr>
        <w:footnoteReference w:id="65"/>
      </w:r>
      <w:r>
        <w:t>, el hacinamiento y la vulneración del derecho a la salud</w:t>
      </w:r>
      <w:r w:rsidR="0031157F" w:rsidRPr="00FA6C6A">
        <w:rPr>
          <w:color w:val="943634" w:themeColor="accent2" w:themeShade="BF"/>
          <w:vertAlign w:val="superscript"/>
        </w:rPr>
        <w:footnoteReference w:id="66"/>
      </w:r>
      <w:r w:rsidR="0031157F" w:rsidRPr="00E20D41">
        <w:t>,</w:t>
      </w:r>
      <w:r>
        <w:t xml:space="preserve"> especialmente en relación con la propagación de enfermedades infecciosas y transm</w:t>
      </w:r>
      <w:r w:rsidR="00200B6A">
        <w:t>i</w:t>
      </w:r>
      <w:r>
        <w:t>sibles, como la tuberculosis</w:t>
      </w:r>
      <w:r w:rsidR="0031157F" w:rsidRPr="00FA6C6A">
        <w:rPr>
          <w:color w:val="943634" w:themeColor="accent2" w:themeShade="BF"/>
          <w:vertAlign w:val="superscript"/>
        </w:rPr>
        <w:footnoteReference w:id="67"/>
      </w:r>
      <w:r w:rsidR="00B37494">
        <w:t xml:space="preserve"> y la </w:t>
      </w:r>
      <w:r w:rsidR="00200B6A">
        <w:t>hepatitis</w:t>
      </w:r>
      <w:r w:rsidR="00B37494">
        <w:t xml:space="preserve"> C</w:t>
      </w:r>
      <w:r w:rsidR="0031157F" w:rsidRPr="00FA6C6A">
        <w:rPr>
          <w:color w:val="943634" w:themeColor="accent2" w:themeShade="BF"/>
          <w:vertAlign w:val="superscript"/>
        </w:rPr>
        <w:footnoteReference w:id="68"/>
      </w:r>
      <w:r w:rsidR="00B37494">
        <w:t>. Ello significa un riesgo no solamente para la salud de otros detenidos, sino también para el personal carcelario e incluso para la población en general cuando los reclusos quedan en libertad</w:t>
      </w:r>
      <w:r w:rsidR="0031157F" w:rsidRPr="00FA6C6A">
        <w:rPr>
          <w:color w:val="943634" w:themeColor="accent2" w:themeShade="BF"/>
          <w:vertAlign w:val="superscript"/>
        </w:rPr>
        <w:footnoteReference w:id="69"/>
      </w:r>
      <w:r w:rsidR="0031157F" w:rsidRPr="00E20D41">
        <w:t>.</w:t>
      </w:r>
    </w:p>
    <w:p w:rsidR="0031157F" w:rsidRPr="00E20D41" w:rsidRDefault="0031157F" w:rsidP="00FA6C6A">
      <w:pPr>
        <w:pStyle w:val="SingleTxt"/>
        <w:numPr>
          <w:ilvl w:val="0"/>
          <w:numId w:val="9"/>
        </w:numPr>
        <w:tabs>
          <w:tab w:val="clear" w:pos="475"/>
          <w:tab w:val="num" w:pos="1742"/>
        </w:tabs>
        <w:ind w:left="1267"/>
      </w:pPr>
      <w:r w:rsidRPr="00E20D41">
        <w:t xml:space="preserve">Otros órganos de derechos humanos, tanto de las Naciones Unidas como regionales, se han referido también a los efectos negativos </w:t>
      </w:r>
      <w:r w:rsidR="00B37494">
        <w:t xml:space="preserve">que tiene </w:t>
      </w:r>
      <w:r w:rsidRPr="00E20D41">
        <w:t>el hacinamiento en el derecho a la salud de los detenidos cuando se les niega</w:t>
      </w:r>
      <w:r w:rsidRPr="00FA6C6A">
        <w:rPr>
          <w:color w:val="943634" w:themeColor="accent2" w:themeShade="BF"/>
          <w:vertAlign w:val="superscript"/>
        </w:rPr>
        <w:footnoteReference w:id="70"/>
      </w:r>
      <w:r w:rsidRPr="00E20D41">
        <w:t xml:space="preserve"> tratamiento médico o este es insuficiente</w:t>
      </w:r>
      <w:r w:rsidRPr="00FA6C6A">
        <w:rPr>
          <w:color w:val="943634" w:themeColor="accent2" w:themeShade="BF"/>
          <w:vertAlign w:val="superscript"/>
        </w:rPr>
        <w:footnoteReference w:id="71"/>
      </w:r>
      <w:r w:rsidRPr="00E20D41">
        <w:t>, los servicios de salud mental son insuficientes</w:t>
      </w:r>
      <w:r w:rsidRPr="00FA6C6A">
        <w:rPr>
          <w:color w:val="943634" w:themeColor="accent2" w:themeShade="BF"/>
          <w:vertAlign w:val="superscript"/>
        </w:rPr>
        <w:footnoteReference w:id="72"/>
      </w:r>
      <w:r w:rsidRPr="00E20D41">
        <w:t>, no hay profesionales de la salud en los lugares de detención</w:t>
      </w:r>
      <w:r w:rsidRPr="00FA6C6A">
        <w:rPr>
          <w:color w:val="943634" w:themeColor="accent2" w:themeShade="BF"/>
          <w:vertAlign w:val="superscript"/>
        </w:rPr>
        <w:footnoteReference w:id="73"/>
      </w:r>
      <w:r w:rsidRPr="00E20D41">
        <w:t>, no se aplican programas eficaces para reducir daños o no se ofrece tratamiento de la drogodependencia</w:t>
      </w:r>
      <w:r w:rsidRPr="00FA6C6A">
        <w:rPr>
          <w:color w:val="943634" w:themeColor="accent2" w:themeShade="BF"/>
          <w:vertAlign w:val="superscript"/>
        </w:rPr>
        <w:footnoteReference w:id="74"/>
      </w:r>
      <w:r w:rsidRPr="00E20D41">
        <w:t>. Se ha determinado también que el hacinamiento es una de las causas profundas de enfermedades que pod</w:t>
      </w:r>
      <w:r w:rsidR="00B37494">
        <w:t>r</w:t>
      </w:r>
      <w:r w:rsidRPr="00E20D41">
        <w:t>ían prevenirse por completo</w:t>
      </w:r>
      <w:r w:rsidRPr="00FA6C6A">
        <w:rPr>
          <w:color w:val="943634" w:themeColor="accent2" w:themeShade="BF"/>
          <w:vertAlign w:val="superscript"/>
        </w:rPr>
        <w:footnoteReference w:id="75"/>
      </w:r>
      <w:r w:rsidRPr="00E20D41">
        <w:t>.</w:t>
      </w:r>
    </w:p>
    <w:p w:rsidR="0031157F" w:rsidRDefault="0031157F" w:rsidP="00FA6C6A">
      <w:pPr>
        <w:pStyle w:val="SingleTxt"/>
        <w:numPr>
          <w:ilvl w:val="0"/>
          <w:numId w:val="9"/>
        </w:numPr>
        <w:tabs>
          <w:tab w:val="clear" w:pos="475"/>
          <w:tab w:val="num" w:pos="1742"/>
        </w:tabs>
        <w:ind w:left="1267"/>
      </w:pPr>
      <w:r w:rsidRPr="00E20D41">
        <w:t>Existen también diversos factores relacionados con el hacinamiento que inciden en la nega</w:t>
      </w:r>
      <w:r w:rsidR="00B37494">
        <w:t>ción</w:t>
      </w:r>
      <w:r w:rsidRPr="00E20D41">
        <w:t xml:space="preserve"> del derecho a la salud, como, por ejemplo, la mala ventilación y la escasa luz natural en los lugares de detención</w:t>
      </w:r>
      <w:r w:rsidRPr="00FA6C6A">
        <w:rPr>
          <w:color w:val="943634" w:themeColor="accent2" w:themeShade="BF"/>
          <w:vertAlign w:val="superscript"/>
        </w:rPr>
        <w:footnoteReference w:id="76"/>
      </w:r>
      <w:r w:rsidRPr="00E20D41">
        <w:t>, las temperaturas extremas</w:t>
      </w:r>
      <w:r w:rsidRPr="00FA6C6A">
        <w:rPr>
          <w:color w:val="943634" w:themeColor="accent2" w:themeShade="BF"/>
          <w:vertAlign w:val="superscript"/>
        </w:rPr>
        <w:footnoteReference w:id="77"/>
      </w:r>
      <w:r w:rsidRPr="00E20D41">
        <w:t xml:space="preserve">, los </w:t>
      </w:r>
      <w:r w:rsidR="00B37494">
        <w:t xml:space="preserve">bajos </w:t>
      </w:r>
      <w:r w:rsidRPr="00E20D41">
        <w:t>estándares de higiene y saneamiento</w:t>
      </w:r>
      <w:r w:rsidRPr="00FA6C6A">
        <w:rPr>
          <w:color w:val="943634" w:themeColor="accent2" w:themeShade="BF"/>
          <w:vertAlign w:val="superscript"/>
        </w:rPr>
        <w:footnoteReference w:id="78"/>
      </w:r>
      <w:r w:rsidRPr="00E20D41">
        <w:t>, los medios insuficientes de higiene personal</w:t>
      </w:r>
      <w:r w:rsidRPr="00FA6C6A">
        <w:rPr>
          <w:color w:val="943634" w:themeColor="accent2" w:themeShade="BF"/>
          <w:vertAlign w:val="superscript"/>
        </w:rPr>
        <w:footnoteReference w:id="79"/>
      </w:r>
      <w:r w:rsidRPr="00E20D41">
        <w:t xml:space="preserve"> y la infestación de insectos y gusanos</w:t>
      </w:r>
      <w:r w:rsidRPr="00FA6C6A">
        <w:rPr>
          <w:color w:val="943634" w:themeColor="accent2" w:themeShade="BF"/>
          <w:vertAlign w:val="superscript"/>
        </w:rPr>
        <w:footnoteReference w:id="80"/>
      </w:r>
      <w:r w:rsidRPr="00E20D41">
        <w:t>. En última instancia, la vulneración del derecho a la salud puede redundar en desmedro del derecho de los detenidos a la vida</w:t>
      </w:r>
      <w:r w:rsidRPr="00FA6C6A">
        <w:rPr>
          <w:color w:val="943634" w:themeColor="accent2" w:themeShade="BF"/>
          <w:vertAlign w:val="superscript"/>
        </w:rPr>
        <w:footnoteReference w:id="81"/>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tab/>
      </w:r>
      <w:r w:rsidR="0031157F" w:rsidRPr="00E20D41">
        <w:t>Derecho a alimentación, agua y saneamiento</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B37494" w:rsidP="00FA6C6A">
      <w:pPr>
        <w:pStyle w:val="SingleTxt"/>
        <w:numPr>
          <w:ilvl w:val="0"/>
          <w:numId w:val="9"/>
        </w:numPr>
        <w:tabs>
          <w:tab w:val="clear" w:pos="475"/>
          <w:tab w:val="num" w:pos="1742"/>
        </w:tabs>
        <w:ind w:left="1267"/>
      </w:pPr>
      <w:r>
        <w:t xml:space="preserve">El Relator Especial sobre el derecho humano al agua potable y el saneamiento insistió en que la falta de saneamiento podía equivaler a un trato inhumano o degradante en ciertas circunstancias, especialmente en el contexto de la detención. Señaló </w:t>
      </w:r>
      <w:r w:rsidR="0031157F" w:rsidRPr="00E20D41">
        <w:t>que el hacinamiento en los centros de detención podía también redundar en grave desmedro de la capacidad de las autoridades para asegurar que haya agua potable y un saneamiento adecuado</w:t>
      </w:r>
      <w:r w:rsidR="0031157F" w:rsidRPr="00FA6C6A">
        <w:rPr>
          <w:color w:val="943634" w:themeColor="accent2" w:themeShade="BF"/>
          <w:vertAlign w:val="superscript"/>
        </w:rPr>
        <w:footnoteReference w:id="82"/>
      </w:r>
      <w:r w:rsidR="0031157F" w:rsidRPr="00E20D41">
        <w:t>.</w:t>
      </w:r>
    </w:p>
    <w:p w:rsidR="0031157F" w:rsidRPr="00E20D41" w:rsidRDefault="00B37494" w:rsidP="00FA6C6A">
      <w:pPr>
        <w:pStyle w:val="SingleTxt"/>
        <w:numPr>
          <w:ilvl w:val="0"/>
          <w:numId w:val="9"/>
        </w:numPr>
        <w:tabs>
          <w:tab w:val="clear" w:pos="475"/>
          <w:tab w:val="num" w:pos="1742"/>
        </w:tabs>
        <w:ind w:left="1267"/>
      </w:pPr>
      <w:r>
        <w:t xml:space="preserve">La </w:t>
      </w:r>
      <w:r w:rsidR="0031157F" w:rsidRPr="00E20D41">
        <w:t>Relator</w:t>
      </w:r>
      <w:r>
        <w:t>a</w:t>
      </w:r>
      <w:r w:rsidR="0031157F" w:rsidRPr="00E20D41">
        <w:t xml:space="preserve"> Especial sobre el derecho a la alimentación ha puesto de relieve la frecuencia con que se vulnera el derecho de los detenidos a una alimentación adecuada</w:t>
      </w:r>
      <w:r w:rsidR="0031157F" w:rsidRPr="00FA6C6A">
        <w:rPr>
          <w:color w:val="943634" w:themeColor="accent2" w:themeShade="BF"/>
          <w:vertAlign w:val="superscript"/>
        </w:rPr>
        <w:footnoteReference w:id="83"/>
      </w:r>
      <w:r w:rsidR="0031157F" w:rsidRPr="00E20D41">
        <w:t xml:space="preserve"> e insisti</w:t>
      </w:r>
      <w:r>
        <w:t>do</w:t>
      </w:r>
      <w:r w:rsidR="0031157F" w:rsidRPr="00E20D41">
        <w:t xml:space="preserve"> en la responsabilidad del Estado de proporcionar a los reclu</w:t>
      </w:r>
      <w:r>
        <w:t>s</w:t>
      </w:r>
      <w:r w:rsidR="0031157F" w:rsidRPr="00E20D41">
        <w:t xml:space="preserve">os alimentación </w:t>
      </w:r>
      <w:r>
        <w:t>suficiente</w:t>
      </w:r>
      <w:r w:rsidR="0031157F" w:rsidRPr="00FA6C6A">
        <w:rPr>
          <w:color w:val="943634" w:themeColor="accent2" w:themeShade="BF"/>
          <w:vertAlign w:val="superscript"/>
        </w:rPr>
        <w:footnoteReference w:id="84"/>
      </w:r>
      <w:r w:rsidR="0031157F" w:rsidRPr="00E20D41">
        <w:t>. Asimismo, destacó los efectos adversos del hacinamiento para el derecho a la alimentación</w:t>
      </w:r>
      <w:r w:rsidR="0031157F" w:rsidRPr="00FA6C6A">
        <w:rPr>
          <w:color w:val="943634" w:themeColor="accent2" w:themeShade="BF"/>
          <w:vertAlign w:val="superscript"/>
        </w:rPr>
        <w:footnoteReference w:id="85"/>
      </w:r>
      <w:r w:rsidR="0031157F" w:rsidRPr="00E20D41">
        <w:t>.</w:t>
      </w:r>
    </w:p>
    <w:p w:rsidR="0031157F" w:rsidRPr="00E20D41" w:rsidRDefault="0031157F" w:rsidP="00FA6C6A">
      <w:pPr>
        <w:pStyle w:val="SingleTxt"/>
        <w:numPr>
          <w:ilvl w:val="0"/>
          <w:numId w:val="9"/>
        </w:numPr>
        <w:tabs>
          <w:tab w:val="clear" w:pos="475"/>
          <w:tab w:val="num" w:pos="1742"/>
        </w:tabs>
        <w:ind w:left="1267"/>
      </w:pPr>
      <w:r w:rsidRPr="00E20D41">
        <w:t>Numerosos órganos de derechos humanos, de las Naciones Unidas y regionales, se han referido también a las graves vulneraciones del derecho de los detenidos a agua potable y saneamiento, así como del derecho a la alimentación. Esta vulneración, que se imputa al hacinamiento, se produce cuando el Estado no proporciona alimentación en cantidad y calidad adecuadas</w:t>
      </w:r>
      <w:r w:rsidRPr="00FA6C6A">
        <w:rPr>
          <w:color w:val="943634" w:themeColor="accent2" w:themeShade="BF"/>
          <w:vertAlign w:val="superscript"/>
        </w:rPr>
        <w:footnoteReference w:id="86"/>
      </w:r>
      <w:r w:rsidRPr="00E20D41">
        <w:t>, lavabos</w:t>
      </w:r>
      <w:r w:rsidRPr="00FA6C6A">
        <w:rPr>
          <w:color w:val="943634" w:themeColor="accent2" w:themeShade="BF"/>
          <w:vertAlign w:val="superscript"/>
        </w:rPr>
        <w:footnoteReference w:id="87"/>
      </w:r>
      <w:r w:rsidRPr="00E20D41">
        <w:t xml:space="preserve"> e inodoros</w:t>
      </w:r>
      <w:r w:rsidRPr="00FA6C6A">
        <w:rPr>
          <w:color w:val="943634" w:themeColor="accent2" w:themeShade="BF"/>
          <w:vertAlign w:val="superscript"/>
        </w:rPr>
        <w:footnoteReference w:id="88"/>
      </w:r>
      <w:r w:rsidRPr="00E20D41">
        <w:t xml:space="preserve"> adecuados, agua potable</w:t>
      </w:r>
      <w:r w:rsidRPr="00FA6C6A">
        <w:rPr>
          <w:color w:val="943634" w:themeColor="accent2" w:themeShade="BF"/>
          <w:vertAlign w:val="superscript"/>
        </w:rPr>
        <w:footnoteReference w:id="89"/>
      </w:r>
      <w:r w:rsidRPr="00E20D41">
        <w:t xml:space="preserve"> </w:t>
      </w:r>
      <w:r w:rsidR="000D6AB6">
        <w:t>o</w:t>
      </w:r>
      <w:r w:rsidRPr="00E20D41">
        <w:t xml:space="preserve"> saneamiento</w:t>
      </w:r>
      <w:r w:rsidRPr="00FA6C6A">
        <w:rPr>
          <w:color w:val="943634" w:themeColor="accent2" w:themeShade="BF"/>
          <w:vertAlign w:val="superscript"/>
        </w:rPr>
        <w:footnoteReference w:id="90"/>
      </w:r>
      <w:r w:rsidRPr="00E20D41">
        <w:t>, lo que incluye productos higiénicos básicos como jabón y papel higiénico sin cargo alguno</w:t>
      </w:r>
      <w:r w:rsidRPr="00FA6C6A">
        <w:rPr>
          <w:color w:val="943634" w:themeColor="accent2" w:themeShade="BF"/>
          <w:vertAlign w:val="superscript"/>
        </w:rPr>
        <w:footnoteReference w:id="91"/>
      </w:r>
      <w:r w:rsidRPr="00E20D41">
        <w:t xml:space="preserve"> </w:t>
      </w:r>
      <w:r w:rsidR="000D6AB6">
        <w:t xml:space="preserve">y un lugar adecuado para </w:t>
      </w:r>
      <w:r w:rsidRPr="00E20D41">
        <w:t>dormir, lo que incluye camas</w:t>
      </w:r>
      <w:r w:rsidR="000D6AB6">
        <w:t>tros</w:t>
      </w:r>
      <w:r w:rsidRPr="00E20D41">
        <w:t xml:space="preserve"> y colchones limpios</w:t>
      </w:r>
      <w:r w:rsidRPr="00FA6C6A">
        <w:rPr>
          <w:color w:val="943634" w:themeColor="accent2" w:themeShade="BF"/>
          <w:vertAlign w:val="superscript"/>
        </w:rPr>
        <w:footnoteReference w:id="92"/>
      </w:r>
      <w:r w:rsidRPr="00E20D41">
        <w:t>.</w:t>
      </w:r>
    </w:p>
    <w:p w:rsidR="0031157F" w:rsidRDefault="0031157F" w:rsidP="00FA6C6A">
      <w:pPr>
        <w:pStyle w:val="SingleTxt"/>
        <w:numPr>
          <w:ilvl w:val="0"/>
          <w:numId w:val="9"/>
        </w:numPr>
        <w:tabs>
          <w:tab w:val="clear" w:pos="475"/>
          <w:tab w:val="num" w:pos="1742"/>
        </w:tabs>
        <w:ind w:left="1267"/>
      </w:pPr>
      <w:r w:rsidRPr="00E20D41">
        <w:t>Al no ponerse debidamente en práctica estos derechos se han vulnerado otros, como el derecho a la seguridad, ya que la falta de alimentos ha causado tensión e incluso violencia</w:t>
      </w:r>
      <w:r w:rsidR="00FB3B6C">
        <w:t xml:space="preserve"> en lugares </w:t>
      </w:r>
      <w:r w:rsidRPr="00E20D41">
        <w:t>de detención</w:t>
      </w:r>
      <w:r w:rsidRPr="00FA6C6A">
        <w:rPr>
          <w:color w:val="943634" w:themeColor="accent2" w:themeShade="BF"/>
          <w:vertAlign w:val="superscript"/>
        </w:rPr>
        <w:footnoteReference w:id="93"/>
      </w:r>
      <w:r w:rsidRPr="00E20D41">
        <w:t>, así como el derecho a no ser sometido a tratos crueles, inhumanos o degradantes</w:t>
      </w:r>
      <w:r w:rsidRPr="00FA6C6A">
        <w:rPr>
          <w:color w:val="943634" w:themeColor="accent2" w:themeShade="BF"/>
          <w:vertAlign w:val="superscript"/>
        </w:rPr>
        <w:footnoteReference w:id="94"/>
      </w:r>
      <w:r w:rsidRPr="00E20D41">
        <w:t xml:space="preserve">. El suministro de agua limpia, la eliminación efectiva de los desechos </w:t>
      </w:r>
      <w:r w:rsidR="00FB3B6C">
        <w:t>y</w:t>
      </w:r>
      <w:r w:rsidRPr="00E20D41">
        <w:t xml:space="preserve"> agua</w:t>
      </w:r>
      <w:r w:rsidR="00FB3B6C">
        <w:t>s</w:t>
      </w:r>
      <w:r w:rsidRPr="00E20D41">
        <w:t xml:space="preserve"> de residuo</w:t>
      </w:r>
      <w:r w:rsidR="00FB3B6C">
        <w:t>s</w:t>
      </w:r>
      <w:r w:rsidRPr="00E20D41">
        <w:t>, la preparación de los alimentos en condiciones higiénicas y las prácticas higiénicas en general son fundamentales para que el entorno carcelario sea limpio y saludable y para prevenir y controlar la propagación de enfermedades</w:t>
      </w:r>
      <w:r w:rsidRPr="00FA6C6A">
        <w:rPr>
          <w:color w:val="943634" w:themeColor="accent2" w:themeShade="BF"/>
          <w:vertAlign w:val="superscript"/>
        </w:rPr>
        <w:footnoteReference w:id="95"/>
      </w:r>
      <w:r w:rsidRPr="00E20D41">
        <w:t>; asimismo, su ausencia puede redundar en detrimento del derecho a la salud</w:t>
      </w:r>
      <w:r w:rsidRPr="00FA6C6A">
        <w:rPr>
          <w:color w:val="943634" w:themeColor="accent2" w:themeShade="BF"/>
          <w:vertAlign w:val="superscript"/>
        </w:rPr>
        <w:footnoteReference w:id="96"/>
      </w:r>
      <w:r w:rsidRPr="00E20D41">
        <w:t xml:space="preserve"> e incluso del derecho a la vida</w:t>
      </w:r>
      <w:r w:rsidRPr="00FA6C6A">
        <w:rPr>
          <w:color w:val="943634" w:themeColor="accent2" w:themeShade="BF"/>
          <w:vertAlign w:val="superscript"/>
        </w:rPr>
        <w:footnoteReference w:id="97"/>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FB3B6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E.</w:t>
      </w:r>
      <w:r>
        <w:tab/>
      </w:r>
      <w:r w:rsidR="0031157F" w:rsidRPr="00E20D41">
        <w:t>Derecho a la educación y la rehabilitación</w:t>
      </w:r>
    </w:p>
    <w:p w:rsidR="000E14E6" w:rsidRPr="000E14E6" w:rsidRDefault="000E14E6" w:rsidP="00FB3B6C">
      <w:pPr>
        <w:pStyle w:val="SingleTxt"/>
        <w:keepNext/>
        <w:spacing w:after="0" w:line="120" w:lineRule="exact"/>
        <w:rPr>
          <w:sz w:val="10"/>
        </w:rPr>
      </w:pPr>
    </w:p>
    <w:p w:rsidR="000E14E6" w:rsidRPr="000E14E6" w:rsidRDefault="000E14E6" w:rsidP="00FB3B6C">
      <w:pPr>
        <w:pStyle w:val="SingleTxt"/>
        <w:keepNe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El Relator Especial sobre el derecho a la educación ha destacado que los detenidos constituyen un grupo sumamente marginado que hace frente a infracciones endémicas de su derecho a la educación y ha insistido en los efectos negativos del hacinamiento sobre el ejercicio de ese derecho. El hacinamiento impone una carga muy importante sobre los recursos disponibles</w:t>
      </w:r>
      <w:r w:rsidR="00FB3B6C">
        <w:t>,</w:t>
      </w:r>
      <w:r w:rsidRPr="00E20D41">
        <w:t xml:space="preserve"> ya que la demanda excede del personal y de los servicios disponibles</w:t>
      </w:r>
      <w:r w:rsidRPr="00FA6C6A">
        <w:rPr>
          <w:color w:val="943634" w:themeColor="accent2" w:themeShade="BF"/>
          <w:vertAlign w:val="superscript"/>
        </w:rPr>
        <w:footnoteReference w:id="98"/>
      </w:r>
      <w:r w:rsidRPr="00E20D41">
        <w:t>. Es habitual que los reclu</w:t>
      </w:r>
      <w:r w:rsidR="00FB3B6C">
        <w:t>s</w:t>
      </w:r>
      <w:r w:rsidRPr="00E20D41">
        <w:t>os en establecimientos de detención estén encerrados en celdas hacinadas durante 23 horas al día sin poder llevar a cabo ninguna actividad útil fuera de ellas</w:t>
      </w:r>
      <w:r w:rsidRPr="00FA6C6A">
        <w:rPr>
          <w:color w:val="943634" w:themeColor="accent2" w:themeShade="BF"/>
          <w:vertAlign w:val="superscript"/>
        </w:rPr>
        <w:footnoteReference w:id="99"/>
      </w:r>
      <w:r w:rsidRPr="00E20D41">
        <w:t xml:space="preserve"> y sin programas de rehabilitación</w:t>
      </w:r>
      <w:r w:rsidRPr="00FA6C6A">
        <w:rPr>
          <w:color w:val="943634" w:themeColor="accent2" w:themeShade="BF"/>
          <w:vertAlign w:val="superscript"/>
        </w:rPr>
        <w:footnoteReference w:id="100"/>
      </w:r>
      <w:r w:rsidRPr="00E20D41">
        <w:t xml:space="preserve">, </w:t>
      </w:r>
      <w:r w:rsidR="00FB3B6C">
        <w:t>n</w:t>
      </w:r>
      <w:r w:rsidRPr="00E20D41">
        <w:t>i posibilidades de proseguir su educación</w:t>
      </w:r>
      <w:r w:rsidRPr="00FA6C6A">
        <w:rPr>
          <w:color w:val="943634" w:themeColor="accent2" w:themeShade="BF"/>
          <w:vertAlign w:val="superscript"/>
        </w:rPr>
        <w:footnoteReference w:id="101"/>
      </w:r>
      <w:r w:rsidRPr="00E20D41">
        <w:t xml:space="preserve"> o participar en programas de formación profesional y enseñanza</w:t>
      </w:r>
      <w:r w:rsidRPr="00FA6C6A">
        <w:rPr>
          <w:color w:val="943634" w:themeColor="accent2" w:themeShade="BF"/>
          <w:vertAlign w:val="superscript"/>
        </w:rPr>
        <w:footnoteReference w:id="102"/>
      </w:r>
      <w:r w:rsidRPr="00E20D41">
        <w:t>.</w:t>
      </w:r>
    </w:p>
    <w:p w:rsidR="0031157F" w:rsidRDefault="0031157F" w:rsidP="00FA6C6A">
      <w:pPr>
        <w:pStyle w:val="SingleTxt"/>
        <w:numPr>
          <w:ilvl w:val="0"/>
          <w:numId w:val="9"/>
        </w:numPr>
        <w:tabs>
          <w:tab w:val="clear" w:pos="475"/>
          <w:tab w:val="num" w:pos="1742"/>
        </w:tabs>
        <w:ind w:left="1267"/>
      </w:pPr>
      <w:r w:rsidRPr="00E20D41">
        <w:t xml:space="preserve">Teniendo en cuenta la importancia de la rehabilitación como objetivo general de la reclusión, suscita particular preocupación el efecto negativo del hacinamiento en la </w:t>
      </w:r>
      <w:r w:rsidR="00A4015F">
        <w:t xml:space="preserve">disponibilidad </w:t>
      </w:r>
      <w:r w:rsidRPr="00E20D41">
        <w:t xml:space="preserve">de servicios de </w:t>
      </w:r>
      <w:r w:rsidR="00A4015F">
        <w:t>esa índole</w:t>
      </w:r>
      <w:r w:rsidRPr="00FA6C6A">
        <w:rPr>
          <w:color w:val="943634" w:themeColor="accent2" w:themeShade="BF"/>
          <w:vertAlign w:val="superscript"/>
        </w:rPr>
        <w:footnoteReference w:id="103"/>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F.</w:t>
      </w:r>
      <w:r>
        <w:tab/>
      </w:r>
      <w:r w:rsidR="0031157F" w:rsidRPr="00E20D41">
        <w:t>Libertad de religión o</w:t>
      </w:r>
      <w:r w:rsidR="00A4015F">
        <w:t xml:space="preserve"> de </w:t>
      </w:r>
      <w:r w:rsidR="00C46E2F">
        <w:t>creencias</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Default="0031157F" w:rsidP="00FA6C6A">
      <w:pPr>
        <w:pStyle w:val="SingleTxt"/>
        <w:numPr>
          <w:ilvl w:val="0"/>
          <w:numId w:val="9"/>
        </w:numPr>
        <w:tabs>
          <w:tab w:val="clear" w:pos="475"/>
          <w:tab w:val="num" w:pos="1742"/>
        </w:tabs>
        <w:ind w:left="1267"/>
      </w:pPr>
      <w:r w:rsidRPr="00E20D41">
        <w:t xml:space="preserve">El Relator Especial sobre la libertad de religión o </w:t>
      </w:r>
      <w:r w:rsidR="00A4015F">
        <w:t xml:space="preserve">de creencias </w:t>
      </w:r>
      <w:r w:rsidRPr="00E20D41">
        <w:t xml:space="preserve">ha puesto de relieve que todas las personas privadas de su libertad tienen derecho a </w:t>
      </w:r>
      <w:r w:rsidR="00A4015F">
        <w:t xml:space="preserve">esa </w:t>
      </w:r>
      <w:r w:rsidRPr="00E20D41">
        <w:t>libertad</w:t>
      </w:r>
      <w:r w:rsidRPr="00FA6C6A">
        <w:rPr>
          <w:color w:val="943634" w:themeColor="accent2" w:themeShade="BF"/>
          <w:vertAlign w:val="superscript"/>
        </w:rPr>
        <w:footnoteReference w:id="104"/>
      </w:r>
      <w:r w:rsidRPr="00E20D41">
        <w:t>. El hacinamiento surte efectos negativos sobre la detención en todos sus aspectos</w:t>
      </w:r>
      <w:r w:rsidR="00A4015F">
        <w:t>,</w:t>
      </w:r>
      <w:r w:rsidRPr="00E20D41">
        <w:t xml:space="preserve"> que, a su vez, repercuten negativamente en la libertad de religión o </w:t>
      </w:r>
      <w:r w:rsidR="00A4015F">
        <w:t xml:space="preserve">de creencias </w:t>
      </w:r>
      <w:r w:rsidRPr="00E20D41">
        <w:t>de los detenidos. Suele haber espacio insuficiente para las prácticas religiosas</w:t>
      </w:r>
      <w:r w:rsidRPr="00FA6C6A">
        <w:rPr>
          <w:color w:val="943634" w:themeColor="accent2" w:themeShade="BF"/>
          <w:vertAlign w:val="superscript"/>
        </w:rPr>
        <w:footnoteReference w:id="105"/>
      </w:r>
      <w:r w:rsidRPr="00E20D41">
        <w:t>, se entraba la posibilidad de observar ritos religiosos ciertos días</w:t>
      </w:r>
      <w:r w:rsidRPr="00FA6C6A">
        <w:rPr>
          <w:color w:val="943634" w:themeColor="accent2" w:themeShade="BF"/>
          <w:vertAlign w:val="superscript"/>
        </w:rPr>
        <w:footnoteReference w:id="106"/>
      </w:r>
      <w:r w:rsidRPr="00E20D41">
        <w:t>, no hay escrituras religiosas</w:t>
      </w:r>
      <w:r w:rsidRPr="00FA6C6A">
        <w:rPr>
          <w:color w:val="943634" w:themeColor="accent2" w:themeShade="BF"/>
          <w:vertAlign w:val="superscript"/>
        </w:rPr>
        <w:footnoteReference w:id="107"/>
      </w:r>
      <w:r w:rsidRPr="00E20D41">
        <w:t xml:space="preserve"> y, según informes, existen problemas respecto del tipo de comida apta para quienes profesan distingas religiones</w:t>
      </w:r>
      <w:r w:rsidRPr="00FA6C6A">
        <w:rPr>
          <w:color w:val="943634" w:themeColor="accent2" w:themeShade="BF"/>
          <w:vertAlign w:val="superscript"/>
        </w:rPr>
        <w:footnoteReference w:id="108"/>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G.</w:t>
      </w:r>
      <w:r>
        <w:tab/>
      </w:r>
      <w:r w:rsidR="0031157F" w:rsidRPr="00E20D41">
        <w:t>Derecho a la privacidad y la vida familiar y derechos de los familiares</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A4015F" w:rsidP="00FA6C6A">
      <w:pPr>
        <w:pStyle w:val="SingleTxt"/>
        <w:numPr>
          <w:ilvl w:val="0"/>
          <w:numId w:val="9"/>
        </w:numPr>
        <w:tabs>
          <w:tab w:val="clear" w:pos="475"/>
          <w:tab w:val="num" w:pos="1742"/>
        </w:tabs>
        <w:ind w:left="1267"/>
      </w:pPr>
      <w:r>
        <w:t>Cuando se recurre excesivamente</w:t>
      </w:r>
      <w:r w:rsidR="0031157F" w:rsidRPr="00E20D41">
        <w:t xml:space="preserve"> a la privación de la libertad y </w:t>
      </w:r>
      <w:r>
        <w:t xml:space="preserve">hay </w:t>
      </w:r>
      <w:r w:rsidR="0031157F" w:rsidRPr="00E20D41">
        <w:t>hacinamiento</w:t>
      </w:r>
      <w:r>
        <w:t>,</w:t>
      </w:r>
      <w:r w:rsidR="0031157F" w:rsidRPr="00E20D41">
        <w:t xml:space="preserve"> los detenidos viven amontonados, lo que vulnera gravemente su derecho a la privacidad</w:t>
      </w:r>
      <w:r w:rsidR="0031157F" w:rsidRPr="00FA6C6A">
        <w:rPr>
          <w:color w:val="943634" w:themeColor="accent2" w:themeShade="BF"/>
          <w:vertAlign w:val="superscript"/>
        </w:rPr>
        <w:footnoteReference w:id="109"/>
      </w:r>
      <w:r w:rsidR="0031157F" w:rsidRPr="00E20D41">
        <w:t>. El Experto Independiente sobre la situación de los derechos humanos en Haití ha señalado que el hacinamiento en establecimientos de detención es tan grave que cada detenido no tiene más de 40 cm</w:t>
      </w:r>
      <w:r w:rsidR="0031157F" w:rsidRPr="00E20D41">
        <w:rPr>
          <w:vertAlign w:val="superscript"/>
        </w:rPr>
        <w:t>2</w:t>
      </w:r>
      <w:r w:rsidR="000E551C">
        <w:rPr>
          <w:vertAlign w:val="superscript"/>
        </w:rPr>
        <w:t xml:space="preserve"> </w:t>
      </w:r>
      <w:r w:rsidR="000E551C">
        <w:t>de espacio</w:t>
      </w:r>
      <w:r w:rsidR="0031157F" w:rsidRPr="00FA6C6A">
        <w:rPr>
          <w:color w:val="943634" w:themeColor="accent2" w:themeShade="BF"/>
          <w:vertAlign w:val="superscript"/>
        </w:rPr>
        <w:footnoteReference w:id="110"/>
      </w:r>
      <w:r w:rsidR="0031157F" w:rsidRPr="00E20D41">
        <w:t>.</w:t>
      </w:r>
      <w:r w:rsidR="000E551C">
        <w:t xml:space="preserve"> </w:t>
      </w:r>
      <w:r w:rsidR="0031157F" w:rsidRPr="00E20D41">
        <w:t xml:space="preserve">El Relator Especial sobre la tortura y otros tratos o </w:t>
      </w:r>
      <w:r w:rsidR="000E551C">
        <w:t xml:space="preserve">penas </w:t>
      </w:r>
      <w:r w:rsidR="0031157F" w:rsidRPr="00E20D41">
        <w:t>crueles, inhumanos o degradantes mencionó situaciones en que, por la falta de espacio como resultado del hacinamiento</w:t>
      </w:r>
      <w:r w:rsidR="0031157F" w:rsidRPr="00FA6C6A">
        <w:rPr>
          <w:color w:val="943634" w:themeColor="accent2" w:themeShade="BF"/>
          <w:vertAlign w:val="superscript"/>
        </w:rPr>
        <w:footnoteReference w:id="111"/>
      </w:r>
      <w:r w:rsidR="0031157F" w:rsidRPr="00E20D41">
        <w:t xml:space="preserve">, los detenidos tenían que acostarse en posición fetal </w:t>
      </w:r>
      <w:r w:rsidR="000E551C">
        <w:t>tocando los pies de uno con la cabeza del otro y</w:t>
      </w:r>
      <w:r w:rsidR="0031157F" w:rsidRPr="00E20D41">
        <w:t xml:space="preserve"> dormir por turnos o sentados. Muchos detenidos carecen también de privacidad incluso para </w:t>
      </w:r>
      <w:r w:rsidR="000E551C">
        <w:t xml:space="preserve">algo </w:t>
      </w:r>
      <w:r w:rsidR="0031157F" w:rsidRPr="00E20D41">
        <w:t>tan básic</w:t>
      </w:r>
      <w:r w:rsidR="000E551C">
        <w:t>o</w:t>
      </w:r>
      <w:r w:rsidR="0031157F" w:rsidRPr="00E20D41">
        <w:t xml:space="preserve"> como usar el retrete</w:t>
      </w:r>
      <w:r w:rsidR="0031157F" w:rsidRPr="00FA6C6A">
        <w:rPr>
          <w:color w:val="943634" w:themeColor="accent2" w:themeShade="BF"/>
          <w:vertAlign w:val="superscript"/>
        </w:rPr>
        <w:footnoteReference w:id="112"/>
      </w:r>
      <w:r w:rsidR="0031157F" w:rsidRPr="00E20D41">
        <w:t>.</w:t>
      </w:r>
    </w:p>
    <w:p w:rsidR="0031157F" w:rsidRPr="00E20D41" w:rsidRDefault="0031157F" w:rsidP="00FA6C6A">
      <w:pPr>
        <w:pStyle w:val="SingleTxt"/>
        <w:numPr>
          <w:ilvl w:val="0"/>
          <w:numId w:val="9"/>
        </w:numPr>
        <w:tabs>
          <w:tab w:val="clear" w:pos="475"/>
          <w:tab w:val="num" w:pos="1742"/>
        </w:tabs>
        <w:ind w:left="1267"/>
      </w:pPr>
      <w:r w:rsidRPr="00E20D41">
        <w:t>El hacinamiento puede dar lugar a restricciones al derecho a mantenerse en contacto con familiares porque puede ocurrir que los lugares normalmente destinados a visitas de familiares sean reasignados a otros fines. Además, algunos países recurren a programas de “equilibrio” en que reasignan a los detenidos a distintos establecimientos para mitigar los problemas de hacinamiento. Como resultado, los detenidos son trasladados lejos de su familia, lo cual redunda en desmedro de su derecho a que lo</w:t>
      </w:r>
      <w:r w:rsidR="000E551C">
        <w:t>s</w:t>
      </w:r>
      <w:r w:rsidRPr="00E20D41">
        <w:t xml:space="preserve"> visiten</w:t>
      </w:r>
      <w:r w:rsidRPr="00FA6C6A">
        <w:rPr>
          <w:color w:val="943634" w:themeColor="accent2" w:themeShade="BF"/>
          <w:vertAlign w:val="superscript"/>
        </w:rPr>
        <w:footnoteReference w:id="113"/>
      </w:r>
      <w:r w:rsidRPr="00E20D41">
        <w:t>. Ello no solo vulnera los derechos humanos de los detenidos sino también los de sus familiares. Puede además tener efectos negativos en el derecho a un proceso justo cuando se traslada a los detenidos lejos de los tribunales y de servicios de asistencia jurídica.</w:t>
      </w:r>
    </w:p>
    <w:p w:rsidR="0031157F" w:rsidRDefault="0031157F" w:rsidP="00FA6C6A">
      <w:pPr>
        <w:pStyle w:val="SingleTxt"/>
        <w:numPr>
          <w:ilvl w:val="0"/>
          <w:numId w:val="9"/>
        </w:numPr>
        <w:tabs>
          <w:tab w:val="clear" w:pos="475"/>
          <w:tab w:val="num" w:pos="1742"/>
        </w:tabs>
        <w:ind w:left="1267"/>
      </w:pPr>
      <w:r w:rsidRPr="00E20D41">
        <w:t>Además, el recurso excesivo a la privación de libertad puede afectar negativamente a los familiares que pierden al principal sostén de la familia, lo que redunda en desmedro del interés superior del niño o los niños afectados</w:t>
      </w:r>
      <w:r w:rsidRPr="00FA6C6A">
        <w:rPr>
          <w:color w:val="943634" w:themeColor="accent2" w:themeShade="BF"/>
          <w:vertAlign w:val="superscript"/>
        </w:rPr>
        <w:footnoteReference w:id="114"/>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H.</w:t>
      </w:r>
      <w:r>
        <w:tab/>
      </w:r>
      <w:r w:rsidR="0031157F" w:rsidRPr="00E20D41">
        <w:t>Derecho a la igualdad y la no discriminación</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Los efectos del recurso excesivo a la privación de la libertad y del hacinamiento en los establecimientos de detención son particularmente adversos para los miembros de grupo</w:t>
      </w:r>
      <w:r w:rsidR="000E551C">
        <w:t>s</w:t>
      </w:r>
      <w:r w:rsidRPr="00E20D41">
        <w:t xml:space="preserve"> tales como las mujeres</w:t>
      </w:r>
      <w:r w:rsidRPr="00FA6C6A">
        <w:rPr>
          <w:color w:val="943634" w:themeColor="accent2" w:themeShade="BF"/>
          <w:vertAlign w:val="superscript"/>
        </w:rPr>
        <w:footnoteReference w:id="115"/>
      </w:r>
      <w:r w:rsidRPr="00E20D41">
        <w:t>, los niños</w:t>
      </w:r>
      <w:r w:rsidRPr="00FA6C6A">
        <w:rPr>
          <w:color w:val="943634" w:themeColor="accent2" w:themeShade="BF"/>
          <w:vertAlign w:val="superscript"/>
        </w:rPr>
        <w:footnoteReference w:id="116"/>
      </w:r>
      <w:r w:rsidRPr="00E20D41">
        <w:t>, las personas con discapacidad</w:t>
      </w:r>
      <w:r w:rsidRPr="00FA6C6A">
        <w:rPr>
          <w:color w:val="943634" w:themeColor="accent2" w:themeShade="BF"/>
          <w:vertAlign w:val="superscript"/>
        </w:rPr>
        <w:footnoteReference w:id="117"/>
      </w:r>
      <w:r w:rsidRPr="00E20D41">
        <w:t>, las minorías raciales</w:t>
      </w:r>
      <w:r w:rsidRPr="00FA6C6A">
        <w:rPr>
          <w:color w:val="943634" w:themeColor="accent2" w:themeShade="BF"/>
          <w:vertAlign w:val="superscript"/>
        </w:rPr>
        <w:footnoteReference w:id="118"/>
      </w:r>
      <w:r w:rsidRPr="00E20D41">
        <w:t xml:space="preserve"> y los pueblos indígenas</w:t>
      </w:r>
      <w:r w:rsidRPr="00FA6C6A">
        <w:rPr>
          <w:color w:val="943634" w:themeColor="accent2" w:themeShade="BF"/>
          <w:vertAlign w:val="superscript"/>
        </w:rPr>
        <w:footnoteReference w:id="119"/>
      </w:r>
      <w:r w:rsidRPr="00E20D41">
        <w:t xml:space="preserve"> y los no ciudadanos. Como los recursos no </w:t>
      </w:r>
      <w:r w:rsidR="000E551C">
        <w:t>son suficientes</w:t>
      </w:r>
      <w:r w:rsidRPr="00E20D41">
        <w:t xml:space="preserve">, no pueden atenderse las necesidades especiales de quienes pertenecen a esos grupos. Hay denuncias en el sentido de que </w:t>
      </w:r>
      <w:r w:rsidR="000E551C">
        <w:t xml:space="preserve">al </w:t>
      </w:r>
      <w:r w:rsidRPr="00E20D41">
        <w:t>no separar a los detenidos en espera de juicio de otros detenidos</w:t>
      </w:r>
      <w:r w:rsidRPr="00FA6C6A">
        <w:rPr>
          <w:color w:val="943634" w:themeColor="accent2" w:themeShade="BF"/>
          <w:vertAlign w:val="superscript"/>
        </w:rPr>
        <w:footnoteReference w:id="120"/>
      </w:r>
      <w:r w:rsidRPr="00E20D41">
        <w:t>, a los adultos de los niños</w:t>
      </w:r>
      <w:r w:rsidRPr="00FA6C6A">
        <w:rPr>
          <w:color w:val="943634" w:themeColor="accent2" w:themeShade="BF"/>
          <w:vertAlign w:val="superscript"/>
        </w:rPr>
        <w:footnoteReference w:id="121"/>
      </w:r>
      <w:r w:rsidRPr="00E20D41">
        <w:t xml:space="preserve"> </w:t>
      </w:r>
      <w:r w:rsidR="000E551C">
        <w:t>o</w:t>
      </w:r>
      <w:r w:rsidRPr="00E20D41">
        <w:t xml:space="preserve"> a los hombres de las mujeres</w:t>
      </w:r>
      <w:r w:rsidRPr="00FA6C6A">
        <w:rPr>
          <w:color w:val="943634" w:themeColor="accent2" w:themeShade="BF"/>
          <w:vertAlign w:val="superscript"/>
        </w:rPr>
        <w:footnoteReference w:id="122"/>
      </w:r>
      <w:r w:rsidRPr="00E20D41">
        <w:t xml:space="preserve"> </w:t>
      </w:r>
      <w:r w:rsidR="000E551C">
        <w:t xml:space="preserve">se han producido </w:t>
      </w:r>
      <w:r w:rsidRPr="00E20D41">
        <w:t>casos de explotación y violencia sexual</w:t>
      </w:r>
      <w:r w:rsidRPr="00FA6C6A">
        <w:rPr>
          <w:color w:val="943634" w:themeColor="accent2" w:themeShade="BF"/>
          <w:vertAlign w:val="superscript"/>
        </w:rPr>
        <w:footnoteReference w:id="123"/>
      </w:r>
      <w:r w:rsidRPr="00E20D41">
        <w:t>. No se tienen en cuenta las necesidades especiales de las mujeres y las niñas con respecto a su derecho a la salud</w:t>
      </w:r>
      <w:r w:rsidRPr="00FA6C6A">
        <w:rPr>
          <w:color w:val="943634" w:themeColor="accent2" w:themeShade="BF"/>
          <w:vertAlign w:val="superscript"/>
        </w:rPr>
        <w:footnoteReference w:id="124"/>
      </w:r>
      <w:r w:rsidRPr="00E20D41">
        <w:t>, en particular en el caso de las mujeres embarazadas, las niñas y las madres que amamantan</w:t>
      </w:r>
      <w:r w:rsidRPr="00FA6C6A">
        <w:rPr>
          <w:color w:val="943634" w:themeColor="accent2" w:themeShade="BF"/>
          <w:vertAlign w:val="superscript"/>
        </w:rPr>
        <w:footnoteReference w:id="125"/>
      </w:r>
      <w:r w:rsidRPr="00E20D41">
        <w:t xml:space="preserve">. </w:t>
      </w:r>
      <w:r w:rsidR="000E551C">
        <w:t xml:space="preserve">Según </w:t>
      </w:r>
      <w:r w:rsidRPr="00E20D41">
        <w:t>informes</w:t>
      </w:r>
      <w:r w:rsidR="000E551C">
        <w:t>,</w:t>
      </w:r>
      <w:r w:rsidRPr="00E20D41">
        <w:t xml:space="preserve"> hay niños pequeños </w:t>
      </w:r>
      <w:r w:rsidR="000E551C">
        <w:t>d</w:t>
      </w:r>
      <w:r w:rsidRPr="00E20D41">
        <w:t>etenidos con sus madres</w:t>
      </w:r>
      <w:r w:rsidRPr="00FA6C6A">
        <w:rPr>
          <w:color w:val="943634" w:themeColor="accent2" w:themeShade="BF"/>
          <w:vertAlign w:val="superscript"/>
        </w:rPr>
        <w:footnoteReference w:id="126"/>
      </w:r>
      <w:r w:rsidRPr="00E20D41">
        <w:t xml:space="preserve"> y no se respetan las necesidades especiales de los niños en los lugares de detención</w:t>
      </w:r>
      <w:r w:rsidRPr="00FA6C6A">
        <w:rPr>
          <w:color w:val="943634" w:themeColor="accent2" w:themeShade="BF"/>
          <w:vertAlign w:val="superscript"/>
        </w:rPr>
        <w:footnoteReference w:id="127"/>
      </w:r>
      <w:r w:rsidRPr="00E20D41">
        <w:t xml:space="preserve">. </w:t>
      </w:r>
      <w:r w:rsidR="000E551C">
        <w:t xml:space="preserve">No habría en lugares de </w:t>
      </w:r>
      <w:r w:rsidRPr="00E20D41">
        <w:t>detención un número suficiente de funcionarias</w:t>
      </w:r>
      <w:r w:rsidRPr="00FA6C6A">
        <w:rPr>
          <w:color w:val="943634" w:themeColor="accent2" w:themeShade="BF"/>
          <w:vertAlign w:val="superscript"/>
        </w:rPr>
        <w:footnoteReference w:id="128"/>
      </w:r>
      <w:r w:rsidRPr="00E20D41">
        <w:t xml:space="preserve"> o de funcionarios pertenecientes a minorías</w:t>
      </w:r>
      <w:r w:rsidRPr="00FA6C6A">
        <w:rPr>
          <w:color w:val="943634" w:themeColor="accent2" w:themeShade="BF"/>
          <w:vertAlign w:val="superscript"/>
        </w:rPr>
        <w:footnoteReference w:id="129"/>
      </w:r>
      <w:r w:rsidRPr="00E20D41">
        <w:t>, lo que tiene efectos negativos para las mujeres</w:t>
      </w:r>
      <w:r w:rsidRPr="00FA6C6A">
        <w:rPr>
          <w:color w:val="943634" w:themeColor="accent2" w:themeShade="BF"/>
          <w:vertAlign w:val="superscript"/>
        </w:rPr>
        <w:footnoteReference w:id="130"/>
      </w:r>
      <w:r w:rsidRPr="00E20D41">
        <w:t xml:space="preserve"> y para los miembros de minorías que están detenidos. Además, las personas con discapacidad están recluidas en entornos que incluyen espacios a los que no pueden acceder</w:t>
      </w:r>
      <w:r w:rsidRPr="00FA6C6A">
        <w:rPr>
          <w:color w:val="943634" w:themeColor="accent2" w:themeShade="BF"/>
          <w:vertAlign w:val="superscript"/>
        </w:rPr>
        <w:footnoteReference w:id="131"/>
      </w:r>
      <w:r w:rsidRPr="00E20D41">
        <w:t xml:space="preserve"> y con frecuencia no se separa a los presos con enfermedades mentales de los demás</w:t>
      </w:r>
      <w:r w:rsidRPr="00FA6C6A">
        <w:rPr>
          <w:color w:val="943634" w:themeColor="accent2" w:themeShade="BF"/>
          <w:vertAlign w:val="superscript"/>
        </w:rPr>
        <w:footnoteReference w:id="132"/>
      </w:r>
      <w:r w:rsidRPr="00E20D41">
        <w:t>.</w:t>
      </w:r>
    </w:p>
    <w:p w:rsidR="0031157F" w:rsidRDefault="0031157F" w:rsidP="00FA6C6A">
      <w:pPr>
        <w:pStyle w:val="SingleTxt"/>
        <w:numPr>
          <w:ilvl w:val="0"/>
          <w:numId w:val="9"/>
        </w:numPr>
        <w:tabs>
          <w:tab w:val="clear" w:pos="475"/>
          <w:tab w:val="num" w:pos="1742"/>
        </w:tabs>
        <w:ind w:left="1267"/>
      </w:pPr>
      <w:r w:rsidRPr="00E20D41">
        <w:t>El hacinamiento y su consecuencia de no atender a las necesidades de los miembros de esos grupos que están detenidos los dejan particularmente expuestos a la violencia</w:t>
      </w:r>
      <w:r w:rsidRPr="00FA6C6A">
        <w:rPr>
          <w:color w:val="943634" w:themeColor="accent2" w:themeShade="BF"/>
          <w:vertAlign w:val="superscript"/>
        </w:rPr>
        <w:footnoteReference w:id="133"/>
      </w:r>
      <w:r w:rsidRPr="00E20D41">
        <w:t xml:space="preserve"> y puede dar lugar a la vulneración de sus derechos humanos, con inclusión del derecho a la vida de los detenidos</w:t>
      </w:r>
      <w:r w:rsidRPr="00FA6C6A">
        <w:rPr>
          <w:color w:val="943634" w:themeColor="accent2" w:themeShade="BF"/>
          <w:vertAlign w:val="superscript"/>
        </w:rPr>
        <w:footnoteReference w:id="134"/>
      </w:r>
      <w:r w:rsidRPr="00E20D41">
        <w:t>, así como de la seguridad de sus familiares, que pueden ser víctimas de extorsión</w:t>
      </w:r>
      <w:r w:rsidRPr="00FA6C6A">
        <w:rPr>
          <w:color w:val="943634" w:themeColor="accent2" w:themeShade="BF"/>
          <w:vertAlign w:val="superscript"/>
        </w:rPr>
        <w:footnoteReference w:id="135"/>
      </w:r>
      <w:r w:rsidRPr="00E20D41">
        <w:t xml:space="preserve">. Además, el Relator Especial sobre la tortura y otros tratos o </w:t>
      </w:r>
      <w:r w:rsidR="0066521F">
        <w:t xml:space="preserve">penas </w:t>
      </w:r>
      <w:r w:rsidRPr="00E20D41">
        <w:t>crueles, inhumanos o degradantes ha señalado que, en varias prisiones en que hay gran hacinamiento, solo pueden realizar actividades útiles, como el trabajo, la enseñanza o el esparcimiento, “unos pocos presos privilegiados que ‘cooperan’ o soborn</w:t>
      </w:r>
      <w:r w:rsidR="0066521F">
        <w:t>an</w:t>
      </w:r>
      <w:r w:rsidRPr="00E20D41">
        <w:t>”</w:t>
      </w:r>
      <w:r w:rsidRPr="00FA6C6A">
        <w:rPr>
          <w:color w:val="943634" w:themeColor="accent2" w:themeShade="BF"/>
          <w:vertAlign w:val="superscript"/>
        </w:rPr>
        <w:footnoteReference w:id="136"/>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III.</w:t>
      </w:r>
      <w:r>
        <w:tab/>
      </w:r>
      <w:r w:rsidR="0031157F" w:rsidRPr="00E20D41">
        <w:t xml:space="preserve">Las principales causas del recurso excesivo a la privación </w:t>
      </w:r>
      <w:r>
        <w:br/>
      </w:r>
      <w:r w:rsidR="0031157F" w:rsidRPr="00E20D41">
        <w:t>de libertad y el hacinamiento</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Default="0031157F" w:rsidP="00FA6C6A">
      <w:pPr>
        <w:pStyle w:val="SingleTxt"/>
        <w:numPr>
          <w:ilvl w:val="0"/>
          <w:numId w:val="9"/>
        </w:numPr>
        <w:tabs>
          <w:tab w:val="clear" w:pos="475"/>
          <w:tab w:val="num" w:pos="1742"/>
        </w:tabs>
        <w:ind w:left="1267"/>
      </w:pPr>
      <w:r w:rsidRPr="00E20D41">
        <w:t xml:space="preserve">Las principales causas incluyen deficiencias en el sistema de justicia penal, el recurso excesivo a la detención </w:t>
      </w:r>
      <w:r w:rsidR="0066521F">
        <w:t>preventiva</w:t>
      </w:r>
      <w:r w:rsidRPr="00E20D41">
        <w:t xml:space="preserve">, la falta de alternativas a la detención </w:t>
      </w:r>
      <w:r w:rsidR="0066521F">
        <w:t>o</w:t>
      </w:r>
      <w:r w:rsidRPr="00E20D41">
        <w:t xml:space="preserve"> su </w:t>
      </w:r>
      <w:r w:rsidR="0066521F">
        <w:t xml:space="preserve">mala </w:t>
      </w:r>
      <w:r w:rsidRPr="00E20D41">
        <w:t xml:space="preserve">administración, </w:t>
      </w:r>
      <w:r w:rsidR="0066521F">
        <w:t xml:space="preserve">la existencia de </w:t>
      </w:r>
      <w:r w:rsidRPr="00E20D41">
        <w:t xml:space="preserve">normas </w:t>
      </w:r>
      <w:r w:rsidR="0066521F">
        <w:t xml:space="preserve">específicas sobre la pena </w:t>
      </w:r>
      <w:r w:rsidRPr="00E20D41">
        <w:t>y la falta de supervisión sobre los lugares de detención.</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r>
      <w:r w:rsidR="0031157F" w:rsidRPr="00E20D41">
        <w:t>Deficiencias en el sistema de justicia penal</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 xml:space="preserve">El Comité Europeo para la Prevención de la Tortura indicó que había observado </w:t>
      </w:r>
      <w:r w:rsidR="0066521F">
        <w:t xml:space="preserve">elevadas tasas de privación de la libertad </w:t>
      </w:r>
      <w:r w:rsidRPr="00E20D41">
        <w:t xml:space="preserve">y, por consiguiente, un grave hacinamiento carcelario y sostuvo que “una alta tasa de delincuencia no basta para explicar convincentemente el hecho de que un Estado encierre a un número tan grande de sus ciudadanos; la responsabilidad debe imputarse </w:t>
      </w:r>
      <w:r w:rsidR="0066521F" w:rsidRPr="00E20D41">
        <w:t xml:space="preserve">más bien </w:t>
      </w:r>
      <w:r w:rsidRPr="00E20D41">
        <w:t>al criterio general de los miembros de los organismos de policía y del poder judicial”</w:t>
      </w:r>
      <w:r w:rsidRPr="00FA6C6A">
        <w:rPr>
          <w:color w:val="943634" w:themeColor="accent2" w:themeShade="BF"/>
          <w:vertAlign w:val="superscript"/>
        </w:rPr>
        <w:footnoteReference w:id="137"/>
      </w:r>
      <w:r w:rsidRPr="00E20D41">
        <w:t>. Un sistema efectivo de justicia penal</w:t>
      </w:r>
      <w:r w:rsidRPr="00FA6C6A">
        <w:rPr>
          <w:color w:val="943634" w:themeColor="accent2" w:themeShade="BF"/>
          <w:vertAlign w:val="superscript"/>
        </w:rPr>
        <w:footnoteReference w:id="138"/>
      </w:r>
      <w:r w:rsidRPr="00E20D41">
        <w:t xml:space="preserve"> en que todos los integrantes, entre ellos la policía, los fiscales, los abogados defensores y la judicatura, trabajen con eficiencia y de conformidad con el principio de legalidad y el derecho internacional de los derechos humanos es esencial para dirimir en forma eficiente y de </w:t>
      </w:r>
      <w:r w:rsidR="0066521F">
        <w:t xml:space="preserve">conformidad con </w:t>
      </w:r>
      <w:r w:rsidRPr="00E20D41">
        <w:t>la ley los casos de quienes entran en contacto con el sistema. En la práctica, sin embargo, los sistemas de justicia penal de todo el mundo tropiezan con grandes problemas y adolecen de graves defectos.</w:t>
      </w:r>
    </w:p>
    <w:p w:rsidR="0031157F" w:rsidRPr="00E20D41" w:rsidRDefault="0031157F" w:rsidP="00FA6C6A">
      <w:pPr>
        <w:pStyle w:val="SingleTxt"/>
        <w:numPr>
          <w:ilvl w:val="0"/>
          <w:numId w:val="9"/>
        </w:numPr>
        <w:tabs>
          <w:tab w:val="clear" w:pos="475"/>
          <w:tab w:val="num" w:pos="1742"/>
        </w:tabs>
        <w:ind w:left="1267"/>
      </w:pPr>
      <w:r w:rsidRPr="00E20D41">
        <w:t>La llamada “política de tolerancia cero”</w:t>
      </w:r>
      <w:r w:rsidR="0066521F">
        <w:t>,</w:t>
      </w:r>
      <w:r w:rsidRPr="00E20D41">
        <w:t xml:space="preserve"> adoptada en muchos Estados</w:t>
      </w:r>
      <w:r w:rsidR="0066521F">
        <w:t>,</w:t>
      </w:r>
      <w:r w:rsidRPr="00E20D41">
        <w:t xml:space="preserve"> ha causado un gran aumento en el número de detenciones</w:t>
      </w:r>
      <w:r w:rsidRPr="00FA6C6A">
        <w:rPr>
          <w:color w:val="943634" w:themeColor="accent2" w:themeShade="BF"/>
          <w:vertAlign w:val="superscript"/>
        </w:rPr>
        <w:footnoteReference w:id="139"/>
      </w:r>
      <w:r w:rsidRPr="00E20D41">
        <w:t>, incluso por delitos menores como la ebriedad, el cruce de vías férreas o el hurto</w:t>
      </w:r>
      <w:r w:rsidRPr="00FA6C6A">
        <w:rPr>
          <w:color w:val="943634" w:themeColor="accent2" w:themeShade="BF"/>
          <w:vertAlign w:val="superscript"/>
        </w:rPr>
        <w:footnoteReference w:id="140"/>
      </w:r>
      <w:r w:rsidRPr="00E20D41">
        <w:t xml:space="preserve"> y del número de personas detenidas durante períodos prolongados</w:t>
      </w:r>
      <w:r w:rsidRPr="00FA6C6A">
        <w:rPr>
          <w:color w:val="943634" w:themeColor="accent2" w:themeShade="BF"/>
          <w:vertAlign w:val="superscript"/>
        </w:rPr>
        <w:footnoteReference w:id="141"/>
      </w:r>
      <w:r w:rsidRPr="00E20D41">
        <w:t>. Además, según informes, algunas prácticas como recompensas a los policías que hacen detenciones</w:t>
      </w:r>
      <w:r w:rsidRPr="00FA6C6A">
        <w:rPr>
          <w:color w:val="943634" w:themeColor="accent2" w:themeShade="BF"/>
          <w:vertAlign w:val="superscript"/>
        </w:rPr>
        <w:footnoteReference w:id="142"/>
      </w:r>
      <w:r w:rsidRPr="00E20D41">
        <w:t xml:space="preserve"> o la existencia de leyes, normas y reglamentos excesivamente amplios</w:t>
      </w:r>
      <w:r w:rsidRPr="00FA6C6A">
        <w:rPr>
          <w:color w:val="943634" w:themeColor="accent2" w:themeShade="BF"/>
          <w:vertAlign w:val="superscript"/>
        </w:rPr>
        <w:footnoteReference w:id="143"/>
      </w:r>
      <w:r w:rsidRPr="00E20D41">
        <w:t xml:space="preserve"> han dado lugar a detenciones arbitrarias. Esta situación, a su vez, ha contribuido de manera importante al recurso excesivo a la privación de libertad y al hacinamiento.</w:t>
      </w:r>
    </w:p>
    <w:p w:rsidR="0031157F" w:rsidRPr="00E20D41" w:rsidRDefault="0031157F" w:rsidP="00FA6C6A">
      <w:pPr>
        <w:pStyle w:val="SingleTxt"/>
        <w:numPr>
          <w:ilvl w:val="0"/>
          <w:numId w:val="9"/>
        </w:numPr>
        <w:tabs>
          <w:tab w:val="clear" w:pos="475"/>
          <w:tab w:val="num" w:pos="1742"/>
        </w:tabs>
        <w:ind w:left="1267"/>
      </w:pPr>
      <w:r w:rsidRPr="00E20D41">
        <w:t xml:space="preserve">La eficiencia con que las autoridades </w:t>
      </w:r>
      <w:r w:rsidR="0066521F">
        <w:t xml:space="preserve">puedan </w:t>
      </w:r>
      <w:r w:rsidRPr="00E20D41">
        <w:t xml:space="preserve">resolver el caso de cada detenido después de la detención es fundamental para reducir el hacinamiento y </w:t>
      </w:r>
      <w:r w:rsidR="0066521F">
        <w:t>e</w:t>
      </w:r>
      <w:r w:rsidRPr="00E20D41">
        <w:t>l recurso excesivo a la privación de la libertad. La detención preventiva suele prolongarse porque la investigación policial es inadecuada, los expedientes se pierden o faltan jueces. En muchos Estados hay gran cantidad de casos acumulados, especialmente de personas en detención preventiva, y existe la urgente necesidad de aumentar la capacidad de la judicatura para darles curso</w:t>
      </w:r>
      <w:r w:rsidRPr="00FA6C6A">
        <w:rPr>
          <w:color w:val="943634" w:themeColor="accent2" w:themeShade="BF"/>
          <w:vertAlign w:val="superscript"/>
        </w:rPr>
        <w:footnoteReference w:id="144"/>
      </w:r>
      <w:r w:rsidRPr="00E20D41">
        <w:t>. Además, debido a la falta de recursos y de funcionarios capacitados, no se aplican medidas alternativas o sistemas de libertad condicional</w:t>
      </w:r>
      <w:r w:rsidRPr="00FA6C6A">
        <w:rPr>
          <w:color w:val="943634" w:themeColor="accent2" w:themeShade="BF"/>
          <w:vertAlign w:val="superscript"/>
        </w:rPr>
        <w:footnoteReference w:id="145"/>
      </w:r>
      <w:r w:rsidRPr="00E20D41">
        <w:t xml:space="preserve">. </w:t>
      </w:r>
      <w:r w:rsidR="0066521F">
        <w:t xml:space="preserve">La falta de </w:t>
      </w:r>
      <w:r w:rsidRPr="00E20D41">
        <w:t>sistemas de comunicación adecuados entre fiscales, defensores públicos y jueces redunda también en desmedro de la eficiencia del sistema de justicia penal</w:t>
      </w:r>
      <w:r w:rsidRPr="00FA6C6A">
        <w:rPr>
          <w:color w:val="943634" w:themeColor="accent2" w:themeShade="BF"/>
          <w:vertAlign w:val="superscript"/>
        </w:rPr>
        <w:footnoteReference w:id="146"/>
      </w:r>
      <w:r w:rsidRPr="00E20D41">
        <w:t xml:space="preserve">. Estas </w:t>
      </w:r>
      <w:r w:rsidR="0066521F">
        <w:t>d</w:t>
      </w:r>
      <w:r w:rsidRPr="00E20D41">
        <w:t>eficiencias del sistema significan también que no se revisa</w:t>
      </w:r>
      <w:r w:rsidR="00565EC8">
        <w:t xml:space="preserve"> a</w:t>
      </w:r>
      <w:r w:rsidRPr="00E20D41">
        <w:t xml:space="preserve"> intervalos periódicos la situación de los detenidos</w:t>
      </w:r>
      <w:r w:rsidRPr="00FA6C6A">
        <w:rPr>
          <w:color w:val="943634" w:themeColor="accent2" w:themeShade="BF"/>
          <w:vertAlign w:val="superscript"/>
        </w:rPr>
        <w:footnoteReference w:id="147"/>
      </w:r>
      <w:r w:rsidRPr="00E20D41">
        <w:t xml:space="preserve">. Además, muchos Estados carecen de programas de asistencia jurídica amplios y </w:t>
      </w:r>
      <w:r w:rsidR="00565EC8">
        <w:t xml:space="preserve">dotados de </w:t>
      </w:r>
      <w:r w:rsidRPr="00E20D41">
        <w:t>recursos suficientes.</w:t>
      </w:r>
    </w:p>
    <w:p w:rsidR="0031157F" w:rsidRDefault="0031157F" w:rsidP="00FA6C6A">
      <w:pPr>
        <w:pStyle w:val="SingleTxt"/>
        <w:numPr>
          <w:ilvl w:val="0"/>
          <w:numId w:val="9"/>
        </w:numPr>
        <w:tabs>
          <w:tab w:val="clear" w:pos="475"/>
          <w:tab w:val="num" w:pos="1742"/>
        </w:tabs>
        <w:ind w:left="1267"/>
      </w:pPr>
      <w:r w:rsidRPr="00E20D41">
        <w:t>Por otra parte, muchas personas siguen recluidas porque no hay registros centralizados ni un sistema eficaz para supervisar la duración de la detención preventiva o la marcha de la ejecución de la sentencia</w:t>
      </w:r>
      <w:r w:rsidRPr="00FA6C6A">
        <w:rPr>
          <w:color w:val="943634" w:themeColor="accent2" w:themeShade="BF"/>
          <w:vertAlign w:val="superscript"/>
        </w:rPr>
        <w:footnoteReference w:id="148"/>
      </w:r>
      <w:r w:rsidRPr="00E20D41">
        <w:t>. Al no haber esos registros y no comunicarse bien los componentes de la justicia penal</w:t>
      </w:r>
      <w:r w:rsidRPr="00FA6C6A">
        <w:rPr>
          <w:color w:val="943634" w:themeColor="accent2" w:themeShade="BF"/>
          <w:vertAlign w:val="superscript"/>
        </w:rPr>
        <w:footnoteReference w:id="149"/>
      </w:r>
      <w:r w:rsidRPr="00E20D41">
        <w:t>, las autoridades simplemente no saben quién debe quedar en libertad. De esta manera no solo se prolonga la detención preventiva sino que se mantiene recluidos a quienes han cumplido ya su pena, lo que contribuye al hacinamiento</w:t>
      </w:r>
      <w:r w:rsidRPr="00FA6C6A">
        <w:rPr>
          <w:color w:val="943634" w:themeColor="accent2" w:themeShade="BF"/>
          <w:vertAlign w:val="superscript"/>
        </w:rPr>
        <w:footnoteReference w:id="150"/>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r>
      <w:r w:rsidR="0031157F" w:rsidRPr="00E20D41">
        <w:t>Recurso excesivo a la detención preventiva</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Default="0031157F" w:rsidP="00FA6C6A">
      <w:pPr>
        <w:pStyle w:val="SingleTxt"/>
        <w:numPr>
          <w:ilvl w:val="0"/>
          <w:numId w:val="9"/>
        </w:numPr>
        <w:tabs>
          <w:tab w:val="clear" w:pos="475"/>
          <w:tab w:val="num" w:pos="1742"/>
        </w:tabs>
        <w:ind w:left="1267"/>
      </w:pPr>
      <w:r w:rsidRPr="00E20D41">
        <w:t>El Su</w:t>
      </w:r>
      <w:r w:rsidR="00200B6A">
        <w:t>b</w:t>
      </w:r>
      <w:r w:rsidRPr="00E20D41">
        <w:t xml:space="preserve">comité para la Prevención de la Tortura ha señalado que el uso excesivo y la prolongación excesiva de la prisión preventiva suponen una de las causas principales </w:t>
      </w:r>
      <w:r w:rsidR="00565EC8">
        <w:t>d</w:t>
      </w:r>
      <w:r w:rsidRPr="00E20D41">
        <w:t>el hacinamiento</w:t>
      </w:r>
      <w:r w:rsidRPr="00FA6C6A">
        <w:rPr>
          <w:color w:val="943634" w:themeColor="accent2" w:themeShade="BF"/>
          <w:vertAlign w:val="superscript"/>
        </w:rPr>
        <w:footnoteReference w:id="151"/>
      </w:r>
      <w:r w:rsidRPr="00E20D41">
        <w:t xml:space="preserve"> y que la utilización excesiva, o indebida, de esa </w:t>
      </w:r>
      <w:r w:rsidR="00565EC8">
        <w:t xml:space="preserve">detención </w:t>
      </w:r>
      <w:r w:rsidRPr="00E20D41">
        <w:t>es un problema general que debe enfrentarse con carácter prioritario</w:t>
      </w:r>
      <w:r w:rsidRPr="00FA6C6A">
        <w:rPr>
          <w:color w:val="943634" w:themeColor="accent2" w:themeShade="BF"/>
          <w:vertAlign w:val="superscript"/>
        </w:rPr>
        <w:footnoteReference w:id="152"/>
      </w:r>
      <w:r w:rsidRPr="00E20D41">
        <w:t>. Otros órganos internacionales</w:t>
      </w:r>
      <w:r w:rsidRPr="00FA6C6A">
        <w:rPr>
          <w:color w:val="943634" w:themeColor="accent2" w:themeShade="BF"/>
          <w:vertAlign w:val="superscript"/>
        </w:rPr>
        <w:footnoteReference w:id="153"/>
      </w:r>
      <w:r w:rsidRPr="00E20D41">
        <w:t xml:space="preserve"> o regionales</w:t>
      </w:r>
      <w:r w:rsidRPr="00FA6C6A">
        <w:rPr>
          <w:color w:val="943634" w:themeColor="accent2" w:themeShade="BF"/>
          <w:vertAlign w:val="superscript"/>
        </w:rPr>
        <w:footnoteReference w:id="154"/>
      </w:r>
      <w:r w:rsidRPr="00E20D41">
        <w:t xml:space="preserve"> han indicado también que se recurre excesivamente a la detención preventiva, medida que debería ser únicamente de último recurso y estar sujeta a ciertas condiciones</w:t>
      </w:r>
      <w:r w:rsidRPr="00FA6C6A">
        <w:rPr>
          <w:color w:val="943634" w:themeColor="accent2" w:themeShade="BF"/>
          <w:vertAlign w:val="superscript"/>
        </w:rPr>
        <w:footnoteReference w:id="155"/>
      </w:r>
      <w:r w:rsidRPr="00E20D41">
        <w:t>, pero que en la práctica se aplica con frecuencia e incluso en casos tan leves como el hurto de un teléfono móvil</w:t>
      </w:r>
      <w:r w:rsidRPr="00FA6C6A">
        <w:rPr>
          <w:color w:val="943634" w:themeColor="accent2" w:themeShade="BF"/>
          <w:vertAlign w:val="superscript"/>
        </w:rPr>
        <w:footnoteReference w:id="156"/>
      </w:r>
      <w:r w:rsidRPr="00E20D41">
        <w:t>, una lapicera o un pollo</w:t>
      </w:r>
      <w:r w:rsidRPr="00FA6C6A">
        <w:rPr>
          <w:color w:val="943634" w:themeColor="accent2" w:themeShade="BF"/>
          <w:vertAlign w:val="superscript"/>
        </w:rPr>
        <w:footnoteReference w:id="157"/>
      </w:r>
      <w:r w:rsidRPr="00E20D41">
        <w:t xml:space="preserve">. </w:t>
      </w:r>
      <w:r w:rsidR="00565EC8">
        <w:t xml:space="preserve">Estarían sometidos a </w:t>
      </w:r>
      <w:r w:rsidRPr="00E20D41">
        <w:t xml:space="preserve">prisión preventiva </w:t>
      </w:r>
      <w:r w:rsidR="00565EC8">
        <w:t xml:space="preserve">en algunos países </w:t>
      </w:r>
      <w:r w:rsidRPr="00E20D41">
        <w:t>la mayoría de la población carcelaria</w:t>
      </w:r>
      <w:r w:rsidRPr="00FA6C6A">
        <w:rPr>
          <w:color w:val="943634" w:themeColor="accent2" w:themeShade="BF"/>
          <w:vertAlign w:val="superscript"/>
        </w:rPr>
        <w:footnoteReference w:id="158"/>
      </w:r>
      <w:r w:rsidRPr="00E20D41">
        <w:t xml:space="preserve"> y, en algunos casos, más del 90% de los reclusos</w:t>
      </w:r>
      <w:r w:rsidRPr="00FA6C6A">
        <w:rPr>
          <w:color w:val="943634" w:themeColor="accent2" w:themeShade="BF"/>
          <w:vertAlign w:val="superscript"/>
        </w:rPr>
        <w:footnoteReference w:id="159"/>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C.</w:t>
      </w:r>
      <w:r>
        <w:tab/>
      </w:r>
      <w:r w:rsidR="0031157F" w:rsidRPr="00E20D41">
        <w:t xml:space="preserve">Falta de alternativas a la detención o </w:t>
      </w:r>
      <w:r w:rsidR="00565EC8">
        <w:t xml:space="preserve">mala </w:t>
      </w:r>
      <w:r w:rsidR="0031157F" w:rsidRPr="00E20D41">
        <w:t xml:space="preserve">administración </w:t>
      </w:r>
      <w:r w:rsidR="00565EC8">
        <w:br/>
      </w:r>
      <w:r w:rsidR="0031157F" w:rsidRPr="00E20D41">
        <w:t>de ellas</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Según el Relator Especial de la Comisión Africana para los Derechos de los Hombres y de los Pueblos</w:t>
      </w:r>
      <w:r w:rsidR="00BD1B2F">
        <w:t xml:space="preserve"> </w:t>
      </w:r>
      <w:r w:rsidR="00BD1B2F" w:rsidRPr="00E20D41">
        <w:t>sobre las prisiones y las condiciones de detención</w:t>
      </w:r>
      <w:r w:rsidRPr="00E20D41">
        <w:t xml:space="preserve">, el aumento de la población carcelaria no puede imputarse exclusivamente a un </w:t>
      </w:r>
      <w:r w:rsidR="00BD1B2F">
        <w:t>aumento de la delincuencia</w:t>
      </w:r>
      <w:r w:rsidRPr="00E20D41">
        <w:t xml:space="preserve">. En pocas palabras, en la mayoría de los países se cree que la </w:t>
      </w:r>
      <w:r w:rsidR="00BD1B2F">
        <w:t xml:space="preserve">prisión </w:t>
      </w:r>
      <w:r w:rsidRPr="00E20D41">
        <w:t xml:space="preserve">es preferible a cualquier alternativa y, de esa manera, el elemento punitivo que caracteriza esta pena sigue siendo la piedra angular de los sistemas penales y correccionales de nuestros días. A pesar de que las alternativas a la reclusión han demostrado su eficiencia y eficacia, se siguen imponiendo penas más severas consistentes en sentencias a prisión </w:t>
      </w:r>
      <w:r w:rsidR="00BD1B2F">
        <w:t xml:space="preserve">de duración </w:t>
      </w:r>
      <w:r w:rsidRPr="00E20D41">
        <w:t>más prolongada</w:t>
      </w:r>
      <w:r w:rsidRPr="00FA6C6A">
        <w:rPr>
          <w:color w:val="943634" w:themeColor="accent2" w:themeShade="BF"/>
          <w:vertAlign w:val="superscript"/>
        </w:rPr>
        <w:footnoteReference w:id="160"/>
      </w:r>
      <w:r w:rsidR="00BD1B2F">
        <w:t>.</w:t>
      </w:r>
    </w:p>
    <w:p w:rsidR="0031157F" w:rsidRDefault="0031157F" w:rsidP="00FA6C6A">
      <w:pPr>
        <w:pStyle w:val="SingleTxt"/>
        <w:numPr>
          <w:ilvl w:val="0"/>
          <w:numId w:val="9"/>
        </w:numPr>
        <w:tabs>
          <w:tab w:val="clear" w:pos="475"/>
          <w:tab w:val="num" w:pos="1742"/>
        </w:tabs>
        <w:ind w:left="1267"/>
      </w:pPr>
      <w:r w:rsidRPr="00E20D41">
        <w:t>Otros órganos internacionales</w:t>
      </w:r>
      <w:r w:rsidRPr="00FA6C6A">
        <w:rPr>
          <w:color w:val="943634" w:themeColor="accent2" w:themeShade="BF"/>
          <w:vertAlign w:val="superscript"/>
        </w:rPr>
        <w:footnoteReference w:id="161"/>
      </w:r>
      <w:r w:rsidRPr="00E20D41">
        <w:t xml:space="preserve"> y regionales</w:t>
      </w:r>
      <w:r w:rsidRPr="00FA6C6A">
        <w:rPr>
          <w:color w:val="943634" w:themeColor="accent2" w:themeShade="BF"/>
          <w:vertAlign w:val="superscript"/>
        </w:rPr>
        <w:footnoteReference w:id="162"/>
      </w:r>
      <w:r w:rsidRPr="00E20D41">
        <w:t xml:space="preserve"> comparten esta opinión e indican que la falta de alternativas a la detención o </w:t>
      </w:r>
      <w:r w:rsidR="00BD1B2F">
        <w:t>su</w:t>
      </w:r>
      <w:r w:rsidRPr="00E20D41">
        <w:t xml:space="preserve"> aplicación inadecuada </w:t>
      </w:r>
      <w:r w:rsidR="00BD1B2F">
        <w:t xml:space="preserve">contribuye de manera </w:t>
      </w:r>
      <w:r w:rsidRPr="00E20D41">
        <w:t xml:space="preserve">importante al uso excesivo de la privación de la libertad y el hacinamiento. Otros factores </w:t>
      </w:r>
      <w:r w:rsidR="00BD1B2F">
        <w:t xml:space="preserve">consisten en que no haya </w:t>
      </w:r>
      <w:r w:rsidRPr="00E20D41">
        <w:t xml:space="preserve">libertad bajo fianza, </w:t>
      </w:r>
      <w:r w:rsidR="00BD1B2F">
        <w:t xml:space="preserve">esta funcione mal o esté sujeta a </w:t>
      </w:r>
      <w:r w:rsidRPr="00E20D41">
        <w:t>condiciones excesivamente onerosas</w:t>
      </w:r>
      <w:r w:rsidRPr="00FA6C6A">
        <w:rPr>
          <w:color w:val="943634" w:themeColor="accent2" w:themeShade="BF"/>
          <w:vertAlign w:val="superscript"/>
        </w:rPr>
        <w:footnoteReference w:id="163"/>
      </w:r>
      <w:r w:rsidRPr="00E20D41">
        <w:t xml:space="preserve">; el sistema de libertad condicional </w:t>
      </w:r>
      <w:r w:rsidR="00BD1B2F">
        <w:t>sea</w:t>
      </w:r>
      <w:r w:rsidRPr="00E20D41">
        <w:t xml:space="preserve"> ineficaz y se utili</w:t>
      </w:r>
      <w:r w:rsidR="00BD1B2F">
        <w:t>ce</w:t>
      </w:r>
      <w:r w:rsidRPr="00E20D41">
        <w:t xml:space="preserve"> poco la libertad vigilada</w:t>
      </w:r>
      <w:r w:rsidRPr="00FA6C6A">
        <w:rPr>
          <w:color w:val="943634" w:themeColor="accent2" w:themeShade="BF"/>
          <w:vertAlign w:val="superscript"/>
        </w:rPr>
        <w:footnoteReference w:id="164"/>
      </w:r>
      <w:r w:rsidR="00BD1B2F">
        <w:t>; no exista</w:t>
      </w:r>
      <w:r w:rsidRPr="00E20D41">
        <w:t xml:space="preserve"> un sistema de alternativas a la detención, </w:t>
      </w:r>
      <w:r w:rsidR="00BD1B2F">
        <w:t xml:space="preserve">como </w:t>
      </w:r>
      <w:r w:rsidRPr="00E20D41">
        <w:t>servicios a la comunidad</w:t>
      </w:r>
      <w:r w:rsidRPr="00FA6C6A">
        <w:rPr>
          <w:color w:val="943634" w:themeColor="accent2" w:themeShade="BF"/>
          <w:vertAlign w:val="superscript"/>
        </w:rPr>
        <w:footnoteReference w:id="165"/>
      </w:r>
      <w:r w:rsidRPr="00E20D41">
        <w:t xml:space="preserve">, </w:t>
      </w:r>
      <w:r w:rsidR="00BD1B2F">
        <w:t>vigilancia por medios electrónicos</w:t>
      </w:r>
      <w:r w:rsidRPr="00E20D41">
        <w:t xml:space="preserve"> o arresto domiciliario</w:t>
      </w:r>
      <w:r w:rsidRPr="00FA6C6A">
        <w:rPr>
          <w:color w:val="943634" w:themeColor="accent2" w:themeShade="BF"/>
          <w:vertAlign w:val="superscript"/>
        </w:rPr>
        <w:footnoteReference w:id="166"/>
      </w:r>
      <w:r w:rsidRPr="00E20D41">
        <w:t xml:space="preserve"> o los que existen funcionan mal</w:t>
      </w:r>
      <w:r w:rsidR="00A40DA9">
        <w:t>,</w:t>
      </w:r>
      <w:r w:rsidRPr="00E20D41">
        <w:t xml:space="preserve"> y </w:t>
      </w:r>
      <w:r w:rsidR="00BD1B2F">
        <w:t xml:space="preserve">que </w:t>
      </w:r>
      <w:r w:rsidRPr="00E20D41">
        <w:t>los fiscales y los jueces s</w:t>
      </w:r>
      <w:r w:rsidR="00BD1B2F">
        <w:t>ea</w:t>
      </w:r>
      <w:r w:rsidRPr="00E20D41">
        <w:t>n renuentes a que se dicten sentencias no privativas de la libertad</w:t>
      </w:r>
      <w:r w:rsidRPr="00FA6C6A">
        <w:rPr>
          <w:color w:val="943634" w:themeColor="accent2" w:themeShade="BF"/>
          <w:vertAlign w:val="superscript"/>
        </w:rPr>
        <w:footnoteReference w:id="167"/>
      </w:r>
      <w:r w:rsidRPr="00E20D41">
        <w:t xml:space="preserve"> o los jueces no est</w:t>
      </w:r>
      <w:r w:rsidR="00BD1B2F">
        <w:t>é</w:t>
      </w:r>
      <w:r w:rsidRPr="00E20D41">
        <w:t xml:space="preserve">n facultados para dictarlas, especialmente en casos menos graves, así como </w:t>
      </w:r>
      <w:r w:rsidR="00BD1B2F">
        <w:t xml:space="preserve">en que no haya </w:t>
      </w:r>
      <w:r w:rsidRPr="00E20D41">
        <w:t xml:space="preserve">estímulo para </w:t>
      </w:r>
      <w:r w:rsidR="00BD1B2F">
        <w:t xml:space="preserve">aprovechar </w:t>
      </w:r>
      <w:r w:rsidRPr="00E20D41">
        <w:t>esas posibilidades</w:t>
      </w:r>
      <w:r w:rsidRPr="00FA6C6A">
        <w:rPr>
          <w:color w:val="943634" w:themeColor="accent2" w:themeShade="BF"/>
          <w:vertAlign w:val="superscript"/>
        </w:rPr>
        <w:footnoteReference w:id="168"/>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tab/>
      </w:r>
      <w:r w:rsidR="0031157F" w:rsidRPr="00E20D41">
        <w:t xml:space="preserve">Normas para la </w:t>
      </w:r>
      <w:r w:rsidR="00981AFE">
        <w:t xml:space="preserve">fijación </w:t>
      </w:r>
      <w:r w:rsidR="0031157F" w:rsidRPr="00E20D41">
        <w:t xml:space="preserve">de la </w:t>
      </w:r>
      <w:r w:rsidR="00981AFE">
        <w:t>pena</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CF2770" w:rsidRDefault="0031157F" w:rsidP="00FA6C6A">
      <w:pPr>
        <w:pStyle w:val="SingleTxt"/>
        <w:numPr>
          <w:ilvl w:val="0"/>
          <w:numId w:val="9"/>
        </w:numPr>
        <w:tabs>
          <w:tab w:val="clear" w:pos="475"/>
          <w:tab w:val="num" w:pos="1742"/>
        </w:tabs>
        <w:ind w:left="1267"/>
        <w:rPr>
          <w:spacing w:val="2"/>
        </w:rPr>
      </w:pPr>
      <w:r w:rsidRPr="00CF2770">
        <w:rPr>
          <w:spacing w:val="2"/>
        </w:rPr>
        <w:t xml:space="preserve">La </w:t>
      </w:r>
      <w:r w:rsidR="00981AFE" w:rsidRPr="00CF2770">
        <w:rPr>
          <w:spacing w:val="2"/>
        </w:rPr>
        <w:t xml:space="preserve">política </w:t>
      </w:r>
      <w:r w:rsidRPr="00CF2770">
        <w:rPr>
          <w:spacing w:val="2"/>
        </w:rPr>
        <w:t xml:space="preserve">que establece el Estado </w:t>
      </w:r>
      <w:r w:rsidR="00981AFE" w:rsidRPr="00CF2770">
        <w:rPr>
          <w:spacing w:val="2"/>
        </w:rPr>
        <w:t>frente a la delincuencia tiene</w:t>
      </w:r>
      <w:r w:rsidRPr="00CF2770">
        <w:rPr>
          <w:spacing w:val="2"/>
        </w:rPr>
        <w:t xml:space="preserve"> consecuencias directas en el número de detenidos y la duración de su detención. La llamada “política de tolerancia cero” ha hecho que aumente el número de sentencias condenatorias a penas priv</w:t>
      </w:r>
      <w:r w:rsidR="00981AFE" w:rsidRPr="00CF2770">
        <w:rPr>
          <w:spacing w:val="2"/>
        </w:rPr>
        <w:t>ativas de la libertad y, sumada</w:t>
      </w:r>
      <w:r w:rsidRPr="00CF2770">
        <w:rPr>
          <w:spacing w:val="2"/>
        </w:rPr>
        <w:t xml:space="preserve"> al bajo número de sentencias absolutorias y a la frecuencia con qu</w:t>
      </w:r>
      <w:r w:rsidR="00981AFE" w:rsidRPr="00CF2770">
        <w:rPr>
          <w:spacing w:val="2"/>
        </w:rPr>
        <w:t>e se recurre a la detención, ha</w:t>
      </w:r>
      <w:r w:rsidRPr="00CF2770">
        <w:rPr>
          <w:spacing w:val="2"/>
        </w:rPr>
        <w:t xml:space="preserve"> dado lugar al hacinamiento carcelario</w:t>
      </w:r>
      <w:r w:rsidRPr="00CF2770">
        <w:rPr>
          <w:color w:val="943634" w:themeColor="accent2" w:themeShade="BF"/>
          <w:spacing w:val="2"/>
          <w:vertAlign w:val="superscript"/>
        </w:rPr>
        <w:footnoteReference w:id="169"/>
      </w:r>
      <w:r w:rsidRPr="00CF2770">
        <w:rPr>
          <w:spacing w:val="2"/>
        </w:rPr>
        <w:t>.</w:t>
      </w:r>
    </w:p>
    <w:p w:rsidR="0031157F" w:rsidRPr="00E20D41" w:rsidRDefault="0031157F" w:rsidP="00FA6C6A">
      <w:pPr>
        <w:pStyle w:val="SingleTxt"/>
        <w:numPr>
          <w:ilvl w:val="0"/>
          <w:numId w:val="9"/>
        </w:numPr>
        <w:tabs>
          <w:tab w:val="clear" w:pos="475"/>
          <w:tab w:val="num" w:pos="1742"/>
        </w:tabs>
        <w:ind w:left="1267"/>
      </w:pPr>
      <w:r w:rsidRPr="00E20D41">
        <w:t>Como señaló el Grupo de Trabajo sobre la Detención Arbitraria “en muchos países se ha observado una reacción cada vez más rápida del poder legislativo ante los actos delictivos y en ellos se están comenzando a experimentar los efectos combinados de las leyes sobre delincuentes habituales, el incremento general de las penas mínimas con menor discrecionalidad para los jueces en cada caso concreto y la prisión preventiva después de la sentencia”</w:t>
      </w:r>
      <w:r w:rsidRPr="00FA6C6A">
        <w:rPr>
          <w:color w:val="943634" w:themeColor="accent2" w:themeShade="BF"/>
          <w:vertAlign w:val="superscript"/>
        </w:rPr>
        <w:footnoteReference w:id="170"/>
      </w:r>
      <w:r w:rsidRPr="00E20D41">
        <w:t>, todos ellos factores que llevan al recurso excesivo a la privación de la libertad y al hacinamiento.</w:t>
      </w:r>
    </w:p>
    <w:p w:rsidR="0031157F" w:rsidRDefault="0031157F" w:rsidP="00FA6C6A">
      <w:pPr>
        <w:pStyle w:val="SingleTxt"/>
        <w:numPr>
          <w:ilvl w:val="0"/>
          <w:numId w:val="9"/>
        </w:numPr>
        <w:tabs>
          <w:tab w:val="clear" w:pos="475"/>
          <w:tab w:val="num" w:pos="1742"/>
        </w:tabs>
        <w:ind w:left="1267"/>
      </w:pPr>
      <w:r w:rsidRPr="00E20D41">
        <w:t xml:space="preserve">Se han indicado </w:t>
      </w:r>
      <w:r w:rsidR="00981AFE">
        <w:t>e</w:t>
      </w:r>
      <w:r w:rsidR="00200B6A">
        <w:t>n</w:t>
      </w:r>
      <w:r w:rsidR="00981AFE">
        <w:t xml:space="preserve">tre esos </w:t>
      </w:r>
      <w:r w:rsidRPr="00E20D41">
        <w:t xml:space="preserve">factores </w:t>
      </w:r>
      <w:r w:rsidR="00981AFE">
        <w:t xml:space="preserve">el de no tener en cuenta el período </w:t>
      </w:r>
      <w:r w:rsidRPr="00E20D41">
        <w:t xml:space="preserve">de </w:t>
      </w:r>
      <w:r w:rsidR="00200B6A">
        <w:t>prisión preventiva al calcul</w:t>
      </w:r>
      <w:r w:rsidR="00981AFE">
        <w:t>ar la duración de la pena</w:t>
      </w:r>
      <w:r w:rsidRPr="00FA6C6A">
        <w:rPr>
          <w:color w:val="943634" w:themeColor="accent2" w:themeShade="BF"/>
          <w:vertAlign w:val="superscript"/>
        </w:rPr>
        <w:footnoteReference w:id="171"/>
      </w:r>
      <w:r w:rsidRPr="00E20D41">
        <w:t>; aplica</w:t>
      </w:r>
      <w:r w:rsidR="00981AFE">
        <w:t>r</w:t>
      </w:r>
      <w:r w:rsidRPr="00E20D41">
        <w:t xml:space="preserve"> penas obligatorias, especialmente en el caso de delitos menores y no violentos</w:t>
      </w:r>
      <w:r w:rsidRPr="00FA6C6A">
        <w:rPr>
          <w:color w:val="943634" w:themeColor="accent2" w:themeShade="BF"/>
          <w:vertAlign w:val="superscript"/>
        </w:rPr>
        <w:footnoteReference w:id="172"/>
      </w:r>
      <w:r w:rsidRPr="00E20D41">
        <w:t xml:space="preserve"> y aplica</w:t>
      </w:r>
      <w:r w:rsidR="00981AFE">
        <w:t>r</w:t>
      </w:r>
      <w:r w:rsidRPr="00E20D41">
        <w:t xml:space="preserve"> penas severas por delitos relacionados con drogas</w:t>
      </w:r>
      <w:r w:rsidRPr="00FA6C6A">
        <w:rPr>
          <w:color w:val="943634" w:themeColor="accent2" w:themeShade="BF"/>
          <w:vertAlign w:val="superscript"/>
        </w:rPr>
        <w:footnoteReference w:id="173"/>
      </w:r>
      <w:r w:rsidRPr="00E20D41">
        <w:t>; impo</w:t>
      </w:r>
      <w:r w:rsidR="00981AFE">
        <w:t>ner</w:t>
      </w:r>
      <w:r w:rsidRPr="00E20D41">
        <w:t xml:space="preserve"> sentencias de reclusión excesivamente largas, especialmente a cadena perpetua</w:t>
      </w:r>
      <w:r w:rsidRPr="00FA6C6A">
        <w:rPr>
          <w:color w:val="943634" w:themeColor="accent2" w:themeShade="BF"/>
          <w:vertAlign w:val="superscript"/>
        </w:rPr>
        <w:footnoteReference w:id="174"/>
      </w:r>
      <w:r w:rsidRPr="00E20D41">
        <w:t>, en contravención del principio de la proporcionalidad</w:t>
      </w:r>
      <w:r w:rsidRPr="00FA6C6A">
        <w:rPr>
          <w:color w:val="943634" w:themeColor="accent2" w:themeShade="BF"/>
          <w:vertAlign w:val="superscript"/>
        </w:rPr>
        <w:footnoteReference w:id="175"/>
      </w:r>
      <w:r w:rsidRPr="00E20D41">
        <w:t xml:space="preserve">; </w:t>
      </w:r>
      <w:r w:rsidR="00981AFE">
        <w:t xml:space="preserve">no impartir </w:t>
      </w:r>
      <w:r w:rsidRPr="00E20D41">
        <w:t>directrices razonables que permitan reducir las penas excesivamente prolongadas</w:t>
      </w:r>
      <w:r w:rsidRPr="00FA6C6A">
        <w:rPr>
          <w:color w:val="943634" w:themeColor="accent2" w:themeShade="BF"/>
          <w:vertAlign w:val="superscript"/>
        </w:rPr>
        <w:footnoteReference w:id="176"/>
      </w:r>
      <w:r w:rsidRPr="00E20D41">
        <w:t xml:space="preserve">; </w:t>
      </w:r>
      <w:r w:rsidR="00981AFE">
        <w:t xml:space="preserve">no dar a los jueces </w:t>
      </w:r>
      <w:r w:rsidRPr="00E20D41">
        <w:t xml:space="preserve">facultades discrecionales para </w:t>
      </w:r>
      <w:r w:rsidR="00981AFE">
        <w:t xml:space="preserve">imponer la pena, lo </w:t>
      </w:r>
      <w:r w:rsidRPr="00E20D41">
        <w:t>que obsta para que tengan en cuenta las circunstancias de cada detenido y de cada caso</w:t>
      </w:r>
      <w:r w:rsidRPr="00FA6C6A">
        <w:rPr>
          <w:color w:val="943634" w:themeColor="accent2" w:themeShade="BF"/>
          <w:vertAlign w:val="superscript"/>
        </w:rPr>
        <w:footnoteReference w:id="177"/>
      </w:r>
      <w:r w:rsidRPr="00E20D41">
        <w:t>; impo</w:t>
      </w:r>
      <w:r w:rsidR="00981AFE">
        <w:t>ner</w:t>
      </w:r>
      <w:r w:rsidRPr="00E20D41">
        <w:t xml:space="preserve"> ciertas limitaciones a la remisión de la pena</w:t>
      </w:r>
      <w:r w:rsidRPr="00FA6C6A">
        <w:rPr>
          <w:color w:val="943634" w:themeColor="accent2" w:themeShade="BF"/>
          <w:vertAlign w:val="superscript"/>
        </w:rPr>
        <w:footnoteReference w:id="178"/>
      </w:r>
      <w:r w:rsidR="00A40DA9">
        <w:t>,</w:t>
      </w:r>
      <w:r w:rsidRPr="00E20D41">
        <w:t xml:space="preserve"> y </w:t>
      </w:r>
      <w:r w:rsidR="00981AFE">
        <w:t>elementos de ambi</w:t>
      </w:r>
      <w:r w:rsidRPr="00E20D41">
        <w:t>güedad en la legislación que dan lugar a detenciones innecesarias</w:t>
      </w:r>
      <w:r w:rsidRPr="00FA6C6A">
        <w:rPr>
          <w:color w:val="943634" w:themeColor="accent2" w:themeShade="BF"/>
          <w:vertAlign w:val="superscript"/>
        </w:rPr>
        <w:footnoteReference w:id="179"/>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0E14E6" w:rsidRDefault="009C2086" w:rsidP="000E14E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E.</w:t>
      </w:r>
      <w:r>
        <w:tab/>
      </w:r>
      <w:r w:rsidR="0031157F" w:rsidRPr="00E20D41">
        <w:t>Falta de supervisión de los lugares de detención</w:t>
      </w:r>
    </w:p>
    <w:p w:rsidR="000E14E6" w:rsidRPr="000E14E6" w:rsidRDefault="000E14E6" w:rsidP="000E14E6">
      <w:pPr>
        <w:pStyle w:val="SingleTxt"/>
        <w:keepNext/>
        <w:spacing w:after="0" w:line="120" w:lineRule="exact"/>
        <w:rPr>
          <w:sz w:val="10"/>
        </w:rPr>
      </w:pPr>
    </w:p>
    <w:p w:rsidR="000E14E6" w:rsidRPr="000E14E6" w:rsidRDefault="000E14E6" w:rsidP="000E14E6">
      <w:pPr>
        <w:pStyle w:val="SingleTxt"/>
        <w:keepNext/>
        <w:spacing w:after="0" w:line="120" w:lineRule="exact"/>
        <w:rPr>
          <w:sz w:val="10"/>
        </w:rPr>
      </w:pPr>
    </w:p>
    <w:p w:rsidR="0031157F" w:rsidRDefault="0031157F" w:rsidP="00FA6C6A">
      <w:pPr>
        <w:pStyle w:val="SingleTxt"/>
        <w:numPr>
          <w:ilvl w:val="0"/>
          <w:numId w:val="9"/>
        </w:numPr>
        <w:tabs>
          <w:tab w:val="clear" w:pos="475"/>
          <w:tab w:val="num" w:pos="1742"/>
        </w:tabs>
        <w:ind w:left="1267"/>
      </w:pPr>
      <w:r w:rsidRPr="00E20D41">
        <w:t xml:space="preserve">La falta de supervisión de los lugares de detención es otro factor que contribuye al recurso excesivo a la privación de la libertad y el hacinamiento. Según informes, en algunos </w:t>
      </w:r>
      <w:r w:rsidR="00200B6A">
        <w:t>centros</w:t>
      </w:r>
      <w:r w:rsidR="008E24B0">
        <w:t xml:space="preserve"> </w:t>
      </w:r>
      <w:r w:rsidRPr="00E20D41">
        <w:t xml:space="preserve">no se llevan debidamente registros hasta el punto </w:t>
      </w:r>
      <w:r w:rsidR="008E24B0">
        <w:t>de</w:t>
      </w:r>
      <w:r w:rsidRPr="00E20D41">
        <w:t xml:space="preserve"> que las autoridades no saben cuál es el número exacto de detenidos en un momento determinado </w:t>
      </w:r>
      <w:r w:rsidR="008E24B0">
        <w:t>o</w:t>
      </w:r>
      <w:r w:rsidRPr="00E20D41">
        <w:t xml:space="preserve"> cuál es su situación</w:t>
      </w:r>
      <w:r w:rsidRPr="00FA6C6A">
        <w:rPr>
          <w:color w:val="943634" w:themeColor="accent2" w:themeShade="BF"/>
          <w:vertAlign w:val="superscript"/>
        </w:rPr>
        <w:footnoteReference w:id="180"/>
      </w:r>
      <w:r w:rsidRPr="00E20D41">
        <w:t xml:space="preserve"> ni cómo son sus condiciones de vida. En ocasiones, l</w:t>
      </w:r>
      <w:r w:rsidR="008E24B0">
        <w:t>o</w:t>
      </w:r>
      <w:r w:rsidRPr="00E20D41">
        <w:t>s camas</w:t>
      </w:r>
      <w:r w:rsidR="008E24B0">
        <w:t>tros</w:t>
      </w:r>
      <w:r w:rsidRPr="00E20D41">
        <w:t xml:space="preserve"> están tan junt</w:t>
      </w:r>
      <w:r w:rsidR="008E24B0">
        <w:t>o</w:t>
      </w:r>
      <w:r w:rsidRPr="00E20D41">
        <w:t xml:space="preserve">s que las condiciones de vida seguirían siendo sumamente precarias incluso si la población carcelaria </w:t>
      </w:r>
      <w:r w:rsidR="008E24B0">
        <w:t xml:space="preserve">no superara </w:t>
      </w:r>
      <w:r w:rsidRPr="00E20D41">
        <w:t>a la plena capacidad del recinto o fuera un poco inferior a ella</w:t>
      </w:r>
      <w:r w:rsidRPr="00FA6C6A">
        <w:rPr>
          <w:color w:val="943634" w:themeColor="accent2" w:themeShade="BF"/>
          <w:vertAlign w:val="superscript"/>
        </w:rPr>
        <w:footnoteReference w:id="181"/>
      </w:r>
      <w:r w:rsidRPr="00E20D41">
        <w:t>. Los fiscales o jueces, cuando no visitan los lugares de detención o lo hacen con poca frecuencia</w:t>
      </w:r>
      <w:r w:rsidRPr="00FA6C6A">
        <w:rPr>
          <w:color w:val="943634" w:themeColor="accent2" w:themeShade="BF"/>
          <w:vertAlign w:val="superscript"/>
        </w:rPr>
        <w:footnoteReference w:id="182"/>
      </w:r>
      <w:r w:rsidRPr="00E20D41">
        <w:t>, no comprenden debidamente el grado de hacinamiento y las consecuencias del recurso excesivo a la privación de la libertad, por lo que no pueden tener en cuenta este factor al adoptar decisiones relativas a la detención, la pena o la puesta en libertad.</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IV.</w:t>
      </w:r>
      <w:r>
        <w:tab/>
      </w:r>
      <w:r w:rsidR="0031157F" w:rsidRPr="00E20D41">
        <w:t xml:space="preserve">Cómo hacer frente al recurso excesivo a la privación de libertad y al hacinamiento, así como a sus consecuencias </w:t>
      </w:r>
      <w:r>
        <w:br/>
      </w:r>
      <w:r w:rsidR="0031157F" w:rsidRPr="00E20D41">
        <w:t>para los derechos humanos</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r>
      <w:r w:rsidR="0031157F" w:rsidRPr="00E20D41">
        <w:t>Necesidad de un planteamiento proactivo e integral</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 xml:space="preserve">El problema del recurso excesivo a la privación de la libertad y </w:t>
      </w:r>
      <w:r w:rsidR="00FA1E9A">
        <w:t>e</w:t>
      </w:r>
      <w:r w:rsidRPr="00E20D41">
        <w:t>l hacinamiento no puede resolverse de la noche a la mañana</w:t>
      </w:r>
      <w:r w:rsidR="00FA1E9A">
        <w:t>;</w:t>
      </w:r>
      <w:r w:rsidRPr="00E20D41">
        <w:t xml:space="preserve"> se trata de fenómenos tan complejos que hacen necesari</w:t>
      </w:r>
      <w:r w:rsidR="00A40DA9">
        <w:t>a</w:t>
      </w:r>
      <w:r w:rsidRPr="00E20D41">
        <w:t xml:space="preserve"> una combinación de medidas legislativas, administrativas, políticas y económicas que incluyan una política integral y un plan de acción para llevarla a la práctica. Comparten esta opinión instituciones nacionales</w:t>
      </w:r>
      <w:r w:rsidRPr="00FA6C6A">
        <w:rPr>
          <w:color w:val="943634" w:themeColor="accent2" w:themeShade="BF"/>
          <w:vertAlign w:val="superscript"/>
        </w:rPr>
        <w:footnoteReference w:id="183"/>
      </w:r>
      <w:r w:rsidRPr="00E20D41">
        <w:t>, mecanismos regionales</w:t>
      </w:r>
      <w:r w:rsidRPr="00FA6C6A">
        <w:rPr>
          <w:color w:val="943634" w:themeColor="accent2" w:themeShade="BF"/>
          <w:vertAlign w:val="superscript"/>
        </w:rPr>
        <w:footnoteReference w:id="184"/>
      </w:r>
      <w:r w:rsidRPr="00E20D41">
        <w:t xml:space="preserve"> y órganos internacionales</w:t>
      </w:r>
      <w:r w:rsidRPr="00FA6C6A">
        <w:rPr>
          <w:color w:val="943634" w:themeColor="accent2" w:themeShade="BF"/>
          <w:vertAlign w:val="superscript"/>
        </w:rPr>
        <w:footnoteReference w:id="185"/>
      </w:r>
      <w:r w:rsidRPr="00E20D41">
        <w:t xml:space="preserve">. </w:t>
      </w:r>
      <w:r w:rsidR="00FA1E9A">
        <w:t>En ó</w:t>
      </w:r>
      <w:r w:rsidRPr="00E20D41">
        <w:t xml:space="preserve">rganos tanto regionales como internacionales </w:t>
      </w:r>
      <w:r w:rsidR="00FA1E9A">
        <w:t xml:space="preserve">se </w:t>
      </w:r>
      <w:r w:rsidRPr="00E20D41">
        <w:t>ha señalado que</w:t>
      </w:r>
      <w:r w:rsidR="00FA1E9A">
        <w:t xml:space="preserve"> m</w:t>
      </w:r>
      <w:r w:rsidRPr="00E20D41">
        <w:t>edidas tales como la construcción de nuevos recintos de detención o la renovación de los existentes</w:t>
      </w:r>
      <w:r w:rsidR="00FA1E9A">
        <w:t xml:space="preserve">, si bien pueden </w:t>
      </w:r>
      <w:r w:rsidRPr="00E20D41">
        <w:t>mitigar en forma inmediata y a corto plazo el problema del hacinamiento, no constituyen una solución efectiva y duradera</w:t>
      </w:r>
      <w:r w:rsidRPr="00FA6C6A">
        <w:rPr>
          <w:color w:val="943634" w:themeColor="accent2" w:themeShade="BF"/>
          <w:vertAlign w:val="superscript"/>
        </w:rPr>
        <w:footnoteReference w:id="186"/>
      </w:r>
      <w:r w:rsidRPr="00E20D41">
        <w:t>.</w:t>
      </w:r>
    </w:p>
    <w:p w:rsidR="0031157F" w:rsidRDefault="0031157F" w:rsidP="00FA6C6A">
      <w:pPr>
        <w:pStyle w:val="SingleTxt"/>
        <w:numPr>
          <w:ilvl w:val="0"/>
          <w:numId w:val="9"/>
        </w:numPr>
        <w:tabs>
          <w:tab w:val="clear" w:pos="475"/>
          <w:tab w:val="num" w:pos="1742"/>
        </w:tabs>
        <w:ind w:left="1267"/>
      </w:pPr>
      <w:r w:rsidRPr="00E20D41">
        <w:t xml:space="preserve">Como señaló el Comité Europeo para la Prevención de la Tortura, la única forma viable de controlar el hacinamiento consiste en adoptar una política que apunte a limitar o reducir el número de personas </w:t>
      </w:r>
      <w:r w:rsidR="00FA1E9A">
        <w:t xml:space="preserve">en </w:t>
      </w:r>
      <w:r w:rsidRPr="00E20D41">
        <w:t>prisión</w:t>
      </w:r>
      <w:r w:rsidRPr="00FA6C6A">
        <w:rPr>
          <w:color w:val="943634" w:themeColor="accent2" w:themeShade="BF"/>
          <w:vertAlign w:val="superscript"/>
        </w:rPr>
        <w:footnoteReference w:id="187"/>
      </w:r>
      <w:r w:rsidRPr="00E20D41">
        <w:t>. Para alcanzar este objetivo, el Comité propicia un planteamiento más concertado, integral y proactivo que se base en debates de amplio alcance en que participen todas las partes pertinentes, entre ellas parlamentarios, fiscales, jueces y representantes de órganos fiscalizadores</w:t>
      </w:r>
      <w:r w:rsidRPr="00FA6C6A">
        <w:rPr>
          <w:color w:val="943634" w:themeColor="accent2" w:themeShade="BF"/>
          <w:vertAlign w:val="superscript"/>
        </w:rPr>
        <w:footnoteReference w:id="188"/>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r>
      <w:r w:rsidR="0031157F" w:rsidRPr="00E20D41">
        <w:t>Derecho a impugnar la detención, asistencia letrada y asistencia judicial</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 xml:space="preserve">El Grupo de Trabajo sobre la Detención Arbitraria, en su proyecto de principios y directrices básicos sobre los recursos y procedimientos relacionados con el derecho de toda persona privada de la libertad </w:t>
      </w:r>
      <w:r w:rsidR="00FA1E9A">
        <w:t xml:space="preserve">a </w:t>
      </w:r>
      <w:r w:rsidRPr="00E20D41">
        <w:t>recurrir ante un tribunal, ha señalado que el derecho a impugnar la detención es un recurso judicial destinado a proteger la libertad personal y la integridad física y que no admite excepción</w:t>
      </w:r>
      <w:r w:rsidRPr="00FA6C6A">
        <w:rPr>
          <w:color w:val="943634" w:themeColor="accent2" w:themeShade="BF"/>
          <w:vertAlign w:val="superscript"/>
        </w:rPr>
        <w:footnoteReference w:id="189"/>
      </w:r>
      <w:r w:rsidRPr="00E20D41">
        <w:t>.</w:t>
      </w:r>
    </w:p>
    <w:p w:rsidR="0031157F" w:rsidRPr="00E20D41" w:rsidRDefault="0031157F" w:rsidP="00FA6C6A">
      <w:pPr>
        <w:pStyle w:val="SingleTxt"/>
        <w:numPr>
          <w:ilvl w:val="0"/>
          <w:numId w:val="9"/>
        </w:numPr>
        <w:tabs>
          <w:tab w:val="clear" w:pos="475"/>
          <w:tab w:val="num" w:pos="1742"/>
        </w:tabs>
        <w:ind w:left="1267"/>
      </w:pPr>
      <w:r w:rsidRPr="00E20D41">
        <w:t>El derecho a impugnar la detención constituye un instrumento importante para hacer frente al problema del hacinamiento</w:t>
      </w:r>
      <w:r w:rsidR="00FA1E9A">
        <w:t>,</w:t>
      </w:r>
      <w:r w:rsidRPr="00E20D41">
        <w:t xml:space="preserve"> habida cuenta de que se conocen casos de personas detenidas ilegalmente o en que no se respetan los límites para la detención preventiva o, de hecho, no se pone prontamente en libertad a los reclusos que han cumplido su pena</w:t>
      </w:r>
      <w:r w:rsidRPr="00FA6C6A">
        <w:rPr>
          <w:color w:val="943634" w:themeColor="accent2" w:themeShade="BF"/>
          <w:vertAlign w:val="superscript"/>
        </w:rPr>
        <w:footnoteReference w:id="190"/>
      </w:r>
      <w:r w:rsidRPr="00E20D41">
        <w:t xml:space="preserve">. A fin de hacer efectivo este derecho, todos los detenidos deben estar facultados para recurrir ante un tribunal independiente sin </w:t>
      </w:r>
      <w:r w:rsidR="00FA1E9A">
        <w:t>mayor dilación</w:t>
      </w:r>
      <w:r w:rsidRPr="00FA6C6A">
        <w:rPr>
          <w:color w:val="943634" w:themeColor="accent2" w:themeShade="BF"/>
          <w:vertAlign w:val="superscript"/>
        </w:rPr>
        <w:footnoteReference w:id="191"/>
      </w:r>
      <w:r w:rsidRPr="00E20D41">
        <w:t xml:space="preserve"> y comparecer personalmente ante </w:t>
      </w:r>
      <w:r w:rsidR="00FA1E9A">
        <w:t>é</w:t>
      </w:r>
      <w:r w:rsidRPr="00E20D41">
        <w:t xml:space="preserve">l. Además, la carga de </w:t>
      </w:r>
      <w:r w:rsidR="00FA1E9A">
        <w:t xml:space="preserve">probar </w:t>
      </w:r>
      <w:r w:rsidRPr="00E20D41">
        <w:t>el fundamento legal, así como el carácter razonable, la necesidad y el carácter proporcional de la detención, recae en las autoridades responsables de la detención</w:t>
      </w:r>
      <w:r w:rsidRPr="00FA6C6A">
        <w:rPr>
          <w:color w:val="943634" w:themeColor="accent2" w:themeShade="BF"/>
          <w:vertAlign w:val="superscript"/>
        </w:rPr>
        <w:footnoteReference w:id="192"/>
      </w:r>
      <w:r w:rsidRPr="00E20D41">
        <w:t>.</w:t>
      </w:r>
    </w:p>
    <w:p w:rsidR="0031157F" w:rsidRDefault="0031157F" w:rsidP="00FA6C6A">
      <w:pPr>
        <w:pStyle w:val="SingleTxt"/>
        <w:numPr>
          <w:ilvl w:val="0"/>
          <w:numId w:val="9"/>
        </w:numPr>
        <w:tabs>
          <w:tab w:val="clear" w:pos="475"/>
          <w:tab w:val="num" w:pos="1742"/>
        </w:tabs>
        <w:ind w:left="1267"/>
      </w:pPr>
      <w:r w:rsidRPr="00E20D41">
        <w:t xml:space="preserve">Por otra parte, el </w:t>
      </w:r>
      <w:r w:rsidR="00FA1E9A">
        <w:t xml:space="preserve">mismo </w:t>
      </w:r>
      <w:r w:rsidRPr="00E20D41">
        <w:t>proyecto de principios y directrices básicos</w:t>
      </w:r>
      <w:r w:rsidR="00FA1E9A">
        <w:t xml:space="preserve"> dispone</w:t>
      </w:r>
      <w:r w:rsidRPr="00E20D41">
        <w:t xml:space="preserve"> que toda persona privada de su libertad tendrá, en cualquier momento mientras esté detenida, el derecho a asistencia letrada por el abogado que elija y a asistencia judicial</w:t>
      </w:r>
      <w:r w:rsidRPr="00FA6C6A">
        <w:rPr>
          <w:color w:val="943634" w:themeColor="accent2" w:themeShade="BF"/>
          <w:vertAlign w:val="superscript"/>
        </w:rPr>
        <w:footnoteReference w:id="193"/>
      </w:r>
      <w:r w:rsidRPr="00E20D41">
        <w:t xml:space="preserve">. Si bien son los abogados quienes principalmente prestan asistencia letrada, los Principios y </w:t>
      </w:r>
      <w:r w:rsidR="004C1F3A" w:rsidRPr="00E20D41">
        <w:t xml:space="preserve">Directrices </w:t>
      </w:r>
      <w:r w:rsidRPr="00E20D41">
        <w:t xml:space="preserve">de las Naciones Unidas sobre el </w:t>
      </w:r>
      <w:r w:rsidR="004C1F3A" w:rsidRPr="00E20D41">
        <w:t xml:space="preserve">Acceso </w:t>
      </w:r>
      <w:r w:rsidRPr="00E20D41">
        <w:t xml:space="preserve">a la </w:t>
      </w:r>
      <w:r w:rsidR="004C1F3A" w:rsidRPr="00E20D41">
        <w:t xml:space="preserve">Asistencia Jurídica </w:t>
      </w:r>
      <w:r w:rsidR="00FA1E9A">
        <w:t>en</w:t>
      </w:r>
      <w:r w:rsidRPr="00E20D41">
        <w:t xml:space="preserve"> los </w:t>
      </w:r>
      <w:r w:rsidR="004C1F3A" w:rsidRPr="00E20D41">
        <w:t xml:space="preserve">Sistemas </w:t>
      </w:r>
      <w:r w:rsidRPr="00E20D41">
        <w:t xml:space="preserve">de </w:t>
      </w:r>
      <w:r w:rsidR="004C1F3A" w:rsidRPr="00E20D41">
        <w:t xml:space="preserve">Justicia Penal </w:t>
      </w:r>
      <w:r w:rsidRPr="00E20D41">
        <w:t>dan a entender que los Estados emplean diferentes modelos para prestar asistencia judicial, entre ellos los servicios de organizaciones no gubernamentales, organizaciones de la comunidad, organizaciones de beneficencia, religiosas o no, órganos profesionales y asociaciones, círculos académicos o personal parajurídico</w:t>
      </w:r>
      <w:r w:rsidRPr="00FA6C6A">
        <w:rPr>
          <w:color w:val="943634" w:themeColor="accent2" w:themeShade="BF"/>
          <w:vertAlign w:val="superscript"/>
        </w:rPr>
        <w:footnoteReference w:id="194"/>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C.</w:t>
      </w:r>
      <w:r>
        <w:tab/>
      </w:r>
      <w:r w:rsidR="0031157F" w:rsidRPr="00E20D41">
        <w:t xml:space="preserve">Utilización adecuada de los </w:t>
      </w:r>
      <w:r w:rsidR="00FA1E9A">
        <w:t xml:space="preserve">lugares </w:t>
      </w:r>
      <w:r w:rsidR="0031157F" w:rsidRPr="00E20D41">
        <w:t>de detención</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Al detener a alguien hay que tener en cuenta el objetivo concreto para el cual se construyen o establecen lugares de detención, como cárceles y comisarías</w:t>
      </w:r>
      <w:r w:rsidRPr="00FA6C6A">
        <w:rPr>
          <w:color w:val="943634" w:themeColor="accent2" w:themeShade="BF"/>
          <w:vertAlign w:val="superscript"/>
        </w:rPr>
        <w:footnoteReference w:id="195"/>
      </w:r>
      <w:r w:rsidRPr="00E20D41">
        <w:t>. Las instalaciones del tipo de las comisarías deben utilizarse exclusivamente para un breve período de detención porque no se prestan para que esta se prolongue y carecen del espacio, los servicios de saneamiento y otros servicios necesarios para que las condiciones de detención sean adecuadas</w:t>
      </w:r>
      <w:r w:rsidRPr="00FA6C6A">
        <w:rPr>
          <w:color w:val="943634" w:themeColor="accent2" w:themeShade="BF"/>
          <w:vertAlign w:val="superscript"/>
        </w:rPr>
        <w:footnoteReference w:id="196"/>
      </w:r>
      <w:r w:rsidRPr="00E20D41">
        <w:t xml:space="preserve">. Hay que evaluar con un criterio realista la capacidad de los lugares de detención y </w:t>
      </w:r>
      <w:r w:rsidR="00FA1E9A">
        <w:t xml:space="preserve">hacerlo sobre la </w:t>
      </w:r>
      <w:r w:rsidRPr="00E20D41">
        <w:t xml:space="preserve">base </w:t>
      </w:r>
      <w:r w:rsidR="00FA1E9A">
        <w:t xml:space="preserve">de que haya </w:t>
      </w:r>
      <w:r w:rsidRPr="00E20D41">
        <w:t>un espacio razonable para cada detenido</w:t>
      </w:r>
      <w:r w:rsidRPr="00FA6C6A">
        <w:rPr>
          <w:color w:val="943634" w:themeColor="accent2" w:themeShade="BF"/>
          <w:vertAlign w:val="superscript"/>
        </w:rPr>
        <w:footnoteReference w:id="197"/>
      </w:r>
      <w:r w:rsidRPr="00E20D41">
        <w:t>. La existencia de un sistema efectivo de registro para mantenerse al corriente d</w:t>
      </w:r>
      <w:r w:rsidR="00FA1E9A">
        <w:t xml:space="preserve">e la duración de la detención de </w:t>
      </w:r>
      <w:r w:rsidRPr="00E20D41">
        <w:t>cada detenido, esté sujeto a prisión preventiva o haya sido condenado, es esencial para no exceder la capacidad de los lugares de detención</w:t>
      </w:r>
      <w:r w:rsidRPr="00FA6C6A">
        <w:rPr>
          <w:color w:val="943634" w:themeColor="accent2" w:themeShade="BF"/>
          <w:vertAlign w:val="superscript"/>
        </w:rPr>
        <w:footnoteReference w:id="198"/>
      </w:r>
      <w:r w:rsidRPr="00E20D41">
        <w:t>. Por último, todos los lugares de detención deben tener una dotación suficiente de personal a fin de que se puedan administrar en forma efectiva y con el debido respeto de los derechos humanos de los detenidos.</w:t>
      </w:r>
    </w:p>
    <w:p w:rsidR="0031157F" w:rsidRPr="00E20D41" w:rsidRDefault="0031157F" w:rsidP="00FA6C6A">
      <w:pPr>
        <w:pStyle w:val="SingleTxt"/>
        <w:numPr>
          <w:ilvl w:val="0"/>
          <w:numId w:val="9"/>
        </w:numPr>
        <w:tabs>
          <w:tab w:val="clear" w:pos="475"/>
          <w:tab w:val="num" w:pos="1742"/>
        </w:tabs>
        <w:ind w:left="1267"/>
      </w:pPr>
      <w:r w:rsidRPr="00E20D41">
        <w:t>Igualmente, los efectos negativos del hacinamiento se agravan en el caso de quienes están detenidos en lugares que no se prestan para atender a sus necesidades concretas, como niños, mujeres, personas de edad, personas con discapacidad o con enfermedades mentales</w:t>
      </w:r>
      <w:r w:rsidRPr="00FA6C6A">
        <w:rPr>
          <w:color w:val="943634" w:themeColor="accent2" w:themeShade="BF"/>
          <w:vertAlign w:val="superscript"/>
        </w:rPr>
        <w:footnoteReference w:id="199"/>
      </w:r>
      <w:r w:rsidRPr="00E20D41">
        <w:t xml:space="preserve">. Además, </w:t>
      </w:r>
      <w:r w:rsidR="004162D9">
        <w:t>quienes estén sujetos a prisión preventiva o hayan sido condenados no deben seguir detenido</w:t>
      </w:r>
      <w:r w:rsidRPr="00E20D41">
        <w:t>s en comisarías</w:t>
      </w:r>
      <w:r w:rsidR="004162D9">
        <w:t>,</w:t>
      </w:r>
      <w:r w:rsidRPr="00E20D41">
        <w:t xml:space="preserve"> práctica que </w:t>
      </w:r>
      <w:r w:rsidR="004162D9">
        <w:t xml:space="preserve">sin embargo </w:t>
      </w:r>
      <w:r w:rsidRPr="00E20D41">
        <w:t>se observa en algunos Estados en razón del hacinamiento en muchas cárceles</w:t>
      </w:r>
      <w:r w:rsidRPr="00FA6C6A">
        <w:rPr>
          <w:color w:val="943634" w:themeColor="accent2" w:themeShade="BF"/>
          <w:vertAlign w:val="superscript"/>
        </w:rPr>
        <w:footnoteReference w:id="200"/>
      </w:r>
      <w:r w:rsidRPr="00E20D41">
        <w:t>.</w:t>
      </w:r>
    </w:p>
    <w:p w:rsidR="0031157F" w:rsidRDefault="0031157F" w:rsidP="00FA6C6A">
      <w:pPr>
        <w:pStyle w:val="SingleTxt"/>
        <w:numPr>
          <w:ilvl w:val="0"/>
          <w:numId w:val="9"/>
        </w:numPr>
        <w:tabs>
          <w:tab w:val="clear" w:pos="475"/>
          <w:tab w:val="num" w:pos="1742"/>
        </w:tabs>
        <w:ind w:left="1267"/>
      </w:pPr>
      <w:r w:rsidRPr="00E20D41">
        <w:t>Por otra parte, el fenómeno del hacinamiento no debe dejarse librado a los administradores de los lugares de detención</w:t>
      </w:r>
      <w:r w:rsidRPr="00FA6C6A">
        <w:rPr>
          <w:color w:val="943634" w:themeColor="accent2" w:themeShade="BF"/>
          <w:vertAlign w:val="superscript"/>
        </w:rPr>
        <w:footnoteReference w:id="201"/>
      </w:r>
      <w:r w:rsidRPr="00E20D41">
        <w:t xml:space="preserve"> y debe existir un sistema efectivo de comunicaci</w:t>
      </w:r>
      <w:r w:rsidR="004162D9">
        <w:t>ón</w:t>
      </w:r>
      <w:r w:rsidRPr="00E20D41">
        <w:t xml:space="preserve"> entre las diversas partes del sistema de justicia penal a fin de que no se espere que haya en </w:t>
      </w:r>
      <w:r w:rsidR="004162D9">
        <w:t>esos</w:t>
      </w:r>
      <w:r w:rsidRPr="00E20D41">
        <w:t xml:space="preserve"> lugares un número de reclu</w:t>
      </w:r>
      <w:r w:rsidR="005D1864">
        <w:t>sos</w:t>
      </w:r>
      <w:r w:rsidRPr="00E20D41">
        <w:t xml:space="preserve"> que exceda de su capacidad. Habría que considerar favorablemente prácticas tales como la prohibición legal del hacinamiento</w:t>
      </w:r>
      <w:r w:rsidRPr="00FA6C6A">
        <w:rPr>
          <w:color w:val="943634" w:themeColor="accent2" w:themeShade="BF"/>
          <w:vertAlign w:val="superscript"/>
        </w:rPr>
        <w:footnoteReference w:id="202"/>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tab/>
      </w:r>
      <w:r w:rsidR="0031157F" w:rsidRPr="00E20D41">
        <w:t>La detención preventiva como último recurso</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 xml:space="preserve">Habida cuenta de que el recurso excesivo a la detención preventiva constituye una de las principales causas </w:t>
      </w:r>
      <w:r w:rsidR="005D1864">
        <w:t xml:space="preserve">por las que la población carcelaria es tan alta y hay </w:t>
      </w:r>
      <w:r w:rsidRPr="00E20D41">
        <w:t xml:space="preserve">hacinamiento en </w:t>
      </w:r>
      <w:r w:rsidR="005D1864">
        <w:t xml:space="preserve">cárceles de </w:t>
      </w:r>
      <w:r w:rsidRPr="00E20D41">
        <w:t>todo el mundo</w:t>
      </w:r>
      <w:r w:rsidRPr="00FA6C6A">
        <w:rPr>
          <w:color w:val="943634" w:themeColor="accent2" w:themeShade="BF"/>
          <w:vertAlign w:val="superscript"/>
        </w:rPr>
        <w:footnoteReference w:id="203"/>
      </w:r>
      <w:r w:rsidRPr="00E20D41">
        <w:t xml:space="preserve">, un estricto cumplimiento de las normas y los principios internacionales en la materia </w:t>
      </w:r>
      <w:r w:rsidR="005D1864">
        <w:t xml:space="preserve">será muy útil para resolver </w:t>
      </w:r>
      <w:r w:rsidRPr="00E20D41">
        <w:t>estos problemas. La detención preventiva debe constituir únicamente una medida de último recurso</w:t>
      </w:r>
      <w:r w:rsidRPr="00FA6C6A">
        <w:rPr>
          <w:color w:val="943634" w:themeColor="accent2" w:themeShade="BF"/>
          <w:vertAlign w:val="superscript"/>
        </w:rPr>
        <w:footnoteReference w:id="204"/>
      </w:r>
      <w:r w:rsidRPr="00E20D41">
        <w:t>.</w:t>
      </w:r>
    </w:p>
    <w:p w:rsidR="0031157F" w:rsidRDefault="0031157F" w:rsidP="00FA6C6A">
      <w:pPr>
        <w:pStyle w:val="SingleTxt"/>
        <w:numPr>
          <w:ilvl w:val="0"/>
          <w:numId w:val="9"/>
        </w:numPr>
        <w:tabs>
          <w:tab w:val="clear" w:pos="475"/>
          <w:tab w:val="num" w:pos="1742"/>
        </w:tabs>
        <w:ind w:left="1267"/>
      </w:pPr>
      <w:r w:rsidRPr="00E20D41">
        <w:t>Por otra parte, como destacó el Co</w:t>
      </w:r>
      <w:r w:rsidR="005D1864">
        <w:t>mité de Derechos Humanos en su o</w:t>
      </w:r>
      <w:r w:rsidRPr="00E20D41">
        <w:t>bservación general núm. 35, “la reclusión previa al juicio no debe constituir una práctica general, sino que debe basarse en una determinación individualizada de que dicha medida resulta razonable y necesaria, habida cuenta de todas las circunstancias, para fines tales como impedir la fuga, la alteración de las pruebas o la reincidencia en el delito”</w:t>
      </w:r>
      <w:r w:rsidRPr="00FA6C6A">
        <w:rPr>
          <w:color w:val="943634" w:themeColor="accent2" w:themeShade="BF"/>
          <w:vertAlign w:val="superscript"/>
        </w:rPr>
        <w:footnoteReference w:id="205"/>
      </w:r>
      <w:r w:rsidRPr="00E20D41">
        <w:t>. Esto significa que la detención preventiva no debe ser obligatoria y decretarse sin tener en cuenta las circunstancias</w:t>
      </w:r>
      <w:r w:rsidR="005D1864">
        <w:t xml:space="preserve"> del caso</w:t>
      </w:r>
      <w:r w:rsidRPr="00FA6C6A">
        <w:rPr>
          <w:color w:val="943634" w:themeColor="accent2" w:themeShade="BF"/>
          <w:vertAlign w:val="superscript"/>
        </w:rPr>
        <w:footnoteReference w:id="206"/>
      </w:r>
      <w:r w:rsidRPr="00E20D41">
        <w:t>, lo que sin embargo constituye una práctica habitual en algunos Estados</w:t>
      </w:r>
      <w:r w:rsidRPr="00FA6C6A">
        <w:rPr>
          <w:color w:val="943634" w:themeColor="accent2" w:themeShade="BF"/>
          <w:vertAlign w:val="superscript"/>
        </w:rPr>
        <w:footnoteReference w:id="207"/>
      </w:r>
      <w:r w:rsidRPr="00E20D41">
        <w:t>, y que</w:t>
      </w:r>
      <w:r w:rsidR="005D1864">
        <w:t>,</w:t>
      </w:r>
      <w:r w:rsidRPr="00E20D41">
        <w:t xml:space="preserve"> al decidir si se ha de prorrogar la prisión preventiva</w:t>
      </w:r>
      <w:r w:rsidR="005D1864">
        <w:t>,</w:t>
      </w:r>
      <w:r w:rsidRPr="00E20D41">
        <w:t xml:space="preserve"> hay que tener debidamente en cuenta también las alternativas a ella. Deben cumplirse estrictamente los plazos impuestos para esa detención</w:t>
      </w:r>
      <w:r w:rsidRPr="00FA6C6A">
        <w:rPr>
          <w:color w:val="943634" w:themeColor="accent2" w:themeShade="BF"/>
          <w:vertAlign w:val="superscript"/>
        </w:rPr>
        <w:footnoteReference w:id="208"/>
      </w:r>
      <w:r w:rsidRPr="00E20D41">
        <w:t>. Además, habría que poner en libertad a</w:t>
      </w:r>
      <w:r w:rsidR="005D1864">
        <w:t xml:space="preserve"> quien hubie</w:t>
      </w:r>
      <w:r w:rsidR="004C1F3A">
        <w:t>s</w:t>
      </w:r>
      <w:r w:rsidR="005D1864">
        <w:t xml:space="preserve">e </w:t>
      </w:r>
      <w:r w:rsidRPr="00E20D41">
        <w:t>estado detenido durante un período equivalente al de la pena más prolongada que se puede imponer por los delitos que le son imputados</w:t>
      </w:r>
      <w:r w:rsidRPr="00FA6C6A">
        <w:rPr>
          <w:color w:val="943634" w:themeColor="accent2" w:themeShade="BF"/>
          <w:vertAlign w:val="superscript"/>
        </w:rPr>
        <w:footnoteReference w:id="209"/>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E.</w:t>
      </w:r>
      <w:r>
        <w:tab/>
      </w:r>
      <w:r w:rsidR="0031157F" w:rsidRPr="00E20D41">
        <w:t>Alternativas a las medidas privativas de la libertad</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 xml:space="preserve">Con las </w:t>
      </w:r>
      <w:r w:rsidR="005D1864">
        <w:t xml:space="preserve">normas </w:t>
      </w:r>
      <w:r w:rsidRPr="00E20D41">
        <w:t>internacionales sobre las medidas no privativas de la libertad como telón de fondo</w:t>
      </w:r>
      <w:r w:rsidRPr="00FA6C6A">
        <w:rPr>
          <w:color w:val="943634" w:themeColor="accent2" w:themeShade="BF"/>
          <w:vertAlign w:val="superscript"/>
        </w:rPr>
        <w:footnoteReference w:id="210"/>
      </w:r>
      <w:r w:rsidRPr="00E20D41">
        <w:t>, una de las principales recomendaciones de los órganos internacionales</w:t>
      </w:r>
      <w:r w:rsidRPr="00FA6C6A">
        <w:rPr>
          <w:color w:val="943634" w:themeColor="accent2" w:themeShade="BF"/>
          <w:vertAlign w:val="superscript"/>
        </w:rPr>
        <w:footnoteReference w:id="211"/>
      </w:r>
      <w:r w:rsidRPr="00E20D41">
        <w:t>, regionales</w:t>
      </w:r>
      <w:r w:rsidRPr="00FA6C6A">
        <w:rPr>
          <w:color w:val="943634" w:themeColor="accent2" w:themeShade="BF"/>
          <w:vertAlign w:val="superscript"/>
        </w:rPr>
        <w:footnoteReference w:id="212"/>
      </w:r>
      <w:r w:rsidRPr="00E20D41">
        <w:t xml:space="preserve"> y nacionales</w:t>
      </w:r>
      <w:r w:rsidRPr="00FA6C6A">
        <w:rPr>
          <w:color w:val="943634" w:themeColor="accent2" w:themeShade="BF"/>
          <w:vertAlign w:val="superscript"/>
        </w:rPr>
        <w:footnoteReference w:id="213"/>
      </w:r>
      <w:r w:rsidRPr="00E20D41">
        <w:t xml:space="preserve"> respecto de la reducción del recurso excesivo a la privación de la libertad y el hacinamiento consiste en formular una política por la cual se recurra más a medidas no preventivas de la libertad y a alternativas a las </w:t>
      </w:r>
      <w:r w:rsidR="005D1864">
        <w:t>penas de esa índole</w:t>
      </w:r>
      <w:r w:rsidRPr="00E20D41">
        <w:t>. Como señaló el Comité Europeo para la Prevención de la Tortura, habría que establecer una estrategia para reducir en forma duradera la población carcelaria</w:t>
      </w:r>
      <w:r w:rsidR="005D1864">
        <w:t>,</w:t>
      </w:r>
      <w:r w:rsidRPr="00E20D41">
        <w:t xml:space="preserve"> que asegure que la prisión constituye en la práctica una medida de último recurso en todas las etapas del sistema de justicia penal, desde la fase previa </w:t>
      </w:r>
      <w:r w:rsidR="004C1F3A">
        <w:t xml:space="preserve">al juicio </w:t>
      </w:r>
      <w:r w:rsidRPr="00E20D41">
        <w:t>hasta la de ejecución de la pena</w:t>
      </w:r>
      <w:r w:rsidRPr="00FA6C6A">
        <w:rPr>
          <w:color w:val="943634" w:themeColor="accent2" w:themeShade="BF"/>
          <w:vertAlign w:val="superscript"/>
        </w:rPr>
        <w:footnoteReference w:id="214"/>
      </w:r>
      <w:r w:rsidRPr="00E20D41">
        <w:t>.</w:t>
      </w:r>
    </w:p>
    <w:p w:rsidR="0031157F" w:rsidRPr="00E20D41" w:rsidRDefault="0031157F" w:rsidP="00FA6C6A">
      <w:pPr>
        <w:pStyle w:val="SingleTxt"/>
        <w:numPr>
          <w:ilvl w:val="0"/>
          <w:numId w:val="9"/>
        </w:numPr>
        <w:tabs>
          <w:tab w:val="clear" w:pos="475"/>
          <w:tab w:val="num" w:pos="1742"/>
        </w:tabs>
        <w:ind w:left="1267"/>
      </w:pPr>
      <w:r w:rsidRPr="00E20D41">
        <w:t>Para que las alternativas a la detención sean eficaces</w:t>
      </w:r>
      <w:r w:rsidR="004C1F3A">
        <w:t xml:space="preserve">, es preciso que existan </w:t>
      </w:r>
      <w:r w:rsidRPr="00E20D41">
        <w:t xml:space="preserve">diversas medidas en la etapa </w:t>
      </w:r>
      <w:r w:rsidR="005D1864">
        <w:t xml:space="preserve">previa al juicio </w:t>
      </w:r>
      <w:r w:rsidRPr="00E20D41">
        <w:t>y en la de sentencia, tales como una libertad bajo fianza de cuantía asequible</w:t>
      </w:r>
      <w:r w:rsidRPr="00FA6C6A">
        <w:rPr>
          <w:color w:val="943634" w:themeColor="accent2" w:themeShade="BF"/>
          <w:vertAlign w:val="superscript"/>
        </w:rPr>
        <w:footnoteReference w:id="215"/>
      </w:r>
      <w:r w:rsidRPr="00E20D41">
        <w:t xml:space="preserve">, la libertad </w:t>
      </w:r>
      <w:r w:rsidR="005D1864">
        <w:t xml:space="preserve">automática </w:t>
      </w:r>
      <w:r w:rsidRPr="00E20D41">
        <w:t>bajo fianza en el caso de la mayoría de los delitos</w:t>
      </w:r>
      <w:r w:rsidRPr="00FA6C6A">
        <w:rPr>
          <w:color w:val="943634" w:themeColor="accent2" w:themeShade="BF"/>
          <w:vertAlign w:val="superscript"/>
        </w:rPr>
        <w:footnoteReference w:id="216"/>
      </w:r>
      <w:r w:rsidRPr="00E20D41">
        <w:t>, multas pecuniarias, arresto domiciliario con medios electrónicos de vigilancia</w:t>
      </w:r>
      <w:r w:rsidRPr="00FA6C6A">
        <w:rPr>
          <w:color w:val="943634" w:themeColor="accent2" w:themeShade="BF"/>
          <w:vertAlign w:val="superscript"/>
        </w:rPr>
        <w:footnoteReference w:id="217"/>
      </w:r>
      <w:r w:rsidRPr="00E20D41">
        <w:t>, servicios a la comunidad, sanciones para menores y supervisión de la libertad vigilada</w:t>
      </w:r>
      <w:r w:rsidRPr="00FA6C6A">
        <w:rPr>
          <w:color w:val="943634" w:themeColor="accent2" w:themeShade="BF"/>
          <w:vertAlign w:val="superscript"/>
        </w:rPr>
        <w:footnoteReference w:id="218"/>
      </w:r>
      <w:r w:rsidRPr="00E20D41">
        <w:t xml:space="preserve">, así como la remisión o conmutación de la pena y un sistema </w:t>
      </w:r>
      <w:r w:rsidR="005D1864">
        <w:t xml:space="preserve">de </w:t>
      </w:r>
      <w:r w:rsidRPr="00E20D41">
        <w:t>libertad vigilada o indulto</w:t>
      </w:r>
      <w:r w:rsidRPr="00FA6C6A">
        <w:rPr>
          <w:color w:val="943634" w:themeColor="accent2" w:themeShade="BF"/>
          <w:vertAlign w:val="superscript"/>
        </w:rPr>
        <w:footnoteReference w:id="219"/>
      </w:r>
      <w:r w:rsidRPr="00E20D41">
        <w:t>. Habría que revisar los criterios para la aplicación de todas esas medidas alternativas a fin de ampliar su alcance</w:t>
      </w:r>
      <w:r w:rsidRPr="00FA6C6A">
        <w:rPr>
          <w:color w:val="943634" w:themeColor="accent2" w:themeShade="BF"/>
          <w:vertAlign w:val="superscript"/>
        </w:rPr>
        <w:footnoteReference w:id="220"/>
      </w:r>
      <w:r w:rsidRPr="00E20D41">
        <w:t>. En particular, es fundamental que se tengan debidamente en cuenta las alternativas a las medidas de privación de la libertad en el caso de grupos tales como las mujeres, las personas de edad, los niños y las personas con discapacidad</w:t>
      </w:r>
      <w:r w:rsidRPr="00FA6C6A">
        <w:rPr>
          <w:color w:val="943634" w:themeColor="accent2" w:themeShade="BF"/>
          <w:vertAlign w:val="superscript"/>
        </w:rPr>
        <w:footnoteReference w:id="221"/>
      </w:r>
      <w:r w:rsidRPr="00E20D41">
        <w:t>.</w:t>
      </w:r>
    </w:p>
    <w:p w:rsidR="0031157F" w:rsidRDefault="0031157F" w:rsidP="00FA6C6A">
      <w:pPr>
        <w:pStyle w:val="SingleTxt"/>
        <w:numPr>
          <w:ilvl w:val="0"/>
          <w:numId w:val="9"/>
        </w:numPr>
        <w:tabs>
          <w:tab w:val="clear" w:pos="475"/>
          <w:tab w:val="num" w:pos="1742"/>
        </w:tabs>
        <w:ind w:left="1267"/>
      </w:pPr>
      <w:r w:rsidRPr="00E20D41">
        <w:t>En todo caso, no basta con que las alternativas a la detención estén previstas en la ley sino que también deben llevarse a la práctica</w:t>
      </w:r>
      <w:r w:rsidRPr="00FA6C6A">
        <w:rPr>
          <w:color w:val="943634" w:themeColor="accent2" w:themeShade="BF"/>
          <w:vertAlign w:val="superscript"/>
        </w:rPr>
        <w:footnoteReference w:id="222"/>
      </w:r>
      <w:r w:rsidRPr="00E20D41">
        <w:t>. Para asegurarse de que se cuente con el apoyo de las fiscalías, los jueces y el público, es esencial que el sistema de alternativas a la detención se administre de forma eficiente</w:t>
      </w:r>
      <w:r w:rsidRPr="00FA6C6A">
        <w:rPr>
          <w:color w:val="943634" w:themeColor="accent2" w:themeShade="BF"/>
          <w:vertAlign w:val="superscript"/>
        </w:rPr>
        <w:footnoteReference w:id="223"/>
      </w:r>
      <w:r w:rsidRPr="00E20D41">
        <w:t xml:space="preserve"> y esté dotado de recursos suficientes.</w:t>
      </w:r>
    </w:p>
    <w:p w:rsidR="000E297B" w:rsidRPr="000E297B" w:rsidRDefault="000E297B" w:rsidP="000E297B">
      <w:pPr>
        <w:pStyle w:val="SingleTxt"/>
        <w:tabs>
          <w:tab w:val="clear" w:pos="1742"/>
        </w:tabs>
        <w:spacing w:after="0" w:line="120" w:lineRule="exact"/>
        <w:rPr>
          <w:sz w:val="10"/>
        </w:rPr>
      </w:pPr>
    </w:p>
    <w:p w:rsidR="000E297B" w:rsidRPr="000E297B" w:rsidRDefault="000E297B" w:rsidP="000E297B">
      <w:pPr>
        <w:pStyle w:val="SingleTxt"/>
        <w:tabs>
          <w:tab w:val="clear" w:pos="1742"/>
        </w:tabs>
        <w:spacing w:after="0" w:line="120" w:lineRule="exact"/>
        <w:rPr>
          <w:sz w:val="10"/>
        </w:rPr>
      </w:pPr>
    </w:p>
    <w:p w:rsidR="00227EDE" w:rsidRDefault="000E297B" w:rsidP="000E29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F.</w:t>
      </w:r>
      <w:r>
        <w:tab/>
        <w:t>Sentencia proporcionada</w:t>
      </w:r>
    </w:p>
    <w:p w:rsidR="000E297B" w:rsidRPr="000E297B" w:rsidRDefault="000E297B" w:rsidP="000E297B">
      <w:pPr>
        <w:pStyle w:val="SingleTxt"/>
        <w:spacing w:after="0" w:line="120" w:lineRule="exact"/>
        <w:rPr>
          <w:sz w:val="10"/>
        </w:rPr>
      </w:pPr>
    </w:p>
    <w:p w:rsidR="000E297B" w:rsidRPr="000E297B" w:rsidRDefault="000E297B" w:rsidP="000E297B">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La sentencia proporcionada constituye un requisito fundamental de</w:t>
      </w:r>
      <w:r w:rsidR="00234E31">
        <w:t xml:space="preserve"> un</w:t>
      </w:r>
      <w:r w:rsidRPr="00E20D41">
        <w:t xml:space="preserve"> sistema de justicia penal efectivo y equitativo. Se trata de que las </w:t>
      </w:r>
      <w:r w:rsidR="00234E31">
        <w:t xml:space="preserve">penas de </w:t>
      </w:r>
      <w:r w:rsidRPr="00E20D41">
        <w:t xml:space="preserve">privación de la libertad se impongan como medida de último recurso y se apliquen en forma proporcionada para atender </w:t>
      </w:r>
      <w:r w:rsidR="00234E31">
        <w:t xml:space="preserve">a </w:t>
      </w:r>
      <w:r w:rsidRPr="00E20D41">
        <w:t>una necesidad apremiante de la sociedad</w:t>
      </w:r>
      <w:r w:rsidRPr="00FA6C6A">
        <w:rPr>
          <w:color w:val="943634" w:themeColor="accent2" w:themeShade="BF"/>
          <w:vertAlign w:val="superscript"/>
        </w:rPr>
        <w:footnoteReference w:id="224"/>
      </w:r>
      <w:r w:rsidRPr="00E20D41">
        <w:t>.</w:t>
      </w:r>
    </w:p>
    <w:p w:rsidR="0031157F" w:rsidRDefault="00234E31" w:rsidP="00FA6C6A">
      <w:pPr>
        <w:pStyle w:val="SingleTxt"/>
        <w:numPr>
          <w:ilvl w:val="0"/>
          <w:numId w:val="9"/>
        </w:numPr>
        <w:tabs>
          <w:tab w:val="clear" w:pos="475"/>
          <w:tab w:val="num" w:pos="1742"/>
        </w:tabs>
        <w:ind w:left="1267"/>
      </w:pPr>
      <w:r>
        <w:t xml:space="preserve">A fin de </w:t>
      </w:r>
      <w:r w:rsidR="0031157F" w:rsidRPr="00E20D41">
        <w:t>cumplir el requisito de la proporcionalidad, los Estados han venido revisando su legislación y política penales para reducir las penas mínimas y máximas</w:t>
      </w:r>
      <w:r w:rsidR="0031157F" w:rsidRPr="00FA6C6A">
        <w:rPr>
          <w:color w:val="943634" w:themeColor="accent2" w:themeShade="BF"/>
          <w:vertAlign w:val="superscript"/>
        </w:rPr>
        <w:footnoteReference w:id="225"/>
      </w:r>
      <w:r w:rsidR="0031157F" w:rsidRPr="00E20D41">
        <w:t xml:space="preserve">, </w:t>
      </w:r>
      <w:r>
        <w:t xml:space="preserve">despenalizar </w:t>
      </w:r>
      <w:r w:rsidR="0031157F" w:rsidRPr="00E20D41">
        <w:t>numerosas categorías de delitos menores y reducir las sanciones penales para delitos económicos</w:t>
      </w:r>
      <w:r w:rsidR="0031157F" w:rsidRPr="00FA6C6A">
        <w:rPr>
          <w:color w:val="943634" w:themeColor="accent2" w:themeShade="BF"/>
          <w:vertAlign w:val="superscript"/>
        </w:rPr>
        <w:footnoteReference w:id="226"/>
      </w:r>
      <w:r w:rsidR="0031157F" w:rsidRPr="00E20D41">
        <w:t xml:space="preserve">, lo que ha contribuido a </w:t>
      </w:r>
      <w:r>
        <w:t xml:space="preserve">que disminuya </w:t>
      </w:r>
      <w:r w:rsidR="0031157F" w:rsidRPr="00E20D41">
        <w:t>la población carcelaria total</w:t>
      </w:r>
      <w:r w:rsidR="0031157F" w:rsidRPr="00FA6C6A">
        <w:rPr>
          <w:color w:val="943634" w:themeColor="accent2" w:themeShade="BF"/>
          <w:vertAlign w:val="superscript"/>
        </w:rPr>
        <w:footnoteReference w:id="227"/>
      </w:r>
      <w:r w:rsidR="0031157F" w:rsidRPr="00E20D41">
        <w:t xml:space="preserve">. Igualmente, una revisión de las reglas para la </w:t>
      </w:r>
      <w:r>
        <w:t xml:space="preserve">fijación </w:t>
      </w:r>
      <w:r w:rsidR="0031157F" w:rsidRPr="00E20D41">
        <w:t xml:space="preserve">de </w:t>
      </w:r>
      <w:r>
        <w:t>la</w:t>
      </w:r>
      <w:r w:rsidR="004C1F3A">
        <w:t>s</w:t>
      </w:r>
      <w:r>
        <w:t xml:space="preserve"> pena</w:t>
      </w:r>
      <w:r w:rsidR="004C1F3A">
        <w:t>s</w:t>
      </w:r>
      <w:r>
        <w:t xml:space="preserve"> </w:t>
      </w:r>
      <w:r w:rsidR="0031157F" w:rsidRPr="00E20D41">
        <w:t xml:space="preserve">a fin de reducir o suprimir las penas mínimas obligatorias por delitos menores y que no sean violentos e impartir directrices más razonables a fin de </w:t>
      </w:r>
      <w:r>
        <w:t xml:space="preserve">que haya menos penas </w:t>
      </w:r>
      <w:r w:rsidR="0031157F" w:rsidRPr="00E20D41">
        <w:t>excesivamente prolongadas ha surtido también un efecto positivo en la reducción del recurso excesivo a la privación de la libertad y el hacinamiento</w:t>
      </w:r>
      <w:r w:rsidR="0031157F" w:rsidRPr="00FA6C6A">
        <w:rPr>
          <w:color w:val="943634" w:themeColor="accent2" w:themeShade="BF"/>
          <w:vertAlign w:val="superscript"/>
        </w:rPr>
        <w:footnoteReference w:id="228"/>
      </w:r>
      <w:r w:rsidR="0031157F" w:rsidRPr="00E20D41">
        <w:t>. Habría que adoptar las medidas que correspondan, entre ellas la capacitación, respecto de los fiscales y jueces con miras a eliminar la utilización innecesaria de la detención preventiva y modificar las prácticas en cuanto a la pena</w:t>
      </w:r>
      <w:r w:rsidR="0031157F" w:rsidRPr="00FA6C6A">
        <w:rPr>
          <w:color w:val="943634" w:themeColor="accent2" w:themeShade="BF"/>
          <w:vertAlign w:val="superscript"/>
        </w:rPr>
        <w:footnoteReference w:id="229"/>
      </w:r>
      <w:r w:rsidR="0031157F" w:rsidRPr="00E20D41">
        <w:t xml:space="preserve">. Habría que prestar especial atención a la reducción de las penas de </w:t>
      </w:r>
      <w:r>
        <w:t>presidio perpetuo</w:t>
      </w:r>
      <w:r w:rsidR="0031157F" w:rsidRPr="00E20D41">
        <w:t xml:space="preserve"> y ofrecer a todos los detenidos, incluso los que cumplen penas </w:t>
      </w:r>
      <w:r>
        <w:t xml:space="preserve">de presidio </w:t>
      </w:r>
      <w:r w:rsidR="0031157F" w:rsidRPr="00E20D41">
        <w:t>perpetu</w:t>
      </w:r>
      <w:r>
        <w:t>o</w:t>
      </w:r>
      <w:r w:rsidR="0031157F" w:rsidRPr="00E20D41">
        <w:t xml:space="preserve">, una posibilidad </w:t>
      </w:r>
      <w:r>
        <w:t xml:space="preserve">real </w:t>
      </w:r>
      <w:r w:rsidR="0031157F" w:rsidRPr="00E20D41">
        <w:t>de obtener la libertad vigilada</w:t>
      </w:r>
      <w:r w:rsidR="0031157F" w:rsidRPr="00FA6C6A">
        <w:rPr>
          <w:color w:val="943634" w:themeColor="accent2" w:themeShade="BF"/>
          <w:vertAlign w:val="superscript"/>
        </w:rPr>
        <w:footnoteReference w:id="230"/>
      </w:r>
      <w:r w:rsidR="0031157F" w:rsidRPr="00E20D41">
        <w:t xml:space="preserve">. </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G.</w:t>
      </w:r>
      <w:r>
        <w:tab/>
      </w:r>
      <w:r w:rsidR="0031157F" w:rsidRPr="00E20D41">
        <w:t xml:space="preserve">Rehabilitación y reducción de </w:t>
      </w:r>
      <w:r w:rsidR="00234E31">
        <w:t xml:space="preserve">la </w:t>
      </w:r>
      <w:r w:rsidR="0031157F" w:rsidRPr="00E20D41">
        <w:t>reincidencia</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234E31" w:rsidP="00FA6C6A">
      <w:pPr>
        <w:pStyle w:val="SingleTxt"/>
        <w:numPr>
          <w:ilvl w:val="0"/>
          <w:numId w:val="9"/>
        </w:numPr>
        <w:tabs>
          <w:tab w:val="clear" w:pos="475"/>
          <w:tab w:val="num" w:pos="1742"/>
        </w:tabs>
        <w:ind w:left="1267"/>
      </w:pPr>
      <w:r>
        <w:t>O</w:t>
      </w:r>
      <w:r w:rsidR="0031157F" w:rsidRPr="00E20D41">
        <w:t>frecer servicios efectivos de rehabilitación durante la detención y después de ella</w:t>
      </w:r>
      <w:r>
        <w:t xml:space="preserve"> y </w:t>
      </w:r>
      <w:r w:rsidR="0031157F" w:rsidRPr="00E20D41">
        <w:t>hacer frente a la cuestión de la reincidencia</w:t>
      </w:r>
      <w:r>
        <w:t xml:space="preserve"> son importantes factores de la reducción del hacinamiento</w:t>
      </w:r>
      <w:r w:rsidR="0031157F" w:rsidRPr="00FA6C6A">
        <w:rPr>
          <w:color w:val="943634" w:themeColor="accent2" w:themeShade="BF"/>
          <w:vertAlign w:val="superscript"/>
        </w:rPr>
        <w:footnoteReference w:id="231"/>
      </w:r>
      <w:r w:rsidR="0031157F" w:rsidRPr="00E20D41">
        <w:t>. Hay que considerar la posibilidad de programas de prevención del delito dirigidos a grupos específicos</w:t>
      </w:r>
      <w:r w:rsidR="0031157F" w:rsidRPr="00FA6C6A">
        <w:rPr>
          <w:color w:val="943634" w:themeColor="accent2" w:themeShade="BF"/>
          <w:vertAlign w:val="superscript"/>
        </w:rPr>
        <w:footnoteReference w:id="232"/>
      </w:r>
      <w:r w:rsidR="0031157F" w:rsidRPr="00E20D41">
        <w:t>.</w:t>
      </w:r>
    </w:p>
    <w:p w:rsidR="0031157F" w:rsidRDefault="0031157F" w:rsidP="00FA6C6A">
      <w:pPr>
        <w:pStyle w:val="SingleTxt"/>
        <w:numPr>
          <w:ilvl w:val="0"/>
          <w:numId w:val="9"/>
        </w:numPr>
        <w:tabs>
          <w:tab w:val="clear" w:pos="475"/>
          <w:tab w:val="num" w:pos="1742"/>
        </w:tabs>
        <w:ind w:left="1267"/>
      </w:pPr>
      <w:r w:rsidRPr="00E20D41">
        <w:t>La tarea de hacer frente a la reincidencia es compleja y requiere una política de reinserción en la sociedad de quienes estaban detenidos</w:t>
      </w:r>
      <w:r w:rsidRPr="00FA6C6A">
        <w:rPr>
          <w:color w:val="943634" w:themeColor="accent2" w:themeShade="BF"/>
          <w:vertAlign w:val="superscript"/>
        </w:rPr>
        <w:footnoteReference w:id="233"/>
      </w:r>
      <w:r w:rsidRPr="00E20D41">
        <w:t xml:space="preserve"> y la participación de sus familias</w:t>
      </w:r>
      <w:r w:rsidRPr="00FA6C6A">
        <w:rPr>
          <w:color w:val="943634" w:themeColor="accent2" w:themeShade="BF"/>
          <w:vertAlign w:val="superscript"/>
        </w:rPr>
        <w:footnoteReference w:id="234"/>
      </w:r>
      <w:r w:rsidRPr="00E20D41">
        <w:t>, así como de la comunidad de que se trate</w:t>
      </w:r>
      <w:r w:rsidRPr="00FA6C6A">
        <w:rPr>
          <w:color w:val="943634" w:themeColor="accent2" w:themeShade="BF"/>
          <w:vertAlign w:val="superscript"/>
        </w:rPr>
        <w:footnoteReference w:id="235"/>
      </w:r>
      <w:r w:rsidRPr="00E20D41">
        <w:t>, de manera que la reinserción sea efectiva. Habría que considerar favorablemente la posibilidad de adoptar otras medidas, como programas de rehabilitación de la drogadicción, para reducir el peligro de reincidencia</w:t>
      </w:r>
      <w:r w:rsidRPr="00FA6C6A">
        <w:rPr>
          <w:color w:val="943634" w:themeColor="accent2" w:themeShade="BF"/>
          <w:vertAlign w:val="superscript"/>
        </w:rPr>
        <w:footnoteReference w:id="236"/>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9C208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H.</w:t>
      </w:r>
      <w:r>
        <w:tab/>
      </w:r>
      <w:r w:rsidR="0031157F" w:rsidRPr="00E20D41">
        <w:t>Mecanismos de fiscalización y queja</w:t>
      </w:r>
    </w:p>
    <w:p w:rsidR="000E14E6" w:rsidRPr="000E14E6" w:rsidRDefault="000E14E6" w:rsidP="000E14E6">
      <w:pPr>
        <w:pStyle w:val="SingleTxt"/>
        <w:spacing w:after="0" w:line="120" w:lineRule="exact"/>
        <w:rPr>
          <w:sz w:val="10"/>
        </w:rPr>
      </w:pPr>
    </w:p>
    <w:p w:rsidR="000E14E6" w:rsidRPr="000E14E6" w:rsidRDefault="000E14E6" w:rsidP="000E14E6">
      <w:pPr>
        <w:pStyle w:val="SingleTxt"/>
        <w:spacing w:after="0" w:line="120" w:lineRule="exact"/>
        <w:rPr>
          <w:sz w:val="10"/>
        </w:rPr>
      </w:pPr>
    </w:p>
    <w:p w:rsidR="0031157F" w:rsidRPr="00E20D41" w:rsidRDefault="0031157F" w:rsidP="00FA6C6A">
      <w:pPr>
        <w:pStyle w:val="SingleTxt"/>
        <w:numPr>
          <w:ilvl w:val="0"/>
          <w:numId w:val="9"/>
        </w:numPr>
        <w:tabs>
          <w:tab w:val="clear" w:pos="475"/>
          <w:tab w:val="num" w:pos="1742"/>
        </w:tabs>
        <w:ind w:left="1267"/>
      </w:pPr>
      <w:r w:rsidRPr="00E20D41">
        <w:t xml:space="preserve">La fiscalización periódica de los lugares de detención </w:t>
      </w:r>
      <w:r w:rsidR="00234E31">
        <w:t xml:space="preserve">también es </w:t>
      </w:r>
      <w:r w:rsidRPr="00E20D41">
        <w:t>importante para hacer frente a los problemas del recurso excesivo a la privación de la libertad y el hacinamiento, ya que hace más transparente y eficiente el sistema correccional</w:t>
      </w:r>
      <w:r w:rsidRPr="00FA6C6A">
        <w:rPr>
          <w:color w:val="943634" w:themeColor="accent2" w:themeShade="BF"/>
          <w:vertAlign w:val="superscript"/>
        </w:rPr>
        <w:footnoteReference w:id="237"/>
      </w:r>
      <w:r w:rsidRPr="00E20D41">
        <w:t xml:space="preserve"> y hace posible detectar esos fenómenos y </w:t>
      </w:r>
      <w:r w:rsidR="00234E31">
        <w:t>combatirlos</w:t>
      </w:r>
      <w:r w:rsidRPr="00FA6C6A">
        <w:rPr>
          <w:color w:val="943634" w:themeColor="accent2" w:themeShade="BF"/>
          <w:vertAlign w:val="superscript"/>
        </w:rPr>
        <w:footnoteReference w:id="238"/>
      </w:r>
      <w:r w:rsidRPr="00E20D41">
        <w:t>. Es importante además que la fiscalización esté a cargo de diversos órganos e instituciones competentes.</w:t>
      </w:r>
    </w:p>
    <w:p w:rsidR="0031157F" w:rsidRPr="00E20D41" w:rsidRDefault="0031157F" w:rsidP="00FA6C6A">
      <w:pPr>
        <w:pStyle w:val="SingleTxt"/>
        <w:numPr>
          <w:ilvl w:val="0"/>
          <w:numId w:val="9"/>
        </w:numPr>
        <w:tabs>
          <w:tab w:val="clear" w:pos="475"/>
          <w:tab w:val="num" w:pos="1742"/>
        </w:tabs>
        <w:ind w:left="1267"/>
      </w:pPr>
      <w:r w:rsidRPr="00E20D41">
        <w:t xml:space="preserve">La supervisión </w:t>
      </w:r>
      <w:r w:rsidR="00234E31">
        <w:t xml:space="preserve">por parte de </w:t>
      </w:r>
      <w:r w:rsidRPr="00E20D41">
        <w:t>fiscales y jueces es importante para que estén en conocimiento de las condiciones imperantes cuando toman decisiones acerca de la detención</w:t>
      </w:r>
      <w:r w:rsidRPr="00FA6C6A">
        <w:rPr>
          <w:color w:val="943634" w:themeColor="accent2" w:themeShade="BF"/>
          <w:vertAlign w:val="superscript"/>
        </w:rPr>
        <w:footnoteReference w:id="239"/>
      </w:r>
      <w:r w:rsidRPr="00E20D41">
        <w:t xml:space="preserve">. Cabe también esperar que el proyecto de principios y directrices básicos sobre los recursos y procedimientos </w:t>
      </w:r>
      <w:r w:rsidR="00234E31">
        <w:t xml:space="preserve">relacionados con el </w:t>
      </w:r>
      <w:r w:rsidRPr="00E20D41">
        <w:t xml:space="preserve">derecho de toda persona privada de la libertad a </w:t>
      </w:r>
      <w:r w:rsidR="00F929C6">
        <w:t xml:space="preserve">recurrir </w:t>
      </w:r>
      <w:r w:rsidRPr="00E20D41">
        <w:t>ante un tribunal sirva para establecer mecanismos eficaces que aseguren la supervisión judicial respecto de todas las situaciones de privación de la libertad</w:t>
      </w:r>
      <w:r w:rsidRPr="00FA6C6A">
        <w:rPr>
          <w:color w:val="943634" w:themeColor="accent2" w:themeShade="BF"/>
          <w:vertAlign w:val="superscript"/>
        </w:rPr>
        <w:footnoteReference w:id="240"/>
      </w:r>
      <w:r w:rsidRPr="00E20D41">
        <w:t>. Reviste importancia primordial que diversos órganos profesionales lleven a cabo inspecciones para que se cumplan principios tales como los de salud y seguridad, normas de construcción, higiene y saneamiento</w:t>
      </w:r>
      <w:r w:rsidRPr="00FA6C6A">
        <w:rPr>
          <w:color w:val="943634" w:themeColor="accent2" w:themeShade="BF"/>
          <w:vertAlign w:val="superscript"/>
        </w:rPr>
        <w:footnoteReference w:id="241"/>
      </w:r>
      <w:r w:rsidRPr="00E20D41">
        <w:t>. La fiscalización independiente de mecanismos tales como los mecanismos nacionales de prevención, las instituciones nacionales de derechos humanos y la sociedad civil ayuda a fiscalizar el hacinamiento y ayuda a las autoridades en la tarea de reducirlo</w:t>
      </w:r>
      <w:r w:rsidRPr="00FA6C6A">
        <w:rPr>
          <w:color w:val="943634" w:themeColor="accent2" w:themeShade="BF"/>
          <w:vertAlign w:val="superscript"/>
        </w:rPr>
        <w:footnoteReference w:id="242"/>
      </w:r>
      <w:r w:rsidRPr="00E20D41">
        <w:t>.</w:t>
      </w:r>
    </w:p>
    <w:p w:rsidR="0031157F" w:rsidRDefault="0031157F" w:rsidP="00FA6C6A">
      <w:pPr>
        <w:pStyle w:val="SingleTxt"/>
        <w:numPr>
          <w:ilvl w:val="0"/>
          <w:numId w:val="9"/>
        </w:numPr>
        <w:tabs>
          <w:tab w:val="clear" w:pos="475"/>
          <w:tab w:val="num" w:pos="1742"/>
        </w:tabs>
        <w:ind w:left="1267"/>
      </w:pPr>
      <w:r w:rsidRPr="00E20D41">
        <w:t>También reviste suma importancia que existan mecanismos independientes de queja que funcionen bien y estén plenamente al alcance de los detenidos</w:t>
      </w:r>
      <w:r w:rsidR="00F929C6">
        <w:t>,</w:t>
      </w:r>
      <w:r w:rsidRPr="00E20D41">
        <w:t xml:space="preserve"> de manera de reducir el hacinamiento, el recurso excesivo a la aplicación de la libertad y sus efectos negativos</w:t>
      </w:r>
      <w:r w:rsidRPr="00FA6C6A">
        <w:rPr>
          <w:color w:val="943634" w:themeColor="accent2" w:themeShade="BF"/>
          <w:vertAlign w:val="superscript"/>
        </w:rPr>
        <w:footnoteReference w:id="243"/>
      </w:r>
      <w:r w:rsidRPr="00E20D41">
        <w:t>.</w:t>
      </w:r>
    </w:p>
    <w:p w:rsidR="000E14E6" w:rsidRPr="000E14E6" w:rsidRDefault="000E14E6" w:rsidP="000E14E6">
      <w:pPr>
        <w:pStyle w:val="SingleTxt"/>
        <w:tabs>
          <w:tab w:val="clear" w:pos="1742"/>
        </w:tabs>
        <w:spacing w:after="0" w:line="120" w:lineRule="exact"/>
        <w:rPr>
          <w:sz w:val="10"/>
        </w:rPr>
      </w:pPr>
    </w:p>
    <w:p w:rsidR="000E14E6" w:rsidRPr="000E14E6" w:rsidRDefault="000E14E6" w:rsidP="000E14E6">
      <w:pPr>
        <w:pStyle w:val="SingleTxt"/>
        <w:tabs>
          <w:tab w:val="clear" w:pos="1742"/>
        </w:tabs>
        <w:spacing w:after="0" w:line="120" w:lineRule="exact"/>
        <w:rPr>
          <w:sz w:val="10"/>
        </w:rPr>
      </w:pPr>
    </w:p>
    <w:p w:rsidR="0031157F" w:rsidRDefault="009C2086" w:rsidP="00F929C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V.</w:t>
      </w:r>
      <w:r>
        <w:tab/>
      </w:r>
      <w:r w:rsidR="0031157F" w:rsidRPr="00E20D41">
        <w:t>Conclusiones</w:t>
      </w:r>
    </w:p>
    <w:p w:rsidR="000E14E6" w:rsidRPr="000E14E6" w:rsidRDefault="000E14E6" w:rsidP="00F929C6">
      <w:pPr>
        <w:pStyle w:val="SingleTxt"/>
        <w:keepNext/>
        <w:spacing w:after="0" w:line="120" w:lineRule="exact"/>
        <w:rPr>
          <w:sz w:val="10"/>
        </w:rPr>
      </w:pPr>
    </w:p>
    <w:p w:rsidR="000E14E6" w:rsidRPr="000E14E6" w:rsidRDefault="000E14E6" w:rsidP="00F929C6">
      <w:pPr>
        <w:pStyle w:val="SingleTxt"/>
        <w:keepNext/>
        <w:spacing w:after="0" w:line="120" w:lineRule="exact"/>
        <w:rPr>
          <w:sz w:val="10"/>
        </w:rPr>
      </w:pPr>
    </w:p>
    <w:p w:rsidR="0031157F" w:rsidRPr="00F929C6" w:rsidRDefault="0031157F" w:rsidP="00FA6C6A">
      <w:pPr>
        <w:pStyle w:val="SingleTxt"/>
        <w:numPr>
          <w:ilvl w:val="0"/>
          <w:numId w:val="9"/>
        </w:numPr>
        <w:tabs>
          <w:tab w:val="clear" w:pos="475"/>
          <w:tab w:val="num" w:pos="1742"/>
        </w:tabs>
        <w:ind w:left="1267"/>
        <w:rPr>
          <w:b/>
        </w:rPr>
      </w:pPr>
      <w:r w:rsidRPr="00F929C6">
        <w:rPr>
          <w:b/>
        </w:rPr>
        <w:t>El Estado, al recurrir a la privación de la libertad, conculca la libertad de la persona, uno de los derechos humanos fundamentales. Para justificar esa injerencia, los Estados deberían aplicar la privación de la libertad como medida de último recurso y únicamente después de tener en cuenta debidamente las alternativas a ella.</w:t>
      </w:r>
    </w:p>
    <w:p w:rsidR="0031157F" w:rsidRPr="00F929C6" w:rsidRDefault="0031157F" w:rsidP="00FA6C6A">
      <w:pPr>
        <w:pStyle w:val="SingleTxt"/>
        <w:numPr>
          <w:ilvl w:val="0"/>
          <w:numId w:val="9"/>
        </w:numPr>
        <w:tabs>
          <w:tab w:val="clear" w:pos="475"/>
          <w:tab w:val="num" w:pos="1742"/>
        </w:tabs>
        <w:ind w:left="1267"/>
        <w:rPr>
          <w:b/>
        </w:rPr>
      </w:pPr>
      <w:r w:rsidRPr="00F929C6">
        <w:rPr>
          <w:b/>
        </w:rPr>
        <w:t>En todo caso, cuando la privación de la libertad sea absolutamente necesaria, recae sobre el Estado una responsabilidad especial respecto de aquellos a quienes detiene y que consiste en la obligación de tratar a todos los reclusos con el respeto que merecen su dignidad y valor intrínsecos en cuan</w:t>
      </w:r>
      <w:r w:rsidR="00F929C6">
        <w:rPr>
          <w:b/>
        </w:rPr>
        <w:t>t</w:t>
      </w:r>
      <w:r w:rsidRPr="00F929C6">
        <w:rPr>
          <w:b/>
        </w:rPr>
        <w:t xml:space="preserve">o seres humanos, que constituye el primer requisito de las Reglas de las Naciones Unidas para el </w:t>
      </w:r>
      <w:r w:rsidR="004C1F3A">
        <w:rPr>
          <w:b/>
        </w:rPr>
        <w:t>T</w:t>
      </w:r>
      <w:r w:rsidR="004C1F3A" w:rsidRPr="00F929C6">
        <w:rPr>
          <w:b/>
        </w:rPr>
        <w:t xml:space="preserve">ratamiento </w:t>
      </w:r>
      <w:r w:rsidRPr="00F929C6">
        <w:rPr>
          <w:b/>
        </w:rPr>
        <w:t xml:space="preserve">de los </w:t>
      </w:r>
      <w:r w:rsidR="004C1F3A">
        <w:rPr>
          <w:b/>
        </w:rPr>
        <w:t>R</w:t>
      </w:r>
      <w:r w:rsidR="004C1F3A" w:rsidRPr="00F929C6">
        <w:rPr>
          <w:b/>
        </w:rPr>
        <w:t xml:space="preserve">eclusos </w:t>
      </w:r>
      <w:r w:rsidRPr="00F929C6">
        <w:rPr>
          <w:b/>
        </w:rPr>
        <w:t>(Reglas Mandela)</w:t>
      </w:r>
      <w:r w:rsidRPr="00F929C6">
        <w:rPr>
          <w:color w:val="943634" w:themeColor="accent2" w:themeShade="BF"/>
          <w:vertAlign w:val="superscript"/>
        </w:rPr>
        <w:footnoteReference w:id="244"/>
      </w:r>
      <w:r w:rsidRPr="00F929C6">
        <w:rPr>
          <w:b/>
        </w:rPr>
        <w:t>.</w:t>
      </w:r>
    </w:p>
    <w:p w:rsidR="0031157F" w:rsidRPr="00F929C6" w:rsidRDefault="0031157F" w:rsidP="00FA6C6A">
      <w:pPr>
        <w:pStyle w:val="SingleTxt"/>
        <w:numPr>
          <w:ilvl w:val="0"/>
          <w:numId w:val="9"/>
        </w:numPr>
        <w:tabs>
          <w:tab w:val="clear" w:pos="475"/>
          <w:tab w:val="num" w:pos="1742"/>
        </w:tabs>
        <w:ind w:left="1267"/>
        <w:rPr>
          <w:b/>
        </w:rPr>
      </w:pPr>
      <w:r w:rsidRPr="00F929C6">
        <w:rPr>
          <w:b/>
        </w:rPr>
        <w:t xml:space="preserve">El recurso excesivo a la detención </w:t>
      </w:r>
      <w:r w:rsidR="00F929C6">
        <w:rPr>
          <w:b/>
        </w:rPr>
        <w:t xml:space="preserve">impone una pesada carga sobre </w:t>
      </w:r>
      <w:r w:rsidRPr="00F929C6">
        <w:rPr>
          <w:b/>
        </w:rPr>
        <w:t xml:space="preserve">los recursos carcelarios, que suelen ser escasos, </w:t>
      </w:r>
      <w:r w:rsidR="00F929C6">
        <w:rPr>
          <w:b/>
        </w:rPr>
        <w:t xml:space="preserve">deja </w:t>
      </w:r>
      <w:r w:rsidRPr="00F929C6">
        <w:rPr>
          <w:b/>
        </w:rPr>
        <w:t>al personal correccional en una situación extremadamente difícil e incluso peligrosa y tiene graves consecuencias para los derechos humanos de las personas privadas de la libertad. Además, constituye una de las principales causas básicas del hacinamiento, que da lugar a condiciones que pueden llegar a constituir malos tratos o incluso tortura</w:t>
      </w:r>
      <w:r w:rsidRPr="00F929C6">
        <w:rPr>
          <w:color w:val="943634" w:themeColor="accent2" w:themeShade="BF"/>
          <w:vertAlign w:val="superscript"/>
        </w:rPr>
        <w:footnoteReference w:id="245"/>
      </w:r>
      <w:r w:rsidRPr="00F929C6">
        <w:rPr>
          <w:b/>
        </w:rPr>
        <w:t>.</w:t>
      </w:r>
    </w:p>
    <w:p w:rsidR="0031157F" w:rsidRPr="00F929C6" w:rsidRDefault="0031157F" w:rsidP="00FA6C6A">
      <w:pPr>
        <w:pStyle w:val="SingleTxt"/>
        <w:numPr>
          <w:ilvl w:val="0"/>
          <w:numId w:val="9"/>
        </w:numPr>
        <w:tabs>
          <w:tab w:val="clear" w:pos="475"/>
          <w:tab w:val="num" w:pos="1742"/>
        </w:tabs>
        <w:ind w:left="1267"/>
        <w:rPr>
          <w:b/>
        </w:rPr>
      </w:pPr>
      <w:r w:rsidRPr="00F929C6">
        <w:rPr>
          <w:b/>
        </w:rPr>
        <w:t xml:space="preserve">A fin de hacer frente al recurso excesivo a la privación de la libertad, al hacinamiento y a sus consecuencias para los derechos humanos, en la sección </w:t>
      </w:r>
      <w:r w:rsidR="004C1F3A">
        <w:rPr>
          <w:b/>
        </w:rPr>
        <w:t>I</w:t>
      </w:r>
      <w:r w:rsidRPr="00F929C6">
        <w:rPr>
          <w:b/>
        </w:rPr>
        <w:t xml:space="preserve">V del presente documento se formulan varias recomendaciones, como adoptar un planteamiento proactivo e integral; </w:t>
      </w:r>
      <w:r w:rsidR="00F929C6">
        <w:rPr>
          <w:b/>
        </w:rPr>
        <w:t>respetar el derecho</w:t>
      </w:r>
      <w:r w:rsidRPr="00F929C6">
        <w:rPr>
          <w:b/>
        </w:rPr>
        <w:t xml:space="preserve"> de los detenidos a impugnar su detención</w:t>
      </w:r>
      <w:r w:rsidR="00F929C6">
        <w:rPr>
          <w:b/>
        </w:rPr>
        <w:t>,</w:t>
      </w:r>
      <w:r w:rsidRPr="00F929C6">
        <w:rPr>
          <w:b/>
        </w:rPr>
        <w:t xml:space="preserve"> </w:t>
      </w:r>
      <w:r w:rsidR="00F929C6">
        <w:rPr>
          <w:b/>
        </w:rPr>
        <w:t xml:space="preserve">y a obtener </w:t>
      </w:r>
      <w:r w:rsidRPr="00F929C6">
        <w:rPr>
          <w:b/>
        </w:rPr>
        <w:t xml:space="preserve">asistencia de un abogado y asistencia judicial; utilizar los lugares de detención únicamente para el propósito para el cual </w:t>
      </w:r>
      <w:r w:rsidR="00F929C6">
        <w:rPr>
          <w:b/>
        </w:rPr>
        <w:t>están destinados</w:t>
      </w:r>
      <w:r w:rsidRPr="00F929C6">
        <w:rPr>
          <w:b/>
        </w:rPr>
        <w:t>; utilizar la detención preventiva únicamente como último recurso; formular y poner en práctica alternativas a las medidas de privación de la libertad en la fase previa al juicio y en la posterior a la condena; revisar la política y la legislación penales para que las sentencias sean proporcionadas; ofrecer servicios efectivos de rehabilitación para ayudar a reducir la reincidencia y cerciorarse de que existan mecanismos independientes de fiscalización y queja que funcionen bien.</w:t>
      </w:r>
    </w:p>
    <w:p w:rsidR="0031157F" w:rsidRPr="00F929C6" w:rsidRDefault="0031157F" w:rsidP="00FA6C6A">
      <w:pPr>
        <w:pStyle w:val="SingleTxt"/>
        <w:numPr>
          <w:ilvl w:val="0"/>
          <w:numId w:val="9"/>
        </w:numPr>
        <w:tabs>
          <w:tab w:val="clear" w:pos="475"/>
          <w:tab w:val="num" w:pos="1742"/>
        </w:tabs>
        <w:ind w:left="1267"/>
        <w:rPr>
          <w:b/>
        </w:rPr>
      </w:pPr>
      <w:r w:rsidRPr="00F929C6">
        <w:rPr>
          <w:b/>
        </w:rPr>
        <w:t>Habida cuenta de que, por su propia naturaleza, la privación de la libertad aumenta la desventaja social y la vulnerabilidad a las infracciones de los derechos humanos, las medidas que adopten los Estados para respetar y proteger los derechos de las personas privadas de libertad son sumamente importantes</w:t>
      </w:r>
      <w:r w:rsidRPr="00F929C6">
        <w:rPr>
          <w:color w:val="943634" w:themeColor="accent2" w:themeShade="BF"/>
          <w:vertAlign w:val="superscript"/>
        </w:rPr>
        <w:footnoteReference w:id="246"/>
      </w:r>
      <w:r w:rsidRPr="00F929C6">
        <w:rPr>
          <w:b/>
        </w:rPr>
        <w:t>. La adopción de medidas proactivas para hacer frente a los fenómenos del recurso excesivo a la privación de la libertad y el hacinamiento en los lugares de detención no solo asegura que los Estados cumplan sus obligaciones internacionales sino también garantiza a los detenidos la dignidad inherente a todo ser humano.</w:t>
      </w:r>
    </w:p>
    <w:p w:rsidR="0031157F" w:rsidRPr="00F929C6" w:rsidRDefault="008841BB" w:rsidP="00FA6C6A">
      <w:pPr>
        <w:pStyle w:val="SingleTxt"/>
        <w:tabs>
          <w:tab w:val="num" w:pos="1742"/>
        </w:tabs>
        <w:rPr>
          <w:b/>
        </w:rPr>
      </w:pPr>
      <w:r w:rsidRPr="00F929C6">
        <w:rPr>
          <w:b/>
          <w:noProof/>
          <w:w w:val="100"/>
          <w:lang w:val="en-GB" w:eastAsia="en-GB"/>
        </w:rPr>
        <mc:AlternateContent>
          <mc:Choice Requires="wps">
            <w:drawing>
              <wp:anchor distT="0" distB="0" distL="114300" distR="114300" simplePos="0" relativeHeight="251659264" behindDoc="0" locked="0" layoutInCell="1" allowOverlap="1" wp14:anchorId="3DF5406C" wp14:editId="04B539A4">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31157F" w:rsidRPr="00F929C6" w:rsidSect="00B73260">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5T15:21:00Z" w:initials="Start">
    <w:p w:rsidR="005E171C" w:rsidRPr="00D17B73" w:rsidRDefault="005E171C">
      <w:pPr>
        <w:pStyle w:val="CommentText"/>
        <w:rPr>
          <w:lang w:val="en-US"/>
        </w:rPr>
      </w:pPr>
      <w:r>
        <w:fldChar w:fldCharType="begin"/>
      </w:r>
      <w:r w:rsidRPr="00D17B73">
        <w:rPr>
          <w:rStyle w:val="CommentReference"/>
          <w:lang w:val="en-US"/>
        </w:rPr>
        <w:instrText xml:space="preserve"> </w:instrText>
      </w:r>
      <w:r w:rsidRPr="00D17B73">
        <w:rPr>
          <w:lang w:val="en-US"/>
        </w:rPr>
        <w:instrText>PAGE \# "'Page: '#'</w:instrText>
      </w:r>
      <w:r w:rsidRPr="00D17B73">
        <w:rPr>
          <w:lang w:val="en-US"/>
        </w:rPr>
        <w:br/>
        <w:instrText>'"</w:instrText>
      </w:r>
      <w:r w:rsidRPr="00D17B73">
        <w:rPr>
          <w:rStyle w:val="CommentReference"/>
          <w:lang w:val="en-US"/>
        </w:rPr>
        <w:instrText xml:space="preserve"> </w:instrText>
      </w:r>
      <w:r>
        <w:fldChar w:fldCharType="end"/>
      </w:r>
      <w:r>
        <w:rPr>
          <w:rStyle w:val="CommentReference"/>
        </w:rPr>
        <w:annotationRef/>
      </w:r>
      <w:r w:rsidRPr="00D17B73">
        <w:rPr>
          <w:lang w:val="en-US"/>
        </w:rPr>
        <w:t>&lt;&lt;ODS JOB NO&gt;&gt;N1517720S&lt;&lt;ODS JOB NO&gt;&gt;</w:t>
      </w:r>
    </w:p>
    <w:p w:rsidR="005E171C" w:rsidRDefault="005E171C">
      <w:pPr>
        <w:pStyle w:val="CommentText"/>
      </w:pPr>
      <w:r>
        <w:t>&lt;&lt;ODS DOC SYMBOL1&gt;&gt;A/HRC/30/19&lt;&lt;ODS DOC SYMBOL1&gt;&gt;</w:t>
      </w:r>
    </w:p>
    <w:p w:rsidR="005E171C" w:rsidRDefault="005E171C">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71C" w:rsidRDefault="005E171C" w:rsidP="008F1E8F">
      <w:pPr>
        <w:spacing w:line="240" w:lineRule="auto"/>
      </w:pPr>
      <w:r>
        <w:separator/>
      </w:r>
    </w:p>
  </w:endnote>
  <w:endnote w:type="continuationSeparator" w:id="0">
    <w:p w:rsidR="005E171C" w:rsidRDefault="005E171C"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E171C" w:rsidTr="009B0CE3">
      <w:trPr>
        <w:jc w:val="center"/>
      </w:trPr>
      <w:tc>
        <w:tcPr>
          <w:tcW w:w="5126" w:type="dxa"/>
          <w:shd w:val="clear" w:color="auto" w:fill="auto"/>
        </w:tcPr>
        <w:p w:rsidR="005E171C" w:rsidRPr="009B0CE3" w:rsidRDefault="005E171C" w:rsidP="009B0CE3">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6778CC">
            <w:rPr>
              <w:b w:val="0"/>
              <w:color w:val="000000"/>
              <w:w w:val="103"/>
              <w:sz w:val="14"/>
            </w:rPr>
            <w:t>GE.15-13463</w:t>
          </w:r>
          <w:r>
            <w:rPr>
              <w:b w:val="0"/>
              <w:color w:val="000000"/>
              <w:w w:val="103"/>
              <w:sz w:val="14"/>
            </w:rPr>
            <w:fldChar w:fldCharType="end"/>
          </w:r>
        </w:p>
      </w:tc>
      <w:tc>
        <w:tcPr>
          <w:tcW w:w="5127" w:type="dxa"/>
          <w:shd w:val="clear" w:color="auto" w:fill="auto"/>
        </w:tcPr>
        <w:p w:rsidR="005E171C" w:rsidRPr="009B0CE3" w:rsidRDefault="005E171C" w:rsidP="009B0CE3">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1A209D">
            <w:rPr>
              <w:color w:val="000000"/>
              <w:w w:val="103"/>
            </w:rPr>
            <w:t>22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1A209D">
            <w:rPr>
              <w:color w:val="000000"/>
              <w:w w:val="103"/>
            </w:rPr>
            <w:t>22</w:t>
          </w:r>
          <w:r>
            <w:rPr>
              <w:color w:val="000000"/>
              <w:w w:val="103"/>
            </w:rPr>
            <w:fldChar w:fldCharType="end"/>
          </w:r>
        </w:p>
      </w:tc>
    </w:tr>
  </w:tbl>
  <w:p w:rsidR="005E171C" w:rsidRPr="009B0CE3" w:rsidRDefault="005E171C" w:rsidP="009B0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E171C" w:rsidTr="009B0CE3">
      <w:trPr>
        <w:jc w:val="center"/>
      </w:trPr>
      <w:tc>
        <w:tcPr>
          <w:tcW w:w="5126" w:type="dxa"/>
          <w:shd w:val="clear" w:color="auto" w:fill="auto"/>
        </w:tcPr>
        <w:p w:rsidR="005E171C" w:rsidRPr="009B0CE3" w:rsidRDefault="005E171C" w:rsidP="009B0CE3">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1A209D">
            <w:rPr>
              <w:color w:val="000000"/>
              <w:w w:val="103"/>
            </w:rPr>
            <w:t>21</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1A209D">
            <w:rPr>
              <w:color w:val="000000"/>
              <w:w w:val="103"/>
            </w:rPr>
            <w:t>21</w:t>
          </w:r>
          <w:r>
            <w:rPr>
              <w:color w:val="000000"/>
              <w:w w:val="103"/>
            </w:rPr>
            <w:fldChar w:fldCharType="end"/>
          </w:r>
        </w:p>
      </w:tc>
      <w:tc>
        <w:tcPr>
          <w:tcW w:w="5127" w:type="dxa"/>
          <w:shd w:val="clear" w:color="auto" w:fill="auto"/>
        </w:tcPr>
        <w:p w:rsidR="005E171C" w:rsidRPr="009B0CE3" w:rsidRDefault="005E171C" w:rsidP="009B0CE3">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6778CC">
            <w:rPr>
              <w:b w:val="0"/>
              <w:color w:val="000000"/>
              <w:w w:val="103"/>
              <w:sz w:val="14"/>
            </w:rPr>
            <w:t>GE.15-13463</w:t>
          </w:r>
          <w:r>
            <w:rPr>
              <w:b w:val="0"/>
              <w:color w:val="000000"/>
              <w:w w:val="103"/>
              <w:sz w:val="14"/>
            </w:rPr>
            <w:fldChar w:fldCharType="end"/>
          </w:r>
        </w:p>
      </w:tc>
    </w:tr>
  </w:tbl>
  <w:p w:rsidR="005E171C" w:rsidRPr="009B0CE3" w:rsidRDefault="005E171C" w:rsidP="009B0C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1C" w:rsidRPr="009B0CE3" w:rsidRDefault="005E171C" w:rsidP="009B0CE3">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4D4F377E" wp14:editId="7310B8DC">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9&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9&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5E171C" w:rsidTr="009B0CE3">
      <w:tc>
        <w:tcPr>
          <w:tcW w:w="3859" w:type="dxa"/>
        </w:tcPr>
        <w:p w:rsidR="005E171C" w:rsidRDefault="0062434D" w:rsidP="009B0CE3">
          <w:pPr>
            <w:pStyle w:val="ReleaseDate"/>
          </w:pPr>
          <w:r>
            <w:t>GE.15-13463 (S)    210815    28</w:t>
          </w:r>
          <w:r w:rsidR="005E171C">
            <w:t>0815</w:t>
          </w:r>
        </w:p>
        <w:p w:rsidR="005E171C" w:rsidRPr="009B0CE3" w:rsidRDefault="005E171C" w:rsidP="009B0CE3">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*1513463*</w:t>
          </w:r>
        </w:p>
      </w:tc>
      <w:tc>
        <w:tcPr>
          <w:tcW w:w="5127" w:type="dxa"/>
        </w:tcPr>
        <w:p w:rsidR="005E171C" w:rsidRDefault="005E171C" w:rsidP="009B0CE3">
          <w:pPr>
            <w:pStyle w:val="Footer"/>
            <w:jc w:val="right"/>
            <w:rPr>
              <w:b w:val="0"/>
              <w:sz w:val="20"/>
            </w:rPr>
          </w:pPr>
          <w:r>
            <w:rPr>
              <w:b w:val="0"/>
              <w:sz w:val="20"/>
              <w:lang w:val="en-GB" w:eastAsia="en-GB"/>
            </w:rPr>
            <w:drawing>
              <wp:inline distT="0" distB="0" distL="0" distR="0" wp14:anchorId="6390B2D3" wp14:editId="41293FDD">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5E171C" w:rsidRPr="009B0CE3" w:rsidRDefault="005E171C" w:rsidP="009B0CE3">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71C" w:rsidRPr="00FA6C6A" w:rsidRDefault="005E171C" w:rsidP="00FA6C6A">
      <w:pPr>
        <w:pStyle w:val="Footer"/>
        <w:spacing w:after="80"/>
        <w:ind w:left="792"/>
        <w:rPr>
          <w:sz w:val="16"/>
        </w:rPr>
      </w:pPr>
      <w:r w:rsidRPr="00FA6C6A">
        <w:rPr>
          <w:sz w:val="16"/>
        </w:rPr>
        <w:t>__________________</w:t>
      </w:r>
    </w:p>
  </w:footnote>
  <w:footnote w:type="continuationSeparator" w:id="0">
    <w:p w:rsidR="005E171C" w:rsidRPr="00FA6C6A" w:rsidRDefault="005E171C" w:rsidP="00FA6C6A">
      <w:pPr>
        <w:pStyle w:val="Footer"/>
        <w:spacing w:after="80"/>
        <w:ind w:left="792"/>
        <w:rPr>
          <w:sz w:val="16"/>
        </w:rPr>
      </w:pPr>
      <w:r w:rsidRPr="00FA6C6A">
        <w:rPr>
          <w:sz w:val="16"/>
        </w:rPr>
        <w:t>__________________</w:t>
      </w:r>
    </w:p>
  </w:footnote>
  <w:footnote w:id="1">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tab/>
      </w:r>
      <w:r>
        <w:rPr>
          <w:rStyle w:val="FootnoteReference"/>
        </w:rPr>
        <w:footnoteRef/>
      </w:r>
      <w:r w:rsidRPr="00081217">
        <w:rPr>
          <w:lang w:val="fr-CH"/>
        </w:rPr>
        <w:tab/>
        <w:t xml:space="preserve">Véase CCPR/C/GC/35, párr. </w:t>
      </w:r>
      <w:r w:rsidRPr="00933CF9">
        <w:rPr>
          <w:lang w:val="en-US"/>
        </w:rPr>
        <w:t>2.</w:t>
      </w:r>
    </w:p>
  </w:footnote>
  <w:footnote w:id="2">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Pr="00933CF9">
        <w:rPr>
          <w:lang w:val="en-US"/>
        </w:rPr>
        <w:tab/>
        <w:t xml:space="preserve">Véase </w:t>
      </w:r>
      <w:r w:rsidRPr="00933CF9">
        <w:rPr>
          <w:i/>
          <w:lang w:val="en-US"/>
        </w:rPr>
        <w:t>ibid.</w:t>
      </w:r>
      <w:r w:rsidRPr="00933CF9">
        <w:rPr>
          <w:lang w:val="en-US"/>
        </w:rPr>
        <w:t xml:space="preserve">, párr. 10. </w:t>
      </w:r>
    </w:p>
  </w:footnote>
  <w:footnote w:id="3">
    <w:p w:rsidR="005E171C" w:rsidRPr="001A3A55"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Pr="001A3A55">
        <w:rPr>
          <w:lang w:val="en-US"/>
        </w:rPr>
        <w:tab/>
        <w:t>Vé</w:t>
      </w:r>
      <w:r>
        <w:rPr>
          <w:lang w:val="en-US"/>
        </w:rPr>
        <w:t>a</w:t>
      </w:r>
      <w:r w:rsidRPr="001A3A55">
        <w:rPr>
          <w:lang w:val="en-US"/>
        </w:rPr>
        <w:t xml:space="preserve">se </w:t>
      </w:r>
      <w:r w:rsidRPr="001A3A55">
        <w:rPr>
          <w:lang w:val="en-GB"/>
        </w:rPr>
        <w:t>Roy Walmsley, World Prison Population List, 10th edition (London, International Centre for Prison Studies, 2013).</w:t>
      </w:r>
    </w:p>
  </w:footnote>
  <w:footnote w:id="4">
    <w:p w:rsidR="005E171C" w:rsidRPr="001A3A55"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7D2D6E">
        <w:rPr>
          <w:lang w:val="en-US"/>
        </w:rPr>
        <w:tab/>
      </w:r>
      <w:r>
        <w:rPr>
          <w:rStyle w:val="FootnoteReference"/>
        </w:rPr>
        <w:footnoteRef/>
      </w:r>
      <w:r w:rsidR="00AE6AFF">
        <w:rPr>
          <w:lang w:val="en-US"/>
        </w:rPr>
        <w:tab/>
      </w:r>
      <w:r w:rsidRPr="001A3A55">
        <w:rPr>
          <w:lang w:val="en-US"/>
        </w:rPr>
        <w:t xml:space="preserve">Véase </w:t>
      </w:r>
      <w:r w:rsidRPr="001A3A55">
        <w:rPr>
          <w:lang w:val="en-GB"/>
        </w:rPr>
        <w:t>Roy Walmsley, World Pre-trial/Remand Imprisonment List, 2nd edition (London, International Centre for Prison Studies, 2014).</w:t>
      </w:r>
    </w:p>
  </w:footnote>
  <w:footnote w:id="5">
    <w:p w:rsidR="005E171C" w:rsidRPr="001A3A55"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00AE6AFF">
        <w:rPr>
          <w:lang w:val="en-US"/>
        </w:rPr>
        <w:tab/>
      </w:r>
      <w:r w:rsidRPr="001A3A55">
        <w:rPr>
          <w:lang w:val="en-US"/>
        </w:rPr>
        <w:t xml:space="preserve">Véase </w:t>
      </w:r>
      <w:r w:rsidRPr="001A3A55">
        <w:rPr>
          <w:lang w:val="en-GB"/>
        </w:rPr>
        <w:t>International Centre for Prison Studies, Highest to Lowest-Occupancy level (based on official capacity) (Lond</w:t>
      </w:r>
      <w:r>
        <w:rPr>
          <w:lang w:val="en-GB"/>
        </w:rPr>
        <w:t>res</w:t>
      </w:r>
      <w:r w:rsidRPr="001A3A55">
        <w:rPr>
          <w:lang w:val="en-GB"/>
        </w:rPr>
        <w:t>, 2014).</w:t>
      </w:r>
    </w:p>
  </w:footnote>
  <w:footnote w:id="6">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Pr="00933CF9">
        <w:rPr>
          <w:lang w:val="en-US"/>
        </w:rPr>
        <w:tab/>
        <w:t xml:space="preserve">Véase </w:t>
      </w:r>
      <w:r w:rsidRPr="001A3A55">
        <w:rPr>
          <w:lang w:val="en-GB"/>
        </w:rPr>
        <w:t xml:space="preserve">CAT/OP/MLI/1, </w:t>
      </w:r>
      <w:r>
        <w:rPr>
          <w:lang w:val="en-GB"/>
        </w:rPr>
        <w:t>párr</w:t>
      </w:r>
      <w:r w:rsidRPr="001A3A55">
        <w:rPr>
          <w:lang w:val="en-GB"/>
        </w:rPr>
        <w:t>. 49.</w:t>
      </w:r>
    </w:p>
  </w:footnote>
  <w:footnote w:id="7">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00AE6AFF">
        <w:rPr>
          <w:lang w:val="en-US"/>
        </w:rPr>
        <w:tab/>
      </w:r>
      <w:r w:rsidRPr="00933CF9">
        <w:rPr>
          <w:lang w:val="en-US"/>
        </w:rPr>
        <w:t>Véa</w:t>
      </w:r>
      <w:r>
        <w:rPr>
          <w:lang w:val="en-US"/>
        </w:rPr>
        <w:t>n</w:t>
      </w:r>
      <w:r w:rsidRPr="00933CF9">
        <w:rPr>
          <w:lang w:val="en-US"/>
        </w:rPr>
        <w:t>se A/HRC/22/53/Add.2, párr. 81; CAT/OP/BRA/1, párr. 96.</w:t>
      </w:r>
    </w:p>
  </w:footnote>
  <w:footnote w:id="8">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00AE6AFF">
        <w:rPr>
          <w:lang w:val="en-US"/>
        </w:rPr>
        <w:tab/>
      </w:r>
      <w:r w:rsidRPr="000F499A">
        <w:rPr>
          <w:lang w:val="en-US"/>
        </w:rPr>
        <w:t xml:space="preserve">Véase </w:t>
      </w:r>
      <w:r w:rsidRPr="000F499A">
        <w:rPr>
          <w:szCs w:val="18"/>
          <w:lang w:val="en-US"/>
        </w:rPr>
        <w:t xml:space="preserve">CAT/OP/BEN/1, párr. </w:t>
      </w:r>
      <w:r w:rsidRPr="00933CF9">
        <w:rPr>
          <w:szCs w:val="18"/>
          <w:lang w:val="en-US"/>
        </w:rPr>
        <w:t>147.</w:t>
      </w:r>
    </w:p>
  </w:footnote>
  <w:footnote w:id="9">
    <w:p w:rsidR="005E171C" w:rsidRPr="00E3606D"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00AE6AFF">
        <w:rPr>
          <w:lang w:val="en-US"/>
        </w:rPr>
        <w:tab/>
      </w:r>
      <w:r w:rsidRPr="00E3606D">
        <w:rPr>
          <w:lang w:val="en-US"/>
        </w:rPr>
        <w:t>Véase www.ohchr.org/EN/NewsEvents/Pages/DisplayNews.aspx?NewsID=16033&amp;LangID=E.</w:t>
      </w:r>
    </w:p>
  </w:footnote>
  <w:footnote w:id="10">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rsidRPr="00E3606D">
        <w:rPr>
          <w:lang w:val="en-US"/>
        </w:rPr>
        <w:tab/>
      </w:r>
      <w:r>
        <w:rPr>
          <w:rStyle w:val="FootnoteReference"/>
        </w:rPr>
        <w:footnoteRef/>
      </w:r>
      <w:r w:rsidR="00AE6AFF">
        <w:tab/>
      </w:r>
      <w:r>
        <w:t xml:space="preserve">Véase el documento del Consejo de Europa </w:t>
      </w:r>
      <w:r w:rsidRPr="009C7355">
        <w:rPr>
          <w:szCs w:val="18"/>
        </w:rPr>
        <w:t>CPT/Inf (2015) 6</w:t>
      </w:r>
      <w:r w:rsidRPr="001A4503">
        <w:rPr>
          <w:szCs w:val="18"/>
        </w:rPr>
        <w:t>,</w:t>
      </w:r>
      <w:r>
        <w:rPr>
          <w:szCs w:val="18"/>
        </w:rPr>
        <w:t xml:space="preserve"> párr</w:t>
      </w:r>
      <w:r w:rsidRPr="001A4503">
        <w:rPr>
          <w:szCs w:val="18"/>
        </w:rPr>
        <w:t>.</w:t>
      </w:r>
      <w:r w:rsidRPr="009C7355">
        <w:rPr>
          <w:szCs w:val="18"/>
        </w:rPr>
        <w:t xml:space="preserve"> 57.</w:t>
      </w:r>
    </w:p>
  </w:footnote>
  <w:footnote w:id="11">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Véase </w:t>
      </w:r>
      <w:r w:rsidRPr="003C4FE1">
        <w:rPr>
          <w:szCs w:val="18"/>
        </w:rPr>
        <w:t>A/65/273</w:t>
      </w:r>
      <w:r w:rsidRPr="001A4503">
        <w:rPr>
          <w:szCs w:val="18"/>
        </w:rPr>
        <w:t>,</w:t>
      </w:r>
      <w:r>
        <w:rPr>
          <w:szCs w:val="18"/>
        </w:rPr>
        <w:t xml:space="preserve"> párr</w:t>
      </w:r>
      <w:r w:rsidRPr="001A4503">
        <w:rPr>
          <w:szCs w:val="18"/>
        </w:rPr>
        <w:t>.</w:t>
      </w:r>
      <w:r w:rsidRPr="003C4FE1">
        <w:rPr>
          <w:szCs w:val="18"/>
        </w:rPr>
        <w:t xml:space="preserve"> 1.</w:t>
      </w:r>
    </w:p>
  </w:footnote>
  <w:footnote w:id="12">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Véase </w:t>
      </w:r>
      <w:r w:rsidRPr="003C4FE1">
        <w:rPr>
          <w:szCs w:val="18"/>
          <w:lang w:val="lv-LV" w:eastAsia="lv-LV"/>
        </w:rPr>
        <w:t>A/68/295</w:t>
      </w:r>
      <w:r>
        <w:rPr>
          <w:szCs w:val="18"/>
          <w:lang w:val="lv-LV" w:eastAsia="lv-LV"/>
        </w:rPr>
        <w:t>, párr.</w:t>
      </w:r>
      <w:r w:rsidRPr="003C4FE1">
        <w:rPr>
          <w:szCs w:val="18"/>
          <w:lang w:val="lv-LV" w:eastAsia="lv-LV"/>
        </w:rPr>
        <w:t xml:space="preserve"> 86.</w:t>
      </w:r>
      <w:r>
        <w:t xml:space="preserve"> </w:t>
      </w:r>
    </w:p>
  </w:footnote>
  <w:footnote w:id="13">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t>Véase, por ejemplo, la resolución 2180 (2014) del Consejo de Seguridad, párr. 16.</w:t>
      </w:r>
    </w:p>
  </w:footnote>
  <w:footnote w:id="14">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t xml:space="preserve">Véanse por ejemplo, </w:t>
      </w:r>
      <w:r w:rsidRPr="003C4FE1">
        <w:rPr>
          <w:szCs w:val="18"/>
        </w:rPr>
        <w:t>CAT/C/RWA/CO/1</w:t>
      </w:r>
      <w:r w:rsidRPr="001A4503">
        <w:rPr>
          <w:szCs w:val="18"/>
        </w:rPr>
        <w:t>,</w:t>
      </w:r>
      <w:r w:rsidRPr="003C4FE1">
        <w:rPr>
          <w:szCs w:val="18"/>
        </w:rPr>
        <w:t xml:space="preserve"> p</w:t>
      </w:r>
      <w:r>
        <w:rPr>
          <w:szCs w:val="18"/>
        </w:rPr>
        <w:t>árr.</w:t>
      </w:r>
      <w:r w:rsidRPr="003C4FE1">
        <w:rPr>
          <w:szCs w:val="18"/>
        </w:rPr>
        <w:t xml:space="preserve"> </w:t>
      </w:r>
      <w:r w:rsidRPr="00933CF9">
        <w:rPr>
          <w:szCs w:val="18"/>
        </w:rPr>
        <w:t>19</w:t>
      </w:r>
      <w:r>
        <w:rPr>
          <w:szCs w:val="18"/>
        </w:rPr>
        <w:t>;</w:t>
      </w:r>
      <w:r w:rsidRPr="00933CF9">
        <w:rPr>
          <w:szCs w:val="18"/>
        </w:rPr>
        <w:t xml:space="preserve"> y</w:t>
      </w:r>
      <w:r>
        <w:rPr>
          <w:szCs w:val="18"/>
        </w:rPr>
        <w:t xml:space="preserve"> </w:t>
      </w:r>
      <w:r w:rsidRPr="00933CF9">
        <w:rPr>
          <w:szCs w:val="18"/>
        </w:rPr>
        <w:t>CAT/C/TGO/CO/2, párr. 13.</w:t>
      </w:r>
    </w:p>
  </w:footnote>
  <w:footnote w:id="15">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rsidRPr="00933CF9">
        <w:tab/>
      </w:r>
      <w:r>
        <w:rPr>
          <w:rStyle w:val="FootnoteReference"/>
        </w:rPr>
        <w:footnoteRef/>
      </w:r>
      <w:r w:rsidR="00AE6AFF">
        <w:tab/>
      </w:r>
      <w:r>
        <w:t xml:space="preserve">Véase por ejemplo, </w:t>
      </w:r>
      <w:r>
        <w:rPr>
          <w:szCs w:val="18"/>
        </w:rPr>
        <w:t>CAT/OP/HND/1, párr.</w:t>
      </w:r>
      <w:r w:rsidRPr="003C4FE1">
        <w:rPr>
          <w:szCs w:val="18"/>
        </w:rPr>
        <w:t xml:space="preserve"> 198.</w:t>
      </w:r>
    </w:p>
  </w:footnote>
  <w:footnote w:id="16">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rsidRPr="00933CF9">
        <w:t>Véa</w:t>
      </w:r>
      <w:r>
        <w:t>n</w:t>
      </w:r>
      <w:r w:rsidRPr="00933CF9">
        <w:t xml:space="preserve">se </w:t>
      </w:r>
      <w:r w:rsidRPr="00933CF9">
        <w:rPr>
          <w:szCs w:val="18"/>
        </w:rPr>
        <w:t xml:space="preserve">CAT/OP/MLI/1, párr. </w:t>
      </w:r>
      <w:r w:rsidRPr="003C4FE1">
        <w:rPr>
          <w:szCs w:val="18"/>
        </w:rPr>
        <w:t>49; CAT/OP/MEX/1</w:t>
      </w:r>
      <w:r w:rsidRPr="001A4503">
        <w:rPr>
          <w:szCs w:val="18"/>
        </w:rPr>
        <w:t>,</w:t>
      </w:r>
      <w:r w:rsidRPr="003C4FE1">
        <w:rPr>
          <w:szCs w:val="18"/>
        </w:rPr>
        <w:t xml:space="preserve"> p</w:t>
      </w:r>
      <w:r>
        <w:rPr>
          <w:szCs w:val="18"/>
        </w:rPr>
        <w:t>árr</w:t>
      </w:r>
      <w:r w:rsidRPr="001A4503">
        <w:rPr>
          <w:szCs w:val="18"/>
        </w:rPr>
        <w:t>.</w:t>
      </w:r>
      <w:r w:rsidRPr="003C4FE1">
        <w:rPr>
          <w:szCs w:val="18"/>
        </w:rPr>
        <w:t xml:space="preserve"> </w:t>
      </w:r>
      <w:r w:rsidRPr="00AD65DE">
        <w:rPr>
          <w:szCs w:val="18"/>
        </w:rPr>
        <w:t>177; y CAT/OP/BEN/1, p</w:t>
      </w:r>
      <w:r>
        <w:rPr>
          <w:szCs w:val="18"/>
        </w:rPr>
        <w:t>árr</w:t>
      </w:r>
      <w:r w:rsidRPr="00AD65DE">
        <w:rPr>
          <w:szCs w:val="18"/>
        </w:rPr>
        <w:t xml:space="preserve">. </w:t>
      </w:r>
      <w:r w:rsidRPr="003C4FE1">
        <w:rPr>
          <w:szCs w:val="18"/>
        </w:rPr>
        <w:t>147.</w:t>
      </w:r>
    </w:p>
  </w:footnote>
  <w:footnote w:id="17">
    <w:p w:rsidR="005E171C" w:rsidRPr="00887F67"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Véa</w:t>
      </w:r>
      <w:r w:rsidR="00AE6AFF">
        <w:t>n</w:t>
      </w:r>
      <w:r>
        <w:t xml:space="preserve">se por ejemplo, </w:t>
      </w:r>
      <w:r w:rsidRPr="00AD65DE">
        <w:rPr>
          <w:lang w:val="lv-LV"/>
        </w:rPr>
        <w:t>A/HRC/10/21,</w:t>
      </w:r>
      <w:r>
        <w:rPr>
          <w:lang w:val="lv-LV"/>
        </w:rPr>
        <w:t xml:space="preserve"> párr</w:t>
      </w:r>
      <w:r w:rsidRPr="00AD65DE">
        <w:rPr>
          <w:lang w:val="lv-LV"/>
        </w:rPr>
        <w:t>. 42</w:t>
      </w:r>
      <w:r w:rsidR="00AE6AFF">
        <w:rPr>
          <w:lang w:val="lv-LV"/>
        </w:rPr>
        <w:t>;</w:t>
      </w:r>
      <w:r w:rsidRPr="00AD65DE">
        <w:rPr>
          <w:lang w:val="lv-LV"/>
        </w:rPr>
        <w:t xml:space="preserve"> </w:t>
      </w:r>
      <w:r>
        <w:rPr>
          <w:lang w:val="lv-LV"/>
        </w:rPr>
        <w:t>y</w:t>
      </w:r>
      <w:r w:rsidRPr="00AD65DE">
        <w:rPr>
          <w:lang w:val="lv-LV"/>
        </w:rPr>
        <w:t xml:space="preserve"> </w:t>
      </w:r>
      <w:r w:rsidRPr="00AD65DE">
        <w:rPr>
          <w:bCs/>
          <w:lang w:val="lv-LV"/>
        </w:rPr>
        <w:t>A/HRC/27/48, p</w:t>
      </w:r>
      <w:r>
        <w:rPr>
          <w:bCs/>
          <w:lang w:val="lv-LV"/>
        </w:rPr>
        <w:t xml:space="preserve">árrs. 72 a </w:t>
      </w:r>
      <w:r w:rsidRPr="00AD65DE">
        <w:rPr>
          <w:bCs/>
          <w:lang w:val="lv-LV"/>
        </w:rPr>
        <w:t>74.</w:t>
      </w:r>
    </w:p>
  </w:footnote>
  <w:footnote w:id="18">
    <w:p w:rsidR="005E171C" w:rsidRPr="00887F67" w:rsidRDefault="005E171C" w:rsidP="00FA6C6A">
      <w:pPr>
        <w:pStyle w:val="FootnoteText"/>
        <w:tabs>
          <w:tab w:val="clear" w:pos="418"/>
          <w:tab w:val="right" w:pos="1195"/>
          <w:tab w:val="left" w:pos="1267"/>
          <w:tab w:val="left" w:pos="1742"/>
          <w:tab w:val="left" w:pos="2218"/>
          <w:tab w:val="left" w:pos="2693"/>
        </w:tabs>
        <w:ind w:left="1267" w:right="1267" w:hanging="432"/>
      </w:pPr>
      <w:r w:rsidRPr="00887F67">
        <w:tab/>
      </w:r>
      <w:r>
        <w:rPr>
          <w:rStyle w:val="FootnoteReference"/>
        </w:rPr>
        <w:footnoteRef/>
      </w:r>
      <w:r w:rsidR="00AE6AFF">
        <w:tab/>
      </w:r>
      <w:r w:rsidRPr="00887F67">
        <w:t>Véase www.achpr.org/files/sessions/52nd/inter-act-reps/185/activty_report_prisons_eng.pdf</w:t>
      </w:r>
      <w:r w:rsidRPr="00990654">
        <w:rPr>
          <w:lang w:val="lv-LV"/>
        </w:rPr>
        <w:t>,</w:t>
      </w:r>
      <w:r w:rsidRPr="00887F67">
        <w:t xml:space="preserve"> pág</w:t>
      </w:r>
      <w:r>
        <w:t>. </w:t>
      </w:r>
      <w:r w:rsidRPr="00887F67">
        <w:t>8.</w:t>
      </w:r>
    </w:p>
  </w:footnote>
  <w:footnote w:id="19">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rsidRPr="00887F67">
        <w:tab/>
      </w:r>
      <w:r>
        <w:rPr>
          <w:rStyle w:val="FootnoteReference"/>
        </w:rPr>
        <w:footnoteRef/>
      </w:r>
      <w:r w:rsidR="00AE6AFF">
        <w:tab/>
      </w:r>
      <w:r w:rsidRPr="001A4503">
        <w:rPr>
          <w:szCs w:val="18"/>
        </w:rPr>
        <w:t>CCPR/C/GC/35</w:t>
      </w:r>
      <w:r w:rsidRPr="00032CD6">
        <w:rPr>
          <w:szCs w:val="18"/>
        </w:rPr>
        <w:t>,</w:t>
      </w:r>
      <w:r w:rsidRPr="001A4503">
        <w:rPr>
          <w:szCs w:val="18"/>
        </w:rPr>
        <w:t xml:space="preserve"> p</w:t>
      </w:r>
      <w:r>
        <w:rPr>
          <w:szCs w:val="18"/>
        </w:rPr>
        <w:t>árr</w:t>
      </w:r>
      <w:r w:rsidRPr="00032CD6">
        <w:rPr>
          <w:szCs w:val="18"/>
        </w:rPr>
        <w:t>.</w:t>
      </w:r>
      <w:r w:rsidRPr="001A4503">
        <w:rPr>
          <w:szCs w:val="18"/>
        </w:rPr>
        <w:t xml:space="preserve"> 5.</w:t>
      </w:r>
    </w:p>
  </w:footnote>
  <w:footnote w:id="20">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990654">
        <w:t>E/C.12/1/Add.80,</w:t>
      </w:r>
      <w:r>
        <w:t xml:space="preserve"> párr</w:t>
      </w:r>
      <w:r w:rsidRPr="00990654">
        <w:t xml:space="preserve">. </w:t>
      </w:r>
      <w:r w:rsidRPr="00933CF9">
        <w:rPr>
          <w:lang w:val="en-US"/>
        </w:rPr>
        <w:t xml:space="preserve">31; A/HRC/25/60/Add.1, párr. </w:t>
      </w:r>
      <w:r w:rsidRPr="00990654">
        <w:rPr>
          <w:lang w:val="en-US"/>
        </w:rPr>
        <w:t>69; CAT/C/GHA/CO/1, párr. 17; CAT/C/RUS/CO/4, párr. 18; CAT/OP/M</w:t>
      </w:r>
      <w:r w:rsidR="00AE6AFF">
        <w:rPr>
          <w:lang w:val="en-US"/>
        </w:rPr>
        <w:t>EX/1, párr.</w:t>
      </w:r>
      <w:r w:rsidRPr="00990654">
        <w:rPr>
          <w:lang w:val="en-US"/>
        </w:rPr>
        <w:t xml:space="preserve"> </w:t>
      </w:r>
      <w:r w:rsidRPr="00136926">
        <w:rPr>
          <w:lang w:val="en-US"/>
        </w:rPr>
        <w:t>203; www.achpr.org/files/activity-reports/36/</w:t>
      </w:r>
      <w:r w:rsidRPr="00136926">
        <w:rPr>
          <w:lang w:val="en-US"/>
        </w:rPr>
        <w:br/>
        <w:t>achpr54eo</w:t>
      </w:r>
      <w:r w:rsidR="00AE6AFF" w:rsidRPr="00136926">
        <w:rPr>
          <w:lang w:val="en-US"/>
        </w:rPr>
        <w:t>s15_actrep36_2014_eng.pdf, párr</w:t>
      </w:r>
      <w:r w:rsidRPr="00136926">
        <w:rPr>
          <w:lang w:val="en-US"/>
        </w:rPr>
        <w:t xml:space="preserve">. </w:t>
      </w:r>
      <w:r w:rsidRPr="00136926">
        <w:t>VII b(xvi).</w:t>
      </w:r>
    </w:p>
  </w:footnote>
  <w:footnote w:id="21">
    <w:p w:rsidR="005E171C" w:rsidRPr="00887F67" w:rsidRDefault="005E171C" w:rsidP="00FA6C6A">
      <w:pPr>
        <w:pStyle w:val="FootnoteText"/>
        <w:tabs>
          <w:tab w:val="clear" w:pos="418"/>
          <w:tab w:val="right" w:pos="1195"/>
          <w:tab w:val="left" w:pos="1267"/>
          <w:tab w:val="left" w:pos="1742"/>
          <w:tab w:val="left" w:pos="2218"/>
          <w:tab w:val="left" w:pos="2693"/>
        </w:tabs>
        <w:ind w:left="1267" w:right="1267" w:hanging="432"/>
      </w:pPr>
      <w:r w:rsidRPr="00136926">
        <w:tab/>
      </w:r>
      <w:r>
        <w:rPr>
          <w:rStyle w:val="FootnoteReference"/>
        </w:rPr>
        <w:footnoteRef/>
      </w:r>
      <w:r w:rsidRPr="00136926">
        <w:tab/>
        <w:t xml:space="preserve">E/C.12/DEU/CO/5, párr. 13; A/HRC/13/30 párr. </w:t>
      </w:r>
      <w:r w:rsidRPr="00541794">
        <w:rPr>
          <w:lang w:val="en-US"/>
        </w:rPr>
        <w:t xml:space="preserve">65; CAT/C/GRC/CO/5-6, párr. </w:t>
      </w:r>
      <w:r w:rsidRPr="00933CF9">
        <w:rPr>
          <w:lang w:val="en-US"/>
        </w:rPr>
        <w:t xml:space="preserve">20; CAT/C/NOR/CO/6-7, párr. 17; CCPR/C/FIN/CO/6, </w:t>
      </w:r>
      <w:r w:rsidR="00AE6AFF">
        <w:rPr>
          <w:lang w:val="en-US"/>
        </w:rPr>
        <w:t>párr</w:t>
      </w:r>
      <w:r w:rsidRPr="00933CF9">
        <w:rPr>
          <w:lang w:val="en-US"/>
        </w:rPr>
        <w:t xml:space="preserve">. </w:t>
      </w:r>
      <w:r w:rsidRPr="00887F67">
        <w:t>10; www.achpr.org/files/sessions/</w:t>
      </w:r>
      <w:r>
        <w:br/>
      </w:r>
      <w:r w:rsidRPr="00887F67">
        <w:t>37th/mission-reports/prisons-2004/misrep_specmec_priso_southafrica_2004_eng.pdf, pág. 65.</w:t>
      </w:r>
    </w:p>
  </w:footnote>
  <w:footnote w:id="22">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rsidRPr="00887F67">
        <w:tab/>
      </w:r>
      <w:r>
        <w:rPr>
          <w:rStyle w:val="FootnoteReference"/>
        </w:rPr>
        <w:footnoteRef/>
      </w:r>
      <w:r w:rsidR="00AE6AFF">
        <w:rPr>
          <w:lang w:val="en-US"/>
        </w:rPr>
        <w:tab/>
      </w:r>
      <w:r w:rsidRPr="00541794">
        <w:rPr>
          <w:szCs w:val="18"/>
          <w:lang w:val="en-US"/>
        </w:rPr>
        <w:t xml:space="preserve">CAT/C/AUS/CO/4-5, párr. </w:t>
      </w:r>
      <w:r w:rsidRPr="00A0162A">
        <w:rPr>
          <w:szCs w:val="18"/>
        </w:rPr>
        <w:t>17.</w:t>
      </w:r>
    </w:p>
  </w:footnote>
  <w:footnote w:id="23">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68578B">
        <w:rPr>
          <w:szCs w:val="18"/>
        </w:rPr>
        <w:t xml:space="preserve">Véase el documento del </w:t>
      </w:r>
      <w:r>
        <w:rPr>
          <w:szCs w:val="18"/>
        </w:rPr>
        <w:t xml:space="preserve">Consejo de Europa </w:t>
      </w:r>
      <w:r w:rsidRPr="0068578B">
        <w:rPr>
          <w:szCs w:val="18"/>
        </w:rPr>
        <w:t xml:space="preserve">CPT/Inf (2014) 26, párr. </w:t>
      </w:r>
      <w:r w:rsidRPr="00A0162A">
        <w:rPr>
          <w:szCs w:val="18"/>
        </w:rPr>
        <w:t>73.</w:t>
      </w:r>
    </w:p>
  </w:footnote>
  <w:footnote w:id="24">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CE4A42">
        <w:rPr>
          <w:lang w:val="lv-LV"/>
        </w:rPr>
        <w:t>www.ohchr.org/EN/Issues/RuleOfLaw/Pages/Overincarceration.aspx.</w:t>
      </w:r>
      <w:r>
        <w:t xml:space="preserve"> </w:t>
      </w:r>
    </w:p>
  </w:footnote>
  <w:footnote w:id="25">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rsidRPr="00A0162A">
        <w:rPr>
          <w:szCs w:val="18"/>
          <w:lang w:val="lv-LV" w:eastAsia="lv-LV"/>
        </w:rPr>
        <w:t>A/HRC/10/21</w:t>
      </w:r>
      <w:r>
        <w:rPr>
          <w:szCs w:val="18"/>
          <w:lang w:val="lv-LV" w:eastAsia="lv-LV"/>
        </w:rPr>
        <w:t>, párr.</w:t>
      </w:r>
      <w:r w:rsidRPr="00A0162A">
        <w:rPr>
          <w:szCs w:val="18"/>
          <w:lang w:val="lv-LV" w:eastAsia="lv-LV"/>
        </w:rPr>
        <w:t xml:space="preserve"> 4</w:t>
      </w:r>
      <w:r>
        <w:rPr>
          <w:szCs w:val="18"/>
          <w:lang w:val="lv-LV" w:eastAsia="lv-LV"/>
        </w:rPr>
        <w:t>6</w:t>
      </w:r>
      <w:r w:rsidRPr="00A0162A">
        <w:rPr>
          <w:szCs w:val="18"/>
          <w:lang w:val="lv-LV" w:eastAsia="lv-LV"/>
        </w:rPr>
        <w:t>.</w:t>
      </w:r>
    </w:p>
  </w:footnote>
  <w:footnote w:id="26">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Véase el do</w:t>
      </w:r>
      <w:r w:rsidR="00AE6AFF">
        <w:t>cumento del Consejo de Europa CP</w:t>
      </w:r>
      <w:r>
        <w:t>T/Inf</w:t>
      </w:r>
      <w:r w:rsidR="00AE6AFF">
        <w:t xml:space="preserve"> </w:t>
      </w:r>
      <w:r>
        <w:t>(2015) 12, párr. 54</w:t>
      </w:r>
      <w:r w:rsidRPr="00A0162A">
        <w:rPr>
          <w:szCs w:val="18"/>
          <w:lang w:val="lv-LV" w:eastAsia="lv-LV"/>
        </w:rPr>
        <w:t>.</w:t>
      </w:r>
    </w:p>
  </w:footnote>
  <w:footnote w:id="27">
    <w:p w:rsidR="005E171C" w:rsidRPr="00E3606D"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rsidRPr="00933CF9">
        <w:t>Véa</w:t>
      </w:r>
      <w:r>
        <w:t>n</w:t>
      </w:r>
      <w:r w:rsidRPr="00933CF9">
        <w:t xml:space="preserve">se </w:t>
      </w:r>
      <w:r w:rsidRPr="00933CF9">
        <w:rPr>
          <w:bCs/>
          <w:szCs w:val="18"/>
          <w:lang w:eastAsia="en-GB"/>
        </w:rPr>
        <w:t xml:space="preserve">A/HRC/27/55, párr. </w:t>
      </w:r>
      <w:r w:rsidRPr="00695BF3">
        <w:rPr>
          <w:bCs/>
          <w:szCs w:val="18"/>
          <w:lang w:eastAsia="en-GB"/>
        </w:rPr>
        <w:t xml:space="preserve">51; </w:t>
      </w:r>
      <w:r w:rsidR="00AE6AFF">
        <w:rPr>
          <w:i/>
          <w:szCs w:val="18"/>
        </w:rPr>
        <w:t>Caesar vs</w:t>
      </w:r>
      <w:r w:rsidRPr="00695BF3">
        <w:rPr>
          <w:i/>
          <w:szCs w:val="18"/>
        </w:rPr>
        <w:t>. Trinidad y Tabago</w:t>
      </w:r>
      <w:r w:rsidRPr="00695BF3">
        <w:rPr>
          <w:szCs w:val="18"/>
        </w:rPr>
        <w:t xml:space="preserve">, </w:t>
      </w:r>
      <w:r>
        <w:rPr>
          <w:szCs w:val="18"/>
        </w:rPr>
        <w:t>s</w:t>
      </w:r>
      <w:r w:rsidRPr="00695BF3">
        <w:rPr>
          <w:szCs w:val="18"/>
        </w:rPr>
        <w:t>entencia de la Corte Interamericana de Derechos Humanos (2005), p</w:t>
      </w:r>
      <w:r>
        <w:rPr>
          <w:szCs w:val="18"/>
        </w:rPr>
        <w:t>árr</w:t>
      </w:r>
      <w:r w:rsidRPr="00695BF3">
        <w:rPr>
          <w:szCs w:val="18"/>
        </w:rPr>
        <w:t xml:space="preserve">. </w:t>
      </w:r>
      <w:r w:rsidRPr="00933CF9">
        <w:rPr>
          <w:szCs w:val="18"/>
        </w:rPr>
        <w:t>97</w:t>
      </w:r>
      <w:r w:rsidR="00AE6AFF">
        <w:rPr>
          <w:szCs w:val="18"/>
        </w:rPr>
        <w:t>;</w:t>
      </w:r>
      <w:r w:rsidRPr="00933CF9">
        <w:rPr>
          <w:szCs w:val="18"/>
        </w:rPr>
        <w:t xml:space="preserve"> y comunicaci</w:t>
      </w:r>
      <w:r>
        <w:rPr>
          <w:szCs w:val="18"/>
        </w:rPr>
        <w:t>ones</w:t>
      </w:r>
      <w:r w:rsidRPr="00933CF9">
        <w:rPr>
          <w:szCs w:val="18"/>
        </w:rPr>
        <w:t xml:space="preserve"> núms. </w:t>
      </w:r>
      <w:r w:rsidRPr="00695BF3">
        <w:rPr>
          <w:szCs w:val="18"/>
        </w:rPr>
        <w:t xml:space="preserve">105/93-128/94-130/94-152/96, </w:t>
      </w:r>
      <w:r w:rsidRPr="00695BF3">
        <w:rPr>
          <w:i/>
          <w:szCs w:val="18"/>
        </w:rPr>
        <w:t>Media Rights Agenda &amp; Constitutional Rights Project v. Nigeria</w:t>
      </w:r>
      <w:r w:rsidRPr="00695BF3">
        <w:rPr>
          <w:iCs/>
          <w:szCs w:val="18"/>
        </w:rPr>
        <w:t>,</w:t>
      </w:r>
      <w:r w:rsidRPr="00695BF3">
        <w:rPr>
          <w:szCs w:val="18"/>
        </w:rPr>
        <w:t xml:space="preserve"> </w:t>
      </w:r>
      <w:r w:rsidRPr="00695BF3">
        <w:rPr>
          <w:lang w:eastAsia="lv-LV"/>
        </w:rPr>
        <w:t xml:space="preserve">Comisión Africana para los Derechos Humanos y de los Pueblos </w:t>
      </w:r>
      <w:r w:rsidRPr="00695BF3">
        <w:rPr>
          <w:szCs w:val="18"/>
        </w:rPr>
        <w:t>(1998), p</w:t>
      </w:r>
      <w:r>
        <w:rPr>
          <w:szCs w:val="18"/>
        </w:rPr>
        <w:t>árr</w:t>
      </w:r>
      <w:r w:rsidRPr="00695BF3">
        <w:rPr>
          <w:szCs w:val="18"/>
        </w:rPr>
        <w:t xml:space="preserve">. </w:t>
      </w:r>
      <w:r w:rsidRPr="00E3606D">
        <w:rPr>
          <w:szCs w:val="18"/>
        </w:rPr>
        <w:t>91.</w:t>
      </w:r>
    </w:p>
  </w:footnote>
  <w:footnote w:id="28">
    <w:p w:rsidR="005E171C" w:rsidRPr="00E3606D" w:rsidRDefault="005E171C" w:rsidP="00FA6C6A">
      <w:pPr>
        <w:pStyle w:val="FootnoteText"/>
        <w:tabs>
          <w:tab w:val="clear" w:pos="418"/>
          <w:tab w:val="right" w:pos="1195"/>
          <w:tab w:val="left" w:pos="1267"/>
          <w:tab w:val="left" w:pos="1742"/>
          <w:tab w:val="left" w:pos="2218"/>
          <w:tab w:val="left" w:pos="2693"/>
        </w:tabs>
        <w:ind w:left="1267" w:right="1267" w:hanging="432"/>
      </w:pPr>
      <w:r w:rsidRPr="00E3606D">
        <w:tab/>
      </w:r>
      <w:r>
        <w:rPr>
          <w:rStyle w:val="FootnoteReference"/>
        </w:rPr>
        <w:footnoteRef/>
      </w:r>
      <w:r w:rsidR="00AE6AFF" w:rsidRPr="00136926">
        <w:tab/>
      </w:r>
      <w:r w:rsidRPr="00136926">
        <w:t xml:space="preserve">Véase </w:t>
      </w:r>
      <w:r w:rsidRPr="00136926">
        <w:rPr>
          <w:szCs w:val="18"/>
        </w:rPr>
        <w:t>CCPR/C/GC/35, párr</w:t>
      </w:r>
      <w:r w:rsidR="00AE6AFF" w:rsidRPr="00136926">
        <w:rPr>
          <w:szCs w:val="18"/>
        </w:rPr>
        <w:t>.</w:t>
      </w:r>
      <w:r w:rsidRPr="00136926">
        <w:rPr>
          <w:szCs w:val="18"/>
        </w:rPr>
        <w:t xml:space="preserve"> </w:t>
      </w:r>
      <w:r w:rsidRPr="00E3606D">
        <w:rPr>
          <w:szCs w:val="18"/>
        </w:rPr>
        <w:t>8.</w:t>
      </w:r>
    </w:p>
  </w:footnote>
  <w:footnote w:id="29">
    <w:p w:rsidR="005E171C" w:rsidRPr="00E3606D" w:rsidRDefault="005E171C" w:rsidP="00FA6C6A">
      <w:pPr>
        <w:pStyle w:val="FootnoteText"/>
        <w:tabs>
          <w:tab w:val="clear" w:pos="418"/>
          <w:tab w:val="right" w:pos="1195"/>
          <w:tab w:val="left" w:pos="1267"/>
          <w:tab w:val="left" w:pos="1742"/>
          <w:tab w:val="left" w:pos="2218"/>
          <w:tab w:val="left" w:pos="2693"/>
        </w:tabs>
        <w:ind w:left="1267" w:right="1267" w:hanging="432"/>
        <w:rPr>
          <w:lang w:val="fr-CH"/>
        </w:rPr>
      </w:pPr>
      <w:r w:rsidRPr="00E3606D">
        <w:tab/>
      </w:r>
      <w:r>
        <w:rPr>
          <w:rStyle w:val="FootnoteReference"/>
        </w:rPr>
        <w:footnoteRef/>
      </w:r>
      <w:r w:rsidRPr="00E3606D">
        <w:tab/>
        <w:t xml:space="preserve">Véase CAT/OP/MEX/1, párr. </w:t>
      </w:r>
      <w:r w:rsidRPr="00E3606D">
        <w:rPr>
          <w:lang w:val="fr-CH"/>
        </w:rPr>
        <w:t>177</w:t>
      </w:r>
      <w:r w:rsidRPr="00E3606D">
        <w:rPr>
          <w:szCs w:val="18"/>
          <w:lang w:val="fr-CH"/>
        </w:rPr>
        <w:t>.</w:t>
      </w:r>
    </w:p>
  </w:footnote>
  <w:footnote w:id="30">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pPr>
      <w:r w:rsidRPr="00E3606D">
        <w:rPr>
          <w:lang w:val="fr-CH"/>
        </w:rPr>
        <w:tab/>
      </w:r>
      <w:r>
        <w:rPr>
          <w:rStyle w:val="FootnoteReference"/>
        </w:rPr>
        <w:footnoteRef/>
      </w:r>
      <w:r w:rsidR="00AE6AFF">
        <w:rPr>
          <w:lang w:val="fr-CH"/>
        </w:rPr>
        <w:tab/>
      </w:r>
      <w:r w:rsidRPr="00221EB4">
        <w:rPr>
          <w:lang w:val="fr-CH"/>
        </w:rPr>
        <w:t xml:space="preserve">Véase </w:t>
      </w:r>
      <w:r w:rsidRPr="00221EB4">
        <w:rPr>
          <w:szCs w:val="18"/>
          <w:lang w:val="fr-CH"/>
        </w:rPr>
        <w:t>CCPR/C/GC/35, párr</w:t>
      </w:r>
      <w:r w:rsidR="00AE6AFF">
        <w:rPr>
          <w:szCs w:val="18"/>
          <w:lang w:val="fr-CH"/>
        </w:rPr>
        <w:t>.</w:t>
      </w:r>
      <w:r w:rsidRPr="00221EB4">
        <w:rPr>
          <w:szCs w:val="18"/>
          <w:lang w:val="fr-CH"/>
        </w:rPr>
        <w:t xml:space="preserve"> </w:t>
      </w:r>
      <w:r w:rsidRPr="00136926">
        <w:rPr>
          <w:szCs w:val="18"/>
        </w:rPr>
        <w:t>3.</w:t>
      </w:r>
    </w:p>
  </w:footnote>
  <w:footnote w:id="31">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rsidRPr="00136926">
        <w:tab/>
      </w:r>
      <w:r>
        <w:rPr>
          <w:rStyle w:val="FootnoteReference"/>
        </w:rPr>
        <w:footnoteRef/>
      </w:r>
      <w:r>
        <w:tab/>
        <w:t xml:space="preserve">Véase </w:t>
      </w:r>
      <w:r w:rsidRPr="001A4503">
        <w:rPr>
          <w:szCs w:val="18"/>
        </w:rPr>
        <w:t xml:space="preserve">E/CN.4/2006/7, </w:t>
      </w:r>
      <w:r>
        <w:rPr>
          <w:szCs w:val="18"/>
        </w:rPr>
        <w:t>párr.</w:t>
      </w:r>
      <w:r w:rsidRPr="001A4503">
        <w:rPr>
          <w:szCs w:val="18"/>
        </w:rPr>
        <w:t xml:space="preserve"> 63</w:t>
      </w:r>
      <w:r w:rsidRPr="00032CD6">
        <w:rPr>
          <w:szCs w:val="18"/>
        </w:rPr>
        <w:t>.</w:t>
      </w:r>
      <w:r>
        <w:t xml:space="preserve"> </w:t>
      </w:r>
    </w:p>
  </w:footnote>
  <w:footnote w:id="32">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rsidRPr="00933CF9">
        <w:t xml:space="preserve">Véase </w:t>
      </w:r>
      <w:r w:rsidRPr="00933CF9">
        <w:rPr>
          <w:szCs w:val="18"/>
        </w:rPr>
        <w:t>CCPR/C/GC/35, párr. 10.</w:t>
      </w:r>
    </w:p>
  </w:footnote>
  <w:footnote w:id="33">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Véase A</w:t>
      </w:r>
      <w:r w:rsidRPr="00A0162A">
        <w:rPr>
          <w:szCs w:val="18"/>
        </w:rPr>
        <w:t>/HRC/30/</w:t>
      </w:r>
      <w:r w:rsidRPr="001A4503">
        <w:rPr>
          <w:szCs w:val="18"/>
        </w:rPr>
        <w:t>37</w:t>
      </w:r>
      <w:r>
        <w:rPr>
          <w:szCs w:val="18"/>
        </w:rPr>
        <w:t xml:space="preserve">, párr. </w:t>
      </w:r>
      <w:r w:rsidRPr="00A0162A">
        <w:rPr>
          <w:szCs w:val="18"/>
        </w:rPr>
        <w:t>2</w:t>
      </w:r>
      <w:r w:rsidRPr="001A4503">
        <w:rPr>
          <w:szCs w:val="18"/>
        </w:rPr>
        <w:t>.</w:t>
      </w:r>
    </w:p>
  </w:footnote>
  <w:footnote w:id="34">
    <w:p w:rsidR="005E171C" w:rsidRPr="00E3606D"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Pr="00933CF9">
        <w:tab/>
        <w:t xml:space="preserve">Véase </w:t>
      </w:r>
      <w:r w:rsidRPr="00933CF9">
        <w:rPr>
          <w:szCs w:val="18"/>
        </w:rPr>
        <w:t>A/HRC/30/37, párrs. 22 a 25. Véa</w:t>
      </w:r>
      <w:r>
        <w:rPr>
          <w:szCs w:val="18"/>
        </w:rPr>
        <w:t>n</w:t>
      </w:r>
      <w:r w:rsidRPr="00933CF9">
        <w:rPr>
          <w:szCs w:val="18"/>
        </w:rPr>
        <w:t xml:space="preserve">se también CCPR/C/21/Rev.1/Add.11, párrs. </w:t>
      </w:r>
      <w:r w:rsidRPr="00E3606D">
        <w:rPr>
          <w:szCs w:val="18"/>
        </w:rPr>
        <w:t>11 y 16</w:t>
      </w:r>
      <w:r w:rsidR="00AE6AFF">
        <w:rPr>
          <w:szCs w:val="18"/>
        </w:rPr>
        <w:t>;</w:t>
      </w:r>
      <w:r w:rsidRPr="00E3606D">
        <w:rPr>
          <w:szCs w:val="18"/>
        </w:rPr>
        <w:t xml:space="preserve"> y CCPR/C/GC/35, párrs. 6 a 67.</w:t>
      </w:r>
    </w:p>
  </w:footnote>
  <w:footnote w:id="35">
    <w:p w:rsidR="005E171C" w:rsidRPr="00E3606D" w:rsidRDefault="005E171C" w:rsidP="00FA6C6A">
      <w:pPr>
        <w:pStyle w:val="FootnoteText"/>
        <w:tabs>
          <w:tab w:val="clear" w:pos="418"/>
          <w:tab w:val="right" w:pos="1195"/>
          <w:tab w:val="left" w:pos="1267"/>
          <w:tab w:val="left" w:pos="1742"/>
          <w:tab w:val="left" w:pos="2218"/>
          <w:tab w:val="left" w:pos="2693"/>
        </w:tabs>
        <w:ind w:left="1267" w:right="1267" w:hanging="432"/>
      </w:pPr>
      <w:r w:rsidRPr="00E3606D">
        <w:tab/>
      </w:r>
      <w:r>
        <w:rPr>
          <w:rStyle w:val="FootnoteReference"/>
        </w:rPr>
        <w:footnoteRef/>
      </w:r>
      <w:r w:rsidRPr="00E3606D">
        <w:tab/>
        <w:t xml:space="preserve">Véase </w:t>
      </w:r>
      <w:r w:rsidRPr="00E3606D">
        <w:rPr>
          <w:szCs w:val="18"/>
        </w:rPr>
        <w:t>A/HRC/30/37, directrices 4, 8 y 14.</w:t>
      </w:r>
    </w:p>
  </w:footnote>
  <w:footnote w:id="36">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pPr>
      <w:r w:rsidRPr="00E3606D">
        <w:tab/>
      </w:r>
      <w:r>
        <w:rPr>
          <w:rStyle w:val="FootnoteReference"/>
        </w:rPr>
        <w:footnoteRef/>
      </w:r>
      <w:r w:rsidRPr="00136926">
        <w:tab/>
        <w:t xml:space="preserve">Véase </w:t>
      </w:r>
      <w:r w:rsidRPr="00136926">
        <w:rPr>
          <w:szCs w:val="18"/>
        </w:rPr>
        <w:t>CAT/C/TGO/CO/2, párr. 13.</w:t>
      </w:r>
    </w:p>
  </w:footnote>
  <w:footnote w:id="37">
    <w:p w:rsidR="005E171C" w:rsidRPr="00D6095D" w:rsidRDefault="005E171C" w:rsidP="00FA6C6A">
      <w:pPr>
        <w:pStyle w:val="FootnoteText"/>
        <w:tabs>
          <w:tab w:val="clear" w:pos="418"/>
          <w:tab w:val="right" w:pos="1195"/>
          <w:tab w:val="left" w:pos="1267"/>
          <w:tab w:val="left" w:pos="1742"/>
          <w:tab w:val="left" w:pos="2218"/>
          <w:tab w:val="left" w:pos="2693"/>
        </w:tabs>
        <w:ind w:left="1267" w:right="1267" w:hanging="432"/>
      </w:pPr>
      <w:r w:rsidRPr="00136926">
        <w:tab/>
      </w:r>
      <w:r>
        <w:rPr>
          <w:rStyle w:val="FootnoteReference"/>
        </w:rPr>
        <w:footnoteRef/>
      </w:r>
      <w:r w:rsidRPr="00AE6AFF">
        <w:tab/>
        <w:t xml:space="preserve">Véase </w:t>
      </w:r>
      <w:hyperlink r:id="rId1" w:history="1">
        <w:r w:rsidRPr="00AE6AFF">
          <w:rPr>
            <w:rStyle w:val="Hyperlink"/>
            <w:szCs w:val="18"/>
          </w:rPr>
          <w:t>www.achpr.org/files/sessions/37th/mission-reports/ethiopia/misrep_specmec_priso_</w:t>
        </w:r>
        <w:r w:rsidRPr="00AE6AFF">
          <w:rPr>
            <w:rStyle w:val="Hyperlink"/>
            <w:szCs w:val="18"/>
          </w:rPr>
          <w:br/>
          <w:t>ethopia_2004_eng.pdf</w:t>
        </w:r>
      </w:hyperlink>
      <w:r w:rsidRPr="00AE6AFF">
        <w:rPr>
          <w:szCs w:val="18"/>
        </w:rPr>
        <w:t xml:space="preserve">, </w:t>
      </w:r>
      <w:r w:rsidR="00AE6AFF" w:rsidRPr="00AE6AFF">
        <w:rPr>
          <w:szCs w:val="18"/>
        </w:rPr>
        <w:t>págs</w:t>
      </w:r>
      <w:r w:rsidRPr="00AE6AFF">
        <w:rPr>
          <w:szCs w:val="18"/>
        </w:rPr>
        <w:t xml:space="preserve">. </w:t>
      </w:r>
      <w:r w:rsidRPr="00D6095D">
        <w:rPr>
          <w:szCs w:val="18"/>
        </w:rPr>
        <w:t xml:space="preserve">24 </w:t>
      </w:r>
      <w:r w:rsidR="00AE6AFF" w:rsidRPr="00D6095D">
        <w:rPr>
          <w:szCs w:val="18"/>
        </w:rPr>
        <w:t>y</w:t>
      </w:r>
      <w:r w:rsidRPr="00D6095D">
        <w:rPr>
          <w:szCs w:val="18"/>
        </w:rPr>
        <w:t xml:space="preserve"> 25.</w:t>
      </w:r>
    </w:p>
  </w:footnote>
  <w:footnote w:id="38">
    <w:p w:rsidR="005E171C" w:rsidRPr="00D6095D" w:rsidRDefault="005E171C" w:rsidP="00FA6C6A">
      <w:pPr>
        <w:pStyle w:val="FootnoteText"/>
        <w:tabs>
          <w:tab w:val="clear" w:pos="418"/>
          <w:tab w:val="right" w:pos="1195"/>
          <w:tab w:val="left" w:pos="1267"/>
          <w:tab w:val="left" w:pos="1742"/>
          <w:tab w:val="left" w:pos="2218"/>
          <w:tab w:val="left" w:pos="2693"/>
        </w:tabs>
        <w:ind w:left="1267" w:right="1267" w:hanging="432"/>
      </w:pPr>
      <w:r w:rsidRPr="00D6095D">
        <w:tab/>
      </w:r>
      <w:r>
        <w:rPr>
          <w:rStyle w:val="FootnoteReference"/>
        </w:rPr>
        <w:footnoteRef/>
      </w:r>
      <w:r w:rsidR="00AE6AFF" w:rsidRPr="00136926">
        <w:tab/>
      </w:r>
      <w:r w:rsidRPr="00136926">
        <w:t xml:space="preserve">Véase </w:t>
      </w:r>
      <w:r w:rsidRPr="00136926">
        <w:rPr>
          <w:bCs/>
          <w:szCs w:val="18"/>
          <w:lang w:eastAsia="en-GB"/>
        </w:rPr>
        <w:t xml:space="preserve">A/HRC/19/57, párr. </w:t>
      </w:r>
      <w:r w:rsidRPr="00AE6AFF">
        <w:rPr>
          <w:bCs/>
          <w:szCs w:val="18"/>
          <w:lang w:eastAsia="en-GB"/>
        </w:rPr>
        <w:t>13</w:t>
      </w:r>
      <w:r w:rsidR="00AE6AFF" w:rsidRPr="00AE6AFF">
        <w:rPr>
          <w:bCs/>
          <w:szCs w:val="18"/>
          <w:lang w:eastAsia="en-GB"/>
        </w:rPr>
        <w:t>;</w:t>
      </w:r>
      <w:r w:rsidRPr="00AE6AFF">
        <w:rPr>
          <w:bCs/>
          <w:szCs w:val="18"/>
          <w:lang w:eastAsia="en-GB"/>
        </w:rPr>
        <w:t xml:space="preserve"> y </w:t>
      </w:r>
      <w:hyperlink r:id="rId2" w:history="1">
        <w:r w:rsidRPr="001E1861">
          <w:rPr>
            <w:rStyle w:val="Hyperlink"/>
            <w:szCs w:val="18"/>
            <w:lang w:val="lv-LV" w:eastAsia="lv-LV"/>
          </w:rPr>
          <w:t>www.achpr.org/files/sessions/52nd/inter-act-reps/185/activty_</w:t>
        </w:r>
        <w:r>
          <w:rPr>
            <w:rStyle w:val="Hyperlink"/>
            <w:szCs w:val="18"/>
            <w:lang w:val="lv-LV" w:eastAsia="lv-LV"/>
          </w:rPr>
          <w:br/>
        </w:r>
        <w:r w:rsidRPr="001E1861">
          <w:rPr>
            <w:rStyle w:val="Hyperlink"/>
            <w:szCs w:val="18"/>
            <w:lang w:val="lv-LV" w:eastAsia="lv-LV"/>
          </w:rPr>
          <w:t>report_prisons_eng.pdf</w:t>
        </w:r>
      </w:hyperlink>
      <w:r>
        <w:rPr>
          <w:szCs w:val="18"/>
          <w:lang w:val="lv-LV" w:eastAsia="lv-LV"/>
        </w:rPr>
        <w:t xml:space="preserve">, </w:t>
      </w:r>
      <w:r w:rsidR="00AE6AFF" w:rsidRPr="00AE6AFF">
        <w:rPr>
          <w:szCs w:val="18"/>
        </w:rPr>
        <w:t>págs</w:t>
      </w:r>
      <w:r w:rsidRPr="00AE6AFF">
        <w:rPr>
          <w:szCs w:val="18"/>
        </w:rPr>
        <w:t xml:space="preserve">. </w:t>
      </w:r>
      <w:r w:rsidRPr="00D6095D">
        <w:rPr>
          <w:szCs w:val="18"/>
        </w:rPr>
        <w:t xml:space="preserve">21 </w:t>
      </w:r>
      <w:r w:rsidR="00AE6AFF" w:rsidRPr="00D6095D">
        <w:rPr>
          <w:szCs w:val="18"/>
        </w:rPr>
        <w:t>y</w:t>
      </w:r>
      <w:r w:rsidRPr="00D6095D">
        <w:rPr>
          <w:szCs w:val="18"/>
        </w:rPr>
        <w:t xml:space="preserve"> 22.</w:t>
      </w:r>
    </w:p>
  </w:footnote>
  <w:footnote w:id="39">
    <w:p w:rsidR="005E171C" w:rsidRPr="00F74924" w:rsidRDefault="005E171C" w:rsidP="00FA6C6A">
      <w:pPr>
        <w:pStyle w:val="FootnoteText"/>
        <w:tabs>
          <w:tab w:val="clear" w:pos="418"/>
          <w:tab w:val="right" w:pos="1195"/>
          <w:tab w:val="left" w:pos="1267"/>
          <w:tab w:val="left" w:pos="1742"/>
          <w:tab w:val="left" w:pos="2218"/>
          <w:tab w:val="left" w:pos="2693"/>
        </w:tabs>
        <w:ind w:left="1267" w:right="1267" w:hanging="432"/>
      </w:pPr>
      <w:r w:rsidRPr="00D6095D">
        <w:tab/>
      </w:r>
      <w:r>
        <w:rPr>
          <w:rStyle w:val="FootnoteReference"/>
        </w:rPr>
        <w:footnoteRef/>
      </w:r>
      <w:r w:rsidR="00AE6AFF" w:rsidRPr="00136926">
        <w:rPr>
          <w:lang w:val="en-US"/>
        </w:rPr>
        <w:tab/>
      </w:r>
      <w:r w:rsidRPr="00136926">
        <w:rPr>
          <w:lang w:val="en-US"/>
        </w:rPr>
        <w:t>Véa</w:t>
      </w:r>
      <w:r w:rsidR="00AE6AFF" w:rsidRPr="00136926">
        <w:rPr>
          <w:lang w:val="en-US"/>
        </w:rPr>
        <w:t>n</w:t>
      </w:r>
      <w:r w:rsidRPr="00136926">
        <w:rPr>
          <w:lang w:val="en-US"/>
        </w:rPr>
        <w:t xml:space="preserve">se </w:t>
      </w:r>
      <w:r w:rsidRPr="00136926">
        <w:rPr>
          <w:szCs w:val="18"/>
          <w:lang w:val="en-US"/>
        </w:rPr>
        <w:t xml:space="preserve">CCPR/C/TUR/CO/1, párr. </w:t>
      </w:r>
      <w:r w:rsidRPr="00E3606D">
        <w:rPr>
          <w:szCs w:val="18"/>
        </w:rPr>
        <w:t xml:space="preserve">17; A/HRC/19/57, párr. 63; A/HRC/10/21, párr. 45; CAT/C/54/2 párr. </w:t>
      </w:r>
      <w:r w:rsidRPr="00F74924">
        <w:rPr>
          <w:szCs w:val="18"/>
        </w:rPr>
        <w:t xml:space="preserve">91; y </w:t>
      </w:r>
      <w:hyperlink r:id="rId3" w:history="1">
        <w:r w:rsidRPr="001E1861">
          <w:rPr>
            <w:rStyle w:val="Hyperlink"/>
            <w:szCs w:val="18"/>
            <w:lang w:val="lv-LV" w:eastAsia="lv-LV"/>
          </w:rPr>
          <w:t>www.achpr.org/files/sessions/52nd/inter-act-reps/185/activty_report_prisons_eng.pdf</w:t>
        </w:r>
      </w:hyperlink>
      <w:r>
        <w:rPr>
          <w:szCs w:val="18"/>
          <w:lang w:val="lv-LV" w:eastAsia="lv-LV"/>
        </w:rPr>
        <w:t xml:space="preserve">, </w:t>
      </w:r>
      <w:r w:rsidRPr="00F74924">
        <w:rPr>
          <w:szCs w:val="18"/>
        </w:rPr>
        <w:t>pág. 10.</w:t>
      </w:r>
    </w:p>
  </w:footnote>
  <w:footnote w:id="40">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rsidRPr="00F74924">
        <w:tab/>
      </w:r>
      <w:r>
        <w:rPr>
          <w:rStyle w:val="FootnoteReference"/>
        </w:rPr>
        <w:footnoteRef/>
      </w:r>
      <w:r w:rsidR="00AE6AFF">
        <w:tab/>
      </w:r>
      <w:r>
        <w:t xml:space="preserve">Véase </w:t>
      </w:r>
      <w:r w:rsidRPr="001A4503">
        <w:rPr>
          <w:szCs w:val="18"/>
        </w:rPr>
        <w:t>E/CN.4/2006/7, p</w:t>
      </w:r>
      <w:r>
        <w:rPr>
          <w:szCs w:val="18"/>
        </w:rPr>
        <w:t>árr</w:t>
      </w:r>
      <w:r w:rsidRPr="001A4503">
        <w:rPr>
          <w:szCs w:val="18"/>
        </w:rPr>
        <w:t>. 64</w:t>
      </w:r>
      <w:r w:rsidRPr="00032CD6">
        <w:rPr>
          <w:szCs w:val="18"/>
        </w:rPr>
        <w:t>.</w:t>
      </w:r>
    </w:p>
  </w:footnote>
  <w:footnote w:id="41">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t>Véa</w:t>
      </w:r>
      <w:r w:rsidR="00AE6AFF">
        <w:t>n</w:t>
      </w:r>
      <w:r>
        <w:t xml:space="preserve">se </w:t>
      </w:r>
      <w:r w:rsidRPr="001A4503">
        <w:rPr>
          <w:szCs w:val="18"/>
        </w:rPr>
        <w:t>A/HRC/19/57, p</w:t>
      </w:r>
      <w:r>
        <w:rPr>
          <w:szCs w:val="18"/>
        </w:rPr>
        <w:t>árr</w:t>
      </w:r>
      <w:r w:rsidRPr="001A4503">
        <w:rPr>
          <w:szCs w:val="18"/>
        </w:rPr>
        <w:t>. 48</w:t>
      </w:r>
      <w:r w:rsidRPr="00032CD6">
        <w:rPr>
          <w:szCs w:val="18"/>
        </w:rPr>
        <w:t>;</w:t>
      </w:r>
      <w:r w:rsidRPr="001A4503">
        <w:rPr>
          <w:szCs w:val="18"/>
        </w:rPr>
        <w:t xml:space="preserve"> </w:t>
      </w:r>
      <w:r w:rsidRPr="00A0162A">
        <w:rPr>
          <w:szCs w:val="18"/>
          <w:lang w:val="lv-LV"/>
        </w:rPr>
        <w:t>CAT/C/54/2</w:t>
      </w:r>
      <w:r>
        <w:rPr>
          <w:szCs w:val="18"/>
          <w:lang w:val="lv-LV"/>
        </w:rPr>
        <w:t xml:space="preserve">, </w:t>
      </w:r>
      <w:r w:rsidRPr="001A4503">
        <w:rPr>
          <w:szCs w:val="18"/>
        </w:rPr>
        <w:t>p</w:t>
      </w:r>
      <w:r>
        <w:rPr>
          <w:szCs w:val="18"/>
        </w:rPr>
        <w:t>árr</w:t>
      </w:r>
      <w:r w:rsidRPr="001A4503">
        <w:rPr>
          <w:szCs w:val="18"/>
        </w:rPr>
        <w:t>.</w:t>
      </w:r>
      <w:r>
        <w:rPr>
          <w:szCs w:val="18"/>
          <w:lang w:val="lv-LV"/>
        </w:rPr>
        <w:t xml:space="preserve"> </w:t>
      </w:r>
      <w:r w:rsidRPr="00A0162A">
        <w:rPr>
          <w:szCs w:val="18"/>
          <w:lang w:val="lv-LV"/>
        </w:rPr>
        <w:t>76</w:t>
      </w:r>
      <w:r>
        <w:rPr>
          <w:szCs w:val="18"/>
          <w:lang w:val="lv-LV"/>
        </w:rPr>
        <w:t>;</w:t>
      </w:r>
      <w:r w:rsidRPr="00A0162A">
        <w:rPr>
          <w:szCs w:val="18"/>
          <w:lang w:val="lv-LV"/>
        </w:rPr>
        <w:t xml:space="preserve"> </w:t>
      </w:r>
      <w:r>
        <w:rPr>
          <w:szCs w:val="18"/>
          <w:lang w:val="lv-LV"/>
        </w:rPr>
        <w:t xml:space="preserve">y </w:t>
      </w:r>
      <w:r w:rsidRPr="007E2CF7">
        <w:rPr>
          <w:szCs w:val="18"/>
        </w:rPr>
        <w:t xml:space="preserve">CCPR/C/TUR/CO/1, </w:t>
      </w:r>
      <w:r w:rsidRPr="001A4503">
        <w:rPr>
          <w:szCs w:val="18"/>
        </w:rPr>
        <w:t>p</w:t>
      </w:r>
      <w:r>
        <w:rPr>
          <w:szCs w:val="18"/>
        </w:rPr>
        <w:t>árr</w:t>
      </w:r>
      <w:r w:rsidRPr="001A4503">
        <w:rPr>
          <w:szCs w:val="18"/>
        </w:rPr>
        <w:t>.</w:t>
      </w:r>
      <w:r w:rsidR="00AE6AFF">
        <w:rPr>
          <w:szCs w:val="18"/>
        </w:rPr>
        <w:t xml:space="preserve"> </w:t>
      </w:r>
      <w:r w:rsidRPr="001A4503">
        <w:rPr>
          <w:szCs w:val="18"/>
        </w:rPr>
        <w:t>17</w:t>
      </w:r>
      <w:r w:rsidRPr="00032CD6">
        <w:rPr>
          <w:szCs w:val="18"/>
        </w:rPr>
        <w:t>.</w:t>
      </w:r>
    </w:p>
  </w:footnote>
  <w:footnote w:id="42">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Pr="00E3606D">
        <w:tab/>
        <w:t xml:space="preserve">Véase </w:t>
      </w:r>
      <w:hyperlink r:id="rId4" w:history="1">
        <w:r w:rsidRPr="00E3606D">
          <w:rPr>
            <w:rStyle w:val="Hyperlink"/>
          </w:rPr>
          <w:t>www.achpr.org/files/sessions/12th-eo/mission-reports/promotion_mission-2012/mission_</w:t>
        </w:r>
        <w:r w:rsidRPr="00E3606D">
          <w:rPr>
            <w:rStyle w:val="Hyperlink"/>
          </w:rPr>
          <w:br/>
          <w:t>report_mauritania_cpta_eng.pdf</w:t>
        </w:r>
      </w:hyperlink>
      <w:r w:rsidRPr="00E3606D">
        <w:t xml:space="preserve">, párr. 38. </w:t>
      </w:r>
      <w:r w:rsidRPr="007E2CF7">
        <w:t>Véase también el documento del Consejo de Europa CPT/Inf (2014) 31, párr. 56.</w:t>
      </w:r>
    </w:p>
  </w:footnote>
  <w:footnote w:id="43">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rsidRPr="00933CF9">
        <w:t xml:space="preserve">Véanse </w:t>
      </w:r>
      <w:r w:rsidRPr="00933CF9">
        <w:rPr>
          <w:szCs w:val="18"/>
        </w:rPr>
        <w:t xml:space="preserve">CAT/C/TGO/CO/2, párr. </w:t>
      </w:r>
      <w:r w:rsidRPr="007E2CF7">
        <w:rPr>
          <w:szCs w:val="18"/>
        </w:rPr>
        <w:t>12</w:t>
      </w:r>
      <w:r w:rsidR="00AE6AFF">
        <w:rPr>
          <w:szCs w:val="18"/>
        </w:rPr>
        <w:t>;</w:t>
      </w:r>
      <w:r w:rsidRPr="007E2CF7">
        <w:rPr>
          <w:szCs w:val="18"/>
        </w:rPr>
        <w:t xml:space="preserve"> y CAT/OP/MLI/1, p</w:t>
      </w:r>
      <w:r>
        <w:rPr>
          <w:szCs w:val="18"/>
        </w:rPr>
        <w:t>árr</w:t>
      </w:r>
      <w:r w:rsidRPr="007E2CF7">
        <w:rPr>
          <w:szCs w:val="18"/>
        </w:rPr>
        <w:t xml:space="preserve">. </w:t>
      </w:r>
      <w:r w:rsidRPr="00A0162A">
        <w:rPr>
          <w:szCs w:val="18"/>
        </w:rPr>
        <w:t>29.</w:t>
      </w:r>
    </w:p>
  </w:footnote>
  <w:footnote w:id="44">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tab/>
      </w:r>
      <w:r>
        <w:rPr>
          <w:rStyle w:val="FootnoteReference"/>
        </w:rPr>
        <w:footnoteRef/>
      </w:r>
      <w:r w:rsidR="00AE6AFF">
        <w:tab/>
      </w:r>
      <w:r w:rsidRPr="007E2CF7">
        <w:t>Véa</w:t>
      </w:r>
      <w:r>
        <w:t>n</w:t>
      </w:r>
      <w:r w:rsidRPr="007E2CF7">
        <w:t xml:space="preserve">se </w:t>
      </w:r>
      <w:r w:rsidRPr="007E2CF7">
        <w:rPr>
          <w:szCs w:val="18"/>
        </w:rPr>
        <w:t xml:space="preserve">CAT/C/46/2, </w:t>
      </w:r>
      <w:r>
        <w:rPr>
          <w:szCs w:val="18"/>
        </w:rPr>
        <w:t>párr.</w:t>
      </w:r>
      <w:r w:rsidRPr="007E2CF7">
        <w:rPr>
          <w:szCs w:val="18"/>
        </w:rPr>
        <w:t xml:space="preserve"> 52</w:t>
      </w:r>
      <w:r w:rsidR="00AE6AFF">
        <w:rPr>
          <w:szCs w:val="18"/>
        </w:rPr>
        <w:t>;</w:t>
      </w:r>
      <w:r w:rsidRPr="007E2CF7">
        <w:rPr>
          <w:szCs w:val="18"/>
        </w:rPr>
        <w:t xml:space="preserve"> y CAT/C/GTM/CO/5-6, </w:t>
      </w:r>
      <w:r>
        <w:rPr>
          <w:szCs w:val="18"/>
        </w:rPr>
        <w:t xml:space="preserve">párr. </w:t>
      </w:r>
      <w:r w:rsidRPr="00136926">
        <w:rPr>
          <w:szCs w:val="18"/>
          <w:lang w:val="en-US"/>
        </w:rPr>
        <w:t>17.</w:t>
      </w:r>
    </w:p>
  </w:footnote>
  <w:footnote w:id="45">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rsidRPr="00136926">
        <w:rPr>
          <w:lang w:val="en-US"/>
        </w:rPr>
        <w:tab/>
      </w:r>
      <w:r>
        <w:rPr>
          <w:rStyle w:val="FootnoteReference"/>
        </w:rPr>
        <w:footnoteRef/>
      </w:r>
      <w:r w:rsidRPr="00136926">
        <w:rPr>
          <w:lang w:val="en-US"/>
        </w:rPr>
        <w:tab/>
        <w:t xml:space="preserve">Véanse </w:t>
      </w:r>
      <w:r w:rsidRPr="00136926">
        <w:rPr>
          <w:szCs w:val="18"/>
          <w:lang w:val="en-US"/>
        </w:rPr>
        <w:t xml:space="preserve">CAT/C/RWA/CO/1, párr. </w:t>
      </w:r>
      <w:r w:rsidRPr="00136926">
        <w:rPr>
          <w:szCs w:val="18"/>
        </w:rPr>
        <w:t>19</w:t>
      </w:r>
      <w:r w:rsidR="00AE6AFF" w:rsidRPr="00136926">
        <w:rPr>
          <w:szCs w:val="18"/>
        </w:rPr>
        <w:t>;</w:t>
      </w:r>
      <w:r w:rsidRPr="00136926">
        <w:rPr>
          <w:szCs w:val="18"/>
        </w:rPr>
        <w:t xml:space="preserve"> </w:t>
      </w:r>
      <w:r w:rsidR="00AE6AFF" w:rsidRPr="00136926">
        <w:rPr>
          <w:szCs w:val="18"/>
        </w:rPr>
        <w:t>y</w:t>
      </w:r>
      <w:r w:rsidRPr="00136926">
        <w:rPr>
          <w:szCs w:val="18"/>
        </w:rPr>
        <w:t xml:space="preserve"> CAT/OP/PRY/1, párr. </w:t>
      </w:r>
      <w:r w:rsidRPr="00933CF9">
        <w:rPr>
          <w:szCs w:val="18"/>
        </w:rPr>
        <w:t>46.</w:t>
      </w:r>
    </w:p>
  </w:footnote>
  <w:footnote w:id="46">
    <w:p w:rsidR="005E171C" w:rsidRPr="00613C0B"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rsidRPr="00933CF9">
        <w:t xml:space="preserve">Véase A/HRC/27/48, párrs. </w:t>
      </w:r>
      <w:r w:rsidRPr="00613C0B">
        <w:t>78 y 79</w:t>
      </w:r>
      <w:r w:rsidR="00AE6AFF">
        <w:t>.</w:t>
      </w:r>
    </w:p>
  </w:footnote>
  <w:footnote w:id="47">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rsidRPr="00613C0B">
        <w:tab/>
      </w:r>
      <w:r>
        <w:rPr>
          <w:rStyle w:val="FootnoteReference"/>
        </w:rPr>
        <w:footnoteRef/>
      </w:r>
      <w:r w:rsidR="00AE6AFF">
        <w:tab/>
      </w:r>
      <w:r w:rsidRPr="005E171C">
        <w:t xml:space="preserve">Véanse A/HRC/27/48, </w:t>
      </w:r>
      <w:r w:rsidRPr="005E171C">
        <w:rPr>
          <w:szCs w:val="18"/>
        </w:rPr>
        <w:t xml:space="preserve">párr. </w:t>
      </w:r>
      <w:r w:rsidRPr="005E171C">
        <w:t xml:space="preserve">75; A/HRC/4/25/Add.3, </w:t>
      </w:r>
      <w:r w:rsidRPr="005E171C">
        <w:rPr>
          <w:szCs w:val="18"/>
        </w:rPr>
        <w:t>párr.</w:t>
      </w:r>
      <w:r w:rsidRPr="005E171C">
        <w:t xml:space="preserve"> </w:t>
      </w:r>
      <w:r w:rsidRPr="00200B6A">
        <w:t xml:space="preserve">7 f); y CAT/OP/BEN/1, </w:t>
      </w:r>
      <w:r w:rsidRPr="00200B6A">
        <w:rPr>
          <w:szCs w:val="18"/>
        </w:rPr>
        <w:t>párr.</w:t>
      </w:r>
      <w:r w:rsidRPr="00200B6A">
        <w:t xml:space="preserve"> </w:t>
      </w:r>
      <w:r w:rsidRPr="00933CF9">
        <w:t>151.</w:t>
      </w:r>
    </w:p>
  </w:footnote>
  <w:footnote w:id="48">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rsidR="00820633">
        <w:t>Véa</w:t>
      </w:r>
      <w:r>
        <w:t xml:space="preserve">se el documento del Consejo de Europa </w:t>
      </w:r>
      <w:r w:rsidRPr="00A0162A">
        <w:rPr>
          <w:szCs w:val="18"/>
        </w:rPr>
        <w:t>CPT/Inf (2015) 12</w:t>
      </w:r>
      <w:r>
        <w:rPr>
          <w:szCs w:val="18"/>
        </w:rPr>
        <w:t xml:space="preserve">, párr. </w:t>
      </w:r>
      <w:r w:rsidRPr="00A0162A">
        <w:rPr>
          <w:szCs w:val="18"/>
        </w:rPr>
        <w:t>54</w:t>
      </w:r>
      <w:r w:rsidRPr="00A34A90">
        <w:rPr>
          <w:szCs w:val="18"/>
        </w:rPr>
        <w:t>.</w:t>
      </w:r>
    </w:p>
  </w:footnote>
  <w:footnote w:id="49">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00AE6AFF">
        <w:tab/>
      </w:r>
      <w:r w:rsidRPr="008A51FE">
        <w:t xml:space="preserve">Véanse </w:t>
      </w:r>
      <w:r w:rsidRPr="00E555B7">
        <w:rPr>
          <w:iCs/>
          <w:szCs w:val="18"/>
          <w:lang w:val="lv-LV" w:eastAsia="lv-LV"/>
        </w:rPr>
        <w:t>www.achpr.org/files/sessions/37th/mission-reports/prisons-2004/misrep_specmec_</w:t>
      </w:r>
      <w:r>
        <w:rPr>
          <w:iCs/>
          <w:szCs w:val="18"/>
          <w:lang w:val="lv-LV" w:eastAsia="lv-LV"/>
        </w:rPr>
        <w:br/>
      </w:r>
      <w:r w:rsidRPr="00E555B7">
        <w:rPr>
          <w:iCs/>
          <w:szCs w:val="18"/>
          <w:lang w:val="lv-LV" w:eastAsia="lv-LV"/>
        </w:rPr>
        <w:t>priso_southafrica_2004_eng.pdf</w:t>
      </w:r>
      <w:r>
        <w:rPr>
          <w:iCs/>
          <w:szCs w:val="18"/>
          <w:lang w:val="lv-LV" w:eastAsia="lv-LV"/>
        </w:rPr>
        <w:t>,</w:t>
      </w:r>
      <w:r w:rsidRPr="008A51FE">
        <w:rPr>
          <w:szCs w:val="18"/>
        </w:rPr>
        <w:t xml:space="preserve"> p</w:t>
      </w:r>
      <w:r w:rsidR="00AE6AFF">
        <w:rPr>
          <w:szCs w:val="18"/>
        </w:rPr>
        <w:t>ág</w:t>
      </w:r>
      <w:r w:rsidRPr="008A51FE">
        <w:rPr>
          <w:szCs w:val="18"/>
        </w:rPr>
        <w:t xml:space="preserve">. 53, y </w:t>
      </w:r>
      <w:r>
        <w:rPr>
          <w:i/>
          <w:color w:val="000000"/>
          <w:szCs w:val="18"/>
          <w:lang w:val="lv-LV" w:eastAsia="lv-LV"/>
        </w:rPr>
        <w:t xml:space="preserve">Neptune </w:t>
      </w:r>
      <w:r w:rsidR="00AE6AFF">
        <w:rPr>
          <w:i/>
          <w:color w:val="000000"/>
          <w:szCs w:val="18"/>
          <w:lang w:val="lv-LV" w:eastAsia="lv-LV"/>
        </w:rPr>
        <w:t>vs</w:t>
      </w:r>
      <w:r w:rsidRPr="003C4FE1">
        <w:rPr>
          <w:i/>
          <w:color w:val="000000"/>
          <w:szCs w:val="18"/>
          <w:lang w:val="lv-LV" w:eastAsia="lv-LV"/>
        </w:rPr>
        <w:t>. Hait</w:t>
      </w:r>
      <w:r w:rsidR="00AE6AFF">
        <w:rPr>
          <w:i/>
          <w:color w:val="000000"/>
          <w:szCs w:val="18"/>
          <w:lang w:val="lv-LV" w:eastAsia="lv-LV"/>
        </w:rPr>
        <w:t>í</w:t>
      </w:r>
      <w:r w:rsidRPr="00A0162A">
        <w:rPr>
          <w:color w:val="000000"/>
          <w:szCs w:val="18"/>
          <w:lang w:val="lv-LV" w:eastAsia="lv-LV"/>
        </w:rPr>
        <w:t xml:space="preserve">, </w:t>
      </w:r>
      <w:r>
        <w:rPr>
          <w:color w:val="000000"/>
          <w:szCs w:val="18"/>
          <w:lang w:val="lv-LV" w:eastAsia="lv-LV"/>
        </w:rPr>
        <w:t>s</w:t>
      </w:r>
      <w:r w:rsidRPr="008A51FE">
        <w:rPr>
          <w:szCs w:val="18"/>
        </w:rPr>
        <w:t xml:space="preserve">entencia de la Corte Interamericana de Derechos Humanos </w:t>
      </w:r>
      <w:r w:rsidRPr="00A0162A">
        <w:rPr>
          <w:color w:val="000000"/>
          <w:szCs w:val="18"/>
          <w:lang w:val="lv-LV" w:eastAsia="lv-LV"/>
        </w:rPr>
        <w:t>(2008)</w:t>
      </w:r>
      <w:r>
        <w:rPr>
          <w:color w:val="000000"/>
          <w:szCs w:val="18"/>
          <w:lang w:val="lv-LV" w:eastAsia="lv-LV"/>
        </w:rPr>
        <w:t xml:space="preserve">, párr. </w:t>
      </w:r>
      <w:r w:rsidRPr="00A0162A">
        <w:rPr>
          <w:color w:val="000000"/>
          <w:szCs w:val="18"/>
          <w:lang w:val="lv-LV" w:eastAsia="lv-LV"/>
        </w:rPr>
        <w:t>137</w:t>
      </w:r>
      <w:r>
        <w:rPr>
          <w:color w:val="000000"/>
          <w:szCs w:val="18"/>
          <w:lang w:val="lv-LV" w:eastAsia="lv-LV"/>
        </w:rPr>
        <w:t>;</w:t>
      </w:r>
      <w:r w:rsidRPr="00A0162A">
        <w:rPr>
          <w:color w:val="000000"/>
          <w:szCs w:val="18"/>
          <w:lang w:val="lv-LV" w:eastAsia="lv-LV"/>
        </w:rPr>
        <w:t xml:space="preserve"> </w:t>
      </w:r>
      <w:r w:rsidRPr="008A51FE">
        <w:rPr>
          <w:szCs w:val="18"/>
          <w:lang w:val="lv-LV"/>
        </w:rPr>
        <w:t>CPT/Inf (2015) 12</w:t>
      </w:r>
      <w:r w:rsidRPr="008A51FE">
        <w:rPr>
          <w:szCs w:val="18"/>
          <w:lang w:val="lv-LV" w:eastAsia="en-GB"/>
        </w:rPr>
        <w:t xml:space="preserve">, párr. 106. </w:t>
      </w:r>
      <w:r w:rsidRPr="008A51FE">
        <w:rPr>
          <w:szCs w:val="18"/>
          <w:lang w:val="lv-LV"/>
        </w:rPr>
        <w:t>V</w:t>
      </w:r>
      <w:r>
        <w:rPr>
          <w:szCs w:val="18"/>
          <w:lang w:val="lv-LV"/>
        </w:rPr>
        <w:t>éase también el documento del Consejo de Europa</w:t>
      </w:r>
      <w:r w:rsidRPr="008A51FE">
        <w:rPr>
          <w:szCs w:val="18"/>
          <w:lang w:val="lv-LV"/>
        </w:rPr>
        <w:t xml:space="preserve"> CPT/Inf (2014) 26, p</w:t>
      </w:r>
      <w:r>
        <w:rPr>
          <w:szCs w:val="18"/>
          <w:lang w:val="lv-LV"/>
        </w:rPr>
        <w:t>árr. 110</w:t>
      </w:r>
      <w:r w:rsidR="00AE6AFF">
        <w:rPr>
          <w:szCs w:val="18"/>
          <w:lang w:val="lv-LV"/>
        </w:rPr>
        <w:t>;</w:t>
      </w:r>
      <w:r w:rsidRPr="008A51FE">
        <w:rPr>
          <w:szCs w:val="18"/>
          <w:lang w:val="lv-LV"/>
        </w:rPr>
        <w:t xml:space="preserve"> CAT/C/BGR/CO/4-5, p</w:t>
      </w:r>
      <w:r>
        <w:rPr>
          <w:szCs w:val="18"/>
          <w:lang w:val="lv-LV"/>
        </w:rPr>
        <w:t>árr</w:t>
      </w:r>
      <w:r w:rsidRPr="008A51FE">
        <w:rPr>
          <w:szCs w:val="18"/>
          <w:lang w:val="lv-LV"/>
        </w:rPr>
        <w:t>. 23</w:t>
      </w:r>
      <w:r w:rsidR="00AE6AFF">
        <w:rPr>
          <w:szCs w:val="18"/>
          <w:lang w:val="lv-LV"/>
        </w:rPr>
        <w:t>;</w:t>
      </w:r>
      <w:r w:rsidRPr="008A51FE">
        <w:rPr>
          <w:szCs w:val="18"/>
          <w:lang w:val="lv-LV"/>
        </w:rPr>
        <w:t xml:space="preserve"> CAT/C/GTM/CO/5-6, p</w:t>
      </w:r>
      <w:r>
        <w:rPr>
          <w:szCs w:val="18"/>
          <w:lang w:val="lv-LV"/>
        </w:rPr>
        <w:t>árr</w:t>
      </w:r>
      <w:r w:rsidR="00AE6AFF">
        <w:rPr>
          <w:szCs w:val="18"/>
          <w:lang w:val="lv-LV"/>
        </w:rPr>
        <w:t>. 18, CAT/C/MEX/CO/</w:t>
      </w:r>
      <w:r w:rsidRPr="008A51FE">
        <w:rPr>
          <w:szCs w:val="18"/>
          <w:lang w:val="lv-LV"/>
        </w:rPr>
        <w:t>5-6, p</w:t>
      </w:r>
      <w:r>
        <w:rPr>
          <w:szCs w:val="18"/>
          <w:lang w:val="lv-LV"/>
        </w:rPr>
        <w:t>árr</w:t>
      </w:r>
      <w:r w:rsidRPr="008A51FE">
        <w:rPr>
          <w:szCs w:val="18"/>
          <w:lang w:val="lv-LV"/>
        </w:rPr>
        <w:t>. 19</w:t>
      </w:r>
      <w:r>
        <w:rPr>
          <w:szCs w:val="18"/>
          <w:lang w:val="lv-LV"/>
        </w:rPr>
        <w:t>,</w:t>
      </w:r>
      <w:r w:rsidRPr="008A51FE">
        <w:rPr>
          <w:szCs w:val="18"/>
          <w:lang w:val="lv-LV"/>
        </w:rPr>
        <w:t xml:space="preserve"> CCPR/C/BOL/CO/3, p</w:t>
      </w:r>
      <w:r>
        <w:rPr>
          <w:szCs w:val="18"/>
          <w:lang w:val="lv-LV"/>
        </w:rPr>
        <w:t>árr</w:t>
      </w:r>
      <w:r w:rsidR="00AE6AFF">
        <w:rPr>
          <w:szCs w:val="18"/>
          <w:lang w:val="lv-LV"/>
        </w:rPr>
        <w:t>. </w:t>
      </w:r>
      <w:r w:rsidRPr="008A51FE">
        <w:rPr>
          <w:szCs w:val="18"/>
          <w:lang w:val="lv-LV"/>
        </w:rPr>
        <w:t>20</w:t>
      </w:r>
      <w:r w:rsidR="00AE6AFF">
        <w:rPr>
          <w:szCs w:val="18"/>
          <w:lang w:val="lv-LV"/>
        </w:rPr>
        <w:t>;</w:t>
      </w:r>
      <w:r w:rsidRPr="008A51FE">
        <w:rPr>
          <w:szCs w:val="18"/>
          <w:lang w:val="lv-LV"/>
        </w:rPr>
        <w:t xml:space="preserve"> </w:t>
      </w:r>
      <w:r>
        <w:rPr>
          <w:szCs w:val="18"/>
          <w:lang w:val="lv-LV"/>
        </w:rPr>
        <w:t>y</w:t>
      </w:r>
      <w:r w:rsidR="00AE6AFF">
        <w:rPr>
          <w:szCs w:val="18"/>
          <w:lang w:val="lv-LV"/>
        </w:rPr>
        <w:t xml:space="preserve"> </w:t>
      </w:r>
      <w:r w:rsidRPr="008A51FE">
        <w:rPr>
          <w:szCs w:val="18"/>
          <w:lang w:val="lv-LV"/>
        </w:rPr>
        <w:t>CAT/OP/</w:t>
      </w:r>
      <w:r w:rsidRPr="00933CF9">
        <w:rPr>
          <w:szCs w:val="18"/>
          <w:lang w:val="lv-LV"/>
        </w:rPr>
        <w:t xml:space="preserve">MEX/1, párr. </w:t>
      </w:r>
      <w:r w:rsidRPr="00933CF9">
        <w:rPr>
          <w:szCs w:val="18"/>
        </w:rPr>
        <w:t>178.</w:t>
      </w:r>
    </w:p>
  </w:footnote>
  <w:footnote w:id="50">
    <w:p w:rsidR="005E171C" w:rsidRPr="00FA1E9A" w:rsidRDefault="005E171C" w:rsidP="00FA6C6A">
      <w:pPr>
        <w:pStyle w:val="FootnoteText"/>
        <w:tabs>
          <w:tab w:val="clear" w:pos="418"/>
          <w:tab w:val="right" w:pos="1195"/>
          <w:tab w:val="left" w:pos="1267"/>
          <w:tab w:val="left" w:pos="1742"/>
          <w:tab w:val="left" w:pos="2218"/>
          <w:tab w:val="left" w:pos="2693"/>
        </w:tabs>
        <w:ind w:left="1267" w:right="1267" w:hanging="432"/>
      </w:pPr>
      <w:r w:rsidRPr="00933CF9">
        <w:tab/>
      </w:r>
      <w:r>
        <w:rPr>
          <w:rStyle w:val="FootnoteReference"/>
        </w:rPr>
        <w:footnoteRef/>
      </w:r>
      <w:r w:rsidR="00AE6AFF">
        <w:tab/>
      </w:r>
      <w:r>
        <w:t xml:space="preserve">Véanse el documento del Consejo de Europa </w:t>
      </w:r>
      <w:r w:rsidRPr="00A0162A">
        <w:rPr>
          <w:szCs w:val="18"/>
        </w:rPr>
        <w:t>CPT/Inf (2014) 31</w:t>
      </w:r>
      <w:r>
        <w:rPr>
          <w:szCs w:val="18"/>
        </w:rPr>
        <w:t xml:space="preserve">, párr. </w:t>
      </w:r>
      <w:r w:rsidRPr="00FA1E9A">
        <w:rPr>
          <w:szCs w:val="18"/>
        </w:rPr>
        <w:t>56</w:t>
      </w:r>
      <w:r w:rsidR="00AE6AFF">
        <w:rPr>
          <w:szCs w:val="18"/>
        </w:rPr>
        <w:t>;</w:t>
      </w:r>
      <w:r w:rsidRPr="00FA1E9A">
        <w:rPr>
          <w:szCs w:val="18"/>
        </w:rPr>
        <w:t xml:space="preserve"> A/HRC/25/60/Add.1, </w:t>
      </w:r>
      <w:r w:rsidR="00AE6AFF">
        <w:rPr>
          <w:szCs w:val="18"/>
        </w:rPr>
        <w:t>párr</w:t>
      </w:r>
      <w:r w:rsidRPr="00FA1E9A">
        <w:rPr>
          <w:szCs w:val="18"/>
        </w:rPr>
        <w:t>. 19</w:t>
      </w:r>
      <w:r w:rsidR="00AE6AFF">
        <w:rPr>
          <w:szCs w:val="18"/>
        </w:rPr>
        <w:t>;</w:t>
      </w:r>
      <w:r w:rsidRPr="00FA1E9A">
        <w:rPr>
          <w:szCs w:val="18"/>
        </w:rPr>
        <w:t xml:space="preserve"> y CAT/OP/BEN/1, </w:t>
      </w:r>
      <w:r w:rsidR="00AE6AFF">
        <w:rPr>
          <w:szCs w:val="18"/>
        </w:rPr>
        <w:t>párr</w:t>
      </w:r>
      <w:r w:rsidRPr="00FA1E9A">
        <w:rPr>
          <w:szCs w:val="18"/>
        </w:rPr>
        <w:t>. 210.</w:t>
      </w:r>
    </w:p>
  </w:footnote>
  <w:footnote w:id="51">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pPr>
      <w:r w:rsidRPr="00FA1E9A">
        <w:tab/>
      </w:r>
      <w:r>
        <w:rPr>
          <w:rStyle w:val="FootnoteReference"/>
        </w:rPr>
        <w:footnoteRef/>
      </w:r>
      <w:r w:rsidR="00AE6AFF">
        <w:tab/>
      </w:r>
      <w:r w:rsidRPr="00FA1E9A">
        <w:t xml:space="preserve">Véase </w:t>
      </w:r>
      <w:r w:rsidRPr="00FA1E9A">
        <w:rPr>
          <w:szCs w:val="18"/>
        </w:rPr>
        <w:t xml:space="preserve">CAT/OP/MLI/1, párr. </w:t>
      </w:r>
      <w:r w:rsidRPr="00136926">
        <w:rPr>
          <w:szCs w:val="18"/>
        </w:rPr>
        <w:t>49.</w:t>
      </w:r>
    </w:p>
  </w:footnote>
  <w:footnote w:id="52">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rsidRPr="00136926">
        <w:tab/>
      </w:r>
      <w:r>
        <w:rPr>
          <w:rStyle w:val="FootnoteReference"/>
        </w:rPr>
        <w:footnoteRef/>
      </w:r>
      <w:r w:rsidR="00AE6AFF" w:rsidRPr="00136926">
        <w:tab/>
      </w:r>
      <w:r w:rsidRPr="00136926">
        <w:t xml:space="preserve">Véanse </w:t>
      </w:r>
      <w:r w:rsidRPr="00136926">
        <w:rPr>
          <w:szCs w:val="18"/>
        </w:rPr>
        <w:t xml:space="preserve">CAT/OP/MEX/1, párr. </w:t>
      </w:r>
      <w:r w:rsidRPr="008A51FE">
        <w:rPr>
          <w:szCs w:val="18"/>
          <w:lang w:val="en-US"/>
        </w:rPr>
        <w:t xml:space="preserve">166; CAT/C/BGR/CO/4-5, párr. </w:t>
      </w:r>
      <w:r w:rsidRPr="00B31ABE">
        <w:rPr>
          <w:szCs w:val="18"/>
        </w:rPr>
        <w:t>23</w:t>
      </w:r>
      <w:r w:rsidR="00AE6AFF">
        <w:rPr>
          <w:szCs w:val="18"/>
        </w:rPr>
        <w:t>;</w:t>
      </w:r>
      <w:r w:rsidRPr="00B31ABE">
        <w:rPr>
          <w:szCs w:val="18"/>
        </w:rPr>
        <w:t xml:space="preserve"> y el documento del Consejo de Europa CPT/Inf (2015) 12, párr. </w:t>
      </w:r>
      <w:r w:rsidRPr="00933CF9">
        <w:rPr>
          <w:szCs w:val="18"/>
        </w:rPr>
        <w:t>54.</w:t>
      </w:r>
    </w:p>
  </w:footnote>
  <w:footnote w:id="53">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Véanse </w:t>
      </w:r>
      <w:r w:rsidRPr="00A0162A">
        <w:rPr>
          <w:szCs w:val="18"/>
        </w:rPr>
        <w:t>CAT/C/BOL/CO/2</w:t>
      </w:r>
      <w:r>
        <w:rPr>
          <w:szCs w:val="18"/>
        </w:rPr>
        <w:t xml:space="preserve">, párr. </w:t>
      </w:r>
      <w:r w:rsidRPr="00E2581F">
        <w:rPr>
          <w:szCs w:val="18"/>
        </w:rPr>
        <w:t>18</w:t>
      </w:r>
      <w:r w:rsidR="00AE6AFF">
        <w:rPr>
          <w:szCs w:val="18"/>
        </w:rPr>
        <w:t>;</w:t>
      </w:r>
      <w:r w:rsidRPr="00E2581F">
        <w:rPr>
          <w:szCs w:val="18"/>
        </w:rPr>
        <w:t xml:space="preserve"> y CAT/C/MAR/CO/4, </w:t>
      </w:r>
      <w:r>
        <w:rPr>
          <w:szCs w:val="18"/>
        </w:rPr>
        <w:t>párr</w:t>
      </w:r>
      <w:r w:rsidRPr="00E2581F">
        <w:rPr>
          <w:szCs w:val="18"/>
        </w:rPr>
        <w:t xml:space="preserve">. </w:t>
      </w:r>
      <w:r w:rsidRPr="00A0162A">
        <w:rPr>
          <w:szCs w:val="18"/>
        </w:rPr>
        <w:t>19.</w:t>
      </w:r>
      <w:r>
        <w:t xml:space="preserve"> </w:t>
      </w:r>
    </w:p>
  </w:footnote>
  <w:footnote w:id="54">
    <w:p w:rsidR="005E171C" w:rsidRDefault="005E171C" w:rsidP="00B31ABE">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Véase </w:t>
      </w:r>
      <w:r w:rsidRPr="0048064A">
        <w:rPr>
          <w:i/>
        </w:rPr>
        <w:t xml:space="preserve">Pacheco Teruel y otros </w:t>
      </w:r>
      <w:r w:rsidR="00AE6AFF">
        <w:rPr>
          <w:i/>
        </w:rPr>
        <w:t>vs</w:t>
      </w:r>
      <w:r w:rsidRPr="0048064A">
        <w:rPr>
          <w:i/>
        </w:rPr>
        <w:t>. Honduras</w:t>
      </w:r>
      <w:r>
        <w:t>, sentencia de la Corte Interamericana de Derechos Humanos (201</w:t>
      </w:r>
      <w:r w:rsidR="00AE6AFF">
        <w:t>2</w:t>
      </w:r>
      <w:r>
        <w:t xml:space="preserve">), párr. 96. </w:t>
      </w:r>
      <w:r w:rsidR="00820633" w:rsidRPr="002566F2">
        <w:rPr>
          <w:spacing w:val="3"/>
        </w:rPr>
        <w:t>Véanse</w:t>
      </w:r>
      <w:r w:rsidRPr="002566F2">
        <w:rPr>
          <w:spacing w:val="3"/>
        </w:rPr>
        <w:t xml:space="preserve"> también el documento del Consejo de Europa CPT/Inf (2014) 26</w:t>
      </w:r>
      <w:r>
        <w:t>, párr. 102</w:t>
      </w:r>
      <w:r w:rsidR="002566F2">
        <w:t>;</w:t>
      </w:r>
      <w:r>
        <w:t xml:space="preserve"> y CAT/OP/MEX/1, párr. 176.</w:t>
      </w:r>
    </w:p>
  </w:footnote>
  <w:footnote w:id="55">
    <w:p w:rsidR="005E171C" w:rsidRDefault="005E171C" w:rsidP="0048064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Véase </w:t>
      </w:r>
      <w:r w:rsidRPr="0048064A">
        <w:rPr>
          <w:i/>
        </w:rPr>
        <w:t xml:space="preserve">Pacheco Teruel y otros </w:t>
      </w:r>
      <w:r w:rsidR="002566F2">
        <w:rPr>
          <w:i/>
        </w:rPr>
        <w:t>vs</w:t>
      </w:r>
      <w:r w:rsidRPr="0048064A">
        <w:rPr>
          <w:i/>
        </w:rPr>
        <w:t>. Honduras</w:t>
      </w:r>
      <w:r>
        <w:t>, sentencia de la Corte Interamericana de Derechos Humanos (2012), párr. 66</w:t>
      </w:r>
      <w:r w:rsidR="002566F2">
        <w:t>.</w:t>
      </w:r>
    </w:p>
  </w:footnote>
  <w:footnote w:id="56">
    <w:p w:rsidR="005E171C" w:rsidRDefault="005E171C" w:rsidP="0048064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Véase </w:t>
      </w:r>
      <w:r w:rsidRPr="00A0162A">
        <w:rPr>
          <w:szCs w:val="18"/>
        </w:rPr>
        <w:t>CAT/OP/</w:t>
      </w:r>
      <w:r w:rsidRPr="001A4503">
        <w:rPr>
          <w:szCs w:val="18"/>
        </w:rPr>
        <w:t>BRA/1</w:t>
      </w:r>
      <w:r>
        <w:rPr>
          <w:szCs w:val="18"/>
        </w:rPr>
        <w:t>, párr. 75.</w:t>
      </w:r>
    </w:p>
  </w:footnote>
  <w:footnote w:id="57">
    <w:p w:rsidR="005E171C" w:rsidRPr="00FA1E9A" w:rsidRDefault="005E171C" w:rsidP="00B40757">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Véanse los documentos del Consejo de Europa </w:t>
      </w:r>
      <w:r w:rsidRPr="00A0162A">
        <w:rPr>
          <w:szCs w:val="18"/>
        </w:rPr>
        <w:t>CPT/Inf (92) 3</w:t>
      </w:r>
      <w:r>
        <w:rPr>
          <w:szCs w:val="18"/>
        </w:rPr>
        <w:t>, párr. 46</w:t>
      </w:r>
      <w:r w:rsidR="002566F2">
        <w:rPr>
          <w:szCs w:val="18"/>
        </w:rPr>
        <w:t>;</w:t>
      </w:r>
      <w:r>
        <w:rPr>
          <w:szCs w:val="18"/>
        </w:rPr>
        <w:t xml:space="preserve"> y CPT/Inf (2014) 26, párr. </w:t>
      </w:r>
      <w:r w:rsidRPr="00A11679">
        <w:rPr>
          <w:szCs w:val="18"/>
        </w:rPr>
        <w:t>100. Véa</w:t>
      </w:r>
      <w:r>
        <w:rPr>
          <w:szCs w:val="18"/>
        </w:rPr>
        <w:t>n</w:t>
      </w:r>
      <w:r w:rsidRPr="00A11679">
        <w:rPr>
          <w:szCs w:val="18"/>
        </w:rPr>
        <w:t>se tambi</w:t>
      </w:r>
      <w:r>
        <w:rPr>
          <w:szCs w:val="18"/>
        </w:rPr>
        <w:t>én</w:t>
      </w:r>
      <w:r w:rsidRPr="00A11679">
        <w:rPr>
          <w:szCs w:val="18"/>
        </w:rPr>
        <w:t xml:space="preserve"> </w:t>
      </w:r>
      <w:r w:rsidRPr="00552141">
        <w:rPr>
          <w:bCs/>
          <w:color w:val="000000"/>
          <w:szCs w:val="18"/>
          <w:lang w:val="lv-LV" w:eastAsia="lv-LV"/>
        </w:rPr>
        <w:t>www.achpr.org/files/sessions/12th-eo/mission-reports/promotion_</w:t>
      </w:r>
      <w:r w:rsidR="002566F2">
        <w:rPr>
          <w:bCs/>
          <w:color w:val="000000"/>
          <w:szCs w:val="18"/>
          <w:lang w:val="lv-LV" w:eastAsia="lv-LV"/>
        </w:rPr>
        <w:br/>
      </w:r>
      <w:r w:rsidRPr="00552141">
        <w:rPr>
          <w:bCs/>
          <w:color w:val="000000"/>
          <w:szCs w:val="18"/>
          <w:lang w:val="lv-LV" w:eastAsia="lv-LV"/>
        </w:rPr>
        <w:t>mission-2012/mission_report_mauritania_cpta_eng.pdf</w:t>
      </w:r>
      <w:r>
        <w:rPr>
          <w:bCs/>
          <w:color w:val="000000"/>
          <w:szCs w:val="18"/>
          <w:lang w:val="lv-LV" w:eastAsia="lv-LV"/>
        </w:rPr>
        <w:t xml:space="preserve">, párr. </w:t>
      </w:r>
      <w:r w:rsidRPr="00A0162A">
        <w:rPr>
          <w:szCs w:val="18"/>
          <w:lang w:val="lv-LV" w:eastAsia="lv-LV"/>
        </w:rPr>
        <w:t>112 ix)</w:t>
      </w:r>
      <w:r>
        <w:rPr>
          <w:szCs w:val="18"/>
          <w:lang w:val="lv-LV" w:eastAsia="lv-LV"/>
        </w:rPr>
        <w:t>;</w:t>
      </w:r>
      <w:r w:rsidRPr="00A0162A">
        <w:rPr>
          <w:szCs w:val="18"/>
          <w:lang w:val="lv-LV" w:eastAsia="lv-LV"/>
        </w:rPr>
        <w:t xml:space="preserve"> </w:t>
      </w:r>
      <w:r w:rsidRPr="003C4FE1">
        <w:rPr>
          <w:i/>
          <w:szCs w:val="18"/>
          <w:lang w:val="lv-LV" w:eastAsia="lv-LV"/>
        </w:rPr>
        <w:t xml:space="preserve">Kalashnikov </w:t>
      </w:r>
      <w:r>
        <w:rPr>
          <w:i/>
          <w:szCs w:val="18"/>
          <w:lang w:val="lv-LV" w:eastAsia="lv-LV"/>
        </w:rPr>
        <w:t>v</w:t>
      </w:r>
      <w:r w:rsidRPr="003C4FE1">
        <w:rPr>
          <w:i/>
          <w:szCs w:val="18"/>
          <w:lang w:val="lv-LV" w:eastAsia="lv-LV"/>
        </w:rPr>
        <w:t>. Russia</w:t>
      </w:r>
      <w:r>
        <w:rPr>
          <w:szCs w:val="18"/>
          <w:lang w:val="lv-LV" w:eastAsia="lv-LV"/>
        </w:rPr>
        <w:t>, decisión del Tribunal Europeo de Derechos Humanos</w:t>
      </w:r>
      <w:r w:rsidRPr="00A0162A">
        <w:rPr>
          <w:szCs w:val="18"/>
          <w:lang w:val="lv-LV" w:eastAsia="lv-LV"/>
        </w:rPr>
        <w:t xml:space="preserve"> (2002)</w:t>
      </w:r>
      <w:r>
        <w:rPr>
          <w:szCs w:val="18"/>
          <w:lang w:val="lv-LV" w:eastAsia="lv-LV"/>
        </w:rPr>
        <w:t>, párr. 102,</w:t>
      </w:r>
      <w:r w:rsidRPr="00A0162A">
        <w:rPr>
          <w:szCs w:val="18"/>
          <w:lang w:val="lv-LV" w:eastAsia="lv-LV"/>
        </w:rPr>
        <w:t xml:space="preserve"> </w:t>
      </w:r>
      <w:r>
        <w:rPr>
          <w:szCs w:val="18"/>
          <w:lang w:val="lv-LV" w:eastAsia="lv-LV"/>
        </w:rPr>
        <w:t xml:space="preserve">y </w:t>
      </w:r>
      <w:r w:rsidRPr="003C4FE1">
        <w:rPr>
          <w:i/>
          <w:szCs w:val="18"/>
          <w:lang w:val="lv-LV" w:eastAsia="lv-LV"/>
        </w:rPr>
        <w:t xml:space="preserve">Ananyev </w:t>
      </w:r>
      <w:r>
        <w:rPr>
          <w:i/>
          <w:szCs w:val="18"/>
          <w:lang w:val="lv-LV" w:eastAsia="lv-LV"/>
        </w:rPr>
        <w:t>and others v</w:t>
      </w:r>
      <w:r w:rsidRPr="003C4FE1">
        <w:rPr>
          <w:i/>
          <w:szCs w:val="18"/>
          <w:lang w:val="lv-LV" w:eastAsia="lv-LV"/>
        </w:rPr>
        <w:t>. Russia</w:t>
      </w:r>
      <w:r>
        <w:rPr>
          <w:szCs w:val="18"/>
          <w:lang w:val="lv-LV" w:eastAsia="lv-LV"/>
        </w:rPr>
        <w:t>, decisión del Tribunal Europeo de Derechos Humanos</w:t>
      </w:r>
      <w:r w:rsidRPr="00A0162A">
        <w:rPr>
          <w:szCs w:val="18"/>
          <w:lang w:val="lv-LV" w:eastAsia="lv-LV"/>
        </w:rPr>
        <w:t xml:space="preserve"> </w:t>
      </w:r>
      <w:r>
        <w:rPr>
          <w:szCs w:val="18"/>
          <w:lang w:val="lv-LV" w:eastAsia="lv-LV"/>
        </w:rPr>
        <w:t>(2012)</w:t>
      </w:r>
      <w:r w:rsidRPr="00A0162A">
        <w:rPr>
          <w:szCs w:val="18"/>
          <w:lang w:val="lv-LV" w:eastAsia="lv-LV"/>
        </w:rPr>
        <w:t xml:space="preserve">, </w:t>
      </w:r>
      <w:r>
        <w:rPr>
          <w:szCs w:val="18"/>
          <w:lang w:val="lv-LV" w:eastAsia="lv-LV"/>
        </w:rPr>
        <w:t>párrs. </w:t>
      </w:r>
      <w:r w:rsidRPr="00A0162A">
        <w:rPr>
          <w:szCs w:val="18"/>
          <w:lang w:val="lv-LV" w:eastAsia="lv-LV"/>
        </w:rPr>
        <w:t>143</w:t>
      </w:r>
      <w:r>
        <w:rPr>
          <w:szCs w:val="18"/>
          <w:lang w:val="lv-LV" w:eastAsia="lv-LV"/>
        </w:rPr>
        <w:t xml:space="preserve"> a </w:t>
      </w:r>
      <w:r w:rsidRPr="00A0162A">
        <w:rPr>
          <w:szCs w:val="18"/>
          <w:lang w:val="lv-LV" w:eastAsia="lv-LV"/>
        </w:rPr>
        <w:t>148.</w:t>
      </w:r>
    </w:p>
  </w:footnote>
  <w:footnote w:id="58">
    <w:p w:rsidR="005E171C" w:rsidRPr="00933CF9" w:rsidRDefault="005E171C" w:rsidP="00B40757">
      <w:pPr>
        <w:pStyle w:val="FootnoteText"/>
        <w:tabs>
          <w:tab w:val="clear" w:pos="418"/>
          <w:tab w:val="right" w:pos="1195"/>
          <w:tab w:val="left" w:pos="1267"/>
          <w:tab w:val="left" w:pos="1742"/>
          <w:tab w:val="left" w:pos="2218"/>
          <w:tab w:val="left" w:pos="2693"/>
        </w:tabs>
        <w:ind w:left="1267" w:right="1267" w:hanging="432"/>
        <w:rPr>
          <w:lang w:val="en-US"/>
        </w:rPr>
      </w:pPr>
      <w:r>
        <w:tab/>
      </w:r>
      <w:r>
        <w:rPr>
          <w:rStyle w:val="FootnoteReference"/>
        </w:rPr>
        <w:footnoteRef/>
      </w:r>
      <w:r>
        <w:tab/>
      </w:r>
      <w:r w:rsidRPr="00A11679">
        <w:t xml:space="preserve">Véanse </w:t>
      </w:r>
      <w:r w:rsidRPr="001A4503">
        <w:t>CAT/OP/MLI/1, p</w:t>
      </w:r>
      <w:r>
        <w:t>árr</w:t>
      </w:r>
      <w:r w:rsidRPr="001A4503">
        <w:t>. 49</w:t>
      </w:r>
      <w:r w:rsidR="002566F2">
        <w:t>;</w:t>
      </w:r>
      <w:r w:rsidRPr="00D05391">
        <w:rPr>
          <w:szCs w:val="18"/>
          <w:lang w:val="lv-LV" w:eastAsia="lv-LV"/>
        </w:rPr>
        <w:t xml:space="preserve"> </w:t>
      </w:r>
      <w:r>
        <w:rPr>
          <w:szCs w:val="18"/>
          <w:lang w:val="lv-LV" w:eastAsia="lv-LV"/>
        </w:rPr>
        <w:t xml:space="preserve">y </w:t>
      </w:r>
      <w:r w:rsidRPr="00A0162A">
        <w:rPr>
          <w:szCs w:val="18"/>
          <w:lang w:val="lv-LV" w:eastAsia="lv-LV"/>
        </w:rPr>
        <w:t>E/CN.4/2004/56</w:t>
      </w:r>
      <w:r>
        <w:rPr>
          <w:szCs w:val="18"/>
          <w:lang w:val="lv-LV" w:eastAsia="lv-LV"/>
        </w:rPr>
        <w:t xml:space="preserve">, párr. </w:t>
      </w:r>
      <w:r w:rsidRPr="00A0162A">
        <w:rPr>
          <w:szCs w:val="18"/>
          <w:lang w:val="lv-LV" w:eastAsia="lv-LV"/>
        </w:rPr>
        <w:t>49</w:t>
      </w:r>
      <w:r w:rsidRPr="00933CF9">
        <w:rPr>
          <w:lang w:val="en-US"/>
        </w:rPr>
        <w:t>.</w:t>
      </w:r>
    </w:p>
  </w:footnote>
  <w:footnote w:id="59">
    <w:p w:rsidR="005E171C" w:rsidRPr="00136926" w:rsidRDefault="005E171C" w:rsidP="00B40757">
      <w:pPr>
        <w:pStyle w:val="FootnoteText"/>
        <w:tabs>
          <w:tab w:val="clear" w:pos="418"/>
          <w:tab w:val="right" w:pos="1195"/>
          <w:tab w:val="left" w:pos="1267"/>
          <w:tab w:val="left" w:pos="1742"/>
          <w:tab w:val="left" w:pos="2218"/>
          <w:tab w:val="left" w:pos="2693"/>
        </w:tabs>
        <w:ind w:left="1267" w:right="1267" w:hanging="432"/>
      </w:pPr>
      <w:r w:rsidRPr="00933CF9">
        <w:rPr>
          <w:lang w:val="en-US"/>
        </w:rPr>
        <w:tab/>
      </w:r>
      <w:r>
        <w:rPr>
          <w:rStyle w:val="FootnoteReference"/>
        </w:rPr>
        <w:footnoteRef/>
      </w:r>
      <w:r w:rsidRPr="002C1617">
        <w:rPr>
          <w:lang w:val="en-US"/>
        </w:rPr>
        <w:tab/>
      </w:r>
      <w:r w:rsidRPr="002C1617">
        <w:rPr>
          <w:szCs w:val="18"/>
          <w:lang w:val="en-US"/>
        </w:rPr>
        <w:t xml:space="preserve">Véase CAT/OP/MDV/1, párr. </w:t>
      </w:r>
      <w:r w:rsidRPr="00136926">
        <w:rPr>
          <w:szCs w:val="18"/>
        </w:rPr>
        <w:t>210.</w:t>
      </w:r>
    </w:p>
  </w:footnote>
  <w:footnote w:id="60">
    <w:p w:rsidR="005E171C" w:rsidRPr="00933CF9" w:rsidRDefault="005E171C" w:rsidP="00B40757">
      <w:pPr>
        <w:pStyle w:val="FootnoteText"/>
        <w:tabs>
          <w:tab w:val="clear" w:pos="418"/>
          <w:tab w:val="right" w:pos="1195"/>
          <w:tab w:val="left" w:pos="1267"/>
          <w:tab w:val="left" w:pos="1742"/>
          <w:tab w:val="left" w:pos="2218"/>
          <w:tab w:val="left" w:pos="2693"/>
        </w:tabs>
        <w:ind w:left="1267" w:right="1267" w:hanging="432"/>
      </w:pPr>
      <w:r w:rsidRPr="00136926">
        <w:tab/>
      </w:r>
      <w:r>
        <w:rPr>
          <w:rStyle w:val="FootnoteReference"/>
        </w:rPr>
        <w:footnoteRef/>
      </w:r>
      <w:r w:rsidRPr="00136926">
        <w:tab/>
      </w:r>
      <w:r w:rsidRPr="00136926">
        <w:rPr>
          <w:szCs w:val="18"/>
        </w:rPr>
        <w:t xml:space="preserve">Véanse CAT/OP/MLI/1, párrs. </w:t>
      </w:r>
      <w:r w:rsidRPr="002566F2">
        <w:rPr>
          <w:szCs w:val="18"/>
        </w:rPr>
        <w:t>49</w:t>
      </w:r>
      <w:r w:rsidR="002566F2" w:rsidRPr="002566F2">
        <w:rPr>
          <w:szCs w:val="18"/>
        </w:rPr>
        <w:t xml:space="preserve"> y</w:t>
      </w:r>
      <w:r w:rsidRPr="002566F2">
        <w:rPr>
          <w:szCs w:val="18"/>
        </w:rPr>
        <w:t xml:space="preserve"> </w:t>
      </w:r>
      <w:r w:rsidRPr="002566F2">
        <w:rPr>
          <w:rStyle w:val="CommentReference"/>
          <w:sz w:val="18"/>
          <w:szCs w:val="18"/>
        </w:rPr>
        <w:t>80;</w:t>
      </w:r>
      <w:r w:rsidRPr="002566F2">
        <w:rPr>
          <w:szCs w:val="18"/>
        </w:rPr>
        <w:t xml:space="preserve"> CCPR/C/ALB/CO/2, párr. </w:t>
      </w:r>
      <w:r>
        <w:rPr>
          <w:szCs w:val="18"/>
        </w:rPr>
        <w:t>16</w:t>
      </w:r>
      <w:r w:rsidR="002566F2">
        <w:rPr>
          <w:szCs w:val="18"/>
        </w:rPr>
        <w:t>;</w:t>
      </w:r>
      <w:r>
        <w:rPr>
          <w:szCs w:val="18"/>
        </w:rPr>
        <w:t xml:space="preserve"> y la comunicación núm. </w:t>
      </w:r>
      <w:r w:rsidRPr="00C2698F">
        <w:rPr>
          <w:szCs w:val="18"/>
        </w:rPr>
        <w:t xml:space="preserve">2218/2012, </w:t>
      </w:r>
      <w:r w:rsidRPr="00EC67AF">
        <w:rPr>
          <w:i/>
          <w:color w:val="000000"/>
          <w:szCs w:val="18"/>
          <w:lang w:val="lv-LV" w:eastAsia="lv-LV"/>
        </w:rPr>
        <w:t xml:space="preserve">Abdullayev </w:t>
      </w:r>
      <w:r>
        <w:rPr>
          <w:i/>
          <w:color w:val="000000"/>
          <w:szCs w:val="18"/>
          <w:lang w:val="lv-LV" w:eastAsia="lv-LV"/>
        </w:rPr>
        <w:t>c</w:t>
      </w:r>
      <w:r w:rsidRPr="00EC67AF">
        <w:rPr>
          <w:i/>
          <w:color w:val="000000"/>
          <w:szCs w:val="18"/>
          <w:lang w:val="lv-LV" w:eastAsia="lv-LV"/>
        </w:rPr>
        <w:t>. Turkmenist</w:t>
      </w:r>
      <w:r>
        <w:rPr>
          <w:i/>
          <w:color w:val="000000"/>
          <w:szCs w:val="18"/>
          <w:lang w:val="lv-LV" w:eastAsia="lv-LV"/>
        </w:rPr>
        <w:t>á</w:t>
      </w:r>
      <w:r w:rsidRPr="00EC67AF">
        <w:rPr>
          <w:i/>
          <w:color w:val="000000"/>
          <w:szCs w:val="18"/>
          <w:lang w:val="lv-LV" w:eastAsia="lv-LV"/>
        </w:rPr>
        <w:t>n</w:t>
      </w:r>
      <w:r w:rsidRPr="00125A2D">
        <w:rPr>
          <w:iCs/>
          <w:color w:val="000000"/>
          <w:szCs w:val="18"/>
          <w:lang w:val="lv-LV" w:eastAsia="lv-LV"/>
        </w:rPr>
        <w:t>,</w:t>
      </w:r>
      <w:r>
        <w:rPr>
          <w:color w:val="000000"/>
          <w:szCs w:val="18"/>
          <w:lang w:val="lv-LV" w:eastAsia="lv-LV"/>
        </w:rPr>
        <w:t xml:space="preserve"> dictamen aprobado por el Comité de Derechos Humanos el 25 de marzo de 2015, párrs. 5.3 y</w:t>
      </w:r>
      <w:r w:rsidRPr="00C2698F">
        <w:t xml:space="preserve"> </w:t>
      </w:r>
      <w:r>
        <w:rPr>
          <w:color w:val="000000"/>
          <w:szCs w:val="18"/>
          <w:lang w:val="lv-LV" w:eastAsia="lv-LV"/>
        </w:rPr>
        <w:t xml:space="preserve">7.3. </w:t>
      </w:r>
      <w:r w:rsidRPr="00C2698F">
        <w:rPr>
          <w:szCs w:val="18"/>
        </w:rPr>
        <w:t>Véa</w:t>
      </w:r>
      <w:r>
        <w:rPr>
          <w:szCs w:val="18"/>
        </w:rPr>
        <w:t>n</w:t>
      </w:r>
      <w:r w:rsidRPr="00C2698F">
        <w:rPr>
          <w:szCs w:val="18"/>
        </w:rPr>
        <w:t>se también el documento del Consejo de Europa CPT/Inf (2014) 15, p</w:t>
      </w:r>
      <w:r>
        <w:rPr>
          <w:szCs w:val="18"/>
        </w:rPr>
        <w:t>árr</w:t>
      </w:r>
      <w:r w:rsidRPr="00C2698F">
        <w:rPr>
          <w:szCs w:val="18"/>
        </w:rPr>
        <w:t>. 126</w:t>
      </w:r>
      <w:r w:rsidR="002566F2">
        <w:rPr>
          <w:szCs w:val="18"/>
        </w:rPr>
        <w:t>;</w:t>
      </w:r>
      <w:r w:rsidRPr="00A0162A">
        <w:rPr>
          <w:color w:val="000000"/>
          <w:szCs w:val="18"/>
          <w:lang w:val="lv-LV" w:eastAsia="lv-LV"/>
        </w:rPr>
        <w:t xml:space="preserve"> </w:t>
      </w:r>
      <w:r>
        <w:rPr>
          <w:color w:val="000000"/>
          <w:szCs w:val="18"/>
          <w:lang w:val="lv-LV" w:eastAsia="lv-LV"/>
        </w:rPr>
        <w:t xml:space="preserve">y </w:t>
      </w:r>
      <w:r w:rsidRPr="003C4FE1">
        <w:rPr>
          <w:i/>
          <w:color w:val="000000"/>
          <w:szCs w:val="18"/>
          <w:lang w:val="lv-LV" w:eastAsia="lv-LV"/>
        </w:rPr>
        <w:t xml:space="preserve">Boyce </w:t>
      </w:r>
      <w:r w:rsidR="002566F2">
        <w:rPr>
          <w:i/>
          <w:color w:val="000000"/>
          <w:szCs w:val="18"/>
          <w:lang w:val="lv-LV" w:eastAsia="lv-LV"/>
        </w:rPr>
        <w:t>vs</w:t>
      </w:r>
      <w:r w:rsidRPr="003C4FE1">
        <w:rPr>
          <w:i/>
          <w:color w:val="000000"/>
          <w:szCs w:val="18"/>
          <w:lang w:val="lv-LV" w:eastAsia="lv-LV"/>
        </w:rPr>
        <w:t>. Barbados</w:t>
      </w:r>
      <w:r w:rsidRPr="00A0162A">
        <w:rPr>
          <w:color w:val="000000"/>
          <w:szCs w:val="18"/>
          <w:lang w:val="lv-LV" w:eastAsia="lv-LV"/>
        </w:rPr>
        <w:t xml:space="preserve">, </w:t>
      </w:r>
      <w:r w:rsidRPr="00C2698F">
        <w:rPr>
          <w:szCs w:val="18"/>
        </w:rPr>
        <w:t xml:space="preserve">sentencia de la Corte Interamericana de Derechos Humanos </w:t>
      </w:r>
      <w:r w:rsidRPr="00A0162A">
        <w:rPr>
          <w:color w:val="000000"/>
          <w:szCs w:val="18"/>
          <w:lang w:val="lv-LV" w:eastAsia="lv-LV"/>
        </w:rPr>
        <w:t>(2007)</w:t>
      </w:r>
      <w:r>
        <w:rPr>
          <w:color w:val="000000"/>
          <w:szCs w:val="18"/>
          <w:lang w:val="lv-LV" w:eastAsia="lv-LV"/>
        </w:rPr>
        <w:t>, párr. 94.</w:t>
      </w:r>
    </w:p>
  </w:footnote>
  <w:footnote w:id="61">
    <w:p w:rsidR="005E171C" w:rsidRPr="00933CF9" w:rsidRDefault="005E171C" w:rsidP="00B40757">
      <w:pPr>
        <w:pStyle w:val="FootnoteText"/>
        <w:tabs>
          <w:tab w:val="clear" w:pos="418"/>
          <w:tab w:val="right" w:pos="1195"/>
          <w:tab w:val="left" w:pos="1267"/>
          <w:tab w:val="left" w:pos="1742"/>
          <w:tab w:val="left" w:pos="2218"/>
          <w:tab w:val="left" w:pos="2693"/>
        </w:tabs>
        <w:ind w:left="1267" w:right="1267" w:hanging="432"/>
      </w:pPr>
      <w:r w:rsidRPr="00933CF9">
        <w:tab/>
      </w:r>
      <w:r>
        <w:rPr>
          <w:rStyle w:val="FootnoteReference"/>
        </w:rPr>
        <w:footnoteRef/>
      </w:r>
      <w:r w:rsidRPr="00933CF9">
        <w:tab/>
      </w:r>
      <w:r w:rsidRPr="00933CF9">
        <w:rPr>
          <w:szCs w:val="18"/>
        </w:rPr>
        <w:t xml:space="preserve">Véase </w:t>
      </w:r>
      <w:r w:rsidRPr="00A0162A">
        <w:rPr>
          <w:szCs w:val="18"/>
          <w:lang w:val="lv-LV" w:eastAsia="lv-LV"/>
        </w:rPr>
        <w:t>A/68/295</w:t>
      </w:r>
      <w:r>
        <w:rPr>
          <w:szCs w:val="18"/>
          <w:lang w:val="lv-LV" w:eastAsia="lv-LV"/>
        </w:rPr>
        <w:t xml:space="preserve">, párr. </w:t>
      </w:r>
      <w:r w:rsidRPr="00A0162A">
        <w:rPr>
          <w:szCs w:val="18"/>
          <w:lang w:val="lv-LV" w:eastAsia="lv-LV"/>
        </w:rPr>
        <w:t>45</w:t>
      </w:r>
      <w:r w:rsidR="002566F2">
        <w:rPr>
          <w:szCs w:val="18"/>
          <w:lang w:val="lv-LV" w:eastAsia="lv-LV"/>
        </w:rPr>
        <w:t>;</w:t>
      </w:r>
      <w:r w:rsidRPr="00A0162A">
        <w:rPr>
          <w:szCs w:val="18"/>
          <w:lang w:val="lv-LV" w:eastAsia="lv-LV"/>
        </w:rPr>
        <w:t xml:space="preserve"> </w:t>
      </w:r>
      <w:r>
        <w:rPr>
          <w:szCs w:val="18"/>
          <w:lang w:val="lv-LV" w:eastAsia="lv-LV"/>
        </w:rPr>
        <w:t xml:space="preserve">y </w:t>
      </w:r>
      <w:r w:rsidRPr="003C4FE1">
        <w:rPr>
          <w:i/>
          <w:color w:val="000000"/>
          <w:szCs w:val="18"/>
          <w:lang w:val="lv-LV" w:eastAsia="lv-LV"/>
        </w:rPr>
        <w:t>Montero-Aranguren v</w:t>
      </w:r>
      <w:r w:rsidR="002566F2">
        <w:rPr>
          <w:i/>
          <w:color w:val="000000"/>
          <w:szCs w:val="18"/>
          <w:lang w:val="lv-LV" w:eastAsia="lv-LV"/>
        </w:rPr>
        <w:t>s</w:t>
      </w:r>
      <w:r w:rsidRPr="003C4FE1">
        <w:rPr>
          <w:i/>
          <w:color w:val="000000"/>
          <w:szCs w:val="18"/>
          <w:lang w:val="lv-LV" w:eastAsia="lv-LV"/>
        </w:rPr>
        <w:t>. Venezuela</w:t>
      </w:r>
      <w:r w:rsidRPr="00A0162A">
        <w:rPr>
          <w:color w:val="000000"/>
          <w:szCs w:val="18"/>
          <w:lang w:val="lv-LV" w:eastAsia="lv-LV"/>
        </w:rPr>
        <w:t xml:space="preserve">, </w:t>
      </w:r>
      <w:r w:rsidRPr="00C2698F">
        <w:rPr>
          <w:szCs w:val="18"/>
        </w:rPr>
        <w:t xml:space="preserve">sentencia de la Corte Interamericana de Derechos Humanos </w:t>
      </w:r>
      <w:r w:rsidRPr="00A0162A">
        <w:rPr>
          <w:color w:val="000000"/>
          <w:szCs w:val="18"/>
          <w:lang w:val="lv-LV" w:eastAsia="lv-LV"/>
        </w:rPr>
        <w:t>(2006)</w:t>
      </w:r>
      <w:r>
        <w:rPr>
          <w:color w:val="000000"/>
          <w:szCs w:val="18"/>
          <w:lang w:val="lv-LV" w:eastAsia="lv-LV"/>
        </w:rPr>
        <w:t xml:space="preserve">, párr. </w:t>
      </w:r>
      <w:r w:rsidRPr="00A0162A">
        <w:rPr>
          <w:color w:val="000000"/>
          <w:szCs w:val="18"/>
          <w:lang w:val="lv-LV" w:eastAsia="lv-LV"/>
        </w:rPr>
        <w:t>99.</w:t>
      </w:r>
    </w:p>
  </w:footnote>
  <w:footnote w:id="62">
    <w:p w:rsidR="005E171C" w:rsidRPr="00933CF9" w:rsidRDefault="005E171C" w:rsidP="00B40757">
      <w:pPr>
        <w:pStyle w:val="FootnoteText"/>
        <w:tabs>
          <w:tab w:val="clear" w:pos="418"/>
          <w:tab w:val="right" w:pos="1195"/>
          <w:tab w:val="left" w:pos="1267"/>
          <w:tab w:val="left" w:pos="1742"/>
          <w:tab w:val="left" w:pos="2218"/>
          <w:tab w:val="left" w:pos="2693"/>
        </w:tabs>
        <w:ind w:left="1267" w:right="1267" w:hanging="432"/>
        <w:rPr>
          <w:lang w:val="lv-LV"/>
        </w:rPr>
      </w:pPr>
      <w:r w:rsidRPr="00933CF9">
        <w:tab/>
      </w:r>
      <w:r>
        <w:rPr>
          <w:rStyle w:val="FootnoteReference"/>
        </w:rPr>
        <w:footnoteRef/>
      </w:r>
      <w:r w:rsidRPr="00933CF9">
        <w:tab/>
      </w:r>
      <w:r w:rsidRPr="00933CF9">
        <w:rPr>
          <w:szCs w:val="18"/>
        </w:rPr>
        <w:t>Véa</w:t>
      </w:r>
      <w:r w:rsidR="002566F2">
        <w:rPr>
          <w:szCs w:val="18"/>
        </w:rPr>
        <w:t>n</w:t>
      </w:r>
      <w:r w:rsidRPr="00933CF9">
        <w:rPr>
          <w:szCs w:val="18"/>
        </w:rPr>
        <w:t xml:space="preserve">se CAT/OP/MEX/1, párr. </w:t>
      </w:r>
      <w:r w:rsidRPr="00B75E73">
        <w:rPr>
          <w:szCs w:val="18"/>
        </w:rPr>
        <w:t>184</w:t>
      </w:r>
      <w:r w:rsidR="002566F2">
        <w:rPr>
          <w:szCs w:val="18"/>
          <w:lang w:val="lv-LV"/>
        </w:rPr>
        <w:t>;</w:t>
      </w:r>
      <w:r w:rsidRPr="00B75E73">
        <w:rPr>
          <w:szCs w:val="18"/>
        </w:rPr>
        <w:t xml:space="preserve"> y </w:t>
      </w:r>
      <w:r w:rsidRPr="003C4FE1">
        <w:rPr>
          <w:i/>
          <w:color w:val="000000"/>
          <w:szCs w:val="18"/>
          <w:lang w:val="lv-LV" w:eastAsia="lv-LV"/>
        </w:rPr>
        <w:t>Boyce v</w:t>
      </w:r>
      <w:r w:rsidR="002566F2">
        <w:rPr>
          <w:i/>
          <w:color w:val="000000"/>
          <w:szCs w:val="18"/>
          <w:lang w:val="lv-LV" w:eastAsia="lv-LV"/>
        </w:rPr>
        <w:t>s</w:t>
      </w:r>
      <w:r w:rsidRPr="003C4FE1">
        <w:rPr>
          <w:i/>
          <w:color w:val="000000"/>
          <w:szCs w:val="18"/>
          <w:lang w:val="lv-LV" w:eastAsia="lv-LV"/>
        </w:rPr>
        <w:t>. Barbados</w:t>
      </w:r>
      <w:r w:rsidRPr="00A0162A">
        <w:rPr>
          <w:color w:val="000000"/>
          <w:szCs w:val="18"/>
          <w:lang w:val="lv-LV" w:eastAsia="lv-LV"/>
        </w:rPr>
        <w:t xml:space="preserve">, </w:t>
      </w:r>
      <w:r w:rsidRPr="00C2698F">
        <w:rPr>
          <w:szCs w:val="18"/>
        </w:rPr>
        <w:t>sentencia de la Corte Interamericana de Derechos Humanos</w:t>
      </w:r>
      <w:r w:rsidRPr="00B75E73">
        <w:rPr>
          <w:szCs w:val="18"/>
        </w:rPr>
        <w:t xml:space="preserve"> </w:t>
      </w:r>
      <w:r w:rsidRPr="00A0162A">
        <w:rPr>
          <w:color w:val="000000"/>
          <w:szCs w:val="18"/>
          <w:lang w:val="lv-LV" w:eastAsia="lv-LV"/>
        </w:rPr>
        <w:t>(2007)</w:t>
      </w:r>
      <w:r>
        <w:rPr>
          <w:color w:val="000000"/>
          <w:szCs w:val="18"/>
          <w:lang w:val="lv-LV" w:eastAsia="lv-LV"/>
        </w:rPr>
        <w:t xml:space="preserve">, párr. </w:t>
      </w:r>
      <w:r w:rsidRPr="00A0162A">
        <w:rPr>
          <w:color w:val="000000"/>
          <w:szCs w:val="18"/>
          <w:lang w:val="lv-LV" w:eastAsia="lv-LV"/>
        </w:rPr>
        <w:t>94</w:t>
      </w:r>
      <w:r>
        <w:rPr>
          <w:color w:val="000000"/>
          <w:szCs w:val="18"/>
          <w:lang w:val="lv-LV" w:eastAsia="lv-LV"/>
        </w:rPr>
        <w:t>.</w:t>
      </w:r>
    </w:p>
  </w:footnote>
  <w:footnote w:id="63">
    <w:p w:rsidR="005E171C" w:rsidRPr="00933CF9" w:rsidRDefault="005E171C" w:rsidP="00B40757">
      <w:pPr>
        <w:pStyle w:val="FootnoteText"/>
        <w:tabs>
          <w:tab w:val="clear" w:pos="418"/>
          <w:tab w:val="right" w:pos="1195"/>
          <w:tab w:val="left" w:pos="1267"/>
          <w:tab w:val="left" w:pos="1742"/>
          <w:tab w:val="left" w:pos="2218"/>
          <w:tab w:val="left" w:pos="2693"/>
        </w:tabs>
        <w:ind w:left="1267" w:right="1267" w:hanging="432"/>
        <w:rPr>
          <w:lang w:val="lv-LV"/>
        </w:rPr>
      </w:pPr>
      <w:r w:rsidRPr="00933CF9">
        <w:rPr>
          <w:lang w:val="lv-LV"/>
        </w:rPr>
        <w:tab/>
      </w:r>
      <w:r>
        <w:rPr>
          <w:rStyle w:val="FootnoteReference"/>
        </w:rPr>
        <w:footnoteRef/>
      </w:r>
      <w:r w:rsidRPr="00933CF9">
        <w:rPr>
          <w:lang w:val="lv-LV"/>
        </w:rPr>
        <w:tab/>
      </w:r>
      <w:r>
        <w:rPr>
          <w:szCs w:val="18"/>
          <w:lang w:val="lv-LV"/>
        </w:rPr>
        <w:t>Véase</w:t>
      </w:r>
      <w:r w:rsidRPr="001A4503">
        <w:rPr>
          <w:szCs w:val="18"/>
          <w:lang w:val="lv-LV"/>
        </w:rPr>
        <w:t xml:space="preserve"> </w:t>
      </w:r>
      <w:r w:rsidRPr="003C4FE1">
        <w:rPr>
          <w:szCs w:val="18"/>
          <w:lang w:val="lv-LV"/>
        </w:rPr>
        <w:t>A/HRC/25/60/Add.1, p</w:t>
      </w:r>
      <w:r>
        <w:rPr>
          <w:szCs w:val="18"/>
          <w:lang w:val="lv-LV"/>
        </w:rPr>
        <w:t>árr</w:t>
      </w:r>
      <w:r w:rsidRPr="003C4FE1">
        <w:rPr>
          <w:szCs w:val="18"/>
          <w:lang w:val="lv-LV"/>
        </w:rPr>
        <w:t>. 85</w:t>
      </w:r>
      <w:r>
        <w:rPr>
          <w:szCs w:val="18"/>
          <w:lang w:val="lv-LV"/>
        </w:rPr>
        <w:t>.</w:t>
      </w:r>
    </w:p>
  </w:footnote>
  <w:footnote w:id="64">
    <w:p w:rsidR="005E171C" w:rsidRPr="00933CF9" w:rsidRDefault="005E171C" w:rsidP="00814F4D">
      <w:pPr>
        <w:pStyle w:val="FootnoteText"/>
        <w:tabs>
          <w:tab w:val="clear" w:pos="418"/>
          <w:tab w:val="right" w:pos="1195"/>
          <w:tab w:val="left" w:pos="1267"/>
          <w:tab w:val="left" w:pos="1742"/>
          <w:tab w:val="left" w:pos="2218"/>
          <w:tab w:val="left" w:pos="2693"/>
        </w:tabs>
        <w:ind w:left="1267" w:right="1267" w:hanging="432"/>
        <w:rPr>
          <w:lang w:val="lv-LV"/>
        </w:rPr>
      </w:pPr>
      <w:r w:rsidRPr="00933CF9">
        <w:rPr>
          <w:lang w:val="lv-LV"/>
        </w:rPr>
        <w:tab/>
      </w:r>
      <w:r>
        <w:rPr>
          <w:rStyle w:val="FootnoteReference"/>
        </w:rPr>
        <w:footnoteRef/>
      </w:r>
      <w:r w:rsidRPr="00933CF9">
        <w:rPr>
          <w:lang w:val="lv-LV"/>
        </w:rPr>
        <w:tab/>
      </w:r>
      <w:r>
        <w:rPr>
          <w:szCs w:val="18"/>
          <w:lang w:val="lv-LV"/>
        </w:rPr>
        <w:t>Véase</w:t>
      </w:r>
      <w:r w:rsidRPr="001A4503">
        <w:rPr>
          <w:szCs w:val="18"/>
          <w:lang w:val="lv-LV"/>
        </w:rPr>
        <w:t xml:space="preserve"> </w:t>
      </w:r>
      <w:r w:rsidRPr="001A4503">
        <w:rPr>
          <w:bCs/>
          <w:szCs w:val="18"/>
          <w:lang w:val="lv-LV" w:eastAsia="en-GB"/>
        </w:rPr>
        <w:t>A/65/255, p</w:t>
      </w:r>
      <w:r>
        <w:rPr>
          <w:bCs/>
          <w:szCs w:val="18"/>
          <w:lang w:val="lv-LV" w:eastAsia="en-GB"/>
        </w:rPr>
        <w:t>árr</w:t>
      </w:r>
      <w:r w:rsidRPr="001A4503">
        <w:rPr>
          <w:bCs/>
          <w:szCs w:val="18"/>
          <w:lang w:val="lv-LV" w:eastAsia="en-GB"/>
        </w:rPr>
        <w:t>. 59.</w:t>
      </w:r>
    </w:p>
  </w:footnote>
  <w:footnote w:id="65">
    <w:p w:rsidR="005E171C" w:rsidRPr="00933CF9" w:rsidRDefault="005E171C" w:rsidP="00B40757">
      <w:pPr>
        <w:pStyle w:val="FootnoteText"/>
        <w:tabs>
          <w:tab w:val="clear" w:pos="418"/>
          <w:tab w:val="right" w:pos="1195"/>
          <w:tab w:val="left" w:pos="1267"/>
          <w:tab w:val="left" w:pos="1742"/>
          <w:tab w:val="left" w:pos="2218"/>
          <w:tab w:val="left" w:pos="2693"/>
        </w:tabs>
        <w:ind w:left="1267" w:right="1267" w:hanging="432"/>
        <w:rPr>
          <w:lang w:val="lv-LV"/>
        </w:rPr>
      </w:pPr>
      <w:r w:rsidRPr="00933CF9">
        <w:rPr>
          <w:lang w:val="lv-LV"/>
        </w:rPr>
        <w:tab/>
      </w:r>
      <w:r>
        <w:rPr>
          <w:rStyle w:val="FootnoteReference"/>
        </w:rPr>
        <w:footnoteRef/>
      </w:r>
      <w:r w:rsidRPr="00933CF9">
        <w:rPr>
          <w:lang w:val="lv-LV"/>
        </w:rPr>
        <w:tab/>
      </w:r>
      <w:r>
        <w:rPr>
          <w:szCs w:val="18"/>
          <w:lang w:val="lv-LV"/>
        </w:rPr>
        <w:t>Véase</w:t>
      </w:r>
      <w:r w:rsidRPr="001A4503">
        <w:rPr>
          <w:szCs w:val="18"/>
          <w:lang w:val="lv-LV"/>
        </w:rPr>
        <w:t xml:space="preserve"> </w:t>
      </w:r>
      <w:r w:rsidRPr="001A4503">
        <w:rPr>
          <w:bCs/>
          <w:szCs w:val="18"/>
          <w:lang w:val="lv-LV" w:eastAsia="en-GB"/>
        </w:rPr>
        <w:t>A/65/255, p</w:t>
      </w:r>
      <w:r>
        <w:rPr>
          <w:bCs/>
          <w:szCs w:val="18"/>
          <w:lang w:val="lv-LV" w:eastAsia="en-GB"/>
        </w:rPr>
        <w:t>árr</w:t>
      </w:r>
      <w:r w:rsidRPr="001A4503">
        <w:rPr>
          <w:bCs/>
          <w:szCs w:val="18"/>
          <w:lang w:val="lv-LV" w:eastAsia="en-GB"/>
        </w:rPr>
        <w:t>. 68.</w:t>
      </w:r>
    </w:p>
  </w:footnote>
  <w:footnote w:id="66">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lv-LV"/>
        </w:rPr>
      </w:pPr>
      <w:r w:rsidRPr="00933CF9">
        <w:rPr>
          <w:lang w:val="lv-LV"/>
        </w:rPr>
        <w:tab/>
      </w:r>
      <w:r>
        <w:rPr>
          <w:rStyle w:val="FootnoteReference"/>
        </w:rPr>
        <w:footnoteRef/>
      </w:r>
      <w:r w:rsidRPr="00933CF9">
        <w:rPr>
          <w:lang w:val="lv-LV"/>
        </w:rPr>
        <w:tab/>
      </w:r>
      <w:r>
        <w:rPr>
          <w:szCs w:val="18"/>
          <w:lang w:val="lv-LV"/>
        </w:rPr>
        <w:t>Véase</w:t>
      </w:r>
      <w:r w:rsidRPr="001A4503">
        <w:rPr>
          <w:szCs w:val="18"/>
          <w:lang w:val="lv-LV"/>
        </w:rPr>
        <w:t xml:space="preserve"> </w:t>
      </w:r>
      <w:r w:rsidRPr="001A4503">
        <w:rPr>
          <w:bCs/>
          <w:szCs w:val="18"/>
          <w:lang w:val="lv-LV" w:eastAsia="en-GB"/>
        </w:rPr>
        <w:t>A/HRC/23/41/Add.1, p</w:t>
      </w:r>
      <w:r>
        <w:rPr>
          <w:bCs/>
          <w:szCs w:val="18"/>
          <w:lang w:val="lv-LV" w:eastAsia="en-GB"/>
        </w:rPr>
        <w:t>árr</w:t>
      </w:r>
      <w:r w:rsidRPr="001A4503">
        <w:rPr>
          <w:bCs/>
          <w:szCs w:val="18"/>
          <w:lang w:val="lv-LV" w:eastAsia="en-GB"/>
        </w:rPr>
        <w:t>. 43.</w:t>
      </w:r>
    </w:p>
  </w:footnote>
  <w:footnote w:id="67">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rsidRPr="00933CF9">
        <w:rPr>
          <w:lang w:val="lv-LV"/>
        </w:rPr>
        <w:tab/>
      </w:r>
      <w:r>
        <w:rPr>
          <w:rStyle w:val="FootnoteReference"/>
        </w:rPr>
        <w:footnoteRef/>
      </w:r>
      <w:r w:rsidRPr="00933CF9">
        <w:rPr>
          <w:lang w:val="lv-LV"/>
        </w:rPr>
        <w:tab/>
      </w:r>
      <w:r>
        <w:rPr>
          <w:szCs w:val="18"/>
          <w:lang w:val="lv-LV"/>
        </w:rPr>
        <w:t>Véase</w:t>
      </w:r>
      <w:r w:rsidRPr="001A4503">
        <w:rPr>
          <w:szCs w:val="18"/>
          <w:lang w:val="lv-LV"/>
        </w:rPr>
        <w:t xml:space="preserve"> </w:t>
      </w:r>
      <w:r w:rsidRPr="001A4503">
        <w:rPr>
          <w:bCs/>
          <w:szCs w:val="18"/>
          <w:lang w:val="lv-LV" w:eastAsia="en-GB"/>
        </w:rPr>
        <w:t xml:space="preserve">A/HRC/23/41/Add.1, </w:t>
      </w:r>
      <w:r>
        <w:rPr>
          <w:bCs/>
          <w:szCs w:val="18"/>
          <w:lang w:val="lv-LV" w:eastAsia="en-GB"/>
        </w:rPr>
        <w:t>párr</w:t>
      </w:r>
      <w:r w:rsidRPr="001A4503">
        <w:rPr>
          <w:bCs/>
          <w:szCs w:val="18"/>
          <w:lang w:val="lv-LV" w:eastAsia="en-GB"/>
        </w:rPr>
        <w:t xml:space="preserve">. </w:t>
      </w:r>
      <w:r w:rsidRPr="00A0162A">
        <w:rPr>
          <w:bCs/>
          <w:szCs w:val="18"/>
          <w:lang w:eastAsia="en-GB"/>
        </w:rPr>
        <w:t>52.</w:t>
      </w:r>
    </w:p>
  </w:footnote>
  <w:footnote w:id="68">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Pr>
          <w:szCs w:val="18"/>
        </w:rPr>
        <w:t xml:space="preserve">Véase </w:t>
      </w:r>
      <w:r w:rsidRPr="001A4503">
        <w:rPr>
          <w:bCs/>
          <w:szCs w:val="18"/>
          <w:lang w:eastAsia="en-GB"/>
        </w:rPr>
        <w:t>A</w:t>
      </w:r>
      <w:r w:rsidRPr="00A0162A">
        <w:rPr>
          <w:bCs/>
          <w:szCs w:val="18"/>
          <w:lang w:eastAsia="en-GB"/>
        </w:rPr>
        <w:t>/65/255</w:t>
      </w:r>
      <w:r>
        <w:rPr>
          <w:bCs/>
          <w:szCs w:val="18"/>
          <w:lang w:eastAsia="en-GB"/>
        </w:rPr>
        <w:t xml:space="preserve">, párr. </w:t>
      </w:r>
      <w:r w:rsidRPr="00A0162A">
        <w:rPr>
          <w:bCs/>
          <w:szCs w:val="18"/>
          <w:lang w:eastAsia="en-GB"/>
        </w:rPr>
        <w:t>29</w:t>
      </w:r>
      <w:r>
        <w:rPr>
          <w:bCs/>
          <w:szCs w:val="18"/>
          <w:lang w:eastAsia="en-GB"/>
        </w:rPr>
        <w:t>.</w:t>
      </w:r>
    </w:p>
  </w:footnote>
  <w:footnote w:id="69">
    <w:p w:rsidR="005E171C" w:rsidRPr="00E422A3"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tab/>
      </w:r>
      <w:r>
        <w:rPr>
          <w:rStyle w:val="FootnoteReference"/>
        </w:rPr>
        <w:footnoteRef/>
      </w:r>
      <w:r w:rsidRPr="00933CF9">
        <w:tab/>
      </w:r>
      <w:r w:rsidRPr="00933CF9">
        <w:rPr>
          <w:szCs w:val="18"/>
        </w:rPr>
        <w:t xml:space="preserve">Véanse </w:t>
      </w:r>
      <w:r>
        <w:rPr>
          <w:bCs/>
          <w:szCs w:val="18"/>
          <w:lang w:eastAsia="en-GB"/>
        </w:rPr>
        <w:t>A/HRC/23/41/Add.2, párr. 31</w:t>
      </w:r>
      <w:r w:rsidR="002566F2">
        <w:rPr>
          <w:bCs/>
          <w:szCs w:val="18"/>
          <w:lang w:eastAsia="en-GB"/>
        </w:rPr>
        <w:t>;</w:t>
      </w:r>
      <w:r w:rsidRPr="00933CF9">
        <w:rPr>
          <w:bCs/>
          <w:szCs w:val="18"/>
          <w:lang w:eastAsia="en-GB"/>
        </w:rPr>
        <w:t xml:space="preserve"> A/65/255, párr. 29</w:t>
      </w:r>
      <w:r w:rsidR="002566F2">
        <w:rPr>
          <w:bCs/>
          <w:szCs w:val="18"/>
          <w:lang w:eastAsia="en-GB"/>
        </w:rPr>
        <w:t>;</w:t>
      </w:r>
      <w:r w:rsidRPr="00933CF9">
        <w:rPr>
          <w:bCs/>
          <w:szCs w:val="18"/>
          <w:lang w:eastAsia="en-GB"/>
        </w:rPr>
        <w:t xml:space="preserve"> y </w:t>
      </w:r>
      <w:r w:rsidRPr="00933CF9">
        <w:rPr>
          <w:szCs w:val="18"/>
        </w:rPr>
        <w:t xml:space="preserve">CAT/C/54/2, párr. </w:t>
      </w:r>
      <w:r w:rsidRPr="00E422A3">
        <w:rPr>
          <w:szCs w:val="18"/>
          <w:lang w:val="en-US"/>
        </w:rPr>
        <w:t>77.</w:t>
      </w:r>
    </w:p>
  </w:footnote>
  <w:footnote w:id="70">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Pr="00933CF9">
        <w:rPr>
          <w:lang w:val="en-US"/>
        </w:rPr>
        <w:tab/>
      </w:r>
      <w:r w:rsidRPr="00933CF9">
        <w:rPr>
          <w:szCs w:val="18"/>
          <w:lang w:val="en-US"/>
        </w:rPr>
        <w:t>Véase A/HRC/22/53/Add.2, párr. 66.</w:t>
      </w:r>
    </w:p>
  </w:footnote>
  <w:footnote w:id="71">
    <w:p w:rsidR="005E171C" w:rsidRPr="00EB0B74"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Pr="002C1617">
        <w:rPr>
          <w:lang w:val="en-US"/>
        </w:rPr>
        <w:tab/>
      </w:r>
      <w:r w:rsidRPr="002C1617">
        <w:rPr>
          <w:szCs w:val="18"/>
          <w:lang w:val="en-US"/>
        </w:rPr>
        <w:t xml:space="preserve">Véanse CEDAW/C/GRC/CO/7, párr. </w:t>
      </w:r>
      <w:r>
        <w:rPr>
          <w:szCs w:val="18"/>
          <w:lang w:val="en-US"/>
        </w:rPr>
        <w:t>34</w:t>
      </w:r>
      <w:r w:rsidR="002566F2" w:rsidRPr="002566F2">
        <w:rPr>
          <w:bCs/>
          <w:szCs w:val="18"/>
          <w:lang w:val="en-US" w:eastAsia="en-GB"/>
        </w:rPr>
        <w:t>;</w:t>
      </w:r>
      <w:r w:rsidRPr="00933CF9">
        <w:rPr>
          <w:szCs w:val="18"/>
          <w:lang w:val="en-US"/>
        </w:rPr>
        <w:t xml:space="preserve"> CAT/C/BLR/CO/4, párr. 19</w:t>
      </w:r>
      <w:r w:rsidR="002566F2" w:rsidRPr="002566F2">
        <w:rPr>
          <w:bCs/>
          <w:szCs w:val="18"/>
          <w:lang w:val="en-US" w:eastAsia="en-GB"/>
        </w:rPr>
        <w:t>;</w:t>
      </w:r>
      <w:r>
        <w:rPr>
          <w:szCs w:val="18"/>
          <w:lang w:val="en-US"/>
        </w:rPr>
        <w:t xml:space="preserve"> CAT/C/ECU/CO/3, párr. 24</w:t>
      </w:r>
      <w:r w:rsidR="002566F2" w:rsidRPr="002566F2">
        <w:rPr>
          <w:bCs/>
          <w:szCs w:val="18"/>
          <w:lang w:val="en-US" w:eastAsia="en-GB"/>
        </w:rPr>
        <w:t>;</w:t>
      </w:r>
      <w:r w:rsidRPr="00933CF9">
        <w:rPr>
          <w:szCs w:val="18"/>
          <w:lang w:val="en-US"/>
        </w:rPr>
        <w:t xml:space="preserve"> CAT/C/GAB/CO/1, párr. 17</w:t>
      </w:r>
      <w:r w:rsidR="002566F2" w:rsidRPr="00136926">
        <w:rPr>
          <w:bCs/>
          <w:szCs w:val="18"/>
          <w:lang w:val="en-US" w:eastAsia="en-GB"/>
        </w:rPr>
        <w:t>;</w:t>
      </w:r>
      <w:r w:rsidRPr="00933CF9">
        <w:rPr>
          <w:szCs w:val="18"/>
          <w:lang w:val="en-US"/>
        </w:rPr>
        <w:t xml:space="preserve"> y CAT/C/LKA/</w:t>
      </w:r>
      <w:r w:rsidRPr="00EB0B74">
        <w:rPr>
          <w:szCs w:val="18"/>
          <w:lang w:val="en-US"/>
        </w:rPr>
        <w:t>CO/3-4, p</w:t>
      </w:r>
      <w:r>
        <w:rPr>
          <w:szCs w:val="18"/>
          <w:lang w:val="en-US"/>
        </w:rPr>
        <w:t>árr</w:t>
      </w:r>
      <w:r w:rsidRPr="00EB0B74">
        <w:rPr>
          <w:szCs w:val="18"/>
          <w:lang w:val="en-US"/>
        </w:rPr>
        <w:t>. 14.</w:t>
      </w:r>
    </w:p>
  </w:footnote>
  <w:footnote w:id="72">
    <w:p w:rsidR="005E171C" w:rsidRPr="002C1617"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Pr="002C1617">
        <w:rPr>
          <w:lang w:val="en-US"/>
        </w:rPr>
        <w:tab/>
      </w:r>
      <w:r w:rsidRPr="002C1617">
        <w:rPr>
          <w:szCs w:val="18"/>
          <w:lang w:val="en-US"/>
        </w:rPr>
        <w:t>Véa</w:t>
      </w:r>
      <w:r>
        <w:rPr>
          <w:szCs w:val="18"/>
          <w:lang w:val="en-US"/>
        </w:rPr>
        <w:t>n</w:t>
      </w:r>
      <w:r w:rsidRPr="002C1617">
        <w:rPr>
          <w:szCs w:val="18"/>
          <w:lang w:val="en-US"/>
        </w:rPr>
        <w:t xml:space="preserve">se </w:t>
      </w:r>
      <w:r w:rsidRPr="002C1617">
        <w:rPr>
          <w:bCs/>
          <w:szCs w:val="18"/>
          <w:lang w:val="en-US" w:eastAsia="en-GB"/>
        </w:rPr>
        <w:t xml:space="preserve">A/HRC/23/41/Add.2, párr. 40, y </w:t>
      </w:r>
      <w:r w:rsidRPr="002C1617">
        <w:rPr>
          <w:szCs w:val="18"/>
          <w:lang w:val="en-US"/>
        </w:rPr>
        <w:t>CAT/C/AUS/CO/4-5, párr. 11.</w:t>
      </w:r>
    </w:p>
  </w:footnote>
  <w:footnote w:id="73">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rPr>
          <w:lang w:val="en-US"/>
        </w:rPr>
        <w:tab/>
      </w:r>
      <w:r>
        <w:rPr>
          <w:rStyle w:val="FootnoteReference"/>
        </w:rPr>
        <w:footnoteRef/>
      </w:r>
      <w:r>
        <w:rPr>
          <w:lang w:val="en-US"/>
        </w:rPr>
        <w:tab/>
      </w:r>
      <w:r>
        <w:rPr>
          <w:szCs w:val="18"/>
          <w:lang w:val="en-US"/>
        </w:rPr>
        <w:t>Véanse</w:t>
      </w:r>
      <w:r w:rsidRPr="00EB0B74">
        <w:rPr>
          <w:szCs w:val="18"/>
          <w:lang w:val="en-US"/>
        </w:rPr>
        <w:t xml:space="preserve"> CAT/C/GRC/CO/5-6, p</w:t>
      </w:r>
      <w:r>
        <w:rPr>
          <w:szCs w:val="18"/>
          <w:lang w:val="en-US"/>
        </w:rPr>
        <w:t>árr</w:t>
      </w:r>
      <w:r w:rsidRPr="00EB0B74">
        <w:rPr>
          <w:szCs w:val="18"/>
          <w:lang w:val="en-US"/>
        </w:rPr>
        <w:t xml:space="preserve">. </w:t>
      </w:r>
      <w:r w:rsidRPr="00A0162A">
        <w:rPr>
          <w:szCs w:val="18"/>
          <w:lang w:val="en-US"/>
        </w:rPr>
        <w:t>14</w:t>
      </w:r>
      <w:r>
        <w:rPr>
          <w:szCs w:val="18"/>
          <w:lang w:val="en-US"/>
        </w:rPr>
        <w:t>,</w:t>
      </w:r>
      <w:r w:rsidRPr="00A0162A">
        <w:rPr>
          <w:szCs w:val="18"/>
          <w:lang w:val="en-US"/>
        </w:rPr>
        <w:t xml:space="preserve"> </w:t>
      </w:r>
      <w:r>
        <w:rPr>
          <w:szCs w:val="18"/>
          <w:lang w:val="en-US"/>
        </w:rPr>
        <w:t xml:space="preserve">y </w:t>
      </w:r>
      <w:r w:rsidRPr="00EB0B74">
        <w:rPr>
          <w:szCs w:val="18"/>
          <w:lang w:val="en-US"/>
        </w:rPr>
        <w:t>CAT/C/PER/CO/5-6, p</w:t>
      </w:r>
      <w:r>
        <w:rPr>
          <w:szCs w:val="18"/>
          <w:lang w:val="en-US"/>
        </w:rPr>
        <w:t>árr</w:t>
      </w:r>
      <w:r w:rsidRPr="00EB0B74">
        <w:rPr>
          <w:szCs w:val="18"/>
          <w:lang w:val="en-US"/>
        </w:rPr>
        <w:t xml:space="preserve">. </w:t>
      </w:r>
      <w:r w:rsidRPr="00933CF9">
        <w:rPr>
          <w:szCs w:val="18"/>
        </w:rPr>
        <w:t>10.</w:t>
      </w:r>
    </w:p>
  </w:footnote>
  <w:footnote w:id="74">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rsidRPr="00933CF9">
        <w:tab/>
      </w:r>
      <w:r>
        <w:rPr>
          <w:rStyle w:val="FootnoteReference"/>
        </w:rPr>
        <w:footnoteRef/>
      </w:r>
      <w:r w:rsidRPr="00933CF9">
        <w:tab/>
      </w:r>
      <w:r w:rsidRPr="00933CF9">
        <w:rPr>
          <w:szCs w:val="18"/>
        </w:rPr>
        <w:t xml:space="preserve">Véase </w:t>
      </w:r>
      <w:r w:rsidRPr="00933CF9">
        <w:rPr>
          <w:bCs/>
          <w:szCs w:val="18"/>
          <w:lang w:eastAsia="en-GB"/>
        </w:rPr>
        <w:t>A/65/255, párr. 29.</w:t>
      </w:r>
    </w:p>
  </w:footnote>
  <w:footnote w:id="75">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tab/>
      </w:r>
      <w:r>
        <w:rPr>
          <w:rStyle w:val="FootnoteReference"/>
        </w:rPr>
        <w:footnoteRef/>
      </w:r>
      <w:r w:rsidRPr="00FA1E9A">
        <w:tab/>
      </w:r>
      <w:r w:rsidRPr="00FA1E9A">
        <w:rPr>
          <w:szCs w:val="18"/>
        </w:rPr>
        <w:t xml:space="preserve">Véanse A/HRC/25/60/Add.1, párr. </w:t>
      </w:r>
      <w:r w:rsidRPr="00EB0B74">
        <w:rPr>
          <w:szCs w:val="18"/>
        </w:rPr>
        <w:t>54, y www.achpr.org/files/sessions/12th-eo/mission-reports/promotion_mission-2012/mission_report_mauritania_cpta_eng.pdf, p</w:t>
      </w:r>
      <w:r>
        <w:rPr>
          <w:szCs w:val="18"/>
        </w:rPr>
        <w:t>árr</w:t>
      </w:r>
      <w:r w:rsidRPr="00EB0B74">
        <w:rPr>
          <w:szCs w:val="18"/>
        </w:rPr>
        <w:t xml:space="preserve">. </w:t>
      </w:r>
      <w:r w:rsidRPr="00933CF9">
        <w:rPr>
          <w:szCs w:val="18"/>
          <w:lang w:val="en-US"/>
        </w:rPr>
        <w:t>76.</w:t>
      </w:r>
    </w:p>
  </w:footnote>
  <w:footnote w:id="76">
    <w:p w:rsidR="005E171C" w:rsidRPr="009B7230"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Pr>
          <w:rStyle w:val="FootnoteReference"/>
        </w:rPr>
        <w:footnoteRef/>
      </w:r>
      <w:r>
        <w:rPr>
          <w:lang w:val="en-US"/>
        </w:rPr>
        <w:tab/>
      </w:r>
      <w:r w:rsidRPr="009B7230">
        <w:rPr>
          <w:szCs w:val="18"/>
          <w:lang w:val="en-US"/>
        </w:rPr>
        <w:t xml:space="preserve">Véanse CAT/C/MDA/CO/2, párr. </w:t>
      </w:r>
      <w:r w:rsidRPr="00FA1E9A">
        <w:rPr>
          <w:szCs w:val="18"/>
          <w:lang w:val="en-US"/>
        </w:rPr>
        <w:t xml:space="preserve">18, A/HRC/22/53/Add.2, párr. </w:t>
      </w:r>
      <w:r w:rsidRPr="009B7230">
        <w:rPr>
          <w:szCs w:val="18"/>
        </w:rPr>
        <w:t>47</w:t>
      </w:r>
      <w:r>
        <w:rPr>
          <w:szCs w:val="18"/>
        </w:rPr>
        <w:t>,</w:t>
      </w:r>
      <w:r w:rsidRPr="009B7230">
        <w:rPr>
          <w:szCs w:val="18"/>
        </w:rPr>
        <w:t xml:space="preserve"> y </w:t>
      </w:r>
      <w:r w:rsidRPr="003C4FE1">
        <w:rPr>
          <w:i/>
          <w:color w:val="000000"/>
          <w:szCs w:val="18"/>
          <w:lang w:val="lv-LV" w:eastAsia="lv-LV"/>
        </w:rPr>
        <w:t xml:space="preserve">Tibi </w:t>
      </w:r>
      <w:r w:rsidR="002566F2">
        <w:rPr>
          <w:i/>
          <w:color w:val="000000"/>
          <w:szCs w:val="18"/>
          <w:lang w:val="lv-LV" w:eastAsia="lv-LV"/>
        </w:rPr>
        <w:t>vs</w:t>
      </w:r>
      <w:r w:rsidRPr="003C4FE1">
        <w:rPr>
          <w:i/>
          <w:color w:val="000000"/>
          <w:szCs w:val="18"/>
          <w:lang w:val="lv-LV" w:eastAsia="lv-LV"/>
        </w:rPr>
        <w:t>. Ecuador</w:t>
      </w:r>
      <w:r w:rsidRPr="00A0162A">
        <w:rPr>
          <w:color w:val="000000"/>
          <w:szCs w:val="18"/>
          <w:lang w:val="lv-LV" w:eastAsia="lv-LV"/>
        </w:rPr>
        <w:t xml:space="preserve">, </w:t>
      </w:r>
      <w:r w:rsidRPr="009B7230">
        <w:rPr>
          <w:szCs w:val="18"/>
        </w:rPr>
        <w:t xml:space="preserve">sentencia de la Corte Interamericana de Derechos Humanos </w:t>
      </w:r>
      <w:r w:rsidRPr="00A0162A">
        <w:rPr>
          <w:color w:val="000000"/>
          <w:szCs w:val="18"/>
          <w:lang w:val="lv-LV" w:eastAsia="lv-LV"/>
        </w:rPr>
        <w:t>(2004)</w:t>
      </w:r>
      <w:r>
        <w:rPr>
          <w:color w:val="000000"/>
          <w:szCs w:val="18"/>
          <w:lang w:val="lv-LV" w:eastAsia="lv-LV"/>
        </w:rPr>
        <w:t xml:space="preserve">, párr. </w:t>
      </w:r>
      <w:r w:rsidRPr="00A0162A">
        <w:rPr>
          <w:color w:val="000000"/>
          <w:szCs w:val="18"/>
          <w:lang w:val="lv-LV" w:eastAsia="lv-LV"/>
        </w:rPr>
        <w:t>150</w:t>
      </w:r>
      <w:r>
        <w:rPr>
          <w:color w:val="000000"/>
          <w:szCs w:val="18"/>
          <w:lang w:val="lv-LV" w:eastAsia="lv-LV"/>
        </w:rPr>
        <w:t>.</w:t>
      </w:r>
    </w:p>
  </w:footnote>
  <w:footnote w:id="77">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Pr>
          <w:rStyle w:val="FootnoteReference"/>
        </w:rPr>
        <w:footnoteRef/>
      </w:r>
      <w:r>
        <w:rPr>
          <w:lang w:val="en-US"/>
        </w:rPr>
        <w:tab/>
      </w:r>
      <w:r w:rsidRPr="009B7230">
        <w:rPr>
          <w:szCs w:val="18"/>
          <w:lang w:val="en-US"/>
        </w:rPr>
        <w:t xml:space="preserve">Véanse </w:t>
      </w:r>
      <w:r w:rsidRPr="00032CD6">
        <w:rPr>
          <w:szCs w:val="18"/>
          <w:lang w:val="lv-LV"/>
        </w:rPr>
        <w:t>A/HRC/25/60/Add.1, p</w:t>
      </w:r>
      <w:r>
        <w:rPr>
          <w:szCs w:val="18"/>
          <w:lang w:val="lv-LV"/>
        </w:rPr>
        <w:t>árr</w:t>
      </w:r>
      <w:r w:rsidRPr="00032CD6">
        <w:rPr>
          <w:szCs w:val="18"/>
          <w:lang w:val="lv-LV"/>
        </w:rPr>
        <w:t>. 44</w:t>
      </w:r>
      <w:r>
        <w:rPr>
          <w:szCs w:val="18"/>
          <w:lang w:val="lv-LV"/>
        </w:rPr>
        <w:t>,</w:t>
      </w:r>
      <w:r w:rsidRPr="00032CD6">
        <w:rPr>
          <w:szCs w:val="18"/>
          <w:lang w:val="lv-LV"/>
        </w:rPr>
        <w:t xml:space="preserve"> </w:t>
      </w:r>
      <w:r>
        <w:rPr>
          <w:szCs w:val="18"/>
          <w:lang w:val="lv-LV"/>
        </w:rPr>
        <w:t xml:space="preserve">y </w:t>
      </w:r>
      <w:r w:rsidRPr="00933CF9">
        <w:rPr>
          <w:szCs w:val="18"/>
          <w:lang w:val="en-US"/>
        </w:rPr>
        <w:t>CAT/OP/BEN/1, párr. 180</w:t>
      </w:r>
      <w:r w:rsidRPr="00032CD6">
        <w:rPr>
          <w:szCs w:val="18"/>
          <w:lang w:val="lv-LV"/>
        </w:rPr>
        <w:t>.</w:t>
      </w:r>
    </w:p>
  </w:footnote>
  <w:footnote w:id="78">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Pr>
          <w:rStyle w:val="FootnoteReference"/>
        </w:rPr>
        <w:footnoteRef/>
      </w:r>
      <w:r>
        <w:rPr>
          <w:lang w:val="en-US"/>
        </w:rPr>
        <w:tab/>
      </w:r>
      <w:r>
        <w:rPr>
          <w:szCs w:val="18"/>
          <w:lang w:val="en-US"/>
        </w:rPr>
        <w:t>Véanse</w:t>
      </w:r>
      <w:r w:rsidRPr="009B7230">
        <w:rPr>
          <w:szCs w:val="18"/>
          <w:lang w:val="en-US"/>
        </w:rPr>
        <w:t xml:space="preserve"> CAT/C/PER/CO/5-6, p</w:t>
      </w:r>
      <w:r>
        <w:rPr>
          <w:szCs w:val="18"/>
          <w:lang w:val="en-US"/>
        </w:rPr>
        <w:t>árr</w:t>
      </w:r>
      <w:r w:rsidRPr="009B7230">
        <w:rPr>
          <w:szCs w:val="18"/>
          <w:lang w:val="en-US"/>
        </w:rPr>
        <w:t>. 10</w:t>
      </w:r>
      <w:r>
        <w:rPr>
          <w:szCs w:val="18"/>
          <w:lang w:val="en-US"/>
        </w:rPr>
        <w:t>,</w:t>
      </w:r>
      <w:r w:rsidRPr="009B7230">
        <w:rPr>
          <w:szCs w:val="18"/>
          <w:lang w:val="en-US"/>
        </w:rPr>
        <w:t xml:space="preserve"> CAT/C/SYR/CO/1, p</w:t>
      </w:r>
      <w:r>
        <w:rPr>
          <w:szCs w:val="18"/>
          <w:lang w:val="en-US"/>
        </w:rPr>
        <w:t>árr</w:t>
      </w:r>
      <w:r w:rsidRPr="009B7230">
        <w:rPr>
          <w:szCs w:val="18"/>
          <w:lang w:val="en-US"/>
        </w:rPr>
        <w:t xml:space="preserve">. </w:t>
      </w:r>
      <w:r w:rsidRPr="00933CF9">
        <w:rPr>
          <w:szCs w:val="18"/>
          <w:lang w:val="en-US"/>
        </w:rPr>
        <w:t>30</w:t>
      </w:r>
      <w:r>
        <w:rPr>
          <w:szCs w:val="18"/>
          <w:lang w:val="en-US"/>
        </w:rPr>
        <w:t>,</w:t>
      </w:r>
      <w:r w:rsidRPr="00933CF9">
        <w:rPr>
          <w:szCs w:val="18"/>
          <w:lang w:val="en-US"/>
        </w:rPr>
        <w:t xml:space="preserve"> y CAT/C/LK</w:t>
      </w:r>
      <w:r>
        <w:rPr>
          <w:szCs w:val="18"/>
          <w:lang w:val="en-US"/>
        </w:rPr>
        <w:t>A/CO/3-4, párr. </w:t>
      </w:r>
      <w:r w:rsidRPr="00933CF9">
        <w:rPr>
          <w:szCs w:val="18"/>
          <w:lang w:val="en-US"/>
        </w:rPr>
        <w:t>14.</w:t>
      </w:r>
    </w:p>
  </w:footnote>
  <w:footnote w:id="79">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Pr="00933CF9">
        <w:rPr>
          <w:lang w:val="en-US"/>
        </w:rPr>
        <w:tab/>
      </w:r>
      <w:r w:rsidRPr="00933CF9">
        <w:rPr>
          <w:szCs w:val="18"/>
          <w:lang w:val="en-US"/>
        </w:rPr>
        <w:t>Véase A/HRC/25/60/Add.1, párr. 54.</w:t>
      </w:r>
    </w:p>
  </w:footnote>
  <w:footnote w:id="80">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rPr>
          <w:lang w:val="en-US"/>
        </w:rPr>
        <w:tab/>
      </w:r>
      <w:r>
        <w:rPr>
          <w:rStyle w:val="FootnoteReference"/>
        </w:rPr>
        <w:footnoteRef/>
      </w:r>
      <w:r w:rsidRPr="00933CF9">
        <w:rPr>
          <w:lang w:val="en-US"/>
        </w:rPr>
        <w:tab/>
      </w:r>
      <w:r w:rsidRPr="00933CF9">
        <w:rPr>
          <w:szCs w:val="18"/>
          <w:lang w:val="en-US"/>
        </w:rPr>
        <w:t xml:space="preserve">Véanse CAT/OP/BEN/1, párr. 218; CAT/OP/BRA/1, párr. </w:t>
      </w:r>
      <w:r w:rsidRPr="002566F2">
        <w:rPr>
          <w:szCs w:val="18"/>
        </w:rPr>
        <w:t xml:space="preserve">105; </w:t>
      </w:r>
      <w:r w:rsidRPr="00552141">
        <w:rPr>
          <w:bCs/>
          <w:color w:val="000000"/>
          <w:szCs w:val="18"/>
          <w:lang w:val="lv-LV" w:eastAsia="lv-LV"/>
        </w:rPr>
        <w:t>www.achpr.org/files/sessions/</w:t>
      </w:r>
      <w:r w:rsidR="002566F2">
        <w:rPr>
          <w:bCs/>
          <w:color w:val="000000"/>
          <w:szCs w:val="18"/>
          <w:lang w:val="lv-LV" w:eastAsia="lv-LV"/>
        </w:rPr>
        <w:br/>
      </w:r>
      <w:r w:rsidRPr="00552141">
        <w:rPr>
          <w:bCs/>
          <w:color w:val="000000"/>
          <w:szCs w:val="18"/>
          <w:lang w:val="lv-LV" w:eastAsia="lv-LV"/>
        </w:rPr>
        <w:t>12th-eo/mission-reports/promotion_mission-2012/mission_report_mauritania_cpta_eng.pdf</w:t>
      </w:r>
      <w:r>
        <w:rPr>
          <w:bCs/>
          <w:color w:val="000000"/>
          <w:szCs w:val="18"/>
          <w:lang w:val="lv-LV" w:eastAsia="lv-LV"/>
        </w:rPr>
        <w:t xml:space="preserve">, </w:t>
      </w:r>
      <w:r w:rsidR="002566F2">
        <w:rPr>
          <w:bCs/>
          <w:color w:val="000000"/>
          <w:szCs w:val="18"/>
          <w:lang w:val="lv-LV" w:eastAsia="lv-LV"/>
        </w:rPr>
        <w:t>párr</w:t>
      </w:r>
      <w:r>
        <w:rPr>
          <w:bCs/>
          <w:color w:val="000000"/>
          <w:szCs w:val="18"/>
          <w:lang w:val="lv-LV" w:eastAsia="lv-LV"/>
        </w:rPr>
        <w:t>.</w:t>
      </w:r>
      <w:r w:rsidR="002566F2">
        <w:rPr>
          <w:bCs/>
          <w:color w:val="000000"/>
          <w:szCs w:val="18"/>
          <w:lang w:val="lv-LV" w:eastAsia="lv-LV"/>
        </w:rPr>
        <w:t> </w:t>
      </w:r>
      <w:r w:rsidRPr="00A0162A">
        <w:rPr>
          <w:bCs/>
          <w:color w:val="000000"/>
          <w:szCs w:val="18"/>
          <w:lang w:val="lv-LV" w:eastAsia="lv-LV"/>
        </w:rPr>
        <w:t>76</w:t>
      </w:r>
      <w:r>
        <w:rPr>
          <w:bCs/>
          <w:color w:val="000000"/>
          <w:szCs w:val="18"/>
          <w:lang w:val="lv-LV" w:eastAsia="lv-LV"/>
        </w:rPr>
        <w:t>,</w:t>
      </w:r>
      <w:r w:rsidRPr="00A0162A">
        <w:rPr>
          <w:bCs/>
          <w:color w:val="000000"/>
          <w:szCs w:val="18"/>
          <w:lang w:val="lv-LV" w:eastAsia="lv-LV"/>
        </w:rPr>
        <w:t xml:space="preserve"> </w:t>
      </w:r>
      <w:r>
        <w:rPr>
          <w:bCs/>
          <w:color w:val="000000"/>
          <w:szCs w:val="18"/>
          <w:lang w:val="lv-LV" w:eastAsia="lv-LV"/>
        </w:rPr>
        <w:t>y documento del Consejo de Europa</w:t>
      </w:r>
      <w:r>
        <w:rPr>
          <w:szCs w:val="18"/>
        </w:rPr>
        <w:t xml:space="preserve"> </w:t>
      </w:r>
      <w:r w:rsidRPr="00A0162A">
        <w:rPr>
          <w:szCs w:val="18"/>
        </w:rPr>
        <w:t>CPT/Inf (2015) 12</w:t>
      </w:r>
      <w:r>
        <w:rPr>
          <w:szCs w:val="18"/>
        </w:rPr>
        <w:t>, párr.</w:t>
      </w:r>
      <w:r w:rsidR="002566F2">
        <w:rPr>
          <w:szCs w:val="18"/>
        </w:rPr>
        <w:t xml:space="preserve"> </w:t>
      </w:r>
      <w:r w:rsidRPr="00A0162A">
        <w:rPr>
          <w:szCs w:val="18"/>
        </w:rPr>
        <w:t>66.</w:t>
      </w:r>
    </w:p>
  </w:footnote>
  <w:footnote w:id="81">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Véase </w:t>
      </w:r>
      <w:r w:rsidRPr="00692CD4">
        <w:t>CAT/C/TGO/CO/2</w:t>
      </w:r>
      <w:r w:rsidRPr="001A4503">
        <w:t>, p</w:t>
      </w:r>
      <w:r>
        <w:t>árr</w:t>
      </w:r>
      <w:r w:rsidRPr="001A4503">
        <w:t>.</w:t>
      </w:r>
      <w:r w:rsidR="002566F2">
        <w:t xml:space="preserve"> </w:t>
      </w:r>
      <w:r w:rsidRPr="001A4503">
        <w:t>13.</w:t>
      </w:r>
    </w:p>
  </w:footnote>
  <w:footnote w:id="82">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Pr>
          <w:szCs w:val="18"/>
        </w:rPr>
        <w:t xml:space="preserve">Véase </w:t>
      </w:r>
      <w:r w:rsidRPr="00A0162A">
        <w:rPr>
          <w:szCs w:val="18"/>
        </w:rPr>
        <w:t>A/HRC/12/24</w:t>
      </w:r>
      <w:r>
        <w:rPr>
          <w:szCs w:val="18"/>
        </w:rPr>
        <w:t xml:space="preserve">, párrs. </w:t>
      </w:r>
      <w:r w:rsidRPr="00A0162A">
        <w:rPr>
          <w:szCs w:val="18"/>
        </w:rPr>
        <w:t>45</w:t>
      </w:r>
      <w:r>
        <w:rPr>
          <w:szCs w:val="18"/>
        </w:rPr>
        <w:t xml:space="preserve"> a </w:t>
      </w:r>
      <w:r w:rsidRPr="00A0162A">
        <w:rPr>
          <w:szCs w:val="18"/>
        </w:rPr>
        <w:t>47.</w:t>
      </w:r>
    </w:p>
  </w:footnote>
  <w:footnote w:id="83">
    <w:p w:rsidR="005E171C" w:rsidRPr="002C1617"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rsidRPr="00933CF9">
        <w:tab/>
      </w:r>
      <w:r w:rsidRPr="00933CF9">
        <w:rPr>
          <w:szCs w:val="18"/>
        </w:rPr>
        <w:t xml:space="preserve">Véanse A/HRC/25/57/Add.1, párrs. </w:t>
      </w:r>
      <w:r w:rsidRPr="009915FE">
        <w:rPr>
          <w:szCs w:val="18"/>
        </w:rPr>
        <w:t>70 a 72, 83n)</w:t>
      </w:r>
      <w:r w:rsidR="002566F2">
        <w:rPr>
          <w:szCs w:val="18"/>
        </w:rPr>
        <w:t>;</w:t>
      </w:r>
      <w:r w:rsidRPr="009915FE">
        <w:rPr>
          <w:szCs w:val="18"/>
        </w:rPr>
        <w:t xml:space="preserve"> y </w:t>
      </w:r>
      <w:r w:rsidRPr="009915FE">
        <w:rPr>
          <w:bCs/>
          <w:szCs w:val="18"/>
          <w:lang w:eastAsia="en-GB"/>
        </w:rPr>
        <w:t>A/HRC/22/50/Add.2, p</w:t>
      </w:r>
      <w:r>
        <w:rPr>
          <w:bCs/>
          <w:szCs w:val="18"/>
          <w:lang w:eastAsia="en-GB"/>
        </w:rPr>
        <w:t>árrs</w:t>
      </w:r>
      <w:r w:rsidRPr="009915FE">
        <w:rPr>
          <w:bCs/>
          <w:szCs w:val="18"/>
          <w:lang w:eastAsia="en-GB"/>
        </w:rPr>
        <w:t xml:space="preserve">. </w:t>
      </w:r>
      <w:r w:rsidRPr="002C1617">
        <w:rPr>
          <w:bCs/>
          <w:szCs w:val="18"/>
          <w:lang w:eastAsia="en-GB"/>
        </w:rPr>
        <w:t>12 a 14.</w:t>
      </w:r>
    </w:p>
  </w:footnote>
  <w:footnote w:id="84">
    <w:p w:rsidR="005E171C" w:rsidRPr="00FA1E9A"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9915FE">
        <w:rPr>
          <w:szCs w:val="18"/>
        </w:rPr>
        <w:t xml:space="preserve">Véase </w:t>
      </w:r>
      <w:r w:rsidRPr="009915FE">
        <w:rPr>
          <w:bCs/>
          <w:szCs w:val="18"/>
          <w:lang w:eastAsia="en-GB"/>
        </w:rPr>
        <w:t>A/HRC/22/50/Add.2, p</w:t>
      </w:r>
      <w:r>
        <w:rPr>
          <w:bCs/>
          <w:szCs w:val="18"/>
          <w:lang w:eastAsia="en-GB"/>
        </w:rPr>
        <w:t>árr</w:t>
      </w:r>
      <w:r w:rsidRPr="009915FE">
        <w:rPr>
          <w:bCs/>
          <w:szCs w:val="18"/>
          <w:lang w:eastAsia="en-GB"/>
        </w:rPr>
        <w:t xml:space="preserve">. 13. Véase también </w:t>
      </w:r>
      <w:r w:rsidRPr="009915FE">
        <w:rPr>
          <w:szCs w:val="18"/>
        </w:rPr>
        <w:t>CAT/OP/MEX/1, p</w:t>
      </w:r>
      <w:r>
        <w:rPr>
          <w:szCs w:val="18"/>
        </w:rPr>
        <w:t>árr</w:t>
      </w:r>
      <w:r w:rsidRPr="009915FE">
        <w:rPr>
          <w:szCs w:val="18"/>
        </w:rPr>
        <w:t xml:space="preserve">. </w:t>
      </w:r>
      <w:r w:rsidRPr="00FA1E9A">
        <w:rPr>
          <w:szCs w:val="18"/>
        </w:rPr>
        <w:t>112.</w:t>
      </w:r>
    </w:p>
  </w:footnote>
  <w:footnote w:id="85">
    <w:p w:rsidR="005E171C" w:rsidRPr="00FA1E9A" w:rsidRDefault="005E171C" w:rsidP="00FA6C6A">
      <w:pPr>
        <w:pStyle w:val="FootnoteText"/>
        <w:tabs>
          <w:tab w:val="clear" w:pos="418"/>
          <w:tab w:val="right" w:pos="1195"/>
          <w:tab w:val="left" w:pos="1267"/>
          <w:tab w:val="left" w:pos="1742"/>
          <w:tab w:val="left" w:pos="2218"/>
          <w:tab w:val="left" w:pos="2693"/>
        </w:tabs>
        <w:ind w:left="1267" w:right="1267" w:hanging="432"/>
      </w:pPr>
      <w:r w:rsidRPr="00FA1E9A">
        <w:tab/>
      </w:r>
      <w:r>
        <w:rPr>
          <w:rStyle w:val="FootnoteReference"/>
        </w:rPr>
        <w:footnoteRef/>
      </w:r>
      <w:r w:rsidRPr="00FA1E9A">
        <w:tab/>
      </w:r>
      <w:r w:rsidRPr="00FA1E9A">
        <w:rPr>
          <w:szCs w:val="18"/>
        </w:rPr>
        <w:t>Véanse A/HRC/25/57/Add.1, párr. 70</w:t>
      </w:r>
      <w:r w:rsidR="002566F2">
        <w:rPr>
          <w:szCs w:val="18"/>
        </w:rPr>
        <w:t>;</w:t>
      </w:r>
      <w:r w:rsidRPr="00FA1E9A">
        <w:rPr>
          <w:szCs w:val="18"/>
        </w:rPr>
        <w:t xml:space="preserve"> y A/HRC/22/50/Add.2, párr. 14.</w:t>
      </w:r>
    </w:p>
  </w:footnote>
  <w:footnote w:id="86">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rsidRPr="00FA1E9A">
        <w:tab/>
      </w:r>
      <w:r>
        <w:rPr>
          <w:rStyle w:val="FootnoteReference"/>
        </w:rPr>
        <w:footnoteRef/>
      </w:r>
      <w:r w:rsidRPr="00FA1E9A">
        <w:tab/>
      </w:r>
      <w:r w:rsidRPr="00FA1E9A">
        <w:rPr>
          <w:szCs w:val="18"/>
        </w:rPr>
        <w:t xml:space="preserve">Véanse CAT/C/BLR/CO/4, párr. </w:t>
      </w:r>
      <w:r w:rsidRPr="00136926">
        <w:rPr>
          <w:szCs w:val="18"/>
        </w:rPr>
        <w:t>19</w:t>
      </w:r>
      <w:r w:rsidR="002566F2" w:rsidRPr="00136926">
        <w:rPr>
          <w:szCs w:val="18"/>
        </w:rPr>
        <w:t>;</w:t>
      </w:r>
      <w:r w:rsidRPr="00136926">
        <w:rPr>
          <w:szCs w:val="18"/>
        </w:rPr>
        <w:t xml:space="preserve"> CAT/C/BGR/CO/4-5, párr. </w:t>
      </w:r>
      <w:r w:rsidRPr="0031443B">
        <w:rPr>
          <w:szCs w:val="18"/>
          <w:lang w:val="en-US"/>
        </w:rPr>
        <w:t>21</w:t>
      </w:r>
      <w:r w:rsidR="002566F2">
        <w:rPr>
          <w:szCs w:val="18"/>
          <w:lang w:val="en-US"/>
        </w:rPr>
        <w:t>;</w:t>
      </w:r>
      <w:r w:rsidRPr="0031443B">
        <w:rPr>
          <w:szCs w:val="18"/>
          <w:lang w:val="en-US"/>
        </w:rPr>
        <w:t xml:space="preserve"> CAT/C/KHM/CO/2, párr. 19</w:t>
      </w:r>
      <w:r w:rsidR="002566F2">
        <w:rPr>
          <w:szCs w:val="18"/>
          <w:lang w:val="en-US"/>
        </w:rPr>
        <w:t>;</w:t>
      </w:r>
      <w:r w:rsidRPr="0031443B">
        <w:rPr>
          <w:szCs w:val="18"/>
          <w:lang w:val="en-US"/>
        </w:rPr>
        <w:t xml:space="preserve"> CAT/C/GAB/CO/1, párr. 17</w:t>
      </w:r>
      <w:r w:rsidR="002566F2">
        <w:rPr>
          <w:szCs w:val="18"/>
          <w:lang w:val="en-US"/>
        </w:rPr>
        <w:t>;</w:t>
      </w:r>
      <w:r w:rsidRPr="0031443B">
        <w:rPr>
          <w:szCs w:val="18"/>
          <w:lang w:val="en-US"/>
        </w:rPr>
        <w:t xml:space="preserve"> CAT/C/MAR/CO/4, párr. </w:t>
      </w:r>
      <w:r w:rsidRPr="00933CF9">
        <w:rPr>
          <w:szCs w:val="18"/>
        </w:rPr>
        <w:t>19</w:t>
      </w:r>
      <w:r w:rsidR="002566F2">
        <w:rPr>
          <w:szCs w:val="18"/>
        </w:rPr>
        <w:t>;</w:t>
      </w:r>
      <w:r w:rsidRPr="00933CF9">
        <w:rPr>
          <w:szCs w:val="18"/>
        </w:rPr>
        <w:t xml:space="preserve"> y A/HRC/22/53/Add.2, párr. 66.</w:t>
      </w:r>
    </w:p>
  </w:footnote>
  <w:footnote w:id="87">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rsidRPr="00933CF9">
        <w:tab/>
      </w:r>
      <w:r>
        <w:rPr>
          <w:rStyle w:val="FootnoteReference"/>
        </w:rPr>
        <w:footnoteRef/>
      </w:r>
      <w:r w:rsidRPr="00933CF9">
        <w:tab/>
      </w:r>
      <w:r w:rsidRPr="00933CF9">
        <w:rPr>
          <w:szCs w:val="18"/>
        </w:rPr>
        <w:t xml:space="preserve">Véanse </w:t>
      </w:r>
      <w:hyperlink r:id="rId5" w:history="1">
        <w:r w:rsidRPr="00933CF9">
          <w:rPr>
            <w:rStyle w:val="Hyperlink"/>
            <w:szCs w:val="18"/>
          </w:rPr>
          <w:t>www.achpr.org/files/sessions/37th/mission-reports/ethiopia/misrep_specmec_priso_</w:t>
        </w:r>
        <w:r>
          <w:rPr>
            <w:rStyle w:val="Hyperlink"/>
            <w:szCs w:val="18"/>
          </w:rPr>
          <w:br/>
        </w:r>
        <w:r w:rsidRPr="00933CF9">
          <w:rPr>
            <w:rStyle w:val="Hyperlink"/>
            <w:szCs w:val="18"/>
          </w:rPr>
          <w:t>ethopia_2004_eng.pdf</w:t>
        </w:r>
      </w:hyperlink>
      <w:r w:rsidRPr="00933CF9">
        <w:rPr>
          <w:szCs w:val="18"/>
        </w:rPr>
        <w:t xml:space="preserve">, pág. 20; A/HRC/25/60/Add.1, párr. </w:t>
      </w:r>
      <w:r w:rsidRPr="0031443B">
        <w:rPr>
          <w:szCs w:val="18"/>
        </w:rPr>
        <w:t>54</w:t>
      </w:r>
      <w:r>
        <w:rPr>
          <w:szCs w:val="18"/>
        </w:rPr>
        <w:t>,</w:t>
      </w:r>
      <w:r w:rsidRPr="0031443B">
        <w:rPr>
          <w:szCs w:val="18"/>
        </w:rPr>
        <w:t xml:space="preserve"> y documento del Consejo de Europa CPT/Inf (2014) 26, p</w:t>
      </w:r>
      <w:r>
        <w:rPr>
          <w:szCs w:val="18"/>
        </w:rPr>
        <w:t>árr</w:t>
      </w:r>
      <w:r w:rsidRPr="0031443B">
        <w:rPr>
          <w:szCs w:val="18"/>
        </w:rPr>
        <w:t xml:space="preserve">. </w:t>
      </w:r>
      <w:r w:rsidRPr="00933CF9">
        <w:rPr>
          <w:szCs w:val="18"/>
        </w:rPr>
        <w:t>110.</w:t>
      </w:r>
    </w:p>
  </w:footnote>
  <w:footnote w:id="88">
    <w:p w:rsidR="005E171C" w:rsidRPr="00FA1E9A"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31443B">
        <w:rPr>
          <w:szCs w:val="18"/>
        </w:rPr>
        <w:t xml:space="preserve">Véase </w:t>
      </w:r>
      <w:hyperlink r:id="rId6" w:history="1">
        <w:r w:rsidRPr="001E1861">
          <w:rPr>
            <w:rStyle w:val="Hyperlink"/>
            <w:bCs/>
            <w:szCs w:val="18"/>
            <w:lang w:val="lv-LV" w:eastAsia="lv-LV"/>
          </w:rPr>
          <w:t>www.achpr.org/files/sessions/37th/mission-reports/ethiopia/misrep_specmec_priso_ethopia</w:t>
        </w:r>
        <w:r w:rsidR="002566F2">
          <w:rPr>
            <w:rStyle w:val="Hyperlink"/>
            <w:bCs/>
            <w:szCs w:val="18"/>
            <w:lang w:val="lv-LV" w:eastAsia="lv-LV"/>
          </w:rPr>
          <w:br/>
        </w:r>
        <w:r w:rsidRPr="001E1861">
          <w:rPr>
            <w:rStyle w:val="Hyperlink"/>
            <w:bCs/>
            <w:szCs w:val="18"/>
            <w:lang w:val="lv-LV" w:eastAsia="lv-LV"/>
          </w:rPr>
          <w:t>_2004_eng.pdf</w:t>
        </w:r>
      </w:hyperlink>
      <w:r>
        <w:rPr>
          <w:bCs/>
          <w:szCs w:val="18"/>
          <w:lang w:val="lv-LV" w:eastAsia="lv-LV"/>
        </w:rPr>
        <w:t xml:space="preserve">, </w:t>
      </w:r>
      <w:r w:rsidRPr="00A0162A">
        <w:rPr>
          <w:bCs/>
          <w:color w:val="000000"/>
          <w:szCs w:val="18"/>
          <w:lang w:val="lv-LV" w:eastAsia="lv-LV"/>
        </w:rPr>
        <w:t>p</w:t>
      </w:r>
      <w:r>
        <w:rPr>
          <w:bCs/>
          <w:color w:val="000000"/>
          <w:szCs w:val="18"/>
          <w:lang w:val="lv-LV" w:eastAsia="lv-LV"/>
        </w:rPr>
        <w:t>ág</w:t>
      </w:r>
      <w:r w:rsidRPr="00A0162A">
        <w:rPr>
          <w:bCs/>
          <w:color w:val="000000"/>
          <w:szCs w:val="18"/>
          <w:lang w:val="lv-LV" w:eastAsia="lv-LV"/>
        </w:rPr>
        <w:t>. 33</w:t>
      </w:r>
      <w:r>
        <w:rPr>
          <w:bCs/>
          <w:color w:val="000000"/>
          <w:szCs w:val="18"/>
          <w:lang w:val="lv-LV" w:eastAsia="lv-LV"/>
        </w:rPr>
        <w:t>.</w:t>
      </w:r>
      <w:r w:rsidRPr="00A0162A">
        <w:rPr>
          <w:bCs/>
          <w:color w:val="000000"/>
          <w:szCs w:val="18"/>
          <w:lang w:val="lv-LV" w:eastAsia="lv-LV"/>
        </w:rPr>
        <w:t xml:space="preserve"> </w:t>
      </w:r>
      <w:r>
        <w:rPr>
          <w:bCs/>
          <w:color w:val="000000"/>
          <w:szCs w:val="18"/>
          <w:lang w:val="lv-LV" w:eastAsia="lv-LV"/>
        </w:rPr>
        <w:t>Véanse también documento del Consejo de Europa</w:t>
      </w:r>
      <w:r w:rsidRPr="002C2673">
        <w:rPr>
          <w:szCs w:val="18"/>
        </w:rPr>
        <w:t xml:space="preserve"> CPT/Inf (2014) 26, p</w:t>
      </w:r>
      <w:r>
        <w:rPr>
          <w:szCs w:val="18"/>
        </w:rPr>
        <w:t>árr</w:t>
      </w:r>
      <w:r w:rsidRPr="002C2673">
        <w:rPr>
          <w:szCs w:val="18"/>
        </w:rPr>
        <w:t xml:space="preserve">. </w:t>
      </w:r>
      <w:r w:rsidRPr="000D6AB6">
        <w:rPr>
          <w:szCs w:val="18"/>
        </w:rPr>
        <w:t xml:space="preserve">110, A/HRC/25/71, párr. </w:t>
      </w:r>
      <w:r w:rsidRPr="00FA1E9A">
        <w:rPr>
          <w:szCs w:val="18"/>
        </w:rPr>
        <w:t>35</w:t>
      </w:r>
      <w:r w:rsidR="002566F2">
        <w:rPr>
          <w:szCs w:val="18"/>
        </w:rPr>
        <w:t>;</w:t>
      </w:r>
      <w:r w:rsidRPr="00FA1E9A">
        <w:rPr>
          <w:szCs w:val="18"/>
        </w:rPr>
        <w:t xml:space="preserve"> y CAT/OP/BEN/1, párr. 208.</w:t>
      </w:r>
    </w:p>
  </w:footnote>
  <w:footnote w:id="89">
    <w:p w:rsidR="005E171C" w:rsidRPr="002C2673"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FA1E9A">
        <w:tab/>
      </w:r>
      <w:r>
        <w:rPr>
          <w:rStyle w:val="FootnoteReference"/>
        </w:rPr>
        <w:footnoteRef/>
      </w:r>
      <w:r w:rsidRPr="00FA1E9A">
        <w:tab/>
      </w:r>
      <w:r w:rsidRPr="00FA1E9A">
        <w:rPr>
          <w:szCs w:val="18"/>
        </w:rPr>
        <w:t xml:space="preserve">Véanse </w:t>
      </w:r>
      <w:r w:rsidRPr="00A0162A">
        <w:rPr>
          <w:szCs w:val="18"/>
          <w:lang w:val="lv-LV" w:eastAsia="lv-LV"/>
        </w:rPr>
        <w:t>A/HRC/13/39/Add.5</w:t>
      </w:r>
      <w:r>
        <w:rPr>
          <w:szCs w:val="18"/>
          <w:lang w:val="lv-LV" w:eastAsia="lv-LV"/>
        </w:rPr>
        <w:t xml:space="preserve">, párr. </w:t>
      </w:r>
      <w:r w:rsidRPr="00A0162A">
        <w:rPr>
          <w:szCs w:val="18"/>
          <w:lang w:val="lv-LV" w:eastAsia="lv-LV"/>
        </w:rPr>
        <w:t>91</w:t>
      </w:r>
      <w:r w:rsidR="002566F2">
        <w:rPr>
          <w:szCs w:val="18"/>
          <w:lang w:val="lv-LV" w:eastAsia="lv-LV"/>
        </w:rPr>
        <w:t>;</w:t>
      </w:r>
      <w:r w:rsidRPr="00A0162A">
        <w:rPr>
          <w:szCs w:val="18"/>
          <w:lang w:val="lv-LV" w:eastAsia="lv-LV"/>
        </w:rPr>
        <w:t xml:space="preserve"> </w:t>
      </w:r>
      <w:r w:rsidRPr="00136926">
        <w:rPr>
          <w:szCs w:val="18"/>
        </w:rPr>
        <w:t>A/HRC/25/60/Add.1, párr. 44</w:t>
      </w:r>
      <w:r w:rsidR="002566F2" w:rsidRPr="00136926">
        <w:rPr>
          <w:szCs w:val="18"/>
        </w:rPr>
        <w:t>;</w:t>
      </w:r>
      <w:r w:rsidRPr="00136926">
        <w:rPr>
          <w:szCs w:val="18"/>
        </w:rPr>
        <w:t xml:space="preserve"> CCPR/C/BGR/CO/3, párr. </w:t>
      </w:r>
      <w:r w:rsidRPr="002C2673">
        <w:rPr>
          <w:szCs w:val="18"/>
          <w:lang w:val="en-US"/>
        </w:rPr>
        <w:t>18</w:t>
      </w:r>
      <w:r w:rsidR="002566F2">
        <w:rPr>
          <w:szCs w:val="18"/>
          <w:lang w:val="en-US"/>
        </w:rPr>
        <w:t>;</w:t>
      </w:r>
      <w:r w:rsidRPr="002C2673">
        <w:rPr>
          <w:szCs w:val="18"/>
          <w:lang w:val="en-US"/>
        </w:rPr>
        <w:t xml:space="preserve"> </w:t>
      </w:r>
      <w:r>
        <w:rPr>
          <w:szCs w:val="18"/>
          <w:lang w:val="en-US"/>
        </w:rPr>
        <w:t>y</w:t>
      </w:r>
      <w:r w:rsidRPr="002C2673">
        <w:rPr>
          <w:szCs w:val="18"/>
          <w:lang w:val="en-US"/>
        </w:rPr>
        <w:t xml:space="preserve"> CCPR/C/NIC/CO/3, p</w:t>
      </w:r>
      <w:r>
        <w:rPr>
          <w:szCs w:val="18"/>
          <w:lang w:val="en-US"/>
        </w:rPr>
        <w:t>árr</w:t>
      </w:r>
      <w:r w:rsidRPr="002C2673">
        <w:rPr>
          <w:szCs w:val="18"/>
          <w:lang w:val="en-US"/>
        </w:rPr>
        <w:t>. 17.</w:t>
      </w:r>
    </w:p>
  </w:footnote>
  <w:footnote w:id="90">
    <w:p w:rsidR="005E171C" w:rsidRPr="002C2673"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Pr>
          <w:rStyle w:val="FootnoteReference"/>
        </w:rPr>
        <w:footnoteRef/>
      </w:r>
      <w:r>
        <w:rPr>
          <w:lang w:val="en-US"/>
        </w:rPr>
        <w:tab/>
      </w:r>
      <w:r w:rsidRPr="002C2673">
        <w:rPr>
          <w:szCs w:val="18"/>
          <w:lang w:val="en-US"/>
        </w:rPr>
        <w:t>Vé</w:t>
      </w:r>
      <w:r>
        <w:rPr>
          <w:szCs w:val="18"/>
          <w:lang w:val="en-US"/>
        </w:rPr>
        <w:t>anse CAT/C/FIN/CO/5-6, párr. 14</w:t>
      </w:r>
      <w:r w:rsidR="002566F2">
        <w:rPr>
          <w:szCs w:val="18"/>
          <w:lang w:val="en-US"/>
        </w:rPr>
        <w:t>;</w:t>
      </w:r>
      <w:r w:rsidRPr="002C2673">
        <w:rPr>
          <w:szCs w:val="18"/>
          <w:lang w:val="en-US"/>
        </w:rPr>
        <w:t xml:space="preserve"> CAT/C/GRC/CO/5-6, p</w:t>
      </w:r>
      <w:r>
        <w:rPr>
          <w:szCs w:val="18"/>
          <w:lang w:val="en-US"/>
        </w:rPr>
        <w:t>árr</w:t>
      </w:r>
      <w:r w:rsidRPr="002C2673">
        <w:rPr>
          <w:szCs w:val="18"/>
          <w:lang w:val="en-US"/>
        </w:rPr>
        <w:t>. 14</w:t>
      </w:r>
      <w:r w:rsidR="002566F2">
        <w:rPr>
          <w:szCs w:val="18"/>
          <w:lang w:val="en-US"/>
        </w:rPr>
        <w:t>;</w:t>
      </w:r>
      <w:r w:rsidRPr="002C2673">
        <w:rPr>
          <w:szCs w:val="18"/>
          <w:lang w:val="en-US"/>
        </w:rPr>
        <w:t xml:space="preserve"> </w:t>
      </w:r>
      <w:r w:rsidRPr="002566F2">
        <w:rPr>
          <w:spacing w:val="4"/>
          <w:szCs w:val="18"/>
          <w:lang w:val="en-US"/>
        </w:rPr>
        <w:t>CAT/C/MDA/CO/2, párr. 18</w:t>
      </w:r>
      <w:r w:rsidR="002566F2" w:rsidRPr="002566F2">
        <w:rPr>
          <w:spacing w:val="4"/>
          <w:szCs w:val="18"/>
          <w:lang w:val="en-US"/>
        </w:rPr>
        <w:t>;</w:t>
      </w:r>
      <w:r w:rsidRPr="002C2673">
        <w:rPr>
          <w:szCs w:val="18"/>
          <w:lang w:val="en-US"/>
        </w:rPr>
        <w:t xml:space="preserve"> CCPR/C/JAM/CO/3, párr. 23</w:t>
      </w:r>
      <w:r w:rsidR="002566F2">
        <w:rPr>
          <w:szCs w:val="18"/>
          <w:lang w:val="en-US"/>
        </w:rPr>
        <w:t>;</w:t>
      </w:r>
      <w:r w:rsidRPr="002C2673">
        <w:rPr>
          <w:szCs w:val="18"/>
          <w:lang w:val="en-US"/>
        </w:rPr>
        <w:t xml:space="preserve"> CAT/OP/BEN/1, p</w:t>
      </w:r>
      <w:r>
        <w:rPr>
          <w:szCs w:val="18"/>
          <w:lang w:val="en-US"/>
        </w:rPr>
        <w:t>árr</w:t>
      </w:r>
      <w:r w:rsidRPr="002C2673">
        <w:rPr>
          <w:szCs w:val="18"/>
          <w:lang w:val="en-US"/>
        </w:rPr>
        <w:t>. 208</w:t>
      </w:r>
      <w:r w:rsidR="002566F2">
        <w:rPr>
          <w:szCs w:val="18"/>
          <w:lang w:val="en-US"/>
        </w:rPr>
        <w:t>;</w:t>
      </w:r>
      <w:r w:rsidRPr="002C2673">
        <w:rPr>
          <w:szCs w:val="18"/>
          <w:lang w:val="en-US"/>
        </w:rPr>
        <w:t xml:space="preserve"> </w:t>
      </w:r>
      <w:r>
        <w:rPr>
          <w:szCs w:val="18"/>
          <w:lang w:val="en-US"/>
        </w:rPr>
        <w:t>y</w:t>
      </w:r>
      <w:r w:rsidRPr="002C2673">
        <w:rPr>
          <w:szCs w:val="18"/>
          <w:lang w:val="en-US"/>
        </w:rPr>
        <w:t xml:space="preserve"> CPT/Inf (2014) 26, p</w:t>
      </w:r>
      <w:r>
        <w:rPr>
          <w:szCs w:val="18"/>
          <w:lang w:val="en-US"/>
        </w:rPr>
        <w:t>árr</w:t>
      </w:r>
      <w:r w:rsidRPr="002C2673">
        <w:rPr>
          <w:szCs w:val="18"/>
          <w:lang w:val="en-US"/>
        </w:rPr>
        <w:t>. 101.</w:t>
      </w:r>
    </w:p>
  </w:footnote>
  <w:footnote w:id="91">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Pr="00933CF9">
        <w:rPr>
          <w:lang w:val="en-US"/>
        </w:rPr>
        <w:tab/>
      </w:r>
      <w:r w:rsidRPr="00933CF9">
        <w:rPr>
          <w:szCs w:val="18"/>
          <w:lang w:val="en-US"/>
        </w:rPr>
        <w:t xml:space="preserve">Véanse CAT/OP/BRA/1, párr. </w:t>
      </w:r>
      <w:r w:rsidRPr="002C2673">
        <w:rPr>
          <w:szCs w:val="18"/>
        </w:rPr>
        <w:t>106</w:t>
      </w:r>
      <w:r w:rsidR="00C46E2F">
        <w:rPr>
          <w:szCs w:val="18"/>
        </w:rPr>
        <w:t>;</w:t>
      </w:r>
      <w:r w:rsidRPr="002C2673">
        <w:rPr>
          <w:szCs w:val="18"/>
        </w:rPr>
        <w:t xml:space="preserve"> y CAT/OP/MEX/1, p</w:t>
      </w:r>
      <w:r>
        <w:rPr>
          <w:szCs w:val="18"/>
        </w:rPr>
        <w:t>árr</w:t>
      </w:r>
      <w:r w:rsidRPr="002C2673">
        <w:rPr>
          <w:szCs w:val="18"/>
        </w:rPr>
        <w:t xml:space="preserve">. </w:t>
      </w:r>
      <w:r w:rsidRPr="00933CF9">
        <w:rPr>
          <w:szCs w:val="18"/>
          <w:lang w:val="en-US"/>
        </w:rPr>
        <w:t>187.</w:t>
      </w:r>
    </w:p>
  </w:footnote>
  <w:footnote w:id="92">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rPr>
          <w:lang w:val="en-US"/>
        </w:rPr>
        <w:tab/>
      </w:r>
      <w:r>
        <w:rPr>
          <w:rStyle w:val="FootnoteReference"/>
        </w:rPr>
        <w:footnoteRef/>
      </w:r>
      <w:r>
        <w:rPr>
          <w:lang w:val="en-US"/>
        </w:rPr>
        <w:tab/>
      </w:r>
      <w:r>
        <w:rPr>
          <w:szCs w:val="18"/>
          <w:lang w:val="en-US"/>
        </w:rPr>
        <w:t>Véanse</w:t>
      </w:r>
      <w:r w:rsidRPr="002C2673">
        <w:rPr>
          <w:szCs w:val="18"/>
          <w:lang w:val="en-US"/>
        </w:rPr>
        <w:t xml:space="preserve"> CAT/OP/PRY/1, p</w:t>
      </w:r>
      <w:r>
        <w:rPr>
          <w:szCs w:val="18"/>
          <w:lang w:val="en-US"/>
        </w:rPr>
        <w:t>árr</w:t>
      </w:r>
      <w:r w:rsidRPr="002C2673">
        <w:rPr>
          <w:szCs w:val="18"/>
          <w:lang w:val="en-US"/>
        </w:rPr>
        <w:t xml:space="preserve">. </w:t>
      </w:r>
      <w:r w:rsidRPr="00933CF9">
        <w:rPr>
          <w:szCs w:val="18"/>
        </w:rPr>
        <w:t>148</w:t>
      </w:r>
      <w:r w:rsidR="00C46E2F">
        <w:rPr>
          <w:szCs w:val="18"/>
        </w:rPr>
        <w:t>;</w:t>
      </w:r>
      <w:r w:rsidRPr="00933CF9">
        <w:rPr>
          <w:szCs w:val="18"/>
        </w:rPr>
        <w:t xml:space="preserve"> CAT/OP/BRA/1, párr. 137</w:t>
      </w:r>
      <w:r w:rsidR="00C46E2F">
        <w:rPr>
          <w:szCs w:val="18"/>
        </w:rPr>
        <w:t>;</w:t>
      </w:r>
      <w:r w:rsidRPr="00933CF9">
        <w:rPr>
          <w:szCs w:val="18"/>
        </w:rPr>
        <w:t xml:space="preserve"> A/HRC/22/53/Add.2, párr. </w:t>
      </w:r>
      <w:r w:rsidRPr="002C2673">
        <w:rPr>
          <w:szCs w:val="18"/>
        </w:rPr>
        <w:t>47</w:t>
      </w:r>
      <w:r>
        <w:rPr>
          <w:szCs w:val="18"/>
        </w:rPr>
        <w:t>,</w:t>
      </w:r>
      <w:r w:rsidRPr="002C2673">
        <w:rPr>
          <w:szCs w:val="18"/>
        </w:rPr>
        <w:t xml:space="preserve"> </w:t>
      </w:r>
      <w:r>
        <w:rPr>
          <w:i/>
          <w:color w:val="000000"/>
          <w:szCs w:val="18"/>
          <w:lang w:val="lv-LV" w:eastAsia="lv-LV"/>
        </w:rPr>
        <w:t>Tibi </w:t>
      </w:r>
      <w:r w:rsidR="00C46E2F">
        <w:rPr>
          <w:i/>
          <w:color w:val="000000"/>
          <w:szCs w:val="18"/>
          <w:lang w:val="lv-LV" w:eastAsia="lv-LV"/>
        </w:rPr>
        <w:t>vs</w:t>
      </w:r>
      <w:r w:rsidRPr="003C4FE1">
        <w:rPr>
          <w:i/>
          <w:color w:val="000000"/>
          <w:szCs w:val="18"/>
          <w:lang w:val="lv-LV" w:eastAsia="lv-LV"/>
        </w:rPr>
        <w:t>. Ecuador</w:t>
      </w:r>
      <w:r w:rsidRPr="00A0162A">
        <w:rPr>
          <w:color w:val="000000"/>
          <w:szCs w:val="18"/>
          <w:lang w:val="lv-LV" w:eastAsia="lv-LV"/>
        </w:rPr>
        <w:t xml:space="preserve">, </w:t>
      </w:r>
      <w:r w:rsidRPr="002C2673">
        <w:rPr>
          <w:szCs w:val="18"/>
        </w:rPr>
        <w:t xml:space="preserve">sentencia de la Corte Interamericana de Derechos Humanos </w:t>
      </w:r>
      <w:r w:rsidRPr="00A0162A">
        <w:rPr>
          <w:color w:val="000000"/>
          <w:szCs w:val="18"/>
          <w:lang w:val="lv-LV" w:eastAsia="lv-LV"/>
        </w:rPr>
        <w:t>(2004)</w:t>
      </w:r>
      <w:r>
        <w:rPr>
          <w:color w:val="000000"/>
          <w:szCs w:val="18"/>
          <w:lang w:val="lv-LV" w:eastAsia="lv-LV"/>
        </w:rPr>
        <w:t xml:space="preserve">, párr. </w:t>
      </w:r>
      <w:r w:rsidRPr="00A0162A">
        <w:rPr>
          <w:color w:val="000000"/>
          <w:szCs w:val="18"/>
          <w:lang w:val="lv-LV" w:eastAsia="lv-LV"/>
        </w:rPr>
        <w:t>15</w:t>
      </w:r>
      <w:r>
        <w:rPr>
          <w:color w:val="000000"/>
          <w:szCs w:val="18"/>
          <w:lang w:val="lv-LV" w:eastAsia="lv-LV"/>
        </w:rPr>
        <w:t>0</w:t>
      </w:r>
      <w:r w:rsidR="00C46E2F">
        <w:rPr>
          <w:color w:val="000000"/>
          <w:szCs w:val="18"/>
          <w:lang w:val="lv-LV" w:eastAsia="lv-LV"/>
        </w:rPr>
        <w:t>;</w:t>
      </w:r>
      <w:r w:rsidRPr="00A0162A">
        <w:rPr>
          <w:color w:val="000000"/>
          <w:szCs w:val="18"/>
          <w:lang w:val="lv-LV" w:eastAsia="lv-LV"/>
        </w:rPr>
        <w:t xml:space="preserve"> </w:t>
      </w:r>
      <w:r w:rsidRPr="00552141">
        <w:rPr>
          <w:bCs/>
          <w:color w:val="000000"/>
          <w:szCs w:val="18"/>
          <w:lang w:val="lv-LV" w:eastAsia="lv-LV"/>
        </w:rPr>
        <w:t>www.achpr.org/files/sessions/12th-eo/mission-reports/promotion_mission-2012/mission_report_</w:t>
      </w:r>
      <w:r>
        <w:rPr>
          <w:bCs/>
          <w:color w:val="000000"/>
          <w:szCs w:val="18"/>
          <w:lang w:val="lv-LV" w:eastAsia="lv-LV"/>
        </w:rPr>
        <w:br/>
      </w:r>
      <w:r w:rsidRPr="00552141">
        <w:rPr>
          <w:bCs/>
          <w:color w:val="000000"/>
          <w:szCs w:val="18"/>
          <w:lang w:val="lv-LV" w:eastAsia="lv-LV"/>
        </w:rPr>
        <w:t>mauritania_cpta_eng.pdf</w:t>
      </w:r>
      <w:r>
        <w:rPr>
          <w:bCs/>
          <w:color w:val="000000"/>
          <w:szCs w:val="18"/>
          <w:lang w:val="lv-LV" w:eastAsia="lv-LV"/>
        </w:rPr>
        <w:t xml:space="preserve">, párr. </w:t>
      </w:r>
      <w:r w:rsidRPr="00A0162A">
        <w:rPr>
          <w:bCs/>
          <w:color w:val="000000"/>
          <w:szCs w:val="18"/>
          <w:lang w:val="lv-LV" w:eastAsia="lv-LV"/>
        </w:rPr>
        <w:t>75</w:t>
      </w:r>
      <w:r w:rsidR="00C46E2F">
        <w:rPr>
          <w:bCs/>
          <w:color w:val="000000"/>
          <w:szCs w:val="18"/>
          <w:lang w:val="lv-LV" w:eastAsia="lv-LV"/>
        </w:rPr>
        <w:t>;</w:t>
      </w:r>
      <w:r w:rsidRPr="00A0162A">
        <w:rPr>
          <w:bCs/>
          <w:color w:val="000000"/>
          <w:szCs w:val="18"/>
          <w:lang w:val="lv-LV" w:eastAsia="lv-LV"/>
        </w:rPr>
        <w:t xml:space="preserve"> </w:t>
      </w:r>
      <w:r>
        <w:rPr>
          <w:bCs/>
          <w:color w:val="000000"/>
          <w:szCs w:val="18"/>
          <w:lang w:val="lv-LV" w:eastAsia="lv-LV"/>
        </w:rPr>
        <w:t>y documento del Consejo de Europa</w:t>
      </w:r>
      <w:r>
        <w:rPr>
          <w:szCs w:val="18"/>
        </w:rPr>
        <w:t xml:space="preserve"> CPT/Inf (2015) 12, párr. </w:t>
      </w:r>
      <w:r w:rsidRPr="00933CF9">
        <w:rPr>
          <w:szCs w:val="18"/>
        </w:rPr>
        <w:t>65.</w:t>
      </w:r>
    </w:p>
  </w:footnote>
  <w:footnote w:id="93">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rsidRPr="00933CF9">
        <w:tab/>
      </w:r>
      <w:r>
        <w:rPr>
          <w:rStyle w:val="FootnoteReference"/>
        </w:rPr>
        <w:footnoteRef/>
      </w:r>
      <w:r w:rsidRPr="00933CF9">
        <w:tab/>
      </w:r>
      <w:r w:rsidRPr="00933CF9">
        <w:rPr>
          <w:szCs w:val="18"/>
        </w:rPr>
        <w:t>Véa</w:t>
      </w:r>
      <w:r>
        <w:rPr>
          <w:szCs w:val="18"/>
        </w:rPr>
        <w:t>n</w:t>
      </w:r>
      <w:r w:rsidRPr="00933CF9">
        <w:rPr>
          <w:szCs w:val="18"/>
        </w:rPr>
        <w:t>se CAT/C/TGO/CO/2, párr. 13</w:t>
      </w:r>
      <w:r w:rsidR="00C46E2F">
        <w:rPr>
          <w:szCs w:val="18"/>
        </w:rPr>
        <w:t>;</w:t>
      </w:r>
      <w:r w:rsidRPr="00933CF9">
        <w:rPr>
          <w:szCs w:val="18"/>
        </w:rPr>
        <w:t xml:space="preserve"> y CAT/OP/PRY/1, párr. 183.</w:t>
      </w:r>
    </w:p>
  </w:footnote>
  <w:footnote w:id="94">
    <w:p w:rsidR="005E171C" w:rsidRPr="00D05D46"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tab/>
      </w:r>
      <w:r>
        <w:rPr>
          <w:rStyle w:val="FootnoteReference"/>
        </w:rPr>
        <w:footnoteRef/>
      </w:r>
      <w:r>
        <w:tab/>
      </w:r>
      <w:r w:rsidRPr="00D05D46">
        <w:rPr>
          <w:szCs w:val="18"/>
        </w:rPr>
        <w:t xml:space="preserve">Véase </w:t>
      </w:r>
      <w:r w:rsidRPr="003C4FE1">
        <w:rPr>
          <w:i/>
          <w:color w:val="000000"/>
          <w:szCs w:val="18"/>
          <w:lang w:val="lv-LV" w:eastAsia="lv-LV"/>
        </w:rPr>
        <w:t xml:space="preserve">Montero-Aranguren </w:t>
      </w:r>
      <w:r w:rsidR="00C46E2F">
        <w:rPr>
          <w:i/>
          <w:color w:val="000000"/>
          <w:szCs w:val="18"/>
          <w:lang w:val="lv-LV" w:eastAsia="lv-LV"/>
        </w:rPr>
        <w:t>vs</w:t>
      </w:r>
      <w:r w:rsidRPr="003C4FE1">
        <w:rPr>
          <w:i/>
          <w:color w:val="000000"/>
          <w:szCs w:val="18"/>
          <w:lang w:val="lv-LV" w:eastAsia="lv-LV"/>
        </w:rPr>
        <w:t>. Venezuela</w:t>
      </w:r>
      <w:r w:rsidRPr="00A0162A">
        <w:rPr>
          <w:color w:val="000000"/>
          <w:szCs w:val="18"/>
          <w:lang w:val="lv-LV" w:eastAsia="lv-LV"/>
        </w:rPr>
        <w:t xml:space="preserve">, </w:t>
      </w:r>
      <w:r w:rsidRPr="00D05D46">
        <w:rPr>
          <w:szCs w:val="18"/>
        </w:rPr>
        <w:t xml:space="preserve">sentencia de la Corte Interamericana de Derechos Humanos </w:t>
      </w:r>
      <w:r w:rsidRPr="00A0162A">
        <w:rPr>
          <w:color w:val="000000"/>
          <w:szCs w:val="18"/>
          <w:lang w:val="lv-LV" w:eastAsia="lv-LV"/>
        </w:rPr>
        <w:t>(2006)</w:t>
      </w:r>
      <w:r>
        <w:rPr>
          <w:color w:val="000000"/>
          <w:szCs w:val="18"/>
          <w:lang w:val="lv-LV" w:eastAsia="lv-LV"/>
        </w:rPr>
        <w:t xml:space="preserve">, párr. </w:t>
      </w:r>
      <w:r w:rsidRPr="00A0162A">
        <w:rPr>
          <w:color w:val="000000"/>
          <w:szCs w:val="18"/>
          <w:lang w:val="lv-LV" w:eastAsia="lv-LV"/>
        </w:rPr>
        <w:t>99.</w:t>
      </w:r>
    </w:p>
  </w:footnote>
  <w:footnote w:id="95">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rPr>
          <w:lang w:val="en-US"/>
        </w:rPr>
      </w:pPr>
      <w:r w:rsidRPr="00933CF9">
        <w:rPr>
          <w:lang w:val="en-US"/>
        </w:rPr>
        <w:tab/>
      </w:r>
      <w:r>
        <w:rPr>
          <w:rStyle w:val="FootnoteReference"/>
        </w:rPr>
        <w:footnoteRef/>
      </w:r>
      <w:r w:rsidRPr="00933CF9">
        <w:rPr>
          <w:lang w:val="en-US"/>
        </w:rPr>
        <w:tab/>
      </w:r>
      <w:r w:rsidRPr="00933CF9">
        <w:rPr>
          <w:szCs w:val="18"/>
          <w:lang w:val="en-US"/>
        </w:rPr>
        <w:t xml:space="preserve">Véase </w:t>
      </w:r>
      <w:r w:rsidRPr="00933CF9">
        <w:rPr>
          <w:bCs/>
          <w:szCs w:val="18"/>
          <w:lang w:val="en-US" w:eastAsia="en-GB"/>
        </w:rPr>
        <w:t>A/HRC/23/41/Add.1, párr. 52.</w:t>
      </w:r>
    </w:p>
  </w:footnote>
  <w:footnote w:id="96">
    <w:p w:rsidR="005E171C" w:rsidRPr="00D05D46" w:rsidRDefault="005E171C" w:rsidP="00FA6C6A">
      <w:pPr>
        <w:pStyle w:val="FootnoteText"/>
        <w:tabs>
          <w:tab w:val="clear" w:pos="418"/>
          <w:tab w:val="right" w:pos="1195"/>
          <w:tab w:val="left" w:pos="1267"/>
          <w:tab w:val="left" w:pos="1742"/>
          <w:tab w:val="left" w:pos="2218"/>
          <w:tab w:val="left" w:pos="2693"/>
        </w:tabs>
        <w:ind w:left="1267" w:right="1267" w:hanging="432"/>
      </w:pPr>
      <w:r>
        <w:rPr>
          <w:lang w:val="en-US"/>
        </w:rPr>
        <w:tab/>
      </w:r>
      <w:r>
        <w:rPr>
          <w:rStyle w:val="FootnoteReference"/>
        </w:rPr>
        <w:footnoteRef/>
      </w:r>
      <w:r>
        <w:rPr>
          <w:lang w:val="en-US"/>
        </w:rPr>
        <w:tab/>
      </w:r>
      <w:r>
        <w:rPr>
          <w:szCs w:val="18"/>
          <w:lang w:val="en-US"/>
        </w:rPr>
        <w:t>Véanse</w:t>
      </w:r>
      <w:r w:rsidRPr="00D05D46">
        <w:rPr>
          <w:szCs w:val="18"/>
          <w:lang w:val="en-US"/>
        </w:rPr>
        <w:t xml:space="preserve"> CAT/C/PER/CO/5-6, p</w:t>
      </w:r>
      <w:r>
        <w:rPr>
          <w:szCs w:val="18"/>
          <w:lang w:val="en-US"/>
        </w:rPr>
        <w:t>árr</w:t>
      </w:r>
      <w:r w:rsidRPr="00D05D46">
        <w:rPr>
          <w:szCs w:val="18"/>
          <w:lang w:val="en-US"/>
        </w:rPr>
        <w:t xml:space="preserve">. </w:t>
      </w:r>
      <w:r w:rsidRPr="00D05D46">
        <w:rPr>
          <w:szCs w:val="18"/>
        </w:rPr>
        <w:t>10</w:t>
      </w:r>
      <w:r w:rsidR="00C46E2F">
        <w:rPr>
          <w:szCs w:val="18"/>
        </w:rPr>
        <w:t>;</w:t>
      </w:r>
      <w:r w:rsidRPr="00D05D46">
        <w:rPr>
          <w:szCs w:val="18"/>
        </w:rPr>
        <w:t xml:space="preserve"> CAT/OP/BEN/1, párr. 218</w:t>
      </w:r>
      <w:r w:rsidR="00C46E2F">
        <w:rPr>
          <w:szCs w:val="18"/>
        </w:rPr>
        <w:t>;</w:t>
      </w:r>
      <w:r w:rsidRPr="00D05D46">
        <w:rPr>
          <w:szCs w:val="18"/>
        </w:rPr>
        <w:t xml:space="preserve"> y </w:t>
      </w:r>
      <w:hyperlink r:id="rId7" w:history="1">
        <w:r w:rsidRPr="001E1861">
          <w:rPr>
            <w:rStyle w:val="Hyperlink"/>
            <w:iCs/>
            <w:szCs w:val="18"/>
            <w:lang w:val="lv-LV" w:eastAsia="lv-LV"/>
          </w:rPr>
          <w:t>www.achpr.org/files/sessions/</w:t>
        </w:r>
        <w:r>
          <w:rPr>
            <w:rStyle w:val="Hyperlink"/>
            <w:iCs/>
            <w:szCs w:val="18"/>
            <w:lang w:val="lv-LV" w:eastAsia="lv-LV"/>
          </w:rPr>
          <w:br/>
        </w:r>
        <w:r w:rsidRPr="001E1861">
          <w:rPr>
            <w:rStyle w:val="Hyperlink"/>
            <w:iCs/>
            <w:szCs w:val="18"/>
            <w:lang w:val="lv-LV" w:eastAsia="lv-LV"/>
          </w:rPr>
          <w:t>37th/mission-reports/prisons-2004/misrep_specmec_priso_southafrica_2004_eng.pdf</w:t>
        </w:r>
      </w:hyperlink>
      <w:r>
        <w:rPr>
          <w:iCs/>
          <w:szCs w:val="18"/>
          <w:lang w:val="lv-LV" w:eastAsia="lv-LV"/>
        </w:rPr>
        <w:t xml:space="preserve">, </w:t>
      </w:r>
      <w:r w:rsidRPr="00D05D46">
        <w:rPr>
          <w:szCs w:val="18"/>
        </w:rPr>
        <w:t>p</w:t>
      </w:r>
      <w:r>
        <w:rPr>
          <w:szCs w:val="18"/>
        </w:rPr>
        <w:t>ág</w:t>
      </w:r>
      <w:r w:rsidRPr="00D05D46">
        <w:rPr>
          <w:szCs w:val="18"/>
        </w:rPr>
        <w:t>. 3.</w:t>
      </w:r>
    </w:p>
  </w:footnote>
  <w:footnote w:id="97">
    <w:p w:rsidR="005E171C" w:rsidRPr="00A57E17" w:rsidRDefault="005E171C" w:rsidP="00FA6C6A">
      <w:pPr>
        <w:pStyle w:val="FootnoteText"/>
        <w:tabs>
          <w:tab w:val="clear" w:pos="418"/>
          <w:tab w:val="right" w:pos="1195"/>
          <w:tab w:val="left" w:pos="1267"/>
          <w:tab w:val="left" w:pos="1742"/>
          <w:tab w:val="left" w:pos="2218"/>
          <w:tab w:val="left" w:pos="2693"/>
        </w:tabs>
        <w:ind w:left="1267" w:right="1267" w:hanging="432"/>
      </w:pPr>
      <w:r w:rsidRPr="00933CF9">
        <w:tab/>
      </w:r>
      <w:r>
        <w:rPr>
          <w:rStyle w:val="FootnoteReference"/>
        </w:rPr>
        <w:footnoteRef/>
      </w:r>
      <w:r>
        <w:rPr>
          <w:lang w:val="en-US"/>
        </w:rPr>
        <w:tab/>
      </w:r>
      <w:r w:rsidRPr="00A57E17">
        <w:rPr>
          <w:szCs w:val="18"/>
          <w:lang w:val="en-US"/>
        </w:rPr>
        <w:t xml:space="preserve">Véanse CAT/C/TGO/CO/2, párr. </w:t>
      </w:r>
      <w:r w:rsidRPr="00A57E17">
        <w:rPr>
          <w:szCs w:val="18"/>
        </w:rPr>
        <w:t>13</w:t>
      </w:r>
      <w:r w:rsidR="00C46E2F">
        <w:rPr>
          <w:szCs w:val="18"/>
        </w:rPr>
        <w:t>;</w:t>
      </w:r>
      <w:r w:rsidRPr="00A57E17">
        <w:rPr>
          <w:szCs w:val="18"/>
        </w:rPr>
        <w:t xml:space="preserve"> y CCPR/C/MOZ/CO/1, p</w:t>
      </w:r>
      <w:r>
        <w:rPr>
          <w:szCs w:val="18"/>
        </w:rPr>
        <w:t>árr</w:t>
      </w:r>
      <w:r w:rsidRPr="00A57E17">
        <w:rPr>
          <w:szCs w:val="18"/>
        </w:rPr>
        <w:t xml:space="preserve">. </w:t>
      </w:r>
      <w:r w:rsidRPr="00A0162A">
        <w:rPr>
          <w:szCs w:val="18"/>
        </w:rPr>
        <w:t>14.</w:t>
      </w:r>
    </w:p>
  </w:footnote>
  <w:footnote w:id="98">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A57E17">
        <w:rPr>
          <w:szCs w:val="18"/>
        </w:rPr>
        <w:t xml:space="preserve">Véanse </w:t>
      </w:r>
      <w:r w:rsidRPr="00A57E17">
        <w:rPr>
          <w:szCs w:val="18"/>
          <w:lang w:eastAsia="en-GB"/>
        </w:rPr>
        <w:t>A/HRC/11/8, párr. 12</w:t>
      </w:r>
      <w:r w:rsidR="00C46E2F">
        <w:rPr>
          <w:szCs w:val="18"/>
          <w:lang w:eastAsia="en-GB"/>
        </w:rPr>
        <w:t>;</w:t>
      </w:r>
      <w:r w:rsidRPr="00A57E17">
        <w:rPr>
          <w:szCs w:val="18"/>
          <w:lang w:eastAsia="en-GB"/>
        </w:rPr>
        <w:t xml:space="preserve"> y documento del Consejo de Europa</w:t>
      </w:r>
      <w:r w:rsidRPr="00A57E17">
        <w:rPr>
          <w:szCs w:val="18"/>
        </w:rPr>
        <w:t xml:space="preserve"> CPT/Inf (97) 10, p</w:t>
      </w:r>
      <w:r>
        <w:rPr>
          <w:szCs w:val="18"/>
        </w:rPr>
        <w:t>árr</w:t>
      </w:r>
      <w:r w:rsidRPr="00A57E17">
        <w:rPr>
          <w:szCs w:val="18"/>
        </w:rPr>
        <w:t xml:space="preserve">. </w:t>
      </w:r>
      <w:r w:rsidRPr="00A0162A">
        <w:rPr>
          <w:szCs w:val="18"/>
        </w:rPr>
        <w:t>13.</w:t>
      </w:r>
    </w:p>
  </w:footnote>
  <w:footnote w:id="99">
    <w:p w:rsidR="005E171C" w:rsidRPr="00933CF9"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A57E17">
        <w:rPr>
          <w:szCs w:val="18"/>
        </w:rPr>
        <w:t xml:space="preserve">Véanse </w:t>
      </w:r>
      <w:r w:rsidRPr="003C4FE1">
        <w:rPr>
          <w:i/>
          <w:color w:val="000000"/>
          <w:szCs w:val="18"/>
          <w:lang w:val="lv-LV" w:eastAsia="lv-LV"/>
        </w:rPr>
        <w:t xml:space="preserve">Boyce </w:t>
      </w:r>
      <w:r w:rsidR="00C46E2F">
        <w:rPr>
          <w:i/>
          <w:color w:val="000000"/>
          <w:szCs w:val="18"/>
          <w:lang w:val="lv-LV" w:eastAsia="lv-LV"/>
        </w:rPr>
        <w:t>vs</w:t>
      </w:r>
      <w:r w:rsidRPr="003C4FE1">
        <w:rPr>
          <w:i/>
          <w:color w:val="000000"/>
          <w:szCs w:val="18"/>
          <w:lang w:val="lv-LV" w:eastAsia="lv-LV"/>
        </w:rPr>
        <w:t>. Barbados</w:t>
      </w:r>
      <w:r w:rsidRPr="00A0162A">
        <w:rPr>
          <w:color w:val="000000"/>
          <w:szCs w:val="18"/>
          <w:lang w:val="lv-LV" w:eastAsia="lv-LV"/>
        </w:rPr>
        <w:t xml:space="preserve">, </w:t>
      </w:r>
      <w:r w:rsidRPr="00A57E17">
        <w:rPr>
          <w:szCs w:val="18"/>
        </w:rPr>
        <w:t xml:space="preserve">sentencia de la Corte Interamericana de Derechos Humanos </w:t>
      </w:r>
      <w:r w:rsidRPr="00A0162A">
        <w:rPr>
          <w:color w:val="000000"/>
          <w:szCs w:val="18"/>
          <w:lang w:val="lv-LV" w:eastAsia="lv-LV"/>
        </w:rPr>
        <w:t>(2007)</w:t>
      </w:r>
      <w:r>
        <w:rPr>
          <w:color w:val="000000"/>
          <w:szCs w:val="18"/>
          <w:lang w:val="lv-LV" w:eastAsia="lv-LV"/>
        </w:rPr>
        <w:t xml:space="preserve">, párrs. </w:t>
      </w:r>
      <w:r w:rsidRPr="00A0162A">
        <w:rPr>
          <w:color w:val="000000"/>
          <w:szCs w:val="18"/>
          <w:lang w:val="lv-LV" w:eastAsia="lv-LV"/>
        </w:rPr>
        <w:t>93</w:t>
      </w:r>
      <w:r>
        <w:rPr>
          <w:color w:val="000000"/>
          <w:szCs w:val="18"/>
          <w:lang w:val="lv-LV" w:eastAsia="lv-LV"/>
        </w:rPr>
        <w:t xml:space="preserve"> y </w:t>
      </w:r>
      <w:r w:rsidRPr="00A0162A">
        <w:rPr>
          <w:color w:val="000000"/>
          <w:szCs w:val="18"/>
          <w:lang w:val="lv-LV" w:eastAsia="lv-LV"/>
        </w:rPr>
        <w:t>94</w:t>
      </w:r>
      <w:r w:rsidR="00C46E2F">
        <w:rPr>
          <w:color w:val="000000"/>
          <w:szCs w:val="18"/>
          <w:lang w:val="lv-LV" w:eastAsia="lv-LV"/>
        </w:rPr>
        <w:t>;</w:t>
      </w:r>
      <w:r w:rsidRPr="00A0162A">
        <w:rPr>
          <w:color w:val="000000"/>
          <w:szCs w:val="18"/>
          <w:lang w:val="lv-LV" w:eastAsia="lv-LV"/>
        </w:rPr>
        <w:t xml:space="preserve"> </w:t>
      </w:r>
      <w:r w:rsidRPr="00A57E17">
        <w:rPr>
          <w:szCs w:val="18"/>
        </w:rPr>
        <w:t>documento del Consejo de Europa C</w:t>
      </w:r>
      <w:r>
        <w:rPr>
          <w:szCs w:val="18"/>
        </w:rPr>
        <w:t>PT/Inf (2014) 26, párr. 93, CAT/C/BGR/CO/4</w:t>
      </w:r>
      <w:r>
        <w:rPr>
          <w:szCs w:val="18"/>
        </w:rPr>
        <w:noBreakHyphen/>
      </w:r>
      <w:r w:rsidRPr="00A57E17">
        <w:rPr>
          <w:szCs w:val="18"/>
        </w:rPr>
        <w:t xml:space="preserve">5, párr. </w:t>
      </w:r>
      <w:r w:rsidRPr="00933CF9">
        <w:rPr>
          <w:szCs w:val="18"/>
        </w:rPr>
        <w:t>21</w:t>
      </w:r>
      <w:r w:rsidR="00C46E2F">
        <w:rPr>
          <w:szCs w:val="18"/>
        </w:rPr>
        <w:t>;</w:t>
      </w:r>
      <w:r w:rsidRPr="00933CF9">
        <w:rPr>
          <w:szCs w:val="18"/>
        </w:rPr>
        <w:t xml:space="preserve"> y </w:t>
      </w:r>
      <w:r w:rsidRPr="00A0162A">
        <w:rPr>
          <w:szCs w:val="18"/>
          <w:lang w:val="lv-LV" w:eastAsia="lv-LV"/>
        </w:rPr>
        <w:t>A/HRC/13/39/Add.5</w:t>
      </w:r>
      <w:r>
        <w:rPr>
          <w:szCs w:val="18"/>
          <w:lang w:val="lv-LV" w:eastAsia="lv-LV"/>
        </w:rPr>
        <w:t xml:space="preserve">, párr. </w:t>
      </w:r>
      <w:r w:rsidRPr="00A0162A">
        <w:rPr>
          <w:szCs w:val="18"/>
          <w:lang w:val="lv-LV" w:eastAsia="lv-LV"/>
        </w:rPr>
        <w:t>234</w:t>
      </w:r>
      <w:r>
        <w:rPr>
          <w:szCs w:val="18"/>
          <w:lang w:val="lv-LV" w:eastAsia="lv-LV"/>
        </w:rPr>
        <w:t>.</w:t>
      </w:r>
    </w:p>
  </w:footnote>
  <w:footnote w:id="100">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A57E17">
        <w:rPr>
          <w:szCs w:val="18"/>
        </w:rPr>
        <w:t>Véa</w:t>
      </w:r>
      <w:r>
        <w:rPr>
          <w:szCs w:val="18"/>
        </w:rPr>
        <w:t>n</w:t>
      </w:r>
      <w:r w:rsidRPr="00A57E17">
        <w:rPr>
          <w:szCs w:val="18"/>
        </w:rPr>
        <w:t xml:space="preserve">se </w:t>
      </w:r>
      <w:r>
        <w:rPr>
          <w:i/>
          <w:color w:val="000000"/>
          <w:szCs w:val="18"/>
          <w:lang w:val="lv-LV" w:eastAsia="lv-LV"/>
        </w:rPr>
        <w:t>Instituto de Reeducación del Menor</w:t>
      </w:r>
      <w:r w:rsidRPr="003C4FE1">
        <w:rPr>
          <w:i/>
          <w:color w:val="000000"/>
          <w:szCs w:val="18"/>
          <w:lang w:val="lv-LV" w:eastAsia="lv-LV"/>
        </w:rPr>
        <w:t xml:space="preserve"> </w:t>
      </w:r>
      <w:r w:rsidR="00C46E2F">
        <w:rPr>
          <w:i/>
          <w:color w:val="000000"/>
          <w:szCs w:val="18"/>
          <w:lang w:val="lv-LV" w:eastAsia="lv-LV"/>
        </w:rPr>
        <w:t>vs</w:t>
      </w:r>
      <w:r w:rsidRPr="003C4FE1">
        <w:rPr>
          <w:i/>
          <w:color w:val="000000"/>
          <w:szCs w:val="18"/>
          <w:lang w:val="lv-LV" w:eastAsia="lv-LV"/>
        </w:rPr>
        <w:t>. Paraguay</w:t>
      </w:r>
      <w:r w:rsidRPr="00A0162A">
        <w:rPr>
          <w:color w:val="000000"/>
          <w:szCs w:val="18"/>
          <w:lang w:val="lv-LV" w:eastAsia="lv-LV"/>
        </w:rPr>
        <w:t xml:space="preserve">, </w:t>
      </w:r>
      <w:r w:rsidRPr="00A57E17">
        <w:rPr>
          <w:szCs w:val="18"/>
        </w:rPr>
        <w:t xml:space="preserve">sentencia de la Corte Interamericana de Derechos Humanos </w:t>
      </w:r>
      <w:r w:rsidRPr="00A0162A">
        <w:rPr>
          <w:color w:val="000000"/>
          <w:szCs w:val="18"/>
          <w:lang w:val="lv-LV" w:eastAsia="lv-LV"/>
        </w:rPr>
        <w:t>(2004)</w:t>
      </w:r>
      <w:r>
        <w:rPr>
          <w:color w:val="000000"/>
          <w:szCs w:val="18"/>
          <w:lang w:val="lv-LV" w:eastAsia="lv-LV"/>
        </w:rPr>
        <w:t xml:space="preserve">, párr. </w:t>
      </w:r>
      <w:r w:rsidRPr="00A0162A">
        <w:rPr>
          <w:color w:val="000000"/>
          <w:szCs w:val="18"/>
          <w:lang w:val="lv-LV" w:eastAsia="lv-LV"/>
        </w:rPr>
        <w:t xml:space="preserve">134.24; </w:t>
      </w:r>
      <w:r w:rsidRPr="00A57E17">
        <w:rPr>
          <w:szCs w:val="18"/>
        </w:rPr>
        <w:t xml:space="preserve">documento del Consejo de Europa CPT/Inf (2014) 31, párr. 56; A/HRC/25/60/Add.1, párr. 85; y A/HRC/22/53/Add.2, párr. </w:t>
      </w:r>
      <w:r w:rsidRPr="00A0162A">
        <w:rPr>
          <w:szCs w:val="18"/>
        </w:rPr>
        <w:t>47.</w:t>
      </w:r>
    </w:p>
  </w:footnote>
  <w:footnote w:id="101">
    <w:p w:rsidR="005E171C"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Pr>
          <w:szCs w:val="18"/>
        </w:rPr>
        <w:t xml:space="preserve">Véase </w:t>
      </w:r>
      <w:r w:rsidRPr="00A0162A">
        <w:rPr>
          <w:szCs w:val="18"/>
        </w:rPr>
        <w:t>CAT/OP/MEX/1</w:t>
      </w:r>
      <w:r>
        <w:rPr>
          <w:szCs w:val="18"/>
        </w:rPr>
        <w:t xml:space="preserve">, párr. </w:t>
      </w:r>
      <w:r w:rsidRPr="00A0162A">
        <w:rPr>
          <w:szCs w:val="18"/>
        </w:rPr>
        <w:t>170.</w:t>
      </w:r>
    </w:p>
  </w:footnote>
  <w:footnote w:id="102">
    <w:p w:rsidR="005E171C" w:rsidRPr="00E20D41" w:rsidRDefault="005E171C" w:rsidP="00FA6C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7068A4">
        <w:rPr>
          <w:szCs w:val="18"/>
        </w:rPr>
        <w:t xml:space="preserve">Véanse </w:t>
      </w:r>
      <w:hyperlink r:id="rId8" w:history="1">
        <w:r w:rsidRPr="001E1861">
          <w:rPr>
            <w:rStyle w:val="Hyperlink"/>
            <w:iCs/>
            <w:szCs w:val="18"/>
            <w:lang w:val="lv-LV" w:eastAsia="lv-LV"/>
          </w:rPr>
          <w:t>www.achpr.org/files/sessions/37th/mission-reports/prisons-2004/misrep_specmec_priso_</w:t>
        </w:r>
        <w:r>
          <w:rPr>
            <w:rStyle w:val="Hyperlink"/>
            <w:iCs/>
            <w:szCs w:val="18"/>
            <w:lang w:val="lv-LV" w:eastAsia="lv-LV"/>
          </w:rPr>
          <w:br/>
        </w:r>
        <w:r w:rsidRPr="001E1861">
          <w:rPr>
            <w:rStyle w:val="Hyperlink"/>
            <w:iCs/>
            <w:szCs w:val="18"/>
            <w:lang w:val="lv-LV" w:eastAsia="lv-LV"/>
          </w:rPr>
          <w:t>southafrica_2004_eng.pdf</w:t>
        </w:r>
      </w:hyperlink>
      <w:r>
        <w:rPr>
          <w:iCs/>
          <w:szCs w:val="18"/>
          <w:lang w:val="lv-LV" w:eastAsia="lv-LV"/>
        </w:rPr>
        <w:t xml:space="preserve">, </w:t>
      </w:r>
      <w:r w:rsidRPr="00A0162A">
        <w:rPr>
          <w:szCs w:val="18"/>
          <w:lang w:val="lv-LV"/>
        </w:rPr>
        <w:t>p</w:t>
      </w:r>
      <w:r>
        <w:rPr>
          <w:szCs w:val="18"/>
          <w:lang w:val="lv-LV"/>
        </w:rPr>
        <w:t>ág</w:t>
      </w:r>
      <w:r w:rsidRPr="00A0162A">
        <w:rPr>
          <w:szCs w:val="18"/>
          <w:lang w:val="lv-LV"/>
        </w:rPr>
        <w:t>. 54</w:t>
      </w:r>
      <w:r w:rsidR="00C46E2F">
        <w:rPr>
          <w:szCs w:val="18"/>
          <w:lang w:val="lv-LV"/>
        </w:rPr>
        <w:t>;</w:t>
      </w:r>
      <w:r w:rsidRPr="00A0162A">
        <w:rPr>
          <w:szCs w:val="18"/>
          <w:lang w:val="lv-LV"/>
        </w:rPr>
        <w:t xml:space="preserve"> </w:t>
      </w:r>
      <w:r>
        <w:rPr>
          <w:szCs w:val="18"/>
          <w:lang w:val="lv-LV"/>
        </w:rPr>
        <w:t>y documento del Consejo de Europa</w:t>
      </w:r>
      <w:r w:rsidRPr="007068A4">
        <w:rPr>
          <w:szCs w:val="18"/>
        </w:rPr>
        <w:t xml:space="preserve"> CPT/Inf (2014) 21, p</w:t>
      </w:r>
      <w:r>
        <w:rPr>
          <w:szCs w:val="18"/>
        </w:rPr>
        <w:t>árr. </w:t>
      </w:r>
      <w:r w:rsidRPr="00E20D41">
        <w:rPr>
          <w:szCs w:val="18"/>
        </w:rPr>
        <w:t>43.</w:t>
      </w:r>
    </w:p>
  </w:footnote>
  <w:footnote w:id="103">
    <w:p w:rsidR="005E171C" w:rsidRPr="00FB3B6C" w:rsidRDefault="005E171C" w:rsidP="00FA6C6A">
      <w:pPr>
        <w:pStyle w:val="FootnoteText"/>
        <w:tabs>
          <w:tab w:val="clear" w:pos="418"/>
          <w:tab w:val="right" w:pos="1195"/>
          <w:tab w:val="left" w:pos="1267"/>
          <w:tab w:val="left" w:pos="1742"/>
          <w:tab w:val="left" w:pos="2218"/>
          <w:tab w:val="left" w:pos="2693"/>
        </w:tabs>
        <w:ind w:left="1267" w:right="1267" w:hanging="432"/>
        <w:rPr>
          <w:szCs w:val="18"/>
        </w:rPr>
      </w:pPr>
      <w:r w:rsidRPr="00CA45CD">
        <w:rPr>
          <w:sz w:val="20"/>
          <w:szCs w:val="20"/>
        </w:rPr>
        <w:tab/>
      </w:r>
      <w:r w:rsidRPr="00CA45CD">
        <w:rPr>
          <w:rStyle w:val="FootnoteReference"/>
          <w:sz w:val="20"/>
          <w:szCs w:val="20"/>
        </w:rPr>
        <w:footnoteRef/>
      </w:r>
      <w:r w:rsidRPr="00CA45CD">
        <w:rPr>
          <w:sz w:val="20"/>
          <w:szCs w:val="20"/>
        </w:rPr>
        <w:tab/>
      </w:r>
      <w:r w:rsidRPr="00FB3B6C">
        <w:rPr>
          <w:szCs w:val="18"/>
        </w:rPr>
        <w:t>Véase A/HRC/25/60/Add.1, párr. 85; A/HRC/22/53/Add.2, párr.</w:t>
      </w:r>
      <w:r w:rsidR="00C46E2F">
        <w:rPr>
          <w:szCs w:val="18"/>
        </w:rPr>
        <w:t xml:space="preserve"> </w:t>
      </w:r>
      <w:r w:rsidRPr="00FB3B6C">
        <w:rPr>
          <w:szCs w:val="18"/>
        </w:rPr>
        <w:t xml:space="preserve">47; y </w:t>
      </w:r>
      <w:r w:rsidRPr="00FB3B6C">
        <w:rPr>
          <w:i/>
          <w:szCs w:val="18"/>
        </w:rPr>
        <w:t xml:space="preserve">Pacheco Teruel y otros </w:t>
      </w:r>
      <w:r w:rsidR="00C46E2F">
        <w:rPr>
          <w:i/>
          <w:szCs w:val="18"/>
        </w:rPr>
        <w:t>vs</w:t>
      </w:r>
      <w:r w:rsidRPr="00FB3B6C">
        <w:rPr>
          <w:i/>
          <w:szCs w:val="18"/>
        </w:rPr>
        <w:t>. Honduras</w:t>
      </w:r>
      <w:r w:rsidRPr="00FB3B6C">
        <w:rPr>
          <w:szCs w:val="18"/>
        </w:rPr>
        <w:t>, sentencia de la Corte Interamericana de Derechos Humanos (2012), párr. 96.</w:t>
      </w:r>
    </w:p>
  </w:footnote>
  <w:footnote w:id="104">
    <w:p w:rsidR="005E171C" w:rsidRPr="00FB3B6C" w:rsidRDefault="005E171C" w:rsidP="00FA6C6A">
      <w:pPr>
        <w:pStyle w:val="FootnoteText"/>
        <w:tabs>
          <w:tab w:val="clear" w:pos="418"/>
          <w:tab w:val="right" w:pos="1195"/>
          <w:tab w:val="left" w:pos="1267"/>
          <w:tab w:val="left" w:pos="1742"/>
          <w:tab w:val="left" w:pos="2218"/>
          <w:tab w:val="left" w:pos="2693"/>
        </w:tabs>
        <w:ind w:left="1267" w:right="1267" w:hanging="432"/>
        <w:rPr>
          <w:szCs w:val="18"/>
        </w:rPr>
      </w:pPr>
      <w:r w:rsidRPr="00CA45CD">
        <w:rPr>
          <w:sz w:val="20"/>
          <w:szCs w:val="20"/>
        </w:rPr>
        <w:tab/>
      </w:r>
      <w:r w:rsidRPr="00CA45CD">
        <w:rPr>
          <w:rStyle w:val="FootnoteReference"/>
          <w:sz w:val="20"/>
          <w:szCs w:val="20"/>
        </w:rPr>
        <w:footnoteRef/>
      </w:r>
      <w:r w:rsidRPr="00CA45CD">
        <w:rPr>
          <w:sz w:val="20"/>
          <w:szCs w:val="20"/>
        </w:rPr>
        <w:tab/>
      </w:r>
      <w:r w:rsidRPr="00FB3B6C">
        <w:rPr>
          <w:szCs w:val="18"/>
        </w:rPr>
        <w:t>Véase A/60/399, párr. 73.</w:t>
      </w:r>
    </w:p>
  </w:footnote>
  <w:footnote w:id="105">
    <w:p w:rsidR="005E171C" w:rsidRPr="00FB3B6C" w:rsidRDefault="005E171C" w:rsidP="00FA6C6A">
      <w:pPr>
        <w:pStyle w:val="FootnoteText"/>
        <w:tabs>
          <w:tab w:val="clear" w:pos="418"/>
          <w:tab w:val="right" w:pos="1195"/>
          <w:tab w:val="left" w:pos="1267"/>
          <w:tab w:val="left" w:pos="1742"/>
          <w:tab w:val="left" w:pos="2218"/>
          <w:tab w:val="left" w:pos="2693"/>
        </w:tabs>
        <w:ind w:left="1267" w:right="1267" w:hanging="432"/>
        <w:rPr>
          <w:szCs w:val="18"/>
        </w:rPr>
      </w:pPr>
      <w:r w:rsidRPr="00CA45CD">
        <w:rPr>
          <w:sz w:val="20"/>
          <w:szCs w:val="20"/>
        </w:rPr>
        <w:tab/>
      </w:r>
      <w:r w:rsidRPr="00CA45CD">
        <w:rPr>
          <w:rStyle w:val="FootnoteReference"/>
          <w:sz w:val="20"/>
          <w:szCs w:val="20"/>
        </w:rPr>
        <w:footnoteRef/>
      </w:r>
      <w:r w:rsidRPr="00CA45CD">
        <w:rPr>
          <w:sz w:val="20"/>
          <w:szCs w:val="20"/>
        </w:rPr>
        <w:tab/>
      </w:r>
      <w:r w:rsidRPr="00FB3B6C">
        <w:rPr>
          <w:szCs w:val="18"/>
        </w:rPr>
        <w:t>Véase www.achpr.org/files/sessions/37th/mission-reports/prisons-2004/misrep_specmec_priso_</w:t>
      </w:r>
      <w:r>
        <w:rPr>
          <w:szCs w:val="18"/>
        </w:rPr>
        <w:br/>
      </w:r>
      <w:r w:rsidRPr="00FB3B6C">
        <w:rPr>
          <w:szCs w:val="18"/>
        </w:rPr>
        <w:t>southafrica_2004_eng.pdf, pág. 46.</w:t>
      </w:r>
    </w:p>
  </w:footnote>
  <w:footnote w:id="106">
    <w:p w:rsidR="005E171C" w:rsidRPr="00CA45CD" w:rsidRDefault="005E171C" w:rsidP="00FA6C6A">
      <w:pPr>
        <w:pStyle w:val="FootnoteText"/>
        <w:tabs>
          <w:tab w:val="clear" w:pos="418"/>
          <w:tab w:val="right" w:pos="1195"/>
          <w:tab w:val="left" w:pos="1267"/>
          <w:tab w:val="left" w:pos="1742"/>
          <w:tab w:val="left" w:pos="2218"/>
          <w:tab w:val="left" w:pos="2693"/>
        </w:tabs>
        <w:ind w:left="1267" w:right="1267" w:hanging="432"/>
        <w:rPr>
          <w:sz w:val="20"/>
          <w:szCs w:val="20"/>
        </w:rPr>
      </w:pPr>
      <w:r w:rsidRPr="00CA45CD">
        <w:rPr>
          <w:sz w:val="20"/>
          <w:szCs w:val="20"/>
        </w:rPr>
        <w:tab/>
      </w:r>
      <w:r w:rsidRPr="00CA45CD">
        <w:rPr>
          <w:rStyle w:val="FootnoteReference"/>
          <w:sz w:val="20"/>
          <w:szCs w:val="20"/>
        </w:rPr>
        <w:footnoteRef/>
      </w:r>
      <w:r w:rsidRPr="00CA45CD">
        <w:rPr>
          <w:sz w:val="20"/>
          <w:szCs w:val="20"/>
        </w:rPr>
        <w:tab/>
      </w:r>
      <w:r w:rsidRPr="00FB3B6C">
        <w:rPr>
          <w:szCs w:val="18"/>
        </w:rPr>
        <w:t>Véase A/HRC/10/8/Add.2, párr. 53.</w:t>
      </w:r>
    </w:p>
  </w:footnote>
  <w:footnote w:id="107">
    <w:p w:rsidR="005E171C" w:rsidRPr="00FB3B6C" w:rsidRDefault="005E171C" w:rsidP="00FA6C6A">
      <w:pPr>
        <w:pStyle w:val="FootnoteText"/>
        <w:tabs>
          <w:tab w:val="clear" w:pos="418"/>
          <w:tab w:val="right" w:pos="1195"/>
          <w:tab w:val="left" w:pos="1267"/>
          <w:tab w:val="left" w:pos="1742"/>
          <w:tab w:val="left" w:pos="2218"/>
          <w:tab w:val="left" w:pos="2693"/>
        </w:tabs>
        <w:ind w:left="1267" w:right="1267" w:hanging="432"/>
        <w:rPr>
          <w:szCs w:val="18"/>
        </w:rPr>
      </w:pPr>
      <w:r w:rsidRPr="00CA45CD">
        <w:rPr>
          <w:sz w:val="20"/>
          <w:szCs w:val="20"/>
        </w:rPr>
        <w:tab/>
      </w:r>
      <w:r w:rsidRPr="00CA45CD">
        <w:rPr>
          <w:rStyle w:val="FootnoteReference"/>
          <w:sz w:val="20"/>
          <w:szCs w:val="20"/>
        </w:rPr>
        <w:footnoteRef/>
      </w:r>
      <w:r w:rsidRPr="00CA45CD">
        <w:rPr>
          <w:sz w:val="20"/>
          <w:szCs w:val="20"/>
        </w:rPr>
        <w:tab/>
      </w:r>
      <w:r w:rsidRPr="00FB3B6C">
        <w:rPr>
          <w:szCs w:val="18"/>
        </w:rPr>
        <w:t>Véase A/60/399, párr. 70.</w:t>
      </w:r>
    </w:p>
  </w:footnote>
  <w:footnote w:id="108">
    <w:p w:rsidR="005E171C" w:rsidRPr="00FB3B6C" w:rsidRDefault="005E171C" w:rsidP="00FA6C6A">
      <w:pPr>
        <w:pStyle w:val="FootnoteText"/>
        <w:tabs>
          <w:tab w:val="clear" w:pos="418"/>
          <w:tab w:val="right" w:pos="1195"/>
          <w:tab w:val="left" w:pos="1267"/>
          <w:tab w:val="left" w:pos="1742"/>
          <w:tab w:val="left" w:pos="2218"/>
          <w:tab w:val="left" w:pos="2693"/>
        </w:tabs>
        <w:ind w:left="1267" w:right="1267" w:hanging="432"/>
        <w:rPr>
          <w:szCs w:val="18"/>
        </w:rPr>
      </w:pPr>
      <w:r w:rsidRPr="00CA45CD">
        <w:rPr>
          <w:sz w:val="20"/>
          <w:szCs w:val="20"/>
        </w:rPr>
        <w:tab/>
      </w:r>
      <w:r w:rsidRPr="00CA45CD">
        <w:rPr>
          <w:rStyle w:val="FootnoteReference"/>
          <w:sz w:val="20"/>
          <w:szCs w:val="20"/>
        </w:rPr>
        <w:footnoteRef/>
      </w:r>
      <w:r w:rsidRPr="00FA1E9A">
        <w:rPr>
          <w:sz w:val="20"/>
          <w:szCs w:val="20"/>
        </w:rPr>
        <w:tab/>
      </w:r>
      <w:r w:rsidRPr="00FA1E9A">
        <w:rPr>
          <w:szCs w:val="18"/>
        </w:rPr>
        <w:t xml:space="preserve">Véanse A/HRC/4/21/Add.1, párrs. </w:t>
      </w:r>
      <w:r w:rsidRPr="00FB3B6C">
        <w:rPr>
          <w:szCs w:val="18"/>
        </w:rPr>
        <w:t>23 y 58 a 60</w:t>
      </w:r>
      <w:r w:rsidR="00C46E2F">
        <w:rPr>
          <w:szCs w:val="18"/>
        </w:rPr>
        <w:t>;</w:t>
      </w:r>
      <w:r w:rsidRPr="00FB3B6C">
        <w:rPr>
          <w:szCs w:val="18"/>
        </w:rPr>
        <w:t xml:space="preserve"> y A/HRC/10/8/Add.2, párr. 53.</w:t>
      </w:r>
    </w:p>
  </w:footnote>
  <w:footnote w:id="109">
    <w:p w:rsidR="005E171C" w:rsidRPr="00FB3B6C" w:rsidRDefault="005E171C" w:rsidP="00FA6C6A">
      <w:pPr>
        <w:pStyle w:val="FootnoteText"/>
        <w:tabs>
          <w:tab w:val="clear" w:pos="418"/>
          <w:tab w:val="right" w:pos="1195"/>
          <w:tab w:val="left" w:pos="1267"/>
          <w:tab w:val="left" w:pos="1742"/>
          <w:tab w:val="left" w:pos="2218"/>
          <w:tab w:val="left" w:pos="2693"/>
        </w:tabs>
        <w:ind w:left="1267" w:right="1267" w:hanging="432"/>
        <w:rPr>
          <w:szCs w:val="18"/>
        </w:rPr>
      </w:pPr>
      <w:r w:rsidRPr="00CA45CD">
        <w:rPr>
          <w:sz w:val="20"/>
          <w:szCs w:val="20"/>
        </w:rPr>
        <w:tab/>
      </w:r>
      <w:r w:rsidRPr="00CA45CD">
        <w:rPr>
          <w:rStyle w:val="FootnoteReference"/>
          <w:sz w:val="20"/>
          <w:szCs w:val="20"/>
        </w:rPr>
        <w:footnoteRef/>
      </w:r>
      <w:r w:rsidRPr="00933CF9">
        <w:rPr>
          <w:sz w:val="20"/>
          <w:szCs w:val="20"/>
        </w:rPr>
        <w:tab/>
      </w:r>
      <w:r w:rsidRPr="00FB3B6C">
        <w:rPr>
          <w:szCs w:val="18"/>
        </w:rPr>
        <w:t>Véase A/HRC/25/71, párr. 35.</w:t>
      </w:r>
    </w:p>
  </w:footnote>
  <w:footnote w:id="110">
    <w:p w:rsidR="005E171C" w:rsidRPr="00FB3B6C" w:rsidRDefault="005E171C" w:rsidP="00FA6C6A">
      <w:pPr>
        <w:pStyle w:val="FootnoteText"/>
        <w:tabs>
          <w:tab w:val="clear" w:pos="418"/>
          <w:tab w:val="right" w:pos="1195"/>
          <w:tab w:val="left" w:pos="1267"/>
          <w:tab w:val="left" w:pos="1742"/>
          <w:tab w:val="left" w:pos="2218"/>
          <w:tab w:val="left" w:pos="2693"/>
        </w:tabs>
        <w:ind w:left="1267" w:right="1267" w:hanging="432"/>
        <w:rPr>
          <w:szCs w:val="18"/>
        </w:rPr>
      </w:pPr>
      <w:r w:rsidRPr="00933CF9">
        <w:rPr>
          <w:sz w:val="20"/>
          <w:szCs w:val="20"/>
        </w:rPr>
        <w:tab/>
      </w:r>
      <w:r w:rsidRPr="00CA45CD">
        <w:rPr>
          <w:rStyle w:val="FootnoteReference"/>
          <w:sz w:val="20"/>
          <w:szCs w:val="20"/>
        </w:rPr>
        <w:footnoteRef/>
      </w:r>
      <w:r w:rsidRPr="00933CF9">
        <w:rPr>
          <w:sz w:val="20"/>
          <w:szCs w:val="20"/>
        </w:rPr>
        <w:tab/>
      </w:r>
      <w:r w:rsidRPr="00FB3B6C">
        <w:rPr>
          <w:szCs w:val="18"/>
        </w:rPr>
        <w:t>Véase A/HRC/25/71, párr. 32.</w:t>
      </w:r>
    </w:p>
  </w:footnote>
  <w:footnote w:id="111">
    <w:p w:rsidR="005E171C" w:rsidRPr="00FB3B6C" w:rsidRDefault="005E171C" w:rsidP="00FA6C6A">
      <w:pPr>
        <w:pStyle w:val="FootnoteText"/>
        <w:tabs>
          <w:tab w:val="clear" w:pos="418"/>
          <w:tab w:val="right" w:pos="1195"/>
          <w:tab w:val="left" w:pos="1267"/>
          <w:tab w:val="left" w:pos="1742"/>
          <w:tab w:val="left" w:pos="2218"/>
          <w:tab w:val="left" w:pos="2693"/>
        </w:tabs>
        <w:ind w:left="1267" w:right="1267" w:hanging="432"/>
        <w:rPr>
          <w:szCs w:val="18"/>
        </w:rPr>
      </w:pPr>
      <w:r w:rsidRPr="00933CF9">
        <w:rPr>
          <w:sz w:val="20"/>
          <w:szCs w:val="20"/>
        </w:rPr>
        <w:tab/>
      </w:r>
      <w:r w:rsidRPr="00CA45CD">
        <w:rPr>
          <w:rStyle w:val="FootnoteReference"/>
          <w:sz w:val="20"/>
          <w:szCs w:val="20"/>
        </w:rPr>
        <w:footnoteRef/>
      </w:r>
      <w:r w:rsidRPr="00933CF9">
        <w:rPr>
          <w:sz w:val="20"/>
          <w:szCs w:val="20"/>
        </w:rPr>
        <w:tab/>
      </w:r>
      <w:r w:rsidRPr="00FB3B6C">
        <w:rPr>
          <w:szCs w:val="18"/>
        </w:rPr>
        <w:t>Véase A/HRC/25/60/Add.1, párr. 43.</w:t>
      </w:r>
    </w:p>
  </w:footnote>
  <w:footnote w:id="112">
    <w:p w:rsidR="005E171C" w:rsidRPr="00FB3B6C" w:rsidRDefault="005E171C" w:rsidP="00FA6C6A">
      <w:pPr>
        <w:pStyle w:val="FootnoteText"/>
        <w:tabs>
          <w:tab w:val="clear" w:pos="418"/>
          <w:tab w:val="right" w:pos="1195"/>
          <w:tab w:val="left" w:pos="1267"/>
          <w:tab w:val="left" w:pos="1742"/>
          <w:tab w:val="left" w:pos="2218"/>
          <w:tab w:val="left" w:pos="2693"/>
        </w:tabs>
        <w:ind w:left="1267" w:right="1267" w:hanging="432"/>
        <w:rPr>
          <w:szCs w:val="18"/>
        </w:rPr>
      </w:pPr>
      <w:r w:rsidRPr="00933CF9">
        <w:rPr>
          <w:sz w:val="20"/>
          <w:szCs w:val="20"/>
        </w:rPr>
        <w:tab/>
      </w:r>
      <w:r w:rsidRPr="00CA45CD">
        <w:rPr>
          <w:rStyle w:val="FootnoteReference"/>
          <w:sz w:val="20"/>
          <w:szCs w:val="20"/>
        </w:rPr>
        <w:footnoteRef/>
      </w:r>
      <w:r w:rsidRPr="00CA45CD">
        <w:rPr>
          <w:sz w:val="20"/>
          <w:szCs w:val="20"/>
        </w:rPr>
        <w:tab/>
      </w:r>
      <w:r w:rsidRPr="00FB3B6C">
        <w:rPr>
          <w:szCs w:val="18"/>
        </w:rPr>
        <w:t xml:space="preserve">Véase </w:t>
      </w:r>
      <w:r w:rsidRPr="00FB3B6C">
        <w:rPr>
          <w:i/>
          <w:szCs w:val="18"/>
        </w:rPr>
        <w:t xml:space="preserve">Montero-Aranguren </w:t>
      </w:r>
      <w:r w:rsidR="001D7D15">
        <w:rPr>
          <w:i/>
          <w:szCs w:val="18"/>
        </w:rPr>
        <w:t>vs</w:t>
      </w:r>
      <w:r w:rsidRPr="00FB3B6C">
        <w:rPr>
          <w:i/>
          <w:szCs w:val="18"/>
        </w:rPr>
        <w:t>. Venezuela</w:t>
      </w:r>
      <w:r w:rsidRPr="00FB3B6C">
        <w:rPr>
          <w:szCs w:val="18"/>
        </w:rPr>
        <w:t>, sentencia de la Corte Interamericana de Derechos Humanos (2006), párr. 99.</w:t>
      </w:r>
    </w:p>
  </w:footnote>
  <w:footnote w:id="11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CPT/Inf (2014) 13, párr. 111.</w:t>
      </w:r>
    </w:p>
  </w:footnote>
  <w:footnote w:id="11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www.achpr.org/files/sessions/37th/mission-reports/prisons-2004/misrep_specmec_priso_</w:t>
      </w:r>
      <w:r>
        <w:rPr>
          <w:szCs w:val="17"/>
        </w:rPr>
        <w:br/>
      </w:r>
      <w:r w:rsidRPr="000E14E6">
        <w:rPr>
          <w:szCs w:val="17"/>
        </w:rPr>
        <w:t xml:space="preserve">southafrica_2004_eng.pdf, </w:t>
      </w:r>
      <w:r w:rsidR="00C46E2F">
        <w:rPr>
          <w:szCs w:val="17"/>
        </w:rPr>
        <w:t>capítulo</w:t>
      </w:r>
      <w:r w:rsidRPr="000E14E6">
        <w:rPr>
          <w:szCs w:val="17"/>
        </w:rPr>
        <w:t xml:space="preserve"> F</w:t>
      </w:r>
      <w:r w:rsidR="00C46E2F">
        <w:rPr>
          <w:szCs w:val="17"/>
        </w:rPr>
        <w:t xml:space="preserve"> </w:t>
      </w:r>
      <w:r w:rsidRPr="000E14E6">
        <w:rPr>
          <w:szCs w:val="17"/>
        </w:rPr>
        <w:t xml:space="preserve">i); y </w:t>
      </w:r>
      <w:r w:rsidRPr="000E14E6">
        <w:rPr>
          <w:i/>
          <w:szCs w:val="17"/>
        </w:rPr>
        <w:t>M v. The State</w:t>
      </w:r>
      <w:r w:rsidRPr="000E14E6">
        <w:rPr>
          <w:iCs/>
          <w:szCs w:val="17"/>
        </w:rPr>
        <w:t>,</w:t>
      </w:r>
      <w:r w:rsidRPr="000E14E6">
        <w:rPr>
          <w:szCs w:val="17"/>
        </w:rPr>
        <w:t xml:space="preserve"> sentencia del Tribunal Constitucional de Sudáfrica (2007). Véase también CRC/C/GC/14, párr. 69.</w:t>
      </w:r>
    </w:p>
  </w:footnote>
  <w:footnote w:id="11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rPr>
        <w:tab/>
      </w:r>
      <w:r w:rsidRPr="000E14E6">
        <w:rPr>
          <w:rStyle w:val="FootnoteReference"/>
          <w:szCs w:val="17"/>
        </w:rPr>
        <w:footnoteRef/>
      </w:r>
      <w:r w:rsidRPr="000E14E6">
        <w:rPr>
          <w:szCs w:val="17"/>
        </w:rPr>
        <w:tab/>
        <w:t xml:space="preserve">Véase CEDAW/C/BRA/CO/7, párr. </w:t>
      </w:r>
      <w:r w:rsidRPr="000E14E6">
        <w:rPr>
          <w:szCs w:val="17"/>
          <w:lang w:val="en-US"/>
        </w:rPr>
        <w:t>32.</w:t>
      </w:r>
    </w:p>
  </w:footnote>
  <w:footnote w:id="11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lv-LV"/>
        </w:rPr>
      </w:pPr>
      <w:r w:rsidRPr="000E14E6">
        <w:rPr>
          <w:szCs w:val="17"/>
          <w:lang w:val="en-US"/>
        </w:rPr>
        <w:tab/>
      </w:r>
      <w:r w:rsidRPr="000E14E6">
        <w:rPr>
          <w:rStyle w:val="FootnoteReference"/>
          <w:szCs w:val="17"/>
        </w:rPr>
        <w:footnoteRef/>
      </w:r>
      <w:r w:rsidRPr="000E14E6">
        <w:rPr>
          <w:szCs w:val="17"/>
          <w:lang w:val="en-US"/>
        </w:rPr>
        <w:tab/>
        <w:t>Véa</w:t>
      </w:r>
      <w:r w:rsidR="00C46E2F">
        <w:rPr>
          <w:szCs w:val="17"/>
          <w:lang w:val="en-US"/>
        </w:rPr>
        <w:t>n</w:t>
      </w:r>
      <w:r w:rsidRPr="000E14E6">
        <w:rPr>
          <w:szCs w:val="17"/>
          <w:lang w:val="en-US"/>
        </w:rPr>
        <w:t xml:space="preserve">se </w:t>
      </w:r>
      <w:r w:rsidRPr="000E14E6">
        <w:rPr>
          <w:szCs w:val="17"/>
          <w:lang w:val="en-GB"/>
        </w:rPr>
        <w:t xml:space="preserve">CAT/C/LKA/CO/3-4, párr. </w:t>
      </w:r>
      <w:r w:rsidRPr="000E14E6">
        <w:rPr>
          <w:szCs w:val="17"/>
        </w:rPr>
        <w:t>14</w:t>
      </w:r>
      <w:r w:rsidR="00C46E2F">
        <w:rPr>
          <w:szCs w:val="17"/>
        </w:rPr>
        <w:t>;</w:t>
      </w:r>
      <w:r w:rsidRPr="000E14E6">
        <w:rPr>
          <w:szCs w:val="17"/>
        </w:rPr>
        <w:t xml:space="preserve"> y A/HRC/28/68, párr. 41. Véase también </w:t>
      </w:r>
      <w:r w:rsidRPr="000E14E6">
        <w:rPr>
          <w:i/>
          <w:szCs w:val="17"/>
          <w:lang w:val="lv-LV"/>
        </w:rPr>
        <w:t xml:space="preserve">Instituto de </w:t>
      </w:r>
      <w:r>
        <w:rPr>
          <w:i/>
          <w:szCs w:val="17"/>
          <w:lang w:val="lv-LV"/>
        </w:rPr>
        <w:t>Ree</w:t>
      </w:r>
      <w:r w:rsidRPr="000E14E6">
        <w:rPr>
          <w:i/>
          <w:szCs w:val="17"/>
          <w:lang w:val="lv-LV"/>
        </w:rPr>
        <w:t xml:space="preserve">ducación del Menor </w:t>
      </w:r>
      <w:r w:rsidR="00C46E2F">
        <w:rPr>
          <w:i/>
          <w:szCs w:val="17"/>
          <w:lang w:val="lv-LV"/>
        </w:rPr>
        <w:t>vs</w:t>
      </w:r>
      <w:r w:rsidRPr="000E14E6">
        <w:rPr>
          <w:i/>
          <w:szCs w:val="17"/>
          <w:lang w:val="lv-LV"/>
        </w:rPr>
        <w:t>. Paraguay</w:t>
      </w:r>
      <w:r w:rsidRPr="000E14E6">
        <w:rPr>
          <w:szCs w:val="17"/>
          <w:lang w:val="lv-LV"/>
        </w:rPr>
        <w:t>, sentencia de la Corte Interamericana de Derechos Humanos</w:t>
      </w:r>
      <w:r w:rsidRPr="000E14E6">
        <w:rPr>
          <w:szCs w:val="17"/>
        </w:rPr>
        <w:t xml:space="preserve"> </w:t>
      </w:r>
      <w:r w:rsidRPr="000E14E6">
        <w:rPr>
          <w:szCs w:val="17"/>
          <w:lang w:val="lv-LV"/>
        </w:rPr>
        <w:t>(2004), párr. 175.</w:t>
      </w:r>
    </w:p>
  </w:footnote>
  <w:footnote w:id="11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lv-LV"/>
        </w:rPr>
      </w:pPr>
      <w:r w:rsidRPr="000E14E6">
        <w:rPr>
          <w:szCs w:val="17"/>
          <w:lang w:val="lv-LV"/>
        </w:rPr>
        <w:tab/>
      </w:r>
      <w:r w:rsidRPr="000E14E6">
        <w:rPr>
          <w:rStyle w:val="FootnoteReference"/>
          <w:szCs w:val="17"/>
        </w:rPr>
        <w:footnoteRef/>
      </w:r>
      <w:r w:rsidRPr="000E14E6">
        <w:rPr>
          <w:szCs w:val="17"/>
          <w:lang w:val="lv-LV"/>
        </w:rPr>
        <w:tab/>
        <w:t xml:space="preserve">Véase </w:t>
      </w:r>
      <w:r w:rsidRPr="000E14E6">
        <w:rPr>
          <w:szCs w:val="17"/>
          <w:lang w:val="lv-LV" w:eastAsia="lv-LV"/>
        </w:rPr>
        <w:t>A/68/295, párr. 45.</w:t>
      </w:r>
    </w:p>
  </w:footnote>
  <w:footnote w:id="11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lv-LV"/>
        </w:rPr>
      </w:pPr>
      <w:r w:rsidRPr="000E14E6">
        <w:rPr>
          <w:szCs w:val="17"/>
          <w:lang w:val="lv-LV"/>
        </w:rPr>
        <w:tab/>
      </w:r>
      <w:r w:rsidRPr="000E14E6">
        <w:rPr>
          <w:rStyle w:val="FootnoteReference"/>
          <w:szCs w:val="17"/>
        </w:rPr>
        <w:footnoteRef/>
      </w:r>
      <w:r w:rsidRPr="000E14E6">
        <w:rPr>
          <w:szCs w:val="17"/>
          <w:lang w:val="lv-LV"/>
        </w:rPr>
        <w:tab/>
        <w:t>Véase www.ohchr.org/EN/NewsEvents/Pages/DisplayNews.aspx?NewsID=16257&amp;LangID=E.</w:t>
      </w:r>
    </w:p>
  </w:footnote>
  <w:footnote w:id="11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lang w:val="lv-LV"/>
        </w:rPr>
        <w:tab/>
      </w:r>
      <w:r w:rsidRPr="000E14E6">
        <w:rPr>
          <w:rStyle w:val="FootnoteReference"/>
          <w:szCs w:val="17"/>
        </w:rPr>
        <w:footnoteRef/>
      </w:r>
      <w:r w:rsidRPr="000E14E6">
        <w:rPr>
          <w:szCs w:val="17"/>
          <w:lang w:val="lv-LV"/>
        </w:rPr>
        <w:tab/>
        <w:t xml:space="preserve">Véase </w:t>
      </w:r>
      <w:r w:rsidRPr="000E14E6">
        <w:rPr>
          <w:bCs/>
          <w:szCs w:val="17"/>
          <w:lang w:val="lv-LV" w:eastAsia="lv-LV"/>
        </w:rPr>
        <w:t>CAT/OP/NZL/1, párr. 33.</w:t>
      </w:r>
    </w:p>
  </w:footnote>
  <w:footnote w:id="12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en-US"/>
        </w:rPr>
        <w:tab/>
      </w:r>
      <w:r w:rsidRPr="000E14E6">
        <w:rPr>
          <w:rStyle w:val="FootnoteReference"/>
          <w:szCs w:val="17"/>
        </w:rPr>
        <w:footnoteRef/>
      </w:r>
      <w:r w:rsidRPr="000E14E6">
        <w:rPr>
          <w:szCs w:val="17"/>
          <w:lang w:val="en-US"/>
        </w:rPr>
        <w:tab/>
        <w:t>Véa</w:t>
      </w:r>
      <w:r w:rsidR="00C46E2F">
        <w:rPr>
          <w:szCs w:val="17"/>
          <w:lang w:val="en-US"/>
        </w:rPr>
        <w:t>n</w:t>
      </w:r>
      <w:r w:rsidRPr="000E14E6">
        <w:rPr>
          <w:szCs w:val="17"/>
          <w:lang w:val="en-US"/>
        </w:rPr>
        <w:t>se CAT/C/GAB/CO/1, párr. 17</w:t>
      </w:r>
      <w:r w:rsidR="00C46E2F">
        <w:rPr>
          <w:szCs w:val="17"/>
          <w:lang w:val="en-US"/>
        </w:rPr>
        <w:t>;</w:t>
      </w:r>
      <w:r w:rsidRPr="000E14E6">
        <w:rPr>
          <w:szCs w:val="17"/>
          <w:lang w:val="en-US"/>
        </w:rPr>
        <w:t xml:space="preserve"> CAT/C/MUS/CO/3, párr. 14</w:t>
      </w:r>
      <w:r w:rsidR="00C46E2F">
        <w:rPr>
          <w:szCs w:val="17"/>
          <w:lang w:val="en-US"/>
        </w:rPr>
        <w:t>;</w:t>
      </w:r>
      <w:r w:rsidRPr="000E14E6">
        <w:rPr>
          <w:szCs w:val="17"/>
          <w:lang w:val="en-US"/>
        </w:rPr>
        <w:t xml:space="preserve"> CAT/C/LKA/CO/3-4, párr. </w:t>
      </w:r>
      <w:r w:rsidRPr="000E14E6">
        <w:rPr>
          <w:szCs w:val="17"/>
        </w:rPr>
        <w:t>14</w:t>
      </w:r>
      <w:r w:rsidR="00C46E2F">
        <w:rPr>
          <w:szCs w:val="17"/>
        </w:rPr>
        <w:t>;</w:t>
      </w:r>
      <w:r w:rsidRPr="000E14E6">
        <w:rPr>
          <w:szCs w:val="17"/>
        </w:rPr>
        <w:t xml:space="preserve"> y CCPR/C/MOZ/CO/1, párr. 14.</w:t>
      </w:r>
    </w:p>
  </w:footnote>
  <w:footnote w:id="12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rPr>
        <w:tab/>
      </w:r>
      <w:r w:rsidRPr="000E14E6">
        <w:rPr>
          <w:rStyle w:val="FootnoteReference"/>
          <w:szCs w:val="17"/>
        </w:rPr>
        <w:footnoteRef/>
      </w:r>
      <w:r w:rsidRPr="000E14E6">
        <w:rPr>
          <w:szCs w:val="17"/>
        </w:rPr>
        <w:tab/>
        <w:t xml:space="preserve">Véanse E/C.12/LKA/CO/2-4, párr. </w:t>
      </w:r>
      <w:r w:rsidRPr="000E14E6">
        <w:rPr>
          <w:szCs w:val="17"/>
          <w:lang w:val="es-ES_tradnl"/>
        </w:rPr>
        <w:t>32</w:t>
      </w:r>
      <w:r>
        <w:rPr>
          <w:szCs w:val="17"/>
          <w:lang w:val="es-ES_tradnl"/>
        </w:rPr>
        <w:t>,</w:t>
      </w:r>
      <w:r w:rsidRPr="000E14E6">
        <w:rPr>
          <w:szCs w:val="17"/>
          <w:lang w:val="es-ES_tradnl"/>
        </w:rPr>
        <w:t xml:space="preserve"> </w:t>
      </w:r>
      <w:r w:rsidRPr="000E14E6">
        <w:rPr>
          <w:bCs/>
          <w:szCs w:val="17"/>
          <w:lang w:val="lv-LV"/>
        </w:rPr>
        <w:t>www.achpr.org/files/sessions/12th-eo/mission-reports/promotion_mission-2012/mission_report_mauritania_cpta_eng.pdf, párr. 38</w:t>
      </w:r>
      <w:r>
        <w:rPr>
          <w:bCs/>
          <w:szCs w:val="17"/>
          <w:lang w:val="lv-LV"/>
        </w:rPr>
        <w:t>,</w:t>
      </w:r>
      <w:r w:rsidRPr="000E14E6">
        <w:rPr>
          <w:bCs/>
          <w:szCs w:val="17"/>
          <w:lang w:val="lv-LV"/>
        </w:rPr>
        <w:t xml:space="preserve"> </w:t>
      </w:r>
      <w:r w:rsidRPr="000E14E6">
        <w:rPr>
          <w:szCs w:val="17"/>
          <w:lang w:val="en-US"/>
        </w:rPr>
        <w:t>CAT/C/BLR/CO/4, párr. 19</w:t>
      </w:r>
      <w:r>
        <w:rPr>
          <w:szCs w:val="17"/>
          <w:lang w:val="en-US"/>
        </w:rPr>
        <w:t>,</w:t>
      </w:r>
      <w:r w:rsidRPr="000E14E6">
        <w:rPr>
          <w:szCs w:val="17"/>
          <w:lang w:val="en-US"/>
        </w:rPr>
        <w:t xml:space="preserve"> CAT/C/SYR/CO/1, párr. 30.</w:t>
      </w:r>
    </w:p>
  </w:footnote>
  <w:footnote w:id="122">
    <w:p w:rsidR="005E171C" w:rsidRPr="00FA1E9A"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en-US"/>
        </w:rPr>
        <w:tab/>
      </w:r>
      <w:r w:rsidRPr="000E14E6">
        <w:rPr>
          <w:rStyle w:val="FootnoteReference"/>
          <w:szCs w:val="17"/>
        </w:rPr>
        <w:footnoteRef/>
      </w:r>
      <w:r w:rsidRPr="00136926">
        <w:rPr>
          <w:szCs w:val="17"/>
          <w:lang w:val="en-US"/>
        </w:rPr>
        <w:tab/>
        <w:t>Véa</w:t>
      </w:r>
      <w:r w:rsidR="00C46E2F" w:rsidRPr="00136926">
        <w:rPr>
          <w:szCs w:val="17"/>
          <w:lang w:val="en-US"/>
        </w:rPr>
        <w:t>n</w:t>
      </w:r>
      <w:r w:rsidRPr="00136926">
        <w:rPr>
          <w:szCs w:val="17"/>
          <w:lang w:val="en-US"/>
        </w:rPr>
        <w:t>se</w:t>
      </w:r>
      <w:r w:rsidRPr="000E14E6">
        <w:rPr>
          <w:szCs w:val="17"/>
          <w:lang w:val="en-GB"/>
        </w:rPr>
        <w:t xml:space="preserve"> CAT/C/KHM/CO/2, párr. </w:t>
      </w:r>
      <w:r w:rsidRPr="00136926">
        <w:rPr>
          <w:szCs w:val="17"/>
          <w:lang w:val="en-US"/>
        </w:rPr>
        <w:t>19</w:t>
      </w:r>
      <w:r w:rsidR="00C46E2F" w:rsidRPr="00136926">
        <w:rPr>
          <w:szCs w:val="17"/>
          <w:lang w:val="en-US"/>
        </w:rPr>
        <w:t>;</w:t>
      </w:r>
      <w:r w:rsidRPr="00136926">
        <w:rPr>
          <w:szCs w:val="17"/>
          <w:lang w:val="en-US"/>
        </w:rPr>
        <w:t xml:space="preserve"> y CCPR/C/BDI/CO/2, párr. </w:t>
      </w:r>
      <w:r w:rsidRPr="00FA1E9A">
        <w:rPr>
          <w:szCs w:val="17"/>
        </w:rPr>
        <w:t>18.</w:t>
      </w:r>
    </w:p>
  </w:footnote>
  <w:footnote w:id="12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lv-LV"/>
        </w:rPr>
      </w:pPr>
      <w:r w:rsidRPr="00FA1E9A">
        <w:rPr>
          <w:szCs w:val="17"/>
        </w:rPr>
        <w:tab/>
      </w:r>
      <w:r w:rsidRPr="000E14E6">
        <w:rPr>
          <w:rStyle w:val="FootnoteReference"/>
          <w:szCs w:val="17"/>
        </w:rPr>
        <w:footnoteRef/>
      </w:r>
      <w:r w:rsidRPr="00FA1E9A">
        <w:rPr>
          <w:szCs w:val="17"/>
        </w:rPr>
        <w:tab/>
        <w:t xml:space="preserve">Véanse SRT A/HRC/28/68, párr. </w:t>
      </w:r>
      <w:r w:rsidRPr="0066521F">
        <w:rPr>
          <w:szCs w:val="17"/>
        </w:rPr>
        <w:t xml:space="preserve">68; </w:t>
      </w:r>
      <w:r>
        <w:rPr>
          <w:i/>
          <w:szCs w:val="17"/>
          <w:lang w:val="lv-LV"/>
        </w:rPr>
        <w:t xml:space="preserve">Instituto de Reeducación del Menor </w:t>
      </w:r>
      <w:r w:rsidR="00C46E2F">
        <w:rPr>
          <w:i/>
          <w:szCs w:val="17"/>
          <w:lang w:val="lv-LV"/>
        </w:rPr>
        <w:t>vs</w:t>
      </w:r>
      <w:r>
        <w:rPr>
          <w:i/>
          <w:szCs w:val="17"/>
          <w:lang w:val="lv-LV"/>
        </w:rPr>
        <w:t xml:space="preserve">. </w:t>
      </w:r>
      <w:r w:rsidRPr="000E14E6">
        <w:rPr>
          <w:i/>
          <w:szCs w:val="17"/>
          <w:lang w:val="lv-LV"/>
        </w:rPr>
        <w:t>Paraguay</w:t>
      </w:r>
      <w:r w:rsidRPr="000E14E6">
        <w:rPr>
          <w:szCs w:val="17"/>
          <w:lang w:val="lv-LV"/>
        </w:rPr>
        <w:t xml:space="preserve">, </w:t>
      </w:r>
      <w:r w:rsidR="00C46E2F">
        <w:rPr>
          <w:szCs w:val="17"/>
          <w:lang w:val="lv-LV"/>
        </w:rPr>
        <w:t xml:space="preserve">sentencia de la </w:t>
      </w:r>
      <w:r>
        <w:rPr>
          <w:szCs w:val="17"/>
          <w:lang w:val="lv-LV"/>
        </w:rPr>
        <w:t xml:space="preserve">Corte Interamericana de Derechos Humanos </w:t>
      </w:r>
      <w:r w:rsidRPr="000E14E6">
        <w:rPr>
          <w:szCs w:val="17"/>
          <w:lang w:val="lv-LV"/>
        </w:rPr>
        <w:t>(2004), párr. 175</w:t>
      </w:r>
      <w:r w:rsidR="00C46E2F">
        <w:rPr>
          <w:szCs w:val="17"/>
          <w:lang w:val="lv-LV"/>
        </w:rPr>
        <w:t>;</w:t>
      </w:r>
      <w:r w:rsidRPr="000E14E6">
        <w:rPr>
          <w:szCs w:val="17"/>
          <w:lang w:val="lv-LV"/>
        </w:rPr>
        <w:t xml:space="preserve"> CAT/C/BOL/CO/2, párr. 18</w:t>
      </w:r>
      <w:r>
        <w:rPr>
          <w:szCs w:val="17"/>
          <w:lang w:val="lv-LV"/>
        </w:rPr>
        <w:t>,</w:t>
      </w:r>
      <w:r w:rsidRPr="000E14E6">
        <w:rPr>
          <w:szCs w:val="17"/>
          <w:lang w:val="lv-LV"/>
        </w:rPr>
        <w:t xml:space="preserve"> y </w:t>
      </w:r>
      <w:r w:rsidRPr="000E14E6">
        <w:rPr>
          <w:bCs/>
          <w:szCs w:val="17"/>
          <w:lang w:val="lv-LV"/>
        </w:rPr>
        <w:t>A/HRC/28/68, párr. 58.</w:t>
      </w:r>
    </w:p>
  </w:footnote>
  <w:footnote w:id="12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lv-LV"/>
        </w:rPr>
      </w:pPr>
      <w:r w:rsidRPr="000E14E6">
        <w:rPr>
          <w:szCs w:val="17"/>
          <w:lang w:val="lv-LV"/>
        </w:rPr>
        <w:tab/>
      </w:r>
      <w:r w:rsidRPr="000E14E6">
        <w:rPr>
          <w:rStyle w:val="FootnoteReference"/>
          <w:szCs w:val="17"/>
        </w:rPr>
        <w:footnoteRef/>
      </w:r>
      <w:r w:rsidRPr="000E14E6">
        <w:rPr>
          <w:szCs w:val="17"/>
          <w:lang w:val="lv-LV"/>
        </w:rPr>
        <w:tab/>
        <w:t xml:space="preserve">Véanse </w:t>
      </w:r>
      <w:r w:rsidRPr="000E14E6">
        <w:rPr>
          <w:bCs/>
          <w:szCs w:val="17"/>
          <w:lang w:val="lv-LV"/>
        </w:rPr>
        <w:t>A/HRC/22/50/Add.2, párr. 13</w:t>
      </w:r>
      <w:r>
        <w:rPr>
          <w:bCs/>
          <w:szCs w:val="17"/>
          <w:lang w:val="lv-LV"/>
        </w:rPr>
        <w:t>,</w:t>
      </w:r>
      <w:r w:rsidRPr="000E14E6">
        <w:rPr>
          <w:szCs w:val="17"/>
          <w:lang w:val="lv-LV"/>
        </w:rPr>
        <w:t xml:space="preserve"> CEDAW/C/BRA/CO/7, párr. 32</w:t>
      </w:r>
      <w:r>
        <w:rPr>
          <w:szCs w:val="17"/>
          <w:lang w:val="lv-LV"/>
        </w:rPr>
        <w:t>,</w:t>
      </w:r>
      <w:r w:rsidRPr="000E14E6">
        <w:rPr>
          <w:szCs w:val="17"/>
          <w:lang w:val="lv-LV"/>
        </w:rPr>
        <w:t xml:space="preserve"> </w:t>
      </w:r>
      <w:r>
        <w:rPr>
          <w:szCs w:val="17"/>
          <w:lang w:val="lv-LV"/>
        </w:rPr>
        <w:t>y</w:t>
      </w:r>
      <w:r w:rsidRPr="000E14E6">
        <w:rPr>
          <w:szCs w:val="17"/>
          <w:lang w:val="lv-LV"/>
        </w:rPr>
        <w:t xml:space="preserve"> </w:t>
      </w:r>
      <w:r w:rsidRPr="000E14E6">
        <w:rPr>
          <w:bCs/>
          <w:szCs w:val="17"/>
          <w:lang w:val="lv-LV"/>
        </w:rPr>
        <w:t>www.achpr.org/files/</w:t>
      </w:r>
      <w:r>
        <w:rPr>
          <w:bCs/>
          <w:szCs w:val="17"/>
          <w:lang w:val="lv-LV"/>
        </w:rPr>
        <w:br/>
      </w:r>
      <w:r w:rsidRPr="000E14E6">
        <w:rPr>
          <w:bCs/>
          <w:szCs w:val="17"/>
          <w:lang w:val="lv-LV"/>
        </w:rPr>
        <w:t>sessions/37th/mission-reports/ethiopia/misrep_specmec_priso_ethopia_2004_eng.pdf, pág. 33.</w:t>
      </w:r>
    </w:p>
  </w:footnote>
  <w:footnote w:id="12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lv-LV"/>
        </w:rPr>
        <w:tab/>
      </w:r>
      <w:r w:rsidRPr="000E14E6">
        <w:rPr>
          <w:rStyle w:val="FootnoteReference"/>
          <w:szCs w:val="17"/>
        </w:rPr>
        <w:footnoteRef/>
      </w:r>
      <w:r w:rsidRPr="000E14E6">
        <w:rPr>
          <w:szCs w:val="17"/>
        </w:rPr>
        <w:tab/>
        <w:t>Véase CEDAW/C/BRA/CO/7, párr</w:t>
      </w:r>
      <w:r w:rsidR="00C46E2F">
        <w:rPr>
          <w:szCs w:val="17"/>
        </w:rPr>
        <w:t>s</w:t>
      </w:r>
      <w:r w:rsidRPr="000E14E6">
        <w:rPr>
          <w:szCs w:val="17"/>
        </w:rPr>
        <w:t>. 32 y 33.</w:t>
      </w:r>
    </w:p>
  </w:footnote>
  <w:footnote w:id="126">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rPr>
        <w:tab/>
      </w:r>
      <w:r w:rsidRPr="000E14E6">
        <w:rPr>
          <w:rStyle w:val="FootnoteReference"/>
          <w:szCs w:val="17"/>
        </w:rPr>
        <w:footnoteRef/>
      </w:r>
      <w:r w:rsidRPr="00136926">
        <w:rPr>
          <w:szCs w:val="17"/>
          <w:lang w:val="en-US"/>
        </w:rPr>
        <w:tab/>
        <w:t>Véanse CAT/C/KEN/CO/2, párr. 12</w:t>
      </w:r>
      <w:r w:rsidR="00C46E2F" w:rsidRPr="00136926">
        <w:rPr>
          <w:szCs w:val="17"/>
          <w:lang w:val="en-US"/>
        </w:rPr>
        <w:t>;</w:t>
      </w:r>
      <w:r w:rsidRPr="00136926">
        <w:rPr>
          <w:szCs w:val="17"/>
          <w:lang w:val="en-US"/>
        </w:rPr>
        <w:t xml:space="preserve"> y CAT/C/RWA/CO/1, párr. 19.</w:t>
      </w:r>
    </w:p>
  </w:footnote>
  <w:footnote w:id="127">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136926">
        <w:rPr>
          <w:szCs w:val="17"/>
          <w:lang w:val="en-US"/>
        </w:rPr>
        <w:tab/>
      </w:r>
      <w:r w:rsidRPr="000E14E6">
        <w:rPr>
          <w:rStyle w:val="FootnoteReference"/>
          <w:szCs w:val="17"/>
        </w:rPr>
        <w:footnoteRef/>
      </w:r>
      <w:r w:rsidRPr="00136926">
        <w:rPr>
          <w:szCs w:val="17"/>
          <w:lang w:val="en-US"/>
        </w:rPr>
        <w:tab/>
        <w:t>Véase CAT/OP/MEX/1, párr. 187.</w:t>
      </w:r>
    </w:p>
  </w:footnote>
  <w:footnote w:id="12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136926">
        <w:rPr>
          <w:szCs w:val="17"/>
          <w:lang w:val="en-US"/>
        </w:rPr>
        <w:tab/>
      </w:r>
      <w:r w:rsidRPr="000E14E6">
        <w:rPr>
          <w:rStyle w:val="FootnoteReference"/>
          <w:szCs w:val="17"/>
        </w:rPr>
        <w:footnoteRef/>
      </w:r>
      <w:r w:rsidRPr="00136926">
        <w:rPr>
          <w:szCs w:val="17"/>
          <w:lang w:val="en-US"/>
        </w:rPr>
        <w:tab/>
        <w:t xml:space="preserve">Véanse CPT/Inf (2014) 13, párr. </w:t>
      </w:r>
      <w:r w:rsidRPr="000E14E6">
        <w:rPr>
          <w:szCs w:val="17"/>
          <w:lang w:val="en-GB"/>
        </w:rPr>
        <w:t>53</w:t>
      </w:r>
      <w:r w:rsidR="00C46E2F">
        <w:rPr>
          <w:szCs w:val="17"/>
          <w:lang w:val="en-GB"/>
        </w:rPr>
        <w:t>;</w:t>
      </w:r>
      <w:r w:rsidRPr="000E14E6">
        <w:rPr>
          <w:szCs w:val="17"/>
          <w:lang w:val="en-GB"/>
        </w:rPr>
        <w:t xml:space="preserve"> y CAT/C/KHM/CO/2, párr. 19.</w:t>
      </w:r>
    </w:p>
  </w:footnote>
  <w:footnote w:id="12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lang w:val="en-GB"/>
        </w:rPr>
        <w:tab/>
      </w:r>
      <w:r w:rsidRPr="000E14E6">
        <w:rPr>
          <w:rStyle w:val="FootnoteReference"/>
          <w:szCs w:val="17"/>
        </w:rPr>
        <w:footnoteRef/>
      </w:r>
      <w:r w:rsidRPr="000E14E6">
        <w:rPr>
          <w:szCs w:val="17"/>
          <w:lang w:val="en-US"/>
        </w:rPr>
        <w:tab/>
        <w:t>Véase CPT/Inf (2014) 13, párr. 53.</w:t>
      </w:r>
    </w:p>
  </w:footnote>
  <w:footnote w:id="130">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en-US"/>
        </w:rPr>
        <w:tab/>
      </w:r>
      <w:r w:rsidRPr="000E14E6">
        <w:rPr>
          <w:rStyle w:val="FootnoteReference"/>
          <w:szCs w:val="17"/>
        </w:rPr>
        <w:footnoteRef/>
      </w:r>
      <w:r w:rsidRPr="000E14E6">
        <w:rPr>
          <w:szCs w:val="17"/>
          <w:lang w:val="en-US"/>
        </w:rPr>
        <w:tab/>
        <w:t xml:space="preserve">Véase CPT/Inf (2014) 13, párr. </w:t>
      </w:r>
      <w:r w:rsidRPr="00136926">
        <w:rPr>
          <w:szCs w:val="17"/>
        </w:rPr>
        <w:t>53.</w:t>
      </w:r>
    </w:p>
  </w:footnote>
  <w:footnote w:id="131">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136926">
        <w:rPr>
          <w:szCs w:val="17"/>
        </w:rPr>
        <w:tab/>
      </w:r>
      <w:r w:rsidRPr="000E14E6">
        <w:rPr>
          <w:rStyle w:val="FootnoteReference"/>
          <w:szCs w:val="17"/>
        </w:rPr>
        <w:footnoteRef/>
      </w:r>
      <w:r w:rsidRPr="00136926">
        <w:rPr>
          <w:szCs w:val="17"/>
        </w:rPr>
        <w:tab/>
        <w:t xml:space="preserve">Véase </w:t>
      </w:r>
      <w:r w:rsidRPr="000E14E6">
        <w:rPr>
          <w:szCs w:val="17"/>
          <w:lang w:val="lv-LV" w:eastAsia="lv-LV"/>
        </w:rPr>
        <w:t>A/68/295, párr. 45.</w:t>
      </w:r>
    </w:p>
  </w:footnote>
  <w:footnote w:id="132">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136926">
        <w:rPr>
          <w:szCs w:val="17"/>
        </w:rPr>
        <w:tab/>
      </w:r>
      <w:r w:rsidRPr="000E14E6">
        <w:rPr>
          <w:rStyle w:val="FootnoteReference"/>
          <w:szCs w:val="17"/>
        </w:rPr>
        <w:footnoteRef/>
      </w:r>
      <w:r w:rsidRPr="00136926">
        <w:rPr>
          <w:szCs w:val="17"/>
        </w:rPr>
        <w:tab/>
        <w:t>Véase CAT/OP/HND/1, párr. 191.</w:t>
      </w:r>
    </w:p>
  </w:footnote>
  <w:footnote w:id="13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136926">
        <w:rPr>
          <w:szCs w:val="17"/>
        </w:rPr>
        <w:tab/>
      </w:r>
      <w:r w:rsidRPr="000E14E6">
        <w:rPr>
          <w:rStyle w:val="FootnoteReference"/>
          <w:szCs w:val="17"/>
        </w:rPr>
        <w:footnoteRef/>
      </w:r>
      <w:r w:rsidRPr="00136926">
        <w:rPr>
          <w:szCs w:val="17"/>
        </w:rPr>
        <w:tab/>
        <w:t>Véa</w:t>
      </w:r>
      <w:r w:rsidR="00C46E2F" w:rsidRPr="00136926">
        <w:rPr>
          <w:szCs w:val="17"/>
        </w:rPr>
        <w:t>n</w:t>
      </w:r>
      <w:r w:rsidRPr="00136926">
        <w:rPr>
          <w:szCs w:val="17"/>
        </w:rPr>
        <w:t xml:space="preserve">se CAT/OP/PRY/1, párr. </w:t>
      </w:r>
      <w:r w:rsidRPr="000E14E6">
        <w:rPr>
          <w:szCs w:val="17"/>
        </w:rPr>
        <w:t>148</w:t>
      </w:r>
      <w:r w:rsidR="00C46E2F">
        <w:rPr>
          <w:szCs w:val="17"/>
          <w:lang w:val="lv-LV"/>
        </w:rPr>
        <w:t>;</w:t>
      </w:r>
      <w:r w:rsidRPr="000E14E6">
        <w:rPr>
          <w:szCs w:val="17"/>
        </w:rPr>
        <w:t xml:space="preserve"> y </w:t>
      </w:r>
      <w:r w:rsidR="00C46E2F" w:rsidRPr="000E14E6">
        <w:rPr>
          <w:szCs w:val="17"/>
        </w:rPr>
        <w:t xml:space="preserve">documento </w:t>
      </w:r>
      <w:r w:rsidRPr="000E14E6">
        <w:rPr>
          <w:szCs w:val="17"/>
        </w:rPr>
        <w:t xml:space="preserve">del Consejo de </w:t>
      </w:r>
      <w:r>
        <w:rPr>
          <w:szCs w:val="17"/>
        </w:rPr>
        <w:t>Europa CPT/Inf (2015) 12, párr. </w:t>
      </w:r>
      <w:r w:rsidRPr="000E14E6">
        <w:rPr>
          <w:szCs w:val="17"/>
        </w:rPr>
        <w:t>54</w:t>
      </w:r>
      <w:r w:rsidRPr="000E14E6">
        <w:rPr>
          <w:szCs w:val="17"/>
          <w:lang w:val="lv-LV"/>
        </w:rPr>
        <w:t xml:space="preserve">. Véase también </w:t>
      </w:r>
      <w:r w:rsidRPr="000E14E6">
        <w:rPr>
          <w:szCs w:val="17"/>
          <w:lang w:val="lv-LV" w:eastAsia="lv-LV"/>
        </w:rPr>
        <w:t>www.achpr.org/files/sessions/52nd/inter-act-reps/185/activty_</w:t>
      </w:r>
      <w:r>
        <w:rPr>
          <w:szCs w:val="17"/>
          <w:lang w:val="lv-LV" w:eastAsia="lv-LV"/>
        </w:rPr>
        <w:br/>
      </w:r>
      <w:r w:rsidRPr="000E14E6">
        <w:rPr>
          <w:szCs w:val="17"/>
          <w:lang w:val="lv-LV" w:eastAsia="lv-LV"/>
        </w:rPr>
        <w:t xml:space="preserve">report_prisons_eng.pdf, </w:t>
      </w:r>
      <w:r w:rsidRPr="000E14E6">
        <w:rPr>
          <w:bCs/>
          <w:szCs w:val="17"/>
          <w:lang w:eastAsia="lv-LV"/>
        </w:rPr>
        <w:t>pág. 15</w:t>
      </w:r>
      <w:r w:rsidRPr="000E14E6">
        <w:rPr>
          <w:szCs w:val="17"/>
        </w:rPr>
        <w:t>.</w:t>
      </w:r>
    </w:p>
  </w:footnote>
  <w:footnote w:id="13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CAT/C/AUS/CO/4-5, párr. 11.</w:t>
      </w:r>
    </w:p>
  </w:footnote>
  <w:footnote w:id="13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CAT/C/MEX/CO/5-6, párr. 19.</w:t>
      </w:r>
    </w:p>
  </w:footnote>
  <w:footnote w:id="13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Véase </w:t>
      </w:r>
      <w:r w:rsidRPr="000E14E6">
        <w:rPr>
          <w:szCs w:val="17"/>
          <w:lang w:val="lv-LV"/>
        </w:rPr>
        <w:t>A/HRC/13/39/Add.5, párr. 234.</w:t>
      </w:r>
    </w:p>
  </w:footnote>
  <w:footnote w:id="13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el documento del Consejo de Europa CPT/Inf/C (2002) 1 [</w:t>
      </w:r>
      <w:r>
        <w:rPr>
          <w:szCs w:val="17"/>
        </w:rPr>
        <w:t>Rev. 2015] Sección: 7/86, párr. </w:t>
      </w:r>
      <w:r w:rsidRPr="000E14E6">
        <w:rPr>
          <w:szCs w:val="17"/>
        </w:rPr>
        <w:t>28.</w:t>
      </w:r>
    </w:p>
  </w:footnote>
  <w:footnote w:id="13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A/HRC/25/60/Add.1, párr. 84.</w:t>
      </w:r>
    </w:p>
  </w:footnote>
  <w:footnote w:id="13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Véase el documento del Consejo de Europa CPT/Inf (2014) 13, párr. 37; </w:t>
      </w:r>
      <w:hyperlink r:id="rId9" w:history="1">
        <w:r w:rsidRPr="000E14E6">
          <w:rPr>
            <w:rStyle w:val="Hyperlink"/>
            <w:szCs w:val="17"/>
          </w:rPr>
          <w:t>www.ohchr.org/Documents/Issues/RuleOfLaw/Overincarceration/ACLU.pdf</w:t>
        </w:r>
      </w:hyperlink>
      <w:r w:rsidRPr="000E14E6">
        <w:rPr>
          <w:szCs w:val="17"/>
        </w:rPr>
        <w:t xml:space="preserve">; </w:t>
      </w:r>
      <w:hyperlink r:id="rId10" w:history="1">
        <w:r w:rsidRPr="000E14E6">
          <w:rPr>
            <w:rStyle w:val="Hyperlink"/>
            <w:szCs w:val="17"/>
          </w:rPr>
          <w:t>www.ohchr.org/Documents/Issues/RuleOfLaw/Overincarceration/CNDH_Mexico.pdf</w:t>
        </w:r>
      </w:hyperlink>
      <w:r w:rsidRPr="000E14E6">
        <w:rPr>
          <w:szCs w:val="17"/>
        </w:rPr>
        <w:t>; y www.ohchr.org/Documents/Issues/RuleOfLaw/Overincarceration/PDDH_Nicaragua.pdf.</w:t>
      </w:r>
    </w:p>
  </w:footnote>
  <w:footnote w:id="140">
    <w:p w:rsidR="005E171C" w:rsidRPr="00A40DA9"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A40DA9">
        <w:rPr>
          <w:szCs w:val="17"/>
        </w:rPr>
        <w:tab/>
        <w:t>Véase www.achpr.org/files/sessions/37th/mission-reports/prisons-2004/misrep_specmec_</w:t>
      </w:r>
      <w:r w:rsidRPr="00A40DA9">
        <w:rPr>
          <w:szCs w:val="17"/>
        </w:rPr>
        <w:br/>
        <w:t>priso_southafrica_2004_eng.pdf</w:t>
      </w:r>
      <w:r w:rsidRPr="000E14E6">
        <w:rPr>
          <w:iCs/>
          <w:szCs w:val="17"/>
          <w:lang w:val="lv-LV" w:eastAsia="lv-LV"/>
        </w:rPr>
        <w:t>,</w:t>
      </w:r>
      <w:r w:rsidR="00A40DA9">
        <w:rPr>
          <w:iCs/>
          <w:szCs w:val="17"/>
          <w:lang w:val="lv-LV" w:eastAsia="lv-LV"/>
        </w:rPr>
        <w:t xml:space="preserve"> capítulo</w:t>
      </w:r>
      <w:r w:rsidRPr="000E14E6">
        <w:rPr>
          <w:iCs/>
          <w:szCs w:val="17"/>
          <w:lang w:val="lv-LV" w:eastAsia="lv-LV"/>
        </w:rPr>
        <w:t xml:space="preserve"> </w:t>
      </w:r>
      <w:r w:rsidRPr="00A40DA9">
        <w:rPr>
          <w:szCs w:val="17"/>
        </w:rPr>
        <w:t>F</w:t>
      </w:r>
      <w:r w:rsidR="00A40DA9">
        <w:rPr>
          <w:szCs w:val="17"/>
        </w:rPr>
        <w:t xml:space="preserve"> </w:t>
      </w:r>
      <w:r w:rsidRPr="00A40DA9">
        <w:rPr>
          <w:szCs w:val="17"/>
        </w:rPr>
        <w:t>i).</w:t>
      </w:r>
    </w:p>
  </w:footnote>
  <w:footnote w:id="141">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A40DA9">
        <w:rPr>
          <w:szCs w:val="17"/>
        </w:rPr>
        <w:tab/>
      </w:r>
      <w:r w:rsidRPr="000E14E6">
        <w:rPr>
          <w:rStyle w:val="FootnoteReference"/>
          <w:szCs w:val="17"/>
        </w:rPr>
        <w:footnoteRef/>
      </w:r>
      <w:r w:rsidRPr="00136926">
        <w:rPr>
          <w:szCs w:val="17"/>
        </w:rPr>
        <w:tab/>
        <w:t>Véase A/HRC/19/57/Add.2, párr. 38.</w:t>
      </w:r>
    </w:p>
  </w:footnote>
  <w:footnote w:id="142">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136926">
        <w:rPr>
          <w:szCs w:val="17"/>
        </w:rPr>
        <w:tab/>
      </w:r>
      <w:r w:rsidRPr="000E14E6">
        <w:rPr>
          <w:rStyle w:val="FootnoteReference"/>
          <w:szCs w:val="17"/>
        </w:rPr>
        <w:footnoteRef/>
      </w:r>
      <w:r w:rsidRPr="00136926">
        <w:rPr>
          <w:szCs w:val="17"/>
        </w:rPr>
        <w:tab/>
        <w:t>Véase CAT/OP/MEX/1, párr. 182.</w:t>
      </w:r>
    </w:p>
  </w:footnote>
  <w:footnote w:id="14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136926">
        <w:rPr>
          <w:szCs w:val="17"/>
        </w:rPr>
        <w:tab/>
      </w:r>
      <w:r w:rsidRPr="000E14E6">
        <w:rPr>
          <w:rStyle w:val="FootnoteReference"/>
          <w:szCs w:val="17"/>
        </w:rPr>
        <w:footnoteRef/>
      </w:r>
      <w:r w:rsidRPr="00136926">
        <w:rPr>
          <w:szCs w:val="17"/>
        </w:rPr>
        <w:tab/>
        <w:t xml:space="preserve">Véanse CCPR/C/HND/CO/1, párr. </w:t>
      </w:r>
      <w:r w:rsidRPr="000E14E6">
        <w:rPr>
          <w:szCs w:val="17"/>
        </w:rPr>
        <w:t>13</w:t>
      </w:r>
      <w:r>
        <w:rPr>
          <w:szCs w:val="17"/>
        </w:rPr>
        <w:t>,</w:t>
      </w:r>
      <w:r w:rsidRPr="000E14E6">
        <w:rPr>
          <w:szCs w:val="17"/>
        </w:rPr>
        <w:t xml:space="preserve"> </w:t>
      </w:r>
      <w:r w:rsidRPr="000E14E6">
        <w:rPr>
          <w:i/>
          <w:szCs w:val="17"/>
        </w:rPr>
        <w:t xml:space="preserve">Pacheco Teruel y otros </w:t>
      </w:r>
      <w:r w:rsidR="00A40DA9">
        <w:rPr>
          <w:i/>
          <w:szCs w:val="17"/>
        </w:rPr>
        <w:t>vs</w:t>
      </w:r>
      <w:r w:rsidRPr="000E14E6">
        <w:rPr>
          <w:i/>
          <w:szCs w:val="17"/>
        </w:rPr>
        <w:t>. Honduras</w:t>
      </w:r>
      <w:r w:rsidRPr="000E14E6">
        <w:rPr>
          <w:szCs w:val="17"/>
        </w:rPr>
        <w:t>, sentencia de la Corte Interamericana de Der</w:t>
      </w:r>
      <w:r>
        <w:rPr>
          <w:szCs w:val="17"/>
        </w:rPr>
        <w:t>echos Humanos (2012), párr. 101,</w:t>
      </w:r>
      <w:r w:rsidRPr="000E14E6">
        <w:rPr>
          <w:szCs w:val="17"/>
        </w:rPr>
        <w:t xml:space="preserve"> y www.ohchr.org/Documents/Issues/</w:t>
      </w:r>
      <w:r>
        <w:rPr>
          <w:szCs w:val="17"/>
        </w:rPr>
        <w:br/>
      </w:r>
      <w:r w:rsidRPr="000E14E6">
        <w:rPr>
          <w:szCs w:val="17"/>
        </w:rPr>
        <w:t>RuleOfLaw/Overincarceration/BCHR_BIRD_ADHRB.pdf.</w:t>
      </w:r>
    </w:p>
  </w:footnote>
  <w:footnote w:id="14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lang w:val="en-US"/>
        </w:rPr>
        <w:tab/>
        <w:t>Véanse CAT/C/KEN/CO/2, párr. 15</w:t>
      </w:r>
      <w:r>
        <w:rPr>
          <w:szCs w:val="17"/>
          <w:lang w:val="en-US"/>
        </w:rPr>
        <w:t>,</w:t>
      </w:r>
      <w:r w:rsidRPr="000E14E6">
        <w:rPr>
          <w:szCs w:val="17"/>
          <w:lang w:val="en-US"/>
        </w:rPr>
        <w:t xml:space="preserve"> CAT/C/TGO/CO/2, párr. </w:t>
      </w:r>
      <w:r w:rsidRPr="000E14E6">
        <w:rPr>
          <w:szCs w:val="17"/>
        </w:rPr>
        <w:t>12</w:t>
      </w:r>
      <w:r w:rsidR="00A40DA9">
        <w:rPr>
          <w:szCs w:val="17"/>
        </w:rPr>
        <w:t>;</w:t>
      </w:r>
      <w:r w:rsidRPr="000E14E6">
        <w:rPr>
          <w:szCs w:val="17"/>
        </w:rPr>
        <w:t xml:space="preserve"> A/HRC/19/57, párr. 36</w:t>
      </w:r>
      <w:r>
        <w:rPr>
          <w:szCs w:val="17"/>
        </w:rPr>
        <w:t>,</w:t>
      </w:r>
      <w:r w:rsidRPr="000E14E6">
        <w:rPr>
          <w:szCs w:val="17"/>
        </w:rPr>
        <w:t xml:space="preserve"> A/HRC/25/71, párrs. 34 y 41</w:t>
      </w:r>
      <w:r>
        <w:rPr>
          <w:szCs w:val="17"/>
        </w:rPr>
        <w:t>,</w:t>
      </w:r>
      <w:r w:rsidRPr="000E14E6">
        <w:rPr>
          <w:szCs w:val="17"/>
        </w:rPr>
        <w:t xml:space="preserve"> y </w:t>
      </w:r>
      <w:hyperlink r:id="rId11" w:history="1">
        <w:r w:rsidRPr="000E14E6">
          <w:rPr>
            <w:rStyle w:val="Hyperlink"/>
            <w:bCs/>
            <w:szCs w:val="17"/>
            <w:lang w:val="lv-LV" w:eastAsia="lv-LV"/>
          </w:rPr>
          <w:t>www.achpr.org/files/sessions/37th/mission-reports/ethiopia/misrep_specmec_priso_ethopia_2004_eng.pdf</w:t>
        </w:r>
      </w:hyperlink>
      <w:r w:rsidRPr="000E14E6">
        <w:rPr>
          <w:bCs/>
          <w:szCs w:val="17"/>
          <w:lang w:val="lv-LV" w:eastAsia="lv-LV"/>
        </w:rPr>
        <w:t xml:space="preserve">, </w:t>
      </w:r>
      <w:r w:rsidRPr="000E14E6">
        <w:rPr>
          <w:szCs w:val="17"/>
        </w:rPr>
        <w:t>pág. 52.</w:t>
      </w:r>
    </w:p>
  </w:footnote>
  <w:footnote w:id="14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lang w:val="en-US"/>
        </w:rPr>
        <w:tab/>
        <w:t xml:space="preserve">Véanse A/HRC/25/60/Add.1, párrs. </w:t>
      </w:r>
      <w:r w:rsidRPr="000E14E6">
        <w:rPr>
          <w:szCs w:val="17"/>
        </w:rPr>
        <w:t>84</w:t>
      </w:r>
      <w:r w:rsidR="00A40DA9">
        <w:rPr>
          <w:szCs w:val="17"/>
        </w:rPr>
        <w:t xml:space="preserve"> y</w:t>
      </w:r>
      <w:r w:rsidRPr="000E14E6">
        <w:rPr>
          <w:szCs w:val="17"/>
        </w:rPr>
        <w:t xml:space="preserve"> 99</w:t>
      </w:r>
      <w:r w:rsidR="00A40DA9">
        <w:rPr>
          <w:szCs w:val="17"/>
        </w:rPr>
        <w:t>;</w:t>
      </w:r>
      <w:r w:rsidRPr="000E14E6">
        <w:rPr>
          <w:szCs w:val="17"/>
        </w:rPr>
        <w:t xml:space="preserve"> y </w:t>
      </w:r>
      <w:hyperlink r:id="rId12" w:history="1">
        <w:r w:rsidRPr="000E14E6">
          <w:rPr>
            <w:rStyle w:val="Hyperlink"/>
            <w:szCs w:val="17"/>
          </w:rPr>
          <w:t>www.ohchr.org/Documents/Issues/RuleOfLaw/</w:t>
        </w:r>
        <w:r>
          <w:rPr>
            <w:rStyle w:val="Hyperlink"/>
            <w:szCs w:val="17"/>
          </w:rPr>
          <w:br/>
        </w:r>
        <w:r w:rsidRPr="000E14E6">
          <w:rPr>
            <w:rStyle w:val="Hyperlink"/>
            <w:szCs w:val="17"/>
          </w:rPr>
          <w:t>Overincarceration/PDH_Guatemala.pdf</w:t>
        </w:r>
      </w:hyperlink>
      <w:r w:rsidRPr="000E14E6">
        <w:rPr>
          <w:szCs w:val="17"/>
        </w:rPr>
        <w:t>.</w:t>
      </w:r>
    </w:p>
  </w:footnote>
  <w:footnote w:id="14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rPr>
        <w:tab/>
      </w:r>
      <w:r w:rsidRPr="000E14E6">
        <w:rPr>
          <w:rStyle w:val="FootnoteReference"/>
          <w:szCs w:val="17"/>
        </w:rPr>
        <w:footnoteRef/>
      </w:r>
      <w:r w:rsidRPr="000E14E6">
        <w:rPr>
          <w:szCs w:val="17"/>
          <w:lang w:val="en-US"/>
        </w:rPr>
        <w:tab/>
        <w:t>Véanse CAT/OP/HND/1, párr. 184</w:t>
      </w:r>
      <w:r w:rsidR="00A40DA9">
        <w:rPr>
          <w:szCs w:val="17"/>
          <w:lang w:val="en-US"/>
        </w:rPr>
        <w:t>;</w:t>
      </w:r>
      <w:r w:rsidRPr="000E14E6">
        <w:rPr>
          <w:szCs w:val="17"/>
          <w:lang w:val="en-US"/>
        </w:rPr>
        <w:t xml:space="preserve"> CAT/OP/PRY/2, párr. 33.</w:t>
      </w:r>
    </w:p>
  </w:footnote>
  <w:footnote w:id="14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en-US"/>
        </w:rPr>
        <w:tab/>
      </w:r>
      <w:r w:rsidRPr="000E14E6">
        <w:rPr>
          <w:rStyle w:val="FootnoteReference"/>
          <w:szCs w:val="17"/>
        </w:rPr>
        <w:footnoteRef/>
      </w:r>
      <w:r w:rsidRPr="000E14E6">
        <w:rPr>
          <w:szCs w:val="17"/>
          <w:lang w:val="en-US"/>
        </w:rPr>
        <w:tab/>
        <w:t xml:space="preserve">Véanse CAT/OP/BEN/1, párr. </w:t>
      </w:r>
      <w:r>
        <w:rPr>
          <w:szCs w:val="17"/>
        </w:rPr>
        <w:t>160</w:t>
      </w:r>
      <w:r w:rsidR="00A40DA9">
        <w:rPr>
          <w:szCs w:val="17"/>
        </w:rPr>
        <w:t>;</w:t>
      </w:r>
      <w:r w:rsidRPr="000E14E6">
        <w:rPr>
          <w:szCs w:val="17"/>
        </w:rPr>
        <w:t xml:space="preserve"> CAT/OP/HND/1, párr. 184.</w:t>
      </w:r>
    </w:p>
  </w:footnote>
  <w:footnote w:id="14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rPr>
        <w:tab/>
      </w:r>
      <w:r w:rsidRPr="000E14E6">
        <w:rPr>
          <w:rStyle w:val="FootnoteReference"/>
          <w:szCs w:val="17"/>
        </w:rPr>
        <w:footnoteRef/>
      </w:r>
      <w:r w:rsidRPr="000E14E6">
        <w:rPr>
          <w:szCs w:val="17"/>
        </w:rPr>
        <w:tab/>
        <w:t>Véa</w:t>
      </w:r>
      <w:r w:rsidR="00A40DA9">
        <w:rPr>
          <w:szCs w:val="17"/>
        </w:rPr>
        <w:t>n</w:t>
      </w:r>
      <w:r w:rsidRPr="000E14E6">
        <w:rPr>
          <w:szCs w:val="17"/>
        </w:rPr>
        <w:t xml:space="preserve">se </w:t>
      </w:r>
      <w:r w:rsidRPr="000E14E6">
        <w:rPr>
          <w:i/>
          <w:szCs w:val="17"/>
        </w:rPr>
        <w:t xml:space="preserve">Montero-Aranguren </w:t>
      </w:r>
      <w:r w:rsidR="00A40DA9">
        <w:rPr>
          <w:i/>
          <w:szCs w:val="17"/>
        </w:rPr>
        <w:t>vs</w:t>
      </w:r>
      <w:r w:rsidRPr="000E14E6">
        <w:rPr>
          <w:i/>
          <w:szCs w:val="17"/>
        </w:rPr>
        <w:t>. Venezuela</w:t>
      </w:r>
      <w:r w:rsidRPr="000E14E6">
        <w:rPr>
          <w:szCs w:val="17"/>
        </w:rPr>
        <w:t xml:space="preserve">, sentencia de la Corte Interamericana de Derechos Humanos (2006), párr. </w:t>
      </w:r>
      <w:r w:rsidRPr="000E14E6">
        <w:rPr>
          <w:szCs w:val="17"/>
          <w:lang w:val="en-US"/>
        </w:rPr>
        <w:t>60 9); CAT/C/KHM/CO/2, párr. 19.</w:t>
      </w:r>
    </w:p>
  </w:footnote>
  <w:footnote w:id="14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lang w:val="en-US"/>
        </w:rPr>
        <w:tab/>
      </w:r>
      <w:r w:rsidRPr="000E14E6">
        <w:rPr>
          <w:rStyle w:val="FootnoteReference"/>
          <w:szCs w:val="17"/>
        </w:rPr>
        <w:footnoteRef/>
      </w:r>
      <w:r w:rsidRPr="000E14E6">
        <w:rPr>
          <w:szCs w:val="17"/>
          <w:lang w:val="en-US"/>
        </w:rPr>
        <w:tab/>
        <w:t>Véanse CAT/OP/PRY/2, párr. 33; CAT/OP/HND/1, párr. 184.</w:t>
      </w:r>
    </w:p>
  </w:footnote>
  <w:footnote w:id="15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en-US"/>
        </w:rPr>
        <w:tab/>
      </w:r>
      <w:r w:rsidRPr="000E14E6">
        <w:rPr>
          <w:rStyle w:val="FootnoteReference"/>
          <w:szCs w:val="17"/>
        </w:rPr>
        <w:footnoteRef/>
      </w:r>
      <w:r w:rsidRPr="000E14E6">
        <w:rPr>
          <w:szCs w:val="17"/>
          <w:lang w:val="en-US"/>
        </w:rPr>
        <w:tab/>
        <w:t>Véanse CAT/C/RWA/CO/1, párr. 19</w:t>
      </w:r>
      <w:r w:rsidR="00A40DA9">
        <w:rPr>
          <w:szCs w:val="17"/>
          <w:lang w:val="en-US"/>
        </w:rPr>
        <w:t>;</w:t>
      </w:r>
      <w:r w:rsidRPr="000E14E6">
        <w:rPr>
          <w:szCs w:val="17"/>
          <w:lang w:val="en-US"/>
        </w:rPr>
        <w:t xml:space="preserve"> CAT/OP/BEN/1, párr. 161</w:t>
      </w:r>
      <w:r w:rsidR="00A40DA9">
        <w:rPr>
          <w:szCs w:val="17"/>
          <w:lang w:val="en-US"/>
        </w:rPr>
        <w:t>;</w:t>
      </w:r>
      <w:r w:rsidRPr="000E14E6">
        <w:rPr>
          <w:szCs w:val="17"/>
          <w:lang w:val="en-US"/>
        </w:rPr>
        <w:t xml:space="preserve"> CAT/OP/PRY/1, párr. </w:t>
      </w:r>
      <w:r w:rsidRPr="000E14E6">
        <w:rPr>
          <w:szCs w:val="17"/>
        </w:rPr>
        <w:t>46.</w:t>
      </w:r>
    </w:p>
  </w:footnote>
  <w:footnote w:id="15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Véanse CAT/C/54/2, párr. 77</w:t>
      </w:r>
      <w:r w:rsidR="00A40DA9">
        <w:rPr>
          <w:szCs w:val="17"/>
        </w:rPr>
        <w:t>;</w:t>
      </w:r>
      <w:r w:rsidRPr="000E14E6">
        <w:rPr>
          <w:szCs w:val="17"/>
        </w:rPr>
        <w:t xml:space="preserve"> y </w:t>
      </w:r>
      <w:hyperlink r:id="rId13" w:history="1">
        <w:r w:rsidRPr="000E14E6">
          <w:rPr>
            <w:rStyle w:val="Hyperlink"/>
            <w:szCs w:val="17"/>
          </w:rPr>
          <w:t>www.ohchr.org/Documents/Issues/RuleOfLaw/Overincarceration/</w:t>
        </w:r>
        <w:r>
          <w:rPr>
            <w:rStyle w:val="Hyperlink"/>
            <w:szCs w:val="17"/>
          </w:rPr>
          <w:br/>
        </w:r>
        <w:r w:rsidRPr="000E14E6">
          <w:rPr>
            <w:rStyle w:val="Hyperlink"/>
            <w:szCs w:val="17"/>
          </w:rPr>
          <w:t>CNCPPDH_Algeria.pdf</w:t>
        </w:r>
      </w:hyperlink>
      <w:r w:rsidRPr="000E14E6">
        <w:rPr>
          <w:szCs w:val="17"/>
        </w:rPr>
        <w:t>.</w:t>
      </w:r>
    </w:p>
  </w:footnote>
  <w:footnote w:id="152">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Véanse CAT/C/46/2, párr. 52</w:t>
      </w:r>
      <w:r w:rsidR="00A40DA9">
        <w:rPr>
          <w:szCs w:val="17"/>
        </w:rPr>
        <w:t>;</w:t>
      </w:r>
      <w:r w:rsidRPr="000E14E6">
        <w:rPr>
          <w:szCs w:val="17"/>
        </w:rPr>
        <w:t xml:space="preserve"> y </w:t>
      </w:r>
      <w:r w:rsidRPr="000E14E6">
        <w:rPr>
          <w:rFonts w:eastAsia="SimSun"/>
          <w:szCs w:val="17"/>
          <w:lang w:eastAsia="zh-CN"/>
        </w:rPr>
        <w:t>CAT/C/54/2, párr. 83.</w:t>
      </w:r>
    </w:p>
  </w:footnote>
  <w:footnote w:id="15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Véanse CAT/C/TGO/CO/2, párr. 12</w:t>
      </w:r>
      <w:r w:rsidR="00A40DA9">
        <w:rPr>
          <w:szCs w:val="17"/>
        </w:rPr>
        <w:t>;</w:t>
      </w:r>
      <w:r w:rsidRPr="000E14E6">
        <w:rPr>
          <w:szCs w:val="17"/>
        </w:rPr>
        <w:t xml:space="preserve"> A/HRC/25/60/Add.1, párr. 84</w:t>
      </w:r>
      <w:r w:rsidR="00A40DA9">
        <w:rPr>
          <w:szCs w:val="17"/>
        </w:rPr>
        <w:t>;</w:t>
      </w:r>
      <w:r w:rsidRPr="000E14E6">
        <w:rPr>
          <w:szCs w:val="17"/>
        </w:rPr>
        <w:t xml:space="preserve"> </w:t>
      </w:r>
      <w:r w:rsidRPr="000E14E6">
        <w:rPr>
          <w:szCs w:val="17"/>
          <w:lang w:val="lv-LV" w:eastAsia="lv-LV"/>
        </w:rPr>
        <w:t>E/CN.4/2004/56, párr. 49</w:t>
      </w:r>
      <w:r w:rsidR="00A40DA9">
        <w:rPr>
          <w:szCs w:val="17"/>
          <w:lang w:val="lv-LV" w:eastAsia="lv-LV"/>
        </w:rPr>
        <w:t>;</w:t>
      </w:r>
      <w:r w:rsidRPr="000E14E6">
        <w:rPr>
          <w:szCs w:val="17"/>
          <w:lang w:val="lv-LV" w:eastAsia="lv-LV"/>
        </w:rPr>
        <w:t xml:space="preserve"> </w:t>
      </w:r>
      <w:r w:rsidRPr="000E14E6">
        <w:rPr>
          <w:szCs w:val="17"/>
        </w:rPr>
        <w:t>A/HRC/19/57, párr. 48</w:t>
      </w:r>
      <w:r w:rsidR="00A40DA9">
        <w:rPr>
          <w:szCs w:val="17"/>
        </w:rPr>
        <w:t>;</w:t>
      </w:r>
      <w:r w:rsidRPr="000E14E6">
        <w:rPr>
          <w:szCs w:val="17"/>
        </w:rPr>
        <w:t xml:space="preserve"> y CCPR/C/TUR/CO/1, párr. 17.</w:t>
      </w:r>
    </w:p>
  </w:footnote>
  <w:footnote w:id="15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Véanse </w:t>
      </w:r>
      <w:hyperlink r:id="rId14" w:history="1">
        <w:r w:rsidRPr="000E14E6">
          <w:rPr>
            <w:rStyle w:val="Hyperlink"/>
            <w:szCs w:val="17"/>
          </w:rPr>
          <w:t>www.achpr.org/files/sessions/37th/mission-reports/ethiopia/misrep_specmec_priso_</w:t>
        </w:r>
        <w:r>
          <w:rPr>
            <w:rStyle w:val="Hyperlink"/>
            <w:szCs w:val="17"/>
          </w:rPr>
          <w:br/>
        </w:r>
        <w:r w:rsidRPr="000E14E6">
          <w:rPr>
            <w:rStyle w:val="Hyperlink"/>
            <w:szCs w:val="17"/>
          </w:rPr>
          <w:t>ethopia_2004_eng.pdf</w:t>
        </w:r>
      </w:hyperlink>
      <w:r w:rsidRPr="000E14E6">
        <w:rPr>
          <w:szCs w:val="17"/>
        </w:rPr>
        <w:t>, pág. 24; www.achpr.org/files/sessions/37th/mission-reports/prisons-2004/misrep_specmec_priso_southafrica_2004_eng.pdf, capítulo F; documento</w:t>
      </w:r>
      <w:r>
        <w:rPr>
          <w:szCs w:val="17"/>
        </w:rPr>
        <w:t>s</w:t>
      </w:r>
      <w:r w:rsidRPr="000E14E6">
        <w:rPr>
          <w:szCs w:val="17"/>
        </w:rPr>
        <w:t xml:space="preserve"> del Consejo de Europa CPT/Inf (2014) 15, párr. 126</w:t>
      </w:r>
      <w:r>
        <w:rPr>
          <w:szCs w:val="17"/>
        </w:rPr>
        <w:t>,</w:t>
      </w:r>
      <w:r w:rsidRPr="000E14E6">
        <w:rPr>
          <w:szCs w:val="17"/>
        </w:rPr>
        <w:t xml:space="preserve"> y CPT/Inf/C (2002) 1 [Rev. 2015] Sección: 7/86, párr. 28.</w:t>
      </w:r>
    </w:p>
  </w:footnote>
  <w:footnote w:id="15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Véanse </w:t>
      </w:r>
      <w:r w:rsidRPr="000E14E6">
        <w:rPr>
          <w:rFonts w:eastAsia="SimSun"/>
          <w:szCs w:val="17"/>
          <w:lang w:eastAsia="zh-CN"/>
        </w:rPr>
        <w:t>CAT/C/54/2, párr. 84</w:t>
      </w:r>
      <w:r w:rsidR="00A40DA9">
        <w:rPr>
          <w:rFonts w:eastAsia="SimSun"/>
          <w:szCs w:val="17"/>
          <w:lang w:eastAsia="zh-CN"/>
        </w:rPr>
        <w:t>;</w:t>
      </w:r>
      <w:r w:rsidRPr="000E14E6">
        <w:rPr>
          <w:rFonts w:eastAsia="SimSun"/>
          <w:szCs w:val="17"/>
          <w:lang w:eastAsia="zh-CN"/>
        </w:rPr>
        <w:t xml:space="preserve"> y documento del Consejo de Europa</w:t>
      </w:r>
      <w:r w:rsidRPr="000E14E6">
        <w:rPr>
          <w:szCs w:val="17"/>
        </w:rPr>
        <w:t xml:space="preserve"> CPT/Inf (2014) 31, párr. 56.</w:t>
      </w:r>
    </w:p>
  </w:footnote>
  <w:footnote w:id="15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CAT/OP/MLI/1, párr. 29.</w:t>
      </w:r>
    </w:p>
  </w:footnote>
  <w:footnote w:id="15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Véase </w:t>
      </w:r>
      <w:hyperlink r:id="rId15" w:history="1">
        <w:r w:rsidRPr="000E14E6">
          <w:rPr>
            <w:rStyle w:val="Hyperlink"/>
            <w:szCs w:val="17"/>
            <w:lang w:val="lv-LV" w:eastAsia="lv-LV"/>
          </w:rPr>
          <w:t>www.achpr.org/files/sessions/52nd/inter-act-reps/185/activty_report_prisons_eng.pdf</w:t>
        </w:r>
      </w:hyperlink>
      <w:r w:rsidRPr="000E14E6">
        <w:rPr>
          <w:szCs w:val="17"/>
          <w:lang w:val="lv-LV" w:eastAsia="lv-LV"/>
        </w:rPr>
        <w:t xml:space="preserve">, </w:t>
      </w:r>
      <w:r>
        <w:rPr>
          <w:szCs w:val="17"/>
        </w:rPr>
        <w:t>pág. </w:t>
      </w:r>
      <w:r w:rsidRPr="000E14E6">
        <w:rPr>
          <w:szCs w:val="17"/>
        </w:rPr>
        <w:t>10.</w:t>
      </w:r>
    </w:p>
  </w:footnote>
  <w:footnote w:id="15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lang w:val="en-US"/>
        </w:rPr>
        <w:tab/>
        <w:t xml:space="preserve">Véanse CAT/C/TGO/CO/2, párr. </w:t>
      </w:r>
      <w:r w:rsidRPr="000E14E6">
        <w:rPr>
          <w:szCs w:val="17"/>
        </w:rPr>
        <w:t>12</w:t>
      </w:r>
      <w:r w:rsidR="00A40DA9">
        <w:rPr>
          <w:szCs w:val="17"/>
        </w:rPr>
        <w:t>;</w:t>
      </w:r>
      <w:r w:rsidRPr="000E14E6">
        <w:rPr>
          <w:szCs w:val="17"/>
        </w:rPr>
        <w:t xml:space="preserve"> y www.ohchr.org/Documents/Issues/RuleOfLaw/</w:t>
      </w:r>
      <w:r>
        <w:rPr>
          <w:szCs w:val="17"/>
        </w:rPr>
        <w:br/>
      </w:r>
      <w:r w:rsidRPr="000E14E6">
        <w:rPr>
          <w:szCs w:val="17"/>
        </w:rPr>
        <w:t>Overincarceration/OSJI.pdf.</w:t>
      </w:r>
    </w:p>
  </w:footnote>
  <w:footnote w:id="15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A/HRC/25/71, párr. 33.</w:t>
      </w:r>
    </w:p>
  </w:footnote>
  <w:footnote w:id="16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www.achpr.org/files/sessions/37th/mission-reports/prisons-2004/misrep_specmec_priso_</w:t>
      </w:r>
      <w:r>
        <w:rPr>
          <w:szCs w:val="17"/>
        </w:rPr>
        <w:br/>
      </w:r>
      <w:r w:rsidRPr="000E14E6">
        <w:rPr>
          <w:szCs w:val="17"/>
        </w:rPr>
        <w:t>southafrica_2004_eng.pdf, pág. 2.</w:t>
      </w:r>
    </w:p>
  </w:footnote>
  <w:footnote w:id="16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lang w:val="en-US"/>
        </w:rPr>
        <w:tab/>
        <w:t>Véanse CAT/OP/BRA/1, párr. 96</w:t>
      </w:r>
      <w:r w:rsidR="00A40DA9">
        <w:rPr>
          <w:szCs w:val="17"/>
          <w:lang w:val="en-US"/>
        </w:rPr>
        <w:t>;</w:t>
      </w:r>
      <w:r w:rsidRPr="000E14E6">
        <w:rPr>
          <w:szCs w:val="17"/>
          <w:lang w:val="en-US"/>
        </w:rPr>
        <w:t xml:space="preserve"> CCPR/C/AGO/CO/1, párr. 19</w:t>
      </w:r>
      <w:r w:rsidR="00A40DA9">
        <w:rPr>
          <w:szCs w:val="17"/>
          <w:lang w:val="en-US"/>
        </w:rPr>
        <w:t>;</w:t>
      </w:r>
      <w:r w:rsidRPr="000E14E6">
        <w:rPr>
          <w:szCs w:val="17"/>
          <w:lang w:val="en-US"/>
        </w:rPr>
        <w:t xml:space="preserve"> A/HRC/25/60/Add.1, párr. 84</w:t>
      </w:r>
      <w:r w:rsidR="00A40DA9">
        <w:rPr>
          <w:szCs w:val="17"/>
          <w:lang w:val="en-US"/>
        </w:rPr>
        <w:t>;</w:t>
      </w:r>
      <w:r w:rsidRPr="000E14E6">
        <w:rPr>
          <w:szCs w:val="17"/>
          <w:lang w:val="en-US"/>
        </w:rPr>
        <w:t xml:space="preserve"> y CAT/C/KHM/CO/2, párr. </w:t>
      </w:r>
      <w:r w:rsidRPr="000E14E6">
        <w:rPr>
          <w:szCs w:val="17"/>
        </w:rPr>
        <w:t>19.</w:t>
      </w:r>
    </w:p>
  </w:footnote>
  <w:footnote w:id="162">
    <w:p w:rsidR="005E171C" w:rsidRPr="0013692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rPr>
        <w:tab/>
      </w:r>
      <w:r w:rsidRPr="000E14E6">
        <w:rPr>
          <w:rStyle w:val="FootnoteReference"/>
          <w:szCs w:val="17"/>
        </w:rPr>
        <w:footnoteRef/>
      </w:r>
      <w:r w:rsidRPr="000E14E6">
        <w:rPr>
          <w:szCs w:val="17"/>
        </w:rPr>
        <w:tab/>
        <w:t xml:space="preserve">Véase </w:t>
      </w:r>
      <w:r w:rsidR="00A40DA9">
        <w:rPr>
          <w:szCs w:val="17"/>
        </w:rPr>
        <w:t xml:space="preserve">el </w:t>
      </w:r>
      <w:r w:rsidRPr="000E14E6">
        <w:rPr>
          <w:szCs w:val="17"/>
        </w:rPr>
        <w:t xml:space="preserve">documento del Consejo de Europa CPT/Inf (2014) 29, párr. </w:t>
      </w:r>
      <w:r w:rsidRPr="00136926">
        <w:rPr>
          <w:szCs w:val="17"/>
          <w:lang w:val="en-US"/>
        </w:rPr>
        <w:t>33.</w:t>
      </w:r>
    </w:p>
  </w:footnote>
  <w:footnote w:id="16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136926">
        <w:rPr>
          <w:szCs w:val="17"/>
          <w:lang w:val="en-US"/>
        </w:rPr>
        <w:tab/>
      </w:r>
      <w:r w:rsidRPr="000E14E6">
        <w:rPr>
          <w:rStyle w:val="FootnoteReference"/>
          <w:szCs w:val="17"/>
        </w:rPr>
        <w:footnoteRef/>
      </w:r>
      <w:r w:rsidRPr="00136926">
        <w:rPr>
          <w:szCs w:val="17"/>
          <w:lang w:val="en-US"/>
        </w:rPr>
        <w:tab/>
        <w:t xml:space="preserve">Véanse CAT/OP/MDV/1, párr. </w:t>
      </w:r>
      <w:r w:rsidRPr="000E14E6">
        <w:rPr>
          <w:szCs w:val="17"/>
          <w:lang w:val="en-US"/>
        </w:rPr>
        <w:t>169</w:t>
      </w:r>
      <w:r w:rsidR="00A40DA9">
        <w:rPr>
          <w:szCs w:val="17"/>
          <w:lang w:val="en-US"/>
        </w:rPr>
        <w:t>;</w:t>
      </w:r>
      <w:r w:rsidRPr="000E14E6">
        <w:rPr>
          <w:szCs w:val="17"/>
          <w:lang w:val="en-US"/>
        </w:rPr>
        <w:t xml:space="preserve"> CAT/C/KEN/CO/2, párr. </w:t>
      </w:r>
      <w:r w:rsidRPr="000E14E6">
        <w:rPr>
          <w:szCs w:val="17"/>
        </w:rPr>
        <w:t>15</w:t>
      </w:r>
      <w:r w:rsidR="00A40DA9">
        <w:rPr>
          <w:szCs w:val="17"/>
        </w:rPr>
        <w:t>;</w:t>
      </w:r>
      <w:r w:rsidRPr="000E14E6">
        <w:rPr>
          <w:szCs w:val="17"/>
        </w:rPr>
        <w:t xml:space="preserve"> y </w:t>
      </w:r>
      <w:hyperlink r:id="rId16" w:history="1">
        <w:r w:rsidRPr="000E14E6">
          <w:rPr>
            <w:rStyle w:val="Hyperlink"/>
            <w:szCs w:val="17"/>
          </w:rPr>
          <w:t>www.achpr.org/files/</w:t>
        </w:r>
        <w:r>
          <w:rPr>
            <w:rStyle w:val="Hyperlink"/>
            <w:szCs w:val="17"/>
          </w:rPr>
          <w:br/>
        </w:r>
        <w:r w:rsidRPr="000E14E6">
          <w:rPr>
            <w:rStyle w:val="Hyperlink"/>
            <w:szCs w:val="17"/>
          </w:rPr>
          <w:t>sessions/37th/mission-reports/ethiopia/misrep_specmec_priso_ethopia_2004_eng.pdf</w:t>
        </w:r>
      </w:hyperlink>
      <w:r w:rsidRPr="000E14E6">
        <w:rPr>
          <w:szCs w:val="17"/>
        </w:rPr>
        <w:t>, pág. 52.</w:t>
      </w:r>
    </w:p>
  </w:footnote>
  <w:footnote w:id="16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lang w:val="en-US"/>
        </w:rPr>
        <w:tab/>
        <w:t xml:space="preserve">Véanse CCPR/C/AGO/CO/1, párr. </w:t>
      </w:r>
      <w:r w:rsidRPr="000E14E6">
        <w:rPr>
          <w:szCs w:val="17"/>
        </w:rPr>
        <w:t>19</w:t>
      </w:r>
      <w:r w:rsidR="00A40DA9">
        <w:rPr>
          <w:szCs w:val="17"/>
        </w:rPr>
        <w:t>;</w:t>
      </w:r>
      <w:r w:rsidRPr="000E14E6">
        <w:rPr>
          <w:szCs w:val="17"/>
        </w:rPr>
        <w:t xml:space="preserve"> A/HRC/25/60/Add.1, párr. 84</w:t>
      </w:r>
      <w:r w:rsidR="00A40DA9">
        <w:rPr>
          <w:szCs w:val="17"/>
        </w:rPr>
        <w:t>;</w:t>
      </w:r>
      <w:r w:rsidRPr="000E14E6">
        <w:rPr>
          <w:szCs w:val="17"/>
        </w:rPr>
        <w:t xml:space="preserve"> y documento del Consejo de Europa CPT/Inf (2014) 18, párr. 35.</w:t>
      </w:r>
    </w:p>
  </w:footnote>
  <w:footnote w:id="16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www.achpr.org/files/sessions/37th/mission-reports/prisons-2004/misrep_specmec_priso_</w:t>
      </w:r>
      <w:r>
        <w:rPr>
          <w:szCs w:val="17"/>
        </w:rPr>
        <w:br/>
      </w:r>
      <w:r w:rsidRPr="000E14E6">
        <w:rPr>
          <w:szCs w:val="17"/>
        </w:rPr>
        <w:t>southafrica_2004_eng.pdf, capítulo F i).</w:t>
      </w:r>
    </w:p>
  </w:footnote>
  <w:footnote w:id="16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CPT/Inf (2014) 29, párr. 33.</w:t>
      </w:r>
    </w:p>
  </w:footnote>
  <w:footnote w:id="16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CPT/Inf (2014) 18, párr. 35.</w:t>
      </w:r>
    </w:p>
  </w:footnote>
  <w:footnote w:id="16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00A40DA9">
        <w:rPr>
          <w:szCs w:val="17"/>
        </w:rPr>
        <w:tab/>
        <w:t>Véase CPT/Inf (2014) 21, párr</w:t>
      </w:r>
      <w:r w:rsidRPr="000E14E6">
        <w:rPr>
          <w:szCs w:val="17"/>
        </w:rPr>
        <w:t>. 42.</w:t>
      </w:r>
    </w:p>
  </w:footnote>
  <w:footnote w:id="16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A/HRC/19/57/Add.2, párr. 38.</w:t>
      </w:r>
    </w:p>
  </w:footnote>
  <w:footnote w:id="17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rPr>
        <w:tab/>
      </w:r>
      <w:r w:rsidRPr="000E14E6">
        <w:rPr>
          <w:rStyle w:val="FootnoteReference"/>
          <w:szCs w:val="17"/>
        </w:rPr>
        <w:footnoteRef/>
      </w:r>
      <w:r w:rsidRPr="000E14E6">
        <w:rPr>
          <w:szCs w:val="17"/>
        </w:rPr>
        <w:tab/>
        <w:t xml:space="preserve">Véase A/HRC/27/48, párr. </w:t>
      </w:r>
      <w:r w:rsidRPr="000E14E6">
        <w:rPr>
          <w:szCs w:val="17"/>
          <w:lang w:val="en-US"/>
        </w:rPr>
        <w:t>73.</w:t>
      </w:r>
    </w:p>
  </w:footnote>
  <w:footnote w:id="17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lang w:val="en-US"/>
        </w:rPr>
        <w:tab/>
      </w:r>
      <w:r w:rsidRPr="000E14E6">
        <w:rPr>
          <w:rStyle w:val="FootnoteReference"/>
          <w:szCs w:val="17"/>
        </w:rPr>
        <w:footnoteRef/>
      </w:r>
      <w:r w:rsidRPr="000E14E6">
        <w:rPr>
          <w:szCs w:val="17"/>
          <w:lang w:val="en-US"/>
        </w:rPr>
        <w:tab/>
        <w:t>Véase CAT/OP/MDV/1, párr. 220.</w:t>
      </w:r>
    </w:p>
  </w:footnote>
  <w:footnote w:id="172">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en-US"/>
        </w:rPr>
        <w:tab/>
      </w:r>
      <w:r w:rsidRPr="000E14E6">
        <w:rPr>
          <w:rStyle w:val="FootnoteReference"/>
          <w:szCs w:val="17"/>
        </w:rPr>
        <w:footnoteRef/>
      </w:r>
      <w:r w:rsidRPr="000E14E6">
        <w:rPr>
          <w:szCs w:val="17"/>
          <w:lang w:val="en-US"/>
        </w:rPr>
        <w:tab/>
        <w:t xml:space="preserve">Véanse A/HRC/25/60/Add.1, párr. </w:t>
      </w:r>
      <w:r w:rsidRPr="000E14E6">
        <w:rPr>
          <w:szCs w:val="17"/>
        </w:rPr>
        <w:t>99</w:t>
      </w:r>
      <w:r w:rsidR="00A40DA9">
        <w:rPr>
          <w:szCs w:val="17"/>
        </w:rPr>
        <w:t>;</w:t>
      </w:r>
      <w:r w:rsidRPr="000E14E6">
        <w:rPr>
          <w:szCs w:val="17"/>
        </w:rPr>
        <w:t xml:space="preserve"> y www.ohchr.org/Documents/Issues/RuleOfLaw/</w:t>
      </w:r>
      <w:r>
        <w:rPr>
          <w:szCs w:val="17"/>
        </w:rPr>
        <w:br/>
      </w:r>
      <w:r w:rsidRPr="000E14E6">
        <w:rPr>
          <w:szCs w:val="17"/>
        </w:rPr>
        <w:t>Overincarceration/PRI.pdf.</w:t>
      </w:r>
    </w:p>
  </w:footnote>
  <w:footnote w:id="17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Véanse A/HRC/10/44, párr. 55</w:t>
      </w:r>
      <w:r w:rsidR="00A40DA9">
        <w:rPr>
          <w:szCs w:val="17"/>
        </w:rPr>
        <w:t>;</w:t>
      </w:r>
      <w:r w:rsidRPr="000E14E6">
        <w:rPr>
          <w:szCs w:val="17"/>
        </w:rPr>
        <w:t xml:space="preserve"> y www.ohchr.org/Documents/Issues/RuleOfLaw/</w:t>
      </w:r>
      <w:r>
        <w:rPr>
          <w:szCs w:val="17"/>
        </w:rPr>
        <w:br/>
      </w:r>
      <w:r w:rsidRPr="000E14E6">
        <w:rPr>
          <w:szCs w:val="17"/>
        </w:rPr>
        <w:t>Overincarceration/ACLU.pdf.</w:t>
      </w:r>
    </w:p>
  </w:footnote>
  <w:footnote w:id="174">
    <w:p w:rsidR="005E171C" w:rsidRPr="00A40DA9"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A40DA9">
        <w:rPr>
          <w:szCs w:val="17"/>
        </w:rPr>
        <w:tab/>
        <w:t>Véanse www.achpr.org/files/sessions/37th/mission-reports/prisons-2004/misrep_specmec_priso_</w:t>
      </w:r>
      <w:r w:rsidRPr="00A40DA9">
        <w:rPr>
          <w:szCs w:val="17"/>
        </w:rPr>
        <w:br/>
        <w:t>southafrica_2004_eng.pdf</w:t>
      </w:r>
      <w:r w:rsidRPr="000E14E6">
        <w:rPr>
          <w:iCs/>
          <w:szCs w:val="17"/>
          <w:lang w:val="lv-LV"/>
        </w:rPr>
        <w:t xml:space="preserve">, </w:t>
      </w:r>
      <w:r w:rsidR="00A40DA9">
        <w:rPr>
          <w:iCs/>
          <w:szCs w:val="17"/>
          <w:lang w:val="lv-LV"/>
        </w:rPr>
        <w:t>capítulo</w:t>
      </w:r>
      <w:r w:rsidRPr="000E14E6">
        <w:rPr>
          <w:iCs/>
          <w:szCs w:val="17"/>
          <w:lang w:val="lv-LV"/>
        </w:rPr>
        <w:t xml:space="preserve"> </w:t>
      </w:r>
      <w:r w:rsidRPr="00A40DA9">
        <w:rPr>
          <w:szCs w:val="17"/>
        </w:rPr>
        <w:t>F</w:t>
      </w:r>
      <w:r w:rsidR="00A40DA9">
        <w:rPr>
          <w:szCs w:val="17"/>
        </w:rPr>
        <w:t xml:space="preserve"> </w:t>
      </w:r>
      <w:r w:rsidRPr="00A40DA9">
        <w:rPr>
          <w:szCs w:val="17"/>
        </w:rPr>
        <w:t>i)</w:t>
      </w:r>
      <w:r w:rsidR="00A40DA9">
        <w:rPr>
          <w:szCs w:val="17"/>
        </w:rPr>
        <w:t>;</w:t>
      </w:r>
      <w:r w:rsidRPr="00A40DA9">
        <w:rPr>
          <w:szCs w:val="17"/>
        </w:rPr>
        <w:t xml:space="preserve"> y www.ohchr.org/Documents/Issues/RuleOfLaw/</w:t>
      </w:r>
      <w:r w:rsidRPr="00A40DA9">
        <w:rPr>
          <w:szCs w:val="17"/>
        </w:rPr>
        <w:br/>
        <w:t>Overincarceration/PRI.pdf.</w:t>
      </w:r>
    </w:p>
  </w:footnote>
  <w:footnote w:id="17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A40DA9">
        <w:rPr>
          <w:szCs w:val="17"/>
        </w:rPr>
        <w:tab/>
      </w:r>
      <w:r w:rsidRPr="000E14E6">
        <w:rPr>
          <w:rStyle w:val="FootnoteReference"/>
          <w:szCs w:val="17"/>
        </w:rPr>
        <w:footnoteRef/>
      </w:r>
      <w:r w:rsidRPr="000E14E6">
        <w:rPr>
          <w:szCs w:val="17"/>
          <w:lang w:val="en-US"/>
        </w:rPr>
        <w:tab/>
        <w:t xml:space="preserve">Véase CAT/OP/MDV/1, párr. </w:t>
      </w:r>
      <w:r w:rsidRPr="000E14E6">
        <w:rPr>
          <w:szCs w:val="17"/>
        </w:rPr>
        <w:t>220.</w:t>
      </w:r>
    </w:p>
  </w:footnote>
  <w:footnote w:id="17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A/HRC/25/60/Add.1, párr. 99.</w:t>
      </w:r>
    </w:p>
  </w:footnote>
  <w:footnote w:id="17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Véase </w:t>
      </w:r>
      <w:r w:rsidRPr="000E14E6">
        <w:rPr>
          <w:bCs/>
          <w:szCs w:val="17"/>
          <w:lang w:val="lv-LV" w:eastAsia="lv-LV"/>
        </w:rPr>
        <w:t>A/HRC/27/48, párr. 73.</w:t>
      </w:r>
    </w:p>
  </w:footnote>
  <w:footnote w:id="17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A/HRC/25/60/Add.1, párr. 84.</w:t>
      </w:r>
    </w:p>
  </w:footnote>
  <w:footnote w:id="17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lv-LV"/>
        </w:rPr>
      </w:pPr>
      <w:r w:rsidRPr="000E14E6">
        <w:rPr>
          <w:szCs w:val="17"/>
        </w:rPr>
        <w:tab/>
      </w:r>
      <w:r w:rsidRPr="000E14E6">
        <w:rPr>
          <w:rStyle w:val="FootnoteReference"/>
          <w:szCs w:val="17"/>
        </w:rPr>
        <w:footnoteRef/>
      </w:r>
      <w:r w:rsidRPr="000E14E6">
        <w:rPr>
          <w:szCs w:val="17"/>
        </w:rPr>
        <w:tab/>
        <w:t xml:space="preserve">Véase </w:t>
      </w:r>
      <w:r w:rsidR="00A40DA9">
        <w:rPr>
          <w:i/>
          <w:iCs/>
          <w:szCs w:val="17"/>
          <w:lang w:val="lv-LV" w:eastAsia="lv-LV"/>
        </w:rPr>
        <w:t>Pacheco Teruel y otros vs</w:t>
      </w:r>
      <w:r w:rsidRPr="000E14E6">
        <w:rPr>
          <w:i/>
          <w:szCs w:val="17"/>
          <w:lang w:val="lv-LV" w:eastAsia="lv-LV"/>
        </w:rPr>
        <w:t>. Honduras</w:t>
      </w:r>
      <w:r w:rsidRPr="000E14E6">
        <w:rPr>
          <w:szCs w:val="17"/>
          <w:lang w:val="lv-LV" w:eastAsia="lv-LV"/>
        </w:rPr>
        <w:t xml:space="preserve">, </w:t>
      </w:r>
      <w:r w:rsidRPr="000E14E6">
        <w:rPr>
          <w:szCs w:val="17"/>
        </w:rPr>
        <w:t>sentencia de la Corte Interamericana de Derechos Humanos (</w:t>
      </w:r>
      <w:r w:rsidRPr="000E14E6">
        <w:rPr>
          <w:szCs w:val="17"/>
          <w:lang w:val="lv-LV" w:eastAsia="lv-LV"/>
        </w:rPr>
        <w:t>2012), párr. 105.</w:t>
      </w:r>
    </w:p>
  </w:footnote>
  <w:footnote w:id="18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lv-LV"/>
        </w:rPr>
      </w:pPr>
      <w:r w:rsidRPr="000E14E6">
        <w:rPr>
          <w:szCs w:val="17"/>
          <w:lang w:val="lv-LV"/>
        </w:rPr>
        <w:tab/>
      </w:r>
      <w:r w:rsidRPr="000E14E6">
        <w:rPr>
          <w:rStyle w:val="FootnoteReference"/>
          <w:szCs w:val="17"/>
        </w:rPr>
        <w:footnoteRef/>
      </w:r>
      <w:r w:rsidRPr="000E14E6">
        <w:rPr>
          <w:szCs w:val="17"/>
          <w:lang w:val="lv-LV"/>
        </w:rPr>
        <w:tab/>
        <w:t>Véanse A/HRC/22/53/Add.2, párr. 46, y CAT/OP/BEN/1, párr. 161.</w:t>
      </w:r>
    </w:p>
  </w:footnote>
  <w:footnote w:id="18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lv-LV"/>
        </w:rPr>
      </w:pPr>
      <w:r w:rsidRPr="000E14E6">
        <w:rPr>
          <w:szCs w:val="17"/>
          <w:lang w:val="lv-LV"/>
        </w:rPr>
        <w:tab/>
      </w:r>
      <w:r w:rsidRPr="000E14E6">
        <w:rPr>
          <w:rStyle w:val="FootnoteReference"/>
          <w:szCs w:val="17"/>
        </w:rPr>
        <w:footnoteRef/>
      </w:r>
      <w:r w:rsidRPr="000E14E6">
        <w:rPr>
          <w:szCs w:val="17"/>
          <w:lang w:val="lv-LV"/>
        </w:rPr>
        <w:tab/>
        <w:t>Véase A/HRC/25/60/Add.1, párr. 40.</w:t>
      </w:r>
    </w:p>
  </w:footnote>
  <w:footnote w:id="182">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lang w:val="lv-LV"/>
        </w:rPr>
        <w:tab/>
      </w:r>
      <w:r w:rsidRPr="000E14E6">
        <w:rPr>
          <w:rStyle w:val="FootnoteReference"/>
          <w:szCs w:val="17"/>
        </w:rPr>
        <w:footnoteRef/>
      </w:r>
      <w:r w:rsidRPr="000E14E6">
        <w:rPr>
          <w:szCs w:val="17"/>
          <w:lang w:val="lv-LV"/>
        </w:rPr>
        <w:tab/>
        <w:t xml:space="preserve">Véase CAT/OP/MLI/1, párr. </w:t>
      </w:r>
      <w:r w:rsidRPr="000E14E6">
        <w:rPr>
          <w:szCs w:val="17"/>
          <w:lang w:val="fr-CH"/>
        </w:rPr>
        <w:t>29.</w:t>
      </w:r>
    </w:p>
  </w:footnote>
  <w:footnote w:id="18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lang w:val="fr-CH"/>
        </w:rPr>
        <w:tab/>
      </w:r>
      <w:r w:rsidRPr="000E14E6">
        <w:rPr>
          <w:rStyle w:val="FootnoteReference"/>
          <w:szCs w:val="17"/>
        </w:rPr>
        <w:footnoteRef/>
      </w:r>
      <w:r w:rsidRPr="000E14E6">
        <w:rPr>
          <w:szCs w:val="17"/>
          <w:lang w:val="fr-CH"/>
        </w:rPr>
        <w:tab/>
        <w:t>Véase www.ohchr.org/Documents/Issues/RuleOfLaw/Overincarceration/NCHR_Greece.pdf.</w:t>
      </w:r>
    </w:p>
  </w:footnote>
  <w:footnote w:id="18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fr-CH"/>
        </w:rPr>
        <w:tab/>
      </w:r>
      <w:r w:rsidRPr="000E14E6">
        <w:rPr>
          <w:rStyle w:val="FootnoteReference"/>
          <w:szCs w:val="17"/>
        </w:rPr>
        <w:footnoteRef/>
      </w:r>
      <w:r w:rsidRPr="000E14E6">
        <w:rPr>
          <w:szCs w:val="17"/>
        </w:rPr>
        <w:tab/>
        <w:t>Véa</w:t>
      </w:r>
      <w:r>
        <w:rPr>
          <w:szCs w:val="17"/>
        </w:rPr>
        <w:t>n</w:t>
      </w:r>
      <w:r w:rsidRPr="000E14E6">
        <w:rPr>
          <w:szCs w:val="17"/>
        </w:rPr>
        <w:t xml:space="preserve">se </w:t>
      </w:r>
      <w:r w:rsidR="00A40DA9">
        <w:rPr>
          <w:i/>
          <w:szCs w:val="17"/>
        </w:rPr>
        <w:t>Neptune vs</w:t>
      </w:r>
      <w:r w:rsidRPr="000E14E6">
        <w:rPr>
          <w:i/>
          <w:szCs w:val="17"/>
        </w:rPr>
        <w:t>. Hait</w:t>
      </w:r>
      <w:r w:rsidR="00A40DA9">
        <w:rPr>
          <w:i/>
          <w:szCs w:val="17"/>
        </w:rPr>
        <w:t>í</w:t>
      </w:r>
      <w:r w:rsidRPr="000E14E6">
        <w:rPr>
          <w:szCs w:val="17"/>
        </w:rPr>
        <w:t>, sentencia de la Corte Interamericana de</w:t>
      </w:r>
      <w:r>
        <w:rPr>
          <w:szCs w:val="17"/>
        </w:rPr>
        <w:t xml:space="preserve"> Derechos Humanos (2008), párr. </w:t>
      </w:r>
      <w:r w:rsidRPr="000E14E6">
        <w:rPr>
          <w:szCs w:val="17"/>
        </w:rPr>
        <w:t>183</w:t>
      </w:r>
      <w:r w:rsidRPr="000E14E6">
        <w:rPr>
          <w:szCs w:val="17"/>
          <w:lang w:val="lv-LV" w:eastAsia="lv-LV"/>
        </w:rPr>
        <w:t xml:space="preserve">, y </w:t>
      </w:r>
      <w:r w:rsidRPr="000E14E6">
        <w:rPr>
          <w:szCs w:val="17"/>
        </w:rPr>
        <w:t>documento del Consejo de Europa CPT/Inf (2014) 31, párr. 56</w:t>
      </w:r>
      <w:r w:rsidRPr="000E14E6">
        <w:rPr>
          <w:szCs w:val="17"/>
          <w:lang w:val="lv-LV" w:eastAsia="lv-LV"/>
        </w:rPr>
        <w:t xml:space="preserve">; </w:t>
      </w:r>
      <w:hyperlink r:id="rId17" w:history="1">
        <w:r w:rsidRPr="000E14E6">
          <w:rPr>
            <w:rStyle w:val="Hyperlink"/>
            <w:szCs w:val="17"/>
            <w:lang w:val="lv-LV" w:eastAsia="lv-LV"/>
          </w:rPr>
          <w:t>www.achpr.org/files/sessions/52nd/inter-act-reps/185/activty_report_prisons_eng.pdf</w:t>
        </w:r>
      </w:hyperlink>
      <w:r w:rsidRPr="000E14E6">
        <w:rPr>
          <w:szCs w:val="17"/>
          <w:lang w:val="lv-LV" w:eastAsia="lv-LV"/>
        </w:rPr>
        <w:t>, pág. 22</w:t>
      </w:r>
      <w:r w:rsidRPr="000E14E6">
        <w:rPr>
          <w:szCs w:val="17"/>
        </w:rPr>
        <w:t>.</w:t>
      </w:r>
    </w:p>
  </w:footnote>
  <w:footnote w:id="18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rPr>
        <w:tab/>
      </w:r>
      <w:r w:rsidRPr="000E14E6">
        <w:rPr>
          <w:rStyle w:val="FootnoteReference"/>
          <w:szCs w:val="17"/>
        </w:rPr>
        <w:footnoteRef/>
      </w:r>
      <w:r w:rsidRPr="000E14E6">
        <w:rPr>
          <w:szCs w:val="17"/>
          <w:lang w:val="en-US"/>
        </w:rPr>
        <w:tab/>
        <w:t>Véa</w:t>
      </w:r>
      <w:r>
        <w:rPr>
          <w:szCs w:val="17"/>
          <w:lang w:val="en-US"/>
        </w:rPr>
        <w:t>n</w:t>
      </w:r>
      <w:r w:rsidRPr="000E14E6">
        <w:rPr>
          <w:szCs w:val="17"/>
          <w:lang w:val="en-US"/>
        </w:rPr>
        <w:t xml:space="preserve">se S/2015/157, párr. 26; A/HRC/25/71, párrs. </w:t>
      </w:r>
      <w:r w:rsidRPr="000E14E6">
        <w:rPr>
          <w:szCs w:val="17"/>
        </w:rPr>
        <w:t xml:space="preserve">41 y 42; CAT/OP/BEN/1, párr. </w:t>
      </w:r>
      <w:r w:rsidRPr="000E14E6">
        <w:rPr>
          <w:szCs w:val="17"/>
          <w:lang w:val="en-US"/>
        </w:rPr>
        <w:t>158; CAT/OP/ARG/1, párr. 59; www.ohchr.org/Documents/Issues/RuleOfLaw/</w:t>
      </w:r>
      <w:r>
        <w:rPr>
          <w:szCs w:val="17"/>
          <w:lang w:val="en-US"/>
        </w:rPr>
        <w:br/>
      </w:r>
      <w:r w:rsidRPr="000E14E6">
        <w:rPr>
          <w:szCs w:val="17"/>
          <w:lang w:val="en-US"/>
        </w:rPr>
        <w:t>OverIncarceration/UNODC.pdf.</w:t>
      </w:r>
    </w:p>
  </w:footnote>
  <w:footnote w:id="18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en-US"/>
        </w:rPr>
        <w:tab/>
      </w:r>
      <w:r w:rsidRPr="000E14E6">
        <w:rPr>
          <w:rStyle w:val="FootnoteReference"/>
          <w:szCs w:val="17"/>
        </w:rPr>
        <w:footnoteRef/>
      </w:r>
      <w:r w:rsidRPr="000E14E6">
        <w:rPr>
          <w:szCs w:val="17"/>
          <w:lang w:val="en-US"/>
        </w:rPr>
        <w:tab/>
        <w:t xml:space="preserve">Véase </w:t>
      </w:r>
      <w:hyperlink r:id="rId18" w:history="1">
        <w:r w:rsidRPr="000E14E6">
          <w:rPr>
            <w:rStyle w:val="Hyperlink"/>
            <w:szCs w:val="17"/>
            <w:lang w:val="en-US"/>
          </w:rPr>
          <w:t>www.achpr.org/files/sessions/37th/mission-reports/prisons-2004/misrep_specmec_priso_</w:t>
        </w:r>
        <w:r>
          <w:rPr>
            <w:rStyle w:val="Hyperlink"/>
            <w:szCs w:val="17"/>
            <w:lang w:val="en-US"/>
          </w:rPr>
          <w:br/>
        </w:r>
        <w:r w:rsidRPr="000E14E6">
          <w:rPr>
            <w:rStyle w:val="Hyperlink"/>
            <w:szCs w:val="17"/>
            <w:lang w:val="en-US"/>
          </w:rPr>
          <w:t>southafrica_2004_eng.pdf</w:t>
        </w:r>
      </w:hyperlink>
      <w:r w:rsidRPr="000E14E6">
        <w:rPr>
          <w:szCs w:val="17"/>
          <w:lang w:val="en-US"/>
        </w:rPr>
        <w:t>, pág. 64; CPT/Inf (2013) 35, párr. 8</w:t>
      </w:r>
      <w:r>
        <w:rPr>
          <w:szCs w:val="17"/>
          <w:lang w:val="en-US"/>
        </w:rPr>
        <w:t>,</w:t>
      </w:r>
      <w:r w:rsidRPr="000E14E6">
        <w:rPr>
          <w:szCs w:val="17"/>
          <w:lang w:val="en-US"/>
        </w:rPr>
        <w:t xml:space="preserve"> CPT/Inf (2014) 31, párr. 35</w:t>
      </w:r>
      <w:r w:rsidR="00A40DA9">
        <w:rPr>
          <w:szCs w:val="17"/>
          <w:lang w:val="en-US"/>
        </w:rPr>
        <w:t>;</w:t>
      </w:r>
      <w:r w:rsidRPr="000E14E6">
        <w:rPr>
          <w:szCs w:val="17"/>
          <w:lang w:val="en-US"/>
        </w:rPr>
        <w:t xml:space="preserve"> CAT/C/IRL/CO/1, párr. 11</w:t>
      </w:r>
      <w:r>
        <w:rPr>
          <w:szCs w:val="17"/>
          <w:lang w:val="en-US"/>
        </w:rPr>
        <w:t>,</w:t>
      </w:r>
      <w:r w:rsidRPr="000E14E6">
        <w:rPr>
          <w:szCs w:val="17"/>
          <w:lang w:val="en-US"/>
        </w:rPr>
        <w:t xml:space="preserve"> CCPR/C/BIH/CO/2, párr. 11</w:t>
      </w:r>
      <w:r w:rsidR="00A40DA9">
        <w:rPr>
          <w:szCs w:val="17"/>
          <w:lang w:val="en-US"/>
        </w:rPr>
        <w:t>;</w:t>
      </w:r>
      <w:r w:rsidRPr="000E14E6">
        <w:rPr>
          <w:szCs w:val="17"/>
          <w:lang w:val="en-US"/>
        </w:rPr>
        <w:t xml:space="preserve"> A/HRC/25/60/Add.1, párr. 84</w:t>
      </w:r>
      <w:r w:rsidR="00A40DA9">
        <w:rPr>
          <w:szCs w:val="17"/>
          <w:lang w:val="en-US"/>
        </w:rPr>
        <w:t>;</w:t>
      </w:r>
      <w:r w:rsidRPr="000E14E6">
        <w:rPr>
          <w:szCs w:val="17"/>
          <w:lang w:val="en-US"/>
        </w:rPr>
        <w:t xml:space="preserve"> CCPR/C/URY/CO/3, párr. 9</w:t>
      </w:r>
      <w:r w:rsidR="00A40DA9">
        <w:rPr>
          <w:szCs w:val="17"/>
          <w:lang w:val="en-US"/>
        </w:rPr>
        <w:t>;</w:t>
      </w:r>
      <w:r w:rsidRPr="000E14E6">
        <w:rPr>
          <w:szCs w:val="17"/>
          <w:lang w:val="en-US"/>
        </w:rPr>
        <w:t xml:space="preserve"> CAT/OP/MDV/1, párr. </w:t>
      </w:r>
      <w:r w:rsidRPr="000E14E6">
        <w:rPr>
          <w:szCs w:val="17"/>
        </w:rPr>
        <w:t>220.</w:t>
      </w:r>
    </w:p>
  </w:footnote>
  <w:footnote w:id="18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Véase </w:t>
      </w:r>
      <w:r>
        <w:rPr>
          <w:szCs w:val="17"/>
        </w:rPr>
        <w:t xml:space="preserve">el </w:t>
      </w:r>
      <w:r w:rsidRPr="000E14E6">
        <w:rPr>
          <w:szCs w:val="17"/>
        </w:rPr>
        <w:t>documento del Consejo de Europa CPT/Inf (2014) 13, párr. 39.</w:t>
      </w:r>
    </w:p>
  </w:footnote>
  <w:footnote w:id="18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Véanse </w:t>
      </w:r>
      <w:r w:rsidRPr="000E14E6">
        <w:rPr>
          <w:i/>
          <w:szCs w:val="17"/>
        </w:rPr>
        <w:t>ibid</w:t>
      </w:r>
      <w:r>
        <w:rPr>
          <w:i/>
          <w:szCs w:val="17"/>
        </w:rPr>
        <w:t>.</w:t>
      </w:r>
      <w:r w:rsidRPr="00FA1E9A">
        <w:rPr>
          <w:szCs w:val="17"/>
        </w:rPr>
        <w:t>,</w:t>
      </w:r>
      <w:r w:rsidRPr="000E14E6">
        <w:rPr>
          <w:szCs w:val="17"/>
        </w:rPr>
        <w:t xml:space="preserve"> y www.ohchr.org/Documents/Issues/RuleOfLaw/Overincarceration/OSJI.pdf.</w:t>
      </w:r>
    </w:p>
  </w:footnote>
  <w:footnote w:id="18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Véanse A/HRC/30/37, párr. 2</w:t>
      </w:r>
      <w:r w:rsidR="004C1F3A">
        <w:rPr>
          <w:szCs w:val="17"/>
        </w:rPr>
        <w:t>;</w:t>
      </w:r>
      <w:r w:rsidRPr="000E14E6">
        <w:rPr>
          <w:szCs w:val="17"/>
        </w:rPr>
        <w:t xml:space="preserve"> y el Principio 4.</w:t>
      </w:r>
    </w:p>
  </w:footnote>
  <w:footnote w:id="19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lang w:val="en-US"/>
        </w:rPr>
        <w:tab/>
        <w:t xml:space="preserve">Véanse CCPR/C/TUR/CO/1, párr. </w:t>
      </w:r>
      <w:r w:rsidRPr="000E14E6">
        <w:rPr>
          <w:szCs w:val="17"/>
        </w:rPr>
        <w:t>17</w:t>
      </w:r>
      <w:r w:rsidR="004C1F3A">
        <w:rPr>
          <w:szCs w:val="17"/>
        </w:rPr>
        <w:t>;</w:t>
      </w:r>
      <w:r w:rsidRPr="000E14E6">
        <w:rPr>
          <w:szCs w:val="17"/>
        </w:rPr>
        <w:t xml:space="preserve"> y www.ohchr.org/Documents/Issues/RuleOfLaw/</w:t>
      </w:r>
      <w:r>
        <w:rPr>
          <w:szCs w:val="17"/>
        </w:rPr>
        <w:br/>
      </w:r>
      <w:r w:rsidRPr="000E14E6">
        <w:rPr>
          <w:szCs w:val="17"/>
        </w:rPr>
        <w:t>Overincarceration/QUNO.pdf.</w:t>
      </w:r>
    </w:p>
  </w:footnote>
  <w:footnote w:id="19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w:t>
      </w:r>
      <w:r>
        <w:rPr>
          <w:szCs w:val="17"/>
        </w:rPr>
        <w:t xml:space="preserve"> </w:t>
      </w:r>
      <w:r w:rsidRPr="000E14E6">
        <w:rPr>
          <w:szCs w:val="17"/>
        </w:rPr>
        <w:t>A/HRC/27/47, párr. 16.</w:t>
      </w:r>
    </w:p>
  </w:footnote>
  <w:footnote w:id="192">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A/HRC/30/37, Principio 13.</w:t>
      </w:r>
    </w:p>
  </w:footnote>
  <w:footnote w:id="19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A/HRC/30/37, Principio 9.</w:t>
      </w:r>
    </w:p>
  </w:footnote>
  <w:footnote w:id="19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Véanse la resolución de la Asamblea Gener</w:t>
      </w:r>
      <w:r>
        <w:rPr>
          <w:szCs w:val="17"/>
        </w:rPr>
        <w:t>al 67/187, anexo, párrs. 9 y 10</w:t>
      </w:r>
      <w:r w:rsidR="004C1F3A">
        <w:rPr>
          <w:szCs w:val="17"/>
        </w:rPr>
        <w:t>;</w:t>
      </w:r>
      <w:r w:rsidRPr="000E14E6">
        <w:rPr>
          <w:szCs w:val="17"/>
        </w:rPr>
        <w:t xml:space="preserve"> </w:t>
      </w:r>
      <w:hyperlink r:id="rId19" w:history="1">
        <w:r w:rsidRPr="000E14E6">
          <w:rPr>
            <w:rStyle w:val="Hyperlink"/>
            <w:szCs w:val="17"/>
          </w:rPr>
          <w:t>www.ohchr.org/</w:t>
        </w:r>
        <w:r>
          <w:rPr>
            <w:rStyle w:val="Hyperlink"/>
            <w:szCs w:val="17"/>
          </w:rPr>
          <w:br/>
        </w:r>
        <w:r w:rsidRPr="000E14E6">
          <w:rPr>
            <w:rStyle w:val="Hyperlink"/>
            <w:szCs w:val="17"/>
          </w:rPr>
          <w:t>Documents/Issues/RuleOfLaw/Overincarceration/OSJI.pdf</w:t>
        </w:r>
      </w:hyperlink>
      <w:r w:rsidRPr="000E14E6">
        <w:rPr>
          <w:szCs w:val="17"/>
        </w:rPr>
        <w:t>; www.ohchr.org/Documents/</w:t>
      </w:r>
      <w:r>
        <w:rPr>
          <w:szCs w:val="17"/>
        </w:rPr>
        <w:br/>
      </w:r>
      <w:r w:rsidRPr="000E14E6">
        <w:rPr>
          <w:szCs w:val="17"/>
        </w:rPr>
        <w:t>Issues/RuleOfLaw/Overincarceration/PRI.pdf.</w:t>
      </w:r>
    </w:p>
  </w:footnote>
  <w:footnote w:id="19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Se ha informado, sin embargo, de casos de detenidos en lugares que nunca habían </w:t>
      </w:r>
      <w:r>
        <w:rPr>
          <w:szCs w:val="17"/>
        </w:rPr>
        <w:t>estado destinados a ese fin</w:t>
      </w:r>
      <w:r w:rsidRPr="000E14E6">
        <w:rPr>
          <w:szCs w:val="17"/>
        </w:rPr>
        <w:t>, lo que agrava de manera considerable los problemas que causa el hacinamiento. Véase www.achpr.org/files/sessions/12th-eo/mission-reports/promotion_mission-2012/mission_report_mauritania_cpta_eng.pdf, párr. 75.</w:t>
      </w:r>
    </w:p>
  </w:footnote>
  <w:footnote w:id="19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rPr>
        <w:tab/>
      </w:r>
      <w:r w:rsidRPr="000E14E6">
        <w:rPr>
          <w:rStyle w:val="FootnoteReference"/>
          <w:szCs w:val="17"/>
        </w:rPr>
        <w:footnoteRef/>
      </w:r>
      <w:r w:rsidRPr="000E14E6">
        <w:rPr>
          <w:szCs w:val="17"/>
        </w:rPr>
        <w:tab/>
        <w:t xml:space="preserve">Véase </w:t>
      </w:r>
      <w:r w:rsidRPr="000E14E6">
        <w:rPr>
          <w:szCs w:val="17"/>
          <w:lang w:val="lv-LV" w:eastAsia="lv-LV"/>
        </w:rPr>
        <w:t>A/HRC/13/39/Add.5, párr. 91.</w:t>
      </w:r>
    </w:p>
  </w:footnote>
  <w:footnote w:id="19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0E14E6">
        <w:rPr>
          <w:szCs w:val="17"/>
          <w:lang w:val="en-US"/>
        </w:rPr>
        <w:tab/>
      </w:r>
      <w:r w:rsidRPr="000E14E6">
        <w:rPr>
          <w:rStyle w:val="FootnoteReference"/>
          <w:szCs w:val="17"/>
        </w:rPr>
        <w:footnoteRef/>
      </w:r>
      <w:r w:rsidRPr="000E14E6">
        <w:rPr>
          <w:szCs w:val="17"/>
          <w:lang w:val="en-US"/>
        </w:rPr>
        <w:tab/>
        <w:t xml:space="preserve">Véanse A/HRC/22/53/Add.2, párr. </w:t>
      </w:r>
      <w:r w:rsidRPr="000E14E6">
        <w:rPr>
          <w:szCs w:val="17"/>
        </w:rPr>
        <w:t>46</w:t>
      </w:r>
      <w:r w:rsidR="004C1F3A">
        <w:rPr>
          <w:szCs w:val="17"/>
        </w:rPr>
        <w:t>;</w:t>
      </w:r>
      <w:r w:rsidRPr="000E14E6">
        <w:rPr>
          <w:szCs w:val="17"/>
        </w:rPr>
        <w:t xml:space="preserve"> y A/HRC/25/60/Add.1, párr. </w:t>
      </w:r>
      <w:r w:rsidRPr="000E14E6">
        <w:rPr>
          <w:szCs w:val="17"/>
          <w:lang w:val="en-US"/>
        </w:rPr>
        <w:t>40.</w:t>
      </w:r>
    </w:p>
  </w:footnote>
  <w:footnote w:id="19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en-US"/>
        </w:rPr>
        <w:tab/>
      </w:r>
      <w:r w:rsidRPr="000E14E6">
        <w:rPr>
          <w:rStyle w:val="FootnoteReference"/>
          <w:szCs w:val="17"/>
        </w:rPr>
        <w:footnoteRef/>
      </w:r>
      <w:r w:rsidRPr="000E14E6">
        <w:rPr>
          <w:szCs w:val="17"/>
          <w:lang w:val="en-US"/>
        </w:rPr>
        <w:tab/>
        <w:t xml:space="preserve">Véanse CAT/OP/PRY/1, párr. 46; CAT/C/TGO/CO/2, párr. </w:t>
      </w:r>
      <w:r w:rsidRPr="000E14E6">
        <w:rPr>
          <w:szCs w:val="17"/>
        </w:rPr>
        <w:t>13</w:t>
      </w:r>
      <w:r w:rsidR="004C1F3A">
        <w:rPr>
          <w:szCs w:val="17"/>
        </w:rPr>
        <w:t>;</w:t>
      </w:r>
      <w:r w:rsidRPr="000E14E6">
        <w:rPr>
          <w:szCs w:val="17"/>
        </w:rPr>
        <w:t xml:space="preserve"> y CAT/OP/BEN/1, párr. 161.</w:t>
      </w:r>
    </w:p>
  </w:footnote>
  <w:footnote w:id="19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Véanse CAT/C/GBR/CO/5, párr. 31</w:t>
      </w:r>
      <w:r w:rsidR="004C1F3A">
        <w:rPr>
          <w:szCs w:val="17"/>
        </w:rPr>
        <w:t>;</w:t>
      </w:r>
      <w:r w:rsidRPr="000E14E6">
        <w:rPr>
          <w:szCs w:val="17"/>
        </w:rPr>
        <w:t xml:space="preserve"> CCPR/C/FIN/CO/6, párr. 10</w:t>
      </w:r>
      <w:r w:rsidR="004C1F3A">
        <w:rPr>
          <w:szCs w:val="17"/>
        </w:rPr>
        <w:t>;</w:t>
      </w:r>
      <w:r w:rsidRPr="000E14E6">
        <w:rPr>
          <w:szCs w:val="17"/>
        </w:rPr>
        <w:t xml:space="preserve"> A/HRC/28/68, párr. 41. Véase también el informe de la Misión a Nigeria</w:t>
      </w:r>
      <w:r w:rsidRPr="000E14E6">
        <w:rPr>
          <w:bCs/>
          <w:kern w:val="36"/>
          <w:szCs w:val="17"/>
          <w:lang w:eastAsia="lv-LV"/>
        </w:rPr>
        <w:t xml:space="preserve"> (2009) de la Comisión Africana para los Derechos de las Personas y los Pueblos,</w:t>
      </w:r>
      <w:r>
        <w:rPr>
          <w:bCs/>
          <w:kern w:val="36"/>
          <w:szCs w:val="17"/>
          <w:lang w:eastAsia="lv-LV"/>
        </w:rPr>
        <w:t xml:space="preserve"> que</w:t>
      </w:r>
      <w:r w:rsidRPr="000E14E6">
        <w:rPr>
          <w:bCs/>
          <w:kern w:val="36"/>
          <w:szCs w:val="17"/>
          <w:lang w:eastAsia="lv-LV"/>
        </w:rPr>
        <w:t xml:space="preserve"> se puede consultar en www.achpr.org/states/nigeria/</w:t>
      </w:r>
      <w:r>
        <w:rPr>
          <w:bCs/>
          <w:kern w:val="36"/>
          <w:szCs w:val="17"/>
          <w:lang w:eastAsia="lv-LV"/>
        </w:rPr>
        <w:br/>
      </w:r>
      <w:r w:rsidRPr="000E14E6">
        <w:rPr>
          <w:bCs/>
          <w:kern w:val="36"/>
          <w:szCs w:val="17"/>
          <w:lang w:eastAsia="lv-LV"/>
        </w:rPr>
        <w:t>missions/promo-2009/</w:t>
      </w:r>
      <w:r w:rsidR="004C1F3A">
        <w:rPr>
          <w:bCs/>
          <w:kern w:val="36"/>
          <w:szCs w:val="17"/>
          <w:lang w:eastAsia="lv-LV"/>
        </w:rPr>
        <w:t>;</w:t>
      </w:r>
      <w:r w:rsidRPr="000E14E6">
        <w:rPr>
          <w:szCs w:val="17"/>
        </w:rPr>
        <w:t xml:space="preserve"> y www.ohchr.org/Documents/Issues/RuleOfLaw/</w:t>
      </w:r>
      <w:r>
        <w:rPr>
          <w:szCs w:val="17"/>
        </w:rPr>
        <w:br/>
      </w:r>
      <w:r w:rsidRPr="000E14E6">
        <w:rPr>
          <w:szCs w:val="17"/>
        </w:rPr>
        <w:t>Overincarceration/CRIN.pdf.</w:t>
      </w:r>
    </w:p>
  </w:footnote>
  <w:footnote w:id="20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Pr>
          <w:szCs w:val="17"/>
        </w:rPr>
        <w:tab/>
        <w:t>Véase el d</w:t>
      </w:r>
      <w:r w:rsidRPr="000E14E6">
        <w:rPr>
          <w:szCs w:val="17"/>
        </w:rPr>
        <w:t>ocumento del Consejo de Europa CPT/Inf (2014) 26, párr. 13.</w:t>
      </w:r>
    </w:p>
  </w:footnote>
  <w:footnote w:id="20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rPr>
        <w:tab/>
      </w:r>
      <w:r w:rsidRPr="000E14E6">
        <w:rPr>
          <w:rStyle w:val="FootnoteReference"/>
          <w:szCs w:val="17"/>
        </w:rPr>
        <w:footnoteRef/>
      </w:r>
      <w:r>
        <w:rPr>
          <w:szCs w:val="17"/>
        </w:rPr>
        <w:tab/>
        <w:t>Véase el d</w:t>
      </w:r>
      <w:r w:rsidRPr="000E14E6">
        <w:rPr>
          <w:szCs w:val="17"/>
        </w:rPr>
        <w:t xml:space="preserve">ocumento del Consejo de Europa CPT/Inf (2014) 13, párr. </w:t>
      </w:r>
      <w:r w:rsidRPr="000E14E6">
        <w:rPr>
          <w:szCs w:val="17"/>
          <w:lang w:val="fr-CH"/>
        </w:rPr>
        <w:t>39.</w:t>
      </w:r>
    </w:p>
  </w:footnote>
  <w:footnote w:id="202">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lang w:val="fr-CH"/>
        </w:rPr>
        <w:tab/>
      </w:r>
      <w:r w:rsidRPr="000E14E6">
        <w:rPr>
          <w:rStyle w:val="FootnoteReference"/>
          <w:szCs w:val="17"/>
        </w:rPr>
        <w:footnoteRef/>
      </w:r>
      <w:r w:rsidRPr="000E14E6">
        <w:rPr>
          <w:szCs w:val="17"/>
          <w:lang w:val="fr-CH"/>
        </w:rPr>
        <w:tab/>
        <w:t>Véase www.ohchr.org/Documents/Issues/RuleOfLaw/Overincarceration/Germany.pdf.</w:t>
      </w:r>
    </w:p>
  </w:footnote>
  <w:footnote w:id="20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fr-CH"/>
        </w:rPr>
        <w:tab/>
      </w:r>
      <w:r w:rsidRPr="000E14E6">
        <w:rPr>
          <w:rStyle w:val="FootnoteReference"/>
          <w:szCs w:val="17"/>
        </w:rPr>
        <w:footnoteRef/>
      </w:r>
      <w:r w:rsidRPr="000E14E6">
        <w:rPr>
          <w:szCs w:val="17"/>
        </w:rPr>
        <w:tab/>
        <w:t xml:space="preserve">Véase </w:t>
      </w:r>
      <w:r w:rsidRPr="000E14E6">
        <w:rPr>
          <w:rFonts w:eastAsia="SimSun"/>
          <w:szCs w:val="17"/>
          <w:lang w:eastAsia="zh-CN"/>
        </w:rPr>
        <w:t>CAT/C/54/2, párr. 83.</w:t>
      </w:r>
    </w:p>
  </w:footnote>
  <w:footnote w:id="20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Véanse los artículos 9 y 14 del Pacto Internacional de Derechos Civiles y Políticos. Véanse también los artículo</w:t>
      </w:r>
      <w:r w:rsidR="004C1F3A">
        <w:rPr>
          <w:szCs w:val="17"/>
        </w:rPr>
        <w:t>s</w:t>
      </w:r>
      <w:r w:rsidRPr="000E14E6">
        <w:rPr>
          <w:szCs w:val="17"/>
        </w:rPr>
        <w:t xml:space="preserve"> 6.1 y 6.2 de las Reglas </w:t>
      </w:r>
      <w:r w:rsidR="004C1F3A" w:rsidRPr="000E14E6">
        <w:rPr>
          <w:szCs w:val="17"/>
        </w:rPr>
        <w:t xml:space="preserve">Mínimas </w:t>
      </w:r>
      <w:r w:rsidRPr="000E14E6">
        <w:rPr>
          <w:szCs w:val="17"/>
        </w:rPr>
        <w:t xml:space="preserve">de las Naciones Unidas </w:t>
      </w:r>
      <w:r w:rsidR="004C1F3A">
        <w:rPr>
          <w:szCs w:val="17"/>
        </w:rPr>
        <w:t>sobre</w:t>
      </w:r>
      <w:r w:rsidRPr="000E14E6">
        <w:rPr>
          <w:szCs w:val="17"/>
        </w:rPr>
        <w:t xml:space="preserve"> las </w:t>
      </w:r>
      <w:r w:rsidR="004C1F3A" w:rsidRPr="000E14E6">
        <w:rPr>
          <w:szCs w:val="17"/>
        </w:rPr>
        <w:t xml:space="preserve">Medidas No Privativas </w:t>
      </w:r>
      <w:r w:rsidRPr="000E14E6">
        <w:rPr>
          <w:szCs w:val="17"/>
        </w:rPr>
        <w:t xml:space="preserve">de la </w:t>
      </w:r>
      <w:r w:rsidR="004C1F3A" w:rsidRPr="000E14E6">
        <w:rPr>
          <w:szCs w:val="17"/>
        </w:rPr>
        <w:t xml:space="preserve">Libertad </w:t>
      </w:r>
      <w:r w:rsidRPr="000E14E6">
        <w:rPr>
          <w:szCs w:val="17"/>
        </w:rPr>
        <w:t>(las Reglas de Tokio)</w:t>
      </w:r>
      <w:r>
        <w:rPr>
          <w:szCs w:val="17"/>
        </w:rPr>
        <w:t>,</w:t>
      </w:r>
      <w:r w:rsidRPr="000E14E6">
        <w:rPr>
          <w:szCs w:val="17"/>
        </w:rPr>
        <w:t xml:space="preserve"> CCPR/C/GC/35, párr. 38</w:t>
      </w:r>
      <w:r>
        <w:rPr>
          <w:szCs w:val="17"/>
        </w:rPr>
        <w:t>,</w:t>
      </w:r>
      <w:r w:rsidRPr="000E14E6">
        <w:rPr>
          <w:szCs w:val="17"/>
        </w:rPr>
        <w:t xml:space="preserve"> y A/HRC/19/57, párr. 48.</w:t>
      </w:r>
    </w:p>
  </w:footnote>
  <w:footnote w:id="20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CCPR/C/GC/35, párr. 38.</w:t>
      </w:r>
    </w:p>
  </w:footnote>
  <w:footnote w:id="20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rPr>
        <w:tab/>
      </w:r>
      <w:r w:rsidRPr="000E14E6">
        <w:rPr>
          <w:rStyle w:val="FootnoteReference"/>
          <w:szCs w:val="17"/>
        </w:rPr>
        <w:footnoteRef/>
      </w:r>
      <w:r w:rsidRPr="000E14E6">
        <w:rPr>
          <w:szCs w:val="17"/>
        </w:rPr>
        <w:tab/>
        <w:t xml:space="preserve">Véase CCPR/C/GC/35, párr. </w:t>
      </w:r>
      <w:r w:rsidRPr="000E14E6">
        <w:rPr>
          <w:szCs w:val="17"/>
          <w:lang w:val="fr-CH"/>
        </w:rPr>
        <w:t>38.</w:t>
      </w:r>
    </w:p>
  </w:footnote>
  <w:footnote w:id="20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lang w:val="fr-CH"/>
        </w:rPr>
        <w:tab/>
      </w:r>
      <w:r w:rsidRPr="000E14E6">
        <w:rPr>
          <w:rStyle w:val="FootnoteReference"/>
          <w:szCs w:val="17"/>
        </w:rPr>
        <w:footnoteRef/>
      </w:r>
      <w:r w:rsidRPr="000E14E6">
        <w:rPr>
          <w:szCs w:val="17"/>
          <w:lang w:val="fr-CH"/>
        </w:rPr>
        <w:tab/>
        <w:t>Véase CCPR/C/GC/35, párr. 37.</w:t>
      </w:r>
    </w:p>
  </w:footnote>
  <w:footnote w:id="20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lang w:val="fr-CH"/>
        </w:rPr>
        <w:tab/>
      </w:r>
      <w:r w:rsidRPr="000E14E6">
        <w:rPr>
          <w:rStyle w:val="FootnoteReference"/>
          <w:szCs w:val="17"/>
        </w:rPr>
        <w:footnoteRef/>
      </w:r>
      <w:r w:rsidRPr="000E14E6">
        <w:rPr>
          <w:szCs w:val="17"/>
          <w:lang w:val="fr-CH"/>
        </w:rPr>
        <w:tab/>
        <w:t>Véase www.ohchr.org/Documents/Issues/RuleOfLaw/Overincarceration/</w:t>
      </w:r>
      <w:r>
        <w:rPr>
          <w:szCs w:val="17"/>
          <w:lang w:val="fr-CH"/>
        </w:rPr>
        <w:br/>
      </w:r>
      <w:r w:rsidRPr="000E14E6">
        <w:rPr>
          <w:szCs w:val="17"/>
          <w:lang w:val="fr-CH"/>
        </w:rPr>
        <w:t>LICAMDH_Cameroon.pdf.</w:t>
      </w:r>
    </w:p>
  </w:footnote>
  <w:footnote w:id="20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fr-CH"/>
        </w:rPr>
        <w:tab/>
      </w:r>
      <w:r w:rsidRPr="000E14E6">
        <w:rPr>
          <w:rStyle w:val="FootnoteReference"/>
          <w:szCs w:val="17"/>
        </w:rPr>
        <w:footnoteRef/>
      </w:r>
      <w:r w:rsidRPr="000E14E6">
        <w:rPr>
          <w:szCs w:val="17"/>
          <w:lang w:val="fr-CH"/>
        </w:rPr>
        <w:tab/>
        <w:t xml:space="preserve">Véanse CCPR/C/GC/35, párr. </w:t>
      </w:r>
      <w:r w:rsidRPr="000E14E6">
        <w:rPr>
          <w:szCs w:val="17"/>
        </w:rPr>
        <w:t>38</w:t>
      </w:r>
      <w:r w:rsidR="004C1F3A">
        <w:rPr>
          <w:szCs w:val="17"/>
        </w:rPr>
        <w:t>;</w:t>
      </w:r>
      <w:r w:rsidRPr="000E14E6">
        <w:rPr>
          <w:szCs w:val="17"/>
        </w:rPr>
        <w:t xml:space="preserve"> CAT/OP/MLI/1, párr. 30.</w:t>
      </w:r>
    </w:p>
  </w:footnote>
  <w:footnote w:id="21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Véanse las Reglas </w:t>
      </w:r>
      <w:r w:rsidR="004C1F3A" w:rsidRPr="000E14E6">
        <w:rPr>
          <w:szCs w:val="17"/>
        </w:rPr>
        <w:t xml:space="preserve">Mínimas </w:t>
      </w:r>
      <w:r w:rsidRPr="000E14E6">
        <w:rPr>
          <w:szCs w:val="17"/>
        </w:rPr>
        <w:t xml:space="preserve">de las Naciones Unidas </w:t>
      </w:r>
      <w:r w:rsidR="004C1F3A">
        <w:rPr>
          <w:szCs w:val="17"/>
        </w:rPr>
        <w:t>sobre</w:t>
      </w:r>
      <w:r w:rsidRPr="000E14E6">
        <w:rPr>
          <w:szCs w:val="17"/>
        </w:rPr>
        <w:t xml:space="preserve"> las </w:t>
      </w:r>
      <w:r w:rsidR="004C1F3A" w:rsidRPr="000E14E6">
        <w:rPr>
          <w:szCs w:val="17"/>
        </w:rPr>
        <w:t xml:space="preserve">Medidas No Privativas </w:t>
      </w:r>
      <w:r w:rsidRPr="000E14E6">
        <w:rPr>
          <w:szCs w:val="17"/>
        </w:rPr>
        <w:t xml:space="preserve">de la </w:t>
      </w:r>
      <w:r w:rsidR="004C1F3A" w:rsidRPr="000E14E6">
        <w:rPr>
          <w:szCs w:val="17"/>
        </w:rPr>
        <w:t xml:space="preserve">Libertad </w:t>
      </w:r>
      <w:r w:rsidRPr="000E14E6">
        <w:rPr>
          <w:szCs w:val="17"/>
        </w:rPr>
        <w:t xml:space="preserve">(las Reglas de Tokio), A/RES/45/110, anexo; </w:t>
      </w:r>
      <w:r>
        <w:rPr>
          <w:szCs w:val="17"/>
        </w:rPr>
        <w:t xml:space="preserve">y las </w:t>
      </w:r>
      <w:r w:rsidRPr="000E14E6">
        <w:rPr>
          <w:iCs/>
          <w:szCs w:val="17"/>
        </w:rPr>
        <w:t>Reglas</w:t>
      </w:r>
      <w:r w:rsidRPr="000E14E6">
        <w:rPr>
          <w:szCs w:val="17"/>
        </w:rPr>
        <w:t xml:space="preserve"> </w:t>
      </w:r>
      <w:r w:rsidRPr="000E14E6">
        <w:rPr>
          <w:iCs/>
          <w:szCs w:val="17"/>
        </w:rPr>
        <w:t>de</w:t>
      </w:r>
      <w:r w:rsidRPr="000E14E6">
        <w:rPr>
          <w:szCs w:val="17"/>
        </w:rPr>
        <w:t xml:space="preserve"> las Naciones Unidas para el Tratamiento </w:t>
      </w:r>
      <w:r w:rsidRPr="000E14E6">
        <w:rPr>
          <w:iCs/>
          <w:szCs w:val="17"/>
        </w:rPr>
        <w:t>de</w:t>
      </w:r>
      <w:r w:rsidRPr="000E14E6">
        <w:rPr>
          <w:szCs w:val="17"/>
        </w:rPr>
        <w:t xml:space="preserve"> las Reclusas y Medidas No Privativas </w:t>
      </w:r>
      <w:r w:rsidRPr="000E14E6">
        <w:rPr>
          <w:iCs/>
          <w:szCs w:val="17"/>
        </w:rPr>
        <w:t>de</w:t>
      </w:r>
      <w:r w:rsidRPr="000E14E6">
        <w:rPr>
          <w:szCs w:val="17"/>
        </w:rPr>
        <w:t xml:space="preserve"> la Libertad para las Mujeres Delincuentes (las Reglas de Bangkok), A/RES/65/229, anexo.</w:t>
      </w:r>
    </w:p>
  </w:footnote>
  <w:footnote w:id="21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lang w:val="en-US"/>
        </w:rPr>
        <w:tab/>
        <w:t>Véanse CAT/C/ARM/CO/3, párr. 19</w:t>
      </w:r>
      <w:r w:rsidR="004C1F3A">
        <w:rPr>
          <w:szCs w:val="17"/>
          <w:lang w:val="en-US"/>
        </w:rPr>
        <w:t>;</w:t>
      </w:r>
      <w:r w:rsidRPr="000E14E6">
        <w:rPr>
          <w:szCs w:val="17"/>
          <w:lang w:val="en-US"/>
        </w:rPr>
        <w:t xml:space="preserve"> CAT/C/BLR/CO/4, párr. 19</w:t>
      </w:r>
      <w:r w:rsidR="004C1F3A">
        <w:rPr>
          <w:szCs w:val="17"/>
          <w:lang w:val="en-US"/>
        </w:rPr>
        <w:t>;</w:t>
      </w:r>
      <w:r w:rsidRPr="000E14E6">
        <w:rPr>
          <w:szCs w:val="17"/>
          <w:lang w:val="en-US"/>
        </w:rPr>
        <w:t xml:space="preserve"> CAT/C/FIN/CO/5-6, párr. 14</w:t>
      </w:r>
      <w:r w:rsidR="004C1F3A">
        <w:rPr>
          <w:szCs w:val="17"/>
          <w:lang w:val="en-US"/>
        </w:rPr>
        <w:t>;</w:t>
      </w:r>
      <w:r w:rsidRPr="000E14E6">
        <w:rPr>
          <w:szCs w:val="17"/>
          <w:lang w:val="en-US"/>
        </w:rPr>
        <w:t xml:space="preserve"> CAT/C/GTM/CO/5-6, párr. 18</w:t>
      </w:r>
      <w:r w:rsidR="004C1F3A">
        <w:rPr>
          <w:szCs w:val="17"/>
          <w:lang w:val="en-US"/>
        </w:rPr>
        <w:t>;</w:t>
      </w:r>
      <w:r w:rsidRPr="000E14E6">
        <w:rPr>
          <w:szCs w:val="17"/>
          <w:lang w:val="en-US"/>
        </w:rPr>
        <w:t xml:space="preserve"> CAT/C/KEN/CO/2, párr. 12</w:t>
      </w:r>
      <w:r w:rsidR="004C1F3A">
        <w:rPr>
          <w:szCs w:val="17"/>
          <w:lang w:val="en-US"/>
        </w:rPr>
        <w:t>;</w:t>
      </w:r>
      <w:r w:rsidRPr="000E14E6">
        <w:rPr>
          <w:szCs w:val="17"/>
          <w:lang w:val="en-US"/>
        </w:rPr>
        <w:t xml:space="preserve"> CAT/C/SYR/CO/1, párr. 30</w:t>
      </w:r>
      <w:r w:rsidR="004C1F3A">
        <w:rPr>
          <w:szCs w:val="17"/>
          <w:lang w:val="en-US"/>
        </w:rPr>
        <w:t>;</w:t>
      </w:r>
      <w:r w:rsidRPr="000E14E6">
        <w:rPr>
          <w:szCs w:val="17"/>
          <w:lang w:val="lv-LV" w:eastAsia="lv-LV"/>
        </w:rPr>
        <w:t xml:space="preserve"> E/CN.4/2004/56, párr. 49</w:t>
      </w:r>
      <w:r w:rsidR="004C1F3A">
        <w:rPr>
          <w:szCs w:val="17"/>
          <w:lang w:val="lv-LV" w:eastAsia="lv-LV"/>
        </w:rPr>
        <w:t>;</w:t>
      </w:r>
      <w:r w:rsidRPr="000E14E6">
        <w:rPr>
          <w:szCs w:val="17"/>
          <w:lang w:val="lv-LV" w:eastAsia="lv-LV"/>
        </w:rPr>
        <w:t xml:space="preserve"> </w:t>
      </w:r>
      <w:r w:rsidRPr="000E14E6">
        <w:rPr>
          <w:szCs w:val="17"/>
          <w:lang w:val="en-US"/>
        </w:rPr>
        <w:t xml:space="preserve">CCPR/C/IND/CO/1, párr. </w:t>
      </w:r>
      <w:r w:rsidRPr="000E14E6">
        <w:rPr>
          <w:szCs w:val="17"/>
        </w:rPr>
        <w:t>21</w:t>
      </w:r>
      <w:r w:rsidR="004C1F3A">
        <w:rPr>
          <w:szCs w:val="17"/>
        </w:rPr>
        <w:t>;</w:t>
      </w:r>
      <w:r w:rsidRPr="000E14E6">
        <w:rPr>
          <w:szCs w:val="17"/>
        </w:rPr>
        <w:t xml:space="preserve"> CCPR/C/PHL/CO/4, párr. 19.</w:t>
      </w:r>
    </w:p>
  </w:footnote>
  <w:footnote w:id="212">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Pr>
          <w:szCs w:val="17"/>
        </w:rPr>
        <w:tab/>
        <w:t>Véanse el d</w:t>
      </w:r>
      <w:r w:rsidRPr="000E14E6">
        <w:rPr>
          <w:szCs w:val="17"/>
        </w:rPr>
        <w:t xml:space="preserve">ocumento del Consejo de Europa CPT/Inf (2015) 12, párr. 44; </w:t>
      </w:r>
      <w:hyperlink r:id="rId20" w:history="1">
        <w:r w:rsidRPr="000E14E6">
          <w:rPr>
            <w:rStyle w:val="Hyperlink"/>
            <w:szCs w:val="17"/>
          </w:rPr>
          <w:t>www.achpr.org/files/</w:t>
        </w:r>
        <w:r>
          <w:rPr>
            <w:rStyle w:val="Hyperlink"/>
            <w:szCs w:val="17"/>
          </w:rPr>
          <w:br/>
        </w:r>
        <w:r w:rsidRPr="000E14E6">
          <w:rPr>
            <w:rStyle w:val="Hyperlink"/>
            <w:szCs w:val="17"/>
          </w:rPr>
          <w:t>sessions/37th/mission-reports/ethiopia/misrep_specmec_priso_ethopia_2004_eng.pdf</w:t>
        </w:r>
      </w:hyperlink>
      <w:r w:rsidRPr="000E14E6">
        <w:rPr>
          <w:szCs w:val="17"/>
        </w:rPr>
        <w:t>, pág. 45.</w:t>
      </w:r>
    </w:p>
  </w:footnote>
  <w:footnote w:id="21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rPr>
        <w:tab/>
      </w:r>
      <w:r w:rsidRPr="000E14E6">
        <w:rPr>
          <w:rStyle w:val="FootnoteReference"/>
          <w:szCs w:val="17"/>
        </w:rPr>
        <w:footnoteRef/>
      </w:r>
      <w:r w:rsidRPr="000E14E6">
        <w:rPr>
          <w:szCs w:val="17"/>
          <w:lang w:val="fr-CH"/>
        </w:rPr>
        <w:tab/>
        <w:t>Véanse www.ohchr.org/Documents/Issues/RuleOfLaw/Overincarceration/Serbia.pdf; www.ohchr.org/Documents/Issues/RuleOfLaw/Overincarceration/SUHAKAM_Malaysia.pdf.</w:t>
      </w:r>
    </w:p>
  </w:footnote>
  <w:footnote w:id="21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fr-CH"/>
        </w:rPr>
        <w:tab/>
      </w:r>
      <w:r w:rsidRPr="000E14E6">
        <w:rPr>
          <w:rStyle w:val="FootnoteReference"/>
          <w:szCs w:val="17"/>
        </w:rPr>
        <w:footnoteRef/>
      </w:r>
      <w:r>
        <w:rPr>
          <w:szCs w:val="17"/>
        </w:rPr>
        <w:tab/>
        <w:t>Véase el d</w:t>
      </w:r>
      <w:r w:rsidRPr="000E14E6">
        <w:rPr>
          <w:szCs w:val="17"/>
        </w:rPr>
        <w:t xml:space="preserve">ocumento del Consejo de Europa CPT/Inf (2014) 31, párr. 56. Véase también </w:t>
      </w:r>
      <w:r w:rsidRPr="000E14E6">
        <w:rPr>
          <w:bCs/>
          <w:szCs w:val="17"/>
          <w:lang w:val="lv-LV" w:eastAsia="lv-LV"/>
        </w:rPr>
        <w:t>CAT/OP/NZL/1</w:t>
      </w:r>
      <w:r w:rsidRPr="000E14E6">
        <w:rPr>
          <w:szCs w:val="17"/>
          <w:lang w:val="lv-LV" w:eastAsia="lv-LV"/>
        </w:rPr>
        <w:t>, párr. 33.</w:t>
      </w:r>
    </w:p>
  </w:footnote>
  <w:footnote w:id="21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www.achpr.org/files/sessions/52nd/inter-act-reps/185/activty_report_prisons_eng.pdf</w:t>
      </w:r>
      <w:r w:rsidRPr="000E14E6">
        <w:rPr>
          <w:szCs w:val="17"/>
          <w:lang w:val="lv-LV"/>
        </w:rPr>
        <w:t>,</w:t>
      </w:r>
      <w:r>
        <w:rPr>
          <w:szCs w:val="17"/>
        </w:rPr>
        <w:t xml:space="preserve"> pág. </w:t>
      </w:r>
      <w:r w:rsidRPr="000E14E6">
        <w:rPr>
          <w:szCs w:val="17"/>
        </w:rPr>
        <w:t>22</w:t>
      </w:r>
      <w:r w:rsidRPr="000E14E6">
        <w:rPr>
          <w:szCs w:val="17"/>
          <w:lang w:val="lv-LV"/>
        </w:rPr>
        <w:t>.</w:t>
      </w:r>
    </w:p>
  </w:footnote>
  <w:footnote w:id="21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rPr>
        <w:tab/>
      </w:r>
      <w:r w:rsidRPr="000E14E6">
        <w:rPr>
          <w:rStyle w:val="FootnoteReference"/>
          <w:szCs w:val="17"/>
        </w:rPr>
        <w:footnoteRef/>
      </w:r>
      <w:r w:rsidRPr="000E14E6">
        <w:rPr>
          <w:szCs w:val="17"/>
        </w:rPr>
        <w:tab/>
        <w:t xml:space="preserve">Véase el </w:t>
      </w:r>
      <w:r>
        <w:rPr>
          <w:szCs w:val="17"/>
        </w:rPr>
        <w:t>d</w:t>
      </w:r>
      <w:r w:rsidRPr="000E14E6">
        <w:rPr>
          <w:szCs w:val="17"/>
        </w:rPr>
        <w:t xml:space="preserve">ocumento del Consejo de Europa CPT/Inf (2014) 15, párr. </w:t>
      </w:r>
      <w:r w:rsidRPr="000E14E6">
        <w:rPr>
          <w:szCs w:val="17"/>
          <w:lang w:val="fr-CH"/>
        </w:rPr>
        <w:t>98.</w:t>
      </w:r>
    </w:p>
  </w:footnote>
  <w:footnote w:id="21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lang w:val="fr-CH"/>
        </w:rPr>
        <w:tab/>
      </w:r>
      <w:r w:rsidRPr="000E14E6">
        <w:rPr>
          <w:rStyle w:val="FootnoteReference"/>
          <w:szCs w:val="17"/>
        </w:rPr>
        <w:footnoteRef/>
      </w:r>
      <w:r w:rsidRPr="000E14E6">
        <w:rPr>
          <w:szCs w:val="17"/>
          <w:lang w:val="fr-CH"/>
        </w:rPr>
        <w:tab/>
        <w:t>Véase www.ohchr.org/Documents/Issues/RuleOfLaw/Overincarceration/Germany.pdf.</w:t>
      </w:r>
    </w:p>
  </w:footnote>
  <w:footnote w:id="21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lang w:val="fr-CH"/>
        </w:rPr>
        <w:tab/>
      </w:r>
      <w:r w:rsidRPr="000E14E6">
        <w:rPr>
          <w:rStyle w:val="FootnoteReference"/>
          <w:szCs w:val="17"/>
        </w:rPr>
        <w:footnoteRef/>
      </w:r>
      <w:r w:rsidRPr="000E14E6">
        <w:rPr>
          <w:szCs w:val="17"/>
          <w:lang w:val="fr-CH"/>
        </w:rPr>
        <w:tab/>
        <w:t>Véase www.ohchr.org/Documents/Issues/RuleOfLaw/Overincarceration/OPO_Finland.pdf.</w:t>
      </w:r>
    </w:p>
  </w:footnote>
  <w:footnote w:id="21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lang w:val="fr-CH"/>
        </w:rPr>
        <w:tab/>
      </w:r>
      <w:r w:rsidRPr="000E14E6">
        <w:rPr>
          <w:rStyle w:val="FootnoteReference"/>
          <w:szCs w:val="17"/>
        </w:rPr>
        <w:footnoteRef/>
      </w:r>
      <w:r w:rsidRPr="000E14E6">
        <w:rPr>
          <w:szCs w:val="17"/>
          <w:lang w:val="fr-CH"/>
        </w:rPr>
        <w:tab/>
        <w:t>Véase A/HRC/25/60/Add.1, párr. 99.</w:t>
      </w:r>
    </w:p>
  </w:footnote>
  <w:footnote w:id="22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lang w:val="fr-CH"/>
        </w:rPr>
        <w:tab/>
      </w:r>
      <w:r w:rsidRPr="000E14E6">
        <w:rPr>
          <w:rStyle w:val="FootnoteReference"/>
          <w:szCs w:val="17"/>
        </w:rPr>
        <w:footnoteRef/>
      </w:r>
      <w:r w:rsidRPr="000E14E6">
        <w:rPr>
          <w:szCs w:val="17"/>
          <w:lang w:val="fr-CH"/>
        </w:rPr>
        <w:tab/>
        <w:t>Véase A/HRC/25/60/Add.1, párr. 99.</w:t>
      </w:r>
    </w:p>
  </w:footnote>
  <w:footnote w:id="22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fr-CH"/>
        </w:rPr>
        <w:tab/>
      </w:r>
      <w:r w:rsidRPr="000E14E6">
        <w:rPr>
          <w:rStyle w:val="FootnoteReference"/>
          <w:szCs w:val="17"/>
        </w:rPr>
        <w:footnoteRef/>
      </w:r>
      <w:r w:rsidRPr="005E171C">
        <w:rPr>
          <w:szCs w:val="17"/>
          <w:lang w:val="fr-CH"/>
        </w:rPr>
        <w:tab/>
        <w:t xml:space="preserve">Véanse CRC/C/AZE/CO/3-4, párr. </w:t>
      </w:r>
      <w:r w:rsidRPr="000E14E6">
        <w:rPr>
          <w:szCs w:val="17"/>
        </w:rPr>
        <w:t>75</w:t>
      </w:r>
      <w:r w:rsidR="004C1F3A">
        <w:rPr>
          <w:szCs w:val="17"/>
        </w:rPr>
        <w:t>;</w:t>
      </w:r>
      <w:r w:rsidRPr="000E14E6">
        <w:rPr>
          <w:szCs w:val="17"/>
        </w:rPr>
        <w:t xml:space="preserve"> A/HRC/22/53/Add.2, párr. 92</w:t>
      </w:r>
      <w:r w:rsidR="004C1F3A">
        <w:rPr>
          <w:szCs w:val="17"/>
        </w:rPr>
        <w:t>;</w:t>
      </w:r>
      <w:r w:rsidRPr="000E14E6">
        <w:rPr>
          <w:szCs w:val="17"/>
        </w:rPr>
        <w:t xml:space="preserve"> A/HRC/28/68, párr. 39</w:t>
      </w:r>
      <w:r w:rsidR="004C1F3A">
        <w:rPr>
          <w:szCs w:val="17"/>
        </w:rPr>
        <w:t>;</w:t>
      </w:r>
      <w:r w:rsidRPr="000E14E6">
        <w:rPr>
          <w:szCs w:val="17"/>
        </w:rPr>
        <w:t xml:space="preserve"> y www.ohchr.org/Documents/Issues/RuleOfLaw/Overincarceration/QUNO.pdf.</w:t>
      </w:r>
    </w:p>
  </w:footnote>
  <w:footnote w:id="222">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rPr>
        <w:tab/>
      </w:r>
      <w:r w:rsidRPr="000E14E6">
        <w:rPr>
          <w:rStyle w:val="FootnoteReference"/>
          <w:szCs w:val="17"/>
        </w:rPr>
        <w:footnoteRef/>
      </w:r>
      <w:r w:rsidRPr="000E14E6">
        <w:rPr>
          <w:szCs w:val="17"/>
          <w:lang w:val="fr-CH"/>
        </w:rPr>
        <w:tab/>
        <w:t>Véase www.ohchr.org/Documents/Issues/RuleOfLaw/Overincarceration/CNDH_Mexico.pdf.</w:t>
      </w:r>
    </w:p>
  </w:footnote>
  <w:footnote w:id="22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lang w:val="fr-CH"/>
        </w:rPr>
        <w:tab/>
      </w:r>
      <w:r w:rsidRPr="000E14E6">
        <w:rPr>
          <w:rStyle w:val="FootnoteReference"/>
          <w:szCs w:val="17"/>
        </w:rPr>
        <w:footnoteRef/>
      </w:r>
      <w:r w:rsidRPr="000E14E6">
        <w:rPr>
          <w:szCs w:val="17"/>
          <w:lang w:val="fr-CH"/>
        </w:rPr>
        <w:tab/>
        <w:t>Véase www.ohchr.org/Documents/Issues/RuleOfLaw/Overincarceration/NCHR_Slovakia.pdf.</w:t>
      </w:r>
    </w:p>
  </w:footnote>
  <w:footnote w:id="22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fr-CH"/>
        </w:rPr>
        <w:tab/>
      </w:r>
      <w:r w:rsidRPr="000E14E6">
        <w:rPr>
          <w:rStyle w:val="FootnoteReference"/>
          <w:szCs w:val="17"/>
        </w:rPr>
        <w:footnoteRef/>
      </w:r>
      <w:r w:rsidRPr="000E14E6">
        <w:rPr>
          <w:szCs w:val="17"/>
        </w:rPr>
        <w:tab/>
        <w:t>Véa</w:t>
      </w:r>
      <w:r>
        <w:rPr>
          <w:szCs w:val="17"/>
        </w:rPr>
        <w:t>n</w:t>
      </w:r>
      <w:r w:rsidRPr="000E14E6">
        <w:rPr>
          <w:szCs w:val="17"/>
        </w:rPr>
        <w:t>se E/CN.4/2006/7, párr. 63, y CAT/OP/MDV/1, párr. 220.</w:t>
      </w:r>
    </w:p>
  </w:footnote>
  <w:footnote w:id="22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CAT/C/MDA/CO/2, párr. 18.</w:t>
      </w:r>
    </w:p>
  </w:footnote>
  <w:footnote w:id="226">
    <w:p w:rsidR="005E171C" w:rsidRPr="004C1F3A"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Véase el documento del Consejo de Europa CPT/Inf (2014) 15, párr. </w:t>
      </w:r>
      <w:r w:rsidRPr="004C1F3A">
        <w:rPr>
          <w:szCs w:val="17"/>
        </w:rPr>
        <w:t>98</w:t>
      </w:r>
      <w:r w:rsidR="004C1F3A" w:rsidRPr="004C1F3A">
        <w:rPr>
          <w:szCs w:val="17"/>
        </w:rPr>
        <w:t>.</w:t>
      </w:r>
    </w:p>
  </w:footnote>
  <w:footnote w:id="227">
    <w:p w:rsidR="005E171C" w:rsidRPr="004C1F3A"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4C1F3A">
        <w:rPr>
          <w:szCs w:val="17"/>
        </w:rPr>
        <w:tab/>
      </w:r>
      <w:r w:rsidRPr="000E14E6">
        <w:rPr>
          <w:rStyle w:val="FootnoteReference"/>
          <w:szCs w:val="17"/>
        </w:rPr>
        <w:footnoteRef/>
      </w:r>
      <w:r w:rsidRPr="004C1F3A">
        <w:rPr>
          <w:szCs w:val="17"/>
        </w:rPr>
        <w:tab/>
        <w:t xml:space="preserve">Véase www.ohchr.org/Documents/Issues/RuleOfLaw/Overincarceration/RussianFederation.pdf, </w:t>
      </w:r>
      <w:r w:rsidR="004C1F3A" w:rsidRPr="004C1F3A">
        <w:rPr>
          <w:szCs w:val="17"/>
        </w:rPr>
        <w:t>y</w:t>
      </w:r>
      <w:r w:rsidRPr="004C1F3A">
        <w:rPr>
          <w:szCs w:val="17"/>
        </w:rPr>
        <w:t xml:space="preserve"> www.ohchr.org/Documents/Issues/RuleOfLaw/Overincarceration/Kazakhstan.pdf.</w:t>
      </w:r>
    </w:p>
  </w:footnote>
  <w:footnote w:id="22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en-US"/>
        </w:rPr>
      </w:pPr>
      <w:r w:rsidRPr="004C1F3A">
        <w:rPr>
          <w:szCs w:val="17"/>
        </w:rPr>
        <w:tab/>
      </w:r>
      <w:r w:rsidRPr="000E14E6">
        <w:rPr>
          <w:rStyle w:val="FootnoteReference"/>
          <w:szCs w:val="17"/>
        </w:rPr>
        <w:footnoteRef/>
      </w:r>
      <w:r w:rsidRPr="000E14E6">
        <w:rPr>
          <w:szCs w:val="17"/>
          <w:lang w:val="en-US"/>
        </w:rPr>
        <w:tab/>
        <w:t>Véase A/HRC/25/60/Add.1, párr. 84.</w:t>
      </w:r>
    </w:p>
  </w:footnote>
  <w:footnote w:id="22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en-US"/>
        </w:rPr>
        <w:tab/>
      </w:r>
      <w:r w:rsidRPr="000E14E6">
        <w:rPr>
          <w:rStyle w:val="FootnoteReference"/>
          <w:szCs w:val="17"/>
        </w:rPr>
        <w:footnoteRef/>
      </w:r>
      <w:r w:rsidRPr="000E14E6">
        <w:rPr>
          <w:szCs w:val="17"/>
          <w:lang w:val="en-US"/>
        </w:rPr>
        <w:tab/>
        <w:t xml:space="preserve">Véanse A/HRC/25/60/Add.1, párr. </w:t>
      </w:r>
      <w:r w:rsidRPr="000E14E6">
        <w:rPr>
          <w:szCs w:val="17"/>
        </w:rPr>
        <w:t>99</w:t>
      </w:r>
      <w:r w:rsidR="004C1F3A">
        <w:rPr>
          <w:szCs w:val="17"/>
        </w:rPr>
        <w:t>;</w:t>
      </w:r>
      <w:r w:rsidRPr="000E14E6">
        <w:rPr>
          <w:szCs w:val="17"/>
        </w:rPr>
        <w:t xml:space="preserve"> y </w:t>
      </w:r>
      <w:r>
        <w:rPr>
          <w:szCs w:val="17"/>
        </w:rPr>
        <w:t xml:space="preserve">el </w:t>
      </w:r>
      <w:r w:rsidRPr="000E14E6">
        <w:rPr>
          <w:szCs w:val="17"/>
        </w:rPr>
        <w:t xml:space="preserve">documento del Consejo de Europa CPT/Inf (2015) 12, párr. 44. Véase también </w:t>
      </w:r>
      <w:hyperlink r:id="rId21" w:history="1">
        <w:r w:rsidRPr="000E14E6">
          <w:rPr>
            <w:rStyle w:val="Hyperlink"/>
            <w:szCs w:val="17"/>
          </w:rPr>
          <w:t>www.achpr.org/files/sessions/37th/mission-reports/prisons-2004/misrep_</w:t>
        </w:r>
        <w:r>
          <w:rPr>
            <w:rStyle w:val="Hyperlink"/>
            <w:szCs w:val="17"/>
          </w:rPr>
          <w:br/>
        </w:r>
        <w:r w:rsidRPr="000E14E6">
          <w:rPr>
            <w:rStyle w:val="Hyperlink"/>
            <w:szCs w:val="17"/>
          </w:rPr>
          <w:t>specmec_priso_southafrica_2004_eng.pdf</w:t>
        </w:r>
      </w:hyperlink>
      <w:r w:rsidRPr="000E14E6">
        <w:rPr>
          <w:szCs w:val="17"/>
        </w:rPr>
        <w:t xml:space="preserve">, </w:t>
      </w:r>
      <w:r w:rsidR="004C1F3A">
        <w:rPr>
          <w:szCs w:val="17"/>
        </w:rPr>
        <w:t>capítulo</w:t>
      </w:r>
      <w:r w:rsidRPr="000E14E6">
        <w:rPr>
          <w:szCs w:val="17"/>
        </w:rPr>
        <w:t xml:space="preserve"> F</w:t>
      </w:r>
      <w:r w:rsidR="004C1F3A">
        <w:rPr>
          <w:szCs w:val="17"/>
        </w:rPr>
        <w:t xml:space="preserve"> </w:t>
      </w:r>
      <w:r w:rsidRPr="000E14E6">
        <w:rPr>
          <w:szCs w:val="17"/>
        </w:rPr>
        <w:t>i).</w:t>
      </w:r>
    </w:p>
  </w:footnote>
  <w:footnote w:id="23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 xml:space="preserve">Véase </w:t>
      </w:r>
      <w:r w:rsidRPr="000E14E6">
        <w:rPr>
          <w:i/>
          <w:iCs/>
          <w:szCs w:val="17"/>
        </w:rPr>
        <w:t>Vinter and others v. U.K.</w:t>
      </w:r>
      <w:r w:rsidRPr="000E14E6">
        <w:rPr>
          <w:iCs/>
          <w:szCs w:val="17"/>
        </w:rPr>
        <w:t>,</w:t>
      </w:r>
      <w:r w:rsidRPr="000E14E6">
        <w:rPr>
          <w:i/>
          <w:iCs/>
          <w:szCs w:val="17"/>
        </w:rPr>
        <w:t xml:space="preserve"> </w:t>
      </w:r>
      <w:r w:rsidRPr="000E14E6">
        <w:rPr>
          <w:szCs w:val="17"/>
          <w:lang w:val="lv-LV" w:eastAsia="lv-LV"/>
        </w:rPr>
        <w:t xml:space="preserve">sentencia del Tribunal Europeo de Derechos Humanos </w:t>
      </w:r>
      <w:r w:rsidRPr="000E14E6">
        <w:rPr>
          <w:szCs w:val="17"/>
        </w:rPr>
        <w:t>(2013).</w:t>
      </w:r>
    </w:p>
  </w:footnote>
  <w:footnote w:id="23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lang w:val="en-US"/>
        </w:rPr>
        <w:tab/>
        <w:t xml:space="preserve">Véanse CAT/OP/MLI/1, párr. 67; CAT/OP/BEN/1, párr. </w:t>
      </w:r>
      <w:r w:rsidRPr="000E14E6">
        <w:rPr>
          <w:szCs w:val="17"/>
        </w:rPr>
        <w:t>151; y CAT/C/GBR/CO/5, párr. 31. Véanse también www.achpr.org/files/sessions/52nd/inter-act-reps/185/activty_</w:t>
      </w:r>
      <w:r>
        <w:rPr>
          <w:szCs w:val="17"/>
        </w:rPr>
        <w:br/>
      </w:r>
      <w:r w:rsidRPr="000E14E6">
        <w:rPr>
          <w:szCs w:val="17"/>
        </w:rPr>
        <w:t>report_prisons_eng.pdf</w:t>
      </w:r>
      <w:r w:rsidRPr="000E14E6">
        <w:rPr>
          <w:szCs w:val="17"/>
          <w:lang w:val="lv-LV" w:eastAsia="lv-LV"/>
        </w:rPr>
        <w:t xml:space="preserve">, págs. </w:t>
      </w:r>
      <w:r w:rsidRPr="000E14E6">
        <w:rPr>
          <w:szCs w:val="17"/>
        </w:rPr>
        <w:t>21 y 22; www.ohchr.org/Documents/Issues/RuleOfLaw/</w:t>
      </w:r>
      <w:r>
        <w:rPr>
          <w:szCs w:val="17"/>
        </w:rPr>
        <w:br/>
      </w:r>
      <w:r w:rsidRPr="000E14E6">
        <w:rPr>
          <w:szCs w:val="17"/>
        </w:rPr>
        <w:t>Overincarceration/CHR_Philippines.pdf; www.ohchr.org/Documents/Issues/RuleOfLaw/</w:t>
      </w:r>
      <w:r>
        <w:rPr>
          <w:szCs w:val="17"/>
        </w:rPr>
        <w:br/>
      </w:r>
      <w:r w:rsidRPr="000E14E6">
        <w:rPr>
          <w:szCs w:val="17"/>
        </w:rPr>
        <w:t>Overincarceration/SUHAKAM_Malaysia.pdf; y www.ohchr.org/Documents/Issues/</w:t>
      </w:r>
      <w:r>
        <w:rPr>
          <w:szCs w:val="17"/>
        </w:rPr>
        <w:br/>
      </w:r>
      <w:r w:rsidRPr="000E14E6">
        <w:rPr>
          <w:szCs w:val="17"/>
        </w:rPr>
        <w:t>RuleOfLaw/Overincarceration/RussianFederation.pdf.</w:t>
      </w:r>
    </w:p>
  </w:footnote>
  <w:footnote w:id="232">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CEDAW/C/BRA/CO/7, párr. 32.</w:t>
      </w:r>
    </w:p>
  </w:footnote>
  <w:footnote w:id="23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Véanse los documentos del Consejo de Europa CPT/Inf (2015) 12, párr. 44; CPT/Inf (2015) 6, párr. 46; y www.ohchr.org/Documents/Issues/RuleOfLaw/Overincarceration/ElSalvador.pdf.</w:t>
      </w:r>
    </w:p>
  </w:footnote>
  <w:footnote w:id="234">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rPr>
        <w:tab/>
      </w:r>
      <w:r w:rsidRPr="000E14E6">
        <w:rPr>
          <w:rStyle w:val="FootnoteReference"/>
          <w:szCs w:val="17"/>
        </w:rPr>
        <w:footnoteRef/>
      </w:r>
      <w:r w:rsidRPr="000E14E6">
        <w:rPr>
          <w:szCs w:val="17"/>
          <w:lang w:val="fr-CH"/>
        </w:rPr>
        <w:tab/>
        <w:t>Véase www.ohchr.org/Documents/Issues/RuleOfLaw/OverIncarceration/UNODC.pdf.</w:t>
      </w:r>
    </w:p>
  </w:footnote>
  <w:footnote w:id="23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fr-CH"/>
        </w:rPr>
        <w:tab/>
      </w:r>
      <w:r w:rsidRPr="000E14E6">
        <w:rPr>
          <w:rStyle w:val="FootnoteReference"/>
          <w:szCs w:val="17"/>
        </w:rPr>
        <w:footnoteRef/>
      </w:r>
      <w:r w:rsidRPr="000E14E6">
        <w:rPr>
          <w:szCs w:val="17"/>
        </w:rPr>
        <w:tab/>
        <w:t>Véa</w:t>
      </w:r>
      <w:r w:rsidR="004C1F3A">
        <w:rPr>
          <w:szCs w:val="17"/>
        </w:rPr>
        <w:t>n</w:t>
      </w:r>
      <w:r w:rsidRPr="000E14E6">
        <w:rPr>
          <w:szCs w:val="17"/>
        </w:rPr>
        <w:t xml:space="preserve">se </w:t>
      </w:r>
      <w:r w:rsidRPr="000E14E6">
        <w:rPr>
          <w:bCs/>
          <w:szCs w:val="17"/>
          <w:lang w:val="lv-LV" w:eastAsia="lv-LV"/>
        </w:rPr>
        <w:t>CAT/OP/NZL/1, párrs. 33 y 34</w:t>
      </w:r>
      <w:r w:rsidR="004C1F3A">
        <w:rPr>
          <w:bCs/>
          <w:szCs w:val="17"/>
          <w:lang w:val="lv-LV" w:eastAsia="lv-LV"/>
        </w:rPr>
        <w:t>;</w:t>
      </w:r>
      <w:r w:rsidRPr="000E14E6">
        <w:rPr>
          <w:bCs/>
          <w:szCs w:val="17"/>
          <w:lang w:val="lv-LV" w:eastAsia="lv-LV"/>
        </w:rPr>
        <w:t xml:space="preserve"> y </w:t>
      </w:r>
      <w:r w:rsidRPr="000E14E6">
        <w:rPr>
          <w:szCs w:val="17"/>
        </w:rPr>
        <w:t>www.ohchr.org/Documents/Issues/RuleOfLaw/</w:t>
      </w:r>
      <w:r>
        <w:rPr>
          <w:szCs w:val="17"/>
        </w:rPr>
        <w:br/>
      </w:r>
      <w:r w:rsidRPr="000E14E6">
        <w:rPr>
          <w:szCs w:val="17"/>
        </w:rPr>
        <w:t>OverIncarceration/UNODC.pdf</w:t>
      </w:r>
      <w:r w:rsidRPr="000E14E6">
        <w:rPr>
          <w:bCs/>
          <w:szCs w:val="17"/>
          <w:lang w:val="lv-LV" w:eastAsia="lv-LV"/>
        </w:rPr>
        <w:t>.</w:t>
      </w:r>
    </w:p>
  </w:footnote>
  <w:footnote w:id="23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lang w:val="en-US"/>
        </w:rPr>
        <w:tab/>
        <w:t xml:space="preserve">Véase CAT/OP/MDV/1, párr. </w:t>
      </w:r>
      <w:r w:rsidRPr="000E14E6">
        <w:rPr>
          <w:szCs w:val="17"/>
        </w:rPr>
        <w:t>220.</w:t>
      </w:r>
    </w:p>
  </w:footnote>
  <w:footnote w:id="237">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www.achpr.org/files/sessions/52nd/inter-act-reps/185/activ</w:t>
      </w:r>
      <w:r>
        <w:rPr>
          <w:szCs w:val="17"/>
        </w:rPr>
        <w:t>ty_report_prisons_eng.pdf, pág. </w:t>
      </w:r>
      <w:r w:rsidRPr="000E14E6">
        <w:rPr>
          <w:szCs w:val="17"/>
        </w:rPr>
        <w:t>23.</w:t>
      </w:r>
    </w:p>
  </w:footnote>
  <w:footnote w:id="238">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el documento del Consejo de Europa CPT/Inf (2014) 15, párr. 100.</w:t>
      </w:r>
    </w:p>
  </w:footnote>
  <w:footnote w:id="239">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CAT/OP/MLI/1, párr. 29</w:t>
      </w:r>
      <w:r w:rsidR="004C1F3A">
        <w:rPr>
          <w:szCs w:val="17"/>
        </w:rPr>
        <w:t>;</w:t>
      </w:r>
      <w:r w:rsidRPr="000E14E6">
        <w:rPr>
          <w:szCs w:val="17"/>
        </w:rPr>
        <w:t xml:space="preserve"> y A/HRC/19/57, párr. 36.</w:t>
      </w:r>
    </w:p>
  </w:footnote>
  <w:footnote w:id="240">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Véase www.ohchr.org/EN/NewsEvents/Pages/DisplayNews.aspx?NewsID=16257&amp;LangID=E.</w:t>
      </w:r>
    </w:p>
  </w:footnote>
  <w:footnote w:id="241">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lang w:val="fr-CH"/>
        </w:rPr>
      </w:pPr>
      <w:r w:rsidRPr="000E14E6">
        <w:rPr>
          <w:szCs w:val="17"/>
        </w:rPr>
        <w:tab/>
      </w:r>
      <w:r w:rsidRPr="000E14E6">
        <w:rPr>
          <w:rStyle w:val="FootnoteReference"/>
          <w:szCs w:val="17"/>
        </w:rPr>
        <w:footnoteRef/>
      </w:r>
      <w:r w:rsidRPr="000E14E6">
        <w:rPr>
          <w:szCs w:val="17"/>
          <w:lang w:val="fr-CH"/>
        </w:rPr>
        <w:tab/>
        <w:t>Véase www.ohchr.org/Documents/Issues/RuleOfLaw/OverIncarceration/UNODC.pdf.</w:t>
      </w:r>
    </w:p>
  </w:footnote>
  <w:footnote w:id="242">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lang w:val="fr-CH"/>
        </w:rPr>
        <w:tab/>
      </w:r>
      <w:r w:rsidRPr="000E14E6">
        <w:rPr>
          <w:rStyle w:val="FootnoteReference"/>
          <w:szCs w:val="17"/>
        </w:rPr>
        <w:footnoteRef/>
      </w:r>
      <w:r w:rsidRPr="000E14E6">
        <w:rPr>
          <w:szCs w:val="17"/>
          <w:lang w:val="en-US"/>
        </w:rPr>
        <w:tab/>
        <w:t>Véanse A/HRC/25/60/Add.1, párr. 39</w:t>
      </w:r>
      <w:r w:rsidR="004C1F3A">
        <w:rPr>
          <w:szCs w:val="17"/>
          <w:lang w:val="en-US"/>
        </w:rPr>
        <w:t>;</w:t>
      </w:r>
      <w:r w:rsidRPr="000E14E6">
        <w:rPr>
          <w:szCs w:val="17"/>
          <w:lang w:val="en-US"/>
        </w:rPr>
        <w:t xml:space="preserve"> CAT/C/IRL/CO/1, párr. </w:t>
      </w:r>
      <w:r w:rsidRPr="000E14E6">
        <w:rPr>
          <w:szCs w:val="17"/>
        </w:rPr>
        <w:t>11</w:t>
      </w:r>
      <w:r w:rsidR="004C1F3A">
        <w:rPr>
          <w:szCs w:val="17"/>
        </w:rPr>
        <w:t>;</w:t>
      </w:r>
      <w:r>
        <w:rPr>
          <w:szCs w:val="17"/>
        </w:rPr>
        <w:t xml:space="preserve"> y CCPR/C/KAZ/CO/1, párr. </w:t>
      </w:r>
      <w:r w:rsidRPr="000E14E6">
        <w:rPr>
          <w:szCs w:val="17"/>
        </w:rPr>
        <w:t>17. Véase también www.ohchr.org/Documents/Issues/RuleOfLaw/Overincarceration/</w:t>
      </w:r>
      <w:r>
        <w:rPr>
          <w:szCs w:val="17"/>
        </w:rPr>
        <w:br/>
      </w:r>
      <w:r w:rsidRPr="000E14E6">
        <w:rPr>
          <w:szCs w:val="17"/>
        </w:rPr>
        <w:t>LICAMDH_Cameroon.pdf.</w:t>
      </w:r>
    </w:p>
  </w:footnote>
  <w:footnote w:id="243">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lang w:val="en-US"/>
        </w:rPr>
        <w:tab/>
        <w:t>CCPR/C/AGO/CO/1, párr. 19</w:t>
      </w:r>
      <w:r w:rsidR="004C1F3A">
        <w:rPr>
          <w:szCs w:val="17"/>
          <w:lang w:val="en-US"/>
        </w:rPr>
        <w:t>;</w:t>
      </w:r>
      <w:r w:rsidRPr="000E14E6">
        <w:rPr>
          <w:szCs w:val="17"/>
          <w:lang w:val="en-US"/>
        </w:rPr>
        <w:t xml:space="preserve"> CCPR/C/BDI/CO/2, párr. </w:t>
      </w:r>
      <w:r w:rsidRPr="000E14E6">
        <w:rPr>
          <w:szCs w:val="17"/>
        </w:rPr>
        <w:t>18</w:t>
      </w:r>
      <w:r w:rsidR="004C1F3A">
        <w:rPr>
          <w:szCs w:val="17"/>
        </w:rPr>
        <w:t>;</w:t>
      </w:r>
      <w:r w:rsidRPr="000E14E6">
        <w:rPr>
          <w:szCs w:val="17"/>
        </w:rPr>
        <w:t xml:space="preserve"> y CCPR/C/TCD/CO/2, párr. 18.</w:t>
      </w:r>
    </w:p>
  </w:footnote>
  <w:footnote w:id="244">
    <w:p w:rsidR="005E171C" w:rsidRPr="00F929C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F929C6">
        <w:rPr>
          <w:szCs w:val="17"/>
        </w:rPr>
        <w:tab/>
        <w:t>E/CN.15/2015/L.6/Rev.1, anexo, Principio 1.</w:t>
      </w:r>
    </w:p>
  </w:footnote>
  <w:footnote w:id="245">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0E14E6">
        <w:rPr>
          <w:rStyle w:val="FootnoteReference"/>
          <w:szCs w:val="17"/>
        </w:rPr>
        <w:footnoteRef/>
      </w:r>
      <w:r w:rsidRPr="000E14E6">
        <w:rPr>
          <w:szCs w:val="17"/>
        </w:rPr>
        <w:tab/>
        <w:t>A/68/295, párr. 86.</w:t>
      </w:r>
    </w:p>
  </w:footnote>
  <w:footnote w:id="246">
    <w:p w:rsidR="005E171C" w:rsidRPr="000E14E6" w:rsidRDefault="005E171C" w:rsidP="00FA6C6A">
      <w:pPr>
        <w:pStyle w:val="FootnoteText"/>
        <w:tabs>
          <w:tab w:val="clear" w:pos="418"/>
          <w:tab w:val="right" w:pos="1195"/>
          <w:tab w:val="left" w:pos="1267"/>
          <w:tab w:val="left" w:pos="1742"/>
          <w:tab w:val="left" w:pos="2218"/>
          <w:tab w:val="left" w:pos="2693"/>
        </w:tabs>
        <w:ind w:left="1267" w:right="1267" w:hanging="432"/>
        <w:rPr>
          <w:szCs w:val="17"/>
        </w:rPr>
      </w:pPr>
      <w:r w:rsidRPr="000E14E6">
        <w:rPr>
          <w:szCs w:val="17"/>
        </w:rPr>
        <w:tab/>
      </w:r>
      <w:r w:rsidRPr="00F929C6">
        <w:rPr>
          <w:rStyle w:val="FootnoteReference"/>
          <w:szCs w:val="17"/>
        </w:rPr>
        <w:footnoteRef/>
      </w:r>
      <w:r w:rsidRPr="000E14E6">
        <w:rPr>
          <w:szCs w:val="17"/>
        </w:rPr>
        <w:tab/>
        <w:t>A/HRC/11/8, párr.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E171C" w:rsidTr="009B0CE3">
      <w:trPr>
        <w:trHeight w:hRule="exact" w:val="864"/>
        <w:jc w:val="center"/>
      </w:trPr>
      <w:tc>
        <w:tcPr>
          <w:tcW w:w="4882" w:type="dxa"/>
          <w:shd w:val="clear" w:color="auto" w:fill="auto"/>
          <w:vAlign w:val="bottom"/>
        </w:tcPr>
        <w:p w:rsidR="005E171C" w:rsidRPr="009B0CE3" w:rsidRDefault="005E171C" w:rsidP="009B0CE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778CC">
            <w:rPr>
              <w:b/>
              <w:color w:val="000000"/>
            </w:rPr>
            <w:t>A/HRC/30/19</w:t>
          </w:r>
          <w:r>
            <w:rPr>
              <w:b/>
              <w:color w:val="000000"/>
            </w:rPr>
            <w:fldChar w:fldCharType="end"/>
          </w:r>
        </w:p>
      </w:tc>
      <w:tc>
        <w:tcPr>
          <w:tcW w:w="5127" w:type="dxa"/>
          <w:shd w:val="clear" w:color="auto" w:fill="auto"/>
          <w:vAlign w:val="bottom"/>
        </w:tcPr>
        <w:p w:rsidR="005E171C" w:rsidRDefault="005E171C" w:rsidP="009B0CE3">
          <w:pPr>
            <w:pStyle w:val="Header"/>
          </w:pPr>
        </w:p>
      </w:tc>
    </w:tr>
  </w:tbl>
  <w:p w:rsidR="005E171C" w:rsidRPr="009B0CE3" w:rsidRDefault="005E171C" w:rsidP="009B0CE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E171C" w:rsidTr="009B0CE3">
      <w:trPr>
        <w:trHeight w:hRule="exact" w:val="864"/>
        <w:jc w:val="center"/>
      </w:trPr>
      <w:tc>
        <w:tcPr>
          <w:tcW w:w="4882" w:type="dxa"/>
          <w:shd w:val="clear" w:color="auto" w:fill="auto"/>
          <w:vAlign w:val="bottom"/>
        </w:tcPr>
        <w:p w:rsidR="005E171C" w:rsidRDefault="005E171C" w:rsidP="009B0CE3">
          <w:pPr>
            <w:pStyle w:val="Header"/>
          </w:pPr>
        </w:p>
      </w:tc>
      <w:tc>
        <w:tcPr>
          <w:tcW w:w="5127" w:type="dxa"/>
          <w:shd w:val="clear" w:color="auto" w:fill="auto"/>
          <w:vAlign w:val="bottom"/>
        </w:tcPr>
        <w:p w:rsidR="005E171C" w:rsidRPr="009B0CE3" w:rsidRDefault="005E171C" w:rsidP="009B0CE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778CC">
            <w:rPr>
              <w:b/>
              <w:color w:val="000000"/>
            </w:rPr>
            <w:t>A/HRC/30/19</w:t>
          </w:r>
          <w:r>
            <w:rPr>
              <w:b/>
              <w:color w:val="000000"/>
            </w:rPr>
            <w:fldChar w:fldCharType="end"/>
          </w:r>
        </w:p>
      </w:tc>
    </w:tr>
  </w:tbl>
  <w:p w:rsidR="005E171C" w:rsidRPr="009B0CE3" w:rsidRDefault="005E171C" w:rsidP="009B0CE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5E171C" w:rsidTr="009B0CE3">
      <w:trPr>
        <w:trHeight w:hRule="exact" w:val="864"/>
      </w:trPr>
      <w:tc>
        <w:tcPr>
          <w:tcW w:w="1267" w:type="dxa"/>
          <w:tcBorders>
            <w:bottom w:val="single" w:sz="4" w:space="0" w:color="auto"/>
          </w:tcBorders>
          <w:shd w:val="clear" w:color="auto" w:fill="auto"/>
          <w:vAlign w:val="bottom"/>
        </w:tcPr>
        <w:p w:rsidR="005E171C" w:rsidRDefault="005E171C" w:rsidP="009B0CE3">
          <w:pPr>
            <w:pStyle w:val="Header"/>
            <w:spacing w:after="120"/>
          </w:pPr>
        </w:p>
      </w:tc>
      <w:tc>
        <w:tcPr>
          <w:tcW w:w="2059" w:type="dxa"/>
          <w:tcBorders>
            <w:bottom w:val="single" w:sz="4" w:space="0" w:color="auto"/>
          </w:tcBorders>
          <w:shd w:val="clear" w:color="auto" w:fill="auto"/>
          <w:vAlign w:val="bottom"/>
        </w:tcPr>
        <w:p w:rsidR="005E171C" w:rsidRPr="009B0CE3" w:rsidRDefault="005E171C" w:rsidP="009B0CE3">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5E171C" w:rsidRDefault="005E171C" w:rsidP="009B0CE3">
          <w:pPr>
            <w:pStyle w:val="Header"/>
            <w:spacing w:after="120"/>
          </w:pPr>
        </w:p>
      </w:tc>
      <w:tc>
        <w:tcPr>
          <w:tcW w:w="6653" w:type="dxa"/>
          <w:gridSpan w:val="4"/>
          <w:tcBorders>
            <w:bottom w:val="single" w:sz="4" w:space="0" w:color="auto"/>
          </w:tcBorders>
          <w:shd w:val="clear" w:color="auto" w:fill="auto"/>
          <w:vAlign w:val="bottom"/>
        </w:tcPr>
        <w:p w:rsidR="005E171C" w:rsidRPr="009B0CE3" w:rsidRDefault="005E171C" w:rsidP="009B0CE3">
          <w:pPr>
            <w:spacing w:after="80" w:line="240" w:lineRule="auto"/>
            <w:jc w:val="right"/>
            <w:rPr>
              <w:position w:val="-4"/>
            </w:rPr>
          </w:pPr>
          <w:r>
            <w:rPr>
              <w:position w:val="-4"/>
              <w:sz w:val="40"/>
            </w:rPr>
            <w:t>A</w:t>
          </w:r>
          <w:r>
            <w:rPr>
              <w:position w:val="-4"/>
            </w:rPr>
            <w:t>/HRC/30/19</w:t>
          </w:r>
        </w:p>
      </w:tc>
    </w:tr>
    <w:tr w:rsidR="005E171C" w:rsidRPr="009B0CE3" w:rsidTr="009B0CE3">
      <w:trPr>
        <w:gridAfter w:val="1"/>
        <w:wAfter w:w="18" w:type="dxa"/>
        <w:trHeight w:hRule="exact" w:val="2880"/>
      </w:trPr>
      <w:tc>
        <w:tcPr>
          <w:tcW w:w="1267" w:type="dxa"/>
          <w:tcBorders>
            <w:top w:val="single" w:sz="4" w:space="0" w:color="auto"/>
            <w:bottom w:val="single" w:sz="12" w:space="0" w:color="auto"/>
          </w:tcBorders>
          <w:shd w:val="clear" w:color="auto" w:fill="auto"/>
        </w:tcPr>
        <w:p w:rsidR="005E171C" w:rsidRPr="009B0CE3" w:rsidRDefault="005E171C" w:rsidP="009B0CE3">
          <w:pPr>
            <w:pStyle w:val="Header"/>
            <w:spacing w:before="120"/>
            <w:jc w:val="center"/>
          </w:pPr>
          <w:r>
            <w:t xml:space="preserve"> </w:t>
          </w:r>
          <w:r>
            <w:rPr>
              <w:lang w:val="en-GB" w:eastAsia="en-GB"/>
            </w:rPr>
            <w:drawing>
              <wp:inline distT="0" distB="0" distL="0" distR="0" wp14:anchorId="5441871F" wp14:editId="70E99D9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E171C" w:rsidRPr="009B0CE3" w:rsidRDefault="005E171C" w:rsidP="009B0CE3">
          <w:pPr>
            <w:pStyle w:val="XLarge"/>
            <w:spacing w:before="109"/>
          </w:pPr>
          <w:r>
            <w:t>Asamblea General</w:t>
          </w:r>
        </w:p>
      </w:tc>
      <w:tc>
        <w:tcPr>
          <w:tcW w:w="245" w:type="dxa"/>
          <w:tcBorders>
            <w:top w:val="single" w:sz="4" w:space="0" w:color="auto"/>
            <w:bottom w:val="single" w:sz="12" w:space="0" w:color="auto"/>
          </w:tcBorders>
          <w:shd w:val="clear" w:color="auto" w:fill="auto"/>
        </w:tcPr>
        <w:p w:rsidR="005E171C" w:rsidRPr="009B0CE3" w:rsidRDefault="005E171C" w:rsidP="009B0CE3">
          <w:pPr>
            <w:pStyle w:val="Header"/>
            <w:spacing w:before="109"/>
          </w:pPr>
        </w:p>
      </w:tc>
      <w:tc>
        <w:tcPr>
          <w:tcW w:w="3280" w:type="dxa"/>
          <w:tcBorders>
            <w:top w:val="single" w:sz="4" w:space="0" w:color="auto"/>
            <w:bottom w:val="single" w:sz="12" w:space="0" w:color="auto"/>
          </w:tcBorders>
          <w:shd w:val="clear" w:color="auto" w:fill="auto"/>
        </w:tcPr>
        <w:p w:rsidR="005E171C" w:rsidRDefault="005E171C" w:rsidP="009B0CE3">
          <w:pPr>
            <w:pStyle w:val="Distribution"/>
            <w:spacing w:before="240"/>
          </w:pPr>
          <w:r>
            <w:t>Distr. general</w:t>
          </w:r>
        </w:p>
        <w:p w:rsidR="005E171C" w:rsidRDefault="005E171C" w:rsidP="009B0CE3">
          <w:pPr>
            <w:pStyle w:val="Publication"/>
          </w:pPr>
          <w:r>
            <w:t>10 de agosto de 2015</w:t>
          </w:r>
        </w:p>
        <w:p w:rsidR="005E171C" w:rsidRDefault="005E171C" w:rsidP="009B0CE3">
          <w:r>
            <w:t>Español</w:t>
          </w:r>
        </w:p>
        <w:p w:rsidR="005E171C" w:rsidRDefault="005E171C" w:rsidP="009B0CE3">
          <w:pPr>
            <w:pStyle w:val="Original"/>
          </w:pPr>
          <w:r>
            <w:t>Original: inglés</w:t>
          </w:r>
        </w:p>
        <w:p w:rsidR="005E171C" w:rsidRPr="009B0CE3" w:rsidRDefault="005E171C" w:rsidP="009B0CE3"/>
      </w:tc>
    </w:tr>
  </w:tbl>
  <w:p w:rsidR="005E171C" w:rsidRPr="009B0CE3" w:rsidRDefault="005E171C" w:rsidP="009B0CE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8E3"/>
    <w:multiLevelType w:val="multilevel"/>
    <w:tmpl w:val="4A9465FC"/>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2B202486"/>
    <w:multiLevelType w:val="singleLevel"/>
    <w:tmpl w:val="0E5C2CF4"/>
    <w:lvl w:ilvl="0">
      <w:start w:val="1"/>
      <w:numFmt w:val="decimal"/>
      <w:lvlRestart w:val="0"/>
      <w:lvlText w:val="%1."/>
      <w:lvlJc w:val="left"/>
      <w:pPr>
        <w:tabs>
          <w:tab w:val="num" w:pos="475"/>
        </w:tabs>
        <w:ind w:left="0" w:firstLine="0"/>
      </w:pPr>
      <w:rPr>
        <w:b w:val="0"/>
        <w:spacing w:val="0"/>
        <w:w w:val="100"/>
      </w:rPr>
    </w:lvl>
  </w:abstractNum>
  <w:abstractNum w:abstractNumId="5">
    <w:nsid w:val="307371A6"/>
    <w:multiLevelType w:val="hybridMultilevel"/>
    <w:tmpl w:val="D728CC52"/>
    <w:lvl w:ilvl="0" w:tplc="AFF491DA">
      <w:start w:val="1"/>
      <w:numFmt w:val="upperLetter"/>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7">
    <w:nsid w:val="4EA12D69"/>
    <w:multiLevelType w:val="multilevel"/>
    <w:tmpl w:val="029685CE"/>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8">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3"/>
  </w:num>
  <w:num w:numId="6">
    <w:abstractNumId w:val="8"/>
  </w:num>
  <w:num w:numId="7">
    <w:abstractNumId w:val="7"/>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autoHyphenation/>
  <w:hyphenationZone w:val="20"/>
  <w:doNotHyphenateCaps/>
  <w:evenAndOddHeaders/>
  <w:drawingGridHorizontalSpacing w:val="82"/>
  <w:displayHorizontalDrawingGridEvery w:val="2"/>
  <w:displayVertic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463*"/>
    <w:docVar w:name="CreationDt" w:val="8/25/2015 3:21: PM"/>
    <w:docVar w:name="DocCategory" w:val="Doc"/>
    <w:docVar w:name="DocType" w:val="Final"/>
    <w:docVar w:name="DutyStation" w:val="Geneva"/>
    <w:docVar w:name="FooterJN" w:val="GE.15-13463"/>
    <w:docVar w:name="jobn" w:val="GE.15-13463 (S)"/>
    <w:docVar w:name="jobnDT" w:val="GE.15-13463 (S)   250815"/>
    <w:docVar w:name="jobnDTDT" w:val="GE.15-13463 (S)   250815   250815"/>
    <w:docVar w:name="JobNo" w:val="GE.1513463S"/>
    <w:docVar w:name="JobNo2" w:val="15177203:21: PM"/>
    <w:docVar w:name="LocalDrive" w:val="0"/>
    <w:docVar w:name="OandT" w:val="JR"/>
    <w:docVar w:name="PaperSize" w:val="A4"/>
    <w:docVar w:name="sss1" w:val="A/HRC/30/19"/>
    <w:docVar w:name="sss2" w:val="-"/>
    <w:docVar w:name="Symbol1" w:val="A/HRC/30/19"/>
    <w:docVar w:name="Symbol2" w:val="-"/>
  </w:docVars>
  <w:rsids>
    <w:rsidRoot w:val="00FD6154"/>
    <w:rsid w:val="0000104C"/>
    <w:rsid w:val="00001CC4"/>
    <w:rsid w:val="000025A2"/>
    <w:rsid w:val="00002B98"/>
    <w:rsid w:val="0000430F"/>
    <w:rsid w:val="00005995"/>
    <w:rsid w:val="00005AD7"/>
    <w:rsid w:val="0001023A"/>
    <w:rsid w:val="00011ED9"/>
    <w:rsid w:val="000145F1"/>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4A6"/>
    <w:rsid w:val="000D4A11"/>
    <w:rsid w:val="000D64ED"/>
    <w:rsid w:val="000D686E"/>
    <w:rsid w:val="000D6AB6"/>
    <w:rsid w:val="000E0699"/>
    <w:rsid w:val="000E14E6"/>
    <w:rsid w:val="000E297B"/>
    <w:rsid w:val="000E5000"/>
    <w:rsid w:val="000E551C"/>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36926"/>
    <w:rsid w:val="00140F45"/>
    <w:rsid w:val="0014228C"/>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09D"/>
    <w:rsid w:val="001A27A0"/>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D7D15"/>
    <w:rsid w:val="001E04C4"/>
    <w:rsid w:val="001E2641"/>
    <w:rsid w:val="001E290A"/>
    <w:rsid w:val="001E4835"/>
    <w:rsid w:val="001F0EC3"/>
    <w:rsid w:val="001F1D4C"/>
    <w:rsid w:val="001F2FC0"/>
    <w:rsid w:val="001F74B0"/>
    <w:rsid w:val="00200A61"/>
    <w:rsid w:val="00200B6A"/>
    <w:rsid w:val="0020684C"/>
    <w:rsid w:val="002070C6"/>
    <w:rsid w:val="00214AF3"/>
    <w:rsid w:val="00217E05"/>
    <w:rsid w:val="0022060C"/>
    <w:rsid w:val="002277C7"/>
    <w:rsid w:val="00227EDE"/>
    <w:rsid w:val="002345EA"/>
    <w:rsid w:val="00234E31"/>
    <w:rsid w:val="00242088"/>
    <w:rsid w:val="0024283D"/>
    <w:rsid w:val="00244CF4"/>
    <w:rsid w:val="00247894"/>
    <w:rsid w:val="00251995"/>
    <w:rsid w:val="0025615B"/>
    <w:rsid w:val="002566F2"/>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1157F"/>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81EC1"/>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162D9"/>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4A"/>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1F3A"/>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5EC8"/>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41C3"/>
    <w:rsid w:val="005B68DB"/>
    <w:rsid w:val="005C547D"/>
    <w:rsid w:val="005D1864"/>
    <w:rsid w:val="005D3721"/>
    <w:rsid w:val="005D63A4"/>
    <w:rsid w:val="005E171C"/>
    <w:rsid w:val="005E4F7D"/>
    <w:rsid w:val="005E6371"/>
    <w:rsid w:val="005E6B39"/>
    <w:rsid w:val="005F4603"/>
    <w:rsid w:val="005F6986"/>
    <w:rsid w:val="00601523"/>
    <w:rsid w:val="006111BB"/>
    <w:rsid w:val="0061177D"/>
    <w:rsid w:val="00612DA1"/>
    <w:rsid w:val="00614C74"/>
    <w:rsid w:val="00616088"/>
    <w:rsid w:val="006169F5"/>
    <w:rsid w:val="00620953"/>
    <w:rsid w:val="0062434D"/>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521F"/>
    <w:rsid w:val="00666B35"/>
    <w:rsid w:val="00671096"/>
    <w:rsid w:val="00672CCA"/>
    <w:rsid w:val="00677761"/>
    <w:rsid w:val="006778CC"/>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4030"/>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4F4D"/>
    <w:rsid w:val="00815287"/>
    <w:rsid w:val="00815EA8"/>
    <w:rsid w:val="00817D11"/>
    <w:rsid w:val="00820633"/>
    <w:rsid w:val="00821E34"/>
    <w:rsid w:val="00823340"/>
    <w:rsid w:val="00823BE3"/>
    <w:rsid w:val="00824B02"/>
    <w:rsid w:val="008305DF"/>
    <w:rsid w:val="00832268"/>
    <w:rsid w:val="00833B57"/>
    <w:rsid w:val="00834163"/>
    <w:rsid w:val="00834408"/>
    <w:rsid w:val="0083457C"/>
    <w:rsid w:val="008463C4"/>
    <w:rsid w:val="008466A7"/>
    <w:rsid w:val="00850504"/>
    <w:rsid w:val="00851723"/>
    <w:rsid w:val="008521F6"/>
    <w:rsid w:val="008539AC"/>
    <w:rsid w:val="00860B12"/>
    <w:rsid w:val="0086143E"/>
    <w:rsid w:val="008620C3"/>
    <w:rsid w:val="0086249C"/>
    <w:rsid w:val="00863869"/>
    <w:rsid w:val="00871928"/>
    <w:rsid w:val="00872139"/>
    <w:rsid w:val="00875415"/>
    <w:rsid w:val="00875F65"/>
    <w:rsid w:val="00880535"/>
    <w:rsid w:val="008841BB"/>
    <w:rsid w:val="00887F67"/>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4B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1AFE"/>
    <w:rsid w:val="009841BE"/>
    <w:rsid w:val="00984E6C"/>
    <w:rsid w:val="00991572"/>
    <w:rsid w:val="00995BD2"/>
    <w:rsid w:val="009A54AA"/>
    <w:rsid w:val="009A73EA"/>
    <w:rsid w:val="009A7735"/>
    <w:rsid w:val="009B0CE3"/>
    <w:rsid w:val="009B1C06"/>
    <w:rsid w:val="009B26B8"/>
    <w:rsid w:val="009B26E0"/>
    <w:rsid w:val="009B6140"/>
    <w:rsid w:val="009C0D3E"/>
    <w:rsid w:val="009C2086"/>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15F"/>
    <w:rsid w:val="00A4039A"/>
    <w:rsid w:val="00A40DA9"/>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AFF"/>
    <w:rsid w:val="00AE6D02"/>
    <w:rsid w:val="00AF0741"/>
    <w:rsid w:val="00AF1C63"/>
    <w:rsid w:val="00AF7054"/>
    <w:rsid w:val="00B1091A"/>
    <w:rsid w:val="00B11C44"/>
    <w:rsid w:val="00B151F5"/>
    <w:rsid w:val="00B232EC"/>
    <w:rsid w:val="00B308D0"/>
    <w:rsid w:val="00B31ABE"/>
    <w:rsid w:val="00B34BCE"/>
    <w:rsid w:val="00B35DD0"/>
    <w:rsid w:val="00B37494"/>
    <w:rsid w:val="00B40757"/>
    <w:rsid w:val="00B42469"/>
    <w:rsid w:val="00B426AB"/>
    <w:rsid w:val="00B44E52"/>
    <w:rsid w:val="00B47A82"/>
    <w:rsid w:val="00B57DFF"/>
    <w:rsid w:val="00B6163A"/>
    <w:rsid w:val="00B63CDA"/>
    <w:rsid w:val="00B73260"/>
    <w:rsid w:val="00B7700F"/>
    <w:rsid w:val="00B77D31"/>
    <w:rsid w:val="00B8368A"/>
    <w:rsid w:val="00B8621F"/>
    <w:rsid w:val="00B91514"/>
    <w:rsid w:val="00B9503A"/>
    <w:rsid w:val="00BA68A6"/>
    <w:rsid w:val="00BB0959"/>
    <w:rsid w:val="00BB23DE"/>
    <w:rsid w:val="00BC0F7D"/>
    <w:rsid w:val="00BC2142"/>
    <w:rsid w:val="00BC31B5"/>
    <w:rsid w:val="00BC40A4"/>
    <w:rsid w:val="00BC60F3"/>
    <w:rsid w:val="00BC7B5B"/>
    <w:rsid w:val="00BD1B2F"/>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363E"/>
    <w:rsid w:val="00C468A1"/>
    <w:rsid w:val="00C46E2F"/>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2CB"/>
    <w:rsid w:val="00CE1381"/>
    <w:rsid w:val="00CE2A43"/>
    <w:rsid w:val="00CE4E1A"/>
    <w:rsid w:val="00CF2770"/>
    <w:rsid w:val="00D00E66"/>
    <w:rsid w:val="00D02C41"/>
    <w:rsid w:val="00D037B1"/>
    <w:rsid w:val="00D051A5"/>
    <w:rsid w:val="00D139B1"/>
    <w:rsid w:val="00D15615"/>
    <w:rsid w:val="00D160AA"/>
    <w:rsid w:val="00D1714E"/>
    <w:rsid w:val="00D17B73"/>
    <w:rsid w:val="00D2412C"/>
    <w:rsid w:val="00D27C55"/>
    <w:rsid w:val="00D30E8B"/>
    <w:rsid w:val="00D316E6"/>
    <w:rsid w:val="00D36FEB"/>
    <w:rsid w:val="00D40561"/>
    <w:rsid w:val="00D42CA0"/>
    <w:rsid w:val="00D42E58"/>
    <w:rsid w:val="00D5080B"/>
    <w:rsid w:val="00D535F0"/>
    <w:rsid w:val="00D60200"/>
    <w:rsid w:val="00D6095D"/>
    <w:rsid w:val="00D61E42"/>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DF7A9F"/>
    <w:rsid w:val="00E0123F"/>
    <w:rsid w:val="00E01FF9"/>
    <w:rsid w:val="00E04ABB"/>
    <w:rsid w:val="00E054C0"/>
    <w:rsid w:val="00E05743"/>
    <w:rsid w:val="00E119D6"/>
    <w:rsid w:val="00E11A78"/>
    <w:rsid w:val="00E1561C"/>
    <w:rsid w:val="00E22845"/>
    <w:rsid w:val="00E241A1"/>
    <w:rsid w:val="00E26954"/>
    <w:rsid w:val="00E31D49"/>
    <w:rsid w:val="00E35244"/>
    <w:rsid w:val="00E3606D"/>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74924"/>
    <w:rsid w:val="00F82AFC"/>
    <w:rsid w:val="00F82B13"/>
    <w:rsid w:val="00F9064B"/>
    <w:rsid w:val="00F918A1"/>
    <w:rsid w:val="00F91BA8"/>
    <w:rsid w:val="00F920FD"/>
    <w:rsid w:val="00F929C6"/>
    <w:rsid w:val="00F92E1F"/>
    <w:rsid w:val="00F936E2"/>
    <w:rsid w:val="00F93DB3"/>
    <w:rsid w:val="00FA1384"/>
    <w:rsid w:val="00FA1E9A"/>
    <w:rsid w:val="00FA4010"/>
    <w:rsid w:val="00FA4383"/>
    <w:rsid w:val="00FA5E33"/>
    <w:rsid w:val="00FA6C6A"/>
    <w:rsid w:val="00FB255D"/>
    <w:rsid w:val="00FB2CE9"/>
    <w:rsid w:val="00FB3B6C"/>
    <w:rsid w:val="00FC4C00"/>
    <w:rsid w:val="00FD0A87"/>
    <w:rsid w:val="00FD17C3"/>
    <w:rsid w:val="00FD1A5F"/>
    <w:rsid w:val="00FD6154"/>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semiHidden/>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link w:val="EndnoteTextChar"/>
    <w:semiHidden/>
    <w:rsid w:val="000A1971"/>
    <w:pPr>
      <w:spacing w:after="80"/>
    </w:pPr>
  </w:style>
  <w:style w:type="paragraph" w:styleId="Footer">
    <w:name w:val="footer"/>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9B0CE3"/>
    <w:pPr>
      <w:spacing w:line="240" w:lineRule="auto"/>
    </w:pPr>
    <w:rPr>
      <w:szCs w:val="20"/>
    </w:rPr>
  </w:style>
  <w:style w:type="character" w:customStyle="1" w:styleId="CommentTextChar">
    <w:name w:val="Comment Text Char"/>
    <w:basedOn w:val="DefaultParagraphFont"/>
    <w:link w:val="CommentText"/>
    <w:rsid w:val="009B0CE3"/>
    <w:rPr>
      <w:rFonts w:ascii="Times New Roman" w:hAnsi="Times New Roman"/>
      <w:spacing w:val="4"/>
      <w:w w:val="103"/>
      <w:lang w:val="es-ES"/>
    </w:rPr>
  </w:style>
  <w:style w:type="paragraph" w:styleId="CommentSubject">
    <w:name w:val="annotation subject"/>
    <w:basedOn w:val="CommentText"/>
    <w:next w:val="CommentText"/>
    <w:link w:val="CommentSubjectChar"/>
    <w:rsid w:val="009B0CE3"/>
    <w:rPr>
      <w:b/>
      <w:bCs/>
    </w:rPr>
  </w:style>
  <w:style w:type="character" w:customStyle="1" w:styleId="CommentSubjectChar">
    <w:name w:val="Comment Subject Char"/>
    <w:basedOn w:val="CommentTextChar"/>
    <w:link w:val="CommentSubject"/>
    <w:rsid w:val="009B0CE3"/>
    <w:rPr>
      <w:rFonts w:ascii="Times New Roman" w:hAnsi="Times New Roman"/>
      <w:b/>
      <w:bCs/>
      <w:spacing w:val="4"/>
      <w:w w:val="103"/>
      <w:lang w:val="es-ES"/>
    </w:rPr>
  </w:style>
  <w:style w:type="character" w:customStyle="1" w:styleId="BalloonTextChar">
    <w:name w:val="Balloon Text Char"/>
    <w:basedOn w:val="DefaultParagraphFont"/>
    <w:link w:val="BalloonText"/>
    <w:semiHidden/>
    <w:rsid w:val="00B1091A"/>
    <w:rPr>
      <w:rFonts w:ascii="Tahoma" w:hAnsi="Tahoma" w:cs="Tahoma"/>
      <w:spacing w:val="4"/>
      <w:w w:val="103"/>
      <w:sz w:val="16"/>
      <w:szCs w:val="16"/>
      <w:lang w:val="es-ES"/>
    </w:rPr>
  </w:style>
  <w:style w:type="character" w:customStyle="1" w:styleId="FootnoteTextChar">
    <w:name w:val="Footnote Text Char"/>
    <w:basedOn w:val="DefaultParagraphFont"/>
    <w:link w:val="FootnoteText"/>
    <w:rsid w:val="00B1091A"/>
    <w:rPr>
      <w:rFonts w:ascii="Times New Roman" w:hAnsi="Times New Roman"/>
      <w:spacing w:val="5"/>
      <w:w w:val="104"/>
      <w:sz w:val="17"/>
      <w:szCs w:val="22"/>
      <w:lang w:val="es-ES"/>
    </w:rPr>
  </w:style>
  <w:style w:type="character" w:customStyle="1" w:styleId="EndnoteTextChar">
    <w:name w:val="Endnote Text Char"/>
    <w:basedOn w:val="DefaultParagraphFont"/>
    <w:link w:val="EndnoteText"/>
    <w:semiHidden/>
    <w:rsid w:val="00B1091A"/>
    <w:rPr>
      <w:rFonts w:ascii="Times New Roman" w:hAnsi="Times New Roman"/>
      <w:spacing w:val="5"/>
      <w:w w:val="104"/>
      <w:sz w:val="17"/>
      <w:szCs w:val="22"/>
      <w:lang w:val="es-ES"/>
    </w:rPr>
  </w:style>
  <w:style w:type="character" w:customStyle="1" w:styleId="FooterChar">
    <w:name w:val="Footer Char"/>
    <w:basedOn w:val="DefaultParagraphFont"/>
    <w:link w:val="Footer"/>
    <w:rsid w:val="00B1091A"/>
    <w:rPr>
      <w:rFonts w:ascii="Times New Roman" w:hAnsi="Times New Roman"/>
      <w:b/>
      <w:noProof/>
      <w:sz w:val="17"/>
      <w:szCs w:val="22"/>
    </w:rPr>
  </w:style>
  <w:style w:type="character" w:customStyle="1" w:styleId="HeaderChar">
    <w:name w:val="Header Char"/>
    <w:basedOn w:val="DefaultParagraphFont"/>
    <w:link w:val="Header"/>
    <w:rsid w:val="00B1091A"/>
    <w:rPr>
      <w:rFonts w:ascii="Times New Roman" w:hAnsi="Times New Roman"/>
      <w:noProof/>
      <w:sz w:val="17"/>
      <w:szCs w:val="22"/>
    </w:rPr>
  </w:style>
  <w:style w:type="character" w:styleId="Hyperlink">
    <w:name w:val="Hyperlink"/>
    <w:uiPriority w:val="99"/>
    <w:rsid w:val="00B1091A"/>
    <w:rPr>
      <w:color w:val="auto"/>
      <w:u w:val="none"/>
    </w:rPr>
  </w:style>
  <w:style w:type="paragraph" w:styleId="ListParagraph">
    <w:name w:val="List Paragraph"/>
    <w:basedOn w:val="Normal"/>
    <w:uiPriority w:val="34"/>
    <w:rsid w:val="00D17B73"/>
    <w:pPr>
      <w:ind w:left="720"/>
      <w:contextualSpacing/>
    </w:pPr>
  </w:style>
  <w:style w:type="paragraph" w:styleId="Revision">
    <w:name w:val="Revision"/>
    <w:hidden/>
    <w:uiPriority w:val="99"/>
    <w:semiHidden/>
    <w:rsid w:val="0014228C"/>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semiHidden/>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link w:val="EndnoteTextChar"/>
    <w:semiHidden/>
    <w:rsid w:val="000A1971"/>
    <w:pPr>
      <w:spacing w:after="80"/>
    </w:pPr>
  </w:style>
  <w:style w:type="paragraph" w:styleId="Footer">
    <w:name w:val="footer"/>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9B0CE3"/>
    <w:pPr>
      <w:spacing w:line="240" w:lineRule="auto"/>
    </w:pPr>
    <w:rPr>
      <w:szCs w:val="20"/>
    </w:rPr>
  </w:style>
  <w:style w:type="character" w:customStyle="1" w:styleId="CommentTextChar">
    <w:name w:val="Comment Text Char"/>
    <w:basedOn w:val="DefaultParagraphFont"/>
    <w:link w:val="CommentText"/>
    <w:rsid w:val="009B0CE3"/>
    <w:rPr>
      <w:rFonts w:ascii="Times New Roman" w:hAnsi="Times New Roman"/>
      <w:spacing w:val="4"/>
      <w:w w:val="103"/>
      <w:lang w:val="es-ES"/>
    </w:rPr>
  </w:style>
  <w:style w:type="paragraph" w:styleId="CommentSubject">
    <w:name w:val="annotation subject"/>
    <w:basedOn w:val="CommentText"/>
    <w:next w:val="CommentText"/>
    <w:link w:val="CommentSubjectChar"/>
    <w:rsid w:val="009B0CE3"/>
    <w:rPr>
      <w:b/>
      <w:bCs/>
    </w:rPr>
  </w:style>
  <w:style w:type="character" w:customStyle="1" w:styleId="CommentSubjectChar">
    <w:name w:val="Comment Subject Char"/>
    <w:basedOn w:val="CommentTextChar"/>
    <w:link w:val="CommentSubject"/>
    <w:rsid w:val="009B0CE3"/>
    <w:rPr>
      <w:rFonts w:ascii="Times New Roman" w:hAnsi="Times New Roman"/>
      <w:b/>
      <w:bCs/>
      <w:spacing w:val="4"/>
      <w:w w:val="103"/>
      <w:lang w:val="es-ES"/>
    </w:rPr>
  </w:style>
  <w:style w:type="character" w:customStyle="1" w:styleId="BalloonTextChar">
    <w:name w:val="Balloon Text Char"/>
    <w:basedOn w:val="DefaultParagraphFont"/>
    <w:link w:val="BalloonText"/>
    <w:semiHidden/>
    <w:rsid w:val="00B1091A"/>
    <w:rPr>
      <w:rFonts w:ascii="Tahoma" w:hAnsi="Tahoma" w:cs="Tahoma"/>
      <w:spacing w:val="4"/>
      <w:w w:val="103"/>
      <w:sz w:val="16"/>
      <w:szCs w:val="16"/>
      <w:lang w:val="es-ES"/>
    </w:rPr>
  </w:style>
  <w:style w:type="character" w:customStyle="1" w:styleId="FootnoteTextChar">
    <w:name w:val="Footnote Text Char"/>
    <w:basedOn w:val="DefaultParagraphFont"/>
    <w:link w:val="FootnoteText"/>
    <w:rsid w:val="00B1091A"/>
    <w:rPr>
      <w:rFonts w:ascii="Times New Roman" w:hAnsi="Times New Roman"/>
      <w:spacing w:val="5"/>
      <w:w w:val="104"/>
      <w:sz w:val="17"/>
      <w:szCs w:val="22"/>
      <w:lang w:val="es-ES"/>
    </w:rPr>
  </w:style>
  <w:style w:type="character" w:customStyle="1" w:styleId="EndnoteTextChar">
    <w:name w:val="Endnote Text Char"/>
    <w:basedOn w:val="DefaultParagraphFont"/>
    <w:link w:val="EndnoteText"/>
    <w:semiHidden/>
    <w:rsid w:val="00B1091A"/>
    <w:rPr>
      <w:rFonts w:ascii="Times New Roman" w:hAnsi="Times New Roman"/>
      <w:spacing w:val="5"/>
      <w:w w:val="104"/>
      <w:sz w:val="17"/>
      <w:szCs w:val="22"/>
      <w:lang w:val="es-ES"/>
    </w:rPr>
  </w:style>
  <w:style w:type="character" w:customStyle="1" w:styleId="FooterChar">
    <w:name w:val="Footer Char"/>
    <w:basedOn w:val="DefaultParagraphFont"/>
    <w:link w:val="Footer"/>
    <w:rsid w:val="00B1091A"/>
    <w:rPr>
      <w:rFonts w:ascii="Times New Roman" w:hAnsi="Times New Roman"/>
      <w:b/>
      <w:noProof/>
      <w:sz w:val="17"/>
      <w:szCs w:val="22"/>
    </w:rPr>
  </w:style>
  <w:style w:type="character" w:customStyle="1" w:styleId="HeaderChar">
    <w:name w:val="Header Char"/>
    <w:basedOn w:val="DefaultParagraphFont"/>
    <w:link w:val="Header"/>
    <w:rsid w:val="00B1091A"/>
    <w:rPr>
      <w:rFonts w:ascii="Times New Roman" w:hAnsi="Times New Roman"/>
      <w:noProof/>
      <w:sz w:val="17"/>
      <w:szCs w:val="22"/>
    </w:rPr>
  </w:style>
  <w:style w:type="character" w:styleId="Hyperlink">
    <w:name w:val="Hyperlink"/>
    <w:uiPriority w:val="99"/>
    <w:rsid w:val="00B1091A"/>
    <w:rPr>
      <w:color w:val="auto"/>
      <w:u w:val="none"/>
    </w:rPr>
  </w:style>
  <w:style w:type="paragraph" w:styleId="ListParagraph">
    <w:name w:val="List Paragraph"/>
    <w:basedOn w:val="Normal"/>
    <w:uiPriority w:val="34"/>
    <w:rsid w:val="00D17B73"/>
    <w:pPr>
      <w:ind w:left="720"/>
      <w:contextualSpacing/>
    </w:pPr>
  </w:style>
  <w:style w:type="paragraph" w:styleId="Revision">
    <w:name w:val="Revision"/>
    <w:hidden/>
    <w:uiPriority w:val="99"/>
    <w:semiHidden/>
    <w:rsid w:val="0014228C"/>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achpr.org/files/sessions/37th/mission-reports/prisons-2004/misrep_specmec_priso_southafrica_2004_eng.pdf" TargetMode="External"/><Relationship Id="rId13" Type="http://schemas.openxmlformats.org/officeDocument/2006/relationships/hyperlink" Target="http://www.ohchr.org/Documents/Issues/RuleOfLaw/Overincarceration/CNCPPDH_Algeria.pdf" TargetMode="External"/><Relationship Id="rId18" Type="http://schemas.openxmlformats.org/officeDocument/2006/relationships/hyperlink" Target="http://www.achpr.org/files/sessions/37th/mission-reports/prisons-2004/misrep_specmec_priso_southafrica_2004_eng.pdf" TargetMode="External"/><Relationship Id="rId3" Type="http://schemas.openxmlformats.org/officeDocument/2006/relationships/hyperlink" Target="http://www.achpr.org/files/sessions/52nd/inter-act-reps/185/activty_report_prisons_eng.pdf" TargetMode="External"/><Relationship Id="rId21" Type="http://schemas.openxmlformats.org/officeDocument/2006/relationships/hyperlink" Target="http://www.achpr.org/files/sessions/37th/mission-reports/prisons-2004/misrep_specmec_priso_southafrica_2004_eng.pdf" TargetMode="External"/><Relationship Id="rId7" Type="http://schemas.openxmlformats.org/officeDocument/2006/relationships/hyperlink" Target="http://www.achpr.org/files/sessions/37th/mission-reports/prisons-2004/misrep_specmec_priso_southafrica_2004_eng.pdf" TargetMode="External"/><Relationship Id="rId12" Type="http://schemas.openxmlformats.org/officeDocument/2006/relationships/hyperlink" Target="http://www.ohchr.org/Documents/Issues/RuleOfLaw/Overincarceration/PDH_Guatemala.pdf" TargetMode="External"/><Relationship Id="rId17" Type="http://schemas.openxmlformats.org/officeDocument/2006/relationships/hyperlink" Target="http://www.achpr.org/files/sessions/52nd/inter-act-reps/185/activty_report_prisons_eng.pdf" TargetMode="External"/><Relationship Id="rId2" Type="http://schemas.openxmlformats.org/officeDocument/2006/relationships/hyperlink" Target="http://www.achpr.org/files/sessions/52nd/inter-act-reps/185/activty_report_prisons_eng.pdf" TargetMode="External"/><Relationship Id="rId16" Type="http://schemas.openxmlformats.org/officeDocument/2006/relationships/hyperlink" Target="http://www.achpr.org/files/sessions/37th/mission-reports/ethiopia/misrep_specmec_priso_ethopia_2004_eng.pdf" TargetMode="External"/><Relationship Id="rId20" Type="http://schemas.openxmlformats.org/officeDocument/2006/relationships/hyperlink" Target="http://www.achpr.org/files/sessions/37th/mission-reports/ethiopia/misrep_specmec_priso_ethopia_2004_eng.pdf" TargetMode="External"/><Relationship Id="rId1" Type="http://schemas.openxmlformats.org/officeDocument/2006/relationships/hyperlink" Target="http://www.achpr.org/files/sessions/37th/mission-reports/ethiopia/misrep_specmec_priso_ethopia_2004_eng.pdf" TargetMode="External"/><Relationship Id="rId6" Type="http://schemas.openxmlformats.org/officeDocument/2006/relationships/hyperlink" Target="http://www.achpr.org/files/sessions/37th/mission-reports/ethiopia/misrep_specmec_priso_ethopia_2004_eng.pdf" TargetMode="External"/><Relationship Id="rId11" Type="http://schemas.openxmlformats.org/officeDocument/2006/relationships/hyperlink" Target="http://www.achpr.org/files/sessions/37th/mission-reports/ethiopia/misrep_specmec_priso_ethopia_2004_eng.pdf" TargetMode="External"/><Relationship Id="rId5" Type="http://schemas.openxmlformats.org/officeDocument/2006/relationships/hyperlink" Target="http://www.achpr.org/files/sessions/37th/mission-reports/ethiopia/misrep_specmec_priso_ethopia_2004_eng.pdf" TargetMode="External"/><Relationship Id="rId15" Type="http://schemas.openxmlformats.org/officeDocument/2006/relationships/hyperlink" Target="http://www.achpr.org/files/sessions/52nd/inter-act-reps/185/activty_report_prisons_eng.pdf" TargetMode="External"/><Relationship Id="rId10" Type="http://schemas.openxmlformats.org/officeDocument/2006/relationships/hyperlink" Target="http://www.ohchr.org/Documents/Issues/RuleOfLaw/Overincarceration/CNDH_Mexico.pdf" TargetMode="External"/><Relationship Id="rId19" Type="http://schemas.openxmlformats.org/officeDocument/2006/relationships/hyperlink" Target="http://www.ohchr.org/Documents/Issues/RuleOfLaw/Overincarceration/OSJI.pdf" TargetMode="External"/><Relationship Id="rId4" Type="http://schemas.openxmlformats.org/officeDocument/2006/relationships/hyperlink" Target="http://www.achpr.org/files/sessions/12th-eo/mission-reports/promotion_mission-2012/mission_report_mauritania_cpta_eng.pdf" TargetMode="External"/><Relationship Id="rId9" Type="http://schemas.openxmlformats.org/officeDocument/2006/relationships/hyperlink" Target="http://www.ohchr.org/Documents/Issues/RuleOfLaw/Overincarceration/ACLU.pdf" TargetMode="External"/><Relationship Id="rId14" Type="http://schemas.openxmlformats.org/officeDocument/2006/relationships/hyperlink" Target="http://www.achpr.org/files/sessions/37th/mission-reports/ethiopia/misrep_specmec_priso_ethopia_2004_eng.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7311-31C4-4512-A6A2-ADD92E72A93D}"/>
</file>

<file path=customXml/itemProps2.xml><?xml version="1.0" encoding="utf-8"?>
<ds:datastoreItem xmlns:ds="http://schemas.openxmlformats.org/officeDocument/2006/customXml" ds:itemID="{A4E27784-2326-480A-BB1D-A1F8112B4358}"/>
</file>

<file path=customXml/itemProps3.xml><?xml version="1.0" encoding="utf-8"?>
<ds:datastoreItem xmlns:ds="http://schemas.openxmlformats.org/officeDocument/2006/customXml" ds:itemID="{34EC5E14-E422-4CF5-A02D-AAD0770688BA}"/>
</file>

<file path=customXml/itemProps4.xml><?xml version="1.0" encoding="utf-8"?>
<ds:datastoreItem xmlns:ds="http://schemas.openxmlformats.org/officeDocument/2006/customXml" ds:itemID="{88882C0D-F828-4E57-A9B2-F0E3375E4B40}"/>
</file>

<file path=docProps/app.xml><?xml version="1.0" encoding="utf-8"?>
<Properties xmlns="http://schemas.openxmlformats.org/officeDocument/2006/extended-properties" xmlns:vt="http://schemas.openxmlformats.org/officeDocument/2006/docPropsVTypes">
  <Template>Normal</Template>
  <TotalTime>0</TotalTime>
  <Pages>22</Pages>
  <Words>7277</Words>
  <Characters>41485</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48665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implications of overincarceration and overcrowding in Spanish</dc:title>
  <dc:creator>Javier Rodríguez</dc:creator>
  <cp:lastModifiedBy>Somova Iuliia</cp:lastModifiedBy>
  <cp:revision>2</cp:revision>
  <cp:lastPrinted>2015-08-28T11:38:00Z</cp:lastPrinted>
  <dcterms:created xsi:type="dcterms:W3CDTF">2015-09-07T09:10:00Z</dcterms:created>
  <dcterms:modified xsi:type="dcterms:W3CDTF">2015-09-07T09:10:00Z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1513463</vt:lpwstr>
  </property>
  <property fmtid="{D5CDD505-2E9C-101B-9397-08002B2CF9AE}" pid="3" name="ODSRefJobNo">
    <vt:lpwstr>1517720</vt:lpwstr>
  </property>
  <property fmtid="{D5CDD505-2E9C-101B-9397-08002B2CF9AE}" pid="4" name="Symbol1">
    <vt:lpwstr>A/HRC/30/19</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10 de agosto de 2015</vt:lpwstr>
  </property>
  <property fmtid="{D5CDD505-2E9C-101B-9397-08002B2CF9AE}" pid="8" name="Original">
    <vt:lpwstr>inglés</vt:lpwstr>
  </property>
  <property fmtid="{D5CDD505-2E9C-101B-9397-08002B2CF9AE}" pid="9" name="Release Date">
    <vt:lpwstr>250815</vt:lpwstr>
  </property>
  <property fmtid="{D5CDD505-2E9C-101B-9397-08002B2CF9AE}" pid="10" name="Comment">
    <vt:lpwstr/>
  </property>
  <property fmtid="{D5CDD505-2E9C-101B-9397-08002B2CF9AE}" pid="11" name="DraftPages">
    <vt:lpwstr> </vt:lpwstr>
  </property>
  <property fmtid="{D5CDD505-2E9C-101B-9397-08002B2CF9AE}" pid="12" name="Operator">
    <vt:lpwstr>JR/rg</vt:lpwstr>
  </property>
  <property fmtid="{D5CDD505-2E9C-101B-9397-08002B2CF9AE}" pid="13" name="Translator">
    <vt:lpwstr>JR/rg</vt:lpwstr>
  </property>
  <property fmtid="{D5CDD505-2E9C-101B-9397-08002B2CF9AE}" pid="14" name="ContentTypeId">
    <vt:lpwstr>0x010100EF670F518423CB4F888C4265EEC2C475</vt:lpwstr>
  </property>
  <property fmtid="{D5CDD505-2E9C-101B-9397-08002B2CF9AE}" pid="15" name="Order">
    <vt:r8>22800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